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47DE0" w14:textId="77777777" w:rsidR="006244D7" w:rsidRDefault="00000000">
      <w:pPr>
        <w:spacing w:line="480" w:lineRule="auto"/>
        <w:jc w:val="both"/>
        <w:rPr>
          <w:rFonts w:ascii="Arial" w:hAnsi="Arial" w:cs="Arial"/>
          <w:b/>
          <w:bCs/>
          <w:i/>
          <w:iCs/>
          <w:color w:val="000000" w:themeColor="text1"/>
          <w:u w:val="single"/>
          <w:lang w:val="en-US"/>
        </w:rPr>
      </w:pPr>
      <w:r>
        <w:rPr>
          <w:rFonts w:ascii="Arial" w:hAnsi="Arial" w:cs="Arial"/>
          <w:b/>
          <w:bCs/>
          <w:i/>
          <w:iCs/>
          <w:color w:val="000000" w:themeColor="text1"/>
          <w:u w:val="single"/>
          <w:lang w:val="en-US"/>
        </w:rPr>
        <w:t>Original Research Article</w:t>
      </w:r>
    </w:p>
    <w:p w14:paraId="620E0477"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Strain-Based Comparison of Red tilapia and Genetically Improved Farmed Tilapia: Growth, Fillet and Nutritional Attributes</w:t>
      </w:r>
    </w:p>
    <w:p w14:paraId="4ECE4071" w14:textId="77777777" w:rsidR="006244D7" w:rsidRDefault="006244D7">
      <w:pPr>
        <w:spacing w:line="240" w:lineRule="auto"/>
        <w:jc w:val="both"/>
        <w:rPr>
          <w:rFonts w:ascii="Arial" w:hAnsi="Arial" w:cs="Arial"/>
          <w:b/>
          <w:color w:val="000000" w:themeColor="text1"/>
          <w:sz w:val="20"/>
          <w:szCs w:val="20"/>
        </w:rPr>
      </w:pPr>
    </w:p>
    <w:p w14:paraId="598B0884"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ABSTRACT</w:t>
      </w:r>
    </w:p>
    <w:p w14:paraId="45D28526" w14:textId="77777777" w:rsidR="006244D7" w:rsidRDefault="00000000">
      <w:pPr>
        <w:spacing w:line="480" w:lineRule="auto"/>
        <w:ind w:firstLine="720"/>
        <w:jc w:val="both"/>
        <w:rPr>
          <w:rFonts w:ascii="Arial" w:hAnsi="Arial" w:cs="Arial"/>
          <w:b/>
          <w:bCs/>
          <w:color w:val="C00000"/>
          <w:sz w:val="20"/>
          <w:szCs w:val="20"/>
        </w:rPr>
      </w:pPr>
      <w:r>
        <w:rPr>
          <w:rFonts w:ascii="Arial" w:hAnsi="Arial" w:cs="Arial"/>
          <w:color w:val="000000" w:themeColor="text1"/>
          <w:sz w:val="20"/>
          <w:szCs w:val="20"/>
        </w:rPr>
        <w:t xml:space="preserve">Tilapia, a fast-growing species from the </w:t>
      </w:r>
      <w:proofErr w:type="spellStart"/>
      <w:r>
        <w:rPr>
          <w:rFonts w:ascii="Arial" w:hAnsi="Arial" w:cs="Arial"/>
          <w:color w:val="000000" w:themeColor="text1"/>
          <w:sz w:val="20"/>
          <w:szCs w:val="20"/>
        </w:rPr>
        <w:t>Cichlidae</w:t>
      </w:r>
      <w:proofErr w:type="spellEnd"/>
      <w:r>
        <w:rPr>
          <w:rFonts w:ascii="Arial" w:hAnsi="Arial" w:cs="Arial"/>
          <w:color w:val="000000" w:themeColor="text1"/>
          <w:sz w:val="20"/>
          <w:szCs w:val="20"/>
        </w:rPr>
        <w:t xml:space="preserve"> family is often termed as ‘aquatic chicken’. This study was to evaluate the growth performance using growth metrics like specific growth rate (SGR), feed conversion ratio (FCR), feed efficiency ratio (FER), protein efficiency ratio (PER), carcass characteristics and nutritional quality of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tilapia and Genetically Improved Farmed Tilapia (GIFT) strains reared under pond conditions. The study was conducted for 180 days. Advanced mono-sex fingerlings of both strains were subjected to 17-methyl testosterone treatment. They were reared in nursery hapas for 60 days before being stocked in polyethylene-lined earthen ponds using completely randomized design with two treatments in duplicate. Fish were fed with commercial floating pellets while monitoring standard water quality parameters. Carcass traits were evaluated and the proximate composition was determined using Association of Official Analytical Chemists (AOAC) methods. For statistical analysis, independent t-test was performed using SPSS software with significance at P&lt;0.05. GIFT strain demonstrated markedly enhanced performance characterized by significantly elevated final biomass, superior specific growth rate (SGR) and improved feed conversion ratio (FCR) indicative of its advanced genetic merit for accelerated somatic growth and optimized nutrient assimilation. The volume of production was found to be higher in GIFT compared to red strain. Additionally, it exhibited superior carcass traits with favourable flesh-to-bone ratio and increased fillet yield. In case of nutritional composition, red tilapia displayed better results compared to GIFT strain.</w:t>
      </w:r>
    </w:p>
    <w:p w14:paraId="384ACA70" w14:textId="77777777" w:rsidR="006244D7" w:rsidRDefault="00000000">
      <w:pPr>
        <w:spacing w:line="480" w:lineRule="auto"/>
        <w:jc w:val="both"/>
        <w:rPr>
          <w:rFonts w:ascii="Arial" w:hAnsi="Arial" w:cs="Arial"/>
          <w:color w:val="000000" w:themeColor="text1"/>
          <w:sz w:val="20"/>
          <w:szCs w:val="20"/>
        </w:rPr>
      </w:pPr>
      <w:r>
        <w:rPr>
          <w:rFonts w:ascii="Arial" w:hAnsi="Arial" w:cs="Arial"/>
          <w:b/>
          <w:i/>
          <w:color w:val="000000" w:themeColor="text1"/>
        </w:rPr>
        <w:t>Keywords:</w:t>
      </w:r>
      <w:r>
        <w:rPr>
          <w:rFonts w:ascii="Arial" w:hAnsi="Arial" w:cs="Arial"/>
          <w:color w:val="000000" w:themeColor="text1"/>
        </w:rPr>
        <w:t xml:space="preserve"> </w:t>
      </w:r>
      <w:r>
        <w:rPr>
          <w:rFonts w:ascii="Arial" w:hAnsi="Arial" w:cs="Arial"/>
          <w:color w:val="000000" w:themeColor="text1"/>
          <w:sz w:val="20"/>
          <w:szCs w:val="20"/>
        </w:rPr>
        <w:t>Tilapia strains, Growth performance, Carcass yield, Fillet quality, Nutritional composition</w:t>
      </w:r>
    </w:p>
    <w:p w14:paraId="2844F70B" w14:textId="77777777" w:rsidR="006244D7" w:rsidRDefault="006244D7">
      <w:pPr>
        <w:spacing w:line="480" w:lineRule="auto"/>
        <w:jc w:val="both"/>
        <w:rPr>
          <w:rFonts w:ascii="Arial" w:hAnsi="Arial" w:cs="Arial"/>
          <w:color w:val="000000" w:themeColor="text1"/>
          <w:sz w:val="20"/>
          <w:szCs w:val="20"/>
        </w:rPr>
      </w:pPr>
    </w:p>
    <w:p w14:paraId="78C617FE" w14:textId="77777777" w:rsidR="006244D7" w:rsidRDefault="006244D7">
      <w:pPr>
        <w:spacing w:line="480" w:lineRule="auto"/>
        <w:jc w:val="both"/>
        <w:rPr>
          <w:rFonts w:ascii="Arial" w:hAnsi="Arial" w:cs="Arial"/>
          <w:color w:val="000000" w:themeColor="text1"/>
          <w:sz w:val="20"/>
          <w:szCs w:val="20"/>
        </w:rPr>
      </w:pPr>
    </w:p>
    <w:p w14:paraId="6293518C" w14:textId="77777777" w:rsidR="006244D7" w:rsidRDefault="006244D7">
      <w:pPr>
        <w:spacing w:line="480" w:lineRule="auto"/>
        <w:jc w:val="both"/>
        <w:rPr>
          <w:rFonts w:ascii="Arial" w:hAnsi="Arial" w:cs="Arial"/>
          <w:color w:val="000000" w:themeColor="text1"/>
          <w:sz w:val="20"/>
          <w:szCs w:val="20"/>
        </w:rPr>
      </w:pPr>
    </w:p>
    <w:p w14:paraId="48AC65D0" w14:textId="77777777" w:rsidR="006244D7" w:rsidRDefault="00000000">
      <w:pPr>
        <w:pStyle w:val="ListParagraph"/>
        <w:numPr>
          <w:ilvl w:val="0"/>
          <w:numId w:val="1"/>
        </w:numPr>
        <w:spacing w:line="480" w:lineRule="auto"/>
        <w:jc w:val="both"/>
        <w:rPr>
          <w:rFonts w:ascii="Arial" w:hAnsi="Arial" w:cs="Arial"/>
          <w:b/>
          <w:color w:val="000000" w:themeColor="text1"/>
        </w:rPr>
      </w:pPr>
      <w:r>
        <w:rPr>
          <w:rFonts w:ascii="Arial" w:hAnsi="Arial" w:cs="Arial"/>
          <w:b/>
          <w:color w:val="000000" w:themeColor="text1"/>
        </w:rPr>
        <w:lastRenderedPageBreak/>
        <w:t>INTRODUCTION</w:t>
      </w:r>
    </w:p>
    <w:p w14:paraId="18CAC35E"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Tilapia, a widely cultured freshwater fish, has gained global significance due to its fast growth, high feed efficiency, adaptability to various environmental conditions and consumer acceptance. Among the various strains,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tilapia and Genetically Improved Farmed Tilapia (GIFT) have emerged as promising candidates for intensive and semi-intensive aquaculture systems. The application of mono-sex culture, especially through hormonal sex reversal is a common practice to enhance growth performance by preventing early reproduction and reducing competition for resources. With increasing demand for quality protein sources and sustainable aquaculture practices, comparative studies focusing on growth performance, feed utilization and fillet quality of different tilapia strains under similar environmental conditions are essential for informed species selection in aquaculture operations.</w:t>
      </w:r>
    </w:p>
    <w:p w14:paraId="35B5A8B8"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The present study was undertaken to compare the growth performance, feed utilization, survival rate, carcass quality and nutritional composition of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tilapia and GIFT tilapia strains under identical culture conditions. Conducted at the </w:t>
      </w:r>
      <w:proofErr w:type="spellStart"/>
      <w:r>
        <w:rPr>
          <w:rFonts w:ascii="Arial" w:hAnsi="Arial" w:cs="Arial"/>
          <w:color w:val="000000" w:themeColor="text1"/>
          <w:sz w:val="20"/>
          <w:szCs w:val="20"/>
        </w:rPr>
        <w:t>Krishnagiri</w:t>
      </w:r>
      <w:proofErr w:type="spell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 the experiment employed advanced mono-sex fingerlings of both strains, reared in replicated earthen ponds lined with high-density polyethylene sheets. Both strains were fed with standardized commercial diet and monitored for water quality throughout the culture period. Previous studies have often focused on either growth metrics or fillet traits independently. However, comprehensive assessments combining growth, feed efficiency, proximate carcass analysis and fatty acid profiles remain limited (Sahu et al., 2000). Therefore, this study aims at providing a holistic comparison of Red and GIFT tilapia strains to support informed decision-making in strain selection and management practices for sustainable freshwater aquaculture.</w:t>
      </w:r>
    </w:p>
    <w:p w14:paraId="15165DD5"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The development of GIFT tilapia through selective breeding has resulted in significant improvements in growth rate, feed conversion ratio and survival compared to wild and unimproved strains (Gupta &amp; Acosta, 2004). Studies by El-Sayed (2006) reported that GIFT tilapia can outperform other strains in semi-intensive and intensive production systems. Red tilapia, a hybrid strain known for its reddish coloration and consumer appeal, has also shown competitive growth and marketability, particularly in Asian markets. Hormonal sex reversal using 17α-methyl testosterone has become a standard technique to produce mono-sex populations which helps in preventing early reproduction and promotes uniform growth, as documented by Green &amp; Teichert-Coddington (2000). Furthermore, feed </w:t>
      </w:r>
      <w:r>
        <w:rPr>
          <w:rFonts w:ascii="Arial" w:hAnsi="Arial" w:cs="Arial"/>
          <w:color w:val="000000" w:themeColor="text1"/>
          <w:sz w:val="20"/>
          <w:szCs w:val="20"/>
        </w:rPr>
        <w:lastRenderedPageBreak/>
        <w:t>type, protein levels and feeding frequency significantly influence the growth performance of tilapia with optimal protein content reported between 28% and 32% for juveniles.</w:t>
      </w:r>
    </w:p>
    <w:p w14:paraId="161A76B1"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Beyond growth performance, researchers have emphasized the importance of assessing fillet yield, body composition and texture quality in tilapia strains. Sahu et al. (2000) proposed standard methods to evaluate carcass and offal traits in freshwater fish which have been widely applied to understand economic yield. The fatty acid composition, particularly the presence of beneficial polyunsaturated fatty acids (PUFAs) has also been studied as an indicator of the nutritional quality of fish with extraction and analysis techniques standardized by Folch et al. (1957) and Association of Official Analytical Chemists (AOAC) (2016). However, comprehensive studies comparing these parameters between different tilapia strains under uniform rearing conditions are limited. Therefore, a combined evaluation of growth, feed efficiency, carcass yield and nutritional quality is essential for better strain selection and sustainable aquaculture development.</w:t>
      </w:r>
    </w:p>
    <w:p w14:paraId="104834A1" w14:textId="77777777" w:rsidR="006244D7" w:rsidRDefault="00000000">
      <w:pPr>
        <w:pStyle w:val="ListParagraph"/>
        <w:numPr>
          <w:ilvl w:val="0"/>
          <w:numId w:val="1"/>
        </w:numPr>
        <w:spacing w:line="480" w:lineRule="auto"/>
        <w:jc w:val="both"/>
        <w:rPr>
          <w:rFonts w:ascii="Arial" w:hAnsi="Arial" w:cs="Arial"/>
          <w:color w:val="000000" w:themeColor="text1"/>
        </w:rPr>
      </w:pPr>
      <w:r>
        <w:rPr>
          <w:rFonts w:ascii="Arial" w:hAnsi="Arial" w:cs="Arial"/>
          <w:b/>
          <w:color w:val="000000" w:themeColor="text1"/>
        </w:rPr>
        <w:t>MATERIALS AND METHODS</w:t>
      </w:r>
    </w:p>
    <w:p w14:paraId="3D17AD2D" w14:textId="77777777" w:rsidR="006244D7" w:rsidRDefault="00000000">
      <w:pPr>
        <w:pStyle w:val="ListParagraph"/>
        <w:numPr>
          <w:ilvl w:val="0"/>
          <w:numId w:val="2"/>
        </w:numPr>
        <w:spacing w:line="480" w:lineRule="auto"/>
        <w:jc w:val="both"/>
        <w:rPr>
          <w:rStyle w:val="Strong"/>
          <w:rFonts w:ascii="Arial" w:hAnsi="Arial" w:cs="Arial"/>
          <w:color w:val="000000" w:themeColor="text1"/>
        </w:rPr>
      </w:pPr>
      <w:r>
        <w:rPr>
          <w:rStyle w:val="Strong"/>
          <w:rFonts w:ascii="Arial" w:hAnsi="Arial" w:cs="Arial"/>
          <w:color w:val="000000" w:themeColor="text1"/>
        </w:rPr>
        <w:t>Materials:</w:t>
      </w:r>
    </w:p>
    <w:p w14:paraId="505B6306" w14:textId="77777777" w:rsidR="006244D7" w:rsidRDefault="00000000">
      <w:pPr>
        <w:spacing w:line="480" w:lineRule="auto"/>
        <w:ind w:firstLine="720"/>
        <w:jc w:val="both"/>
        <w:rPr>
          <w:rFonts w:ascii="Arial" w:hAnsi="Arial" w:cs="Arial"/>
          <w:bCs/>
          <w:sz w:val="20"/>
          <w:szCs w:val="20"/>
        </w:rPr>
      </w:pPr>
      <w:r>
        <w:rPr>
          <w:rStyle w:val="Strong"/>
          <w:rFonts w:ascii="Arial" w:hAnsi="Arial" w:cs="Arial"/>
          <w:b w:val="0"/>
          <w:color w:val="000000" w:themeColor="text1"/>
          <w:sz w:val="20"/>
          <w:szCs w:val="20"/>
        </w:rPr>
        <w:t xml:space="preserve">This study utilized two strains of tilapia: The Genetically Improved Farmed Tilapia (GIFT) and </w:t>
      </w:r>
      <w:proofErr w:type="gramStart"/>
      <w:r>
        <w:rPr>
          <w:rStyle w:val="Strong"/>
          <w:rFonts w:ascii="Arial" w:hAnsi="Arial" w:cs="Arial"/>
          <w:b w:val="0"/>
          <w:color w:val="000000" w:themeColor="text1"/>
          <w:sz w:val="20"/>
          <w:szCs w:val="20"/>
        </w:rPr>
        <w:t>Red</w:t>
      </w:r>
      <w:proofErr w:type="gramEnd"/>
      <w:r>
        <w:rPr>
          <w:rStyle w:val="Strong"/>
          <w:rFonts w:ascii="Arial" w:hAnsi="Arial" w:cs="Arial"/>
          <w:b w:val="0"/>
          <w:color w:val="000000" w:themeColor="text1"/>
          <w:sz w:val="20"/>
          <w:szCs w:val="20"/>
        </w:rPr>
        <w:t xml:space="preserve"> tilapia, both sourced from a certified hatchery. The experiment was conducted in outdoor earthen ponds located at </w:t>
      </w:r>
      <w:proofErr w:type="spellStart"/>
      <w:r>
        <w:rPr>
          <w:rStyle w:val="Strong"/>
          <w:rFonts w:ascii="Arial" w:hAnsi="Arial" w:cs="Arial"/>
          <w:b w:val="0"/>
          <w:color w:val="000000" w:themeColor="text1"/>
          <w:sz w:val="20"/>
          <w:szCs w:val="20"/>
        </w:rPr>
        <w:t>Krishnagiri</w:t>
      </w:r>
      <w:proofErr w:type="spellEnd"/>
      <w:r>
        <w:rPr>
          <w:rStyle w:val="Strong"/>
          <w:rFonts w:ascii="Arial" w:hAnsi="Arial" w:cs="Arial"/>
          <w:b w:val="0"/>
          <w:color w:val="000000" w:themeColor="text1"/>
          <w:sz w:val="20"/>
          <w:szCs w:val="20"/>
        </w:rPr>
        <w:t xml:space="preserve">, </w:t>
      </w:r>
      <w:proofErr w:type="spellStart"/>
      <w:r>
        <w:rPr>
          <w:rFonts w:ascii="Arial" w:hAnsi="Arial" w:cs="Arial"/>
          <w:color w:val="000000" w:themeColor="text1"/>
          <w:sz w:val="20"/>
          <w:szCs w:val="20"/>
        </w:rPr>
        <w:t>Barur</w:t>
      </w:r>
      <w:proofErr w:type="spellEnd"/>
      <w:r>
        <w:rPr>
          <w:rFonts w:ascii="Arial" w:hAnsi="Arial" w:cs="Arial"/>
          <w:color w:val="000000" w:themeColor="text1"/>
          <w:sz w:val="20"/>
          <w:szCs w:val="20"/>
        </w:rPr>
        <w:t xml:space="preserve"> Centre for Sustainable Aquaculture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Tamil Nadu</w:t>
      </w:r>
      <w:r>
        <w:rPr>
          <w:rStyle w:val="Strong"/>
          <w:rFonts w:ascii="Arial" w:hAnsi="Arial" w:cs="Arial"/>
          <w:b w:val="0"/>
          <w:color w:val="000000" w:themeColor="text1"/>
          <w:sz w:val="20"/>
          <w:szCs w:val="20"/>
        </w:rPr>
        <w:t xml:space="preserve"> which were uniformly prepared and maintained for semi-intensive aquaculture conditions. Fish were initially stocked at equal densities and similar weights to ensure standardization. </w:t>
      </w:r>
      <w:r>
        <w:rPr>
          <w:rStyle w:val="Strong"/>
          <w:rFonts w:ascii="Arial" w:hAnsi="Arial" w:cs="Arial"/>
          <w:b w:val="0"/>
          <w:sz w:val="20"/>
          <w:szCs w:val="20"/>
        </w:rPr>
        <w:t xml:space="preserve">From the nursery ponds, all male fingerlings of red tilapia with mean body length </w:t>
      </w:r>
      <w:r>
        <w:rPr>
          <w:rFonts w:ascii="Arial" w:hAnsi="Arial" w:cs="Arial"/>
          <w:bCs/>
          <w:sz w:val="20"/>
          <w:szCs w:val="20"/>
        </w:rPr>
        <w:t>10.65 ± 0.11 cm</w:t>
      </w:r>
      <w:r>
        <w:rPr>
          <w:rStyle w:val="Strong"/>
          <w:rFonts w:ascii="Arial" w:hAnsi="Arial" w:cs="Arial"/>
          <w:b w:val="0"/>
          <w:sz w:val="20"/>
          <w:szCs w:val="20"/>
        </w:rPr>
        <w:t xml:space="preserve"> and mean body weight </w:t>
      </w:r>
      <w:r>
        <w:rPr>
          <w:rFonts w:ascii="Arial" w:hAnsi="Arial" w:cs="Arial"/>
          <w:bCs/>
          <w:sz w:val="20"/>
          <w:szCs w:val="20"/>
        </w:rPr>
        <w:t>24.09 ± 0.55 g</w:t>
      </w:r>
      <w:r>
        <w:rPr>
          <w:rStyle w:val="Strong"/>
          <w:rFonts w:ascii="Arial" w:hAnsi="Arial" w:cs="Arial"/>
          <w:b w:val="0"/>
          <w:sz w:val="20"/>
          <w:szCs w:val="20"/>
        </w:rPr>
        <w:t xml:space="preserve"> were collected and allowed to get accustomed in the hapa systems measuring 25.90 m x 13.80 m x 1.2 m; length x breadth x depth separately for 15 days. Following complete randomization technique, </w:t>
      </w:r>
      <w:r>
        <w:rPr>
          <w:rFonts w:ascii="Arial" w:hAnsi="Arial" w:cs="Arial"/>
          <w:bCs/>
          <w:sz w:val="20"/>
          <w:szCs w:val="20"/>
        </w:rPr>
        <w:t>from hapa systems,1100 red and 1100 GIFT tilapia fingerlings were randomly collected and stocked (3 fingerling/m</w:t>
      </w:r>
      <w:r>
        <w:rPr>
          <w:rFonts w:ascii="Arial" w:hAnsi="Arial" w:cs="Arial"/>
          <w:bCs/>
          <w:sz w:val="20"/>
          <w:szCs w:val="20"/>
          <w:vertAlign w:val="superscript"/>
        </w:rPr>
        <w:t>2</w:t>
      </w:r>
      <w:r>
        <w:rPr>
          <w:rFonts w:ascii="Arial" w:hAnsi="Arial" w:cs="Arial"/>
          <w:bCs/>
          <w:sz w:val="20"/>
          <w:szCs w:val="20"/>
        </w:rPr>
        <w:t>; 30000 fingerling/ha) separately in their respective experimental ponds after they get adapted to their new environment</w:t>
      </w:r>
      <w:r>
        <w:rPr>
          <w:rStyle w:val="Strong"/>
          <w:rFonts w:ascii="Arial" w:hAnsi="Arial" w:cs="Arial"/>
          <w:b w:val="0"/>
          <w:sz w:val="20"/>
          <w:szCs w:val="20"/>
        </w:rPr>
        <w:t xml:space="preserve">. </w:t>
      </w:r>
    </w:p>
    <w:p w14:paraId="5CF2C88D" w14:textId="77777777" w:rsidR="006244D7" w:rsidRDefault="00000000">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t xml:space="preserve"> Commercial floating pellet feed (3mm </w:t>
      </w:r>
      <w:proofErr w:type="spellStart"/>
      <w:r>
        <w:rPr>
          <w:rStyle w:val="Strong"/>
          <w:rFonts w:ascii="Arial" w:hAnsi="Arial" w:cs="Arial"/>
          <w:b w:val="0"/>
          <w:color w:val="000000" w:themeColor="text1"/>
          <w:sz w:val="20"/>
          <w:szCs w:val="20"/>
        </w:rPr>
        <w:t>dia</w:t>
      </w:r>
      <w:proofErr w:type="spellEnd"/>
      <w:r>
        <w:rPr>
          <w:rStyle w:val="Strong"/>
          <w:rFonts w:ascii="Arial" w:hAnsi="Arial" w:cs="Arial"/>
          <w:b w:val="0"/>
          <w:color w:val="000000" w:themeColor="text1"/>
          <w:sz w:val="20"/>
          <w:szCs w:val="20"/>
        </w:rPr>
        <w:t xml:space="preserve">) containing approximately 24% crude protein, 4% crude fat, 8.5% crude fibre, 12% moisture was used throughout the culture period. Basic aquaculture equipment including feeding trays, aerators, digital weighing balances and water quality testing kits (for </w:t>
      </w:r>
      <w:r>
        <w:rPr>
          <w:rStyle w:val="Strong"/>
          <w:rFonts w:ascii="Arial" w:hAnsi="Arial" w:cs="Arial"/>
          <w:b w:val="0"/>
          <w:color w:val="000000" w:themeColor="text1"/>
          <w:sz w:val="20"/>
          <w:szCs w:val="20"/>
        </w:rPr>
        <w:lastRenderedPageBreak/>
        <w:t xml:space="preserve">measuring pH, dissolved oxygen, ammonia and temperature) were employed for daily management. For laboratory analysis, standard tools such as dissecting kits, moisture analysers, Soxhlet extraction units, muffle furnaces and drying ovens were used to evaluate carcass characteristics and proximate composition. </w:t>
      </w:r>
    </w:p>
    <w:p w14:paraId="6904AE39" w14:textId="77777777" w:rsidR="006244D7" w:rsidRDefault="00000000">
      <w:pPr>
        <w:pStyle w:val="ListParagraph"/>
        <w:numPr>
          <w:ilvl w:val="0"/>
          <w:numId w:val="2"/>
        </w:numPr>
        <w:spacing w:line="480" w:lineRule="auto"/>
        <w:jc w:val="both"/>
        <w:rPr>
          <w:rStyle w:val="Strong"/>
          <w:rFonts w:ascii="Arial" w:hAnsi="Arial" w:cs="Arial"/>
          <w:color w:val="000000" w:themeColor="text1"/>
          <w:sz w:val="20"/>
          <w:szCs w:val="20"/>
        </w:rPr>
      </w:pPr>
      <w:r>
        <w:rPr>
          <w:rStyle w:val="Strong"/>
          <w:rFonts w:ascii="Arial" w:hAnsi="Arial" w:cs="Arial"/>
          <w:color w:val="000000" w:themeColor="text1"/>
          <w:sz w:val="20"/>
          <w:szCs w:val="20"/>
        </w:rPr>
        <w:t>Methods:</w:t>
      </w:r>
    </w:p>
    <w:p w14:paraId="739CBB36" w14:textId="77777777" w:rsidR="006244D7" w:rsidRDefault="00000000">
      <w:pPr>
        <w:spacing w:line="480" w:lineRule="auto"/>
        <w:ind w:firstLine="720"/>
        <w:jc w:val="both"/>
        <w:rPr>
          <w:rStyle w:val="Strong"/>
          <w:rFonts w:ascii="Arial" w:hAnsi="Arial" w:cs="Arial"/>
          <w:b w:val="0"/>
          <w:color w:val="000000" w:themeColor="text1"/>
          <w:sz w:val="20"/>
          <w:szCs w:val="20"/>
        </w:rPr>
      </w:pPr>
      <w:r>
        <w:rPr>
          <w:rStyle w:val="Strong"/>
          <w:rFonts w:ascii="Arial" w:hAnsi="Arial" w:cs="Arial"/>
          <w:b w:val="0"/>
          <w:color w:val="000000" w:themeColor="text1"/>
          <w:sz w:val="20"/>
          <w:szCs w:val="20"/>
        </w:rPr>
        <w:t>The field experiment took place under controlled pond conditions, ensuring consistent environmental and management practices throughout the study for 180 days.</w:t>
      </w:r>
    </w:p>
    <w:p w14:paraId="5EC70625" w14:textId="77777777" w:rsidR="006244D7" w:rsidRDefault="00000000">
      <w:pPr>
        <w:spacing w:after="0" w:line="480" w:lineRule="auto"/>
        <w:jc w:val="both"/>
        <w:rPr>
          <w:rFonts w:ascii="Arial" w:hAnsi="Arial" w:cs="Arial"/>
          <w:color w:val="000000" w:themeColor="text1"/>
          <w:sz w:val="21"/>
          <w:szCs w:val="21"/>
        </w:rPr>
      </w:pPr>
      <w:r>
        <w:rPr>
          <w:rStyle w:val="Strong"/>
          <w:rFonts w:ascii="Arial" w:hAnsi="Arial" w:cs="Arial"/>
          <w:color w:val="000000" w:themeColor="text1"/>
        </w:rPr>
        <w:t>Experimental Fish and Rearing</w:t>
      </w:r>
      <w:r>
        <w:rPr>
          <w:rFonts w:ascii="Arial" w:hAnsi="Arial" w:cs="Arial"/>
          <w:color w:val="000000" w:themeColor="text1"/>
          <w:sz w:val="21"/>
          <w:szCs w:val="21"/>
        </w:rPr>
        <w:br/>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0"/>
          <w:szCs w:val="20"/>
        </w:rPr>
        <w:t xml:space="preserve">Advanced mono-sex fingerlings of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strain and GIFT tilapia were used as the experimental specimens. These fish underwent 21 days of hormonal treatment using 17-methyl testosterone at the mono-sex seed production unit of </w:t>
      </w:r>
      <w:proofErr w:type="spellStart"/>
      <w:r>
        <w:rPr>
          <w:rFonts w:ascii="Arial" w:hAnsi="Arial" w:cs="Arial"/>
          <w:color w:val="000000" w:themeColor="text1"/>
          <w:sz w:val="20"/>
          <w:szCs w:val="20"/>
        </w:rPr>
        <w:t>KBCeSA</w:t>
      </w:r>
      <w:proofErr w:type="spellEnd"/>
      <w:r>
        <w:rPr>
          <w:rFonts w:ascii="Arial" w:hAnsi="Arial" w:cs="Arial"/>
          <w:color w:val="000000" w:themeColor="text1"/>
          <w:sz w:val="20"/>
          <w:szCs w:val="20"/>
        </w:rPr>
        <w:t>. A total of 10,000 seeds for each strain were reared separately in nursery hapas (10 m × 1 m × 1 m) using commercial floating pellet feed (</w:t>
      </w:r>
      <w:proofErr w:type="spellStart"/>
      <w:r>
        <w:rPr>
          <w:rFonts w:ascii="Arial" w:hAnsi="Arial" w:cs="Arial"/>
          <w:color w:val="000000" w:themeColor="text1"/>
          <w:sz w:val="20"/>
          <w:szCs w:val="20"/>
        </w:rPr>
        <w:t>Growel</w:t>
      </w:r>
      <w:proofErr w:type="spellEnd"/>
      <w:r>
        <w:rPr>
          <w:rFonts w:ascii="Arial" w:hAnsi="Arial" w:cs="Arial"/>
          <w:color w:val="000000" w:themeColor="text1"/>
          <w:sz w:val="20"/>
          <w:szCs w:val="20"/>
        </w:rPr>
        <w:t>; 32% crude protein) at 8–10% of body weight for 60 days. Upon reaching an average size of 25 g, 2,500 fingerlings from each strain were selected for the main experiment.</w:t>
      </w:r>
    </w:p>
    <w:p w14:paraId="14439947"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Experimental Design and Pond Setup</w:t>
      </w:r>
    </w:p>
    <w:p w14:paraId="005BF87C"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 completely randomized design (CRD) was employed with Red and GIFT tilapia as the two treatments; each duplicated in earthen ponds of 357 m² </w:t>
      </w:r>
      <w:r>
        <w:rPr>
          <w:rFonts w:ascii="Arial" w:hAnsi="Arial" w:cs="Arial"/>
          <w:sz w:val="20"/>
          <w:szCs w:val="20"/>
        </w:rPr>
        <w:t>(</w:t>
      </w:r>
      <w:r>
        <w:rPr>
          <w:rStyle w:val="Strong"/>
          <w:rFonts w:ascii="Arial" w:hAnsi="Arial" w:cs="Arial"/>
          <w:b w:val="0"/>
          <w:sz w:val="20"/>
          <w:szCs w:val="20"/>
        </w:rPr>
        <w:t>25.90 m x 13.80 m x 1.2 m)</w:t>
      </w:r>
      <w:r>
        <w:rPr>
          <w:rFonts w:ascii="Arial" w:hAnsi="Arial" w:cs="Arial"/>
          <w:color w:val="000000" w:themeColor="text1"/>
          <w:sz w:val="20"/>
          <w:szCs w:val="20"/>
        </w:rPr>
        <w:t>. Standard preparation included drying, ploughing, lining with HDPE sheets and manuring with fermented organic slurry. Ponds were filled with water to a 1m depth and allowed to stabilize for live feed development before stocking.</w:t>
      </w:r>
    </w:p>
    <w:p w14:paraId="63586FA8"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Stocking and Feeding</w:t>
      </w:r>
    </w:p>
    <w:p w14:paraId="52C06C3A"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Each pond was stocked with 1,100 fingerlings (3 fish/m³) early in the morning. Feeding was carried out twice daily using a 3 mm floating commercial pellet (</w:t>
      </w:r>
      <w:r>
        <w:rPr>
          <w:rStyle w:val="Strong"/>
          <w:rFonts w:ascii="Arial" w:hAnsi="Arial" w:cs="Arial"/>
          <w:b w:val="0"/>
          <w:color w:val="000000" w:themeColor="text1"/>
          <w:sz w:val="20"/>
          <w:szCs w:val="20"/>
        </w:rPr>
        <w:t>24% crude protein, 4% crude fat, 8.5% crude fibre, 12% moisture</w:t>
      </w:r>
      <w:r>
        <w:rPr>
          <w:rFonts w:ascii="Arial" w:hAnsi="Arial" w:cs="Arial"/>
          <w:color w:val="000000" w:themeColor="text1"/>
          <w:sz w:val="20"/>
          <w:szCs w:val="20"/>
        </w:rPr>
        <w:t xml:space="preserve">) initially at 8% of biomass and gradually reduced to 3–5% as fish grew. </w:t>
      </w:r>
    </w:p>
    <w:p w14:paraId="3B04E063"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Growth sampling and analysis</w:t>
      </w:r>
    </w:p>
    <w:p w14:paraId="7810AB17" w14:textId="24632FF0" w:rsidR="006244D7" w:rsidRPr="004B7921" w:rsidRDefault="00000000" w:rsidP="004B7921">
      <w:pPr>
        <w:spacing w:line="480" w:lineRule="auto"/>
        <w:jc w:val="both"/>
        <w:rPr>
          <w:rFonts w:ascii="Arial" w:hAnsi="Arial"/>
          <w:bCs/>
          <w:color w:val="000000" w:themeColor="text1"/>
          <w:sz w:val="20"/>
          <w:szCs w:val="20"/>
        </w:rPr>
      </w:pPr>
      <w:r>
        <w:rPr>
          <w:rFonts w:ascii="Arial" w:hAnsi="Arial" w:cs="Arial"/>
          <w:bCs/>
          <w:color w:val="000000" w:themeColor="text1"/>
          <w:sz w:val="20"/>
          <w:szCs w:val="20"/>
        </w:rPr>
        <w:lastRenderedPageBreak/>
        <w:t>Monthly growth sampling was conducted by randomly collecting the fish from each pond (n=100 fish/pond or 300 fish/treatment) using a cast net.</w:t>
      </w:r>
      <w:r>
        <w:rPr>
          <w:rFonts w:ascii="Arial" w:hAnsi="Arial"/>
          <w:bCs/>
          <w:color w:val="000000" w:themeColor="text1"/>
          <w:sz w:val="20"/>
          <w:szCs w:val="20"/>
        </w:rPr>
        <w:t xml:space="preserve"> The chosen sample size meets the statistical power requirement (80% at α = 0.05 for medium effect size) and aligns with finite-population sampling estimates (Yamane, 1967).                            </w:t>
      </w:r>
    </w:p>
    <w:p w14:paraId="060A12FB" w14:textId="4C4B43BB" w:rsidR="006244D7" w:rsidRPr="004B7921" w:rsidRDefault="004B7921">
      <w:pPr>
        <w:spacing w:line="240" w:lineRule="auto"/>
        <w:jc w:val="both"/>
        <w:rPr>
          <w:rFonts w:ascii="Arial" w:eastAsia="SimSun" w:hAnsi="Arial" w:cs="Arial"/>
          <w:sz w:val="24"/>
          <w:szCs w:val="24"/>
        </w:rPr>
      </w:pPr>
      <w:r w:rsidRPr="004B7921">
        <w:rPr>
          <w:rFonts w:ascii="Arial" w:eastAsia="SimSun" w:hAnsi="Arial" w:cs="Arial"/>
          <w:sz w:val="24"/>
          <w:szCs w:val="24"/>
        </w:rPr>
        <w:t xml:space="preserve">                                                </w:t>
      </w:r>
      <m:oMath>
        <m:r>
          <w:rPr>
            <w:rFonts w:ascii="Cambria Math" w:eastAsia="SimSun" w:hAnsi="Cambria Math" w:cs="Arial"/>
            <w:sz w:val="24"/>
            <w:szCs w:val="24"/>
          </w:rPr>
          <m:t>n=</m:t>
        </m:r>
        <m:f>
          <m:fPr>
            <m:ctrlPr>
              <w:rPr>
                <w:rFonts w:ascii="Cambria Math" w:eastAsia="SimSun" w:hAnsi="Cambria Math" w:cs="Arial"/>
                <w:i/>
                <w:sz w:val="24"/>
                <w:szCs w:val="24"/>
              </w:rPr>
            </m:ctrlPr>
          </m:fPr>
          <m:num>
            <m:r>
              <w:rPr>
                <w:rFonts w:ascii="Cambria Math" w:eastAsia="SimSun" w:hAnsi="Cambria Math" w:cs="Arial"/>
                <w:sz w:val="24"/>
                <w:szCs w:val="24"/>
              </w:rPr>
              <m:t>N</m:t>
            </m:r>
          </m:num>
          <m:den>
            <m:r>
              <w:rPr>
                <w:rFonts w:ascii="Cambria Math" w:eastAsia="SimSun" w:hAnsi="Cambria Math" w:cs="Arial"/>
                <w:sz w:val="24"/>
                <w:szCs w:val="24"/>
              </w:rPr>
              <m:t>1+N</m:t>
            </m:r>
            <m:sSup>
              <m:sSupPr>
                <m:ctrlPr>
                  <w:rPr>
                    <w:rFonts w:ascii="Cambria Math" w:eastAsia="SimSun" w:hAnsi="Cambria Math" w:cs="Arial"/>
                    <w:i/>
                    <w:sz w:val="24"/>
                    <w:szCs w:val="24"/>
                  </w:rPr>
                </m:ctrlPr>
              </m:sSupPr>
              <m:e>
                <m:r>
                  <w:rPr>
                    <w:rFonts w:ascii="Cambria Math" w:eastAsia="SimSun" w:hAnsi="Cambria Math" w:cs="Arial"/>
                    <w:sz w:val="24"/>
                    <w:szCs w:val="24"/>
                  </w:rPr>
                  <m:t>(e)</m:t>
                </m:r>
              </m:e>
              <m:sup>
                <m:r>
                  <w:rPr>
                    <w:rFonts w:ascii="Cambria Math" w:eastAsia="SimSun" w:hAnsi="Cambria Math" w:cs="Arial"/>
                    <w:sz w:val="24"/>
                    <w:szCs w:val="24"/>
                  </w:rPr>
                  <m:t>2</m:t>
                </m:r>
              </m:sup>
            </m:sSup>
          </m:den>
        </m:f>
      </m:oMath>
    </w:p>
    <w:p w14:paraId="4B86D963" w14:textId="77777777" w:rsidR="006244D7" w:rsidRDefault="00000000">
      <w:pPr>
        <w:spacing w:line="240" w:lineRule="auto"/>
        <w:jc w:val="both"/>
        <w:rPr>
          <w:rFonts w:ascii="Arial" w:eastAsia="SimSun" w:hAnsi="Arial" w:cs="Arial"/>
          <w:sz w:val="20"/>
          <w:szCs w:val="20"/>
        </w:rPr>
      </w:pPr>
      <w:r>
        <w:rPr>
          <w:rFonts w:ascii="Arial" w:eastAsia="SimSun" w:hAnsi="Arial" w:cs="Arial"/>
          <w:sz w:val="20"/>
          <w:szCs w:val="20"/>
        </w:rPr>
        <w:t>Where:</w:t>
      </w:r>
    </w:p>
    <w:p w14:paraId="0F4E7945" w14:textId="77777777" w:rsidR="006244D7" w:rsidRDefault="00000000">
      <w:pPr>
        <w:spacing w:line="240" w:lineRule="auto"/>
        <w:jc w:val="both"/>
        <w:rPr>
          <w:rFonts w:ascii="Arial" w:eastAsia="SimSun" w:hAnsi="Arial" w:cs="Arial"/>
          <w:sz w:val="20"/>
          <w:szCs w:val="20"/>
        </w:rPr>
      </w:pPr>
      <w:r>
        <w:rPr>
          <w:rFonts w:ascii="Arial" w:eastAsia="SimSun" w:hAnsi="Arial" w:cs="Arial"/>
          <w:sz w:val="20"/>
          <w:szCs w:val="20"/>
        </w:rPr>
        <w:t>N - number in population</w:t>
      </w:r>
    </w:p>
    <w:p w14:paraId="508EF86C" w14:textId="77777777" w:rsidR="006244D7" w:rsidRDefault="00000000">
      <w:pPr>
        <w:spacing w:line="240" w:lineRule="auto"/>
        <w:jc w:val="both"/>
        <w:rPr>
          <w:rFonts w:ascii="Arial" w:eastAsia="SimSun" w:hAnsi="Arial" w:cs="Arial"/>
          <w:sz w:val="20"/>
          <w:szCs w:val="20"/>
        </w:rPr>
      </w:pPr>
      <w:r>
        <w:rPr>
          <w:rFonts w:ascii="Arial" w:eastAsia="SimSun" w:hAnsi="Arial" w:cs="Arial"/>
          <w:sz w:val="20"/>
          <w:szCs w:val="20"/>
        </w:rPr>
        <w:t>E - confidence interval</w:t>
      </w:r>
    </w:p>
    <w:p w14:paraId="17DD3575" w14:textId="77777777" w:rsidR="006244D7" w:rsidRDefault="00000000">
      <w:pPr>
        <w:spacing w:line="240" w:lineRule="auto"/>
        <w:jc w:val="both"/>
        <w:rPr>
          <w:rFonts w:ascii="Arial" w:eastAsia="SimSun" w:hAnsi="Arial" w:cs="Arial"/>
          <w:sz w:val="20"/>
          <w:szCs w:val="20"/>
        </w:rPr>
      </w:pPr>
      <w:r>
        <w:rPr>
          <w:rFonts w:ascii="Arial" w:eastAsia="SimSun" w:hAnsi="Arial" w:cs="Arial"/>
          <w:sz w:val="20"/>
          <w:szCs w:val="20"/>
        </w:rPr>
        <w:t>n - sample size</w:t>
      </w:r>
    </w:p>
    <w:p w14:paraId="1C588466" w14:textId="77777777" w:rsidR="006244D7" w:rsidRDefault="006244D7">
      <w:pPr>
        <w:spacing w:line="120" w:lineRule="auto"/>
        <w:jc w:val="both"/>
        <w:rPr>
          <w:rFonts w:ascii="SimSun" w:eastAsia="SimSun" w:hAnsi="SimSun" w:cs="SimSun"/>
          <w:sz w:val="24"/>
          <w:szCs w:val="24"/>
        </w:rPr>
      </w:pPr>
    </w:p>
    <w:p w14:paraId="0ADC0E0E" w14:textId="77777777" w:rsidR="006244D7" w:rsidRDefault="00000000">
      <w:pPr>
        <w:spacing w:line="480" w:lineRule="auto"/>
        <w:jc w:val="both"/>
        <w:rPr>
          <w:rFonts w:ascii="Arial" w:hAnsi="Arial" w:cs="Arial"/>
          <w:bCs/>
          <w:color w:val="000000" w:themeColor="text1"/>
          <w:sz w:val="20"/>
          <w:szCs w:val="20"/>
        </w:rPr>
      </w:pPr>
      <w:r>
        <w:rPr>
          <w:rFonts w:ascii="Arial" w:hAnsi="Arial" w:cs="Arial"/>
          <w:bCs/>
          <w:color w:val="000000" w:themeColor="text1"/>
          <w:sz w:val="20"/>
          <w:szCs w:val="20"/>
        </w:rPr>
        <w:t xml:space="preserve"> With the help of a meter scale and weighing balance, with an accuracy of 0.1 g, individual fish standard length and total weight were measured. At the end of experiment, pond was drained and the stocked fish were harvested and counted to calculate the survival rate. In final sampling, individually 100 fish from each pond (n=300 fish/treatment) were collected and their standard length and weight were measured. From the collected length-weight data, the following growth indicators were calculated using standard formulas (Caruso et al., 2012). Average body weight gain (g) = Final weight (g) – Initial weight (g), Specific growth rate (%/day) = ([Ln Final body weight - Ln Initial body weight]/ Culture days) × 100, Apparent Feed Conversion Ratio (AFCR) = feed given (dry weight) / total weight gain (wet weight), Feed Efficiency Ratio (FER) = body weight gained (wet weight) / feed given (dry weight), Protein efficiency ratio = Body weight gain (wet weight) / protein fed (dry weight), survival rate (%) = Total number of fish harvested / total number stocked × 100. Additionally, 10 fish from each pond (n=30 fish/treatment) were dissected and their individual organ weight were recorded to measure the following health indicators. Hepatosomatic index (%) = 100 x liver weight (g) / whole body weight (g) and Visceral somatic index (%) = 100 x viscera weight (g) / whole body weight. Condition factor (K) of fish was derived from the recorded total fish weight (g) and standard length (cm). The K value was calculated using Fulton’s condition factor formula - K = 100 * L/W</w:t>
      </w:r>
      <w:proofErr w:type="gramStart"/>
      <w:r>
        <w:rPr>
          <w:rFonts w:ascii="Arial" w:hAnsi="Arial" w:cs="Arial"/>
          <w:bCs/>
          <w:color w:val="000000" w:themeColor="text1"/>
          <w:sz w:val="20"/>
          <w:szCs w:val="20"/>
        </w:rPr>
        <w:t>3 .</w:t>
      </w:r>
      <w:proofErr w:type="gramEnd"/>
    </w:p>
    <w:p w14:paraId="3713F020" w14:textId="77777777" w:rsidR="006244D7" w:rsidRDefault="00000000">
      <w:pPr>
        <w:spacing w:line="480" w:lineRule="auto"/>
        <w:jc w:val="both"/>
        <w:rPr>
          <w:rFonts w:ascii="Arial" w:hAnsi="Arial" w:cs="Arial"/>
          <w:b/>
          <w:color w:val="000000" w:themeColor="text1"/>
        </w:rPr>
      </w:pPr>
      <w:r>
        <w:rPr>
          <w:rFonts w:ascii="Arial" w:hAnsi="Arial" w:cs="Arial"/>
          <w:b/>
          <w:color w:val="000000" w:themeColor="text1"/>
        </w:rPr>
        <w:t>Water Quality Monitoring</w:t>
      </w:r>
    </w:p>
    <w:p w14:paraId="12EFC894"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Daily measurements included dissolved oxygen, pH and water temperature while hardness, alkalinity, ammonia and nitrate were recorded every 10 days following APHA (1981) standards. Tools such as Winkler’s method and commercial test kits were used for analysis.</w:t>
      </w:r>
    </w:p>
    <w:p w14:paraId="13EE9E26" w14:textId="77777777" w:rsidR="006244D7" w:rsidRDefault="00000000">
      <w:pPr>
        <w:pStyle w:val="Heading1"/>
        <w:rPr>
          <w:rStyle w:val="Strong"/>
          <w:rFonts w:ascii="Arial" w:hAnsi="Arial" w:cs="Arial"/>
          <w:b/>
          <w:bCs/>
          <w:sz w:val="22"/>
          <w:szCs w:val="22"/>
        </w:rPr>
      </w:pPr>
      <w:r>
        <w:rPr>
          <w:rStyle w:val="Strong"/>
          <w:rFonts w:ascii="Arial" w:hAnsi="Arial" w:cs="Arial"/>
          <w:b/>
          <w:bCs/>
          <w:sz w:val="22"/>
          <w:szCs w:val="22"/>
        </w:rPr>
        <w:t>Statistical analysis</w:t>
      </w:r>
    </w:p>
    <w:p w14:paraId="4435DD1D" w14:textId="77777777" w:rsidR="006244D7" w:rsidRDefault="00000000">
      <w:pPr>
        <w:pStyle w:val="Heading1"/>
        <w:ind w:left="0" w:firstLineChars="300" w:firstLine="660"/>
        <w:rPr>
          <w:rStyle w:val="Strong"/>
          <w:rFonts w:ascii="Arial" w:hAnsi="Arial" w:cs="Arial"/>
          <w:sz w:val="22"/>
          <w:szCs w:val="22"/>
        </w:rPr>
      </w:pPr>
      <w:r>
        <w:rPr>
          <w:rFonts w:ascii="Arial" w:hAnsi="Arial" w:cs="Arial"/>
          <w:b w:val="0"/>
          <w:bCs w:val="0"/>
          <w:sz w:val="22"/>
          <w:szCs w:val="22"/>
          <w:lang w:val="en-IN"/>
        </w:rPr>
        <w:t xml:space="preserve">The data were </w:t>
      </w:r>
      <w:proofErr w:type="spellStart"/>
      <w:r>
        <w:rPr>
          <w:rFonts w:ascii="Arial" w:hAnsi="Arial" w:cs="Arial"/>
          <w:b w:val="0"/>
          <w:bCs w:val="0"/>
          <w:sz w:val="22"/>
          <w:szCs w:val="22"/>
          <w:lang w:val="en-IN"/>
        </w:rPr>
        <w:t>analyzed</w:t>
      </w:r>
      <w:proofErr w:type="spellEnd"/>
      <w:r>
        <w:rPr>
          <w:rFonts w:ascii="Arial" w:hAnsi="Arial" w:cs="Arial"/>
          <w:b w:val="0"/>
          <w:bCs w:val="0"/>
          <w:sz w:val="22"/>
          <w:szCs w:val="22"/>
          <w:lang w:val="en-IN"/>
        </w:rPr>
        <w:t xml:space="preserve"> in Statistical Package for Social Sciences (SPSS version 26) using independent t-test. The level of significance was set at </w:t>
      </w:r>
      <w:r>
        <w:rPr>
          <w:rFonts w:ascii="Arial" w:hAnsi="Arial" w:cs="Arial"/>
          <w:b w:val="0"/>
          <w:bCs w:val="0"/>
          <w:i/>
          <w:iCs/>
          <w:sz w:val="22"/>
          <w:szCs w:val="22"/>
          <w:lang w:val="en-IN"/>
        </w:rPr>
        <w:t>p</w:t>
      </w:r>
      <w:r>
        <w:rPr>
          <w:rFonts w:ascii="Arial" w:hAnsi="Arial" w:cs="Arial"/>
          <w:b w:val="0"/>
          <w:bCs w:val="0"/>
          <w:sz w:val="22"/>
          <w:szCs w:val="22"/>
          <w:lang w:val="en-IN"/>
        </w:rPr>
        <w:t> ˂ 0.05. </w:t>
      </w:r>
    </w:p>
    <w:p w14:paraId="61707C0C" w14:textId="77777777" w:rsidR="006244D7" w:rsidRDefault="006244D7">
      <w:pPr>
        <w:pStyle w:val="Heading1"/>
        <w:rPr>
          <w:rStyle w:val="Strong"/>
          <w:rFonts w:ascii="Arial" w:hAnsi="Arial" w:cs="Arial"/>
          <w:b/>
          <w:bCs/>
          <w:sz w:val="22"/>
          <w:szCs w:val="22"/>
        </w:rPr>
      </w:pPr>
    </w:p>
    <w:p w14:paraId="3353C262" w14:textId="77777777" w:rsidR="006244D7" w:rsidRDefault="00000000">
      <w:pPr>
        <w:pStyle w:val="ListParagraph"/>
        <w:numPr>
          <w:ilvl w:val="0"/>
          <w:numId w:val="1"/>
        </w:numPr>
        <w:spacing w:line="480" w:lineRule="auto"/>
        <w:jc w:val="both"/>
        <w:rPr>
          <w:rFonts w:ascii="Arial" w:hAnsi="Arial" w:cs="Arial"/>
          <w:color w:val="000000" w:themeColor="text1"/>
          <w:sz w:val="20"/>
          <w:szCs w:val="20"/>
        </w:rPr>
      </w:pPr>
      <w:r>
        <w:rPr>
          <w:rFonts w:ascii="Arial" w:hAnsi="Arial" w:cs="Arial"/>
          <w:b/>
          <w:color w:val="000000" w:themeColor="text1"/>
          <w:sz w:val="20"/>
          <w:szCs w:val="20"/>
        </w:rPr>
        <w:t>RESULTS AND DISCUSSION</w:t>
      </w:r>
    </w:p>
    <w:p w14:paraId="2F550444" w14:textId="77777777" w:rsidR="006244D7" w:rsidRDefault="00000000">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 xml:space="preserve">The GIFT strain exhibited significantly higher growth rates compared to the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w:t>
      </w:r>
      <w:proofErr w:type="gramStart"/>
      <w:r>
        <w:rPr>
          <w:rFonts w:ascii="Arial" w:hAnsi="Arial" w:cs="Arial"/>
          <w:color w:val="000000" w:themeColor="text1"/>
          <w:sz w:val="21"/>
          <w:szCs w:val="21"/>
        </w:rPr>
        <w:t>strain  throughout</w:t>
      </w:r>
      <w:proofErr w:type="gramEnd"/>
      <w:r>
        <w:rPr>
          <w:rFonts w:ascii="Arial" w:hAnsi="Arial" w:cs="Arial"/>
          <w:color w:val="000000" w:themeColor="text1"/>
          <w:sz w:val="21"/>
          <w:szCs w:val="21"/>
        </w:rPr>
        <w:t xml:space="preserve"> the 180-day culture period. The average final weight of GIFT tilapia was </w:t>
      </w:r>
      <w:r>
        <w:rPr>
          <w:sz w:val="24"/>
        </w:rPr>
        <w:t xml:space="preserve">609.17 ± </w:t>
      </w:r>
      <w:r>
        <w:rPr>
          <w:spacing w:val="-2"/>
          <w:sz w:val="24"/>
        </w:rPr>
        <w:t>11.20</w:t>
      </w:r>
      <w:r>
        <w:rPr>
          <w:rFonts w:ascii="Arial" w:hAnsi="Arial" w:cs="Arial"/>
          <w:color w:val="000000" w:themeColor="text1"/>
          <w:sz w:val="21"/>
          <w:szCs w:val="21"/>
        </w:rPr>
        <w:t xml:space="preserve"> g, while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tilapia reached only 562.50 ± 10.36 g (P&lt;0.05). Specific growth rate (SGR) was also significantly higher in the GIFT group (</w:t>
      </w:r>
      <w:r>
        <w:rPr>
          <w:sz w:val="24"/>
        </w:rPr>
        <w:t>1.84</w:t>
      </w:r>
      <w:r>
        <w:rPr>
          <w:spacing w:val="-19"/>
          <w:sz w:val="24"/>
        </w:rPr>
        <w:t xml:space="preserve"> </w:t>
      </w:r>
      <w:r>
        <w:rPr>
          <w:sz w:val="24"/>
        </w:rPr>
        <w:t xml:space="preserve">± </w:t>
      </w:r>
      <w:r>
        <w:rPr>
          <w:spacing w:val="-4"/>
          <w:sz w:val="24"/>
        </w:rPr>
        <w:t>0.03</w:t>
      </w:r>
      <w:r>
        <w:rPr>
          <w:rFonts w:ascii="Arial" w:hAnsi="Arial" w:cs="Arial"/>
          <w:color w:val="000000" w:themeColor="text1"/>
          <w:sz w:val="21"/>
          <w:szCs w:val="21"/>
        </w:rPr>
        <w:t xml:space="preserve">%/day) than in the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strain (</w:t>
      </w:r>
      <w:r>
        <w:rPr>
          <w:sz w:val="24"/>
        </w:rPr>
        <w:t>1.71</w:t>
      </w:r>
      <w:r>
        <w:rPr>
          <w:spacing w:val="1"/>
          <w:sz w:val="24"/>
        </w:rPr>
        <w:t xml:space="preserve"> </w:t>
      </w:r>
      <w:r>
        <w:rPr>
          <w:sz w:val="24"/>
        </w:rPr>
        <w:t xml:space="preserve">± </w:t>
      </w:r>
      <w:r>
        <w:rPr>
          <w:spacing w:val="-4"/>
          <w:sz w:val="24"/>
        </w:rPr>
        <w:t>0.01%</w:t>
      </w:r>
      <w:r>
        <w:rPr>
          <w:rFonts w:ascii="Arial" w:hAnsi="Arial" w:cs="Arial"/>
          <w:color w:val="000000" w:themeColor="text1"/>
          <w:sz w:val="21"/>
          <w:szCs w:val="21"/>
        </w:rPr>
        <w:t>/day), indicating a faster rate of biomass accumulation. Apparent feed conversion ratio (AFCR) was lower in GIFT tilapia (</w:t>
      </w:r>
      <w:r>
        <w:rPr>
          <w:sz w:val="24"/>
        </w:rPr>
        <w:t xml:space="preserve">1.67 ± </w:t>
      </w:r>
      <w:r>
        <w:rPr>
          <w:spacing w:val="-4"/>
          <w:sz w:val="24"/>
        </w:rPr>
        <w:t>0.11</w:t>
      </w:r>
      <w:r>
        <w:rPr>
          <w:rFonts w:ascii="Arial" w:hAnsi="Arial" w:cs="Arial"/>
          <w:color w:val="000000" w:themeColor="text1"/>
          <w:sz w:val="21"/>
          <w:szCs w:val="21"/>
        </w:rPr>
        <w:t xml:space="preserve">) compared to the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strain (</w:t>
      </w:r>
      <w:r>
        <w:rPr>
          <w:sz w:val="24"/>
        </w:rPr>
        <w:t xml:space="preserve">1.71 ± </w:t>
      </w:r>
      <w:r>
        <w:rPr>
          <w:spacing w:val="-4"/>
          <w:sz w:val="24"/>
        </w:rPr>
        <w:t>0.23</w:t>
      </w:r>
      <w:r>
        <w:rPr>
          <w:rFonts w:ascii="Arial" w:hAnsi="Arial" w:cs="Arial"/>
          <w:color w:val="000000" w:themeColor="text1"/>
          <w:sz w:val="21"/>
          <w:szCs w:val="21"/>
        </w:rPr>
        <w:t xml:space="preserve">), reflecting more efficient feed utilization. Correspondingly, feed efficiency ratio (FER) and protein efficiency ratio (PER) were superior in the GIFT group, suggesting enhanced protein assimilation and growth efficiency. The survival rates were not significantly different between the strains remaining above 90% for both groups indicating good adaptability and resilience under similar pond conditions. These results are consistent with previous studies (Ridha, 2005, Das, 2018, Ahmad and </w:t>
      </w:r>
      <w:proofErr w:type="spellStart"/>
      <w:r>
        <w:rPr>
          <w:rFonts w:ascii="Arial" w:hAnsi="Arial" w:cs="Arial"/>
          <w:color w:val="000000" w:themeColor="text1"/>
          <w:sz w:val="21"/>
          <w:szCs w:val="21"/>
        </w:rPr>
        <w:t>Zulqurnain</w:t>
      </w:r>
      <w:proofErr w:type="spellEnd"/>
      <w:r>
        <w:rPr>
          <w:rFonts w:ascii="Arial" w:hAnsi="Arial" w:cs="Arial"/>
          <w:color w:val="000000" w:themeColor="text1"/>
          <w:sz w:val="21"/>
          <w:szCs w:val="21"/>
        </w:rPr>
        <w:t>, 2018, Zin et al., 2020, Moses et al., 2021, Tran et al., 2021) which have documented the superior growth performance and feed conversion of GIFT strains due to selective breeding and genetic improvement programs.</w:t>
      </w:r>
    </w:p>
    <w:p w14:paraId="6B91764C" w14:textId="77777777" w:rsidR="006244D7" w:rsidRDefault="00000000">
      <w:pPr>
        <w:spacing w:line="480" w:lineRule="auto"/>
        <w:ind w:firstLine="720"/>
        <w:jc w:val="both"/>
        <w:rPr>
          <w:rFonts w:ascii="Arial" w:hAnsi="Arial" w:cs="Arial"/>
          <w:color w:val="000000" w:themeColor="text1"/>
          <w:sz w:val="21"/>
          <w:szCs w:val="21"/>
        </w:rPr>
      </w:pPr>
      <w:r>
        <w:rPr>
          <w:rFonts w:ascii="Arial" w:hAnsi="Arial" w:cs="Arial"/>
          <w:color w:val="000000" w:themeColor="text1"/>
          <w:sz w:val="21"/>
          <w:szCs w:val="21"/>
        </w:rPr>
        <w:t>Length-weight regression analysis showed a strong correlation (R² &gt; 0.95) for both strains and GIFT tilapia demonstrated a slightly higher slope (b-value) indicating better weight gain per unit length. Fulton’s condition factor (K) was significantly higher in GIFT tilapia (</w:t>
      </w:r>
      <w:r>
        <w:rPr>
          <w:sz w:val="24"/>
        </w:rPr>
        <w:t>1.92</w:t>
      </w:r>
      <w:r>
        <w:rPr>
          <w:spacing w:val="-20"/>
          <w:sz w:val="24"/>
        </w:rPr>
        <w:t xml:space="preserve"> </w:t>
      </w:r>
      <w:r>
        <w:rPr>
          <w:sz w:val="24"/>
        </w:rPr>
        <w:t xml:space="preserve">± </w:t>
      </w:r>
      <w:r>
        <w:rPr>
          <w:spacing w:val="-4"/>
          <w:sz w:val="24"/>
        </w:rPr>
        <w:t>0.06</w:t>
      </w:r>
      <w:r>
        <w:rPr>
          <w:rFonts w:ascii="Arial" w:hAnsi="Arial" w:cs="Arial"/>
          <w:color w:val="000000" w:themeColor="text1"/>
          <w:sz w:val="21"/>
          <w:szCs w:val="21"/>
        </w:rPr>
        <w:t xml:space="preserve">) than in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tilapia (</w:t>
      </w:r>
      <w:r>
        <w:rPr>
          <w:sz w:val="24"/>
        </w:rPr>
        <w:t xml:space="preserve">1.80 ± </w:t>
      </w:r>
      <w:r>
        <w:rPr>
          <w:spacing w:val="-4"/>
          <w:sz w:val="24"/>
        </w:rPr>
        <w:t>0.07</w:t>
      </w:r>
      <w:r>
        <w:rPr>
          <w:rFonts w:ascii="Arial" w:hAnsi="Arial" w:cs="Arial"/>
          <w:color w:val="000000" w:themeColor="text1"/>
          <w:sz w:val="21"/>
          <w:szCs w:val="21"/>
        </w:rPr>
        <w:t xml:space="preserve">), suggesting a better body condition and overall health. Similar ranges of K-value were reported in GIFT and Red tilapia by Gupta et al 2012 and </w:t>
      </w:r>
      <w:proofErr w:type="spellStart"/>
      <w:r>
        <w:rPr>
          <w:rFonts w:ascii="Arial" w:hAnsi="Arial" w:cs="Arial"/>
          <w:color w:val="000000" w:themeColor="text1"/>
          <w:sz w:val="21"/>
          <w:szCs w:val="21"/>
        </w:rPr>
        <w:t>Jongjaraunsuk</w:t>
      </w:r>
      <w:proofErr w:type="spellEnd"/>
      <w:r>
        <w:rPr>
          <w:rFonts w:ascii="Arial" w:hAnsi="Arial" w:cs="Arial"/>
          <w:color w:val="000000" w:themeColor="text1"/>
          <w:sz w:val="21"/>
          <w:szCs w:val="21"/>
        </w:rPr>
        <w:t xml:space="preserve"> and </w:t>
      </w:r>
      <w:proofErr w:type="spellStart"/>
      <w:r>
        <w:rPr>
          <w:rFonts w:ascii="Arial" w:hAnsi="Arial" w:cs="Arial"/>
          <w:color w:val="000000" w:themeColor="text1"/>
          <w:sz w:val="21"/>
          <w:szCs w:val="21"/>
        </w:rPr>
        <w:lastRenderedPageBreak/>
        <w:t>Taparhudee</w:t>
      </w:r>
      <w:proofErr w:type="spellEnd"/>
      <w:r>
        <w:rPr>
          <w:rFonts w:ascii="Arial" w:hAnsi="Arial" w:cs="Arial"/>
          <w:color w:val="000000" w:themeColor="text1"/>
          <w:sz w:val="21"/>
          <w:szCs w:val="21"/>
        </w:rPr>
        <w:t xml:space="preserve"> 2022. GIFT tilapia had a slightly lower hepatosomatic index (HSI) compared to </w:t>
      </w:r>
      <w:proofErr w:type="gramStart"/>
      <w:r>
        <w:rPr>
          <w:rFonts w:ascii="Arial" w:hAnsi="Arial" w:cs="Arial"/>
          <w:color w:val="000000" w:themeColor="text1"/>
          <w:sz w:val="21"/>
          <w:szCs w:val="21"/>
        </w:rPr>
        <w:t>Red</w:t>
      </w:r>
      <w:proofErr w:type="gramEnd"/>
      <w:r>
        <w:rPr>
          <w:rFonts w:ascii="Arial" w:hAnsi="Arial" w:cs="Arial"/>
          <w:color w:val="000000" w:themeColor="text1"/>
          <w:sz w:val="21"/>
          <w:szCs w:val="21"/>
        </w:rPr>
        <w:t xml:space="preserve"> tilapia (</w:t>
      </w:r>
      <w:r>
        <w:rPr>
          <w:sz w:val="24"/>
        </w:rPr>
        <w:t>1.40</w:t>
      </w:r>
      <w:r>
        <w:rPr>
          <w:spacing w:val="-20"/>
          <w:sz w:val="24"/>
        </w:rPr>
        <w:t xml:space="preserve"> </w:t>
      </w:r>
      <w:r>
        <w:rPr>
          <w:sz w:val="24"/>
        </w:rPr>
        <w:t xml:space="preserve">± </w:t>
      </w:r>
      <w:r>
        <w:rPr>
          <w:spacing w:val="-4"/>
          <w:sz w:val="24"/>
        </w:rPr>
        <w:t>0.03</w:t>
      </w:r>
      <w:r>
        <w:rPr>
          <w:rFonts w:ascii="Arial" w:hAnsi="Arial" w:cs="Arial"/>
          <w:color w:val="000000" w:themeColor="text1"/>
          <w:sz w:val="21"/>
          <w:szCs w:val="21"/>
        </w:rPr>
        <w:t xml:space="preserve">% vs. </w:t>
      </w:r>
      <w:r>
        <w:rPr>
          <w:sz w:val="24"/>
        </w:rPr>
        <w:t xml:space="preserve">1.45 ± </w:t>
      </w:r>
      <w:r>
        <w:rPr>
          <w:spacing w:val="-4"/>
          <w:sz w:val="24"/>
        </w:rPr>
        <w:t>0.04</w:t>
      </w:r>
      <w:r>
        <w:rPr>
          <w:rFonts w:ascii="Arial" w:hAnsi="Arial" w:cs="Arial"/>
          <w:color w:val="000000" w:themeColor="text1"/>
          <w:sz w:val="21"/>
          <w:szCs w:val="21"/>
        </w:rPr>
        <w:t xml:space="preserve">%), while the </w:t>
      </w:r>
      <w:proofErr w:type="spellStart"/>
      <w:r>
        <w:rPr>
          <w:rFonts w:ascii="Arial" w:hAnsi="Arial" w:cs="Arial"/>
          <w:color w:val="000000" w:themeColor="text1"/>
          <w:sz w:val="21"/>
          <w:szCs w:val="21"/>
        </w:rPr>
        <w:t>viscero</w:t>
      </w:r>
      <w:proofErr w:type="spellEnd"/>
      <w:r>
        <w:rPr>
          <w:rFonts w:ascii="Arial" w:hAnsi="Arial" w:cs="Arial"/>
          <w:color w:val="000000" w:themeColor="text1"/>
          <w:sz w:val="21"/>
          <w:szCs w:val="21"/>
        </w:rPr>
        <w:t>-somatic index (VSI) showed no significant differences. Lower HSI values in GIFT tilapia may reflect better energy utilization and reduced fat accumulation in the liver, a desirable trait for efficient growth.</w:t>
      </w:r>
    </w:p>
    <w:p w14:paraId="46743A65" w14:textId="77777777" w:rsidR="006244D7" w:rsidRDefault="00000000">
      <w:pPr>
        <w:spacing w:after="0" w:line="480" w:lineRule="auto"/>
        <w:jc w:val="both"/>
        <w:rPr>
          <w:rFonts w:ascii="Arial" w:hAnsi="Arial" w:cs="Arial"/>
          <w:b/>
          <w:color w:val="000000" w:themeColor="text1"/>
        </w:rPr>
      </w:pPr>
      <w:r>
        <w:rPr>
          <w:rFonts w:ascii="Arial" w:hAnsi="Arial" w:cs="Arial"/>
          <w:b/>
          <w:color w:val="000000" w:themeColor="text1"/>
        </w:rPr>
        <w:t>Table 1. Filleting traits of Red and GIFT tilapia reared in pond conditions for 180 days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8"/>
        <w:gridCol w:w="1254"/>
        <w:gridCol w:w="924"/>
        <w:gridCol w:w="1347"/>
        <w:gridCol w:w="937"/>
        <w:gridCol w:w="796"/>
        <w:gridCol w:w="884"/>
        <w:gridCol w:w="759"/>
        <w:gridCol w:w="1017"/>
      </w:tblGrid>
      <w:tr w:rsidR="006244D7" w14:paraId="1FEE52D0" w14:textId="77777777">
        <w:trPr>
          <w:tblHeader/>
          <w:tblCellSpacing w:w="15" w:type="dxa"/>
        </w:trPr>
        <w:tc>
          <w:tcPr>
            <w:tcW w:w="0" w:type="auto"/>
            <w:tcBorders>
              <w:top w:val="single" w:sz="18" w:space="0" w:color="auto"/>
              <w:bottom w:val="single" w:sz="18" w:space="0" w:color="auto"/>
              <w:right w:val="single" w:sz="2" w:space="0" w:color="auto"/>
            </w:tcBorders>
            <w:vAlign w:val="center"/>
          </w:tcPr>
          <w:p w14:paraId="73F10709"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1224" w:type="dxa"/>
            <w:tcBorders>
              <w:top w:val="single" w:sz="18" w:space="0" w:color="auto"/>
              <w:bottom w:val="single" w:sz="18" w:space="0" w:color="auto"/>
              <w:right w:val="single" w:sz="2" w:space="0" w:color="auto"/>
            </w:tcBorders>
            <w:vAlign w:val="center"/>
          </w:tcPr>
          <w:p w14:paraId="00A7D604"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894" w:type="dxa"/>
            <w:tcBorders>
              <w:top w:val="single" w:sz="18" w:space="0" w:color="auto"/>
              <w:bottom w:val="single" w:sz="18" w:space="0" w:color="auto"/>
              <w:right w:val="single" w:sz="2" w:space="0" w:color="auto"/>
            </w:tcBorders>
            <w:vAlign w:val="center"/>
          </w:tcPr>
          <w:p w14:paraId="41CA00BD"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Weight (g)</w:t>
            </w:r>
          </w:p>
        </w:tc>
        <w:tc>
          <w:tcPr>
            <w:tcW w:w="0" w:type="auto"/>
            <w:tcBorders>
              <w:top w:val="single" w:sz="18" w:space="0" w:color="auto"/>
              <w:bottom w:val="single" w:sz="18" w:space="0" w:color="auto"/>
            </w:tcBorders>
            <w:vAlign w:val="center"/>
          </w:tcPr>
          <w:p w14:paraId="7D8B2FB8"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Yield (% of total weight)</w:t>
            </w:r>
          </w:p>
        </w:tc>
        <w:tc>
          <w:tcPr>
            <w:tcW w:w="0" w:type="auto"/>
            <w:tcBorders>
              <w:top w:val="single" w:sz="18" w:space="0" w:color="auto"/>
              <w:left w:val="single" w:sz="2" w:space="0" w:color="auto"/>
              <w:bottom w:val="single" w:sz="18" w:space="0" w:color="auto"/>
            </w:tcBorders>
            <w:vAlign w:val="center"/>
          </w:tcPr>
          <w:p w14:paraId="5FB2A213"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Yield (g)</w:t>
            </w:r>
          </w:p>
        </w:tc>
        <w:tc>
          <w:tcPr>
            <w:tcW w:w="0" w:type="auto"/>
            <w:tcBorders>
              <w:top w:val="single" w:sz="18" w:space="0" w:color="auto"/>
              <w:left w:val="single" w:sz="2" w:space="0" w:color="auto"/>
              <w:bottom w:val="single" w:sz="18" w:space="0" w:color="auto"/>
            </w:tcBorders>
            <w:vAlign w:val="center"/>
          </w:tcPr>
          <w:p w14:paraId="63009309"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w:t>
            </w:r>
          </w:p>
        </w:tc>
        <w:tc>
          <w:tcPr>
            <w:tcW w:w="0" w:type="auto"/>
            <w:tcBorders>
              <w:top w:val="single" w:sz="18" w:space="0" w:color="auto"/>
              <w:left w:val="single" w:sz="2" w:space="0" w:color="auto"/>
              <w:bottom w:val="single" w:sz="18" w:space="0" w:color="auto"/>
            </w:tcBorders>
            <w:vAlign w:val="center"/>
          </w:tcPr>
          <w:p w14:paraId="28159BD5"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Yield (g)</w:t>
            </w:r>
          </w:p>
        </w:tc>
        <w:tc>
          <w:tcPr>
            <w:tcW w:w="0" w:type="auto"/>
            <w:tcBorders>
              <w:top w:val="single" w:sz="18" w:space="0" w:color="auto"/>
              <w:left w:val="single" w:sz="2" w:space="0" w:color="auto"/>
              <w:bottom w:val="single" w:sz="18" w:space="0" w:color="auto"/>
              <w:right w:val="single" w:sz="2" w:space="0" w:color="auto"/>
            </w:tcBorders>
            <w:vAlign w:val="center"/>
          </w:tcPr>
          <w:p w14:paraId="600812DE"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Bone (%)</w:t>
            </w:r>
          </w:p>
        </w:tc>
        <w:tc>
          <w:tcPr>
            <w:tcW w:w="0" w:type="auto"/>
            <w:tcBorders>
              <w:top w:val="single" w:sz="18" w:space="0" w:color="auto"/>
              <w:bottom w:val="single" w:sz="18" w:space="0" w:color="auto"/>
            </w:tcBorders>
            <w:vAlign w:val="center"/>
          </w:tcPr>
          <w:p w14:paraId="30C8BC58"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Meat: Bone Ratio</w:t>
            </w:r>
          </w:p>
        </w:tc>
      </w:tr>
      <w:tr w:rsidR="006244D7" w14:paraId="7CBA117D" w14:textId="77777777">
        <w:trPr>
          <w:tblCellSpacing w:w="15" w:type="dxa"/>
        </w:trPr>
        <w:tc>
          <w:tcPr>
            <w:tcW w:w="0" w:type="auto"/>
            <w:tcBorders>
              <w:right w:val="single" w:sz="2" w:space="0" w:color="auto"/>
            </w:tcBorders>
            <w:vAlign w:val="center"/>
          </w:tcPr>
          <w:p w14:paraId="14EBBD0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 cut</w:t>
            </w:r>
          </w:p>
        </w:tc>
        <w:tc>
          <w:tcPr>
            <w:tcW w:w="1224" w:type="dxa"/>
            <w:tcBorders>
              <w:right w:val="single" w:sz="2" w:space="0" w:color="auto"/>
            </w:tcBorders>
            <w:vAlign w:val="center"/>
          </w:tcPr>
          <w:p w14:paraId="32C033C7"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128F188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78.50 ± 4.16</w:t>
            </w:r>
          </w:p>
        </w:tc>
        <w:tc>
          <w:tcPr>
            <w:tcW w:w="0" w:type="auto"/>
            <w:vAlign w:val="center"/>
          </w:tcPr>
          <w:p w14:paraId="16ACFEF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26.09 ± 1.33</w:t>
            </w:r>
          </w:p>
        </w:tc>
        <w:tc>
          <w:tcPr>
            <w:tcW w:w="0" w:type="auto"/>
            <w:tcBorders>
              <w:left w:val="single" w:sz="2" w:space="0" w:color="auto"/>
            </w:tcBorders>
            <w:vAlign w:val="center"/>
          </w:tcPr>
          <w:p w14:paraId="05BCF56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46.55 ± 2.50</w:t>
            </w:r>
          </w:p>
        </w:tc>
        <w:tc>
          <w:tcPr>
            <w:tcW w:w="0" w:type="auto"/>
            <w:tcBorders>
              <w:left w:val="single" w:sz="2" w:space="0" w:color="auto"/>
            </w:tcBorders>
            <w:vAlign w:val="center"/>
          </w:tcPr>
          <w:p w14:paraId="3D1E934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4.02</w:t>
            </w:r>
          </w:p>
        </w:tc>
        <w:tc>
          <w:tcPr>
            <w:tcW w:w="0" w:type="auto"/>
            <w:tcBorders>
              <w:left w:val="single" w:sz="2" w:space="0" w:color="auto"/>
            </w:tcBorders>
            <w:vAlign w:val="center"/>
          </w:tcPr>
          <w:p w14:paraId="5905137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8.34 ± 0.64</w:t>
            </w:r>
          </w:p>
        </w:tc>
        <w:tc>
          <w:tcPr>
            <w:tcW w:w="0" w:type="auto"/>
            <w:tcBorders>
              <w:left w:val="single" w:sz="2" w:space="0" w:color="auto"/>
              <w:right w:val="single" w:sz="2" w:space="0" w:color="auto"/>
            </w:tcBorders>
            <w:vAlign w:val="center"/>
          </w:tcPr>
          <w:p w14:paraId="32C87BB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2.59 ± 0.15</w:t>
            </w:r>
          </w:p>
        </w:tc>
        <w:tc>
          <w:tcPr>
            <w:tcW w:w="0" w:type="auto"/>
            <w:vAlign w:val="center"/>
          </w:tcPr>
          <w:p w14:paraId="503E2FB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5.64 ± 0.26</w:t>
            </w:r>
          </w:p>
        </w:tc>
      </w:tr>
      <w:tr w:rsidR="006244D7" w14:paraId="5AB33058" w14:textId="77777777">
        <w:trPr>
          <w:tblCellSpacing w:w="15" w:type="dxa"/>
        </w:trPr>
        <w:tc>
          <w:tcPr>
            <w:tcW w:w="0" w:type="auto"/>
            <w:tcBorders>
              <w:right w:val="single" w:sz="2" w:space="0" w:color="auto"/>
            </w:tcBorders>
            <w:vAlign w:val="center"/>
          </w:tcPr>
          <w:p w14:paraId="093DF29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88FEF8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34E41C9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92.10 ± 1.47</w:t>
            </w:r>
          </w:p>
        </w:tc>
        <w:tc>
          <w:tcPr>
            <w:tcW w:w="0" w:type="auto"/>
            <w:vAlign w:val="center"/>
          </w:tcPr>
          <w:p w14:paraId="2E2A19A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29.10 ± 0.96</w:t>
            </w:r>
          </w:p>
        </w:tc>
        <w:tc>
          <w:tcPr>
            <w:tcW w:w="0" w:type="auto"/>
            <w:tcBorders>
              <w:left w:val="single" w:sz="2" w:space="0" w:color="auto"/>
            </w:tcBorders>
            <w:vAlign w:val="center"/>
          </w:tcPr>
          <w:p w14:paraId="202645F4"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55.51 ± 2.42</w:t>
            </w:r>
          </w:p>
        </w:tc>
        <w:tc>
          <w:tcPr>
            <w:tcW w:w="0" w:type="auto"/>
            <w:tcBorders>
              <w:left w:val="single" w:sz="2" w:space="0" w:color="auto"/>
            </w:tcBorders>
            <w:vAlign w:val="center"/>
          </w:tcPr>
          <w:p w14:paraId="77565CE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60.18 ± 1.88</w:t>
            </w:r>
          </w:p>
        </w:tc>
        <w:tc>
          <w:tcPr>
            <w:tcW w:w="0" w:type="auto"/>
            <w:tcBorders>
              <w:left w:val="single" w:sz="2" w:space="0" w:color="auto"/>
            </w:tcBorders>
            <w:vAlign w:val="center"/>
          </w:tcPr>
          <w:p w14:paraId="4737241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8.57 ± 0.50</w:t>
            </w:r>
          </w:p>
        </w:tc>
        <w:tc>
          <w:tcPr>
            <w:tcW w:w="0" w:type="auto"/>
            <w:tcBorders>
              <w:left w:val="single" w:sz="2" w:space="0" w:color="auto"/>
              <w:right w:val="single" w:sz="2" w:space="0" w:color="auto"/>
            </w:tcBorders>
            <w:vAlign w:val="center"/>
          </w:tcPr>
          <w:p w14:paraId="29718C3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 ± 0.10</w:t>
            </w:r>
          </w:p>
        </w:tc>
        <w:tc>
          <w:tcPr>
            <w:tcW w:w="0" w:type="auto"/>
            <w:vAlign w:val="center"/>
          </w:tcPr>
          <w:p w14:paraId="041CAA0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6.64 ± 0.38</w:t>
            </w:r>
          </w:p>
        </w:tc>
      </w:tr>
      <w:tr w:rsidR="006244D7" w14:paraId="52056532" w14:textId="77777777">
        <w:trPr>
          <w:tblCellSpacing w:w="15" w:type="dxa"/>
        </w:trPr>
        <w:tc>
          <w:tcPr>
            <w:tcW w:w="0" w:type="auto"/>
            <w:tcBorders>
              <w:right w:val="single" w:sz="2" w:space="0" w:color="auto"/>
            </w:tcBorders>
            <w:vAlign w:val="center"/>
          </w:tcPr>
          <w:p w14:paraId="2752987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6AF76F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347430A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687C779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0A041F9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5B3DA26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68B1CA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01D651F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16122AE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583C0CA6" w14:textId="77777777">
        <w:trPr>
          <w:tblCellSpacing w:w="15" w:type="dxa"/>
        </w:trPr>
        <w:tc>
          <w:tcPr>
            <w:tcW w:w="0" w:type="auto"/>
            <w:tcBorders>
              <w:right w:val="single" w:sz="2" w:space="0" w:color="auto"/>
            </w:tcBorders>
            <w:vAlign w:val="center"/>
          </w:tcPr>
          <w:p w14:paraId="3408084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1224" w:type="dxa"/>
            <w:tcBorders>
              <w:right w:val="single" w:sz="2" w:space="0" w:color="auto"/>
            </w:tcBorders>
            <w:vAlign w:val="center"/>
          </w:tcPr>
          <w:p w14:paraId="33317E54"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0CC838C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78.28 ± 3.22</w:t>
            </w:r>
          </w:p>
        </w:tc>
        <w:tc>
          <w:tcPr>
            <w:tcW w:w="0" w:type="auto"/>
            <w:vAlign w:val="center"/>
          </w:tcPr>
          <w:p w14:paraId="78360E97"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24.85 ± 0.56ᵇ</w:t>
            </w:r>
          </w:p>
        </w:tc>
        <w:tc>
          <w:tcPr>
            <w:tcW w:w="0" w:type="auto"/>
            <w:tcBorders>
              <w:left w:val="single" w:sz="2" w:space="0" w:color="auto"/>
            </w:tcBorders>
            <w:vAlign w:val="center"/>
          </w:tcPr>
          <w:p w14:paraId="4CDAA5D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45.77 ± 2.55</w:t>
            </w:r>
          </w:p>
        </w:tc>
        <w:tc>
          <w:tcPr>
            <w:tcW w:w="0" w:type="auto"/>
            <w:tcBorders>
              <w:left w:val="single" w:sz="2" w:space="0" w:color="auto"/>
            </w:tcBorders>
            <w:vAlign w:val="center"/>
          </w:tcPr>
          <w:p w14:paraId="7B1869F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61.19 ± 0.82</w:t>
            </w:r>
          </w:p>
        </w:tc>
        <w:tc>
          <w:tcPr>
            <w:tcW w:w="0" w:type="auto"/>
            <w:tcBorders>
              <w:left w:val="single" w:sz="2" w:space="0" w:color="auto"/>
            </w:tcBorders>
            <w:vAlign w:val="center"/>
          </w:tcPr>
          <w:p w14:paraId="72A517A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6.83 ± 0.59</w:t>
            </w:r>
          </w:p>
        </w:tc>
        <w:tc>
          <w:tcPr>
            <w:tcW w:w="0" w:type="auto"/>
            <w:tcBorders>
              <w:left w:val="single" w:sz="2" w:space="0" w:color="auto"/>
              <w:right w:val="single" w:sz="2" w:space="0" w:color="auto"/>
            </w:tcBorders>
            <w:vAlign w:val="center"/>
          </w:tcPr>
          <w:p w14:paraId="4289E22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2.13 ± 0.23</w:t>
            </w:r>
          </w:p>
        </w:tc>
        <w:tc>
          <w:tcPr>
            <w:tcW w:w="0" w:type="auto"/>
            <w:vAlign w:val="center"/>
          </w:tcPr>
          <w:p w14:paraId="3EB59C5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6.70 ± 0.70</w:t>
            </w:r>
          </w:p>
        </w:tc>
      </w:tr>
      <w:tr w:rsidR="006244D7" w14:paraId="0E5AB9C0" w14:textId="77777777">
        <w:trPr>
          <w:tblCellSpacing w:w="15" w:type="dxa"/>
        </w:trPr>
        <w:tc>
          <w:tcPr>
            <w:tcW w:w="0" w:type="auto"/>
            <w:tcBorders>
              <w:right w:val="single" w:sz="2" w:space="0" w:color="auto"/>
            </w:tcBorders>
            <w:vAlign w:val="center"/>
          </w:tcPr>
          <w:p w14:paraId="12BE21FC"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232A86A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317D9BA7"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97.13 ± 5.14</w:t>
            </w:r>
          </w:p>
        </w:tc>
        <w:tc>
          <w:tcPr>
            <w:tcW w:w="0" w:type="auto"/>
            <w:vAlign w:val="center"/>
          </w:tcPr>
          <w:p w14:paraId="3AC9125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31.13 ± 1.31ᵃ</w:t>
            </w:r>
          </w:p>
        </w:tc>
        <w:tc>
          <w:tcPr>
            <w:tcW w:w="0" w:type="auto"/>
            <w:tcBorders>
              <w:left w:val="single" w:sz="2" w:space="0" w:color="auto"/>
            </w:tcBorders>
            <w:vAlign w:val="center"/>
          </w:tcPr>
          <w:p w14:paraId="4ED2323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60.99 ± 2.42</w:t>
            </w:r>
          </w:p>
        </w:tc>
        <w:tc>
          <w:tcPr>
            <w:tcW w:w="0" w:type="auto"/>
            <w:tcBorders>
              <w:left w:val="single" w:sz="2" w:space="0" w:color="auto"/>
            </w:tcBorders>
            <w:vAlign w:val="center"/>
          </w:tcPr>
          <w:p w14:paraId="70DCEC7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62.28 ± 0.90</w:t>
            </w:r>
          </w:p>
        </w:tc>
        <w:tc>
          <w:tcPr>
            <w:tcW w:w="0" w:type="auto"/>
            <w:tcBorders>
              <w:left w:val="single" w:sz="2" w:space="0" w:color="auto"/>
            </w:tcBorders>
            <w:vAlign w:val="center"/>
          </w:tcPr>
          <w:p w14:paraId="6668DA4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9.87 ± 1.26</w:t>
            </w:r>
          </w:p>
        </w:tc>
        <w:tc>
          <w:tcPr>
            <w:tcW w:w="0" w:type="auto"/>
            <w:tcBorders>
              <w:left w:val="single" w:sz="2" w:space="0" w:color="auto"/>
              <w:right w:val="single" w:sz="2" w:space="0" w:color="auto"/>
            </w:tcBorders>
            <w:vAlign w:val="center"/>
          </w:tcPr>
          <w:p w14:paraId="5F8A235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2.95 ± 0.36</w:t>
            </w:r>
          </w:p>
        </w:tc>
        <w:tc>
          <w:tcPr>
            <w:tcW w:w="0" w:type="auto"/>
            <w:vAlign w:val="center"/>
          </w:tcPr>
          <w:p w14:paraId="517B9D9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6.66 ± 0.87</w:t>
            </w:r>
          </w:p>
        </w:tc>
      </w:tr>
      <w:tr w:rsidR="006244D7" w14:paraId="4B08F842" w14:textId="77777777">
        <w:trPr>
          <w:tblCellSpacing w:w="15" w:type="dxa"/>
        </w:trPr>
        <w:tc>
          <w:tcPr>
            <w:tcW w:w="0" w:type="auto"/>
            <w:tcBorders>
              <w:right w:val="single" w:sz="2" w:space="0" w:color="auto"/>
            </w:tcBorders>
            <w:vAlign w:val="center"/>
          </w:tcPr>
          <w:p w14:paraId="4994BE2F"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6A50FD3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400E452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7E7EADE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tcBorders>
            <w:vAlign w:val="center"/>
          </w:tcPr>
          <w:p w14:paraId="5CE313A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0E7583C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4D4D0CC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1FF13EC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050279D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5C9063A1" w14:textId="77777777">
        <w:trPr>
          <w:tblCellSpacing w:w="15" w:type="dxa"/>
        </w:trPr>
        <w:tc>
          <w:tcPr>
            <w:tcW w:w="0" w:type="auto"/>
            <w:tcBorders>
              <w:right w:val="single" w:sz="2" w:space="0" w:color="auto"/>
            </w:tcBorders>
            <w:vAlign w:val="center"/>
          </w:tcPr>
          <w:p w14:paraId="3228DCE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1224" w:type="dxa"/>
            <w:tcBorders>
              <w:right w:val="single" w:sz="2" w:space="0" w:color="auto"/>
            </w:tcBorders>
            <w:vAlign w:val="center"/>
          </w:tcPr>
          <w:p w14:paraId="64B0984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65D0069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99.76 ± 2.15</w:t>
            </w:r>
          </w:p>
        </w:tc>
        <w:tc>
          <w:tcPr>
            <w:tcW w:w="0" w:type="auto"/>
            <w:vAlign w:val="center"/>
          </w:tcPr>
          <w:p w14:paraId="789973F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32.36 ± 0.43</w:t>
            </w:r>
          </w:p>
        </w:tc>
        <w:tc>
          <w:tcPr>
            <w:tcW w:w="0" w:type="auto"/>
            <w:tcBorders>
              <w:left w:val="single" w:sz="2" w:space="0" w:color="auto"/>
            </w:tcBorders>
            <w:vAlign w:val="center"/>
          </w:tcPr>
          <w:p w14:paraId="3201E16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55.43 ± 2.14</w:t>
            </w:r>
          </w:p>
        </w:tc>
        <w:tc>
          <w:tcPr>
            <w:tcW w:w="0" w:type="auto"/>
            <w:tcBorders>
              <w:left w:val="single" w:sz="2" w:space="0" w:color="auto"/>
            </w:tcBorders>
            <w:vAlign w:val="center"/>
          </w:tcPr>
          <w:p w14:paraId="0D3037C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56.25 ± 2.73</w:t>
            </w:r>
          </w:p>
        </w:tc>
        <w:tc>
          <w:tcPr>
            <w:tcW w:w="0" w:type="auto"/>
            <w:tcBorders>
              <w:left w:val="single" w:sz="2" w:space="0" w:color="auto"/>
            </w:tcBorders>
            <w:vAlign w:val="center"/>
          </w:tcPr>
          <w:p w14:paraId="0DD7C81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14.97 ± 0.78</w:t>
            </w:r>
          </w:p>
        </w:tc>
        <w:tc>
          <w:tcPr>
            <w:tcW w:w="0" w:type="auto"/>
            <w:tcBorders>
              <w:left w:val="single" w:sz="2" w:space="0" w:color="auto"/>
              <w:right w:val="single" w:sz="2" w:space="0" w:color="auto"/>
            </w:tcBorders>
            <w:vAlign w:val="center"/>
          </w:tcPr>
          <w:p w14:paraId="2A233607"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5.16 ± 0.26</w:t>
            </w:r>
          </w:p>
        </w:tc>
        <w:tc>
          <w:tcPr>
            <w:tcW w:w="0" w:type="auto"/>
            <w:vAlign w:val="center"/>
          </w:tcPr>
          <w:p w14:paraId="23DC7C1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3.11 ± 0.14</w:t>
            </w:r>
          </w:p>
        </w:tc>
      </w:tr>
      <w:tr w:rsidR="006244D7" w14:paraId="253AC80A" w14:textId="77777777">
        <w:trPr>
          <w:tblCellSpacing w:w="15" w:type="dxa"/>
        </w:trPr>
        <w:tc>
          <w:tcPr>
            <w:tcW w:w="0" w:type="auto"/>
            <w:tcBorders>
              <w:right w:val="single" w:sz="2" w:space="0" w:color="auto"/>
            </w:tcBorders>
            <w:vAlign w:val="center"/>
          </w:tcPr>
          <w:p w14:paraId="2A4AEDF5"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17979B0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right w:val="single" w:sz="2" w:space="0" w:color="auto"/>
            </w:tcBorders>
            <w:vAlign w:val="center"/>
          </w:tcPr>
          <w:p w14:paraId="2E226EC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87.69 ± 7.77</w:t>
            </w:r>
          </w:p>
        </w:tc>
        <w:tc>
          <w:tcPr>
            <w:tcW w:w="0" w:type="auto"/>
            <w:vAlign w:val="center"/>
          </w:tcPr>
          <w:p w14:paraId="79FF791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28.64 ± 1.50</w:t>
            </w:r>
          </w:p>
        </w:tc>
        <w:tc>
          <w:tcPr>
            <w:tcW w:w="0" w:type="auto"/>
            <w:tcBorders>
              <w:left w:val="single" w:sz="2" w:space="0" w:color="auto"/>
            </w:tcBorders>
            <w:vAlign w:val="center"/>
          </w:tcPr>
          <w:p w14:paraId="58D644A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50.37 ± 4.50</w:t>
            </w:r>
          </w:p>
        </w:tc>
        <w:tc>
          <w:tcPr>
            <w:tcW w:w="0" w:type="auto"/>
            <w:tcBorders>
              <w:left w:val="single" w:sz="2" w:space="0" w:color="auto"/>
            </w:tcBorders>
            <w:vAlign w:val="center"/>
          </w:tcPr>
          <w:p w14:paraId="2F154D2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56.85 ± 0.79</w:t>
            </w:r>
          </w:p>
        </w:tc>
        <w:tc>
          <w:tcPr>
            <w:tcW w:w="0" w:type="auto"/>
            <w:tcBorders>
              <w:left w:val="single" w:sz="2" w:space="0" w:color="auto"/>
            </w:tcBorders>
            <w:vAlign w:val="center"/>
          </w:tcPr>
          <w:p w14:paraId="5F3CD23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16.55 ± 0.99</w:t>
            </w:r>
          </w:p>
        </w:tc>
        <w:tc>
          <w:tcPr>
            <w:tcW w:w="0" w:type="auto"/>
            <w:tcBorders>
              <w:left w:val="single" w:sz="2" w:space="0" w:color="auto"/>
              <w:right w:val="single" w:sz="2" w:space="0" w:color="auto"/>
            </w:tcBorders>
            <w:vAlign w:val="center"/>
          </w:tcPr>
          <w:p w14:paraId="3B5A538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4.41 ± 0.19</w:t>
            </w:r>
          </w:p>
        </w:tc>
        <w:tc>
          <w:tcPr>
            <w:tcW w:w="0" w:type="auto"/>
            <w:vAlign w:val="center"/>
          </w:tcPr>
          <w:p w14:paraId="1343A5C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3.71 ± 0.17</w:t>
            </w:r>
          </w:p>
        </w:tc>
      </w:tr>
      <w:tr w:rsidR="006244D7" w14:paraId="5400162F" w14:textId="77777777">
        <w:trPr>
          <w:tblCellSpacing w:w="15" w:type="dxa"/>
        </w:trPr>
        <w:tc>
          <w:tcPr>
            <w:tcW w:w="0" w:type="auto"/>
            <w:tcBorders>
              <w:right w:val="single" w:sz="2" w:space="0" w:color="auto"/>
            </w:tcBorders>
            <w:vAlign w:val="center"/>
          </w:tcPr>
          <w:p w14:paraId="5B18E2D3"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right w:val="single" w:sz="2" w:space="0" w:color="auto"/>
            </w:tcBorders>
            <w:vAlign w:val="center"/>
          </w:tcPr>
          <w:p w14:paraId="64C2A58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894" w:type="dxa"/>
            <w:tcBorders>
              <w:right w:val="single" w:sz="2" w:space="0" w:color="auto"/>
            </w:tcBorders>
            <w:vAlign w:val="center"/>
          </w:tcPr>
          <w:p w14:paraId="1A54DC9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vAlign w:val="center"/>
          </w:tcPr>
          <w:p w14:paraId="449FA80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3BFE1B9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tcBorders>
            <w:vAlign w:val="center"/>
          </w:tcPr>
          <w:p w14:paraId="1E74494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6E2C7DE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w:t>
            </w:r>
          </w:p>
        </w:tc>
        <w:tc>
          <w:tcPr>
            <w:tcW w:w="0" w:type="auto"/>
            <w:tcBorders>
              <w:left w:val="single" w:sz="2" w:space="0" w:color="auto"/>
              <w:right w:val="single" w:sz="2" w:space="0" w:color="auto"/>
            </w:tcBorders>
            <w:vAlign w:val="center"/>
          </w:tcPr>
          <w:p w14:paraId="3BE65DC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0FA8A64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1FE1F149" w14:textId="77777777">
        <w:trPr>
          <w:tblCellSpacing w:w="15" w:type="dxa"/>
        </w:trPr>
        <w:tc>
          <w:tcPr>
            <w:tcW w:w="0" w:type="auto"/>
            <w:tcBorders>
              <w:right w:val="single" w:sz="2" w:space="0" w:color="auto"/>
            </w:tcBorders>
            <w:vAlign w:val="center"/>
          </w:tcPr>
          <w:p w14:paraId="225FF6D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1224" w:type="dxa"/>
            <w:tcBorders>
              <w:right w:val="single" w:sz="2" w:space="0" w:color="auto"/>
            </w:tcBorders>
            <w:vAlign w:val="center"/>
          </w:tcPr>
          <w:p w14:paraId="568D9A47"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894" w:type="dxa"/>
            <w:tcBorders>
              <w:right w:val="single" w:sz="2" w:space="0" w:color="auto"/>
            </w:tcBorders>
            <w:vAlign w:val="center"/>
          </w:tcPr>
          <w:p w14:paraId="11647F8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256.54</w:t>
            </w:r>
          </w:p>
        </w:tc>
        <w:tc>
          <w:tcPr>
            <w:tcW w:w="0" w:type="auto"/>
            <w:vAlign w:val="center"/>
          </w:tcPr>
          <w:p w14:paraId="577CD01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83.31</w:t>
            </w:r>
          </w:p>
        </w:tc>
        <w:tc>
          <w:tcPr>
            <w:tcW w:w="0" w:type="auto"/>
            <w:tcBorders>
              <w:left w:val="single" w:sz="2" w:space="0" w:color="auto"/>
            </w:tcBorders>
            <w:vAlign w:val="center"/>
          </w:tcPr>
          <w:p w14:paraId="6A487DE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147.75</w:t>
            </w:r>
          </w:p>
        </w:tc>
        <w:tc>
          <w:tcPr>
            <w:tcW w:w="0" w:type="auto"/>
            <w:tcBorders>
              <w:left w:val="single" w:sz="2" w:space="0" w:color="auto"/>
            </w:tcBorders>
            <w:vAlign w:val="center"/>
          </w:tcPr>
          <w:p w14:paraId="7A1264B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59.54</w:t>
            </w:r>
          </w:p>
        </w:tc>
        <w:tc>
          <w:tcPr>
            <w:tcW w:w="0" w:type="auto"/>
            <w:tcBorders>
              <w:left w:val="single" w:sz="2" w:space="0" w:color="auto"/>
            </w:tcBorders>
            <w:vAlign w:val="center"/>
          </w:tcPr>
          <w:p w14:paraId="2EAFFA2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30.14</w:t>
            </w:r>
          </w:p>
        </w:tc>
        <w:tc>
          <w:tcPr>
            <w:tcW w:w="0" w:type="auto"/>
            <w:tcBorders>
              <w:left w:val="single" w:sz="2" w:space="0" w:color="auto"/>
              <w:right w:val="single" w:sz="2" w:space="0" w:color="auto"/>
            </w:tcBorders>
            <w:vAlign w:val="center"/>
          </w:tcPr>
          <w:p w14:paraId="301DAE3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vAlign w:val="center"/>
          </w:tcPr>
          <w:p w14:paraId="7DB18FA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5.15</w:t>
            </w:r>
          </w:p>
        </w:tc>
      </w:tr>
      <w:tr w:rsidR="006244D7" w14:paraId="74F0B4F2" w14:textId="77777777">
        <w:trPr>
          <w:tblCellSpacing w:w="15" w:type="dxa"/>
        </w:trPr>
        <w:tc>
          <w:tcPr>
            <w:tcW w:w="0" w:type="auto"/>
            <w:tcBorders>
              <w:bottom w:val="single" w:sz="18" w:space="0" w:color="auto"/>
              <w:right w:val="single" w:sz="2" w:space="0" w:color="auto"/>
            </w:tcBorders>
            <w:vAlign w:val="center"/>
          </w:tcPr>
          <w:p w14:paraId="39F246BA"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1224" w:type="dxa"/>
            <w:tcBorders>
              <w:bottom w:val="single" w:sz="18" w:space="0" w:color="auto"/>
            </w:tcBorders>
            <w:vAlign w:val="center"/>
          </w:tcPr>
          <w:p w14:paraId="1E9012C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894" w:type="dxa"/>
            <w:tcBorders>
              <w:left w:val="single" w:sz="2" w:space="0" w:color="auto"/>
              <w:bottom w:val="single" w:sz="18" w:space="0" w:color="auto"/>
              <w:right w:val="single" w:sz="2" w:space="0" w:color="auto"/>
            </w:tcBorders>
            <w:vAlign w:val="center"/>
          </w:tcPr>
          <w:p w14:paraId="182E3C6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276.92</w:t>
            </w:r>
          </w:p>
        </w:tc>
        <w:tc>
          <w:tcPr>
            <w:tcW w:w="0" w:type="auto"/>
            <w:tcBorders>
              <w:bottom w:val="single" w:sz="18" w:space="0" w:color="auto"/>
              <w:right w:val="single" w:sz="2" w:space="0" w:color="auto"/>
            </w:tcBorders>
            <w:vAlign w:val="center"/>
          </w:tcPr>
          <w:p w14:paraId="40CF436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88.86</w:t>
            </w:r>
          </w:p>
        </w:tc>
        <w:tc>
          <w:tcPr>
            <w:tcW w:w="0" w:type="auto"/>
            <w:tcBorders>
              <w:bottom w:val="single" w:sz="18" w:space="0" w:color="auto"/>
              <w:right w:val="single" w:sz="2" w:space="0" w:color="auto"/>
            </w:tcBorders>
            <w:vAlign w:val="center"/>
          </w:tcPr>
          <w:p w14:paraId="6A58E0E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166.87</w:t>
            </w:r>
          </w:p>
        </w:tc>
        <w:tc>
          <w:tcPr>
            <w:tcW w:w="0" w:type="auto"/>
            <w:tcBorders>
              <w:bottom w:val="single" w:sz="18" w:space="0" w:color="auto"/>
            </w:tcBorders>
            <w:vAlign w:val="center"/>
          </w:tcPr>
          <w:p w14:paraId="6EB85FF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59.77</w:t>
            </w:r>
          </w:p>
        </w:tc>
        <w:tc>
          <w:tcPr>
            <w:tcW w:w="0" w:type="auto"/>
            <w:tcBorders>
              <w:left w:val="single" w:sz="2" w:space="0" w:color="auto"/>
              <w:bottom w:val="single" w:sz="18" w:space="0" w:color="auto"/>
            </w:tcBorders>
            <w:vAlign w:val="center"/>
          </w:tcPr>
          <w:p w14:paraId="3245ADF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34.99</w:t>
            </w:r>
          </w:p>
        </w:tc>
        <w:tc>
          <w:tcPr>
            <w:tcW w:w="0" w:type="auto"/>
            <w:tcBorders>
              <w:left w:val="single" w:sz="2" w:space="0" w:color="auto"/>
              <w:bottom w:val="single" w:sz="18" w:space="0" w:color="auto"/>
              <w:right w:val="single" w:sz="2" w:space="0" w:color="auto"/>
            </w:tcBorders>
            <w:vAlign w:val="center"/>
          </w:tcPr>
          <w:p w14:paraId="362EC71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3.29</w:t>
            </w:r>
          </w:p>
        </w:tc>
        <w:tc>
          <w:tcPr>
            <w:tcW w:w="0" w:type="auto"/>
            <w:tcBorders>
              <w:bottom w:val="single" w:sz="18" w:space="0" w:color="auto"/>
            </w:tcBorders>
            <w:vAlign w:val="center"/>
          </w:tcPr>
          <w:p w14:paraId="3B98EE0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5.67</w:t>
            </w:r>
          </w:p>
        </w:tc>
      </w:tr>
    </w:tbl>
    <w:p w14:paraId="515A9469" w14:textId="77777777" w:rsidR="006244D7" w:rsidRDefault="00000000">
      <w:pPr>
        <w:spacing w:line="480" w:lineRule="auto"/>
        <w:jc w:val="both"/>
        <w:rPr>
          <w:rFonts w:ascii="Arial" w:hAnsi="Arial" w:cs="Arial"/>
          <w:i/>
          <w:color w:val="000000" w:themeColor="text1"/>
          <w:sz w:val="20"/>
          <w:szCs w:val="20"/>
        </w:rPr>
      </w:pPr>
      <w:r>
        <w:rPr>
          <w:rFonts w:ascii="Arial" w:hAnsi="Arial" w:cs="Arial"/>
          <w:i/>
          <w:color w:val="000000" w:themeColor="text1"/>
          <w:sz w:val="20"/>
          <w:szCs w:val="20"/>
        </w:rPr>
        <w:t>*Values are expressed as the means ± SE; in each cut, mean values with different superscripts in a column differ significantly (p &lt; 0.05); NS = No significant difference.</w:t>
      </w:r>
    </w:p>
    <w:p w14:paraId="1AFC5A96"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As shown in Table 1, GIFT tilapia exhibited superior carcass and fillet traits compared to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tilapia. Specifically, GIFT tilapia had a higher dressed body yield and fillet yield than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tilapia. A study by Sahu et al., 2017 recorded head yield of 27.1 % in </w:t>
      </w:r>
      <w:r>
        <w:rPr>
          <w:rFonts w:ascii="Arial" w:hAnsi="Arial" w:cs="Arial"/>
          <w:i/>
          <w:iCs/>
          <w:color w:val="000000" w:themeColor="text1"/>
          <w:sz w:val="20"/>
          <w:szCs w:val="20"/>
        </w:rPr>
        <w:t>Oreochromis niloticus</w:t>
      </w:r>
      <w:r>
        <w:rPr>
          <w:rFonts w:ascii="Arial" w:hAnsi="Arial" w:cs="Arial"/>
          <w:color w:val="000000" w:themeColor="text1"/>
          <w:sz w:val="20"/>
          <w:szCs w:val="20"/>
        </w:rPr>
        <w:t xml:space="preserve"> which is very nearer with the results obtained in the present study. Among the different carcass sections, the mid-cut contributed the highest proportion to the total fillet yield in both strains with GIFT tilapia showing a significantly greater yield in this region (p &lt; 0.05). The result was similar to the study conducted by Sahu et al., 2017 who stated that highest meat yield and total yield percentage was recorded in the mid cut of </w:t>
      </w:r>
      <w:r>
        <w:rPr>
          <w:rFonts w:ascii="Arial" w:hAnsi="Arial" w:cs="Arial"/>
          <w:i/>
          <w:iCs/>
          <w:color w:val="000000" w:themeColor="text1"/>
          <w:sz w:val="20"/>
          <w:szCs w:val="20"/>
        </w:rPr>
        <w:t xml:space="preserve">O. niloticus. </w:t>
      </w:r>
      <w:r>
        <w:rPr>
          <w:rFonts w:ascii="Arial" w:hAnsi="Arial" w:cs="Arial"/>
          <w:color w:val="000000" w:themeColor="text1"/>
          <w:sz w:val="20"/>
          <w:szCs w:val="20"/>
        </w:rPr>
        <w:t>Furthermore, GIFT tilapia displayed more favourable meat-to-bone ratios across all cuts, enhancing their commercial value in terms of marketable meat. These findings support existing literature that reports improvements in carcass quality and yield traits due to selective breeding in GIFT strains (Nguyen et al., 2010).</w:t>
      </w:r>
    </w:p>
    <w:p w14:paraId="5E2BE92F" w14:textId="77777777" w:rsidR="006244D7" w:rsidRDefault="00000000">
      <w:pPr>
        <w:spacing w:line="480" w:lineRule="auto"/>
        <w:ind w:firstLine="1320"/>
        <w:jc w:val="both"/>
        <w:rPr>
          <w:rFonts w:ascii="Arial" w:hAnsi="Arial" w:cs="Arial"/>
          <w:b/>
          <w:i/>
          <w:color w:val="000000" w:themeColor="text1"/>
          <w:sz w:val="24"/>
          <w:szCs w:val="24"/>
        </w:rPr>
      </w:pPr>
      <w:r>
        <w:rPr>
          <w:rFonts w:ascii="Arial" w:hAnsi="Arial" w:cs="Arial"/>
          <w:noProof/>
          <w:color w:val="000000" w:themeColor="text1"/>
          <w:sz w:val="24"/>
          <w:szCs w:val="24"/>
          <w:lang w:val="en-US"/>
        </w:rPr>
        <w:drawing>
          <wp:inline distT="0" distB="0" distL="0" distR="0" wp14:anchorId="6DA766E1" wp14:editId="4A22A499">
            <wp:extent cx="4110990" cy="2941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10990" cy="2941320"/>
                    </a:xfrm>
                    <a:prstGeom prst="rect">
                      <a:avLst/>
                    </a:prstGeom>
                    <a:noFill/>
                    <a:ln>
                      <a:noFill/>
                    </a:ln>
                  </pic:spPr>
                </pic:pic>
              </a:graphicData>
            </a:graphic>
          </wp:inline>
        </w:drawing>
      </w:r>
    </w:p>
    <w:p w14:paraId="559D8EDC" w14:textId="77777777" w:rsidR="006244D7" w:rsidRDefault="00000000">
      <w:pPr>
        <w:spacing w:line="240" w:lineRule="auto"/>
        <w:ind w:firstLine="720"/>
        <w:jc w:val="both"/>
        <w:rPr>
          <w:rFonts w:ascii="Arial" w:hAnsi="Arial" w:cs="Arial"/>
          <w:iCs/>
          <w:color w:val="000000" w:themeColor="text1"/>
          <w:spacing w:val="-3"/>
          <w:sz w:val="20"/>
          <w:szCs w:val="20"/>
        </w:rPr>
      </w:pPr>
      <w:r>
        <w:rPr>
          <w:rFonts w:ascii="Arial" w:hAnsi="Arial" w:cs="Arial"/>
          <w:b/>
          <w:iCs/>
          <w:color w:val="000000" w:themeColor="text1"/>
          <w:sz w:val="20"/>
          <w:szCs w:val="20"/>
        </w:rPr>
        <w:t>Figure 1: Skinless dressed</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carcass</w:t>
      </w:r>
      <w:r>
        <w:rPr>
          <w:rFonts w:ascii="Arial" w:hAnsi="Arial" w:cs="Arial"/>
          <w:b/>
          <w:iCs/>
          <w:color w:val="000000" w:themeColor="text1"/>
          <w:spacing w:val="-10"/>
          <w:sz w:val="20"/>
          <w:szCs w:val="20"/>
        </w:rPr>
        <w:t xml:space="preserve"> </w:t>
      </w:r>
      <w:r>
        <w:rPr>
          <w:rFonts w:ascii="Arial" w:hAnsi="Arial" w:cs="Arial"/>
          <w:b/>
          <w:iCs/>
          <w:color w:val="000000" w:themeColor="text1"/>
          <w:sz w:val="20"/>
          <w:szCs w:val="20"/>
        </w:rPr>
        <w:t>cuts</w:t>
      </w:r>
      <w:r>
        <w:rPr>
          <w:rFonts w:ascii="Arial" w:hAnsi="Arial" w:cs="Arial"/>
          <w:b/>
          <w:iCs/>
          <w:color w:val="000000" w:themeColor="text1"/>
          <w:spacing w:val="-10"/>
          <w:sz w:val="20"/>
          <w:szCs w:val="20"/>
        </w:rPr>
        <w:t xml:space="preserve"> </w:t>
      </w:r>
      <w:r>
        <w:rPr>
          <w:rFonts w:ascii="Arial" w:hAnsi="Arial" w:cs="Arial"/>
          <w:b/>
          <w:iCs/>
          <w:color w:val="000000" w:themeColor="text1"/>
          <w:sz w:val="20"/>
          <w:szCs w:val="20"/>
        </w:rPr>
        <w:t>of</w:t>
      </w:r>
      <w:r>
        <w:rPr>
          <w:rFonts w:ascii="Arial" w:hAnsi="Arial" w:cs="Arial"/>
          <w:b/>
          <w:iCs/>
          <w:color w:val="000000" w:themeColor="text1"/>
          <w:spacing w:val="-1"/>
          <w:sz w:val="20"/>
          <w:szCs w:val="20"/>
        </w:rPr>
        <w:t xml:space="preserve"> </w:t>
      </w:r>
      <w:r>
        <w:rPr>
          <w:rFonts w:ascii="Arial" w:hAnsi="Arial" w:cs="Arial"/>
          <w:b/>
          <w:iCs/>
          <w:color w:val="000000" w:themeColor="text1"/>
          <w:sz w:val="20"/>
          <w:szCs w:val="20"/>
        </w:rPr>
        <w:t>tilapia reared in</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pond</w:t>
      </w:r>
      <w:r>
        <w:rPr>
          <w:rFonts w:ascii="Arial" w:hAnsi="Arial" w:cs="Arial"/>
          <w:b/>
          <w:iCs/>
          <w:color w:val="000000" w:themeColor="text1"/>
          <w:spacing w:val="-8"/>
          <w:sz w:val="20"/>
          <w:szCs w:val="20"/>
        </w:rPr>
        <w:t xml:space="preserve"> </w:t>
      </w:r>
      <w:r>
        <w:rPr>
          <w:rFonts w:ascii="Arial" w:hAnsi="Arial" w:cs="Arial"/>
          <w:b/>
          <w:iCs/>
          <w:color w:val="000000" w:themeColor="text1"/>
          <w:sz w:val="20"/>
          <w:szCs w:val="20"/>
        </w:rPr>
        <w:t>conditions</w:t>
      </w:r>
      <w:r>
        <w:rPr>
          <w:rFonts w:ascii="Arial" w:hAnsi="Arial" w:cs="Arial"/>
          <w:iCs/>
          <w:color w:val="000000" w:themeColor="text1"/>
          <w:sz w:val="20"/>
          <w:szCs w:val="20"/>
        </w:rPr>
        <w:t>;</w:t>
      </w:r>
      <w:r>
        <w:rPr>
          <w:rFonts w:ascii="Arial" w:hAnsi="Arial" w:cs="Arial"/>
          <w:iCs/>
          <w:color w:val="000000" w:themeColor="text1"/>
          <w:spacing w:val="-3"/>
          <w:sz w:val="20"/>
          <w:szCs w:val="20"/>
        </w:rPr>
        <w:t xml:space="preserve"> </w:t>
      </w:r>
    </w:p>
    <w:p w14:paraId="187E5F26" w14:textId="77777777" w:rsidR="006244D7" w:rsidRDefault="00000000">
      <w:pPr>
        <w:spacing w:line="240" w:lineRule="auto"/>
        <w:ind w:firstLine="720"/>
        <w:jc w:val="center"/>
        <w:rPr>
          <w:rFonts w:ascii="Arial" w:hAnsi="Arial" w:cs="Arial"/>
          <w:iCs/>
          <w:color w:val="000000" w:themeColor="text1"/>
          <w:sz w:val="20"/>
          <w:szCs w:val="20"/>
        </w:rPr>
      </w:pPr>
      <w:r>
        <w:rPr>
          <w:rFonts w:ascii="Arial" w:hAnsi="Arial" w:cs="Arial"/>
          <w:iCs/>
          <w:color w:val="000000" w:themeColor="text1"/>
          <w:sz w:val="20"/>
          <w:szCs w:val="20"/>
        </w:rPr>
        <w:t>I – Fore- cut; II – Mid-cut; III – Hind-cut</w:t>
      </w:r>
    </w:p>
    <w:p w14:paraId="4314E462" w14:textId="77777777" w:rsidR="006244D7" w:rsidRDefault="00000000">
      <w:pPr>
        <w:spacing w:line="480" w:lineRule="auto"/>
        <w:ind w:firstLine="720"/>
        <w:jc w:val="both"/>
        <w:rPr>
          <w:rFonts w:ascii="Arial" w:hAnsi="Arial" w:cs="Arial"/>
          <w:iCs/>
          <w:color w:val="000000" w:themeColor="text1"/>
          <w:sz w:val="20"/>
          <w:szCs w:val="20"/>
        </w:rPr>
      </w:pPr>
      <w:r>
        <w:rPr>
          <w:rFonts w:ascii="Arial" w:hAnsi="Arial" w:cs="Arial"/>
          <w:iCs/>
          <w:color w:val="000000" w:themeColor="text1"/>
          <w:sz w:val="20"/>
          <w:szCs w:val="20"/>
        </w:rPr>
        <w:t>The skinless dressed carcass cuts of tilapia reared under pond conditions, segmented into fore-cut, mid-cut and hind-cut sections. The fore-cut includes the head and front portion of the body; the mid-cut represents the central muscular area and the hind-cut comprises the tail section. This image highlights the yield and anatomical differences in each cut after processing. Such segmentation is vital for evaluating meat distribution and commercial value across body regions. It also supports comparative analysis between different tilapia strains.</w:t>
      </w:r>
    </w:p>
    <w:p w14:paraId="138A6A8E" w14:textId="77777777" w:rsidR="006244D7" w:rsidRDefault="00000000">
      <w:pPr>
        <w:spacing w:after="0" w:line="480" w:lineRule="auto"/>
        <w:jc w:val="both"/>
        <w:rPr>
          <w:rFonts w:ascii="Arial" w:hAnsi="Arial" w:cs="Arial"/>
          <w:b/>
          <w:color w:val="000000" w:themeColor="text1"/>
        </w:rPr>
      </w:pPr>
      <w:r>
        <w:rPr>
          <w:rFonts w:ascii="Arial" w:hAnsi="Arial" w:cs="Arial"/>
          <w:b/>
          <w:color w:val="000000" w:themeColor="text1"/>
        </w:rPr>
        <w:lastRenderedPageBreak/>
        <w:t>Table.2. Proximate composition of carcass fillet cuts of Red and GIFT tilapia reared in pond conditions for 180 days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72"/>
        <w:gridCol w:w="1139"/>
        <w:gridCol w:w="1253"/>
        <w:gridCol w:w="1380"/>
        <w:gridCol w:w="1156"/>
        <w:gridCol w:w="1500"/>
        <w:gridCol w:w="1126"/>
      </w:tblGrid>
      <w:tr w:rsidR="006244D7" w14:paraId="49B0F71C" w14:textId="77777777">
        <w:trPr>
          <w:trHeight w:val="480"/>
          <w:tblHeader/>
          <w:tblCellSpacing w:w="15" w:type="dxa"/>
          <w:jc w:val="center"/>
        </w:trPr>
        <w:tc>
          <w:tcPr>
            <w:tcW w:w="0" w:type="auto"/>
            <w:tcBorders>
              <w:top w:val="single" w:sz="18" w:space="0" w:color="auto"/>
              <w:bottom w:val="nil"/>
              <w:right w:val="single" w:sz="2" w:space="0" w:color="auto"/>
            </w:tcBorders>
            <w:vAlign w:val="center"/>
          </w:tcPr>
          <w:p w14:paraId="40269317"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Position of Cut</w:t>
            </w:r>
          </w:p>
        </w:tc>
        <w:tc>
          <w:tcPr>
            <w:tcW w:w="0" w:type="auto"/>
            <w:tcBorders>
              <w:top w:val="single" w:sz="18" w:space="0" w:color="auto"/>
              <w:bottom w:val="nil"/>
            </w:tcBorders>
            <w:vAlign w:val="center"/>
          </w:tcPr>
          <w:p w14:paraId="22E5BA77"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Treatments</w:t>
            </w:r>
          </w:p>
        </w:tc>
        <w:tc>
          <w:tcPr>
            <w:tcW w:w="0" w:type="auto"/>
            <w:tcBorders>
              <w:top w:val="single" w:sz="18" w:space="0" w:color="auto"/>
              <w:left w:val="single" w:sz="2" w:space="0" w:color="auto"/>
              <w:bottom w:val="nil"/>
              <w:right w:val="single" w:sz="2" w:space="0" w:color="auto"/>
            </w:tcBorders>
            <w:vAlign w:val="center"/>
          </w:tcPr>
          <w:p w14:paraId="622F2A4A"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Moisture (%)</w:t>
            </w:r>
          </w:p>
        </w:tc>
        <w:tc>
          <w:tcPr>
            <w:tcW w:w="0" w:type="auto"/>
            <w:tcBorders>
              <w:top w:val="single" w:sz="18" w:space="0" w:color="auto"/>
              <w:bottom w:val="nil"/>
            </w:tcBorders>
            <w:vAlign w:val="center"/>
          </w:tcPr>
          <w:p w14:paraId="46764887"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Dry Matter (%)</w:t>
            </w:r>
          </w:p>
        </w:tc>
        <w:tc>
          <w:tcPr>
            <w:tcW w:w="0" w:type="auto"/>
            <w:tcBorders>
              <w:top w:val="single" w:sz="18" w:space="0" w:color="auto"/>
              <w:left w:val="single" w:sz="2" w:space="0" w:color="auto"/>
              <w:bottom w:val="nil"/>
            </w:tcBorders>
            <w:vAlign w:val="center"/>
          </w:tcPr>
          <w:p w14:paraId="42C92F3F"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Protein (%)</w:t>
            </w:r>
          </w:p>
        </w:tc>
        <w:tc>
          <w:tcPr>
            <w:tcW w:w="0" w:type="auto"/>
            <w:tcBorders>
              <w:top w:val="single" w:sz="18" w:space="0" w:color="auto"/>
              <w:left w:val="single" w:sz="2" w:space="0" w:color="auto"/>
              <w:bottom w:val="nil"/>
            </w:tcBorders>
            <w:vAlign w:val="center"/>
          </w:tcPr>
          <w:p w14:paraId="3B265350"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Crude Lipid (%)</w:t>
            </w:r>
          </w:p>
        </w:tc>
        <w:tc>
          <w:tcPr>
            <w:tcW w:w="0" w:type="auto"/>
            <w:tcBorders>
              <w:top w:val="single" w:sz="18" w:space="0" w:color="auto"/>
              <w:left w:val="single" w:sz="2" w:space="0" w:color="auto"/>
              <w:bottom w:val="nil"/>
            </w:tcBorders>
            <w:vAlign w:val="center"/>
          </w:tcPr>
          <w:p w14:paraId="4856EC38" w14:textId="77777777" w:rsidR="006244D7" w:rsidRDefault="00000000">
            <w:pPr>
              <w:spacing w:after="0" w:line="480" w:lineRule="auto"/>
              <w:jc w:val="both"/>
              <w:rPr>
                <w:rFonts w:ascii="Arial" w:eastAsia="Times New Roman" w:hAnsi="Arial" w:cs="Arial"/>
                <w:b/>
                <w:bCs/>
                <w:color w:val="000000" w:themeColor="text1"/>
                <w:sz w:val="20"/>
                <w:szCs w:val="20"/>
                <w:lang w:eastAsia="en-IN"/>
              </w:rPr>
            </w:pPr>
            <w:r>
              <w:rPr>
                <w:rFonts w:ascii="Arial" w:eastAsia="Times New Roman" w:hAnsi="Arial" w:cs="Arial"/>
                <w:b/>
                <w:bCs/>
                <w:color w:val="000000" w:themeColor="text1"/>
                <w:sz w:val="20"/>
                <w:szCs w:val="20"/>
                <w:lang w:eastAsia="en-IN"/>
              </w:rPr>
              <w:t>Ash (%)</w:t>
            </w:r>
          </w:p>
        </w:tc>
      </w:tr>
      <w:tr w:rsidR="006244D7" w14:paraId="6484566B" w14:textId="77777777">
        <w:trPr>
          <w:trHeight w:val="72"/>
          <w:tblHeader/>
          <w:tblCellSpacing w:w="15" w:type="dxa"/>
          <w:jc w:val="center"/>
        </w:trPr>
        <w:tc>
          <w:tcPr>
            <w:tcW w:w="0" w:type="auto"/>
            <w:tcBorders>
              <w:top w:val="single" w:sz="18" w:space="0" w:color="auto"/>
              <w:right w:val="single" w:sz="2" w:space="0" w:color="auto"/>
            </w:tcBorders>
            <w:vAlign w:val="center"/>
          </w:tcPr>
          <w:p w14:paraId="2504D40D"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4547B942"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right w:val="single" w:sz="2" w:space="0" w:color="auto"/>
            </w:tcBorders>
            <w:vAlign w:val="center"/>
          </w:tcPr>
          <w:p w14:paraId="6B9AFE34"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tcBorders>
            <w:vAlign w:val="center"/>
          </w:tcPr>
          <w:p w14:paraId="3416F9F1"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707F5F80"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617FA03E"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c>
          <w:tcPr>
            <w:tcW w:w="0" w:type="auto"/>
            <w:tcBorders>
              <w:top w:val="single" w:sz="18" w:space="0" w:color="auto"/>
              <w:left w:val="single" w:sz="2" w:space="0" w:color="auto"/>
            </w:tcBorders>
            <w:vAlign w:val="center"/>
          </w:tcPr>
          <w:p w14:paraId="78335658" w14:textId="77777777" w:rsidR="006244D7" w:rsidRDefault="006244D7">
            <w:pPr>
              <w:spacing w:after="0" w:line="480" w:lineRule="auto"/>
              <w:jc w:val="both"/>
              <w:rPr>
                <w:rFonts w:ascii="Arial" w:eastAsia="Times New Roman" w:hAnsi="Arial" w:cs="Arial"/>
                <w:b/>
                <w:bCs/>
                <w:color w:val="000000" w:themeColor="text1"/>
                <w:sz w:val="20"/>
                <w:szCs w:val="20"/>
                <w:lang w:eastAsia="en-IN"/>
              </w:rPr>
            </w:pPr>
          </w:p>
        </w:tc>
      </w:tr>
      <w:tr w:rsidR="006244D7" w14:paraId="6EABFA07" w14:textId="77777777">
        <w:trPr>
          <w:tblCellSpacing w:w="15" w:type="dxa"/>
          <w:jc w:val="center"/>
        </w:trPr>
        <w:tc>
          <w:tcPr>
            <w:tcW w:w="0" w:type="auto"/>
            <w:tcBorders>
              <w:right w:val="single" w:sz="2" w:space="0" w:color="auto"/>
            </w:tcBorders>
            <w:vAlign w:val="center"/>
          </w:tcPr>
          <w:p w14:paraId="43F428C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Fore cut</w:t>
            </w:r>
          </w:p>
        </w:tc>
        <w:tc>
          <w:tcPr>
            <w:tcW w:w="0" w:type="auto"/>
            <w:vAlign w:val="center"/>
          </w:tcPr>
          <w:p w14:paraId="08CE29D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682745F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74.96 ± 0.42</w:t>
            </w:r>
          </w:p>
        </w:tc>
        <w:tc>
          <w:tcPr>
            <w:tcW w:w="0" w:type="auto"/>
            <w:vAlign w:val="center"/>
          </w:tcPr>
          <w:p w14:paraId="45B3E50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25.04 ± 0.42</w:t>
            </w:r>
          </w:p>
        </w:tc>
        <w:tc>
          <w:tcPr>
            <w:tcW w:w="0" w:type="auto"/>
            <w:tcBorders>
              <w:left w:val="single" w:sz="2" w:space="0" w:color="auto"/>
            </w:tcBorders>
            <w:vAlign w:val="center"/>
          </w:tcPr>
          <w:p w14:paraId="2167192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14.35 ± 0.41</w:t>
            </w:r>
          </w:p>
        </w:tc>
        <w:tc>
          <w:tcPr>
            <w:tcW w:w="0" w:type="auto"/>
            <w:tcBorders>
              <w:left w:val="single" w:sz="2" w:space="0" w:color="auto"/>
            </w:tcBorders>
            <w:vAlign w:val="center"/>
          </w:tcPr>
          <w:p w14:paraId="0B3C1F6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9.09 ± 0.53</w:t>
            </w:r>
          </w:p>
        </w:tc>
        <w:tc>
          <w:tcPr>
            <w:tcW w:w="0" w:type="auto"/>
            <w:tcBorders>
              <w:left w:val="single" w:sz="2" w:space="0" w:color="auto"/>
            </w:tcBorders>
            <w:vAlign w:val="center"/>
          </w:tcPr>
          <w:p w14:paraId="1C8D2AB4"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2.82 ± 0.14</w:t>
            </w:r>
          </w:p>
        </w:tc>
      </w:tr>
      <w:tr w:rsidR="006244D7" w14:paraId="300EADF2" w14:textId="77777777">
        <w:trPr>
          <w:tblCellSpacing w:w="15" w:type="dxa"/>
          <w:jc w:val="center"/>
        </w:trPr>
        <w:tc>
          <w:tcPr>
            <w:tcW w:w="0" w:type="auto"/>
            <w:tcBorders>
              <w:right w:val="single" w:sz="2" w:space="0" w:color="auto"/>
            </w:tcBorders>
            <w:vAlign w:val="center"/>
          </w:tcPr>
          <w:p w14:paraId="56A3D90D"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66CAA0F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068DE40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74.13 ± 1.01</w:t>
            </w:r>
          </w:p>
        </w:tc>
        <w:tc>
          <w:tcPr>
            <w:tcW w:w="0" w:type="auto"/>
            <w:vAlign w:val="center"/>
          </w:tcPr>
          <w:p w14:paraId="0C7167D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25.87 ± 1.01</w:t>
            </w:r>
          </w:p>
        </w:tc>
        <w:tc>
          <w:tcPr>
            <w:tcW w:w="0" w:type="auto"/>
            <w:tcBorders>
              <w:left w:val="single" w:sz="2" w:space="0" w:color="auto"/>
            </w:tcBorders>
            <w:vAlign w:val="center"/>
          </w:tcPr>
          <w:p w14:paraId="75A861C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14.22 ± 0.72</w:t>
            </w:r>
          </w:p>
        </w:tc>
        <w:tc>
          <w:tcPr>
            <w:tcW w:w="0" w:type="auto"/>
            <w:tcBorders>
              <w:left w:val="single" w:sz="2" w:space="0" w:color="auto"/>
            </w:tcBorders>
            <w:vAlign w:val="center"/>
          </w:tcPr>
          <w:p w14:paraId="57BC6A4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8.95 ± 0.41</w:t>
            </w:r>
          </w:p>
        </w:tc>
        <w:tc>
          <w:tcPr>
            <w:tcW w:w="0" w:type="auto"/>
            <w:tcBorders>
              <w:left w:val="single" w:sz="2" w:space="0" w:color="auto"/>
            </w:tcBorders>
            <w:vAlign w:val="center"/>
          </w:tcPr>
          <w:p w14:paraId="7247302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3.06 ± 0.19</w:t>
            </w:r>
          </w:p>
        </w:tc>
      </w:tr>
      <w:tr w:rsidR="006244D7" w14:paraId="28F7BCB2" w14:textId="77777777">
        <w:trPr>
          <w:tblCellSpacing w:w="15" w:type="dxa"/>
          <w:jc w:val="center"/>
        </w:trPr>
        <w:tc>
          <w:tcPr>
            <w:tcW w:w="0" w:type="auto"/>
            <w:tcBorders>
              <w:right w:val="single" w:sz="2" w:space="0" w:color="auto"/>
            </w:tcBorders>
            <w:vAlign w:val="center"/>
          </w:tcPr>
          <w:p w14:paraId="3E33E0E0"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6746C18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207BFF5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4FFF5A2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232C18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4036D10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1FCC3F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r>
      <w:tr w:rsidR="006244D7" w14:paraId="4577B997" w14:textId="77777777">
        <w:trPr>
          <w:tblCellSpacing w:w="15" w:type="dxa"/>
          <w:jc w:val="center"/>
        </w:trPr>
        <w:tc>
          <w:tcPr>
            <w:tcW w:w="0" w:type="auto"/>
            <w:tcBorders>
              <w:top w:val="single" w:sz="2" w:space="0" w:color="auto"/>
              <w:right w:val="single" w:sz="2" w:space="0" w:color="auto"/>
            </w:tcBorders>
            <w:vAlign w:val="center"/>
          </w:tcPr>
          <w:p w14:paraId="430EAED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Mid cut</w:t>
            </w:r>
          </w:p>
        </w:tc>
        <w:tc>
          <w:tcPr>
            <w:tcW w:w="0" w:type="auto"/>
            <w:tcBorders>
              <w:top w:val="single" w:sz="2" w:space="0" w:color="auto"/>
            </w:tcBorders>
            <w:vAlign w:val="center"/>
          </w:tcPr>
          <w:p w14:paraId="25562E1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76332D3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 ± 0.53</w:t>
            </w:r>
          </w:p>
        </w:tc>
        <w:tc>
          <w:tcPr>
            <w:tcW w:w="0" w:type="auto"/>
            <w:tcBorders>
              <w:top w:val="single" w:sz="2" w:space="0" w:color="auto"/>
            </w:tcBorders>
            <w:vAlign w:val="center"/>
          </w:tcPr>
          <w:p w14:paraId="2459FF9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25.26 ± 0.53</w:t>
            </w:r>
          </w:p>
        </w:tc>
        <w:tc>
          <w:tcPr>
            <w:tcW w:w="0" w:type="auto"/>
            <w:tcBorders>
              <w:top w:val="single" w:sz="2" w:space="0" w:color="auto"/>
              <w:left w:val="single" w:sz="2" w:space="0" w:color="auto"/>
            </w:tcBorders>
            <w:vAlign w:val="center"/>
          </w:tcPr>
          <w:p w14:paraId="2BAF9D6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15.37 ± 1.27</w:t>
            </w:r>
          </w:p>
        </w:tc>
        <w:tc>
          <w:tcPr>
            <w:tcW w:w="0" w:type="auto"/>
            <w:tcBorders>
              <w:top w:val="single" w:sz="2" w:space="0" w:color="auto"/>
              <w:left w:val="single" w:sz="2" w:space="0" w:color="auto"/>
            </w:tcBorders>
            <w:vAlign w:val="center"/>
          </w:tcPr>
          <w:p w14:paraId="0B352AF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13.60 ± 0.23ᵃ</w:t>
            </w:r>
          </w:p>
        </w:tc>
        <w:tc>
          <w:tcPr>
            <w:tcW w:w="0" w:type="auto"/>
            <w:tcBorders>
              <w:top w:val="single" w:sz="2" w:space="0" w:color="auto"/>
              <w:left w:val="single" w:sz="2" w:space="0" w:color="auto"/>
            </w:tcBorders>
            <w:vAlign w:val="center"/>
          </w:tcPr>
          <w:p w14:paraId="11BE1D5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1.91 ± 0.11ᵇ</w:t>
            </w:r>
          </w:p>
        </w:tc>
      </w:tr>
      <w:tr w:rsidR="006244D7" w14:paraId="7FFCE297" w14:textId="77777777">
        <w:trPr>
          <w:tblCellSpacing w:w="15" w:type="dxa"/>
          <w:jc w:val="center"/>
        </w:trPr>
        <w:tc>
          <w:tcPr>
            <w:tcW w:w="0" w:type="auto"/>
            <w:tcBorders>
              <w:right w:val="single" w:sz="2" w:space="0" w:color="auto"/>
            </w:tcBorders>
            <w:vAlign w:val="center"/>
          </w:tcPr>
          <w:p w14:paraId="1D17B7CA"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31F2835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3FA695D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74.90 ± 0.44</w:t>
            </w:r>
          </w:p>
        </w:tc>
        <w:tc>
          <w:tcPr>
            <w:tcW w:w="0" w:type="auto"/>
            <w:vAlign w:val="center"/>
          </w:tcPr>
          <w:p w14:paraId="74CE8FF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25.10 ± 0.44</w:t>
            </w:r>
          </w:p>
        </w:tc>
        <w:tc>
          <w:tcPr>
            <w:tcW w:w="0" w:type="auto"/>
            <w:tcBorders>
              <w:left w:val="single" w:sz="2" w:space="0" w:color="auto"/>
            </w:tcBorders>
            <w:vAlign w:val="center"/>
          </w:tcPr>
          <w:p w14:paraId="337638D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15.67 ± 0.34</w:t>
            </w:r>
          </w:p>
        </w:tc>
        <w:tc>
          <w:tcPr>
            <w:tcW w:w="0" w:type="auto"/>
            <w:tcBorders>
              <w:left w:val="single" w:sz="2" w:space="0" w:color="auto"/>
            </w:tcBorders>
            <w:vAlign w:val="center"/>
          </w:tcPr>
          <w:p w14:paraId="59708EC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11.36 ± 0.42ᵇ</w:t>
            </w:r>
          </w:p>
        </w:tc>
        <w:tc>
          <w:tcPr>
            <w:tcW w:w="0" w:type="auto"/>
            <w:tcBorders>
              <w:left w:val="single" w:sz="2" w:space="0" w:color="auto"/>
            </w:tcBorders>
            <w:vAlign w:val="center"/>
          </w:tcPr>
          <w:p w14:paraId="4E21C12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2.46 ± 0.14ᵃ</w:t>
            </w:r>
          </w:p>
        </w:tc>
      </w:tr>
      <w:tr w:rsidR="006244D7" w14:paraId="1E713119" w14:textId="77777777">
        <w:trPr>
          <w:tblCellSpacing w:w="15" w:type="dxa"/>
          <w:jc w:val="center"/>
        </w:trPr>
        <w:tc>
          <w:tcPr>
            <w:tcW w:w="0" w:type="auto"/>
            <w:tcBorders>
              <w:bottom w:val="single" w:sz="2" w:space="0" w:color="auto"/>
              <w:right w:val="single" w:sz="2" w:space="0" w:color="auto"/>
            </w:tcBorders>
            <w:vAlign w:val="center"/>
          </w:tcPr>
          <w:p w14:paraId="238DB5BD"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2" w:space="0" w:color="auto"/>
            </w:tcBorders>
            <w:vAlign w:val="center"/>
          </w:tcPr>
          <w:p w14:paraId="0E81E94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bottom w:val="single" w:sz="2" w:space="0" w:color="auto"/>
              <w:right w:val="single" w:sz="2" w:space="0" w:color="auto"/>
            </w:tcBorders>
            <w:vAlign w:val="center"/>
          </w:tcPr>
          <w:p w14:paraId="28E0206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bottom w:val="single" w:sz="2" w:space="0" w:color="auto"/>
            </w:tcBorders>
            <w:vAlign w:val="center"/>
          </w:tcPr>
          <w:p w14:paraId="39485C7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281153B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bottom w:val="single" w:sz="2" w:space="0" w:color="auto"/>
            </w:tcBorders>
            <w:vAlign w:val="center"/>
          </w:tcPr>
          <w:p w14:paraId="3BC6978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c>
          <w:tcPr>
            <w:tcW w:w="0" w:type="auto"/>
            <w:tcBorders>
              <w:left w:val="single" w:sz="2" w:space="0" w:color="auto"/>
              <w:bottom w:val="single" w:sz="2" w:space="0" w:color="auto"/>
            </w:tcBorders>
            <w:vAlign w:val="center"/>
          </w:tcPr>
          <w:p w14:paraId="4CB031B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6244D7" w14:paraId="0F64D631" w14:textId="77777777">
        <w:trPr>
          <w:tblCellSpacing w:w="15" w:type="dxa"/>
          <w:jc w:val="center"/>
        </w:trPr>
        <w:tc>
          <w:tcPr>
            <w:tcW w:w="0" w:type="auto"/>
            <w:tcBorders>
              <w:right w:val="single" w:sz="2" w:space="0" w:color="auto"/>
            </w:tcBorders>
            <w:vAlign w:val="center"/>
          </w:tcPr>
          <w:p w14:paraId="7775553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Hind cut</w:t>
            </w:r>
          </w:p>
        </w:tc>
        <w:tc>
          <w:tcPr>
            <w:tcW w:w="0" w:type="auto"/>
            <w:vAlign w:val="center"/>
          </w:tcPr>
          <w:p w14:paraId="6B52DD3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left w:val="single" w:sz="2" w:space="0" w:color="auto"/>
              <w:right w:val="single" w:sz="2" w:space="0" w:color="auto"/>
            </w:tcBorders>
            <w:vAlign w:val="center"/>
          </w:tcPr>
          <w:p w14:paraId="64FE91A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74.49 ± 0.22</w:t>
            </w:r>
          </w:p>
        </w:tc>
        <w:tc>
          <w:tcPr>
            <w:tcW w:w="0" w:type="auto"/>
            <w:vAlign w:val="center"/>
          </w:tcPr>
          <w:p w14:paraId="15259BF1"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25.51 ± 0.22</w:t>
            </w:r>
          </w:p>
        </w:tc>
        <w:tc>
          <w:tcPr>
            <w:tcW w:w="0" w:type="auto"/>
            <w:tcBorders>
              <w:left w:val="single" w:sz="2" w:space="0" w:color="auto"/>
            </w:tcBorders>
            <w:vAlign w:val="center"/>
          </w:tcPr>
          <w:p w14:paraId="5EDC26D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18.06 ± 0.26</w:t>
            </w:r>
          </w:p>
        </w:tc>
        <w:tc>
          <w:tcPr>
            <w:tcW w:w="0" w:type="auto"/>
            <w:tcBorders>
              <w:left w:val="single" w:sz="2" w:space="0" w:color="auto"/>
            </w:tcBorders>
            <w:vAlign w:val="center"/>
          </w:tcPr>
          <w:p w14:paraId="3ECB1272"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11.04 ± 0.24</w:t>
            </w:r>
          </w:p>
        </w:tc>
        <w:tc>
          <w:tcPr>
            <w:tcW w:w="0" w:type="auto"/>
            <w:tcBorders>
              <w:left w:val="single" w:sz="2" w:space="0" w:color="auto"/>
            </w:tcBorders>
            <w:vAlign w:val="center"/>
          </w:tcPr>
          <w:p w14:paraId="0F8F816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3.00 ± 0.36ᵇ</w:t>
            </w:r>
          </w:p>
        </w:tc>
      </w:tr>
      <w:tr w:rsidR="006244D7" w14:paraId="5B4F111A" w14:textId="77777777">
        <w:trPr>
          <w:tblCellSpacing w:w="15" w:type="dxa"/>
          <w:jc w:val="center"/>
        </w:trPr>
        <w:tc>
          <w:tcPr>
            <w:tcW w:w="0" w:type="auto"/>
            <w:tcBorders>
              <w:right w:val="single" w:sz="2" w:space="0" w:color="auto"/>
            </w:tcBorders>
            <w:vAlign w:val="center"/>
          </w:tcPr>
          <w:p w14:paraId="2A79D3FE"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1EC687F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right w:val="single" w:sz="2" w:space="0" w:color="auto"/>
            </w:tcBorders>
            <w:vAlign w:val="center"/>
          </w:tcPr>
          <w:p w14:paraId="415B26F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75.87 ± 0.69</w:t>
            </w:r>
          </w:p>
        </w:tc>
        <w:tc>
          <w:tcPr>
            <w:tcW w:w="0" w:type="auto"/>
            <w:vAlign w:val="center"/>
          </w:tcPr>
          <w:p w14:paraId="60F36EF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24.13 ± 0.69</w:t>
            </w:r>
          </w:p>
        </w:tc>
        <w:tc>
          <w:tcPr>
            <w:tcW w:w="0" w:type="auto"/>
            <w:tcBorders>
              <w:left w:val="single" w:sz="2" w:space="0" w:color="auto"/>
            </w:tcBorders>
            <w:vAlign w:val="center"/>
          </w:tcPr>
          <w:p w14:paraId="75F5806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16.80 ± 0.73</w:t>
            </w:r>
          </w:p>
        </w:tc>
        <w:tc>
          <w:tcPr>
            <w:tcW w:w="0" w:type="auto"/>
            <w:tcBorders>
              <w:left w:val="single" w:sz="2" w:space="0" w:color="auto"/>
            </w:tcBorders>
            <w:vAlign w:val="center"/>
          </w:tcPr>
          <w:p w14:paraId="664CCF5B"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9.68 ± 0.41</w:t>
            </w:r>
          </w:p>
        </w:tc>
        <w:tc>
          <w:tcPr>
            <w:tcW w:w="0" w:type="auto"/>
            <w:tcBorders>
              <w:left w:val="single" w:sz="2" w:space="0" w:color="auto"/>
            </w:tcBorders>
            <w:vAlign w:val="center"/>
          </w:tcPr>
          <w:p w14:paraId="2BBBB65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3.73 ± 0.24ᵃ</w:t>
            </w:r>
          </w:p>
        </w:tc>
      </w:tr>
      <w:tr w:rsidR="006244D7" w14:paraId="05DE72CE" w14:textId="77777777">
        <w:trPr>
          <w:tblCellSpacing w:w="15" w:type="dxa"/>
          <w:jc w:val="center"/>
        </w:trPr>
        <w:tc>
          <w:tcPr>
            <w:tcW w:w="0" w:type="auto"/>
            <w:tcBorders>
              <w:right w:val="single" w:sz="2" w:space="0" w:color="auto"/>
            </w:tcBorders>
            <w:vAlign w:val="center"/>
          </w:tcPr>
          <w:p w14:paraId="03500910"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vAlign w:val="center"/>
          </w:tcPr>
          <w:p w14:paraId="30784C8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p-value</w:t>
            </w:r>
          </w:p>
        </w:tc>
        <w:tc>
          <w:tcPr>
            <w:tcW w:w="0" w:type="auto"/>
            <w:tcBorders>
              <w:left w:val="single" w:sz="2" w:space="0" w:color="auto"/>
              <w:right w:val="single" w:sz="2" w:space="0" w:color="auto"/>
            </w:tcBorders>
            <w:vAlign w:val="center"/>
          </w:tcPr>
          <w:p w14:paraId="121CCD36"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vAlign w:val="center"/>
          </w:tcPr>
          <w:p w14:paraId="75F945E3"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76FB1B4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1A52A93F"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NS</w:t>
            </w:r>
          </w:p>
        </w:tc>
        <w:tc>
          <w:tcPr>
            <w:tcW w:w="0" w:type="auto"/>
            <w:tcBorders>
              <w:left w:val="single" w:sz="2" w:space="0" w:color="auto"/>
            </w:tcBorders>
            <w:vAlign w:val="center"/>
          </w:tcPr>
          <w:p w14:paraId="703394C0"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p &lt; 0.05</w:t>
            </w:r>
          </w:p>
        </w:tc>
      </w:tr>
      <w:tr w:rsidR="006244D7" w14:paraId="13376133" w14:textId="77777777">
        <w:trPr>
          <w:tblCellSpacing w:w="15" w:type="dxa"/>
          <w:jc w:val="center"/>
        </w:trPr>
        <w:tc>
          <w:tcPr>
            <w:tcW w:w="0" w:type="auto"/>
            <w:tcBorders>
              <w:top w:val="single" w:sz="2" w:space="0" w:color="auto"/>
              <w:right w:val="single" w:sz="2" w:space="0" w:color="auto"/>
            </w:tcBorders>
            <w:vAlign w:val="center"/>
          </w:tcPr>
          <w:p w14:paraId="41E6EF6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b/>
                <w:bCs/>
                <w:color w:val="000000" w:themeColor="text1"/>
                <w:sz w:val="20"/>
                <w:szCs w:val="20"/>
                <w:lang w:eastAsia="en-IN"/>
              </w:rPr>
              <w:t>Pooled</w:t>
            </w:r>
          </w:p>
        </w:tc>
        <w:tc>
          <w:tcPr>
            <w:tcW w:w="0" w:type="auto"/>
            <w:tcBorders>
              <w:top w:val="single" w:sz="2" w:space="0" w:color="auto"/>
            </w:tcBorders>
            <w:vAlign w:val="center"/>
          </w:tcPr>
          <w:p w14:paraId="537BF0F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Red tilapia</w:t>
            </w:r>
          </w:p>
        </w:tc>
        <w:tc>
          <w:tcPr>
            <w:tcW w:w="0" w:type="auto"/>
            <w:tcBorders>
              <w:top w:val="single" w:sz="2" w:space="0" w:color="auto"/>
              <w:left w:val="single" w:sz="2" w:space="0" w:color="auto"/>
              <w:right w:val="single" w:sz="2" w:space="0" w:color="auto"/>
            </w:tcBorders>
            <w:vAlign w:val="center"/>
          </w:tcPr>
          <w:p w14:paraId="54D8927E"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74.73</w:t>
            </w:r>
          </w:p>
        </w:tc>
        <w:tc>
          <w:tcPr>
            <w:tcW w:w="0" w:type="auto"/>
            <w:tcBorders>
              <w:top w:val="single" w:sz="2" w:space="0" w:color="auto"/>
            </w:tcBorders>
            <w:vAlign w:val="center"/>
          </w:tcPr>
          <w:p w14:paraId="1378C64A"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25.27</w:t>
            </w:r>
          </w:p>
        </w:tc>
        <w:tc>
          <w:tcPr>
            <w:tcW w:w="0" w:type="auto"/>
            <w:tcBorders>
              <w:top w:val="single" w:sz="2" w:space="0" w:color="auto"/>
              <w:left w:val="single" w:sz="2" w:space="0" w:color="auto"/>
            </w:tcBorders>
            <w:vAlign w:val="center"/>
          </w:tcPr>
          <w:p w14:paraId="1B5BC88C"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15.93</w:t>
            </w:r>
          </w:p>
        </w:tc>
        <w:tc>
          <w:tcPr>
            <w:tcW w:w="0" w:type="auto"/>
            <w:tcBorders>
              <w:top w:val="single" w:sz="2" w:space="0" w:color="auto"/>
              <w:left w:val="single" w:sz="2" w:space="0" w:color="auto"/>
            </w:tcBorders>
            <w:vAlign w:val="center"/>
          </w:tcPr>
          <w:p w14:paraId="2B29572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11.24</w:t>
            </w:r>
          </w:p>
        </w:tc>
        <w:tc>
          <w:tcPr>
            <w:tcW w:w="0" w:type="auto"/>
            <w:tcBorders>
              <w:top w:val="single" w:sz="2" w:space="0" w:color="auto"/>
              <w:left w:val="single" w:sz="2" w:space="0" w:color="auto"/>
            </w:tcBorders>
            <w:vAlign w:val="center"/>
          </w:tcPr>
          <w:p w14:paraId="6C01917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2.57</w:t>
            </w:r>
          </w:p>
        </w:tc>
      </w:tr>
      <w:tr w:rsidR="006244D7" w14:paraId="39D02941" w14:textId="77777777">
        <w:trPr>
          <w:tblCellSpacing w:w="15" w:type="dxa"/>
          <w:jc w:val="center"/>
        </w:trPr>
        <w:tc>
          <w:tcPr>
            <w:tcW w:w="0" w:type="auto"/>
            <w:tcBorders>
              <w:bottom w:val="single" w:sz="18" w:space="0" w:color="auto"/>
              <w:right w:val="single" w:sz="2" w:space="0" w:color="auto"/>
            </w:tcBorders>
            <w:vAlign w:val="center"/>
          </w:tcPr>
          <w:p w14:paraId="4E988D82" w14:textId="77777777" w:rsidR="006244D7" w:rsidRDefault="006244D7">
            <w:pPr>
              <w:spacing w:after="0" w:line="480" w:lineRule="auto"/>
              <w:jc w:val="both"/>
              <w:rPr>
                <w:rFonts w:ascii="Arial" w:eastAsia="Times New Roman" w:hAnsi="Arial" w:cs="Arial"/>
                <w:color w:val="000000" w:themeColor="text1"/>
                <w:sz w:val="20"/>
                <w:szCs w:val="20"/>
                <w:lang w:eastAsia="en-IN"/>
              </w:rPr>
            </w:pPr>
          </w:p>
        </w:tc>
        <w:tc>
          <w:tcPr>
            <w:tcW w:w="0" w:type="auto"/>
            <w:tcBorders>
              <w:bottom w:val="single" w:sz="18" w:space="0" w:color="auto"/>
            </w:tcBorders>
            <w:vAlign w:val="center"/>
          </w:tcPr>
          <w:p w14:paraId="4D79A5F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GIFT tilapia</w:t>
            </w:r>
          </w:p>
        </w:tc>
        <w:tc>
          <w:tcPr>
            <w:tcW w:w="0" w:type="auto"/>
            <w:tcBorders>
              <w:left w:val="single" w:sz="2" w:space="0" w:color="auto"/>
              <w:bottom w:val="single" w:sz="18" w:space="0" w:color="auto"/>
              <w:right w:val="single" w:sz="2" w:space="0" w:color="auto"/>
            </w:tcBorders>
            <w:vAlign w:val="center"/>
          </w:tcPr>
          <w:p w14:paraId="4EE0EA9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74.97</w:t>
            </w:r>
          </w:p>
        </w:tc>
        <w:tc>
          <w:tcPr>
            <w:tcW w:w="0" w:type="auto"/>
            <w:tcBorders>
              <w:bottom w:val="single" w:sz="18" w:space="0" w:color="auto"/>
            </w:tcBorders>
            <w:vAlign w:val="center"/>
          </w:tcPr>
          <w:p w14:paraId="25949858"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25.03</w:t>
            </w:r>
          </w:p>
        </w:tc>
        <w:tc>
          <w:tcPr>
            <w:tcW w:w="0" w:type="auto"/>
            <w:tcBorders>
              <w:left w:val="single" w:sz="2" w:space="0" w:color="auto"/>
              <w:bottom w:val="single" w:sz="18" w:space="0" w:color="auto"/>
            </w:tcBorders>
            <w:vAlign w:val="center"/>
          </w:tcPr>
          <w:p w14:paraId="50A53A9D"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15.56</w:t>
            </w:r>
          </w:p>
        </w:tc>
        <w:tc>
          <w:tcPr>
            <w:tcW w:w="0" w:type="auto"/>
            <w:tcBorders>
              <w:left w:val="single" w:sz="2" w:space="0" w:color="auto"/>
              <w:bottom w:val="single" w:sz="18" w:space="0" w:color="auto"/>
            </w:tcBorders>
            <w:vAlign w:val="center"/>
          </w:tcPr>
          <w:p w14:paraId="6DC68049"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9.99</w:t>
            </w:r>
          </w:p>
        </w:tc>
        <w:tc>
          <w:tcPr>
            <w:tcW w:w="0" w:type="auto"/>
            <w:tcBorders>
              <w:left w:val="single" w:sz="2" w:space="0" w:color="auto"/>
              <w:bottom w:val="single" w:sz="18" w:space="0" w:color="auto"/>
            </w:tcBorders>
            <w:vAlign w:val="center"/>
          </w:tcPr>
          <w:p w14:paraId="733455E5" w14:textId="77777777" w:rsidR="006244D7" w:rsidRDefault="00000000">
            <w:pPr>
              <w:spacing w:after="0" w:line="480" w:lineRule="auto"/>
              <w:jc w:val="both"/>
              <w:rPr>
                <w:rFonts w:ascii="Arial" w:eastAsia="Times New Roman" w:hAnsi="Arial" w:cs="Arial"/>
                <w:color w:val="000000" w:themeColor="text1"/>
                <w:sz w:val="20"/>
                <w:szCs w:val="20"/>
                <w:lang w:eastAsia="en-IN"/>
              </w:rPr>
            </w:pPr>
            <w:r>
              <w:rPr>
                <w:rFonts w:ascii="Arial" w:eastAsia="Times New Roman" w:hAnsi="Arial" w:cs="Arial"/>
                <w:color w:val="000000" w:themeColor="text1"/>
                <w:sz w:val="20"/>
                <w:szCs w:val="20"/>
                <w:lang w:eastAsia="en-IN"/>
              </w:rPr>
              <w:t>3.08</w:t>
            </w:r>
          </w:p>
        </w:tc>
      </w:tr>
    </w:tbl>
    <w:p w14:paraId="01CB6E38" w14:textId="77777777" w:rsidR="006244D7" w:rsidRDefault="00000000">
      <w:pPr>
        <w:spacing w:line="480" w:lineRule="auto"/>
        <w:jc w:val="both"/>
        <w:rPr>
          <w:rFonts w:ascii="Arial" w:hAnsi="Arial" w:cs="Arial"/>
          <w:color w:val="000000" w:themeColor="text1"/>
          <w:sz w:val="20"/>
          <w:szCs w:val="20"/>
        </w:rPr>
      </w:pPr>
      <w:r>
        <w:rPr>
          <w:rFonts w:ascii="Arial" w:hAnsi="Arial" w:cs="Arial"/>
          <w:color w:val="000000" w:themeColor="text1"/>
          <w:sz w:val="20"/>
          <w:szCs w:val="20"/>
        </w:rPr>
        <w:t>*</w:t>
      </w:r>
      <w:r>
        <w:rPr>
          <w:rFonts w:ascii="Arial" w:hAnsi="Arial" w:cs="Arial"/>
          <w:i/>
          <w:color w:val="000000" w:themeColor="text1"/>
          <w:sz w:val="20"/>
          <w:szCs w:val="20"/>
        </w:rPr>
        <w:t>Values are expressed as the means ± SE; in each cut, mean values with different superscripts in a column differ significantly (p &lt; 0.05); NS = No significant difference.</w:t>
      </w:r>
    </w:p>
    <w:p w14:paraId="74501862"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At the end of the trial </w:t>
      </w:r>
      <w:r>
        <w:rPr>
          <w:rFonts w:ascii="Arial" w:hAnsi="Arial" w:cs="Arial"/>
          <w:b/>
          <w:color w:val="000000" w:themeColor="text1"/>
          <w:sz w:val="20"/>
          <w:szCs w:val="20"/>
        </w:rPr>
        <w:t>(Table 2)</w:t>
      </w:r>
      <w:r>
        <w:rPr>
          <w:rFonts w:ascii="Arial" w:hAnsi="Arial" w:cs="Arial"/>
          <w:color w:val="000000" w:themeColor="text1"/>
          <w:sz w:val="20"/>
          <w:szCs w:val="20"/>
        </w:rPr>
        <w:t xml:space="preserve">, both GIFT and Red tilapia exhibited increased protein content with red tilapia showing a slightly higher crude protein percentage compared to GIFT tilapia. Red tilapia also had marginally lower moisture content, indicating denser and potentially higher-quality flesh. Although crude lipid content showed no significant differences between the two strains ash content was slightly higher in GIFT, suggesting better mineral retention. </w:t>
      </w:r>
    </w:p>
    <w:p w14:paraId="3FC450BB"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lastRenderedPageBreak/>
        <w:t>The initial weight (kg) of red tilapia in a single pond was 26.4kg each. After 180 days, the weight of red tilapia in a single pond was 581.6 kg. The increase in weight was 555.2kg (581.6kg-26.4kg). The initial weight(kg) of GIFT tilapia in a single pond was 26.4kg each. After 180 days, the weight of GIFT tilapia in a single pond was 611.3kg. The increase in weight was 585.3 kg (611.3kg-26.4kg). The difference of yield shows that commercial production of GIFT strain is more compared to red strain.</w:t>
      </w:r>
    </w:p>
    <w:p w14:paraId="6959DA57" w14:textId="77777777" w:rsidR="006244D7" w:rsidRDefault="00000000">
      <w:pPr>
        <w:spacing w:line="480" w:lineRule="auto"/>
        <w:ind w:firstLine="720"/>
        <w:jc w:val="both"/>
        <w:rPr>
          <w:rFonts w:ascii="Arial" w:hAnsi="Arial" w:cs="Arial"/>
          <w:color w:val="000000" w:themeColor="text1"/>
        </w:rPr>
      </w:pPr>
      <w:r>
        <w:rPr>
          <w:rFonts w:ascii="Arial" w:hAnsi="Arial" w:cs="Arial"/>
          <w:b/>
          <w:color w:val="000000" w:themeColor="text1"/>
        </w:rPr>
        <w:t>CONCLUSION</w:t>
      </w:r>
    </w:p>
    <w:p w14:paraId="371A3597"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4"/>
          <w:szCs w:val="24"/>
        </w:rPr>
        <w:t xml:space="preserve"> </w:t>
      </w:r>
      <w:r>
        <w:rPr>
          <w:rFonts w:ascii="Arial" w:hAnsi="Arial" w:cs="Arial"/>
          <w:color w:val="000000" w:themeColor="text1"/>
          <w:sz w:val="20"/>
          <w:szCs w:val="20"/>
        </w:rPr>
        <w:t xml:space="preserve">The results clearly demonstrated that the GIFT strain consistently outperformed the </w:t>
      </w:r>
      <w:proofErr w:type="gramStart"/>
      <w:r>
        <w:rPr>
          <w:rFonts w:ascii="Arial" w:hAnsi="Arial" w:cs="Arial"/>
          <w:color w:val="000000" w:themeColor="text1"/>
          <w:sz w:val="20"/>
          <w:szCs w:val="20"/>
        </w:rPr>
        <w:t>Red</w:t>
      </w:r>
      <w:proofErr w:type="gramEnd"/>
      <w:r>
        <w:rPr>
          <w:rFonts w:ascii="Arial" w:hAnsi="Arial" w:cs="Arial"/>
          <w:color w:val="000000" w:themeColor="text1"/>
          <w:sz w:val="20"/>
          <w:szCs w:val="20"/>
        </w:rPr>
        <w:t xml:space="preserve"> strain across multiple growth parameters. GIFT tilapia achieved significantly higher final body weight, specific growth rate (SGR) and better feed conversion efficiency, reflecting superior genetic potential for rapid growth and nutrient utilization. Furthermore, the GIFT strain exhibited a higher dressed body and fillet yield, particularly from the mid-cut carcass section and demonstrated a better meat-to-bone ratio—traits highly valued in commercial aquaculture for maximizing marketable yield. </w:t>
      </w:r>
    </w:p>
    <w:p w14:paraId="0386B09C" w14:textId="77777777"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In terms of nutritional composition, red tilapia contained slightly higher crude protein and lipid content along with a denser muscle structure due to lower moisture content. </w:t>
      </w:r>
    </w:p>
    <w:p w14:paraId="61320079" w14:textId="22FCCAC9" w:rsidR="006244D7" w:rsidRDefault="00000000">
      <w:pPr>
        <w:spacing w:line="480" w:lineRule="auto"/>
        <w:ind w:firstLine="720"/>
        <w:jc w:val="both"/>
        <w:rPr>
          <w:rFonts w:ascii="Arial" w:hAnsi="Arial" w:cs="Arial"/>
          <w:color w:val="000000" w:themeColor="text1"/>
          <w:sz w:val="20"/>
          <w:szCs w:val="20"/>
        </w:rPr>
      </w:pPr>
      <w:r>
        <w:rPr>
          <w:rFonts w:ascii="Arial" w:hAnsi="Arial" w:cs="Arial"/>
          <w:color w:val="000000" w:themeColor="text1"/>
          <w:sz w:val="20"/>
          <w:szCs w:val="20"/>
        </w:rPr>
        <w:t xml:space="preserve">This research confirms that red tilapia offers nutritional benefit to consumers </w:t>
      </w:r>
      <w:r w:rsidR="006D1F5C">
        <w:rPr>
          <w:rFonts w:ascii="Arial" w:hAnsi="Arial" w:cs="Arial"/>
          <w:color w:val="000000" w:themeColor="text1"/>
          <w:sz w:val="20"/>
          <w:szCs w:val="20"/>
        </w:rPr>
        <w:t>through</w:t>
      </w:r>
      <w:r>
        <w:rPr>
          <w:rFonts w:ascii="Arial" w:hAnsi="Arial" w:cs="Arial"/>
          <w:color w:val="000000" w:themeColor="text1"/>
          <w:sz w:val="20"/>
          <w:szCs w:val="20"/>
        </w:rPr>
        <w:t xml:space="preserve"> its nutrient dense flesh whereas GIFT tilapia has a genetically improved strain with superior growth and yield efficiency which are suitable for commercial aquaculture enhancing productivity and profitability in fish farming operations. </w:t>
      </w:r>
    </w:p>
    <w:p w14:paraId="56491DD0" w14:textId="77777777" w:rsidR="006244D7" w:rsidRDefault="00000000">
      <w:pPr>
        <w:rPr>
          <w:rFonts w:ascii="Arial" w:eastAsia="Calibri" w:hAnsi="Arial" w:cs="Arial"/>
          <w:b/>
          <w:bCs/>
          <w:kern w:val="2"/>
          <w:lang w:val="en-US"/>
        </w:rPr>
      </w:pPr>
      <w:bookmarkStart w:id="0" w:name="_Hlk209007716"/>
      <w:bookmarkStart w:id="1" w:name="_Hlk204003461"/>
      <w:r>
        <w:rPr>
          <w:rFonts w:ascii="Arial" w:eastAsia="Calibri" w:hAnsi="Arial" w:cs="Arial"/>
          <w:b/>
          <w:bCs/>
          <w:kern w:val="2"/>
          <w:lang w:val="en-US"/>
        </w:rPr>
        <w:t>Disclaimer (Artificial intelligence)</w:t>
      </w:r>
    </w:p>
    <w:p w14:paraId="4E099811" w14:textId="77777777" w:rsidR="006244D7" w:rsidRDefault="00000000">
      <w:pPr>
        <w:spacing w:line="480" w:lineRule="auto"/>
        <w:ind w:firstLine="720"/>
        <w:rPr>
          <w:rFonts w:ascii="Arial" w:eastAsia="Calibri" w:hAnsi="Arial" w:cs="Arial"/>
          <w:kern w:val="2"/>
          <w:sz w:val="20"/>
          <w:szCs w:val="20"/>
          <w:lang w:val="en-US"/>
        </w:rPr>
      </w:pPr>
      <w:r>
        <w:rPr>
          <w:rFonts w:ascii="Arial" w:eastAsia="Calibri" w:hAnsi="Arial" w:cs="Arial"/>
          <w:kern w:val="2"/>
          <w:sz w:val="20"/>
          <w:szCs w:val="20"/>
        </w:rPr>
        <w:t>We, the authors</w:t>
      </w:r>
      <w:r>
        <w:rPr>
          <w:rFonts w:ascii="Arial" w:eastAsia="Calibri" w:hAnsi="Arial" w:cs="Arial"/>
          <w:kern w:val="2"/>
          <w:sz w:val="20"/>
          <w:szCs w:val="20"/>
          <w:lang w:val="en-US"/>
        </w:rPr>
        <w:t xml:space="preserve"> hereby declare that NO generative AI technologies such as Large Language Models (ChatGPT, COPILOT, etc.) and text-to-image generators have been used during the writing or editing of this manuscript. </w:t>
      </w:r>
    </w:p>
    <w:bookmarkEnd w:id="0"/>
    <w:bookmarkEnd w:id="1"/>
    <w:p w14:paraId="611BA668" w14:textId="77777777" w:rsidR="006244D7" w:rsidRDefault="00000000">
      <w:pPr>
        <w:pStyle w:val="ListParagraph"/>
        <w:numPr>
          <w:ilvl w:val="0"/>
          <w:numId w:val="1"/>
        </w:numPr>
        <w:spacing w:before="240" w:line="480" w:lineRule="auto"/>
        <w:jc w:val="both"/>
        <w:rPr>
          <w:rFonts w:ascii="Arial" w:hAnsi="Arial" w:cs="Arial"/>
          <w:b/>
          <w:color w:val="000000" w:themeColor="text1"/>
        </w:rPr>
      </w:pPr>
      <w:r>
        <w:rPr>
          <w:rFonts w:ascii="Arial" w:hAnsi="Arial" w:cs="Arial"/>
          <w:b/>
          <w:color w:val="000000" w:themeColor="text1"/>
        </w:rPr>
        <w:t>REFERENCE</w:t>
      </w:r>
    </w:p>
    <w:p w14:paraId="7CCBC2A3"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Ahmad, N., &amp; </w:t>
      </w:r>
      <w:proofErr w:type="spellStart"/>
      <w:r w:rsidRPr="002961AE">
        <w:rPr>
          <w:rFonts w:ascii="Arial" w:hAnsi="Arial" w:cs="Arial"/>
          <w:color w:val="000000" w:themeColor="text1"/>
          <w:sz w:val="20"/>
          <w:szCs w:val="20"/>
        </w:rPr>
        <w:t>Zulqurnain</w:t>
      </w:r>
      <w:proofErr w:type="spellEnd"/>
      <w:r w:rsidRPr="002961AE">
        <w:rPr>
          <w:rFonts w:ascii="Arial" w:hAnsi="Arial" w:cs="Arial"/>
          <w:color w:val="000000" w:themeColor="text1"/>
          <w:sz w:val="20"/>
          <w:szCs w:val="20"/>
        </w:rPr>
        <w:t xml:space="preserve">, Z. (2018). Growth Performance of Two GIFT Strains of Nile Tilapia Oreochromis niloticus Reared under Semi-Intensive Culture. Pakistan Journal of Zoology. 50(6), pp 2301-2305 </w:t>
      </w:r>
      <w:hyperlink r:id="rId10" w:history="1">
        <w:r w:rsidR="006244D7" w:rsidRPr="002961AE">
          <w:rPr>
            <w:rStyle w:val="Hyperlink"/>
            <w:rFonts w:ascii="Arial" w:hAnsi="Arial" w:cs="Arial"/>
            <w:sz w:val="20"/>
            <w:szCs w:val="20"/>
          </w:rPr>
          <w:t>https://doi.org/10.17582/journal.pjz/2018.50.6.2301.2305</w:t>
        </w:r>
      </w:hyperlink>
    </w:p>
    <w:p w14:paraId="2FF6E5C5"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lastRenderedPageBreak/>
        <w:t xml:space="preserve">Ahmed, M. H., &amp; Ali, N. I. (2019). Comparative growth performance and feed utilization efficiency between red and GIFT tilapia (Oreochromis spp.) under semi-intensive culture. Aquaculture Research, 50(12), 3505–3513. </w:t>
      </w:r>
      <w:hyperlink r:id="rId11" w:history="1">
        <w:r w:rsidR="006244D7" w:rsidRPr="002961AE">
          <w:rPr>
            <w:rStyle w:val="Hyperlink"/>
            <w:rFonts w:ascii="Arial" w:hAnsi="Arial" w:cs="Arial"/>
            <w:color w:val="000000" w:themeColor="text1"/>
            <w:sz w:val="20"/>
            <w:szCs w:val="20"/>
            <w:u w:val="none"/>
          </w:rPr>
          <w:t>https://doi.org/10.1111/are.14305</w:t>
        </w:r>
      </w:hyperlink>
    </w:p>
    <w:p w14:paraId="2DD98877"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AOAC INTERNATIONAL. (2016). Official methods of analysis of AOAC International (20th ed.). Association of Official Analytical Chemists. </w:t>
      </w:r>
      <w:hyperlink r:id="rId12" w:history="1">
        <w:r w:rsidR="006244D7" w:rsidRPr="002961AE">
          <w:rPr>
            <w:rStyle w:val="Hyperlink"/>
            <w:rFonts w:ascii="Arial" w:hAnsi="Arial" w:cs="Arial"/>
            <w:sz w:val="20"/>
            <w:szCs w:val="20"/>
          </w:rPr>
          <w:t>https://www.eoma.aoac.org</w:t>
        </w:r>
      </w:hyperlink>
    </w:p>
    <w:p w14:paraId="0D55052A"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eastAsia="SimSun" w:hAnsi="Arial" w:cs="Arial"/>
          <w:color w:val="000000" w:themeColor="text1"/>
          <w:sz w:val="20"/>
          <w:szCs w:val="20"/>
          <w:shd w:val="clear" w:color="auto" w:fill="FFFFFF"/>
        </w:rPr>
        <w:t>APHA (1981) Standard Methods for the Examination of Water and Wastewater. 15th Edition, American Public Health Association, Washington DC.</w:t>
      </w:r>
    </w:p>
    <w:p w14:paraId="11B3DE1F" w14:textId="41839E8D" w:rsidR="006244D7" w:rsidRDefault="006D1F5C" w:rsidP="002961AE">
      <w:pPr>
        <w:pStyle w:val="Bibliography1"/>
        <w:numPr>
          <w:ilvl w:val="0"/>
          <w:numId w:val="3"/>
        </w:numPr>
        <w:jc w:val="both"/>
        <w:rPr>
          <w:rFonts w:ascii="Arial" w:hAnsi="Arial" w:cs="Arial"/>
          <w:sz w:val="20"/>
          <w:szCs w:val="20"/>
        </w:rPr>
      </w:pPr>
      <w:r>
        <w:rPr>
          <w:rFonts w:ascii="Arial" w:hAnsi="Arial" w:cs="Arial"/>
          <w:sz w:val="20"/>
          <w:szCs w:val="20"/>
        </w:rPr>
        <w:t xml:space="preserve">Caruso, G., Denaro, M. G., Caruso, R., Genovese, L., Mancari, F., &amp; </w:t>
      </w:r>
      <w:proofErr w:type="spellStart"/>
      <w:r>
        <w:rPr>
          <w:rFonts w:ascii="Arial" w:hAnsi="Arial" w:cs="Arial"/>
          <w:sz w:val="20"/>
          <w:szCs w:val="20"/>
        </w:rPr>
        <w:t>Maricchiolo</w:t>
      </w:r>
      <w:proofErr w:type="spellEnd"/>
      <w:r>
        <w:rPr>
          <w:rFonts w:ascii="Arial" w:hAnsi="Arial" w:cs="Arial"/>
          <w:sz w:val="20"/>
          <w:szCs w:val="20"/>
        </w:rPr>
        <w:t>, G. (2012). Short fasting and refeeding in red porgy (</w:t>
      </w:r>
      <w:proofErr w:type="spellStart"/>
      <w:r>
        <w:rPr>
          <w:rFonts w:ascii="Arial" w:hAnsi="Arial" w:cs="Arial"/>
          <w:sz w:val="20"/>
          <w:szCs w:val="20"/>
        </w:rPr>
        <w:t>Pagrus</w:t>
      </w:r>
      <w:proofErr w:type="spellEnd"/>
      <w:r>
        <w:rPr>
          <w:rFonts w:ascii="Arial" w:hAnsi="Arial" w:cs="Arial"/>
          <w:sz w:val="20"/>
          <w:szCs w:val="20"/>
        </w:rPr>
        <w:t xml:space="preserve"> </w:t>
      </w:r>
      <w:proofErr w:type="spellStart"/>
      <w:r>
        <w:rPr>
          <w:rFonts w:ascii="Arial" w:hAnsi="Arial" w:cs="Arial"/>
          <w:sz w:val="20"/>
          <w:szCs w:val="20"/>
        </w:rPr>
        <w:t>pagrus</w:t>
      </w:r>
      <w:proofErr w:type="spellEnd"/>
      <w:r>
        <w:rPr>
          <w:rFonts w:ascii="Arial" w:hAnsi="Arial" w:cs="Arial"/>
          <w:sz w:val="20"/>
          <w:szCs w:val="20"/>
        </w:rPr>
        <w:t xml:space="preserve">, Linnaeus 1758): Response of some haematological, biochemical and </w:t>
      </w:r>
      <w:proofErr w:type="spellStart"/>
      <w:proofErr w:type="gramStart"/>
      <w:r>
        <w:rPr>
          <w:rFonts w:ascii="Arial" w:hAnsi="Arial" w:cs="Arial"/>
          <w:sz w:val="20"/>
          <w:szCs w:val="20"/>
        </w:rPr>
        <w:t>non specific</w:t>
      </w:r>
      <w:proofErr w:type="spellEnd"/>
      <w:proofErr w:type="gramEnd"/>
      <w:r>
        <w:rPr>
          <w:rFonts w:ascii="Arial" w:hAnsi="Arial" w:cs="Arial"/>
          <w:sz w:val="20"/>
          <w:szCs w:val="20"/>
        </w:rPr>
        <w:t xml:space="preserve"> immune parameters. </w:t>
      </w:r>
      <w:r>
        <w:rPr>
          <w:rFonts w:ascii="Arial" w:hAnsi="Arial" w:cs="Arial"/>
          <w:i/>
          <w:iCs/>
          <w:sz w:val="20"/>
          <w:szCs w:val="20"/>
        </w:rPr>
        <w:t>Marine Environmental Research</w:t>
      </w:r>
      <w:r>
        <w:rPr>
          <w:rFonts w:ascii="Arial" w:hAnsi="Arial" w:cs="Arial"/>
          <w:sz w:val="20"/>
          <w:szCs w:val="20"/>
        </w:rPr>
        <w:t xml:space="preserve">, </w:t>
      </w:r>
      <w:r>
        <w:rPr>
          <w:rFonts w:ascii="Arial" w:hAnsi="Arial" w:cs="Arial"/>
          <w:i/>
          <w:iCs/>
          <w:sz w:val="20"/>
          <w:szCs w:val="20"/>
        </w:rPr>
        <w:t>81</w:t>
      </w:r>
      <w:r>
        <w:rPr>
          <w:rFonts w:ascii="Arial" w:hAnsi="Arial" w:cs="Arial"/>
          <w:sz w:val="20"/>
          <w:szCs w:val="20"/>
        </w:rPr>
        <w:t>, 18–25. https://doi.org/10.1016/j.marenvres.2012.07.003</w:t>
      </w:r>
    </w:p>
    <w:p w14:paraId="5A73DE7D" w14:textId="4479AF6E"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Das, U. N., Jana, P., Pahari, T., Roy, A., &amp; Dhara, K. (2018). Comparative Study on Growth Performance and Economics between GIFT and Local Varieties of Oreochromis niloticus (Linnaeus, 1758) Reared in Pond Culture Systems. International Journal of Pure &amp; Applied Bioscience, 6(5), 603–610. </w:t>
      </w:r>
      <w:hyperlink r:id="rId13" w:history="1">
        <w:r w:rsidR="006244D7" w:rsidRPr="002961AE">
          <w:rPr>
            <w:rStyle w:val="Hyperlink"/>
            <w:rFonts w:ascii="Arial" w:hAnsi="Arial" w:cs="Arial"/>
            <w:sz w:val="20"/>
            <w:szCs w:val="20"/>
          </w:rPr>
          <w:t>https://doi.org/10.18782/2320-7051.6985</w:t>
        </w:r>
      </w:hyperlink>
    </w:p>
    <w:p w14:paraId="2A2B5134"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El-Sayed, A. F. M. (2006). Tilapia culture. CABI. </w:t>
      </w:r>
      <w:hyperlink r:id="rId14" w:history="1">
        <w:r w:rsidR="006244D7" w:rsidRPr="002961AE">
          <w:rPr>
            <w:rStyle w:val="Hyperlink"/>
            <w:rFonts w:ascii="Arial" w:hAnsi="Arial" w:cs="Arial"/>
            <w:sz w:val="20"/>
            <w:szCs w:val="20"/>
          </w:rPr>
          <w:t>https://doi.org/10.1079/9780851990149.0000</w:t>
        </w:r>
      </w:hyperlink>
    </w:p>
    <w:p w14:paraId="5AD71207"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Folch, J., Lees, M., &amp; Stanley, G. S. (1957). A simple method for the isolation and purification of total lipides from animal tissues. Journal of Biological Chemistry, 226(1), 497–509. </w:t>
      </w:r>
      <w:hyperlink r:id="rId15" w:history="1">
        <w:r w:rsidR="006244D7" w:rsidRPr="002961AE">
          <w:rPr>
            <w:rStyle w:val="Hyperlink"/>
            <w:rFonts w:ascii="Arial" w:hAnsi="Arial" w:cs="Arial"/>
            <w:sz w:val="20"/>
            <w:szCs w:val="20"/>
          </w:rPr>
          <w:t>https://doi.org/10.1016/S0021-9258(18)64849-5</w:t>
        </w:r>
      </w:hyperlink>
    </w:p>
    <w:p w14:paraId="07DB8418"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Green, B. W., &amp; Teichert</w:t>
      </w:r>
      <w:r w:rsidRPr="002961AE">
        <w:rPr>
          <w:rFonts w:ascii="Cambria Math" w:hAnsi="Cambria Math" w:cs="Cambria Math"/>
          <w:color w:val="000000" w:themeColor="text1"/>
          <w:sz w:val="20"/>
          <w:szCs w:val="20"/>
        </w:rPr>
        <w:t>‐</w:t>
      </w:r>
      <w:r w:rsidRPr="002961AE">
        <w:rPr>
          <w:rFonts w:ascii="Arial" w:hAnsi="Arial" w:cs="Arial"/>
          <w:color w:val="000000" w:themeColor="text1"/>
          <w:sz w:val="20"/>
          <w:szCs w:val="20"/>
        </w:rPr>
        <w:t>Coddington, D. R. (2000). Human food safety and environmental assessment of the use of 17Α</w:t>
      </w:r>
      <w:r w:rsidRPr="002961AE">
        <w:rPr>
          <w:rFonts w:ascii="Cambria Math" w:hAnsi="Cambria Math" w:cs="Cambria Math"/>
          <w:color w:val="000000" w:themeColor="text1"/>
          <w:sz w:val="20"/>
          <w:szCs w:val="20"/>
        </w:rPr>
        <w:t>‐</w:t>
      </w:r>
      <w:r w:rsidRPr="002961AE">
        <w:rPr>
          <w:rFonts w:ascii="Arial" w:hAnsi="Arial" w:cs="Arial"/>
          <w:color w:val="000000" w:themeColor="text1"/>
          <w:sz w:val="20"/>
          <w:szCs w:val="20"/>
        </w:rPr>
        <w:t xml:space="preserve">Methyltestosterone to produce male tilapia in the United States. Journal of the World Aquaculture Society, 31(3), 337–357. </w:t>
      </w:r>
      <w:hyperlink r:id="rId16" w:history="1">
        <w:r w:rsidR="006244D7" w:rsidRPr="002961AE">
          <w:rPr>
            <w:rStyle w:val="Hyperlink"/>
            <w:rFonts w:ascii="Arial" w:hAnsi="Arial" w:cs="Arial"/>
            <w:sz w:val="20"/>
            <w:szCs w:val="20"/>
          </w:rPr>
          <w:t>https://doi.org/10.1111/j.1749-7345.2000.tb00885.x</w:t>
        </w:r>
      </w:hyperlink>
    </w:p>
    <w:p w14:paraId="0B672F44"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Gupta, M. V., &amp; Acosta, B. O. (2004). A review of global tilapia farming practices. Aquaculture Asia, 9(1), 7–12. </w:t>
      </w:r>
      <w:hyperlink r:id="rId17" w:history="1">
        <w:r w:rsidR="006244D7" w:rsidRPr="002961AE">
          <w:rPr>
            <w:rStyle w:val="Hyperlink"/>
            <w:rFonts w:ascii="Arial" w:hAnsi="Arial" w:cs="Arial"/>
            <w:sz w:val="20"/>
            <w:szCs w:val="20"/>
          </w:rPr>
          <w:t>https://library.enaca.org/AquacultureAsia/Articles/Jan-March-2004/6global-review-tilapia</w:t>
        </w:r>
      </w:hyperlink>
    </w:p>
    <w:p w14:paraId="108CED11"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Gupta, N., Haque, M. M., &amp; Khan, M. (2012). Growth performance of tilapia fingerling in cage in ponds managed by Adivasi households: An assessment through length-weight relationship. Journal of the Bangladesh Agricultural University, 10(1), 149–155. </w:t>
      </w:r>
      <w:hyperlink r:id="rId18" w:history="1">
        <w:r w:rsidR="006244D7" w:rsidRPr="002961AE">
          <w:rPr>
            <w:rStyle w:val="Hyperlink"/>
            <w:rFonts w:ascii="Arial" w:hAnsi="Arial" w:cs="Arial"/>
            <w:sz w:val="20"/>
            <w:szCs w:val="20"/>
          </w:rPr>
          <w:t>https://doi.org/10.3329/jbau.v10i1.12107</w:t>
        </w:r>
      </w:hyperlink>
    </w:p>
    <w:p w14:paraId="096F62D8" w14:textId="77777777" w:rsidR="006244D7" w:rsidRPr="002961AE" w:rsidRDefault="00000000" w:rsidP="002961AE">
      <w:pPr>
        <w:pStyle w:val="ListParagraph"/>
        <w:numPr>
          <w:ilvl w:val="0"/>
          <w:numId w:val="3"/>
        </w:numPr>
        <w:spacing w:line="480" w:lineRule="auto"/>
        <w:jc w:val="both"/>
        <w:rPr>
          <w:rStyle w:val="Hyperlink"/>
          <w:rFonts w:ascii="Arial" w:hAnsi="Arial" w:cs="Arial"/>
          <w:sz w:val="20"/>
          <w:szCs w:val="20"/>
        </w:rPr>
      </w:pPr>
      <w:proofErr w:type="spellStart"/>
      <w:r w:rsidRPr="002961AE">
        <w:rPr>
          <w:rFonts w:ascii="Arial" w:hAnsi="Arial" w:cs="Arial"/>
          <w:color w:val="000000" w:themeColor="text1"/>
          <w:sz w:val="20"/>
          <w:szCs w:val="20"/>
        </w:rPr>
        <w:lastRenderedPageBreak/>
        <w:t>Jongjaraunsuk</w:t>
      </w:r>
      <w:proofErr w:type="spellEnd"/>
      <w:r w:rsidRPr="002961AE">
        <w:rPr>
          <w:rFonts w:ascii="Arial" w:hAnsi="Arial" w:cs="Arial"/>
          <w:color w:val="000000" w:themeColor="text1"/>
          <w:sz w:val="20"/>
          <w:szCs w:val="20"/>
        </w:rPr>
        <w:t xml:space="preserve">, R., &amp; </w:t>
      </w:r>
      <w:proofErr w:type="spellStart"/>
      <w:r w:rsidRPr="002961AE">
        <w:rPr>
          <w:rFonts w:ascii="Arial" w:hAnsi="Arial" w:cs="Arial"/>
          <w:color w:val="000000" w:themeColor="text1"/>
          <w:sz w:val="20"/>
          <w:szCs w:val="20"/>
        </w:rPr>
        <w:t>Taparhudee</w:t>
      </w:r>
      <w:proofErr w:type="spellEnd"/>
      <w:r w:rsidRPr="002961AE">
        <w:rPr>
          <w:rFonts w:ascii="Arial" w:hAnsi="Arial" w:cs="Arial"/>
          <w:color w:val="000000" w:themeColor="text1"/>
          <w:sz w:val="20"/>
          <w:szCs w:val="20"/>
        </w:rPr>
        <w:t xml:space="preserve">, W. (2022). Weight estimation model for red tilapia (Oreochromis niloticus Linn.) from images. Agriculture and Natural Resources 56(1), 215-224. </w:t>
      </w:r>
      <w:hyperlink r:id="rId19" w:history="1">
        <w:r w:rsidR="006244D7" w:rsidRPr="002961AE">
          <w:rPr>
            <w:rStyle w:val="Hyperlink"/>
            <w:rFonts w:ascii="Arial" w:hAnsi="Arial" w:cs="Arial"/>
            <w:sz w:val="20"/>
            <w:szCs w:val="20"/>
          </w:rPr>
          <w:t>https://doi.org/10.34044/j.anres.2021.56.1.20</w:t>
        </w:r>
      </w:hyperlink>
    </w:p>
    <w:p w14:paraId="112FBEC1" w14:textId="77777777" w:rsidR="006244D7" w:rsidRPr="002961AE" w:rsidRDefault="00000000" w:rsidP="002961AE">
      <w:pPr>
        <w:pStyle w:val="ListParagraph"/>
        <w:numPr>
          <w:ilvl w:val="0"/>
          <w:numId w:val="3"/>
        </w:numPr>
        <w:spacing w:line="480" w:lineRule="auto"/>
        <w:jc w:val="both"/>
        <w:rPr>
          <w:rStyle w:val="Hyperlink"/>
          <w:rFonts w:ascii="Arial" w:eastAsia="SimSun" w:hAnsi="Arial" w:cs="Arial"/>
          <w:sz w:val="20"/>
          <w:szCs w:val="20"/>
          <w:shd w:val="clear" w:color="auto" w:fill="FFFFFF"/>
        </w:rPr>
      </w:pPr>
      <w:r w:rsidRPr="002961AE">
        <w:rPr>
          <w:rFonts w:ascii="Arial" w:eastAsia="SimSun" w:hAnsi="Arial" w:cs="Arial"/>
          <w:color w:val="000000" w:themeColor="text1"/>
          <w:sz w:val="20"/>
          <w:szCs w:val="20"/>
          <w:shd w:val="clear" w:color="auto" w:fill="FFFFFF"/>
        </w:rPr>
        <w:t xml:space="preserve">Mohd Zin, F. F., Abdul Basri, N., Al-Azad, S., Mustafa, S., &amp; </w:t>
      </w:r>
      <w:proofErr w:type="spellStart"/>
      <w:r w:rsidRPr="002961AE">
        <w:rPr>
          <w:rFonts w:ascii="Arial" w:eastAsia="SimSun" w:hAnsi="Arial" w:cs="Arial"/>
          <w:color w:val="000000" w:themeColor="text1"/>
          <w:sz w:val="20"/>
          <w:szCs w:val="20"/>
          <w:shd w:val="clear" w:color="auto" w:fill="FFFFFF"/>
        </w:rPr>
        <w:t>Shapawi</w:t>
      </w:r>
      <w:proofErr w:type="spellEnd"/>
      <w:r w:rsidRPr="002961AE">
        <w:rPr>
          <w:rFonts w:ascii="Arial" w:eastAsia="SimSun" w:hAnsi="Arial" w:cs="Arial"/>
          <w:color w:val="000000" w:themeColor="text1"/>
          <w:sz w:val="20"/>
          <w:szCs w:val="20"/>
          <w:shd w:val="clear" w:color="auto" w:fill="FFFFFF"/>
        </w:rPr>
        <w:t xml:space="preserve">, R. (2020). Growth performance and post-harvest quality of gift tilapia reared in two different culture systems. Malaysian Applied Biology, 49(1), 183-192. </w:t>
      </w:r>
      <w:hyperlink r:id="rId20" w:history="1">
        <w:r w:rsidR="006244D7" w:rsidRPr="002961AE">
          <w:rPr>
            <w:rStyle w:val="Hyperlink"/>
            <w:rFonts w:ascii="Arial" w:eastAsia="SimSun" w:hAnsi="Arial" w:cs="Arial"/>
            <w:sz w:val="20"/>
            <w:szCs w:val="20"/>
            <w:shd w:val="clear" w:color="auto" w:fill="FFFFFF"/>
          </w:rPr>
          <w:t>https://doi.org/10.55230/mabjournal.v49i1.1673</w:t>
        </w:r>
      </w:hyperlink>
    </w:p>
    <w:p w14:paraId="28CC0A71"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Moses, M., </w:t>
      </w:r>
      <w:proofErr w:type="spellStart"/>
      <w:r w:rsidRPr="002961AE">
        <w:rPr>
          <w:rFonts w:ascii="Arial" w:hAnsi="Arial" w:cs="Arial"/>
          <w:color w:val="000000" w:themeColor="text1"/>
          <w:sz w:val="20"/>
          <w:szCs w:val="20"/>
        </w:rPr>
        <w:t>Chauka</w:t>
      </w:r>
      <w:proofErr w:type="spellEnd"/>
      <w:r w:rsidRPr="002961AE">
        <w:rPr>
          <w:rFonts w:ascii="Arial" w:hAnsi="Arial" w:cs="Arial"/>
          <w:color w:val="000000" w:themeColor="text1"/>
          <w:sz w:val="20"/>
          <w:szCs w:val="20"/>
        </w:rPr>
        <w:t xml:space="preserve">, L. J., De Koning, D. J., </w:t>
      </w:r>
      <w:proofErr w:type="spellStart"/>
      <w:r w:rsidRPr="002961AE">
        <w:rPr>
          <w:rFonts w:ascii="Arial" w:hAnsi="Arial" w:cs="Arial"/>
          <w:color w:val="000000" w:themeColor="text1"/>
          <w:sz w:val="20"/>
          <w:szCs w:val="20"/>
        </w:rPr>
        <w:t>Palaiokostas</w:t>
      </w:r>
      <w:proofErr w:type="spellEnd"/>
      <w:r w:rsidRPr="002961AE">
        <w:rPr>
          <w:rFonts w:ascii="Arial" w:hAnsi="Arial" w:cs="Arial"/>
          <w:color w:val="000000" w:themeColor="text1"/>
          <w:sz w:val="20"/>
          <w:szCs w:val="20"/>
        </w:rPr>
        <w:t xml:space="preserve">, C., &amp; </w:t>
      </w:r>
      <w:proofErr w:type="spellStart"/>
      <w:r w:rsidRPr="002961AE">
        <w:rPr>
          <w:rFonts w:ascii="Arial" w:hAnsi="Arial" w:cs="Arial"/>
          <w:color w:val="000000" w:themeColor="text1"/>
          <w:sz w:val="20"/>
          <w:szCs w:val="20"/>
        </w:rPr>
        <w:t>Mtolera</w:t>
      </w:r>
      <w:proofErr w:type="spellEnd"/>
      <w:r w:rsidRPr="002961AE">
        <w:rPr>
          <w:rFonts w:ascii="Arial" w:hAnsi="Arial" w:cs="Arial"/>
          <w:color w:val="000000" w:themeColor="text1"/>
          <w:sz w:val="20"/>
          <w:szCs w:val="20"/>
        </w:rPr>
        <w:t xml:space="preserve">, M. S. P. (2021). Growth performance of five different strains of Nile tilapia (Oreochromis niloticus) introduced to Tanzania reared in fresh and brackish waters. Scientific Reports, 11(1), 11147. </w:t>
      </w:r>
      <w:hyperlink r:id="rId21" w:history="1">
        <w:r w:rsidR="006244D7" w:rsidRPr="002961AE">
          <w:rPr>
            <w:rStyle w:val="Hyperlink"/>
            <w:rFonts w:ascii="Arial" w:hAnsi="Arial" w:cs="Arial"/>
            <w:sz w:val="20"/>
            <w:szCs w:val="20"/>
          </w:rPr>
          <w:t>https://doi.org/10.1038/s41598-021-90505-y</w:t>
        </w:r>
      </w:hyperlink>
    </w:p>
    <w:p w14:paraId="36B94A39"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Nguyen, N. H., </w:t>
      </w:r>
      <w:proofErr w:type="spellStart"/>
      <w:r w:rsidRPr="002961AE">
        <w:rPr>
          <w:rFonts w:ascii="Arial" w:hAnsi="Arial" w:cs="Arial"/>
          <w:color w:val="000000" w:themeColor="text1"/>
          <w:sz w:val="20"/>
          <w:szCs w:val="20"/>
        </w:rPr>
        <w:t>Ponzoni</w:t>
      </w:r>
      <w:proofErr w:type="spellEnd"/>
      <w:r w:rsidRPr="002961AE">
        <w:rPr>
          <w:rFonts w:ascii="Arial" w:hAnsi="Arial" w:cs="Arial"/>
          <w:color w:val="000000" w:themeColor="text1"/>
          <w:sz w:val="20"/>
          <w:szCs w:val="20"/>
        </w:rPr>
        <w:t xml:space="preserve">, R. W., Abu-Bakar, K. R., Hamzah, A., Khaw, H. L., &amp; Yee, H. Y. (2010). Correlated response in fillet weight and yield to selection for increased harvest weight in genetically improved farmed tilapia (GIFT strain), Oreochromis niloticus. Aquaculture, 305(1–4), 1–5. </w:t>
      </w:r>
      <w:hyperlink r:id="rId22" w:history="1">
        <w:r w:rsidR="006244D7" w:rsidRPr="002961AE">
          <w:rPr>
            <w:rStyle w:val="Hyperlink"/>
            <w:rFonts w:ascii="Arial" w:hAnsi="Arial" w:cs="Arial"/>
            <w:sz w:val="20"/>
            <w:szCs w:val="20"/>
          </w:rPr>
          <w:t>https://doi.org/10.1016/j.aquaculture.2010.04.007</w:t>
        </w:r>
      </w:hyperlink>
    </w:p>
    <w:p w14:paraId="7D6136E2"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Ridha, M. T. (2005). Comparative study of growth performance of three strains of Nile tilapia, Oreochromis niloticus, L. at two stocking densities. Aquaculture Research.</w:t>
      </w:r>
      <w:r w:rsidRPr="002961AE">
        <w:rPr>
          <w:rFonts w:ascii="Arial" w:hAnsi="Arial" w:cs="Arial"/>
          <w:i/>
          <w:iCs/>
          <w:color w:val="222222"/>
          <w:sz w:val="20"/>
          <w:szCs w:val="20"/>
          <w:shd w:val="clear" w:color="auto" w:fill="FFFFFF"/>
        </w:rPr>
        <w:t xml:space="preserve"> </w:t>
      </w:r>
      <w:r w:rsidRPr="002961AE">
        <w:rPr>
          <w:rFonts w:ascii="Arial" w:hAnsi="Arial" w:cs="Arial"/>
          <w:color w:val="000000" w:themeColor="text1"/>
          <w:sz w:val="20"/>
          <w:szCs w:val="20"/>
        </w:rPr>
        <w:t xml:space="preserve">37(2), 172-179. </w:t>
      </w:r>
      <w:hyperlink r:id="rId23" w:history="1">
        <w:r w:rsidR="006244D7" w:rsidRPr="002961AE">
          <w:rPr>
            <w:rStyle w:val="Hyperlink"/>
            <w:rFonts w:ascii="Arial" w:hAnsi="Arial" w:cs="Arial"/>
            <w:sz w:val="20"/>
            <w:szCs w:val="20"/>
          </w:rPr>
          <w:t>https://doi.org/10.1111/j.1365-2109.2005.01415.x</w:t>
        </w:r>
      </w:hyperlink>
    </w:p>
    <w:p w14:paraId="15837590" w14:textId="77777777" w:rsidR="006244D7" w:rsidRPr="002961AE" w:rsidRDefault="00000000" w:rsidP="002961AE">
      <w:pPr>
        <w:pStyle w:val="ListParagraph"/>
        <w:numPr>
          <w:ilvl w:val="0"/>
          <w:numId w:val="3"/>
        </w:numPr>
        <w:spacing w:line="480" w:lineRule="auto"/>
        <w:jc w:val="both"/>
        <w:rPr>
          <w:rFonts w:ascii="Arial" w:eastAsia="SimSun" w:hAnsi="Arial" w:cs="Arial"/>
          <w:color w:val="000000" w:themeColor="text1"/>
          <w:sz w:val="20"/>
          <w:szCs w:val="20"/>
          <w:shd w:val="clear" w:color="auto" w:fill="FFFFFF"/>
        </w:rPr>
      </w:pPr>
      <w:r w:rsidRPr="002961AE">
        <w:rPr>
          <w:rFonts w:ascii="Arial" w:eastAsia="SimSun" w:hAnsi="Arial" w:cs="Arial"/>
          <w:color w:val="000000" w:themeColor="text1"/>
          <w:sz w:val="20"/>
          <w:szCs w:val="20"/>
          <w:shd w:val="clear" w:color="auto" w:fill="FFFFFF"/>
        </w:rPr>
        <w:t xml:space="preserve">Sahu, B. B., Barik, N. K., Routray, P., </w:t>
      </w:r>
      <w:proofErr w:type="spellStart"/>
      <w:r w:rsidRPr="002961AE">
        <w:rPr>
          <w:rFonts w:ascii="Arial" w:eastAsia="SimSun" w:hAnsi="Arial" w:cs="Arial"/>
          <w:color w:val="000000" w:themeColor="text1"/>
          <w:sz w:val="20"/>
          <w:szCs w:val="20"/>
          <w:shd w:val="clear" w:color="auto" w:fill="FFFFFF"/>
        </w:rPr>
        <w:t>Agnibesh</w:t>
      </w:r>
      <w:proofErr w:type="spellEnd"/>
      <w:r w:rsidRPr="002961AE">
        <w:rPr>
          <w:rFonts w:ascii="Arial" w:eastAsia="SimSun" w:hAnsi="Arial" w:cs="Arial"/>
          <w:color w:val="000000" w:themeColor="text1"/>
          <w:sz w:val="20"/>
          <w:szCs w:val="20"/>
          <w:shd w:val="clear" w:color="auto" w:fill="FFFFFF"/>
        </w:rPr>
        <w:t xml:space="preserve">, A., </w:t>
      </w:r>
      <w:proofErr w:type="spellStart"/>
      <w:r w:rsidRPr="002961AE">
        <w:rPr>
          <w:rFonts w:ascii="Arial" w:eastAsia="SimSun" w:hAnsi="Arial" w:cs="Arial"/>
          <w:color w:val="000000" w:themeColor="text1"/>
          <w:sz w:val="20"/>
          <w:szCs w:val="20"/>
          <w:shd w:val="clear" w:color="auto" w:fill="FFFFFF"/>
        </w:rPr>
        <w:t>Paikaray</w:t>
      </w:r>
      <w:proofErr w:type="spellEnd"/>
      <w:r w:rsidRPr="002961AE">
        <w:rPr>
          <w:rFonts w:ascii="Arial" w:eastAsia="SimSun" w:hAnsi="Arial" w:cs="Arial"/>
          <w:color w:val="000000" w:themeColor="text1"/>
          <w:sz w:val="20"/>
          <w:szCs w:val="20"/>
          <w:shd w:val="clear" w:color="auto" w:fill="FFFFFF"/>
        </w:rPr>
        <w:t xml:space="preserve">, A., Mohapatra, S., &amp; </w:t>
      </w:r>
      <w:proofErr w:type="spellStart"/>
      <w:r w:rsidRPr="002961AE">
        <w:rPr>
          <w:rFonts w:ascii="Arial" w:eastAsia="SimSun" w:hAnsi="Arial" w:cs="Arial"/>
          <w:color w:val="000000" w:themeColor="text1"/>
          <w:sz w:val="20"/>
          <w:szCs w:val="20"/>
          <w:shd w:val="clear" w:color="auto" w:fill="FFFFFF"/>
        </w:rPr>
        <w:t>Sundaray</w:t>
      </w:r>
      <w:proofErr w:type="spellEnd"/>
      <w:r w:rsidRPr="002961AE">
        <w:rPr>
          <w:rFonts w:ascii="Arial" w:eastAsia="SimSun" w:hAnsi="Arial" w:cs="Arial"/>
          <w:color w:val="000000" w:themeColor="text1"/>
          <w:sz w:val="20"/>
          <w:szCs w:val="20"/>
          <w:shd w:val="clear" w:color="auto" w:fill="FFFFFF"/>
        </w:rPr>
        <w:t xml:space="preserve">, J. K. (2017). Comparative studies on carcass characteristics of marketable size farmed tilapia (Oreochromis niloticus) and silver barb (Puntius </w:t>
      </w:r>
      <w:proofErr w:type="spellStart"/>
      <w:r w:rsidRPr="002961AE">
        <w:rPr>
          <w:rFonts w:ascii="Arial" w:eastAsia="SimSun" w:hAnsi="Arial" w:cs="Arial"/>
          <w:color w:val="000000" w:themeColor="text1"/>
          <w:sz w:val="20"/>
          <w:szCs w:val="20"/>
          <w:shd w:val="clear" w:color="auto" w:fill="FFFFFF"/>
        </w:rPr>
        <w:t>gonionotus</w:t>
      </w:r>
      <w:proofErr w:type="spellEnd"/>
      <w:r w:rsidRPr="002961AE">
        <w:rPr>
          <w:rFonts w:ascii="Arial" w:eastAsia="SimSun" w:hAnsi="Arial" w:cs="Arial"/>
          <w:color w:val="000000" w:themeColor="text1"/>
          <w:sz w:val="20"/>
          <w:szCs w:val="20"/>
          <w:shd w:val="clear" w:color="auto" w:fill="FFFFFF"/>
        </w:rPr>
        <w:t xml:space="preserve">). International Journal of Fisheries and Aquatic Studies, 5(2), 06-09. </w:t>
      </w:r>
      <w:hyperlink r:id="rId24" w:history="1">
        <w:r w:rsidR="006244D7" w:rsidRPr="002961AE">
          <w:rPr>
            <w:rStyle w:val="Hyperlink"/>
            <w:rFonts w:ascii="Arial" w:eastAsia="SimSun" w:hAnsi="Arial" w:cs="Arial"/>
            <w:sz w:val="20"/>
            <w:szCs w:val="20"/>
            <w:shd w:val="clear" w:color="auto" w:fill="FFFFFF"/>
          </w:rPr>
          <w:t>https://www.fisheriesjournal.com/archives/2017/vol5issue2/4-6-62-303.pdf</w:t>
        </w:r>
      </w:hyperlink>
    </w:p>
    <w:p w14:paraId="6F41D9B8" w14:textId="77777777" w:rsidR="006244D7" w:rsidRPr="002961AE" w:rsidRDefault="00000000" w:rsidP="002961AE">
      <w:pPr>
        <w:pStyle w:val="ListParagraph"/>
        <w:numPr>
          <w:ilvl w:val="0"/>
          <w:numId w:val="3"/>
        </w:numPr>
        <w:spacing w:line="480" w:lineRule="auto"/>
        <w:jc w:val="both"/>
        <w:rPr>
          <w:rFonts w:ascii="Arial" w:hAnsi="Arial" w:cs="Arial"/>
          <w:color w:val="000000" w:themeColor="text1"/>
          <w:sz w:val="20"/>
          <w:szCs w:val="20"/>
        </w:rPr>
      </w:pPr>
      <w:r w:rsidRPr="002961AE">
        <w:rPr>
          <w:rFonts w:ascii="Arial" w:hAnsi="Arial" w:cs="Arial"/>
          <w:color w:val="000000" w:themeColor="text1"/>
          <w:sz w:val="20"/>
          <w:szCs w:val="20"/>
        </w:rPr>
        <w:t xml:space="preserve">Sahu, B. B., Meher, P. K., Mohanty, S., Reddy, P. V. G. K., &amp; Ayyappan, S. (2000). Evaluation of the carcass and commercial characteristics of carps. Naga, 23(2), 10–14. </w:t>
      </w:r>
      <w:hyperlink r:id="rId25" w:history="1">
        <w:r w:rsidR="006244D7" w:rsidRPr="002961AE">
          <w:rPr>
            <w:rStyle w:val="Hyperlink"/>
            <w:rFonts w:ascii="Arial" w:hAnsi="Arial" w:cs="Arial"/>
            <w:sz w:val="20"/>
            <w:szCs w:val="20"/>
          </w:rPr>
          <w:t>https://repository.worldfishcenter.org/bitstream/handle/20.500.12348/2190/Naga_23_2_10-14.pdf?sequence=1</w:t>
        </w:r>
      </w:hyperlink>
    </w:p>
    <w:p w14:paraId="4C4A61D4" w14:textId="77777777" w:rsidR="006244D7" w:rsidRPr="002961AE" w:rsidRDefault="00000000" w:rsidP="002961AE">
      <w:pPr>
        <w:pStyle w:val="ListParagraph"/>
        <w:numPr>
          <w:ilvl w:val="0"/>
          <w:numId w:val="3"/>
        </w:numPr>
        <w:spacing w:line="480" w:lineRule="auto"/>
        <w:jc w:val="both"/>
        <w:rPr>
          <w:rFonts w:ascii="Arial" w:eastAsia="SimSun" w:hAnsi="Arial" w:cs="Arial"/>
          <w:color w:val="000000" w:themeColor="text1"/>
          <w:sz w:val="20"/>
          <w:szCs w:val="20"/>
          <w:shd w:val="clear" w:color="auto" w:fill="FFFFFF"/>
        </w:rPr>
      </w:pPr>
      <w:r w:rsidRPr="002961AE">
        <w:rPr>
          <w:rFonts w:ascii="Arial" w:eastAsia="SimSun" w:hAnsi="Arial" w:cs="Arial"/>
          <w:color w:val="000000" w:themeColor="text1"/>
          <w:sz w:val="20"/>
          <w:szCs w:val="20"/>
          <w:shd w:val="clear" w:color="auto" w:fill="FFFFFF"/>
        </w:rPr>
        <w:t xml:space="preserve">Tran, N., Shikuku, K. M., Rossignoli, C. M., Barman, B. K., Cheong, K. C., Ali, M. S., &amp; Benzie, J. A. (2021). Growth, yield and profitability of genetically improved farmed tilapia (GIFT) and non-GIFT strains in Bangladesh. Aquaculture, 536, 736486. </w:t>
      </w:r>
      <w:hyperlink r:id="rId26" w:history="1">
        <w:r w:rsidR="006244D7" w:rsidRPr="002961AE">
          <w:rPr>
            <w:rStyle w:val="Hyperlink"/>
            <w:rFonts w:ascii="Arial" w:eastAsia="SimSun" w:hAnsi="Arial" w:cs="Arial"/>
            <w:sz w:val="20"/>
            <w:szCs w:val="20"/>
            <w:shd w:val="clear" w:color="auto" w:fill="FFFFFF"/>
          </w:rPr>
          <w:t>https://doi.org/10.1016/j.aquaculture.2021.736486</w:t>
        </w:r>
      </w:hyperlink>
    </w:p>
    <w:p w14:paraId="5C97D0C4" w14:textId="77777777" w:rsidR="006244D7" w:rsidRPr="002961AE" w:rsidRDefault="00000000" w:rsidP="002961AE">
      <w:pPr>
        <w:pStyle w:val="ListParagraph"/>
        <w:numPr>
          <w:ilvl w:val="0"/>
          <w:numId w:val="3"/>
        </w:numPr>
        <w:spacing w:line="480" w:lineRule="auto"/>
        <w:jc w:val="both"/>
        <w:rPr>
          <w:rStyle w:val="Hyperlink"/>
          <w:rFonts w:ascii="Arial" w:eastAsia="SimSun" w:hAnsi="Arial" w:cs="Arial"/>
          <w:sz w:val="20"/>
          <w:szCs w:val="20"/>
          <w:shd w:val="clear" w:color="auto" w:fill="FFFFFF"/>
        </w:rPr>
      </w:pPr>
      <w:r w:rsidRPr="002961AE">
        <w:rPr>
          <w:rFonts w:ascii="Arial" w:eastAsia="SimSun" w:hAnsi="Arial" w:cs="Arial"/>
          <w:color w:val="232323"/>
          <w:sz w:val="20"/>
          <w:szCs w:val="20"/>
          <w:shd w:val="clear" w:color="auto" w:fill="FFFFFF"/>
        </w:rPr>
        <w:lastRenderedPageBreak/>
        <w:t>Yamane, T. (1967) Statistics: An Introductory Analysis. 2nd Edition, Harper and Row, New York.</w:t>
      </w:r>
    </w:p>
    <w:p w14:paraId="4730C55F" w14:textId="77777777" w:rsidR="006244D7" w:rsidRDefault="006244D7">
      <w:pPr>
        <w:spacing w:line="480" w:lineRule="auto"/>
        <w:ind w:left="360"/>
        <w:jc w:val="both"/>
        <w:rPr>
          <w:rFonts w:ascii="Arial" w:hAnsi="Arial" w:cs="Arial"/>
          <w:color w:val="000000" w:themeColor="text1"/>
          <w:sz w:val="20"/>
          <w:szCs w:val="20"/>
        </w:rPr>
      </w:pPr>
    </w:p>
    <w:sectPr w:rsidR="006244D7">
      <w:headerReference w:type="even" r:id="rId27"/>
      <w:headerReference w:type="default" r:id="rId28"/>
      <w:footerReference w:type="even"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5D12" w14:textId="77777777" w:rsidR="00A21B84" w:rsidRDefault="00A21B84">
      <w:pPr>
        <w:spacing w:line="240" w:lineRule="auto"/>
      </w:pPr>
      <w:r>
        <w:separator/>
      </w:r>
    </w:p>
  </w:endnote>
  <w:endnote w:type="continuationSeparator" w:id="0">
    <w:p w14:paraId="3D1AB0EF" w14:textId="77777777" w:rsidR="00A21B84" w:rsidRDefault="00A21B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D48CA" w14:textId="77777777" w:rsidR="006244D7" w:rsidRDefault="006244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BD8E" w14:textId="77777777" w:rsidR="006244D7" w:rsidRDefault="006244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FDA01" w14:textId="77777777" w:rsidR="00A21B84" w:rsidRDefault="00A21B84">
      <w:pPr>
        <w:spacing w:after="0"/>
      </w:pPr>
      <w:r>
        <w:separator/>
      </w:r>
    </w:p>
  </w:footnote>
  <w:footnote w:type="continuationSeparator" w:id="0">
    <w:p w14:paraId="5AA796DB" w14:textId="77777777" w:rsidR="00A21B84" w:rsidRDefault="00A21B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4679" w14:textId="77777777" w:rsidR="006244D7" w:rsidRDefault="00000000">
    <w:pPr>
      <w:pStyle w:val="Header"/>
    </w:pPr>
    <w:r>
      <w:pict w14:anchorId="362E7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6" o:spid="_x0000_s1026" type="#_x0000_t136" style="position:absolute;margin-left:0;margin-top:0;width:535.3pt;height:100.9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F6AC" w14:textId="77777777" w:rsidR="006244D7" w:rsidRDefault="00000000">
    <w:pPr>
      <w:pStyle w:val="Header"/>
    </w:pPr>
    <w:r>
      <w:pict w14:anchorId="2FE35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7" o:spid="_x0000_s1027" type="#_x0000_t136" style="position:absolute;margin-left:0;margin-top:0;width:535.3pt;height:100.9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C5810" w14:textId="77777777" w:rsidR="006244D7" w:rsidRDefault="00000000">
    <w:pPr>
      <w:pStyle w:val="Header"/>
    </w:pPr>
    <w:r>
      <w:pict w14:anchorId="3FD545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20015" o:spid="_x0000_s1025" type="#_x0000_t136" style="position:absolute;margin-left:0;margin-top:0;width:535.3pt;height:100.9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A08B4"/>
    <w:multiLevelType w:val="multilevel"/>
    <w:tmpl w:val="4E6A0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BF5307A"/>
    <w:multiLevelType w:val="multilevel"/>
    <w:tmpl w:val="7BF5307A"/>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517D3E"/>
    <w:multiLevelType w:val="hybridMultilevel"/>
    <w:tmpl w:val="143E1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6931125">
    <w:abstractNumId w:val="1"/>
  </w:num>
  <w:num w:numId="2" w16cid:durableId="1765876120">
    <w:abstractNumId w:val="0"/>
  </w:num>
  <w:num w:numId="3" w16cid:durableId="6034606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3B4"/>
    <w:rsid w:val="00047BBE"/>
    <w:rsid w:val="000A152E"/>
    <w:rsid w:val="000D4A1B"/>
    <w:rsid w:val="000F1AAB"/>
    <w:rsid w:val="00102944"/>
    <w:rsid w:val="00104FAB"/>
    <w:rsid w:val="001576EE"/>
    <w:rsid w:val="0016122A"/>
    <w:rsid w:val="00170298"/>
    <w:rsid w:val="0018742F"/>
    <w:rsid w:val="001B47EF"/>
    <w:rsid w:val="001F28CC"/>
    <w:rsid w:val="001F7BC3"/>
    <w:rsid w:val="001F7BCF"/>
    <w:rsid w:val="0022454C"/>
    <w:rsid w:val="002924DD"/>
    <w:rsid w:val="002961AE"/>
    <w:rsid w:val="002D3C9D"/>
    <w:rsid w:val="002E0304"/>
    <w:rsid w:val="002E1880"/>
    <w:rsid w:val="002E4AED"/>
    <w:rsid w:val="002E7A47"/>
    <w:rsid w:val="002F7087"/>
    <w:rsid w:val="00304CD6"/>
    <w:rsid w:val="00312D11"/>
    <w:rsid w:val="00333986"/>
    <w:rsid w:val="00353938"/>
    <w:rsid w:val="0036519B"/>
    <w:rsid w:val="0037386F"/>
    <w:rsid w:val="003F598B"/>
    <w:rsid w:val="00414760"/>
    <w:rsid w:val="004206A3"/>
    <w:rsid w:val="00426BFC"/>
    <w:rsid w:val="00480FDC"/>
    <w:rsid w:val="0048426C"/>
    <w:rsid w:val="004A18EE"/>
    <w:rsid w:val="004A474A"/>
    <w:rsid w:val="004B61B5"/>
    <w:rsid w:val="004B7921"/>
    <w:rsid w:val="004E493C"/>
    <w:rsid w:val="004E7406"/>
    <w:rsid w:val="00507955"/>
    <w:rsid w:val="00540910"/>
    <w:rsid w:val="00556FF6"/>
    <w:rsid w:val="005876B4"/>
    <w:rsid w:val="005D4895"/>
    <w:rsid w:val="005E5820"/>
    <w:rsid w:val="005F24DB"/>
    <w:rsid w:val="005F373C"/>
    <w:rsid w:val="006244D7"/>
    <w:rsid w:val="006348F9"/>
    <w:rsid w:val="00685485"/>
    <w:rsid w:val="006A2119"/>
    <w:rsid w:val="006C3AE6"/>
    <w:rsid w:val="006D1F5C"/>
    <w:rsid w:val="006D4203"/>
    <w:rsid w:val="006E5565"/>
    <w:rsid w:val="007400E5"/>
    <w:rsid w:val="00746CD2"/>
    <w:rsid w:val="00762238"/>
    <w:rsid w:val="007653B4"/>
    <w:rsid w:val="0076648B"/>
    <w:rsid w:val="00786F5A"/>
    <w:rsid w:val="007A68E2"/>
    <w:rsid w:val="007B5715"/>
    <w:rsid w:val="007E2B5C"/>
    <w:rsid w:val="008118B3"/>
    <w:rsid w:val="008119CA"/>
    <w:rsid w:val="00847D71"/>
    <w:rsid w:val="008506C5"/>
    <w:rsid w:val="0087247E"/>
    <w:rsid w:val="00892695"/>
    <w:rsid w:val="008A1D88"/>
    <w:rsid w:val="008B25E1"/>
    <w:rsid w:val="008B2F4F"/>
    <w:rsid w:val="008C7CE6"/>
    <w:rsid w:val="008F0897"/>
    <w:rsid w:val="0090202A"/>
    <w:rsid w:val="0093135C"/>
    <w:rsid w:val="009A532A"/>
    <w:rsid w:val="009B6061"/>
    <w:rsid w:val="009D73D8"/>
    <w:rsid w:val="009F3BC8"/>
    <w:rsid w:val="009F7046"/>
    <w:rsid w:val="00A21B84"/>
    <w:rsid w:val="00A30D30"/>
    <w:rsid w:val="00A55232"/>
    <w:rsid w:val="00A62F32"/>
    <w:rsid w:val="00A712E4"/>
    <w:rsid w:val="00A95C8C"/>
    <w:rsid w:val="00AC4245"/>
    <w:rsid w:val="00AD0211"/>
    <w:rsid w:val="00AD230C"/>
    <w:rsid w:val="00AD5A17"/>
    <w:rsid w:val="00AE52C3"/>
    <w:rsid w:val="00AF0B76"/>
    <w:rsid w:val="00AF79B4"/>
    <w:rsid w:val="00B259F0"/>
    <w:rsid w:val="00B36C58"/>
    <w:rsid w:val="00B54BD1"/>
    <w:rsid w:val="00B76850"/>
    <w:rsid w:val="00B92AEA"/>
    <w:rsid w:val="00BA2CB9"/>
    <w:rsid w:val="00BA6E85"/>
    <w:rsid w:val="00BA75D1"/>
    <w:rsid w:val="00BB64EE"/>
    <w:rsid w:val="00BD3623"/>
    <w:rsid w:val="00C622E3"/>
    <w:rsid w:val="00C67B3F"/>
    <w:rsid w:val="00CD3063"/>
    <w:rsid w:val="00CD3E51"/>
    <w:rsid w:val="00CE0DC1"/>
    <w:rsid w:val="00CE23C0"/>
    <w:rsid w:val="00D070A4"/>
    <w:rsid w:val="00D5071B"/>
    <w:rsid w:val="00D527A4"/>
    <w:rsid w:val="00D7687E"/>
    <w:rsid w:val="00D776E5"/>
    <w:rsid w:val="00D8504E"/>
    <w:rsid w:val="00DA3F3F"/>
    <w:rsid w:val="00DC6A3F"/>
    <w:rsid w:val="00DD4958"/>
    <w:rsid w:val="00E02E55"/>
    <w:rsid w:val="00E41DAB"/>
    <w:rsid w:val="00E609A6"/>
    <w:rsid w:val="00EC04C3"/>
    <w:rsid w:val="00EF037D"/>
    <w:rsid w:val="00F31E7E"/>
    <w:rsid w:val="00F57324"/>
    <w:rsid w:val="00FA71F0"/>
    <w:rsid w:val="00FD0F8B"/>
    <w:rsid w:val="02BB2234"/>
    <w:rsid w:val="0B7217C9"/>
    <w:rsid w:val="0C6940DA"/>
    <w:rsid w:val="101221AE"/>
    <w:rsid w:val="155A252A"/>
    <w:rsid w:val="15A911FB"/>
    <w:rsid w:val="209D77CE"/>
    <w:rsid w:val="21AD5122"/>
    <w:rsid w:val="266A0772"/>
    <w:rsid w:val="28AD768F"/>
    <w:rsid w:val="31F428EB"/>
    <w:rsid w:val="36D53620"/>
    <w:rsid w:val="4A2B0045"/>
    <w:rsid w:val="509A3608"/>
    <w:rsid w:val="54C26308"/>
    <w:rsid w:val="5E9054E2"/>
    <w:rsid w:val="62FA628A"/>
    <w:rsid w:val="6A900CEE"/>
    <w:rsid w:val="6BA6604E"/>
    <w:rsid w:val="77785237"/>
    <w:rsid w:val="7F261DEC"/>
  </w:rsids>
  <m:mathPr>
    <m:mathFont m:val="Cambria Math"/>
    <m:brkBin m:val="before"/>
    <m:brkBinSub m:val="--"/>
    <m:smallFrac m:val="0"/>
    <m:dispDef/>
    <m:lMargin m:val="0"/>
    <m:rMargin m:val="0"/>
    <m:defJc m:val="centerGroup"/>
    <m:wrapIndent m:val="1440"/>
    <m:intLim m:val="subSup"/>
    <m:naryLim m:val="undOvr"/>
  </m:mathPr>
  <w:themeFontLang w:val="en-IN"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A299CB"/>
  <w15:docId w15:val="{D9764927-1C3A-49E6-A589-77500BE6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link w:val="Heading1Char"/>
    <w:uiPriority w:val="1"/>
    <w:qFormat/>
    <w:pPr>
      <w:widowControl w:val="0"/>
      <w:autoSpaceDE w:val="0"/>
      <w:autoSpaceDN w:val="0"/>
      <w:spacing w:after="0" w:line="432" w:lineRule="exact"/>
      <w:ind w:left="20"/>
      <w:outlineLvl w:val="0"/>
    </w:pPr>
    <w:rPr>
      <w:rFonts w:ascii="Calibri" w:eastAsia="Calibri" w:hAnsi="Calibri" w:cs="Calibri"/>
      <w:b/>
      <w:bCs/>
      <w:sz w:val="40"/>
      <w:szCs w:val="40"/>
      <w:lang w:val="en-US"/>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sz w:val="24"/>
      <w:szCs w:val="24"/>
      <w:lang w:val="en-U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pPr>
    <w:rPr>
      <w:rFonts w:eastAsiaTheme="minorEastAsia"/>
      <w:color w:val="595959" w:themeColor="text1" w:themeTint="A6"/>
      <w:spacing w:val="15"/>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720"/>
      <w:contextualSpacing/>
    </w:pPr>
  </w:style>
  <w:style w:type="character" w:customStyle="1" w:styleId="BodyTextChar">
    <w:name w:val="Body Text Char"/>
    <w:basedOn w:val="DefaultParagraphFont"/>
    <w:link w:val="BodyText"/>
    <w:uiPriority w:val="1"/>
    <w:qFormat/>
    <w:rPr>
      <w:rFonts w:ascii="Arial MT" w:eastAsia="Arial MT" w:hAnsi="Arial MT" w:cs="Arial MT"/>
      <w:sz w:val="24"/>
      <w:szCs w:val="24"/>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1"/>
    <w:qFormat/>
    <w:rPr>
      <w:rFonts w:ascii="Calibri" w:eastAsia="Calibri" w:hAnsi="Calibri" w:cs="Calibri"/>
      <w:b/>
      <w:bCs/>
      <w:sz w:val="40"/>
      <w:szCs w:val="40"/>
      <w:lang w:val="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b/>
      <w:bCs/>
      <w:color w:val="4F81BD" w:themeColor="accent1"/>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IN" w:eastAsia="en-US"/>
    </w:rPr>
  </w:style>
  <w:style w:type="paragraph" w:customStyle="1" w:styleId="Bibliography1">
    <w:name w:val="Bibliography1"/>
    <w:basedOn w:val="Normal"/>
    <w:next w:val="Normal"/>
    <w:uiPriority w:val="37"/>
    <w:unhideWhenUsed/>
    <w:qFormat/>
    <w:pPr>
      <w:spacing w:after="0" w:line="480" w:lineRule="auto"/>
      <w:ind w:left="720" w:hanging="720"/>
    </w:pPr>
  </w:style>
  <w:style w:type="character" w:styleId="PlaceholderText">
    <w:name w:val="Placeholder Text"/>
    <w:basedOn w:val="DefaultParagraphFont"/>
    <w:uiPriority w:val="99"/>
    <w:unhideWhenUsed/>
    <w:rsid w:val="004B792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782/2320-7051.6985" TargetMode="External"/><Relationship Id="rId18" Type="http://schemas.openxmlformats.org/officeDocument/2006/relationships/hyperlink" Target="https://doi.org/10.3329/jbau.v10i1.12107" TargetMode="External"/><Relationship Id="rId26" Type="http://schemas.openxmlformats.org/officeDocument/2006/relationships/hyperlink" Target="https://doi.org/10.1016/j.aquaculture.2021.736486" TargetMode="External"/><Relationship Id="rId3" Type="http://schemas.openxmlformats.org/officeDocument/2006/relationships/numbering" Target="numbering.xml"/><Relationship Id="rId21" Type="http://schemas.openxmlformats.org/officeDocument/2006/relationships/hyperlink" Target="https://doi.org/10.1038/s41598-021-90505-y" TargetMode="External"/><Relationship Id="rId7" Type="http://schemas.openxmlformats.org/officeDocument/2006/relationships/footnotes" Target="footnotes.xml"/><Relationship Id="rId12" Type="http://schemas.openxmlformats.org/officeDocument/2006/relationships/hyperlink" Target="https://www.eoma.aoac.org" TargetMode="External"/><Relationship Id="rId17" Type="http://schemas.openxmlformats.org/officeDocument/2006/relationships/hyperlink" Target="https://library.enaca.org/AquacultureAsia/Articles/Jan-March-2004/6global-review-tilapia" TargetMode="External"/><Relationship Id="rId25" Type="http://schemas.openxmlformats.org/officeDocument/2006/relationships/hyperlink" Target="https://repository.worldfishcenter.org/bitstream/handle/20.500.12348/2190/Naga_23_2_10-14.pdf?sequence=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1111/j.1749-7345.2000.tb00885.x" TargetMode="External"/><Relationship Id="rId20" Type="http://schemas.openxmlformats.org/officeDocument/2006/relationships/hyperlink" Target="https://doi.org/10.55230/mabjournal.v49i1.167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are.14305" TargetMode="External"/><Relationship Id="rId24" Type="http://schemas.openxmlformats.org/officeDocument/2006/relationships/hyperlink" Target="https://www.fisheriesjournal.com/archives/2017/vol5issue2/4-6-62-303.pd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S0021-9258(18)64849-5" TargetMode="External"/><Relationship Id="rId23" Type="http://schemas.openxmlformats.org/officeDocument/2006/relationships/hyperlink" Target="https://doi.org/10.1111/j.1365-2109.2005.01415.x" TargetMode="External"/><Relationship Id="rId28" Type="http://schemas.openxmlformats.org/officeDocument/2006/relationships/header" Target="header2.xml"/><Relationship Id="rId10" Type="http://schemas.openxmlformats.org/officeDocument/2006/relationships/hyperlink" Target="https://doi.org/10.17582/journal.pjz/2018.50.6.2301.2305" TargetMode="External"/><Relationship Id="rId19" Type="http://schemas.openxmlformats.org/officeDocument/2006/relationships/hyperlink" Target="https://doi.org/10.34044/j.anres.2021.56.1.20"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doi.org/10.1079/9780851990149.0000" TargetMode="External"/><Relationship Id="rId22" Type="http://schemas.openxmlformats.org/officeDocument/2006/relationships/hyperlink" Target="https://doi.org/10.1016/j.aquaculture.2010.04.007" TargetMode="External"/><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EA0BA800-D404-470A-8C9D-1C86099AE1A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13</Pages>
  <Words>3915</Words>
  <Characters>22316</Characters>
  <Application>Microsoft Office Word</Application>
  <DocSecurity>0</DocSecurity>
  <Lines>185</Lines>
  <Paragraphs>52</Paragraphs>
  <ScaleCrop>false</ScaleCrop>
  <Company>home</Company>
  <LinksUpToDate>false</LinksUpToDate>
  <CharactersWithSpaces>26179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Editor-90</cp:lastModifiedBy>
  <cp:revision>33</cp:revision>
  <dcterms:created xsi:type="dcterms:W3CDTF">2025-09-25T16:18:00Z</dcterms:created>
  <dcterms:modified xsi:type="dcterms:W3CDTF">2025-12-08T07:44:00Z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2B4FF3FA4B224877AE7A04CCD34A3F21_13</vt:lpwstr>
  </property>
  <property fmtid="{D5CDD505-2E9C-101B-9397-08002B2CF9AE}" pid="4" name="GrammarlyDocumentId">
    <vt:lpwstr>92f9bb35-f6d1-4915-87be-f29b4a5cbbf2</vt:lpwstr>
  </property>
</Properties>
</file>