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3E2D" w14:textId="77777777" w:rsidR="001C7619" w:rsidRPr="004F619A" w:rsidRDefault="001C7619" w:rsidP="001C7619">
      <w:pPr>
        <w:jc w:val="right"/>
        <w:rPr>
          <w:rFonts w:ascii="Arial" w:hAnsi="Arial" w:cs="Arial"/>
          <w:b/>
          <w:sz w:val="36"/>
          <w:szCs w:val="36"/>
          <w:lang w:val="en-GB"/>
        </w:rPr>
      </w:pPr>
      <w:r w:rsidRPr="004F619A">
        <w:rPr>
          <w:rFonts w:ascii="Arial" w:hAnsi="Arial" w:cs="Arial"/>
          <w:b/>
          <w:sz w:val="36"/>
          <w:szCs w:val="36"/>
          <w:lang w:val="en-GB"/>
        </w:rPr>
        <w:t xml:space="preserve">Enzymatic Remediation of Poultry Waste: Using a </w:t>
      </w:r>
      <w:r w:rsidR="004F619A" w:rsidRPr="004F619A">
        <w:rPr>
          <w:rFonts w:ascii="Arial" w:hAnsi="Arial" w:cs="Arial"/>
          <w:b/>
          <w:i/>
          <w:sz w:val="36"/>
          <w:szCs w:val="36"/>
          <w:lang w:val="en-GB"/>
        </w:rPr>
        <w:t>K</w:t>
      </w:r>
      <w:r w:rsidR="0061701B" w:rsidRPr="004F619A">
        <w:rPr>
          <w:rFonts w:ascii="Arial" w:hAnsi="Arial" w:cs="Arial"/>
          <w:b/>
          <w:i/>
          <w:sz w:val="36"/>
          <w:szCs w:val="36"/>
          <w:lang w:val="en-GB"/>
        </w:rPr>
        <w:t>lebsiella</w:t>
      </w:r>
      <w:r w:rsidR="00353A11" w:rsidRPr="004F619A">
        <w:rPr>
          <w:rFonts w:ascii="Arial" w:hAnsi="Arial" w:cs="Arial"/>
          <w:b/>
          <w:i/>
          <w:sz w:val="36"/>
          <w:szCs w:val="36"/>
          <w:lang w:val="en-GB"/>
        </w:rPr>
        <w:t xml:space="preserve"> pneumoniae</w:t>
      </w:r>
      <w:r w:rsidR="0061701B" w:rsidRPr="004F619A">
        <w:rPr>
          <w:rFonts w:ascii="Arial" w:hAnsi="Arial" w:cs="Arial"/>
          <w:b/>
          <w:i/>
          <w:sz w:val="36"/>
          <w:szCs w:val="36"/>
          <w:lang w:val="en-GB"/>
        </w:rPr>
        <w:t xml:space="preserve"> </w:t>
      </w:r>
      <w:r w:rsidRPr="004F619A">
        <w:rPr>
          <w:rFonts w:ascii="Arial" w:hAnsi="Arial" w:cs="Arial"/>
          <w:b/>
          <w:sz w:val="36"/>
          <w:szCs w:val="36"/>
          <w:lang w:val="en-GB"/>
        </w:rPr>
        <w:t>β-Lactamase to Degrade Antibiotics and Reduce AMR Risks</w:t>
      </w:r>
    </w:p>
    <w:p w14:paraId="76E63782" w14:textId="77777777" w:rsidR="002E04C5" w:rsidRDefault="002E04C5" w:rsidP="00C8072E">
      <w:pPr>
        <w:pStyle w:val="NormalWeb"/>
        <w:spacing w:before="240" w:beforeAutospacing="0" w:after="0" w:afterAutospacing="0"/>
        <w:rPr>
          <w:rFonts w:ascii="Arial" w:hAnsi="Arial" w:cs="Arial"/>
          <w:b/>
          <w:sz w:val="22"/>
          <w:szCs w:val="22"/>
        </w:rPr>
      </w:pPr>
    </w:p>
    <w:p w14:paraId="78EC7D65" w14:textId="77777777" w:rsidR="00524DDA" w:rsidRPr="00C8072E" w:rsidRDefault="00524DDA" w:rsidP="00C8072E">
      <w:pPr>
        <w:pStyle w:val="NormalWeb"/>
        <w:spacing w:before="240" w:beforeAutospacing="0" w:after="0" w:afterAutospacing="0"/>
        <w:rPr>
          <w:rFonts w:ascii="Arial" w:hAnsi="Arial" w:cs="Arial"/>
          <w:b/>
          <w:sz w:val="22"/>
          <w:szCs w:val="22"/>
          <w:lang w:val="en-IN"/>
        </w:rPr>
      </w:pPr>
      <w:r w:rsidRPr="00C8072E">
        <w:rPr>
          <w:rFonts w:ascii="Arial" w:hAnsi="Arial" w:cs="Arial"/>
          <w:b/>
          <w:sz w:val="22"/>
          <w:szCs w:val="22"/>
        </w:rPr>
        <w:t>Abstract</w:t>
      </w:r>
    </w:p>
    <w:p w14:paraId="23937F9C" w14:textId="77777777" w:rsidR="00F35975" w:rsidRPr="00C8072E" w:rsidRDefault="00524DDA" w:rsidP="00C8072E">
      <w:pPr>
        <w:pStyle w:val="NormalWeb"/>
        <w:spacing w:before="240" w:beforeAutospacing="0"/>
        <w:jc w:val="both"/>
        <w:rPr>
          <w:rFonts w:ascii="Arial" w:hAnsi="Arial" w:cs="Arial"/>
          <w:sz w:val="20"/>
          <w:szCs w:val="20"/>
        </w:rPr>
      </w:pPr>
      <w:r w:rsidRPr="00C8072E">
        <w:rPr>
          <w:rFonts w:ascii="Arial" w:hAnsi="Arial" w:cs="Arial"/>
          <w:b/>
          <w:sz w:val="20"/>
          <w:szCs w:val="20"/>
          <w:lang w:val="en-IN"/>
        </w:rPr>
        <w:t xml:space="preserve">Aim: </w:t>
      </w:r>
      <w:r w:rsidR="004334BD" w:rsidRPr="00C8072E">
        <w:rPr>
          <w:rFonts w:ascii="Arial" w:hAnsi="Arial" w:cs="Arial"/>
          <w:sz w:val="20"/>
          <w:szCs w:val="20"/>
        </w:rPr>
        <w:t xml:space="preserve">This study aimed to isolate and evaluate β-lactamase-producing bacteria from poultry fecal matter for their potential to degrade β-lactam antibiotics, particularly Penicillin G, thereby reducing residual antibiotic contamination in farm </w:t>
      </w:r>
      <w:proofErr w:type="gramStart"/>
      <w:r w:rsidR="004334BD" w:rsidRPr="00C8072E">
        <w:rPr>
          <w:rFonts w:ascii="Arial" w:hAnsi="Arial" w:cs="Arial"/>
          <w:sz w:val="20"/>
          <w:szCs w:val="20"/>
        </w:rPr>
        <w:t>waste.</w:t>
      </w:r>
      <w:r w:rsidRPr="00C8072E">
        <w:rPr>
          <w:rFonts w:ascii="Arial" w:hAnsi="Arial" w:cs="Arial"/>
          <w:b/>
          <w:sz w:val="20"/>
          <w:szCs w:val="20"/>
          <w:lang w:val="en-IN"/>
        </w:rPr>
        <w:t>Methods</w:t>
      </w:r>
      <w:proofErr w:type="gramEnd"/>
      <w:r w:rsidRPr="00C8072E">
        <w:rPr>
          <w:rFonts w:ascii="Arial" w:hAnsi="Arial" w:cs="Arial"/>
          <w:b/>
          <w:sz w:val="20"/>
          <w:szCs w:val="20"/>
          <w:lang w:val="en-IN"/>
        </w:rPr>
        <w:t xml:space="preserve">: </w:t>
      </w:r>
      <w:r w:rsidR="004334BD" w:rsidRPr="00C8072E">
        <w:rPr>
          <w:rFonts w:ascii="Arial" w:hAnsi="Arial" w:cs="Arial"/>
          <w:sz w:val="20"/>
          <w:szCs w:val="20"/>
        </w:rPr>
        <w:t xml:space="preserve">Fecal-contaminated soil samples were collected from five poultry farms in Namakkal, Tamil Nadu. Thirty bacterial isolates were screened for β-lactamase activity using the iodometric method. Enzyme activity was quantified via spectrophotometry, and the most potent isolate was identified through 16S rRNA sequencing. Degradation of Penicillin G, Amoxicillin, and Ampicillin was assessed using agar well diffusion with </w:t>
      </w:r>
      <w:r w:rsidR="004334BD" w:rsidRPr="00C8072E">
        <w:rPr>
          <w:rFonts w:ascii="Arial" w:hAnsi="Arial" w:cs="Arial"/>
          <w:i/>
          <w:iCs/>
          <w:sz w:val="20"/>
          <w:szCs w:val="20"/>
        </w:rPr>
        <w:t>E. faecalis</w:t>
      </w:r>
      <w:r w:rsidR="004334BD" w:rsidRPr="00C8072E">
        <w:rPr>
          <w:rFonts w:ascii="Arial" w:hAnsi="Arial" w:cs="Arial"/>
          <w:sz w:val="20"/>
          <w:szCs w:val="20"/>
        </w:rPr>
        <w:t xml:space="preserve"> as an indicator strain. Molecular docking (</w:t>
      </w:r>
      <w:proofErr w:type="spellStart"/>
      <w:r w:rsidR="004334BD" w:rsidRPr="00C8072E">
        <w:rPr>
          <w:rFonts w:ascii="Arial" w:hAnsi="Arial" w:cs="Arial"/>
          <w:sz w:val="20"/>
          <w:szCs w:val="20"/>
        </w:rPr>
        <w:t>AutoDockVina</w:t>
      </w:r>
      <w:proofErr w:type="spellEnd"/>
      <w:r w:rsidR="004334BD" w:rsidRPr="00C8072E">
        <w:rPr>
          <w:rFonts w:ascii="Arial" w:hAnsi="Arial" w:cs="Arial"/>
          <w:sz w:val="20"/>
          <w:szCs w:val="20"/>
        </w:rPr>
        <w:t>) was used to evaluate the interaction between Penicillin G and β-lactamase (PDB ID: 1XPB</w:t>
      </w:r>
      <w:proofErr w:type="gramStart"/>
      <w:r w:rsidR="004334BD" w:rsidRPr="00C8072E">
        <w:rPr>
          <w:rFonts w:ascii="Arial" w:hAnsi="Arial" w:cs="Arial"/>
          <w:sz w:val="20"/>
          <w:szCs w:val="20"/>
        </w:rPr>
        <w:t>).</w:t>
      </w:r>
      <w:r w:rsidRPr="00C8072E">
        <w:rPr>
          <w:rFonts w:ascii="Arial" w:hAnsi="Arial" w:cs="Arial"/>
          <w:b/>
          <w:sz w:val="20"/>
          <w:szCs w:val="20"/>
          <w:lang w:val="en-IN"/>
        </w:rPr>
        <w:t>Results</w:t>
      </w:r>
      <w:proofErr w:type="gramEnd"/>
      <w:r w:rsidRPr="00C8072E">
        <w:rPr>
          <w:rFonts w:ascii="Arial" w:hAnsi="Arial" w:cs="Arial"/>
          <w:sz w:val="20"/>
          <w:szCs w:val="20"/>
          <w:lang w:val="en-IN"/>
        </w:rPr>
        <w:t xml:space="preserve">: </w:t>
      </w:r>
      <w:r w:rsidR="004334BD" w:rsidRPr="00C8072E">
        <w:rPr>
          <w:rFonts w:ascii="Arial" w:hAnsi="Arial" w:cs="Arial"/>
          <w:sz w:val="20"/>
          <w:szCs w:val="20"/>
        </w:rPr>
        <w:t>Out of 30 isolates, 11 (37%) were β-lactamase-positive. Isolate 23 (</w:t>
      </w:r>
      <w:proofErr w:type="spellStart"/>
      <w:r w:rsidR="004334BD" w:rsidRPr="00C8072E">
        <w:rPr>
          <w:rFonts w:ascii="Arial" w:hAnsi="Arial" w:cs="Arial"/>
          <w:i/>
          <w:iCs/>
          <w:sz w:val="20"/>
          <w:szCs w:val="20"/>
        </w:rPr>
        <w:t>Klebsiella</w:t>
      </w:r>
      <w:r w:rsidR="00353A11" w:rsidRPr="00353A11">
        <w:rPr>
          <w:rFonts w:ascii="Arial" w:hAnsi="Arial" w:cs="Arial"/>
          <w:i/>
          <w:iCs/>
          <w:sz w:val="20"/>
          <w:szCs w:val="20"/>
        </w:rPr>
        <w:t>Klebsiella</w:t>
      </w:r>
      <w:proofErr w:type="spellEnd"/>
      <w:r w:rsidR="00353A11" w:rsidRPr="00353A11">
        <w:rPr>
          <w:rFonts w:ascii="Arial" w:hAnsi="Arial" w:cs="Arial"/>
          <w:i/>
          <w:iCs/>
          <w:sz w:val="20"/>
          <w:szCs w:val="20"/>
        </w:rPr>
        <w:t xml:space="preserve"> pneumoniae</w:t>
      </w:r>
      <w:r w:rsidR="004334BD" w:rsidRPr="00C8072E">
        <w:rPr>
          <w:rFonts w:ascii="Arial" w:hAnsi="Arial" w:cs="Arial"/>
          <w:sz w:val="20"/>
          <w:szCs w:val="20"/>
        </w:rPr>
        <w:t xml:space="preserve">) showed the highest enzyme activity (46.60 U/mL). Enzyme-treated samples exhibited reduced inhibition zones, confirming antibiotic degradation. Docking revealed a binding affinity of –4.45 kcal/mol and an inhibition constant (Ki) of 542.67 µM, indicating effective interaction and hydrolytic </w:t>
      </w:r>
      <w:proofErr w:type="gramStart"/>
      <w:r w:rsidR="004334BD" w:rsidRPr="00C8072E">
        <w:rPr>
          <w:rFonts w:ascii="Arial" w:hAnsi="Arial" w:cs="Arial"/>
          <w:sz w:val="20"/>
          <w:szCs w:val="20"/>
        </w:rPr>
        <w:t>potential.</w:t>
      </w:r>
      <w:r w:rsidRPr="00C8072E">
        <w:rPr>
          <w:rFonts w:ascii="Arial" w:hAnsi="Arial" w:cs="Arial"/>
          <w:b/>
          <w:sz w:val="20"/>
          <w:szCs w:val="20"/>
          <w:lang w:val="en-IN"/>
        </w:rPr>
        <w:t>Conclusion</w:t>
      </w:r>
      <w:proofErr w:type="gramEnd"/>
      <w:r w:rsidRPr="00C8072E">
        <w:rPr>
          <w:rFonts w:ascii="Arial" w:hAnsi="Arial" w:cs="Arial"/>
          <w:b/>
          <w:sz w:val="20"/>
          <w:szCs w:val="20"/>
          <w:lang w:val="en-IN"/>
        </w:rPr>
        <w:t xml:space="preserve">: </w:t>
      </w:r>
      <w:r w:rsidR="004334BD" w:rsidRPr="00C8072E">
        <w:rPr>
          <w:rFonts w:ascii="Arial" w:hAnsi="Arial" w:cs="Arial"/>
          <w:sz w:val="20"/>
          <w:szCs w:val="20"/>
        </w:rPr>
        <w:t>These findings highlight the enzyme’s role in reducing antibiotic pollution and antimicrobial resistance risks, while biologically controlling the prevalence of resistant isolates. Microbial degradation offers a cost-effective and eco-friendly solution for poultry waste management and the safe reuse of biofertilizers.</w:t>
      </w:r>
    </w:p>
    <w:p w14:paraId="6C933725" w14:textId="77777777" w:rsidR="00524DDA" w:rsidRPr="00C8072E" w:rsidRDefault="00524DDA" w:rsidP="00C8072E">
      <w:pPr>
        <w:spacing w:before="240" w:after="0" w:line="240" w:lineRule="auto"/>
        <w:jc w:val="both"/>
        <w:rPr>
          <w:rFonts w:ascii="Arial" w:hAnsi="Arial" w:cs="Arial"/>
          <w:sz w:val="20"/>
          <w:szCs w:val="20"/>
          <w:lang w:val="en-IN"/>
        </w:rPr>
      </w:pPr>
      <w:r w:rsidRPr="00C8072E">
        <w:rPr>
          <w:rFonts w:ascii="Arial" w:hAnsi="Arial" w:cs="Arial"/>
          <w:b/>
          <w:sz w:val="20"/>
          <w:szCs w:val="20"/>
          <w:lang w:val="en-IN"/>
        </w:rPr>
        <w:t>Keywords:</w:t>
      </w:r>
      <w:r w:rsidRPr="00C8072E">
        <w:rPr>
          <w:rFonts w:ascii="Arial" w:hAnsi="Arial" w:cs="Arial"/>
          <w:sz w:val="20"/>
          <w:szCs w:val="20"/>
          <w:lang w:val="en-IN"/>
        </w:rPr>
        <w:t xml:space="preserve"> β-lactamase, </w:t>
      </w:r>
      <w:r w:rsidRPr="00C8072E">
        <w:rPr>
          <w:rFonts w:ascii="Arial" w:hAnsi="Arial" w:cs="Arial"/>
          <w:i/>
          <w:sz w:val="20"/>
          <w:szCs w:val="20"/>
          <w:lang w:val="en-IN"/>
        </w:rPr>
        <w:t>Klebsiella pneumonia</w:t>
      </w:r>
      <w:r w:rsidRPr="00C8072E">
        <w:rPr>
          <w:rFonts w:ascii="Arial" w:hAnsi="Arial" w:cs="Arial"/>
          <w:sz w:val="20"/>
          <w:szCs w:val="20"/>
          <w:lang w:val="en-IN"/>
        </w:rPr>
        <w:t>, Antibiotic biodegradation, Poultry waste, Molecular docking, β-lactam antibiotics.</w:t>
      </w:r>
    </w:p>
    <w:p w14:paraId="66B77E79" w14:textId="77777777" w:rsidR="00524DDA" w:rsidRPr="00C8072E" w:rsidRDefault="00C76A70" w:rsidP="00C8072E">
      <w:pPr>
        <w:spacing w:before="240" w:after="0" w:line="240" w:lineRule="auto"/>
        <w:jc w:val="both"/>
        <w:rPr>
          <w:rFonts w:ascii="Arial" w:hAnsi="Arial" w:cs="Arial"/>
          <w:b/>
        </w:rPr>
      </w:pPr>
      <w:r>
        <w:rPr>
          <w:rFonts w:ascii="Arial" w:hAnsi="Arial" w:cs="Arial"/>
          <w:b/>
        </w:rPr>
        <w:t xml:space="preserve">1. </w:t>
      </w:r>
      <w:r w:rsidR="00524DDA" w:rsidRPr="00C8072E">
        <w:rPr>
          <w:rFonts w:ascii="Arial" w:hAnsi="Arial" w:cs="Arial"/>
          <w:b/>
        </w:rPr>
        <w:t>Introduction</w:t>
      </w:r>
    </w:p>
    <w:p w14:paraId="287BE7DD" w14:textId="77777777" w:rsidR="00524DDA" w:rsidRPr="00C8072E" w:rsidRDefault="00833E3C" w:rsidP="00C8072E">
      <w:pPr>
        <w:spacing w:before="240" w:after="0" w:line="240" w:lineRule="auto"/>
        <w:ind w:firstLine="720"/>
        <w:jc w:val="both"/>
        <w:rPr>
          <w:rFonts w:ascii="Arial" w:hAnsi="Arial" w:cs="Arial"/>
          <w:sz w:val="20"/>
          <w:szCs w:val="20"/>
          <w:lang w:val="en-IN"/>
        </w:rPr>
      </w:pPr>
      <w:r w:rsidRPr="00C8072E">
        <w:rPr>
          <w:rFonts w:ascii="Arial" w:hAnsi="Arial" w:cs="Arial"/>
          <w:sz w:val="20"/>
          <w:szCs w:val="20"/>
        </w:rPr>
        <w:t xml:space="preserve">Our environment is facing a growing crisis, with pollution worsening over time and causing severe, often irreversible damage. Pollution takes many forms—air, water, soil, noise, and light—and is driven by urbanization, overpopulation, and technological development. Hazardous waste from factories, fossil fuel combustion, acid rain, oil spills, and industrial toxins degrades essential resources like air, water, and soil </w:t>
      </w:r>
      <w:r w:rsidRPr="00C8072E">
        <w:rPr>
          <w:rFonts w:ascii="Arial" w:hAnsi="Arial" w:cs="Arial"/>
          <w:sz w:val="20"/>
          <w:szCs w:val="20"/>
          <w:vertAlign w:val="superscript"/>
        </w:rPr>
        <w:t>[1]</w:t>
      </w:r>
      <w:r w:rsidRPr="00C8072E">
        <w:rPr>
          <w:rFonts w:ascii="Arial" w:hAnsi="Arial" w:cs="Arial"/>
          <w:sz w:val="20"/>
          <w:szCs w:val="20"/>
        </w:rPr>
        <w:t xml:space="preserve">. </w:t>
      </w:r>
      <w:proofErr w:type="spellStart"/>
      <w:r w:rsidRPr="00C8072E">
        <w:rPr>
          <w:rFonts w:ascii="Arial" w:hAnsi="Arial" w:cs="Arial"/>
          <w:sz w:val="20"/>
          <w:szCs w:val="20"/>
        </w:rPr>
        <w:t>Agro</w:t>
      </w:r>
      <w:proofErr w:type="spellEnd"/>
      <w:r w:rsidRPr="00C8072E">
        <w:rPr>
          <w:rFonts w:ascii="Arial" w:hAnsi="Arial" w:cs="Arial"/>
          <w:sz w:val="20"/>
          <w:szCs w:val="20"/>
        </w:rPr>
        <w:t>-waste and the waste discharged from cattle, goat, pig, and poultry farms significantly pollute the air, soil, and water.</w:t>
      </w:r>
    </w:p>
    <w:p w14:paraId="347ABF16" w14:textId="77777777" w:rsidR="00524DDA" w:rsidRPr="00C8072E" w:rsidRDefault="00833E3C" w:rsidP="00C8072E">
      <w:pPr>
        <w:spacing w:before="240" w:after="0" w:line="240" w:lineRule="auto"/>
        <w:ind w:firstLine="720"/>
        <w:jc w:val="both"/>
        <w:rPr>
          <w:rFonts w:ascii="Arial" w:hAnsi="Arial" w:cs="Arial"/>
          <w:sz w:val="20"/>
          <w:szCs w:val="20"/>
          <w:lang w:val="en-IN"/>
        </w:rPr>
      </w:pPr>
      <w:r w:rsidRPr="00C8072E">
        <w:rPr>
          <w:rFonts w:ascii="Arial" w:hAnsi="Arial" w:cs="Arial"/>
          <w:sz w:val="20"/>
          <w:szCs w:val="20"/>
        </w:rPr>
        <w:t xml:space="preserve">In 2010, global antimicrobial use in food-animal production was estimated at 63,151 ± 1,560 tons, and this figure is projected to increase by 67%, reaching approximately 105,596 ± 3,605 tons by 2030. This surge is largely driven by shifts in production systems in Asia, where antimicrobial consumption is expected to rise by about 46% by 2030. In India alone, areas of high antimicrobial use in poultry farming (30 kg/km²) are expected to increase by 132% by 2030, driven by the expansion of the poultry sector. As a result, with the intensification of animal farming, antimicrobial use is rising rapidly. This contributes to the growth of antimicrobial resistance (AMR) and increases the risk of its transmission to humans through the food </w:t>
      </w:r>
      <w:r w:rsidR="00506ADC" w:rsidRPr="00C8072E">
        <w:rPr>
          <w:rFonts w:ascii="Arial" w:hAnsi="Arial" w:cs="Arial"/>
          <w:sz w:val="20"/>
          <w:szCs w:val="20"/>
        </w:rPr>
        <w:t>chain</w:t>
      </w:r>
      <w:r w:rsidR="00506ADC" w:rsidRPr="00C8072E">
        <w:rPr>
          <w:rFonts w:ascii="Arial" w:hAnsi="Arial" w:cs="Arial"/>
          <w:sz w:val="20"/>
          <w:szCs w:val="20"/>
          <w:vertAlign w:val="superscript"/>
        </w:rPr>
        <w:t xml:space="preserve"> [</w:t>
      </w:r>
      <w:r w:rsidR="00524DDA" w:rsidRPr="00C8072E">
        <w:rPr>
          <w:rFonts w:ascii="Arial" w:hAnsi="Arial" w:cs="Arial"/>
          <w:sz w:val="20"/>
          <w:szCs w:val="20"/>
          <w:vertAlign w:val="superscript"/>
        </w:rPr>
        <w:t>2]</w:t>
      </w:r>
      <w:r w:rsidR="00524DDA" w:rsidRPr="00C8072E">
        <w:rPr>
          <w:rFonts w:ascii="Arial" w:hAnsi="Arial" w:cs="Arial"/>
          <w:sz w:val="20"/>
          <w:szCs w:val="20"/>
        </w:rPr>
        <w:t>.</w:t>
      </w:r>
    </w:p>
    <w:p w14:paraId="64017280" w14:textId="77777777" w:rsidR="001C7619" w:rsidRDefault="003710D3" w:rsidP="001C7619">
      <w:pPr>
        <w:spacing w:before="240" w:after="0" w:line="240" w:lineRule="auto"/>
        <w:ind w:firstLine="720"/>
        <w:jc w:val="both"/>
        <w:rPr>
          <w:rFonts w:ascii="Arial" w:hAnsi="Arial" w:cs="Arial"/>
          <w:sz w:val="20"/>
          <w:szCs w:val="20"/>
        </w:rPr>
      </w:pPr>
      <w:r w:rsidRPr="00C8072E">
        <w:rPr>
          <w:rFonts w:ascii="Arial" w:hAnsi="Arial" w:cs="Arial"/>
          <w:sz w:val="20"/>
          <w:szCs w:val="20"/>
        </w:rPr>
        <w:t xml:space="preserve">Many classes of antimicrobials, such as β-lactams, tetracyclines, and aminoglycosides, which are commonly used in human medicine, are also extensively used in food animals. The use of antibiotics in food animals is not limited to therapeutic purposes; they are often employed for disease prevention and growth promotion as well. In developed countries, the responsibility for diagnosing, </w:t>
      </w:r>
      <w:r w:rsidRPr="00C8072E">
        <w:rPr>
          <w:rFonts w:ascii="Arial" w:hAnsi="Arial" w:cs="Arial"/>
          <w:sz w:val="20"/>
          <w:szCs w:val="20"/>
        </w:rPr>
        <w:lastRenderedPageBreak/>
        <w:t xml:space="preserve">prescribing, and administering antibiotics to farm animals lies solely with licensed </w:t>
      </w:r>
      <w:proofErr w:type="gramStart"/>
      <w:r w:rsidRPr="00C8072E">
        <w:rPr>
          <w:rFonts w:ascii="Arial" w:hAnsi="Arial" w:cs="Arial"/>
          <w:sz w:val="20"/>
          <w:szCs w:val="20"/>
        </w:rPr>
        <w:t>veterinarians</w:t>
      </w:r>
      <w:r w:rsidR="00524DDA" w:rsidRPr="00C8072E">
        <w:rPr>
          <w:rFonts w:ascii="Arial" w:hAnsi="Arial" w:cs="Arial"/>
          <w:sz w:val="20"/>
          <w:szCs w:val="20"/>
          <w:vertAlign w:val="superscript"/>
        </w:rPr>
        <w:t>[</w:t>
      </w:r>
      <w:proofErr w:type="gramEnd"/>
      <w:r w:rsidR="00524DDA" w:rsidRPr="00C8072E">
        <w:rPr>
          <w:rFonts w:ascii="Arial" w:hAnsi="Arial" w:cs="Arial"/>
          <w:sz w:val="20"/>
          <w:szCs w:val="20"/>
          <w:vertAlign w:val="superscript"/>
        </w:rPr>
        <w:t>3]</w:t>
      </w:r>
      <w:r w:rsidR="00524DDA" w:rsidRPr="00C8072E">
        <w:rPr>
          <w:rFonts w:ascii="Arial" w:hAnsi="Arial" w:cs="Arial"/>
          <w:sz w:val="20"/>
          <w:szCs w:val="20"/>
        </w:rPr>
        <w:t xml:space="preserve">. </w:t>
      </w:r>
      <w:r w:rsidR="001C7619" w:rsidRPr="001C7619">
        <w:rPr>
          <w:rFonts w:ascii="Arial" w:hAnsi="Arial" w:cs="Arial"/>
          <w:sz w:val="20"/>
          <w:szCs w:val="20"/>
        </w:rPr>
        <w:t>However, in developing countries, antibiotics are frequently administered directly by livestock producers or farmers, largely due to easy, unregulated access to these drugs.”</w:t>
      </w:r>
    </w:p>
    <w:p w14:paraId="26928B97" w14:textId="77777777" w:rsidR="00524DDA" w:rsidRPr="00C8072E" w:rsidRDefault="001C7619" w:rsidP="001C7619">
      <w:pPr>
        <w:spacing w:before="240" w:after="0" w:line="240" w:lineRule="auto"/>
        <w:ind w:firstLine="720"/>
        <w:jc w:val="both"/>
        <w:rPr>
          <w:rFonts w:ascii="Arial" w:hAnsi="Arial" w:cs="Arial"/>
          <w:sz w:val="20"/>
          <w:szCs w:val="20"/>
        </w:rPr>
      </w:pPr>
      <w:r w:rsidRPr="001C7619">
        <w:rPr>
          <w:rFonts w:ascii="Arial" w:hAnsi="Arial" w:cs="Arial"/>
          <w:sz w:val="20"/>
          <w:szCs w:val="20"/>
        </w:rPr>
        <w:t xml:space="preserve">The discharge of antibiotics and other </w:t>
      </w:r>
      <w:r>
        <w:rPr>
          <w:rFonts w:ascii="Arial" w:hAnsi="Arial" w:cs="Arial"/>
          <w:sz w:val="20"/>
          <w:szCs w:val="20"/>
        </w:rPr>
        <w:t>residues</w:t>
      </w:r>
      <w:r w:rsidRPr="001C7619">
        <w:rPr>
          <w:rFonts w:ascii="Arial" w:hAnsi="Arial" w:cs="Arial"/>
          <w:sz w:val="20"/>
          <w:szCs w:val="20"/>
        </w:rPr>
        <w:t xml:space="preserve"> from poultry waste contaminates both terrestrial and aquatic environments. When such contaminated waste is used as fertilizer, rainfall can wash it into nearby water bod</w:t>
      </w:r>
      <w:r>
        <w:rPr>
          <w:rFonts w:ascii="Arial" w:hAnsi="Arial" w:cs="Arial"/>
          <w:sz w:val="20"/>
          <w:szCs w:val="20"/>
        </w:rPr>
        <w:t>ies, leading to water pollution</w:t>
      </w:r>
      <w:r w:rsidR="00061A52" w:rsidRPr="00C8072E">
        <w:rPr>
          <w:rFonts w:ascii="Arial" w:hAnsi="Arial" w:cs="Arial"/>
          <w:sz w:val="20"/>
          <w:szCs w:val="20"/>
        </w:rPr>
        <w:t xml:space="preserve">. This type of contamination can further spread to various locations through human contact, causing widespread environmental and health impacts. Moreover, the continuous use of the same antibiotic can lead to the development of high levels of resistance in exposed microbes. Farm animals and humans are often infected by the same bacterial species, indicating that transmission between the two occurs to some extent. Evidence also suggests that antimicrobial-resistant (AMR) bacteria are shared between humans and </w:t>
      </w:r>
      <w:proofErr w:type="gramStart"/>
      <w:r w:rsidR="00061A52" w:rsidRPr="00C8072E">
        <w:rPr>
          <w:rFonts w:ascii="Arial" w:hAnsi="Arial" w:cs="Arial"/>
          <w:sz w:val="20"/>
          <w:szCs w:val="20"/>
        </w:rPr>
        <w:t>animals</w:t>
      </w:r>
      <w:r w:rsidR="00524DDA" w:rsidRPr="00C8072E">
        <w:rPr>
          <w:rFonts w:ascii="Arial" w:hAnsi="Arial" w:cs="Arial"/>
          <w:sz w:val="20"/>
          <w:szCs w:val="20"/>
          <w:vertAlign w:val="superscript"/>
        </w:rPr>
        <w:t>[</w:t>
      </w:r>
      <w:proofErr w:type="gramEnd"/>
      <w:r w:rsidR="00524DDA" w:rsidRPr="00C8072E">
        <w:rPr>
          <w:rFonts w:ascii="Arial" w:hAnsi="Arial" w:cs="Arial"/>
          <w:sz w:val="20"/>
          <w:szCs w:val="20"/>
          <w:vertAlign w:val="superscript"/>
        </w:rPr>
        <w:t>4]</w:t>
      </w:r>
      <w:r w:rsidR="00524DDA" w:rsidRPr="00C8072E">
        <w:rPr>
          <w:rFonts w:ascii="Arial" w:hAnsi="Arial" w:cs="Arial"/>
          <w:sz w:val="20"/>
          <w:szCs w:val="20"/>
        </w:rPr>
        <w:t>.</w:t>
      </w:r>
    </w:p>
    <w:p w14:paraId="5F01F9B1" w14:textId="77777777" w:rsidR="00524DDA" w:rsidRPr="00C8072E" w:rsidRDefault="00061A52" w:rsidP="00C8072E">
      <w:pPr>
        <w:pStyle w:val="NormalWeb"/>
        <w:spacing w:before="240" w:beforeAutospacing="0" w:after="0" w:afterAutospacing="0"/>
        <w:ind w:firstLine="720"/>
        <w:jc w:val="both"/>
        <w:rPr>
          <w:rFonts w:ascii="Arial" w:hAnsi="Arial" w:cs="Arial"/>
          <w:sz w:val="20"/>
          <w:szCs w:val="20"/>
          <w:lang w:val="en-IN"/>
        </w:rPr>
      </w:pPr>
      <w:r w:rsidRPr="00C8072E">
        <w:rPr>
          <w:rFonts w:ascii="Arial" w:hAnsi="Arial" w:cs="Arial"/>
          <w:sz w:val="20"/>
          <w:szCs w:val="20"/>
        </w:rPr>
        <w:t xml:space="preserve">Among the various antibiotics used in animal farms, Penicillin V potassium (PVK), a commonly used slow-onset antibiotic, is more acid-resistant than natural penicillin, allowing for oral administration without degradation in the stomach. Its stability enhances its effectiveness in treating bacterial infections. However, extensive use has led to high PVK concentrations in soil, wastewater, and animal waste, posing risks to the environment and human health by promoting resistant </w:t>
      </w:r>
      <w:proofErr w:type="gramStart"/>
      <w:r w:rsidRPr="00C8072E">
        <w:rPr>
          <w:rFonts w:ascii="Arial" w:hAnsi="Arial" w:cs="Arial"/>
          <w:sz w:val="20"/>
          <w:szCs w:val="20"/>
        </w:rPr>
        <w:t>strains</w:t>
      </w:r>
      <w:r w:rsidR="007A7034" w:rsidRPr="00C8072E">
        <w:rPr>
          <w:rFonts w:ascii="Arial" w:hAnsi="Arial" w:cs="Arial"/>
          <w:sz w:val="20"/>
          <w:szCs w:val="20"/>
          <w:vertAlign w:val="superscript"/>
        </w:rPr>
        <w:t>[</w:t>
      </w:r>
      <w:proofErr w:type="gramEnd"/>
      <w:r w:rsidR="007A7034" w:rsidRPr="00C8072E">
        <w:rPr>
          <w:rFonts w:ascii="Arial" w:hAnsi="Arial" w:cs="Arial"/>
          <w:sz w:val="20"/>
          <w:szCs w:val="20"/>
          <w:vertAlign w:val="superscript"/>
        </w:rPr>
        <w:t xml:space="preserve">5 and </w:t>
      </w:r>
      <w:r w:rsidR="00524DDA" w:rsidRPr="00C8072E">
        <w:rPr>
          <w:rFonts w:ascii="Arial" w:hAnsi="Arial" w:cs="Arial"/>
          <w:sz w:val="20"/>
          <w:szCs w:val="20"/>
          <w:vertAlign w:val="superscript"/>
        </w:rPr>
        <w:t>6]</w:t>
      </w:r>
      <w:r w:rsidR="00524DDA" w:rsidRPr="00C8072E">
        <w:rPr>
          <w:rFonts w:ascii="Arial" w:hAnsi="Arial" w:cs="Arial"/>
          <w:sz w:val="20"/>
          <w:szCs w:val="20"/>
        </w:rPr>
        <w:t xml:space="preserve">. </w:t>
      </w:r>
      <w:r w:rsidRPr="00C8072E">
        <w:rPr>
          <w:rFonts w:ascii="Arial" w:hAnsi="Arial" w:cs="Arial"/>
          <w:sz w:val="20"/>
          <w:szCs w:val="20"/>
        </w:rPr>
        <w:t>In this context, using poultry waste containing antibiotics without proper treatment or removal of the antibiotics can lead to serious environmental and health problems.</w:t>
      </w:r>
    </w:p>
    <w:p w14:paraId="69D4F355" w14:textId="77777777" w:rsidR="00524DDA" w:rsidRPr="00C8072E" w:rsidRDefault="00523B0F" w:rsidP="00C8072E">
      <w:pPr>
        <w:autoSpaceDE w:val="0"/>
        <w:autoSpaceDN w:val="0"/>
        <w:adjustRightInd w:val="0"/>
        <w:spacing w:before="240" w:after="0" w:line="240" w:lineRule="auto"/>
        <w:ind w:firstLine="720"/>
        <w:jc w:val="both"/>
        <w:rPr>
          <w:rFonts w:ascii="Arial" w:hAnsi="Arial" w:cs="Arial"/>
          <w:sz w:val="20"/>
          <w:szCs w:val="20"/>
        </w:rPr>
      </w:pPr>
      <w:r w:rsidRPr="00C8072E">
        <w:rPr>
          <w:rFonts w:ascii="Arial" w:hAnsi="Arial" w:cs="Arial"/>
          <w:color w:val="000000"/>
          <w:sz w:val="20"/>
          <w:szCs w:val="20"/>
        </w:rPr>
        <w:t xml:space="preserve">Various traditional bacterial residue treatment methods, including incineration, landfilling, anaerobic </w:t>
      </w:r>
      <w:proofErr w:type="gramStart"/>
      <w:r w:rsidRPr="00C8072E">
        <w:rPr>
          <w:rFonts w:ascii="Arial" w:hAnsi="Arial" w:cs="Arial"/>
          <w:color w:val="000000"/>
          <w:sz w:val="20"/>
          <w:szCs w:val="20"/>
        </w:rPr>
        <w:t>digestion</w:t>
      </w:r>
      <w:r w:rsidR="00524DDA" w:rsidRPr="00C8072E">
        <w:rPr>
          <w:rFonts w:ascii="Arial" w:hAnsi="Arial" w:cs="Arial"/>
          <w:color w:val="000000"/>
          <w:sz w:val="20"/>
          <w:szCs w:val="20"/>
          <w:vertAlign w:val="superscript"/>
        </w:rPr>
        <w:t>[</w:t>
      </w:r>
      <w:proofErr w:type="gramEnd"/>
      <w:r w:rsidR="00524DDA" w:rsidRPr="00C8072E">
        <w:rPr>
          <w:rFonts w:ascii="Arial" w:hAnsi="Arial" w:cs="Arial"/>
          <w:color w:val="000000"/>
          <w:sz w:val="20"/>
          <w:szCs w:val="20"/>
          <w:vertAlign w:val="superscript"/>
        </w:rPr>
        <w:t>7</w:t>
      </w:r>
      <w:r w:rsidR="007A7034" w:rsidRPr="00C8072E">
        <w:rPr>
          <w:rFonts w:ascii="Arial" w:hAnsi="Arial" w:cs="Arial"/>
          <w:color w:val="000000"/>
          <w:sz w:val="20"/>
          <w:szCs w:val="20"/>
          <w:vertAlign w:val="superscript"/>
        </w:rPr>
        <w:t xml:space="preserve"> and </w:t>
      </w:r>
      <w:r w:rsidR="00524DDA" w:rsidRPr="00C8072E">
        <w:rPr>
          <w:rFonts w:ascii="Arial" w:hAnsi="Arial" w:cs="Arial"/>
          <w:color w:val="000000"/>
          <w:sz w:val="20"/>
          <w:szCs w:val="20"/>
          <w:vertAlign w:val="superscript"/>
        </w:rPr>
        <w:t>8]</w:t>
      </w:r>
      <w:r w:rsidR="00524DDA" w:rsidRPr="00C8072E">
        <w:rPr>
          <w:rFonts w:ascii="Arial" w:hAnsi="Arial" w:cs="Arial"/>
          <w:color w:val="000000"/>
          <w:sz w:val="20"/>
          <w:szCs w:val="20"/>
          <w:lang w:val="en-IN"/>
        </w:rPr>
        <w:t xml:space="preserve">, </w:t>
      </w:r>
      <w:r w:rsidR="00524DDA" w:rsidRPr="00C8072E">
        <w:rPr>
          <w:rFonts w:ascii="Arial" w:hAnsi="Arial" w:cs="Arial"/>
          <w:sz w:val="20"/>
          <w:szCs w:val="20"/>
        </w:rPr>
        <w:t>ionizing radiation (Salem), UV/TiO2 photocatalytic</w:t>
      </w:r>
      <w:r w:rsidR="001C7619">
        <w:rPr>
          <w:rFonts w:ascii="Arial" w:hAnsi="Arial" w:cs="Arial"/>
          <w:sz w:val="20"/>
          <w:szCs w:val="20"/>
        </w:rPr>
        <w:t xml:space="preserve"> </w:t>
      </w:r>
      <w:r w:rsidR="00524DDA" w:rsidRPr="00C8072E">
        <w:rPr>
          <w:rFonts w:ascii="Arial" w:hAnsi="Arial" w:cs="Arial"/>
          <w:sz w:val="20"/>
          <w:szCs w:val="20"/>
          <w:vertAlign w:val="superscript"/>
        </w:rPr>
        <w:t>[9]</w:t>
      </w:r>
      <w:r w:rsidR="001C7619">
        <w:rPr>
          <w:rFonts w:ascii="Arial" w:hAnsi="Arial" w:cs="Arial"/>
          <w:sz w:val="20"/>
          <w:szCs w:val="20"/>
          <w:vertAlign w:val="superscript"/>
        </w:rPr>
        <w:t xml:space="preserve"> </w:t>
      </w:r>
      <w:r w:rsidR="001C7619">
        <w:rPr>
          <w:rFonts w:ascii="Arial" w:hAnsi="Arial" w:cs="Arial"/>
          <w:color w:val="000000"/>
          <w:sz w:val="20"/>
          <w:szCs w:val="20"/>
        </w:rPr>
        <w:t>have</w:t>
      </w:r>
      <w:r w:rsidRPr="00C8072E">
        <w:rPr>
          <w:rFonts w:ascii="Arial" w:hAnsi="Arial" w:cs="Arial"/>
          <w:color w:val="000000"/>
          <w:sz w:val="20"/>
          <w:szCs w:val="20"/>
        </w:rPr>
        <w:t xml:space="preserve"> also been used for antibiotic degradation. However, these methods are costly, the processing conditions are harsh, and scaling up is difficult. Microbiological degradation has emerged as an effective approach to remove antibiotic contamination. Reports indicate that certain bacteria can biodegrade penicillin </w:t>
      </w:r>
      <w:proofErr w:type="gramStart"/>
      <w:r w:rsidRPr="00C8072E">
        <w:rPr>
          <w:rFonts w:ascii="Arial" w:hAnsi="Arial" w:cs="Arial"/>
          <w:color w:val="000000"/>
          <w:sz w:val="20"/>
          <w:szCs w:val="20"/>
        </w:rPr>
        <w:t>antibiotics</w:t>
      </w:r>
      <w:r w:rsidR="007A7034" w:rsidRPr="00C8072E">
        <w:rPr>
          <w:rFonts w:ascii="Arial" w:hAnsi="Arial" w:cs="Arial"/>
          <w:sz w:val="20"/>
          <w:szCs w:val="20"/>
          <w:vertAlign w:val="superscript"/>
        </w:rPr>
        <w:t>[</w:t>
      </w:r>
      <w:proofErr w:type="gramEnd"/>
      <w:r w:rsidR="007A7034" w:rsidRPr="00C8072E">
        <w:rPr>
          <w:rFonts w:ascii="Arial" w:hAnsi="Arial" w:cs="Arial"/>
          <w:sz w:val="20"/>
          <w:szCs w:val="20"/>
          <w:vertAlign w:val="superscript"/>
        </w:rPr>
        <w:t xml:space="preserve">10, 11, and </w:t>
      </w:r>
      <w:r w:rsidR="00524DDA" w:rsidRPr="00C8072E">
        <w:rPr>
          <w:rFonts w:ascii="Arial" w:hAnsi="Arial" w:cs="Arial"/>
          <w:sz w:val="20"/>
          <w:szCs w:val="20"/>
          <w:vertAlign w:val="superscript"/>
        </w:rPr>
        <w:t>12]</w:t>
      </w:r>
      <w:r w:rsidR="00524DDA" w:rsidRPr="00C8072E">
        <w:rPr>
          <w:rFonts w:ascii="Arial" w:hAnsi="Arial" w:cs="Arial"/>
          <w:sz w:val="20"/>
          <w:szCs w:val="20"/>
        </w:rPr>
        <w:t xml:space="preserve">. </w:t>
      </w:r>
      <w:r w:rsidRPr="00C8072E">
        <w:rPr>
          <w:rFonts w:ascii="Arial" w:hAnsi="Arial" w:cs="Arial"/>
          <w:sz w:val="20"/>
          <w:szCs w:val="20"/>
        </w:rPr>
        <w:t>However, most studies focus on strain screening and cell-level degradation, with limited research at the enzymatic and molecular levels. This gap hinders the development of more efficient and eco-friendly enzymatic degradation methods.</w:t>
      </w:r>
    </w:p>
    <w:p w14:paraId="298803A2" w14:textId="77777777" w:rsidR="00524DDA" w:rsidRPr="00C8072E" w:rsidRDefault="00524DDA" w:rsidP="00C8072E">
      <w:pPr>
        <w:autoSpaceDE w:val="0"/>
        <w:autoSpaceDN w:val="0"/>
        <w:adjustRightInd w:val="0"/>
        <w:spacing w:before="240" w:after="0" w:line="240" w:lineRule="auto"/>
        <w:jc w:val="both"/>
        <w:rPr>
          <w:rFonts w:ascii="Arial" w:hAnsi="Arial" w:cs="Arial"/>
          <w:sz w:val="20"/>
          <w:szCs w:val="20"/>
        </w:rPr>
      </w:pPr>
      <w:r w:rsidRPr="00C8072E">
        <w:rPr>
          <w:rFonts w:ascii="Arial" w:hAnsi="Arial" w:cs="Arial"/>
          <w:sz w:val="20"/>
          <w:szCs w:val="20"/>
          <w:lang w:val="en-IN"/>
        </w:rPr>
        <w:tab/>
      </w:r>
      <w:r w:rsidR="00034D67" w:rsidRPr="00C8072E">
        <w:rPr>
          <w:rFonts w:ascii="Arial" w:hAnsi="Arial" w:cs="Arial"/>
          <w:sz w:val="20"/>
          <w:szCs w:val="20"/>
        </w:rPr>
        <w:t xml:space="preserve">Previous studies, such as those by Gao </w:t>
      </w:r>
      <w:r w:rsidR="004F316F" w:rsidRPr="004F316F">
        <w:rPr>
          <w:rFonts w:ascii="Arial" w:hAnsi="Arial" w:cs="Arial"/>
          <w:i/>
          <w:sz w:val="20"/>
          <w:szCs w:val="20"/>
        </w:rPr>
        <w:t>et al</w:t>
      </w:r>
      <w:r w:rsidR="00034D67" w:rsidRPr="00C8072E">
        <w:rPr>
          <w:rFonts w:ascii="Arial" w:hAnsi="Arial" w:cs="Arial"/>
          <w:sz w:val="20"/>
          <w:szCs w:val="20"/>
        </w:rPr>
        <w:t xml:space="preserve">. </w:t>
      </w:r>
      <w:r w:rsidR="00034D67" w:rsidRPr="00C8072E">
        <w:rPr>
          <w:rFonts w:ascii="Arial" w:hAnsi="Arial" w:cs="Arial"/>
          <w:sz w:val="20"/>
          <w:szCs w:val="20"/>
          <w:vertAlign w:val="superscript"/>
        </w:rPr>
        <w:t>[13]</w:t>
      </w:r>
      <w:r w:rsidR="00034D67" w:rsidRPr="00C8072E">
        <w:rPr>
          <w:rFonts w:ascii="Arial" w:hAnsi="Arial" w:cs="Arial"/>
          <w:sz w:val="20"/>
          <w:szCs w:val="20"/>
        </w:rPr>
        <w:t xml:space="preserve"> and Yang </w:t>
      </w:r>
      <w:r w:rsidR="004F316F" w:rsidRPr="004F316F">
        <w:rPr>
          <w:rFonts w:ascii="Arial" w:hAnsi="Arial" w:cs="Arial"/>
          <w:i/>
          <w:sz w:val="20"/>
          <w:szCs w:val="20"/>
        </w:rPr>
        <w:t>et al</w:t>
      </w:r>
      <w:r w:rsidR="00034D67" w:rsidRPr="00C8072E">
        <w:rPr>
          <w:rFonts w:ascii="Arial" w:hAnsi="Arial" w:cs="Arial"/>
          <w:sz w:val="20"/>
          <w:szCs w:val="20"/>
        </w:rPr>
        <w:t xml:space="preserve">. </w:t>
      </w:r>
      <w:r w:rsidR="00034D67" w:rsidRPr="00C8072E">
        <w:rPr>
          <w:rFonts w:ascii="Arial" w:hAnsi="Arial" w:cs="Arial"/>
          <w:sz w:val="20"/>
          <w:szCs w:val="20"/>
          <w:vertAlign w:val="superscript"/>
        </w:rPr>
        <w:t>[14]</w:t>
      </w:r>
      <w:r w:rsidR="00034D67" w:rsidRPr="00C8072E">
        <w:rPr>
          <w:rFonts w:ascii="Arial" w:hAnsi="Arial" w:cs="Arial"/>
          <w:sz w:val="20"/>
          <w:szCs w:val="20"/>
        </w:rPr>
        <w:t xml:space="preserve">, have investigated the degradation of β-lactam antibiotics using β-lactamase enzymes. Similarly, another study reported the degradation of Penicillin V potassium by bacteria producing β-lactamase enzymes </w:t>
      </w:r>
      <w:r w:rsidR="00034D67" w:rsidRPr="00C8072E">
        <w:rPr>
          <w:rFonts w:ascii="Arial" w:hAnsi="Arial" w:cs="Arial"/>
          <w:sz w:val="20"/>
          <w:szCs w:val="20"/>
          <w:vertAlign w:val="superscript"/>
        </w:rPr>
        <w:t>[6]</w:t>
      </w:r>
      <w:r w:rsidR="00034D67" w:rsidRPr="00C8072E">
        <w:rPr>
          <w:rFonts w:ascii="Arial" w:hAnsi="Arial" w:cs="Arial"/>
          <w:sz w:val="20"/>
          <w:szCs w:val="20"/>
        </w:rPr>
        <w:t xml:space="preserve">. Based on sequence similarities, β-lactamases are categorized into four main classes: A, B, C, and D. For example, class A β-lactamases predominantly degrade </w:t>
      </w:r>
      <w:proofErr w:type="spellStart"/>
      <w:r w:rsidR="00034D67" w:rsidRPr="00C8072E">
        <w:rPr>
          <w:rFonts w:ascii="Arial" w:hAnsi="Arial" w:cs="Arial"/>
          <w:sz w:val="20"/>
          <w:szCs w:val="20"/>
        </w:rPr>
        <w:t>penicillins</w:t>
      </w:r>
      <w:proofErr w:type="spellEnd"/>
      <w:r w:rsidR="00034D67" w:rsidRPr="00C8072E">
        <w:rPr>
          <w:rFonts w:ascii="Arial" w:hAnsi="Arial" w:cs="Arial"/>
          <w:sz w:val="20"/>
          <w:szCs w:val="20"/>
        </w:rPr>
        <w:t xml:space="preserve"> and </w:t>
      </w:r>
      <w:proofErr w:type="gramStart"/>
      <w:r w:rsidR="00034D67" w:rsidRPr="00C8072E">
        <w:rPr>
          <w:rFonts w:ascii="Arial" w:hAnsi="Arial" w:cs="Arial"/>
          <w:sz w:val="20"/>
          <w:szCs w:val="20"/>
        </w:rPr>
        <w:t>cephalosporins</w:t>
      </w:r>
      <w:r w:rsidR="00034D67" w:rsidRPr="00C8072E">
        <w:rPr>
          <w:rFonts w:ascii="Arial" w:hAnsi="Arial" w:cs="Arial"/>
          <w:sz w:val="20"/>
          <w:szCs w:val="20"/>
          <w:vertAlign w:val="superscript"/>
        </w:rPr>
        <w:t>[</w:t>
      </w:r>
      <w:proofErr w:type="gramEnd"/>
      <w:r w:rsidR="00034D67" w:rsidRPr="00C8072E">
        <w:rPr>
          <w:rFonts w:ascii="Arial" w:hAnsi="Arial" w:cs="Arial"/>
          <w:sz w:val="20"/>
          <w:szCs w:val="20"/>
          <w:vertAlign w:val="superscript"/>
        </w:rPr>
        <w:t>15]</w:t>
      </w:r>
      <w:r w:rsidR="00034D67" w:rsidRPr="00C8072E">
        <w:rPr>
          <w:rFonts w:ascii="Arial" w:hAnsi="Arial" w:cs="Arial"/>
          <w:sz w:val="20"/>
          <w:szCs w:val="20"/>
        </w:rPr>
        <w:t xml:space="preserve">, while class B β-lactamases exhibit broad activity against </w:t>
      </w:r>
      <w:proofErr w:type="spellStart"/>
      <w:r w:rsidR="00034D67" w:rsidRPr="00C8072E">
        <w:rPr>
          <w:rFonts w:ascii="Arial" w:hAnsi="Arial" w:cs="Arial"/>
          <w:sz w:val="20"/>
          <w:szCs w:val="20"/>
        </w:rPr>
        <w:t>penicillins</w:t>
      </w:r>
      <w:proofErr w:type="spellEnd"/>
      <w:r w:rsidR="00034D67" w:rsidRPr="00C8072E">
        <w:rPr>
          <w:rFonts w:ascii="Arial" w:hAnsi="Arial" w:cs="Arial"/>
          <w:sz w:val="20"/>
          <w:szCs w:val="20"/>
        </w:rPr>
        <w:t xml:space="preserve">, cephalosporins, and </w:t>
      </w:r>
      <w:proofErr w:type="gramStart"/>
      <w:r w:rsidR="00034D67" w:rsidRPr="00C8072E">
        <w:rPr>
          <w:rFonts w:ascii="Arial" w:hAnsi="Arial" w:cs="Arial"/>
          <w:sz w:val="20"/>
          <w:szCs w:val="20"/>
        </w:rPr>
        <w:t>carbapenems</w:t>
      </w:r>
      <w:r w:rsidR="00034D67" w:rsidRPr="00C8072E">
        <w:rPr>
          <w:rFonts w:ascii="Arial" w:hAnsi="Arial" w:cs="Arial"/>
          <w:sz w:val="20"/>
          <w:szCs w:val="20"/>
          <w:vertAlign w:val="superscript"/>
        </w:rPr>
        <w:t>[</w:t>
      </w:r>
      <w:proofErr w:type="gramEnd"/>
      <w:r w:rsidR="00034D67" w:rsidRPr="00C8072E">
        <w:rPr>
          <w:rFonts w:ascii="Arial" w:hAnsi="Arial" w:cs="Arial"/>
          <w:sz w:val="20"/>
          <w:szCs w:val="20"/>
          <w:vertAlign w:val="superscript"/>
        </w:rPr>
        <w:t>16,17]</w:t>
      </w:r>
      <w:r w:rsidR="00034D67" w:rsidRPr="00C8072E">
        <w:rPr>
          <w:rFonts w:ascii="Arial" w:hAnsi="Arial" w:cs="Arial"/>
          <w:sz w:val="20"/>
          <w:szCs w:val="20"/>
        </w:rPr>
        <w:t xml:space="preserve">. Class C and D β-lactamases are primarily active against cephalosporins and certain carbapenems </w:t>
      </w:r>
      <w:r w:rsidR="00034D67" w:rsidRPr="00C8072E">
        <w:rPr>
          <w:rFonts w:ascii="Arial" w:hAnsi="Arial" w:cs="Arial"/>
          <w:sz w:val="20"/>
          <w:szCs w:val="20"/>
          <w:vertAlign w:val="superscript"/>
        </w:rPr>
        <w:t>[18</w:t>
      </w:r>
      <w:r w:rsidR="006D5A3F" w:rsidRPr="00C8072E">
        <w:rPr>
          <w:rFonts w:ascii="Arial" w:hAnsi="Arial" w:cs="Arial"/>
          <w:sz w:val="20"/>
          <w:szCs w:val="20"/>
          <w:vertAlign w:val="superscript"/>
        </w:rPr>
        <w:t>, 19</w:t>
      </w:r>
      <w:r w:rsidR="00034D67" w:rsidRPr="00C8072E">
        <w:rPr>
          <w:rFonts w:ascii="Arial" w:hAnsi="Arial" w:cs="Arial"/>
          <w:sz w:val="20"/>
          <w:szCs w:val="20"/>
          <w:vertAlign w:val="superscript"/>
        </w:rPr>
        <w:t>]</w:t>
      </w:r>
      <w:r w:rsidR="00034D67" w:rsidRPr="00C8072E">
        <w:rPr>
          <w:rFonts w:ascii="Arial" w:hAnsi="Arial" w:cs="Arial"/>
          <w:sz w:val="20"/>
          <w:szCs w:val="20"/>
        </w:rPr>
        <w:t xml:space="preserve">. Recently, Fatima </w:t>
      </w:r>
      <w:r w:rsidR="004F316F" w:rsidRPr="004F316F">
        <w:rPr>
          <w:rFonts w:ascii="Arial" w:hAnsi="Arial" w:cs="Arial"/>
          <w:i/>
          <w:sz w:val="20"/>
          <w:szCs w:val="20"/>
        </w:rPr>
        <w:t>et al</w:t>
      </w:r>
      <w:r w:rsidR="00034D67" w:rsidRPr="00C8072E">
        <w:rPr>
          <w:rFonts w:ascii="Arial" w:hAnsi="Arial" w:cs="Arial"/>
          <w:sz w:val="20"/>
          <w:szCs w:val="20"/>
        </w:rPr>
        <w:t xml:space="preserve">. demonstrated the use of a class C enzyme to degrade β-lactam antibiotics </w:t>
      </w:r>
      <w:r w:rsidR="00034D67" w:rsidRPr="00C8072E">
        <w:rPr>
          <w:rFonts w:ascii="Arial" w:hAnsi="Arial" w:cs="Arial"/>
          <w:sz w:val="20"/>
          <w:szCs w:val="20"/>
          <w:vertAlign w:val="superscript"/>
        </w:rPr>
        <w:t>[20]</w:t>
      </w:r>
      <w:r w:rsidR="00034D67" w:rsidRPr="00C8072E">
        <w:rPr>
          <w:rFonts w:ascii="Arial" w:hAnsi="Arial" w:cs="Arial"/>
          <w:sz w:val="20"/>
          <w:szCs w:val="20"/>
        </w:rPr>
        <w:t>. However, there is a lack of systematic studies that screen and compare enzymes across all β-lactamase classes. Moreover, investigations into the molecular mechanisms of antibiotic degradation, particularly using molecular docking approaches, remain scarce.</w:t>
      </w:r>
    </w:p>
    <w:p w14:paraId="62002C13" w14:textId="77777777" w:rsidR="00524DDA" w:rsidRPr="00C8072E" w:rsidRDefault="006F3CDF" w:rsidP="00C8072E">
      <w:pPr>
        <w:autoSpaceDE w:val="0"/>
        <w:autoSpaceDN w:val="0"/>
        <w:adjustRightInd w:val="0"/>
        <w:spacing w:before="240" w:after="0" w:line="240" w:lineRule="auto"/>
        <w:ind w:firstLine="720"/>
        <w:jc w:val="both"/>
        <w:rPr>
          <w:rFonts w:ascii="Arial" w:hAnsi="Arial" w:cs="Arial"/>
          <w:sz w:val="20"/>
          <w:szCs w:val="20"/>
        </w:rPr>
      </w:pPr>
      <w:r w:rsidRPr="00C8072E">
        <w:rPr>
          <w:rFonts w:ascii="Arial" w:hAnsi="Arial" w:cs="Arial"/>
          <w:sz w:val="20"/>
          <w:szCs w:val="20"/>
        </w:rPr>
        <w:t xml:space="preserve">Based on the above perspective, the present study was conducted </w:t>
      </w:r>
      <w:r w:rsidR="001C7619">
        <w:rPr>
          <w:rFonts w:ascii="Arial" w:hAnsi="Arial" w:cs="Arial"/>
          <w:sz w:val="20"/>
          <w:szCs w:val="20"/>
        </w:rPr>
        <w:t>to prevent p</w:t>
      </w:r>
      <w:r w:rsidRPr="00C8072E">
        <w:rPr>
          <w:rFonts w:ascii="Arial" w:hAnsi="Arial" w:cs="Arial"/>
          <w:sz w:val="20"/>
          <w:szCs w:val="20"/>
        </w:rPr>
        <w:t>ollution caused by antibiotic use in poultry farms in Namakkal, Tamil Nadu, and across India. Furthermore, the study not only examined whether the antibiotic compounds released through waste are degraded by β-lactamase enzymes produced by bacteria, but also investigated the underlying degradation mechanisms using molecular docking analysis.</w:t>
      </w:r>
    </w:p>
    <w:p w14:paraId="3BA7C705" w14:textId="77777777" w:rsidR="00524DDA" w:rsidRPr="00C8072E" w:rsidRDefault="00C76A70" w:rsidP="00C8072E">
      <w:pPr>
        <w:autoSpaceDE w:val="0"/>
        <w:autoSpaceDN w:val="0"/>
        <w:adjustRightInd w:val="0"/>
        <w:spacing w:before="240" w:after="0" w:line="240" w:lineRule="auto"/>
        <w:jc w:val="both"/>
        <w:rPr>
          <w:rFonts w:ascii="Arial" w:hAnsi="Arial" w:cs="Arial"/>
          <w:b/>
          <w:lang w:val="en-IN"/>
        </w:rPr>
      </w:pPr>
      <w:r>
        <w:rPr>
          <w:rFonts w:ascii="Arial" w:hAnsi="Arial" w:cs="Arial"/>
          <w:b/>
        </w:rPr>
        <w:t xml:space="preserve">2. </w:t>
      </w:r>
      <w:r w:rsidR="00524DDA" w:rsidRPr="00C8072E">
        <w:rPr>
          <w:rFonts w:ascii="Arial" w:hAnsi="Arial" w:cs="Arial"/>
          <w:b/>
        </w:rPr>
        <w:t>Materials and methods</w:t>
      </w:r>
    </w:p>
    <w:p w14:paraId="2E8AD6CC" w14:textId="77777777" w:rsidR="00524DDA" w:rsidRPr="00C8072E" w:rsidRDefault="00EE35A2" w:rsidP="00C8072E">
      <w:pPr>
        <w:autoSpaceDE w:val="0"/>
        <w:autoSpaceDN w:val="0"/>
        <w:adjustRightInd w:val="0"/>
        <w:spacing w:before="240" w:after="0" w:line="240" w:lineRule="auto"/>
        <w:ind w:firstLine="720"/>
        <w:jc w:val="both"/>
        <w:rPr>
          <w:rFonts w:ascii="Arial" w:hAnsi="Arial" w:cs="Arial"/>
          <w:sz w:val="20"/>
          <w:szCs w:val="20"/>
        </w:rPr>
      </w:pPr>
      <w:r w:rsidRPr="00C8072E">
        <w:rPr>
          <w:rFonts w:ascii="Arial" w:hAnsi="Arial" w:cs="Arial"/>
          <w:sz w:val="20"/>
          <w:szCs w:val="20"/>
        </w:rPr>
        <w:t xml:space="preserve">Between June and July 2024, fecal-contaminated soil samples were aseptically collected from </w:t>
      </w:r>
      <w:proofErr w:type="gramStart"/>
      <w:r w:rsidRPr="00C8072E">
        <w:rPr>
          <w:rFonts w:ascii="Arial" w:hAnsi="Arial" w:cs="Arial"/>
          <w:sz w:val="20"/>
          <w:szCs w:val="20"/>
        </w:rPr>
        <w:t>five layer</w:t>
      </w:r>
      <w:proofErr w:type="gramEnd"/>
      <w:r w:rsidRPr="00C8072E">
        <w:rPr>
          <w:rFonts w:ascii="Arial" w:hAnsi="Arial" w:cs="Arial"/>
          <w:sz w:val="20"/>
          <w:szCs w:val="20"/>
        </w:rPr>
        <w:t xml:space="preserve"> poultry farms, each housing approximately 20,000 to 50,000 birds, located in and around Namakkal, Tamil Nadu, India. Bi-monthly visits were conducted to monitor farm conditions and poultry </w:t>
      </w:r>
      <w:r w:rsidRPr="00C8072E">
        <w:rPr>
          <w:rFonts w:ascii="Arial" w:hAnsi="Arial" w:cs="Arial"/>
          <w:sz w:val="20"/>
          <w:szCs w:val="20"/>
        </w:rPr>
        <w:lastRenderedPageBreak/>
        <w:t>health. Birds exhibiting symptoms such as respiratory distress, diarrhea, poor gut health, and stunted growth were commonly treated with antimicrobials, including penicillin, streptomycin, doxycycline, gentamicin, and ciprofloxacin. The samples were placed in sterile plastic bags and immediately transported to the laboratory for further analysis.</w:t>
      </w:r>
    </w:p>
    <w:p w14:paraId="1F5F0AA1" w14:textId="77777777" w:rsidR="00524DDA" w:rsidRPr="00C8072E" w:rsidRDefault="00C76A70" w:rsidP="00C8072E">
      <w:pPr>
        <w:spacing w:before="240" w:after="0" w:line="240" w:lineRule="auto"/>
        <w:jc w:val="both"/>
        <w:outlineLvl w:val="2"/>
        <w:rPr>
          <w:rFonts w:ascii="Arial" w:eastAsia="Times New Roman" w:hAnsi="Arial" w:cs="Arial"/>
          <w:b/>
          <w:bCs/>
        </w:rPr>
      </w:pPr>
      <w:r>
        <w:rPr>
          <w:rFonts w:ascii="Arial" w:eastAsia="Times New Roman" w:hAnsi="Arial" w:cs="Arial"/>
          <w:b/>
          <w:bCs/>
        </w:rPr>
        <w:t xml:space="preserve">2.1 </w:t>
      </w:r>
      <w:r w:rsidR="00524DDA" w:rsidRPr="00C8072E">
        <w:rPr>
          <w:rFonts w:ascii="Arial" w:eastAsia="Times New Roman" w:hAnsi="Arial" w:cs="Arial"/>
          <w:b/>
          <w:bCs/>
        </w:rPr>
        <w:t>Isolation of Bacterial Isolates</w:t>
      </w:r>
    </w:p>
    <w:p w14:paraId="1C279703" w14:textId="77777777" w:rsidR="00524DDA" w:rsidRPr="00C8072E" w:rsidRDefault="00BA7915" w:rsidP="00C8072E">
      <w:pPr>
        <w:spacing w:before="240" w:after="0" w:line="240" w:lineRule="auto"/>
        <w:ind w:firstLine="720"/>
        <w:jc w:val="both"/>
        <w:rPr>
          <w:rFonts w:ascii="Arial" w:eastAsia="Times New Roman" w:hAnsi="Arial" w:cs="Arial"/>
          <w:sz w:val="20"/>
          <w:szCs w:val="20"/>
        </w:rPr>
      </w:pPr>
      <w:r w:rsidRPr="00C8072E">
        <w:rPr>
          <w:rFonts w:ascii="Arial" w:eastAsia="Times New Roman" w:hAnsi="Arial" w:cs="Arial"/>
          <w:sz w:val="20"/>
          <w:szCs w:val="20"/>
        </w:rPr>
        <w:t>The collected soil samples were first enriched in Buffered Peptone Water (</w:t>
      </w:r>
      <w:proofErr w:type="spellStart"/>
      <w:r w:rsidRPr="00C8072E">
        <w:rPr>
          <w:rFonts w:ascii="Arial" w:eastAsia="Times New Roman" w:hAnsi="Arial" w:cs="Arial"/>
          <w:sz w:val="20"/>
          <w:szCs w:val="20"/>
        </w:rPr>
        <w:t>HiMedia</w:t>
      </w:r>
      <w:proofErr w:type="spellEnd"/>
      <w:r w:rsidRPr="00C8072E">
        <w:rPr>
          <w:rFonts w:ascii="Arial" w:eastAsia="Times New Roman" w:hAnsi="Arial" w:cs="Arial"/>
          <w:sz w:val="20"/>
          <w:szCs w:val="20"/>
        </w:rPr>
        <w:t>, India) by incubating at 37 °C for 18–24 hours. Following enrichment, a loopful of the incubated broth was aseptically spread onto nutrient agar plates and incubated at 37 °C for an additional 18–24 hours. From each sample, at least three morphologically distinct colonies were selected and streaked onto nutrient agar slants. These slants were then incubated at 37 °C for 18–24 hours to obtain well-grown pure cultures. The resulting slants were stored at 4 °C for further analysis.</w:t>
      </w:r>
    </w:p>
    <w:p w14:paraId="35D8FD5F" w14:textId="77777777" w:rsidR="00524DDA" w:rsidRPr="00C8072E" w:rsidRDefault="00C76A70" w:rsidP="00C8072E">
      <w:pPr>
        <w:pStyle w:val="Heading3"/>
        <w:spacing w:before="240" w:beforeAutospacing="0" w:after="0" w:afterAutospacing="0"/>
        <w:jc w:val="both"/>
        <w:rPr>
          <w:rFonts w:ascii="Arial" w:hAnsi="Arial" w:cs="Arial"/>
          <w:b w:val="0"/>
          <w:sz w:val="22"/>
          <w:szCs w:val="22"/>
        </w:rPr>
      </w:pPr>
      <w:r>
        <w:rPr>
          <w:rStyle w:val="Strong"/>
          <w:rFonts w:ascii="Arial" w:hAnsi="Arial" w:cs="Arial"/>
          <w:b/>
          <w:sz w:val="22"/>
          <w:szCs w:val="22"/>
        </w:rPr>
        <w:t xml:space="preserve">2.2 </w:t>
      </w:r>
      <w:r w:rsidR="00524DDA" w:rsidRPr="00C8072E">
        <w:rPr>
          <w:rStyle w:val="Strong"/>
          <w:rFonts w:ascii="Arial" w:hAnsi="Arial" w:cs="Arial"/>
          <w:b/>
          <w:sz w:val="22"/>
          <w:szCs w:val="22"/>
        </w:rPr>
        <w:t>Screening of β-Lactamase-Producing Isolates</w:t>
      </w:r>
    </w:p>
    <w:p w14:paraId="607CF097" w14:textId="77777777" w:rsidR="00524DDA" w:rsidRPr="00C8072E" w:rsidRDefault="00015616"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Penicillin solution was dispensed into sterile test tubes</w:t>
      </w:r>
      <w:r w:rsidR="001C7619">
        <w:rPr>
          <w:rFonts w:ascii="Arial" w:hAnsi="Arial" w:cs="Arial"/>
          <w:sz w:val="20"/>
          <w:szCs w:val="20"/>
        </w:rPr>
        <w:t xml:space="preserve"> </w:t>
      </w:r>
      <w:r w:rsidR="001C7619" w:rsidRPr="00C8072E">
        <w:rPr>
          <w:rFonts w:ascii="Arial" w:hAnsi="Arial" w:cs="Arial"/>
          <w:sz w:val="20"/>
          <w:szCs w:val="20"/>
        </w:rPr>
        <w:t>in 0.5 mL volumes</w:t>
      </w:r>
      <w:r w:rsidR="001C7619">
        <w:rPr>
          <w:rFonts w:ascii="Arial" w:hAnsi="Arial" w:cs="Arial"/>
          <w:sz w:val="20"/>
          <w:szCs w:val="20"/>
        </w:rPr>
        <w:t>.</w:t>
      </w:r>
      <w:r w:rsidRPr="00C8072E">
        <w:rPr>
          <w:rFonts w:ascii="Arial" w:hAnsi="Arial" w:cs="Arial"/>
          <w:sz w:val="20"/>
          <w:szCs w:val="20"/>
        </w:rPr>
        <w:t xml:space="preserve"> Test bacterial isolates were taken from overnight cultures grown on solid media and suspended in the penicillin solution to achieve a final concentration of approximately 10⁴ CFU/</w:t>
      </w:r>
      <w:proofErr w:type="spellStart"/>
      <w:r w:rsidRPr="00C8072E">
        <w:rPr>
          <w:rFonts w:ascii="Arial" w:hAnsi="Arial" w:cs="Arial"/>
          <w:sz w:val="20"/>
          <w:szCs w:val="20"/>
        </w:rPr>
        <w:t>mL.</w:t>
      </w:r>
      <w:proofErr w:type="spellEnd"/>
      <w:r w:rsidRPr="00C8072E">
        <w:rPr>
          <w:rFonts w:ascii="Arial" w:hAnsi="Arial" w:cs="Arial"/>
          <w:sz w:val="20"/>
          <w:szCs w:val="20"/>
        </w:rPr>
        <w:t xml:space="preserve"> The suspension was incubated at room temperature for 1 hour. </w:t>
      </w:r>
      <w:r w:rsidR="001C7619">
        <w:rPr>
          <w:rFonts w:ascii="Arial" w:hAnsi="Arial" w:cs="Arial"/>
          <w:sz w:val="20"/>
          <w:szCs w:val="20"/>
        </w:rPr>
        <w:t xml:space="preserve">After </w:t>
      </w:r>
      <w:r w:rsidRPr="00C8072E">
        <w:rPr>
          <w:rFonts w:ascii="Arial" w:hAnsi="Arial" w:cs="Arial"/>
          <w:sz w:val="20"/>
          <w:szCs w:val="20"/>
        </w:rPr>
        <w:t xml:space="preserve">incubation, two drops of starch indicator were added to each tube, </w:t>
      </w:r>
      <w:r w:rsidR="001C7619">
        <w:rPr>
          <w:rFonts w:ascii="Arial" w:hAnsi="Arial" w:cs="Arial"/>
          <w:sz w:val="20"/>
          <w:szCs w:val="20"/>
        </w:rPr>
        <w:t xml:space="preserve">then </w:t>
      </w:r>
      <w:r w:rsidRPr="00C8072E">
        <w:rPr>
          <w:rFonts w:ascii="Arial" w:hAnsi="Arial" w:cs="Arial"/>
          <w:sz w:val="20"/>
          <w:szCs w:val="20"/>
        </w:rPr>
        <w:t xml:space="preserve">one drop of iodine reagent. A positive β-lactamase reaction was indicated by the immediate disappearance of the blue color. If the dark blue color persisted for more than 10 minutes, the test was considered negative, indicating the absence of β-lactamase </w:t>
      </w:r>
      <w:r w:rsidR="001C7619" w:rsidRPr="00C8072E">
        <w:rPr>
          <w:rFonts w:ascii="Arial" w:hAnsi="Arial" w:cs="Arial"/>
          <w:sz w:val="20"/>
          <w:szCs w:val="20"/>
        </w:rPr>
        <w:t>activity</w:t>
      </w:r>
      <w:r w:rsidR="001C7619" w:rsidRPr="00C8072E">
        <w:rPr>
          <w:rFonts w:ascii="Arial" w:hAnsi="Arial" w:cs="Arial"/>
          <w:sz w:val="20"/>
          <w:szCs w:val="20"/>
          <w:vertAlign w:val="superscript"/>
        </w:rPr>
        <w:t xml:space="preserve"> [</w:t>
      </w:r>
      <w:r w:rsidR="00524DDA" w:rsidRPr="00C8072E">
        <w:rPr>
          <w:rFonts w:ascii="Arial" w:hAnsi="Arial" w:cs="Arial"/>
          <w:sz w:val="20"/>
          <w:szCs w:val="20"/>
          <w:vertAlign w:val="superscript"/>
        </w:rPr>
        <w:t>21]</w:t>
      </w:r>
      <w:r w:rsidR="00524DDA" w:rsidRPr="00C8072E">
        <w:rPr>
          <w:rFonts w:ascii="Arial" w:hAnsi="Arial" w:cs="Arial"/>
          <w:sz w:val="20"/>
          <w:szCs w:val="20"/>
        </w:rPr>
        <w:t>.</w:t>
      </w:r>
    </w:p>
    <w:p w14:paraId="3426AAD8" w14:textId="77777777" w:rsidR="00524DDA" w:rsidRPr="00C8072E" w:rsidRDefault="00C76A70" w:rsidP="00C8072E">
      <w:pPr>
        <w:pStyle w:val="NormalWeb"/>
        <w:spacing w:before="240" w:beforeAutospacing="0" w:after="0" w:afterAutospacing="0"/>
        <w:jc w:val="both"/>
        <w:rPr>
          <w:rFonts w:ascii="Arial" w:hAnsi="Arial" w:cs="Arial"/>
          <w:b/>
          <w:sz w:val="22"/>
          <w:szCs w:val="22"/>
        </w:rPr>
      </w:pPr>
      <w:r>
        <w:rPr>
          <w:rFonts w:ascii="Arial" w:hAnsi="Arial" w:cs="Arial"/>
          <w:b/>
          <w:sz w:val="22"/>
          <w:szCs w:val="22"/>
        </w:rPr>
        <w:t xml:space="preserve">2.3 </w:t>
      </w:r>
      <w:r w:rsidR="00524DDA" w:rsidRPr="00C8072E">
        <w:rPr>
          <w:rFonts w:ascii="Arial" w:hAnsi="Arial" w:cs="Arial"/>
          <w:b/>
          <w:sz w:val="22"/>
          <w:szCs w:val="22"/>
        </w:rPr>
        <w:t>Isolation of potential isolates</w:t>
      </w:r>
    </w:p>
    <w:p w14:paraId="4A750014" w14:textId="77777777" w:rsidR="00524DDA" w:rsidRPr="00C8072E" w:rsidRDefault="00155A48" w:rsidP="00C8072E">
      <w:pPr>
        <w:pStyle w:val="NormalWeb"/>
        <w:spacing w:before="240" w:beforeAutospacing="0" w:after="0" w:afterAutospacing="0"/>
        <w:ind w:firstLine="720"/>
        <w:jc w:val="both"/>
        <w:rPr>
          <w:rFonts w:ascii="Arial" w:hAnsi="Arial" w:cs="Arial"/>
          <w:sz w:val="20"/>
          <w:szCs w:val="20"/>
        </w:rPr>
      </w:pPr>
      <w:r w:rsidRPr="00155A48">
        <w:rPr>
          <w:rFonts w:ascii="Arial" w:hAnsi="Arial" w:cs="Arial"/>
          <w:sz w:val="20"/>
          <w:szCs w:val="20"/>
        </w:rPr>
        <w:t>β</w:t>
      </w:r>
      <w:r w:rsidRPr="00155A48">
        <w:rPr>
          <w:rFonts w:ascii="Cambria Math" w:hAnsi="Cambria Math" w:cs="Cambria Math"/>
          <w:sz w:val="20"/>
          <w:szCs w:val="20"/>
        </w:rPr>
        <w:t>‑</w:t>
      </w:r>
      <w:r w:rsidRPr="00155A48">
        <w:rPr>
          <w:rFonts w:ascii="Arial" w:hAnsi="Arial" w:cs="Arial"/>
          <w:sz w:val="20"/>
          <w:szCs w:val="20"/>
        </w:rPr>
        <w:t>Lactamase</w:t>
      </w:r>
      <w:r w:rsidRPr="00155A48">
        <w:rPr>
          <w:rFonts w:ascii="Cambria Math" w:hAnsi="Cambria Math" w:cs="Cambria Math"/>
          <w:sz w:val="20"/>
          <w:szCs w:val="20"/>
        </w:rPr>
        <w:t>‑</w:t>
      </w:r>
      <w:r w:rsidRPr="00155A48">
        <w:rPr>
          <w:rFonts w:ascii="Arial" w:hAnsi="Arial" w:cs="Arial"/>
          <w:sz w:val="20"/>
          <w:szCs w:val="20"/>
        </w:rPr>
        <w:t>positive isolates were inoculated into nutrient broth supplemented with 20 </w:t>
      </w:r>
      <w:proofErr w:type="spellStart"/>
      <w:r w:rsidRPr="00155A48">
        <w:rPr>
          <w:rFonts w:ascii="Arial" w:hAnsi="Arial" w:cs="Arial"/>
          <w:sz w:val="20"/>
          <w:szCs w:val="20"/>
        </w:rPr>
        <w:t>μg</w:t>
      </w:r>
      <w:proofErr w:type="spellEnd"/>
      <w:r w:rsidRPr="00155A48">
        <w:rPr>
          <w:rFonts w:ascii="Arial" w:hAnsi="Arial" w:cs="Arial"/>
          <w:sz w:val="20"/>
          <w:szCs w:val="20"/>
        </w:rPr>
        <w:t>/mL penicillin</w:t>
      </w:r>
      <w:r>
        <w:rPr>
          <w:rFonts w:ascii="Arial" w:hAnsi="Arial" w:cs="Arial"/>
          <w:sz w:val="20"/>
          <w:szCs w:val="20"/>
        </w:rPr>
        <w:t>.</w:t>
      </w:r>
      <w:r w:rsidR="003C4A53" w:rsidRPr="00C8072E">
        <w:rPr>
          <w:rFonts w:ascii="Arial" w:hAnsi="Arial" w:cs="Arial"/>
          <w:sz w:val="20"/>
          <w:szCs w:val="20"/>
        </w:rPr>
        <w:t xml:space="preserve"> Following incubation, the bacterial cells were harvested by centrifugation at 4,000×g for 15 minutes at 4 °C and washed twice with 0.01 M phosphate buffer (pH 7.0). The washed cells were then lysed using an ultrasonic disintegrator for 3 minutes at 4 °C. The resulting lysate was centrifuged at 12,000 rpm for 40 minutes at 4 °C to remove cell debris. The clear supernatant was collected and used as the crude enzyme extract. A control solution was prepared by replacing the enzyme extract with phosphate buffer. Enzyme activity was assessed by measuring absorbance at 620 nm using a spectrophotometer </w:t>
      </w:r>
      <w:r w:rsidR="003C4A53" w:rsidRPr="00C8072E">
        <w:rPr>
          <w:rFonts w:ascii="Arial" w:hAnsi="Arial" w:cs="Arial"/>
          <w:sz w:val="20"/>
          <w:szCs w:val="20"/>
          <w:vertAlign w:val="superscript"/>
        </w:rPr>
        <w:t>[22]</w:t>
      </w:r>
      <w:r w:rsidR="003C4A53" w:rsidRPr="00C8072E">
        <w:rPr>
          <w:rFonts w:ascii="Arial" w:hAnsi="Arial" w:cs="Arial"/>
          <w:sz w:val="20"/>
          <w:szCs w:val="20"/>
        </w:rPr>
        <w:t xml:space="preserve">. Protein concentration was estimated using the method described by Lowry </w:t>
      </w:r>
      <w:r w:rsidR="004F316F" w:rsidRPr="004F316F">
        <w:rPr>
          <w:rFonts w:ascii="Arial" w:hAnsi="Arial" w:cs="Arial"/>
          <w:i/>
          <w:sz w:val="20"/>
          <w:szCs w:val="20"/>
        </w:rPr>
        <w:t>et al</w:t>
      </w:r>
      <w:r w:rsidR="003C4A53" w:rsidRPr="00C8072E">
        <w:rPr>
          <w:rFonts w:ascii="Arial" w:hAnsi="Arial" w:cs="Arial"/>
          <w:sz w:val="20"/>
          <w:szCs w:val="20"/>
        </w:rPr>
        <w:t xml:space="preserve">. </w:t>
      </w:r>
      <w:r w:rsidR="003C4A53" w:rsidRPr="00C8072E">
        <w:rPr>
          <w:rFonts w:ascii="Arial" w:hAnsi="Arial" w:cs="Arial"/>
          <w:sz w:val="20"/>
          <w:szCs w:val="20"/>
          <w:vertAlign w:val="superscript"/>
        </w:rPr>
        <w:t>[23]</w:t>
      </w:r>
      <w:r w:rsidR="003C4A53" w:rsidRPr="00C8072E">
        <w:rPr>
          <w:rFonts w:ascii="Arial" w:hAnsi="Arial" w:cs="Arial"/>
          <w:sz w:val="20"/>
          <w:szCs w:val="20"/>
        </w:rPr>
        <w:t>. An International Unit (IU) is defined as the amount of enzyme required to hydrolyze 1 </w:t>
      </w:r>
      <w:proofErr w:type="spellStart"/>
      <w:r w:rsidR="003C4A53" w:rsidRPr="00C8072E">
        <w:rPr>
          <w:rFonts w:ascii="Arial" w:hAnsi="Arial" w:cs="Arial"/>
          <w:sz w:val="20"/>
          <w:szCs w:val="20"/>
        </w:rPr>
        <w:t>μmol</w:t>
      </w:r>
      <w:proofErr w:type="spellEnd"/>
      <w:r w:rsidR="003C4A53" w:rsidRPr="00C8072E">
        <w:rPr>
          <w:rFonts w:ascii="Arial" w:hAnsi="Arial" w:cs="Arial"/>
          <w:sz w:val="20"/>
          <w:szCs w:val="20"/>
        </w:rPr>
        <w:t xml:space="preserve"> of penicillin G per minute at 25 °C and pH 7.0.</w:t>
      </w:r>
    </w:p>
    <w:p w14:paraId="0590D06B" w14:textId="77777777" w:rsidR="00524DDA" w:rsidRPr="00C8072E" w:rsidRDefault="00524DDA" w:rsidP="00C8072E">
      <w:pPr>
        <w:autoSpaceDE w:val="0"/>
        <w:autoSpaceDN w:val="0"/>
        <w:adjustRightInd w:val="0"/>
        <w:spacing w:before="240" w:after="0" w:line="240" w:lineRule="auto"/>
        <w:jc w:val="center"/>
        <w:rPr>
          <w:rFonts w:ascii="Arial" w:hAnsi="Arial" w:cs="Arial"/>
          <w:sz w:val="20"/>
          <w:szCs w:val="20"/>
          <w:lang w:val="en-IN"/>
        </w:rPr>
      </w:pPr>
      <w:r w:rsidRPr="00C8072E">
        <w:rPr>
          <w:rFonts w:ascii="Arial" w:hAnsi="Arial" w:cs="Arial"/>
          <w:noProof/>
          <w:sz w:val="20"/>
          <w:szCs w:val="20"/>
        </w:rPr>
        <w:drawing>
          <wp:inline distT="0" distB="0" distL="0" distR="0" wp14:anchorId="11B89557" wp14:editId="7145DA8F">
            <wp:extent cx="3009900" cy="80127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52647" t="75172" r="15744" b="5059"/>
                    <a:stretch>
                      <a:fillRect/>
                    </a:stretch>
                  </pic:blipFill>
                  <pic:spPr bwMode="auto">
                    <a:xfrm>
                      <a:off x="0" y="0"/>
                      <a:ext cx="3009900" cy="801271"/>
                    </a:xfrm>
                    <a:prstGeom prst="rect">
                      <a:avLst/>
                    </a:prstGeom>
                    <a:noFill/>
                    <a:ln w="9525">
                      <a:noFill/>
                      <a:miter lim="800000"/>
                      <a:headEnd/>
                      <a:tailEnd/>
                    </a:ln>
                  </pic:spPr>
                </pic:pic>
              </a:graphicData>
            </a:graphic>
          </wp:inline>
        </w:drawing>
      </w:r>
    </w:p>
    <w:p w14:paraId="1F98417C" w14:textId="77777777" w:rsidR="00524DDA" w:rsidRPr="00C8072E" w:rsidRDefault="00C76A70" w:rsidP="00C8072E">
      <w:pPr>
        <w:pStyle w:val="Heading3"/>
        <w:spacing w:before="240" w:beforeAutospacing="0" w:after="0" w:afterAutospacing="0"/>
        <w:jc w:val="both"/>
        <w:rPr>
          <w:rFonts w:ascii="Arial" w:hAnsi="Arial" w:cs="Arial"/>
          <w:b w:val="0"/>
          <w:sz w:val="22"/>
          <w:szCs w:val="22"/>
        </w:rPr>
      </w:pPr>
      <w:r>
        <w:rPr>
          <w:rStyle w:val="Strong"/>
          <w:rFonts w:ascii="Arial" w:hAnsi="Arial" w:cs="Arial"/>
          <w:b/>
          <w:sz w:val="22"/>
          <w:szCs w:val="22"/>
        </w:rPr>
        <w:t xml:space="preserve">2.4 </w:t>
      </w:r>
      <w:r w:rsidR="00524DDA" w:rsidRPr="00C8072E">
        <w:rPr>
          <w:rStyle w:val="Strong"/>
          <w:rFonts w:ascii="Arial" w:hAnsi="Arial" w:cs="Arial"/>
          <w:b/>
          <w:sz w:val="22"/>
          <w:szCs w:val="22"/>
        </w:rPr>
        <w:t>Assessment of Degradation Activity of β-Lactamase Against β-Lactam Antimicrobials</w:t>
      </w:r>
    </w:p>
    <w:p w14:paraId="2F14F6C2" w14:textId="77777777" w:rsidR="00524DDA" w:rsidRPr="00C8072E" w:rsidRDefault="00297D6C" w:rsidP="00C8072E">
      <w:pPr>
        <w:pStyle w:val="NormalWeb"/>
        <w:spacing w:before="240" w:beforeAutospacing="0" w:after="0" w:afterAutospacing="0"/>
        <w:ind w:firstLine="720"/>
        <w:jc w:val="both"/>
        <w:rPr>
          <w:rFonts w:ascii="Arial" w:hAnsi="Arial" w:cs="Arial"/>
          <w:sz w:val="20"/>
          <w:szCs w:val="20"/>
          <w:vertAlign w:val="superscript"/>
          <w:lang w:val="en-IN"/>
        </w:rPr>
      </w:pPr>
      <w:r w:rsidRPr="00C8072E">
        <w:rPr>
          <w:rFonts w:ascii="Arial" w:hAnsi="Arial" w:cs="Arial"/>
          <w:sz w:val="20"/>
          <w:szCs w:val="20"/>
        </w:rPr>
        <w:t>The</w:t>
      </w:r>
      <w:r w:rsidR="00155A48">
        <w:rPr>
          <w:rFonts w:ascii="Arial" w:hAnsi="Arial" w:cs="Arial"/>
          <w:sz w:val="20"/>
          <w:szCs w:val="20"/>
        </w:rPr>
        <w:t xml:space="preserve"> </w:t>
      </w:r>
      <w:r w:rsidR="00155A48" w:rsidRPr="00C8072E">
        <w:rPr>
          <w:rFonts w:ascii="Arial" w:hAnsi="Arial" w:cs="Arial"/>
          <w:sz w:val="20"/>
          <w:szCs w:val="20"/>
        </w:rPr>
        <w:t xml:space="preserve">β-lactamase </w:t>
      </w:r>
      <w:r w:rsidRPr="00C8072E">
        <w:rPr>
          <w:rFonts w:ascii="Arial" w:hAnsi="Arial" w:cs="Arial"/>
          <w:sz w:val="20"/>
          <w:szCs w:val="20"/>
        </w:rPr>
        <w:t xml:space="preserve">degradation activity against selected β-lactam antibiotics was evaluated by incubating the enzyme solution (25 U/mL) with antimicrobial agents. Three β-lactam antibiotics—Penicillin G, Ampicillin, and Amoxicillin (10 µg/mL each)—and Cefotaxime were incubated with β-lactamase in 50 mM sodium phosphate buffer (pH 7.0) at 25 °C for 30 minutes. All antibiotics were procured from </w:t>
      </w:r>
      <w:proofErr w:type="spellStart"/>
      <w:r w:rsidRPr="00C8072E">
        <w:rPr>
          <w:rFonts w:ascii="Arial" w:hAnsi="Arial" w:cs="Arial"/>
          <w:sz w:val="20"/>
          <w:szCs w:val="20"/>
        </w:rPr>
        <w:t>HiMedia</w:t>
      </w:r>
      <w:proofErr w:type="spellEnd"/>
      <w:r w:rsidRPr="00C8072E">
        <w:rPr>
          <w:rFonts w:ascii="Arial" w:hAnsi="Arial" w:cs="Arial"/>
          <w:sz w:val="20"/>
          <w:szCs w:val="20"/>
        </w:rPr>
        <w:t xml:space="preserve">, India. Following incubation, a semi-quantitative bioassay was performed using the agar well diffusion method. A volume of 100 µL of each incubated sample was loaded into wells on </w:t>
      </w:r>
      <w:r w:rsidRPr="00C8072E">
        <w:rPr>
          <w:rFonts w:ascii="Arial" w:hAnsi="Arial" w:cs="Arial"/>
          <w:sz w:val="20"/>
          <w:szCs w:val="20"/>
        </w:rPr>
        <w:lastRenderedPageBreak/>
        <w:t xml:space="preserve">nutrient agar plates pre-inoculated with </w:t>
      </w:r>
      <w:r w:rsidRPr="00C8072E">
        <w:rPr>
          <w:rFonts w:ascii="Arial" w:hAnsi="Arial" w:cs="Arial"/>
          <w:i/>
          <w:iCs/>
          <w:sz w:val="20"/>
          <w:szCs w:val="20"/>
        </w:rPr>
        <w:t>E. faecalis</w:t>
      </w:r>
      <w:r w:rsidRPr="00C8072E">
        <w:rPr>
          <w:rFonts w:ascii="Arial" w:hAnsi="Arial" w:cs="Arial"/>
          <w:sz w:val="20"/>
          <w:szCs w:val="20"/>
        </w:rPr>
        <w:t xml:space="preserve"> (β-lactam-sensitive test strain). A control was included for each antibiotic, prepared in the same manner but without enzyme treatment. The plates were incubated at 36 °C for 12 hours, after which the zones of inhibition around each well were measured. A reduction or absence of inhibition zones in the enzyme-treated samples compared to the control indicated degradation of the </w:t>
      </w:r>
      <w:r w:rsidR="00421404" w:rsidRPr="00C8072E">
        <w:rPr>
          <w:rFonts w:ascii="Arial" w:hAnsi="Arial" w:cs="Arial"/>
          <w:sz w:val="20"/>
          <w:szCs w:val="20"/>
        </w:rPr>
        <w:t>antibiotics</w:t>
      </w:r>
      <w:r w:rsidR="00421404" w:rsidRPr="00C8072E">
        <w:rPr>
          <w:rFonts w:ascii="Arial" w:hAnsi="Arial" w:cs="Arial"/>
          <w:sz w:val="20"/>
          <w:szCs w:val="20"/>
          <w:vertAlign w:val="superscript"/>
        </w:rPr>
        <w:t xml:space="preserve"> [</w:t>
      </w:r>
      <w:r w:rsidR="00524DDA" w:rsidRPr="00C8072E">
        <w:rPr>
          <w:rFonts w:ascii="Arial" w:hAnsi="Arial" w:cs="Arial"/>
          <w:sz w:val="20"/>
          <w:szCs w:val="20"/>
          <w:vertAlign w:val="superscript"/>
        </w:rPr>
        <w:t>24]</w:t>
      </w:r>
      <w:r w:rsidR="00F35975" w:rsidRPr="00C8072E">
        <w:rPr>
          <w:rFonts w:ascii="Arial" w:hAnsi="Arial" w:cs="Arial"/>
          <w:sz w:val="20"/>
          <w:szCs w:val="20"/>
          <w:vertAlign w:val="superscript"/>
        </w:rPr>
        <w:t>.</w:t>
      </w:r>
    </w:p>
    <w:p w14:paraId="524B399B" w14:textId="77777777" w:rsidR="00524DDA" w:rsidRPr="00C8072E" w:rsidRDefault="00C76A70" w:rsidP="00C8072E">
      <w:pPr>
        <w:pStyle w:val="NormalWeb"/>
        <w:spacing w:before="240" w:beforeAutospacing="0" w:after="0" w:afterAutospacing="0"/>
        <w:jc w:val="both"/>
        <w:rPr>
          <w:rFonts w:ascii="Arial" w:hAnsi="Arial" w:cs="Arial"/>
          <w:b/>
          <w:sz w:val="22"/>
          <w:szCs w:val="22"/>
        </w:rPr>
      </w:pPr>
      <w:r>
        <w:rPr>
          <w:rFonts w:ascii="Arial" w:hAnsi="Arial" w:cs="Arial"/>
          <w:b/>
          <w:sz w:val="22"/>
          <w:szCs w:val="22"/>
        </w:rPr>
        <w:t xml:space="preserve">2.5 </w:t>
      </w:r>
      <w:r w:rsidR="00524DDA" w:rsidRPr="00C8072E">
        <w:rPr>
          <w:rFonts w:ascii="Arial" w:hAnsi="Arial" w:cs="Arial"/>
          <w:b/>
          <w:sz w:val="22"/>
          <w:szCs w:val="22"/>
        </w:rPr>
        <w:t>Molecular docking study</w:t>
      </w:r>
    </w:p>
    <w:p w14:paraId="2AEDD3F0" w14:textId="77777777" w:rsidR="00524DDA" w:rsidRPr="00C8072E" w:rsidRDefault="00C76A70" w:rsidP="00C8072E">
      <w:pPr>
        <w:pStyle w:val="Heading3"/>
        <w:spacing w:before="240" w:beforeAutospacing="0" w:after="0" w:afterAutospacing="0"/>
        <w:jc w:val="both"/>
        <w:rPr>
          <w:rFonts w:ascii="Arial" w:hAnsi="Arial" w:cs="Arial"/>
          <w:b w:val="0"/>
          <w:sz w:val="22"/>
          <w:szCs w:val="22"/>
        </w:rPr>
      </w:pPr>
      <w:r>
        <w:rPr>
          <w:rStyle w:val="Strong"/>
          <w:rFonts w:ascii="Arial" w:hAnsi="Arial" w:cs="Arial"/>
          <w:b/>
          <w:sz w:val="22"/>
          <w:szCs w:val="22"/>
        </w:rPr>
        <w:t xml:space="preserve">2.5.1 </w:t>
      </w:r>
      <w:r w:rsidR="00524DDA" w:rsidRPr="00C8072E">
        <w:rPr>
          <w:rStyle w:val="Strong"/>
          <w:rFonts w:ascii="Arial" w:hAnsi="Arial" w:cs="Arial"/>
          <w:b/>
          <w:sz w:val="22"/>
          <w:szCs w:val="22"/>
        </w:rPr>
        <w:t>Protein Preparation and Visualization</w:t>
      </w:r>
    </w:p>
    <w:p w14:paraId="00E875DC" w14:textId="77777777" w:rsidR="00524DDA" w:rsidRPr="00C8072E" w:rsidRDefault="004A4937"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The three-dimensional (3D) structure of the β-lactamase enzyme (PDB ID: 1XPB) was obtained from the Protein Data Bank (PDB) in .</w:t>
      </w:r>
      <w:proofErr w:type="spellStart"/>
      <w:r w:rsidRPr="00C8072E">
        <w:rPr>
          <w:rFonts w:ascii="Arial" w:hAnsi="Arial" w:cs="Arial"/>
          <w:sz w:val="20"/>
          <w:szCs w:val="20"/>
        </w:rPr>
        <w:t>pdb</w:t>
      </w:r>
      <w:proofErr w:type="spellEnd"/>
      <w:r w:rsidRPr="00C8072E">
        <w:rPr>
          <w:rFonts w:ascii="Arial" w:hAnsi="Arial" w:cs="Arial"/>
          <w:sz w:val="20"/>
          <w:szCs w:val="20"/>
        </w:rPr>
        <w:t xml:space="preserve"> file format. The protein structure was prepared using </w:t>
      </w:r>
      <w:proofErr w:type="spellStart"/>
      <w:r w:rsidRPr="00C8072E">
        <w:rPr>
          <w:rFonts w:ascii="Arial" w:hAnsi="Arial" w:cs="Arial"/>
          <w:sz w:val="20"/>
          <w:szCs w:val="20"/>
        </w:rPr>
        <w:t>AutoDock</w:t>
      </w:r>
      <w:proofErr w:type="spellEnd"/>
      <w:r w:rsidRPr="00C8072E">
        <w:rPr>
          <w:rFonts w:ascii="Arial" w:hAnsi="Arial" w:cs="Arial"/>
          <w:sz w:val="20"/>
          <w:szCs w:val="20"/>
        </w:rPr>
        <w:t xml:space="preserve"> Tools (ADT) by adding polar hydrogens, assigning Gasteiger charges, and removing water molecules. The prepared protein was saved as Model.pdb and used as the receptor for docking studies. Visualization and inspection of the protein structure were performed using </w:t>
      </w:r>
      <w:proofErr w:type="spellStart"/>
      <w:r w:rsidRPr="00C8072E">
        <w:rPr>
          <w:rFonts w:ascii="Arial" w:hAnsi="Arial" w:cs="Arial"/>
          <w:sz w:val="20"/>
          <w:szCs w:val="20"/>
        </w:rPr>
        <w:t>AutoDockVina</w:t>
      </w:r>
      <w:proofErr w:type="spellEnd"/>
      <w:r w:rsidRPr="00C8072E">
        <w:rPr>
          <w:rFonts w:ascii="Arial" w:hAnsi="Arial" w:cs="Arial"/>
          <w:sz w:val="20"/>
          <w:szCs w:val="20"/>
        </w:rPr>
        <w:t xml:space="preserve"> and Chimera 1.16.</w:t>
      </w:r>
    </w:p>
    <w:p w14:paraId="70FE19F6" w14:textId="77777777" w:rsidR="00524DDA" w:rsidRPr="00C8072E" w:rsidRDefault="00C76A70" w:rsidP="00C8072E">
      <w:pPr>
        <w:pStyle w:val="Heading3"/>
        <w:spacing w:before="240" w:beforeAutospacing="0" w:after="0" w:afterAutospacing="0"/>
        <w:jc w:val="both"/>
        <w:rPr>
          <w:rFonts w:ascii="Arial" w:hAnsi="Arial" w:cs="Arial"/>
          <w:b w:val="0"/>
          <w:sz w:val="22"/>
          <w:szCs w:val="22"/>
        </w:rPr>
      </w:pPr>
      <w:r>
        <w:rPr>
          <w:rStyle w:val="Strong"/>
          <w:rFonts w:ascii="Arial" w:hAnsi="Arial" w:cs="Arial"/>
          <w:b/>
          <w:sz w:val="22"/>
          <w:szCs w:val="22"/>
        </w:rPr>
        <w:t xml:space="preserve">2.5.2 </w:t>
      </w:r>
      <w:r w:rsidR="00524DDA" w:rsidRPr="00C8072E">
        <w:rPr>
          <w:rStyle w:val="Strong"/>
          <w:rFonts w:ascii="Arial" w:hAnsi="Arial" w:cs="Arial"/>
          <w:b/>
          <w:sz w:val="22"/>
          <w:szCs w:val="22"/>
        </w:rPr>
        <w:t>Ligand Preparation</w:t>
      </w:r>
    </w:p>
    <w:p w14:paraId="5F36F68A" w14:textId="77777777" w:rsidR="00AA4D94" w:rsidRPr="00C8072E" w:rsidRDefault="00AA4D94"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Two primary ligands, Penicillin G and Linezolid, were selected for docking. The 2D chemical structures of these ligands were drawn using BIOVIA Draw 2019 and saved in .mol file format. The ligands were then converted into 3D structures using Chimera 1.16, energy-minimized, and prepared for docking.</w:t>
      </w:r>
    </w:p>
    <w:p w14:paraId="5A9D0165" w14:textId="77777777" w:rsidR="00524DDA" w:rsidRPr="00C8072E" w:rsidRDefault="00C76A70" w:rsidP="00C8072E">
      <w:pPr>
        <w:pStyle w:val="Heading3"/>
        <w:spacing w:before="240" w:beforeAutospacing="0" w:after="0" w:afterAutospacing="0"/>
        <w:jc w:val="both"/>
        <w:rPr>
          <w:rFonts w:ascii="Arial" w:hAnsi="Arial" w:cs="Arial"/>
          <w:b w:val="0"/>
          <w:sz w:val="22"/>
          <w:szCs w:val="22"/>
        </w:rPr>
      </w:pPr>
      <w:r>
        <w:rPr>
          <w:rStyle w:val="Strong"/>
          <w:rFonts w:ascii="Arial" w:hAnsi="Arial" w:cs="Arial"/>
          <w:b/>
          <w:sz w:val="22"/>
          <w:szCs w:val="22"/>
        </w:rPr>
        <w:t xml:space="preserve">2.5.3 </w:t>
      </w:r>
      <w:r w:rsidR="00524DDA" w:rsidRPr="00C8072E">
        <w:rPr>
          <w:rStyle w:val="Strong"/>
          <w:rFonts w:ascii="Arial" w:hAnsi="Arial" w:cs="Arial"/>
          <w:b/>
          <w:sz w:val="22"/>
          <w:szCs w:val="22"/>
        </w:rPr>
        <w:t>Molecular Docking Procedure</w:t>
      </w:r>
    </w:p>
    <w:p w14:paraId="544B63CB" w14:textId="77777777" w:rsidR="00524DDA" w:rsidRPr="00C8072E" w:rsidRDefault="000658F6" w:rsidP="00C8072E">
      <w:pPr>
        <w:pStyle w:val="NormalWeb"/>
        <w:spacing w:before="240" w:beforeAutospacing="0" w:after="0" w:afterAutospacing="0"/>
        <w:ind w:firstLine="720"/>
        <w:jc w:val="both"/>
        <w:rPr>
          <w:rStyle w:val="Strong"/>
          <w:rFonts w:ascii="Arial" w:hAnsi="Arial" w:cs="Arial"/>
          <w:b w:val="0"/>
          <w:sz w:val="20"/>
          <w:szCs w:val="20"/>
          <w:lang w:val="en-IN"/>
        </w:rPr>
      </w:pPr>
      <w:r w:rsidRPr="00C8072E">
        <w:rPr>
          <w:rFonts w:ascii="Arial" w:hAnsi="Arial" w:cs="Arial"/>
          <w:sz w:val="20"/>
          <w:szCs w:val="20"/>
        </w:rPr>
        <w:t xml:space="preserve">Molecular docking was carried out using </w:t>
      </w:r>
      <w:proofErr w:type="spellStart"/>
      <w:r w:rsidRPr="00C8072E">
        <w:rPr>
          <w:rFonts w:ascii="Arial" w:hAnsi="Arial" w:cs="Arial"/>
          <w:sz w:val="20"/>
          <w:szCs w:val="20"/>
        </w:rPr>
        <w:t>AutoDockVina</w:t>
      </w:r>
      <w:proofErr w:type="spellEnd"/>
      <w:r w:rsidRPr="00C8072E">
        <w:rPr>
          <w:rFonts w:ascii="Arial" w:hAnsi="Arial" w:cs="Arial"/>
          <w:sz w:val="20"/>
          <w:szCs w:val="20"/>
        </w:rPr>
        <w:t xml:space="preserve"> 2.0. The receptor (β-lactamase enzyme, PDB ID: 1XPB) and ligand structures were converted </w:t>
      </w:r>
      <w:proofErr w:type="gramStart"/>
      <w:r w:rsidRPr="00C8072E">
        <w:rPr>
          <w:rFonts w:ascii="Arial" w:hAnsi="Arial" w:cs="Arial"/>
          <w:sz w:val="20"/>
          <w:szCs w:val="20"/>
        </w:rPr>
        <w:t>into .</w:t>
      </w:r>
      <w:proofErr w:type="spellStart"/>
      <w:r w:rsidRPr="00C8072E">
        <w:rPr>
          <w:rFonts w:ascii="Arial" w:hAnsi="Arial" w:cs="Arial"/>
          <w:sz w:val="20"/>
          <w:szCs w:val="20"/>
        </w:rPr>
        <w:t>pdbqt</w:t>
      </w:r>
      <w:proofErr w:type="spellEnd"/>
      <w:proofErr w:type="gramEnd"/>
      <w:r w:rsidRPr="00C8072E">
        <w:rPr>
          <w:rFonts w:ascii="Arial" w:hAnsi="Arial" w:cs="Arial"/>
          <w:sz w:val="20"/>
          <w:szCs w:val="20"/>
        </w:rPr>
        <w:t xml:space="preserve"> format using </w:t>
      </w:r>
      <w:proofErr w:type="spellStart"/>
      <w:r w:rsidRPr="00C8072E">
        <w:rPr>
          <w:rFonts w:ascii="Arial" w:hAnsi="Arial" w:cs="Arial"/>
          <w:sz w:val="20"/>
          <w:szCs w:val="20"/>
        </w:rPr>
        <w:t>AutoDock</w:t>
      </w:r>
      <w:proofErr w:type="spellEnd"/>
      <w:r w:rsidRPr="00C8072E">
        <w:rPr>
          <w:rFonts w:ascii="Arial" w:hAnsi="Arial" w:cs="Arial"/>
          <w:sz w:val="20"/>
          <w:szCs w:val="20"/>
        </w:rPr>
        <w:t xml:space="preserve"> Tools. A grid box was defined to cover the</w:t>
      </w:r>
      <w:r w:rsidR="00155A48" w:rsidRPr="00155A48">
        <w:rPr>
          <w:rFonts w:ascii="Arial" w:hAnsi="Arial" w:cs="Arial"/>
          <w:sz w:val="20"/>
          <w:szCs w:val="20"/>
        </w:rPr>
        <w:t xml:space="preserve"> </w:t>
      </w:r>
      <w:r w:rsidR="00155A48" w:rsidRPr="00C8072E">
        <w:rPr>
          <w:rFonts w:ascii="Arial" w:hAnsi="Arial" w:cs="Arial"/>
          <w:sz w:val="20"/>
          <w:szCs w:val="20"/>
        </w:rPr>
        <w:t>receptor</w:t>
      </w:r>
      <w:r w:rsidR="00155A48">
        <w:rPr>
          <w:rFonts w:ascii="Arial" w:hAnsi="Arial" w:cs="Arial"/>
          <w:sz w:val="20"/>
          <w:szCs w:val="20"/>
        </w:rPr>
        <w:t xml:space="preserve">’s </w:t>
      </w:r>
      <w:r w:rsidRPr="00C8072E">
        <w:rPr>
          <w:rFonts w:ascii="Arial" w:hAnsi="Arial" w:cs="Arial"/>
          <w:sz w:val="20"/>
          <w:szCs w:val="20"/>
        </w:rPr>
        <w:t>active site region. Each ligand was docked separately, and multiple docking poses were generated. The best docking pose was selected based on the lowest binding affinity (kcal/mol). The following interaction parameters were recorded: binding affinity, inhibition constant (Ki), van der Waals (</w:t>
      </w:r>
      <w:proofErr w:type="spellStart"/>
      <w:r w:rsidRPr="00C8072E">
        <w:rPr>
          <w:rFonts w:ascii="Arial" w:hAnsi="Arial" w:cs="Arial"/>
          <w:sz w:val="20"/>
          <w:szCs w:val="20"/>
        </w:rPr>
        <w:t>vdW</w:t>
      </w:r>
      <w:proofErr w:type="spellEnd"/>
      <w:r w:rsidRPr="00C8072E">
        <w:rPr>
          <w:rFonts w:ascii="Arial" w:hAnsi="Arial" w:cs="Arial"/>
          <w:sz w:val="20"/>
          <w:szCs w:val="20"/>
        </w:rPr>
        <w:t>) energy, and intermolecular energy.</w:t>
      </w:r>
    </w:p>
    <w:p w14:paraId="6B40565C" w14:textId="77777777" w:rsidR="00524DDA" w:rsidRPr="00C8072E" w:rsidRDefault="00C76A70" w:rsidP="00C8072E">
      <w:pPr>
        <w:pStyle w:val="NormalWeb"/>
        <w:spacing w:before="240" w:beforeAutospacing="0" w:after="0" w:afterAutospacing="0"/>
        <w:jc w:val="both"/>
        <w:rPr>
          <w:rFonts w:ascii="Arial" w:hAnsi="Arial" w:cs="Arial"/>
          <w:b/>
          <w:sz w:val="22"/>
          <w:szCs w:val="22"/>
          <w:lang w:val="en-IN"/>
        </w:rPr>
      </w:pPr>
      <w:r>
        <w:rPr>
          <w:rFonts w:ascii="Arial" w:hAnsi="Arial" w:cs="Arial"/>
          <w:b/>
          <w:sz w:val="22"/>
          <w:szCs w:val="22"/>
          <w:lang w:val="en-IN"/>
        </w:rPr>
        <w:t xml:space="preserve">3. </w:t>
      </w:r>
      <w:r w:rsidR="00524DDA" w:rsidRPr="00C8072E">
        <w:rPr>
          <w:rFonts w:ascii="Arial" w:hAnsi="Arial" w:cs="Arial"/>
          <w:b/>
          <w:sz w:val="22"/>
          <w:szCs w:val="22"/>
          <w:lang w:val="en-IN"/>
        </w:rPr>
        <w:t>Results and discussion</w:t>
      </w:r>
    </w:p>
    <w:p w14:paraId="1E3DEBAE" w14:textId="77777777" w:rsidR="00524DDA" w:rsidRPr="00C8072E" w:rsidRDefault="00524C2F"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A total of 30 isolates were obtained from poultry fecal samples and were screened for β-lactamase production using the iodometric method. Among them, 11 isolates (37%) tested positive for β-lactamase. These findings are consistent with patterns reported in similar regions of India. For instance, in Namakkal, β-lactamase-producing isolates were detected in poultry fecal samples using the iodometric method </w:t>
      </w:r>
      <w:r w:rsidRPr="00C8072E">
        <w:rPr>
          <w:rFonts w:ascii="Arial" w:hAnsi="Arial" w:cs="Arial"/>
          <w:sz w:val="20"/>
          <w:szCs w:val="20"/>
          <w:vertAlign w:val="superscript"/>
        </w:rPr>
        <w:t>[25]</w:t>
      </w:r>
      <w:r w:rsidRPr="00C8072E">
        <w:rPr>
          <w:rFonts w:ascii="Arial" w:hAnsi="Arial" w:cs="Arial"/>
          <w:sz w:val="20"/>
          <w:szCs w:val="20"/>
        </w:rPr>
        <w:t xml:space="preserve">. In Odisha, ESBL-producing </w:t>
      </w:r>
      <w:r w:rsidRPr="00C8072E">
        <w:rPr>
          <w:rFonts w:ascii="Arial" w:hAnsi="Arial" w:cs="Arial"/>
          <w:i/>
          <w:iCs/>
          <w:sz w:val="20"/>
          <w:szCs w:val="20"/>
        </w:rPr>
        <w:t>E. coli</w:t>
      </w:r>
      <w:r w:rsidRPr="00C8072E">
        <w:rPr>
          <w:rFonts w:ascii="Arial" w:hAnsi="Arial" w:cs="Arial"/>
          <w:sz w:val="20"/>
          <w:szCs w:val="20"/>
        </w:rPr>
        <w:t xml:space="preserve"> were detected in approximately 5% of poultry fecal isolates, indicating a relatively low prevalence in commercial poultry settings </w:t>
      </w:r>
      <w:r w:rsidRPr="00C8072E">
        <w:rPr>
          <w:rFonts w:ascii="Arial" w:hAnsi="Arial" w:cs="Arial"/>
          <w:sz w:val="20"/>
          <w:szCs w:val="20"/>
          <w:vertAlign w:val="superscript"/>
        </w:rPr>
        <w:t>[26]</w:t>
      </w:r>
      <w:r w:rsidRPr="00C8072E">
        <w:rPr>
          <w:rFonts w:ascii="Arial" w:hAnsi="Arial" w:cs="Arial"/>
          <w:sz w:val="20"/>
          <w:szCs w:val="20"/>
        </w:rPr>
        <w:t>. Such variability underscores regional differences in poultry management, antibiotic usage, and microbial ecology.</w:t>
      </w:r>
    </w:p>
    <w:p w14:paraId="4887272F" w14:textId="77777777" w:rsidR="00524DDA" w:rsidRPr="00C8072E" w:rsidRDefault="00486795" w:rsidP="00C8072E">
      <w:pPr>
        <w:pStyle w:val="NormalWeb"/>
        <w:spacing w:before="240" w:beforeAutospacing="0" w:after="0" w:afterAutospacing="0"/>
        <w:ind w:firstLine="720"/>
        <w:jc w:val="both"/>
        <w:rPr>
          <w:rFonts w:ascii="Arial" w:hAnsi="Arial" w:cs="Arial"/>
          <w:sz w:val="20"/>
          <w:szCs w:val="20"/>
        </w:rPr>
      </w:pPr>
      <w:r w:rsidRPr="00C8072E">
        <w:rPr>
          <w:rFonts w:ascii="Arial" w:eastAsiaTheme="minorEastAsia" w:hAnsi="Arial" w:cs="Arial"/>
          <w:sz w:val="20"/>
          <w:szCs w:val="20"/>
        </w:rPr>
        <w:t xml:space="preserve">The relatively higher proportion of β-lactamase-producing isolates in our Namakkal cohort may reflect more intensive antibiotic usage, particularly </w:t>
      </w:r>
      <w:proofErr w:type="spellStart"/>
      <w:r w:rsidRPr="00C8072E">
        <w:rPr>
          <w:rFonts w:ascii="Arial" w:eastAsiaTheme="minorEastAsia" w:hAnsi="Arial" w:cs="Arial"/>
          <w:sz w:val="20"/>
          <w:szCs w:val="20"/>
        </w:rPr>
        <w:t>penicillins</w:t>
      </w:r>
      <w:proofErr w:type="spellEnd"/>
      <w:r w:rsidRPr="00C8072E">
        <w:rPr>
          <w:rFonts w:ascii="Arial" w:eastAsiaTheme="minorEastAsia" w:hAnsi="Arial" w:cs="Arial"/>
          <w:sz w:val="20"/>
          <w:szCs w:val="20"/>
        </w:rPr>
        <w:t xml:space="preserve"> and cephalosporins, for treating respiratory and gastrointestinal illnesses in birds. Frequent antimicrobial administration is a known driver of selection and proliferation of resistant bacteria in poultry farms. The iodometric method used </w:t>
      </w:r>
      <w:r w:rsidR="00155A48">
        <w:rPr>
          <w:rFonts w:ascii="Arial" w:eastAsiaTheme="minorEastAsia" w:hAnsi="Arial" w:cs="Arial"/>
          <w:sz w:val="20"/>
          <w:szCs w:val="20"/>
        </w:rPr>
        <w:t xml:space="preserve">to </w:t>
      </w:r>
      <w:proofErr w:type="spellStart"/>
      <w:r w:rsidR="00155A48">
        <w:rPr>
          <w:rFonts w:ascii="Arial" w:eastAsiaTheme="minorEastAsia" w:hAnsi="Arial" w:cs="Arial"/>
          <w:sz w:val="20"/>
          <w:szCs w:val="20"/>
        </w:rPr>
        <w:t>detecte</w:t>
      </w:r>
      <w:proofErr w:type="spellEnd"/>
      <w:r w:rsidRPr="00C8072E">
        <w:rPr>
          <w:rFonts w:ascii="Arial" w:eastAsiaTheme="minorEastAsia" w:hAnsi="Arial" w:cs="Arial"/>
          <w:sz w:val="20"/>
          <w:szCs w:val="20"/>
        </w:rPr>
        <w:t xml:space="preserve"> β-lactamase is consistent with</w:t>
      </w:r>
      <w:r w:rsidR="00155A48">
        <w:rPr>
          <w:rFonts w:ascii="Arial" w:eastAsiaTheme="minorEastAsia" w:hAnsi="Arial" w:cs="Arial"/>
          <w:sz w:val="20"/>
          <w:szCs w:val="20"/>
        </w:rPr>
        <w:t xml:space="preserve"> the </w:t>
      </w:r>
      <w:r w:rsidRPr="00C8072E">
        <w:rPr>
          <w:rFonts w:ascii="Arial" w:eastAsiaTheme="minorEastAsia" w:hAnsi="Arial" w:cs="Arial"/>
          <w:sz w:val="20"/>
          <w:szCs w:val="20"/>
        </w:rPr>
        <w:t>phenotypic screening techniques employed in previous studies. These methods often combine disc diffusion and indicator-based assays for initial screening. Although these approaches are less specific than gene-based identification (genotyping) methods, they provide reliable preliminary results, especially in resource-limited settings.</w:t>
      </w:r>
    </w:p>
    <w:p w14:paraId="03F72007" w14:textId="77777777" w:rsidR="00524DDA" w:rsidRDefault="00486795" w:rsidP="00C8072E">
      <w:pPr>
        <w:spacing w:before="240" w:after="0" w:line="240" w:lineRule="auto"/>
        <w:ind w:firstLine="720"/>
        <w:jc w:val="both"/>
        <w:rPr>
          <w:rFonts w:ascii="Arial" w:eastAsia="Times New Roman" w:hAnsi="Arial" w:cs="Arial"/>
          <w:sz w:val="20"/>
          <w:szCs w:val="20"/>
        </w:rPr>
      </w:pPr>
      <w:r w:rsidRPr="00C8072E">
        <w:rPr>
          <w:rFonts w:ascii="Arial" w:eastAsia="Times New Roman" w:hAnsi="Arial" w:cs="Arial"/>
          <w:sz w:val="20"/>
          <w:szCs w:val="20"/>
        </w:rPr>
        <w:lastRenderedPageBreak/>
        <w:t>Out of 30 bacterial isolates obtained from poultry fecal samples, 11 demonstrated β-lactamase activity as determined by the enzyme assay. The specific activities of these enzyme preparations ranged from 13.52 U/mL to 46.60 U/</w:t>
      </w:r>
      <w:proofErr w:type="spellStart"/>
      <w:r w:rsidRPr="00C8072E">
        <w:rPr>
          <w:rFonts w:ascii="Arial" w:eastAsia="Times New Roman" w:hAnsi="Arial" w:cs="Arial"/>
          <w:sz w:val="20"/>
          <w:szCs w:val="20"/>
        </w:rPr>
        <w:t>mL.</w:t>
      </w:r>
      <w:proofErr w:type="spellEnd"/>
      <w:r w:rsidRPr="00C8072E">
        <w:rPr>
          <w:rFonts w:ascii="Arial" w:eastAsia="Times New Roman" w:hAnsi="Arial" w:cs="Arial"/>
          <w:sz w:val="20"/>
          <w:szCs w:val="20"/>
        </w:rPr>
        <w:t xml:space="preserve"> Notably, </w:t>
      </w:r>
      <w:proofErr w:type="gramStart"/>
      <w:r w:rsidRPr="00C8072E">
        <w:rPr>
          <w:rFonts w:ascii="Arial" w:eastAsia="Times New Roman" w:hAnsi="Arial" w:cs="Arial"/>
          <w:sz w:val="20"/>
          <w:szCs w:val="20"/>
        </w:rPr>
        <w:t>Isolate</w:t>
      </w:r>
      <w:proofErr w:type="gramEnd"/>
      <w:r w:rsidRPr="00C8072E">
        <w:rPr>
          <w:rFonts w:ascii="Arial" w:eastAsia="Times New Roman" w:hAnsi="Arial" w:cs="Arial"/>
          <w:sz w:val="20"/>
          <w:szCs w:val="20"/>
        </w:rPr>
        <w:t xml:space="preserve"> 23 exhibited the highest specific activity (46.60 U/mL), followed by Isolate 30 (37.80 U/mL), Isolate 25 (31.25 U/mL), and Isolate 6 (29.86 U/mL) (Table 1).</w:t>
      </w:r>
    </w:p>
    <w:p w14:paraId="3A9459E0" w14:textId="77777777" w:rsidR="00421404" w:rsidRDefault="00421404" w:rsidP="00421404">
      <w:pPr>
        <w:spacing w:before="240" w:after="0" w:line="240" w:lineRule="auto"/>
        <w:jc w:val="center"/>
        <w:rPr>
          <w:rFonts w:ascii="Arial" w:eastAsia="Times New Roman" w:hAnsi="Arial" w:cs="Arial"/>
          <w:b/>
          <w:sz w:val="20"/>
          <w:szCs w:val="20"/>
        </w:rPr>
      </w:pPr>
      <w:r w:rsidRPr="00C8072E">
        <w:rPr>
          <w:rFonts w:ascii="Arial" w:eastAsia="Times New Roman" w:hAnsi="Arial" w:cs="Arial"/>
          <w:b/>
          <w:sz w:val="20"/>
          <w:szCs w:val="20"/>
        </w:rPr>
        <w:t xml:space="preserve">Table.1 screening of potential isolate of </w:t>
      </w:r>
      <w:proofErr w:type="spellStart"/>
      <w:r w:rsidRPr="00C8072E">
        <w:rPr>
          <w:rFonts w:ascii="Arial" w:eastAsia="Times New Roman" w:hAnsi="Arial" w:cs="Arial"/>
          <w:b/>
          <w:sz w:val="20"/>
          <w:szCs w:val="20"/>
        </w:rPr>
        <w:t>betalactamase</w:t>
      </w:r>
      <w:proofErr w:type="spellEnd"/>
      <w:r w:rsidRPr="00C8072E">
        <w:rPr>
          <w:rFonts w:ascii="Arial" w:eastAsia="Times New Roman" w:hAnsi="Arial" w:cs="Arial"/>
          <w:b/>
          <w:sz w:val="20"/>
          <w:szCs w:val="20"/>
        </w:rPr>
        <w:t xml:space="preserve"> producing isolates</w:t>
      </w:r>
    </w:p>
    <w:p w14:paraId="6848BC17" w14:textId="77777777" w:rsidR="00421404" w:rsidRPr="00C8072E" w:rsidRDefault="00421404" w:rsidP="00421404">
      <w:pPr>
        <w:spacing w:before="240" w:after="0" w:line="240" w:lineRule="auto"/>
        <w:jc w:val="center"/>
        <w:rPr>
          <w:rFonts w:ascii="Arial" w:eastAsia="Times New Roman" w:hAnsi="Arial" w:cs="Arial"/>
          <w:b/>
          <w:sz w:val="20"/>
          <w:szCs w:val="20"/>
        </w:rPr>
      </w:pPr>
    </w:p>
    <w:tbl>
      <w:tblPr>
        <w:tblW w:w="6850" w:type="dxa"/>
        <w:jc w:val="center"/>
        <w:tblLook w:val="04A0" w:firstRow="1" w:lastRow="0" w:firstColumn="1" w:lastColumn="0" w:noHBand="0" w:noVBand="1"/>
      </w:tblPr>
      <w:tblGrid>
        <w:gridCol w:w="927"/>
        <w:gridCol w:w="2268"/>
        <w:gridCol w:w="1080"/>
        <w:gridCol w:w="1133"/>
        <w:gridCol w:w="1442"/>
      </w:tblGrid>
      <w:tr w:rsidR="00421404" w:rsidRPr="00C8072E" w14:paraId="36384C20" w14:textId="77777777" w:rsidTr="006360EC">
        <w:trPr>
          <w:trHeight w:val="364"/>
          <w:jc w:val="center"/>
        </w:trPr>
        <w:tc>
          <w:tcPr>
            <w:tcW w:w="927" w:type="dxa"/>
            <w:tcBorders>
              <w:top w:val="single" w:sz="8" w:space="0" w:color="auto"/>
              <w:left w:val="single" w:sz="8" w:space="0" w:color="auto"/>
              <w:bottom w:val="single" w:sz="8" w:space="0" w:color="auto"/>
              <w:right w:val="single" w:sz="8" w:space="0" w:color="auto"/>
            </w:tcBorders>
            <w:vAlign w:val="center"/>
            <w:hideMark/>
          </w:tcPr>
          <w:p w14:paraId="4964B6C4" w14:textId="77777777" w:rsidR="00421404" w:rsidRPr="00C8072E" w:rsidRDefault="00421404" w:rsidP="006D5A3F">
            <w:pPr>
              <w:spacing w:after="0" w:line="360" w:lineRule="auto"/>
              <w:jc w:val="center"/>
              <w:rPr>
                <w:rFonts w:ascii="Arial" w:eastAsia="Times New Roman" w:hAnsi="Arial" w:cs="Arial"/>
                <w:b/>
                <w:bCs/>
                <w:color w:val="000000"/>
                <w:sz w:val="20"/>
                <w:szCs w:val="20"/>
              </w:rPr>
            </w:pPr>
            <w:r w:rsidRPr="00C8072E">
              <w:rPr>
                <w:rFonts w:ascii="Arial" w:eastAsia="Times New Roman" w:hAnsi="Arial" w:cs="Arial"/>
                <w:b/>
                <w:bCs/>
                <w:color w:val="000000"/>
                <w:sz w:val="20"/>
                <w:szCs w:val="20"/>
                <w:lang w:val="en-IN"/>
              </w:rPr>
              <w:t>S. No</w:t>
            </w:r>
          </w:p>
        </w:tc>
        <w:tc>
          <w:tcPr>
            <w:tcW w:w="2268" w:type="dxa"/>
            <w:tcBorders>
              <w:top w:val="single" w:sz="8" w:space="0" w:color="auto"/>
              <w:left w:val="nil"/>
              <w:bottom w:val="single" w:sz="8" w:space="0" w:color="auto"/>
              <w:right w:val="single" w:sz="8" w:space="0" w:color="auto"/>
            </w:tcBorders>
            <w:vAlign w:val="center"/>
            <w:hideMark/>
          </w:tcPr>
          <w:p w14:paraId="37C45312" w14:textId="77777777" w:rsidR="00421404" w:rsidRPr="00C8072E" w:rsidRDefault="00421404" w:rsidP="006D5A3F">
            <w:pPr>
              <w:spacing w:after="0" w:line="360" w:lineRule="auto"/>
              <w:jc w:val="center"/>
              <w:rPr>
                <w:rFonts w:ascii="Arial" w:eastAsia="Times New Roman" w:hAnsi="Arial" w:cs="Arial"/>
                <w:b/>
                <w:bCs/>
                <w:color w:val="000000"/>
                <w:sz w:val="20"/>
                <w:szCs w:val="20"/>
              </w:rPr>
            </w:pPr>
            <w:r w:rsidRPr="00C8072E">
              <w:rPr>
                <w:rFonts w:ascii="Arial" w:eastAsia="Times New Roman" w:hAnsi="Arial" w:cs="Arial"/>
                <w:b/>
                <w:bCs/>
                <w:color w:val="000000"/>
                <w:sz w:val="20"/>
                <w:szCs w:val="20"/>
                <w:lang w:val="en-IN"/>
              </w:rPr>
              <w:t>Isolates name</w:t>
            </w:r>
          </w:p>
        </w:tc>
        <w:tc>
          <w:tcPr>
            <w:tcW w:w="1080" w:type="dxa"/>
            <w:tcBorders>
              <w:top w:val="single" w:sz="8" w:space="0" w:color="auto"/>
              <w:left w:val="nil"/>
              <w:bottom w:val="single" w:sz="8" w:space="0" w:color="auto"/>
              <w:right w:val="single" w:sz="4" w:space="0" w:color="auto"/>
            </w:tcBorders>
            <w:vAlign w:val="center"/>
            <w:hideMark/>
          </w:tcPr>
          <w:p w14:paraId="01B3B987" w14:textId="77777777" w:rsidR="00421404" w:rsidRPr="00C8072E" w:rsidRDefault="00421404" w:rsidP="006D5A3F">
            <w:pPr>
              <w:spacing w:after="0" w:line="360" w:lineRule="auto"/>
              <w:jc w:val="center"/>
              <w:rPr>
                <w:rFonts w:ascii="Arial" w:eastAsia="Times New Roman" w:hAnsi="Arial" w:cs="Arial"/>
                <w:b/>
                <w:bCs/>
                <w:color w:val="000000"/>
                <w:sz w:val="20"/>
                <w:szCs w:val="20"/>
                <w:lang w:val="en-IN"/>
              </w:rPr>
            </w:pPr>
            <w:r w:rsidRPr="00C8072E">
              <w:rPr>
                <w:rFonts w:ascii="Arial" w:eastAsia="Times New Roman" w:hAnsi="Arial" w:cs="Arial"/>
                <w:b/>
                <w:bCs/>
                <w:color w:val="000000"/>
                <w:sz w:val="20"/>
                <w:szCs w:val="20"/>
              </w:rPr>
              <w:t>Enzyme</w:t>
            </w:r>
            <w:r w:rsidRPr="00C8072E">
              <w:rPr>
                <w:rFonts w:ascii="Arial" w:eastAsia="Times New Roman" w:hAnsi="Arial" w:cs="Arial"/>
                <w:b/>
                <w:bCs/>
                <w:color w:val="000000"/>
                <w:sz w:val="20"/>
                <w:szCs w:val="20"/>
                <w:lang w:val="en-IN"/>
              </w:rPr>
              <w:t xml:space="preserve"> (U)</w:t>
            </w:r>
          </w:p>
        </w:tc>
        <w:tc>
          <w:tcPr>
            <w:tcW w:w="1133" w:type="dxa"/>
            <w:tcBorders>
              <w:top w:val="single" w:sz="8" w:space="0" w:color="auto"/>
              <w:left w:val="nil"/>
              <w:bottom w:val="single" w:sz="8" w:space="0" w:color="auto"/>
              <w:right w:val="single" w:sz="4" w:space="0" w:color="auto"/>
            </w:tcBorders>
            <w:vAlign w:val="center"/>
          </w:tcPr>
          <w:p w14:paraId="66E1174E" w14:textId="77777777" w:rsidR="00421404" w:rsidRPr="00C8072E" w:rsidRDefault="00421404" w:rsidP="006D5A3F">
            <w:pPr>
              <w:spacing w:after="0" w:line="360" w:lineRule="auto"/>
              <w:jc w:val="center"/>
              <w:rPr>
                <w:rFonts w:ascii="Arial" w:eastAsia="Times New Roman" w:hAnsi="Arial" w:cs="Arial"/>
                <w:b/>
                <w:bCs/>
                <w:color w:val="000000"/>
                <w:sz w:val="20"/>
                <w:szCs w:val="20"/>
              </w:rPr>
            </w:pPr>
            <w:r w:rsidRPr="00C8072E">
              <w:rPr>
                <w:rFonts w:ascii="Arial" w:eastAsia="Times New Roman" w:hAnsi="Arial" w:cs="Arial"/>
                <w:b/>
                <w:bCs/>
                <w:color w:val="000000"/>
                <w:sz w:val="20"/>
                <w:szCs w:val="20"/>
              </w:rPr>
              <w:t xml:space="preserve">Protein (mg) </w:t>
            </w:r>
          </w:p>
        </w:tc>
        <w:tc>
          <w:tcPr>
            <w:tcW w:w="1442" w:type="dxa"/>
            <w:tcBorders>
              <w:top w:val="single" w:sz="8" w:space="0" w:color="auto"/>
              <w:left w:val="single" w:sz="4" w:space="0" w:color="auto"/>
              <w:bottom w:val="single" w:sz="8" w:space="0" w:color="auto"/>
              <w:right w:val="single" w:sz="8" w:space="0" w:color="auto"/>
            </w:tcBorders>
            <w:vAlign w:val="center"/>
          </w:tcPr>
          <w:p w14:paraId="6447EC12" w14:textId="77777777" w:rsidR="00421404" w:rsidRPr="00C8072E" w:rsidRDefault="00421404" w:rsidP="006D5A3F">
            <w:pPr>
              <w:spacing w:after="0" w:line="360" w:lineRule="auto"/>
              <w:jc w:val="center"/>
              <w:rPr>
                <w:rFonts w:ascii="Arial" w:eastAsia="Times New Roman" w:hAnsi="Arial" w:cs="Arial"/>
                <w:b/>
                <w:bCs/>
                <w:color w:val="000000"/>
                <w:sz w:val="20"/>
                <w:szCs w:val="20"/>
              </w:rPr>
            </w:pPr>
            <w:r w:rsidRPr="00C8072E">
              <w:rPr>
                <w:rFonts w:ascii="Arial" w:eastAsia="Times New Roman" w:hAnsi="Arial" w:cs="Arial"/>
                <w:b/>
                <w:bCs/>
                <w:color w:val="000000"/>
                <w:sz w:val="20"/>
                <w:szCs w:val="20"/>
              </w:rPr>
              <w:t>Specific activity (U/ml)</w:t>
            </w:r>
          </w:p>
        </w:tc>
      </w:tr>
      <w:tr w:rsidR="00421404" w:rsidRPr="00C8072E" w14:paraId="22937171" w14:textId="77777777" w:rsidTr="006360EC">
        <w:trPr>
          <w:trHeight w:val="132"/>
          <w:jc w:val="center"/>
        </w:trPr>
        <w:tc>
          <w:tcPr>
            <w:tcW w:w="927" w:type="dxa"/>
            <w:tcBorders>
              <w:top w:val="nil"/>
              <w:left w:val="single" w:sz="8" w:space="0" w:color="auto"/>
              <w:bottom w:val="single" w:sz="8" w:space="0" w:color="auto"/>
              <w:right w:val="single" w:sz="8" w:space="0" w:color="auto"/>
            </w:tcBorders>
            <w:vAlign w:val="center"/>
            <w:hideMark/>
          </w:tcPr>
          <w:p w14:paraId="28CD3C72"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6494AC91"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5</w:t>
            </w:r>
          </w:p>
        </w:tc>
        <w:tc>
          <w:tcPr>
            <w:tcW w:w="1080" w:type="dxa"/>
            <w:tcBorders>
              <w:top w:val="nil"/>
              <w:left w:val="nil"/>
              <w:bottom w:val="single" w:sz="8" w:space="0" w:color="auto"/>
              <w:right w:val="single" w:sz="4" w:space="0" w:color="auto"/>
            </w:tcBorders>
            <w:vAlign w:val="center"/>
            <w:hideMark/>
          </w:tcPr>
          <w:p w14:paraId="36AD17A2"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14.01</w:t>
            </w:r>
          </w:p>
        </w:tc>
        <w:tc>
          <w:tcPr>
            <w:tcW w:w="1133" w:type="dxa"/>
            <w:tcBorders>
              <w:top w:val="nil"/>
              <w:left w:val="nil"/>
              <w:bottom w:val="single" w:sz="8" w:space="0" w:color="auto"/>
              <w:right w:val="single" w:sz="4" w:space="0" w:color="auto"/>
            </w:tcBorders>
            <w:vAlign w:val="center"/>
          </w:tcPr>
          <w:p w14:paraId="29707D57"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0.49</w:t>
            </w:r>
          </w:p>
        </w:tc>
        <w:tc>
          <w:tcPr>
            <w:tcW w:w="1442" w:type="dxa"/>
            <w:tcBorders>
              <w:top w:val="nil"/>
              <w:left w:val="single" w:sz="4" w:space="0" w:color="auto"/>
              <w:bottom w:val="single" w:sz="8" w:space="0" w:color="auto"/>
              <w:right w:val="single" w:sz="8" w:space="0" w:color="auto"/>
            </w:tcBorders>
            <w:vAlign w:val="center"/>
          </w:tcPr>
          <w:p w14:paraId="5B854420"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13.52</w:t>
            </w:r>
          </w:p>
        </w:tc>
      </w:tr>
      <w:tr w:rsidR="00421404" w:rsidRPr="00C8072E" w14:paraId="6DAAA671" w14:textId="77777777" w:rsidTr="006360EC">
        <w:trPr>
          <w:trHeight w:val="132"/>
          <w:jc w:val="center"/>
        </w:trPr>
        <w:tc>
          <w:tcPr>
            <w:tcW w:w="927" w:type="dxa"/>
            <w:tcBorders>
              <w:top w:val="nil"/>
              <w:left w:val="single" w:sz="8" w:space="0" w:color="auto"/>
              <w:bottom w:val="single" w:sz="8" w:space="0" w:color="auto"/>
              <w:right w:val="single" w:sz="8" w:space="0" w:color="auto"/>
            </w:tcBorders>
            <w:vAlign w:val="center"/>
            <w:hideMark/>
          </w:tcPr>
          <w:p w14:paraId="0D73D285"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2F600352"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6</w:t>
            </w:r>
          </w:p>
        </w:tc>
        <w:tc>
          <w:tcPr>
            <w:tcW w:w="1080" w:type="dxa"/>
            <w:tcBorders>
              <w:top w:val="nil"/>
              <w:left w:val="nil"/>
              <w:bottom w:val="single" w:sz="8" w:space="0" w:color="auto"/>
              <w:right w:val="single" w:sz="4" w:space="0" w:color="auto"/>
            </w:tcBorders>
            <w:vAlign w:val="center"/>
            <w:hideMark/>
          </w:tcPr>
          <w:p w14:paraId="116C33D0"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14.21</w:t>
            </w:r>
          </w:p>
        </w:tc>
        <w:tc>
          <w:tcPr>
            <w:tcW w:w="1133" w:type="dxa"/>
            <w:tcBorders>
              <w:top w:val="nil"/>
              <w:left w:val="nil"/>
              <w:bottom w:val="single" w:sz="8" w:space="0" w:color="auto"/>
              <w:right w:val="single" w:sz="4" w:space="0" w:color="auto"/>
            </w:tcBorders>
            <w:vAlign w:val="center"/>
          </w:tcPr>
          <w:p w14:paraId="7F0C6FED"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0.53</w:t>
            </w:r>
          </w:p>
        </w:tc>
        <w:tc>
          <w:tcPr>
            <w:tcW w:w="1442" w:type="dxa"/>
            <w:tcBorders>
              <w:top w:val="nil"/>
              <w:left w:val="single" w:sz="4" w:space="0" w:color="auto"/>
              <w:bottom w:val="single" w:sz="8" w:space="0" w:color="auto"/>
              <w:right w:val="single" w:sz="8" w:space="0" w:color="auto"/>
            </w:tcBorders>
            <w:vAlign w:val="center"/>
          </w:tcPr>
          <w:p w14:paraId="1B2ECE3C"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13.68</w:t>
            </w:r>
          </w:p>
        </w:tc>
      </w:tr>
      <w:tr w:rsidR="00421404" w:rsidRPr="00C8072E" w14:paraId="0DBB0D14" w14:textId="77777777" w:rsidTr="006360EC">
        <w:trPr>
          <w:trHeight w:val="132"/>
          <w:jc w:val="center"/>
        </w:trPr>
        <w:tc>
          <w:tcPr>
            <w:tcW w:w="927" w:type="dxa"/>
            <w:tcBorders>
              <w:top w:val="nil"/>
              <w:left w:val="single" w:sz="8" w:space="0" w:color="auto"/>
              <w:bottom w:val="single" w:sz="8" w:space="0" w:color="auto"/>
              <w:right w:val="single" w:sz="8" w:space="0" w:color="auto"/>
            </w:tcBorders>
            <w:vAlign w:val="center"/>
            <w:hideMark/>
          </w:tcPr>
          <w:p w14:paraId="46C0244D"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543D8380"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7</w:t>
            </w:r>
          </w:p>
        </w:tc>
        <w:tc>
          <w:tcPr>
            <w:tcW w:w="1080" w:type="dxa"/>
            <w:tcBorders>
              <w:top w:val="nil"/>
              <w:left w:val="nil"/>
              <w:bottom w:val="single" w:sz="8" w:space="0" w:color="auto"/>
              <w:right w:val="single" w:sz="4" w:space="0" w:color="auto"/>
            </w:tcBorders>
            <w:vAlign w:val="center"/>
            <w:hideMark/>
          </w:tcPr>
          <w:p w14:paraId="56EAA40F"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18.5</w:t>
            </w:r>
          </w:p>
        </w:tc>
        <w:tc>
          <w:tcPr>
            <w:tcW w:w="1133" w:type="dxa"/>
            <w:tcBorders>
              <w:top w:val="nil"/>
              <w:left w:val="nil"/>
              <w:bottom w:val="single" w:sz="8" w:space="0" w:color="auto"/>
              <w:right w:val="single" w:sz="4" w:space="0" w:color="auto"/>
            </w:tcBorders>
            <w:vAlign w:val="center"/>
          </w:tcPr>
          <w:p w14:paraId="02A4B622"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0.65</w:t>
            </w:r>
          </w:p>
        </w:tc>
        <w:tc>
          <w:tcPr>
            <w:tcW w:w="1442" w:type="dxa"/>
            <w:tcBorders>
              <w:top w:val="nil"/>
              <w:left w:val="single" w:sz="4" w:space="0" w:color="auto"/>
              <w:bottom w:val="single" w:sz="8" w:space="0" w:color="auto"/>
              <w:right w:val="single" w:sz="8" w:space="0" w:color="auto"/>
            </w:tcBorders>
            <w:vAlign w:val="center"/>
          </w:tcPr>
          <w:p w14:paraId="03EBF24C"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28.4</w:t>
            </w:r>
          </w:p>
        </w:tc>
      </w:tr>
      <w:tr w:rsidR="00421404" w:rsidRPr="00C8072E" w14:paraId="456DD30B"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5BF17CF7"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5A53EFF9"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12</w:t>
            </w:r>
          </w:p>
        </w:tc>
        <w:tc>
          <w:tcPr>
            <w:tcW w:w="1080" w:type="dxa"/>
            <w:tcBorders>
              <w:top w:val="nil"/>
              <w:left w:val="nil"/>
              <w:bottom w:val="single" w:sz="8" w:space="0" w:color="auto"/>
              <w:right w:val="single" w:sz="4" w:space="0" w:color="auto"/>
            </w:tcBorders>
            <w:vAlign w:val="center"/>
            <w:hideMark/>
          </w:tcPr>
          <w:p w14:paraId="612A1CB0"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18.28</w:t>
            </w:r>
          </w:p>
        </w:tc>
        <w:tc>
          <w:tcPr>
            <w:tcW w:w="1133" w:type="dxa"/>
            <w:tcBorders>
              <w:top w:val="nil"/>
              <w:left w:val="nil"/>
              <w:bottom w:val="single" w:sz="8" w:space="0" w:color="auto"/>
              <w:right w:val="single" w:sz="4" w:space="0" w:color="auto"/>
            </w:tcBorders>
            <w:vAlign w:val="center"/>
          </w:tcPr>
          <w:p w14:paraId="279B8818"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0.59</w:t>
            </w:r>
          </w:p>
        </w:tc>
        <w:tc>
          <w:tcPr>
            <w:tcW w:w="1442" w:type="dxa"/>
            <w:tcBorders>
              <w:top w:val="nil"/>
              <w:left w:val="single" w:sz="4" w:space="0" w:color="auto"/>
              <w:bottom w:val="single" w:sz="8" w:space="0" w:color="auto"/>
              <w:right w:val="single" w:sz="8" w:space="0" w:color="auto"/>
            </w:tcBorders>
            <w:vAlign w:val="center"/>
          </w:tcPr>
          <w:p w14:paraId="14C0D9BD"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17.69</w:t>
            </w:r>
          </w:p>
        </w:tc>
      </w:tr>
      <w:tr w:rsidR="00421404" w:rsidRPr="00C8072E" w14:paraId="0607CE23"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21462D5B"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1C46C62A"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15</w:t>
            </w:r>
          </w:p>
        </w:tc>
        <w:tc>
          <w:tcPr>
            <w:tcW w:w="1080" w:type="dxa"/>
            <w:tcBorders>
              <w:top w:val="nil"/>
              <w:left w:val="nil"/>
              <w:bottom w:val="single" w:sz="8" w:space="0" w:color="auto"/>
              <w:right w:val="single" w:sz="4" w:space="0" w:color="auto"/>
            </w:tcBorders>
            <w:vAlign w:val="center"/>
            <w:hideMark/>
          </w:tcPr>
          <w:p w14:paraId="622D0562"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15.84</w:t>
            </w:r>
          </w:p>
        </w:tc>
        <w:tc>
          <w:tcPr>
            <w:tcW w:w="1133" w:type="dxa"/>
            <w:tcBorders>
              <w:top w:val="nil"/>
              <w:left w:val="nil"/>
              <w:bottom w:val="single" w:sz="8" w:space="0" w:color="auto"/>
              <w:right w:val="single" w:sz="4" w:space="0" w:color="auto"/>
            </w:tcBorders>
            <w:vAlign w:val="center"/>
          </w:tcPr>
          <w:p w14:paraId="74346F6B"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0.69</w:t>
            </w:r>
          </w:p>
        </w:tc>
        <w:tc>
          <w:tcPr>
            <w:tcW w:w="1442" w:type="dxa"/>
            <w:tcBorders>
              <w:top w:val="nil"/>
              <w:left w:val="single" w:sz="4" w:space="0" w:color="auto"/>
              <w:bottom w:val="single" w:sz="8" w:space="0" w:color="auto"/>
              <w:right w:val="single" w:sz="8" w:space="0" w:color="auto"/>
            </w:tcBorders>
            <w:vAlign w:val="center"/>
          </w:tcPr>
          <w:p w14:paraId="1AA34E84"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22.95</w:t>
            </w:r>
          </w:p>
        </w:tc>
      </w:tr>
      <w:tr w:rsidR="00421404" w:rsidRPr="00C8072E" w14:paraId="6EA12564"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747BC052"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4A8DFF0D"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18</w:t>
            </w:r>
          </w:p>
        </w:tc>
        <w:tc>
          <w:tcPr>
            <w:tcW w:w="1080" w:type="dxa"/>
            <w:tcBorders>
              <w:top w:val="nil"/>
              <w:left w:val="nil"/>
              <w:bottom w:val="single" w:sz="8" w:space="0" w:color="auto"/>
              <w:right w:val="single" w:sz="4" w:space="0" w:color="auto"/>
            </w:tcBorders>
            <w:vAlign w:val="center"/>
            <w:hideMark/>
          </w:tcPr>
          <w:p w14:paraId="447E79E7"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20.31</w:t>
            </w:r>
          </w:p>
        </w:tc>
        <w:tc>
          <w:tcPr>
            <w:tcW w:w="1133" w:type="dxa"/>
            <w:tcBorders>
              <w:top w:val="nil"/>
              <w:left w:val="nil"/>
              <w:bottom w:val="single" w:sz="8" w:space="0" w:color="auto"/>
              <w:right w:val="single" w:sz="4" w:space="0" w:color="auto"/>
            </w:tcBorders>
            <w:vAlign w:val="center"/>
          </w:tcPr>
          <w:p w14:paraId="43176723"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0.74</w:t>
            </w:r>
          </w:p>
        </w:tc>
        <w:tc>
          <w:tcPr>
            <w:tcW w:w="1442" w:type="dxa"/>
            <w:tcBorders>
              <w:top w:val="nil"/>
              <w:left w:val="single" w:sz="4" w:space="0" w:color="auto"/>
              <w:bottom w:val="single" w:sz="8" w:space="0" w:color="auto"/>
              <w:right w:val="single" w:sz="8" w:space="0" w:color="auto"/>
            </w:tcBorders>
            <w:vAlign w:val="center"/>
          </w:tcPr>
          <w:p w14:paraId="73DC89D8"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27.44</w:t>
            </w:r>
          </w:p>
        </w:tc>
      </w:tr>
      <w:tr w:rsidR="00421404" w:rsidRPr="00C8072E" w14:paraId="2531FBC8"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37246C55"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0B5CCE3A"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19</w:t>
            </w:r>
          </w:p>
        </w:tc>
        <w:tc>
          <w:tcPr>
            <w:tcW w:w="1080" w:type="dxa"/>
            <w:tcBorders>
              <w:top w:val="nil"/>
              <w:left w:val="nil"/>
              <w:bottom w:val="single" w:sz="8" w:space="0" w:color="auto"/>
              <w:right w:val="single" w:sz="4" w:space="0" w:color="auto"/>
            </w:tcBorders>
            <w:vAlign w:val="center"/>
            <w:hideMark/>
          </w:tcPr>
          <w:p w14:paraId="02603647"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15.23</w:t>
            </w:r>
          </w:p>
        </w:tc>
        <w:tc>
          <w:tcPr>
            <w:tcW w:w="1133" w:type="dxa"/>
            <w:tcBorders>
              <w:top w:val="nil"/>
              <w:left w:val="nil"/>
              <w:bottom w:val="single" w:sz="8" w:space="0" w:color="auto"/>
              <w:right w:val="single" w:sz="4" w:space="0" w:color="auto"/>
            </w:tcBorders>
            <w:vAlign w:val="center"/>
          </w:tcPr>
          <w:p w14:paraId="400F05E7"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0.51</w:t>
            </w:r>
          </w:p>
        </w:tc>
        <w:tc>
          <w:tcPr>
            <w:tcW w:w="1442" w:type="dxa"/>
            <w:tcBorders>
              <w:top w:val="nil"/>
              <w:left w:val="single" w:sz="4" w:space="0" w:color="auto"/>
              <w:bottom w:val="single" w:sz="8" w:space="0" w:color="auto"/>
              <w:right w:val="single" w:sz="8" w:space="0" w:color="auto"/>
            </w:tcBorders>
            <w:vAlign w:val="center"/>
          </w:tcPr>
          <w:p w14:paraId="1B624D08" w14:textId="77777777" w:rsidR="00421404" w:rsidRPr="00C8072E" w:rsidRDefault="00421404" w:rsidP="006D5A3F">
            <w:pPr>
              <w:spacing w:after="0" w:line="360" w:lineRule="auto"/>
              <w:jc w:val="center"/>
              <w:rPr>
                <w:rFonts w:ascii="Arial" w:eastAsia="Times New Roman" w:hAnsi="Arial" w:cs="Arial"/>
                <w:bCs/>
                <w:color w:val="000000"/>
                <w:sz w:val="20"/>
                <w:szCs w:val="20"/>
                <w:lang w:val="en-IN"/>
              </w:rPr>
            </w:pPr>
            <w:r w:rsidRPr="00C8072E">
              <w:rPr>
                <w:rFonts w:ascii="Arial" w:eastAsia="Times New Roman" w:hAnsi="Arial" w:cs="Arial"/>
                <w:bCs/>
                <w:color w:val="000000"/>
                <w:sz w:val="20"/>
                <w:szCs w:val="20"/>
                <w:lang w:val="en-IN"/>
              </w:rPr>
              <w:t>29.86</w:t>
            </w:r>
          </w:p>
        </w:tc>
      </w:tr>
      <w:tr w:rsidR="00421404" w:rsidRPr="00C8072E" w14:paraId="30D3F35B"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0994F343"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32450F62"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21</w:t>
            </w:r>
          </w:p>
        </w:tc>
        <w:tc>
          <w:tcPr>
            <w:tcW w:w="1080" w:type="dxa"/>
            <w:tcBorders>
              <w:top w:val="nil"/>
              <w:left w:val="nil"/>
              <w:bottom w:val="single" w:sz="8" w:space="0" w:color="auto"/>
              <w:right w:val="single" w:sz="4" w:space="0" w:color="auto"/>
            </w:tcBorders>
            <w:vAlign w:val="center"/>
            <w:hideMark/>
          </w:tcPr>
          <w:p w14:paraId="1E6BE55D"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18.28</w:t>
            </w:r>
          </w:p>
        </w:tc>
        <w:tc>
          <w:tcPr>
            <w:tcW w:w="1133" w:type="dxa"/>
            <w:tcBorders>
              <w:top w:val="nil"/>
              <w:left w:val="nil"/>
              <w:bottom w:val="single" w:sz="8" w:space="0" w:color="auto"/>
              <w:right w:val="single" w:sz="4" w:space="0" w:color="auto"/>
            </w:tcBorders>
            <w:vAlign w:val="center"/>
          </w:tcPr>
          <w:p w14:paraId="2C4AF48E"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0.61</w:t>
            </w:r>
          </w:p>
        </w:tc>
        <w:tc>
          <w:tcPr>
            <w:tcW w:w="1442" w:type="dxa"/>
            <w:tcBorders>
              <w:top w:val="nil"/>
              <w:left w:val="single" w:sz="4" w:space="0" w:color="auto"/>
              <w:bottom w:val="single" w:sz="8" w:space="0" w:color="auto"/>
              <w:right w:val="single" w:sz="8" w:space="0" w:color="auto"/>
            </w:tcBorders>
            <w:vAlign w:val="center"/>
          </w:tcPr>
          <w:p w14:paraId="5294C845"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29.96</w:t>
            </w:r>
          </w:p>
        </w:tc>
      </w:tr>
      <w:tr w:rsidR="00421404" w:rsidRPr="00C8072E" w14:paraId="472DF730"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4E2BC04D"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7F7D266E"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23</w:t>
            </w:r>
          </w:p>
        </w:tc>
        <w:tc>
          <w:tcPr>
            <w:tcW w:w="1080" w:type="dxa"/>
            <w:tcBorders>
              <w:top w:val="nil"/>
              <w:left w:val="nil"/>
              <w:bottom w:val="single" w:sz="8" w:space="0" w:color="auto"/>
              <w:right w:val="single" w:sz="4" w:space="0" w:color="auto"/>
            </w:tcBorders>
            <w:vAlign w:val="center"/>
            <w:hideMark/>
          </w:tcPr>
          <w:p w14:paraId="7F384FB4"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31.69</w:t>
            </w:r>
          </w:p>
        </w:tc>
        <w:tc>
          <w:tcPr>
            <w:tcW w:w="1133" w:type="dxa"/>
            <w:tcBorders>
              <w:top w:val="nil"/>
              <w:left w:val="nil"/>
              <w:bottom w:val="single" w:sz="8" w:space="0" w:color="auto"/>
              <w:right w:val="single" w:sz="4" w:space="0" w:color="auto"/>
            </w:tcBorders>
            <w:vAlign w:val="center"/>
          </w:tcPr>
          <w:p w14:paraId="2E56B570" w14:textId="77777777" w:rsidR="00421404" w:rsidRPr="00C8072E" w:rsidRDefault="00421404" w:rsidP="006D5A3F">
            <w:pPr>
              <w:pStyle w:val="NormalWeb"/>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0.68</w:t>
            </w:r>
          </w:p>
        </w:tc>
        <w:tc>
          <w:tcPr>
            <w:tcW w:w="1442" w:type="dxa"/>
            <w:tcBorders>
              <w:top w:val="nil"/>
              <w:left w:val="single" w:sz="4" w:space="0" w:color="auto"/>
              <w:bottom w:val="single" w:sz="8" w:space="0" w:color="auto"/>
              <w:right w:val="single" w:sz="8" w:space="0" w:color="auto"/>
            </w:tcBorders>
            <w:vAlign w:val="center"/>
          </w:tcPr>
          <w:p w14:paraId="4F7B45B4"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46.60</w:t>
            </w:r>
          </w:p>
        </w:tc>
      </w:tr>
      <w:tr w:rsidR="00421404" w:rsidRPr="00C8072E" w14:paraId="22E72929"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4970BC63"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04F7F48A"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25</w:t>
            </w:r>
          </w:p>
        </w:tc>
        <w:tc>
          <w:tcPr>
            <w:tcW w:w="1080" w:type="dxa"/>
            <w:tcBorders>
              <w:top w:val="nil"/>
              <w:left w:val="nil"/>
              <w:bottom w:val="single" w:sz="8" w:space="0" w:color="auto"/>
              <w:right w:val="single" w:sz="4" w:space="0" w:color="auto"/>
            </w:tcBorders>
            <w:vAlign w:val="center"/>
            <w:hideMark/>
          </w:tcPr>
          <w:p w14:paraId="376D0C0E"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24.38</w:t>
            </w:r>
          </w:p>
        </w:tc>
        <w:tc>
          <w:tcPr>
            <w:tcW w:w="1133" w:type="dxa"/>
            <w:tcBorders>
              <w:top w:val="nil"/>
              <w:left w:val="nil"/>
              <w:bottom w:val="single" w:sz="8" w:space="0" w:color="auto"/>
              <w:right w:val="single" w:sz="4" w:space="0" w:color="auto"/>
            </w:tcBorders>
            <w:vAlign w:val="center"/>
          </w:tcPr>
          <w:p w14:paraId="6D743838"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0.78</w:t>
            </w:r>
          </w:p>
        </w:tc>
        <w:tc>
          <w:tcPr>
            <w:tcW w:w="1442" w:type="dxa"/>
            <w:tcBorders>
              <w:top w:val="nil"/>
              <w:left w:val="single" w:sz="4" w:space="0" w:color="auto"/>
              <w:bottom w:val="single" w:sz="8" w:space="0" w:color="auto"/>
              <w:right w:val="single" w:sz="8" w:space="0" w:color="auto"/>
            </w:tcBorders>
            <w:vAlign w:val="center"/>
          </w:tcPr>
          <w:p w14:paraId="1E9DB2F5"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31.25</w:t>
            </w:r>
          </w:p>
        </w:tc>
      </w:tr>
      <w:tr w:rsidR="00421404" w:rsidRPr="00C8072E" w14:paraId="2F4E22E4"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1922E0AA" w14:textId="77777777" w:rsidR="00421404" w:rsidRPr="00C8072E" w:rsidRDefault="00421404" w:rsidP="006D5A3F">
            <w:pPr>
              <w:pStyle w:val="ListParagraph"/>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6A119A45"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30</w:t>
            </w:r>
          </w:p>
        </w:tc>
        <w:tc>
          <w:tcPr>
            <w:tcW w:w="1080" w:type="dxa"/>
            <w:tcBorders>
              <w:top w:val="nil"/>
              <w:left w:val="nil"/>
              <w:bottom w:val="single" w:sz="8" w:space="0" w:color="auto"/>
              <w:right w:val="single" w:sz="4" w:space="0" w:color="auto"/>
            </w:tcBorders>
            <w:vAlign w:val="center"/>
            <w:hideMark/>
          </w:tcPr>
          <w:p w14:paraId="405831F7"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27.22</w:t>
            </w:r>
          </w:p>
        </w:tc>
        <w:tc>
          <w:tcPr>
            <w:tcW w:w="1133" w:type="dxa"/>
            <w:tcBorders>
              <w:top w:val="nil"/>
              <w:left w:val="nil"/>
              <w:bottom w:val="single" w:sz="8" w:space="0" w:color="auto"/>
              <w:right w:val="single" w:sz="4" w:space="0" w:color="auto"/>
            </w:tcBorders>
            <w:vAlign w:val="center"/>
          </w:tcPr>
          <w:p w14:paraId="1281B5F6"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0.72</w:t>
            </w:r>
          </w:p>
        </w:tc>
        <w:tc>
          <w:tcPr>
            <w:tcW w:w="1442" w:type="dxa"/>
            <w:tcBorders>
              <w:top w:val="nil"/>
              <w:left w:val="single" w:sz="4" w:space="0" w:color="auto"/>
              <w:bottom w:val="single" w:sz="8" w:space="0" w:color="auto"/>
              <w:right w:val="single" w:sz="8" w:space="0" w:color="auto"/>
            </w:tcBorders>
            <w:vAlign w:val="center"/>
          </w:tcPr>
          <w:p w14:paraId="152E610E"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37.80</w:t>
            </w:r>
          </w:p>
        </w:tc>
      </w:tr>
    </w:tbl>
    <w:p w14:paraId="639D3F45" w14:textId="77777777" w:rsidR="00421404" w:rsidRPr="00C8072E" w:rsidRDefault="00421404" w:rsidP="00421404">
      <w:pPr>
        <w:pStyle w:val="NormalWeb"/>
        <w:spacing w:before="240" w:beforeAutospacing="0" w:after="0" w:afterAutospacing="0"/>
        <w:ind w:firstLine="720"/>
        <w:jc w:val="center"/>
        <w:rPr>
          <w:rFonts w:ascii="Arial" w:hAnsi="Arial" w:cs="Arial"/>
          <w:b/>
          <w:sz w:val="20"/>
          <w:szCs w:val="20"/>
        </w:rPr>
      </w:pPr>
    </w:p>
    <w:p w14:paraId="22912DFC" w14:textId="77777777" w:rsidR="00421404" w:rsidRDefault="00421404" w:rsidP="00C8072E">
      <w:pPr>
        <w:spacing w:before="240" w:after="0" w:line="240" w:lineRule="auto"/>
        <w:ind w:firstLine="720"/>
        <w:jc w:val="both"/>
        <w:rPr>
          <w:rFonts w:ascii="Arial" w:eastAsia="Times New Roman" w:hAnsi="Arial" w:cs="Arial"/>
          <w:sz w:val="20"/>
          <w:szCs w:val="20"/>
        </w:rPr>
      </w:pPr>
    </w:p>
    <w:p w14:paraId="369DCFF3" w14:textId="77777777" w:rsidR="00421404" w:rsidRDefault="00421404" w:rsidP="00C8072E">
      <w:pPr>
        <w:spacing w:before="240" w:after="0" w:line="240" w:lineRule="auto"/>
        <w:ind w:firstLine="720"/>
        <w:jc w:val="both"/>
        <w:rPr>
          <w:rFonts w:ascii="Arial" w:eastAsia="Times New Roman" w:hAnsi="Arial" w:cs="Arial"/>
          <w:sz w:val="20"/>
          <w:szCs w:val="20"/>
        </w:rPr>
      </w:pPr>
    </w:p>
    <w:p w14:paraId="5F3F67FB" w14:textId="77777777" w:rsidR="00524DDA" w:rsidRPr="00C8072E" w:rsidRDefault="005025EA" w:rsidP="00C8072E">
      <w:pPr>
        <w:spacing w:before="240" w:after="0" w:line="240" w:lineRule="auto"/>
        <w:ind w:firstLine="720"/>
        <w:jc w:val="both"/>
        <w:rPr>
          <w:rFonts w:ascii="Arial" w:eastAsia="Times New Roman" w:hAnsi="Arial" w:cs="Arial"/>
          <w:sz w:val="20"/>
          <w:szCs w:val="20"/>
        </w:rPr>
      </w:pPr>
      <w:r w:rsidRPr="00C8072E">
        <w:rPr>
          <w:rFonts w:ascii="Arial" w:eastAsia="Times New Roman" w:hAnsi="Arial" w:cs="Arial"/>
          <w:sz w:val="20"/>
          <w:szCs w:val="20"/>
        </w:rPr>
        <w:t xml:space="preserve">These findings are consistent with previously reported data. For instance, Pradeepa </w:t>
      </w:r>
      <w:r w:rsidR="004F316F" w:rsidRPr="004F316F">
        <w:rPr>
          <w:rFonts w:ascii="Arial" w:eastAsia="Times New Roman" w:hAnsi="Arial" w:cs="Arial"/>
          <w:i/>
          <w:sz w:val="20"/>
          <w:szCs w:val="20"/>
        </w:rPr>
        <w:t>et al</w:t>
      </w:r>
      <w:r w:rsidRPr="00C8072E">
        <w:rPr>
          <w:rFonts w:ascii="Arial" w:eastAsia="Times New Roman" w:hAnsi="Arial" w:cs="Arial"/>
          <w:sz w:val="20"/>
          <w:szCs w:val="20"/>
        </w:rPr>
        <w:t>. [25] reported that crude β-lactamase extracts from poultry fecal isolates exhibited specific activity values of 43.0 ± 1.2 U/mL during early-stage purification. The results also align with broader studies report</w:t>
      </w:r>
      <w:r w:rsidR="00155A48">
        <w:rPr>
          <w:rFonts w:ascii="Arial" w:eastAsia="Times New Roman" w:hAnsi="Arial" w:cs="Arial"/>
          <w:sz w:val="20"/>
          <w:szCs w:val="20"/>
        </w:rPr>
        <w:t xml:space="preserve">ing </w:t>
      </w:r>
      <w:r w:rsidRPr="00C8072E">
        <w:rPr>
          <w:rFonts w:ascii="Arial" w:eastAsia="Times New Roman" w:hAnsi="Arial" w:cs="Arial"/>
          <w:sz w:val="20"/>
          <w:szCs w:val="20"/>
        </w:rPr>
        <w:t xml:space="preserve">the presence of β-lactamase-producing bacteria in diverse environmental sources, including animal waste and soil </w:t>
      </w:r>
      <w:r w:rsidR="00155A48" w:rsidRPr="00C8072E">
        <w:rPr>
          <w:rFonts w:ascii="Arial" w:eastAsia="Times New Roman" w:hAnsi="Arial" w:cs="Arial"/>
          <w:sz w:val="20"/>
          <w:szCs w:val="20"/>
        </w:rPr>
        <w:t>ecosystems</w:t>
      </w:r>
      <w:r w:rsidR="00155A48" w:rsidRPr="00C8072E">
        <w:rPr>
          <w:rFonts w:ascii="Arial" w:eastAsia="Times New Roman" w:hAnsi="Arial" w:cs="Arial"/>
          <w:sz w:val="20"/>
          <w:szCs w:val="20"/>
          <w:vertAlign w:val="superscript"/>
        </w:rPr>
        <w:t xml:space="preserve"> [</w:t>
      </w:r>
      <w:r w:rsidR="00524DDA" w:rsidRPr="00C8072E">
        <w:rPr>
          <w:rFonts w:ascii="Arial" w:eastAsia="Times New Roman" w:hAnsi="Arial" w:cs="Arial"/>
          <w:sz w:val="20"/>
          <w:szCs w:val="20"/>
          <w:vertAlign w:val="superscript"/>
        </w:rPr>
        <w:t>27]</w:t>
      </w:r>
      <w:r w:rsidR="00524DDA" w:rsidRPr="00C8072E">
        <w:rPr>
          <w:rFonts w:ascii="Arial" w:eastAsia="Times New Roman" w:hAnsi="Arial" w:cs="Arial"/>
          <w:sz w:val="20"/>
          <w:szCs w:val="20"/>
        </w:rPr>
        <w:t>.</w:t>
      </w:r>
    </w:p>
    <w:p w14:paraId="1E84E5B2" w14:textId="77777777" w:rsidR="00524DDA" w:rsidRDefault="00D333CF"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In the present study, the highest β-lactamase-producing isolate, </w:t>
      </w:r>
      <w:proofErr w:type="gramStart"/>
      <w:r w:rsidRPr="00C8072E">
        <w:rPr>
          <w:rFonts w:ascii="Arial" w:hAnsi="Arial" w:cs="Arial"/>
          <w:sz w:val="20"/>
          <w:szCs w:val="20"/>
        </w:rPr>
        <w:t>Isolate</w:t>
      </w:r>
      <w:proofErr w:type="gramEnd"/>
      <w:r w:rsidRPr="00C8072E">
        <w:rPr>
          <w:rFonts w:ascii="Arial" w:hAnsi="Arial" w:cs="Arial"/>
          <w:sz w:val="20"/>
          <w:szCs w:val="20"/>
        </w:rPr>
        <w:t xml:space="preserve"> 23, was subjected to molecular characterization using 16S rRNA gene sequencing. Sequence analysis revealed 99.7% similarity with </w:t>
      </w:r>
      <w:proofErr w:type="spellStart"/>
      <w:r w:rsidRPr="00C8072E">
        <w:rPr>
          <w:rFonts w:ascii="Arial" w:hAnsi="Arial" w:cs="Arial"/>
          <w:i/>
          <w:iCs/>
          <w:sz w:val="20"/>
          <w:szCs w:val="20"/>
        </w:rPr>
        <w:t>Klebsiella</w:t>
      </w:r>
      <w:r w:rsidR="00353A11" w:rsidRPr="00353A11">
        <w:rPr>
          <w:rFonts w:ascii="Arial" w:hAnsi="Arial" w:cs="Arial"/>
          <w:i/>
          <w:iCs/>
          <w:sz w:val="20"/>
          <w:szCs w:val="20"/>
        </w:rPr>
        <w:t>Klebsiella</w:t>
      </w:r>
      <w:proofErr w:type="spellEnd"/>
      <w:r w:rsidR="00353A11" w:rsidRPr="00353A11">
        <w:rPr>
          <w:rFonts w:ascii="Arial" w:hAnsi="Arial" w:cs="Arial"/>
          <w:i/>
          <w:iCs/>
          <w:sz w:val="20"/>
          <w:szCs w:val="20"/>
        </w:rPr>
        <w:t xml:space="preserve"> pneumoniae</w:t>
      </w:r>
      <w:r w:rsidRPr="00C8072E">
        <w:rPr>
          <w:rFonts w:ascii="Arial" w:hAnsi="Arial" w:cs="Arial"/>
          <w:sz w:val="20"/>
          <w:szCs w:val="20"/>
        </w:rPr>
        <w:t xml:space="preserve"> (GenBank Accession No. NR_117683.1). Phylogenetic analysis further confirmed the taxonomic placement of the isolate within the </w:t>
      </w:r>
      <w:proofErr w:type="spellStart"/>
      <w:proofErr w:type="gramStart"/>
      <w:r w:rsidRPr="00C8072E">
        <w:rPr>
          <w:rFonts w:ascii="Arial" w:hAnsi="Arial" w:cs="Arial"/>
          <w:i/>
          <w:iCs/>
          <w:sz w:val="20"/>
          <w:szCs w:val="20"/>
        </w:rPr>
        <w:t>K.</w:t>
      </w:r>
      <w:r w:rsidR="00353A11" w:rsidRPr="00353A11">
        <w:rPr>
          <w:rFonts w:ascii="Arial" w:hAnsi="Arial" w:cs="Arial"/>
          <w:i/>
          <w:iCs/>
          <w:sz w:val="20"/>
          <w:szCs w:val="20"/>
        </w:rPr>
        <w:t>Klebsiella</w:t>
      </w:r>
      <w:proofErr w:type="spellEnd"/>
      <w:proofErr w:type="gramEnd"/>
      <w:r w:rsidR="00353A11" w:rsidRPr="00353A11">
        <w:rPr>
          <w:rFonts w:ascii="Arial" w:hAnsi="Arial" w:cs="Arial"/>
          <w:i/>
          <w:iCs/>
          <w:sz w:val="20"/>
          <w:szCs w:val="20"/>
        </w:rPr>
        <w:t xml:space="preserve"> pneumoniae</w:t>
      </w:r>
      <w:r w:rsidRPr="00C8072E">
        <w:rPr>
          <w:rFonts w:ascii="Arial" w:hAnsi="Arial" w:cs="Arial"/>
          <w:sz w:val="20"/>
          <w:szCs w:val="20"/>
        </w:rPr>
        <w:t xml:space="preserve"> clade (Figure 1).</w:t>
      </w:r>
    </w:p>
    <w:p w14:paraId="6B6CAB83" w14:textId="77777777" w:rsidR="00155A48" w:rsidRDefault="00155A48" w:rsidP="00C8072E">
      <w:pPr>
        <w:pStyle w:val="NormalWeb"/>
        <w:spacing w:before="240" w:beforeAutospacing="0" w:after="0" w:afterAutospacing="0"/>
        <w:ind w:firstLine="720"/>
        <w:jc w:val="both"/>
        <w:rPr>
          <w:rFonts w:ascii="Arial" w:hAnsi="Arial" w:cs="Arial"/>
          <w:sz w:val="20"/>
          <w:szCs w:val="20"/>
        </w:rPr>
      </w:pPr>
    </w:p>
    <w:p w14:paraId="42FCB63A" w14:textId="77777777" w:rsidR="00155A48" w:rsidRDefault="00155A48" w:rsidP="00C8072E">
      <w:pPr>
        <w:pStyle w:val="NormalWeb"/>
        <w:spacing w:before="240" w:beforeAutospacing="0" w:after="0" w:afterAutospacing="0"/>
        <w:ind w:firstLine="720"/>
        <w:jc w:val="both"/>
        <w:rPr>
          <w:rFonts w:ascii="Arial" w:hAnsi="Arial" w:cs="Arial"/>
          <w:sz w:val="20"/>
          <w:szCs w:val="20"/>
        </w:rPr>
      </w:pPr>
    </w:p>
    <w:p w14:paraId="73E7AFCD" w14:textId="77777777" w:rsidR="00421404" w:rsidRPr="00C8072E" w:rsidRDefault="00421404" w:rsidP="00421404">
      <w:pPr>
        <w:pStyle w:val="NormalWeb"/>
        <w:spacing w:before="240" w:beforeAutospacing="0" w:after="0" w:afterAutospacing="0"/>
        <w:jc w:val="center"/>
        <w:rPr>
          <w:rFonts w:ascii="Arial" w:hAnsi="Arial" w:cs="Arial"/>
          <w:b/>
          <w:sz w:val="20"/>
          <w:szCs w:val="20"/>
        </w:rPr>
      </w:pPr>
      <w:r w:rsidRPr="00C8072E">
        <w:rPr>
          <w:rFonts w:ascii="Arial" w:hAnsi="Arial" w:cs="Arial"/>
          <w:b/>
          <w:sz w:val="20"/>
          <w:szCs w:val="20"/>
        </w:rPr>
        <w:lastRenderedPageBreak/>
        <w:t>Figure.1 Molecular phylogenetic analysis by maximum likelihood method</w:t>
      </w:r>
    </w:p>
    <w:p w14:paraId="1A50386C" w14:textId="77777777" w:rsidR="00421404" w:rsidRDefault="00421404" w:rsidP="00421404">
      <w:pPr>
        <w:pStyle w:val="NormalWeb"/>
        <w:spacing w:before="240" w:beforeAutospacing="0" w:after="0" w:afterAutospacing="0"/>
        <w:jc w:val="center"/>
        <w:rPr>
          <w:rFonts w:ascii="Arial" w:hAnsi="Arial" w:cs="Arial"/>
          <w:sz w:val="20"/>
          <w:szCs w:val="20"/>
        </w:rPr>
      </w:pPr>
      <w:r w:rsidRPr="00421404">
        <w:rPr>
          <w:rFonts w:ascii="Arial" w:hAnsi="Arial" w:cs="Arial"/>
          <w:noProof/>
          <w:sz w:val="20"/>
          <w:szCs w:val="20"/>
        </w:rPr>
        <w:drawing>
          <wp:inline distT="0" distB="0" distL="0" distR="0" wp14:anchorId="1FDE8362" wp14:editId="3662FB94">
            <wp:extent cx="4210050" cy="2438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26241" t="34162" r="29943" b="20290"/>
                    <a:stretch>
                      <a:fillRect/>
                    </a:stretch>
                  </pic:blipFill>
                  <pic:spPr bwMode="auto">
                    <a:xfrm>
                      <a:off x="0" y="0"/>
                      <a:ext cx="4213860" cy="2440607"/>
                    </a:xfrm>
                    <a:prstGeom prst="rect">
                      <a:avLst/>
                    </a:prstGeom>
                    <a:noFill/>
                    <a:ln w="9525">
                      <a:noFill/>
                      <a:miter lim="800000"/>
                      <a:headEnd/>
                      <a:tailEnd/>
                    </a:ln>
                  </pic:spPr>
                </pic:pic>
              </a:graphicData>
            </a:graphic>
          </wp:inline>
        </w:drawing>
      </w:r>
    </w:p>
    <w:p w14:paraId="12913EE9" w14:textId="77777777" w:rsidR="00421404" w:rsidRDefault="00421404" w:rsidP="00C8072E">
      <w:pPr>
        <w:pStyle w:val="NormalWeb"/>
        <w:spacing w:before="240" w:beforeAutospacing="0" w:after="0" w:afterAutospacing="0"/>
        <w:ind w:firstLine="720"/>
        <w:jc w:val="both"/>
        <w:rPr>
          <w:rFonts w:ascii="Arial" w:hAnsi="Arial" w:cs="Arial"/>
          <w:sz w:val="20"/>
          <w:szCs w:val="20"/>
        </w:rPr>
      </w:pPr>
    </w:p>
    <w:p w14:paraId="6927228B" w14:textId="77777777" w:rsidR="00524DDA" w:rsidRPr="00C8072E" w:rsidRDefault="00554505"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Several previous studies have reported the isolation of </w:t>
      </w:r>
      <w:proofErr w:type="spellStart"/>
      <w:proofErr w:type="gramStart"/>
      <w:r w:rsidRPr="00C8072E">
        <w:rPr>
          <w:rFonts w:ascii="Arial" w:hAnsi="Arial" w:cs="Arial"/>
          <w:i/>
          <w:iCs/>
          <w:sz w:val="20"/>
          <w:szCs w:val="20"/>
        </w:rPr>
        <w:t>K.</w:t>
      </w:r>
      <w:r w:rsidR="00353A11" w:rsidRPr="00353A11">
        <w:rPr>
          <w:rFonts w:ascii="Arial" w:hAnsi="Arial" w:cs="Arial"/>
          <w:i/>
          <w:iCs/>
          <w:sz w:val="20"/>
          <w:szCs w:val="20"/>
        </w:rPr>
        <w:t>Klebsiella</w:t>
      </w:r>
      <w:proofErr w:type="spellEnd"/>
      <w:proofErr w:type="gramEnd"/>
      <w:r w:rsidR="00353A11" w:rsidRPr="00353A11">
        <w:rPr>
          <w:rFonts w:ascii="Arial" w:hAnsi="Arial" w:cs="Arial"/>
          <w:i/>
          <w:iCs/>
          <w:sz w:val="20"/>
          <w:szCs w:val="20"/>
        </w:rPr>
        <w:t xml:space="preserve"> pneumoniae</w:t>
      </w:r>
      <w:r w:rsidRPr="00C8072E">
        <w:rPr>
          <w:rFonts w:ascii="Arial" w:hAnsi="Arial" w:cs="Arial"/>
          <w:sz w:val="20"/>
          <w:szCs w:val="20"/>
        </w:rPr>
        <w:t xml:space="preserve"> from poultry fecal matter. For instance, </w:t>
      </w:r>
      <w:proofErr w:type="spellStart"/>
      <w:r w:rsidRPr="00C8072E">
        <w:rPr>
          <w:rFonts w:ascii="Arial" w:hAnsi="Arial" w:cs="Arial"/>
          <w:sz w:val="20"/>
          <w:szCs w:val="20"/>
        </w:rPr>
        <w:t>Tigabie</w:t>
      </w:r>
      <w:r w:rsidR="004F316F" w:rsidRPr="004F316F">
        <w:rPr>
          <w:rFonts w:ascii="Arial" w:hAnsi="Arial" w:cs="Arial"/>
          <w:i/>
          <w:sz w:val="20"/>
          <w:szCs w:val="20"/>
        </w:rPr>
        <w:t>et</w:t>
      </w:r>
      <w:proofErr w:type="spellEnd"/>
      <w:r w:rsidR="004F316F" w:rsidRPr="004F316F">
        <w:rPr>
          <w:rFonts w:ascii="Arial" w:hAnsi="Arial" w:cs="Arial"/>
          <w:i/>
          <w:sz w:val="20"/>
          <w:szCs w:val="20"/>
        </w:rPr>
        <w:t xml:space="preserve"> al</w:t>
      </w:r>
      <w:r w:rsidRPr="00C8072E">
        <w:rPr>
          <w:rFonts w:ascii="Arial" w:hAnsi="Arial" w:cs="Arial"/>
          <w:sz w:val="20"/>
          <w:szCs w:val="20"/>
        </w:rPr>
        <w:t xml:space="preserve">. </w:t>
      </w:r>
      <w:r w:rsidRPr="00C8072E">
        <w:rPr>
          <w:rFonts w:ascii="Arial" w:hAnsi="Arial" w:cs="Arial"/>
          <w:sz w:val="20"/>
          <w:szCs w:val="20"/>
          <w:vertAlign w:val="superscript"/>
        </w:rPr>
        <w:t>[28]</w:t>
      </w:r>
      <w:r w:rsidRPr="00C8072E">
        <w:rPr>
          <w:rFonts w:ascii="Arial" w:hAnsi="Arial" w:cs="Arial"/>
          <w:sz w:val="20"/>
          <w:szCs w:val="20"/>
        </w:rPr>
        <w:t xml:space="preserve"> found </w:t>
      </w:r>
      <w:proofErr w:type="spellStart"/>
      <w:proofErr w:type="gramStart"/>
      <w:r w:rsidRPr="00C8072E">
        <w:rPr>
          <w:rFonts w:ascii="Arial" w:hAnsi="Arial" w:cs="Arial"/>
          <w:i/>
          <w:iCs/>
          <w:sz w:val="20"/>
          <w:szCs w:val="20"/>
        </w:rPr>
        <w:t>K.</w:t>
      </w:r>
      <w:r w:rsidR="00353A11" w:rsidRPr="00353A11">
        <w:rPr>
          <w:rFonts w:ascii="Arial" w:hAnsi="Arial" w:cs="Arial"/>
          <w:i/>
          <w:iCs/>
          <w:sz w:val="20"/>
          <w:szCs w:val="20"/>
        </w:rPr>
        <w:t>Klebsiella</w:t>
      </w:r>
      <w:proofErr w:type="spellEnd"/>
      <w:proofErr w:type="gramEnd"/>
      <w:r w:rsidR="00353A11" w:rsidRPr="00353A11">
        <w:rPr>
          <w:rFonts w:ascii="Arial" w:hAnsi="Arial" w:cs="Arial"/>
          <w:i/>
          <w:iCs/>
          <w:sz w:val="20"/>
          <w:szCs w:val="20"/>
        </w:rPr>
        <w:t xml:space="preserve"> pneumoniae</w:t>
      </w:r>
      <w:r w:rsidRPr="00C8072E">
        <w:rPr>
          <w:rFonts w:ascii="Arial" w:hAnsi="Arial" w:cs="Arial"/>
          <w:sz w:val="20"/>
          <w:szCs w:val="20"/>
        </w:rPr>
        <w:t xml:space="preserve"> in 7.7% of Enterobacteriaceae isolated from chicken droppings, identifying at least one strain as ESBL-producing. Similarly, Hayati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[29]</w:t>
      </w:r>
      <w:r w:rsidRPr="00C8072E">
        <w:rPr>
          <w:rFonts w:ascii="Arial" w:hAnsi="Arial" w:cs="Arial"/>
          <w:sz w:val="20"/>
          <w:szCs w:val="20"/>
        </w:rPr>
        <w:t xml:space="preserve"> reported ESBL-positive </w:t>
      </w:r>
      <w:proofErr w:type="spellStart"/>
      <w:proofErr w:type="gramStart"/>
      <w:r w:rsidRPr="00C8072E">
        <w:rPr>
          <w:rFonts w:ascii="Arial" w:hAnsi="Arial" w:cs="Arial"/>
          <w:i/>
          <w:iCs/>
          <w:sz w:val="20"/>
          <w:szCs w:val="20"/>
        </w:rPr>
        <w:t>K.</w:t>
      </w:r>
      <w:r w:rsidR="00353A11" w:rsidRPr="00353A11">
        <w:rPr>
          <w:rFonts w:ascii="Arial" w:hAnsi="Arial" w:cs="Arial"/>
          <w:i/>
          <w:iCs/>
          <w:sz w:val="20"/>
          <w:szCs w:val="20"/>
        </w:rPr>
        <w:t>Klebsiella</w:t>
      </w:r>
      <w:proofErr w:type="spellEnd"/>
      <w:proofErr w:type="gramEnd"/>
      <w:r w:rsidR="00353A11" w:rsidRPr="00353A11">
        <w:rPr>
          <w:rFonts w:ascii="Arial" w:hAnsi="Arial" w:cs="Arial"/>
          <w:i/>
          <w:iCs/>
          <w:sz w:val="20"/>
          <w:szCs w:val="20"/>
        </w:rPr>
        <w:t xml:space="preserve"> pneumoniae</w:t>
      </w:r>
      <w:r w:rsidRPr="00C8072E">
        <w:rPr>
          <w:rFonts w:ascii="Arial" w:hAnsi="Arial" w:cs="Arial"/>
          <w:sz w:val="20"/>
          <w:szCs w:val="20"/>
        </w:rPr>
        <w:t xml:space="preserve"> from poultry farms in East Java, and Hou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[30]</w:t>
      </w:r>
      <w:r w:rsidRPr="00C8072E">
        <w:rPr>
          <w:rFonts w:ascii="Arial" w:hAnsi="Arial" w:cs="Arial"/>
          <w:sz w:val="20"/>
          <w:szCs w:val="20"/>
        </w:rPr>
        <w:t xml:space="preserve"> detected </w:t>
      </w:r>
      <w:proofErr w:type="spellStart"/>
      <w:proofErr w:type="gramStart"/>
      <w:r w:rsidRPr="00C8072E">
        <w:rPr>
          <w:rFonts w:ascii="Arial" w:hAnsi="Arial" w:cs="Arial"/>
          <w:i/>
          <w:iCs/>
          <w:sz w:val="20"/>
          <w:szCs w:val="20"/>
        </w:rPr>
        <w:t>K.</w:t>
      </w:r>
      <w:r w:rsidR="00353A11" w:rsidRPr="00353A11">
        <w:rPr>
          <w:rFonts w:ascii="Arial" w:hAnsi="Arial" w:cs="Arial"/>
          <w:i/>
          <w:iCs/>
          <w:sz w:val="20"/>
          <w:szCs w:val="20"/>
        </w:rPr>
        <w:t>Klebsiella</w:t>
      </w:r>
      <w:proofErr w:type="spellEnd"/>
      <w:proofErr w:type="gramEnd"/>
      <w:r w:rsidR="00353A11" w:rsidRPr="00353A11">
        <w:rPr>
          <w:rFonts w:ascii="Arial" w:hAnsi="Arial" w:cs="Arial"/>
          <w:i/>
          <w:iCs/>
          <w:sz w:val="20"/>
          <w:szCs w:val="20"/>
        </w:rPr>
        <w:t xml:space="preserve"> pneumoniae</w:t>
      </w:r>
      <w:r w:rsidRPr="00C8072E">
        <w:rPr>
          <w:rFonts w:ascii="Arial" w:hAnsi="Arial" w:cs="Arial"/>
          <w:sz w:val="20"/>
          <w:szCs w:val="20"/>
        </w:rPr>
        <w:t xml:space="preserve"> strains carrying multiple resistance genes across poultry and livestock farms in China. However, the main focus of these studies was to assess the resistance potential of the isolates and their implications for public health.</w:t>
      </w:r>
    </w:p>
    <w:p w14:paraId="1D652DA7" w14:textId="77777777" w:rsidR="00524DDA" w:rsidRPr="00C8072E" w:rsidRDefault="003B2892"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In contrast, the objective of the present study was not to determine resistance capability, but to identify and isolate β-lactamase-producing bacteria from poultry fecal samples for the biodegradation of β-lactam antibiotics, thereby reducing their residual activity in the environment. This approach highlights the bioremediation potential of such isolates, particularly in mitigating antibiotic pollution from poultry waste. To date, only a limited number of studies have explored this perspective. Notably, Pradeepa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[25]</w:t>
      </w:r>
      <w:r w:rsidRPr="00C8072E">
        <w:rPr>
          <w:rFonts w:ascii="Arial" w:hAnsi="Arial" w:cs="Arial"/>
          <w:sz w:val="20"/>
          <w:szCs w:val="20"/>
        </w:rPr>
        <w:t xml:space="preserve"> investigated bacterial isolates from poultry droppings for their ability to produce β-lactamase enzymes capable of degrading antibiotic residues. Their findings align with the </w:t>
      </w:r>
      <w:r w:rsidR="00155A48">
        <w:rPr>
          <w:rFonts w:ascii="Arial" w:hAnsi="Arial" w:cs="Arial"/>
          <w:sz w:val="20"/>
          <w:szCs w:val="20"/>
        </w:rPr>
        <w:t>c</w:t>
      </w:r>
      <w:r w:rsidRPr="00C8072E">
        <w:rPr>
          <w:rFonts w:ascii="Arial" w:hAnsi="Arial" w:cs="Arial"/>
          <w:sz w:val="20"/>
          <w:szCs w:val="20"/>
        </w:rPr>
        <w:t xml:space="preserve">urrent </w:t>
      </w:r>
      <w:r w:rsidR="00155A48" w:rsidRPr="00C8072E">
        <w:rPr>
          <w:rFonts w:ascii="Arial" w:hAnsi="Arial" w:cs="Arial"/>
          <w:sz w:val="20"/>
          <w:szCs w:val="20"/>
        </w:rPr>
        <w:t>stud</w:t>
      </w:r>
      <w:r w:rsidR="00155A48">
        <w:rPr>
          <w:rFonts w:ascii="Arial" w:hAnsi="Arial" w:cs="Arial"/>
          <w:sz w:val="20"/>
          <w:szCs w:val="20"/>
        </w:rPr>
        <w:t xml:space="preserve">y’s goal </w:t>
      </w:r>
      <w:r w:rsidRPr="00C8072E">
        <w:rPr>
          <w:rFonts w:ascii="Arial" w:hAnsi="Arial" w:cs="Arial"/>
          <w:sz w:val="20"/>
          <w:szCs w:val="20"/>
        </w:rPr>
        <w:t>which emphasizes antibiotic suppression rather than resistance profiling.</w:t>
      </w:r>
    </w:p>
    <w:p w14:paraId="4D951C82" w14:textId="77777777" w:rsidR="00524DDA" w:rsidRDefault="003B2892"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Antibiotic residues in the environment pose risks to both ecosystems and human health by contaminating food and water, promoting </w:t>
      </w:r>
      <w:r w:rsidR="00155A48">
        <w:rPr>
          <w:rFonts w:ascii="Arial" w:hAnsi="Arial" w:cs="Arial"/>
          <w:sz w:val="20"/>
          <w:szCs w:val="20"/>
        </w:rPr>
        <w:t xml:space="preserve">the spread of antibiotic resistance </w:t>
      </w:r>
      <w:r w:rsidRPr="00C8072E">
        <w:rPr>
          <w:rFonts w:ascii="Arial" w:hAnsi="Arial" w:cs="Arial"/>
          <w:sz w:val="20"/>
          <w:szCs w:val="20"/>
        </w:rPr>
        <w:t xml:space="preserve">bacteria, and disrupting plant growth and physiology. Safe and eco-friendly removal of these residues is therefore critical. Enzyme-based degradation, particularly using β-lactamase, offers a promising approach despite certain environmental concerns </w:t>
      </w:r>
      <w:r w:rsidRPr="00C8072E">
        <w:rPr>
          <w:rFonts w:ascii="Arial" w:hAnsi="Arial" w:cs="Arial"/>
          <w:sz w:val="20"/>
          <w:szCs w:val="20"/>
          <w:vertAlign w:val="superscript"/>
        </w:rPr>
        <w:t>[6, 31]</w:t>
      </w:r>
      <w:r w:rsidRPr="00C8072E">
        <w:rPr>
          <w:rFonts w:ascii="Arial" w:hAnsi="Arial" w:cs="Arial"/>
          <w:sz w:val="20"/>
          <w:szCs w:val="20"/>
        </w:rPr>
        <w:t xml:space="preserve">. In this study, a poultry fecal isolate producing β-lactamase was used to degrade antibiotics in vitro. Of the four antibiotics tested, enzyme treatment altered susceptibility patterns in </w:t>
      </w:r>
      <w:r w:rsidRPr="00C8072E">
        <w:rPr>
          <w:rFonts w:ascii="Arial" w:hAnsi="Arial" w:cs="Arial"/>
          <w:i/>
          <w:iCs/>
          <w:sz w:val="20"/>
          <w:szCs w:val="20"/>
        </w:rPr>
        <w:t>E. faecalis</w:t>
      </w:r>
      <w:r w:rsidRPr="00C8072E">
        <w:rPr>
          <w:rFonts w:ascii="Arial" w:hAnsi="Arial" w:cs="Arial"/>
          <w:sz w:val="20"/>
          <w:szCs w:val="20"/>
        </w:rPr>
        <w:t xml:space="preserve">. The potential </w:t>
      </w:r>
      <w:proofErr w:type="spellStart"/>
      <w:proofErr w:type="gramStart"/>
      <w:r w:rsidRPr="00C8072E">
        <w:rPr>
          <w:rFonts w:ascii="Arial" w:hAnsi="Arial" w:cs="Arial"/>
          <w:i/>
          <w:iCs/>
          <w:sz w:val="20"/>
          <w:szCs w:val="20"/>
        </w:rPr>
        <w:t>K.</w:t>
      </w:r>
      <w:r w:rsidR="00353A11" w:rsidRPr="00353A11">
        <w:rPr>
          <w:rFonts w:ascii="Arial" w:hAnsi="Arial" w:cs="Arial"/>
          <w:i/>
          <w:iCs/>
          <w:sz w:val="20"/>
          <w:szCs w:val="20"/>
        </w:rPr>
        <w:t>Klebsiella</w:t>
      </w:r>
      <w:proofErr w:type="spellEnd"/>
      <w:proofErr w:type="gramEnd"/>
      <w:r w:rsidR="00353A11" w:rsidRPr="00353A11">
        <w:rPr>
          <w:rFonts w:ascii="Arial" w:hAnsi="Arial" w:cs="Arial"/>
          <w:i/>
          <w:iCs/>
          <w:sz w:val="20"/>
          <w:szCs w:val="20"/>
        </w:rPr>
        <w:t xml:space="preserve"> pneumoniae</w:t>
      </w:r>
      <w:r w:rsidRPr="00C8072E">
        <w:rPr>
          <w:rFonts w:ascii="Arial" w:hAnsi="Arial" w:cs="Arial"/>
          <w:sz w:val="20"/>
          <w:szCs w:val="20"/>
        </w:rPr>
        <w:t xml:space="preserve"> isolate producing β-lactamase shifted from susceptible to resistant</w:t>
      </w:r>
      <w:r w:rsidR="00155A48">
        <w:rPr>
          <w:rFonts w:ascii="Arial" w:hAnsi="Arial" w:cs="Arial"/>
          <w:sz w:val="20"/>
          <w:szCs w:val="20"/>
        </w:rPr>
        <w:t xml:space="preserve"> to p</w:t>
      </w:r>
      <w:r w:rsidRPr="00C8072E">
        <w:rPr>
          <w:rFonts w:ascii="Arial" w:hAnsi="Arial" w:cs="Arial"/>
          <w:sz w:val="20"/>
          <w:szCs w:val="20"/>
        </w:rPr>
        <w:t xml:space="preserve">enicillin G, Ampicillin, Amoxicillin, and Cefotaxime, confirming the hydrolytic </w:t>
      </w:r>
      <w:r w:rsidR="00155A48">
        <w:rPr>
          <w:rFonts w:ascii="Arial" w:hAnsi="Arial" w:cs="Arial"/>
          <w:sz w:val="20"/>
          <w:szCs w:val="20"/>
        </w:rPr>
        <w:t xml:space="preserve">activity </w:t>
      </w:r>
      <w:r w:rsidRPr="00C8072E">
        <w:rPr>
          <w:rFonts w:ascii="Arial" w:hAnsi="Arial" w:cs="Arial"/>
          <w:sz w:val="20"/>
          <w:szCs w:val="20"/>
        </w:rPr>
        <w:t>of the β-lactamase</w:t>
      </w:r>
      <w:r w:rsidR="00155A48">
        <w:rPr>
          <w:rStyle w:val="CommentReference"/>
          <w:rFonts w:asciiTheme="minorHAnsi" w:eastAsiaTheme="minorEastAsia" w:hAnsiTheme="minorHAnsi" w:cstheme="minorBidi"/>
        </w:rPr>
        <w:t xml:space="preserve"> </w:t>
      </w:r>
      <w:r w:rsidR="00155A48" w:rsidRPr="00155A48">
        <w:rPr>
          <w:rStyle w:val="CommentReference"/>
          <w:rFonts w:asciiTheme="minorHAnsi" w:eastAsiaTheme="minorEastAsia" w:hAnsiTheme="minorHAnsi" w:cstheme="minorBidi"/>
          <w:sz w:val="20"/>
          <w:szCs w:val="20"/>
        </w:rPr>
        <w:t>(</w:t>
      </w:r>
      <w:r w:rsidRPr="00C8072E">
        <w:rPr>
          <w:rFonts w:ascii="Arial" w:hAnsi="Arial" w:cs="Arial"/>
          <w:sz w:val="20"/>
          <w:szCs w:val="20"/>
        </w:rPr>
        <w:t>Table 2).</w:t>
      </w:r>
    </w:p>
    <w:p w14:paraId="6C7393F2" w14:textId="77777777" w:rsidR="00421404" w:rsidRDefault="00421404" w:rsidP="00C8072E">
      <w:pPr>
        <w:pStyle w:val="NormalWeb"/>
        <w:spacing w:before="240" w:beforeAutospacing="0" w:after="0" w:afterAutospacing="0"/>
        <w:ind w:firstLine="720"/>
        <w:jc w:val="both"/>
        <w:rPr>
          <w:rFonts w:ascii="Arial" w:hAnsi="Arial" w:cs="Arial"/>
          <w:sz w:val="20"/>
          <w:szCs w:val="20"/>
        </w:rPr>
      </w:pPr>
    </w:p>
    <w:p w14:paraId="28FF9A42" w14:textId="77777777" w:rsidR="00155A48" w:rsidRDefault="00155A48" w:rsidP="00C8072E">
      <w:pPr>
        <w:pStyle w:val="NormalWeb"/>
        <w:spacing w:before="240" w:beforeAutospacing="0" w:after="0" w:afterAutospacing="0"/>
        <w:ind w:firstLine="720"/>
        <w:jc w:val="both"/>
        <w:rPr>
          <w:rFonts w:ascii="Arial" w:hAnsi="Arial" w:cs="Arial"/>
          <w:sz w:val="20"/>
          <w:szCs w:val="20"/>
        </w:rPr>
      </w:pPr>
    </w:p>
    <w:p w14:paraId="70CDACD1" w14:textId="77777777" w:rsidR="00155A48" w:rsidRDefault="00155A48" w:rsidP="00C8072E">
      <w:pPr>
        <w:pStyle w:val="NormalWeb"/>
        <w:spacing w:before="240" w:beforeAutospacing="0" w:after="0" w:afterAutospacing="0"/>
        <w:ind w:firstLine="720"/>
        <w:jc w:val="both"/>
        <w:rPr>
          <w:rFonts w:ascii="Arial" w:hAnsi="Arial" w:cs="Arial"/>
          <w:sz w:val="20"/>
          <w:szCs w:val="20"/>
        </w:rPr>
      </w:pPr>
    </w:p>
    <w:p w14:paraId="1D6BBBC6" w14:textId="77777777" w:rsidR="00421404" w:rsidRDefault="00421404" w:rsidP="00421404">
      <w:pPr>
        <w:pStyle w:val="NormalWeb"/>
        <w:spacing w:before="0" w:beforeAutospacing="0" w:after="0" w:afterAutospacing="0"/>
        <w:ind w:firstLine="720"/>
        <w:jc w:val="center"/>
        <w:rPr>
          <w:rFonts w:ascii="Arial" w:hAnsi="Arial" w:cs="Arial"/>
          <w:b/>
          <w:sz w:val="20"/>
          <w:szCs w:val="20"/>
        </w:rPr>
      </w:pPr>
      <w:r w:rsidRPr="00C8072E">
        <w:rPr>
          <w:rFonts w:ascii="Arial" w:hAnsi="Arial" w:cs="Arial"/>
          <w:b/>
          <w:sz w:val="20"/>
          <w:szCs w:val="20"/>
        </w:rPr>
        <w:t xml:space="preserve">Table </w:t>
      </w:r>
      <w:proofErr w:type="gramStart"/>
      <w:r w:rsidRPr="00C8072E">
        <w:rPr>
          <w:rFonts w:ascii="Arial" w:hAnsi="Arial" w:cs="Arial"/>
          <w:b/>
          <w:sz w:val="20"/>
          <w:szCs w:val="20"/>
        </w:rPr>
        <w:t>2.Degradation</w:t>
      </w:r>
      <w:proofErr w:type="gramEnd"/>
      <w:r w:rsidRPr="00C8072E">
        <w:rPr>
          <w:rFonts w:ascii="Arial" w:hAnsi="Arial" w:cs="Arial"/>
          <w:b/>
          <w:sz w:val="20"/>
          <w:szCs w:val="20"/>
        </w:rPr>
        <w:t xml:space="preserve"> of antibiotics with </w:t>
      </w:r>
      <w:proofErr w:type="spellStart"/>
      <w:r w:rsidRPr="00C8072E">
        <w:rPr>
          <w:rFonts w:ascii="Arial" w:hAnsi="Arial" w:cs="Arial"/>
          <w:b/>
          <w:sz w:val="20"/>
          <w:szCs w:val="20"/>
        </w:rPr>
        <w:t>betalactamase</w:t>
      </w:r>
      <w:proofErr w:type="spellEnd"/>
      <w:r w:rsidRPr="00C8072E">
        <w:rPr>
          <w:rFonts w:ascii="Arial" w:hAnsi="Arial" w:cs="Arial"/>
          <w:b/>
          <w:sz w:val="20"/>
          <w:szCs w:val="20"/>
        </w:rPr>
        <w:t xml:space="preserve"> enzyme</w:t>
      </w:r>
    </w:p>
    <w:p w14:paraId="490F597F" w14:textId="77777777" w:rsidR="00421404" w:rsidRPr="00C8072E" w:rsidRDefault="00421404" w:rsidP="00421404">
      <w:pPr>
        <w:pStyle w:val="NormalWeb"/>
        <w:spacing w:before="0" w:beforeAutospacing="0" w:after="0" w:afterAutospacing="0"/>
        <w:ind w:firstLine="720"/>
        <w:jc w:val="center"/>
        <w:rPr>
          <w:rFonts w:ascii="Arial" w:hAnsi="Arial" w:cs="Arial"/>
          <w:b/>
          <w:sz w:val="20"/>
          <w:szCs w:val="20"/>
        </w:rPr>
      </w:pPr>
    </w:p>
    <w:tbl>
      <w:tblPr>
        <w:tblStyle w:val="TableGrid"/>
        <w:tblW w:w="0" w:type="auto"/>
        <w:jc w:val="center"/>
        <w:tblLook w:val="04A0" w:firstRow="1" w:lastRow="0" w:firstColumn="1" w:lastColumn="0" w:noHBand="0" w:noVBand="1"/>
      </w:tblPr>
      <w:tblGrid>
        <w:gridCol w:w="856"/>
        <w:gridCol w:w="1836"/>
        <w:gridCol w:w="2268"/>
        <w:gridCol w:w="2410"/>
      </w:tblGrid>
      <w:tr w:rsidR="00421404" w:rsidRPr="00C8072E" w14:paraId="045E8C17" w14:textId="77777777" w:rsidTr="006360EC">
        <w:trPr>
          <w:trHeight w:val="192"/>
          <w:jc w:val="center"/>
        </w:trPr>
        <w:tc>
          <w:tcPr>
            <w:tcW w:w="856" w:type="dxa"/>
            <w:vMerge w:val="restart"/>
            <w:vAlign w:val="center"/>
          </w:tcPr>
          <w:p w14:paraId="6CE92A4F"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proofErr w:type="spellStart"/>
            <w:proofErr w:type="gramStart"/>
            <w:r w:rsidRPr="00C8072E">
              <w:rPr>
                <w:rFonts w:ascii="Arial" w:hAnsi="Arial" w:cs="Arial"/>
                <w:b/>
                <w:sz w:val="20"/>
                <w:szCs w:val="20"/>
              </w:rPr>
              <w:t>S.No</w:t>
            </w:r>
            <w:proofErr w:type="spellEnd"/>
            <w:proofErr w:type="gramEnd"/>
          </w:p>
        </w:tc>
        <w:tc>
          <w:tcPr>
            <w:tcW w:w="1836" w:type="dxa"/>
            <w:vMerge w:val="restart"/>
            <w:vAlign w:val="center"/>
          </w:tcPr>
          <w:p w14:paraId="48091C59"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r w:rsidRPr="00C8072E">
              <w:rPr>
                <w:rFonts w:ascii="Arial" w:hAnsi="Arial" w:cs="Arial"/>
                <w:b/>
                <w:sz w:val="20"/>
                <w:szCs w:val="20"/>
              </w:rPr>
              <w:t>Name of the antibiotics</w:t>
            </w:r>
          </w:p>
        </w:tc>
        <w:tc>
          <w:tcPr>
            <w:tcW w:w="4678" w:type="dxa"/>
            <w:gridSpan w:val="2"/>
            <w:tcBorders>
              <w:top w:val="single" w:sz="4" w:space="0" w:color="auto"/>
              <w:bottom w:val="single" w:sz="4" w:space="0" w:color="auto"/>
            </w:tcBorders>
            <w:vAlign w:val="center"/>
          </w:tcPr>
          <w:p w14:paraId="209161B8"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r w:rsidRPr="00C8072E">
              <w:rPr>
                <w:rFonts w:ascii="Arial" w:hAnsi="Arial" w:cs="Arial"/>
                <w:b/>
                <w:sz w:val="20"/>
                <w:szCs w:val="20"/>
              </w:rPr>
              <w:t>Zone of inhibition in mm</w:t>
            </w:r>
          </w:p>
        </w:tc>
      </w:tr>
      <w:tr w:rsidR="00421404" w:rsidRPr="00C8072E" w14:paraId="7BC453F8" w14:textId="77777777" w:rsidTr="006360EC">
        <w:trPr>
          <w:trHeight w:val="240"/>
          <w:jc w:val="center"/>
        </w:trPr>
        <w:tc>
          <w:tcPr>
            <w:tcW w:w="856" w:type="dxa"/>
            <w:vMerge/>
            <w:vAlign w:val="center"/>
          </w:tcPr>
          <w:p w14:paraId="3A310355"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p>
        </w:tc>
        <w:tc>
          <w:tcPr>
            <w:tcW w:w="1836" w:type="dxa"/>
            <w:vMerge/>
            <w:vAlign w:val="center"/>
          </w:tcPr>
          <w:p w14:paraId="05599778"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p>
        </w:tc>
        <w:tc>
          <w:tcPr>
            <w:tcW w:w="2268" w:type="dxa"/>
            <w:tcBorders>
              <w:top w:val="single" w:sz="4" w:space="0" w:color="auto"/>
              <w:bottom w:val="single" w:sz="4" w:space="0" w:color="auto"/>
              <w:right w:val="single" w:sz="4" w:space="0" w:color="auto"/>
            </w:tcBorders>
            <w:vAlign w:val="center"/>
          </w:tcPr>
          <w:p w14:paraId="591483ED"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r w:rsidRPr="00C8072E">
              <w:rPr>
                <w:rFonts w:ascii="Arial" w:hAnsi="Arial" w:cs="Arial"/>
                <w:b/>
                <w:sz w:val="20"/>
                <w:szCs w:val="20"/>
              </w:rPr>
              <w:t>Before treatment with enzyme</w:t>
            </w:r>
          </w:p>
        </w:tc>
        <w:tc>
          <w:tcPr>
            <w:tcW w:w="2410" w:type="dxa"/>
            <w:tcBorders>
              <w:top w:val="single" w:sz="4" w:space="0" w:color="auto"/>
              <w:left w:val="single" w:sz="4" w:space="0" w:color="auto"/>
              <w:bottom w:val="single" w:sz="4" w:space="0" w:color="auto"/>
            </w:tcBorders>
            <w:vAlign w:val="center"/>
          </w:tcPr>
          <w:p w14:paraId="0315F0D2" w14:textId="77777777" w:rsidR="00421404" w:rsidRPr="00C8072E" w:rsidRDefault="00421404" w:rsidP="00421404">
            <w:pPr>
              <w:pStyle w:val="NormalWeb"/>
              <w:spacing w:before="0" w:beforeAutospacing="0" w:after="0" w:afterAutospacing="0" w:line="360" w:lineRule="auto"/>
              <w:jc w:val="center"/>
              <w:rPr>
                <w:rFonts w:ascii="Arial" w:hAnsi="Arial" w:cs="Arial"/>
                <w:b/>
                <w:sz w:val="20"/>
                <w:szCs w:val="20"/>
              </w:rPr>
            </w:pPr>
            <w:r w:rsidRPr="00C8072E">
              <w:rPr>
                <w:rFonts w:ascii="Arial" w:hAnsi="Arial" w:cs="Arial"/>
                <w:b/>
                <w:sz w:val="20"/>
                <w:szCs w:val="20"/>
              </w:rPr>
              <w:t>After treatment with enzyme</w:t>
            </w:r>
          </w:p>
        </w:tc>
      </w:tr>
      <w:tr w:rsidR="00421404" w:rsidRPr="00C8072E" w14:paraId="570629A4" w14:textId="77777777" w:rsidTr="006360EC">
        <w:trPr>
          <w:trHeight w:val="240"/>
          <w:jc w:val="center"/>
        </w:trPr>
        <w:tc>
          <w:tcPr>
            <w:tcW w:w="856" w:type="dxa"/>
            <w:vAlign w:val="center"/>
          </w:tcPr>
          <w:p w14:paraId="35D64D54"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w:t>
            </w:r>
          </w:p>
        </w:tc>
        <w:tc>
          <w:tcPr>
            <w:tcW w:w="1836" w:type="dxa"/>
            <w:vAlign w:val="center"/>
          </w:tcPr>
          <w:p w14:paraId="79616036"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Penicillin G</w:t>
            </w:r>
          </w:p>
        </w:tc>
        <w:tc>
          <w:tcPr>
            <w:tcW w:w="2268" w:type="dxa"/>
            <w:tcBorders>
              <w:top w:val="single" w:sz="4" w:space="0" w:color="auto"/>
              <w:bottom w:val="single" w:sz="4" w:space="0" w:color="auto"/>
              <w:right w:val="single" w:sz="4" w:space="0" w:color="auto"/>
            </w:tcBorders>
            <w:vAlign w:val="center"/>
          </w:tcPr>
          <w:p w14:paraId="27B4E983"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16</w:t>
            </w:r>
          </w:p>
        </w:tc>
        <w:tc>
          <w:tcPr>
            <w:tcW w:w="2410" w:type="dxa"/>
            <w:tcBorders>
              <w:top w:val="single" w:sz="4" w:space="0" w:color="auto"/>
              <w:left w:val="single" w:sz="4" w:space="0" w:color="auto"/>
              <w:bottom w:val="single" w:sz="4" w:space="0" w:color="auto"/>
            </w:tcBorders>
            <w:vAlign w:val="center"/>
          </w:tcPr>
          <w:p w14:paraId="626EFDA9"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10</w:t>
            </w:r>
          </w:p>
        </w:tc>
      </w:tr>
      <w:tr w:rsidR="00421404" w:rsidRPr="00C8072E" w14:paraId="7E932B30" w14:textId="77777777" w:rsidTr="006360EC">
        <w:trPr>
          <w:trHeight w:val="240"/>
          <w:jc w:val="center"/>
        </w:trPr>
        <w:tc>
          <w:tcPr>
            <w:tcW w:w="856" w:type="dxa"/>
            <w:vAlign w:val="center"/>
          </w:tcPr>
          <w:p w14:paraId="22784BFA"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2.</w:t>
            </w:r>
          </w:p>
        </w:tc>
        <w:tc>
          <w:tcPr>
            <w:tcW w:w="1836" w:type="dxa"/>
            <w:vAlign w:val="center"/>
          </w:tcPr>
          <w:p w14:paraId="7C076FA9"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Ampicillin</w:t>
            </w:r>
          </w:p>
        </w:tc>
        <w:tc>
          <w:tcPr>
            <w:tcW w:w="2268" w:type="dxa"/>
            <w:tcBorders>
              <w:top w:val="single" w:sz="4" w:space="0" w:color="auto"/>
              <w:bottom w:val="single" w:sz="4" w:space="0" w:color="auto"/>
              <w:right w:val="single" w:sz="4" w:space="0" w:color="auto"/>
            </w:tcBorders>
            <w:vAlign w:val="center"/>
          </w:tcPr>
          <w:p w14:paraId="4453AF4A"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17</w:t>
            </w:r>
          </w:p>
        </w:tc>
        <w:tc>
          <w:tcPr>
            <w:tcW w:w="2410" w:type="dxa"/>
            <w:tcBorders>
              <w:top w:val="single" w:sz="4" w:space="0" w:color="auto"/>
              <w:left w:val="single" w:sz="4" w:space="0" w:color="auto"/>
              <w:bottom w:val="single" w:sz="4" w:space="0" w:color="auto"/>
            </w:tcBorders>
            <w:vAlign w:val="center"/>
          </w:tcPr>
          <w:p w14:paraId="59787E53"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09</w:t>
            </w:r>
          </w:p>
        </w:tc>
      </w:tr>
      <w:tr w:rsidR="00421404" w:rsidRPr="00C8072E" w14:paraId="0277E44A" w14:textId="77777777" w:rsidTr="006360EC">
        <w:trPr>
          <w:trHeight w:val="240"/>
          <w:jc w:val="center"/>
        </w:trPr>
        <w:tc>
          <w:tcPr>
            <w:tcW w:w="856" w:type="dxa"/>
            <w:vAlign w:val="center"/>
          </w:tcPr>
          <w:p w14:paraId="6EECC5FF"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3.</w:t>
            </w:r>
          </w:p>
        </w:tc>
        <w:tc>
          <w:tcPr>
            <w:tcW w:w="1836" w:type="dxa"/>
            <w:vAlign w:val="center"/>
          </w:tcPr>
          <w:p w14:paraId="0C74C7B1"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Amoxicillin</w:t>
            </w:r>
          </w:p>
        </w:tc>
        <w:tc>
          <w:tcPr>
            <w:tcW w:w="2268" w:type="dxa"/>
            <w:tcBorders>
              <w:top w:val="single" w:sz="4" w:space="0" w:color="auto"/>
              <w:bottom w:val="single" w:sz="4" w:space="0" w:color="auto"/>
              <w:right w:val="single" w:sz="4" w:space="0" w:color="auto"/>
            </w:tcBorders>
            <w:vAlign w:val="center"/>
          </w:tcPr>
          <w:p w14:paraId="771D951C"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15</w:t>
            </w:r>
          </w:p>
        </w:tc>
        <w:tc>
          <w:tcPr>
            <w:tcW w:w="2410" w:type="dxa"/>
            <w:tcBorders>
              <w:top w:val="single" w:sz="4" w:space="0" w:color="auto"/>
              <w:left w:val="single" w:sz="4" w:space="0" w:color="auto"/>
              <w:bottom w:val="single" w:sz="4" w:space="0" w:color="auto"/>
            </w:tcBorders>
            <w:vAlign w:val="center"/>
          </w:tcPr>
          <w:p w14:paraId="44EE3BC6"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09</w:t>
            </w:r>
          </w:p>
        </w:tc>
      </w:tr>
      <w:tr w:rsidR="00421404" w:rsidRPr="00C8072E" w14:paraId="279FB867" w14:textId="77777777" w:rsidTr="006360EC">
        <w:trPr>
          <w:trHeight w:val="240"/>
          <w:jc w:val="center"/>
        </w:trPr>
        <w:tc>
          <w:tcPr>
            <w:tcW w:w="856" w:type="dxa"/>
            <w:vAlign w:val="center"/>
          </w:tcPr>
          <w:p w14:paraId="4C7D97B1"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4.</w:t>
            </w:r>
          </w:p>
        </w:tc>
        <w:tc>
          <w:tcPr>
            <w:tcW w:w="1836" w:type="dxa"/>
            <w:vAlign w:val="center"/>
          </w:tcPr>
          <w:p w14:paraId="09312C9C"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Cefotaxime</w:t>
            </w:r>
          </w:p>
        </w:tc>
        <w:tc>
          <w:tcPr>
            <w:tcW w:w="2268" w:type="dxa"/>
            <w:tcBorders>
              <w:top w:val="single" w:sz="4" w:space="0" w:color="auto"/>
              <w:right w:val="single" w:sz="4" w:space="0" w:color="auto"/>
            </w:tcBorders>
            <w:vAlign w:val="center"/>
          </w:tcPr>
          <w:p w14:paraId="3E8915D8"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20</w:t>
            </w:r>
          </w:p>
        </w:tc>
        <w:tc>
          <w:tcPr>
            <w:tcW w:w="2410" w:type="dxa"/>
            <w:tcBorders>
              <w:top w:val="single" w:sz="4" w:space="0" w:color="auto"/>
              <w:left w:val="single" w:sz="4" w:space="0" w:color="auto"/>
            </w:tcBorders>
            <w:vAlign w:val="center"/>
          </w:tcPr>
          <w:p w14:paraId="2C17C9A6" w14:textId="77777777" w:rsidR="00421404" w:rsidRPr="00C8072E" w:rsidRDefault="00421404" w:rsidP="00421404">
            <w:pPr>
              <w:pStyle w:val="NormalWeb"/>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11</w:t>
            </w:r>
          </w:p>
        </w:tc>
      </w:tr>
    </w:tbl>
    <w:p w14:paraId="35720BC1" w14:textId="77777777" w:rsidR="00421404" w:rsidRDefault="00421404" w:rsidP="00421404">
      <w:pPr>
        <w:pStyle w:val="NormalWeb"/>
        <w:spacing w:before="0" w:beforeAutospacing="0" w:after="0" w:afterAutospacing="0"/>
        <w:ind w:firstLine="720"/>
        <w:jc w:val="both"/>
        <w:rPr>
          <w:rFonts w:ascii="Arial" w:hAnsi="Arial" w:cs="Arial"/>
          <w:sz w:val="20"/>
          <w:szCs w:val="20"/>
        </w:rPr>
      </w:pPr>
    </w:p>
    <w:p w14:paraId="7339B7C3" w14:textId="77777777" w:rsidR="00524DDA" w:rsidRPr="00C8072E" w:rsidRDefault="00F77043" w:rsidP="00C8072E">
      <w:pPr>
        <w:pStyle w:val="NormalWeb"/>
        <w:spacing w:before="240" w:beforeAutospacing="0" w:after="0" w:afterAutospacing="0"/>
        <w:ind w:firstLine="720"/>
        <w:jc w:val="both"/>
        <w:rPr>
          <w:rStyle w:val="relative"/>
          <w:rFonts w:ascii="Arial" w:eastAsiaTheme="minorEastAsia" w:hAnsi="Arial" w:cs="Arial"/>
          <w:sz w:val="20"/>
          <w:szCs w:val="20"/>
        </w:rPr>
      </w:pPr>
      <w:r w:rsidRPr="00C8072E">
        <w:rPr>
          <w:rFonts w:ascii="Arial" w:eastAsiaTheme="minorEastAsia" w:hAnsi="Arial" w:cs="Arial"/>
          <w:sz w:val="20"/>
          <w:szCs w:val="20"/>
        </w:rPr>
        <w:t>Previous studies have demonstrated enzyme-mediated environmental degradation</w:t>
      </w:r>
      <w:r w:rsidR="00BC2BD0">
        <w:rPr>
          <w:rFonts w:ascii="Arial" w:eastAsiaTheme="minorEastAsia" w:hAnsi="Arial" w:cs="Arial"/>
          <w:sz w:val="20"/>
          <w:szCs w:val="20"/>
        </w:rPr>
        <w:t xml:space="preserve"> of antibiotics.</w:t>
      </w:r>
      <w:r w:rsidRPr="00C8072E">
        <w:rPr>
          <w:rFonts w:ascii="Arial" w:eastAsiaTheme="minorEastAsia" w:hAnsi="Arial" w:cs="Arial"/>
          <w:sz w:val="20"/>
          <w:szCs w:val="20"/>
        </w:rPr>
        <w:t xml:space="preserve"> For example, β-lactamase encapsulated within metal–organic frameworks (e.g., penicillinase-8) significantly enhanced catalytic degradation of </w:t>
      </w:r>
      <w:proofErr w:type="spellStart"/>
      <w:r w:rsidRPr="00C8072E">
        <w:rPr>
          <w:rFonts w:ascii="Arial" w:eastAsiaTheme="minorEastAsia" w:hAnsi="Arial" w:cs="Arial"/>
          <w:sz w:val="20"/>
          <w:szCs w:val="20"/>
        </w:rPr>
        <w:t>penicillins</w:t>
      </w:r>
      <w:proofErr w:type="spellEnd"/>
      <w:r w:rsidRPr="00C8072E">
        <w:rPr>
          <w:rFonts w:ascii="Arial" w:eastAsiaTheme="minorEastAsia" w:hAnsi="Arial" w:cs="Arial"/>
          <w:sz w:val="20"/>
          <w:szCs w:val="20"/>
        </w:rPr>
        <w:t xml:space="preserve"> in aqueous environments </w:t>
      </w:r>
      <w:r w:rsidRPr="00C8072E">
        <w:rPr>
          <w:rFonts w:ascii="Arial" w:eastAsiaTheme="minorEastAsia" w:hAnsi="Arial" w:cs="Arial"/>
          <w:sz w:val="20"/>
          <w:szCs w:val="20"/>
          <w:vertAlign w:val="superscript"/>
        </w:rPr>
        <w:t>[14]</w:t>
      </w:r>
      <w:r w:rsidRPr="00C8072E">
        <w:rPr>
          <w:rFonts w:ascii="Arial" w:eastAsiaTheme="minorEastAsia" w:hAnsi="Arial" w:cs="Arial"/>
          <w:sz w:val="20"/>
          <w:szCs w:val="20"/>
        </w:rPr>
        <w:t xml:space="preserve">. Similarly, </w:t>
      </w:r>
      <w:proofErr w:type="spellStart"/>
      <w:r w:rsidRPr="00C8072E">
        <w:rPr>
          <w:rFonts w:ascii="Arial" w:eastAsiaTheme="minorEastAsia" w:hAnsi="Arial" w:cs="Arial"/>
          <w:sz w:val="20"/>
          <w:szCs w:val="20"/>
        </w:rPr>
        <w:t>OtLac</w:t>
      </w:r>
      <w:proofErr w:type="spellEnd"/>
      <w:r w:rsidRPr="00C8072E">
        <w:rPr>
          <w:rFonts w:ascii="Arial" w:eastAsiaTheme="minorEastAsia" w:hAnsi="Arial" w:cs="Arial"/>
          <w:sz w:val="20"/>
          <w:szCs w:val="20"/>
        </w:rPr>
        <w:t xml:space="preserve">, a class C β-lactamase from </w:t>
      </w:r>
      <w:proofErr w:type="spellStart"/>
      <w:r w:rsidRPr="00C8072E">
        <w:rPr>
          <w:rFonts w:ascii="Arial" w:eastAsiaTheme="minorEastAsia" w:hAnsi="Arial" w:cs="Arial"/>
          <w:i/>
          <w:iCs/>
          <w:sz w:val="20"/>
          <w:szCs w:val="20"/>
        </w:rPr>
        <w:t>Ochrobactrum</w:t>
      </w:r>
      <w:proofErr w:type="spellEnd"/>
      <w:r w:rsidR="00BC2BD0">
        <w:rPr>
          <w:rFonts w:ascii="Arial" w:eastAsiaTheme="minorEastAsia" w:hAnsi="Arial" w:cs="Arial"/>
          <w:i/>
          <w:iCs/>
          <w:sz w:val="20"/>
          <w:szCs w:val="20"/>
          <w:lang w:val="en-IN"/>
        </w:rPr>
        <w:t xml:space="preserve"> </w:t>
      </w:r>
      <w:r w:rsidRPr="00C8072E">
        <w:rPr>
          <w:rFonts w:ascii="Arial" w:eastAsiaTheme="minorEastAsia" w:hAnsi="Arial" w:cs="Arial"/>
          <w:i/>
          <w:iCs/>
          <w:sz w:val="20"/>
          <w:szCs w:val="20"/>
        </w:rPr>
        <w:t>tritici</w:t>
      </w:r>
      <w:r w:rsidRPr="00C8072E">
        <w:rPr>
          <w:rFonts w:ascii="Arial" w:eastAsiaTheme="minorEastAsia" w:hAnsi="Arial" w:cs="Arial"/>
          <w:sz w:val="20"/>
          <w:szCs w:val="20"/>
        </w:rPr>
        <w:t xml:space="preserve">, exhibited high activity against Penicillin V and was successfully </w:t>
      </w:r>
      <w:r w:rsidR="00BC2BD0">
        <w:rPr>
          <w:rFonts w:ascii="Arial" w:eastAsiaTheme="minorEastAsia" w:hAnsi="Arial" w:cs="Arial"/>
          <w:sz w:val="20"/>
          <w:szCs w:val="20"/>
        </w:rPr>
        <w:t>used t</w:t>
      </w:r>
      <w:r w:rsidRPr="00C8072E">
        <w:rPr>
          <w:rFonts w:ascii="Arial" w:eastAsiaTheme="minorEastAsia" w:hAnsi="Arial" w:cs="Arial"/>
          <w:sz w:val="20"/>
          <w:szCs w:val="20"/>
        </w:rPr>
        <w:t xml:space="preserve">o remove fermentation residues under laboratory conditions </w:t>
      </w:r>
      <w:r w:rsidRPr="00C8072E">
        <w:rPr>
          <w:rFonts w:ascii="Arial" w:eastAsiaTheme="minorEastAsia" w:hAnsi="Arial" w:cs="Arial"/>
          <w:sz w:val="20"/>
          <w:szCs w:val="20"/>
          <w:vertAlign w:val="superscript"/>
        </w:rPr>
        <w:t>[6]</w:t>
      </w:r>
      <w:r w:rsidRPr="00C8072E">
        <w:rPr>
          <w:rFonts w:ascii="Arial" w:eastAsiaTheme="minorEastAsia" w:hAnsi="Arial" w:cs="Arial"/>
          <w:sz w:val="20"/>
          <w:szCs w:val="20"/>
        </w:rPr>
        <w:t xml:space="preserve">. While many earlier studies focused on isolating environmental β-lactamase carriers or mapping resistance profiles, only a few have evaluated their capacity to actively degrade antibiotic residues. Pradeepa </w:t>
      </w:r>
      <w:r w:rsidR="004F316F" w:rsidRPr="004F316F">
        <w:rPr>
          <w:rFonts w:ascii="Arial" w:eastAsiaTheme="minorEastAsia" w:hAnsi="Arial" w:cs="Arial"/>
          <w:i/>
          <w:sz w:val="20"/>
          <w:szCs w:val="20"/>
        </w:rPr>
        <w:t>et al</w:t>
      </w:r>
      <w:r w:rsidRPr="00C8072E">
        <w:rPr>
          <w:rFonts w:ascii="Arial" w:eastAsiaTheme="minorEastAsia" w:hAnsi="Arial" w:cs="Arial"/>
          <w:sz w:val="20"/>
          <w:szCs w:val="20"/>
        </w:rPr>
        <w:t xml:space="preserve">. </w:t>
      </w:r>
      <w:r w:rsidRPr="00C8072E">
        <w:rPr>
          <w:rFonts w:ascii="Arial" w:eastAsiaTheme="minorEastAsia" w:hAnsi="Arial" w:cs="Arial"/>
          <w:sz w:val="20"/>
          <w:szCs w:val="20"/>
          <w:vertAlign w:val="superscript"/>
        </w:rPr>
        <w:t>[25]</w:t>
      </w:r>
      <w:r w:rsidRPr="00C8072E">
        <w:rPr>
          <w:rFonts w:ascii="Arial" w:eastAsiaTheme="minorEastAsia" w:hAnsi="Arial" w:cs="Arial"/>
          <w:sz w:val="20"/>
          <w:szCs w:val="20"/>
        </w:rPr>
        <w:t xml:space="preserve"> investigated poultry fecal isolates specifically for β-lactamase production aimed at antibiotic suppression and environmental detoxification, closely aligning with the degradation-focused objective of the present study.</w:t>
      </w:r>
    </w:p>
    <w:p w14:paraId="084BAD14" w14:textId="77777777" w:rsidR="00524DDA" w:rsidRPr="00C8072E" w:rsidRDefault="00B23F1D"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Biological degradation of antibiotics in the environment is a critical process; however, it first requires a comprehensive understanding of the properties and mechanisms of the antibiotics involved. While numerous detection techniques exist, molecular docking is considered one of the most efficient approaches due to its cost-effectiveness and time-saving advantages. In the present study, penicillin was effectively degraded by the β-lactamase enzyme, resulting in a significant reduction in antibiotic concentrations. A detailed understanding of the underlying degradation mechanisms remains essential. Martinez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[32]</w:t>
      </w:r>
      <w:r w:rsidRPr="00C8072E">
        <w:rPr>
          <w:rFonts w:ascii="Arial" w:hAnsi="Arial" w:cs="Arial"/>
          <w:sz w:val="20"/>
          <w:szCs w:val="20"/>
        </w:rPr>
        <w:t xml:space="preserve"> emphasized the </w:t>
      </w:r>
      <w:r w:rsidR="00BC2BD0">
        <w:rPr>
          <w:rFonts w:ascii="Arial" w:hAnsi="Arial" w:cs="Arial"/>
          <w:sz w:val="20"/>
          <w:szCs w:val="20"/>
        </w:rPr>
        <w:t xml:space="preserve">diversity </w:t>
      </w:r>
      <w:r w:rsidRPr="00C8072E">
        <w:rPr>
          <w:rFonts w:ascii="Arial" w:hAnsi="Arial" w:cs="Arial"/>
          <w:sz w:val="20"/>
          <w:szCs w:val="20"/>
        </w:rPr>
        <w:t xml:space="preserve">of enzymatic pathways responsible for antibiotic degradation, particularly highlighting the role of microbial enzymes such as β-lactamases in hydrolyzing β-lactam antibiotics. Similarly, </w:t>
      </w:r>
      <w:proofErr w:type="spellStart"/>
      <w:r w:rsidRPr="00C8072E">
        <w:rPr>
          <w:rFonts w:ascii="Arial" w:hAnsi="Arial" w:cs="Arial"/>
          <w:sz w:val="20"/>
          <w:szCs w:val="20"/>
        </w:rPr>
        <w:t>Nesme</w:t>
      </w:r>
      <w:r w:rsidR="004F316F" w:rsidRPr="004F316F">
        <w:rPr>
          <w:rFonts w:ascii="Arial" w:hAnsi="Arial" w:cs="Arial"/>
          <w:i/>
          <w:sz w:val="20"/>
          <w:szCs w:val="20"/>
        </w:rPr>
        <w:t>et</w:t>
      </w:r>
      <w:proofErr w:type="spellEnd"/>
      <w:r w:rsidR="004F316F" w:rsidRPr="004F316F">
        <w:rPr>
          <w:rFonts w:ascii="Arial" w:hAnsi="Arial" w:cs="Arial"/>
          <w:i/>
          <w:sz w:val="20"/>
          <w:szCs w:val="20"/>
        </w:rPr>
        <w:t xml:space="preserve"> al</w:t>
      </w:r>
      <w:r w:rsidRPr="00C8072E">
        <w:rPr>
          <w:rFonts w:ascii="Arial" w:hAnsi="Arial" w:cs="Arial"/>
          <w:sz w:val="20"/>
          <w:szCs w:val="20"/>
        </w:rPr>
        <w:t xml:space="preserve">. </w:t>
      </w:r>
      <w:r w:rsidRPr="00C8072E">
        <w:rPr>
          <w:rFonts w:ascii="Arial" w:hAnsi="Arial" w:cs="Arial"/>
          <w:sz w:val="20"/>
          <w:szCs w:val="20"/>
          <w:vertAlign w:val="superscript"/>
        </w:rPr>
        <w:t>[33]</w:t>
      </w:r>
      <w:r w:rsidRPr="00C8072E">
        <w:rPr>
          <w:rFonts w:ascii="Arial" w:hAnsi="Arial" w:cs="Arial"/>
          <w:sz w:val="20"/>
          <w:szCs w:val="20"/>
        </w:rPr>
        <w:t xml:space="preserve"> explored the ecological and evolutionary consequences of these degradation pathways, underscoring the importance of understanding enzyme-substrate interactions to improve environmental management strategies.</w:t>
      </w:r>
    </w:p>
    <w:p w14:paraId="5A3B87D8" w14:textId="77777777" w:rsidR="00524DDA" w:rsidRPr="00C8072E" w:rsidRDefault="00AD412F"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The molecular docking study was conducted using </w:t>
      </w:r>
      <w:proofErr w:type="spellStart"/>
      <w:r w:rsidRPr="00C8072E">
        <w:rPr>
          <w:rFonts w:ascii="Arial" w:hAnsi="Arial" w:cs="Arial"/>
          <w:sz w:val="20"/>
          <w:szCs w:val="20"/>
        </w:rPr>
        <w:t>AutoDockVina</w:t>
      </w:r>
      <w:proofErr w:type="spellEnd"/>
      <w:r w:rsidRPr="00C8072E">
        <w:rPr>
          <w:rFonts w:ascii="Arial" w:hAnsi="Arial" w:cs="Arial"/>
          <w:sz w:val="20"/>
          <w:szCs w:val="20"/>
        </w:rPr>
        <w:t xml:space="preserve"> 2.0 to evaluate the interaction between Penicillin G and the β-lactamase enzyme (PDB ID: 1XPB). The docking simulation revealed a binding affinity of –4.45 kcal/mol and an estimated inhibition constant (Ki) of 542.67 µM, indicating a moderate interaction strength. The van der Waals (</w:t>
      </w:r>
      <w:proofErr w:type="spellStart"/>
      <w:r w:rsidRPr="00C8072E">
        <w:rPr>
          <w:rFonts w:ascii="Arial" w:hAnsi="Arial" w:cs="Arial"/>
          <w:sz w:val="20"/>
          <w:szCs w:val="20"/>
        </w:rPr>
        <w:t>vdW</w:t>
      </w:r>
      <w:proofErr w:type="spellEnd"/>
      <w:r w:rsidRPr="00C8072E">
        <w:rPr>
          <w:rFonts w:ascii="Arial" w:hAnsi="Arial" w:cs="Arial"/>
          <w:sz w:val="20"/>
          <w:szCs w:val="20"/>
        </w:rPr>
        <w:t xml:space="preserve">) energy was calculated </w:t>
      </w:r>
      <w:r w:rsidR="00BC2BD0">
        <w:rPr>
          <w:rFonts w:ascii="Arial" w:hAnsi="Arial" w:cs="Arial"/>
          <w:sz w:val="20"/>
          <w:szCs w:val="20"/>
        </w:rPr>
        <w:t>to be</w:t>
      </w:r>
      <w:r w:rsidRPr="00C8072E">
        <w:rPr>
          <w:rFonts w:ascii="Arial" w:hAnsi="Arial" w:cs="Arial"/>
          <w:sz w:val="20"/>
          <w:szCs w:val="20"/>
        </w:rPr>
        <w:t>–3.86 kcal/mol, and the overall intermolecular energy was –5.95 kcal/mol, reflecting the nature of interactions within the active site.</w:t>
      </w:r>
    </w:p>
    <w:p w14:paraId="38D7506C" w14:textId="77777777" w:rsidR="00524DDA" w:rsidRPr="00C8072E" w:rsidRDefault="00DD020C"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Examination of the docking pose identified key amino acid residues involved in the interaction between Penicillin G and the β-lactamase enzyme. These active site residues include VAL108, LYS111, HIS112, GLU121, SER124, ALA125, and MET129. These residues are associated with the hydrolysis and resistance mechanisms typically observed in β-lactam antibiotics. Their involvement in the interaction suggests the presence of enzymatic activity </w:t>
      </w:r>
      <w:r w:rsidR="00BC2BD0">
        <w:rPr>
          <w:rFonts w:ascii="Arial" w:hAnsi="Arial" w:cs="Arial"/>
          <w:sz w:val="20"/>
          <w:szCs w:val="20"/>
        </w:rPr>
        <w:t xml:space="preserve">that </w:t>
      </w:r>
      <w:r w:rsidR="004F3A1C">
        <w:rPr>
          <w:rFonts w:ascii="Arial" w:hAnsi="Arial" w:cs="Arial"/>
          <w:sz w:val="20"/>
          <w:szCs w:val="20"/>
        </w:rPr>
        <w:t>convert</w:t>
      </w:r>
      <w:r w:rsidRPr="00C8072E">
        <w:rPr>
          <w:rFonts w:ascii="Arial" w:hAnsi="Arial" w:cs="Arial"/>
          <w:sz w:val="20"/>
          <w:szCs w:val="20"/>
        </w:rPr>
        <w:t xml:space="preserve"> resistance to Penicillin G</w:t>
      </w:r>
      <w:r w:rsidR="00524DDA" w:rsidRPr="00C8072E">
        <w:rPr>
          <w:rFonts w:ascii="Arial" w:hAnsi="Arial" w:cs="Arial"/>
          <w:sz w:val="20"/>
          <w:szCs w:val="20"/>
        </w:rPr>
        <w:t>.</w:t>
      </w:r>
    </w:p>
    <w:p w14:paraId="373508BD" w14:textId="77777777" w:rsidR="00524DDA" w:rsidRDefault="003B57A5" w:rsidP="00C8072E">
      <w:pPr>
        <w:pStyle w:val="NormalWeb"/>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Figures 2 depict the 2D structure of Penicillin G and the 3D structure of the β-lactamase receptor (1XPB), respectively. Figure 2 also illustrates the docking interaction between Penicillin G and </w:t>
      </w:r>
      <w:r w:rsidRPr="00C8072E">
        <w:rPr>
          <w:rFonts w:ascii="Arial" w:hAnsi="Arial" w:cs="Arial"/>
          <w:sz w:val="20"/>
          <w:szCs w:val="20"/>
        </w:rPr>
        <w:lastRenderedPageBreak/>
        <w:t>the β-lactamase enzyme. The visualization highlights how the ligand is accommodated within the active site and identifies the specific amino acid residues contributing to resistance against Penicillin G. These findings suggest that although Penicillin G interacts with the β-lactamase enzyme, the nature of this interaction—particularly involving resistance-associated residues—may reduce the antibiotic’s efficacy, consistent with the observed enzymatic degradation by β-lactamase</w:t>
      </w:r>
      <w:r w:rsidR="00524DDA" w:rsidRPr="00C8072E">
        <w:rPr>
          <w:rFonts w:ascii="Arial" w:hAnsi="Arial" w:cs="Arial"/>
          <w:sz w:val="20"/>
          <w:szCs w:val="20"/>
        </w:rPr>
        <w:t>.</w:t>
      </w:r>
    </w:p>
    <w:p w14:paraId="089D1BC5" w14:textId="77777777" w:rsidR="00421404" w:rsidRPr="00C8072E" w:rsidRDefault="00421404" w:rsidP="00421404">
      <w:pPr>
        <w:pStyle w:val="NormalWeb"/>
        <w:spacing w:before="240" w:beforeAutospacing="0" w:after="0" w:afterAutospacing="0"/>
        <w:jc w:val="center"/>
        <w:rPr>
          <w:rFonts w:ascii="Arial" w:hAnsi="Arial" w:cs="Arial"/>
          <w:b/>
          <w:sz w:val="20"/>
          <w:szCs w:val="20"/>
        </w:rPr>
      </w:pPr>
      <w:r w:rsidRPr="00C8072E">
        <w:rPr>
          <w:rFonts w:ascii="Arial" w:hAnsi="Arial" w:cs="Arial"/>
          <w:b/>
          <w:sz w:val="20"/>
          <w:szCs w:val="20"/>
        </w:rPr>
        <w:t>Figures 2. Molecular docking study of β-lactam antibiotic degradation by β-lactamase</w:t>
      </w:r>
    </w:p>
    <w:p w14:paraId="0E3F17A1" w14:textId="77777777" w:rsidR="00421404" w:rsidRDefault="00421404" w:rsidP="00C8072E">
      <w:pPr>
        <w:pStyle w:val="NormalWeb"/>
        <w:spacing w:before="240" w:beforeAutospacing="0" w:after="0" w:afterAutospacing="0"/>
        <w:ind w:firstLine="720"/>
        <w:jc w:val="both"/>
        <w:rPr>
          <w:rFonts w:ascii="Arial" w:hAnsi="Arial" w:cs="Arial"/>
          <w:sz w:val="20"/>
          <w:szCs w:val="20"/>
        </w:rPr>
      </w:pPr>
      <w:r w:rsidRPr="00421404">
        <w:rPr>
          <w:rFonts w:ascii="Arial" w:hAnsi="Arial" w:cs="Arial"/>
          <w:noProof/>
          <w:sz w:val="20"/>
          <w:szCs w:val="20"/>
        </w:rPr>
        <w:drawing>
          <wp:inline distT="0" distB="0" distL="0" distR="0" wp14:anchorId="0E5A205B" wp14:editId="3297F064">
            <wp:extent cx="4743450" cy="4915795"/>
            <wp:effectExtent l="19050" t="19050" r="19050" b="18155"/>
            <wp:docPr id="8" name="Picture 4" descr="E:\PhD\phd 2\Nivetha\dOC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hD\phd 2\Nivetha\dOCKING.jpg"/>
                    <pic:cNvPicPr>
                      <a:picLocks noChangeAspect="1" noChangeArrowheads="1"/>
                    </pic:cNvPicPr>
                  </pic:nvPicPr>
                  <pic:blipFill>
                    <a:blip r:embed="rId10" cstate="print"/>
                    <a:srcRect l="10314" t="9610" r="11147" b="28468"/>
                    <a:stretch>
                      <a:fillRect/>
                    </a:stretch>
                  </pic:blipFill>
                  <pic:spPr bwMode="auto">
                    <a:xfrm>
                      <a:off x="0" y="0"/>
                      <a:ext cx="4743450" cy="4915795"/>
                    </a:xfrm>
                    <a:prstGeom prst="rect">
                      <a:avLst/>
                    </a:prstGeom>
                    <a:noFill/>
                    <a:ln w="9525">
                      <a:solidFill>
                        <a:schemeClr val="tx1"/>
                      </a:solidFill>
                      <a:miter lim="800000"/>
                      <a:headEnd/>
                      <a:tailEnd/>
                    </a:ln>
                  </pic:spPr>
                </pic:pic>
              </a:graphicData>
            </a:graphic>
          </wp:inline>
        </w:drawing>
      </w:r>
    </w:p>
    <w:p w14:paraId="257A44C5" w14:textId="77777777" w:rsidR="00524DDA" w:rsidRPr="00C8072E" w:rsidRDefault="00601468" w:rsidP="009C4934">
      <w:pPr>
        <w:spacing w:before="240" w:after="0" w:line="240" w:lineRule="auto"/>
        <w:ind w:firstLine="720"/>
        <w:jc w:val="both"/>
        <w:rPr>
          <w:rStyle w:val="relative"/>
          <w:rFonts w:ascii="Arial" w:hAnsi="Arial" w:cs="Arial"/>
          <w:sz w:val="20"/>
          <w:szCs w:val="20"/>
          <w:lang w:val="en-IN"/>
        </w:rPr>
      </w:pPr>
      <w:r w:rsidRPr="009C4934">
        <w:rPr>
          <w:rFonts w:ascii="Arial" w:hAnsi="Arial" w:cs="Arial"/>
          <w:sz w:val="20"/>
          <w:szCs w:val="20"/>
        </w:rPr>
        <w:t xml:space="preserve">Similarly, He </w:t>
      </w:r>
      <w:r w:rsidR="004F316F" w:rsidRPr="009C4934">
        <w:rPr>
          <w:rFonts w:ascii="Arial" w:hAnsi="Arial" w:cs="Arial"/>
          <w:i/>
          <w:sz w:val="20"/>
          <w:szCs w:val="20"/>
        </w:rPr>
        <w:t>et al</w:t>
      </w:r>
      <w:r w:rsidRPr="009C4934">
        <w:rPr>
          <w:rFonts w:ascii="Arial" w:hAnsi="Arial" w:cs="Arial"/>
          <w:sz w:val="20"/>
          <w:szCs w:val="20"/>
        </w:rPr>
        <w:t xml:space="preserve">. </w:t>
      </w:r>
      <w:r w:rsidRPr="009C4934">
        <w:rPr>
          <w:rFonts w:ascii="Arial" w:hAnsi="Arial" w:cs="Arial"/>
          <w:sz w:val="20"/>
          <w:szCs w:val="20"/>
          <w:vertAlign w:val="superscript"/>
        </w:rPr>
        <w:t>[34]</w:t>
      </w:r>
      <w:r w:rsidRPr="009C4934">
        <w:rPr>
          <w:rFonts w:ascii="Arial" w:hAnsi="Arial" w:cs="Arial"/>
          <w:sz w:val="20"/>
          <w:szCs w:val="20"/>
        </w:rPr>
        <w:t xml:space="preserve"> demonstrated that β-lactam antibiotics, including Penicillin G, exhibit appreciable binding affinities to class A β-lactamases and penicillin-binding proteins, reinforcing the functional relationship between these enzyme families.</w:t>
      </w:r>
      <w:r w:rsidR="004F3A1C" w:rsidRPr="009C4934">
        <w:rPr>
          <w:rFonts w:ascii="Arial" w:hAnsi="Arial" w:cs="Arial"/>
          <w:sz w:val="20"/>
          <w:szCs w:val="20"/>
        </w:rPr>
        <w:t xml:space="preserve"> Additionally, recent study of </w:t>
      </w:r>
      <w:proofErr w:type="spellStart"/>
      <w:r w:rsidR="004F3A1C" w:rsidRPr="009C4934">
        <w:rPr>
          <w:rFonts w:ascii="Arial" w:hAnsi="Arial" w:cs="Arial"/>
          <w:sz w:val="20"/>
          <w:szCs w:val="20"/>
        </w:rPr>
        <w:t>Thillainayagi</w:t>
      </w:r>
      <w:proofErr w:type="spellEnd"/>
      <w:r w:rsidR="004F3A1C" w:rsidRPr="009C4934">
        <w:rPr>
          <w:rFonts w:ascii="Arial" w:hAnsi="Arial" w:cs="Arial"/>
          <w:sz w:val="20"/>
          <w:szCs w:val="20"/>
        </w:rPr>
        <w:t xml:space="preserve"> and Bharathidasan, </w:t>
      </w:r>
      <w:r w:rsidR="004F3A1C" w:rsidRPr="009C4934">
        <w:rPr>
          <w:rFonts w:ascii="Arial" w:hAnsi="Arial" w:cs="Arial"/>
          <w:sz w:val="20"/>
          <w:szCs w:val="20"/>
          <w:vertAlign w:val="superscript"/>
        </w:rPr>
        <w:t>[35]</w:t>
      </w:r>
      <w:r w:rsidRPr="009C4934">
        <w:rPr>
          <w:rFonts w:ascii="Arial" w:hAnsi="Arial" w:cs="Arial"/>
          <w:sz w:val="20"/>
          <w:szCs w:val="20"/>
        </w:rPr>
        <w:t xml:space="preserve"> </w:t>
      </w:r>
      <w:r w:rsidR="004F3A1C" w:rsidRPr="009C4934">
        <w:rPr>
          <w:rFonts w:ascii="Arial" w:hAnsi="Arial" w:cs="Arial"/>
          <w:sz w:val="20"/>
          <w:szCs w:val="20"/>
        </w:rPr>
        <w:t xml:space="preserve">also determined the mechanism of antibiotic resistance though docking study. They were determined the interaction between the β-lactamases and penicillin-binding proteins </w:t>
      </w:r>
      <w:proofErr w:type="gramStart"/>
      <w:r w:rsidR="004F3A1C" w:rsidRPr="009C4934">
        <w:rPr>
          <w:rFonts w:ascii="Arial" w:hAnsi="Arial" w:cs="Arial"/>
          <w:sz w:val="20"/>
          <w:szCs w:val="20"/>
        </w:rPr>
        <w:t>through  docking</w:t>
      </w:r>
      <w:proofErr w:type="gramEnd"/>
      <w:r w:rsidR="004F3A1C" w:rsidRPr="009C4934">
        <w:rPr>
          <w:rFonts w:ascii="Arial" w:hAnsi="Arial" w:cs="Arial"/>
          <w:sz w:val="20"/>
          <w:szCs w:val="20"/>
        </w:rPr>
        <w:t xml:space="preserve"> (</w:t>
      </w:r>
      <w:proofErr w:type="spellStart"/>
      <w:r w:rsidR="004F3A1C" w:rsidRPr="009C4934">
        <w:rPr>
          <w:rFonts w:ascii="Arial" w:hAnsi="Arial" w:cs="Arial"/>
          <w:sz w:val="20"/>
          <w:szCs w:val="20"/>
        </w:rPr>
        <w:t>AutoDockVina</w:t>
      </w:r>
      <w:proofErr w:type="spellEnd"/>
      <w:r w:rsidR="004F3A1C" w:rsidRPr="009C4934">
        <w:rPr>
          <w:rFonts w:ascii="Arial" w:hAnsi="Arial" w:cs="Arial"/>
          <w:sz w:val="20"/>
          <w:szCs w:val="20"/>
        </w:rPr>
        <w:t xml:space="preserve"> 2.0). </w:t>
      </w:r>
      <w:r w:rsidR="009C4934" w:rsidRPr="009C4934">
        <w:rPr>
          <w:rFonts w:ascii="Arial" w:hAnsi="Arial" w:cs="Arial"/>
          <w:sz w:val="20"/>
          <w:szCs w:val="20"/>
        </w:rPr>
        <w:t>Mechanistically, class A β</w:t>
      </w:r>
      <w:r w:rsidR="009C4934" w:rsidRPr="009C4934">
        <w:rPr>
          <w:rFonts w:ascii="Arial" w:hAnsi="Cambria Math" w:cs="Arial"/>
          <w:sz w:val="20"/>
          <w:szCs w:val="20"/>
        </w:rPr>
        <w:t>‑</w:t>
      </w:r>
      <w:r w:rsidR="009C4934" w:rsidRPr="009C4934">
        <w:rPr>
          <w:rFonts w:ascii="Arial" w:hAnsi="Arial" w:cs="Arial"/>
          <w:sz w:val="20"/>
          <w:szCs w:val="20"/>
        </w:rPr>
        <w:t>lactamase enzymes inactivate β</w:t>
      </w:r>
      <w:r w:rsidR="009C4934" w:rsidRPr="009C4934">
        <w:rPr>
          <w:rFonts w:ascii="Arial" w:hAnsi="Cambria Math" w:cs="Arial"/>
          <w:sz w:val="20"/>
          <w:szCs w:val="20"/>
        </w:rPr>
        <w:t>‑</w:t>
      </w:r>
      <w:r w:rsidR="009C4934" w:rsidRPr="009C4934">
        <w:rPr>
          <w:rFonts w:ascii="Arial" w:hAnsi="Arial" w:cs="Arial"/>
          <w:sz w:val="20"/>
          <w:szCs w:val="20"/>
        </w:rPr>
        <w:t xml:space="preserve">lactam antibiotics such as </w:t>
      </w:r>
      <w:proofErr w:type="spellStart"/>
      <w:r w:rsidR="009C4934" w:rsidRPr="009C4934">
        <w:rPr>
          <w:rFonts w:ascii="Arial" w:hAnsi="Arial" w:cs="Arial"/>
          <w:sz w:val="20"/>
          <w:szCs w:val="20"/>
        </w:rPr>
        <w:t>penicillins</w:t>
      </w:r>
      <w:proofErr w:type="spellEnd"/>
      <w:r w:rsidR="009C4934" w:rsidRPr="009C4934">
        <w:rPr>
          <w:rFonts w:ascii="Arial" w:hAnsi="Arial" w:cs="Arial"/>
          <w:sz w:val="20"/>
          <w:szCs w:val="20"/>
        </w:rPr>
        <w:t xml:space="preserve"> by </w:t>
      </w:r>
      <w:proofErr w:type="spellStart"/>
      <w:r w:rsidR="009C4934" w:rsidRPr="009C4934">
        <w:rPr>
          <w:rFonts w:ascii="Arial" w:hAnsi="Arial" w:cs="Arial"/>
          <w:sz w:val="20"/>
          <w:szCs w:val="20"/>
        </w:rPr>
        <w:t>hydrolysing</w:t>
      </w:r>
      <w:proofErr w:type="spellEnd"/>
      <w:r w:rsidR="009C4934" w:rsidRPr="009C4934">
        <w:rPr>
          <w:rFonts w:ascii="Arial" w:hAnsi="Arial" w:cs="Arial"/>
          <w:sz w:val="20"/>
          <w:szCs w:val="20"/>
        </w:rPr>
        <w:t xml:space="preserve"> the β</w:t>
      </w:r>
      <w:r w:rsidR="009C4934" w:rsidRPr="009C4934">
        <w:rPr>
          <w:rFonts w:ascii="Arial" w:hAnsi="Cambria Math" w:cs="Arial"/>
          <w:sz w:val="20"/>
          <w:szCs w:val="20"/>
        </w:rPr>
        <w:t>‑</w:t>
      </w:r>
      <w:r w:rsidR="009C4934" w:rsidRPr="009C4934">
        <w:rPr>
          <w:rFonts w:ascii="Arial" w:hAnsi="Arial" w:cs="Arial"/>
          <w:sz w:val="20"/>
          <w:szCs w:val="20"/>
        </w:rPr>
        <w:t>lactam ring through a catalytic serine residue in the active site, forming a transient acyl–enzyme intermediate that subsequently breaks down into an inactive product while regenerating the free enzyme. In bacteria</w:t>
      </w:r>
      <w:r w:rsidR="009C4934" w:rsidRPr="009C4934">
        <w:rPr>
          <w:rFonts w:ascii="Arial" w:hAnsi="Cambria Math" w:cs="Arial"/>
          <w:sz w:val="20"/>
          <w:szCs w:val="20"/>
        </w:rPr>
        <w:t>‑</w:t>
      </w:r>
      <w:r w:rsidR="009C4934" w:rsidRPr="009C4934">
        <w:rPr>
          <w:rFonts w:ascii="Arial" w:hAnsi="Arial" w:cs="Arial"/>
          <w:sz w:val="20"/>
          <w:szCs w:val="20"/>
        </w:rPr>
        <w:t>rich environments like poultry litter or manure, these β</w:t>
      </w:r>
      <w:r w:rsidR="009C4934" w:rsidRPr="009C4934">
        <w:rPr>
          <w:rFonts w:ascii="Arial" w:hAnsi="Cambria Math" w:cs="Arial"/>
          <w:sz w:val="20"/>
          <w:szCs w:val="20"/>
        </w:rPr>
        <w:t>‑</w:t>
      </w:r>
      <w:r w:rsidR="009C4934" w:rsidRPr="009C4934">
        <w:rPr>
          <w:rFonts w:ascii="Arial" w:hAnsi="Arial" w:cs="Arial"/>
          <w:sz w:val="20"/>
          <w:szCs w:val="20"/>
        </w:rPr>
        <w:t xml:space="preserve">lactamases can degrade antibiotics such as penicillin and amoxicillin, </w:t>
      </w:r>
      <w:proofErr w:type="gramStart"/>
      <w:r w:rsidR="009C4934" w:rsidRPr="009C4934">
        <w:rPr>
          <w:rFonts w:ascii="Arial" w:hAnsi="Arial" w:cs="Arial"/>
          <w:sz w:val="20"/>
          <w:szCs w:val="20"/>
        </w:rPr>
        <w:t>disrupting</w:t>
      </w:r>
      <w:proofErr w:type="gramEnd"/>
      <w:r w:rsidR="009C4934" w:rsidRPr="009C4934">
        <w:rPr>
          <w:rFonts w:ascii="Arial" w:hAnsi="Arial" w:cs="Arial"/>
          <w:sz w:val="20"/>
          <w:szCs w:val="20"/>
        </w:rPr>
        <w:t xml:space="preserve"> their </w:t>
      </w:r>
      <w:r w:rsidR="009C4934" w:rsidRPr="009C4934">
        <w:rPr>
          <w:rFonts w:ascii="Arial" w:hAnsi="Arial" w:cs="Arial"/>
          <w:sz w:val="20"/>
          <w:szCs w:val="20"/>
        </w:rPr>
        <w:lastRenderedPageBreak/>
        <w:t>active molecular structures and thereby reducing their antimicrobial activity. Effective enzymatic breakdown of antibiotics in fecal matter lowers residual drug levels and helps curb the environmental spread of antibiotic resistance. As a result, properly treated waste has greater potential to be reused safely as fertilizer, supporting more sustainable agricultural practices while mitigating ecological and public health risks</w:t>
      </w:r>
      <w:r w:rsidR="009C4934">
        <w:rPr>
          <w:rFonts w:ascii="Arial" w:hAnsi="Arial" w:cs="Arial"/>
          <w:sz w:val="20"/>
          <w:szCs w:val="20"/>
        </w:rPr>
        <w:t xml:space="preserve"> </w:t>
      </w:r>
      <w:r w:rsidR="009C4934" w:rsidRPr="00E31501">
        <w:rPr>
          <w:rFonts w:ascii="Arial" w:hAnsi="Arial" w:cs="Arial"/>
          <w:sz w:val="20"/>
          <w:szCs w:val="20"/>
          <w:vertAlign w:val="superscript"/>
        </w:rPr>
        <w:t>[36]</w:t>
      </w:r>
      <w:r w:rsidR="00E31501" w:rsidRPr="00E31501">
        <w:rPr>
          <w:rFonts w:ascii="Arial" w:hAnsi="Arial" w:cs="Arial"/>
          <w:sz w:val="20"/>
          <w:szCs w:val="20"/>
          <w:vertAlign w:val="superscript"/>
        </w:rPr>
        <w:t xml:space="preserve"> and [</w:t>
      </w:r>
      <w:r w:rsidR="009C4934" w:rsidRPr="00E31501">
        <w:rPr>
          <w:rFonts w:ascii="Arial" w:hAnsi="Arial" w:cs="Arial"/>
          <w:sz w:val="20"/>
          <w:szCs w:val="20"/>
          <w:vertAlign w:val="superscript"/>
        </w:rPr>
        <w:t>37</w:t>
      </w:r>
      <w:r w:rsidR="00E31501" w:rsidRPr="00E31501">
        <w:rPr>
          <w:rFonts w:ascii="Arial" w:hAnsi="Arial" w:cs="Arial"/>
          <w:sz w:val="20"/>
          <w:szCs w:val="20"/>
          <w:vertAlign w:val="superscript"/>
        </w:rPr>
        <w:t>]</w:t>
      </w:r>
      <w:r w:rsidR="00E31501">
        <w:rPr>
          <w:rFonts w:ascii="Arial" w:hAnsi="Arial" w:cs="Arial"/>
          <w:sz w:val="20"/>
          <w:szCs w:val="20"/>
        </w:rPr>
        <w:t>.</w:t>
      </w:r>
    </w:p>
    <w:p w14:paraId="5EAD05C4" w14:textId="77777777" w:rsidR="00524DDA" w:rsidRPr="00C8072E" w:rsidRDefault="002D504A" w:rsidP="00C8072E">
      <w:pPr>
        <w:spacing w:before="240" w:after="0" w:line="240" w:lineRule="auto"/>
        <w:ind w:firstLine="720"/>
        <w:jc w:val="both"/>
        <w:rPr>
          <w:rFonts w:ascii="Arial" w:eastAsia="Times New Roman" w:hAnsi="Arial" w:cs="Arial"/>
          <w:sz w:val="20"/>
          <w:szCs w:val="20"/>
        </w:rPr>
      </w:pPr>
      <w:r w:rsidRPr="00C8072E">
        <w:rPr>
          <w:rFonts w:ascii="Arial" w:eastAsia="Times New Roman" w:hAnsi="Arial" w:cs="Arial"/>
          <w:sz w:val="20"/>
          <w:szCs w:val="20"/>
        </w:rPr>
        <w:t xml:space="preserve">This study highlights the potential of β-lactamase-producing bacteria, particularly </w:t>
      </w:r>
      <w:proofErr w:type="spellStart"/>
      <w:r w:rsidRPr="00C8072E">
        <w:rPr>
          <w:rFonts w:ascii="Arial" w:eastAsia="Times New Roman" w:hAnsi="Arial" w:cs="Arial"/>
          <w:sz w:val="20"/>
          <w:szCs w:val="20"/>
        </w:rPr>
        <w:t>Klebsiella</w:t>
      </w:r>
      <w:r w:rsidR="00353A11" w:rsidRPr="00353A11">
        <w:rPr>
          <w:rFonts w:ascii="Arial" w:eastAsia="Times New Roman" w:hAnsi="Arial" w:cs="Arial"/>
          <w:i/>
          <w:sz w:val="20"/>
          <w:szCs w:val="20"/>
        </w:rPr>
        <w:t>Klebsiella</w:t>
      </w:r>
      <w:proofErr w:type="spellEnd"/>
      <w:r w:rsidR="00353A11" w:rsidRPr="00353A11">
        <w:rPr>
          <w:rFonts w:ascii="Arial" w:eastAsia="Times New Roman" w:hAnsi="Arial" w:cs="Arial"/>
          <w:i/>
          <w:sz w:val="20"/>
          <w:szCs w:val="20"/>
        </w:rPr>
        <w:t xml:space="preserve"> pneumoniae</w:t>
      </w:r>
      <w:r w:rsidRPr="00C8072E">
        <w:rPr>
          <w:rFonts w:ascii="Arial" w:eastAsia="Times New Roman" w:hAnsi="Arial" w:cs="Arial"/>
          <w:sz w:val="20"/>
          <w:szCs w:val="20"/>
        </w:rPr>
        <w:t xml:space="preserve">, to biodegrade β-lactam antibiotics, such as Penicillin G, present in poultry waste. Enzymatic degradation effectively reduces antibiotic residues, thereby minimizing environmental contamination and the risk of antimicrobial resistance. Pre-treating poultry litter with such microbes allows the safe reuse of waste as fertilizer. Overall, β-lactamase-mediated remediation </w:t>
      </w:r>
      <w:r w:rsidR="00BC2BD0">
        <w:rPr>
          <w:rFonts w:ascii="Arial" w:eastAsia="Times New Roman" w:hAnsi="Arial" w:cs="Arial"/>
          <w:sz w:val="20"/>
          <w:szCs w:val="20"/>
        </w:rPr>
        <w:t>is</w:t>
      </w:r>
      <w:r w:rsidRPr="00C8072E">
        <w:rPr>
          <w:rFonts w:ascii="Arial" w:eastAsia="Times New Roman" w:hAnsi="Arial" w:cs="Arial"/>
          <w:sz w:val="20"/>
          <w:szCs w:val="20"/>
        </w:rPr>
        <w:t xml:space="preserve"> a sustainable eco-friendly strategy for managing antibiotic pollution in poultry farming</w:t>
      </w:r>
      <w:r w:rsidR="00524DDA" w:rsidRPr="00C8072E">
        <w:rPr>
          <w:rFonts w:ascii="Arial" w:eastAsia="Times New Roman" w:hAnsi="Arial" w:cs="Arial"/>
          <w:sz w:val="20"/>
          <w:szCs w:val="20"/>
        </w:rPr>
        <w:t>.</w:t>
      </w:r>
    </w:p>
    <w:p w14:paraId="2EC325FE" w14:textId="77777777" w:rsidR="00524DDA" w:rsidRPr="00C8072E" w:rsidRDefault="00524DDA" w:rsidP="00C8072E">
      <w:pPr>
        <w:spacing w:before="240" w:after="0" w:line="240" w:lineRule="auto"/>
        <w:jc w:val="both"/>
        <w:rPr>
          <w:rFonts w:ascii="Arial" w:eastAsia="Times New Roman" w:hAnsi="Arial" w:cs="Arial"/>
          <w:b/>
          <w:sz w:val="20"/>
          <w:szCs w:val="20"/>
        </w:rPr>
      </w:pPr>
      <w:r w:rsidRPr="00C8072E">
        <w:rPr>
          <w:rFonts w:ascii="Arial" w:eastAsia="Times New Roman" w:hAnsi="Arial" w:cs="Arial"/>
          <w:b/>
          <w:sz w:val="20"/>
          <w:szCs w:val="20"/>
        </w:rPr>
        <w:t xml:space="preserve">Conclusion </w:t>
      </w:r>
    </w:p>
    <w:p w14:paraId="0F95496F" w14:textId="77777777" w:rsidR="00F35975" w:rsidRPr="00C8072E" w:rsidRDefault="004D468C" w:rsidP="00C8072E">
      <w:pPr>
        <w:spacing w:before="240" w:after="0" w:line="240" w:lineRule="auto"/>
        <w:ind w:firstLine="720"/>
        <w:jc w:val="both"/>
        <w:rPr>
          <w:rFonts w:ascii="Arial" w:hAnsi="Arial" w:cs="Arial"/>
          <w:sz w:val="20"/>
          <w:szCs w:val="20"/>
        </w:rPr>
      </w:pPr>
      <w:r w:rsidRPr="00C8072E">
        <w:rPr>
          <w:rFonts w:ascii="Arial" w:hAnsi="Arial" w:cs="Arial"/>
          <w:sz w:val="20"/>
          <w:szCs w:val="20"/>
        </w:rPr>
        <w:t xml:space="preserve">This study highlights the potential of β-lactamase-producing microbes, such as </w:t>
      </w:r>
      <w:proofErr w:type="spellStart"/>
      <w:r w:rsidRPr="00C8072E">
        <w:rPr>
          <w:rFonts w:ascii="Arial" w:hAnsi="Arial" w:cs="Arial"/>
          <w:sz w:val="20"/>
          <w:szCs w:val="20"/>
        </w:rPr>
        <w:t>Klebsiella</w:t>
      </w:r>
      <w:r w:rsidR="00353A11" w:rsidRPr="00353A11">
        <w:rPr>
          <w:rFonts w:ascii="Arial" w:hAnsi="Arial" w:cs="Arial"/>
          <w:i/>
          <w:sz w:val="20"/>
          <w:szCs w:val="20"/>
        </w:rPr>
        <w:t>Klebsiella</w:t>
      </w:r>
      <w:proofErr w:type="spellEnd"/>
      <w:r w:rsidR="00353A11" w:rsidRPr="00353A11">
        <w:rPr>
          <w:rFonts w:ascii="Arial" w:hAnsi="Arial" w:cs="Arial"/>
          <w:i/>
          <w:sz w:val="20"/>
          <w:szCs w:val="20"/>
        </w:rPr>
        <w:t xml:space="preserve"> pneumoniae</w:t>
      </w:r>
      <w:r w:rsidRPr="00C8072E">
        <w:rPr>
          <w:rFonts w:ascii="Arial" w:hAnsi="Arial" w:cs="Arial"/>
          <w:sz w:val="20"/>
          <w:szCs w:val="20"/>
        </w:rPr>
        <w:t xml:space="preserve">, to degrade β-lactam antibiotics (e.g., Penicillin G) from poultry waste collected in Namakkal, Tamil Nadu, </w:t>
      </w:r>
      <w:r w:rsidR="006D5A3F" w:rsidRPr="00C8072E">
        <w:rPr>
          <w:rFonts w:ascii="Arial" w:hAnsi="Arial" w:cs="Arial"/>
          <w:sz w:val="20"/>
          <w:szCs w:val="20"/>
        </w:rPr>
        <w:t>and an</w:t>
      </w:r>
      <w:r w:rsidRPr="00C8072E">
        <w:rPr>
          <w:rFonts w:ascii="Arial" w:hAnsi="Arial" w:cs="Arial"/>
          <w:sz w:val="20"/>
          <w:szCs w:val="20"/>
        </w:rPr>
        <w:t xml:space="preserve"> area characterized by intensive poultry farming and related environmental concerns. These enzymes effectively reduce antibiotic activity and minimize the persistence of drug residues in the environment, thereby lowering the risk of antimicrobial resistance (AMR). In addition to environmental detoxification, this approach facilitates the reuse of treated waste as biofertilizer, supporting circular agriculture and promoting antibiotic stewardship in intensive animal farming systems. Further research on enzyme optimization, large-scale application, and long-term ecological impacts will be essential to fully realize the potential of this biological control strategy.</w:t>
      </w:r>
    </w:p>
    <w:p w14:paraId="0480D9C2" w14:textId="77777777" w:rsidR="002A1E1D" w:rsidRPr="002A1E1D" w:rsidRDefault="002A1E1D" w:rsidP="002A1E1D">
      <w:pPr>
        <w:rPr>
          <w:highlight w:val="yellow"/>
        </w:rPr>
      </w:pPr>
      <w:r w:rsidRPr="002A1E1D">
        <w:rPr>
          <w:highlight w:val="yellow"/>
        </w:rPr>
        <w:t>Disclaimer (Artificial intelligence)</w:t>
      </w:r>
    </w:p>
    <w:p w14:paraId="5E2E891E" w14:textId="77777777" w:rsidR="002A1E1D" w:rsidRPr="002A1E1D" w:rsidRDefault="002A1E1D" w:rsidP="002A1E1D">
      <w:pPr>
        <w:rPr>
          <w:highlight w:val="yellow"/>
        </w:rPr>
      </w:pPr>
      <w:r w:rsidRPr="002A1E1D">
        <w:rPr>
          <w:highlight w:val="yellow"/>
        </w:rPr>
        <w:t xml:space="preserve">Option 1: </w:t>
      </w:r>
    </w:p>
    <w:p w14:paraId="3A4F3318" w14:textId="77777777" w:rsidR="002A1E1D" w:rsidRPr="002A1E1D" w:rsidRDefault="002A1E1D" w:rsidP="002A1E1D">
      <w:pPr>
        <w:rPr>
          <w:highlight w:val="yellow"/>
        </w:rPr>
      </w:pPr>
      <w:r w:rsidRPr="002A1E1D">
        <w:rPr>
          <w:highlight w:val="yellow"/>
        </w:rPr>
        <w:t xml:space="preserve">Author(s) hereby </w:t>
      </w:r>
      <w:proofErr w:type="gramStart"/>
      <w:r w:rsidRPr="002A1E1D">
        <w:rPr>
          <w:highlight w:val="yellow"/>
        </w:rPr>
        <w:t>declare</w:t>
      </w:r>
      <w:proofErr w:type="gramEnd"/>
      <w:r w:rsidRPr="002A1E1D">
        <w:rPr>
          <w:highlight w:val="yellow"/>
        </w:rPr>
        <w:t xml:space="preserve"> that NO generative AI technologies such as Large Language Models (ChatGPT, COPILOT, etc.) and text-to-image generators have been used during the writing or editing of this manuscript. </w:t>
      </w:r>
    </w:p>
    <w:p w14:paraId="0B67E87A" w14:textId="77777777" w:rsidR="002A1E1D" w:rsidRPr="002A1E1D" w:rsidRDefault="002A1E1D" w:rsidP="002A1E1D">
      <w:pPr>
        <w:rPr>
          <w:highlight w:val="yellow"/>
        </w:rPr>
      </w:pPr>
      <w:r w:rsidRPr="002A1E1D">
        <w:rPr>
          <w:highlight w:val="yellow"/>
        </w:rPr>
        <w:t xml:space="preserve">Option 2: </w:t>
      </w:r>
    </w:p>
    <w:p w14:paraId="2C4E521C" w14:textId="77777777" w:rsidR="002A1E1D" w:rsidRPr="002A1E1D" w:rsidRDefault="002A1E1D" w:rsidP="002A1E1D">
      <w:pPr>
        <w:rPr>
          <w:highlight w:val="yellow"/>
        </w:rPr>
      </w:pPr>
      <w:r w:rsidRPr="002A1E1D">
        <w:rPr>
          <w:highlight w:val="yellow"/>
        </w:rPr>
        <w:t xml:space="preserve">Author(s) hereby </w:t>
      </w:r>
      <w:proofErr w:type="gramStart"/>
      <w:r w:rsidRPr="002A1E1D">
        <w:rPr>
          <w:highlight w:val="yellow"/>
        </w:rPr>
        <w:t>declare</w:t>
      </w:r>
      <w:proofErr w:type="gramEnd"/>
      <w:r w:rsidRPr="002A1E1D">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B0C214" w14:textId="77777777" w:rsidR="002A1E1D" w:rsidRPr="002A1E1D" w:rsidRDefault="002A1E1D" w:rsidP="002A1E1D">
      <w:pPr>
        <w:rPr>
          <w:highlight w:val="yellow"/>
        </w:rPr>
      </w:pPr>
      <w:r w:rsidRPr="002A1E1D">
        <w:rPr>
          <w:highlight w:val="yellow"/>
        </w:rPr>
        <w:t>Details of the AI usage are given below:</w:t>
      </w:r>
    </w:p>
    <w:p w14:paraId="3F12652A" w14:textId="77777777" w:rsidR="002A1E1D" w:rsidRPr="002A1E1D" w:rsidRDefault="002A1E1D" w:rsidP="002A1E1D">
      <w:pPr>
        <w:rPr>
          <w:highlight w:val="yellow"/>
        </w:rPr>
      </w:pPr>
      <w:r w:rsidRPr="002A1E1D">
        <w:rPr>
          <w:highlight w:val="yellow"/>
        </w:rPr>
        <w:t>1.</w:t>
      </w:r>
    </w:p>
    <w:p w14:paraId="3FBFC550" w14:textId="77777777" w:rsidR="002A1E1D" w:rsidRPr="002A1E1D" w:rsidRDefault="002A1E1D" w:rsidP="002A1E1D">
      <w:pPr>
        <w:rPr>
          <w:highlight w:val="yellow"/>
        </w:rPr>
      </w:pPr>
      <w:r w:rsidRPr="002A1E1D">
        <w:rPr>
          <w:highlight w:val="yellow"/>
        </w:rPr>
        <w:t>2.</w:t>
      </w:r>
    </w:p>
    <w:p w14:paraId="3B016BB9" w14:textId="77777777" w:rsidR="002A1E1D" w:rsidRPr="0053103C" w:rsidRDefault="002A1E1D" w:rsidP="002A1E1D">
      <w:r w:rsidRPr="002A1E1D">
        <w:rPr>
          <w:highlight w:val="yellow"/>
        </w:rPr>
        <w:t>3.</w:t>
      </w:r>
    </w:p>
    <w:p w14:paraId="428A80EA" w14:textId="77777777" w:rsidR="002A1E1D" w:rsidRDefault="002A1E1D" w:rsidP="00C8072E">
      <w:pPr>
        <w:spacing w:before="240" w:after="0" w:line="240" w:lineRule="auto"/>
        <w:jc w:val="both"/>
        <w:rPr>
          <w:rFonts w:ascii="Arial" w:hAnsi="Arial" w:cs="Arial"/>
          <w:b/>
          <w:sz w:val="20"/>
          <w:szCs w:val="20"/>
        </w:rPr>
      </w:pPr>
    </w:p>
    <w:p w14:paraId="143F25C5" w14:textId="77777777" w:rsidR="002A1E1D" w:rsidRDefault="002A1E1D" w:rsidP="00C8072E">
      <w:pPr>
        <w:spacing w:before="240" w:after="0" w:line="240" w:lineRule="auto"/>
        <w:jc w:val="both"/>
        <w:rPr>
          <w:rFonts w:ascii="Arial" w:hAnsi="Arial" w:cs="Arial"/>
          <w:b/>
          <w:sz w:val="20"/>
          <w:szCs w:val="20"/>
        </w:rPr>
      </w:pPr>
    </w:p>
    <w:p w14:paraId="1B79A765" w14:textId="77777777" w:rsidR="002A1E1D" w:rsidRDefault="002A1E1D" w:rsidP="00C8072E">
      <w:pPr>
        <w:spacing w:before="240" w:after="0" w:line="240" w:lineRule="auto"/>
        <w:jc w:val="both"/>
        <w:rPr>
          <w:rFonts w:ascii="Arial" w:hAnsi="Arial" w:cs="Arial"/>
          <w:b/>
          <w:sz w:val="20"/>
          <w:szCs w:val="20"/>
        </w:rPr>
      </w:pPr>
    </w:p>
    <w:p w14:paraId="6D2ED7BA" w14:textId="774E8CBA" w:rsidR="00F35975" w:rsidRDefault="00C76A70" w:rsidP="00C8072E">
      <w:pPr>
        <w:spacing w:before="240" w:after="0" w:line="240" w:lineRule="auto"/>
        <w:jc w:val="both"/>
        <w:rPr>
          <w:rFonts w:ascii="Arial" w:hAnsi="Arial" w:cs="Arial"/>
          <w:b/>
          <w:sz w:val="20"/>
          <w:szCs w:val="20"/>
        </w:rPr>
      </w:pPr>
      <w:r>
        <w:rPr>
          <w:rFonts w:ascii="Arial" w:hAnsi="Arial" w:cs="Arial"/>
          <w:b/>
          <w:sz w:val="20"/>
          <w:szCs w:val="20"/>
        </w:rPr>
        <w:t xml:space="preserve">4. </w:t>
      </w:r>
      <w:r w:rsidR="008C644E" w:rsidRPr="00C8072E">
        <w:rPr>
          <w:rFonts w:ascii="Arial" w:hAnsi="Arial" w:cs="Arial"/>
          <w:b/>
          <w:sz w:val="20"/>
          <w:szCs w:val="20"/>
        </w:rPr>
        <w:t xml:space="preserve">Reference </w:t>
      </w:r>
    </w:p>
    <w:p w14:paraId="3916E173"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Gaur, N., Sharma, S., &amp; Yadav, N. (2024). Environmental pollution. Advances in Green and Sustainable Chemistry, Green Chemistry Approaches to Environmental Sustainability, 23-41.</w:t>
      </w:r>
    </w:p>
    <w:p w14:paraId="3DD3BB64"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Tasmim</w:t>
      </w:r>
      <w:proofErr w:type="spellEnd"/>
      <w:r w:rsidRPr="004F316F">
        <w:rPr>
          <w:rFonts w:ascii="Arial" w:hAnsi="Arial" w:cs="Arial"/>
          <w:sz w:val="20"/>
          <w:szCs w:val="20"/>
        </w:rPr>
        <w:t>, S. T., Hasan, M. M., Talukder, S., Mandal, A. K., Parvin, M. S., Ali, M. Y., Ehsan, M. A., &amp; Islam, M. T. (2023). Socio demographic determinants of use and misuse of antibiotics in commercial poultry farms in Bangladesh. IJID Regions, 7, 146-158. https://doi.org/10.1016/j.ijregi.2023.01.001</w:t>
      </w:r>
    </w:p>
    <w:p w14:paraId="7EC8B128"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Mainda</w:t>
      </w:r>
      <w:proofErr w:type="spellEnd"/>
      <w:r w:rsidRPr="004F316F">
        <w:rPr>
          <w:rFonts w:ascii="Arial" w:hAnsi="Arial" w:cs="Arial"/>
          <w:sz w:val="20"/>
          <w:szCs w:val="20"/>
        </w:rPr>
        <w:t xml:space="preserve">, G., Bessell, P. R., Muma, J. B., McAteer, S. P., Chase-Topping, M. E., Gibbons, J., </w:t>
      </w:r>
      <w:r w:rsidRPr="004F316F">
        <w:rPr>
          <w:rFonts w:ascii="Arial" w:hAnsi="Arial" w:cs="Arial"/>
          <w:i/>
          <w:sz w:val="20"/>
          <w:szCs w:val="20"/>
        </w:rPr>
        <w:t>et al</w:t>
      </w:r>
      <w:r w:rsidRPr="004F316F">
        <w:rPr>
          <w:rFonts w:ascii="Arial" w:hAnsi="Arial" w:cs="Arial"/>
          <w:sz w:val="20"/>
          <w:szCs w:val="20"/>
        </w:rPr>
        <w:t xml:space="preserve">. (2015). Prevalence and patterns of antimicrobial resistance among </w:t>
      </w:r>
      <w:r w:rsidRPr="004F316F">
        <w:rPr>
          <w:rFonts w:ascii="Arial" w:hAnsi="Arial" w:cs="Arial"/>
          <w:i/>
          <w:sz w:val="20"/>
          <w:szCs w:val="20"/>
        </w:rPr>
        <w:t>Escherichia coli</w:t>
      </w:r>
      <w:r w:rsidRPr="004F316F">
        <w:rPr>
          <w:rFonts w:ascii="Arial" w:hAnsi="Arial" w:cs="Arial"/>
          <w:sz w:val="20"/>
          <w:szCs w:val="20"/>
        </w:rPr>
        <w:t xml:space="preserve"> isolated from Zambian dairy cattle across different production systems. Scientific Reports, 5, 12439. https://doi.org/10.1038/srep12439</w:t>
      </w:r>
    </w:p>
    <w:p w14:paraId="744156D2"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Mankhomwa</w:t>
      </w:r>
      <w:proofErr w:type="spellEnd"/>
      <w:r w:rsidRPr="004F316F">
        <w:rPr>
          <w:rFonts w:ascii="Arial" w:hAnsi="Arial" w:cs="Arial"/>
          <w:sz w:val="20"/>
          <w:szCs w:val="20"/>
        </w:rPr>
        <w:t xml:space="preserve">, J., Tolhurst, R., M’biya, E., </w:t>
      </w:r>
      <w:proofErr w:type="spellStart"/>
      <w:r w:rsidRPr="004F316F">
        <w:rPr>
          <w:rFonts w:ascii="Arial" w:hAnsi="Arial" w:cs="Arial"/>
          <w:sz w:val="20"/>
          <w:szCs w:val="20"/>
        </w:rPr>
        <w:t>Chikowe</w:t>
      </w:r>
      <w:proofErr w:type="spellEnd"/>
      <w:r w:rsidRPr="004F316F">
        <w:rPr>
          <w:rFonts w:ascii="Arial" w:hAnsi="Arial" w:cs="Arial"/>
          <w:sz w:val="20"/>
          <w:szCs w:val="20"/>
        </w:rPr>
        <w:t xml:space="preserve">, I., Banda, P., Mussa, J., </w:t>
      </w:r>
      <w:proofErr w:type="spellStart"/>
      <w:r w:rsidRPr="004F316F">
        <w:rPr>
          <w:rFonts w:ascii="Arial" w:hAnsi="Arial" w:cs="Arial"/>
          <w:sz w:val="20"/>
          <w:szCs w:val="20"/>
        </w:rPr>
        <w:t>Mwasikakata</w:t>
      </w:r>
      <w:proofErr w:type="spellEnd"/>
      <w:r w:rsidRPr="004F316F">
        <w:rPr>
          <w:rFonts w:ascii="Arial" w:hAnsi="Arial" w:cs="Arial"/>
          <w:sz w:val="20"/>
          <w:szCs w:val="20"/>
        </w:rPr>
        <w:t>, H., Simpson, V., Feasey, N., &amp; MacPherson, E. E. (2022). A qualitative study of antibiotic use practices in intensive small-scale farming in urban and peri-urban Blantyre, Malawi: Implications for antimicrobial resistance. Frontiers in Veterinary Science, 9, 876513. https://doi.org/10.3389/fvets.2022.876513</w:t>
      </w:r>
    </w:p>
    <w:p w14:paraId="09ACA9E8"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Wang, P., Shen, C., Xu, K., Cong, Q., Dong, Z., Li, L., Guo, J., Lu, J., &amp; Liu, S. (2020). Isolation and characterization of </w:t>
      </w:r>
      <w:proofErr w:type="spellStart"/>
      <w:r w:rsidRPr="004F316F">
        <w:rPr>
          <w:rFonts w:ascii="Arial" w:hAnsi="Arial" w:cs="Arial"/>
          <w:i/>
          <w:sz w:val="20"/>
          <w:szCs w:val="20"/>
        </w:rPr>
        <w:t>Ochrobactrumtritici</w:t>
      </w:r>
      <w:proofErr w:type="spellEnd"/>
      <w:r w:rsidRPr="004F316F">
        <w:rPr>
          <w:rFonts w:ascii="Arial" w:hAnsi="Arial" w:cs="Arial"/>
          <w:sz w:val="20"/>
          <w:szCs w:val="20"/>
        </w:rPr>
        <w:t xml:space="preserve"> for penicillin V potassium degradation. </w:t>
      </w:r>
      <w:proofErr w:type="spellStart"/>
      <w:r w:rsidRPr="004F316F">
        <w:rPr>
          <w:rFonts w:ascii="Arial" w:hAnsi="Arial" w:cs="Arial"/>
          <w:sz w:val="20"/>
          <w:szCs w:val="20"/>
        </w:rPr>
        <w:t>mSphere</w:t>
      </w:r>
      <w:proofErr w:type="spellEnd"/>
      <w:r w:rsidRPr="004F316F">
        <w:rPr>
          <w:rFonts w:ascii="Arial" w:hAnsi="Arial" w:cs="Arial"/>
          <w:sz w:val="20"/>
          <w:szCs w:val="20"/>
        </w:rPr>
        <w:t>, 5, e00058-20. https://doi.org/10.1128/mSphere.00058-20</w:t>
      </w:r>
    </w:p>
    <w:p w14:paraId="3FFEE73F"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Wang, P., Shen, C., Cong, Q., Xu, K., &amp; Lu, J. (2021). Enzyme</w:t>
      </w:r>
      <w:r w:rsidRPr="004F316F">
        <w:rPr>
          <w:rFonts w:ascii="Arial" w:hAnsi="Cambria Math" w:cs="Arial"/>
          <w:sz w:val="20"/>
          <w:szCs w:val="20"/>
        </w:rPr>
        <w:t>‑</w:t>
      </w:r>
      <w:r w:rsidRPr="004F316F">
        <w:rPr>
          <w:rFonts w:ascii="Arial" w:hAnsi="Arial" w:cs="Arial"/>
          <w:sz w:val="20"/>
          <w:szCs w:val="20"/>
        </w:rPr>
        <w:t>catalyzed biodegradation of penicillin fermentation residues by β</w:t>
      </w:r>
      <w:r w:rsidRPr="004F316F">
        <w:rPr>
          <w:rFonts w:ascii="Arial" w:hAnsi="Cambria Math" w:cs="Arial"/>
          <w:sz w:val="20"/>
          <w:szCs w:val="20"/>
        </w:rPr>
        <w:t>‑</w:t>
      </w:r>
      <w:r w:rsidRPr="004F316F">
        <w:rPr>
          <w:rFonts w:ascii="Arial" w:hAnsi="Arial" w:cs="Arial"/>
          <w:sz w:val="20"/>
          <w:szCs w:val="20"/>
        </w:rPr>
        <w:t xml:space="preserve">lactamase </w:t>
      </w:r>
      <w:proofErr w:type="spellStart"/>
      <w:r w:rsidRPr="004F316F">
        <w:rPr>
          <w:rFonts w:ascii="Arial" w:hAnsi="Arial" w:cs="Arial"/>
          <w:sz w:val="20"/>
          <w:szCs w:val="20"/>
        </w:rPr>
        <w:t>OtLac</w:t>
      </w:r>
      <w:proofErr w:type="spellEnd"/>
      <w:r w:rsidRPr="004F316F">
        <w:rPr>
          <w:rFonts w:ascii="Arial" w:hAnsi="Arial" w:cs="Arial"/>
          <w:sz w:val="20"/>
          <w:szCs w:val="20"/>
        </w:rPr>
        <w:t xml:space="preserve"> from </w:t>
      </w:r>
      <w:proofErr w:type="spellStart"/>
      <w:r w:rsidRPr="004F316F">
        <w:rPr>
          <w:rFonts w:ascii="Arial" w:hAnsi="Arial" w:cs="Arial"/>
          <w:i/>
          <w:sz w:val="20"/>
          <w:szCs w:val="20"/>
        </w:rPr>
        <w:t>Ochrobactrumtritici</w:t>
      </w:r>
      <w:proofErr w:type="spellEnd"/>
      <w:r w:rsidRPr="004F316F">
        <w:rPr>
          <w:rFonts w:ascii="Arial" w:hAnsi="Arial" w:cs="Arial"/>
          <w:sz w:val="20"/>
          <w:szCs w:val="20"/>
        </w:rPr>
        <w:t>. Microbial Cell Factories, 20, 117.</w:t>
      </w:r>
    </w:p>
    <w:p w14:paraId="30FA3E0B"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Yu, Z., He, P., Shao, L., Zhang, H., &amp; Lu, F. (2016). Co-occurrence of mobile genetic elements and antibiotic resistance genes in municipal solid waste landfill leachates: A preliminary insight into the role of landfill age. Water Research, 106, 583-592.</w:t>
      </w:r>
    </w:p>
    <w:p w14:paraId="0B2B03E4"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Wallace, J. S., Garner, E., Pruden, A., &amp; Aga, D. S. (2018). Occurrence and transformation of veterinary antibiotics and antibiotic resistance genes in dairy manure treated by advanced anaerobic digestion and conventional treatment methods. Environmental Pollution, 236, 764-772.</w:t>
      </w:r>
    </w:p>
    <w:p w14:paraId="0C40F7C8"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Tran, M. L., Fu, C. C., &amp; Juang, R. S. (2019). Removal of metronidazole and amoxicillin mixtures by UV/TiO2 photocatalysis: An insight into degradation pathways and performance improvement. Environmental Science and Pollution Research International, 26, 11846-11855.</w:t>
      </w:r>
    </w:p>
    <w:p w14:paraId="336E5EBE"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Lin, B., Lyu, J., Lyu, X. J., Yu, H. Q., Hu, Z., Lam, J. C., &amp; Lam, P. K. (2015). Characterization of cefalexin degradation capabilities of two Pseudomonas strains isolated from activated sludge. Journal of Hazardous Materials, 282, 158-164.</w:t>
      </w:r>
    </w:p>
    <w:p w14:paraId="2C356382"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FA017F">
        <w:rPr>
          <w:rFonts w:ascii="Arial" w:hAnsi="Arial" w:cs="Arial"/>
          <w:sz w:val="20"/>
          <w:szCs w:val="20"/>
          <w:lang w:val="nl-BE"/>
        </w:rPr>
        <w:t xml:space="preserve">Yang, X., Li, M., Guo, P., Li, H., Hu, Z., Liu, X., &amp; Zhang, Q. (2019). </w:t>
      </w:r>
      <w:r w:rsidRPr="004F316F">
        <w:rPr>
          <w:rFonts w:ascii="Arial" w:hAnsi="Arial" w:cs="Arial"/>
          <w:sz w:val="20"/>
          <w:szCs w:val="20"/>
        </w:rPr>
        <w:t>Isolation, screening, and characterization of antibiotic-degrading bacteria for penicillin V potassium (PVK) from soil on a pig farm. International Journal of Environmental Research and Public Health, 16, 2166.</w:t>
      </w:r>
    </w:p>
    <w:p w14:paraId="17374CD1"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FA017F">
        <w:rPr>
          <w:rFonts w:ascii="Arial" w:hAnsi="Arial" w:cs="Arial"/>
          <w:sz w:val="20"/>
          <w:szCs w:val="20"/>
          <w:lang w:val="nl-BE"/>
        </w:rPr>
        <w:t xml:space="preserve">Wang, P., Liu, H., Fu, H., Cheng, X., Wang, B., Cheng, Q., Zhang, J., &amp; Zou, P. (2015). </w:t>
      </w:r>
      <w:r w:rsidRPr="004F316F">
        <w:rPr>
          <w:rFonts w:ascii="Arial" w:hAnsi="Arial" w:cs="Arial"/>
          <w:sz w:val="20"/>
          <w:szCs w:val="20"/>
        </w:rPr>
        <w:t xml:space="preserve">Characterization and mechanism analysis of penicillin G biodegradation with </w:t>
      </w:r>
      <w:proofErr w:type="spellStart"/>
      <w:r w:rsidRPr="004F316F">
        <w:rPr>
          <w:rFonts w:ascii="Arial" w:hAnsi="Arial" w:cs="Arial"/>
          <w:i/>
          <w:sz w:val="20"/>
          <w:szCs w:val="20"/>
        </w:rPr>
        <w:t>Klebsiella</w:t>
      </w:r>
      <w:r w:rsidR="00353A11" w:rsidRPr="00353A11">
        <w:rPr>
          <w:rFonts w:ascii="Arial" w:hAnsi="Arial" w:cs="Arial"/>
          <w:i/>
          <w:sz w:val="20"/>
          <w:szCs w:val="20"/>
        </w:rPr>
        <w:t>Klebsiella</w:t>
      </w:r>
      <w:proofErr w:type="spellEnd"/>
      <w:r w:rsidR="00353A11" w:rsidRPr="00353A11">
        <w:rPr>
          <w:rFonts w:ascii="Arial" w:hAnsi="Arial" w:cs="Arial"/>
          <w:i/>
          <w:sz w:val="20"/>
          <w:szCs w:val="20"/>
        </w:rPr>
        <w:t xml:space="preserve"> pneumoniae</w:t>
      </w:r>
      <w:r w:rsidRPr="004F316F">
        <w:rPr>
          <w:rFonts w:ascii="Arial" w:hAnsi="Arial" w:cs="Arial"/>
          <w:sz w:val="20"/>
          <w:szCs w:val="20"/>
        </w:rPr>
        <w:t xml:space="preserve"> Z1 isolated from waste penicillin bacterial residue. Journal of Industrial and Engineering Chemistry, 27, 50-58.</w:t>
      </w:r>
    </w:p>
    <w:p w14:paraId="3F8AB88E"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Gao, X., Fan, X., Chen, X., &amp; Ge, Z. (2017). Immobilized β-lactamase on Fe3O4 magnetic nanoparticles for degradation of β-lactam antibiotics in wastewater. International Journal of Environmental Science and Technology, 15, 1-10.</w:t>
      </w:r>
    </w:p>
    <w:p w14:paraId="47D6F621"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FA017F">
        <w:rPr>
          <w:rFonts w:ascii="Arial" w:hAnsi="Arial" w:cs="Arial"/>
          <w:sz w:val="20"/>
          <w:szCs w:val="20"/>
          <w:lang w:val="nl-BE"/>
        </w:rPr>
        <w:t xml:space="preserve">Yang, L., Hu, D., Liu, H., Wang, X., Liu, Y., Xia, Q., Deng, S., Hao, Y., Jin, Y., &amp; Xie, M. (2021). </w:t>
      </w:r>
      <w:r w:rsidRPr="004F316F">
        <w:rPr>
          <w:rFonts w:ascii="Arial" w:hAnsi="Arial" w:cs="Arial"/>
          <w:sz w:val="20"/>
          <w:szCs w:val="20"/>
        </w:rPr>
        <w:t xml:space="preserve">Biodegradation pathway of </w:t>
      </w:r>
      <w:proofErr w:type="spellStart"/>
      <w:r w:rsidRPr="004F316F">
        <w:rPr>
          <w:rFonts w:ascii="Arial" w:hAnsi="Arial" w:cs="Arial"/>
          <w:sz w:val="20"/>
          <w:szCs w:val="20"/>
        </w:rPr>
        <w:t>penicillins</w:t>
      </w:r>
      <w:proofErr w:type="spellEnd"/>
      <w:r w:rsidRPr="004F316F">
        <w:rPr>
          <w:rFonts w:ascii="Arial" w:hAnsi="Arial" w:cs="Arial"/>
          <w:sz w:val="20"/>
          <w:szCs w:val="20"/>
        </w:rPr>
        <w:t xml:space="preserve"> by β-lactamase encapsulated in metal-organic frameworks. Journal of Hazardous Materials, 414, 125549. https://doi.org/10.1016/j.jhazmat.2021.125549</w:t>
      </w:r>
    </w:p>
    <w:p w14:paraId="1CAD21F6"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lastRenderedPageBreak/>
        <w:t xml:space="preserve">Tooke, C. L., Hinchliffe, P., </w:t>
      </w:r>
      <w:proofErr w:type="spellStart"/>
      <w:r w:rsidRPr="004F316F">
        <w:rPr>
          <w:rFonts w:ascii="Arial" w:hAnsi="Arial" w:cs="Arial"/>
          <w:sz w:val="20"/>
          <w:szCs w:val="20"/>
        </w:rPr>
        <w:t>Bragginton</w:t>
      </w:r>
      <w:proofErr w:type="spellEnd"/>
      <w:r w:rsidRPr="004F316F">
        <w:rPr>
          <w:rFonts w:ascii="Arial" w:hAnsi="Arial" w:cs="Arial"/>
          <w:sz w:val="20"/>
          <w:szCs w:val="20"/>
        </w:rPr>
        <w:t xml:space="preserve">, E. C., Colenso, C. K., Hirvonen, V. H. A., </w:t>
      </w:r>
      <w:proofErr w:type="spellStart"/>
      <w:r w:rsidRPr="004F316F">
        <w:rPr>
          <w:rFonts w:ascii="Arial" w:hAnsi="Arial" w:cs="Arial"/>
          <w:sz w:val="20"/>
          <w:szCs w:val="20"/>
        </w:rPr>
        <w:t>Takebayashi</w:t>
      </w:r>
      <w:proofErr w:type="spellEnd"/>
      <w:r w:rsidRPr="004F316F">
        <w:rPr>
          <w:rFonts w:ascii="Arial" w:hAnsi="Arial" w:cs="Arial"/>
          <w:sz w:val="20"/>
          <w:szCs w:val="20"/>
        </w:rPr>
        <w:t>, Y., &amp; Spencer, J. (2019). Beta-lactamases and beta-lactamase inhibitors in the 21st century. Journal of Molecular Biology, 431(18), 3472-3500. https://doi.org/10.1016/j.jmb.2019.04.002</w:t>
      </w:r>
    </w:p>
    <w:p w14:paraId="38FCA944"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Gottig</w:t>
      </w:r>
      <w:proofErr w:type="spellEnd"/>
      <w:r w:rsidRPr="004F316F">
        <w:rPr>
          <w:rFonts w:ascii="Arial" w:hAnsi="Arial" w:cs="Arial"/>
          <w:sz w:val="20"/>
          <w:szCs w:val="20"/>
        </w:rPr>
        <w:t xml:space="preserve">, S., </w:t>
      </w:r>
      <w:proofErr w:type="spellStart"/>
      <w:r w:rsidRPr="004F316F">
        <w:rPr>
          <w:rFonts w:ascii="Arial" w:hAnsi="Arial" w:cs="Arial"/>
          <w:sz w:val="20"/>
          <w:szCs w:val="20"/>
        </w:rPr>
        <w:t>Hamprecht</w:t>
      </w:r>
      <w:proofErr w:type="spellEnd"/>
      <w:r w:rsidRPr="004F316F">
        <w:rPr>
          <w:rFonts w:ascii="Arial" w:hAnsi="Arial" w:cs="Arial"/>
          <w:sz w:val="20"/>
          <w:szCs w:val="20"/>
        </w:rPr>
        <w:t>, A. G., Christ, S., Kempf, V. A., &amp;</w:t>
      </w:r>
      <w:proofErr w:type="spellStart"/>
      <w:r w:rsidRPr="004F316F">
        <w:rPr>
          <w:rFonts w:ascii="Arial" w:hAnsi="Arial" w:cs="Arial"/>
          <w:sz w:val="20"/>
          <w:szCs w:val="20"/>
        </w:rPr>
        <w:t>Wichelhaus</w:t>
      </w:r>
      <w:proofErr w:type="spellEnd"/>
      <w:r w:rsidRPr="004F316F">
        <w:rPr>
          <w:rFonts w:ascii="Arial" w:hAnsi="Arial" w:cs="Arial"/>
          <w:sz w:val="20"/>
          <w:szCs w:val="20"/>
        </w:rPr>
        <w:t xml:space="preserve">, T. A. (2013). Detection of NDM-7 in Germany, a new variant of the New Delhi metallo-beta-lactamase with increased </w:t>
      </w:r>
      <w:proofErr w:type="spellStart"/>
      <w:r w:rsidRPr="004F316F">
        <w:rPr>
          <w:rFonts w:ascii="Arial" w:hAnsi="Arial" w:cs="Arial"/>
          <w:sz w:val="20"/>
          <w:szCs w:val="20"/>
        </w:rPr>
        <w:t>carbapenemase</w:t>
      </w:r>
      <w:proofErr w:type="spellEnd"/>
      <w:r w:rsidRPr="004F316F">
        <w:rPr>
          <w:rFonts w:ascii="Arial" w:hAnsi="Arial" w:cs="Arial"/>
          <w:sz w:val="20"/>
          <w:szCs w:val="20"/>
        </w:rPr>
        <w:t xml:space="preserve"> activity. Journal of Antimicrobial Chemotherapy, 68(8), 1737-1740. https://doi.org/10.1093/jac/dkt088</w:t>
      </w:r>
    </w:p>
    <w:p w14:paraId="4FF679CF"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FA017F">
        <w:rPr>
          <w:rFonts w:ascii="Arial" w:hAnsi="Arial" w:cs="Arial"/>
          <w:sz w:val="20"/>
          <w:szCs w:val="20"/>
          <w:lang w:val="nl-BE"/>
        </w:rPr>
        <w:t xml:space="preserve">Lohans, C. T., Freeman, E. I., Groesen, E. V., </w:t>
      </w:r>
      <w:r w:rsidRPr="00FA017F">
        <w:rPr>
          <w:rFonts w:ascii="Arial" w:hAnsi="Arial" w:cs="Arial"/>
          <w:i/>
          <w:sz w:val="20"/>
          <w:szCs w:val="20"/>
          <w:lang w:val="nl-BE"/>
        </w:rPr>
        <w:t>et al</w:t>
      </w:r>
      <w:r w:rsidRPr="00FA017F">
        <w:rPr>
          <w:rFonts w:ascii="Arial" w:hAnsi="Arial" w:cs="Arial"/>
          <w:sz w:val="20"/>
          <w:szCs w:val="20"/>
          <w:lang w:val="nl-BE"/>
        </w:rPr>
        <w:t xml:space="preserve">. </w:t>
      </w:r>
      <w:r w:rsidRPr="004F316F">
        <w:rPr>
          <w:rFonts w:ascii="Arial" w:hAnsi="Arial" w:cs="Arial"/>
          <w:sz w:val="20"/>
          <w:szCs w:val="20"/>
        </w:rPr>
        <w:t>(2019). Mechanistic insights into β-lactamase-</w:t>
      </w:r>
      <w:proofErr w:type="spellStart"/>
      <w:r w:rsidRPr="004F316F">
        <w:rPr>
          <w:rFonts w:ascii="Arial" w:hAnsi="Arial" w:cs="Arial"/>
          <w:sz w:val="20"/>
          <w:szCs w:val="20"/>
        </w:rPr>
        <w:t>catalysedcarbapenem</w:t>
      </w:r>
      <w:proofErr w:type="spellEnd"/>
      <w:r w:rsidRPr="004F316F">
        <w:rPr>
          <w:rFonts w:ascii="Arial" w:hAnsi="Arial" w:cs="Arial"/>
          <w:sz w:val="20"/>
          <w:szCs w:val="20"/>
        </w:rPr>
        <w:t xml:space="preserve"> degradation through product </w:t>
      </w:r>
      <w:proofErr w:type="spellStart"/>
      <w:r w:rsidRPr="004F316F">
        <w:rPr>
          <w:rFonts w:ascii="Arial" w:hAnsi="Arial" w:cs="Arial"/>
          <w:sz w:val="20"/>
          <w:szCs w:val="20"/>
        </w:rPr>
        <w:t>characterisation</w:t>
      </w:r>
      <w:proofErr w:type="spellEnd"/>
      <w:r w:rsidRPr="004F316F">
        <w:rPr>
          <w:rFonts w:ascii="Arial" w:hAnsi="Arial" w:cs="Arial"/>
          <w:sz w:val="20"/>
          <w:szCs w:val="20"/>
        </w:rPr>
        <w:t>. Scientific Reports, 9, 13608. https://doi.org/10.1038/s41598-019-49264-0</w:t>
      </w:r>
    </w:p>
    <w:p w14:paraId="3DABC773"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Manageiro</w:t>
      </w:r>
      <w:proofErr w:type="spellEnd"/>
      <w:r w:rsidRPr="004F316F">
        <w:rPr>
          <w:rFonts w:ascii="Arial" w:hAnsi="Arial" w:cs="Arial"/>
          <w:sz w:val="20"/>
          <w:szCs w:val="20"/>
        </w:rPr>
        <w:t xml:space="preserve">, V., Ferreira, E., </w:t>
      </w:r>
      <w:proofErr w:type="spellStart"/>
      <w:r w:rsidRPr="004F316F">
        <w:rPr>
          <w:rFonts w:ascii="Arial" w:hAnsi="Arial" w:cs="Arial"/>
          <w:sz w:val="20"/>
          <w:szCs w:val="20"/>
        </w:rPr>
        <w:t>Canica</w:t>
      </w:r>
      <w:proofErr w:type="spellEnd"/>
      <w:r w:rsidRPr="004F316F">
        <w:rPr>
          <w:rFonts w:ascii="Arial" w:hAnsi="Arial" w:cs="Arial"/>
          <w:sz w:val="20"/>
          <w:szCs w:val="20"/>
        </w:rPr>
        <w:t>, M., &amp; Manaia, C. M. (2014). GES-5 among the beta-lactamases detected in ubiquitous bacteria isolated from aquatic environment samples. FEMS Microbiology Letters, 351(1), 64-69. https://doi.org/10.1111/1574-6968.12340</w:t>
      </w:r>
    </w:p>
    <w:p w14:paraId="020F6B09"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Evans, B. A., &amp; Amyes, S. G. (2014). OXA β-lactamases. Clinical Microbiology Reviews, 27(2), 241-263. https://doi.org/10.1128/CMR.00117-13</w:t>
      </w:r>
    </w:p>
    <w:p w14:paraId="2489ED19"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Fatima, H., Bhattacharya, A., &amp; Khare, S. K. (2023). Efficient remediation of meropenem using </w:t>
      </w:r>
      <w:r w:rsidRPr="00446C2B">
        <w:rPr>
          <w:rFonts w:ascii="Arial" w:hAnsi="Arial" w:cs="Arial"/>
          <w:i/>
          <w:sz w:val="20"/>
          <w:szCs w:val="20"/>
        </w:rPr>
        <w:t xml:space="preserve">Bacillus </w:t>
      </w:r>
      <w:proofErr w:type="spellStart"/>
      <w:r w:rsidRPr="00446C2B">
        <w:rPr>
          <w:rFonts w:ascii="Arial" w:hAnsi="Arial" w:cs="Arial"/>
          <w:i/>
          <w:sz w:val="20"/>
          <w:szCs w:val="20"/>
        </w:rPr>
        <w:t>tropicus</w:t>
      </w:r>
      <w:proofErr w:type="spellEnd"/>
      <w:r w:rsidRPr="004F316F">
        <w:rPr>
          <w:rFonts w:ascii="Arial" w:hAnsi="Arial" w:cs="Arial"/>
          <w:sz w:val="20"/>
          <w:szCs w:val="20"/>
        </w:rPr>
        <w:t xml:space="preserve"> EMB20 beta-lactamase immobilized on magnetic nanoparticles. Journal of Environmental Management, 329, 117054. https://doi.org/10.1016/j.jenvman.2022.117054</w:t>
      </w:r>
    </w:p>
    <w:p w14:paraId="5A598DBB"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Devapriya, C., Kumar, S., &amp; Kumar, S. (2013). In vitro study on determination of beta-lactamase producing isolates among clinical bacterial isolates from tertiary care hospital, North Karnataka, India. International Journal of Pharmaceutical and Biological Sciences, 4(4), 788-795.</w:t>
      </w:r>
    </w:p>
    <w:p w14:paraId="389F31E0"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Hasan, T. H., &amp; Ali, E. H. (2022). Extraction and purification of intracellular beta-lactamase from </w:t>
      </w:r>
      <w:r w:rsidRPr="00446C2B">
        <w:rPr>
          <w:rFonts w:ascii="Arial" w:hAnsi="Arial" w:cs="Arial"/>
          <w:i/>
          <w:sz w:val="20"/>
          <w:szCs w:val="20"/>
        </w:rPr>
        <w:t>Proteus mirabilis</w:t>
      </w:r>
      <w:r w:rsidRPr="004F316F">
        <w:rPr>
          <w:rFonts w:ascii="Arial" w:hAnsi="Arial" w:cs="Arial"/>
          <w:sz w:val="20"/>
          <w:szCs w:val="20"/>
        </w:rPr>
        <w:t>. Journal of Pharmaceutical Negative Results, 13(4), 1-7.</w:t>
      </w:r>
    </w:p>
    <w:p w14:paraId="4E492A47"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Bradford, M. M. (1976). A rapid and sensitive method for the quantitation of microgram quantities of protein utilizing the principle of protein-dye binding. Analytical Biochemistry, 72, 248-254.</w:t>
      </w:r>
    </w:p>
    <w:p w14:paraId="67E7BFB4"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FA017F">
        <w:rPr>
          <w:rFonts w:ascii="Arial" w:hAnsi="Arial" w:cs="Arial"/>
          <w:sz w:val="20"/>
          <w:szCs w:val="20"/>
          <w:lang w:val="nl-BE"/>
        </w:rPr>
        <w:t xml:space="preserve">Choe, Y. S., Lee, J. H., Jo, S. G., &amp; Park, K. H. (2017). </w:t>
      </w:r>
      <w:r w:rsidRPr="004F316F">
        <w:rPr>
          <w:rFonts w:ascii="Arial" w:hAnsi="Arial" w:cs="Arial"/>
          <w:sz w:val="20"/>
          <w:szCs w:val="20"/>
        </w:rPr>
        <w:t>A novel method to depurate β-lactam antibiotic residues by administration of a broad-spectrum β-lactamase enzyme in fish tissues. Fisheries and Aquatic Sciences, 19(1), 45. https://doi.org/10.1186/s41240-016-0045-5</w:t>
      </w:r>
      <w:r>
        <w:rPr>
          <w:rFonts w:ascii="Arial" w:hAnsi="Arial" w:cs="Arial"/>
          <w:sz w:val="20"/>
          <w:szCs w:val="20"/>
          <w:lang w:val="en-IN"/>
        </w:rPr>
        <w:t>.</w:t>
      </w:r>
    </w:p>
    <w:p w14:paraId="40B25B65"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Pratibha, T., Balu, P., Wong, L. S., Krishnan, K., Abirami, G., Jayanthi, M., Suganthi, M., Kumar, K. A., &amp; Manjunathan, J. (2023). Bioremediation of penicillin-contaminated poultry </w:t>
      </w:r>
      <w:proofErr w:type="spellStart"/>
      <w:r w:rsidRPr="004F316F">
        <w:rPr>
          <w:rFonts w:ascii="Arial" w:hAnsi="Arial" w:cs="Arial"/>
          <w:sz w:val="20"/>
          <w:szCs w:val="20"/>
        </w:rPr>
        <w:t>faecal</w:t>
      </w:r>
      <w:proofErr w:type="spellEnd"/>
      <w:r w:rsidRPr="004F316F">
        <w:rPr>
          <w:rFonts w:ascii="Arial" w:hAnsi="Arial" w:cs="Arial"/>
          <w:sz w:val="20"/>
          <w:szCs w:val="20"/>
        </w:rPr>
        <w:t xml:space="preserve"> waste using beta-lactamase-producing bacteria. Journal of Advanced Zoology, 44(3), 687-693.</w:t>
      </w:r>
    </w:p>
    <w:p w14:paraId="156906F6"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Giri, S., Kumar, S. H., Girisha, S. K., &amp; Shetty, A. V. (2022). Characterization of virulence gene distribution and antibiotic susceptibility profiles of diarrheagenic </w:t>
      </w:r>
      <w:r w:rsidRPr="004F316F">
        <w:rPr>
          <w:rFonts w:ascii="Arial" w:hAnsi="Arial" w:cs="Arial"/>
          <w:i/>
          <w:sz w:val="20"/>
          <w:szCs w:val="20"/>
        </w:rPr>
        <w:t>Escherichia coli</w:t>
      </w:r>
      <w:r w:rsidRPr="004F316F">
        <w:rPr>
          <w:rFonts w:ascii="Arial" w:hAnsi="Arial" w:cs="Arial"/>
          <w:sz w:val="20"/>
          <w:szCs w:val="20"/>
        </w:rPr>
        <w:t xml:space="preserve"> from chicken </w:t>
      </w:r>
      <w:proofErr w:type="spellStart"/>
      <w:r w:rsidRPr="004F316F">
        <w:rPr>
          <w:rFonts w:ascii="Arial" w:hAnsi="Arial" w:cs="Arial"/>
          <w:sz w:val="20"/>
          <w:szCs w:val="20"/>
        </w:rPr>
        <w:t>faeces</w:t>
      </w:r>
      <w:proofErr w:type="spellEnd"/>
      <w:r w:rsidRPr="004F316F">
        <w:rPr>
          <w:rFonts w:ascii="Arial" w:hAnsi="Arial" w:cs="Arial"/>
          <w:sz w:val="20"/>
          <w:szCs w:val="20"/>
        </w:rPr>
        <w:t>. Journal of Advanced Biotechnology and Experimental Therapeutics, 5(1), 148-162.</w:t>
      </w:r>
    </w:p>
    <w:p w14:paraId="793CD9F7"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Martinez, J. L., Coque, T. M., &amp; Baquero, F. (2013). What is a resistance gene? Ranking risk in </w:t>
      </w:r>
      <w:proofErr w:type="spellStart"/>
      <w:r w:rsidRPr="004F316F">
        <w:rPr>
          <w:rFonts w:ascii="Arial" w:hAnsi="Arial" w:cs="Arial"/>
          <w:sz w:val="20"/>
          <w:szCs w:val="20"/>
        </w:rPr>
        <w:t>resistomes</w:t>
      </w:r>
      <w:proofErr w:type="spellEnd"/>
      <w:r w:rsidRPr="004F316F">
        <w:rPr>
          <w:rFonts w:ascii="Arial" w:hAnsi="Arial" w:cs="Arial"/>
          <w:sz w:val="20"/>
          <w:szCs w:val="20"/>
        </w:rPr>
        <w:t>. Nature Reviews Microbiology, 13(2), 116-123.</w:t>
      </w:r>
    </w:p>
    <w:p w14:paraId="2E82C753"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FA017F">
        <w:rPr>
          <w:rFonts w:ascii="Arial" w:hAnsi="Arial" w:cs="Arial"/>
          <w:sz w:val="20"/>
          <w:szCs w:val="20"/>
          <w:lang w:val="nl-BE"/>
        </w:rPr>
        <w:t xml:space="preserve">Tigabie, M., Biset, S., Belachew, T., Amare, A., Moges, F. (2023). </w:t>
      </w:r>
      <w:r w:rsidRPr="004F316F">
        <w:rPr>
          <w:rFonts w:ascii="Arial" w:hAnsi="Arial" w:cs="Arial"/>
          <w:sz w:val="20"/>
          <w:szCs w:val="20"/>
        </w:rPr>
        <w:t>Multidrug-resistant and extended-spectrum beta-lactamase-producing Enterobacteriaceae isolated from chicken droppings in poultry farms at Gondar City, Northwest Ethiopia. PLOS ONE, 18(6), e0287043. https://doi.org/10.1371/journal.pone.0287043</w:t>
      </w:r>
    </w:p>
    <w:p w14:paraId="6A2598E3"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Hayati, M., </w:t>
      </w:r>
      <w:proofErr w:type="spellStart"/>
      <w:r w:rsidRPr="004F316F">
        <w:rPr>
          <w:rFonts w:ascii="Arial" w:hAnsi="Arial" w:cs="Arial"/>
          <w:sz w:val="20"/>
          <w:szCs w:val="20"/>
        </w:rPr>
        <w:t>Indrawati</w:t>
      </w:r>
      <w:proofErr w:type="spellEnd"/>
      <w:r w:rsidRPr="004F316F">
        <w:rPr>
          <w:rFonts w:ascii="Arial" w:hAnsi="Arial" w:cs="Arial"/>
          <w:sz w:val="20"/>
          <w:szCs w:val="20"/>
        </w:rPr>
        <w:t xml:space="preserve">, A., </w:t>
      </w:r>
      <w:proofErr w:type="spellStart"/>
      <w:r w:rsidRPr="004F316F">
        <w:rPr>
          <w:rFonts w:ascii="Arial" w:hAnsi="Arial" w:cs="Arial"/>
          <w:sz w:val="20"/>
          <w:szCs w:val="20"/>
        </w:rPr>
        <w:t>Mayasari</w:t>
      </w:r>
      <w:proofErr w:type="spellEnd"/>
      <w:r w:rsidRPr="004F316F">
        <w:rPr>
          <w:rFonts w:ascii="Arial" w:hAnsi="Arial" w:cs="Arial"/>
          <w:sz w:val="20"/>
          <w:szCs w:val="20"/>
        </w:rPr>
        <w:t xml:space="preserve">, N. L. P. I., </w:t>
      </w:r>
      <w:proofErr w:type="spellStart"/>
      <w:r w:rsidRPr="004F316F">
        <w:rPr>
          <w:rFonts w:ascii="Arial" w:hAnsi="Arial" w:cs="Arial"/>
          <w:sz w:val="20"/>
          <w:szCs w:val="20"/>
        </w:rPr>
        <w:t>Istiyaningsih</w:t>
      </w:r>
      <w:proofErr w:type="spellEnd"/>
      <w:r w:rsidRPr="004F316F">
        <w:rPr>
          <w:rFonts w:ascii="Arial" w:hAnsi="Arial" w:cs="Arial"/>
          <w:sz w:val="20"/>
          <w:szCs w:val="20"/>
        </w:rPr>
        <w:t xml:space="preserve">, I., &amp; Atikah, N. (2019). Molecular detection of extended-spectrum β-lactamase-producing </w:t>
      </w:r>
      <w:proofErr w:type="spellStart"/>
      <w:r w:rsidRPr="004F316F">
        <w:rPr>
          <w:rFonts w:ascii="Arial" w:hAnsi="Arial" w:cs="Arial"/>
          <w:i/>
          <w:sz w:val="20"/>
          <w:szCs w:val="20"/>
        </w:rPr>
        <w:t>Klebsiella</w:t>
      </w:r>
      <w:r w:rsidR="00353A11" w:rsidRPr="00353A11">
        <w:rPr>
          <w:rFonts w:ascii="Arial" w:hAnsi="Arial" w:cs="Arial"/>
          <w:i/>
          <w:sz w:val="20"/>
          <w:szCs w:val="20"/>
        </w:rPr>
        <w:t>Klebsiella</w:t>
      </w:r>
      <w:proofErr w:type="spellEnd"/>
      <w:r w:rsidR="00353A11" w:rsidRPr="00353A11">
        <w:rPr>
          <w:rFonts w:ascii="Arial" w:hAnsi="Arial" w:cs="Arial"/>
          <w:i/>
          <w:sz w:val="20"/>
          <w:szCs w:val="20"/>
        </w:rPr>
        <w:t xml:space="preserve"> pneumoniae</w:t>
      </w:r>
      <w:r w:rsidRPr="004F316F">
        <w:rPr>
          <w:rFonts w:ascii="Arial" w:hAnsi="Arial" w:cs="Arial"/>
          <w:sz w:val="20"/>
          <w:szCs w:val="20"/>
        </w:rPr>
        <w:t xml:space="preserve"> isolates of chicken origin from East Java, Indonesia. Veterinary World, 12(4), 578-583. https://doi.org/10.14202/vetworld.2019.578-583</w:t>
      </w:r>
      <w:r w:rsidR="00117466">
        <w:rPr>
          <w:rFonts w:ascii="Arial" w:hAnsi="Arial" w:cs="Arial"/>
          <w:sz w:val="20"/>
          <w:szCs w:val="20"/>
        </w:rPr>
        <w:t>.</w:t>
      </w:r>
    </w:p>
    <w:p w14:paraId="3F671F38"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Hou, G., Ahmad, S., Li, Y., Yan, D., Yang, S., Chen, S., Qiu, Z., Yu, X., Li, N., Li, Y., Liang, Y., Leng, Q., &amp; Qu, Y. (2024). Epidemiological, virulence, and antibiotic resistance analysis of </w:t>
      </w:r>
      <w:proofErr w:type="spellStart"/>
      <w:r w:rsidRPr="004F316F">
        <w:rPr>
          <w:rFonts w:ascii="Arial" w:hAnsi="Arial" w:cs="Arial"/>
          <w:i/>
          <w:sz w:val="20"/>
          <w:szCs w:val="20"/>
        </w:rPr>
        <w:t>Klebsiella</w:t>
      </w:r>
      <w:r w:rsidR="00353A11" w:rsidRPr="00353A11">
        <w:rPr>
          <w:rFonts w:ascii="Arial" w:hAnsi="Arial" w:cs="Arial"/>
          <w:i/>
          <w:sz w:val="20"/>
          <w:szCs w:val="20"/>
        </w:rPr>
        <w:t>Klebsiella</w:t>
      </w:r>
      <w:proofErr w:type="spellEnd"/>
      <w:r w:rsidR="00353A11" w:rsidRPr="00353A11">
        <w:rPr>
          <w:rFonts w:ascii="Arial" w:hAnsi="Arial" w:cs="Arial"/>
          <w:i/>
          <w:sz w:val="20"/>
          <w:szCs w:val="20"/>
        </w:rPr>
        <w:t xml:space="preserve"> pneumoniae</w:t>
      </w:r>
      <w:r w:rsidRPr="004F316F">
        <w:rPr>
          <w:rFonts w:ascii="Arial" w:hAnsi="Arial" w:cs="Arial"/>
          <w:sz w:val="20"/>
          <w:szCs w:val="20"/>
        </w:rPr>
        <w:t>, a major source of threat to livestock and poultry in some regions of Xinjiang, China. Animals, 14(10), 1433. https://doi.org/10.3390/ani14101433</w:t>
      </w:r>
      <w:r w:rsidR="00117466">
        <w:rPr>
          <w:rFonts w:ascii="Arial" w:hAnsi="Arial" w:cs="Arial"/>
          <w:sz w:val="20"/>
          <w:szCs w:val="20"/>
        </w:rPr>
        <w:t>.</w:t>
      </w:r>
    </w:p>
    <w:p w14:paraId="7225909E"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FA017F">
        <w:rPr>
          <w:rFonts w:ascii="Arial" w:hAnsi="Arial" w:cs="Arial"/>
          <w:sz w:val="20"/>
          <w:szCs w:val="20"/>
          <w:lang w:val="nl-BE"/>
        </w:rPr>
        <w:t xml:space="preserve">Choe, Y. S., Lee, J. H., Jo, S. G., &amp; Park, K. H. (2017). </w:t>
      </w:r>
      <w:r w:rsidRPr="004F316F">
        <w:rPr>
          <w:rFonts w:ascii="Arial" w:hAnsi="Arial" w:cs="Arial"/>
          <w:sz w:val="20"/>
          <w:szCs w:val="20"/>
        </w:rPr>
        <w:t>A novel method to depurate β-lactam antibiotic residues by administration of a broad-spectrum β-lactamase enzyme in fish tissues. Fisheries and Aquatic Sciences, 19(1), 45. https://doi.org/10.1186/s41240-016-0045-5</w:t>
      </w:r>
    </w:p>
    <w:p w14:paraId="2629DF1B"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lastRenderedPageBreak/>
        <w:t>Martinez, J. L. (2009). The role of natural environments in the evolution of resistance traits in pathogenic bacteria. Proceedings of the Biological Sciences, 276(1667), 2521-2530. https://doi.org/10.1098/rspb.2009.0320</w:t>
      </w:r>
    </w:p>
    <w:p w14:paraId="2F60E341" w14:textId="77777777" w:rsidR="004F316F" w:rsidRPr="004F316F" w:rsidRDefault="004F316F" w:rsidP="004F316F">
      <w:pPr>
        <w:pStyle w:val="ListParagraph"/>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Nesme</w:t>
      </w:r>
      <w:proofErr w:type="spellEnd"/>
      <w:r w:rsidRPr="004F316F">
        <w:rPr>
          <w:rFonts w:ascii="Arial" w:hAnsi="Arial" w:cs="Arial"/>
          <w:sz w:val="20"/>
          <w:szCs w:val="20"/>
        </w:rPr>
        <w:t xml:space="preserve">, J., </w:t>
      </w:r>
      <w:proofErr w:type="spellStart"/>
      <w:r w:rsidRPr="004F316F">
        <w:rPr>
          <w:rFonts w:ascii="Arial" w:hAnsi="Arial" w:cs="Arial"/>
          <w:sz w:val="20"/>
          <w:szCs w:val="20"/>
        </w:rPr>
        <w:t>Cecillon</w:t>
      </w:r>
      <w:proofErr w:type="spellEnd"/>
      <w:r w:rsidRPr="004F316F">
        <w:rPr>
          <w:rFonts w:ascii="Arial" w:hAnsi="Arial" w:cs="Arial"/>
          <w:sz w:val="20"/>
          <w:szCs w:val="20"/>
        </w:rPr>
        <w:t>, S., Delmont, T. O., Monier, J. M., Vogel, T. M., &amp; Simonet, P. (2014). Large-scale metagenomic-based study of antibiotic resistance in the environment. Current Biology, 24, 1096-1100. https://doi.org/10.1016/j.cub.2014.03.036</w:t>
      </w:r>
    </w:p>
    <w:p w14:paraId="32FB034A" w14:textId="77777777" w:rsidR="004F316F" w:rsidRDefault="004F316F" w:rsidP="004F316F">
      <w:pPr>
        <w:pStyle w:val="ListParagraph"/>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He, Y., Lei, J., Pan, X., </w:t>
      </w:r>
      <w:r w:rsidRPr="004F316F">
        <w:rPr>
          <w:rFonts w:ascii="Arial" w:hAnsi="Arial" w:cs="Arial"/>
          <w:i/>
          <w:sz w:val="20"/>
          <w:szCs w:val="20"/>
        </w:rPr>
        <w:t>et al</w:t>
      </w:r>
      <w:r w:rsidRPr="004F316F">
        <w:rPr>
          <w:rFonts w:ascii="Arial" w:hAnsi="Arial" w:cs="Arial"/>
          <w:sz w:val="20"/>
          <w:szCs w:val="20"/>
        </w:rPr>
        <w:t xml:space="preserve">. (2020). The hydrolytic water molecule of Class A β-lactamase relies on the acyl-enzyme intermediate ES for proper coordination and catalysis. Scientific Reports, 10, 10205. </w:t>
      </w:r>
      <w:hyperlink r:id="rId11" w:history="1">
        <w:r w:rsidR="005F2035" w:rsidRPr="003D7049">
          <w:rPr>
            <w:rStyle w:val="Hyperlink"/>
            <w:rFonts w:ascii="Arial" w:hAnsi="Arial" w:cs="Arial"/>
            <w:sz w:val="20"/>
            <w:szCs w:val="20"/>
          </w:rPr>
          <w:t>https://doi.org/10.1038/s41598-020-66431-w</w:t>
        </w:r>
      </w:hyperlink>
      <w:r w:rsidR="00446C2B">
        <w:rPr>
          <w:rFonts w:ascii="Arial" w:hAnsi="Arial" w:cs="Arial"/>
          <w:sz w:val="20"/>
          <w:szCs w:val="20"/>
        </w:rPr>
        <w:t>.</w:t>
      </w:r>
    </w:p>
    <w:p w14:paraId="62B9FD15" w14:textId="77777777" w:rsidR="00D21330" w:rsidRPr="00D21330" w:rsidRDefault="00D21330" w:rsidP="00D21330">
      <w:pPr>
        <w:pStyle w:val="ListParagraph"/>
        <w:numPr>
          <w:ilvl w:val="0"/>
          <w:numId w:val="5"/>
        </w:numPr>
        <w:spacing w:before="240" w:after="0" w:line="240" w:lineRule="auto"/>
        <w:jc w:val="both"/>
        <w:rPr>
          <w:rFonts w:ascii="Arial" w:hAnsi="Arial" w:cs="Arial"/>
          <w:sz w:val="20"/>
          <w:szCs w:val="20"/>
        </w:rPr>
      </w:pPr>
      <w:proofErr w:type="spellStart"/>
      <w:r w:rsidRPr="00D21330">
        <w:rPr>
          <w:rFonts w:ascii="Arial" w:hAnsi="Arial" w:cs="Arial"/>
          <w:sz w:val="20"/>
          <w:szCs w:val="20"/>
        </w:rPr>
        <w:t>Thillainayagi</w:t>
      </w:r>
      <w:proofErr w:type="spellEnd"/>
      <w:r w:rsidRPr="00D21330">
        <w:rPr>
          <w:rFonts w:ascii="Arial" w:hAnsi="Arial" w:cs="Arial"/>
          <w:sz w:val="20"/>
          <w:szCs w:val="20"/>
        </w:rPr>
        <w:t>, M., &amp; Bharathidasan, R. (2025). Exploring antibiotic resistance mechanisms and β-lactamase interactions with ceftriaxone and linezolid. Uttar Pradesh Journal of Zoology, 46(19), 358–369.</w:t>
      </w:r>
    </w:p>
    <w:p w14:paraId="142EE83F" w14:textId="77777777" w:rsidR="00D21330" w:rsidRPr="00D21330" w:rsidRDefault="00D21330" w:rsidP="00D21330">
      <w:pPr>
        <w:pStyle w:val="ListParagraph"/>
        <w:numPr>
          <w:ilvl w:val="0"/>
          <w:numId w:val="5"/>
        </w:numPr>
        <w:spacing w:before="240" w:after="0" w:line="240" w:lineRule="auto"/>
        <w:jc w:val="both"/>
        <w:rPr>
          <w:rFonts w:ascii="Arial" w:hAnsi="Arial" w:cs="Arial"/>
          <w:sz w:val="20"/>
          <w:szCs w:val="20"/>
        </w:rPr>
      </w:pPr>
      <w:r w:rsidRPr="00FA017F">
        <w:rPr>
          <w:rFonts w:ascii="Arial" w:hAnsi="Arial" w:cs="Arial"/>
          <w:sz w:val="20"/>
          <w:szCs w:val="20"/>
          <w:lang w:val="nl-BE"/>
        </w:rPr>
        <w:t xml:space="preserve">Lin, J., Wang, T., Zhou, Y., et al. </w:t>
      </w:r>
      <w:r w:rsidRPr="00D21330">
        <w:rPr>
          <w:rFonts w:ascii="Arial" w:hAnsi="Arial" w:cs="Arial"/>
          <w:sz w:val="20"/>
          <w:szCs w:val="20"/>
        </w:rPr>
        <w:t>(2025). One-step degradation of 4 classes of β-lactam using β-lactamase enzyme cocktail. Scientific Reports, 15, 34701. https://doi.org/10.1038/s41598-025-16947-w</w:t>
      </w:r>
    </w:p>
    <w:p w14:paraId="669075A7" w14:textId="77777777" w:rsidR="00D21330" w:rsidRPr="005F2035" w:rsidRDefault="00D21330" w:rsidP="00D21330">
      <w:pPr>
        <w:pStyle w:val="ListParagraph"/>
        <w:numPr>
          <w:ilvl w:val="0"/>
          <w:numId w:val="5"/>
        </w:numPr>
        <w:spacing w:before="240" w:after="0" w:line="240" w:lineRule="auto"/>
        <w:jc w:val="both"/>
        <w:rPr>
          <w:rFonts w:ascii="Arial" w:hAnsi="Arial" w:cs="Arial"/>
          <w:sz w:val="20"/>
          <w:szCs w:val="20"/>
        </w:rPr>
      </w:pPr>
      <w:r w:rsidRPr="00D21330">
        <w:rPr>
          <w:rFonts w:ascii="Arial" w:hAnsi="Arial" w:cs="Arial"/>
          <w:sz w:val="20"/>
          <w:szCs w:val="20"/>
        </w:rPr>
        <w:t xml:space="preserve">Fisher, J. F., &amp; </w:t>
      </w:r>
      <w:proofErr w:type="spellStart"/>
      <w:r w:rsidRPr="00D21330">
        <w:rPr>
          <w:rFonts w:ascii="Arial" w:hAnsi="Arial" w:cs="Arial"/>
          <w:sz w:val="20"/>
          <w:szCs w:val="20"/>
        </w:rPr>
        <w:t>Mobashery</w:t>
      </w:r>
      <w:proofErr w:type="spellEnd"/>
      <w:r w:rsidRPr="00D21330">
        <w:rPr>
          <w:rFonts w:ascii="Arial" w:hAnsi="Arial" w:cs="Arial"/>
          <w:sz w:val="20"/>
          <w:szCs w:val="20"/>
        </w:rPr>
        <w:t>, S. (2009). Three decades of the class A beta-lactamase acyl-enzyme. Current Protein &amp; Peptide Science, 10(5), 401–407. https://doi.org/10.2174/138920309789351967</w:t>
      </w:r>
      <w:r>
        <w:rPr>
          <w:rFonts w:ascii="Arial" w:hAnsi="Arial" w:cs="Arial"/>
          <w:sz w:val="20"/>
          <w:szCs w:val="20"/>
        </w:rPr>
        <w:t>.</w:t>
      </w:r>
    </w:p>
    <w:p w14:paraId="4EFE6D6C" w14:textId="77777777" w:rsidR="009C4934" w:rsidRPr="00353A11" w:rsidRDefault="009C4934" w:rsidP="009C4934">
      <w:pPr>
        <w:pStyle w:val="ListParagraph"/>
        <w:spacing w:before="240" w:after="0" w:line="240" w:lineRule="auto"/>
        <w:jc w:val="both"/>
        <w:rPr>
          <w:rFonts w:ascii="Arial" w:hAnsi="Arial" w:cs="Arial"/>
          <w:sz w:val="20"/>
          <w:szCs w:val="20"/>
          <w:highlight w:val="yellow"/>
          <w:lang w:val="en-IN"/>
        </w:rPr>
      </w:pPr>
    </w:p>
    <w:sectPr w:rsidR="009C4934" w:rsidRPr="00353A11" w:rsidSect="003325FB">
      <w:headerReference w:type="even" r:id="rId12"/>
      <w:headerReference w:type="default" r:id="rId13"/>
      <w:footerReference w:type="even" r:id="rId14"/>
      <w:footerReference w:type="default" r:id="rId15"/>
      <w:headerReference w:type="first" r:id="rId16"/>
      <w:footerReference w:type="first" r:id="rId17"/>
      <w:pgSz w:w="12240" w:h="15840"/>
      <w:pgMar w:top="1701" w:right="1440"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7614" w14:textId="77777777" w:rsidR="00295425" w:rsidRDefault="00295425" w:rsidP="00562C11">
      <w:pPr>
        <w:spacing w:after="0" w:line="240" w:lineRule="auto"/>
      </w:pPr>
      <w:r>
        <w:separator/>
      </w:r>
    </w:p>
  </w:endnote>
  <w:endnote w:type="continuationSeparator" w:id="0">
    <w:p w14:paraId="33C876AC" w14:textId="77777777" w:rsidR="00295425" w:rsidRDefault="00295425" w:rsidP="0056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CFCA" w14:textId="77777777" w:rsidR="002E04C5" w:rsidRDefault="002E0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85688"/>
      <w:docPartObj>
        <w:docPartGallery w:val="Page Numbers (Bottom of Page)"/>
        <w:docPartUnique/>
      </w:docPartObj>
    </w:sdtPr>
    <w:sdtContent>
      <w:p w14:paraId="2498CA30" w14:textId="77777777" w:rsidR="00562C11" w:rsidRDefault="002D0B5C">
        <w:pPr>
          <w:pStyle w:val="Footer"/>
          <w:jc w:val="center"/>
        </w:pPr>
        <w:r>
          <w:fldChar w:fldCharType="begin"/>
        </w:r>
        <w:r w:rsidR="008C644E">
          <w:instrText xml:space="preserve"> PAGE   \* MERGEFORMAT </w:instrText>
        </w:r>
        <w:r>
          <w:fldChar w:fldCharType="separate"/>
        </w:r>
        <w:r w:rsidR="004F619A">
          <w:rPr>
            <w:noProof/>
          </w:rPr>
          <w:t>1</w:t>
        </w:r>
        <w:r>
          <w:rPr>
            <w:noProof/>
          </w:rPr>
          <w:fldChar w:fldCharType="end"/>
        </w:r>
      </w:p>
    </w:sdtContent>
  </w:sdt>
  <w:p w14:paraId="14915CCC" w14:textId="77777777" w:rsidR="00562C11" w:rsidRDefault="00562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017D" w14:textId="77777777" w:rsidR="002E04C5" w:rsidRDefault="002E0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9FF3" w14:textId="77777777" w:rsidR="00295425" w:rsidRDefault="00295425" w:rsidP="00562C11">
      <w:pPr>
        <w:spacing w:after="0" w:line="240" w:lineRule="auto"/>
      </w:pPr>
      <w:r>
        <w:separator/>
      </w:r>
    </w:p>
  </w:footnote>
  <w:footnote w:type="continuationSeparator" w:id="0">
    <w:p w14:paraId="5842972C" w14:textId="77777777" w:rsidR="00295425" w:rsidRDefault="00295425" w:rsidP="00562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18CF" w14:textId="77777777" w:rsidR="002E04C5" w:rsidRDefault="00000000">
    <w:pPr>
      <w:pStyle w:val="Header"/>
    </w:pPr>
    <w:r>
      <w:rPr>
        <w:noProof/>
      </w:rPr>
      <w:pict w14:anchorId="206DD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04016" o:spid="_x0000_s1026" type="#_x0000_t136" style="position:absolute;margin-left:0;margin-top:0;width:539.65pt;height:10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75E1" w14:textId="77777777" w:rsidR="002E04C5" w:rsidRDefault="00000000">
    <w:pPr>
      <w:pStyle w:val="Header"/>
    </w:pPr>
    <w:r>
      <w:rPr>
        <w:noProof/>
      </w:rPr>
      <w:pict w14:anchorId="31CA1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04017" o:spid="_x0000_s1027" type="#_x0000_t136" style="position:absolute;margin-left:0;margin-top:0;width:539.65pt;height:10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C4AE" w14:textId="77777777" w:rsidR="002E04C5" w:rsidRDefault="00000000">
    <w:pPr>
      <w:pStyle w:val="Header"/>
    </w:pPr>
    <w:r>
      <w:rPr>
        <w:noProof/>
      </w:rPr>
      <w:pict w14:anchorId="300DA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04015" o:spid="_x0000_s1025" type="#_x0000_t136" style="position:absolute;margin-left:0;margin-top:0;width:539.65pt;height:10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A35"/>
    <w:multiLevelType w:val="hybridMultilevel"/>
    <w:tmpl w:val="6CAED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E436E"/>
    <w:multiLevelType w:val="hybridMultilevel"/>
    <w:tmpl w:val="EB6C2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3746"/>
    <w:multiLevelType w:val="hybridMultilevel"/>
    <w:tmpl w:val="78B6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6096D"/>
    <w:multiLevelType w:val="hybridMultilevel"/>
    <w:tmpl w:val="78B6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CF1BAB"/>
    <w:multiLevelType w:val="hybridMultilevel"/>
    <w:tmpl w:val="9CF4E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969241">
    <w:abstractNumId w:val="2"/>
  </w:num>
  <w:num w:numId="2" w16cid:durableId="482358458">
    <w:abstractNumId w:val="1"/>
  </w:num>
  <w:num w:numId="3" w16cid:durableId="1958247256">
    <w:abstractNumId w:val="0"/>
  </w:num>
  <w:num w:numId="4" w16cid:durableId="1849366519">
    <w:abstractNumId w:val="4"/>
  </w:num>
  <w:num w:numId="5" w16cid:durableId="98139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DDA"/>
    <w:rsid w:val="00012ABA"/>
    <w:rsid w:val="00015616"/>
    <w:rsid w:val="00034D67"/>
    <w:rsid w:val="00061A52"/>
    <w:rsid w:val="000658F6"/>
    <w:rsid w:val="000A1DB2"/>
    <w:rsid w:val="000B526F"/>
    <w:rsid w:val="000D23EE"/>
    <w:rsid w:val="00112CC6"/>
    <w:rsid w:val="00117466"/>
    <w:rsid w:val="001234A8"/>
    <w:rsid w:val="00150520"/>
    <w:rsid w:val="001550E4"/>
    <w:rsid w:val="00155A48"/>
    <w:rsid w:val="001769CE"/>
    <w:rsid w:val="001C1461"/>
    <w:rsid w:val="001C7619"/>
    <w:rsid w:val="00252656"/>
    <w:rsid w:val="00261766"/>
    <w:rsid w:val="00271CE1"/>
    <w:rsid w:val="00295425"/>
    <w:rsid w:val="00297D6C"/>
    <w:rsid w:val="002A1E1D"/>
    <w:rsid w:val="002D0B5C"/>
    <w:rsid w:val="002D504A"/>
    <w:rsid w:val="002E04C5"/>
    <w:rsid w:val="003325FB"/>
    <w:rsid w:val="0034364C"/>
    <w:rsid w:val="00353A11"/>
    <w:rsid w:val="003710D3"/>
    <w:rsid w:val="003B2892"/>
    <w:rsid w:val="003B57A5"/>
    <w:rsid w:val="003C4A53"/>
    <w:rsid w:val="00421404"/>
    <w:rsid w:val="004334BD"/>
    <w:rsid w:val="00437D59"/>
    <w:rsid w:val="00441568"/>
    <w:rsid w:val="00446C2B"/>
    <w:rsid w:val="00453BC9"/>
    <w:rsid w:val="00486795"/>
    <w:rsid w:val="004A4937"/>
    <w:rsid w:val="004D468C"/>
    <w:rsid w:val="004F316F"/>
    <w:rsid w:val="004F3A1C"/>
    <w:rsid w:val="004F619A"/>
    <w:rsid w:val="005025EA"/>
    <w:rsid w:val="00506ADC"/>
    <w:rsid w:val="00523B0F"/>
    <w:rsid w:val="00524C2F"/>
    <w:rsid w:val="00524DDA"/>
    <w:rsid w:val="00550833"/>
    <w:rsid w:val="00554505"/>
    <w:rsid w:val="00562C11"/>
    <w:rsid w:val="005D2452"/>
    <w:rsid w:val="005E1E46"/>
    <w:rsid w:val="005F2035"/>
    <w:rsid w:val="00601468"/>
    <w:rsid w:val="00604535"/>
    <w:rsid w:val="0061701B"/>
    <w:rsid w:val="006D40F7"/>
    <w:rsid w:val="006D5A3F"/>
    <w:rsid w:val="006E04F7"/>
    <w:rsid w:val="006F3CDF"/>
    <w:rsid w:val="0074163C"/>
    <w:rsid w:val="0075535E"/>
    <w:rsid w:val="00762910"/>
    <w:rsid w:val="007A7034"/>
    <w:rsid w:val="007B1677"/>
    <w:rsid w:val="007B7A6D"/>
    <w:rsid w:val="007F5AFF"/>
    <w:rsid w:val="0080556D"/>
    <w:rsid w:val="00826635"/>
    <w:rsid w:val="00833E3C"/>
    <w:rsid w:val="00866C73"/>
    <w:rsid w:val="008A61DD"/>
    <w:rsid w:val="008C644E"/>
    <w:rsid w:val="00936FE0"/>
    <w:rsid w:val="009927C3"/>
    <w:rsid w:val="009C4934"/>
    <w:rsid w:val="00A62D97"/>
    <w:rsid w:val="00AA4D94"/>
    <w:rsid w:val="00AD08FE"/>
    <w:rsid w:val="00AD412F"/>
    <w:rsid w:val="00AE1345"/>
    <w:rsid w:val="00B23F1D"/>
    <w:rsid w:val="00B530A7"/>
    <w:rsid w:val="00BA7915"/>
    <w:rsid w:val="00BC2BD0"/>
    <w:rsid w:val="00BC4DDE"/>
    <w:rsid w:val="00BE0405"/>
    <w:rsid w:val="00C15144"/>
    <w:rsid w:val="00C26264"/>
    <w:rsid w:val="00C508BD"/>
    <w:rsid w:val="00C76A70"/>
    <w:rsid w:val="00C77159"/>
    <w:rsid w:val="00C8072E"/>
    <w:rsid w:val="00CA23E6"/>
    <w:rsid w:val="00CC56BE"/>
    <w:rsid w:val="00D21330"/>
    <w:rsid w:val="00D333CF"/>
    <w:rsid w:val="00D61A91"/>
    <w:rsid w:val="00D93B4F"/>
    <w:rsid w:val="00DD020C"/>
    <w:rsid w:val="00DD25AA"/>
    <w:rsid w:val="00E249BD"/>
    <w:rsid w:val="00E31501"/>
    <w:rsid w:val="00ED0F10"/>
    <w:rsid w:val="00ED2EDC"/>
    <w:rsid w:val="00EE35A2"/>
    <w:rsid w:val="00EF77E5"/>
    <w:rsid w:val="00F20A4E"/>
    <w:rsid w:val="00F35975"/>
    <w:rsid w:val="00F55B56"/>
    <w:rsid w:val="00F77043"/>
    <w:rsid w:val="00FA01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CAF77"/>
  <w15:docId w15:val="{37D098BE-1618-4057-BF0F-31CCA4FF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DA"/>
    <w:rPr>
      <w:rFonts w:eastAsiaTheme="minorEastAsia"/>
    </w:rPr>
  </w:style>
  <w:style w:type="paragraph" w:styleId="Heading3">
    <w:name w:val="heading 3"/>
    <w:basedOn w:val="Normal"/>
    <w:link w:val="Heading3Char"/>
    <w:uiPriority w:val="9"/>
    <w:qFormat/>
    <w:rsid w:val="00524D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4DDA"/>
    <w:rPr>
      <w:rFonts w:ascii="Times New Roman" w:eastAsia="Times New Roman" w:hAnsi="Times New Roman" w:cs="Times New Roman"/>
      <w:b/>
      <w:bCs/>
      <w:sz w:val="27"/>
      <w:szCs w:val="27"/>
    </w:rPr>
  </w:style>
  <w:style w:type="paragraph" w:styleId="NormalWeb">
    <w:name w:val="Normal (Web)"/>
    <w:basedOn w:val="Normal"/>
    <w:uiPriority w:val="99"/>
    <w:unhideWhenUsed/>
    <w:rsid w:val="00524D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DDA"/>
    <w:rPr>
      <w:b/>
      <w:bCs/>
    </w:rPr>
  </w:style>
  <w:style w:type="character" w:styleId="HTMLCode">
    <w:name w:val="HTML Code"/>
    <w:basedOn w:val="DefaultParagraphFont"/>
    <w:uiPriority w:val="99"/>
    <w:semiHidden/>
    <w:unhideWhenUsed/>
    <w:rsid w:val="00524DDA"/>
    <w:rPr>
      <w:rFonts w:ascii="Courier New" w:eastAsia="Times New Roman" w:hAnsi="Courier New" w:cs="Courier New"/>
      <w:sz w:val="20"/>
      <w:szCs w:val="20"/>
    </w:rPr>
  </w:style>
  <w:style w:type="character" w:customStyle="1" w:styleId="relative">
    <w:name w:val="relative"/>
    <w:basedOn w:val="DefaultParagraphFont"/>
    <w:rsid w:val="00524DDA"/>
  </w:style>
  <w:style w:type="character" w:styleId="Emphasis">
    <w:name w:val="Emphasis"/>
    <w:basedOn w:val="DefaultParagraphFont"/>
    <w:uiPriority w:val="20"/>
    <w:qFormat/>
    <w:rsid w:val="00524DDA"/>
    <w:rPr>
      <w:i/>
      <w:iCs/>
    </w:rPr>
  </w:style>
  <w:style w:type="paragraph" w:styleId="ListParagraph">
    <w:name w:val="List Paragraph"/>
    <w:basedOn w:val="Normal"/>
    <w:uiPriority w:val="34"/>
    <w:qFormat/>
    <w:rsid w:val="00524DDA"/>
    <w:pPr>
      <w:ind w:left="720"/>
      <w:contextualSpacing/>
    </w:pPr>
  </w:style>
  <w:style w:type="table" w:styleId="TableGrid">
    <w:name w:val="Table Grid"/>
    <w:basedOn w:val="TableNormal"/>
    <w:uiPriority w:val="59"/>
    <w:rsid w:val="00524DD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24DDA"/>
    <w:rPr>
      <w:color w:val="0000FF" w:themeColor="hyperlink"/>
      <w:u w:val="single"/>
    </w:rPr>
  </w:style>
  <w:style w:type="paragraph" w:customStyle="1" w:styleId="c-bibliographic-informationcitation">
    <w:name w:val="c-bibliographic-information__citation"/>
    <w:basedOn w:val="Normal"/>
    <w:rsid w:val="00524D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4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DDA"/>
    <w:rPr>
      <w:rFonts w:ascii="Tahoma" w:eastAsiaTheme="minorEastAsia" w:hAnsi="Tahoma" w:cs="Tahoma"/>
      <w:sz w:val="16"/>
      <w:szCs w:val="16"/>
    </w:rPr>
  </w:style>
  <w:style w:type="paragraph" w:styleId="Header">
    <w:name w:val="header"/>
    <w:basedOn w:val="Normal"/>
    <w:link w:val="HeaderChar"/>
    <w:uiPriority w:val="99"/>
    <w:unhideWhenUsed/>
    <w:rsid w:val="0056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C11"/>
    <w:rPr>
      <w:rFonts w:eastAsiaTheme="minorEastAsia"/>
    </w:rPr>
  </w:style>
  <w:style w:type="paragraph" w:styleId="Footer">
    <w:name w:val="footer"/>
    <w:basedOn w:val="Normal"/>
    <w:link w:val="FooterChar"/>
    <w:uiPriority w:val="99"/>
    <w:unhideWhenUsed/>
    <w:rsid w:val="0056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C11"/>
    <w:rPr>
      <w:rFonts w:eastAsiaTheme="minorEastAsia"/>
    </w:rPr>
  </w:style>
  <w:style w:type="character" w:customStyle="1" w:styleId="UnresolvedMention1">
    <w:name w:val="Unresolved Mention1"/>
    <w:basedOn w:val="DefaultParagraphFont"/>
    <w:uiPriority w:val="99"/>
    <w:semiHidden/>
    <w:unhideWhenUsed/>
    <w:rsid w:val="000D23EE"/>
    <w:rPr>
      <w:color w:val="605E5C"/>
      <w:shd w:val="clear" w:color="auto" w:fill="E1DFDD"/>
    </w:rPr>
  </w:style>
  <w:style w:type="character" w:styleId="CommentReference">
    <w:name w:val="annotation reference"/>
    <w:basedOn w:val="DefaultParagraphFont"/>
    <w:uiPriority w:val="99"/>
    <w:semiHidden/>
    <w:unhideWhenUsed/>
    <w:rsid w:val="00604535"/>
    <w:rPr>
      <w:sz w:val="16"/>
      <w:szCs w:val="16"/>
    </w:rPr>
  </w:style>
  <w:style w:type="paragraph" w:styleId="CommentText">
    <w:name w:val="annotation text"/>
    <w:basedOn w:val="Normal"/>
    <w:link w:val="CommentTextChar"/>
    <w:uiPriority w:val="99"/>
    <w:semiHidden/>
    <w:unhideWhenUsed/>
    <w:rsid w:val="00604535"/>
    <w:pPr>
      <w:spacing w:line="240" w:lineRule="auto"/>
    </w:pPr>
    <w:rPr>
      <w:sz w:val="20"/>
      <w:szCs w:val="20"/>
    </w:rPr>
  </w:style>
  <w:style w:type="character" w:customStyle="1" w:styleId="CommentTextChar">
    <w:name w:val="Comment Text Char"/>
    <w:basedOn w:val="DefaultParagraphFont"/>
    <w:link w:val="CommentText"/>
    <w:uiPriority w:val="99"/>
    <w:semiHidden/>
    <w:rsid w:val="0060453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04535"/>
    <w:rPr>
      <w:b/>
      <w:bCs/>
    </w:rPr>
  </w:style>
  <w:style w:type="character" w:customStyle="1" w:styleId="CommentSubjectChar">
    <w:name w:val="Comment Subject Char"/>
    <w:basedOn w:val="CommentTextChar"/>
    <w:link w:val="CommentSubject"/>
    <w:uiPriority w:val="99"/>
    <w:semiHidden/>
    <w:rsid w:val="00604535"/>
    <w:rPr>
      <w:rFonts w:eastAsiaTheme="minorEastAsia"/>
      <w:b/>
      <w:bCs/>
      <w:sz w:val="20"/>
      <w:szCs w:val="20"/>
    </w:rPr>
  </w:style>
  <w:style w:type="paragraph" w:styleId="Revision">
    <w:name w:val="Revision"/>
    <w:hidden/>
    <w:uiPriority w:val="99"/>
    <w:semiHidden/>
    <w:rsid w:val="00FA017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60">
      <w:bodyDiv w:val="1"/>
      <w:marLeft w:val="0"/>
      <w:marRight w:val="0"/>
      <w:marTop w:val="0"/>
      <w:marBottom w:val="0"/>
      <w:divBdr>
        <w:top w:val="none" w:sz="0" w:space="0" w:color="auto"/>
        <w:left w:val="none" w:sz="0" w:space="0" w:color="auto"/>
        <w:bottom w:val="none" w:sz="0" w:space="0" w:color="auto"/>
        <w:right w:val="none" w:sz="0" w:space="0" w:color="auto"/>
      </w:divBdr>
      <w:divsChild>
        <w:div w:id="94837025">
          <w:marLeft w:val="0"/>
          <w:marRight w:val="0"/>
          <w:marTop w:val="0"/>
          <w:marBottom w:val="0"/>
          <w:divBdr>
            <w:top w:val="none" w:sz="0" w:space="0" w:color="auto"/>
            <w:left w:val="none" w:sz="0" w:space="0" w:color="auto"/>
            <w:bottom w:val="none" w:sz="0" w:space="0" w:color="auto"/>
            <w:right w:val="none" w:sz="0" w:space="0" w:color="auto"/>
          </w:divBdr>
          <w:divsChild>
            <w:div w:id="1118916070">
              <w:marLeft w:val="0"/>
              <w:marRight w:val="0"/>
              <w:marTop w:val="0"/>
              <w:marBottom w:val="0"/>
              <w:divBdr>
                <w:top w:val="none" w:sz="0" w:space="0" w:color="auto"/>
                <w:left w:val="none" w:sz="0" w:space="0" w:color="auto"/>
                <w:bottom w:val="none" w:sz="0" w:space="0" w:color="auto"/>
                <w:right w:val="none" w:sz="0" w:space="0" w:color="auto"/>
              </w:divBdr>
              <w:divsChild>
                <w:div w:id="777681180">
                  <w:marLeft w:val="0"/>
                  <w:marRight w:val="0"/>
                  <w:marTop w:val="0"/>
                  <w:marBottom w:val="0"/>
                  <w:divBdr>
                    <w:top w:val="none" w:sz="0" w:space="0" w:color="auto"/>
                    <w:left w:val="none" w:sz="0" w:space="0" w:color="auto"/>
                    <w:bottom w:val="none" w:sz="0" w:space="0" w:color="auto"/>
                    <w:right w:val="none" w:sz="0" w:space="0" w:color="auto"/>
                  </w:divBdr>
                  <w:divsChild>
                    <w:div w:id="1722634667">
                      <w:marLeft w:val="0"/>
                      <w:marRight w:val="0"/>
                      <w:marTop w:val="0"/>
                      <w:marBottom w:val="0"/>
                      <w:divBdr>
                        <w:top w:val="none" w:sz="0" w:space="0" w:color="auto"/>
                        <w:left w:val="none" w:sz="0" w:space="0" w:color="auto"/>
                        <w:bottom w:val="none" w:sz="0" w:space="0" w:color="auto"/>
                        <w:right w:val="none" w:sz="0" w:space="0" w:color="auto"/>
                      </w:divBdr>
                      <w:divsChild>
                        <w:div w:id="1483349413">
                          <w:marLeft w:val="0"/>
                          <w:marRight w:val="0"/>
                          <w:marTop w:val="0"/>
                          <w:marBottom w:val="0"/>
                          <w:divBdr>
                            <w:top w:val="none" w:sz="0" w:space="0" w:color="auto"/>
                            <w:left w:val="none" w:sz="0" w:space="0" w:color="auto"/>
                            <w:bottom w:val="none" w:sz="0" w:space="0" w:color="auto"/>
                            <w:right w:val="none" w:sz="0" w:space="0" w:color="auto"/>
                          </w:divBdr>
                          <w:divsChild>
                            <w:div w:id="15647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00619">
      <w:bodyDiv w:val="1"/>
      <w:marLeft w:val="0"/>
      <w:marRight w:val="0"/>
      <w:marTop w:val="0"/>
      <w:marBottom w:val="0"/>
      <w:divBdr>
        <w:top w:val="none" w:sz="0" w:space="0" w:color="auto"/>
        <w:left w:val="none" w:sz="0" w:space="0" w:color="auto"/>
        <w:bottom w:val="none" w:sz="0" w:space="0" w:color="auto"/>
        <w:right w:val="none" w:sz="0" w:space="0" w:color="auto"/>
      </w:divBdr>
      <w:divsChild>
        <w:div w:id="1451052198">
          <w:marLeft w:val="0"/>
          <w:marRight w:val="0"/>
          <w:marTop w:val="0"/>
          <w:marBottom w:val="0"/>
          <w:divBdr>
            <w:top w:val="none" w:sz="0" w:space="0" w:color="auto"/>
            <w:left w:val="none" w:sz="0" w:space="0" w:color="auto"/>
            <w:bottom w:val="none" w:sz="0" w:space="0" w:color="auto"/>
            <w:right w:val="none" w:sz="0" w:space="0" w:color="auto"/>
          </w:divBdr>
          <w:divsChild>
            <w:div w:id="1864781892">
              <w:marLeft w:val="0"/>
              <w:marRight w:val="0"/>
              <w:marTop w:val="0"/>
              <w:marBottom w:val="0"/>
              <w:divBdr>
                <w:top w:val="none" w:sz="0" w:space="0" w:color="auto"/>
                <w:left w:val="none" w:sz="0" w:space="0" w:color="auto"/>
                <w:bottom w:val="none" w:sz="0" w:space="0" w:color="auto"/>
                <w:right w:val="none" w:sz="0" w:space="0" w:color="auto"/>
              </w:divBdr>
              <w:divsChild>
                <w:div w:id="2114008557">
                  <w:marLeft w:val="0"/>
                  <w:marRight w:val="0"/>
                  <w:marTop w:val="0"/>
                  <w:marBottom w:val="0"/>
                  <w:divBdr>
                    <w:top w:val="none" w:sz="0" w:space="0" w:color="auto"/>
                    <w:left w:val="none" w:sz="0" w:space="0" w:color="auto"/>
                    <w:bottom w:val="none" w:sz="0" w:space="0" w:color="auto"/>
                    <w:right w:val="none" w:sz="0" w:space="0" w:color="auto"/>
                  </w:divBdr>
                  <w:divsChild>
                    <w:div w:id="1246767217">
                      <w:marLeft w:val="0"/>
                      <w:marRight w:val="0"/>
                      <w:marTop w:val="0"/>
                      <w:marBottom w:val="0"/>
                      <w:divBdr>
                        <w:top w:val="none" w:sz="0" w:space="0" w:color="auto"/>
                        <w:left w:val="none" w:sz="0" w:space="0" w:color="auto"/>
                        <w:bottom w:val="none" w:sz="0" w:space="0" w:color="auto"/>
                        <w:right w:val="none" w:sz="0" w:space="0" w:color="auto"/>
                      </w:divBdr>
                      <w:divsChild>
                        <w:div w:id="303853738">
                          <w:marLeft w:val="0"/>
                          <w:marRight w:val="0"/>
                          <w:marTop w:val="0"/>
                          <w:marBottom w:val="0"/>
                          <w:divBdr>
                            <w:top w:val="none" w:sz="0" w:space="0" w:color="auto"/>
                            <w:left w:val="none" w:sz="0" w:space="0" w:color="auto"/>
                            <w:bottom w:val="none" w:sz="0" w:space="0" w:color="auto"/>
                            <w:right w:val="none" w:sz="0" w:space="0" w:color="auto"/>
                          </w:divBdr>
                          <w:divsChild>
                            <w:div w:id="8614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0-66431-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E7680-C5E2-4C18-AB12-F1477F2F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12</Pages>
  <Words>5355</Words>
  <Characters>30526</Characters>
  <Application>Microsoft Office Word</Application>
  <DocSecurity>0</DocSecurity>
  <Lines>254</Lines>
  <Paragraphs>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26</cp:revision>
  <dcterms:created xsi:type="dcterms:W3CDTF">2025-09-30T07:10:00Z</dcterms:created>
  <dcterms:modified xsi:type="dcterms:W3CDTF">2025-12-09T10:04:00Z</dcterms:modified>
</cp:coreProperties>
</file>