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9CA41" w14:textId="77777777" w:rsidR="006F323C" w:rsidRPr="00754FA8" w:rsidRDefault="006F323C" w:rsidP="00F71AA7">
      <w:pPr>
        <w:bidi w:val="0"/>
        <w:spacing w:before="100" w:beforeAutospacing="1" w:after="100" w:afterAutospacing="1" w:line="240" w:lineRule="auto"/>
        <w:jc w:val="center"/>
        <w:rPr>
          <w:rFonts w:asciiTheme="majorBidi" w:hAnsiTheme="majorBidi" w:cstheme="majorBidi"/>
          <w:b/>
          <w:bCs/>
          <w:sz w:val="28"/>
          <w:szCs w:val="28"/>
        </w:rPr>
      </w:pPr>
      <w:r w:rsidRPr="00754FA8">
        <w:rPr>
          <w:rFonts w:asciiTheme="majorBidi" w:hAnsiTheme="majorBidi" w:cstheme="majorBidi"/>
          <w:b/>
          <w:bCs/>
          <w:sz w:val="28"/>
          <w:szCs w:val="28"/>
        </w:rPr>
        <w:t xml:space="preserve">Microbial </w:t>
      </w:r>
      <w:r w:rsidR="00EA089A" w:rsidRPr="00754FA8">
        <w:rPr>
          <w:rFonts w:asciiTheme="majorBidi" w:hAnsiTheme="majorBidi" w:cstheme="majorBidi"/>
          <w:b/>
          <w:bCs/>
          <w:sz w:val="28"/>
          <w:szCs w:val="28"/>
        </w:rPr>
        <w:t>p</w:t>
      </w:r>
      <w:r w:rsidRPr="00754FA8">
        <w:rPr>
          <w:rFonts w:asciiTheme="majorBidi" w:hAnsiTheme="majorBidi" w:cstheme="majorBidi"/>
          <w:b/>
          <w:bCs/>
          <w:sz w:val="28"/>
          <w:szCs w:val="28"/>
        </w:rPr>
        <w:t xml:space="preserve">ollution in the </w:t>
      </w:r>
      <w:r w:rsidR="00EA089A">
        <w:rPr>
          <w:rFonts w:asciiTheme="majorBidi" w:hAnsiTheme="majorBidi" w:cstheme="majorBidi"/>
          <w:b/>
          <w:bCs/>
          <w:sz w:val="28"/>
          <w:szCs w:val="28"/>
        </w:rPr>
        <w:t>muscle tissue of</w:t>
      </w:r>
      <w:r w:rsidRPr="00754FA8">
        <w:rPr>
          <w:rFonts w:asciiTheme="majorBidi" w:hAnsiTheme="majorBidi" w:cstheme="majorBidi"/>
          <w:b/>
          <w:bCs/>
          <w:sz w:val="28"/>
          <w:szCs w:val="28"/>
        </w:rPr>
        <w:t xml:space="preserve"> </w:t>
      </w:r>
      <w:r w:rsidRPr="001B7367">
        <w:rPr>
          <w:rFonts w:asciiTheme="majorBidi" w:hAnsiTheme="majorBidi" w:cstheme="majorBidi"/>
          <w:b/>
          <w:bCs/>
          <w:i/>
          <w:iCs/>
          <w:sz w:val="28"/>
          <w:szCs w:val="28"/>
        </w:rPr>
        <w:t>Siganus rivulatus</w:t>
      </w:r>
      <w:r w:rsidRPr="00754FA8">
        <w:rPr>
          <w:rFonts w:asciiTheme="majorBidi" w:hAnsiTheme="majorBidi" w:cstheme="majorBidi"/>
          <w:b/>
          <w:bCs/>
          <w:sz w:val="28"/>
          <w:szCs w:val="28"/>
        </w:rPr>
        <w:t xml:space="preserve"> from the Syrian Coast</w:t>
      </w:r>
    </w:p>
    <w:p w14:paraId="7A04139B" w14:textId="77777777" w:rsidR="00125F61" w:rsidRPr="00754FA8" w:rsidRDefault="00125F61" w:rsidP="00125F61">
      <w:pPr>
        <w:bidi w:val="0"/>
        <w:spacing w:before="100" w:beforeAutospacing="1" w:after="100" w:afterAutospacing="1" w:line="240" w:lineRule="auto"/>
        <w:jc w:val="center"/>
        <w:rPr>
          <w:rFonts w:asciiTheme="majorBidi" w:hAnsiTheme="majorBidi" w:cstheme="majorBidi"/>
          <w:sz w:val="24"/>
          <w:szCs w:val="24"/>
        </w:rPr>
      </w:pPr>
    </w:p>
    <w:p w14:paraId="7ABAC5C7" w14:textId="77777777" w:rsidR="006F323C" w:rsidRPr="00754FA8" w:rsidRDefault="006F323C" w:rsidP="005A63E9">
      <w:pPr>
        <w:bidi w:val="0"/>
        <w:spacing w:before="100" w:beforeAutospacing="1" w:after="100" w:afterAutospacing="1" w:line="240" w:lineRule="auto"/>
        <w:jc w:val="both"/>
        <w:rPr>
          <w:rFonts w:asciiTheme="majorBidi" w:hAnsiTheme="majorBidi" w:cstheme="majorBidi"/>
          <w:sz w:val="24"/>
          <w:szCs w:val="24"/>
          <w:rtl/>
        </w:rPr>
      </w:pPr>
    </w:p>
    <w:p w14:paraId="6A426571" w14:textId="77777777" w:rsidR="006F323C" w:rsidRPr="00F7120B" w:rsidRDefault="006F323C" w:rsidP="00F7120B">
      <w:pPr>
        <w:bidi w:val="0"/>
        <w:spacing w:before="100" w:beforeAutospacing="1" w:after="100" w:afterAutospacing="1" w:line="240" w:lineRule="auto"/>
        <w:jc w:val="both"/>
        <w:rPr>
          <w:rFonts w:asciiTheme="majorBidi" w:hAnsiTheme="majorBidi" w:cstheme="majorBidi"/>
          <w:b/>
          <w:bCs/>
          <w:sz w:val="24"/>
          <w:szCs w:val="24"/>
          <w:rtl/>
        </w:rPr>
      </w:pPr>
      <w:r w:rsidRPr="00754FA8">
        <w:rPr>
          <w:rFonts w:asciiTheme="majorBidi" w:hAnsiTheme="majorBidi" w:cstheme="majorBidi"/>
          <w:b/>
          <w:bCs/>
          <w:sz w:val="24"/>
          <w:szCs w:val="24"/>
        </w:rPr>
        <w:t>Abstract</w:t>
      </w:r>
    </w:p>
    <w:p w14:paraId="103A8D86" w14:textId="77777777" w:rsidR="006F323C" w:rsidRPr="002566D6" w:rsidRDefault="002566D6" w:rsidP="00A34DAA">
      <w:pPr>
        <w:bidi w:val="0"/>
        <w:spacing w:before="100" w:beforeAutospacing="1" w:after="100" w:afterAutospacing="1" w:line="240" w:lineRule="auto"/>
        <w:jc w:val="both"/>
        <w:rPr>
          <w:rFonts w:asciiTheme="majorBidi" w:hAnsiTheme="majorBidi" w:cstheme="majorBidi"/>
          <w:sz w:val="24"/>
          <w:szCs w:val="24"/>
          <w:rtl/>
          <w:lang w:val="en-US"/>
        </w:rPr>
      </w:pPr>
      <w:r w:rsidRPr="002566D6">
        <w:rPr>
          <w:rFonts w:asciiTheme="majorBidi" w:hAnsiTheme="majorBidi" w:cstheme="majorBidi"/>
          <w:sz w:val="24"/>
          <w:szCs w:val="24"/>
          <w:lang w:val="en-US"/>
        </w:rPr>
        <w:t xml:space="preserve">The marine environment plays an essential role in providing food resources, yet it is highly vulnerable to microbial contamination. This study aimed to evaluate the microbial load in the muscle tissue of </w:t>
      </w:r>
      <w:r w:rsidRPr="00A34DAA">
        <w:rPr>
          <w:rFonts w:asciiTheme="majorBidi" w:hAnsiTheme="majorBidi" w:cstheme="majorBidi"/>
          <w:i/>
          <w:iCs/>
          <w:sz w:val="24"/>
          <w:szCs w:val="24"/>
          <w:lang w:val="en-US"/>
        </w:rPr>
        <w:t>Siganus rivulatus</w:t>
      </w:r>
      <w:r w:rsidRPr="002566D6">
        <w:rPr>
          <w:rFonts w:asciiTheme="majorBidi" w:hAnsiTheme="majorBidi" w:cstheme="majorBidi"/>
          <w:sz w:val="24"/>
          <w:szCs w:val="24"/>
          <w:lang w:val="en-US"/>
        </w:rPr>
        <w:t xml:space="preserve"> collected from two coastal sites in Tartous, Syria, and to identify the dominant microbial species. Fish samples were collected seasonally from September 202</w:t>
      </w:r>
      <w:r w:rsidR="00E25583">
        <w:rPr>
          <w:rFonts w:asciiTheme="majorBidi" w:hAnsiTheme="majorBidi" w:cstheme="majorBidi"/>
          <w:sz w:val="24"/>
          <w:szCs w:val="24"/>
          <w:lang w:val="en-US"/>
        </w:rPr>
        <w:t>3</w:t>
      </w:r>
      <w:r w:rsidRPr="002566D6">
        <w:rPr>
          <w:rFonts w:asciiTheme="majorBidi" w:hAnsiTheme="majorBidi" w:cstheme="majorBidi"/>
          <w:sz w:val="24"/>
          <w:szCs w:val="24"/>
          <w:lang w:val="en-US"/>
        </w:rPr>
        <w:t xml:space="preserve"> to August 202</w:t>
      </w:r>
      <w:r w:rsidR="00E25583">
        <w:rPr>
          <w:rFonts w:asciiTheme="majorBidi" w:hAnsiTheme="majorBidi" w:cstheme="majorBidi"/>
          <w:sz w:val="24"/>
          <w:szCs w:val="24"/>
          <w:lang w:val="en-US"/>
        </w:rPr>
        <w:t>4</w:t>
      </w:r>
      <w:r w:rsidRPr="002566D6">
        <w:rPr>
          <w:rFonts w:asciiTheme="majorBidi" w:hAnsiTheme="majorBidi" w:cstheme="majorBidi"/>
          <w:sz w:val="24"/>
          <w:szCs w:val="24"/>
          <w:lang w:val="en-US"/>
        </w:rPr>
        <w:t xml:space="preserve">. </w:t>
      </w:r>
      <w:r w:rsidR="00E1645D" w:rsidRPr="00410E36">
        <w:rPr>
          <w:rStyle w:val="NormalWebChar"/>
          <w:rFonts w:eastAsiaTheme="minorHAnsi"/>
        </w:rPr>
        <w:t>Total aerobic</w:t>
      </w:r>
      <w:r w:rsidR="007A2A16">
        <w:rPr>
          <w:rStyle w:val="NormalWebChar"/>
          <w:rFonts w:eastAsiaTheme="minorHAnsi"/>
        </w:rPr>
        <w:t xml:space="preserve"> </w:t>
      </w:r>
      <w:r w:rsidR="00E1645D" w:rsidRPr="00410E36">
        <w:rPr>
          <w:rStyle w:val="NormalWebChar"/>
          <w:rFonts w:eastAsiaTheme="minorHAnsi"/>
        </w:rPr>
        <w:t>plate count</w:t>
      </w:r>
      <w:r w:rsidR="00410E36">
        <w:rPr>
          <w:rFonts w:asciiTheme="majorBidi" w:hAnsiTheme="majorBidi" w:cstheme="majorBidi"/>
          <w:sz w:val="24"/>
          <w:szCs w:val="24"/>
          <w:lang w:val="en-US"/>
        </w:rPr>
        <w:t xml:space="preserve"> </w:t>
      </w:r>
      <w:r w:rsidR="00410E36">
        <w:rPr>
          <w:rFonts w:ascii="Times New Roman" w:eastAsiaTheme="minorHAnsi" w:hAnsi="Times New Roman" w:cs="Times New Roman"/>
          <w:sz w:val="24"/>
          <w:szCs w:val="24"/>
          <w:lang w:val="en-US"/>
        </w:rPr>
        <w:t>(TAPC)</w:t>
      </w:r>
      <w:r w:rsidRPr="002566D6">
        <w:rPr>
          <w:rFonts w:asciiTheme="majorBidi" w:hAnsiTheme="majorBidi" w:cstheme="majorBidi"/>
          <w:sz w:val="24"/>
          <w:szCs w:val="24"/>
          <w:lang w:val="en-US"/>
        </w:rPr>
        <w:t xml:space="preserve"> and selective culture media were used for microbial identification. Results showed that the microbial load</w:t>
      </w:r>
      <w:r w:rsidR="00367887" w:rsidRPr="00EA148B">
        <w:rPr>
          <w:rFonts w:asciiTheme="majorBidi" w:hAnsiTheme="majorBidi" w:cstheme="majorBidi"/>
          <w:sz w:val="24"/>
          <w:szCs w:val="24"/>
          <w:lang w:val="en-US"/>
        </w:rPr>
        <w:t xml:space="preserve">, ranged </w:t>
      </w:r>
      <w:r w:rsidR="00367887" w:rsidRPr="00F7120B">
        <w:rPr>
          <w:rFonts w:asciiTheme="majorBidi" w:hAnsiTheme="majorBidi" w:cstheme="majorBidi"/>
          <w:sz w:val="24"/>
          <w:szCs w:val="24"/>
          <w:lang w:val="en-US"/>
        </w:rPr>
        <w:t>between (</w:t>
      </w:r>
      <w:r w:rsidR="007A2A16" w:rsidRPr="00F7120B">
        <w:rPr>
          <w:rFonts w:asciiTheme="majorBidi" w:hAnsiTheme="majorBidi" w:cstheme="majorBidi"/>
          <w:sz w:val="24"/>
          <w:szCs w:val="24"/>
          <w:lang w:val="en-US"/>
        </w:rPr>
        <w:t>0.7</w:t>
      </w:r>
      <w:r w:rsidR="00A34DAA" w:rsidRPr="00A34DAA">
        <w:rPr>
          <w:rFonts w:asciiTheme="majorBidi" w:hAnsiTheme="majorBidi" w:cstheme="majorBidi" w:hint="eastAsia"/>
          <w:sz w:val="24"/>
          <w:szCs w:val="24"/>
          <w:lang w:val="en-US"/>
        </w:rPr>
        <w:t>×</w:t>
      </w:r>
      <w:r w:rsidR="00367887" w:rsidRPr="00F7120B">
        <w:rPr>
          <w:rFonts w:asciiTheme="majorBidi" w:hAnsiTheme="majorBidi" w:cstheme="majorBidi"/>
          <w:sz w:val="24"/>
          <w:szCs w:val="24"/>
          <w:lang w:val="en-US"/>
        </w:rPr>
        <w:t>10</w:t>
      </w:r>
      <w:r w:rsidR="00367887" w:rsidRPr="00F7120B">
        <w:rPr>
          <w:rFonts w:asciiTheme="majorBidi" w:hAnsiTheme="majorBidi" w:cstheme="majorBidi"/>
          <w:sz w:val="24"/>
          <w:szCs w:val="24"/>
          <w:vertAlign w:val="superscript"/>
          <w:lang w:val="en-US"/>
        </w:rPr>
        <w:t>2</w:t>
      </w:r>
      <w:r w:rsidR="00367887" w:rsidRPr="00F7120B">
        <w:rPr>
          <w:rFonts w:asciiTheme="majorBidi" w:hAnsiTheme="majorBidi" w:cstheme="majorBidi"/>
          <w:sz w:val="24"/>
          <w:szCs w:val="24"/>
          <w:lang w:val="en-US"/>
        </w:rPr>
        <w:t xml:space="preserve"> - 3</w:t>
      </w:r>
      <w:r w:rsidR="00A34DAA" w:rsidRPr="00A34DAA">
        <w:rPr>
          <w:rFonts w:asciiTheme="majorBidi" w:hAnsiTheme="majorBidi" w:cstheme="majorBidi" w:hint="eastAsia"/>
          <w:sz w:val="24"/>
          <w:szCs w:val="24"/>
          <w:lang w:val="en-US"/>
        </w:rPr>
        <w:t>×</w:t>
      </w:r>
      <w:r w:rsidR="00367887" w:rsidRPr="00F7120B">
        <w:rPr>
          <w:rFonts w:asciiTheme="majorBidi" w:hAnsiTheme="majorBidi" w:cstheme="majorBidi"/>
          <w:sz w:val="24"/>
          <w:szCs w:val="24"/>
          <w:lang w:val="en-US"/>
        </w:rPr>
        <w:t>10</w:t>
      </w:r>
      <w:r w:rsidR="00367887" w:rsidRPr="00F7120B">
        <w:rPr>
          <w:rFonts w:asciiTheme="majorBidi" w:hAnsiTheme="majorBidi" w:cstheme="majorBidi"/>
          <w:sz w:val="24"/>
          <w:szCs w:val="24"/>
          <w:vertAlign w:val="superscript"/>
          <w:lang w:val="en-US"/>
        </w:rPr>
        <w:t>2</w:t>
      </w:r>
      <w:r w:rsidR="00367887" w:rsidRPr="00F7120B">
        <w:rPr>
          <w:rFonts w:asciiTheme="majorBidi" w:hAnsiTheme="majorBidi" w:cstheme="majorBidi"/>
          <w:sz w:val="24"/>
          <w:szCs w:val="24"/>
          <w:lang w:val="en-US"/>
        </w:rPr>
        <w:t>)</w:t>
      </w:r>
      <w:r w:rsidR="007A2A16" w:rsidRPr="00F7120B">
        <w:rPr>
          <w:rFonts w:asciiTheme="majorBidi" w:hAnsiTheme="majorBidi" w:cstheme="majorBidi"/>
          <w:sz w:val="24"/>
          <w:szCs w:val="24"/>
          <w:lang w:val="en-US"/>
        </w:rPr>
        <w:t xml:space="preserve"> </w:t>
      </w:r>
      <w:r w:rsidR="007A2A16">
        <w:rPr>
          <w:rFonts w:asciiTheme="majorBidi" w:hAnsiTheme="majorBidi" w:cstheme="majorBidi"/>
          <w:sz w:val="24"/>
          <w:szCs w:val="24"/>
          <w:lang w:val="en-US"/>
        </w:rPr>
        <w:t>cfu/g</w:t>
      </w:r>
      <w:r w:rsidR="00367887">
        <w:rPr>
          <w:rFonts w:asciiTheme="majorBidi" w:hAnsiTheme="majorBidi" w:cstheme="majorBidi"/>
          <w:sz w:val="24"/>
          <w:szCs w:val="24"/>
          <w:lang w:val="en-US"/>
        </w:rPr>
        <w:t>.</w:t>
      </w:r>
      <w:r w:rsidRPr="002566D6">
        <w:rPr>
          <w:rFonts w:asciiTheme="majorBidi" w:hAnsiTheme="majorBidi" w:cstheme="majorBidi"/>
          <w:sz w:val="24"/>
          <w:szCs w:val="24"/>
          <w:lang w:val="en-US"/>
        </w:rPr>
        <w:t xml:space="preserve"> </w:t>
      </w:r>
      <w:r w:rsidR="00367887">
        <w:rPr>
          <w:rFonts w:asciiTheme="majorBidi" w:hAnsiTheme="majorBidi" w:cstheme="majorBidi"/>
          <w:sz w:val="24"/>
          <w:szCs w:val="24"/>
          <w:lang w:val="en-US"/>
        </w:rPr>
        <w:t xml:space="preserve">It </w:t>
      </w:r>
      <w:r w:rsidR="00EA148B">
        <w:rPr>
          <w:rFonts w:asciiTheme="majorBidi" w:hAnsiTheme="majorBidi" w:cstheme="majorBidi"/>
          <w:sz w:val="24"/>
          <w:szCs w:val="24"/>
          <w:lang w:val="en-US"/>
        </w:rPr>
        <w:t xml:space="preserve">was higher at </w:t>
      </w:r>
      <w:r w:rsidRPr="002566D6">
        <w:rPr>
          <w:rFonts w:asciiTheme="majorBidi" w:hAnsiTheme="majorBidi" w:cstheme="majorBidi"/>
          <w:sz w:val="24"/>
          <w:szCs w:val="24"/>
          <w:lang w:val="en-US"/>
        </w:rPr>
        <w:t xml:space="preserve">Tartous Corniche site, with the highest values recorded during summer. Detected microorganisms included </w:t>
      </w:r>
      <w:r w:rsidRPr="002566D6">
        <w:rPr>
          <w:rFonts w:asciiTheme="majorBidi" w:hAnsiTheme="majorBidi" w:cstheme="majorBidi"/>
          <w:i/>
          <w:iCs/>
          <w:sz w:val="24"/>
          <w:szCs w:val="24"/>
          <w:lang w:val="en-US"/>
        </w:rPr>
        <w:t>Escherichia coli, Salmonella spp., Shigella sp., and Pseudomonas spp.</w:t>
      </w:r>
      <w:r w:rsidRPr="002566D6">
        <w:rPr>
          <w:rFonts w:asciiTheme="majorBidi" w:hAnsiTheme="majorBidi" w:cstheme="majorBidi"/>
          <w:sz w:val="24"/>
          <w:szCs w:val="24"/>
          <w:lang w:val="en-US"/>
        </w:rPr>
        <w:t>, all within the permissible limits of the Syrian Standard (10</w:t>
      </w:r>
      <w:r w:rsidRPr="002566D6">
        <w:rPr>
          <w:rFonts w:ascii="Cambria Math" w:hAnsi="Cambria Math" w:cs="Cambria Math"/>
          <w:sz w:val="24"/>
          <w:szCs w:val="24"/>
          <w:lang w:val="en-US"/>
        </w:rPr>
        <w:t>⁵</w:t>
      </w:r>
      <w:r w:rsidRPr="002566D6">
        <w:rPr>
          <w:rFonts w:ascii="Times New Roman" w:hAnsi="Times New Roman" w:cs="Times New Roman"/>
          <w:sz w:val="24"/>
          <w:szCs w:val="24"/>
          <w:lang w:val="en-US"/>
        </w:rPr>
        <w:t>–</w:t>
      </w:r>
      <w:r w:rsidRPr="002566D6">
        <w:rPr>
          <w:rFonts w:asciiTheme="majorBidi" w:hAnsiTheme="majorBidi" w:cstheme="majorBidi"/>
          <w:sz w:val="24"/>
          <w:szCs w:val="24"/>
          <w:lang w:val="en-US"/>
        </w:rPr>
        <w:t>10</w:t>
      </w:r>
      <w:r w:rsidRPr="002566D6">
        <w:rPr>
          <w:rFonts w:ascii="Cambria Math" w:hAnsi="Cambria Math" w:cs="Cambria Math"/>
          <w:sz w:val="24"/>
          <w:szCs w:val="24"/>
          <w:lang w:val="en-US"/>
        </w:rPr>
        <w:t>⁶</w:t>
      </w:r>
      <w:r w:rsidRPr="002566D6">
        <w:rPr>
          <w:rFonts w:asciiTheme="majorBidi" w:hAnsiTheme="majorBidi" w:cstheme="majorBidi"/>
          <w:sz w:val="24"/>
          <w:szCs w:val="24"/>
          <w:lang w:val="en-US"/>
        </w:rPr>
        <w:t xml:space="preserve"> cfu/g). These findings indicate that the fish are generally safe for human consumption, although continuous monitoring is recommended.</w:t>
      </w:r>
    </w:p>
    <w:p w14:paraId="31540F9E" w14:textId="77777777" w:rsidR="00D95C4E" w:rsidRDefault="004B7653" w:rsidP="00D95C4E">
      <w:pPr>
        <w:bidi w:val="0"/>
        <w:spacing w:before="100" w:beforeAutospacing="1" w:after="100" w:afterAutospacing="1" w:line="240" w:lineRule="auto"/>
        <w:jc w:val="both"/>
        <w:rPr>
          <w:rFonts w:asciiTheme="majorBidi" w:hAnsiTheme="majorBidi" w:cstheme="majorBidi"/>
        </w:rPr>
      </w:pPr>
      <w:r w:rsidRPr="00754FA8">
        <w:rPr>
          <w:rFonts w:asciiTheme="majorBidi" w:hAnsiTheme="majorBidi" w:cstheme="majorBidi"/>
          <w:b/>
          <w:bCs/>
          <w:noProof/>
          <w:sz w:val="24"/>
          <w:szCs w:val="24"/>
          <w:lang w:val="en-US"/>
        </w:rPr>
        <mc:AlternateContent>
          <mc:Choice Requires="wps">
            <w:drawing>
              <wp:anchor distT="0" distB="0" distL="114300" distR="114300" simplePos="0" relativeHeight="251661312" behindDoc="0" locked="0" layoutInCell="1" allowOverlap="1" wp14:anchorId="07BCAE46" wp14:editId="6C76621C">
                <wp:simplePos x="0" y="0"/>
                <wp:positionH relativeFrom="column">
                  <wp:posOffset>-24765</wp:posOffset>
                </wp:positionH>
                <wp:positionV relativeFrom="paragraph">
                  <wp:posOffset>356235</wp:posOffset>
                </wp:positionV>
                <wp:extent cx="5609590" cy="0"/>
                <wp:effectExtent l="0" t="0" r="10160" b="19050"/>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9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805CF" id="_x0000_t32" coordsize="21600,21600" o:spt="32" o:oned="t" path="m,l21600,21600e" filled="f">
                <v:path arrowok="t" fillok="f" o:connecttype="none"/>
                <o:lock v:ext="edit" shapetype="t"/>
              </v:shapetype>
              <v:shape id="رابط كسهم مستقيم 9" o:spid="_x0000_s1026" type="#_x0000_t32" style="position:absolute;margin-left:-1.95pt;margin-top:28.05pt;width:441.7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"/>
            </w:pict>
          </mc:Fallback>
        </mc:AlternateContent>
      </w:r>
      <w:r w:rsidR="006F323C" w:rsidRPr="00754FA8">
        <w:rPr>
          <w:rFonts w:asciiTheme="majorBidi" w:hAnsiTheme="majorBidi" w:cstheme="majorBidi"/>
          <w:b/>
          <w:bCs/>
          <w:sz w:val="24"/>
          <w:szCs w:val="24"/>
        </w:rPr>
        <w:t>Keywords</w:t>
      </w:r>
      <w:r w:rsidR="006F323C" w:rsidRPr="00754FA8">
        <w:rPr>
          <w:rFonts w:asciiTheme="majorBidi" w:hAnsiTheme="majorBidi" w:cstheme="majorBidi"/>
          <w:sz w:val="24"/>
          <w:szCs w:val="24"/>
        </w:rPr>
        <w:t xml:space="preserve">: Microbial </w:t>
      </w:r>
      <w:r w:rsidR="002F2993">
        <w:rPr>
          <w:rFonts w:asciiTheme="majorBidi" w:hAnsiTheme="majorBidi" w:cstheme="majorBidi"/>
          <w:sz w:val="24"/>
          <w:szCs w:val="24"/>
        </w:rPr>
        <w:t>load</w:t>
      </w:r>
      <w:r w:rsidR="006F323C" w:rsidRPr="00754FA8">
        <w:rPr>
          <w:rFonts w:asciiTheme="majorBidi" w:hAnsiTheme="majorBidi" w:cstheme="majorBidi"/>
          <w:sz w:val="24"/>
          <w:szCs w:val="24"/>
        </w:rPr>
        <w:t>,</w:t>
      </w:r>
      <w:r w:rsidR="002F2993">
        <w:rPr>
          <w:rFonts w:asciiTheme="majorBidi" w:hAnsiTheme="majorBidi" w:cstheme="majorBidi"/>
          <w:sz w:val="24"/>
          <w:szCs w:val="24"/>
        </w:rPr>
        <w:t xml:space="preserve"> </w:t>
      </w:r>
      <w:r w:rsidR="002F2993" w:rsidRPr="00A34DAA">
        <w:rPr>
          <w:rFonts w:asciiTheme="majorBidi" w:hAnsiTheme="majorBidi" w:cstheme="majorBidi"/>
          <w:i/>
          <w:iCs/>
          <w:sz w:val="24"/>
          <w:szCs w:val="24"/>
          <w:lang w:val="en-US"/>
        </w:rPr>
        <w:t>Siganus rivulatus</w:t>
      </w:r>
      <w:r w:rsidR="002F2993">
        <w:rPr>
          <w:rFonts w:asciiTheme="majorBidi" w:hAnsiTheme="majorBidi" w:cstheme="majorBidi"/>
          <w:i/>
          <w:iCs/>
          <w:sz w:val="24"/>
          <w:szCs w:val="24"/>
          <w:lang w:val="en-US"/>
        </w:rPr>
        <w:t>,</w:t>
      </w:r>
      <w:r w:rsidR="006F323C" w:rsidRPr="00754FA8">
        <w:rPr>
          <w:rFonts w:asciiTheme="majorBidi" w:hAnsiTheme="majorBidi" w:cstheme="majorBidi"/>
          <w:sz w:val="24"/>
          <w:szCs w:val="24"/>
        </w:rPr>
        <w:t xml:space="preserve"> </w:t>
      </w:r>
      <w:r w:rsidR="00D95C4E" w:rsidRPr="00D95C4E">
        <w:rPr>
          <w:rFonts w:asciiTheme="majorBidi" w:hAnsiTheme="majorBidi" w:cstheme="majorBidi"/>
          <w:sz w:val="24"/>
          <w:szCs w:val="24"/>
          <w:lang w:val="en-US"/>
        </w:rPr>
        <w:t>Syrian coast, TAPC, fecal indicator bacteria, marine pollution</w:t>
      </w:r>
      <w:r w:rsidR="00D95C4E" w:rsidRPr="00D95C4E">
        <w:rPr>
          <w:rFonts w:asciiTheme="majorBidi" w:hAnsiTheme="majorBidi" w:cstheme="majorBidi"/>
          <w:sz w:val="24"/>
          <w:szCs w:val="24"/>
        </w:rPr>
        <w:t>.</w:t>
      </w:r>
    </w:p>
    <w:p w14:paraId="3E38F884" w14:textId="77777777" w:rsidR="006F323C" w:rsidRPr="001B7367" w:rsidRDefault="006F323C" w:rsidP="005A63E9">
      <w:pPr>
        <w:bidi w:val="0"/>
        <w:spacing w:before="100" w:beforeAutospacing="1" w:after="100" w:afterAutospacing="1" w:line="240" w:lineRule="auto"/>
        <w:jc w:val="both"/>
        <w:rPr>
          <w:rFonts w:asciiTheme="majorBidi" w:hAnsiTheme="majorBidi" w:cstheme="majorBidi"/>
          <w:b/>
          <w:bCs/>
          <w:sz w:val="28"/>
          <w:szCs w:val="28"/>
        </w:rPr>
      </w:pPr>
      <w:r w:rsidRPr="001B7367">
        <w:rPr>
          <w:rFonts w:asciiTheme="majorBidi" w:hAnsiTheme="majorBidi" w:cstheme="majorBidi"/>
          <w:b/>
          <w:bCs/>
          <w:sz w:val="28"/>
          <w:szCs w:val="28"/>
        </w:rPr>
        <w:t>1- Introduction:</w:t>
      </w:r>
    </w:p>
    <w:p w14:paraId="2AA2C209" w14:textId="77777777" w:rsidR="006F323C" w:rsidRPr="00754FA8" w:rsidRDefault="00F80ACF" w:rsidP="00F77344">
      <w:pPr>
        <w:bidi w:val="0"/>
        <w:spacing w:before="100" w:beforeAutospacing="1" w:after="100" w:afterAutospacing="1" w:line="240" w:lineRule="auto"/>
        <w:jc w:val="both"/>
        <w:rPr>
          <w:rFonts w:asciiTheme="majorBidi" w:hAnsiTheme="majorBidi" w:cstheme="majorBidi"/>
          <w:sz w:val="24"/>
          <w:szCs w:val="24"/>
        </w:rPr>
      </w:pPr>
      <w:r w:rsidRPr="00F80ACF">
        <w:rPr>
          <w:rFonts w:asciiTheme="majorBidi" w:hAnsiTheme="majorBidi" w:cstheme="majorBidi"/>
          <w:sz w:val="24"/>
          <w:szCs w:val="24"/>
        </w:rPr>
        <w:t>Fish constitute an essential component of marine ecosystems and serve as a major source of protein for humans. In Syria, marine fish represent a significant portion of annual fish production</w:t>
      </w:r>
      <w:r w:rsidR="006F323C" w:rsidRPr="00754FA8">
        <w:rPr>
          <w:rFonts w:asciiTheme="majorBidi" w:hAnsiTheme="majorBidi" w:cstheme="majorBidi"/>
          <w:sz w:val="24"/>
          <w:szCs w:val="24"/>
        </w:rPr>
        <w:t xml:space="preserve">, compared to 54% from freshwater fish (Syrian Agricultural Statistical Abstract, 2020). </w:t>
      </w:r>
      <w:r w:rsidR="0088629B" w:rsidRPr="0088629B">
        <w:rPr>
          <w:rFonts w:asciiTheme="majorBidi" w:hAnsiTheme="majorBidi" w:cstheme="majorBidi"/>
          <w:sz w:val="24"/>
          <w:szCs w:val="24"/>
        </w:rPr>
        <w:t xml:space="preserve">However, increasing pollution from industrial, domestic, and tourism activities threatens marine biodiversity and fish quality </w:t>
      </w:r>
      <w:r w:rsidR="006F323C" w:rsidRPr="00754FA8">
        <w:rPr>
          <w:rFonts w:asciiTheme="majorBidi" w:hAnsiTheme="majorBidi" w:cstheme="majorBidi"/>
          <w:sz w:val="24"/>
          <w:szCs w:val="24"/>
        </w:rPr>
        <w:t>(FAO, 2012</w:t>
      </w:r>
      <w:r w:rsidR="00367EEB">
        <w:rPr>
          <w:rFonts w:asciiTheme="majorBidi" w:hAnsiTheme="majorBidi" w:cstheme="majorBidi"/>
          <w:sz w:val="24"/>
          <w:szCs w:val="24"/>
        </w:rPr>
        <w:t xml:space="preserve">; </w:t>
      </w:r>
      <w:r w:rsidR="00367EEB">
        <w:rPr>
          <w:rFonts w:ascii="Times New Roman" w:eastAsiaTheme="minorHAnsi" w:hAnsi="Times New Roman" w:cs="Times New Roman"/>
          <w:sz w:val="24"/>
          <w:szCs w:val="24"/>
          <w:lang w:val="en-US"/>
        </w:rPr>
        <w:t>Oehlenschlager, 2014</w:t>
      </w:r>
      <w:r w:rsidR="006F323C" w:rsidRPr="00754FA8">
        <w:rPr>
          <w:rFonts w:asciiTheme="majorBidi" w:hAnsiTheme="majorBidi" w:cstheme="majorBidi"/>
          <w:sz w:val="24"/>
          <w:szCs w:val="24"/>
        </w:rPr>
        <w:t>), which has led to a decline in fish production and, in some cases, even its complete deterioration. Some fish species have disappeared due to food scarcity (Al-Shiwi, 2013</w:t>
      </w:r>
      <w:r w:rsidR="00E151DC">
        <w:rPr>
          <w:rFonts w:asciiTheme="majorBidi" w:hAnsiTheme="majorBidi" w:cstheme="majorBidi"/>
          <w:sz w:val="24"/>
          <w:szCs w:val="24"/>
        </w:rPr>
        <w:t xml:space="preserve">; </w:t>
      </w:r>
      <w:r w:rsidR="00E151DC" w:rsidRPr="00754FA8">
        <w:rPr>
          <w:rFonts w:asciiTheme="majorBidi" w:hAnsiTheme="majorBidi" w:cstheme="majorBidi"/>
          <w:sz w:val="24"/>
          <w:szCs w:val="24"/>
        </w:rPr>
        <w:t>Sulaiman and Mohammad, 2017</w:t>
      </w:r>
      <w:r w:rsidR="006F323C" w:rsidRPr="00754FA8">
        <w:rPr>
          <w:rFonts w:asciiTheme="majorBidi" w:hAnsiTheme="majorBidi" w:cstheme="majorBidi"/>
          <w:sz w:val="24"/>
          <w:szCs w:val="24"/>
        </w:rPr>
        <w:t xml:space="preserve">). </w:t>
      </w:r>
      <w:r w:rsidR="00F77344" w:rsidRPr="00F77344">
        <w:rPr>
          <w:rFonts w:asciiTheme="majorBidi" w:hAnsiTheme="majorBidi" w:cstheme="majorBidi"/>
          <w:sz w:val="24"/>
          <w:szCs w:val="24"/>
        </w:rPr>
        <w:t>Microbial contamination is particularly concerning due to its ability to affect fish health and pose risks to consumers</w:t>
      </w:r>
      <w:r w:rsidR="006F323C" w:rsidRPr="00754FA8">
        <w:rPr>
          <w:rFonts w:asciiTheme="majorBidi" w:hAnsiTheme="majorBidi" w:cstheme="majorBidi"/>
          <w:sz w:val="24"/>
          <w:szCs w:val="24"/>
        </w:rPr>
        <w:t xml:space="preserve"> (Garcia </w:t>
      </w:r>
      <w:r w:rsidR="006F323C" w:rsidRPr="00754FA8">
        <w:rPr>
          <w:rFonts w:asciiTheme="majorBidi" w:hAnsiTheme="majorBidi" w:cstheme="majorBidi"/>
          <w:i/>
          <w:iCs/>
          <w:sz w:val="24"/>
          <w:szCs w:val="24"/>
        </w:rPr>
        <w:t>et al.</w:t>
      </w:r>
      <w:r w:rsidR="00F77344">
        <w:rPr>
          <w:rFonts w:asciiTheme="majorBidi" w:hAnsiTheme="majorBidi" w:cstheme="majorBidi"/>
          <w:sz w:val="24"/>
          <w:szCs w:val="24"/>
        </w:rPr>
        <w:t xml:space="preserve">, 2015; </w:t>
      </w:r>
      <w:r w:rsidR="006F323C" w:rsidRPr="00754FA8">
        <w:rPr>
          <w:rFonts w:asciiTheme="majorBidi" w:hAnsiTheme="majorBidi" w:cstheme="majorBidi"/>
          <w:sz w:val="24"/>
          <w:szCs w:val="24"/>
        </w:rPr>
        <w:t xml:space="preserve">Chong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2023).</w:t>
      </w:r>
    </w:p>
    <w:p w14:paraId="40FAA431" w14:textId="77777777" w:rsidR="006F323C" w:rsidRPr="00754FA8" w:rsidRDefault="006F323C" w:rsidP="005A63E9">
      <w:pPr>
        <w:bidi w:val="0"/>
        <w:spacing w:before="100" w:beforeAutospacing="1" w:after="100" w:afterAutospacing="1" w:line="240" w:lineRule="auto"/>
        <w:jc w:val="both"/>
        <w:rPr>
          <w:rFonts w:asciiTheme="majorBidi" w:hAnsiTheme="majorBidi" w:cstheme="majorBidi"/>
          <w:sz w:val="24"/>
          <w:szCs w:val="24"/>
        </w:rPr>
      </w:pPr>
      <w:r w:rsidRPr="00754FA8">
        <w:rPr>
          <w:rFonts w:asciiTheme="majorBidi" w:hAnsiTheme="majorBidi" w:cstheme="majorBidi"/>
          <w:sz w:val="24"/>
          <w:szCs w:val="24"/>
        </w:rPr>
        <w:t>Fish is a highly perishable food source, susceptible to any change. Bacterial activity, coupled with autolysis by enzymes naturally present in fish flesh, accelerates spoilage and causes visible deterioration, rendering it unacceptable to consumers (Elbaz and Mohammad, 2022).</w:t>
      </w:r>
    </w:p>
    <w:p w14:paraId="6A79CC3B" w14:textId="6EBE05A6" w:rsidR="006F323C" w:rsidRPr="00AC5F27" w:rsidRDefault="00E151DC" w:rsidP="009C2806">
      <w:pPr>
        <w:autoSpaceDE w:val="0"/>
        <w:autoSpaceDN w:val="0"/>
        <w:bidi w:val="0"/>
        <w:adjustRightInd w:val="0"/>
        <w:spacing w:after="0" w:line="240" w:lineRule="auto"/>
        <w:jc w:val="both"/>
        <w:rPr>
          <w:rFonts w:ascii="Times New Roman" w:eastAsiaTheme="minorHAnsi" w:hAnsi="Times New Roman" w:cs="Times New Roman"/>
          <w:sz w:val="24"/>
          <w:szCs w:val="24"/>
          <w:lang w:val="en-US"/>
        </w:rPr>
      </w:pPr>
      <w:r>
        <w:rPr>
          <w:rFonts w:asciiTheme="majorBidi" w:hAnsiTheme="majorBidi" w:cstheme="majorBidi"/>
          <w:sz w:val="24"/>
          <w:szCs w:val="24"/>
        </w:rPr>
        <w:t xml:space="preserve"> </w:t>
      </w:r>
      <w:r w:rsidR="006F323C" w:rsidRPr="00754FA8">
        <w:rPr>
          <w:rFonts w:asciiTheme="majorBidi" w:hAnsiTheme="majorBidi" w:cstheme="majorBidi"/>
          <w:sz w:val="24"/>
          <w:szCs w:val="24"/>
        </w:rPr>
        <w:t xml:space="preserve">Microbes are in balance in healthy, live fish, but they can cause disease under stressful conditions (De Bruijn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xml:space="preserve">., 2018; Medina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xml:space="preserve">., 2023). After fish die, microbes attack and damage fish tissues (Sikorski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2020). The autolysis of fish, due to the enzymes present, facilitates microbial attack on fish tissues through internal organs (Ghali, 2010), causing the emission of putrid odors and sometimes affecting the overall appearance of the fish species (Beverly, 2011). Some microbes produce toxins or byproducts called biotoxins, rendering fish unfit for human consumption without any visible spoilage. These toxins accumulate in fish tissues, leading to a condition known as histamine fish poisoning (Austin, 2006). This poisoning results from improper fish storage at unsuitable temperatures and an increase in amino acids like histamine, a phenomenon known as biological contamination</w:t>
      </w:r>
      <w:r w:rsidR="00AC5F27" w:rsidRPr="00AC5F27">
        <w:rPr>
          <w:rFonts w:asciiTheme="majorBidi" w:hAnsiTheme="majorBidi" w:cstheme="majorBidi"/>
          <w:sz w:val="24"/>
          <w:szCs w:val="24"/>
        </w:rPr>
        <w:t xml:space="preserve"> </w:t>
      </w:r>
      <w:r w:rsidR="00AC5F27">
        <w:rPr>
          <w:rFonts w:asciiTheme="majorBidi" w:hAnsiTheme="majorBidi" w:cstheme="majorBidi"/>
          <w:sz w:val="24"/>
          <w:szCs w:val="24"/>
        </w:rPr>
        <w:t>(</w:t>
      </w:r>
      <w:r w:rsidR="00AC5F27" w:rsidRPr="00754FA8">
        <w:rPr>
          <w:rFonts w:asciiTheme="majorBidi" w:hAnsiTheme="majorBidi" w:cstheme="majorBidi"/>
          <w:sz w:val="24"/>
          <w:szCs w:val="24"/>
        </w:rPr>
        <w:t xml:space="preserve">Begona </w:t>
      </w:r>
      <w:r w:rsidR="00AC5F27" w:rsidRPr="00754FA8">
        <w:rPr>
          <w:rFonts w:asciiTheme="majorBidi" w:hAnsiTheme="majorBidi" w:cstheme="majorBidi"/>
          <w:i/>
          <w:iCs/>
          <w:sz w:val="24"/>
          <w:szCs w:val="24"/>
        </w:rPr>
        <w:t>et al</w:t>
      </w:r>
      <w:r w:rsidR="00AC5F27" w:rsidRPr="00754FA8">
        <w:rPr>
          <w:rFonts w:asciiTheme="majorBidi" w:hAnsiTheme="majorBidi" w:cstheme="majorBidi"/>
          <w:sz w:val="24"/>
          <w:szCs w:val="24"/>
        </w:rPr>
        <w:t xml:space="preserve">., </w:t>
      </w:r>
      <w:r w:rsidR="00AC5F27" w:rsidRPr="00754FA8">
        <w:rPr>
          <w:rFonts w:asciiTheme="majorBidi" w:hAnsiTheme="majorBidi" w:cstheme="majorBidi"/>
          <w:sz w:val="24"/>
          <w:szCs w:val="24"/>
        </w:rPr>
        <w:lastRenderedPageBreak/>
        <w:t>1998)</w:t>
      </w:r>
      <w:r w:rsidR="006F323C" w:rsidRPr="00754FA8">
        <w:rPr>
          <w:rFonts w:asciiTheme="majorBidi" w:hAnsiTheme="majorBidi" w:cstheme="majorBidi"/>
          <w:sz w:val="24"/>
          <w:szCs w:val="24"/>
        </w:rPr>
        <w:t xml:space="preserve">. </w:t>
      </w:r>
      <w:r w:rsidR="00BE47E9" w:rsidRPr="00BC3A3C">
        <w:rPr>
          <w:rStyle w:val="NormalWebChar"/>
          <w:rFonts w:eastAsiaTheme="minorHAnsi"/>
        </w:rPr>
        <w:t>Fish tissue deterioration is attributed mainly to autolytic processes (due to the activity of the inherent</w:t>
      </w:r>
      <w:r w:rsidR="00AC5F27" w:rsidRPr="00BC3A3C">
        <w:rPr>
          <w:rStyle w:val="NormalWebChar"/>
          <w:rFonts w:eastAsiaTheme="minorHAnsi"/>
        </w:rPr>
        <w:t xml:space="preserve"> </w:t>
      </w:r>
      <w:r w:rsidR="00BE47E9" w:rsidRPr="00BC3A3C">
        <w:rPr>
          <w:rStyle w:val="NormalWebChar"/>
          <w:rFonts w:eastAsiaTheme="minorHAnsi"/>
        </w:rPr>
        <w:t>tissue and digestive enzymes), bacterial activity (due to microbial enzymes), spontaneous chemical</w:t>
      </w:r>
      <w:r w:rsidR="00AC5F27" w:rsidRPr="00BC3A3C">
        <w:rPr>
          <w:rStyle w:val="NormalWebChar"/>
          <w:rFonts w:eastAsiaTheme="minorHAnsi"/>
        </w:rPr>
        <w:t xml:space="preserve"> </w:t>
      </w:r>
      <w:r w:rsidR="00BE47E9" w:rsidRPr="00BC3A3C">
        <w:rPr>
          <w:rStyle w:val="NormalWebChar"/>
          <w:rFonts w:eastAsiaTheme="minorHAnsi"/>
        </w:rPr>
        <w:t>reactions (the oxidation of lipids/discoloration) and the loss of flesh compounds (Maria, 2019</w:t>
      </w:r>
      <w:r w:rsidR="00AC5F27" w:rsidRPr="00BC3A3C">
        <w:rPr>
          <w:rStyle w:val="NormalWebChar"/>
          <w:rFonts w:eastAsiaTheme="minorHAnsi"/>
        </w:rPr>
        <w:t>)</w:t>
      </w:r>
      <w:r w:rsidR="006F323C" w:rsidRPr="00754FA8">
        <w:rPr>
          <w:rFonts w:asciiTheme="majorBidi" w:hAnsiTheme="majorBidi" w:cstheme="majorBidi"/>
          <w:sz w:val="24"/>
          <w:szCs w:val="24"/>
        </w:rPr>
        <w:t xml:space="preserve">. </w:t>
      </w:r>
      <w:r w:rsidR="00D82EEF" w:rsidRPr="00D82EEF">
        <w:rPr>
          <w:rFonts w:asciiTheme="majorBidi" w:hAnsiTheme="majorBidi" w:cstheme="majorBidi"/>
          <w:sz w:val="24"/>
          <w:szCs w:val="24"/>
        </w:rPr>
        <w:t>It is important to note that some microbes may not be pathogenic to fish, but they can be transmitted directly to humans, causing disease.</w:t>
      </w:r>
      <w:r w:rsidR="006F323C" w:rsidRPr="00754FA8">
        <w:rPr>
          <w:rFonts w:asciiTheme="majorBidi" w:hAnsiTheme="majorBidi" w:cstheme="majorBidi"/>
          <w:sz w:val="24"/>
          <w:szCs w:val="24"/>
        </w:rPr>
        <w:t xml:space="preserve"> Microbial spoilage can </w:t>
      </w:r>
      <w:r w:rsidR="0071142A">
        <w:rPr>
          <w:rFonts w:asciiTheme="majorBidi" w:hAnsiTheme="majorBidi" w:cstheme="majorBidi"/>
          <w:sz w:val="24"/>
          <w:szCs w:val="24"/>
        </w:rPr>
        <w:t>lead to</w:t>
      </w:r>
      <w:r w:rsidR="006F323C" w:rsidRPr="00754FA8">
        <w:rPr>
          <w:rFonts w:asciiTheme="majorBidi" w:hAnsiTheme="majorBidi" w:cstheme="majorBidi"/>
          <w:sz w:val="24"/>
          <w:szCs w:val="24"/>
        </w:rPr>
        <w:t xml:space="preserve"> s</w:t>
      </w:r>
      <w:r w:rsidR="0071142A">
        <w:rPr>
          <w:rFonts w:asciiTheme="majorBidi" w:hAnsiTheme="majorBidi" w:cstheme="majorBidi"/>
          <w:sz w:val="24"/>
          <w:szCs w:val="24"/>
        </w:rPr>
        <w:t>ignificant economic losses. It'</w:t>
      </w:r>
      <w:r w:rsidR="006F323C" w:rsidRPr="00754FA8">
        <w:rPr>
          <w:rFonts w:asciiTheme="majorBidi" w:hAnsiTheme="majorBidi" w:cstheme="majorBidi"/>
          <w:sz w:val="24"/>
          <w:szCs w:val="24"/>
        </w:rPr>
        <w:t xml:space="preserve">s estimated that </w:t>
      </w:r>
      <w:r w:rsidR="00166BE6" w:rsidRPr="00166BE6">
        <w:rPr>
          <w:rFonts w:asciiTheme="majorBidi" w:hAnsiTheme="majorBidi" w:cstheme="majorBidi"/>
          <w:sz w:val="24"/>
          <w:szCs w:val="24"/>
        </w:rPr>
        <w:t xml:space="preserve">approximately one-third of the annual global fish production is lost </w:t>
      </w:r>
      <w:r w:rsidR="006F323C" w:rsidRPr="00754FA8">
        <w:rPr>
          <w:rFonts w:asciiTheme="majorBidi" w:hAnsiTheme="majorBidi" w:cstheme="majorBidi"/>
          <w:sz w:val="24"/>
          <w:szCs w:val="24"/>
        </w:rPr>
        <w:t xml:space="preserve">(Lund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xml:space="preserve">., 2000). Microbial activity is the primary cause of spoilage in most fresh foods and seafood. The </w:t>
      </w:r>
      <w:r w:rsidR="003547E0">
        <w:rPr>
          <w:rFonts w:ascii="Times New Roman" w:eastAsiaTheme="minorHAnsi" w:hAnsi="Times New Roman" w:cs="Times New Roman"/>
          <w:sz w:val="24"/>
          <w:szCs w:val="24"/>
          <w:lang w:val="en-US"/>
        </w:rPr>
        <w:t>total aerobic</w:t>
      </w:r>
      <w:r w:rsidR="00E42EA8">
        <w:rPr>
          <w:rFonts w:ascii="Times New Roman" w:eastAsiaTheme="minorHAnsi" w:hAnsi="Times New Roman" w:cs="Times New Roman"/>
          <w:sz w:val="24"/>
          <w:szCs w:val="24"/>
          <w:lang w:val="en-US"/>
        </w:rPr>
        <w:t xml:space="preserve"> </w:t>
      </w:r>
      <w:r w:rsidR="003547E0">
        <w:rPr>
          <w:rFonts w:ascii="Times New Roman" w:eastAsiaTheme="minorHAnsi" w:hAnsi="Times New Roman" w:cs="Times New Roman"/>
          <w:sz w:val="24"/>
          <w:szCs w:val="24"/>
          <w:lang w:val="en-US"/>
        </w:rPr>
        <w:t>plate count</w:t>
      </w:r>
      <w:r w:rsidR="003547E0">
        <w:rPr>
          <w:rFonts w:asciiTheme="majorBidi" w:hAnsiTheme="majorBidi" w:cstheme="majorBidi"/>
          <w:sz w:val="24"/>
          <w:szCs w:val="24"/>
        </w:rPr>
        <w:t xml:space="preserve"> </w:t>
      </w:r>
      <w:r w:rsidR="006F323C" w:rsidRPr="00754FA8">
        <w:rPr>
          <w:rFonts w:asciiTheme="majorBidi" w:hAnsiTheme="majorBidi" w:cstheme="majorBidi"/>
          <w:sz w:val="24"/>
          <w:szCs w:val="24"/>
        </w:rPr>
        <w:t xml:space="preserve">in fish can indicate their storage suitability and expected shelf life (Huss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1974; Al-Sharifi, 2014).</w:t>
      </w:r>
    </w:p>
    <w:p w14:paraId="5D9CEADE" w14:textId="77777777" w:rsidR="00EA3AA2" w:rsidRPr="00EA3AA2" w:rsidRDefault="00EA3AA2" w:rsidP="00EA3AA2">
      <w:pPr>
        <w:bidi w:val="0"/>
        <w:spacing w:before="100" w:beforeAutospacing="1" w:after="100" w:afterAutospacing="1" w:line="240" w:lineRule="auto"/>
        <w:jc w:val="both"/>
        <w:rPr>
          <w:rFonts w:asciiTheme="majorBidi" w:hAnsiTheme="majorBidi" w:cstheme="majorBidi"/>
          <w:sz w:val="24"/>
          <w:szCs w:val="24"/>
          <w:rtl/>
          <w:lang w:val="en-US"/>
        </w:rPr>
      </w:pPr>
      <w:r w:rsidRPr="00EA3AA2">
        <w:rPr>
          <w:rFonts w:asciiTheme="majorBidi" w:hAnsiTheme="majorBidi" w:cstheme="majorBidi"/>
          <w:sz w:val="24"/>
          <w:szCs w:val="24"/>
          <w:lang w:val="en-US"/>
        </w:rPr>
        <w:t>Siganus rivulatus, a herbivorous species with ecological and economic importance, serves as a suitable indicator of environmental pollution. This study investigates microbial contamination in its muscle tissue to assess the safety of fish harvested along the Tartous coast.</w:t>
      </w:r>
    </w:p>
    <w:p w14:paraId="67EB3504" w14:textId="77777777" w:rsidR="006F323C" w:rsidRPr="00825F9F" w:rsidRDefault="006F323C" w:rsidP="005A63E9">
      <w:pPr>
        <w:bidi w:val="0"/>
        <w:spacing w:before="100" w:beforeAutospacing="1" w:after="100" w:afterAutospacing="1" w:line="240" w:lineRule="auto"/>
        <w:jc w:val="both"/>
        <w:rPr>
          <w:rFonts w:asciiTheme="majorBidi" w:hAnsiTheme="majorBidi" w:cstheme="majorBidi"/>
          <w:b/>
          <w:bCs/>
          <w:sz w:val="26"/>
          <w:szCs w:val="26"/>
          <w:rtl/>
        </w:rPr>
      </w:pPr>
      <w:r w:rsidRPr="00754FA8">
        <w:rPr>
          <w:rFonts w:asciiTheme="majorBidi" w:hAnsiTheme="majorBidi" w:cstheme="majorBidi"/>
          <w:b/>
          <w:bCs/>
          <w:sz w:val="26"/>
          <w:szCs w:val="26"/>
        </w:rPr>
        <w:t>2- Materials and Methods:</w:t>
      </w:r>
    </w:p>
    <w:p w14:paraId="455DC9A6" w14:textId="77777777" w:rsidR="00A804B6" w:rsidRPr="00A804B6" w:rsidRDefault="00A804B6" w:rsidP="00A804B6">
      <w:pPr>
        <w:bidi w:val="0"/>
        <w:spacing w:before="100" w:beforeAutospacing="1" w:after="0" w:line="240" w:lineRule="auto"/>
        <w:jc w:val="both"/>
        <w:rPr>
          <w:rFonts w:asciiTheme="majorBidi" w:hAnsiTheme="majorBidi" w:cstheme="majorBidi"/>
          <w:sz w:val="24"/>
          <w:szCs w:val="24"/>
          <w:lang w:val="en-US"/>
        </w:rPr>
      </w:pPr>
      <w:r w:rsidRPr="00A804B6">
        <w:rPr>
          <w:rFonts w:asciiTheme="majorBidi" w:hAnsiTheme="majorBidi" w:cstheme="majorBidi"/>
          <w:sz w:val="24"/>
          <w:szCs w:val="24"/>
          <w:lang w:val="en-US"/>
        </w:rPr>
        <w:t xml:space="preserve">A total of 48 specimens of </w:t>
      </w:r>
      <w:r w:rsidRPr="00A804B6">
        <w:rPr>
          <w:rFonts w:asciiTheme="majorBidi" w:hAnsiTheme="majorBidi" w:cstheme="majorBidi"/>
          <w:i/>
          <w:iCs/>
          <w:sz w:val="24"/>
          <w:szCs w:val="24"/>
          <w:lang w:val="en-US"/>
        </w:rPr>
        <w:t>Siganus rivulatus</w:t>
      </w:r>
      <w:r w:rsidRPr="00A804B6">
        <w:rPr>
          <w:rFonts w:asciiTheme="majorBidi" w:hAnsiTheme="majorBidi" w:cstheme="majorBidi"/>
          <w:sz w:val="24"/>
          <w:szCs w:val="24"/>
          <w:lang w:val="en-US"/>
        </w:rPr>
        <w:t xml:space="preserve"> were collected seasonally from September 2023 to August 2024 from two coastal sites in Tartous: Basira (lower pollution impact) and Tartous Corniche (proximal to a sewage outlet). Fish samples were transported on ice and processed immediately </w:t>
      </w:r>
      <w:r w:rsidR="00BF3FF1">
        <w:rPr>
          <w:rFonts w:asciiTheme="majorBidi" w:hAnsiTheme="majorBidi" w:cstheme="majorBidi"/>
          <w:sz w:val="24"/>
          <w:szCs w:val="24"/>
          <w:lang w:val="en-US"/>
        </w:rPr>
        <w:t>(</w:t>
      </w:r>
      <w:r w:rsidRPr="00A804B6">
        <w:rPr>
          <w:rFonts w:asciiTheme="majorBidi" w:hAnsiTheme="majorBidi" w:cstheme="majorBidi"/>
          <w:sz w:val="24"/>
          <w:szCs w:val="24"/>
          <w:lang w:val="en-US"/>
        </w:rPr>
        <w:t>to minimize post-catch microbial proliferation</w:t>
      </w:r>
      <w:r w:rsidR="00BF3FF1">
        <w:rPr>
          <w:rFonts w:asciiTheme="majorBidi" w:hAnsiTheme="majorBidi" w:cstheme="majorBidi"/>
          <w:sz w:val="24"/>
          <w:szCs w:val="24"/>
          <w:lang w:val="en-US"/>
        </w:rPr>
        <w:t xml:space="preserve">) </w:t>
      </w:r>
      <w:r w:rsidR="00BF3FF1">
        <w:rPr>
          <w:rFonts w:ascii="Times New Roman" w:eastAsiaTheme="minorHAnsi" w:hAnsi="Times New Roman" w:cs="Times New Roman"/>
          <w:sz w:val="24"/>
          <w:szCs w:val="24"/>
          <w:lang w:val="en-US"/>
        </w:rPr>
        <w:t>to determine some of bacteria species and the total aerobic plate count (TAPC)</w:t>
      </w:r>
      <w:r w:rsidRPr="00A804B6">
        <w:rPr>
          <w:rFonts w:asciiTheme="majorBidi" w:hAnsiTheme="majorBidi" w:cstheme="majorBidi"/>
          <w:sz w:val="24"/>
          <w:szCs w:val="24"/>
          <w:lang w:val="en-US"/>
        </w:rPr>
        <w:t>.</w:t>
      </w:r>
    </w:p>
    <w:p w14:paraId="3A0DAE10" w14:textId="77777777" w:rsidR="0098150F" w:rsidRPr="00754FA8" w:rsidRDefault="00597DCD" w:rsidP="00F10DA3">
      <w:pPr>
        <w:bidi w:val="0"/>
        <w:spacing w:before="100" w:beforeAutospacing="1" w:after="0" w:line="240" w:lineRule="auto"/>
        <w:jc w:val="center"/>
        <w:rPr>
          <w:rFonts w:asciiTheme="majorBidi" w:hAnsiTheme="majorBidi" w:cstheme="majorBidi"/>
          <w:lang w:val="en-US"/>
        </w:rPr>
      </w:pPr>
      <w:r w:rsidRPr="00754FA8">
        <w:rPr>
          <w:rFonts w:asciiTheme="majorBidi" w:hAnsiTheme="majorBidi" w:cstheme="majorBidi"/>
        </w:rPr>
        <w:t>Table 1: Sample Collection Sites</w:t>
      </w:r>
    </w:p>
    <w:tbl>
      <w:tblPr>
        <w:bidiVisual/>
        <w:tblW w:w="505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3117"/>
      </w:tblGrid>
      <w:tr w:rsidR="0098150F" w:rsidRPr="00754FA8" w14:paraId="0D4E7118" w14:textId="77777777" w:rsidTr="00BF3FF1">
        <w:trPr>
          <w:trHeight w:val="459"/>
          <w:jc w:val="center"/>
        </w:trPr>
        <w:tc>
          <w:tcPr>
            <w:tcW w:w="0" w:type="auto"/>
          </w:tcPr>
          <w:p w14:paraId="39DB5D9A" w14:textId="77777777" w:rsidR="0098150F" w:rsidRPr="00754FA8" w:rsidRDefault="0098150F" w:rsidP="00F10DA3">
            <w:pPr>
              <w:bidi w:val="0"/>
              <w:spacing w:after="0" w:line="240" w:lineRule="auto"/>
              <w:contextualSpacing/>
              <w:jc w:val="both"/>
              <w:rPr>
                <w:rFonts w:asciiTheme="majorBidi" w:hAnsiTheme="majorBidi" w:cstheme="majorBidi"/>
                <w:b/>
                <w:bCs/>
                <w:sz w:val="24"/>
                <w:szCs w:val="24"/>
                <w:rtl/>
              </w:rPr>
            </w:pPr>
            <w:r w:rsidRPr="00754FA8">
              <w:rPr>
                <w:rFonts w:asciiTheme="majorBidi" w:hAnsiTheme="majorBidi" w:cstheme="majorBidi"/>
                <w:b/>
                <w:bCs/>
                <w:sz w:val="24"/>
                <w:szCs w:val="24"/>
                <w:rtl/>
              </w:rPr>
              <w:t>Site name</w:t>
            </w:r>
          </w:p>
        </w:tc>
        <w:tc>
          <w:tcPr>
            <w:tcW w:w="0" w:type="auto"/>
          </w:tcPr>
          <w:p w14:paraId="2FA2A2DB" w14:textId="77777777" w:rsidR="0098150F" w:rsidRPr="00754FA8" w:rsidRDefault="00597DCD" w:rsidP="00F10DA3">
            <w:pPr>
              <w:bidi w:val="0"/>
              <w:spacing w:after="0" w:line="240" w:lineRule="auto"/>
              <w:contextualSpacing/>
              <w:jc w:val="both"/>
              <w:rPr>
                <w:rFonts w:asciiTheme="majorBidi" w:hAnsiTheme="majorBidi" w:cstheme="majorBidi"/>
                <w:b/>
                <w:bCs/>
                <w:sz w:val="24"/>
                <w:szCs w:val="24"/>
                <w:rtl/>
              </w:rPr>
            </w:pPr>
            <w:r w:rsidRPr="00754FA8">
              <w:rPr>
                <w:rFonts w:asciiTheme="majorBidi" w:hAnsiTheme="majorBidi" w:cstheme="majorBidi"/>
                <w:b/>
                <w:bCs/>
                <w:sz w:val="24"/>
                <w:szCs w:val="24"/>
              </w:rPr>
              <w:t>Site Coordinates</w:t>
            </w:r>
          </w:p>
        </w:tc>
      </w:tr>
      <w:tr w:rsidR="00604319" w:rsidRPr="00754FA8" w14:paraId="2E369FA5" w14:textId="77777777" w:rsidTr="00BF3FF1">
        <w:trPr>
          <w:trHeight w:val="429"/>
          <w:jc w:val="center"/>
        </w:trPr>
        <w:tc>
          <w:tcPr>
            <w:tcW w:w="0" w:type="auto"/>
            <w:shd w:val="clear" w:color="auto" w:fill="F2F2F2"/>
          </w:tcPr>
          <w:p w14:paraId="15556EC7" w14:textId="77777777" w:rsidR="00604319" w:rsidRPr="00754FA8" w:rsidRDefault="00604319" w:rsidP="00F10DA3">
            <w:pPr>
              <w:bidi w:val="0"/>
              <w:spacing w:after="100" w:afterAutospacing="1" w:line="240" w:lineRule="auto"/>
              <w:contextualSpacing/>
              <w:jc w:val="both"/>
              <w:rPr>
                <w:rFonts w:asciiTheme="majorBidi" w:hAnsiTheme="majorBidi" w:cstheme="majorBidi"/>
                <w:sz w:val="24"/>
                <w:szCs w:val="24"/>
                <w:lang w:val="en-US"/>
              </w:rPr>
            </w:pPr>
            <w:r w:rsidRPr="00754FA8">
              <w:rPr>
                <w:rFonts w:asciiTheme="majorBidi" w:hAnsiTheme="majorBidi" w:cstheme="majorBidi"/>
                <w:sz w:val="24"/>
                <w:szCs w:val="24"/>
                <w:lang w:val="en-US"/>
              </w:rPr>
              <w:t>Basira</w:t>
            </w:r>
          </w:p>
        </w:tc>
        <w:tc>
          <w:tcPr>
            <w:tcW w:w="0" w:type="auto"/>
            <w:shd w:val="clear" w:color="auto" w:fill="F2F2F2"/>
          </w:tcPr>
          <w:p w14:paraId="09877F98" w14:textId="77777777" w:rsidR="00604319" w:rsidRPr="00416AEE" w:rsidRDefault="00604319" w:rsidP="00F10DA3">
            <w:pPr>
              <w:spacing w:after="120" w:line="240" w:lineRule="auto"/>
              <w:contextualSpacing/>
              <w:jc w:val="center"/>
              <w:rPr>
                <w:rFonts w:ascii="Simplified Arabic" w:hAnsi="Simplified Arabic" w:cs="Simplified Arabic"/>
                <w:sz w:val="24"/>
                <w:szCs w:val="24"/>
                <w:rtl/>
                <w:lang w:bidi="ar-SY"/>
              </w:rPr>
            </w:pPr>
            <w:r w:rsidRPr="00416AEE">
              <w:rPr>
                <w:rFonts w:ascii="Simplified Arabic" w:hAnsi="Simplified Arabic" w:cs="Simplified Arabic"/>
                <w:sz w:val="24"/>
                <w:szCs w:val="24"/>
                <w:rtl/>
              </w:rPr>
              <w:t>(</w:t>
            </w:r>
            <w:r w:rsidRPr="00416AEE">
              <w:rPr>
                <w:rFonts w:ascii="Simplified Arabic" w:hAnsi="Simplified Arabic" w:cs="Simplified Arabic"/>
                <w:sz w:val="24"/>
                <w:szCs w:val="24"/>
              </w:rPr>
              <w:t>35°53’21</w:t>
            </w:r>
            <w:r w:rsidRPr="00416AEE">
              <w:rPr>
                <w:rFonts w:ascii="Simplified Arabic" w:hAnsi="Simplified Arabic" w:cs="Simplified Arabic"/>
                <w:sz w:val="24"/>
                <w:szCs w:val="24"/>
                <w:rtl/>
              </w:rPr>
              <w:t xml:space="preserve">» </w:t>
            </w:r>
            <w:r w:rsidRPr="00416AEE">
              <w:rPr>
                <w:rFonts w:ascii="Simplified Arabic" w:hAnsi="Simplified Arabic" w:cs="Simplified Arabic"/>
                <w:sz w:val="24"/>
                <w:szCs w:val="24"/>
              </w:rPr>
              <w:t>N, 34°59’46» E</w:t>
            </w:r>
            <w:r w:rsidRPr="00416AEE">
              <w:rPr>
                <w:rFonts w:ascii="Simplified Arabic" w:hAnsi="Simplified Arabic" w:cs="Simplified Arabic"/>
                <w:sz w:val="24"/>
                <w:szCs w:val="24"/>
                <w:rtl/>
              </w:rPr>
              <w:t>)</w:t>
            </w:r>
          </w:p>
        </w:tc>
      </w:tr>
      <w:tr w:rsidR="00604319" w:rsidRPr="00754FA8" w14:paraId="0FE7855A" w14:textId="77777777" w:rsidTr="00BF3FF1">
        <w:trPr>
          <w:trHeight w:val="399"/>
          <w:jc w:val="center"/>
        </w:trPr>
        <w:tc>
          <w:tcPr>
            <w:tcW w:w="0" w:type="auto"/>
            <w:shd w:val="clear" w:color="auto" w:fill="F2F2F2"/>
          </w:tcPr>
          <w:p w14:paraId="009743FA" w14:textId="77777777" w:rsidR="00604319" w:rsidRPr="00D441F1" w:rsidRDefault="00D441F1" w:rsidP="00F10DA3">
            <w:pPr>
              <w:bidi w:val="0"/>
              <w:spacing w:after="100" w:afterAutospacing="1" w:line="240" w:lineRule="auto"/>
              <w:contextualSpacing/>
              <w:jc w:val="both"/>
              <w:rPr>
                <w:rFonts w:asciiTheme="majorBidi" w:hAnsiTheme="majorBidi" w:cstheme="majorBidi"/>
                <w:sz w:val="24"/>
                <w:szCs w:val="24"/>
                <w:lang w:val="en-US"/>
              </w:rPr>
            </w:pPr>
            <w:r w:rsidRPr="00D441F1">
              <w:rPr>
                <w:rFonts w:asciiTheme="majorBidi" w:hAnsiTheme="majorBidi" w:cstheme="majorBidi"/>
                <w:sz w:val="24"/>
                <w:szCs w:val="24"/>
              </w:rPr>
              <w:t>Tartous Corniche</w:t>
            </w:r>
          </w:p>
        </w:tc>
        <w:tc>
          <w:tcPr>
            <w:tcW w:w="0" w:type="auto"/>
            <w:shd w:val="clear" w:color="auto" w:fill="F2F2F2"/>
          </w:tcPr>
          <w:p w14:paraId="461788CA" w14:textId="77777777" w:rsidR="00604319" w:rsidRPr="00416AEE" w:rsidRDefault="00604319" w:rsidP="00F10DA3">
            <w:pPr>
              <w:spacing w:after="120" w:line="240" w:lineRule="auto"/>
              <w:contextualSpacing/>
              <w:jc w:val="center"/>
              <w:rPr>
                <w:rFonts w:ascii="Simplified Arabic" w:hAnsi="Simplified Arabic" w:cs="Simplified Arabic"/>
                <w:sz w:val="24"/>
                <w:szCs w:val="24"/>
                <w:rtl/>
              </w:rPr>
            </w:pPr>
            <w:r w:rsidRPr="00416AEE">
              <w:rPr>
                <w:rFonts w:ascii="Simplified Arabic" w:hAnsi="Simplified Arabic" w:cs="Simplified Arabic"/>
                <w:sz w:val="24"/>
                <w:szCs w:val="24"/>
                <w:rtl/>
              </w:rPr>
              <w:t>(</w:t>
            </w:r>
            <w:r w:rsidRPr="00416AEE">
              <w:rPr>
                <w:rFonts w:ascii="Simplified Arabic" w:hAnsi="Simplified Arabic" w:cs="Simplified Arabic"/>
                <w:sz w:val="24"/>
                <w:szCs w:val="24"/>
              </w:rPr>
              <w:t>35°52’57</w:t>
            </w:r>
            <w:r w:rsidRPr="00416AEE">
              <w:rPr>
                <w:rFonts w:ascii="Simplified Arabic" w:hAnsi="Simplified Arabic" w:cs="Simplified Arabic"/>
                <w:sz w:val="24"/>
                <w:szCs w:val="24"/>
                <w:rtl/>
              </w:rPr>
              <w:t xml:space="preserve">» </w:t>
            </w:r>
            <w:r w:rsidRPr="00416AEE">
              <w:rPr>
                <w:rFonts w:ascii="Simplified Arabic" w:hAnsi="Simplified Arabic" w:cs="Simplified Arabic"/>
                <w:sz w:val="24"/>
                <w:szCs w:val="24"/>
              </w:rPr>
              <w:t>N, 34°53’09» E</w:t>
            </w:r>
            <w:r w:rsidRPr="00416AEE">
              <w:rPr>
                <w:rFonts w:ascii="Simplified Arabic" w:hAnsi="Simplified Arabic" w:cs="Simplified Arabic"/>
                <w:sz w:val="24"/>
                <w:szCs w:val="24"/>
                <w:rtl/>
              </w:rPr>
              <w:t>)</w:t>
            </w:r>
          </w:p>
        </w:tc>
      </w:tr>
    </w:tbl>
    <w:p w14:paraId="3FF39614" w14:textId="77777777" w:rsidR="0098150F" w:rsidRDefault="0098150F" w:rsidP="00E63692">
      <w:pPr>
        <w:bidi w:val="0"/>
        <w:spacing w:after="0" w:line="240" w:lineRule="auto"/>
        <w:rPr>
          <w:rFonts w:asciiTheme="majorBidi" w:hAnsiTheme="majorBidi" w:cstheme="majorBidi"/>
          <w:sz w:val="24"/>
          <w:szCs w:val="24"/>
          <w:lang w:bidi="ar-SY"/>
        </w:rPr>
      </w:pPr>
    </w:p>
    <w:p w14:paraId="7ED14292" w14:textId="77777777" w:rsidR="00E63692" w:rsidRPr="00754FA8" w:rsidRDefault="00E63692" w:rsidP="00A804B6">
      <w:pPr>
        <w:bidi w:val="0"/>
        <w:spacing w:after="0" w:line="240" w:lineRule="auto"/>
        <w:ind w:firstLine="284"/>
        <w:jc w:val="center"/>
        <w:rPr>
          <w:rFonts w:asciiTheme="majorBidi" w:hAnsiTheme="majorBidi" w:cstheme="majorBidi"/>
          <w:sz w:val="24"/>
          <w:szCs w:val="24"/>
          <w:rtl/>
          <w:lang w:bidi="ar-SY"/>
        </w:rPr>
      </w:pPr>
      <w:r>
        <w:rPr>
          <w:rFonts w:asciiTheme="majorBidi" w:hAnsiTheme="majorBidi" w:cstheme="majorBidi"/>
          <w:noProof/>
          <w:sz w:val="24"/>
          <w:szCs w:val="24"/>
          <w:lang w:val="en-US"/>
        </w:rPr>
        <w:drawing>
          <wp:inline distT="0" distB="0" distL="0" distR="0" wp14:anchorId="149EAC3C" wp14:editId="7D9BDCE3">
            <wp:extent cx="3438525" cy="2847975"/>
            <wp:effectExtent l="0" t="0" r="9525" b="9525"/>
            <wp:docPr id="21" name="صورة 21" descr="C:\Users\rama\Desktop\Doctorate\مقالات بعد الدكتوراه\التلوث الميكروبي\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esktop\Doctorate\مقالات بعد الدكتوراه\التلوث الميكروبي\00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951"/>
                    <a:stretch/>
                  </pic:blipFill>
                  <pic:spPr bwMode="auto">
                    <a:xfrm>
                      <a:off x="0" y="0"/>
                      <a:ext cx="3438525"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3CF3DBEB" w14:textId="77777777" w:rsidR="003E0CFB" w:rsidRDefault="007E61FD" w:rsidP="003E0CFB">
      <w:pPr>
        <w:tabs>
          <w:tab w:val="left" w:pos="5045"/>
        </w:tabs>
        <w:bidi w:val="0"/>
        <w:spacing w:after="100" w:afterAutospacing="1" w:line="240" w:lineRule="auto"/>
        <w:jc w:val="center"/>
        <w:rPr>
          <w:rFonts w:asciiTheme="majorBidi" w:hAnsiTheme="majorBidi" w:cstheme="majorBidi"/>
          <w:b/>
          <w:bCs/>
          <w:sz w:val="24"/>
          <w:szCs w:val="24"/>
          <w:lang w:bidi="ar-SY"/>
        </w:rPr>
      </w:pPr>
      <w:r w:rsidRPr="00754FA8">
        <w:rPr>
          <w:rFonts w:asciiTheme="majorBidi" w:hAnsiTheme="majorBidi" w:cstheme="majorBidi"/>
          <w:lang w:bidi="ar-SY"/>
        </w:rPr>
        <w:t>Figure 1: Study sites on the Tartus city coast</w:t>
      </w:r>
      <w:r w:rsidR="004B65BC">
        <w:rPr>
          <w:rFonts w:asciiTheme="majorBidi" w:hAnsiTheme="majorBidi" w:cstheme="majorBidi"/>
          <w:lang w:val="en-US" w:bidi="ar-SY"/>
        </w:rPr>
        <w:t xml:space="preserve"> (Google Earth</w:t>
      </w:r>
      <w:r w:rsidR="00F15841">
        <w:rPr>
          <w:rFonts w:asciiTheme="majorBidi" w:hAnsiTheme="majorBidi" w:cstheme="majorBidi"/>
          <w:lang w:val="en-US" w:bidi="ar-SY"/>
        </w:rPr>
        <w:t>)</w:t>
      </w:r>
      <w:r w:rsidR="00A50E64" w:rsidRPr="00754FA8">
        <w:rPr>
          <w:rFonts w:asciiTheme="majorBidi" w:hAnsiTheme="majorBidi" w:cstheme="majorBidi"/>
          <w:b/>
          <w:bCs/>
          <w:sz w:val="24"/>
          <w:szCs w:val="24"/>
          <w:lang w:bidi="ar-SY"/>
        </w:rPr>
        <w:t>:</w:t>
      </w:r>
    </w:p>
    <w:p w14:paraId="72488A07" w14:textId="77777777" w:rsidR="00377B6F" w:rsidRPr="003E0CFB" w:rsidRDefault="00FE5E9F" w:rsidP="00653A4F">
      <w:pPr>
        <w:tabs>
          <w:tab w:val="left" w:pos="5045"/>
        </w:tabs>
        <w:bidi w:val="0"/>
        <w:spacing w:after="0" w:line="240" w:lineRule="auto"/>
        <w:jc w:val="center"/>
        <w:rPr>
          <w:rFonts w:asciiTheme="majorBidi" w:hAnsiTheme="majorBidi" w:cstheme="majorBidi"/>
          <w:rtl/>
          <w:lang w:val="en-US" w:bidi="ar-SY"/>
        </w:rPr>
      </w:pPr>
      <w:r w:rsidRPr="00754FA8">
        <w:rPr>
          <w:rFonts w:asciiTheme="majorBidi" w:hAnsiTheme="majorBidi" w:cstheme="majorBidi"/>
          <w:noProof/>
          <w:sz w:val="24"/>
          <w:szCs w:val="24"/>
          <w:lang w:val="en-US"/>
        </w:rPr>
        <w:lastRenderedPageBreak/>
        <w:drawing>
          <wp:inline distT="0" distB="0" distL="0" distR="0" wp14:anchorId="53067127" wp14:editId="392FD27D">
            <wp:extent cx="4286250" cy="1419225"/>
            <wp:effectExtent l="0" t="0" r="0" b="9525"/>
            <wp:docPr id="3" name="صورة 3" descr="٢٠١٩٠٩١٠_١٠٥٤٢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٢٠١٩٠٩١٠_١٠٥٤٢٧"/>
                    <pic:cNvPicPr>
                      <a:picLocks noChangeAspect="1" noChangeArrowheads="1"/>
                    </pic:cNvPicPr>
                  </pic:nvPicPr>
                  <pic:blipFill rotWithShape="1">
                    <a:blip r:embed="rId8">
                      <a:extLst>
                        <a:ext uri="{28A0092B-C50C-407E-A947-70E740481C1C}">
                          <a14:useLocalDpi xmlns:a14="http://schemas.microsoft.com/office/drawing/2010/main" val="0"/>
                        </a:ext>
                      </a:extLst>
                    </a:blip>
                    <a:srcRect l="7786" t="21740" b="40153"/>
                    <a:stretch/>
                  </pic:blipFill>
                  <pic:spPr bwMode="auto">
                    <a:xfrm>
                      <a:off x="0" y="0"/>
                      <a:ext cx="428625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63E42F91" w14:textId="77777777" w:rsidR="00377B6F" w:rsidRPr="007E398E" w:rsidRDefault="00260F4F" w:rsidP="00653A4F">
      <w:pPr>
        <w:bidi w:val="0"/>
        <w:spacing w:after="100" w:afterAutospacing="1" w:line="240" w:lineRule="auto"/>
        <w:jc w:val="center"/>
        <w:rPr>
          <w:rFonts w:asciiTheme="majorBidi" w:hAnsiTheme="majorBidi" w:cstheme="majorBidi"/>
          <w:i/>
          <w:iCs/>
          <w:color w:val="000000"/>
          <w:rtl/>
          <w:lang w:bidi="ar-SY"/>
        </w:rPr>
      </w:pPr>
      <w:r w:rsidRPr="00260F4F">
        <w:rPr>
          <w:rFonts w:asciiTheme="majorBidi" w:hAnsiTheme="majorBidi" w:cstheme="majorBidi"/>
          <w:noProof/>
          <w:color w:val="000000"/>
        </w:rPr>
        <w:t xml:space="preserve">Figure 2: The </w:t>
      </w:r>
      <w:r w:rsidR="0034723D">
        <w:rPr>
          <w:rFonts w:asciiTheme="majorBidi" w:hAnsiTheme="majorBidi" w:cstheme="majorBidi"/>
          <w:noProof/>
          <w:color w:val="000000"/>
        </w:rPr>
        <w:t>Marbled spinefoot</w:t>
      </w:r>
      <w:r w:rsidRPr="00260F4F">
        <w:rPr>
          <w:rFonts w:asciiTheme="majorBidi" w:hAnsiTheme="majorBidi" w:cstheme="majorBidi"/>
          <w:noProof/>
          <w:color w:val="000000"/>
        </w:rPr>
        <w:t xml:space="preserve"> species </w:t>
      </w:r>
      <w:r w:rsidRPr="00260F4F">
        <w:rPr>
          <w:rFonts w:asciiTheme="majorBidi" w:hAnsiTheme="majorBidi" w:cstheme="majorBidi"/>
          <w:i/>
          <w:iCs/>
          <w:noProof/>
          <w:color w:val="000000"/>
        </w:rPr>
        <w:t>Siganus rivulatus</w:t>
      </w:r>
      <w:r w:rsidR="007E398E">
        <w:rPr>
          <w:rFonts w:asciiTheme="majorBidi" w:hAnsiTheme="majorBidi" w:cstheme="majorBidi"/>
          <w:b/>
          <w:bCs/>
          <w:sz w:val="24"/>
          <w:szCs w:val="24"/>
          <w:lang w:bidi="ar-SY"/>
        </w:rPr>
        <w:t xml:space="preserve"> </w:t>
      </w:r>
      <w:r w:rsidR="007E398E" w:rsidRPr="007E398E">
        <w:rPr>
          <w:rFonts w:asciiTheme="majorBidi" w:hAnsiTheme="majorBidi" w:cstheme="majorBidi"/>
          <w:noProof/>
          <w:color w:val="000000"/>
        </w:rPr>
        <w:t>(Forsskål, 1775)</w:t>
      </w:r>
    </w:p>
    <w:p w14:paraId="4401C5A3" w14:textId="77777777" w:rsidR="00755AC9" w:rsidRDefault="00755AC9" w:rsidP="0044625A">
      <w:pPr>
        <w:autoSpaceDE w:val="0"/>
        <w:autoSpaceDN w:val="0"/>
        <w:bidi w:val="0"/>
        <w:adjustRightInd w:val="0"/>
        <w:spacing w:after="0" w:line="240" w:lineRule="auto"/>
        <w:rPr>
          <w:rFonts w:ascii="Times New Roman" w:eastAsiaTheme="minorHAnsi" w:hAnsi="Times New Roman" w:cs="Times New Roman"/>
          <w:sz w:val="24"/>
          <w:szCs w:val="24"/>
          <w:lang w:val="en-US"/>
        </w:rPr>
      </w:pPr>
      <w:r w:rsidRPr="00F10DA3">
        <w:rPr>
          <w:rFonts w:asciiTheme="majorBidi" w:hAnsiTheme="majorBidi" w:cstheme="majorBidi"/>
          <w:sz w:val="24"/>
          <w:szCs w:val="24"/>
          <w:lang w:val="en-US"/>
        </w:rPr>
        <w:t>Five grams of muscle tissue were homogenized in sterile distilled water</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3</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and serial dilutions (10</w:t>
      </w:r>
      <w:r w:rsidRPr="00F10DA3">
        <w:rPr>
          <w:rFonts w:ascii="Cambria Math" w:hAnsi="Cambria Math" w:cs="Cambria Math"/>
          <w:sz w:val="24"/>
          <w:szCs w:val="24"/>
          <w:lang w:val="en-US"/>
        </w:rPr>
        <w:t>⁻</w:t>
      </w:r>
      <w:r w:rsidRPr="00F10DA3">
        <w:rPr>
          <w:rFonts w:ascii="Times New Roman" w:hAnsi="Times New Roman" w:cs="Times New Roman"/>
          <w:sz w:val="24"/>
          <w:szCs w:val="24"/>
          <w:lang w:val="en-US"/>
        </w:rPr>
        <w:t>¹–</w:t>
      </w:r>
      <w:r w:rsidRPr="00F10DA3">
        <w:rPr>
          <w:rFonts w:asciiTheme="majorBidi" w:hAnsiTheme="majorBidi" w:cstheme="majorBidi"/>
          <w:sz w:val="24"/>
          <w:szCs w:val="24"/>
          <w:lang w:val="en-US"/>
        </w:rPr>
        <w:t>10</w:t>
      </w:r>
      <w:r w:rsidRPr="00F10DA3">
        <w:rPr>
          <w:rFonts w:ascii="Cambria Math" w:hAnsi="Cambria Math" w:cs="Cambria Math"/>
          <w:sz w:val="24"/>
          <w:szCs w:val="24"/>
          <w:lang w:val="en-US"/>
        </w:rPr>
        <w:t>⁻⁵</w:t>
      </w:r>
      <w:r w:rsidRPr="00F10DA3">
        <w:rPr>
          <w:rFonts w:asciiTheme="majorBidi" w:hAnsiTheme="majorBidi" w:cstheme="majorBidi"/>
          <w:sz w:val="24"/>
          <w:szCs w:val="24"/>
          <w:lang w:val="en-US"/>
        </w:rPr>
        <w:t>) were prepared</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4</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&amp;</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5</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One milliliter from each dilution was plated on nutrient agar and incubated at 37</w:t>
      </w:r>
      <w:r w:rsidRPr="00F10DA3">
        <w:rPr>
          <w:rFonts w:ascii="Times New Roman" w:hAnsi="Times New Roman" w:cs="Times New Roman"/>
          <w:sz w:val="24"/>
          <w:szCs w:val="24"/>
          <w:lang w:val="en-US"/>
        </w:rPr>
        <w:t>°</w:t>
      </w:r>
      <w:r w:rsidRPr="00F10DA3">
        <w:rPr>
          <w:rFonts w:asciiTheme="majorBidi" w:hAnsiTheme="majorBidi" w:cstheme="majorBidi"/>
          <w:sz w:val="24"/>
          <w:szCs w:val="24"/>
          <w:lang w:val="en-US"/>
        </w:rPr>
        <w:t xml:space="preserve">C for 48 hours to determine </w:t>
      </w:r>
      <w:r w:rsidR="00303291">
        <w:rPr>
          <w:rFonts w:asciiTheme="majorBidi" w:hAnsiTheme="majorBidi" w:cstheme="majorBidi"/>
          <w:sz w:val="24"/>
          <w:szCs w:val="24"/>
          <w:lang w:val="en-US"/>
        </w:rPr>
        <w:t>total aerobic plate count</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6</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&amp;</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7</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Selective media including MacConkey, Hektoen, SS agar, and XLD agar were used for microbial identification. Colonies were classified based on morphological characteristics. Microbial counts were expressed in cfu/g</w:t>
      </w:r>
      <w:r>
        <w:rPr>
          <w:rFonts w:ascii="Times New Roman" w:eastAsiaTheme="minorHAnsi" w:hAnsi="Times New Roman" w:cs="Times New Roman"/>
          <w:sz w:val="24"/>
          <w:szCs w:val="24"/>
          <w:lang w:val="en-US"/>
        </w:rPr>
        <w:t>.</w:t>
      </w:r>
    </w:p>
    <w:p w14:paraId="1307D0A4" w14:textId="77777777" w:rsidR="003B6CDB" w:rsidRPr="00081F8D" w:rsidRDefault="003B6CDB" w:rsidP="003B6CDB">
      <w:pPr>
        <w:autoSpaceDE w:val="0"/>
        <w:autoSpaceDN w:val="0"/>
        <w:bidi w:val="0"/>
        <w:adjustRightInd w:val="0"/>
        <w:spacing w:after="0" w:line="240" w:lineRule="auto"/>
        <w:rPr>
          <w:rFonts w:ascii="Times New Roman" w:eastAsiaTheme="minorHAnsi" w:hAnsi="Times New Roman" w:cs="Times New Roman"/>
          <w:sz w:val="24"/>
          <w:szCs w:val="24"/>
          <w:rtl/>
          <w:lang w:val="en-US"/>
        </w:rPr>
      </w:pPr>
    </w:p>
    <w:p w14:paraId="2DDBCF90" w14:textId="77777777" w:rsidR="00282797" w:rsidRPr="00754FA8" w:rsidRDefault="00097E3F" w:rsidP="005A63E9">
      <w:pPr>
        <w:bidi w:val="0"/>
        <w:spacing w:after="0" w:line="240" w:lineRule="auto"/>
        <w:jc w:val="center"/>
        <w:rPr>
          <w:rFonts w:asciiTheme="majorBidi" w:hAnsiTheme="majorBidi" w:cstheme="majorBidi"/>
          <w:sz w:val="24"/>
          <w:szCs w:val="24"/>
          <w:rtl/>
        </w:rPr>
      </w:pPr>
      <w:r w:rsidRPr="00754FA8">
        <w:rPr>
          <w:rFonts w:asciiTheme="majorBidi" w:hAnsiTheme="majorBidi" w:cstheme="majorBidi"/>
          <w:noProof/>
          <w:sz w:val="24"/>
          <w:szCs w:val="24"/>
          <w:rtl/>
          <w:lang w:val="en-US"/>
        </w:rPr>
        <w:drawing>
          <wp:inline distT="0" distB="0" distL="0" distR="0" wp14:anchorId="7AAADFC5" wp14:editId="034DAA17">
            <wp:extent cx="3183744" cy="1505119"/>
            <wp:effectExtent l="0" t="0" r="0" b="0"/>
            <wp:docPr id="7" name="صورة 7" descr="C:\Users\rama\Pictures\000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a\Pictures\000غريب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286" cy="1506321"/>
                    </a:xfrm>
                    <a:prstGeom prst="rect">
                      <a:avLst/>
                    </a:prstGeom>
                    <a:noFill/>
                    <a:ln>
                      <a:noFill/>
                    </a:ln>
                  </pic:spPr>
                </pic:pic>
              </a:graphicData>
            </a:graphic>
          </wp:inline>
        </w:drawing>
      </w:r>
    </w:p>
    <w:p w14:paraId="64B692B0" w14:textId="77777777" w:rsidR="0070132B" w:rsidRPr="008D4D66" w:rsidRDefault="0070132B" w:rsidP="005A63E9">
      <w:pPr>
        <w:bidi w:val="0"/>
        <w:spacing w:after="100" w:afterAutospacing="1" w:line="240" w:lineRule="auto"/>
        <w:jc w:val="center"/>
        <w:rPr>
          <w:rFonts w:asciiTheme="majorBidi" w:hAnsiTheme="majorBidi" w:cstheme="majorBidi"/>
          <w:sz w:val="24"/>
          <w:szCs w:val="24"/>
          <w:rtl/>
        </w:rPr>
      </w:pPr>
      <w:r w:rsidRPr="008D4D66">
        <w:rPr>
          <w:rFonts w:asciiTheme="majorBidi" w:hAnsiTheme="majorBidi" w:cstheme="majorBidi"/>
          <w:sz w:val="24"/>
          <w:szCs w:val="24"/>
        </w:rPr>
        <w:t>Figure 3: Solutions of the fish samples.</w:t>
      </w:r>
    </w:p>
    <w:p w14:paraId="4B265FCD" w14:textId="77777777" w:rsidR="00282797" w:rsidRPr="00754FA8" w:rsidRDefault="00D42965" w:rsidP="005A63E9">
      <w:pPr>
        <w:bidi w:val="0"/>
        <w:spacing w:before="100" w:beforeAutospacing="1" w:after="0" w:line="240" w:lineRule="auto"/>
        <w:jc w:val="center"/>
        <w:rPr>
          <w:rFonts w:asciiTheme="majorBidi" w:hAnsiTheme="majorBidi" w:cstheme="majorBidi"/>
          <w:sz w:val="24"/>
          <w:szCs w:val="24"/>
          <w:rtl/>
        </w:rPr>
      </w:pPr>
      <w:r w:rsidRPr="00754FA8">
        <w:rPr>
          <w:rFonts w:asciiTheme="majorBidi" w:hAnsiTheme="majorBidi" w:cstheme="majorBidi"/>
          <w:noProof/>
          <w:sz w:val="24"/>
          <w:szCs w:val="24"/>
          <w:rtl/>
          <w:lang w:val="en-US"/>
        </w:rPr>
        <w:drawing>
          <wp:inline distT="0" distB="0" distL="0" distR="0" wp14:anchorId="217CFB70" wp14:editId="52C6A924">
            <wp:extent cx="2733675" cy="1437232"/>
            <wp:effectExtent l="0" t="0" r="0" b="0"/>
            <wp:docPr id="6" name="صورة 6" descr="C:\Users\rama\Pictures\34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a\Pictures\34غريب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465" cy="1438173"/>
                    </a:xfrm>
                    <a:prstGeom prst="rect">
                      <a:avLst/>
                    </a:prstGeom>
                    <a:noFill/>
                    <a:ln>
                      <a:noFill/>
                    </a:ln>
                  </pic:spPr>
                </pic:pic>
              </a:graphicData>
            </a:graphic>
          </wp:inline>
        </w:drawing>
      </w:r>
      <w:r w:rsidR="008D4D66">
        <w:rPr>
          <w:rFonts w:asciiTheme="majorBidi" w:hAnsiTheme="majorBidi" w:cstheme="majorBidi"/>
          <w:sz w:val="24"/>
          <w:szCs w:val="24"/>
        </w:rPr>
        <w:t xml:space="preserve">  </w:t>
      </w:r>
      <w:r w:rsidR="00282797" w:rsidRPr="00754FA8">
        <w:rPr>
          <w:rFonts w:asciiTheme="majorBidi" w:hAnsiTheme="majorBidi" w:cstheme="majorBidi"/>
          <w:noProof/>
          <w:sz w:val="24"/>
          <w:szCs w:val="24"/>
          <w:lang w:val="en-US"/>
        </w:rPr>
        <w:drawing>
          <wp:inline distT="0" distB="0" distL="0" distR="0" wp14:anchorId="2A539F6C" wp14:editId="6517C7CD">
            <wp:extent cx="2265045" cy="1424940"/>
            <wp:effectExtent l="0" t="0" r="1905" b="3810"/>
            <wp:docPr id="11" name="صورة 6" descr="C:\Users\rama\Desktop\Download\مجلد جديد ‫‬\مجلد جديد ‫‬\cfu_serial di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Users\rama\Desktop\Download\مجلد جديد ‫‬\مجلد جديد ‫‬\cfu_serial di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045" cy="1424940"/>
                    </a:xfrm>
                    <a:prstGeom prst="rect">
                      <a:avLst/>
                    </a:prstGeom>
                    <a:noFill/>
                    <a:ln>
                      <a:noFill/>
                    </a:ln>
                  </pic:spPr>
                </pic:pic>
              </a:graphicData>
            </a:graphic>
          </wp:inline>
        </w:drawing>
      </w:r>
    </w:p>
    <w:p w14:paraId="1A360A99" w14:textId="77777777" w:rsidR="005958B8" w:rsidRPr="008D4D66" w:rsidRDefault="005958B8" w:rsidP="005A63E9">
      <w:pPr>
        <w:bidi w:val="0"/>
        <w:spacing w:after="100" w:afterAutospacing="1" w:line="240" w:lineRule="auto"/>
        <w:ind w:firstLine="284"/>
        <w:jc w:val="center"/>
        <w:rPr>
          <w:rFonts w:asciiTheme="majorBidi" w:hAnsiTheme="majorBidi" w:cstheme="majorBidi"/>
          <w:sz w:val="24"/>
          <w:szCs w:val="24"/>
          <w:rtl/>
        </w:rPr>
      </w:pPr>
      <w:r w:rsidRPr="008D4D66">
        <w:rPr>
          <w:rFonts w:asciiTheme="majorBidi" w:eastAsia="MS Mincho" w:hAnsiTheme="majorBidi" w:cstheme="majorBidi"/>
          <w:sz w:val="24"/>
          <w:szCs w:val="24"/>
          <w:lang w:bidi="ar-SY"/>
        </w:rPr>
        <w:t xml:space="preserve">Figure 4: Dilutions of the solution </w:t>
      </w:r>
      <w:r w:rsidR="00612C88" w:rsidRPr="008D4D66">
        <w:rPr>
          <w:rFonts w:asciiTheme="majorBidi" w:eastAsia="MS Mincho" w:hAnsiTheme="majorBidi" w:cstheme="majorBidi"/>
          <w:sz w:val="24"/>
          <w:szCs w:val="24"/>
          <w:lang w:bidi="ar-SY"/>
        </w:rPr>
        <w:t>(</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100000).</w:t>
      </w:r>
    </w:p>
    <w:p w14:paraId="2641623B" w14:textId="77777777" w:rsidR="00282797" w:rsidRPr="00754FA8" w:rsidRDefault="00E14960" w:rsidP="003B6CDB">
      <w:pPr>
        <w:bidi w:val="0"/>
        <w:spacing w:after="0" w:line="240" w:lineRule="auto"/>
        <w:jc w:val="both"/>
        <w:rPr>
          <w:rFonts w:asciiTheme="majorBidi" w:hAnsiTheme="majorBidi" w:cstheme="majorBidi"/>
          <w:sz w:val="24"/>
          <w:szCs w:val="24"/>
          <w:rtl/>
        </w:rPr>
      </w:pPr>
      <w:r w:rsidRPr="00754FA8">
        <w:rPr>
          <w:rFonts w:asciiTheme="majorBidi" w:hAnsiTheme="majorBidi" w:cstheme="majorBidi"/>
          <w:noProof/>
          <w:sz w:val="24"/>
          <w:szCs w:val="24"/>
          <w:lang w:val="en-US"/>
        </w:rPr>
        <w:drawing>
          <wp:inline distT="0" distB="0" distL="0" distR="0" wp14:anchorId="5C58EDF2" wp14:editId="37C1079B">
            <wp:extent cx="2381250" cy="1567495"/>
            <wp:effectExtent l="0" t="0" r="0" b="0"/>
            <wp:docPr id="13" name="صورة 7" descr="C:\Users\rama\Desktop\Download\مجلد جديد ‫‬\مجلد جديد ‫‬\1(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rama\Desktop\Download\مجلد جديد ‫‬\مجلد جديد ‫‬\1(19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131" cy="1570708"/>
                    </a:xfrm>
                    <a:prstGeom prst="rect">
                      <a:avLst/>
                    </a:prstGeom>
                    <a:noFill/>
                    <a:ln>
                      <a:noFill/>
                    </a:ln>
                  </pic:spPr>
                </pic:pic>
              </a:graphicData>
            </a:graphic>
          </wp:inline>
        </w:drawing>
      </w:r>
      <w:r w:rsidRPr="00754FA8">
        <w:rPr>
          <w:rFonts w:asciiTheme="majorBidi" w:hAnsiTheme="majorBidi" w:cstheme="majorBidi"/>
          <w:noProof/>
          <w:sz w:val="24"/>
          <w:szCs w:val="24"/>
          <w:rtl/>
          <w:lang w:val="en-US"/>
        </w:rPr>
        <w:drawing>
          <wp:inline distT="0" distB="0" distL="0" distR="0" wp14:anchorId="42BE346A" wp14:editId="15ED9B2E">
            <wp:extent cx="2828925" cy="1562100"/>
            <wp:effectExtent l="0" t="0" r="9525" b="0"/>
            <wp:docPr id="5" name="صورة 5" descr="C:\Users\rama\Pictures\5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Pictures\5غريب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14:paraId="35623253" w14:textId="77777777" w:rsidR="00280702" w:rsidRPr="003B6CDB" w:rsidRDefault="00280702" w:rsidP="003B6CDB">
      <w:pPr>
        <w:bidi w:val="0"/>
        <w:spacing w:after="100" w:afterAutospacing="1" w:line="240" w:lineRule="auto"/>
        <w:jc w:val="center"/>
        <w:outlineLvl w:val="2"/>
        <w:rPr>
          <w:rFonts w:asciiTheme="majorBidi" w:hAnsiTheme="majorBidi" w:cstheme="majorBidi"/>
          <w:sz w:val="24"/>
          <w:szCs w:val="24"/>
          <w:rtl/>
        </w:rPr>
      </w:pPr>
      <w:r w:rsidRPr="003B6CDB">
        <w:rPr>
          <w:rFonts w:asciiTheme="majorBidi" w:hAnsiTheme="majorBidi" w:cstheme="majorBidi"/>
          <w:sz w:val="24"/>
          <w:szCs w:val="24"/>
        </w:rPr>
        <w:t>Figure 5: Distributing the solution dilutions in Petri dishes.</w:t>
      </w:r>
    </w:p>
    <w:p w14:paraId="1331592C" w14:textId="77777777" w:rsidR="00282797" w:rsidRPr="00754FA8" w:rsidRDefault="00282797" w:rsidP="003B6CDB">
      <w:pPr>
        <w:bidi w:val="0"/>
        <w:spacing w:after="0" w:line="240" w:lineRule="auto"/>
        <w:jc w:val="both"/>
        <w:outlineLvl w:val="2"/>
        <w:rPr>
          <w:rFonts w:asciiTheme="majorBidi" w:hAnsiTheme="majorBidi" w:cstheme="majorBidi"/>
          <w:sz w:val="24"/>
          <w:szCs w:val="24"/>
          <w:rtl/>
        </w:rPr>
      </w:pPr>
      <w:r w:rsidRPr="00754FA8">
        <w:rPr>
          <w:rFonts w:asciiTheme="majorBidi" w:hAnsiTheme="majorBidi" w:cstheme="majorBidi"/>
          <w:noProof/>
          <w:sz w:val="24"/>
          <w:szCs w:val="24"/>
          <w:lang w:val="en-US"/>
        </w:rPr>
        <w:lastRenderedPageBreak/>
        <w:drawing>
          <wp:inline distT="0" distB="0" distL="0" distR="0" wp14:anchorId="5766F0ED" wp14:editId="23359D4D">
            <wp:extent cx="1435100" cy="956945"/>
            <wp:effectExtent l="0" t="0" r="0" b="0"/>
            <wp:docPr id="14" name="صورة 65" descr="C:\Users\Ghadeer\Desktop\رائدة\عملي ماجستير\‏١\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C:\Users\Ghadeer\Desktop\رائدة\عملي ماجستير\‏١\بدون عنوان.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100" cy="956945"/>
                    </a:xfrm>
                    <a:prstGeom prst="rect">
                      <a:avLst/>
                    </a:prstGeom>
                    <a:noFill/>
                    <a:ln>
                      <a:noFill/>
                    </a:ln>
                  </pic:spPr>
                </pic:pic>
              </a:graphicData>
            </a:graphic>
          </wp:inline>
        </w:drawing>
      </w:r>
      <w:r w:rsidRPr="00754FA8">
        <w:rPr>
          <w:rFonts w:asciiTheme="majorBidi" w:hAnsiTheme="majorBidi" w:cstheme="majorBidi"/>
          <w:sz w:val="24"/>
          <w:szCs w:val="24"/>
          <w:rtl/>
        </w:rPr>
        <w:t xml:space="preserve"> </w:t>
      </w:r>
      <w:r w:rsidRPr="00754FA8">
        <w:rPr>
          <w:rFonts w:asciiTheme="majorBidi" w:hAnsiTheme="majorBidi" w:cstheme="majorBidi"/>
          <w:noProof/>
          <w:sz w:val="24"/>
          <w:szCs w:val="24"/>
          <w:lang w:val="en-US"/>
        </w:rPr>
        <w:drawing>
          <wp:inline distT="0" distB="0" distL="0" distR="0" wp14:anchorId="5AE04759" wp14:editId="4FFCFE9F">
            <wp:extent cx="967740" cy="967740"/>
            <wp:effectExtent l="0" t="0" r="3810" b="3810"/>
            <wp:docPr id="15" name="صورة 12" descr="C:\Users\Ghadeer\Desktop\رائدة\عملي ماجستير\‏١\الغلا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C:\Users\Ghadeer\Desktop\رائدة\عملي ماجستير\‏١\الغلاية.png"/>
                    <pic:cNvPicPr>
                      <a:picLocks noChangeAspect="1" noChangeArrowheads="1"/>
                    </pic:cNvPicPr>
                  </pic:nvPicPr>
                  <pic:blipFill>
                    <a:blip r:embed="rId15" cstate="print">
                      <a:extLst>
                        <a:ext uri="{28A0092B-C50C-407E-A947-70E740481C1C}">
                          <a14:useLocalDpi xmlns:a14="http://schemas.microsoft.com/office/drawing/2010/main" val="0"/>
                        </a:ext>
                      </a:extLst>
                    </a:blip>
                    <a:srcRect l="13416" t="28571" r="12369" b="10989"/>
                    <a:stretch>
                      <a:fillRect/>
                    </a:stretch>
                  </pic:blipFill>
                  <pic:spPr bwMode="auto">
                    <a:xfrm>
                      <a:off x="0" y="0"/>
                      <a:ext cx="967740" cy="967740"/>
                    </a:xfrm>
                    <a:prstGeom prst="rect">
                      <a:avLst/>
                    </a:prstGeom>
                    <a:noFill/>
                    <a:ln>
                      <a:noFill/>
                    </a:ln>
                  </pic:spPr>
                </pic:pic>
              </a:graphicData>
            </a:graphic>
          </wp:inline>
        </w:drawing>
      </w:r>
      <w:r w:rsidRPr="00754FA8">
        <w:rPr>
          <w:rFonts w:asciiTheme="majorBidi" w:hAnsiTheme="majorBidi" w:cstheme="majorBidi"/>
          <w:noProof/>
          <w:sz w:val="24"/>
          <w:szCs w:val="24"/>
          <w:lang w:val="en-US"/>
        </w:rPr>
        <w:drawing>
          <wp:inline distT="0" distB="0" distL="0" distR="0" wp14:anchorId="3E08BADB" wp14:editId="6FF53647">
            <wp:extent cx="903605" cy="956945"/>
            <wp:effectExtent l="0" t="0" r="0" b="0"/>
            <wp:docPr id="16" name="صورة 11" descr="C:\Users\Ghadeer\Desktop\رائدة\عملي ماجستير\‏٤\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Users\Ghadeer\Desktop\رائدة\عملي ماجستير\‏٤\D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3605" cy="956945"/>
                    </a:xfrm>
                    <a:prstGeom prst="rect">
                      <a:avLst/>
                    </a:prstGeom>
                    <a:noFill/>
                    <a:ln>
                      <a:noFill/>
                    </a:ln>
                  </pic:spPr>
                </pic:pic>
              </a:graphicData>
            </a:graphic>
          </wp:inline>
        </w:drawing>
      </w:r>
      <w:r w:rsidRPr="00754FA8">
        <w:rPr>
          <w:rFonts w:asciiTheme="majorBidi" w:hAnsiTheme="majorBidi" w:cstheme="majorBidi"/>
          <w:sz w:val="24"/>
          <w:szCs w:val="24"/>
          <w:rtl/>
        </w:rPr>
        <w:t xml:space="preserve"> </w:t>
      </w:r>
      <w:r w:rsidRPr="00754FA8">
        <w:rPr>
          <w:rFonts w:asciiTheme="majorBidi" w:hAnsiTheme="majorBidi" w:cstheme="majorBidi"/>
          <w:noProof/>
          <w:sz w:val="24"/>
          <w:szCs w:val="24"/>
          <w:lang w:val="en-US"/>
        </w:rPr>
        <w:drawing>
          <wp:inline distT="0" distB="0" distL="0" distR="0" wp14:anchorId="2D303004" wp14:editId="2CAEC46C">
            <wp:extent cx="818515" cy="977900"/>
            <wp:effectExtent l="0" t="0" r="635" b="0"/>
            <wp:docPr id="17" name="صورة 9" descr="C:\Users\Ghadeer\Desktop\رائدة\عملي ماجستير\‏١\D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Users\Ghadeer\Desktop\رائدة\عملي ماجستير\‏١\D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l="14706" r="14355"/>
                    <a:stretch>
                      <a:fillRect/>
                    </a:stretch>
                  </pic:blipFill>
                  <pic:spPr bwMode="auto">
                    <a:xfrm>
                      <a:off x="0" y="0"/>
                      <a:ext cx="818515" cy="977900"/>
                    </a:xfrm>
                    <a:prstGeom prst="rect">
                      <a:avLst/>
                    </a:prstGeom>
                    <a:noFill/>
                    <a:ln>
                      <a:noFill/>
                    </a:ln>
                  </pic:spPr>
                </pic:pic>
              </a:graphicData>
            </a:graphic>
          </wp:inline>
        </w:drawing>
      </w:r>
      <w:r w:rsidRPr="00754FA8">
        <w:rPr>
          <w:rFonts w:asciiTheme="majorBidi" w:hAnsiTheme="majorBidi" w:cstheme="majorBidi"/>
          <w:noProof/>
          <w:sz w:val="24"/>
          <w:szCs w:val="24"/>
          <w:lang w:val="en-US"/>
        </w:rPr>
        <w:drawing>
          <wp:inline distT="0" distB="0" distL="0" distR="0" wp14:anchorId="47B23B33" wp14:editId="4AF5BA68">
            <wp:extent cx="988695" cy="690880"/>
            <wp:effectExtent l="0" t="3492" r="0" b="0"/>
            <wp:docPr id="18" name="صورة 39" descr="C:\Users\rama\Desktop\صور\IMG_٢٠٢١١١١٥_٠٩٢٥٢٧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C:\Users\rama\Desktop\صور\IMG_٢٠٢١١١١٥_٠٩٢٥٢٧_mfnr.jpg"/>
                    <pic:cNvPicPr>
                      <a:picLocks noChangeAspect="1" noChangeArrowheads="1"/>
                    </pic:cNvPicPr>
                  </pic:nvPicPr>
                  <pic:blipFill>
                    <a:blip r:embed="rId18" cstate="print">
                      <a:extLst>
                        <a:ext uri="{28A0092B-C50C-407E-A947-70E740481C1C}">
                          <a14:useLocalDpi xmlns:a14="http://schemas.microsoft.com/office/drawing/2010/main" val="0"/>
                        </a:ext>
                      </a:extLst>
                    </a:blip>
                    <a:srcRect l="11501" t="8321" r="20567"/>
                    <a:stretch>
                      <a:fillRect/>
                    </a:stretch>
                  </pic:blipFill>
                  <pic:spPr bwMode="auto">
                    <a:xfrm rot="5400000">
                      <a:off x="0" y="0"/>
                      <a:ext cx="988695" cy="690880"/>
                    </a:xfrm>
                    <a:prstGeom prst="rect">
                      <a:avLst/>
                    </a:prstGeom>
                    <a:noFill/>
                    <a:ln>
                      <a:noFill/>
                    </a:ln>
                  </pic:spPr>
                </pic:pic>
              </a:graphicData>
            </a:graphic>
          </wp:inline>
        </w:drawing>
      </w:r>
    </w:p>
    <w:p w14:paraId="6736973E" w14:textId="77777777" w:rsidR="00893A81" w:rsidRPr="003B6CDB" w:rsidRDefault="00893A81" w:rsidP="003B6CDB">
      <w:pPr>
        <w:bidi w:val="0"/>
        <w:spacing w:after="100" w:afterAutospacing="1" w:line="240" w:lineRule="auto"/>
        <w:ind w:firstLine="284"/>
        <w:jc w:val="center"/>
        <w:rPr>
          <w:rFonts w:asciiTheme="majorBidi" w:hAnsiTheme="majorBidi" w:cstheme="majorBidi"/>
          <w:sz w:val="24"/>
          <w:szCs w:val="24"/>
        </w:rPr>
      </w:pPr>
      <w:r w:rsidRPr="003B6CDB">
        <w:rPr>
          <w:rFonts w:asciiTheme="majorBidi" w:hAnsiTheme="majorBidi" w:cstheme="majorBidi"/>
          <w:sz w:val="24"/>
          <w:szCs w:val="24"/>
        </w:rPr>
        <w:t>Figure 6: Preparation of nutrient media (agates) and incubation of Petri dishes.</w:t>
      </w:r>
    </w:p>
    <w:p w14:paraId="34551072" w14:textId="77777777" w:rsidR="00893A81" w:rsidRPr="00591E34" w:rsidRDefault="00893A81" w:rsidP="00591E34">
      <w:pPr>
        <w:bidi w:val="0"/>
        <w:spacing w:after="0" w:line="240" w:lineRule="auto"/>
        <w:contextualSpacing/>
        <w:jc w:val="both"/>
        <w:rPr>
          <w:rFonts w:asciiTheme="majorBidi" w:hAnsiTheme="majorBidi" w:cstheme="majorBidi"/>
          <w:sz w:val="24"/>
          <w:szCs w:val="24"/>
          <w:rtl/>
          <w:lang w:bidi="ar-SY"/>
        </w:rPr>
      </w:pPr>
      <w:r w:rsidRPr="00591E34">
        <w:rPr>
          <w:rFonts w:asciiTheme="majorBidi" w:hAnsiTheme="majorBidi" w:cstheme="majorBidi"/>
          <w:b/>
          <w:bCs/>
          <w:sz w:val="24"/>
          <w:szCs w:val="24"/>
        </w:rPr>
        <w:t>Identification of some microbial species and genera:</w:t>
      </w:r>
    </w:p>
    <w:p w14:paraId="3E64C6F9" w14:textId="0CE5DDA0" w:rsidR="00F855B9" w:rsidRDefault="003A5F79" w:rsidP="009C2806">
      <w:pPr>
        <w:bidi w:val="0"/>
        <w:spacing w:before="100" w:beforeAutospacing="1" w:after="0" w:line="240" w:lineRule="auto"/>
        <w:contextualSpacing/>
        <w:jc w:val="both"/>
        <w:outlineLvl w:val="2"/>
        <w:rPr>
          <w:rFonts w:asciiTheme="majorBidi" w:hAnsiTheme="majorBidi" w:cstheme="majorBidi"/>
          <w:sz w:val="24"/>
          <w:szCs w:val="24"/>
          <w:lang w:val="en-US" w:bidi="ar-SY"/>
        </w:rPr>
      </w:pPr>
      <w:r w:rsidRPr="003A5F79">
        <w:rPr>
          <w:rFonts w:asciiTheme="majorBidi" w:hAnsiTheme="majorBidi" w:cstheme="majorBidi"/>
          <w:sz w:val="24"/>
          <w:szCs w:val="24"/>
          <w:lang w:val="en-US" w:bidi="ar-SY"/>
        </w:rPr>
        <w:t>The observed colony growth were counted using Coulter Colony</w:t>
      </w:r>
      <w:r>
        <w:rPr>
          <w:rFonts w:asciiTheme="majorBidi" w:hAnsiTheme="majorBidi" w:cstheme="majorBidi"/>
          <w:sz w:val="24"/>
          <w:szCs w:val="24"/>
          <w:lang w:val="en-US" w:bidi="ar-SY"/>
        </w:rPr>
        <w:t xml:space="preserve"> </w:t>
      </w:r>
      <w:r w:rsidRPr="003A5F79">
        <w:rPr>
          <w:rFonts w:asciiTheme="majorBidi" w:hAnsiTheme="majorBidi" w:cstheme="majorBidi"/>
          <w:sz w:val="24"/>
          <w:szCs w:val="24"/>
          <w:lang w:val="en-US" w:bidi="ar-SY"/>
        </w:rPr>
        <w:t>counter according to plate count method. Identification of the organisms was done using the phenotypic</w:t>
      </w:r>
      <w:r>
        <w:rPr>
          <w:rFonts w:asciiTheme="majorBidi" w:hAnsiTheme="majorBidi" w:cstheme="majorBidi"/>
          <w:sz w:val="24"/>
          <w:szCs w:val="24"/>
          <w:lang w:val="en-US" w:bidi="ar-SY"/>
        </w:rPr>
        <w:t xml:space="preserve"> </w:t>
      </w:r>
      <w:r w:rsidRPr="003A5F79">
        <w:rPr>
          <w:rFonts w:asciiTheme="majorBidi" w:hAnsiTheme="majorBidi" w:cstheme="majorBidi"/>
          <w:sz w:val="24"/>
          <w:szCs w:val="24"/>
          <w:lang w:val="en-US" w:bidi="ar-SY"/>
        </w:rPr>
        <w:t xml:space="preserve">and biochemical characteristics (Slaby </w:t>
      </w:r>
      <w:r w:rsidRPr="003A5F79">
        <w:rPr>
          <w:rFonts w:asciiTheme="majorBidi" w:hAnsiTheme="majorBidi" w:cstheme="majorBidi"/>
          <w:i/>
          <w:iCs/>
          <w:sz w:val="24"/>
          <w:szCs w:val="24"/>
          <w:lang w:val="en-US" w:bidi="ar-SY"/>
        </w:rPr>
        <w:t xml:space="preserve">et al., </w:t>
      </w:r>
      <w:r w:rsidRPr="003A5F79">
        <w:rPr>
          <w:rFonts w:asciiTheme="majorBidi" w:hAnsiTheme="majorBidi" w:cstheme="majorBidi"/>
          <w:sz w:val="24"/>
          <w:szCs w:val="24"/>
          <w:lang w:val="en-US" w:bidi="ar-SY"/>
        </w:rPr>
        <w:t>1981</w:t>
      </w:r>
      <w:r>
        <w:rPr>
          <w:rFonts w:asciiTheme="majorBidi" w:hAnsiTheme="majorBidi" w:cstheme="majorBidi"/>
          <w:sz w:val="24"/>
          <w:szCs w:val="24"/>
          <w:lang w:val="en-US" w:bidi="ar-SY"/>
        </w:rPr>
        <w:t xml:space="preserve">; </w:t>
      </w:r>
      <w:r w:rsidRPr="003A5F79">
        <w:rPr>
          <w:rFonts w:asciiTheme="majorBidi" w:hAnsiTheme="majorBidi" w:cstheme="majorBidi"/>
          <w:sz w:val="24"/>
          <w:szCs w:val="24"/>
          <w:lang w:val="en-US" w:bidi="ar-SY"/>
        </w:rPr>
        <w:t>Cheesbrough, 1984).</w:t>
      </w:r>
      <w:r w:rsidR="0053645D">
        <w:rPr>
          <w:rFonts w:asciiTheme="majorBidi" w:hAnsiTheme="majorBidi" w:cstheme="majorBidi"/>
          <w:sz w:val="24"/>
          <w:szCs w:val="24"/>
          <w:lang w:val="en-US" w:bidi="ar-SY"/>
        </w:rPr>
        <w:t xml:space="preserve"> </w:t>
      </w:r>
      <w:r w:rsidR="006C5D61" w:rsidRPr="006C5D61">
        <w:rPr>
          <w:rFonts w:asciiTheme="majorBidi" w:hAnsiTheme="majorBidi" w:cstheme="majorBidi"/>
          <w:sz w:val="24"/>
          <w:szCs w:val="24"/>
          <w:lang w:val="en-US" w:bidi="ar-SY"/>
        </w:rPr>
        <w:t>Six solid nutrient media were used in this study: Nutrient agar, McConkey agar, Hektoen agar, Shigella Salmonella (SS) agar, and Xylose Lysine Deoxycholate agar</w:t>
      </w:r>
      <w:r w:rsidR="0053645D">
        <w:rPr>
          <w:rFonts w:asciiTheme="majorBidi" w:hAnsiTheme="majorBidi" w:cstheme="majorBidi"/>
          <w:sz w:val="24"/>
          <w:szCs w:val="24"/>
          <w:lang w:val="en-US" w:bidi="ar-SY"/>
        </w:rPr>
        <w:t xml:space="preserve"> (</w:t>
      </w:r>
      <w:r w:rsidR="0053645D" w:rsidRPr="006C5D61">
        <w:rPr>
          <w:rFonts w:asciiTheme="majorBidi" w:hAnsiTheme="majorBidi" w:cstheme="majorBidi"/>
          <w:sz w:val="24"/>
          <w:szCs w:val="24"/>
          <w:lang w:val="en-US" w:bidi="ar-SY"/>
        </w:rPr>
        <w:t>Figure 7</w:t>
      </w:r>
      <w:r w:rsidR="0053645D">
        <w:rPr>
          <w:rFonts w:asciiTheme="majorBidi" w:hAnsiTheme="majorBidi" w:cstheme="majorBidi"/>
          <w:sz w:val="24"/>
          <w:szCs w:val="24"/>
          <w:lang w:val="en-US" w:bidi="ar-SY"/>
        </w:rPr>
        <w:t xml:space="preserve"> &amp; Table </w:t>
      </w:r>
      <w:r w:rsidR="002A768E">
        <w:rPr>
          <w:rFonts w:asciiTheme="majorBidi" w:hAnsiTheme="majorBidi" w:cstheme="majorBidi"/>
          <w:sz w:val="24"/>
          <w:szCs w:val="24"/>
          <w:lang w:val="en-US" w:bidi="ar-SY"/>
        </w:rPr>
        <w:t>4</w:t>
      </w:r>
      <w:r w:rsidR="0053645D">
        <w:rPr>
          <w:rFonts w:asciiTheme="majorBidi" w:hAnsiTheme="majorBidi" w:cstheme="majorBidi"/>
          <w:sz w:val="24"/>
          <w:szCs w:val="24"/>
          <w:lang w:val="en-US" w:bidi="ar-SY"/>
        </w:rPr>
        <w:t>).</w:t>
      </w:r>
    </w:p>
    <w:p w14:paraId="3B3204F7" w14:textId="77777777" w:rsidR="00282797" w:rsidRPr="00754FA8" w:rsidRDefault="00DC73EE" w:rsidP="00906FD0">
      <w:pPr>
        <w:bidi w:val="0"/>
        <w:spacing w:before="100" w:beforeAutospacing="1" w:after="0" w:line="240" w:lineRule="auto"/>
        <w:jc w:val="center"/>
        <w:outlineLvl w:val="2"/>
        <w:rPr>
          <w:rFonts w:asciiTheme="majorBidi" w:hAnsiTheme="majorBidi" w:cstheme="majorBidi"/>
          <w:sz w:val="24"/>
          <w:szCs w:val="24"/>
          <w:rtl/>
          <w:lang w:bidi="ar-SY"/>
        </w:rPr>
      </w:pPr>
      <w:r w:rsidRPr="00754FA8">
        <w:rPr>
          <w:rFonts w:asciiTheme="majorBidi" w:hAnsiTheme="majorBidi" w:cstheme="majorBidi"/>
          <w:noProof/>
          <w:sz w:val="24"/>
          <w:szCs w:val="24"/>
          <w:rtl/>
          <w:lang w:val="en-US"/>
        </w:rPr>
        <w:drawing>
          <wp:inline distT="0" distB="0" distL="0" distR="0" wp14:anchorId="632A3086" wp14:editId="64946FE6">
            <wp:extent cx="4133850" cy="1504950"/>
            <wp:effectExtent l="0" t="0" r="0" b="0"/>
            <wp:docPr id="4" name="صورة 4" descr="C:\Users\rama\Pictures\11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Pictures\11غريبة.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3375" cy="1508418"/>
                    </a:xfrm>
                    <a:prstGeom prst="rect">
                      <a:avLst/>
                    </a:prstGeom>
                    <a:noFill/>
                    <a:ln>
                      <a:noFill/>
                    </a:ln>
                  </pic:spPr>
                </pic:pic>
              </a:graphicData>
            </a:graphic>
          </wp:inline>
        </w:drawing>
      </w:r>
    </w:p>
    <w:p w14:paraId="08F54EA7" w14:textId="77777777" w:rsidR="00906FD0" w:rsidRPr="00FB0DFA" w:rsidRDefault="00906FD0" w:rsidP="00FB0DFA">
      <w:pPr>
        <w:bidi w:val="0"/>
        <w:spacing w:after="100" w:afterAutospacing="1" w:line="240" w:lineRule="auto"/>
        <w:ind w:firstLine="284"/>
        <w:jc w:val="center"/>
        <w:outlineLvl w:val="2"/>
        <w:rPr>
          <w:rFonts w:asciiTheme="majorBidi" w:hAnsiTheme="majorBidi" w:cstheme="majorBidi"/>
          <w:sz w:val="24"/>
          <w:szCs w:val="24"/>
          <w:rtl/>
        </w:rPr>
      </w:pPr>
      <w:r w:rsidRPr="00906FD0">
        <w:rPr>
          <w:rFonts w:asciiTheme="majorBidi" w:hAnsiTheme="majorBidi" w:cstheme="majorBidi"/>
        </w:rPr>
        <w:t xml:space="preserve">Figure 7: </w:t>
      </w:r>
      <w:r w:rsidR="00FB0DFA" w:rsidRPr="00FB0DFA">
        <w:rPr>
          <w:rFonts w:asciiTheme="majorBidi" w:hAnsiTheme="majorBidi" w:cstheme="majorBidi"/>
        </w:rPr>
        <w:t>Growth of isolates bacterial on Nutrient Agar.</w:t>
      </w:r>
    </w:p>
    <w:p w14:paraId="45D704C1" w14:textId="7A272650" w:rsidR="00661047" w:rsidRPr="00661047" w:rsidRDefault="00661047" w:rsidP="00661047">
      <w:pPr>
        <w:bidi w:val="0"/>
        <w:spacing w:before="100" w:beforeAutospacing="1" w:after="100" w:afterAutospacing="1" w:line="240" w:lineRule="auto"/>
        <w:jc w:val="both"/>
        <w:outlineLvl w:val="2"/>
        <w:rPr>
          <w:rFonts w:asciiTheme="majorBidi" w:hAnsiTheme="majorBidi" w:cstheme="majorBidi"/>
          <w:b/>
          <w:bCs/>
          <w:sz w:val="24"/>
          <w:szCs w:val="24"/>
          <w:lang w:val="en-US"/>
        </w:rPr>
      </w:pPr>
      <w:r>
        <w:rPr>
          <w:rFonts w:asciiTheme="majorBidi" w:hAnsiTheme="majorBidi" w:cstheme="majorBidi"/>
          <w:b/>
          <w:bCs/>
          <w:sz w:val="24"/>
          <w:szCs w:val="24"/>
          <w:lang w:val="en-US"/>
        </w:rPr>
        <w:t xml:space="preserve">3- </w:t>
      </w:r>
      <w:r w:rsidRPr="00661047">
        <w:rPr>
          <w:rFonts w:asciiTheme="majorBidi" w:hAnsiTheme="majorBidi" w:cstheme="majorBidi"/>
          <w:b/>
          <w:bCs/>
          <w:sz w:val="24"/>
          <w:szCs w:val="24"/>
          <w:lang w:val="en-US"/>
        </w:rPr>
        <w:t>Results</w:t>
      </w:r>
      <w:r w:rsidR="00E65730">
        <w:rPr>
          <w:rFonts w:asciiTheme="majorBidi" w:hAnsiTheme="majorBidi" w:cstheme="majorBidi"/>
          <w:b/>
          <w:bCs/>
          <w:sz w:val="24"/>
          <w:szCs w:val="24"/>
          <w:lang w:val="en-US"/>
        </w:rPr>
        <w:t xml:space="preserve"> and Discussion</w:t>
      </w:r>
    </w:p>
    <w:p w14:paraId="64DE40C5" w14:textId="77777777" w:rsidR="002B4779" w:rsidRDefault="00E749BA" w:rsidP="002F73FD">
      <w:pPr>
        <w:autoSpaceDE w:val="0"/>
        <w:autoSpaceDN w:val="0"/>
        <w:bidi w:val="0"/>
        <w:adjustRightInd w:val="0"/>
        <w:spacing w:after="0" w:line="240" w:lineRule="auto"/>
        <w:jc w:val="both"/>
        <w:rPr>
          <w:rFonts w:asciiTheme="majorBidi" w:hAnsiTheme="majorBidi" w:cstheme="majorBidi"/>
          <w:sz w:val="24"/>
          <w:szCs w:val="24"/>
          <w:lang w:val="en-US"/>
        </w:rPr>
      </w:pPr>
      <w:r>
        <w:rPr>
          <w:rFonts w:ascii="Times New Roman" w:eastAsiaTheme="minorHAnsi" w:hAnsi="Times New Roman" w:cs="Times New Roman"/>
          <w:sz w:val="24"/>
          <w:szCs w:val="24"/>
          <w:lang w:val="en-US"/>
        </w:rPr>
        <w:t xml:space="preserve">In this study, the total aerobic plate count (TAPC) for all the fish samples ranged between </w:t>
      </w:r>
      <w:r w:rsidR="003F73EF">
        <w:rPr>
          <w:rFonts w:ascii="Times New Roman" w:eastAsiaTheme="minorHAnsi" w:hAnsi="Times New Roman" w:cs="Times New Roman"/>
          <w:sz w:val="24"/>
          <w:szCs w:val="24"/>
          <w:lang w:val="en-US"/>
        </w:rPr>
        <w:t>0.7</w:t>
      </w:r>
      <w:r>
        <w:rPr>
          <w:rFonts w:ascii="Times New Roman" w:eastAsiaTheme="minorHAnsi" w:hAnsi="Times New Roman" w:cs="Times New Roman"/>
          <w:sz w:val="24"/>
          <w:szCs w:val="24"/>
          <w:lang w:val="en-US"/>
        </w:rPr>
        <w:t>×</w:t>
      </w:r>
      <w:r w:rsidR="003F73EF">
        <w:rPr>
          <w:rFonts w:ascii="Times New Roman" w:eastAsiaTheme="minorHAnsi" w:hAnsi="Times New Roman" w:cs="Times New Roman"/>
          <w:sz w:val="24"/>
          <w:szCs w:val="24"/>
          <w:lang w:val="en-US"/>
        </w:rPr>
        <w:t>10</w:t>
      </w:r>
      <w:r w:rsidR="003F73EF">
        <w:rPr>
          <w:rFonts w:ascii="Times New Roman" w:eastAsiaTheme="minorHAnsi" w:hAnsi="Times New Roman" w:cs="Times New Roman"/>
          <w:sz w:val="24"/>
          <w:szCs w:val="24"/>
          <w:vertAlign w:val="superscript"/>
          <w:lang w:val="en-US"/>
        </w:rPr>
        <w:t>2</w:t>
      </w:r>
      <w:r>
        <w:rPr>
          <w:rFonts w:ascii="Times New Roman" w:eastAsiaTheme="minorHAnsi" w:hAnsi="Times New Roman" w:cs="Times New Roman"/>
          <w:sz w:val="24"/>
          <w:szCs w:val="24"/>
          <w:lang w:val="en-US"/>
        </w:rPr>
        <w:t xml:space="preserve"> and </w:t>
      </w:r>
      <w:r w:rsidR="003F73EF">
        <w:rPr>
          <w:rFonts w:ascii="Times New Roman" w:eastAsiaTheme="minorHAnsi" w:hAnsi="Times New Roman" w:cs="Times New Roman"/>
          <w:sz w:val="24"/>
          <w:szCs w:val="24"/>
          <w:lang w:val="en-US"/>
        </w:rPr>
        <w:t>3</w:t>
      </w:r>
      <w:r>
        <w:rPr>
          <w:rFonts w:ascii="Times New Roman" w:eastAsiaTheme="minorHAnsi" w:hAnsi="Times New Roman" w:cs="Times New Roman"/>
          <w:sz w:val="24"/>
          <w:szCs w:val="24"/>
          <w:lang w:val="en-US"/>
        </w:rPr>
        <w:t>×</w:t>
      </w:r>
      <w:r w:rsidR="003F73EF">
        <w:rPr>
          <w:rFonts w:ascii="Times New Roman" w:eastAsiaTheme="minorHAnsi" w:hAnsi="Times New Roman" w:cs="Times New Roman"/>
          <w:sz w:val="24"/>
          <w:szCs w:val="24"/>
          <w:lang w:val="en-US"/>
        </w:rPr>
        <w:t>10</w:t>
      </w:r>
      <w:r w:rsidR="003F73EF">
        <w:rPr>
          <w:rFonts w:ascii="Times New Roman" w:eastAsiaTheme="minorHAnsi" w:hAnsi="Times New Roman" w:cs="Times New Roman"/>
          <w:sz w:val="24"/>
          <w:szCs w:val="24"/>
          <w:vertAlign w:val="superscript"/>
          <w:lang w:val="en-US"/>
        </w:rPr>
        <w:t>2</w:t>
      </w:r>
      <w:r>
        <w:rPr>
          <w:rFonts w:ascii="Times New Roman" w:eastAsiaTheme="minorHAnsi" w:hAnsi="Times New Roman" w:cs="Times New Roman"/>
          <w:sz w:val="24"/>
          <w:szCs w:val="24"/>
          <w:lang w:val="en-US"/>
        </w:rPr>
        <w:t xml:space="preserve"> cfu/g as shown in Table </w:t>
      </w:r>
      <w:r w:rsidR="00E42EA8">
        <w:rPr>
          <w:rFonts w:ascii="Times New Roman" w:eastAsiaTheme="minorHAnsi" w:hAnsi="Times New Roman" w:cs="Times New Roman"/>
          <w:sz w:val="24"/>
          <w:szCs w:val="24"/>
          <w:lang w:val="en-US"/>
        </w:rPr>
        <w:t>2</w:t>
      </w:r>
      <w:r w:rsidR="00661047" w:rsidRPr="00661047">
        <w:rPr>
          <w:rFonts w:asciiTheme="majorBidi" w:hAnsiTheme="majorBidi" w:cstheme="majorBidi"/>
          <w:sz w:val="24"/>
          <w:szCs w:val="24"/>
          <w:lang w:val="en-US"/>
        </w:rPr>
        <w:t>. Higher counts were observed at Tartous Corniche site, with the peak recorded during summer</w:t>
      </w:r>
      <w:r w:rsidR="001C6003">
        <w:rPr>
          <w:rFonts w:asciiTheme="majorBidi" w:hAnsiTheme="majorBidi" w:cstheme="majorBidi"/>
          <w:sz w:val="24"/>
          <w:szCs w:val="24"/>
          <w:lang w:val="en-US"/>
        </w:rPr>
        <w:t xml:space="preserve"> in both sites</w:t>
      </w:r>
      <w:r w:rsidR="00661047" w:rsidRPr="00661047">
        <w:rPr>
          <w:rFonts w:asciiTheme="majorBidi" w:hAnsiTheme="majorBidi" w:cstheme="majorBidi"/>
          <w:sz w:val="24"/>
          <w:szCs w:val="24"/>
          <w:lang w:val="en-US"/>
        </w:rPr>
        <w:t>. Basira showed the lowest microbial counts throughout the year</w:t>
      </w:r>
      <w:r w:rsidR="00737E18">
        <w:rPr>
          <w:rFonts w:asciiTheme="majorBidi" w:hAnsiTheme="majorBidi" w:cstheme="majorBidi"/>
          <w:sz w:val="24"/>
          <w:szCs w:val="24"/>
          <w:lang w:val="en-US"/>
        </w:rPr>
        <w:t xml:space="preserve"> ranged between (0.7 -2.8)</w:t>
      </w:r>
      <w:r w:rsidR="00737E18" w:rsidRPr="00737E18">
        <w:rPr>
          <w:rFonts w:ascii="Times New Roman" w:eastAsiaTheme="minorHAnsi" w:hAnsi="Times New Roman" w:cs="Times New Roman"/>
          <w:sz w:val="24"/>
          <w:szCs w:val="24"/>
          <w:lang w:val="en-US"/>
        </w:rPr>
        <w:t xml:space="preserve"> </w:t>
      </w:r>
      <w:r w:rsidR="00737E18">
        <w:rPr>
          <w:rFonts w:ascii="Times New Roman" w:eastAsiaTheme="minorHAnsi" w:hAnsi="Times New Roman" w:cs="Times New Roman"/>
          <w:sz w:val="24"/>
          <w:szCs w:val="24"/>
          <w:lang w:val="en-US"/>
        </w:rPr>
        <w:t>×10</w:t>
      </w:r>
      <w:r w:rsidR="00737E18">
        <w:rPr>
          <w:rFonts w:ascii="Times New Roman" w:eastAsiaTheme="minorHAnsi" w:hAnsi="Times New Roman" w:cs="Times New Roman"/>
          <w:sz w:val="24"/>
          <w:szCs w:val="24"/>
          <w:vertAlign w:val="superscript"/>
          <w:lang w:val="en-US"/>
        </w:rPr>
        <w:t>2</w:t>
      </w:r>
      <w:r w:rsidR="00737E18" w:rsidRPr="00737E18">
        <w:rPr>
          <w:rFonts w:ascii="Times New Roman" w:eastAsiaTheme="minorHAnsi" w:hAnsi="Times New Roman" w:cs="Times New Roman"/>
          <w:sz w:val="24"/>
          <w:szCs w:val="24"/>
          <w:lang w:val="en-US"/>
        </w:rPr>
        <w:t xml:space="preserve"> </w:t>
      </w:r>
      <w:r w:rsidR="00737E18">
        <w:rPr>
          <w:rFonts w:ascii="Times New Roman" w:eastAsiaTheme="minorHAnsi" w:hAnsi="Times New Roman" w:cs="Times New Roman"/>
          <w:sz w:val="24"/>
          <w:szCs w:val="24"/>
          <w:lang w:val="en-US"/>
        </w:rPr>
        <w:t>cfu/g</w:t>
      </w:r>
      <w:r w:rsidR="00661047" w:rsidRPr="00661047">
        <w:rPr>
          <w:rFonts w:asciiTheme="majorBidi" w:hAnsiTheme="majorBidi" w:cstheme="majorBidi"/>
          <w:sz w:val="24"/>
          <w:szCs w:val="24"/>
          <w:lang w:val="en-US"/>
        </w:rPr>
        <w:t xml:space="preserve">. </w:t>
      </w:r>
      <w:r w:rsidR="002B4779" w:rsidRPr="002B4779">
        <w:rPr>
          <w:rFonts w:asciiTheme="majorBidi" w:hAnsiTheme="majorBidi" w:cstheme="majorBidi"/>
          <w:sz w:val="24"/>
          <w:szCs w:val="24"/>
          <w:lang w:val="en-US"/>
        </w:rPr>
        <w:t xml:space="preserve">The TAPC values showed a significant spatial difference (p &lt; 0.05) between Basira and Tartous Corniche, while no significant seasonal effect was detected (p &gt; 0.05). </w:t>
      </w:r>
    </w:p>
    <w:p w14:paraId="3D67AB8B" w14:textId="77777777" w:rsidR="00B412CA" w:rsidRPr="001C6003" w:rsidRDefault="00661047" w:rsidP="002B4779">
      <w:pPr>
        <w:autoSpaceDE w:val="0"/>
        <w:autoSpaceDN w:val="0"/>
        <w:bidi w:val="0"/>
        <w:adjustRightInd w:val="0"/>
        <w:spacing w:after="0" w:line="240" w:lineRule="auto"/>
        <w:jc w:val="both"/>
        <w:rPr>
          <w:rFonts w:ascii="Times New Roman" w:eastAsiaTheme="minorHAnsi" w:hAnsi="Times New Roman" w:cs="Times New Roman"/>
          <w:sz w:val="24"/>
          <w:szCs w:val="24"/>
          <w:lang w:val="en-US"/>
        </w:rPr>
      </w:pPr>
      <w:r w:rsidRPr="00661047">
        <w:rPr>
          <w:rFonts w:asciiTheme="majorBidi" w:hAnsiTheme="majorBidi" w:cstheme="majorBidi"/>
          <w:sz w:val="24"/>
          <w:szCs w:val="24"/>
          <w:lang w:val="en-US"/>
        </w:rPr>
        <w:t xml:space="preserve">Identified microbes included </w:t>
      </w:r>
      <w:r w:rsidRPr="004E1A6E">
        <w:rPr>
          <w:rFonts w:asciiTheme="majorBidi" w:hAnsiTheme="majorBidi" w:cstheme="majorBidi"/>
          <w:i/>
          <w:iCs/>
          <w:sz w:val="24"/>
          <w:szCs w:val="24"/>
          <w:lang w:val="en-US"/>
        </w:rPr>
        <w:t>Escherichia coli, Salmonella spp., Shigella sp., and Pseudomonas spp</w:t>
      </w:r>
      <w:r w:rsidRPr="00661047">
        <w:rPr>
          <w:rFonts w:asciiTheme="majorBidi" w:hAnsiTheme="majorBidi" w:cstheme="majorBidi"/>
          <w:sz w:val="24"/>
          <w:szCs w:val="24"/>
          <w:lang w:val="en-US"/>
        </w:rPr>
        <w:t>. All recorded values were within permissible limits according to the Syrian Standard (10</w:t>
      </w:r>
      <w:r w:rsidRPr="00661047">
        <w:rPr>
          <w:rFonts w:ascii="Cambria Math" w:hAnsi="Cambria Math" w:cs="Cambria Math"/>
          <w:sz w:val="24"/>
          <w:szCs w:val="24"/>
          <w:lang w:val="en-US"/>
        </w:rPr>
        <w:t>⁵</w:t>
      </w:r>
      <w:r w:rsidRPr="00661047">
        <w:rPr>
          <w:rFonts w:ascii="Times New Roman" w:hAnsi="Times New Roman" w:cs="Times New Roman"/>
          <w:sz w:val="24"/>
          <w:szCs w:val="24"/>
          <w:lang w:val="en-US"/>
        </w:rPr>
        <w:t>–</w:t>
      </w:r>
      <w:r w:rsidRPr="00661047">
        <w:rPr>
          <w:rFonts w:asciiTheme="majorBidi" w:hAnsiTheme="majorBidi" w:cstheme="majorBidi"/>
          <w:sz w:val="24"/>
          <w:szCs w:val="24"/>
          <w:lang w:val="en-US"/>
        </w:rPr>
        <w:t>10</w:t>
      </w:r>
      <w:r w:rsidRPr="00661047">
        <w:rPr>
          <w:rFonts w:ascii="Cambria Math" w:hAnsi="Cambria Math" w:cs="Cambria Math"/>
          <w:sz w:val="24"/>
          <w:szCs w:val="24"/>
          <w:lang w:val="en-US"/>
        </w:rPr>
        <w:t>⁶</w:t>
      </w:r>
      <w:r w:rsidRPr="00661047">
        <w:rPr>
          <w:rFonts w:asciiTheme="majorBidi" w:hAnsiTheme="majorBidi" w:cstheme="majorBidi"/>
          <w:sz w:val="24"/>
          <w:szCs w:val="24"/>
          <w:lang w:val="en-US"/>
        </w:rPr>
        <w:t xml:space="preserve"> cfu/g).</w:t>
      </w:r>
      <w:r w:rsidR="00231568">
        <w:rPr>
          <w:rFonts w:asciiTheme="majorBidi" w:hAnsiTheme="majorBidi" w:cstheme="majorBidi"/>
          <w:sz w:val="24"/>
          <w:szCs w:val="24"/>
          <w:lang w:val="en-US"/>
        </w:rPr>
        <w:t xml:space="preserve"> (Table 2</w:t>
      </w:r>
      <w:r w:rsidR="00C71328">
        <w:rPr>
          <w:rFonts w:asciiTheme="majorBidi" w:hAnsiTheme="majorBidi" w:cstheme="majorBidi"/>
          <w:sz w:val="24"/>
          <w:szCs w:val="24"/>
          <w:lang w:val="en-US"/>
        </w:rPr>
        <w:t xml:space="preserve"> &amp; Figure 9</w:t>
      </w:r>
      <w:r w:rsidR="00231568">
        <w:rPr>
          <w:rFonts w:asciiTheme="majorBidi" w:hAnsiTheme="majorBidi" w:cstheme="majorBidi"/>
          <w:sz w:val="24"/>
          <w:szCs w:val="24"/>
          <w:lang w:val="en-US"/>
        </w:rPr>
        <w:t>)</w:t>
      </w:r>
      <w:r w:rsidR="0015043F" w:rsidRPr="0015043F">
        <w:rPr>
          <w:rFonts w:asciiTheme="majorBidi" w:hAnsiTheme="majorBidi" w:cstheme="majorBidi"/>
          <w:sz w:val="24"/>
          <w:szCs w:val="24"/>
          <w:lang w:val="en-US"/>
        </w:rPr>
        <w:t>.</w:t>
      </w:r>
    </w:p>
    <w:p w14:paraId="4D2CD580" w14:textId="77777777" w:rsidR="00B412CA" w:rsidRDefault="00C7295E" w:rsidP="0008542E">
      <w:pPr>
        <w:bidi w:val="0"/>
        <w:spacing w:before="100" w:beforeAutospacing="1" w:after="0" w:line="240" w:lineRule="auto"/>
        <w:ind w:firstLine="284"/>
        <w:jc w:val="both"/>
        <w:outlineLvl w:val="2"/>
        <w:rPr>
          <w:rFonts w:asciiTheme="majorBidi" w:hAnsiTheme="majorBidi" w:cstheme="majorBidi"/>
          <w:sz w:val="24"/>
          <w:szCs w:val="24"/>
          <w:lang w:val="en-US"/>
        </w:rPr>
      </w:pPr>
      <w:r>
        <w:rPr>
          <w:rFonts w:asciiTheme="majorBidi" w:hAnsiTheme="majorBidi" w:cstheme="majorBidi"/>
        </w:rPr>
        <w:t>Table 2</w:t>
      </w:r>
      <w:r w:rsidRPr="00754FA8">
        <w:rPr>
          <w:rFonts w:asciiTheme="majorBidi" w:hAnsiTheme="majorBidi" w:cstheme="majorBidi"/>
        </w:rPr>
        <w:t>:</w:t>
      </w:r>
      <w:r>
        <w:rPr>
          <w:rFonts w:asciiTheme="majorBidi" w:hAnsiTheme="majorBidi" w:cstheme="majorBidi"/>
          <w:sz w:val="24"/>
          <w:szCs w:val="24"/>
          <w:lang w:val="en-US"/>
        </w:rPr>
        <w:t xml:space="preserve"> </w:t>
      </w:r>
      <w:r w:rsidRPr="00C7295E">
        <w:rPr>
          <w:rFonts w:asciiTheme="majorBidi" w:hAnsiTheme="majorBidi" w:cstheme="majorBidi"/>
          <w:sz w:val="24"/>
          <w:szCs w:val="24"/>
          <w:lang w:val="en-US"/>
        </w:rPr>
        <w:t>Developments in</w:t>
      </w:r>
      <w:r w:rsidR="0096754A">
        <w:rPr>
          <w:rFonts w:asciiTheme="majorBidi" w:hAnsiTheme="majorBidi" w:cstheme="majorBidi"/>
          <w:sz w:val="24"/>
          <w:szCs w:val="24"/>
          <w:lang w:val="en-US"/>
        </w:rPr>
        <w:t xml:space="preserve"> </w:t>
      </w:r>
      <w:r w:rsidR="00303291">
        <w:rPr>
          <w:rFonts w:asciiTheme="majorBidi" w:hAnsiTheme="majorBidi" w:cstheme="majorBidi"/>
          <w:sz w:val="24"/>
          <w:szCs w:val="24"/>
          <w:lang w:val="en-US"/>
        </w:rPr>
        <w:t>total aerobic plate count</w:t>
      </w:r>
      <w:r w:rsidR="0096754A" w:rsidRPr="00C7295E">
        <w:rPr>
          <w:rFonts w:asciiTheme="majorBidi" w:hAnsiTheme="majorBidi" w:cstheme="majorBidi"/>
          <w:sz w:val="24"/>
          <w:szCs w:val="24"/>
          <w:lang w:val="en-US"/>
        </w:rPr>
        <w:t xml:space="preserve"> </w:t>
      </w:r>
      <w:r w:rsidRPr="00C7295E">
        <w:rPr>
          <w:rFonts w:asciiTheme="majorBidi" w:hAnsiTheme="majorBidi" w:cstheme="majorBidi"/>
          <w:sz w:val="24"/>
          <w:szCs w:val="24"/>
          <w:lang w:val="en-US"/>
        </w:rPr>
        <w:t>during the study period:</w:t>
      </w:r>
    </w:p>
    <w:tbl>
      <w:tblPr>
        <w:bidiVisual/>
        <w:tblW w:w="8221" w:type="dxa"/>
        <w:jc w:val="center"/>
        <w:tblLook w:val="04A0" w:firstRow="1" w:lastRow="0" w:firstColumn="1" w:lastColumn="0" w:noHBand="0" w:noVBand="1"/>
      </w:tblPr>
      <w:tblGrid>
        <w:gridCol w:w="2158"/>
        <w:gridCol w:w="2158"/>
        <w:gridCol w:w="2218"/>
        <w:gridCol w:w="1687"/>
      </w:tblGrid>
      <w:tr w:rsidR="00541851" w:rsidRPr="00600C2D" w14:paraId="709FB26C" w14:textId="77777777" w:rsidTr="008A51F0">
        <w:trPr>
          <w:trHeight w:val="258"/>
          <w:jc w:val="center"/>
        </w:trPr>
        <w:tc>
          <w:tcPr>
            <w:tcW w:w="2158" w:type="dxa"/>
            <w:tcBorders>
              <w:top w:val="single" w:sz="8" w:space="0" w:color="auto"/>
              <w:left w:val="single" w:sz="4" w:space="0" w:color="auto"/>
              <w:bottom w:val="nil"/>
              <w:right w:val="nil"/>
            </w:tcBorders>
            <w:vAlign w:val="center"/>
            <w:hideMark/>
          </w:tcPr>
          <w:p w14:paraId="4C077FD1" w14:textId="77777777" w:rsidR="00600C2D" w:rsidRPr="00600C2D" w:rsidRDefault="00600C2D" w:rsidP="0008542E">
            <w:pPr>
              <w:bidi w:val="0"/>
              <w:spacing w:after="0" w:line="240" w:lineRule="auto"/>
              <w:jc w:val="center"/>
              <w:rPr>
                <w:rFonts w:ascii="Simplified Arabic" w:hAnsi="Simplified Arabic" w:cs="Simplified Arabic"/>
                <w:b/>
                <w:bCs/>
                <w:color w:val="000000"/>
                <w:lang w:val="en-US"/>
              </w:rPr>
            </w:pPr>
            <w:r w:rsidRPr="00600C2D">
              <w:rPr>
                <w:rFonts w:ascii="Simplified Arabic" w:hAnsi="Simplified Arabic" w:cs="Simplified Arabic"/>
                <w:b/>
                <w:bCs/>
                <w:color w:val="000000"/>
                <w:lang w:val="en-US"/>
              </w:rPr>
              <w:t>Tartus Corniche</w:t>
            </w:r>
          </w:p>
        </w:tc>
        <w:tc>
          <w:tcPr>
            <w:tcW w:w="2158" w:type="dxa"/>
            <w:tcBorders>
              <w:top w:val="single" w:sz="8" w:space="0" w:color="auto"/>
              <w:left w:val="single" w:sz="4" w:space="0" w:color="auto"/>
              <w:bottom w:val="nil"/>
              <w:right w:val="single" w:sz="8" w:space="0" w:color="auto"/>
            </w:tcBorders>
            <w:vAlign w:val="center"/>
            <w:hideMark/>
          </w:tcPr>
          <w:p w14:paraId="56BF597A" w14:textId="77777777" w:rsidR="00600C2D" w:rsidRPr="00600C2D" w:rsidRDefault="00600C2D" w:rsidP="0008542E">
            <w:pPr>
              <w:bidi w:val="0"/>
              <w:spacing w:after="0" w:line="240" w:lineRule="auto"/>
              <w:jc w:val="center"/>
              <w:rPr>
                <w:rFonts w:ascii="Simplified Arabic" w:hAnsi="Simplified Arabic" w:cs="Simplified Arabic"/>
                <w:b/>
                <w:bCs/>
                <w:color w:val="000000"/>
                <w:lang w:val="en-US"/>
              </w:rPr>
            </w:pPr>
            <w:r w:rsidRPr="00600C2D">
              <w:rPr>
                <w:rFonts w:ascii="Simplified Arabic" w:hAnsi="Simplified Arabic" w:cs="Simplified Arabic"/>
                <w:b/>
                <w:bCs/>
                <w:color w:val="000000"/>
                <w:lang w:val="en-US"/>
              </w:rPr>
              <w:t xml:space="preserve">Basira </w:t>
            </w:r>
          </w:p>
        </w:tc>
        <w:tc>
          <w:tcPr>
            <w:tcW w:w="2218" w:type="dxa"/>
            <w:tcBorders>
              <w:top w:val="single" w:sz="8" w:space="0" w:color="auto"/>
              <w:left w:val="single" w:sz="4" w:space="0" w:color="auto"/>
              <w:bottom w:val="nil"/>
              <w:right w:val="single" w:sz="4" w:space="0" w:color="auto"/>
            </w:tcBorders>
            <w:noWrap/>
            <w:vAlign w:val="center"/>
            <w:hideMark/>
          </w:tcPr>
          <w:p w14:paraId="05D89463"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Season</w:t>
            </w:r>
          </w:p>
        </w:tc>
        <w:tc>
          <w:tcPr>
            <w:tcW w:w="1687" w:type="dxa"/>
            <w:tcBorders>
              <w:top w:val="single" w:sz="4" w:space="0" w:color="auto"/>
              <w:left w:val="single" w:sz="4" w:space="0" w:color="auto"/>
              <w:bottom w:val="single" w:sz="4" w:space="0" w:color="auto"/>
              <w:right w:val="single" w:sz="4" w:space="0" w:color="auto"/>
            </w:tcBorders>
            <w:noWrap/>
            <w:vAlign w:val="center"/>
            <w:hideMark/>
          </w:tcPr>
          <w:p w14:paraId="60C13F21"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Year</w:t>
            </w:r>
          </w:p>
        </w:tc>
      </w:tr>
      <w:tr w:rsidR="008A51F0" w:rsidRPr="00600C2D" w14:paraId="20D90ADB" w14:textId="77777777" w:rsidTr="008A51F0">
        <w:trPr>
          <w:trHeight w:val="250"/>
          <w:jc w:val="center"/>
        </w:trPr>
        <w:tc>
          <w:tcPr>
            <w:tcW w:w="2158" w:type="dxa"/>
            <w:tcBorders>
              <w:top w:val="single" w:sz="8" w:space="0" w:color="auto"/>
              <w:left w:val="single" w:sz="4" w:space="0" w:color="auto"/>
              <w:bottom w:val="single" w:sz="4" w:space="0" w:color="auto"/>
              <w:right w:val="single" w:sz="4" w:space="0" w:color="auto"/>
            </w:tcBorders>
            <w:noWrap/>
            <w:vAlign w:val="center"/>
            <w:hideMark/>
          </w:tcPr>
          <w:p w14:paraId="398CC67B"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 xml:space="preserve">        1.97 </w:t>
            </w:r>
          </w:p>
        </w:tc>
        <w:tc>
          <w:tcPr>
            <w:tcW w:w="2158" w:type="dxa"/>
            <w:tcBorders>
              <w:top w:val="single" w:sz="8" w:space="0" w:color="auto"/>
              <w:left w:val="single" w:sz="4" w:space="0" w:color="auto"/>
              <w:bottom w:val="single" w:sz="4" w:space="0" w:color="auto"/>
              <w:right w:val="single" w:sz="8" w:space="0" w:color="auto"/>
            </w:tcBorders>
            <w:noWrap/>
            <w:vAlign w:val="center"/>
            <w:hideMark/>
          </w:tcPr>
          <w:p w14:paraId="68A73014"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 xml:space="preserve">        1.87 </w:t>
            </w:r>
          </w:p>
        </w:tc>
        <w:tc>
          <w:tcPr>
            <w:tcW w:w="2218" w:type="dxa"/>
            <w:tcBorders>
              <w:top w:val="single" w:sz="8" w:space="0" w:color="auto"/>
              <w:left w:val="single" w:sz="4" w:space="0" w:color="auto"/>
              <w:bottom w:val="single" w:sz="4" w:space="0" w:color="auto"/>
              <w:right w:val="single" w:sz="4" w:space="0" w:color="auto"/>
            </w:tcBorders>
            <w:noWrap/>
            <w:vAlign w:val="center"/>
            <w:hideMark/>
          </w:tcPr>
          <w:p w14:paraId="70EC4F79"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Spring</w:t>
            </w:r>
          </w:p>
        </w:tc>
        <w:tc>
          <w:tcPr>
            <w:tcW w:w="1687" w:type="dxa"/>
            <w:vMerge w:val="restart"/>
            <w:tcBorders>
              <w:top w:val="single" w:sz="4" w:space="0" w:color="auto"/>
              <w:left w:val="single" w:sz="8" w:space="0" w:color="auto"/>
              <w:bottom w:val="single" w:sz="8" w:space="0" w:color="000000"/>
              <w:right w:val="single" w:sz="8" w:space="0" w:color="auto"/>
            </w:tcBorders>
            <w:noWrap/>
            <w:vAlign w:val="center"/>
            <w:hideMark/>
          </w:tcPr>
          <w:p w14:paraId="34B1B77D"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2023</w:t>
            </w:r>
          </w:p>
        </w:tc>
      </w:tr>
      <w:tr w:rsidR="008A51F0" w:rsidRPr="00600C2D" w14:paraId="1CFC2EFE"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4182423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2.33 </w:t>
            </w:r>
          </w:p>
        </w:tc>
        <w:tc>
          <w:tcPr>
            <w:tcW w:w="2158" w:type="dxa"/>
            <w:tcBorders>
              <w:top w:val="nil"/>
              <w:left w:val="single" w:sz="4" w:space="0" w:color="auto"/>
              <w:bottom w:val="single" w:sz="4" w:space="0" w:color="auto"/>
              <w:right w:val="single" w:sz="8" w:space="0" w:color="auto"/>
            </w:tcBorders>
            <w:noWrap/>
            <w:vAlign w:val="center"/>
            <w:hideMark/>
          </w:tcPr>
          <w:p w14:paraId="3D33C6FF"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2.50 </w:t>
            </w:r>
          </w:p>
        </w:tc>
        <w:tc>
          <w:tcPr>
            <w:tcW w:w="2218" w:type="dxa"/>
            <w:tcBorders>
              <w:top w:val="nil"/>
              <w:left w:val="single" w:sz="4" w:space="0" w:color="auto"/>
              <w:bottom w:val="single" w:sz="4" w:space="0" w:color="auto"/>
              <w:right w:val="single" w:sz="4" w:space="0" w:color="auto"/>
            </w:tcBorders>
            <w:noWrap/>
            <w:vAlign w:val="center"/>
            <w:hideMark/>
          </w:tcPr>
          <w:p w14:paraId="0665FE4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Summer</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11D7C062"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3FA6ACA5"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11A3936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1.83 </w:t>
            </w:r>
          </w:p>
        </w:tc>
        <w:tc>
          <w:tcPr>
            <w:tcW w:w="2158" w:type="dxa"/>
            <w:tcBorders>
              <w:top w:val="nil"/>
              <w:left w:val="single" w:sz="4" w:space="0" w:color="auto"/>
              <w:bottom w:val="single" w:sz="4" w:space="0" w:color="auto"/>
              <w:right w:val="single" w:sz="8" w:space="0" w:color="auto"/>
            </w:tcBorders>
            <w:noWrap/>
            <w:vAlign w:val="center"/>
            <w:hideMark/>
          </w:tcPr>
          <w:p w14:paraId="4B59A03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1.70 </w:t>
            </w:r>
          </w:p>
        </w:tc>
        <w:tc>
          <w:tcPr>
            <w:tcW w:w="2218" w:type="dxa"/>
            <w:tcBorders>
              <w:top w:val="nil"/>
              <w:left w:val="single" w:sz="4" w:space="0" w:color="auto"/>
              <w:bottom w:val="single" w:sz="4" w:space="0" w:color="auto"/>
              <w:right w:val="single" w:sz="4" w:space="0" w:color="auto"/>
            </w:tcBorders>
            <w:noWrap/>
            <w:vAlign w:val="center"/>
            <w:hideMark/>
          </w:tcPr>
          <w:p w14:paraId="48635B3B"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hint="cs"/>
                <w:color w:val="000000"/>
                <w:lang w:val="en-US" w:bidi="ar-SY"/>
              </w:rPr>
              <w:t>Autumn</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26AFC1B3"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7C645BE7" w14:textId="77777777" w:rsidTr="008A51F0">
        <w:trPr>
          <w:trHeight w:val="250"/>
          <w:jc w:val="center"/>
        </w:trPr>
        <w:tc>
          <w:tcPr>
            <w:tcW w:w="2158" w:type="dxa"/>
            <w:tcBorders>
              <w:top w:val="nil"/>
              <w:left w:val="single" w:sz="4" w:space="0" w:color="auto"/>
              <w:bottom w:val="single" w:sz="8" w:space="0" w:color="auto"/>
              <w:right w:val="single" w:sz="4" w:space="0" w:color="auto"/>
            </w:tcBorders>
            <w:noWrap/>
            <w:vAlign w:val="center"/>
            <w:hideMark/>
          </w:tcPr>
          <w:p w14:paraId="783A0DC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1.63 </w:t>
            </w:r>
          </w:p>
        </w:tc>
        <w:tc>
          <w:tcPr>
            <w:tcW w:w="2158" w:type="dxa"/>
            <w:tcBorders>
              <w:top w:val="nil"/>
              <w:left w:val="single" w:sz="4" w:space="0" w:color="auto"/>
              <w:bottom w:val="single" w:sz="8" w:space="0" w:color="auto"/>
              <w:right w:val="single" w:sz="8" w:space="0" w:color="auto"/>
            </w:tcBorders>
            <w:noWrap/>
            <w:vAlign w:val="center"/>
            <w:hideMark/>
          </w:tcPr>
          <w:p w14:paraId="662EA0D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1.30 </w:t>
            </w:r>
          </w:p>
        </w:tc>
        <w:tc>
          <w:tcPr>
            <w:tcW w:w="2218" w:type="dxa"/>
            <w:tcBorders>
              <w:top w:val="nil"/>
              <w:left w:val="single" w:sz="4" w:space="0" w:color="auto"/>
              <w:bottom w:val="single" w:sz="8" w:space="0" w:color="auto"/>
              <w:right w:val="single" w:sz="4" w:space="0" w:color="auto"/>
            </w:tcBorders>
            <w:noWrap/>
            <w:vAlign w:val="center"/>
            <w:hideMark/>
          </w:tcPr>
          <w:p w14:paraId="25DC6DEF"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hint="cs"/>
                <w:color w:val="000000"/>
                <w:lang w:val="en-US" w:bidi="ar-SY"/>
              </w:rPr>
              <w:t>Winter</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147234E8"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6A4FE57E"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3126B2E4"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2.37 </w:t>
            </w:r>
          </w:p>
        </w:tc>
        <w:tc>
          <w:tcPr>
            <w:tcW w:w="2158" w:type="dxa"/>
            <w:tcBorders>
              <w:top w:val="nil"/>
              <w:left w:val="single" w:sz="4" w:space="0" w:color="auto"/>
              <w:bottom w:val="single" w:sz="4" w:space="0" w:color="auto"/>
              <w:right w:val="single" w:sz="8" w:space="0" w:color="auto"/>
            </w:tcBorders>
            <w:noWrap/>
            <w:vAlign w:val="center"/>
            <w:hideMark/>
          </w:tcPr>
          <w:p w14:paraId="34A9A5F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0.80 </w:t>
            </w:r>
          </w:p>
        </w:tc>
        <w:tc>
          <w:tcPr>
            <w:tcW w:w="2218" w:type="dxa"/>
            <w:tcBorders>
              <w:top w:val="nil"/>
              <w:left w:val="single" w:sz="4" w:space="0" w:color="auto"/>
              <w:bottom w:val="single" w:sz="4" w:space="0" w:color="auto"/>
              <w:right w:val="single" w:sz="4" w:space="0" w:color="auto"/>
            </w:tcBorders>
            <w:noWrap/>
            <w:vAlign w:val="center"/>
            <w:hideMark/>
          </w:tcPr>
          <w:p w14:paraId="6B5136CB"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Spring</w:t>
            </w:r>
          </w:p>
        </w:tc>
        <w:tc>
          <w:tcPr>
            <w:tcW w:w="1687" w:type="dxa"/>
            <w:vMerge w:val="restart"/>
            <w:tcBorders>
              <w:top w:val="nil"/>
              <w:left w:val="single" w:sz="8" w:space="0" w:color="auto"/>
              <w:bottom w:val="single" w:sz="8" w:space="0" w:color="000000"/>
              <w:right w:val="single" w:sz="8" w:space="0" w:color="auto"/>
            </w:tcBorders>
            <w:noWrap/>
            <w:vAlign w:val="center"/>
            <w:hideMark/>
          </w:tcPr>
          <w:p w14:paraId="25AFF4D2" w14:textId="77777777" w:rsidR="00600C2D" w:rsidRPr="00600C2D" w:rsidRDefault="00600C2D" w:rsidP="00600C2D">
            <w:pPr>
              <w:bidi w:val="0"/>
              <w:spacing w:after="0" w:line="240" w:lineRule="auto"/>
              <w:jc w:val="center"/>
              <w:rPr>
                <w:rFonts w:ascii="Arial" w:hAnsi="Arial"/>
                <w:b/>
                <w:bCs/>
                <w:color w:val="000000"/>
                <w:lang w:val="en-US"/>
              </w:rPr>
            </w:pPr>
            <w:r w:rsidRPr="00600C2D">
              <w:rPr>
                <w:rFonts w:ascii="Arial" w:hAnsi="Arial"/>
                <w:b/>
                <w:bCs/>
                <w:color w:val="000000"/>
                <w:lang w:val="en-US"/>
              </w:rPr>
              <w:t>2024</w:t>
            </w:r>
          </w:p>
        </w:tc>
      </w:tr>
      <w:tr w:rsidR="008A51F0" w:rsidRPr="00600C2D" w14:paraId="64E30866"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1623FE60"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3.00 </w:t>
            </w:r>
          </w:p>
        </w:tc>
        <w:tc>
          <w:tcPr>
            <w:tcW w:w="2158" w:type="dxa"/>
            <w:tcBorders>
              <w:top w:val="nil"/>
              <w:left w:val="single" w:sz="4" w:space="0" w:color="auto"/>
              <w:bottom w:val="single" w:sz="4" w:space="0" w:color="auto"/>
              <w:right w:val="single" w:sz="8" w:space="0" w:color="auto"/>
            </w:tcBorders>
            <w:noWrap/>
            <w:vAlign w:val="center"/>
            <w:hideMark/>
          </w:tcPr>
          <w:p w14:paraId="7DE2560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0.87 </w:t>
            </w:r>
          </w:p>
        </w:tc>
        <w:tc>
          <w:tcPr>
            <w:tcW w:w="2218" w:type="dxa"/>
            <w:tcBorders>
              <w:top w:val="nil"/>
              <w:left w:val="single" w:sz="4" w:space="0" w:color="auto"/>
              <w:bottom w:val="single" w:sz="4" w:space="0" w:color="auto"/>
              <w:right w:val="single" w:sz="4" w:space="0" w:color="auto"/>
            </w:tcBorders>
            <w:noWrap/>
            <w:vAlign w:val="center"/>
            <w:hideMark/>
          </w:tcPr>
          <w:p w14:paraId="6F0C453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Summer</w:t>
            </w:r>
          </w:p>
        </w:tc>
        <w:tc>
          <w:tcPr>
            <w:tcW w:w="1687" w:type="dxa"/>
            <w:vMerge/>
            <w:tcBorders>
              <w:top w:val="nil"/>
              <w:left w:val="single" w:sz="8" w:space="0" w:color="auto"/>
              <w:bottom w:val="single" w:sz="8" w:space="0" w:color="000000"/>
              <w:right w:val="single" w:sz="8" w:space="0" w:color="auto"/>
            </w:tcBorders>
            <w:vAlign w:val="center"/>
            <w:hideMark/>
          </w:tcPr>
          <w:p w14:paraId="44C8C2B9"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50D0EEAD"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74C61F0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2.10 </w:t>
            </w:r>
          </w:p>
        </w:tc>
        <w:tc>
          <w:tcPr>
            <w:tcW w:w="2158" w:type="dxa"/>
            <w:tcBorders>
              <w:top w:val="nil"/>
              <w:left w:val="single" w:sz="4" w:space="0" w:color="auto"/>
              <w:bottom w:val="single" w:sz="4" w:space="0" w:color="auto"/>
              <w:right w:val="single" w:sz="8" w:space="0" w:color="auto"/>
            </w:tcBorders>
            <w:noWrap/>
            <w:vAlign w:val="center"/>
            <w:hideMark/>
          </w:tcPr>
          <w:p w14:paraId="6FA20212"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0.73 </w:t>
            </w:r>
          </w:p>
        </w:tc>
        <w:tc>
          <w:tcPr>
            <w:tcW w:w="2218" w:type="dxa"/>
            <w:tcBorders>
              <w:top w:val="nil"/>
              <w:left w:val="single" w:sz="4" w:space="0" w:color="auto"/>
              <w:bottom w:val="single" w:sz="4" w:space="0" w:color="auto"/>
              <w:right w:val="single" w:sz="4" w:space="0" w:color="auto"/>
            </w:tcBorders>
            <w:noWrap/>
            <w:vAlign w:val="center"/>
            <w:hideMark/>
          </w:tcPr>
          <w:p w14:paraId="35367057"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Autumn</w:t>
            </w:r>
          </w:p>
        </w:tc>
        <w:tc>
          <w:tcPr>
            <w:tcW w:w="1687" w:type="dxa"/>
            <w:vMerge/>
            <w:tcBorders>
              <w:top w:val="nil"/>
              <w:left w:val="single" w:sz="8" w:space="0" w:color="auto"/>
              <w:bottom w:val="single" w:sz="8" w:space="0" w:color="000000"/>
              <w:right w:val="single" w:sz="8" w:space="0" w:color="auto"/>
            </w:tcBorders>
            <w:vAlign w:val="center"/>
            <w:hideMark/>
          </w:tcPr>
          <w:p w14:paraId="04808091"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5DFDC753" w14:textId="77777777" w:rsidTr="008A51F0">
        <w:trPr>
          <w:trHeight w:val="250"/>
          <w:jc w:val="center"/>
        </w:trPr>
        <w:tc>
          <w:tcPr>
            <w:tcW w:w="2158" w:type="dxa"/>
            <w:tcBorders>
              <w:top w:val="nil"/>
              <w:left w:val="single" w:sz="4" w:space="0" w:color="auto"/>
              <w:bottom w:val="nil"/>
              <w:right w:val="single" w:sz="4" w:space="0" w:color="auto"/>
            </w:tcBorders>
            <w:noWrap/>
            <w:vAlign w:val="center"/>
            <w:hideMark/>
          </w:tcPr>
          <w:p w14:paraId="7A613EE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1.90 </w:t>
            </w:r>
          </w:p>
        </w:tc>
        <w:tc>
          <w:tcPr>
            <w:tcW w:w="2158" w:type="dxa"/>
            <w:tcBorders>
              <w:top w:val="nil"/>
              <w:left w:val="single" w:sz="4" w:space="0" w:color="auto"/>
              <w:bottom w:val="nil"/>
              <w:right w:val="single" w:sz="8" w:space="0" w:color="auto"/>
            </w:tcBorders>
            <w:noWrap/>
            <w:vAlign w:val="center"/>
            <w:hideMark/>
          </w:tcPr>
          <w:p w14:paraId="7FB839B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0.70 </w:t>
            </w:r>
          </w:p>
        </w:tc>
        <w:tc>
          <w:tcPr>
            <w:tcW w:w="2218" w:type="dxa"/>
            <w:tcBorders>
              <w:top w:val="nil"/>
              <w:left w:val="single" w:sz="4" w:space="0" w:color="auto"/>
              <w:bottom w:val="nil"/>
              <w:right w:val="single" w:sz="4" w:space="0" w:color="auto"/>
            </w:tcBorders>
            <w:noWrap/>
            <w:vAlign w:val="center"/>
            <w:hideMark/>
          </w:tcPr>
          <w:p w14:paraId="598B8BC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Winter</w:t>
            </w:r>
          </w:p>
        </w:tc>
        <w:tc>
          <w:tcPr>
            <w:tcW w:w="1687" w:type="dxa"/>
            <w:vMerge/>
            <w:tcBorders>
              <w:top w:val="nil"/>
              <w:left w:val="single" w:sz="8" w:space="0" w:color="auto"/>
              <w:bottom w:val="single" w:sz="8" w:space="0" w:color="000000"/>
              <w:right w:val="single" w:sz="8" w:space="0" w:color="auto"/>
            </w:tcBorders>
            <w:vAlign w:val="center"/>
            <w:hideMark/>
          </w:tcPr>
          <w:p w14:paraId="597E5132" w14:textId="77777777" w:rsidR="00600C2D" w:rsidRPr="00600C2D" w:rsidRDefault="00600C2D" w:rsidP="00600C2D">
            <w:pPr>
              <w:bidi w:val="0"/>
              <w:spacing w:after="0" w:line="240" w:lineRule="auto"/>
              <w:rPr>
                <w:rFonts w:ascii="Arial" w:hAnsi="Arial"/>
                <w:b/>
                <w:bCs/>
                <w:color w:val="000000"/>
                <w:lang w:val="en-US"/>
              </w:rPr>
            </w:pPr>
          </w:p>
        </w:tc>
      </w:tr>
      <w:tr w:rsidR="00600C2D" w:rsidRPr="00600C2D" w14:paraId="7CDF9FF3" w14:textId="77777777" w:rsidTr="008A51F0">
        <w:trPr>
          <w:trHeight w:val="250"/>
          <w:jc w:val="center"/>
        </w:trPr>
        <w:tc>
          <w:tcPr>
            <w:tcW w:w="2158" w:type="dxa"/>
            <w:tcBorders>
              <w:top w:val="single" w:sz="8" w:space="0" w:color="auto"/>
              <w:left w:val="single" w:sz="8" w:space="0" w:color="auto"/>
              <w:bottom w:val="single" w:sz="8" w:space="0" w:color="auto"/>
              <w:right w:val="single" w:sz="8" w:space="0" w:color="auto"/>
            </w:tcBorders>
            <w:noWrap/>
            <w:vAlign w:val="center"/>
            <w:hideMark/>
          </w:tcPr>
          <w:p w14:paraId="6BD4A506"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3.00 </w:t>
            </w:r>
          </w:p>
        </w:tc>
        <w:tc>
          <w:tcPr>
            <w:tcW w:w="2158" w:type="dxa"/>
            <w:tcBorders>
              <w:top w:val="single" w:sz="8" w:space="0" w:color="auto"/>
              <w:left w:val="single" w:sz="8" w:space="0" w:color="auto"/>
              <w:bottom w:val="single" w:sz="8" w:space="0" w:color="auto"/>
              <w:right w:val="single" w:sz="8" w:space="0" w:color="auto"/>
            </w:tcBorders>
            <w:noWrap/>
            <w:vAlign w:val="center"/>
            <w:hideMark/>
          </w:tcPr>
          <w:p w14:paraId="57CBCA45"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2.50 </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401B92E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Max</w:t>
            </w:r>
          </w:p>
        </w:tc>
      </w:tr>
      <w:tr w:rsidR="00600C2D" w:rsidRPr="00600C2D" w14:paraId="26BBBFAE" w14:textId="77777777" w:rsidTr="008A51F0">
        <w:trPr>
          <w:trHeight w:val="250"/>
          <w:jc w:val="center"/>
        </w:trPr>
        <w:tc>
          <w:tcPr>
            <w:tcW w:w="2158" w:type="dxa"/>
            <w:tcBorders>
              <w:top w:val="nil"/>
              <w:left w:val="single" w:sz="8" w:space="0" w:color="auto"/>
              <w:bottom w:val="single" w:sz="8" w:space="0" w:color="auto"/>
              <w:right w:val="single" w:sz="8" w:space="0" w:color="auto"/>
            </w:tcBorders>
            <w:noWrap/>
            <w:vAlign w:val="center"/>
            <w:hideMark/>
          </w:tcPr>
          <w:p w14:paraId="2A082D0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1.63 </w:t>
            </w:r>
          </w:p>
        </w:tc>
        <w:tc>
          <w:tcPr>
            <w:tcW w:w="2158" w:type="dxa"/>
            <w:tcBorders>
              <w:top w:val="nil"/>
              <w:left w:val="single" w:sz="8" w:space="0" w:color="auto"/>
              <w:bottom w:val="single" w:sz="8" w:space="0" w:color="auto"/>
              <w:right w:val="single" w:sz="8" w:space="0" w:color="auto"/>
            </w:tcBorders>
            <w:noWrap/>
            <w:vAlign w:val="center"/>
            <w:hideMark/>
          </w:tcPr>
          <w:p w14:paraId="16B45A36"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0.70 </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1FF575F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Min</w:t>
            </w:r>
          </w:p>
        </w:tc>
      </w:tr>
      <w:tr w:rsidR="00600C2D" w:rsidRPr="00600C2D" w14:paraId="7BDB901C" w14:textId="77777777" w:rsidTr="008A51F0">
        <w:trPr>
          <w:trHeight w:val="164"/>
          <w:jc w:val="center"/>
        </w:trPr>
        <w:tc>
          <w:tcPr>
            <w:tcW w:w="2158" w:type="dxa"/>
            <w:tcBorders>
              <w:top w:val="nil"/>
              <w:left w:val="single" w:sz="8" w:space="0" w:color="auto"/>
              <w:bottom w:val="single" w:sz="8" w:space="0" w:color="auto"/>
              <w:right w:val="single" w:sz="8" w:space="0" w:color="auto"/>
            </w:tcBorders>
            <w:noWrap/>
            <w:vAlign w:val="center"/>
            <w:hideMark/>
          </w:tcPr>
          <w:p w14:paraId="0BB5311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2.14±0.43 </w:t>
            </w:r>
          </w:p>
        </w:tc>
        <w:tc>
          <w:tcPr>
            <w:tcW w:w="2158" w:type="dxa"/>
            <w:tcBorders>
              <w:top w:val="nil"/>
              <w:left w:val="nil"/>
              <w:bottom w:val="single" w:sz="8" w:space="0" w:color="auto"/>
              <w:right w:val="single" w:sz="8" w:space="0" w:color="auto"/>
            </w:tcBorders>
            <w:noWrap/>
            <w:vAlign w:val="center"/>
            <w:hideMark/>
          </w:tcPr>
          <w:p w14:paraId="4129A9C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1.31±0.66</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76642B3C" w14:textId="77777777" w:rsidR="00600C2D" w:rsidRPr="00600C2D" w:rsidRDefault="00600C2D" w:rsidP="00600C2D">
            <w:pPr>
              <w:bidi w:val="0"/>
              <w:spacing w:after="0" w:line="240" w:lineRule="auto"/>
              <w:jc w:val="center"/>
              <w:rPr>
                <w:rFonts w:ascii="Arial" w:hAnsi="Arial"/>
                <w:b/>
                <w:bCs/>
                <w:color w:val="000000"/>
                <w:lang w:val="en-US"/>
              </w:rPr>
            </w:pPr>
            <w:r w:rsidRPr="00600C2D">
              <w:rPr>
                <w:rFonts w:ascii="Arial" w:hAnsi="Arial"/>
                <w:b/>
                <w:bCs/>
                <w:color w:val="000000"/>
                <w:lang w:val="en-US"/>
              </w:rPr>
              <w:t>Ave.± SD</w:t>
            </w:r>
          </w:p>
        </w:tc>
      </w:tr>
    </w:tbl>
    <w:p w14:paraId="313470FE" w14:textId="77777777" w:rsidR="00FC77FC" w:rsidRDefault="00FC77FC" w:rsidP="00FC77FC">
      <w:pPr>
        <w:autoSpaceDE w:val="0"/>
        <w:autoSpaceDN w:val="0"/>
        <w:bidi w:val="0"/>
        <w:adjustRightInd w:val="0"/>
        <w:spacing w:after="0" w:line="24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lastRenderedPageBreak/>
        <w:t>The statistical analysis of the results show weak correlations. (r=0.05) between TAPC and stages of collecting samples. This might be related to the randomness of collected samples and the unknown variations in handling conditions that these fish were exposed to during the harvest.</w:t>
      </w:r>
      <w:r w:rsidR="001D4441">
        <w:rPr>
          <w:rFonts w:ascii="Times New Roman" w:eastAsiaTheme="minorHAnsi" w:hAnsi="Times New Roman" w:cs="Times New Roman"/>
          <w:sz w:val="24"/>
          <w:szCs w:val="24"/>
          <w:lang w:val="en-US"/>
        </w:rPr>
        <w:t xml:space="preserve"> </w:t>
      </w:r>
    </w:p>
    <w:p w14:paraId="43DF8CA0" w14:textId="77777777" w:rsidR="00203C0D" w:rsidRDefault="00203C0D" w:rsidP="00203C0D">
      <w:pPr>
        <w:autoSpaceDE w:val="0"/>
        <w:autoSpaceDN w:val="0"/>
        <w:bidi w:val="0"/>
        <w:adjustRightInd w:val="0"/>
        <w:spacing w:after="0" w:line="240" w:lineRule="auto"/>
        <w:rPr>
          <w:rFonts w:ascii="Times New Roman" w:eastAsiaTheme="minorHAnsi" w:hAnsi="Times New Roman" w:cs="Times New Roman"/>
          <w:sz w:val="24"/>
          <w:szCs w:val="24"/>
          <w:lang w:val="en-US"/>
        </w:rPr>
      </w:pPr>
    </w:p>
    <w:p w14:paraId="7222B37C" w14:textId="77777777" w:rsidR="00282797" w:rsidRPr="00754FA8" w:rsidRDefault="00FC77FC" w:rsidP="00FC77FC">
      <w:pPr>
        <w:bidi w:val="0"/>
        <w:spacing w:after="0" w:line="240" w:lineRule="auto"/>
        <w:contextualSpacing/>
        <w:jc w:val="center"/>
        <w:rPr>
          <w:rFonts w:asciiTheme="majorBidi" w:eastAsia="Calibri" w:hAnsiTheme="majorBidi" w:cstheme="majorBidi"/>
          <w:sz w:val="24"/>
          <w:szCs w:val="24"/>
          <w:rtl/>
          <w:lang w:bidi="ar-SY"/>
        </w:rPr>
      </w:pPr>
      <w:r>
        <w:rPr>
          <w:rFonts w:ascii="Times New Roman" w:eastAsiaTheme="minorHAnsi" w:hAnsi="Times New Roman" w:cs="Times New Roman"/>
          <w:sz w:val="24"/>
          <w:szCs w:val="24"/>
          <w:lang w:val="en-US"/>
        </w:rPr>
        <w:t>.</w:t>
      </w:r>
      <w:r>
        <w:rPr>
          <w:noProof/>
          <w:lang w:val="en-US"/>
        </w:rPr>
        <w:t xml:space="preserve"> </w:t>
      </w:r>
      <w:r w:rsidR="00F92F47">
        <w:rPr>
          <w:noProof/>
          <w:lang w:val="en-US"/>
        </w:rPr>
        <w:drawing>
          <wp:inline distT="0" distB="0" distL="0" distR="0" wp14:anchorId="2D95C7FC" wp14:editId="6625EAEE">
            <wp:extent cx="5131329" cy="2353205"/>
            <wp:effectExtent l="0" t="0" r="12700" b="952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4C8253" w14:textId="77777777" w:rsidR="00F43555" w:rsidRPr="00641547" w:rsidRDefault="00F43555" w:rsidP="006C0EFF">
      <w:pPr>
        <w:bidi w:val="0"/>
        <w:spacing w:line="240" w:lineRule="auto"/>
        <w:jc w:val="center"/>
        <w:rPr>
          <w:rFonts w:asciiTheme="majorBidi" w:hAnsiTheme="majorBidi" w:cstheme="majorBidi"/>
          <w:lang w:bidi="ar-SY"/>
        </w:rPr>
      </w:pPr>
      <w:r w:rsidRPr="00641547">
        <w:rPr>
          <w:rFonts w:asciiTheme="majorBidi" w:hAnsiTheme="majorBidi" w:cstheme="majorBidi"/>
          <w:lang w:bidi="ar-SY"/>
        </w:rPr>
        <w:t>Figure (</w:t>
      </w:r>
      <w:r w:rsidR="006C0EFF" w:rsidRPr="00641547">
        <w:rPr>
          <w:rFonts w:asciiTheme="majorBidi" w:hAnsiTheme="majorBidi" w:cstheme="majorBidi"/>
          <w:lang w:bidi="ar-SY"/>
        </w:rPr>
        <w:t>8</w:t>
      </w:r>
      <w:r w:rsidRPr="00641547">
        <w:rPr>
          <w:rFonts w:asciiTheme="majorBidi" w:hAnsiTheme="majorBidi" w:cstheme="majorBidi"/>
          <w:lang w:bidi="ar-SY"/>
        </w:rPr>
        <w:t xml:space="preserve">) </w:t>
      </w:r>
      <w:r w:rsidR="006B1801" w:rsidRPr="00641547">
        <w:rPr>
          <w:rFonts w:ascii="Times New Roman" w:eastAsiaTheme="minorHAnsi" w:hAnsi="Times New Roman" w:cs="Times New Roman"/>
          <w:lang w:val="en-US"/>
        </w:rPr>
        <w:t xml:space="preserve">Total aerobic plate count </w:t>
      </w:r>
      <w:r w:rsidRPr="00641547">
        <w:rPr>
          <w:rFonts w:asciiTheme="majorBidi" w:hAnsiTheme="majorBidi" w:cstheme="majorBidi"/>
          <w:lang w:bidi="ar-SY"/>
        </w:rPr>
        <w:t>during the study period</w:t>
      </w:r>
      <w:r w:rsidRPr="00641547">
        <w:rPr>
          <w:rFonts w:asciiTheme="majorBidi" w:hAnsiTheme="majorBidi" w:cs="Times New Roman"/>
          <w:rtl/>
          <w:lang w:bidi="ar-SY"/>
        </w:rPr>
        <w:t>:</w:t>
      </w:r>
    </w:p>
    <w:p w14:paraId="6A3081BE" w14:textId="77777777" w:rsidR="00D07068" w:rsidRDefault="00D07068" w:rsidP="00AD3C5A">
      <w:pPr>
        <w:autoSpaceDE w:val="0"/>
        <w:autoSpaceDN w:val="0"/>
        <w:bidi w:val="0"/>
        <w:adjustRightInd w:val="0"/>
        <w:spacing w:before="240" w:line="240" w:lineRule="auto"/>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t>Identification of the Isolated Bacteria:</w:t>
      </w:r>
    </w:p>
    <w:p w14:paraId="61EE3CD3" w14:textId="77777777" w:rsidR="00D07068" w:rsidRDefault="00D07068" w:rsidP="00D07068">
      <w:pPr>
        <w:autoSpaceDE w:val="0"/>
        <w:autoSpaceDN w:val="0"/>
        <w:bidi w:val="0"/>
        <w:adjustRightInd w:val="0"/>
        <w:spacing w:after="0" w:line="24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The isolates were identified following previously described methods (Fish and Service, 2010;</w:t>
      </w:r>
    </w:p>
    <w:p w14:paraId="0BA04C96" w14:textId="77777777" w:rsidR="00D07068" w:rsidRPr="00D07068" w:rsidRDefault="00D07068" w:rsidP="00B84057">
      <w:pPr>
        <w:autoSpaceDE w:val="0"/>
        <w:autoSpaceDN w:val="0"/>
        <w:bidi w:val="0"/>
        <w:adjustRightInd w:val="0"/>
        <w:spacing w:after="0" w:line="24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MacFaddin, 2000). In brief, colony morphology including shape, color, pigmentation, size, edges and elevation were determined and isolates grouped accordingly</w:t>
      </w:r>
      <w:r w:rsidR="00B84057">
        <w:rPr>
          <w:rFonts w:ascii="Times New Roman" w:eastAsiaTheme="minorHAnsi" w:hAnsi="Times New Roman" w:cs="Times New Roman"/>
          <w:sz w:val="24"/>
          <w:szCs w:val="24"/>
          <w:lang w:val="en-US"/>
        </w:rPr>
        <w:t>.</w:t>
      </w:r>
    </w:p>
    <w:p w14:paraId="1FA6D97B" w14:textId="77777777" w:rsidR="00F43555" w:rsidRPr="00B84057" w:rsidRDefault="00F43555" w:rsidP="006C0EFF">
      <w:pPr>
        <w:bidi w:val="0"/>
        <w:spacing w:before="100" w:beforeAutospacing="1" w:after="100" w:afterAutospacing="1" w:line="240" w:lineRule="auto"/>
        <w:jc w:val="both"/>
        <w:rPr>
          <w:rFonts w:asciiTheme="majorBidi" w:hAnsiTheme="majorBidi" w:cstheme="majorBidi"/>
          <w:sz w:val="24"/>
          <w:szCs w:val="24"/>
          <w:rtl/>
          <w:lang w:val="en-US" w:bidi="ar-SY"/>
        </w:rPr>
      </w:pPr>
      <w:r w:rsidRPr="00BE765B">
        <w:rPr>
          <w:rFonts w:asciiTheme="majorBidi" w:hAnsiTheme="majorBidi" w:cstheme="majorBidi"/>
          <w:sz w:val="24"/>
          <w:szCs w:val="24"/>
          <w:lang w:bidi="ar-SY"/>
        </w:rPr>
        <w:t xml:space="preserve">The culture results (Figures </w:t>
      </w:r>
      <w:r w:rsidR="006C0EFF">
        <w:rPr>
          <w:rFonts w:asciiTheme="majorBidi" w:hAnsiTheme="majorBidi" w:cstheme="majorBidi"/>
          <w:sz w:val="24"/>
          <w:szCs w:val="24"/>
          <w:lang w:bidi="ar-SY"/>
        </w:rPr>
        <w:t>9-</w:t>
      </w:r>
      <w:r w:rsidRPr="00BE765B">
        <w:rPr>
          <w:rFonts w:asciiTheme="majorBidi" w:hAnsiTheme="majorBidi" w:cstheme="majorBidi"/>
          <w:sz w:val="24"/>
          <w:szCs w:val="24"/>
          <w:lang w:bidi="ar-SY"/>
        </w:rPr>
        <w:t>10-11-1</w:t>
      </w:r>
      <w:r w:rsidR="006C0EFF">
        <w:rPr>
          <w:rFonts w:asciiTheme="majorBidi" w:hAnsiTheme="majorBidi" w:cstheme="majorBidi"/>
          <w:sz w:val="24"/>
          <w:szCs w:val="24"/>
          <w:lang w:bidi="ar-SY"/>
        </w:rPr>
        <w:t>2-13</w:t>
      </w:r>
      <w:r w:rsidR="00090493">
        <w:rPr>
          <w:rFonts w:asciiTheme="majorBidi" w:hAnsiTheme="majorBidi" w:cstheme="majorBidi"/>
          <w:sz w:val="24"/>
          <w:szCs w:val="24"/>
          <w:lang w:bidi="ar-SY"/>
        </w:rPr>
        <w:t>) showed the presence of</w:t>
      </w:r>
      <w:r w:rsidRPr="00BE765B">
        <w:rPr>
          <w:rFonts w:asciiTheme="majorBidi" w:hAnsiTheme="majorBidi" w:cstheme="majorBidi"/>
          <w:sz w:val="24"/>
          <w:szCs w:val="24"/>
          <w:lang w:bidi="ar-SY"/>
        </w:rPr>
        <w:t xml:space="preserve"> microbial species on these media</w:t>
      </w:r>
      <w:r w:rsidR="00B84057">
        <w:rPr>
          <w:rFonts w:asciiTheme="majorBidi" w:hAnsiTheme="majorBidi" w:cstheme="majorBidi"/>
          <w:sz w:val="24"/>
          <w:szCs w:val="24"/>
          <w:lang w:val="en-US" w:bidi="ar-SY"/>
        </w:rPr>
        <w:t>.</w:t>
      </w:r>
    </w:p>
    <w:p w14:paraId="5EF205FE" w14:textId="77777777" w:rsidR="00282797" w:rsidRPr="00C23562" w:rsidRDefault="00282797" w:rsidP="005A63E9">
      <w:pPr>
        <w:bidi w:val="0"/>
        <w:spacing w:before="100" w:beforeAutospacing="1" w:after="100" w:afterAutospacing="1" w:line="240" w:lineRule="auto"/>
        <w:jc w:val="both"/>
        <w:rPr>
          <w:rFonts w:asciiTheme="majorBidi" w:hAnsiTheme="majorBidi" w:cstheme="majorBidi"/>
          <w:b/>
          <w:bCs/>
          <w:sz w:val="24"/>
          <w:szCs w:val="24"/>
          <w:rtl/>
          <w:lang w:val="en-US"/>
        </w:rPr>
        <w:sectPr w:rsidR="00282797" w:rsidRPr="00C23562" w:rsidSect="00282797">
          <w:headerReference w:type="even" r:id="rId21"/>
          <w:headerReference w:type="default" r:id="rId22"/>
          <w:footerReference w:type="even" r:id="rId23"/>
          <w:footerReference w:type="default" r:id="rId24"/>
          <w:headerReference w:type="first" r:id="rId25"/>
          <w:footerReference w:type="first" r:id="rId26"/>
          <w:pgSz w:w="11906" w:h="16838" w:code="9"/>
          <w:pgMar w:top="1134" w:right="1701" w:bottom="1134" w:left="1134" w:header="709" w:footer="709" w:gutter="0"/>
          <w:cols w:space="708"/>
          <w:bidi/>
          <w:rtlGutter/>
          <w:docGrid w:linePitch="360"/>
        </w:sectPr>
      </w:pPr>
    </w:p>
    <w:p w14:paraId="05DCD7F7" w14:textId="77777777" w:rsidR="00282797" w:rsidRPr="00754FA8" w:rsidRDefault="004B15DF"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rtl/>
          <w:lang w:val="en-US"/>
        </w:rPr>
        <w:drawing>
          <wp:inline distT="0" distB="0" distL="0" distR="0" wp14:anchorId="57B2AB3D" wp14:editId="7C6029E2">
            <wp:extent cx="1800225" cy="1645591"/>
            <wp:effectExtent l="0" t="0" r="0" b="0"/>
            <wp:docPr id="10" name="صورة 10" descr="C:\Users\rama\Desktop\دكتوراه\صور\IMG_٢٠٢١١١٢٤_٠٩٢٨٣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Desktop\دكتوراه\صور\IMG_٢٠٢١١١٢٤_٠٩٢٨٣٧.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713" r="36201"/>
                    <a:stretch/>
                  </pic:blipFill>
                  <pic:spPr bwMode="auto">
                    <a:xfrm>
                      <a:off x="0" y="0"/>
                      <a:ext cx="1798571" cy="1644079"/>
                    </a:xfrm>
                    <a:prstGeom prst="rect">
                      <a:avLst/>
                    </a:prstGeom>
                    <a:noFill/>
                    <a:ln>
                      <a:noFill/>
                    </a:ln>
                    <a:extLst>
                      <a:ext uri="{53640926-AAD7-44D8-BBD7-CCE9431645EC}">
                        <a14:shadowObscured xmlns:a14="http://schemas.microsoft.com/office/drawing/2010/main"/>
                      </a:ext>
                    </a:extLst>
                  </pic:spPr>
                </pic:pic>
              </a:graphicData>
            </a:graphic>
          </wp:inline>
        </w:drawing>
      </w:r>
    </w:p>
    <w:p w14:paraId="0455C76C" w14:textId="77777777" w:rsidR="00282797" w:rsidRPr="00A90BDC" w:rsidRDefault="00A90BDC" w:rsidP="006C0EFF">
      <w:pPr>
        <w:bidi w:val="0"/>
        <w:spacing w:before="100" w:beforeAutospacing="1" w:after="100" w:afterAutospacing="1" w:line="240" w:lineRule="auto"/>
        <w:jc w:val="center"/>
        <w:rPr>
          <w:rFonts w:asciiTheme="majorBidi" w:hAnsiTheme="majorBidi" w:cstheme="majorBidi"/>
          <w:b/>
          <w:bCs/>
          <w:sz w:val="20"/>
          <w:szCs w:val="20"/>
          <w:rtl/>
          <w:lang w:val="en-US" w:bidi="ar-SY"/>
        </w:rPr>
      </w:pPr>
      <w:r w:rsidRPr="00A90BDC">
        <w:rPr>
          <w:rFonts w:asciiTheme="majorBidi" w:hAnsiTheme="majorBidi" w:cstheme="majorBidi"/>
          <w:b/>
          <w:bCs/>
          <w:sz w:val="20"/>
          <w:szCs w:val="20"/>
        </w:rPr>
        <w:t>Figure (</w:t>
      </w:r>
      <w:r w:rsidR="006C0EFF">
        <w:rPr>
          <w:rFonts w:asciiTheme="majorBidi" w:hAnsiTheme="majorBidi" w:cstheme="majorBidi"/>
          <w:b/>
          <w:bCs/>
          <w:sz w:val="20"/>
          <w:szCs w:val="20"/>
        </w:rPr>
        <w:t>9</w:t>
      </w:r>
      <w:r w:rsidRPr="00A90BDC">
        <w:rPr>
          <w:rFonts w:asciiTheme="majorBidi" w:hAnsiTheme="majorBidi" w:cstheme="majorBidi"/>
          <w:b/>
          <w:bCs/>
          <w:sz w:val="20"/>
          <w:szCs w:val="20"/>
        </w:rPr>
        <w:t>): Colonies that appeared on a solid nutrient agar plate.</w:t>
      </w:r>
    </w:p>
    <w:p w14:paraId="69D01F8C" w14:textId="77777777" w:rsidR="00282797" w:rsidRPr="00754FA8" w:rsidRDefault="00042B5B"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rtl/>
          <w:lang w:val="en-US"/>
        </w:rPr>
        <w:drawing>
          <wp:inline distT="0" distB="0" distL="0" distR="0" wp14:anchorId="1033C46E" wp14:editId="2D037712">
            <wp:extent cx="1952625" cy="1647825"/>
            <wp:effectExtent l="0" t="0" r="9525" b="9525"/>
            <wp:docPr id="12" name="صورة 12" descr="C:\Users\rama\Pictures\2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Pictures\2بدون عنوان.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193" cy="1645773"/>
                    </a:xfrm>
                    <a:prstGeom prst="rect">
                      <a:avLst/>
                    </a:prstGeom>
                    <a:noFill/>
                    <a:ln>
                      <a:noFill/>
                    </a:ln>
                  </pic:spPr>
                </pic:pic>
              </a:graphicData>
            </a:graphic>
          </wp:inline>
        </w:drawing>
      </w:r>
    </w:p>
    <w:p w14:paraId="7057293B" w14:textId="77777777" w:rsidR="00282797" w:rsidRPr="00A90BDC" w:rsidRDefault="00A90BDC" w:rsidP="006C0EFF">
      <w:pPr>
        <w:bidi w:val="0"/>
        <w:spacing w:before="100" w:beforeAutospacing="1" w:after="100" w:afterAutospacing="1" w:line="240" w:lineRule="auto"/>
        <w:jc w:val="center"/>
        <w:rPr>
          <w:rFonts w:asciiTheme="majorBidi" w:hAnsiTheme="majorBidi" w:cstheme="majorBidi"/>
          <w:b/>
          <w:bCs/>
          <w:sz w:val="20"/>
          <w:szCs w:val="20"/>
          <w:rtl/>
          <w:lang w:val="en-US" w:bidi="ar-SY"/>
        </w:rPr>
        <w:sectPr w:rsidR="00282797" w:rsidRPr="00A90BDC" w:rsidSect="00712571">
          <w:type w:val="continuous"/>
          <w:pgSz w:w="11906" w:h="16838" w:code="9"/>
          <w:pgMar w:top="1134" w:right="1701" w:bottom="1134" w:left="1134" w:header="709" w:footer="709" w:gutter="0"/>
          <w:cols w:num="2" w:space="708"/>
          <w:bidi/>
          <w:rtlGutter/>
          <w:docGrid w:linePitch="360"/>
        </w:sectPr>
      </w:pPr>
      <w:r w:rsidRPr="00A90BDC">
        <w:rPr>
          <w:rFonts w:asciiTheme="majorBidi" w:hAnsiTheme="majorBidi" w:cstheme="majorBidi"/>
          <w:b/>
          <w:bCs/>
          <w:sz w:val="20"/>
          <w:szCs w:val="20"/>
        </w:rPr>
        <w:t>Figure (</w:t>
      </w:r>
      <w:r w:rsidR="006C0EFF">
        <w:rPr>
          <w:rFonts w:asciiTheme="majorBidi" w:hAnsiTheme="majorBidi" w:cstheme="majorBidi"/>
          <w:b/>
          <w:bCs/>
          <w:sz w:val="20"/>
          <w:szCs w:val="20"/>
        </w:rPr>
        <w:t>10</w:t>
      </w:r>
      <w:r w:rsidRPr="00A90BDC">
        <w:rPr>
          <w:rFonts w:asciiTheme="majorBidi" w:hAnsiTheme="majorBidi" w:cstheme="majorBidi"/>
          <w:b/>
          <w:bCs/>
          <w:sz w:val="20"/>
          <w:szCs w:val="20"/>
        </w:rPr>
        <w:t>): Colonies that appeared on a solid MacConkey agar plate.</w:t>
      </w:r>
    </w:p>
    <w:p w14:paraId="5AD5A170" w14:textId="77777777" w:rsidR="00282797" w:rsidRPr="00754FA8" w:rsidRDefault="00282797"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lastRenderedPageBreak/>
        <w:drawing>
          <wp:inline distT="0" distB="0" distL="0" distR="0" wp14:anchorId="78FBAF79" wp14:editId="6A87AF2A">
            <wp:extent cx="2339340" cy="1701165"/>
            <wp:effectExtent l="0" t="0" r="3810" b="0"/>
            <wp:docPr id="36" name="صورة 88" descr="C:\Users\rama\Desktop\صور\IMG_٢٠٢١١١٢٤_٠٩٣٢٥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 descr="C:\Users\rama\Desktop\صور\IMG_٢٠٢١١١٢٤_٠٩٣٢٥٧.jpg"/>
                    <pic:cNvPicPr>
                      <a:picLocks noChangeAspect="1" noChangeArrowheads="1"/>
                    </pic:cNvPicPr>
                  </pic:nvPicPr>
                  <pic:blipFill>
                    <a:blip r:embed="rId29">
                      <a:extLst>
                        <a:ext uri="{28A0092B-C50C-407E-A947-70E740481C1C}">
                          <a14:useLocalDpi xmlns:a14="http://schemas.microsoft.com/office/drawing/2010/main" val="0"/>
                        </a:ext>
                      </a:extLst>
                    </a:blip>
                    <a:srcRect l="15182" r="18726"/>
                    <a:stretch>
                      <a:fillRect/>
                    </a:stretch>
                  </pic:blipFill>
                  <pic:spPr bwMode="auto">
                    <a:xfrm>
                      <a:off x="0" y="0"/>
                      <a:ext cx="2339340" cy="1701165"/>
                    </a:xfrm>
                    <a:prstGeom prst="rect">
                      <a:avLst/>
                    </a:prstGeom>
                    <a:noFill/>
                    <a:ln>
                      <a:noFill/>
                    </a:ln>
                  </pic:spPr>
                </pic:pic>
              </a:graphicData>
            </a:graphic>
          </wp:inline>
        </w:drawing>
      </w:r>
      <w:r w:rsidR="00596287" w:rsidRPr="00754FA8">
        <w:rPr>
          <w:rFonts w:asciiTheme="majorBidi" w:hAnsiTheme="majorBidi" w:cstheme="majorBidi"/>
          <w:b/>
          <w:bCs/>
          <w:noProof/>
          <w:sz w:val="20"/>
          <w:szCs w:val="20"/>
          <w:rtl/>
          <w:lang w:val="en-US"/>
        </w:rPr>
        <w:drawing>
          <wp:inline distT="0" distB="0" distL="0" distR="0" wp14:anchorId="7257C1FC" wp14:editId="2BB9D7AF">
            <wp:extent cx="2057077" cy="1704975"/>
            <wp:effectExtent l="0" t="0" r="635" b="0"/>
            <wp:docPr id="19" name="صورة 19" descr="C:\Users\rama\Desktop\دكتوراه\صور\صور عزل جرثومي\عزل\D075 H مستعمرات سود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a\Desktop\دكتوراه\صور\صور عزل جرثومي\عزل\D075 H مستعمرات سوداء.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8854" cy="1706448"/>
                    </a:xfrm>
                    <a:prstGeom prst="rect">
                      <a:avLst/>
                    </a:prstGeom>
                    <a:noFill/>
                    <a:ln>
                      <a:noFill/>
                    </a:ln>
                  </pic:spPr>
                </pic:pic>
              </a:graphicData>
            </a:graphic>
          </wp:inline>
        </w:drawing>
      </w:r>
    </w:p>
    <w:p w14:paraId="509F19D5" w14:textId="77777777" w:rsidR="00282797" w:rsidRPr="00AA647F" w:rsidRDefault="00AA647F" w:rsidP="006C0EFF">
      <w:pPr>
        <w:bidi w:val="0"/>
        <w:spacing w:after="100" w:afterAutospacing="1" w:line="240" w:lineRule="auto"/>
        <w:jc w:val="center"/>
        <w:rPr>
          <w:rFonts w:asciiTheme="majorBidi" w:hAnsiTheme="majorBidi" w:cstheme="majorBidi"/>
          <w:b/>
          <w:bCs/>
          <w:sz w:val="20"/>
          <w:szCs w:val="20"/>
          <w:rtl/>
        </w:rPr>
      </w:pPr>
      <w:r>
        <w:rPr>
          <w:rFonts w:asciiTheme="majorBidi" w:hAnsiTheme="majorBidi" w:cstheme="majorBidi"/>
          <w:b/>
          <w:bCs/>
          <w:sz w:val="20"/>
          <w:szCs w:val="20"/>
        </w:rPr>
        <w:t xml:space="preserve"> </w:t>
      </w:r>
      <w:r w:rsidRPr="00AA647F">
        <w:rPr>
          <w:rFonts w:asciiTheme="majorBidi" w:hAnsiTheme="majorBidi" w:cstheme="majorBidi"/>
          <w:b/>
          <w:bCs/>
          <w:sz w:val="20"/>
          <w:szCs w:val="20"/>
        </w:rPr>
        <w:t>Figure (</w:t>
      </w:r>
      <w:r w:rsidR="006C0EFF">
        <w:rPr>
          <w:rFonts w:asciiTheme="majorBidi" w:hAnsiTheme="majorBidi" w:cstheme="majorBidi"/>
          <w:b/>
          <w:bCs/>
          <w:sz w:val="20"/>
          <w:szCs w:val="20"/>
        </w:rPr>
        <w:t>11</w:t>
      </w:r>
      <w:r w:rsidRPr="00AA647F">
        <w:rPr>
          <w:rFonts w:asciiTheme="majorBidi" w:hAnsiTheme="majorBidi" w:cstheme="majorBidi"/>
          <w:b/>
          <w:bCs/>
          <w:sz w:val="20"/>
          <w:szCs w:val="20"/>
        </w:rPr>
        <w:t>): Colonies that appeared on a solid Hecton agar plate.</w:t>
      </w:r>
    </w:p>
    <w:p w14:paraId="02AED98C" w14:textId="77777777" w:rsidR="00282797" w:rsidRPr="00754FA8" w:rsidRDefault="00282797" w:rsidP="00A90BDC">
      <w:pPr>
        <w:tabs>
          <w:tab w:val="center" w:pos="4252"/>
          <w:tab w:val="right" w:pos="8504"/>
        </w:tabs>
        <w:bidi w:val="0"/>
        <w:spacing w:before="100" w:beforeAutospacing="1" w:after="100" w:afterAutospacing="1" w:line="240" w:lineRule="auto"/>
        <w:jc w:val="center"/>
        <w:outlineLvl w:val="2"/>
        <w:rPr>
          <w:rFonts w:asciiTheme="majorBidi" w:hAnsiTheme="majorBidi" w:cstheme="majorBidi"/>
          <w:noProof/>
          <w:sz w:val="20"/>
          <w:szCs w:val="20"/>
          <w:rtl/>
        </w:rPr>
      </w:pPr>
      <w:r w:rsidRPr="00754FA8">
        <w:rPr>
          <w:rFonts w:asciiTheme="majorBidi" w:hAnsiTheme="majorBidi" w:cstheme="majorBidi"/>
          <w:noProof/>
          <w:sz w:val="20"/>
          <w:szCs w:val="20"/>
          <w:lang w:val="en-US"/>
        </w:rPr>
        <w:drawing>
          <wp:inline distT="0" distB="0" distL="0" distR="0" wp14:anchorId="13942713" wp14:editId="35ABB6DB">
            <wp:extent cx="2360295" cy="1584325"/>
            <wp:effectExtent l="0" t="0" r="1905" b="0"/>
            <wp:docPr id="38" name="صورة 43" descr="C:\Users\rama\Desktop\صور\IMG_٢٠٢١١١٢٤_٠٩٣٣٣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descr="C:\Users\rama\Desktop\صور\IMG_٢٠٢١١١٢٤_٠٩٣٣٣٤.jpg"/>
                    <pic:cNvPicPr>
                      <a:picLocks noChangeAspect="1" noChangeArrowheads="1"/>
                    </pic:cNvPicPr>
                  </pic:nvPicPr>
                  <pic:blipFill>
                    <a:blip r:embed="rId31">
                      <a:extLst>
                        <a:ext uri="{28A0092B-C50C-407E-A947-70E740481C1C}">
                          <a14:useLocalDpi xmlns:a14="http://schemas.microsoft.com/office/drawing/2010/main" val="0"/>
                        </a:ext>
                      </a:extLst>
                    </a:blip>
                    <a:srcRect l="7739" r="21739"/>
                    <a:stretch>
                      <a:fillRect/>
                    </a:stretch>
                  </pic:blipFill>
                  <pic:spPr bwMode="auto">
                    <a:xfrm>
                      <a:off x="0" y="0"/>
                      <a:ext cx="2360295" cy="1584325"/>
                    </a:xfrm>
                    <a:prstGeom prst="rect">
                      <a:avLst/>
                    </a:prstGeom>
                    <a:noFill/>
                    <a:ln>
                      <a:noFill/>
                    </a:ln>
                  </pic:spPr>
                </pic:pic>
              </a:graphicData>
            </a:graphic>
          </wp:inline>
        </w:drawing>
      </w:r>
      <w:r w:rsidRPr="00754FA8">
        <w:rPr>
          <w:rFonts w:asciiTheme="majorBidi" w:hAnsiTheme="majorBidi" w:cstheme="majorBidi"/>
          <w:b/>
          <w:bCs/>
          <w:noProof/>
          <w:sz w:val="20"/>
          <w:szCs w:val="20"/>
          <w:lang w:val="en-US"/>
        </w:rPr>
        <w:drawing>
          <wp:inline distT="0" distB="0" distL="0" distR="0" wp14:anchorId="1792B6D1" wp14:editId="727C3FCC">
            <wp:extent cx="1860550" cy="1573530"/>
            <wp:effectExtent l="0" t="0" r="6350" b="7620"/>
            <wp:docPr id="39" name="صورة 89" descr="C:\Users\rama\Desktop\صور\IMG_٢٠٢١١١٢٤_٠٩٢٧٣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9" descr="C:\Users\rama\Desktop\صور\IMG_٢٠٢١١١٢٤_٠٩٢٧٣٣.jpg"/>
                    <pic:cNvPicPr>
                      <a:picLocks noChangeAspect="1" noChangeArrowheads="1"/>
                    </pic:cNvPicPr>
                  </pic:nvPicPr>
                  <pic:blipFill>
                    <a:blip r:embed="rId32">
                      <a:extLst>
                        <a:ext uri="{28A0092B-C50C-407E-A947-70E740481C1C}">
                          <a14:useLocalDpi xmlns:a14="http://schemas.microsoft.com/office/drawing/2010/main" val="0"/>
                        </a:ext>
                      </a:extLst>
                    </a:blip>
                    <a:srcRect l="20900" r="26662"/>
                    <a:stretch>
                      <a:fillRect/>
                    </a:stretch>
                  </pic:blipFill>
                  <pic:spPr bwMode="auto">
                    <a:xfrm>
                      <a:off x="0" y="0"/>
                      <a:ext cx="1860550" cy="1573530"/>
                    </a:xfrm>
                    <a:prstGeom prst="rect">
                      <a:avLst/>
                    </a:prstGeom>
                    <a:noFill/>
                    <a:ln>
                      <a:noFill/>
                    </a:ln>
                  </pic:spPr>
                </pic:pic>
              </a:graphicData>
            </a:graphic>
          </wp:inline>
        </w:drawing>
      </w:r>
    </w:p>
    <w:p w14:paraId="08DC892F" w14:textId="77777777" w:rsidR="00282797" w:rsidRPr="00AA647F" w:rsidRDefault="00AA647F" w:rsidP="006C0EFF">
      <w:pPr>
        <w:bidi w:val="0"/>
        <w:spacing w:before="100" w:beforeAutospacing="1" w:after="100" w:afterAutospacing="1" w:line="240" w:lineRule="auto"/>
        <w:jc w:val="center"/>
        <w:rPr>
          <w:rFonts w:asciiTheme="majorBidi" w:hAnsiTheme="majorBidi" w:cstheme="majorBidi"/>
          <w:b/>
          <w:bCs/>
          <w:sz w:val="20"/>
          <w:szCs w:val="20"/>
          <w:rtl/>
        </w:rPr>
      </w:pPr>
      <w:r>
        <w:rPr>
          <w:rFonts w:asciiTheme="majorBidi" w:hAnsiTheme="majorBidi" w:cstheme="majorBidi"/>
          <w:b/>
          <w:bCs/>
          <w:sz w:val="20"/>
          <w:szCs w:val="20"/>
        </w:rPr>
        <w:t xml:space="preserve"> </w:t>
      </w:r>
      <w:r w:rsidRPr="00AA647F">
        <w:rPr>
          <w:rFonts w:asciiTheme="majorBidi" w:hAnsiTheme="majorBidi" w:cstheme="majorBidi"/>
          <w:b/>
          <w:bCs/>
          <w:sz w:val="20"/>
          <w:szCs w:val="20"/>
        </w:rPr>
        <w:t>Figure (</w:t>
      </w:r>
      <w:r w:rsidR="006C0EFF">
        <w:rPr>
          <w:rFonts w:asciiTheme="majorBidi" w:hAnsiTheme="majorBidi" w:cstheme="majorBidi"/>
          <w:b/>
          <w:bCs/>
          <w:sz w:val="20"/>
          <w:szCs w:val="20"/>
        </w:rPr>
        <w:t>12</w:t>
      </w:r>
      <w:r w:rsidRPr="00AA647F">
        <w:rPr>
          <w:rFonts w:asciiTheme="majorBidi" w:hAnsiTheme="majorBidi" w:cstheme="majorBidi"/>
          <w:b/>
          <w:bCs/>
          <w:sz w:val="20"/>
          <w:szCs w:val="20"/>
        </w:rPr>
        <w:t>): Colonies that appeared on a solid SS agar plate.</w:t>
      </w:r>
    </w:p>
    <w:p w14:paraId="0F8781D5" w14:textId="77777777" w:rsidR="00282797" w:rsidRPr="00754FA8" w:rsidRDefault="00282797"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drawing>
          <wp:inline distT="0" distB="0" distL="0" distR="0" wp14:anchorId="23A86714" wp14:editId="0E872862">
            <wp:extent cx="2126615" cy="1743710"/>
            <wp:effectExtent l="0" t="0" r="6985" b="8890"/>
            <wp:docPr id="40" name="Picture 3" descr="C:\Users\rama\Desktop\صور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Desktop\صورة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6615" cy="1743710"/>
                    </a:xfrm>
                    <a:prstGeom prst="rect">
                      <a:avLst/>
                    </a:prstGeom>
                    <a:noFill/>
                    <a:ln>
                      <a:noFill/>
                    </a:ln>
                  </pic:spPr>
                </pic:pic>
              </a:graphicData>
            </a:graphic>
          </wp:inline>
        </w:drawing>
      </w:r>
      <w:r w:rsidRPr="00754FA8">
        <w:rPr>
          <w:rFonts w:asciiTheme="majorBidi" w:hAnsiTheme="majorBidi" w:cstheme="majorBidi"/>
          <w:b/>
          <w:bCs/>
          <w:noProof/>
          <w:sz w:val="20"/>
          <w:szCs w:val="20"/>
          <w:lang w:val="en-US"/>
        </w:rPr>
        <w:drawing>
          <wp:inline distT="0" distB="0" distL="0" distR="0" wp14:anchorId="72250154" wp14:editId="10B0E988">
            <wp:extent cx="2030730" cy="1754505"/>
            <wp:effectExtent l="0" t="0" r="7620" b="0"/>
            <wp:docPr id="41" name="Picture 2" descr="C:\Users\ram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Desktop\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0730" cy="1754505"/>
                    </a:xfrm>
                    <a:prstGeom prst="rect">
                      <a:avLst/>
                    </a:prstGeom>
                    <a:noFill/>
                    <a:ln>
                      <a:noFill/>
                    </a:ln>
                  </pic:spPr>
                </pic:pic>
              </a:graphicData>
            </a:graphic>
          </wp:inline>
        </w:drawing>
      </w:r>
    </w:p>
    <w:p w14:paraId="5C8C83DC" w14:textId="77777777" w:rsidR="005C0EE5" w:rsidRPr="00754FA8" w:rsidRDefault="005C0EE5"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drawing>
          <wp:inline distT="0" distB="0" distL="0" distR="0" wp14:anchorId="6DFBBD2D" wp14:editId="6D955F15">
            <wp:extent cx="1733550" cy="1912008"/>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48876"/>
                    <a:stretch/>
                  </pic:blipFill>
                  <pic:spPr bwMode="auto">
                    <a:xfrm>
                      <a:off x="0" y="0"/>
                      <a:ext cx="1735256" cy="1913890"/>
                    </a:xfrm>
                    <a:prstGeom prst="rect">
                      <a:avLst/>
                    </a:prstGeom>
                    <a:noFill/>
                    <a:ln>
                      <a:noFill/>
                    </a:ln>
                    <a:extLst>
                      <a:ext uri="{53640926-AAD7-44D8-BBD7-CCE9431645EC}">
                        <a14:shadowObscured xmlns:a14="http://schemas.microsoft.com/office/drawing/2010/main"/>
                      </a:ext>
                    </a:extLst>
                  </pic:spPr>
                </pic:pic>
              </a:graphicData>
            </a:graphic>
          </wp:inline>
        </w:drawing>
      </w:r>
    </w:p>
    <w:p w14:paraId="15AB886C" w14:textId="77777777" w:rsidR="005F1AD4" w:rsidRPr="00AA647F" w:rsidRDefault="00AA647F" w:rsidP="006C0EFF">
      <w:pPr>
        <w:bidi w:val="0"/>
        <w:spacing w:before="100" w:beforeAutospacing="1" w:after="100" w:afterAutospacing="1" w:line="240" w:lineRule="auto"/>
        <w:jc w:val="center"/>
        <w:rPr>
          <w:rFonts w:asciiTheme="majorBidi" w:hAnsiTheme="majorBidi" w:cstheme="majorBidi"/>
          <w:b/>
          <w:bCs/>
          <w:sz w:val="20"/>
          <w:szCs w:val="20"/>
          <w:lang w:val="en-US"/>
        </w:rPr>
      </w:pPr>
      <w:r w:rsidRPr="00AA647F">
        <w:rPr>
          <w:rFonts w:asciiTheme="majorBidi" w:hAnsiTheme="majorBidi" w:cstheme="majorBidi"/>
          <w:b/>
          <w:bCs/>
          <w:sz w:val="20"/>
          <w:szCs w:val="20"/>
        </w:rPr>
        <w:t>Figure (</w:t>
      </w:r>
      <w:r w:rsidR="006C0EFF">
        <w:rPr>
          <w:rFonts w:asciiTheme="majorBidi" w:hAnsiTheme="majorBidi" w:cstheme="majorBidi"/>
          <w:b/>
          <w:bCs/>
          <w:sz w:val="20"/>
          <w:szCs w:val="20"/>
        </w:rPr>
        <w:t>13</w:t>
      </w:r>
      <w:r w:rsidRPr="00AA647F">
        <w:rPr>
          <w:rFonts w:asciiTheme="majorBidi" w:hAnsiTheme="majorBidi" w:cstheme="majorBidi"/>
          <w:b/>
          <w:bCs/>
          <w:sz w:val="20"/>
          <w:szCs w:val="20"/>
        </w:rPr>
        <w:t>): Colonies that appeared on a solid XLD agar plate.</w:t>
      </w:r>
      <w:r>
        <w:rPr>
          <w:rFonts w:asciiTheme="majorBidi" w:hAnsiTheme="majorBidi" w:cstheme="majorBidi" w:hint="cs"/>
          <w:b/>
          <w:bCs/>
          <w:sz w:val="20"/>
          <w:szCs w:val="20"/>
          <w:rtl/>
        </w:rPr>
        <w:t xml:space="preserve"> </w:t>
      </w:r>
    </w:p>
    <w:p w14:paraId="709D4BE8" w14:textId="77777777" w:rsidR="00AD3C5A" w:rsidRDefault="00AD3C5A" w:rsidP="00AB4948">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5D75F7B8" w14:textId="77777777" w:rsidR="00AD3C5A" w:rsidRDefault="00AD3C5A" w:rsidP="00AD3C5A">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11AD3207" w14:textId="77777777" w:rsidR="00AB4948" w:rsidRDefault="00AB4948" w:rsidP="00AD3C5A">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r w:rsidRPr="00AB4948">
        <w:rPr>
          <w:rFonts w:ascii="Times New Roman" w:eastAsiaTheme="minorHAnsi" w:hAnsi="Times New Roman" w:cs="Times New Roman"/>
          <w:sz w:val="24"/>
          <w:szCs w:val="24"/>
          <w:lang w:val="en-US"/>
        </w:rPr>
        <w:lastRenderedPageBreak/>
        <w:t>Two (2) to three (3) representative isolates from each group were subjected to Gram staining, motility testing and a battery of biochemical tests including; oxidase, catalase, urease production, motility, manitol fermentation, sucrose fermentation, starch hydrolysis, H</w:t>
      </w:r>
      <w:r w:rsidRPr="00AB4948">
        <w:rPr>
          <w:rFonts w:ascii="Times New Roman" w:eastAsiaTheme="minorHAnsi" w:hAnsi="Times New Roman" w:cs="Times New Roman"/>
          <w:sz w:val="16"/>
          <w:szCs w:val="16"/>
          <w:lang w:val="en-US"/>
        </w:rPr>
        <w:t>2</w:t>
      </w:r>
      <w:r w:rsidRPr="00AB4948">
        <w:rPr>
          <w:rFonts w:ascii="Times New Roman" w:eastAsiaTheme="minorHAnsi" w:hAnsi="Times New Roman" w:cs="Times New Roman"/>
          <w:sz w:val="24"/>
          <w:szCs w:val="24"/>
          <w:lang w:val="en-US"/>
        </w:rPr>
        <w:t>S production and Gelatin test.</w:t>
      </w:r>
    </w:p>
    <w:p w14:paraId="3C64E466" w14:textId="77777777" w:rsidR="005F1058" w:rsidRDefault="005F1058" w:rsidP="005F1058">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059AFD31" w14:textId="77777777" w:rsidR="005F1058" w:rsidRPr="00220092" w:rsidRDefault="00220092" w:rsidP="006178B0">
      <w:pPr>
        <w:autoSpaceDE w:val="0"/>
        <w:autoSpaceDN w:val="0"/>
        <w:bidi w:val="0"/>
        <w:adjustRightInd w:val="0"/>
        <w:spacing w:after="0" w:line="240" w:lineRule="auto"/>
        <w:jc w:val="center"/>
        <w:rPr>
          <w:rFonts w:ascii="Times New Roman" w:eastAsiaTheme="minorHAnsi" w:hAnsi="Times New Roman" w:cs="Times New Roman"/>
          <w:sz w:val="20"/>
          <w:szCs w:val="20"/>
          <w:lang w:val="en-US"/>
        </w:rPr>
      </w:pPr>
      <w:r w:rsidRPr="00220092">
        <w:rPr>
          <w:rFonts w:ascii="Times New Roman" w:eastAsiaTheme="minorHAnsi" w:hAnsi="Times New Roman" w:cs="Times New Roman"/>
          <w:sz w:val="20"/>
          <w:szCs w:val="20"/>
          <w:lang w:val="en-US"/>
        </w:rPr>
        <w:t>Table 3: Summary of biochemical tests</w:t>
      </w:r>
    </w:p>
    <w:tbl>
      <w:tblPr>
        <w:tblStyle w:val="TableGrid"/>
        <w:tblW w:w="0" w:type="auto"/>
        <w:jc w:val="center"/>
        <w:tblLook w:val="04A0" w:firstRow="1" w:lastRow="0" w:firstColumn="1" w:lastColumn="0" w:noHBand="0" w:noVBand="1"/>
      </w:tblPr>
      <w:tblGrid>
        <w:gridCol w:w="1383"/>
        <w:gridCol w:w="693"/>
        <w:gridCol w:w="676"/>
        <w:gridCol w:w="677"/>
        <w:gridCol w:w="827"/>
        <w:gridCol w:w="827"/>
        <w:gridCol w:w="827"/>
        <w:gridCol w:w="683"/>
        <w:gridCol w:w="683"/>
      </w:tblGrid>
      <w:tr w:rsidR="00F10F6A" w:rsidRPr="00E75059" w14:paraId="1156BE28" w14:textId="77777777" w:rsidTr="006178B0">
        <w:trPr>
          <w:jc w:val="center"/>
        </w:trPr>
        <w:tc>
          <w:tcPr>
            <w:tcW w:w="1383" w:type="dxa"/>
            <w:vAlign w:val="center"/>
          </w:tcPr>
          <w:p w14:paraId="25EFF600" w14:textId="77777777" w:rsidR="00F10F6A" w:rsidRPr="00E75059" w:rsidRDefault="00F10F6A"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2046" w:type="dxa"/>
            <w:gridSpan w:val="3"/>
            <w:vAlign w:val="center"/>
          </w:tcPr>
          <w:p w14:paraId="01BD367F" w14:textId="77777777" w:rsidR="00F10F6A" w:rsidRPr="00F10F6A" w:rsidRDefault="00F10F6A"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F10F6A">
              <w:rPr>
                <w:rFonts w:ascii="Times New Roman" w:eastAsiaTheme="minorHAnsi" w:hAnsi="Times New Roman" w:cs="Times New Roman"/>
                <w:b/>
                <w:bCs/>
                <w:i/>
                <w:iCs/>
                <w:sz w:val="20"/>
                <w:szCs w:val="20"/>
                <w:lang w:val="en-US"/>
              </w:rPr>
              <w:t>Salmonella</w:t>
            </w:r>
          </w:p>
        </w:tc>
        <w:tc>
          <w:tcPr>
            <w:tcW w:w="2481" w:type="dxa"/>
            <w:gridSpan w:val="3"/>
            <w:vAlign w:val="center"/>
          </w:tcPr>
          <w:p w14:paraId="52E0471B" w14:textId="77777777" w:rsidR="00F10F6A" w:rsidRPr="00F10F6A" w:rsidRDefault="00F10F6A"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F10F6A">
              <w:rPr>
                <w:rFonts w:ascii="Times New Roman" w:eastAsiaTheme="minorHAnsi" w:hAnsi="Times New Roman" w:cs="Times New Roman"/>
                <w:b/>
                <w:bCs/>
                <w:i/>
                <w:iCs/>
                <w:sz w:val="20"/>
                <w:szCs w:val="20"/>
                <w:lang w:val="en-US"/>
              </w:rPr>
              <w:t>Shigella</w:t>
            </w:r>
          </w:p>
        </w:tc>
        <w:tc>
          <w:tcPr>
            <w:tcW w:w="1366" w:type="dxa"/>
            <w:gridSpan w:val="2"/>
            <w:vAlign w:val="center"/>
          </w:tcPr>
          <w:p w14:paraId="0114ADA8" w14:textId="77777777" w:rsidR="00F10F6A" w:rsidRPr="00584934" w:rsidRDefault="00584934"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584934">
              <w:rPr>
                <w:rFonts w:ascii="Times New Roman" w:eastAsiaTheme="minorHAnsi" w:hAnsi="Times New Roman" w:cs="Times New Roman"/>
                <w:b/>
                <w:bCs/>
                <w:i/>
                <w:iCs/>
                <w:sz w:val="20"/>
                <w:szCs w:val="20"/>
                <w:lang w:val="en-US"/>
              </w:rPr>
              <w:t>E. coli</w:t>
            </w:r>
          </w:p>
        </w:tc>
      </w:tr>
      <w:tr w:rsidR="00F557EB" w:rsidRPr="00E75059" w14:paraId="5E26F5F7" w14:textId="77777777" w:rsidTr="006178B0">
        <w:trPr>
          <w:jc w:val="center"/>
        </w:trPr>
        <w:tc>
          <w:tcPr>
            <w:tcW w:w="1383" w:type="dxa"/>
            <w:vAlign w:val="center"/>
          </w:tcPr>
          <w:p w14:paraId="47C9B9E2"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93" w:type="dxa"/>
            <w:vAlign w:val="center"/>
          </w:tcPr>
          <w:p w14:paraId="20ECDEAB"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676" w:type="dxa"/>
            <w:vAlign w:val="center"/>
          </w:tcPr>
          <w:p w14:paraId="3A2713E6"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c>
          <w:tcPr>
            <w:tcW w:w="677" w:type="dxa"/>
            <w:vAlign w:val="center"/>
          </w:tcPr>
          <w:p w14:paraId="083326DD"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3</w:t>
            </w:r>
          </w:p>
        </w:tc>
        <w:tc>
          <w:tcPr>
            <w:tcW w:w="827" w:type="dxa"/>
            <w:vAlign w:val="center"/>
          </w:tcPr>
          <w:p w14:paraId="2D66AAA1"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827" w:type="dxa"/>
            <w:vAlign w:val="center"/>
          </w:tcPr>
          <w:p w14:paraId="56AC9AC2"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c>
          <w:tcPr>
            <w:tcW w:w="827" w:type="dxa"/>
            <w:vAlign w:val="center"/>
          </w:tcPr>
          <w:p w14:paraId="36B9EE20"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3</w:t>
            </w:r>
          </w:p>
        </w:tc>
        <w:tc>
          <w:tcPr>
            <w:tcW w:w="683" w:type="dxa"/>
            <w:vAlign w:val="center"/>
          </w:tcPr>
          <w:p w14:paraId="15F11FD0"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683" w:type="dxa"/>
            <w:vAlign w:val="center"/>
          </w:tcPr>
          <w:p w14:paraId="5E5E2E66"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r>
      <w:tr w:rsidR="00B13440" w:rsidRPr="00E75059" w14:paraId="3F416617" w14:textId="77777777" w:rsidTr="006178B0">
        <w:trPr>
          <w:jc w:val="center"/>
        </w:trPr>
        <w:tc>
          <w:tcPr>
            <w:tcW w:w="1383" w:type="dxa"/>
            <w:vAlign w:val="center"/>
          </w:tcPr>
          <w:p w14:paraId="17B6E8B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Gram</w:t>
            </w:r>
            <w:r w:rsidR="00200CAE" w:rsidRPr="00E75059">
              <w:rPr>
                <w:rFonts w:ascii="Times New Roman" w:eastAsiaTheme="minorHAnsi" w:hAnsi="Times New Roman" w:cs="Times New Roman"/>
                <w:b/>
                <w:bCs/>
                <w:sz w:val="20"/>
                <w:szCs w:val="20"/>
                <w:lang w:val="en-US"/>
              </w:rPr>
              <w:t xml:space="preserve"> stain</w:t>
            </w:r>
          </w:p>
        </w:tc>
        <w:tc>
          <w:tcPr>
            <w:tcW w:w="693" w:type="dxa"/>
            <w:vAlign w:val="center"/>
          </w:tcPr>
          <w:p w14:paraId="5F096740" w14:textId="77777777" w:rsidR="00B13440"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06CAEEC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235EFD4"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A3E54B5" w14:textId="77777777" w:rsidR="00B13440" w:rsidRPr="00E75059" w:rsidRDefault="00584934"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827" w:type="dxa"/>
            <w:vAlign w:val="center"/>
          </w:tcPr>
          <w:p w14:paraId="2444828A"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50B95A"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AE3AE0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B971D08"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00CAE" w:rsidRPr="00E75059" w14:paraId="66EB262D" w14:textId="77777777" w:rsidTr="006178B0">
        <w:trPr>
          <w:jc w:val="center"/>
        </w:trPr>
        <w:tc>
          <w:tcPr>
            <w:tcW w:w="1383" w:type="dxa"/>
            <w:vAlign w:val="center"/>
          </w:tcPr>
          <w:p w14:paraId="4AF6644F"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Shape</w:t>
            </w:r>
          </w:p>
        </w:tc>
        <w:tc>
          <w:tcPr>
            <w:tcW w:w="693" w:type="dxa"/>
            <w:vAlign w:val="center"/>
          </w:tcPr>
          <w:p w14:paraId="69731060"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676" w:type="dxa"/>
            <w:vAlign w:val="center"/>
          </w:tcPr>
          <w:p w14:paraId="7E481F5E"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677" w:type="dxa"/>
            <w:vAlign w:val="center"/>
          </w:tcPr>
          <w:p w14:paraId="2FE859F4"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827" w:type="dxa"/>
            <w:vAlign w:val="center"/>
          </w:tcPr>
          <w:p w14:paraId="7FCFA267"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Slender bacilli</w:t>
            </w:r>
          </w:p>
        </w:tc>
        <w:tc>
          <w:tcPr>
            <w:tcW w:w="827" w:type="dxa"/>
            <w:vAlign w:val="center"/>
          </w:tcPr>
          <w:p w14:paraId="5B965588" w14:textId="77777777" w:rsidR="00200CAE" w:rsidRDefault="00200CAE" w:rsidP="00584934">
            <w:pPr>
              <w:jc w:val="center"/>
            </w:pPr>
            <w:r w:rsidRPr="00E13FF0">
              <w:rPr>
                <w:rFonts w:ascii="Times New Roman" w:eastAsiaTheme="minorHAnsi" w:hAnsi="Times New Roman" w:cs="Times New Roman"/>
                <w:sz w:val="20"/>
                <w:szCs w:val="20"/>
                <w:lang w:val="en-US"/>
              </w:rPr>
              <w:t>Slender bacilli</w:t>
            </w:r>
          </w:p>
        </w:tc>
        <w:tc>
          <w:tcPr>
            <w:tcW w:w="827" w:type="dxa"/>
            <w:vAlign w:val="center"/>
          </w:tcPr>
          <w:p w14:paraId="315C35DF" w14:textId="77777777" w:rsidR="00200CAE" w:rsidRDefault="00200CAE" w:rsidP="00584934">
            <w:pPr>
              <w:jc w:val="center"/>
            </w:pPr>
            <w:r w:rsidRPr="00E13FF0">
              <w:rPr>
                <w:rFonts w:ascii="Times New Roman" w:eastAsiaTheme="minorHAnsi" w:hAnsi="Times New Roman" w:cs="Times New Roman"/>
                <w:sz w:val="20"/>
                <w:szCs w:val="20"/>
                <w:lang w:val="en-US"/>
              </w:rPr>
              <w:t>Slender bacilli</w:t>
            </w:r>
          </w:p>
        </w:tc>
        <w:tc>
          <w:tcPr>
            <w:tcW w:w="683" w:type="dxa"/>
            <w:vAlign w:val="center"/>
          </w:tcPr>
          <w:p w14:paraId="398B8254"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Small rod</w:t>
            </w:r>
          </w:p>
        </w:tc>
        <w:tc>
          <w:tcPr>
            <w:tcW w:w="683" w:type="dxa"/>
            <w:vAlign w:val="center"/>
          </w:tcPr>
          <w:p w14:paraId="3813B3F2"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Small rod</w:t>
            </w:r>
          </w:p>
        </w:tc>
      </w:tr>
      <w:tr w:rsidR="00584934" w:rsidRPr="00E75059" w14:paraId="79602C1C" w14:textId="77777777" w:rsidTr="006178B0">
        <w:trPr>
          <w:jc w:val="center"/>
        </w:trPr>
        <w:tc>
          <w:tcPr>
            <w:tcW w:w="1383" w:type="dxa"/>
            <w:vAlign w:val="center"/>
          </w:tcPr>
          <w:p w14:paraId="66246F53" w14:textId="77777777" w:rsidR="00584934" w:rsidRPr="00E75059" w:rsidRDefault="00584934"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Catalase Production</w:t>
            </w:r>
          </w:p>
        </w:tc>
        <w:tc>
          <w:tcPr>
            <w:tcW w:w="693" w:type="dxa"/>
            <w:vAlign w:val="center"/>
          </w:tcPr>
          <w:p w14:paraId="1ECFC155"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2338AF39"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50A6F346"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FCFAEE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D75B20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73B95C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3EDC7F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541D0BF2"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B13440" w:rsidRPr="00E75059" w14:paraId="1FC38BDF" w14:textId="77777777" w:rsidTr="006178B0">
        <w:trPr>
          <w:jc w:val="center"/>
        </w:trPr>
        <w:tc>
          <w:tcPr>
            <w:tcW w:w="1383" w:type="dxa"/>
            <w:vAlign w:val="center"/>
          </w:tcPr>
          <w:p w14:paraId="79892F4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Oxidase</w:t>
            </w:r>
            <w:r w:rsidR="00E85301" w:rsidRPr="00E75059">
              <w:rPr>
                <w:rFonts w:ascii="Times New Roman" w:eastAsiaTheme="minorHAnsi" w:hAnsi="Times New Roman" w:cs="Times New Roman"/>
                <w:b/>
                <w:bCs/>
                <w:sz w:val="20"/>
                <w:szCs w:val="20"/>
                <w:lang w:val="en-US"/>
              </w:rPr>
              <w:t xml:space="preserve"> test</w:t>
            </w:r>
          </w:p>
        </w:tc>
        <w:tc>
          <w:tcPr>
            <w:tcW w:w="693" w:type="dxa"/>
            <w:vAlign w:val="center"/>
          </w:tcPr>
          <w:p w14:paraId="1EE76912" w14:textId="77777777" w:rsidR="00B13440" w:rsidRPr="00E75059" w:rsidRDefault="00F954A8"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2EB6ACE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1132FAC"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8189D98"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62AE53"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BC6ABC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FB7B97E"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4654015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F954A8" w:rsidRPr="00E75059" w14:paraId="659A06CA" w14:textId="77777777" w:rsidTr="006178B0">
        <w:trPr>
          <w:jc w:val="center"/>
        </w:trPr>
        <w:tc>
          <w:tcPr>
            <w:tcW w:w="1383" w:type="dxa"/>
            <w:vAlign w:val="center"/>
          </w:tcPr>
          <w:p w14:paraId="2BD99EC3" w14:textId="77777777" w:rsidR="00F954A8" w:rsidRPr="00E75059" w:rsidRDefault="00F954A8"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Urease production</w:t>
            </w:r>
          </w:p>
        </w:tc>
        <w:tc>
          <w:tcPr>
            <w:tcW w:w="693" w:type="dxa"/>
            <w:vAlign w:val="center"/>
          </w:tcPr>
          <w:p w14:paraId="56AC73E2"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30E68529"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168F4A7E"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2297A06"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827" w:type="dxa"/>
            <w:vAlign w:val="center"/>
          </w:tcPr>
          <w:p w14:paraId="5C3AFF23"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E5ABC14"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59EE275A"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20688A9A"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w:t>
            </w:r>
          </w:p>
        </w:tc>
      </w:tr>
      <w:tr w:rsidR="00B13440" w:rsidRPr="00E75059" w14:paraId="7415D68A" w14:textId="77777777" w:rsidTr="006178B0">
        <w:trPr>
          <w:jc w:val="center"/>
        </w:trPr>
        <w:tc>
          <w:tcPr>
            <w:tcW w:w="1383" w:type="dxa"/>
            <w:vAlign w:val="center"/>
          </w:tcPr>
          <w:p w14:paraId="6103733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93" w:type="dxa"/>
            <w:vAlign w:val="center"/>
          </w:tcPr>
          <w:p w14:paraId="5C67B3CF"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76" w:type="dxa"/>
            <w:vAlign w:val="center"/>
          </w:tcPr>
          <w:p w14:paraId="1169FA3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77" w:type="dxa"/>
            <w:vAlign w:val="center"/>
          </w:tcPr>
          <w:p w14:paraId="29B01C8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6442D15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7264D05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2099712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83" w:type="dxa"/>
            <w:vAlign w:val="center"/>
          </w:tcPr>
          <w:p w14:paraId="39959219"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sz w:val="20"/>
                <w:szCs w:val="20"/>
                <w:lang w:val="en-US"/>
              </w:rPr>
            </w:pPr>
          </w:p>
        </w:tc>
        <w:tc>
          <w:tcPr>
            <w:tcW w:w="683" w:type="dxa"/>
            <w:vAlign w:val="center"/>
          </w:tcPr>
          <w:p w14:paraId="3A1288C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sz w:val="20"/>
                <w:szCs w:val="20"/>
                <w:lang w:val="en-US"/>
              </w:rPr>
            </w:pPr>
          </w:p>
        </w:tc>
      </w:tr>
      <w:tr w:rsidR="00B13440" w:rsidRPr="00E75059" w14:paraId="1A844AB8" w14:textId="77777777" w:rsidTr="006178B0">
        <w:trPr>
          <w:jc w:val="center"/>
        </w:trPr>
        <w:tc>
          <w:tcPr>
            <w:tcW w:w="1383" w:type="dxa"/>
            <w:vAlign w:val="center"/>
          </w:tcPr>
          <w:p w14:paraId="04D4585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Motility</w:t>
            </w:r>
            <w:r w:rsidR="00E85301" w:rsidRPr="00E75059">
              <w:rPr>
                <w:rFonts w:ascii="Times New Roman" w:eastAsiaTheme="minorHAnsi" w:hAnsi="Times New Roman" w:cs="Times New Roman"/>
                <w:b/>
                <w:bCs/>
                <w:sz w:val="20"/>
                <w:szCs w:val="20"/>
                <w:lang w:val="en-US"/>
              </w:rPr>
              <w:t xml:space="preserve"> test</w:t>
            </w:r>
          </w:p>
        </w:tc>
        <w:tc>
          <w:tcPr>
            <w:tcW w:w="693" w:type="dxa"/>
            <w:vAlign w:val="center"/>
          </w:tcPr>
          <w:p w14:paraId="614D7371" w14:textId="77777777" w:rsidR="00B13440"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7352A99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4540E324"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6556BB7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B628079"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CE77D4C"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7BE9031" w14:textId="77777777" w:rsidR="00B13440"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64AEA1DB"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3C241B" w:rsidRPr="00E75059" w14:paraId="379DEB7C" w14:textId="77777777" w:rsidTr="006178B0">
        <w:trPr>
          <w:jc w:val="center"/>
        </w:trPr>
        <w:tc>
          <w:tcPr>
            <w:tcW w:w="1383" w:type="dxa"/>
            <w:vAlign w:val="center"/>
          </w:tcPr>
          <w:p w14:paraId="6033277E" w14:textId="77777777" w:rsidR="003C241B"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Manitol Fermentation</w:t>
            </w:r>
          </w:p>
        </w:tc>
        <w:tc>
          <w:tcPr>
            <w:tcW w:w="693" w:type="dxa"/>
            <w:vAlign w:val="center"/>
          </w:tcPr>
          <w:p w14:paraId="257F04E3"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14EB3276"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1DFBA2F9"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9A7F695"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BABA0F3"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24A568E"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8E75BFB"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EC07037"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46921" w:rsidRPr="00E75059" w14:paraId="60E536FD" w14:textId="77777777" w:rsidTr="006178B0">
        <w:trPr>
          <w:jc w:val="center"/>
        </w:trPr>
        <w:tc>
          <w:tcPr>
            <w:tcW w:w="1383" w:type="dxa"/>
            <w:vAlign w:val="center"/>
          </w:tcPr>
          <w:p w14:paraId="405FD77A" w14:textId="77777777" w:rsidR="00246921" w:rsidRPr="00E75059" w:rsidRDefault="00246921"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Sucrose Fermentation</w:t>
            </w:r>
          </w:p>
        </w:tc>
        <w:tc>
          <w:tcPr>
            <w:tcW w:w="693" w:type="dxa"/>
            <w:vAlign w:val="center"/>
          </w:tcPr>
          <w:p w14:paraId="37DA3E95"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4A9FBD1C"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6D26B2FC"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0AD6942"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7ABB842"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1C8870F"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4F20993"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4663AAA"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46921" w:rsidRPr="00E75059" w14:paraId="4D3FEFC5" w14:textId="77777777" w:rsidTr="006178B0">
        <w:trPr>
          <w:jc w:val="center"/>
        </w:trPr>
        <w:tc>
          <w:tcPr>
            <w:tcW w:w="1383" w:type="dxa"/>
            <w:vAlign w:val="center"/>
          </w:tcPr>
          <w:p w14:paraId="547B80B2" w14:textId="77777777" w:rsidR="00246921" w:rsidRPr="00E75059" w:rsidRDefault="00246921"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Starch hydrolysis</w:t>
            </w:r>
          </w:p>
        </w:tc>
        <w:tc>
          <w:tcPr>
            <w:tcW w:w="693" w:type="dxa"/>
            <w:vAlign w:val="center"/>
          </w:tcPr>
          <w:p w14:paraId="2104FF03"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57B7E177"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44518818"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6DECFD9"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CD8641E"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48593CA"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3836B67"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33BBF8AE"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92650E" w:rsidRPr="00E75059" w14:paraId="6D7910B3" w14:textId="77777777" w:rsidTr="006178B0">
        <w:trPr>
          <w:jc w:val="center"/>
        </w:trPr>
        <w:tc>
          <w:tcPr>
            <w:tcW w:w="1383" w:type="dxa"/>
            <w:vAlign w:val="center"/>
          </w:tcPr>
          <w:p w14:paraId="28DE3A20"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H</w:t>
            </w:r>
            <w:r w:rsidRPr="00E75059">
              <w:rPr>
                <w:rFonts w:ascii="Times New Roman" w:eastAsiaTheme="minorHAnsi" w:hAnsi="Times New Roman" w:cs="Times New Roman"/>
                <w:b/>
                <w:bCs/>
                <w:sz w:val="13"/>
                <w:szCs w:val="13"/>
                <w:lang w:val="en-US"/>
              </w:rPr>
              <w:t>2</w:t>
            </w:r>
            <w:r w:rsidRPr="00E75059">
              <w:rPr>
                <w:rFonts w:ascii="Times New Roman" w:eastAsiaTheme="minorHAnsi" w:hAnsi="Times New Roman" w:cs="Times New Roman"/>
                <w:b/>
                <w:bCs/>
                <w:sz w:val="20"/>
                <w:szCs w:val="20"/>
                <w:lang w:val="en-US"/>
              </w:rPr>
              <w:t>S production</w:t>
            </w:r>
          </w:p>
        </w:tc>
        <w:tc>
          <w:tcPr>
            <w:tcW w:w="693" w:type="dxa"/>
            <w:vAlign w:val="center"/>
          </w:tcPr>
          <w:p w14:paraId="7068A421"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796D8344"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7951BC83"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FB9F4AF"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BECCA99"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6250E13"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4699B51C"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1C5D495"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92650E" w:rsidRPr="00E75059" w14:paraId="43F8D2D4" w14:textId="77777777" w:rsidTr="006178B0">
        <w:trPr>
          <w:jc w:val="center"/>
        </w:trPr>
        <w:tc>
          <w:tcPr>
            <w:tcW w:w="1383" w:type="dxa"/>
            <w:vAlign w:val="center"/>
          </w:tcPr>
          <w:p w14:paraId="5882822F"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Gelatin test</w:t>
            </w:r>
          </w:p>
        </w:tc>
        <w:tc>
          <w:tcPr>
            <w:tcW w:w="693" w:type="dxa"/>
            <w:vAlign w:val="center"/>
          </w:tcPr>
          <w:p w14:paraId="21C93924"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3FA1DB6A"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F6B5A55"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4754D24"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1D24E2"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01CE4E4"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2F85E329"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3E6857B0"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bl>
    <w:p w14:paraId="3BBCEB54" w14:textId="77777777" w:rsidR="005F1058" w:rsidRDefault="005F1058" w:rsidP="006178B0">
      <w:pPr>
        <w:autoSpaceDE w:val="0"/>
        <w:autoSpaceDN w:val="0"/>
        <w:bidi w:val="0"/>
        <w:adjustRightInd w:val="0"/>
        <w:spacing w:after="0" w:line="240" w:lineRule="auto"/>
        <w:ind w:left="360"/>
        <w:jc w:val="center"/>
        <w:rPr>
          <w:rFonts w:ascii="Times New Roman" w:eastAsiaTheme="minorHAnsi" w:hAnsi="Times New Roman" w:cs="Times New Roman"/>
          <w:sz w:val="24"/>
          <w:szCs w:val="24"/>
          <w:lang w:val="en-US"/>
        </w:rPr>
      </w:pPr>
      <w:r>
        <w:rPr>
          <w:rFonts w:ascii="Times New Roman" w:eastAsiaTheme="minorHAnsi" w:hAnsi="Times New Roman" w:cs="Times New Roman"/>
          <w:b/>
          <w:bCs/>
          <w:sz w:val="20"/>
          <w:szCs w:val="20"/>
          <w:lang w:val="en-US"/>
        </w:rPr>
        <w:t>+: Positive,</w:t>
      </w:r>
      <w:r w:rsidR="006178B0">
        <w:rPr>
          <w:rFonts w:ascii="Times New Roman" w:eastAsiaTheme="minorHAnsi" w:hAnsi="Times New Roman" w:cs="Times New Roman"/>
          <w:b/>
          <w:bCs/>
          <w:sz w:val="20"/>
          <w:szCs w:val="20"/>
          <w:lang w:val="en-US"/>
        </w:rPr>
        <w:t xml:space="preserve">   </w:t>
      </w:r>
      <w:r>
        <w:rPr>
          <w:rFonts w:ascii="Times New Roman" w:eastAsiaTheme="minorHAnsi" w:hAnsi="Times New Roman" w:cs="Times New Roman"/>
          <w:b/>
          <w:bCs/>
          <w:sz w:val="20"/>
          <w:szCs w:val="20"/>
          <w:lang w:val="en-US"/>
        </w:rPr>
        <w:t>-: negative</w:t>
      </w:r>
    </w:p>
    <w:p w14:paraId="6E89B636" w14:textId="7ED30398" w:rsidR="005C4C54" w:rsidRPr="005C4C54" w:rsidRDefault="005C4C54" w:rsidP="00B7730C">
      <w:pPr>
        <w:bidi w:val="0"/>
        <w:spacing w:before="100" w:beforeAutospacing="1" w:after="100" w:afterAutospacing="1" w:line="240" w:lineRule="auto"/>
        <w:jc w:val="both"/>
        <w:rPr>
          <w:rFonts w:asciiTheme="majorBidi" w:hAnsiTheme="majorBidi" w:cstheme="majorBidi"/>
          <w:sz w:val="24"/>
          <w:szCs w:val="24"/>
          <w:lang w:val="en-US" w:bidi="ar-SY"/>
        </w:rPr>
      </w:pPr>
      <w:r w:rsidRPr="005C4C54">
        <w:rPr>
          <w:rFonts w:asciiTheme="majorBidi" w:hAnsiTheme="majorBidi" w:cstheme="majorBidi"/>
          <w:sz w:val="24"/>
          <w:szCs w:val="24"/>
          <w:lang w:val="en-US" w:bidi="ar-SY"/>
        </w:rPr>
        <w:t xml:space="preserve">Fish are highly nutritious, easily digestible, and low in calories and saturated fat, unlike red meat and poultry. They are among the most important sources of unsaturated fats, specifically long-chain fatty acids, which are harmless and cannot be synthesized by the human body (Bener </w:t>
      </w:r>
      <w:r w:rsidRPr="008A67D2">
        <w:rPr>
          <w:rFonts w:asciiTheme="majorBidi" w:hAnsiTheme="majorBidi" w:cstheme="majorBidi"/>
          <w:i/>
          <w:iCs/>
          <w:sz w:val="24"/>
          <w:szCs w:val="24"/>
          <w:lang w:val="en-US" w:bidi="ar-SY"/>
        </w:rPr>
        <w:t>et al</w:t>
      </w:r>
      <w:r w:rsidRPr="005C4C54">
        <w:rPr>
          <w:rFonts w:asciiTheme="majorBidi" w:hAnsiTheme="majorBidi" w:cstheme="majorBidi"/>
          <w:sz w:val="24"/>
          <w:szCs w:val="24"/>
          <w:lang w:val="en-US" w:bidi="ar-SY"/>
        </w:rPr>
        <w:t xml:space="preserve">., 2009; Colangelo </w:t>
      </w:r>
      <w:r w:rsidRPr="008A67D2">
        <w:rPr>
          <w:rFonts w:asciiTheme="majorBidi" w:hAnsiTheme="majorBidi" w:cstheme="majorBidi"/>
          <w:i/>
          <w:iCs/>
          <w:sz w:val="24"/>
          <w:szCs w:val="24"/>
          <w:lang w:val="en-US" w:bidi="ar-SY"/>
        </w:rPr>
        <w:t>et al.</w:t>
      </w:r>
      <w:r w:rsidRPr="005C4C54">
        <w:rPr>
          <w:rFonts w:asciiTheme="majorBidi" w:hAnsiTheme="majorBidi" w:cstheme="majorBidi"/>
          <w:sz w:val="24"/>
          <w:szCs w:val="24"/>
          <w:lang w:val="en-US" w:bidi="ar-SY"/>
        </w:rPr>
        <w:t>, 2009; Taşbozan &amp; Gökçe, 2017).</w:t>
      </w:r>
    </w:p>
    <w:p w14:paraId="34203692" w14:textId="77777777" w:rsidR="00C42918" w:rsidRDefault="00C42918" w:rsidP="00C42918">
      <w:pPr>
        <w:bidi w:val="0"/>
        <w:spacing w:before="100" w:beforeAutospacing="1" w:after="100" w:afterAutospacing="1" w:line="240" w:lineRule="auto"/>
        <w:jc w:val="both"/>
        <w:rPr>
          <w:rFonts w:asciiTheme="majorBidi" w:hAnsiTheme="majorBidi" w:cstheme="majorBidi"/>
          <w:sz w:val="24"/>
          <w:szCs w:val="24"/>
          <w:lang w:val="en-US" w:bidi="ar-SY"/>
        </w:rPr>
      </w:pPr>
      <w:r w:rsidRPr="005C4C54">
        <w:rPr>
          <w:rFonts w:asciiTheme="majorBidi" w:hAnsiTheme="majorBidi" w:cstheme="majorBidi"/>
          <w:sz w:val="24"/>
          <w:szCs w:val="24"/>
          <w:lang w:val="en-US" w:bidi="ar-SY"/>
        </w:rPr>
        <w:t xml:space="preserve">The results of the </w:t>
      </w:r>
      <w:r w:rsidRPr="00E3344C">
        <w:rPr>
          <w:rFonts w:asciiTheme="majorBidi" w:hAnsiTheme="majorBidi" w:cstheme="majorBidi"/>
          <w:lang w:val="en-US" w:bidi="ar-SY"/>
        </w:rPr>
        <w:t>total aerobic plate count</w:t>
      </w:r>
      <w:r>
        <w:rPr>
          <w:rFonts w:asciiTheme="majorBidi" w:hAnsiTheme="majorBidi" w:cstheme="majorBidi"/>
          <w:sz w:val="24"/>
          <w:szCs w:val="24"/>
          <w:lang w:val="en-US" w:bidi="ar-SY"/>
        </w:rPr>
        <w:t xml:space="preserve"> </w:t>
      </w:r>
      <w:r w:rsidRPr="005C4C54">
        <w:rPr>
          <w:rFonts w:asciiTheme="majorBidi" w:hAnsiTheme="majorBidi" w:cstheme="majorBidi"/>
          <w:sz w:val="24"/>
          <w:szCs w:val="24"/>
          <w:lang w:val="en-US" w:bidi="ar-SY"/>
        </w:rPr>
        <w:t xml:space="preserve">showed that </w:t>
      </w:r>
      <w:r w:rsidRPr="00E3344C">
        <w:rPr>
          <w:rFonts w:asciiTheme="majorBidi" w:hAnsiTheme="majorBidi" w:cstheme="majorBidi"/>
          <w:sz w:val="24"/>
          <w:szCs w:val="24"/>
          <w:lang w:val="en-US" w:bidi="ar-SY"/>
        </w:rPr>
        <w:t>The proximity of Tartous Corniche to sewage discharge explains the increased bacterial counts relative to Basira</w:t>
      </w:r>
      <w:r w:rsidRPr="005C4C54">
        <w:rPr>
          <w:rFonts w:asciiTheme="majorBidi" w:hAnsiTheme="majorBidi" w:cstheme="majorBidi"/>
          <w:sz w:val="24"/>
          <w:szCs w:val="24"/>
          <w:lang w:val="en-US" w:bidi="ar-SY"/>
        </w:rPr>
        <w:t xml:space="preserve">, as there are many organic materials that these microbes use for nutrition (Kumar </w:t>
      </w:r>
      <w:r w:rsidRPr="008A67D2">
        <w:rPr>
          <w:rFonts w:asciiTheme="majorBidi" w:hAnsiTheme="majorBidi" w:cstheme="majorBidi"/>
          <w:i/>
          <w:iCs/>
          <w:sz w:val="24"/>
          <w:szCs w:val="24"/>
          <w:lang w:val="en-US" w:bidi="ar-SY"/>
        </w:rPr>
        <w:t>et al</w:t>
      </w:r>
      <w:r w:rsidRPr="005C4C54">
        <w:rPr>
          <w:rFonts w:asciiTheme="majorBidi" w:hAnsiTheme="majorBidi" w:cstheme="majorBidi"/>
          <w:sz w:val="24"/>
          <w:szCs w:val="24"/>
          <w:lang w:val="en-US" w:bidi="ar-SY"/>
        </w:rPr>
        <w:t>., 2023).</w:t>
      </w:r>
    </w:p>
    <w:p w14:paraId="52DA49BE" w14:textId="77777777" w:rsidR="005C4C54" w:rsidRPr="005C4C54" w:rsidRDefault="00305E16" w:rsidP="00D326AF">
      <w:pPr>
        <w:bidi w:val="0"/>
        <w:spacing w:before="100" w:beforeAutospacing="1" w:after="100" w:afterAutospacing="1" w:line="240" w:lineRule="auto"/>
        <w:jc w:val="both"/>
        <w:rPr>
          <w:rFonts w:asciiTheme="majorBidi" w:hAnsiTheme="majorBidi" w:cstheme="majorBidi"/>
          <w:sz w:val="24"/>
          <w:szCs w:val="24"/>
          <w:lang w:val="en-US" w:bidi="ar-SY"/>
        </w:rPr>
      </w:pPr>
      <w:r w:rsidRPr="00305E16">
        <w:rPr>
          <w:rFonts w:asciiTheme="majorBidi" w:hAnsiTheme="majorBidi" w:cstheme="majorBidi"/>
          <w:sz w:val="24"/>
          <w:szCs w:val="24"/>
          <w:lang w:val="en-US" w:bidi="ar-SY"/>
        </w:rPr>
        <w:t>Microbial loads were significantly influenced by environmental conditions,</w:t>
      </w:r>
      <w:r w:rsidR="005A7C17">
        <w:rPr>
          <w:rFonts w:asciiTheme="majorBidi" w:hAnsiTheme="majorBidi" w:cstheme="majorBidi"/>
          <w:sz w:val="24"/>
          <w:szCs w:val="24"/>
          <w:lang w:val="en-US" w:bidi="ar-SY"/>
        </w:rPr>
        <w:t xml:space="preserve"> and the fishing season</w:t>
      </w:r>
      <w:r w:rsidR="0071008A">
        <w:t xml:space="preserve">, </w:t>
      </w:r>
      <w:r w:rsidR="0071008A" w:rsidRPr="0003765B">
        <w:rPr>
          <w:rFonts w:asciiTheme="majorBidi" w:hAnsiTheme="majorBidi" w:cstheme="majorBidi"/>
          <w:sz w:val="24"/>
          <w:szCs w:val="24"/>
          <w:lang w:val="en-US" w:bidi="ar-SY"/>
        </w:rPr>
        <w:t>with higher temperatures promoting bacterial growth during summer</w:t>
      </w:r>
      <w:r w:rsidR="007C7812">
        <w:rPr>
          <w:rFonts w:asciiTheme="majorBidi" w:hAnsiTheme="majorBidi" w:cstheme="majorBidi"/>
          <w:sz w:val="24"/>
          <w:szCs w:val="24"/>
          <w:lang w:bidi="ar-SY"/>
        </w:rPr>
        <w:t xml:space="preserve"> </w:t>
      </w:r>
      <w:r w:rsidR="00AD37FC" w:rsidRPr="005C4C54">
        <w:rPr>
          <w:rFonts w:asciiTheme="majorBidi" w:hAnsiTheme="majorBidi" w:cstheme="majorBidi"/>
          <w:sz w:val="24"/>
          <w:szCs w:val="24"/>
          <w:lang w:val="en-US" w:bidi="ar-SY"/>
        </w:rPr>
        <w:t xml:space="preserve">(Baixas </w:t>
      </w:r>
      <w:r w:rsidR="00AD37FC" w:rsidRPr="008A67D2">
        <w:rPr>
          <w:rFonts w:asciiTheme="majorBidi" w:hAnsiTheme="majorBidi" w:cstheme="majorBidi"/>
          <w:i/>
          <w:iCs/>
          <w:sz w:val="24"/>
          <w:szCs w:val="24"/>
          <w:lang w:val="en-US" w:bidi="ar-SY"/>
        </w:rPr>
        <w:t>et al</w:t>
      </w:r>
      <w:r w:rsidR="00AD37FC" w:rsidRPr="005C4C54">
        <w:rPr>
          <w:rFonts w:asciiTheme="majorBidi" w:hAnsiTheme="majorBidi" w:cstheme="majorBidi"/>
          <w:sz w:val="24"/>
          <w:szCs w:val="24"/>
          <w:lang w:val="en-US" w:bidi="ar-SY"/>
        </w:rPr>
        <w:t>., 2009</w:t>
      </w:r>
      <w:r w:rsidR="000D061D">
        <w:rPr>
          <w:rFonts w:asciiTheme="majorBidi" w:hAnsiTheme="majorBidi" w:cstheme="majorBidi"/>
          <w:sz w:val="24"/>
          <w:szCs w:val="24"/>
          <w:lang w:val="en-US" w:bidi="ar-SY"/>
        </w:rPr>
        <w:t>;</w:t>
      </w:r>
      <w:r w:rsidR="000D061D" w:rsidRPr="007C7812">
        <w:rPr>
          <w:rFonts w:asciiTheme="majorBidi" w:hAnsiTheme="majorBidi" w:cstheme="majorBidi"/>
          <w:sz w:val="24"/>
          <w:szCs w:val="24"/>
          <w:lang w:val="en-US" w:bidi="ar-SY"/>
        </w:rPr>
        <w:t xml:space="preserve"> </w:t>
      </w:r>
      <w:r w:rsidR="000D061D" w:rsidRPr="005C4C54">
        <w:rPr>
          <w:rFonts w:asciiTheme="majorBidi" w:hAnsiTheme="majorBidi" w:cstheme="majorBidi"/>
          <w:sz w:val="24"/>
          <w:szCs w:val="24"/>
          <w:lang w:val="en-US" w:bidi="ar-SY"/>
        </w:rPr>
        <w:t>Ikape, 2017</w:t>
      </w:r>
      <w:r w:rsidR="00AD37FC" w:rsidRPr="005C4C54">
        <w:rPr>
          <w:rFonts w:asciiTheme="majorBidi" w:hAnsiTheme="majorBidi" w:cstheme="majorBidi"/>
          <w:sz w:val="24"/>
          <w:szCs w:val="24"/>
          <w:lang w:val="en-US" w:bidi="ar-SY"/>
        </w:rPr>
        <w:t xml:space="preserve">; Ali </w:t>
      </w:r>
      <w:r w:rsidR="00AD37FC" w:rsidRPr="008A67D2">
        <w:rPr>
          <w:rFonts w:asciiTheme="majorBidi" w:hAnsiTheme="majorBidi" w:cstheme="majorBidi"/>
          <w:i/>
          <w:iCs/>
          <w:sz w:val="24"/>
          <w:szCs w:val="24"/>
          <w:lang w:val="en-US" w:bidi="ar-SY"/>
        </w:rPr>
        <w:t>et al</w:t>
      </w:r>
      <w:r w:rsidR="00AD37FC" w:rsidRPr="005C4C54">
        <w:rPr>
          <w:rFonts w:asciiTheme="majorBidi" w:hAnsiTheme="majorBidi" w:cstheme="majorBidi"/>
          <w:sz w:val="24"/>
          <w:szCs w:val="24"/>
          <w:lang w:val="en-US" w:bidi="ar-SY"/>
        </w:rPr>
        <w:t>., 2021)</w:t>
      </w:r>
      <w:r w:rsidR="0071008A">
        <w:t>.</w:t>
      </w:r>
      <w:r w:rsidR="005C4C54" w:rsidRPr="005C4C54">
        <w:rPr>
          <w:rFonts w:asciiTheme="majorBidi" w:hAnsiTheme="majorBidi" w:cstheme="majorBidi"/>
          <w:sz w:val="24"/>
          <w:szCs w:val="24"/>
          <w:lang w:val="en-US" w:bidi="ar-SY"/>
        </w:rPr>
        <w:t xml:space="preserve"> </w:t>
      </w:r>
      <w:r w:rsidR="002B0024" w:rsidRPr="005C4C54">
        <w:rPr>
          <w:rFonts w:asciiTheme="majorBidi" w:hAnsiTheme="majorBidi" w:cstheme="majorBidi"/>
          <w:sz w:val="24"/>
          <w:szCs w:val="24"/>
          <w:lang w:val="en-US" w:bidi="ar-SY"/>
        </w:rPr>
        <w:t>Therefore, fish are kept at a low temperature immediately after caught (Mohammed &amp; Hamid, 2011; Sikorski, 2020).</w:t>
      </w:r>
      <w:r w:rsidR="0056560B">
        <w:rPr>
          <w:rFonts w:asciiTheme="majorBidi" w:hAnsiTheme="majorBidi" w:cstheme="majorBidi"/>
          <w:sz w:val="24"/>
          <w:szCs w:val="24"/>
          <w:lang w:val="en-US" w:bidi="ar-SY"/>
        </w:rPr>
        <w:t xml:space="preserve"> </w:t>
      </w:r>
      <w:r w:rsidR="005C4C54" w:rsidRPr="005C4C54">
        <w:rPr>
          <w:rFonts w:asciiTheme="majorBidi" w:hAnsiTheme="majorBidi" w:cstheme="majorBidi"/>
          <w:sz w:val="24"/>
          <w:szCs w:val="24"/>
          <w:lang w:val="en-US" w:bidi="ar-SY"/>
        </w:rPr>
        <w:t>This affects the transport of nutrients into and out of the cell, which in turn reduces cellular metabolic activity and inhibits microbial growth. Consequently, this delays the chemical and physical changes that may occur in the fish due to microbial activity, thus improving their preservation. In good condition for a longer period of time (</w:t>
      </w:r>
      <w:r w:rsidR="00D327B6" w:rsidRPr="005C4C54">
        <w:rPr>
          <w:rFonts w:asciiTheme="majorBidi" w:hAnsiTheme="majorBidi" w:cstheme="majorBidi"/>
          <w:sz w:val="24"/>
          <w:szCs w:val="24"/>
          <w:lang w:val="en-US" w:bidi="ar-SY"/>
        </w:rPr>
        <w:t xml:space="preserve">Kilinc </w:t>
      </w:r>
      <w:r w:rsidR="00D327B6" w:rsidRPr="00680348">
        <w:rPr>
          <w:rFonts w:asciiTheme="majorBidi" w:hAnsiTheme="majorBidi" w:cstheme="majorBidi"/>
          <w:i/>
          <w:iCs/>
          <w:sz w:val="24"/>
          <w:szCs w:val="24"/>
          <w:lang w:val="en-US" w:bidi="ar-SY"/>
        </w:rPr>
        <w:t>et al</w:t>
      </w:r>
      <w:r w:rsidR="00D327B6" w:rsidRPr="005C4C54">
        <w:rPr>
          <w:rFonts w:asciiTheme="majorBidi" w:hAnsiTheme="majorBidi" w:cstheme="majorBidi"/>
          <w:sz w:val="24"/>
          <w:szCs w:val="24"/>
          <w:lang w:val="en-US" w:bidi="ar-SY"/>
        </w:rPr>
        <w:t>., 2007</w:t>
      </w:r>
      <w:r w:rsidR="00D327B6">
        <w:rPr>
          <w:rFonts w:asciiTheme="majorBidi" w:hAnsiTheme="majorBidi" w:cstheme="majorBidi"/>
          <w:sz w:val="24"/>
          <w:szCs w:val="24"/>
          <w:lang w:val="en-US" w:bidi="ar-SY"/>
        </w:rPr>
        <w:t xml:space="preserve">; </w:t>
      </w:r>
      <w:r w:rsidR="005C4C54" w:rsidRPr="005C4C54">
        <w:rPr>
          <w:rFonts w:asciiTheme="majorBidi" w:hAnsiTheme="majorBidi" w:cstheme="majorBidi"/>
          <w:sz w:val="24"/>
          <w:szCs w:val="24"/>
          <w:lang w:val="en-US" w:bidi="ar-SY"/>
        </w:rPr>
        <w:t xml:space="preserve">Álvarez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2008; Foteini and Leblanc </w:t>
      </w:r>
      <w:r w:rsidR="005C4C54" w:rsidRPr="001C37FD">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2015). In addition to the effect of the dissolved oxygen level in the water, which microbes need for their functions and the decomposition of organic matter, the type of fish, its health and physiological condition, and the nets used in fishing may all play a role in the presence of microbes. The fish's feeding pattern may also be a factor (Rahman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2010), as these microbes travel to the intestines and reach various tissues via the bloodstream, including fleshy tissue (Sikorski </w:t>
      </w:r>
      <w:r w:rsidR="005C4C54" w:rsidRPr="001C37FD">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2020; Zheng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2023). </w:t>
      </w:r>
    </w:p>
    <w:p w14:paraId="1B4BDB89" w14:textId="77777777" w:rsidR="000D061D" w:rsidRPr="00593B43" w:rsidRDefault="00F875B4" w:rsidP="00F875B4">
      <w:pPr>
        <w:bidi w:val="0"/>
        <w:jc w:val="both"/>
        <w:rPr>
          <w:rFonts w:asciiTheme="majorBidi" w:hAnsiTheme="majorBidi" w:cstheme="majorBidi"/>
          <w:sz w:val="24"/>
          <w:szCs w:val="24"/>
          <w:lang w:val="en-US" w:bidi="ar-SY"/>
        </w:rPr>
      </w:pPr>
      <w:r w:rsidRPr="00F875B4">
        <w:rPr>
          <w:rFonts w:asciiTheme="majorBidi" w:hAnsiTheme="majorBidi" w:cstheme="majorBidi"/>
          <w:sz w:val="24"/>
          <w:szCs w:val="24"/>
          <w:lang w:val="en-US" w:bidi="ar-SY"/>
        </w:rPr>
        <w:lastRenderedPageBreak/>
        <w:t>The isolation of Salmonella, Shigella, and E.coli indicate faecal and environmental pollution (Yagoub,</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2009). Salmonella has been considered the causal agent of the largest</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number of enteric infections in the world (Bell and Kyriakides, 2002). The organism E. coli is recognized as the reliable indicator of faecal contamination in small</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numbers and in large numbers (Ezeet al., 2011) This was attributed to the heavy load of sewage disposal into the seas which could act as a suitable</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environment for the growth and survival of the human pathogens.</w:t>
      </w:r>
      <w:r>
        <w:rPr>
          <w:rFonts w:asciiTheme="majorBidi" w:hAnsiTheme="majorBidi" w:cstheme="majorBidi"/>
          <w:sz w:val="24"/>
          <w:szCs w:val="24"/>
          <w:lang w:val="en-US" w:bidi="ar-SY"/>
        </w:rPr>
        <w:t xml:space="preserve"> </w:t>
      </w:r>
      <w:r w:rsidR="000D061D" w:rsidRPr="00593B43">
        <w:rPr>
          <w:rFonts w:asciiTheme="majorBidi" w:hAnsiTheme="majorBidi" w:cstheme="majorBidi"/>
          <w:sz w:val="24"/>
          <w:szCs w:val="24"/>
          <w:lang w:val="en-US" w:bidi="ar-SY"/>
        </w:rPr>
        <w:t>The levels of pathogenic microorganisms detected, although within acceptable limits, highlight the need for ongoing monitoring, especially in areas close to pollution sources.</w:t>
      </w:r>
    </w:p>
    <w:p w14:paraId="4831E49F" w14:textId="77777777" w:rsidR="00801BDA" w:rsidRDefault="00593B43" w:rsidP="00593B43">
      <w:pPr>
        <w:pStyle w:val="ListParagraph"/>
        <w:numPr>
          <w:ilvl w:val="0"/>
          <w:numId w:val="15"/>
        </w:numPr>
        <w:bidi w:val="0"/>
        <w:spacing w:before="100" w:beforeAutospacing="1" w:after="100" w:afterAutospacing="1" w:line="240" w:lineRule="auto"/>
        <w:jc w:val="both"/>
        <w:rPr>
          <w:rFonts w:asciiTheme="majorBidi" w:hAnsiTheme="majorBidi" w:cstheme="majorBidi"/>
          <w:b/>
          <w:bCs/>
          <w:sz w:val="24"/>
          <w:szCs w:val="24"/>
          <w:lang w:bidi="ar-SY"/>
        </w:rPr>
      </w:pPr>
      <w:r w:rsidRPr="00593B43">
        <w:rPr>
          <w:rFonts w:asciiTheme="majorBidi" w:hAnsiTheme="majorBidi" w:cstheme="majorBidi"/>
          <w:b/>
          <w:bCs/>
          <w:sz w:val="24"/>
          <w:szCs w:val="24"/>
          <w:lang w:bidi="ar-SY"/>
        </w:rPr>
        <w:t>Conclusion and Recommendations</w:t>
      </w:r>
    </w:p>
    <w:p w14:paraId="3D1C7709" w14:textId="5B29A9E7" w:rsidR="00593B43" w:rsidRDefault="00593B43" w:rsidP="00593B43">
      <w:pPr>
        <w:bidi w:val="0"/>
        <w:jc w:val="both"/>
        <w:rPr>
          <w:rFonts w:asciiTheme="majorBidi" w:hAnsiTheme="majorBidi" w:cstheme="majorBidi"/>
          <w:sz w:val="24"/>
          <w:szCs w:val="24"/>
          <w:lang w:val="en-US" w:bidi="ar-SY"/>
        </w:rPr>
      </w:pPr>
      <w:r w:rsidRPr="00593B43">
        <w:rPr>
          <w:rFonts w:asciiTheme="majorBidi" w:hAnsiTheme="majorBidi" w:cstheme="majorBidi"/>
          <w:sz w:val="24"/>
          <w:szCs w:val="24"/>
          <w:lang w:val="en-US" w:bidi="ar-SY"/>
        </w:rPr>
        <w:t>Siganus rivulatus collected along the Tartous coast is generally safe for consumption, as microbial levels did not exceed national permissible limits. However, wastewater management must be improved to prevent future contamination. Routine monitoring and stricter environmental regulations are recommended to protect public health and marine biodiversity.</w:t>
      </w:r>
    </w:p>
    <w:p w14:paraId="6867E6A5" w14:textId="75083F13" w:rsidR="0093405C" w:rsidRDefault="0093405C" w:rsidP="0093405C">
      <w:pPr>
        <w:bidi w:val="0"/>
        <w:jc w:val="both"/>
        <w:rPr>
          <w:rFonts w:asciiTheme="majorBidi" w:hAnsiTheme="majorBidi" w:cstheme="majorBidi"/>
          <w:sz w:val="24"/>
          <w:szCs w:val="24"/>
          <w:lang w:val="en-US" w:bidi="ar-SY"/>
        </w:rPr>
      </w:pPr>
    </w:p>
    <w:p w14:paraId="43EB763B" w14:textId="77777777" w:rsidR="0093405C" w:rsidRPr="008641DD" w:rsidRDefault="0093405C" w:rsidP="008641DD">
      <w:pPr>
        <w:pStyle w:val="ListParagraph"/>
        <w:numPr>
          <w:ilvl w:val="0"/>
          <w:numId w:val="15"/>
        </w:numPr>
        <w:bidi w:val="0"/>
        <w:spacing w:before="100" w:beforeAutospacing="1" w:after="100" w:afterAutospacing="1" w:line="240" w:lineRule="auto"/>
        <w:jc w:val="both"/>
        <w:rPr>
          <w:rFonts w:asciiTheme="majorBidi" w:hAnsiTheme="majorBidi" w:cstheme="majorBidi"/>
          <w:b/>
          <w:bCs/>
          <w:sz w:val="24"/>
          <w:szCs w:val="24"/>
          <w:lang w:bidi="ar-SY"/>
        </w:rPr>
      </w:pPr>
      <w:bookmarkStart w:id="0" w:name="_Hlk197682619"/>
      <w:bookmarkStart w:id="1" w:name="_Hlk180402183"/>
      <w:bookmarkStart w:id="2" w:name="_Hlk183680988"/>
      <w:bookmarkStart w:id="3" w:name="_Hlk197351200"/>
      <w:r w:rsidRPr="008641DD">
        <w:rPr>
          <w:rFonts w:asciiTheme="majorBidi" w:hAnsiTheme="majorBidi" w:cstheme="majorBidi"/>
          <w:b/>
          <w:bCs/>
          <w:sz w:val="24"/>
          <w:szCs w:val="24"/>
          <w:lang w:bidi="ar-SY"/>
        </w:rPr>
        <w:t>Disclaimer (Artificial intelligence)</w:t>
      </w:r>
    </w:p>
    <w:p w14:paraId="1393D512" w14:textId="00A4827D" w:rsidR="0093405C" w:rsidRPr="00EC0A24" w:rsidRDefault="0093405C" w:rsidP="00EC0A24">
      <w:pPr>
        <w:bidi w:val="0"/>
        <w:jc w:val="both"/>
        <w:rPr>
          <w:rFonts w:asciiTheme="majorBidi" w:hAnsiTheme="majorBidi" w:cstheme="majorBidi"/>
          <w:sz w:val="24"/>
          <w:szCs w:val="24"/>
          <w:rtl/>
          <w:lang w:val="en-US" w:bidi="ar-SY"/>
        </w:rPr>
      </w:pPr>
      <w:r w:rsidRPr="00EC0A24">
        <w:rPr>
          <w:rFonts w:asciiTheme="majorBidi" w:hAnsiTheme="majorBidi" w:cstheme="majorBidi"/>
          <w:sz w:val="24"/>
          <w:szCs w:val="24"/>
          <w:lang w:val="en-US" w:bidi="ar-SY"/>
        </w:rPr>
        <w:t xml:space="preserve">Author hereby declare that NO generative AI technologies such as Large Language Models (ChatGPT, COPILOT, etc.) and text-to-image generators have been used during the writing or editing of this manuscript. </w:t>
      </w:r>
      <w:bookmarkStart w:id="4" w:name="_Hlk187485061"/>
      <w:bookmarkEnd w:id="0"/>
      <w:bookmarkEnd w:id="1"/>
      <w:bookmarkEnd w:id="2"/>
    </w:p>
    <w:bookmarkEnd w:id="3"/>
    <w:bookmarkEnd w:id="4"/>
    <w:p w14:paraId="5868B4C3" w14:textId="77777777" w:rsidR="0093405C" w:rsidRPr="00593B43" w:rsidRDefault="0093405C" w:rsidP="0093405C">
      <w:pPr>
        <w:bidi w:val="0"/>
        <w:jc w:val="both"/>
        <w:rPr>
          <w:rFonts w:asciiTheme="majorBidi" w:hAnsiTheme="majorBidi" w:cstheme="majorBidi"/>
          <w:sz w:val="24"/>
          <w:szCs w:val="24"/>
          <w:rtl/>
          <w:lang w:val="en-US" w:bidi="ar-SY"/>
        </w:rPr>
      </w:pPr>
    </w:p>
    <w:p w14:paraId="080F74DB" w14:textId="77777777" w:rsidR="00E64636" w:rsidRPr="00343324" w:rsidRDefault="00343324" w:rsidP="005A63E9">
      <w:pPr>
        <w:bidi w:val="0"/>
        <w:spacing w:before="100" w:beforeAutospacing="1" w:after="100" w:afterAutospacing="1" w:line="240" w:lineRule="auto"/>
        <w:jc w:val="both"/>
        <w:rPr>
          <w:rFonts w:asciiTheme="majorBidi" w:hAnsiTheme="majorBidi" w:cstheme="majorBidi"/>
          <w:b/>
          <w:bCs/>
          <w:sz w:val="32"/>
          <w:szCs w:val="32"/>
          <w:lang w:val="en-US" w:bidi="ar-SY"/>
        </w:rPr>
      </w:pPr>
      <w:r>
        <w:rPr>
          <w:rFonts w:asciiTheme="majorBidi" w:hAnsiTheme="majorBidi" w:cstheme="majorBidi"/>
          <w:b/>
          <w:bCs/>
          <w:sz w:val="32"/>
          <w:szCs w:val="32"/>
          <w:lang w:val="en-US" w:bidi="ar-SY"/>
        </w:rPr>
        <w:t>References:</w:t>
      </w:r>
    </w:p>
    <w:p w14:paraId="5402AE34" w14:textId="02C0B4EB" w:rsidR="00343324" w:rsidRPr="00666900" w:rsidRDefault="00D5029F"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Al-Sharifi, Aqil</w:t>
      </w:r>
      <w:r w:rsidR="00343324" w:rsidRPr="00666900">
        <w:rPr>
          <w:rFonts w:asciiTheme="majorBidi" w:hAnsiTheme="majorBidi" w:cstheme="majorBidi"/>
          <w:sz w:val="24"/>
          <w:szCs w:val="24"/>
        </w:rPr>
        <w:t xml:space="preserve"> (2014). </w:t>
      </w:r>
      <w:r w:rsidR="00343324" w:rsidRPr="00666900">
        <w:rPr>
          <w:rFonts w:asciiTheme="majorBidi" w:hAnsiTheme="majorBidi" w:cstheme="majorBidi"/>
          <w:b/>
          <w:bCs/>
          <w:sz w:val="24"/>
          <w:szCs w:val="24"/>
        </w:rPr>
        <w:t>Potential pollution of some heavy metals and some environmental factors of the waters of the Bani Hassan stream in Karbala Governorate, Iraq.</w:t>
      </w:r>
      <w:r w:rsidR="00343324" w:rsidRPr="00666900">
        <w:rPr>
          <w:rFonts w:asciiTheme="majorBidi" w:hAnsiTheme="majorBidi" w:cstheme="majorBidi"/>
          <w:kern w:val="24"/>
          <w:sz w:val="24"/>
          <w:szCs w:val="24"/>
        </w:rPr>
        <w:t xml:space="preserve"> </w:t>
      </w:r>
      <w:r w:rsidR="00343324" w:rsidRPr="00666900">
        <w:rPr>
          <w:rFonts w:asciiTheme="majorBidi" w:hAnsiTheme="majorBidi" w:cstheme="majorBidi"/>
          <w:i/>
          <w:iCs/>
          <w:sz w:val="24"/>
          <w:szCs w:val="24"/>
        </w:rPr>
        <w:t>Master's thesis, College of Science, University of Babylon, Iraq</w:t>
      </w:r>
      <w:r w:rsidR="00343324" w:rsidRPr="00666900">
        <w:rPr>
          <w:rFonts w:asciiTheme="majorBidi" w:hAnsiTheme="majorBidi" w:cstheme="majorBidi"/>
          <w:sz w:val="24"/>
          <w:szCs w:val="24"/>
        </w:rPr>
        <w:t>, 91 pages</w:t>
      </w:r>
      <w:r w:rsidR="00343324" w:rsidRPr="00666900">
        <w:rPr>
          <w:rFonts w:asciiTheme="majorBidi" w:hAnsiTheme="majorBidi" w:cstheme="majorBidi"/>
          <w:sz w:val="24"/>
          <w:szCs w:val="24"/>
          <w:rtl/>
        </w:rPr>
        <w:t>.</w:t>
      </w:r>
      <w:r w:rsidR="008A5B33" w:rsidRPr="00666900">
        <w:rPr>
          <w:rFonts w:asciiTheme="majorBidi" w:hAnsiTheme="majorBidi" w:cstheme="majorBidi" w:hint="cs"/>
          <w:sz w:val="24"/>
          <w:szCs w:val="24"/>
          <w:rtl/>
        </w:rPr>
        <w:t xml:space="preserve"> </w:t>
      </w:r>
      <w:hyperlink r:id="rId36" w:history="1">
        <w:r w:rsidR="00C310C6" w:rsidRPr="00666900">
          <w:rPr>
            <w:rStyle w:val="Hyperlink"/>
            <w:rFonts w:asciiTheme="majorBidi" w:hAnsiTheme="majorBidi" w:cstheme="majorBidi"/>
            <w:sz w:val="24"/>
            <w:szCs w:val="24"/>
          </w:rPr>
          <w:t>https://uokerbala.edu.iq/wpcontent/uploads/2019/12/%D8%B1%D8%B3%D8%A7%D9%84%D8%A9-%D9%85%D8%A7%D8%AC%D8%B3%D8%AA%D9%8A%D8%B1-%D8%B9%D9%82%D9%8A%D9%84%D8%A7%D9%84%D8%B4%D8%B1%D9%8A%D9%81%D9%8A.pdf</w:t>
        </w:r>
      </w:hyperlink>
    </w:p>
    <w:p w14:paraId="3BD50BBF" w14:textId="77777777" w:rsidR="008A5B33" w:rsidRPr="006220F7" w:rsidRDefault="008A5B33" w:rsidP="008A5B33">
      <w:pPr>
        <w:bidi w:val="0"/>
        <w:spacing w:after="0" w:line="240" w:lineRule="auto"/>
        <w:ind w:left="454" w:hanging="454"/>
        <w:jc w:val="both"/>
        <w:rPr>
          <w:rFonts w:asciiTheme="majorBidi" w:hAnsiTheme="majorBidi" w:cstheme="majorBidi"/>
          <w:sz w:val="24"/>
          <w:szCs w:val="24"/>
        </w:rPr>
      </w:pPr>
    </w:p>
    <w:p w14:paraId="05E1E706" w14:textId="6E12D46C" w:rsidR="00EA1E3A" w:rsidRPr="00666900" w:rsidRDefault="00343324"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Al-Shiwi, Abdul Salam. (2013). </w:t>
      </w:r>
      <w:r w:rsidRPr="00666900">
        <w:rPr>
          <w:rFonts w:asciiTheme="majorBidi" w:hAnsiTheme="majorBidi" w:cstheme="majorBidi"/>
          <w:b/>
          <w:bCs/>
          <w:sz w:val="24"/>
          <w:szCs w:val="24"/>
        </w:rPr>
        <w:t>International protection of the aquatic environment from pollution</w:t>
      </w:r>
      <w:r w:rsidRPr="00666900">
        <w:rPr>
          <w:rFonts w:asciiTheme="majorBidi" w:hAnsiTheme="majorBidi" w:cstheme="majorBidi"/>
          <w:kern w:val="24"/>
          <w:sz w:val="24"/>
          <w:szCs w:val="24"/>
        </w:rPr>
        <w:t xml:space="preserve">. </w:t>
      </w:r>
      <w:r w:rsidRPr="00666900">
        <w:rPr>
          <w:rFonts w:asciiTheme="majorBidi" w:hAnsiTheme="majorBidi" w:cstheme="majorBidi"/>
          <w:i/>
          <w:iCs/>
          <w:sz w:val="24"/>
          <w:szCs w:val="24"/>
        </w:rPr>
        <w:t>Scientific Journal of the Colleges of Commerce Sector - Al-Azhar University</w:t>
      </w:r>
      <w:r w:rsidR="00A0670F" w:rsidRPr="00666900">
        <w:rPr>
          <w:rFonts w:asciiTheme="majorBidi" w:hAnsiTheme="majorBidi" w:cstheme="majorBidi"/>
          <w:sz w:val="24"/>
          <w:szCs w:val="24"/>
        </w:rPr>
        <w:t xml:space="preserve"> </w:t>
      </w:r>
      <w:r w:rsidR="00ED602D" w:rsidRPr="00666900">
        <w:rPr>
          <w:rFonts w:asciiTheme="majorBidi" w:hAnsiTheme="majorBidi" w:cstheme="majorBidi"/>
          <w:sz w:val="24"/>
          <w:szCs w:val="24"/>
        </w:rPr>
        <w:t xml:space="preserve">. </w:t>
      </w:r>
      <w:r w:rsidR="00A0670F" w:rsidRPr="00666900">
        <w:rPr>
          <w:rFonts w:asciiTheme="majorBidi" w:hAnsiTheme="majorBidi" w:cstheme="majorBidi"/>
          <w:sz w:val="24"/>
          <w:szCs w:val="24"/>
        </w:rPr>
        <w:t>(10)</w:t>
      </w:r>
      <w:r w:rsidRPr="00666900">
        <w:rPr>
          <w:rFonts w:asciiTheme="majorBidi" w:hAnsiTheme="majorBidi" w:cstheme="majorBidi"/>
          <w:sz w:val="24"/>
          <w:szCs w:val="24"/>
        </w:rPr>
        <w:t xml:space="preserve"> 422-536</w:t>
      </w:r>
      <w:r w:rsidRPr="00666900">
        <w:rPr>
          <w:rFonts w:asciiTheme="majorBidi" w:hAnsiTheme="majorBidi" w:cstheme="majorBidi"/>
          <w:sz w:val="24"/>
          <w:szCs w:val="24"/>
          <w:rtl/>
        </w:rPr>
        <w:t>.</w:t>
      </w:r>
      <w:r w:rsidR="008A5B33" w:rsidRPr="00666900">
        <w:rPr>
          <w:rFonts w:asciiTheme="majorBidi" w:hAnsiTheme="majorBidi" w:cstheme="majorBidi" w:hint="cs"/>
          <w:sz w:val="24"/>
          <w:szCs w:val="24"/>
          <w:rtl/>
        </w:rPr>
        <w:t xml:space="preserve"> </w:t>
      </w:r>
      <w:hyperlink r:id="rId37" w:history="1">
        <w:r w:rsidR="008A5B33" w:rsidRPr="00666900">
          <w:rPr>
            <w:rStyle w:val="Hyperlink"/>
            <w:rFonts w:asciiTheme="majorBidi" w:hAnsiTheme="majorBidi" w:cstheme="majorBidi"/>
            <w:sz w:val="24"/>
            <w:szCs w:val="24"/>
          </w:rPr>
          <w:t>https://doi.org/10.21608/jsfc.2013.26154</w:t>
        </w:r>
      </w:hyperlink>
    </w:p>
    <w:p w14:paraId="12897B1D" w14:textId="77777777" w:rsidR="008A5B33" w:rsidRPr="006220F7" w:rsidRDefault="008A5B33" w:rsidP="008A5B33">
      <w:pPr>
        <w:bidi w:val="0"/>
        <w:spacing w:after="0" w:line="240" w:lineRule="auto"/>
        <w:ind w:left="454" w:hanging="454"/>
        <w:jc w:val="both"/>
        <w:rPr>
          <w:rFonts w:asciiTheme="majorBidi" w:hAnsiTheme="majorBidi" w:cstheme="majorBidi"/>
          <w:sz w:val="24"/>
          <w:szCs w:val="24"/>
          <w:rtl/>
        </w:rPr>
      </w:pPr>
    </w:p>
    <w:p w14:paraId="46687465" w14:textId="27C0A369" w:rsidR="003D2BC9" w:rsidRPr="00666900" w:rsidRDefault="003D2BC9" w:rsidP="00666900">
      <w:pPr>
        <w:pStyle w:val="ListParagraph"/>
        <w:numPr>
          <w:ilvl w:val="0"/>
          <w:numId w:val="16"/>
        </w:numPr>
        <w:bidi w:val="0"/>
        <w:spacing w:after="0" w:line="240" w:lineRule="auto"/>
        <w:jc w:val="both"/>
        <w:rPr>
          <w:rFonts w:asciiTheme="majorBidi" w:hAnsiTheme="majorBidi" w:cstheme="majorBidi"/>
          <w:sz w:val="24"/>
          <w:szCs w:val="24"/>
          <w:lang w:bidi="ar-SY"/>
        </w:rPr>
      </w:pPr>
      <w:r w:rsidRPr="00666900">
        <w:rPr>
          <w:rFonts w:asciiTheme="majorBidi" w:hAnsiTheme="majorBidi" w:cstheme="majorBidi"/>
          <w:sz w:val="24"/>
          <w:szCs w:val="24"/>
        </w:rPr>
        <w:t>Ali, A., Ishag I., Al-Shobaki K., Balal D., Jab allah A., Khaled S.and Alkhawaja H</w:t>
      </w:r>
      <w:r w:rsidRPr="00666900">
        <w:rPr>
          <w:rFonts w:asciiTheme="majorBidi" w:hAnsiTheme="majorBidi" w:cstheme="majorBidi"/>
          <w:sz w:val="24"/>
          <w:szCs w:val="24"/>
          <w:lang w:bidi="ar-SY"/>
        </w:rPr>
        <w:t xml:space="preserve">. (2021). </w:t>
      </w:r>
      <w:r w:rsidRPr="00666900">
        <w:rPr>
          <w:rFonts w:asciiTheme="majorBidi" w:hAnsiTheme="majorBidi" w:cstheme="majorBidi"/>
          <w:b/>
          <w:bCs/>
          <w:sz w:val="24"/>
          <w:szCs w:val="24"/>
          <w:lang w:bidi="ar-SY"/>
        </w:rPr>
        <w:t>Microbial contamination in the Tobruk Bay basin</w:t>
      </w:r>
      <w:r w:rsidRPr="00666900">
        <w:rPr>
          <w:rFonts w:asciiTheme="majorBidi" w:hAnsiTheme="majorBidi" w:cstheme="majorBidi"/>
          <w:sz w:val="24"/>
          <w:szCs w:val="24"/>
          <w:lang w:bidi="ar-SY"/>
        </w:rPr>
        <w:t xml:space="preserve">. </w:t>
      </w:r>
      <w:r w:rsidRPr="00666900">
        <w:rPr>
          <w:rFonts w:asciiTheme="majorBidi" w:hAnsiTheme="majorBidi" w:cstheme="majorBidi"/>
          <w:i/>
          <w:iCs/>
          <w:sz w:val="24"/>
          <w:szCs w:val="24"/>
          <w:lang w:bidi="ar-SY"/>
        </w:rPr>
        <w:t>International Journal of Multidisciplinary Sciences and Advanced Technology</w:t>
      </w:r>
      <w:r w:rsidRPr="00666900">
        <w:rPr>
          <w:rFonts w:asciiTheme="majorBidi" w:hAnsiTheme="majorBidi" w:cstheme="majorBidi"/>
          <w:sz w:val="24"/>
          <w:szCs w:val="24"/>
          <w:lang w:bidi="ar-SY"/>
        </w:rPr>
        <w:t>, Special Issue (1) 663–667.</w:t>
      </w:r>
      <w:r w:rsidR="008A5B33" w:rsidRPr="00666900">
        <w:rPr>
          <w:rFonts w:asciiTheme="majorBidi" w:hAnsiTheme="majorBidi" w:cstheme="majorBidi"/>
          <w:sz w:val="24"/>
          <w:szCs w:val="24"/>
          <w:lang w:bidi="ar-SY"/>
        </w:rPr>
        <w:t xml:space="preserve"> </w:t>
      </w:r>
      <w:hyperlink r:id="rId38" w:history="1">
        <w:r w:rsidR="008A5B33" w:rsidRPr="00666900">
          <w:rPr>
            <w:rStyle w:val="Hyperlink"/>
            <w:rFonts w:asciiTheme="majorBidi" w:hAnsiTheme="majorBidi" w:cstheme="majorBidi"/>
            <w:sz w:val="24"/>
            <w:szCs w:val="24"/>
            <w:lang w:bidi="ar-SY"/>
          </w:rPr>
          <w:t>https://www.researchgate.net/publication/350961817_Microbial_contamination_in_the_Tobruk_Bay_basin</w:t>
        </w:r>
      </w:hyperlink>
    </w:p>
    <w:p w14:paraId="5FC89944" w14:textId="77777777" w:rsidR="008A5B33" w:rsidRPr="001E28E7" w:rsidRDefault="008A5B33" w:rsidP="008A5B33">
      <w:pPr>
        <w:bidi w:val="0"/>
        <w:spacing w:after="0" w:line="240" w:lineRule="auto"/>
        <w:ind w:left="454" w:hanging="454"/>
        <w:contextualSpacing/>
        <w:jc w:val="both"/>
        <w:rPr>
          <w:rFonts w:asciiTheme="majorBidi" w:hAnsiTheme="majorBidi" w:cstheme="majorBidi"/>
          <w:sz w:val="24"/>
          <w:szCs w:val="24"/>
          <w:lang w:bidi="ar-SY"/>
        </w:rPr>
      </w:pPr>
    </w:p>
    <w:p w14:paraId="30462EC5" w14:textId="48BB3D66"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b/>
          <w:bCs/>
          <w:sz w:val="24"/>
          <w:szCs w:val="24"/>
        </w:rPr>
        <w:t>Álvarez</w:t>
      </w:r>
      <w:r w:rsidRPr="00666900">
        <w:rPr>
          <w:rFonts w:asciiTheme="majorBidi" w:hAnsiTheme="majorBidi" w:cstheme="majorBidi"/>
          <w:sz w:val="24"/>
          <w:szCs w:val="24"/>
        </w:rPr>
        <w:t>, A., García, B., Garrido, M.D. &amp; Hernández, M.D. (2008)</w:t>
      </w:r>
      <w:r w:rsidRPr="00666900">
        <w:rPr>
          <w:rFonts w:asciiTheme="majorBidi" w:hAnsiTheme="majorBidi" w:cstheme="majorBidi"/>
          <w:b/>
          <w:bCs/>
          <w:sz w:val="24"/>
          <w:szCs w:val="24"/>
        </w:rPr>
        <w:t>. The influence of starvation time 451 prior to slaughter on the quality of commercial-sized gilthead seabream (</w:t>
      </w:r>
      <w:r w:rsidRPr="00666900">
        <w:rPr>
          <w:rFonts w:asciiTheme="majorBidi" w:hAnsiTheme="majorBidi" w:cstheme="majorBidi"/>
          <w:b/>
          <w:bCs/>
          <w:i/>
          <w:iCs/>
          <w:sz w:val="24"/>
          <w:szCs w:val="24"/>
        </w:rPr>
        <w:t>Sparus aurata</w:t>
      </w:r>
      <w:r w:rsidRPr="00666900">
        <w:rPr>
          <w:rFonts w:asciiTheme="majorBidi" w:hAnsiTheme="majorBidi" w:cstheme="majorBidi"/>
          <w:b/>
          <w:bCs/>
          <w:sz w:val="24"/>
          <w:szCs w:val="24"/>
        </w:rPr>
        <w:t>) during ice 452 storage.</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Aquaculture</w:t>
      </w:r>
      <w:r w:rsidRPr="00666900">
        <w:rPr>
          <w:rFonts w:asciiTheme="majorBidi" w:hAnsiTheme="majorBidi" w:cstheme="majorBidi"/>
          <w:sz w:val="24"/>
          <w:szCs w:val="24"/>
        </w:rPr>
        <w:t>, 284.  :106–114.</w:t>
      </w:r>
      <w:r w:rsidR="008A5B33" w:rsidRPr="00666900">
        <w:rPr>
          <w:rFonts w:asciiTheme="majorBidi" w:hAnsiTheme="majorBidi" w:cstheme="majorBidi"/>
          <w:sz w:val="24"/>
          <w:szCs w:val="24"/>
        </w:rPr>
        <w:t xml:space="preserve"> </w:t>
      </w:r>
      <w:hyperlink r:id="rId39" w:history="1">
        <w:r w:rsidR="008A5B33" w:rsidRPr="00666900">
          <w:rPr>
            <w:rStyle w:val="Hyperlink"/>
            <w:rFonts w:asciiTheme="majorBidi" w:hAnsiTheme="majorBidi" w:cstheme="majorBidi"/>
            <w:sz w:val="24"/>
            <w:szCs w:val="24"/>
          </w:rPr>
          <w:t>https://doi.org/10.1016/j.aquaculture.2008.07.025</w:t>
        </w:r>
      </w:hyperlink>
    </w:p>
    <w:p w14:paraId="098F830F"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0F7CFA82" w14:textId="33DC2F6C"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Austin, B. (2006). </w:t>
      </w:r>
      <w:r w:rsidRPr="00666900">
        <w:rPr>
          <w:rFonts w:asciiTheme="majorBidi" w:hAnsiTheme="majorBidi" w:cstheme="majorBidi"/>
          <w:b/>
          <w:bCs/>
          <w:sz w:val="24"/>
          <w:szCs w:val="24"/>
        </w:rPr>
        <w:t>The bacterial microflora of fish, revised</w:t>
      </w:r>
      <w:r w:rsidRPr="00666900">
        <w:rPr>
          <w:rFonts w:asciiTheme="majorBidi" w:hAnsiTheme="majorBidi" w:cstheme="majorBidi"/>
          <w:sz w:val="24"/>
          <w:szCs w:val="24"/>
        </w:rPr>
        <w:t>. </w:t>
      </w:r>
      <w:r w:rsidRPr="00666900">
        <w:rPr>
          <w:rFonts w:asciiTheme="majorBidi" w:hAnsiTheme="majorBidi" w:cstheme="majorBidi"/>
          <w:i/>
          <w:iCs/>
          <w:sz w:val="24"/>
          <w:szCs w:val="24"/>
        </w:rPr>
        <w:t>The scientific world journal</w:t>
      </w:r>
      <w:r w:rsidRPr="00666900">
        <w:rPr>
          <w:rFonts w:asciiTheme="majorBidi" w:hAnsiTheme="majorBidi" w:cstheme="majorBidi"/>
          <w:sz w:val="24"/>
          <w:szCs w:val="24"/>
        </w:rPr>
        <w:t>, </w:t>
      </w:r>
      <w:r w:rsidRPr="00666900">
        <w:rPr>
          <w:rFonts w:asciiTheme="majorBidi" w:hAnsiTheme="majorBidi" w:cstheme="majorBidi"/>
          <w:i/>
          <w:iCs/>
          <w:sz w:val="24"/>
          <w:szCs w:val="24"/>
        </w:rPr>
        <w:t>6</w:t>
      </w:r>
      <w:r w:rsidRPr="00666900">
        <w:rPr>
          <w:rFonts w:asciiTheme="majorBidi" w:hAnsiTheme="majorBidi" w:cstheme="majorBidi"/>
          <w:sz w:val="24"/>
          <w:szCs w:val="24"/>
        </w:rPr>
        <w:t>(1), 931-945.</w:t>
      </w:r>
      <w:r w:rsidRPr="00666900">
        <w:rPr>
          <w:rFonts w:asciiTheme="majorBidi" w:hAnsiTheme="majorBidi" w:cstheme="majorBidi"/>
          <w:sz w:val="24"/>
          <w:szCs w:val="24"/>
          <w:rtl/>
        </w:rPr>
        <w:t>‏</w:t>
      </w:r>
      <w:r w:rsidR="008A5B33" w:rsidRPr="008A5B33">
        <w:t xml:space="preserve"> </w:t>
      </w:r>
      <w:hyperlink r:id="rId40" w:history="1">
        <w:r w:rsidR="008A5B33" w:rsidRPr="00666900">
          <w:rPr>
            <w:rStyle w:val="Hyperlink"/>
            <w:rFonts w:asciiTheme="majorBidi" w:hAnsiTheme="majorBidi" w:cstheme="majorBidi"/>
            <w:sz w:val="24"/>
            <w:szCs w:val="24"/>
          </w:rPr>
          <w:t>https://doi.org/10.1100/tsw.2006.181</w:t>
        </w:r>
      </w:hyperlink>
    </w:p>
    <w:p w14:paraId="22460192"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48A316E2" w14:textId="437C5FBF"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Begona, B., C. Craven, and H. An. (1998). </w:t>
      </w:r>
      <w:r w:rsidRPr="00666900">
        <w:rPr>
          <w:rFonts w:asciiTheme="majorBidi" w:hAnsiTheme="majorBidi" w:cstheme="majorBidi"/>
          <w:b/>
          <w:bCs/>
          <w:sz w:val="24"/>
          <w:szCs w:val="24"/>
        </w:rPr>
        <w:t>Histamine formation in albacore muscle analyzed by AOAC and enzymatic Methods</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J. of Food Sci</w:t>
      </w:r>
      <w:r w:rsidRPr="00666900">
        <w:rPr>
          <w:rFonts w:asciiTheme="majorBidi" w:hAnsiTheme="majorBidi" w:cstheme="majorBidi"/>
          <w:sz w:val="24"/>
          <w:szCs w:val="24"/>
        </w:rPr>
        <w:t>. 63(2):210-214.</w:t>
      </w:r>
      <w:r w:rsidR="008A5B33" w:rsidRPr="00666900">
        <w:rPr>
          <w:rFonts w:asciiTheme="majorBidi" w:hAnsiTheme="majorBidi" w:cstheme="majorBidi"/>
          <w:sz w:val="24"/>
          <w:szCs w:val="24"/>
        </w:rPr>
        <w:t xml:space="preserve"> </w:t>
      </w:r>
      <w:hyperlink r:id="rId41" w:history="1">
        <w:r w:rsidR="008A5B33" w:rsidRPr="00666900">
          <w:rPr>
            <w:rStyle w:val="Hyperlink"/>
            <w:rFonts w:asciiTheme="majorBidi" w:hAnsiTheme="majorBidi" w:cstheme="majorBidi"/>
            <w:sz w:val="24"/>
            <w:szCs w:val="24"/>
          </w:rPr>
          <w:t>https://doi.org/10.1111/j.1365-2621.1998.tb15711.x</w:t>
        </w:r>
      </w:hyperlink>
    </w:p>
    <w:p w14:paraId="575329C9"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33B1A4C8" w14:textId="20ABA1A7" w:rsidR="003D2BC9" w:rsidRPr="00666900" w:rsidRDefault="003D2BC9"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Baixas, S., Bover, S., Veciana, M.T. &amp; Vidal, M.C. (2009). </w:t>
      </w:r>
      <w:r w:rsidRPr="00666900">
        <w:rPr>
          <w:rFonts w:asciiTheme="majorBidi" w:hAnsiTheme="majorBidi" w:cstheme="majorBidi"/>
          <w:b/>
          <w:bCs/>
          <w:sz w:val="24"/>
          <w:szCs w:val="24"/>
        </w:rPr>
        <w:t>Effect of 463 gutting on microbial loads, sensory properties, volatile and biogenic amine contents of European 464 Hake (</w:t>
      </w:r>
      <w:r w:rsidRPr="00666900">
        <w:rPr>
          <w:rFonts w:asciiTheme="majorBidi" w:hAnsiTheme="majorBidi" w:cstheme="majorBidi"/>
          <w:b/>
          <w:bCs/>
          <w:i/>
          <w:iCs/>
          <w:sz w:val="24"/>
          <w:szCs w:val="24"/>
        </w:rPr>
        <w:t>Merluccius merluccius var. mediterraneus</w:t>
      </w:r>
      <w:r w:rsidRPr="00666900">
        <w:rPr>
          <w:rFonts w:asciiTheme="majorBidi" w:hAnsiTheme="majorBidi" w:cstheme="majorBidi"/>
          <w:b/>
          <w:bCs/>
          <w:sz w:val="24"/>
          <w:szCs w:val="24"/>
        </w:rPr>
        <w:t>) stored in ice</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Journal of Food Protection</w:t>
      </w:r>
      <w:r w:rsidRPr="00666900">
        <w:rPr>
          <w:rFonts w:asciiTheme="majorBidi" w:hAnsiTheme="majorBidi" w:cstheme="majorBidi"/>
          <w:sz w:val="24"/>
          <w:szCs w:val="24"/>
        </w:rPr>
        <w:t>, 72. 465: 1671- 1676.</w:t>
      </w:r>
      <w:r w:rsidR="008A5B33" w:rsidRPr="00666900">
        <w:rPr>
          <w:rFonts w:asciiTheme="majorBidi" w:hAnsiTheme="majorBidi" w:cstheme="majorBidi"/>
          <w:sz w:val="24"/>
          <w:szCs w:val="24"/>
        </w:rPr>
        <w:t xml:space="preserve"> </w:t>
      </w:r>
      <w:hyperlink r:id="rId42" w:history="1">
        <w:r w:rsidR="008A5B33" w:rsidRPr="00666900">
          <w:rPr>
            <w:rStyle w:val="Hyperlink"/>
            <w:rFonts w:asciiTheme="majorBidi" w:hAnsiTheme="majorBidi" w:cstheme="majorBidi"/>
            <w:sz w:val="24"/>
            <w:szCs w:val="24"/>
          </w:rPr>
          <w:t>https://doi.org/10.4315/0362-028x-72.8.1671</w:t>
        </w:r>
      </w:hyperlink>
    </w:p>
    <w:p w14:paraId="28101338" w14:textId="77777777" w:rsidR="008A5B33" w:rsidRPr="001E28E7" w:rsidRDefault="008A5B33" w:rsidP="008A5B33">
      <w:pPr>
        <w:bidi w:val="0"/>
        <w:spacing w:after="0" w:line="240" w:lineRule="auto"/>
        <w:ind w:left="454" w:hanging="454"/>
        <w:contextualSpacing/>
        <w:jc w:val="both"/>
        <w:rPr>
          <w:rFonts w:asciiTheme="majorBidi" w:hAnsiTheme="majorBidi" w:cstheme="majorBidi"/>
          <w:sz w:val="24"/>
          <w:szCs w:val="24"/>
        </w:rPr>
      </w:pPr>
    </w:p>
    <w:p w14:paraId="410B6DD7" w14:textId="3A766032"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Bener, A.; Al-Ali, M. and Hoffmann, G. F. (2009). </w:t>
      </w:r>
      <w:r w:rsidRPr="00666900">
        <w:rPr>
          <w:rFonts w:asciiTheme="majorBidi" w:hAnsiTheme="majorBidi" w:cstheme="majorBidi"/>
          <w:b/>
          <w:bCs/>
          <w:sz w:val="24"/>
          <w:szCs w:val="24"/>
        </w:rPr>
        <w:t>Vitamin D Deficiency in Healthy Children in a Sunny Country: Associated Factors</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International Journal of Food Sciences</w:t>
      </w:r>
      <w:r w:rsidRPr="00666900">
        <w:rPr>
          <w:rFonts w:asciiTheme="majorBidi" w:hAnsiTheme="majorBidi" w:cstheme="majorBidi"/>
          <w:sz w:val="24"/>
          <w:szCs w:val="24"/>
        </w:rPr>
        <w:t>, 60: S5, 60-70.</w:t>
      </w:r>
      <w:r w:rsidR="008A5B33" w:rsidRPr="008A5B33">
        <w:t xml:space="preserve"> </w:t>
      </w:r>
      <w:hyperlink r:id="rId43" w:history="1">
        <w:r w:rsidR="008A5B33" w:rsidRPr="00666900">
          <w:rPr>
            <w:rStyle w:val="Hyperlink"/>
            <w:rFonts w:asciiTheme="majorBidi" w:hAnsiTheme="majorBidi" w:cstheme="majorBidi"/>
            <w:sz w:val="24"/>
            <w:szCs w:val="24"/>
          </w:rPr>
          <w:t>https://doi.org/10.1080/09637480802400487</w:t>
        </w:r>
      </w:hyperlink>
    </w:p>
    <w:p w14:paraId="654162EC"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6E819B22" w14:textId="02A0E6A0"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Beverly, Steve. (2011). </w:t>
      </w:r>
      <w:r w:rsidRPr="00666900">
        <w:rPr>
          <w:rFonts w:asciiTheme="majorBidi" w:hAnsiTheme="majorBidi" w:cstheme="majorBidi"/>
          <w:b/>
          <w:bCs/>
          <w:sz w:val="24"/>
          <w:szCs w:val="24"/>
        </w:rPr>
        <w:t>Proper fish handling for quality and safety</w:t>
      </w:r>
      <w:r w:rsidRPr="00666900">
        <w:rPr>
          <w:rFonts w:asciiTheme="majorBidi" w:hAnsiTheme="majorBidi" w:cstheme="majorBidi"/>
          <w:sz w:val="24"/>
          <w:szCs w:val="24"/>
        </w:rPr>
        <w:t>. SPC Fisheries Newsletter #134 - January/April, 29. (3):31-32 .</w:t>
      </w:r>
      <w:r w:rsidR="008A5B33" w:rsidRPr="008A5B33">
        <w:t xml:space="preserve"> </w:t>
      </w:r>
      <w:hyperlink r:id="rId44" w:history="1">
        <w:r w:rsidR="008A5B33" w:rsidRPr="00666900">
          <w:rPr>
            <w:rStyle w:val="Hyperlink"/>
            <w:rFonts w:asciiTheme="majorBidi" w:hAnsiTheme="majorBidi" w:cstheme="majorBidi"/>
            <w:sz w:val="24"/>
            <w:szCs w:val="24"/>
          </w:rPr>
          <w:t>https://www.spc.int/digitallibrary/get/a7ve6</w:t>
        </w:r>
      </w:hyperlink>
    </w:p>
    <w:p w14:paraId="2CF15ADD"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7D2952DF" w14:textId="6B354499" w:rsidR="009D2936" w:rsidRPr="00666900" w:rsidRDefault="009D2936" w:rsidP="00666900">
      <w:pPr>
        <w:pStyle w:val="ListParagraph"/>
        <w:numPr>
          <w:ilvl w:val="0"/>
          <w:numId w:val="16"/>
        </w:numPr>
        <w:tabs>
          <w:tab w:val="right" w:pos="6379"/>
        </w:tabs>
        <w:bidi w:val="0"/>
        <w:spacing w:after="0" w:line="240" w:lineRule="auto"/>
        <w:jc w:val="both"/>
        <w:rPr>
          <w:rFonts w:asciiTheme="majorBidi" w:hAnsiTheme="majorBidi" w:cstheme="majorBidi"/>
          <w:i/>
          <w:iCs/>
          <w:sz w:val="24"/>
          <w:szCs w:val="24"/>
          <w:lang w:val="en-US"/>
        </w:rPr>
      </w:pPr>
      <w:r w:rsidRPr="00666900">
        <w:rPr>
          <w:rFonts w:asciiTheme="majorBidi" w:hAnsiTheme="majorBidi" w:cstheme="majorBidi"/>
          <w:sz w:val="24"/>
          <w:szCs w:val="24"/>
          <w:lang w:val="en-US"/>
        </w:rPr>
        <w:t xml:space="preserve">Cheesbrough, M. (1984). </w:t>
      </w:r>
      <w:r w:rsidRPr="00666900">
        <w:rPr>
          <w:rFonts w:asciiTheme="majorBidi" w:hAnsiTheme="majorBidi" w:cstheme="majorBidi"/>
          <w:b/>
          <w:bCs/>
          <w:sz w:val="24"/>
          <w:szCs w:val="24"/>
          <w:lang w:val="en-US"/>
        </w:rPr>
        <w:t>Medical laboratory for tropical countries, 1st edn</w:t>
      </w:r>
      <w:r w:rsidRPr="00666900">
        <w:rPr>
          <w:rFonts w:asciiTheme="majorBidi" w:hAnsiTheme="majorBidi" w:cstheme="majorBidi"/>
          <w:sz w:val="24"/>
          <w:szCs w:val="24"/>
          <w:lang w:val="en-US"/>
        </w:rPr>
        <w:t xml:space="preserve">. </w:t>
      </w:r>
      <w:r w:rsidRPr="00666900">
        <w:rPr>
          <w:rFonts w:asciiTheme="majorBidi" w:hAnsiTheme="majorBidi" w:cstheme="majorBidi"/>
          <w:i/>
          <w:iCs/>
          <w:sz w:val="24"/>
          <w:szCs w:val="24"/>
          <w:lang w:val="en-US"/>
        </w:rPr>
        <w:t>Green Britain of the University Press Cambridge, UK.</w:t>
      </w:r>
      <w:r w:rsidR="008A5B33" w:rsidRPr="00666900">
        <w:rPr>
          <w:rFonts w:asciiTheme="majorBidi" w:hAnsiTheme="majorBidi" w:cstheme="majorBidi"/>
          <w:i/>
          <w:iCs/>
          <w:sz w:val="24"/>
          <w:szCs w:val="24"/>
          <w:lang w:val="en-US"/>
        </w:rPr>
        <w:t xml:space="preserve"> </w:t>
      </w:r>
      <w:hyperlink r:id="rId45" w:history="1">
        <w:r w:rsidR="008A5B33" w:rsidRPr="00666900">
          <w:rPr>
            <w:rStyle w:val="Hyperlink"/>
            <w:rFonts w:asciiTheme="majorBidi" w:hAnsiTheme="majorBidi" w:cstheme="majorBidi"/>
            <w:i/>
            <w:iCs/>
            <w:sz w:val="24"/>
            <w:szCs w:val="24"/>
            <w:lang w:val="en-US"/>
          </w:rPr>
          <w:t>https://books.google.com/books?id=f_XCAAAAMAAJ</w:t>
        </w:r>
      </w:hyperlink>
    </w:p>
    <w:p w14:paraId="2D8E7463" w14:textId="77777777" w:rsidR="008A5B33" w:rsidRDefault="008A5B33" w:rsidP="008A5B33">
      <w:pPr>
        <w:tabs>
          <w:tab w:val="right" w:pos="6379"/>
        </w:tabs>
        <w:bidi w:val="0"/>
        <w:spacing w:after="0" w:line="240" w:lineRule="auto"/>
        <w:ind w:left="454" w:hanging="454"/>
        <w:contextualSpacing/>
        <w:jc w:val="both"/>
        <w:rPr>
          <w:rFonts w:asciiTheme="majorBidi" w:hAnsiTheme="majorBidi" w:cstheme="majorBidi"/>
          <w:i/>
          <w:iCs/>
          <w:sz w:val="24"/>
          <w:szCs w:val="24"/>
          <w:lang w:val="en-US"/>
        </w:rPr>
      </w:pPr>
    </w:p>
    <w:p w14:paraId="32A4A24B"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355D2807" w14:textId="56FB07E3"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Chong, C. M., Shakir, M. Z., Lai, K. S., Liew, H. J., &amp; Loh, J. Y. (2023). </w:t>
      </w:r>
      <w:r w:rsidRPr="00666900">
        <w:rPr>
          <w:rFonts w:asciiTheme="majorBidi" w:hAnsiTheme="majorBidi" w:cstheme="majorBidi"/>
          <w:b/>
          <w:bCs/>
          <w:sz w:val="24"/>
          <w:szCs w:val="24"/>
        </w:rPr>
        <w:t>Microbes and fish diseases</w:t>
      </w:r>
      <w:r w:rsidRPr="00666900">
        <w:rPr>
          <w:rFonts w:asciiTheme="majorBidi" w:hAnsiTheme="majorBidi" w:cstheme="majorBidi"/>
          <w:sz w:val="24"/>
          <w:szCs w:val="24"/>
        </w:rPr>
        <w:t>. In </w:t>
      </w:r>
      <w:r w:rsidRPr="00666900">
        <w:rPr>
          <w:rFonts w:asciiTheme="majorBidi" w:hAnsiTheme="majorBidi" w:cstheme="majorBidi"/>
          <w:i/>
          <w:iCs/>
          <w:sz w:val="24"/>
          <w:szCs w:val="24"/>
        </w:rPr>
        <w:t>Recent advances in aquaculture microbial technology</w:t>
      </w:r>
      <w:r w:rsidRPr="00666900">
        <w:rPr>
          <w:rFonts w:asciiTheme="majorBidi" w:hAnsiTheme="majorBidi" w:cstheme="majorBidi"/>
          <w:sz w:val="24"/>
          <w:szCs w:val="24"/>
        </w:rPr>
        <w:t> (pp. 65-102). Academic Press.</w:t>
      </w:r>
      <w:r w:rsidRPr="00666900">
        <w:rPr>
          <w:rFonts w:asciiTheme="majorBidi" w:hAnsiTheme="majorBidi" w:cstheme="majorBidi"/>
          <w:sz w:val="24"/>
          <w:szCs w:val="24"/>
          <w:rtl/>
        </w:rPr>
        <w:t>‏</w:t>
      </w:r>
      <w:r w:rsidR="008A5B33" w:rsidRPr="008A5B33">
        <w:t xml:space="preserve"> </w:t>
      </w:r>
      <w:hyperlink r:id="rId46" w:history="1">
        <w:r w:rsidR="008A5B33" w:rsidRPr="00666900">
          <w:rPr>
            <w:rStyle w:val="Hyperlink"/>
            <w:rFonts w:asciiTheme="majorBidi" w:hAnsiTheme="majorBidi" w:cstheme="majorBidi"/>
            <w:sz w:val="24"/>
            <w:szCs w:val="24"/>
          </w:rPr>
          <w:t>https://doi.org/10.1016/B978-0-323-90261-8.00009-2</w:t>
        </w:r>
      </w:hyperlink>
    </w:p>
    <w:p w14:paraId="2FC9BB08"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51D5677D" w14:textId="02C67AB7"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lang w:val="nl-BE"/>
        </w:rPr>
      </w:pPr>
      <w:r w:rsidRPr="00666900">
        <w:rPr>
          <w:rFonts w:asciiTheme="majorBidi" w:hAnsiTheme="majorBidi" w:cstheme="majorBidi"/>
          <w:sz w:val="24"/>
          <w:szCs w:val="24"/>
        </w:rPr>
        <w:t xml:space="preserve">Colangelo, L. A.; HE, K.; Whooley, M. A.; Daviglus, M. L. and Liu, K. (2009).  </w:t>
      </w:r>
      <w:r w:rsidRPr="00666900">
        <w:rPr>
          <w:rFonts w:asciiTheme="majorBidi" w:hAnsiTheme="majorBidi" w:cstheme="majorBidi"/>
          <w:b/>
          <w:bCs/>
          <w:sz w:val="24"/>
          <w:szCs w:val="24"/>
        </w:rPr>
        <w:t>Higher Dietary Intake of Long-Chain ω-3 Polyunsaturated Fatty Acids Is Inversely Associated with Depressive Symptoms</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Nutrition</w:t>
      </w:r>
      <w:r w:rsidRPr="00666900">
        <w:rPr>
          <w:rFonts w:asciiTheme="majorBidi" w:hAnsiTheme="majorBidi" w:cstheme="majorBidi"/>
          <w:sz w:val="24"/>
          <w:szCs w:val="24"/>
        </w:rPr>
        <w:t>, 25. (10): 1011-1019.</w:t>
      </w:r>
      <w:r w:rsidR="008A5B33" w:rsidRPr="00666900">
        <w:rPr>
          <w:rFonts w:asciiTheme="majorBidi" w:hAnsiTheme="majorBidi" w:cstheme="majorBidi"/>
          <w:sz w:val="24"/>
          <w:szCs w:val="24"/>
        </w:rPr>
        <w:t xml:space="preserve"> </w:t>
      </w:r>
      <w:hyperlink r:id="rId47" w:history="1">
        <w:r w:rsidR="008A5B33" w:rsidRPr="00666900">
          <w:rPr>
            <w:rStyle w:val="Hyperlink"/>
            <w:rFonts w:asciiTheme="majorBidi" w:hAnsiTheme="majorBidi" w:cstheme="majorBidi"/>
            <w:sz w:val="24"/>
            <w:szCs w:val="24"/>
            <w:lang w:val="nl-BE"/>
          </w:rPr>
          <w:t>https://doi.org/10.1016/j.nut.2008.12.008</w:t>
        </w:r>
      </w:hyperlink>
    </w:p>
    <w:p w14:paraId="5D3029B0" w14:textId="77777777" w:rsidR="008A5B33" w:rsidRPr="00666900"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lang w:val="nl-BE"/>
        </w:rPr>
      </w:pPr>
    </w:p>
    <w:p w14:paraId="02F0032D" w14:textId="0AD35E93"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lang w:val="nl-BE"/>
        </w:rPr>
        <w:t xml:space="preserve">de Bruijn, I., Liu, Y., Wiegertjes, G. F., &amp; Raaijmakers, J. M. (2018). </w:t>
      </w:r>
      <w:r w:rsidRPr="00666900">
        <w:rPr>
          <w:rFonts w:asciiTheme="majorBidi" w:hAnsiTheme="majorBidi" w:cstheme="majorBidi"/>
          <w:b/>
          <w:bCs/>
          <w:sz w:val="24"/>
          <w:szCs w:val="24"/>
        </w:rPr>
        <w:t>Exploring fish microbial communities to mitigate emerging diseases in aquaculture</w:t>
      </w:r>
      <w:r w:rsidRPr="00666900">
        <w:rPr>
          <w:rFonts w:asciiTheme="majorBidi" w:hAnsiTheme="majorBidi" w:cstheme="majorBidi"/>
          <w:sz w:val="24"/>
          <w:szCs w:val="24"/>
        </w:rPr>
        <w:t>. </w:t>
      </w:r>
      <w:r w:rsidRPr="00666900">
        <w:rPr>
          <w:rFonts w:asciiTheme="majorBidi" w:hAnsiTheme="majorBidi" w:cstheme="majorBidi"/>
          <w:i/>
          <w:iCs/>
          <w:sz w:val="24"/>
          <w:szCs w:val="24"/>
        </w:rPr>
        <w:t>FEMS Microbiology Ecology</w:t>
      </w:r>
      <w:r w:rsidRPr="00666900">
        <w:rPr>
          <w:rFonts w:asciiTheme="majorBidi" w:hAnsiTheme="majorBidi" w:cstheme="majorBidi"/>
          <w:sz w:val="24"/>
          <w:szCs w:val="24"/>
        </w:rPr>
        <w:t>, </w:t>
      </w:r>
      <w:r w:rsidRPr="00666900">
        <w:rPr>
          <w:rFonts w:asciiTheme="majorBidi" w:hAnsiTheme="majorBidi" w:cstheme="majorBidi"/>
          <w:i/>
          <w:iCs/>
          <w:sz w:val="24"/>
          <w:szCs w:val="24"/>
        </w:rPr>
        <w:t>94</w:t>
      </w:r>
      <w:r w:rsidRPr="00666900">
        <w:rPr>
          <w:rFonts w:asciiTheme="majorBidi" w:hAnsiTheme="majorBidi" w:cstheme="majorBidi"/>
          <w:sz w:val="24"/>
          <w:szCs w:val="24"/>
        </w:rPr>
        <w:t>(1), fix161.</w:t>
      </w:r>
      <w:r w:rsidRPr="00666900">
        <w:rPr>
          <w:rFonts w:asciiTheme="majorBidi" w:hAnsiTheme="majorBidi" w:cstheme="majorBidi"/>
          <w:sz w:val="24"/>
          <w:szCs w:val="24"/>
          <w:rtl/>
        </w:rPr>
        <w:t>‏</w:t>
      </w:r>
      <w:r w:rsidR="001C53DB" w:rsidRPr="00666900">
        <w:rPr>
          <w:rFonts w:asciiTheme="majorBidi" w:hAnsiTheme="majorBidi" w:cstheme="majorBidi" w:hint="cs"/>
          <w:sz w:val="24"/>
          <w:szCs w:val="24"/>
          <w:rtl/>
        </w:rPr>
        <w:t xml:space="preserve"> </w:t>
      </w:r>
      <w:hyperlink r:id="rId48" w:history="1">
        <w:r w:rsidR="001C53DB" w:rsidRPr="00666900">
          <w:rPr>
            <w:rStyle w:val="Hyperlink"/>
            <w:rFonts w:asciiTheme="majorBidi" w:hAnsiTheme="majorBidi" w:cstheme="majorBidi"/>
            <w:sz w:val="24"/>
            <w:szCs w:val="24"/>
          </w:rPr>
          <w:t>https://doi.org/10.1093/femsec/fix161</w:t>
        </w:r>
      </w:hyperlink>
    </w:p>
    <w:p w14:paraId="252B4B8D"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4CB683E1" w14:textId="7308CB94"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Dural, M.; Goksu, M.Z.L. and Ozak, A.A. (2007). </w:t>
      </w:r>
      <w:r w:rsidRPr="00666900">
        <w:rPr>
          <w:rFonts w:asciiTheme="majorBidi" w:hAnsiTheme="majorBidi" w:cstheme="majorBidi"/>
          <w:b/>
          <w:bCs/>
          <w:sz w:val="24"/>
          <w:szCs w:val="24"/>
        </w:rPr>
        <w:t>Investigation of heavy metal levels in economically important fish species captured from the Tuzla Lagoon</w:t>
      </w:r>
      <w:r w:rsidRPr="00666900">
        <w:rPr>
          <w:rFonts w:asciiTheme="majorBidi" w:hAnsiTheme="majorBidi" w:cstheme="majorBidi"/>
          <w:sz w:val="24"/>
          <w:szCs w:val="24"/>
        </w:rPr>
        <w:t>. Food Chem., 102: 415-421 .</w:t>
      </w:r>
      <w:r w:rsidR="001C53DB" w:rsidRPr="00666900">
        <w:rPr>
          <w:rFonts w:asciiTheme="majorBidi" w:hAnsiTheme="majorBidi" w:cstheme="majorBidi"/>
          <w:sz w:val="24"/>
          <w:szCs w:val="24"/>
        </w:rPr>
        <w:t xml:space="preserve"> </w:t>
      </w:r>
      <w:hyperlink r:id="rId49" w:history="1">
        <w:r w:rsidR="001C53DB" w:rsidRPr="00666900">
          <w:rPr>
            <w:rStyle w:val="Hyperlink"/>
            <w:rFonts w:asciiTheme="majorBidi" w:hAnsiTheme="majorBidi" w:cstheme="majorBidi"/>
            <w:sz w:val="24"/>
            <w:szCs w:val="24"/>
          </w:rPr>
          <w:t>https://doi.org/10.1016/j.foodchem.2006.03.001</w:t>
        </w:r>
      </w:hyperlink>
    </w:p>
    <w:p w14:paraId="662252CF"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10EE20DD" w14:textId="03D72BB8"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lastRenderedPageBreak/>
        <w:t xml:space="preserve">Elbaz, Naglaa F. and Mohammad E. Abd Al Fatah. </w:t>
      </w:r>
      <w:r w:rsidRPr="00666900">
        <w:rPr>
          <w:rFonts w:asciiTheme="majorBidi" w:hAnsiTheme="majorBidi" w:cstheme="majorBidi"/>
          <w:b/>
          <w:bCs/>
          <w:sz w:val="24"/>
          <w:szCs w:val="24"/>
        </w:rPr>
        <w:t>Bacterial diseases outbreaks in some freshwater fish farms in Kafr El-Sheikh, Egypt</w:t>
      </w:r>
      <w:r w:rsidRPr="00666900">
        <w:rPr>
          <w:rFonts w:asciiTheme="majorBidi" w:hAnsiTheme="majorBidi" w:cstheme="majorBidi"/>
          <w:sz w:val="24"/>
          <w:szCs w:val="24"/>
        </w:rPr>
        <w:t>. </w:t>
      </w:r>
      <w:r w:rsidRPr="00666900">
        <w:rPr>
          <w:rFonts w:asciiTheme="majorBidi" w:hAnsiTheme="majorBidi" w:cstheme="majorBidi"/>
          <w:i/>
          <w:iCs/>
          <w:sz w:val="24"/>
          <w:szCs w:val="24"/>
        </w:rPr>
        <w:t>Journal of Applied Aquaculture</w:t>
      </w:r>
      <w:r w:rsidRPr="00666900">
        <w:rPr>
          <w:rFonts w:asciiTheme="majorBidi" w:hAnsiTheme="majorBidi" w:cstheme="majorBidi"/>
          <w:sz w:val="24"/>
          <w:szCs w:val="24"/>
        </w:rPr>
        <w:t> 36 (2022): 1 - 23.</w:t>
      </w:r>
      <w:r w:rsidR="001C53DB" w:rsidRPr="00666900">
        <w:rPr>
          <w:rFonts w:asciiTheme="majorBidi" w:hAnsiTheme="majorBidi" w:cstheme="majorBidi"/>
          <w:sz w:val="24"/>
          <w:szCs w:val="24"/>
        </w:rPr>
        <w:t xml:space="preserve"> </w:t>
      </w:r>
      <w:hyperlink r:id="rId50" w:history="1">
        <w:r w:rsidR="001C53DB" w:rsidRPr="00666900">
          <w:rPr>
            <w:rStyle w:val="Hyperlink"/>
            <w:rFonts w:asciiTheme="majorBidi" w:hAnsiTheme="majorBidi" w:cstheme="majorBidi"/>
            <w:sz w:val="24"/>
            <w:szCs w:val="24"/>
          </w:rPr>
          <w:t>https://doi.org/10.1080/10454438.2022.2105673</w:t>
        </w:r>
      </w:hyperlink>
    </w:p>
    <w:p w14:paraId="62978E31"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1A6F8BC3" w14:textId="2ED94559"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Foteini, F; I.</w:t>
      </w:r>
      <w:r w:rsidRPr="00666900">
        <w:rPr>
          <w:rFonts w:asciiTheme="majorBidi" w:hAnsiTheme="majorBidi" w:cstheme="majorBidi"/>
          <w:sz w:val="24"/>
          <w:szCs w:val="24"/>
          <w:lang w:val="fr-FR"/>
        </w:rPr>
        <w:t xml:space="preserve"> Yoshida; and J.C. Leblanc.</w:t>
      </w:r>
      <w:r w:rsidRPr="00666900">
        <w:rPr>
          <w:rFonts w:asciiTheme="majorBidi" w:hAnsiTheme="majorBidi" w:cstheme="majorBidi"/>
          <w:sz w:val="24"/>
          <w:szCs w:val="24"/>
        </w:rPr>
        <w:t xml:space="preserve"> (2015).</w:t>
      </w:r>
      <w:r w:rsidRPr="00666900">
        <w:rPr>
          <w:rFonts w:asciiTheme="majorBidi" w:hAnsiTheme="majorBidi" w:cstheme="majorBidi"/>
          <w:sz w:val="24"/>
          <w:szCs w:val="24"/>
          <w:lang w:val="fr-FR"/>
        </w:rPr>
        <w:t xml:space="preserve"> </w:t>
      </w:r>
      <w:r w:rsidRPr="00666900">
        <w:rPr>
          <w:rFonts w:asciiTheme="majorBidi" w:hAnsiTheme="majorBidi" w:cstheme="majorBidi"/>
          <w:b/>
          <w:bCs/>
          <w:sz w:val="24"/>
          <w:szCs w:val="24"/>
        </w:rPr>
        <w:t>Microbiological spoilage and volatiles production of gutted European sea bass stored under air and commercial modified atmosphere package at 2_C</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Food Microbiology</w:t>
      </w:r>
      <w:r w:rsidRPr="00666900">
        <w:rPr>
          <w:rFonts w:asciiTheme="majorBidi" w:hAnsiTheme="majorBidi" w:cstheme="majorBidi"/>
          <w:sz w:val="24"/>
          <w:szCs w:val="24"/>
        </w:rPr>
        <w:t>. 44: 50-53.</w:t>
      </w:r>
      <w:r w:rsidR="000A27B2" w:rsidRPr="00666900">
        <w:rPr>
          <w:rFonts w:asciiTheme="majorBidi" w:hAnsiTheme="majorBidi" w:cstheme="majorBidi"/>
          <w:sz w:val="24"/>
          <w:szCs w:val="24"/>
        </w:rPr>
        <w:t xml:space="preserve"> </w:t>
      </w:r>
      <w:hyperlink r:id="rId51" w:history="1">
        <w:r w:rsidR="000A27B2" w:rsidRPr="00666900">
          <w:rPr>
            <w:rStyle w:val="Hyperlink"/>
            <w:rFonts w:asciiTheme="majorBidi" w:hAnsiTheme="majorBidi" w:cstheme="majorBidi"/>
            <w:sz w:val="24"/>
            <w:szCs w:val="24"/>
          </w:rPr>
          <w:t>https://www.sciencedirect.com/science/article/pii/S074000201500057X</w:t>
        </w:r>
      </w:hyperlink>
    </w:p>
    <w:p w14:paraId="7437B1F8" w14:textId="77777777" w:rsidR="000A27B2" w:rsidRPr="001E28E7" w:rsidRDefault="000A27B2" w:rsidP="000A27B2">
      <w:pPr>
        <w:tabs>
          <w:tab w:val="right" w:pos="6379"/>
        </w:tabs>
        <w:bidi w:val="0"/>
        <w:spacing w:after="0" w:line="240" w:lineRule="auto"/>
        <w:ind w:left="454" w:hanging="454"/>
        <w:contextualSpacing/>
        <w:jc w:val="both"/>
        <w:rPr>
          <w:rFonts w:asciiTheme="majorBidi" w:hAnsiTheme="majorBidi" w:cstheme="majorBidi"/>
          <w:sz w:val="24"/>
          <w:szCs w:val="24"/>
        </w:rPr>
      </w:pPr>
    </w:p>
    <w:p w14:paraId="44518AA3" w14:textId="0DBA34AC" w:rsidR="00010CCA" w:rsidRDefault="00010CCA" w:rsidP="00666900">
      <w:pPr>
        <w:pStyle w:val="ListParagraph"/>
        <w:numPr>
          <w:ilvl w:val="0"/>
          <w:numId w:val="16"/>
        </w:numPr>
        <w:tabs>
          <w:tab w:val="right" w:pos="6379"/>
        </w:tabs>
        <w:bidi w:val="0"/>
        <w:spacing w:after="0" w:line="240" w:lineRule="auto"/>
        <w:jc w:val="both"/>
      </w:pPr>
      <w:r w:rsidRPr="00666900">
        <w:rPr>
          <w:rFonts w:asciiTheme="majorBidi" w:hAnsiTheme="majorBidi" w:cstheme="majorBidi"/>
          <w:sz w:val="24"/>
          <w:szCs w:val="24"/>
        </w:rPr>
        <w:t xml:space="preserve">FAO, 2012. </w:t>
      </w:r>
      <w:r w:rsidRPr="00666900">
        <w:rPr>
          <w:rFonts w:asciiTheme="majorBidi" w:hAnsiTheme="majorBidi" w:cstheme="majorBidi"/>
          <w:b/>
          <w:bCs/>
          <w:sz w:val="24"/>
          <w:szCs w:val="24"/>
        </w:rPr>
        <w:t>The State of World Fisheries and Aquaculture</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FAO Fisheries and Aquaculture Management – ​​Food and Agriculture Organization of the United Nations</w:t>
      </w:r>
      <w:r w:rsidRPr="00666900">
        <w:rPr>
          <w:rFonts w:asciiTheme="majorBidi" w:hAnsiTheme="majorBidi" w:cstheme="majorBidi"/>
          <w:sz w:val="24"/>
          <w:szCs w:val="24"/>
        </w:rPr>
        <w:t xml:space="preserve">, Rome. </w:t>
      </w:r>
      <w:hyperlink r:id="rId52" w:history="1">
        <w:r w:rsidR="001C53DB" w:rsidRPr="00965B3E">
          <w:rPr>
            <w:rStyle w:val="Hyperlink"/>
          </w:rPr>
          <w:t>http://www.fao.org/docrep/016/i2727e/i2727e.pdf</w:t>
        </w:r>
      </w:hyperlink>
    </w:p>
    <w:p w14:paraId="262DC831"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07405E0B" w14:textId="3C5FA737"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Garcia JC, Martinez DT, Alves OL, Leonardo AFG, Barbieri E. (2015). </w:t>
      </w:r>
      <w:r w:rsidRPr="00666900">
        <w:rPr>
          <w:rFonts w:asciiTheme="majorBidi" w:hAnsiTheme="majorBidi" w:cstheme="majorBidi"/>
          <w:b/>
          <w:bCs/>
          <w:sz w:val="24"/>
          <w:szCs w:val="24"/>
        </w:rPr>
        <w:t xml:space="preserve">Ecotoxicological effects of carbofuran and oxidized multiwalled carbon nanotubes on the freshwater fish </w:t>
      </w:r>
      <w:r w:rsidRPr="00666900">
        <w:rPr>
          <w:rFonts w:asciiTheme="majorBidi" w:hAnsiTheme="majorBidi" w:cstheme="majorBidi"/>
          <w:b/>
          <w:bCs/>
          <w:i/>
          <w:iCs/>
          <w:sz w:val="24"/>
          <w:szCs w:val="24"/>
        </w:rPr>
        <w:t>Nile tilapia</w:t>
      </w:r>
      <w:r w:rsidRPr="00666900">
        <w:rPr>
          <w:rFonts w:asciiTheme="majorBidi" w:hAnsiTheme="majorBidi" w:cstheme="majorBidi"/>
          <w:b/>
          <w:bCs/>
          <w:sz w:val="24"/>
          <w:szCs w:val="24"/>
        </w:rPr>
        <w:t>: Nanotubes enhance pesricide ecotoxicity</w:t>
      </w:r>
      <w:r w:rsidRPr="00666900">
        <w:rPr>
          <w:rFonts w:asciiTheme="majorBidi" w:hAnsiTheme="majorBidi" w:cstheme="majorBidi"/>
          <w:i/>
          <w:iCs/>
          <w:sz w:val="24"/>
          <w:szCs w:val="24"/>
        </w:rPr>
        <w:t>. Ecotoxicol. Environ</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Saf</w:t>
      </w:r>
      <w:r w:rsidRPr="00666900">
        <w:rPr>
          <w:rFonts w:asciiTheme="majorBidi" w:hAnsiTheme="majorBidi" w:cstheme="majorBidi"/>
          <w:sz w:val="24"/>
          <w:szCs w:val="24"/>
        </w:rPr>
        <w:t>., 111. 131–137.</w:t>
      </w:r>
      <w:r w:rsidR="001C53DB" w:rsidRPr="001C53DB">
        <w:t xml:space="preserve"> </w:t>
      </w:r>
      <w:hyperlink r:id="rId53" w:history="1">
        <w:r w:rsidR="001C53DB" w:rsidRPr="00666900">
          <w:rPr>
            <w:rStyle w:val="Hyperlink"/>
            <w:rFonts w:asciiTheme="majorBidi" w:hAnsiTheme="majorBidi" w:cstheme="majorBidi"/>
            <w:sz w:val="24"/>
            <w:szCs w:val="24"/>
          </w:rPr>
          <w:t>https://doi.org/10.1016/j.ecoenv.2014.10.005</w:t>
        </w:r>
      </w:hyperlink>
    </w:p>
    <w:p w14:paraId="55C25190"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4C6D6361" w14:textId="4B650734" w:rsidR="001C53DB" w:rsidRPr="00666900" w:rsidRDefault="003D2BC9"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Ghaly, A. E., Dave, D., Budge, S., &amp; Brooks, M. S. (2010). </w:t>
      </w:r>
      <w:r w:rsidRPr="00666900">
        <w:rPr>
          <w:rFonts w:asciiTheme="majorBidi" w:hAnsiTheme="majorBidi" w:cstheme="majorBidi"/>
          <w:b/>
          <w:bCs/>
          <w:sz w:val="24"/>
          <w:szCs w:val="24"/>
        </w:rPr>
        <w:t>Fish spoilage mechanisms and preservation techniques</w:t>
      </w:r>
      <w:r w:rsidRPr="00666900">
        <w:rPr>
          <w:rFonts w:asciiTheme="majorBidi" w:hAnsiTheme="majorBidi" w:cstheme="majorBidi"/>
          <w:sz w:val="24"/>
          <w:szCs w:val="24"/>
        </w:rPr>
        <w:t>. </w:t>
      </w:r>
      <w:r w:rsidRPr="00666900">
        <w:rPr>
          <w:rFonts w:asciiTheme="majorBidi" w:hAnsiTheme="majorBidi" w:cstheme="majorBidi"/>
          <w:i/>
          <w:iCs/>
          <w:sz w:val="24"/>
          <w:szCs w:val="24"/>
        </w:rPr>
        <w:t>American journal of applied sciences</w:t>
      </w:r>
      <w:r w:rsidRPr="00666900">
        <w:rPr>
          <w:rFonts w:asciiTheme="majorBidi" w:hAnsiTheme="majorBidi" w:cstheme="majorBidi"/>
          <w:sz w:val="24"/>
          <w:szCs w:val="24"/>
        </w:rPr>
        <w:t>, </w:t>
      </w:r>
      <w:r w:rsidRPr="00666900">
        <w:rPr>
          <w:rFonts w:asciiTheme="majorBidi" w:hAnsiTheme="majorBidi" w:cstheme="majorBidi"/>
          <w:i/>
          <w:iCs/>
          <w:sz w:val="24"/>
          <w:szCs w:val="24"/>
        </w:rPr>
        <w:t>7</w:t>
      </w:r>
      <w:r w:rsidRPr="00666900">
        <w:rPr>
          <w:rFonts w:asciiTheme="majorBidi" w:hAnsiTheme="majorBidi" w:cstheme="majorBidi"/>
          <w:sz w:val="24"/>
          <w:szCs w:val="24"/>
        </w:rPr>
        <w:t>(7), 859.</w:t>
      </w:r>
      <w:r w:rsidR="001C53DB" w:rsidRPr="00666900">
        <w:rPr>
          <w:rFonts w:asciiTheme="majorBidi" w:hAnsiTheme="majorBidi" w:cstheme="majorBidi"/>
          <w:sz w:val="24"/>
          <w:szCs w:val="24"/>
        </w:rPr>
        <w:t xml:space="preserve"> </w:t>
      </w:r>
      <w:hyperlink r:id="rId54" w:history="1">
        <w:r w:rsidR="001C53DB" w:rsidRPr="00666900">
          <w:rPr>
            <w:rStyle w:val="Hyperlink"/>
            <w:rFonts w:asciiTheme="majorBidi" w:hAnsiTheme="majorBidi" w:cstheme="majorBidi"/>
            <w:sz w:val="24"/>
            <w:szCs w:val="24"/>
          </w:rPr>
          <w:t>https://doi.org/10.3844/ajassp.2010.859.877</w:t>
        </w:r>
      </w:hyperlink>
    </w:p>
    <w:p w14:paraId="4B6482C5" w14:textId="4D101E76" w:rsidR="003D2BC9" w:rsidRPr="00666900" w:rsidRDefault="003D2BC9" w:rsidP="00666900">
      <w:pPr>
        <w:pStyle w:val="ListParagraph"/>
        <w:bidi w:val="0"/>
        <w:spacing w:after="0" w:line="240" w:lineRule="auto"/>
        <w:jc w:val="both"/>
        <w:rPr>
          <w:rFonts w:asciiTheme="majorBidi" w:hAnsiTheme="majorBidi" w:cstheme="majorBidi"/>
          <w:sz w:val="24"/>
          <w:szCs w:val="24"/>
        </w:rPr>
      </w:pPr>
    </w:p>
    <w:p w14:paraId="69F990F0" w14:textId="3CEF02D5"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Huss, H.H., D. Dalsgaard, L. Hansen, H. Ladefoged, A. Pedersen and L. Zittan. (1974). </w:t>
      </w:r>
      <w:r w:rsidRPr="00666900">
        <w:rPr>
          <w:rFonts w:asciiTheme="majorBidi" w:hAnsiTheme="majorBidi" w:cstheme="majorBidi"/>
          <w:b/>
          <w:bCs/>
          <w:sz w:val="24"/>
          <w:szCs w:val="24"/>
        </w:rPr>
        <w:t>The influence of hygiene in catch handling on the Torage life of iced cod and plaice</w:t>
      </w:r>
      <w:r w:rsidRPr="00666900">
        <w:rPr>
          <w:rFonts w:asciiTheme="majorBidi" w:hAnsiTheme="majorBidi" w:cstheme="majorBidi"/>
          <w:sz w:val="24"/>
          <w:szCs w:val="24"/>
        </w:rPr>
        <w:t>. J. Food Technol. 9.: 213-221.</w:t>
      </w:r>
      <w:r w:rsidR="001C53DB" w:rsidRPr="00666900">
        <w:rPr>
          <w:rFonts w:asciiTheme="majorBidi" w:hAnsiTheme="majorBidi" w:cstheme="majorBidi"/>
          <w:sz w:val="24"/>
          <w:szCs w:val="24"/>
        </w:rPr>
        <w:t xml:space="preserve"> </w:t>
      </w:r>
      <w:hyperlink r:id="rId55" w:history="1">
        <w:r w:rsidR="001C53DB" w:rsidRPr="00666900">
          <w:rPr>
            <w:rStyle w:val="Hyperlink"/>
            <w:rFonts w:asciiTheme="majorBidi" w:hAnsiTheme="majorBidi" w:cstheme="majorBidi"/>
            <w:sz w:val="24"/>
            <w:szCs w:val="24"/>
          </w:rPr>
          <w:t>https://doi.org/10.1111/j.1365-2621.1974.tb01765.x</w:t>
        </w:r>
      </w:hyperlink>
    </w:p>
    <w:p w14:paraId="5E40EF98"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263A2B12" w14:textId="647441FC"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Ikape, S. I. (2017). </w:t>
      </w:r>
      <w:r w:rsidRPr="00666900">
        <w:rPr>
          <w:rFonts w:asciiTheme="majorBidi" w:hAnsiTheme="majorBidi" w:cstheme="majorBidi"/>
          <w:b/>
          <w:bCs/>
          <w:sz w:val="24"/>
          <w:szCs w:val="24"/>
        </w:rPr>
        <w:t>Fish spoilage in the tropics: A review</w:t>
      </w:r>
      <w:r w:rsidRPr="00666900">
        <w:rPr>
          <w:rFonts w:asciiTheme="majorBidi" w:hAnsiTheme="majorBidi" w:cstheme="majorBidi"/>
          <w:sz w:val="24"/>
          <w:szCs w:val="24"/>
        </w:rPr>
        <w:t>. </w:t>
      </w:r>
      <w:r w:rsidRPr="00666900">
        <w:rPr>
          <w:rFonts w:asciiTheme="majorBidi" w:hAnsiTheme="majorBidi" w:cstheme="majorBidi"/>
          <w:i/>
          <w:iCs/>
          <w:sz w:val="24"/>
          <w:szCs w:val="24"/>
        </w:rPr>
        <w:t>Octa Journal of Biosciences</w:t>
      </w:r>
      <w:r w:rsidRPr="00666900">
        <w:rPr>
          <w:rFonts w:asciiTheme="majorBidi" w:hAnsiTheme="majorBidi" w:cstheme="majorBidi"/>
          <w:sz w:val="24"/>
          <w:szCs w:val="24"/>
        </w:rPr>
        <w:t>, </w:t>
      </w:r>
      <w:r w:rsidRPr="00666900">
        <w:rPr>
          <w:rFonts w:asciiTheme="majorBidi" w:hAnsiTheme="majorBidi" w:cstheme="majorBidi"/>
          <w:i/>
          <w:iCs/>
          <w:sz w:val="24"/>
          <w:szCs w:val="24"/>
        </w:rPr>
        <w:t>5</w:t>
      </w:r>
      <w:r w:rsidRPr="00666900">
        <w:rPr>
          <w:rFonts w:asciiTheme="majorBidi" w:hAnsiTheme="majorBidi" w:cstheme="majorBidi"/>
          <w:sz w:val="24"/>
          <w:szCs w:val="24"/>
        </w:rPr>
        <w:t>(2).</w:t>
      </w:r>
      <w:r w:rsidRPr="00666900">
        <w:rPr>
          <w:rFonts w:asciiTheme="majorBidi" w:hAnsiTheme="majorBidi" w:cstheme="majorBidi"/>
          <w:sz w:val="24"/>
          <w:szCs w:val="24"/>
          <w:rtl/>
        </w:rPr>
        <w:t>‏</w:t>
      </w:r>
      <w:r w:rsidR="0007714D" w:rsidRPr="00666900">
        <w:rPr>
          <w:rFonts w:asciiTheme="majorBidi" w:hAnsiTheme="majorBidi" w:cstheme="majorBidi" w:hint="cs"/>
          <w:sz w:val="24"/>
          <w:szCs w:val="24"/>
          <w:rtl/>
        </w:rPr>
        <w:t xml:space="preserve"> </w:t>
      </w:r>
      <w:hyperlink r:id="rId56" w:history="1">
        <w:r w:rsidR="0007714D" w:rsidRPr="00666900">
          <w:rPr>
            <w:rStyle w:val="Hyperlink"/>
            <w:rFonts w:asciiTheme="majorBidi" w:hAnsiTheme="majorBidi" w:cstheme="majorBidi"/>
            <w:sz w:val="24"/>
            <w:szCs w:val="24"/>
          </w:rPr>
          <w:t>http://sciencebeingjournal.com/octa-journal-of-biosciences-fish-spoilage-in-the-tropics-a-review/</w:t>
        </w:r>
      </w:hyperlink>
    </w:p>
    <w:p w14:paraId="2F5FCB1B"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209309E3" w14:textId="7411F5A0" w:rsidR="003D2BC9" w:rsidRPr="00666900" w:rsidRDefault="003D2BC9"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Kilinc, B., Cakli, S., Cadun, A., Dincer, T. &amp; Tolasa, S. (2007). </w:t>
      </w:r>
      <w:r w:rsidRPr="00666900">
        <w:rPr>
          <w:rFonts w:asciiTheme="majorBidi" w:hAnsiTheme="majorBidi" w:cstheme="majorBidi"/>
          <w:b/>
          <w:bCs/>
          <w:sz w:val="24"/>
          <w:szCs w:val="24"/>
        </w:rPr>
        <w:t>Comparison of effects of slurry ice and 559 flake ice pretreatments on the quality of aquacultured sea bream (</w:t>
      </w:r>
      <w:r w:rsidRPr="00666900">
        <w:rPr>
          <w:rFonts w:asciiTheme="majorBidi" w:hAnsiTheme="majorBidi" w:cstheme="majorBidi"/>
          <w:b/>
          <w:bCs/>
          <w:i/>
          <w:iCs/>
          <w:sz w:val="24"/>
          <w:szCs w:val="24"/>
        </w:rPr>
        <w:t xml:space="preserve">Sparus aurata) </w:t>
      </w:r>
      <w:r w:rsidRPr="00666900">
        <w:rPr>
          <w:rFonts w:asciiTheme="majorBidi" w:hAnsiTheme="majorBidi" w:cstheme="majorBidi"/>
          <w:b/>
          <w:bCs/>
          <w:sz w:val="24"/>
          <w:szCs w:val="24"/>
        </w:rPr>
        <w:t>and sea bass 560 (</w:t>
      </w:r>
      <w:r w:rsidRPr="00666900">
        <w:rPr>
          <w:rFonts w:asciiTheme="majorBidi" w:hAnsiTheme="majorBidi" w:cstheme="majorBidi"/>
          <w:b/>
          <w:bCs/>
          <w:i/>
          <w:iCs/>
          <w:sz w:val="24"/>
          <w:szCs w:val="24"/>
        </w:rPr>
        <w:t>Dicentrarchus labrax</w:t>
      </w:r>
      <w:r w:rsidRPr="00666900">
        <w:rPr>
          <w:rFonts w:asciiTheme="majorBidi" w:hAnsiTheme="majorBidi" w:cstheme="majorBidi"/>
          <w:b/>
          <w:bCs/>
          <w:sz w:val="24"/>
          <w:szCs w:val="24"/>
        </w:rPr>
        <w:t>) stored at 4 degrees ºC</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 xml:space="preserve">Food Chemistry, </w:t>
      </w:r>
      <w:r w:rsidRPr="00666900">
        <w:rPr>
          <w:rFonts w:asciiTheme="majorBidi" w:hAnsiTheme="majorBidi" w:cstheme="majorBidi"/>
          <w:sz w:val="24"/>
          <w:szCs w:val="24"/>
        </w:rPr>
        <w:t>104.: 1611-1617.</w:t>
      </w:r>
      <w:r w:rsidR="0007714D" w:rsidRPr="00666900">
        <w:rPr>
          <w:rFonts w:asciiTheme="majorBidi" w:hAnsiTheme="majorBidi" w:cstheme="majorBidi"/>
          <w:sz w:val="24"/>
          <w:szCs w:val="24"/>
        </w:rPr>
        <w:t xml:space="preserve"> </w:t>
      </w:r>
      <w:hyperlink r:id="rId57" w:history="1">
        <w:r w:rsidR="0007714D" w:rsidRPr="00666900">
          <w:rPr>
            <w:rStyle w:val="Hyperlink"/>
            <w:rFonts w:asciiTheme="majorBidi" w:hAnsiTheme="majorBidi" w:cstheme="majorBidi"/>
            <w:sz w:val="24"/>
            <w:szCs w:val="24"/>
          </w:rPr>
          <w:t>https://doi.org/10.1016/j.foodchem.2007.03.002</w:t>
        </w:r>
      </w:hyperlink>
    </w:p>
    <w:p w14:paraId="65CF490F" w14:textId="77777777" w:rsidR="0007714D" w:rsidRPr="001E28E7" w:rsidRDefault="0007714D" w:rsidP="0007714D">
      <w:pPr>
        <w:bidi w:val="0"/>
        <w:spacing w:after="0" w:line="240" w:lineRule="auto"/>
        <w:ind w:left="454" w:hanging="454"/>
        <w:contextualSpacing/>
        <w:jc w:val="both"/>
        <w:rPr>
          <w:rFonts w:asciiTheme="majorBidi" w:hAnsiTheme="majorBidi" w:cstheme="majorBidi"/>
          <w:sz w:val="24"/>
          <w:szCs w:val="24"/>
        </w:rPr>
      </w:pPr>
    </w:p>
    <w:p w14:paraId="3AE4F35C" w14:textId="6DF4F58E" w:rsidR="0007714D" w:rsidRPr="00666900" w:rsidRDefault="003D2BC9" w:rsidP="00666900">
      <w:pPr>
        <w:pStyle w:val="ListParagraph"/>
        <w:numPr>
          <w:ilvl w:val="0"/>
          <w:numId w:val="16"/>
        </w:numPr>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Kumar, V., Sehgal, R., &amp; Gupta, R. (2023). </w:t>
      </w:r>
      <w:r w:rsidRPr="00666900">
        <w:rPr>
          <w:rFonts w:asciiTheme="majorBidi" w:hAnsiTheme="majorBidi" w:cstheme="majorBidi"/>
          <w:b/>
          <w:bCs/>
          <w:sz w:val="24"/>
          <w:szCs w:val="24"/>
        </w:rPr>
        <w:t>Microbes and wastewater treatment</w:t>
      </w:r>
      <w:r w:rsidRPr="00666900">
        <w:rPr>
          <w:rFonts w:asciiTheme="majorBidi" w:hAnsiTheme="majorBidi" w:cstheme="majorBidi"/>
          <w:sz w:val="24"/>
          <w:szCs w:val="24"/>
        </w:rPr>
        <w:t>. In Development in Wastewater Treatment Research and Processes (pp. 239-255). Elsevier</w:t>
      </w:r>
      <w:r w:rsidR="0007714D" w:rsidRPr="00666900">
        <w:rPr>
          <w:rFonts w:asciiTheme="majorBidi" w:hAnsiTheme="majorBidi" w:cstheme="majorBidi"/>
          <w:sz w:val="24"/>
          <w:szCs w:val="24"/>
        </w:rPr>
        <w:t xml:space="preserve"> </w:t>
      </w:r>
      <w:hyperlink r:id="rId58" w:history="1">
        <w:r w:rsidR="0007714D" w:rsidRPr="00666900">
          <w:rPr>
            <w:rStyle w:val="Hyperlink"/>
            <w:rFonts w:asciiTheme="majorBidi" w:hAnsiTheme="majorBidi" w:cstheme="majorBidi"/>
            <w:sz w:val="24"/>
            <w:szCs w:val="24"/>
          </w:rPr>
          <w:t>https://doi.org/10.1016/C2020-0-03289-5</w:t>
        </w:r>
      </w:hyperlink>
    </w:p>
    <w:p w14:paraId="43EF13B8" w14:textId="7C61C003" w:rsidR="003D2BC9" w:rsidRPr="00666900" w:rsidRDefault="003D2BC9" w:rsidP="00666900">
      <w:pPr>
        <w:pStyle w:val="ListParagraph"/>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tl/>
        </w:rPr>
        <w:t>‏</w:t>
      </w:r>
    </w:p>
    <w:p w14:paraId="45D453E8" w14:textId="02ECD4B7" w:rsidR="00413EC7" w:rsidRPr="00666900" w:rsidRDefault="00413EC7"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lang w:val="en-US"/>
        </w:rPr>
      </w:pPr>
      <w:r w:rsidRPr="00666900">
        <w:rPr>
          <w:rFonts w:asciiTheme="majorBidi" w:hAnsiTheme="majorBidi" w:cstheme="majorBidi"/>
          <w:sz w:val="24"/>
          <w:szCs w:val="24"/>
          <w:lang w:val="en-US"/>
        </w:rPr>
        <w:t xml:space="preserve">Maria, A. (2019). </w:t>
      </w:r>
      <w:r w:rsidRPr="00666900">
        <w:rPr>
          <w:rFonts w:asciiTheme="majorBidi" w:hAnsiTheme="majorBidi" w:cstheme="majorBidi"/>
          <w:b/>
          <w:bCs/>
          <w:sz w:val="24"/>
          <w:szCs w:val="24"/>
          <w:lang w:val="en-US"/>
        </w:rPr>
        <w:t xml:space="preserve">Shelf life extension and improvement of the nutritional value of fish fillets through osmotic treatment based on the sustainable use of </w:t>
      </w:r>
      <w:r w:rsidRPr="00666900">
        <w:rPr>
          <w:rFonts w:asciiTheme="majorBidi" w:hAnsiTheme="majorBidi" w:cstheme="majorBidi"/>
          <w:b/>
          <w:bCs/>
          <w:i/>
          <w:iCs/>
          <w:sz w:val="24"/>
          <w:szCs w:val="24"/>
          <w:lang w:val="en-US"/>
        </w:rPr>
        <w:t xml:space="preserve">Rosa damascena </w:t>
      </w:r>
      <w:r w:rsidRPr="00666900">
        <w:rPr>
          <w:rFonts w:asciiTheme="majorBidi" w:hAnsiTheme="majorBidi" w:cstheme="majorBidi"/>
          <w:b/>
          <w:bCs/>
          <w:sz w:val="24"/>
          <w:szCs w:val="24"/>
          <w:lang w:val="en-US"/>
        </w:rPr>
        <w:t>distillation by-products.</w:t>
      </w:r>
      <w:r w:rsidRPr="00666900">
        <w:rPr>
          <w:rFonts w:asciiTheme="majorBidi" w:hAnsiTheme="majorBidi" w:cstheme="majorBidi"/>
          <w:sz w:val="24"/>
          <w:szCs w:val="24"/>
          <w:lang w:val="en-US"/>
        </w:rPr>
        <w:t xml:space="preserve"> </w:t>
      </w:r>
      <w:r w:rsidRPr="00666900">
        <w:rPr>
          <w:rFonts w:asciiTheme="majorBidi" w:hAnsiTheme="majorBidi" w:cstheme="majorBidi"/>
          <w:i/>
          <w:iCs/>
          <w:sz w:val="24"/>
          <w:szCs w:val="24"/>
          <w:lang w:val="en-US"/>
        </w:rPr>
        <w:t>Foods</w:t>
      </w:r>
      <w:r w:rsidRPr="00666900">
        <w:rPr>
          <w:rFonts w:asciiTheme="majorBidi" w:hAnsiTheme="majorBidi" w:cstheme="majorBidi"/>
          <w:sz w:val="24"/>
          <w:szCs w:val="24"/>
          <w:lang w:val="en-US"/>
        </w:rPr>
        <w:t>. 8: 421.</w:t>
      </w:r>
      <w:r w:rsidR="0007714D" w:rsidRPr="00666900">
        <w:rPr>
          <w:rFonts w:asciiTheme="majorBidi" w:hAnsiTheme="majorBidi" w:cstheme="majorBidi"/>
          <w:sz w:val="24"/>
          <w:szCs w:val="24"/>
          <w:lang w:val="en-US"/>
        </w:rPr>
        <w:t xml:space="preserve"> </w:t>
      </w:r>
      <w:hyperlink r:id="rId59" w:history="1">
        <w:r w:rsidR="0007714D" w:rsidRPr="00666900">
          <w:rPr>
            <w:rStyle w:val="Hyperlink"/>
            <w:rFonts w:asciiTheme="majorBidi" w:hAnsiTheme="majorBidi" w:cstheme="majorBidi"/>
            <w:sz w:val="24"/>
            <w:szCs w:val="24"/>
            <w:lang w:val="en-US"/>
          </w:rPr>
          <w:t>https://doi.org/10.3390/foods8090421</w:t>
        </w:r>
      </w:hyperlink>
    </w:p>
    <w:p w14:paraId="77A503A3"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7DA3D1DB" w14:textId="124DCC9E"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Medina</w:t>
      </w:r>
      <w:r w:rsidRPr="00666900">
        <w:rPr>
          <w:rFonts w:ascii="Cambria Math" w:hAnsi="Cambria Math" w:cs="Cambria Math"/>
          <w:sz w:val="24"/>
          <w:szCs w:val="24"/>
        </w:rPr>
        <w:t>‐</w:t>
      </w:r>
      <w:r w:rsidRPr="00666900">
        <w:rPr>
          <w:rFonts w:asciiTheme="majorBidi" w:hAnsiTheme="majorBidi" w:cstheme="majorBidi"/>
          <w:sz w:val="24"/>
          <w:szCs w:val="24"/>
        </w:rPr>
        <w:t>Félix, D., Garibay</w:t>
      </w:r>
      <w:r w:rsidRPr="00666900">
        <w:rPr>
          <w:rFonts w:ascii="Cambria Math" w:hAnsi="Cambria Math" w:cs="Cambria Math"/>
          <w:sz w:val="24"/>
          <w:szCs w:val="24"/>
        </w:rPr>
        <w:t>‐</w:t>
      </w:r>
      <w:r w:rsidRPr="00666900">
        <w:rPr>
          <w:rFonts w:asciiTheme="majorBidi" w:hAnsiTheme="majorBidi" w:cstheme="majorBidi"/>
          <w:sz w:val="24"/>
          <w:szCs w:val="24"/>
        </w:rPr>
        <w:t>Valdez, E., Vargas</w:t>
      </w:r>
      <w:r w:rsidRPr="00666900">
        <w:rPr>
          <w:rFonts w:ascii="Cambria Math" w:hAnsi="Cambria Math" w:cs="Cambria Math"/>
          <w:sz w:val="24"/>
          <w:szCs w:val="24"/>
        </w:rPr>
        <w:t>‐</w:t>
      </w:r>
      <w:r w:rsidRPr="00666900">
        <w:rPr>
          <w:rFonts w:asciiTheme="majorBidi" w:hAnsiTheme="majorBidi" w:cstheme="majorBidi"/>
          <w:sz w:val="24"/>
          <w:szCs w:val="24"/>
        </w:rPr>
        <w:t>Albores, F., &amp; Martínez</w:t>
      </w:r>
      <w:r w:rsidRPr="00666900">
        <w:rPr>
          <w:rFonts w:ascii="Cambria Math" w:hAnsi="Cambria Math" w:cs="Cambria Math"/>
          <w:sz w:val="24"/>
          <w:szCs w:val="24"/>
        </w:rPr>
        <w:t>‐</w:t>
      </w:r>
      <w:r w:rsidRPr="00666900">
        <w:rPr>
          <w:rFonts w:asciiTheme="majorBidi" w:hAnsiTheme="majorBidi" w:cstheme="majorBidi"/>
          <w:sz w:val="24"/>
          <w:szCs w:val="24"/>
        </w:rPr>
        <w:t xml:space="preserve">Porchas, M. (2023). </w:t>
      </w:r>
      <w:r w:rsidRPr="00666900">
        <w:rPr>
          <w:rFonts w:asciiTheme="majorBidi" w:hAnsiTheme="majorBidi" w:cstheme="majorBidi"/>
          <w:b/>
          <w:bCs/>
          <w:sz w:val="24"/>
          <w:szCs w:val="24"/>
        </w:rPr>
        <w:t>Fish disease and intestinal microbiota: A close and indivisible relationship</w:t>
      </w:r>
      <w:r w:rsidRPr="00666900">
        <w:rPr>
          <w:rFonts w:asciiTheme="majorBidi" w:hAnsiTheme="majorBidi" w:cstheme="majorBidi"/>
          <w:sz w:val="24"/>
          <w:szCs w:val="24"/>
        </w:rPr>
        <w:t>. </w:t>
      </w:r>
      <w:r w:rsidRPr="00666900">
        <w:rPr>
          <w:rFonts w:asciiTheme="majorBidi" w:hAnsiTheme="majorBidi" w:cstheme="majorBidi"/>
          <w:i/>
          <w:iCs/>
          <w:sz w:val="24"/>
          <w:szCs w:val="24"/>
        </w:rPr>
        <w:t>Reviews in Aquaculture</w:t>
      </w:r>
      <w:r w:rsidRPr="00666900">
        <w:rPr>
          <w:rFonts w:asciiTheme="majorBidi" w:hAnsiTheme="majorBidi" w:cstheme="majorBidi"/>
          <w:sz w:val="24"/>
          <w:szCs w:val="24"/>
        </w:rPr>
        <w:t>, </w:t>
      </w:r>
      <w:r w:rsidRPr="00666900">
        <w:rPr>
          <w:rFonts w:asciiTheme="majorBidi" w:hAnsiTheme="majorBidi" w:cstheme="majorBidi"/>
          <w:i/>
          <w:iCs/>
          <w:sz w:val="24"/>
          <w:szCs w:val="24"/>
        </w:rPr>
        <w:t>15</w:t>
      </w:r>
      <w:r w:rsidRPr="00666900">
        <w:rPr>
          <w:rFonts w:asciiTheme="majorBidi" w:hAnsiTheme="majorBidi" w:cstheme="majorBidi"/>
          <w:sz w:val="24"/>
          <w:szCs w:val="24"/>
        </w:rPr>
        <w:t>(2), 820-839.</w:t>
      </w:r>
      <w:r w:rsidRPr="00666900">
        <w:rPr>
          <w:rFonts w:asciiTheme="majorBidi" w:hAnsiTheme="majorBidi" w:cstheme="majorBidi"/>
          <w:sz w:val="24"/>
          <w:szCs w:val="24"/>
          <w:rtl/>
        </w:rPr>
        <w:t>‏</w:t>
      </w:r>
      <w:r w:rsidR="0007714D" w:rsidRPr="00666900">
        <w:rPr>
          <w:rFonts w:asciiTheme="majorBidi" w:hAnsiTheme="majorBidi" w:cstheme="majorBidi" w:hint="cs"/>
          <w:sz w:val="24"/>
          <w:szCs w:val="24"/>
          <w:rtl/>
        </w:rPr>
        <w:t xml:space="preserve"> </w:t>
      </w:r>
      <w:hyperlink r:id="rId60" w:history="1">
        <w:r w:rsidR="0007714D" w:rsidRPr="00666900">
          <w:rPr>
            <w:rStyle w:val="Hyperlink"/>
            <w:rFonts w:asciiTheme="majorBidi" w:hAnsiTheme="majorBidi" w:cstheme="majorBidi"/>
            <w:sz w:val="24"/>
            <w:szCs w:val="24"/>
          </w:rPr>
          <w:t>https://doi.org/10.1111/raq.12762</w:t>
        </w:r>
      </w:hyperlink>
    </w:p>
    <w:p w14:paraId="503AB67F"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10B6B1F4" w14:textId="5F06DAA4"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Mohammed, I. M. A., &amp; Hamid, S. H. A. (2011). </w:t>
      </w:r>
      <w:r w:rsidRPr="00666900">
        <w:rPr>
          <w:rFonts w:asciiTheme="majorBidi" w:hAnsiTheme="majorBidi" w:cstheme="majorBidi"/>
          <w:b/>
          <w:bCs/>
          <w:sz w:val="24"/>
          <w:szCs w:val="24"/>
        </w:rPr>
        <w:t>Effect of chilling on microbial load of two fish species (Oreochromis niloticus and Clarias lazera)</w:t>
      </w:r>
      <w:r w:rsidRPr="00666900">
        <w:rPr>
          <w:rFonts w:asciiTheme="majorBidi" w:hAnsiTheme="majorBidi" w:cstheme="majorBidi"/>
          <w:sz w:val="24"/>
          <w:szCs w:val="24"/>
        </w:rPr>
        <w:t>. Food and Nutrition, 1(3), 109-113.</w:t>
      </w:r>
      <w:r w:rsidRPr="00666900">
        <w:rPr>
          <w:rFonts w:asciiTheme="majorBidi" w:hAnsiTheme="majorBidi" w:cstheme="majorBidi"/>
          <w:sz w:val="24"/>
          <w:szCs w:val="24"/>
          <w:rtl/>
        </w:rPr>
        <w:t>‏</w:t>
      </w:r>
      <w:r w:rsidR="0007714D" w:rsidRPr="00666900">
        <w:rPr>
          <w:rFonts w:asciiTheme="majorBidi" w:hAnsiTheme="majorBidi" w:cstheme="majorBidi" w:hint="cs"/>
          <w:sz w:val="24"/>
          <w:szCs w:val="24"/>
          <w:rtl/>
        </w:rPr>
        <w:t xml:space="preserve"> </w:t>
      </w:r>
      <w:hyperlink r:id="rId61" w:history="1">
        <w:r w:rsidR="0007714D" w:rsidRPr="00666900">
          <w:rPr>
            <w:rStyle w:val="Hyperlink"/>
            <w:rFonts w:asciiTheme="majorBidi" w:hAnsiTheme="majorBidi" w:cstheme="majorBidi"/>
            <w:sz w:val="24"/>
            <w:szCs w:val="24"/>
          </w:rPr>
          <w:t>https://doi.org/10.5251/ajfn.2011.1.3.109.113</w:t>
        </w:r>
      </w:hyperlink>
    </w:p>
    <w:p w14:paraId="0C509F05"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4BD586A0" w14:textId="6C1E92E9" w:rsidR="00367EEB" w:rsidRPr="00666900" w:rsidRDefault="00367EEB"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lang w:val="en-US"/>
        </w:rPr>
      </w:pPr>
      <w:r w:rsidRPr="00666900">
        <w:rPr>
          <w:rFonts w:asciiTheme="majorBidi" w:hAnsiTheme="majorBidi" w:cstheme="majorBidi"/>
          <w:sz w:val="24"/>
          <w:szCs w:val="24"/>
          <w:lang w:val="en-US"/>
        </w:rPr>
        <w:t xml:space="preserve">Oehlenschlager, J. (2014). </w:t>
      </w:r>
      <w:r w:rsidRPr="00666900">
        <w:rPr>
          <w:rFonts w:asciiTheme="majorBidi" w:hAnsiTheme="majorBidi" w:cstheme="majorBidi"/>
          <w:b/>
          <w:bCs/>
          <w:sz w:val="24"/>
          <w:szCs w:val="24"/>
          <w:lang w:val="en-US"/>
        </w:rPr>
        <w:t>Seafood quality assessment. In: Boziaris</w:t>
      </w:r>
      <w:r w:rsidRPr="00666900">
        <w:rPr>
          <w:rFonts w:asciiTheme="majorBidi" w:hAnsiTheme="majorBidi" w:cstheme="majorBidi"/>
          <w:sz w:val="24"/>
          <w:szCs w:val="24"/>
          <w:lang w:val="en-US"/>
        </w:rPr>
        <w:t xml:space="preserve">, I.S. (Ed.), Seafood Processing, </w:t>
      </w:r>
      <w:r w:rsidRPr="00666900">
        <w:rPr>
          <w:rFonts w:asciiTheme="majorBidi" w:hAnsiTheme="majorBidi" w:cstheme="majorBidi"/>
          <w:i/>
          <w:iCs/>
          <w:sz w:val="24"/>
          <w:szCs w:val="24"/>
          <w:lang w:val="en-US"/>
        </w:rPr>
        <w:t>IFST Advances in Food Science Series</w:t>
      </w:r>
      <w:r w:rsidRPr="00666900">
        <w:rPr>
          <w:rFonts w:asciiTheme="majorBidi" w:hAnsiTheme="majorBidi" w:cstheme="majorBidi"/>
          <w:sz w:val="24"/>
          <w:szCs w:val="24"/>
          <w:lang w:val="en-US"/>
        </w:rPr>
        <w:t>. Technology, Quality &amp; Safety Wiley- Blackwell, West Sussex, UK, pp. 361</w:t>
      </w:r>
      <w:r w:rsidR="00FF2DA5" w:rsidRPr="00666900">
        <w:rPr>
          <w:rFonts w:asciiTheme="majorBidi" w:hAnsiTheme="majorBidi" w:cstheme="majorBidi"/>
          <w:sz w:val="24"/>
          <w:szCs w:val="24"/>
          <w:lang w:val="en-US"/>
        </w:rPr>
        <w:t>-</w:t>
      </w:r>
      <w:r w:rsidRPr="00666900">
        <w:rPr>
          <w:rFonts w:asciiTheme="majorBidi" w:hAnsiTheme="majorBidi" w:cstheme="majorBidi"/>
          <w:sz w:val="24"/>
          <w:szCs w:val="24"/>
          <w:lang w:val="en-US"/>
        </w:rPr>
        <w:t>386.</w:t>
      </w:r>
      <w:r w:rsidR="0007714D" w:rsidRPr="00666900">
        <w:rPr>
          <w:rFonts w:asciiTheme="majorBidi" w:hAnsiTheme="majorBidi" w:cstheme="majorBidi"/>
          <w:sz w:val="24"/>
          <w:szCs w:val="24"/>
          <w:lang w:val="en-US"/>
        </w:rPr>
        <w:t xml:space="preserve"> </w:t>
      </w:r>
      <w:hyperlink r:id="rId62" w:history="1">
        <w:r w:rsidR="0007714D" w:rsidRPr="00666900">
          <w:rPr>
            <w:rStyle w:val="Hyperlink"/>
            <w:rFonts w:asciiTheme="majorBidi" w:hAnsiTheme="majorBidi" w:cstheme="majorBidi"/>
            <w:sz w:val="24"/>
            <w:szCs w:val="24"/>
            <w:lang w:val="en-US"/>
          </w:rPr>
          <w:t>https://doi.org/10.1002/9781118346174.ch14</w:t>
        </w:r>
      </w:hyperlink>
    </w:p>
    <w:p w14:paraId="7CF0B5D8"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0A6DEECC" w14:textId="77777777" w:rsidR="009C2806"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Rahman, M. S., Hasan, M., Mahmud, Z. H., &amp; Islam, M. S. (2010). </w:t>
      </w:r>
      <w:r w:rsidRPr="00666900">
        <w:rPr>
          <w:rFonts w:asciiTheme="majorBidi" w:hAnsiTheme="majorBidi" w:cstheme="majorBidi"/>
          <w:b/>
          <w:bCs/>
          <w:sz w:val="24"/>
          <w:szCs w:val="24"/>
        </w:rPr>
        <w:t>Bacterial load in twelve freshwater fishes of four feeding habits in Bangladesh</w:t>
      </w:r>
      <w:r w:rsidRPr="00666900">
        <w:rPr>
          <w:rFonts w:asciiTheme="majorBidi" w:hAnsiTheme="majorBidi" w:cstheme="majorBidi"/>
          <w:sz w:val="24"/>
          <w:szCs w:val="24"/>
        </w:rPr>
        <w:t>. Dhaka University Journal of Biological Sciences, 19(2), 145-150.</w:t>
      </w:r>
      <w:r w:rsidRPr="00666900">
        <w:rPr>
          <w:rFonts w:asciiTheme="majorBidi" w:hAnsiTheme="majorBidi" w:cstheme="majorBidi"/>
          <w:sz w:val="24"/>
          <w:szCs w:val="24"/>
          <w:rtl/>
        </w:rPr>
        <w:t>‏</w:t>
      </w:r>
      <w:r w:rsidR="0007714D" w:rsidRPr="00666900">
        <w:rPr>
          <w:rFonts w:asciiTheme="majorBidi" w:hAnsiTheme="majorBidi" w:cstheme="majorBidi" w:hint="cs"/>
          <w:sz w:val="24"/>
          <w:szCs w:val="24"/>
          <w:rtl/>
        </w:rPr>
        <w:t xml:space="preserve"> </w:t>
      </w:r>
      <w:hyperlink r:id="rId63" w:history="1">
        <w:r w:rsidR="0007714D" w:rsidRPr="00666900">
          <w:rPr>
            <w:rStyle w:val="Hyperlink"/>
            <w:rFonts w:asciiTheme="majorBidi" w:hAnsiTheme="majorBidi" w:cstheme="majorBidi"/>
            <w:sz w:val="24"/>
            <w:szCs w:val="24"/>
          </w:rPr>
          <w:t>https://doi.org/10.3329/dujbs.v19i2.8956</w:t>
        </w:r>
      </w:hyperlink>
    </w:p>
    <w:p w14:paraId="61C644D5" w14:textId="77777777" w:rsidR="000B7539" w:rsidRDefault="000B7539" w:rsidP="000B7539">
      <w:pPr>
        <w:tabs>
          <w:tab w:val="right" w:pos="6379"/>
        </w:tabs>
        <w:bidi w:val="0"/>
        <w:spacing w:after="0" w:line="240" w:lineRule="auto"/>
        <w:ind w:left="454" w:hanging="454"/>
        <w:contextualSpacing/>
        <w:jc w:val="both"/>
        <w:rPr>
          <w:rFonts w:asciiTheme="majorBidi" w:hAnsiTheme="majorBidi" w:cstheme="majorBidi"/>
          <w:sz w:val="24"/>
          <w:szCs w:val="24"/>
        </w:rPr>
      </w:pPr>
    </w:p>
    <w:p w14:paraId="59DD1288" w14:textId="458077F9"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Sikorski, Z. E., Kołakowska, A., &amp; Burt, J. R. (2020). </w:t>
      </w:r>
      <w:r w:rsidRPr="00666900">
        <w:rPr>
          <w:rFonts w:asciiTheme="majorBidi" w:hAnsiTheme="majorBidi" w:cstheme="majorBidi"/>
          <w:b/>
          <w:bCs/>
          <w:sz w:val="24"/>
          <w:szCs w:val="24"/>
        </w:rPr>
        <w:t>Postharvest biochemical and microbial changes</w:t>
      </w:r>
      <w:r w:rsidRPr="00666900">
        <w:rPr>
          <w:rFonts w:asciiTheme="majorBidi" w:hAnsiTheme="majorBidi" w:cstheme="majorBidi"/>
          <w:sz w:val="24"/>
          <w:szCs w:val="24"/>
        </w:rPr>
        <w:t>. In </w:t>
      </w:r>
      <w:r w:rsidRPr="00666900">
        <w:rPr>
          <w:rFonts w:asciiTheme="majorBidi" w:hAnsiTheme="majorBidi" w:cstheme="majorBidi"/>
          <w:i/>
          <w:iCs/>
          <w:sz w:val="24"/>
          <w:szCs w:val="24"/>
        </w:rPr>
        <w:t>Seafood</w:t>
      </w:r>
      <w:r w:rsidRPr="00666900">
        <w:rPr>
          <w:rFonts w:asciiTheme="majorBidi" w:hAnsiTheme="majorBidi" w:cstheme="majorBidi"/>
          <w:sz w:val="24"/>
          <w:szCs w:val="24"/>
        </w:rPr>
        <w:t> (pp. 55-75). CRC Press.</w:t>
      </w:r>
      <w:r w:rsidRPr="00666900">
        <w:rPr>
          <w:rFonts w:asciiTheme="majorBidi" w:hAnsiTheme="majorBidi" w:cstheme="majorBidi"/>
          <w:sz w:val="24"/>
          <w:szCs w:val="24"/>
          <w:rtl/>
        </w:rPr>
        <w:t>‏</w:t>
      </w:r>
      <w:r w:rsidR="0007714D" w:rsidRPr="00666900">
        <w:rPr>
          <w:rFonts w:asciiTheme="majorBidi" w:hAnsiTheme="majorBidi" w:cstheme="majorBidi" w:hint="cs"/>
          <w:sz w:val="24"/>
          <w:szCs w:val="24"/>
          <w:rtl/>
        </w:rPr>
        <w:t xml:space="preserve"> </w:t>
      </w:r>
      <w:hyperlink r:id="rId64" w:history="1">
        <w:r w:rsidR="0007714D" w:rsidRPr="00666900">
          <w:rPr>
            <w:rStyle w:val="Hyperlink"/>
            <w:rFonts w:asciiTheme="majorBidi" w:hAnsiTheme="majorBidi" w:cstheme="majorBidi"/>
            <w:sz w:val="24"/>
            <w:szCs w:val="24"/>
          </w:rPr>
          <w:t>https://doi.org/10.1201/9781003068419</w:t>
        </w:r>
      </w:hyperlink>
    </w:p>
    <w:p w14:paraId="58A73F14"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111CBEE1" w14:textId="11258212"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rPr>
        <w:t xml:space="preserve">Sikorski, Z. E. (2020). </w:t>
      </w:r>
      <w:r w:rsidRPr="00666900">
        <w:rPr>
          <w:rFonts w:asciiTheme="majorBidi" w:hAnsiTheme="majorBidi" w:cstheme="majorBidi"/>
          <w:b/>
          <w:bCs/>
          <w:sz w:val="24"/>
          <w:szCs w:val="24"/>
        </w:rPr>
        <w:t>Chilling of fresh fish</w:t>
      </w:r>
      <w:r w:rsidRPr="00666900">
        <w:rPr>
          <w:rFonts w:asciiTheme="majorBidi" w:hAnsiTheme="majorBidi" w:cstheme="majorBidi"/>
          <w:sz w:val="24"/>
          <w:szCs w:val="24"/>
        </w:rPr>
        <w:t>. In Seafood (pp. 93-109). CRC Press.</w:t>
      </w:r>
      <w:r w:rsidRPr="00666900">
        <w:rPr>
          <w:rFonts w:asciiTheme="majorBidi" w:hAnsiTheme="majorBidi" w:cstheme="majorBidi"/>
          <w:sz w:val="24"/>
          <w:szCs w:val="24"/>
          <w:rtl/>
        </w:rPr>
        <w:t>‏</w:t>
      </w:r>
      <w:r w:rsidR="00FB7EAF" w:rsidRPr="00FB7EAF">
        <w:t xml:space="preserve"> </w:t>
      </w:r>
      <w:hyperlink r:id="rId65" w:history="1">
        <w:r w:rsidR="00FB7EAF" w:rsidRPr="00666900">
          <w:rPr>
            <w:rStyle w:val="Hyperlink"/>
            <w:rFonts w:asciiTheme="majorBidi" w:hAnsiTheme="majorBidi" w:cstheme="majorBidi"/>
            <w:sz w:val="24"/>
            <w:szCs w:val="24"/>
          </w:rPr>
          <w:t>https://doi.org/10.1201/9781003068419-8</w:t>
        </w:r>
      </w:hyperlink>
    </w:p>
    <w:p w14:paraId="779EC830" w14:textId="77777777" w:rsidR="00FB7EAF" w:rsidRPr="001E28E7" w:rsidRDefault="00FB7EAF" w:rsidP="00FB7EAF">
      <w:pPr>
        <w:tabs>
          <w:tab w:val="right" w:pos="6379"/>
        </w:tabs>
        <w:bidi w:val="0"/>
        <w:spacing w:after="0" w:line="240" w:lineRule="auto"/>
        <w:ind w:left="454" w:hanging="454"/>
        <w:contextualSpacing/>
        <w:jc w:val="both"/>
        <w:rPr>
          <w:rFonts w:asciiTheme="majorBidi" w:hAnsiTheme="majorBidi" w:cstheme="majorBidi"/>
          <w:sz w:val="24"/>
          <w:szCs w:val="24"/>
        </w:rPr>
      </w:pPr>
    </w:p>
    <w:p w14:paraId="16D37E8E" w14:textId="4AC0E22B" w:rsidR="00EA1E3A" w:rsidRPr="00666900" w:rsidRDefault="00EA1E3A"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lang w:val="en-US"/>
        </w:rPr>
      </w:pPr>
      <w:r w:rsidRPr="00666900">
        <w:rPr>
          <w:rFonts w:asciiTheme="majorBidi" w:hAnsiTheme="majorBidi" w:cstheme="majorBidi"/>
          <w:sz w:val="24"/>
          <w:szCs w:val="24"/>
          <w:lang w:val="en-US"/>
        </w:rPr>
        <w:t xml:space="preserve">Slaby, B.M.; R.E. Martin; and G.E Ramsdell (1981). </w:t>
      </w:r>
      <w:r w:rsidRPr="00666900">
        <w:rPr>
          <w:rFonts w:asciiTheme="majorBidi" w:hAnsiTheme="majorBidi" w:cstheme="majorBidi"/>
          <w:b/>
          <w:bCs/>
          <w:sz w:val="24"/>
          <w:szCs w:val="24"/>
          <w:lang w:val="en-US"/>
        </w:rPr>
        <w:t>Reproducibility of microbiological counts on frozen cod: A collaborative study</w:t>
      </w:r>
      <w:r w:rsidRPr="00666900">
        <w:rPr>
          <w:rFonts w:asciiTheme="majorBidi" w:hAnsiTheme="majorBidi" w:cstheme="majorBidi"/>
          <w:sz w:val="24"/>
          <w:szCs w:val="24"/>
          <w:lang w:val="en-US"/>
        </w:rPr>
        <w:t xml:space="preserve">. </w:t>
      </w:r>
      <w:r w:rsidRPr="00666900">
        <w:rPr>
          <w:rFonts w:asciiTheme="majorBidi" w:hAnsiTheme="majorBidi" w:cstheme="majorBidi"/>
          <w:i/>
          <w:iCs/>
          <w:sz w:val="24"/>
          <w:szCs w:val="24"/>
          <w:lang w:val="en-US"/>
        </w:rPr>
        <w:t>J. Food Sci</w:t>
      </w:r>
      <w:r w:rsidRPr="00666900">
        <w:rPr>
          <w:rFonts w:asciiTheme="majorBidi" w:hAnsiTheme="majorBidi" w:cstheme="majorBidi"/>
          <w:sz w:val="24"/>
          <w:szCs w:val="24"/>
          <w:lang w:val="en-US"/>
        </w:rPr>
        <w:t>., 46(3): 716 719.</w:t>
      </w:r>
      <w:r w:rsidR="00FB7EAF" w:rsidRPr="00666900">
        <w:rPr>
          <w:rFonts w:asciiTheme="majorBidi" w:hAnsiTheme="majorBidi" w:cstheme="majorBidi"/>
          <w:sz w:val="24"/>
          <w:szCs w:val="24"/>
          <w:lang w:val="en-US"/>
        </w:rPr>
        <w:t xml:space="preserve"> </w:t>
      </w:r>
      <w:hyperlink r:id="rId66" w:history="1">
        <w:r w:rsidR="00FB7EAF" w:rsidRPr="00666900">
          <w:rPr>
            <w:rStyle w:val="Hyperlink"/>
            <w:rFonts w:asciiTheme="majorBidi" w:hAnsiTheme="majorBidi" w:cstheme="majorBidi"/>
            <w:sz w:val="24"/>
            <w:szCs w:val="24"/>
            <w:lang w:val="en-US"/>
          </w:rPr>
          <w:t>https://doi.org/10.1111/J.1365-2621.1981.TB15333.X</w:t>
        </w:r>
      </w:hyperlink>
    </w:p>
    <w:p w14:paraId="3FFCCE2F" w14:textId="77777777" w:rsidR="00FB7EAF" w:rsidRPr="001E28E7" w:rsidRDefault="00FB7EAF" w:rsidP="00FB7EAF">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10F031C0" w14:textId="54121DA8" w:rsidR="00702B5D" w:rsidRPr="00666900" w:rsidRDefault="001E28E7" w:rsidP="00666900">
      <w:pPr>
        <w:pStyle w:val="ListParagraph"/>
        <w:numPr>
          <w:ilvl w:val="0"/>
          <w:numId w:val="16"/>
        </w:numPr>
        <w:bidi w:val="0"/>
        <w:spacing w:after="0" w:line="240" w:lineRule="auto"/>
        <w:jc w:val="both"/>
        <w:rPr>
          <w:rFonts w:asciiTheme="majorBidi" w:hAnsiTheme="majorBidi" w:cstheme="majorBidi"/>
          <w:sz w:val="24"/>
          <w:szCs w:val="24"/>
          <w:lang w:bidi="ar-SY"/>
        </w:rPr>
      </w:pPr>
      <w:r w:rsidRPr="00666900">
        <w:rPr>
          <w:rFonts w:asciiTheme="majorBidi" w:hAnsiTheme="majorBidi" w:cstheme="majorBidi"/>
          <w:sz w:val="24"/>
          <w:szCs w:val="24"/>
        </w:rPr>
        <w:t xml:space="preserve">Sulaiman, Sheem; Hassan, Muhammad. (2017). </w:t>
      </w:r>
      <w:r w:rsidRPr="00666900">
        <w:rPr>
          <w:rFonts w:asciiTheme="majorBidi" w:hAnsiTheme="majorBidi" w:cstheme="majorBidi"/>
          <w:b/>
          <w:bCs/>
          <w:sz w:val="24"/>
          <w:szCs w:val="24"/>
        </w:rPr>
        <w:t>Physical, chemical, and microbial spoilage of fish (a reference study)</w:t>
      </w:r>
      <w:r w:rsidRPr="00666900">
        <w:rPr>
          <w:rFonts w:asciiTheme="majorBidi" w:hAnsiTheme="majorBidi" w:cstheme="majorBidi"/>
          <w:kern w:val="24"/>
          <w:sz w:val="24"/>
          <w:szCs w:val="24"/>
        </w:rPr>
        <w:t xml:space="preserve">. </w:t>
      </w:r>
      <w:r w:rsidRPr="00666900">
        <w:rPr>
          <w:rFonts w:asciiTheme="majorBidi" w:hAnsiTheme="majorBidi" w:cstheme="majorBidi"/>
          <w:i/>
          <w:iCs/>
          <w:sz w:val="24"/>
          <w:szCs w:val="24"/>
        </w:rPr>
        <w:t>Jordanian Journal of Agricultural Sciences</w:t>
      </w:r>
      <w:r w:rsidRPr="00666900">
        <w:rPr>
          <w:rFonts w:asciiTheme="majorBidi" w:hAnsiTheme="majorBidi" w:cstheme="majorBidi"/>
          <w:sz w:val="24"/>
          <w:szCs w:val="24"/>
        </w:rPr>
        <w:t>, 13 (1): 265-279</w:t>
      </w:r>
      <w:r w:rsidRPr="00666900">
        <w:rPr>
          <w:rFonts w:asciiTheme="majorBidi" w:hAnsiTheme="majorBidi" w:cstheme="majorBidi"/>
          <w:sz w:val="24"/>
          <w:szCs w:val="24"/>
          <w:rtl/>
        </w:rPr>
        <w:t>.</w:t>
      </w:r>
      <w:hyperlink r:id="rId67" w:history="1">
        <w:r w:rsidR="00666900" w:rsidRPr="002546FC">
          <w:rPr>
            <w:rStyle w:val="Hyperlink"/>
            <w:rFonts w:asciiTheme="majorBidi" w:hAnsiTheme="majorBidi" w:cstheme="majorBidi"/>
            <w:sz w:val="24"/>
            <w:szCs w:val="24"/>
            <w:lang w:val="en-US"/>
          </w:rPr>
          <w:t>https://archives.ju.edu.jo/index.php/jjas/article/view/15304/7460</w:t>
        </w:r>
      </w:hyperlink>
    </w:p>
    <w:p w14:paraId="146CAC99" w14:textId="5383725A" w:rsidR="001E28E7" w:rsidRPr="00666900" w:rsidRDefault="001E28E7" w:rsidP="00666900">
      <w:pPr>
        <w:pStyle w:val="ListParagraph"/>
        <w:numPr>
          <w:ilvl w:val="0"/>
          <w:numId w:val="16"/>
        </w:numPr>
        <w:bidi w:val="0"/>
        <w:spacing w:before="240" w:after="0" w:line="240" w:lineRule="auto"/>
        <w:jc w:val="both"/>
        <w:rPr>
          <w:rFonts w:asciiTheme="majorBidi" w:hAnsiTheme="majorBidi" w:cstheme="majorBidi"/>
          <w:i/>
          <w:iCs/>
          <w:sz w:val="24"/>
          <w:szCs w:val="24"/>
        </w:rPr>
      </w:pPr>
      <w:r w:rsidRPr="00666900">
        <w:rPr>
          <w:rFonts w:asciiTheme="majorBidi" w:hAnsiTheme="majorBidi" w:cstheme="majorBidi"/>
          <w:sz w:val="24"/>
          <w:szCs w:val="24"/>
        </w:rPr>
        <w:t>Syrian Agricultural Statistical Collection. (2</w:t>
      </w:r>
      <w:r w:rsidRPr="00666900">
        <w:rPr>
          <w:rFonts w:asciiTheme="majorBidi" w:hAnsiTheme="majorBidi" w:cstheme="majorBidi"/>
          <w:sz w:val="24"/>
          <w:szCs w:val="24"/>
          <w:lang w:val="en-US"/>
        </w:rPr>
        <w:t>02</w:t>
      </w:r>
      <w:r w:rsidRPr="00666900">
        <w:rPr>
          <w:rFonts w:asciiTheme="majorBidi" w:hAnsiTheme="majorBidi" w:cstheme="majorBidi"/>
          <w:sz w:val="24"/>
          <w:szCs w:val="24"/>
        </w:rPr>
        <w:t xml:space="preserve">0) </w:t>
      </w:r>
      <w:r w:rsidRPr="00666900">
        <w:rPr>
          <w:rFonts w:asciiTheme="majorBidi" w:hAnsiTheme="majorBidi" w:cstheme="majorBidi"/>
          <w:b/>
          <w:bCs/>
          <w:sz w:val="24"/>
          <w:szCs w:val="24"/>
        </w:rPr>
        <w:t>Fish production for 2020 and its development at the national level during the period (2011-2020)</w:t>
      </w:r>
      <w:r w:rsidRPr="00666900">
        <w:rPr>
          <w:rFonts w:asciiTheme="majorBidi" w:hAnsiTheme="majorBidi" w:cstheme="majorBidi"/>
          <w:kern w:val="24"/>
          <w:sz w:val="24"/>
          <w:szCs w:val="24"/>
        </w:rPr>
        <w:t xml:space="preserve"> - </w:t>
      </w:r>
      <w:r w:rsidRPr="00666900">
        <w:rPr>
          <w:rFonts w:asciiTheme="majorBidi" w:hAnsiTheme="majorBidi" w:cstheme="majorBidi"/>
          <w:i/>
          <w:iCs/>
          <w:sz w:val="24"/>
          <w:szCs w:val="24"/>
        </w:rPr>
        <w:t>Ministry of Agriculture and Agrarian Reform in Syria, Statistical Collections, Chapter 5, Farm Animals and Their Products</w:t>
      </w:r>
      <w:r w:rsidRPr="00666900">
        <w:rPr>
          <w:rFonts w:asciiTheme="majorBidi" w:hAnsiTheme="majorBidi" w:cstheme="majorBidi"/>
          <w:i/>
          <w:iCs/>
          <w:sz w:val="24"/>
          <w:szCs w:val="24"/>
          <w:rtl/>
        </w:rPr>
        <w:t>.</w:t>
      </w:r>
      <w:r w:rsidR="009E1130" w:rsidRPr="00666900">
        <w:rPr>
          <w:rFonts w:asciiTheme="majorBidi" w:hAnsiTheme="majorBidi" w:cstheme="majorBidi" w:hint="cs"/>
          <w:i/>
          <w:iCs/>
          <w:sz w:val="24"/>
          <w:szCs w:val="24"/>
          <w:rtl/>
        </w:rPr>
        <w:t xml:space="preserve"> </w:t>
      </w:r>
      <w:hyperlink r:id="rId68" w:history="1">
        <w:r w:rsidR="009E1130" w:rsidRPr="00666900">
          <w:rPr>
            <w:rStyle w:val="Hyperlink"/>
            <w:rFonts w:asciiTheme="majorBidi" w:hAnsiTheme="majorBidi" w:cstheme="majorBidi"/>
            <w:i/>
            <w:iCs/>
            <w:sz w:val="24"/>
            <w:szCs w:val="24"/>
          </w:rPr>
          <w:t>https://moaar.gov.sy/index.php?node=5610&amp;cat=5610</w:t>
        </w:r>
      </w:hyperlink>
    </w:p>
    <w:p w14:paraId="5F5EA3EA" w14:textId="77777777" w:rsidR="009E1130" w:rsidRPr="006220F7" w:rsidRDefault="009E1130" w:rsidP="009E1130">
      <w:pPr>
        <w:bidi w:val="0"/>
        <w:spacing w:after="0" w:line="240" w:lineRule="auto"/>
        <w:ind w:left="454" w:hanging="454"/>
        <w:jc w:val="both"/>
        <w:rPr>
          <w:rFonts w:asciiTheme="majorBidi" w:hAnsiTheme="majorBidi" w:cstheme="majorBidi"/>
          <w:i/>
          <w:iCs/>
          <w:sz w:val="24"/>
          <w:szCs w:val="24"/>
          <w:rtl/>
          <w:lang w:val="en-US" w:bidi="ar-SY"/>
        </w:rPr>
      </w:pPr>
    </w:p>
    <w:p w14:paraId="28262DC5" w14:textId="5E80FE65" w:rsidR="003D2BC9"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lang w:bidi="ar-SY"/>
        </w:rPr>
        <w:t xml:space="preserve">Taşbozan, O., &amp; Gökçe, M. A. (2017). </w:t>
      </w:r>
      <w:r w:rsidRPr="00666900">
        <w:rPr>
          <w:rFonts w:asciiTheme="majorBidi" w:hAnsiTheme="majorBidi" w:cstheme="majorBidi"/>
          <w:b/>
          <w:bCs/>
          <w:sz w:val="24"/>
          <w:szCs w:val="24"/>
          <w:lang w:bidi="ar-SY"/>
        </w:rPr>
        <w:t>Fatty acids in fish</w:t>
      </w:r>
      <w:r w:rsidRPr="00666900">
        <w:rPr>
          <w:rFonts w:asciiTheme="majorBidi" w:hAnsiTheme="majorBidi" w:cstheme="majorBidi"/>
          <w:sz w:val="24"/>
          <w:szCs w:val="24"/>
          <w:lang w:bidi="ar-SY"/>
        </w:rPr>
        <w:t>. </w:t>
      </w:r>
      <w:r w:rsidRPr="00666900">
        <w:rPr>
          <w:rFonts w:asciiTheme="majorBidi" w:hAnsiTheme="majorBidi" w:cstheme="majorBidi"/>
          <w:i/>
          <w:iCs/>
          <w:sz w:val="24"/>
          <w:szCs w:val="24"/>
          <w:lang w:bidi="ar-SY"/>
        </w:rPr>
        <w:t>Fatty acids</w:t>
      </w:r>
      <w:r w:rsidRPr="00666900">
        <w:rPr>
          <w:rFonts w:asciiTheme="majorBidi" w:hAnsiTheme="majorBidi" w:cstheme="majorBidi"/>
          <w:sz w:val="24"/>
          <w:szCs w:val="24"/>
          <w:lang w:bidi="ar-SY"/>
        </w:rPr>
        <w:t>, </w:t>
      </w:r>
      <w:r w:rsidRPr="00666900">
        <w:rPr>
          <w:rFonts w:asciiTheme="majorBidi" w:hAnsiTheme="majorBidi" w:cstheme="majorBidi"/>
          <w:i/>
          <w:iCs/>
          <w:sz w:val="24"/>
          <w:szCs w:val="24"/>
          <w:lang w:bidi="ar-SY"/>
        </w:rPr>
        <w:t>1</w:t>
      </w:r>
      <w:r w:rsidRPr="00666900">
        <w:rPr>
          <w:rFonts w:asciiTheme="majorBidi" w:hAnsiTheme="majorBidi" w:cstheme="majorBidi"/>
          <w:sz w:val="24"/>
          <w:szCs w:val="24"/>
          <w:lang w:bidi="ar-SY"/>
        </w:rPr>
        <w:t>, 143-159.</w:t>
      </w:r>
      <w:r w:rsidRPr="00666900">
        <w:rPr>
          <w:rFonts w:asciiTheme="majorBidi" w:hAnsiTheme="majorBidi" w:cstheme="majorBidi"/>
          <w:sz w:val="24"/>
          <w:szCs w:val="24"/>
          <w:rtl/>
        </w:rPr>
        <w:t>‏</w:t>
      </w:r>
      <w:r w:rsidR="009E1130" w:rsidRPr="00666900">
        <w:rPr>
          <w:rFonts w:asciiTheme="majorBidi" w:hAnsiTheme="majorBidi" w:cstheme="majorBidi" w:hint="cs"/>
          <w:sz w:val="24"/>
          <w:szCs w:val="24"/>
          <w:rtl/>
        </w:rPr>
        <w:t xml:space="preserve"> </w:t>
      </w:r>
      <w:hyperlink r:id="rId69" w:history="1">
        <w:r w:rsidR="009E1130" w:rsidRPr="00666900">
          <w:rPr>
            <w:rStyle w:val="Hyperlink"/>
            <w:rFonts w:asciiTheme="majorBidi" w:hAnsiTheme="majorBidi" w:cstheme="majorBidi"/>
            <w:sz w:val="24"/>
            <w:szCs w:val="24"/>
          </w:rPr>
          <w:t>https://doi.org/10.5772/68048</w:t>
        </w:r>
      </w:hyperlink>
    </w:p>
    <w:p w14:paraId="2683E1E8" w14:textId="77777777" w:rsidR="009E1130" w:rsidRPr="001E28E7" w:rsidRDefault="009E1130" w:rsidP="009E1130">
      <w:pPr>
        <w:tabs>
          <w:tab w:val="right" w:pos="6379"/>
        </w:tabs>
        <w:bidi w:val="0"/>
        <w:spacing w:after="0" w:line="240" w:lineRule="auto"/>
        <w:ind w:left="454" w:hanging="454"/>
        <w:contextualSpacing/>
        <w:jc w:val="both"/>
        <w:rPr>
          <w:rFonts w:asciiTheme="majorBidi" w:hAnsiTheme="majorBidi" w:cstheme="majorBidi"/>
          <w:sz w:val="24"/>
          <w:szCs w:val="24"/>
        </w:rPr>
      </w:pPr>
    </w:p>
    <w:p w14:paraId="5BB69D48" w14:textId="2D2B359F" w:rsidR="00287E94" w:rsidRPr="00666900" w:rsidRDefault="003D2BC9" w:rsidP="00666900">
      <w:pPr>
        <w:pStyle w:val="ListParagraph"/>
        <w:numPr>
          <w:ilvl w:val="0"/>
          <w:numId w:val="16"/>
        </w:numPr>
        <w:tabs>
          <w:tab w:val="right" w:pos="6379"/>
        </w:tabs>
        <w:bidi w:val="0"/>
        <w:spacing w:after="0" w:line="240" w:lineRule="auto"/>
        <w:jc w:val="both"/>
        <w:rPr>
          <w:rFonts w:asciiTheme="majorBidi" w:hAnsiTheme="majorBidi" w:cstheme="majorBidi"/>
          <w:sz w:val="24"/>
          <w:szCs w:val="24"/>
        </w:rPr>
      </w:pPr>
      <w:r w:rsidRPr="00666900">
        <w:rPr>
          <w:rFonts w:asciiTheme="majorBidi" w:hAnsiTheme="majorBidi" w:cstheme="majorBidi"/>
          <w:sz w:val="24"/>
          <w:szCs w:val="24"/>
          <w:lang w:val="nl-BE"/>
        </w:rPr>
        <w:t xml:space="preserve">Zheng, Y., Zhu, H., Li, Q., &amp; Xu, G. (2023). </w:t>
      </w:r>
      <w:r w:rsidRPr="00666900">
        <w:rPr>
          <w:rFonts w:asciiTheme="majorBidi" w:hAnsiTheme="majorBidi" w:cstheme="majorBidi"/>
          <w:b/>
          <w:bCs/>
          <w:sz w:val="24"/>
          <w:szCs w:val="24"/>
        </w:rPr>
        <w:t>The effects of different feeding regimes on body composition, gut microbial population, and susceptibility to pathogenic infection in largemouth bass</w:t>
      </w:r>
      <w:r w:rsidRPr="00666900">
        <w:rPr>
          <w:rFonts w:asciiTheme="majorBidi" w:hAnsiTheme="majorBidi" w:cstheme="majorBidi"/>
          <w:sz w:val="24"/>
          <w:szCs w:val="24"/>
        </w:rPr>
        <w:t xml:space="preserve">. </w:t>
      </w:r>
      <w:r w:rsidRPr="00666900">
        <w:rPr>
          <w:rFonts w:asciiTheme="majorBidi" w:hAnsiTheme="majorBidi" w:cstheme="majorBidi"/>
          <w:i/>
          <w:iCs/>
          <w:sz w:val="24"/>
          <w:szCs w:val="24"/>
        </w:rPr>
        <w:t>Microorganisms</w:t>
      </w:r>
      <w:r w:rsidRPr="00666900">
        <w:rPr>
          <w:rFonts w:asciiTheme="majorBidi" w:hAnsiTheme="majorBidi" w:cstheme="majorBidi"/>
          <w:sz w:val="24"/>
          <w:szCs w:val="24"/>
        </w:rPr>
        <w:t>, 11(5), 1356.</w:t>
      </w:r>
      <w:r w:rsidRPr="00666900">
        <w:rPr>
          <w:rFonts w:asciiTheme="majorBidi" w:hAnsiTheme="majorBidi" w:cstheme="majorBidi"/>
          <w:sz w:val="24"/>
          <w:szCs w:val="24"/>
          <w:rtl/>
        </w:rPr>
        <w:t>‏</w:t>
      </w:r>
      <w:r w:rsidR="009E1130" w:rsidRPr="00666900">
        <w:rPr>
          <w:rFonts w:asciiTheme="majorBidi" w:hAnsiTheme="majorBidi" w:cstheme="majorBidi" w:hint="cs"/>
          <w:sz w:val="24"/>
          <w:szCs w:val="24"/>
          <w:rtl/>
        </w:rPr>
        <w:t xml:space="preserve"> </w:t>
      </w:r>
      <w:hyperlink r:id="rId70" w:history="1">
        <w:r w:rsidR="009E1130" w:rsidRPr="00666900">
          <w:rPr>
            <w:rStyle w:val="Hyperlink"/>
            <w:rFonts w:asciiTheme="majorBidi" w:hAnsiTheme="majorBidi" w:cstheme="majorBidi"/>
            <w:sz w:val="24"/>
            <w:szCs w:val="24"/>
          </w:rPr>
          <w:t>https://doi.org/10.3390/microorganisms11051356</w:t>
        </w:r>
      </w:hyperlink>
    </w:p>
    <w:p w14:paraId="43FF8911" w14:textId="77777777" w:rsidR="009E1130" w:rsidRPr="00B77E04" w:rsidRDefault="009E1130" w:rsidP="009E1130">
      <w:pPr>
        <w:tabs>
          <w:tab w:val="right" w:pos="6379"/>
        </w:tabs>
        <w:bidi w:val="0"/>
        <w:spacing w:after="0" w:line="240" w:lineRule="auto"/>
        <w:ind w:left="454" w:hanging="454"/>
        <w:contextualSpacing/>
        <w:jc w:val="both"/>
        <w:rPr>
          <w:rFonts w:asciiTheme="majorBidi" w:hAnsiTheme="majorBidi" w:cstheme="majorBidi"/>
          <w:sz w:val="24"/>
          <w:szCs w:val="24"/>
          <w:lang w:val="en-US"/>
        </w:rPr>
      </w:pPr>
    </w:p>
    <w:sectPr w:rsidR="009E1130" w:rsidRPr="00B77E04" w:rsidSect="004D2724">
      <w:type w:val="continuous"/>
      <w:pgSz w:w="11906" w:h="16838" w:code="9"/>
      <w:pgMar w:top="1138" w:right="1701" w:bottom="1138" w:left="1138" w:header="706" w:footer="706"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924B3" w14:textId="77777777" w:rsidR="00DC0194" w:rsidRDefault="00DC0194">
      <w:pPr>
        <w:spacing w:after="0" w:line="240" w:lineRule="auto"/>
      </w:pPr>
      <w:r>
        <w:separator/>
      </w:r>
    </w:p>
  </w:endnote>
  <w:endnote w:type="continuationSeparator" w:id="0">
    <w:p w14:paraId="59F6664D" w14:textId="77777777" w:rsidR="00DC0194" w:rsidRDefault="00DC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19A2" w14:textId="77777777" w:rsidR="0031664E" w:rsidRDefault="00316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316A5" w14:textId="4912A355" w:rsidR="0017468E" w:rsidRDefault="0017468E">
    <w:pPr>
      <w:pStyle w:val="Footer"/>
      <w:jc w:val="center"/>
    </w:pPr>
    <w:r>
      <w:fldChar w:fldCharType="begin"/>
    </w:r>
    <w:r>
      <w:instrText>PAGE   \* MERGEFORMAT</w:instrText>
    </w:r>
    <w:r>
      <w:fldChar w:fldCharType="separate"/>
    </w:r>
    <w:r w:rsidR="00EC0A24" w:rsidRPr="00EC0A24">
      <w:rPr>
        <w:rFonts w:cs="Calibri"/>
        <w:noProof/>
        <w:rtl/>
        <w:lang w:val="ar-SA"/>
      </w:rPr>
      <w:t>8</w:t>
    </w:r>
    <w:r>
      <w:fldChar w:fldCharType="end"/>
    </w:r>
  </w:p>
  <w:p w14:paraId="58A8833E" w14:textId="77777777" w:rsidR="0017468E" w:rsidRDefault="001746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C58D" w14:textId="77777777" w:rsidR="0031664E" w:rsidRDefault="00316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90F1" w14:textId="77777777" w:rsidR="00DC0194" w:rsidRDefault="00DC0194">
      <w:pPr>
        <w:spacing w:after="0" w:line="240" w:lineRule="auto"/>
      </w:pPr>
      <w:r>
        <w:separator/>
      </w:r>
    </w:p>
  </w:footnote>
  <w:footnote w:type="continuationSeparator" w:id="0">
    <w:p w14:paraId="4680EAF8" w14:textId="77777777" w:rsidR="00DC0194" w:rsidRDefault="00DC0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BE77" w14:textId="51305767" w:rsidR="0031664E" w:rsidRDefault="00000000">
    <w:pPr>
      <w:pStyle w:val="Header"/>
    </w:pPr>
    <w:r>
      <w:rPr>
        <w:noProof/>
      </w:rPr>
      <w:pict w14:anchorId="3DED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5" o:spid="_x0000_s1027" type="#_x0000_t136" style="position:absolute;left:0;text-align:left;margin-left:0;margin-top:0;width:398.4pt;height:74.7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993E" w14:textId="048C7DB3" w:rsidR="0031664E" w:rsidRDefault="00000000">
    <w:pPr>
      <w:pStyle w:val="Header"/>
    </w:pPr>
    <w:r>
      <w:rPr>
        <w:noProof/>
      </w:rPr>
      <w:pict w14:anchorId="67355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6" o:spid="_x0000_s1026" type="#_x0000_t136" style="position:absolute;left:0;text-align:left;margin-left:0;margin-top:0;width:398.4pt;height:7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4B45" w14:textId="176433F5" w:rsidR="0031664E" w:rsidRDefault="00000000">
    <w:pPr>
      <w:pStyle w:val="Header"/>
    </w:pPr>
    <w:r>
      <w:rPr>
        <w:noProof/>
      </w:rPr>
      <w:pict w14:anchorId="11E1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4" o:spid="_x0000_s1025" type="#_x0000_t136" style="position:absolute;left:0;text-align:left;margin-left:0;margin-top:0;width:398.4pt;height:74.7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71B"/>
    <w:multiLevelType w:val="hybridMultilevel"/>
    <w:tmpl w:val="3CFACAEA"/>
    <w:lvl w:ilvl="0" w:tplc="BF164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2C9C"/>
    <w:multiLevelType w:val="hybridMultilevel"/>
    <w:tmpl w:val="409AB5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21B84"/>
    <w:multiLevelType w:val="hybridMultilevel"/>
    <w:tmpl w:val="19C600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35C1F"/>
    <w:multiLevelType w:val="multilevel"/>
    <w:tmpl w:val="AF62C55E"/>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267A59F1"/>
    <w:multiLevelType w:val="hybridMultilevel"/>
    <w:tmpl w:val="1A50DD6E"/>
    <w:lvl w:ilvl="0" w:tplc="711CA0BE">
      <w:start w:val="4"/>
      <w:numFmt w:val="decimal"/>
      <w:lvlText w:val="%1-"/>
      <w:lvlJc w:val="left"/>
      <w:pPr>
        <w:ind w:left="1470" w:hanging="11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5087B"/>
    <w:multiLevelType w:val="multilevel"/>
    <w:tmpl w:val="8D149AD6"/>
    <w:lvl w:ilvl="0">
      <w:start w:val="3"/>
      <w:numFmt w:val="decimal"/>
      <w:lvlText w:val="%1"/>
      <w:lvlJc w:val="left"/>
      <w:pPr>
        <w:ind w:left="825" w:hanging="825"/>
      </w:pPr>
      <w:rPr>
        <w:rFonts w:hint="default"/>
      </w:rPr>
    </w:lvl>
    <w:lvl w:ilvl="1">
      <w:start w:val="2"/>
      <w:numFmt w:val="decimal"/>
      <w:lvlText w:val="%1-%2"/>
      <w:lvlJc w:val="left"/>
      <w:pPr>
        <w:ind w:left="966" w:hanging="825"/>
      </w:pPr>
      <w:rPr>
        <w:rFonts w:hint="default"/>
        <w:b/>
        <w:bCs/>
      </w:rPr>
    </w:lvl>
    <w:lvl w:ilvl="2">
      <w:start w:val="1"/>
      <w:numFmt w:val="decimal"/>
      <w:lvlText w:val="%1-%2-%3"/>
      <w:lvlJc w:val="left"/>
      <w:pPr>
        <w:ind w:left="1362" w:hanging="1080"/>
      </w:pPr>
      <w:rPr>
        <w:rFonts w:hint="default"/>
        <w:b/>
        <w:bCs/>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6" w15:restartNumberingAfterBreak="0">
    <w:nsid w:val="3C7C1668"/>
    <w:multiLevelType w:val="multilevel"/>
    <w:tmpl w:val="C3948ECE"/>
    <w:lvl w:ilvl="0">
      <w:start w:val="1"/>
      <w:numFmt w:val="decimal"/>
      <w:lvlText w:val="%1"/>
      <w:lvlJc w:val="left"/>
      <w:pPr>
        <w:ind w:left="900" w:hanging="900"/>
      </w:pPr>
      <w:rPr>
        <w:rFonts w:hint="default"/>
        <w:b/>
      </w:rPr>
    </w:lvl>
    <w:lvl w:ilvl="1">
      <w:start w:val="3"/>
      <w:numFmt w:val="decimal"/>
      <w:lvlText w:val="%1-%2"/>
      <w:lvlJc w:val="left"/>
      <w:pPr>
        <w:ind w:left="1041" w:hanging="900"/>
      </w:pPr>
      <w:rPr>
        <w:rFonts w:hint="default"/>
        <w:b/>
      </w:rPr>
    </w:lvl>
    <w:lvl w:ilvl="2">
      <w:start w:val="3"/>
      <w:numFmt w:val="decimal"/>
      <w:lvlText w:val="%1-%2-%3"/>
      <w:lvlJc w:val="left"/>
      <w:pPr>
        <w:ind w:left="1362" w:hanging="1080"/>
      </w:pPr>
      <w:rPr>
        <w:rFonts w:hint="default"/>
        <w:b w:val="0"/>
        <w:bCs/>
      </w:rPr>
    </w:lvl>
    <w:lvl w:ilvl="3">
      <w:start w:val="1"/>
      <w:numFmt w:val="decimal"/>
      <w:lvlText w:val="%1-%2-%3.%4"/>
      <w:lvlJc w:val="left"/>
      <w:pPr>
        <w:ind w:left="1503" w:hanging="1080"/>
      </w:pPr>
      <w:rPr>
        <w:rFonts w:hint="default"/>
        <w:b/>
      </w:rPr>
    </w:lvl>
    <w:lvl w:ilvl="4">
      <w:start w:val="1"/>
      <w:numFmt w:val="decimal"/>
      <w:lvlText w:val="%1-%2-%3.%4.%5"/>
      <w:lvlJc w:val="left"/>
      <w:pPr>
        <w:ind w:left="2004" w:hanging="1440"/>
      </w:pPr>
      <w:rPr>
        <w:rFonts w:hint="default"/>
        <w:b/>
      </w:rPr>
    </w:lvl>
    <w:lvl w:ilvl="5">
      <w:start w:val="1"/>
      <w:numFmt w:val="decimal"/>
      <w:lvlText w:val="%1-%2-%3.%4.%5.%6"/>
      <w:lvlJc w:val="left"/>
      <w:pPr>
        <w:ind w:left="2505" w:hanging="1800"/>
      </w:pPr>
      <w:rPr>
        <w:rFonts w:hint="default"/>
        <w:b/>
      </w:rPr>
    </w:lvl>
    <w:lvl w:ilvl="6">
      <w:start w:val="1"/>
      <w:numFmt w:val="decimal"/>
      <w:lvlText w:val="%1-%2-%3.%4.%5.%6.%7"/>
      <w:lvlJc w:val="left"/>
      <w:pPr>
        <w:ind w:left="3006" w:hanging="2160"/>
      </w:pPr>
      <w:rPr>
        <w:rFonts w:hint="default"/>
        <w:b/>
      </w:rPr>
    </w:lvl>
    <w:lvl w:ilvl="7">
      <w:start w:val="1"/>
      <w:numFmt w:val="decimal"/>
      <w:lvlText w:val="%1-%2-%3.%4.%5.%6.%7.%8"/>
      <w:lvlJc w:val="left"/>
      <w:pPr>
        <w:ind w:left="3147" w:hanging="2160"/>
      </w:pPr>
      <w:rPr>
        <w:rFonts w:hint="default"/>
        <w:b/>
      </w:rPr>
    </w:lvl>
    <w:lvl w:ilvl="8">
      <w:start w:val="1"/>
      <w:numFmt w:val="decimal"/>
      <w:lvlText w:val="%1-%2-%3.%4.%5.%6.%7.%8.%9"/>
      <w:lvlJc w:val="left"/>
      <w:pPr>
        <w:ind w:left="3648" w:hanging="2520"/>
      </w:pPr>
      <w:rPr>
        <w:rFonts w:hint="default"/>
        <w:b/>
      </w:rPr>
    </w:lvl>
  </w:abstractNum>
  <w:abstractNum w:abstractNumId="7" w15:restartNumberingAfterBreak="0">
    <w:nsid w:val="48BC0B2D"/>
    <w:multiLevelType w:val="multilevel"/>
    <w:tmpl w:val="C64CDF0C"/>
    <w:lvl w:ilvl="0">
      <w:start w:val="3"/>
      <w:numFmt w:val="decimal"/>
      <w:lvlText w:val="%1"/>
      <w:lvlJc w:val="left"/>
      <w:pPr>
        <w:ind w:left="825" w:hanging="825"/>
      </w:pPr>
      <w:rPr>
        <w:rFonts w:hint="default"/>
      </w:rPr>
    </w:lvl>
    <w:lvl w:ilvl="1">
      <w:start w:val="3"/>
      <w:numFmt w:val="decimal"/>
      <w:lvlText w:val="%1-%2"/>
      <w:lvlJc w:val="left"/>
      <w:pPr>
        <w:ind w:left="966" w:hanging="825"/>
      </w:pPr>
      <w:rPr>
        <w:rFonts w:hint="default"/>
      </w:rPr>
    </w:lvl>
    <w:lvl w:ilvl="2">
      <w:start w:val="2"/>
      <w:numFmt w:val="decimal"/>
      <w:lvlText w:val="%1-%2-%3"/>
      <w:lvlJc w:val="left"/>
      <w:pPr>
        <w:ind w:left="1362" w:hanging="108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8" w15:restartNumberingAfterBreak="0">
    <w:nsid w:val="4DAF6872"/>
    <w:multiLevelType w:val="hybridMultilevel"/>
    <w:tmpl w:val="4B822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4A4043"/>
    <w:multiLevelType w:val="multilevel"/>
    <w:tmpl w:val="30B4B9C4"/>
    <w:lvl w:ilvl="0">
      <w:start w:val="2"/>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60D81AA0"/>
    <w:multiLevelType w:val="hybridMultilevel"/>
    <w:tmpl w:val="50067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092D63"/>
    <w:multiLevelType w:val="multilevel"/>
    <w:tmpl w:val="B566808C"/>
    <w:lvl w:ilvl="0">
      <w:start w:val="3"/>
      <w:numFmt w:val="decimal"/>
      <w:lvlText w:val="%1"/>
      <w:lvlJc w:val="left"/>
      <w:pPr>
        <w:ind w:left="825" w:hanging="825"/>
      </w:pPr>
      <w:rPr>
        <w:rFonts w:hint="default"/>
      </w:rPr>
    </w:lvl>
    <w:lvl w:ilvl="1">
      <w:start w:val="2"/>
      <w:numFmt w:val="decimal"/>
      <w:lvlText w:val="%1-%2"/>
      <w:lvlJc w:val="left"/>
      <w:pPr>
        <w:ind w:left="1393" w:hanging="825"/>
      </w:pPr>
      <w:rPr>
        <w:rFonts w:hint="default"/>
        <w:b/>
        <w:bCs/>
      </w:rPr>
    </w:lvl>
    <w:lvl w:ilvl="2">
      <w:start w:val="1"/>
      <w:numFmt w:val="decimal"/>
      <w:lvlText w:val="%1-%2-%3"/>
      <w:lvlJc w:val="left"/>
      <w:pPr>
        <w:ind w:left="1362" w:hanging="1080"/>
      </w:pPr>
      <w:rPr>
        <w:rFonts w:hint="default"/>
        <w:b/>
        <w:bCs/>
        <w:lang w:val="en"/>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12" w15:restartNumberingAfterBreak="0">
    <w:nsid w:val="6AE17870"/>
    <w:multiLevelType w:val="hybridMultilevel"/>
    <w:tmpl w:val="70D8A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2A7209"/>
    <w:multiLevelType w:val="multilevel"/>
    <w:tmpl w:val="A8D2EFEE"/>
    <w:lvl w:ilvl="0">
      <w:start w:val="2"/>
      <w:numFmt w:val="decimal"/>
      <w:lvlText w:val="%1"/>
      <w:lvlJc w:val="left"/>
      <w:pPr>
        <w:ind w:left="825" w:hanging="825"/>
      </w:pPr>
      <w:rPr>
        <w:rFonts w:hint="default"/>
      </w:rPr>
    </w:lvl>
    <w:lvl w:ilvl="1">
      <w:start w:val="1"/>
      <w:numFmt w:val="decimal"/>
      <w:lvlText w:val="%1-%2"/>
      <w:lvlJc w:val="left"/>
      <w:pPr>
        <w:ind w:left="825" w:hanging="825"/>
      </w:pPr>
      <w:rPr>
        <w:rFonts w:hint="default"/>
        <w:b/>
        <w:bCs/>
      </w:rPr>
    </w:lvl>
    <w:lvl w:ilvl="2">
      <w:start w:val="1"/>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0E25E4E"/>
    <w:multiLevelType w:val="multilevel"/>
    <w:tmpl w:val="B4129B5C"/>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A1A15C0"/>
    <w:multiLevelType w:val="hybridMultilevel"/>
    <w:tmpl w:val="2B0A6986"/>
    <w:lvl w:ilvl="0" w:tplc="0409001B">
      <w:start w:val="1"/>
      <w:numFmt w:val="lowerRoman"/>
      <w:lvlText w:val="%1."/>
      <w:lvlJc w:val="right"/>
      <w:pPr>
        <w:ind w:left="643"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465014">
    <w:abstractNumId w:val="15"/>
  </w:num>
  <w:num w:numId="2" w16cid:durableId="357126606">
    <w:abstractNumId w:val="6"/>
  </w:num>
  <w:num w:numId="3" w16cid:durableId="627971533">
    <w:abstractNumId w:val="9"/>
  </w:num>
  <w:num w:numId="4" w16cid:durableId="1091975371">
    <w:abstractNumId w:val="13"/>
  </w:num>
  <w:num w:numId="5" w16cid:durableId="926495727">
    <w:abstractNumId w:val="2"/>
  </w:num>
  <w:num w:numId="6" w16cid:durableId="1012801181">
    <w:abstractNumId w:val="11"/>
  </w:num>
  <w:num w:numId="7" w16cid:durableId="1856967075">
    <w:abstractNumId w:val="7"/>
  </w:num>
  <w:num w:numId="8" w16cid:durableId="701246097">
    <w:abstractNumId w:val="3"/>
  </w:num>
  <w:num w:numId="9" w16cid:durableId="967586733">
    <w:abstractNumId w:val="10"/>
  </w:num>
  <w:num w:numId="10" w16cid:durableId="600921244">
    <w:abstractNumId w:val="14"/>
  </w:num>
  <w:num w:numId="11" w16cid:durableId="2137867472">
    <w:abstractNumId w:val="12"/>
  </w:num>
  <w:num w:numId="12" w16cid:durableId="1189755977">
    <w:abstractNumId w:val="1"/>
  </w:num>
  <w:num w:numId="13" w16cid:durableId="1950504195">
    <w:abstractNumId w:val="0"/>
  </w:num>
  <w:num w:numId="14" w16cid:durableId="1299802677">
    <w:abstractNumId w:val="5"/>
  </w:num>
  <w:num w:numId="15" w16cid:durableId="1663924509">
    <w:abstractNumId w:val="4"/>
  </w:num>
  <w:num w:numId="16" w16cid:durableId="20098622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097"/>
    <w:rsid w:val="00007BF0"/>
    <w:rsid w:val="00010CCA"/>
    <w:rsid w:val="00012F95"/>
    <w:rsid w:val="00013EA7"/>
    <w:rsid w:val="0001535B"/>
    <w:rsid w:val="0002052B"/>
    <w:rsid w:val="00025B0D"/>
    <w:rsid w:val="00031CC0"/>
    <w:rsid w:val="00035563"/>
    <w:rsid w:val="0003765B"/>
    <w:rsid w:val="00042472"/>
    <w:rsid w:val="00042B5B"/>
    <w:rsid w:val="00043E32"/>
    <w:rsid w:val="00047DBA"/>
    <w:rsid w:val="00051B80"/>
    <w:rsid w:val="00052277"/>
    <w:rsid w:val="0005592F"/>
    <w:rsid w:val="00057ADE"/>
    <w:rsid w:val="000668D3"/>
    <w:rsid w:val="00073377"/>
    <w:rsid w:val="0007714D"/>
    <w:rsid w:val="00081F8D"/>
    <w:rsid w:val="00084746"/>
    <w:rsid w:val="0008523C"/>
    <w:rsid w:val="00085353"/>
    <w:rsid w:val="0008542E"/>
    <w:rsid w:val="0008598E"/>
    <w:rsid w:val="00087028"/>
    <w:rsid w:val="00090493"/>
    <w:rsid w:val="000956AB"/>
    <w:rsid w:val="00095701"/>
    <w:rsid w:val="00097A13"/>
    <w:rsid w:val="00097E3F"/>
    <w:rsid w:val="000A27B2"/>
    <w:rsid w:val="000A291F"/>
    <w:rsid w:val="000A50FE"/>
    <w:rsid w:val="000B1E6B"/>
    <w:rsid w:val="000B481E"/>
    <w:rsid w:val="000B697E"/>
    <w:rsid w:val="000B7539"/>
    <w:rsid w:val="000C11A9"/>
    <w:rsid w:val="000C1CC8"/>
    <w:rsid w:val="000D061D"/>
    <w:rsid w:val="000D0B31"/>
    <w:rsid w:val="000D4817"/>
    <w:rsid w:val="000E1C1B"/>
    <w:rsid w:val="000E65ED"/>
    <w:rsid w:val="000F1A69"/>
    <w:rsid w:val="000F4AB0"/>
    <w:rsid w:val="000F4C69"/>
    <w:rsid w:val="001005D5"/>
    <w:rsid w:val="001050C2"/>
    <w:rsid w:val="00105423"/>
    <w:rsid w:val="00106F94"/>
    <w:rsid w:val="001150AE"/>
    <w:rsid w:val="00120D09"/>
    <w:rsid w:val="00120E6A"/>
    <w:rsid w:val="00124E2C"/>
    <w:rsid w:val="00125F61"/>
    <w:rsid w:val="00125F64"/>
    <w:rsid w:val="00147E52"/>
    <w:rsid w:val="0015043F"/>
    <w:rsid w:val="00153B1C"/>
    <w:rsid w:val="001561D1"/>
    <w:rsid w:val="0016332B"/>
    <w:rsid w:val="00166BE6"/>
    <w:rsid w:val="0017468E"/>
    <w:rsid w:val="00175050"/>
    <w:rsid w:val="001841D9"/>
    <w:rsid w:val="0018622D"/>
    <w:rsid w:val="001906AC"/>
    <w:rsid w:val="001A57A5"/>
    <w:rsid w:val="001B40A9"/>
    <w:rsid w:val="001B7367"/>
    <w:rsid w:val="001C37FD"/>
    <w:rsid w:val="001C53DB"/>
    <w:rsid w:val="001C6003"/>
    <w:rsid w:val="001C6237"/>
    <w:rsid w:val="001D4441"/>
    <w:rsid w:val="001D6346"/>
    <w:rsid w:val="001E28E7"/>
    <w:rsid w:val="001E48E3"/>
    <w:rsid w:val="001E7F7E"/>
    <w:rsid w:val="001F223D"/>
    <w:rsid w:val="001F48E3"/>
    <w:rsid w:val="001F4C77"/>
    <w:rsid w:val="001F799B"/>
    <w:rsid w:val="00200CAE"/>
    <w:rsid w:val="00202613"/>
    <w:rsid w:val="00203C0D"/>
    <w:rsid w:val="00220092"/>
    <w:rsid w:val="00223930"/>
    <w:rsid w:val="00226D93"/>
    <w:rsid w:val="002304C7"/>
    <w:rsid w:val="00231568"/>
    <w:rsid w:val="002356B7"/>
    <w:rsid w:val="00243271"/>
    <w:rsid w:val="00243617"/>
    <w:rsid w:val="0024539A"/>
    <w:rsid w:val="002466E0"/>
    <w:rsid w:val="00246921"/>
    <w:rsid w:val="00246EEB"/>
    <w:rsid w:val="002506E9"/>
    <w:rsid w:val="00250D8B"/>
    <w:rsid w:val="00251707"/>
    <w:rsid w:val="002545B9"/>
    <w:rsid w:val="002566D6"/>
    <w:rsid w:val="00260F4F"/>
    <w:rsid w:val="0027063B"/>
    <w:rsid w:val="002710FB"/>
    <w:rsid w:val="00280702"/>
    <w:rsid w:val="002825A7"/>
    <w:rsid w:val="00282797"/>
    <w:rsid w:val="00285B80"/>
    <w:rsid w:val="00287E94"/>
    <w:rsid w:val="002A1C25"/>
    <w:rsid w:val="002A55AB"/>
    <w:rsid w:val="002A768E"/>
    <w:rsid w:val="002B0024"/>
    <w:rsid w:val="002B375E"/>
    <w:rsid w:val="002B4779"/>
    <w:rsid w:val="002C1E05"/>
    <w:rsid w:val="002D34D1"/>
    <w:rsid w:val="002E1912"/>
    <w:rsid w:val="002E2620"/>
    <w:rsid w:val="002E2B39"/>
    <w:rsid w:val="002E69B8"/>
    <w:rsid w:val="002F2993"/>
    <w:rsid w:val="002F2BB5"/>
    <w:rsid w:val="002F4EF2"/>
    <w:rsid w:val="002F5F3E"/>
    <w:rsid w:val="002F73FD"/>
    <w:rsid w:val="003004ED"/>
    <w:rsid w:val="00300F80"/>
    <w:rsid w:val="00303291"/>
    <w:rsid w:val="00305E16"/>
    <w:rsid w:val="00305ED3"/>
    <w:rsid w:val="0030626A"/>
    <w:rsid w:val="0031664E"/>
    <w:rsid w:val="00321C0D"/>
    <w:rsid w:val="00326A3E"/>
    <w:rsid w:val="003333BB"/>
    <w:rsid w:val="003418A5"/>
    <w:rsid w:val="00343324"/>
    <w:rsid w:val="0034723D"/>
    <w:rsid w:val="00347FBF"/>
    <w:rsid w:val="003547E0"/>
    <w:rsid w:val="00355000"/>
    <w:rsid w:val="00355B58"/>
    <w:rsid w:val="00355FCD"/>
    <w:rsid w:val="003633E5"/>
    <w:rsid w:val="00367887"/>
    <w:rsid w:val="00367EEB"/>
    <w:rsid w:val="00371FB2"/>
    <w:rsid w:val="0037258C"/>
    <w:rsid w:val="00372E2D"/>
    <w:rsid w:val="003774F5"/>
    <w:rsid w:val="00377B6F"/>
    <w:rsid w:val="003808DE"/>
    <w:rsid w:val="003820AF"/>
    <w:rsid w:val="003921F3"/>
    <w:rsid w:val="0039644C"/>
    <w:rsid w:val="00397A41"/>
    <w:rsid w:val="003A1C7D"/>
    <w:rsid w:val="003A5F79"/>
    <w:rsid w:val="003A720D"/>
    <w:rsid w:val="003B0792"/>
    <w:rsid w:val="003B1DD5"/>
    <w:rsid w:val="003B50A1"/>
    <w:rsid w:val="003B6CDB"/>
    <w:rsid w:val="003C036A"/>
    <w:rsid w:val="003C241B"/>
    <w:rsid w:val="003C2BCA"/>
    <w:rsid w:val="003C4ADB"/>
    <w:rsid w:val="003C4D23"/>
    <w:rsid w:val="003D2BC9"/>
    <w:rsid w:val="003D35BC"/>
    <w:rsid w:val="003D3BB9"/>
    <w:rsid w:val="003D4418"/>
    <w:rsid w:val="003D4DA8"/>
    <w:rsid w:val="003D7AF7"/>
    <w:rsid w:val="003E0CFB"/>
    <w:rsid w:val="003E294A"/>
    <w:rsid w:val="003F6892"/>
    <w:rsid w:val="003F73EF"/>
    <w:rsid w:val="00410E36"/>
    <w:rsid w:val="00413EC7"/>
    <w:rsid w:val="00415A7F"/>
    <w:rsid w:val="00416AEE"/>
    <w:rsid w:val="00422C76"/>
    <w:rsid w:val="00431927"/>
    <w:rsid w:val="004339BD"/>
    <w:rsid w:val="00435E03"/>
    <w:rsid w:val="00441B34"/>
    <w:rsid w:val="00441B55"/>
    <w:rsid w:val="00443EFF"/>
    <w:rsid w:val="0044625A"/>
    <w:rsid w:val="0045101C"/>
    <w:rsid w:val="00453700"/>
    <w:rsid w:val="004542F3"/>
    <w:rsid w:val="00454A7E"/>
    <w:rsid w:val="00456B22"/>
    <w:rsid w:val="004679EE"/>
    <w:rsid w:val="0047339B"/>
    <w:rsid w:val="0047585F"/>
    <w:rsid w:val="00483190"/>
    <w:rsid w:val="004863D3"/>
    <w:rsid w:val="00490965"/>
    <w:rsid w:val="00496936"/>
    <w:rsid w:val="004A26EA"/>
    <w:rsid w:val="004A6EF9"/>
    <w:rsid w:val="004A7687"/>
    <w:rsid w:val="004B15DF"/>
    <w:rsid w:val="004B2842"/>
    <w:rsid w:val="004B4CEC"/>
    <w:rsid w:val="004B65BC"/>
    <w:rsid w:val="004B7653"/>
    <w:rsid w:val="004B7CDF"/>
    <w:rsid w:val="004C094B"/>
    <w:rsid w:val="004C15FE"/>
    <w:rsid w:val="004C2C63"/>
    <w:rsid w:val="004C5053"/>
    <w:rsid w:val="004C664C"/>
    <w:rsid w:val="004C7911"/>
    <w:rsid w:val="004D2724"/>
    <w:rsid w:val="004D2AC7"/>
    <w:rsid w:val="004D3061"/>
    <w:rsid w:val="004E1A6E"/>
    <w:rsid w:val="004E274D"/>
    <w:rsid w:val="004E439F"/>
    <w:rsid w:val="004E5BE0"/>
    <w:rsid w:val="004E6AA8"/>
    <w:rsid w:val="004E770D"/>
    <w:rsid w:val="004F0778"/>
    <w:rsid w:val="004F1D28"/>
    <w:rsid w:val="00502BE4"/>
    <w:rsid w:val="00503FE1"/>
    <w:rsid w:val="005057C7"/>
    <w:rsid w:val="00510E93"/>
    <w:rsid w:val="00516348"/>
    <w:rsid w:val="00525679"/>
    <w:rsid w:val="0053085E"/>
    <w:rsid w:val="00534759"/>
    <w:rsid w:val="0053645D"/>
    <w:rsid w:val="0053678F"/>
    <w:rsid w:val="0053707B"/>
    <w:rsid w:val="00541851"/>
    <w:rsid w:val="00545434"/>
    <w:rsid w:val="005501E4"/>
    <w:rsid w:val="00550B90"/>
    <w:rsid w:val="00552AFB"/>
    <w:rsid w:val="00552FB6"/>
    <w:rsid w:val="0056560B"/>
    <w:rsid w:val="005656BB"/>
    <w:rsid w:val="00565968"/>
    <w:rsid w:val="005662E2"/>
    <w:rsid w:val="0058063E"/>
    <w:rsid w:val="005821F8"/>
    <w:rsid w:val="00584934"/>
    <w:rsid w:val="00584F18"/>
    <w:rsid w:val="0058519D"/>
    <w:rsid w:val="00590973"/>
    <w:rsid w:val="00591E34"/>
    <w:rsid w:val="00593B43"/>
    <w:rsid w:val="00594ECC"/>
    <w:rsid w:val="005958B8"/>
    <w:rsid w:val="00596287"/>
    <w:rsid w:val="00597DCD"/>
    <w:rsid w:val="00597F87"/>
    <w:rsid w:val="005A0560"/>
    <w:rsid w:val="005A55AA"/>
    <w:rsid w:val="005A63E9"/>
    <w:rsid w:val="005A7C17"/>
    <w:rsid w:val="005B28E4"/>
    <w:rsid w:val="005B5C02"/>
    <w:rsid w:val="005C09FF"/>
    <w:rsid w:val="005C0EE5"/>
    <w:rsid w:val="005C4C54"/>
    <w:rsid w:val="005D10A0"/>
    <w:rsid w:val="005D1E95"/>
    <w:rsid w:val="005D51A3"/>
    <w:rsid w:val="005D5547"/>
    <w:rsid w:val="005D72F4"/>
    <w:rsid w:val="005E0182"/>
    <w:rsid w:val="005F1058"/>
    <w:rsid w:val="005F19F2"/>
    <w:rsid w:val="005F1AD4"/>
    <w:rsid w:val="005F2985"/>
    <w:rsid w:val="005F36E3"/>
    <w:rsid w:val="00600C2D"/>
    <w:rsid w:val="00604319"/>
    <w:rsid w:val="00605449"/>
    <w:rsid w:val="00612C88"/>
    <w:rsid w:val="00614199"/>
    <w:rsid w:val="00614EE1"/>
    <w:rsid w:val="0061606F"/>
    <w:rsid w:val="00616F9D"/>
    <w:rsid w:val="006178B0"/>
    <w:rsid w:val="006220F7"/>
    <w:rsid w:val="0062387A"/>
    <w:rsid w:val="00626779"/>
    <w:rsid w:val="006271AD"/>
    <w:rsid w:val="00631389"/>
    <w:rsid w:val="00632D00"/>
    <w:rsid w:val="00634F52"/>
    <w:rsid w:val="006361A6"/>
    <w:rsid w:val="00641547"/>
    <w:rsid w:val="00644832"/>
    <w:rsid w:val="00653A4F"/>
    <w:rsid w:val="00661047"/>
    <w:rsid w:val="0066206B"/>
    <w:rsid w:val="006646F1"/>
    <w:rsid w:val="00666900"/>
    <w:rsid w:val="00680348"/>
    <w:rsid w:val="00686079"/>
    <w:rsid w:val="006917A1"/>
    <w:rsid w:val="006A0A79"/>
    <w:rsid w:val="006A2CCD"/>
    <w:rsid w:val="006B1801"/>
    <w:rsid w:val="006B5685"/>
    <w:rsid w:val="006B72D5"/>
    <w:rsid w:val="006B7B01"/>
    <w:rsid w:val="006C02E7"/>
    <w:rsid w:val="006C0EFF"/>
    <w:rsid w:val="006C0F42"/>
    <w:rsid w:val="006C5D61"/>
    <w:rsid w:val="006D079E"/>
    <w:rsid w:val="006D3C8E"/>
    <w:rsid w:val="006E24D4"/>
    <w:rsid w:val="006F323C"/>
    <w:rsid w:val="00700186"/>
    <w:rsid w:val="007008B8"/>
    <w:rsid w:val="0070132B"/>
    <w:rsid w:val="00702B5D"/>
    <w:rsid w:val="007040AE"/>
    <w:rsid w:val="0071008A"/>
    <w:rsid w:val="0071015A"/>
    <w:rsid w:val="0071035A"/>
    <w:rsid w:val="0071142A"/>
    <w:rsid w:val="00711785"/>
    <w:rsid w:val="00711FDA"/>
    <w:rsid w:val="00712571"/>
    <w:rsid w:val="0071545D"/>
    <w:rsid w:val="00717F44"/>
    <w:rsid w:val="00726CD4"/>
    <w:rsid w:val="00732955"/>
    <w:rsid w:val="00733F7E"/>
    <w:rsid w:val="00735EC9"/>
    <w:rsid w:val="00737E18"/>
    <w:rsid w:val="00740597"/>
    <w:rsid w:val="00740AF3"/>
    <w:rsid w:val="00745023"/>
    <w:rsid w:val="00745505"/>
    <w:rsid w:val="00747CB7"/>
    <w:rsid w:val="00753194"/>
    <w:rsid w:val="00754FA8"/>
    <w:rsid w:val="00755AC9"/>
    <w:rsid w:val="00767891"/>
    <w:rsid w:val="00773220"/>
    <w:rsid w:val="00776A56"/>
    <w:rsid w:val="00784E06"/>
    <w:rsid w:val="00790045"/>
    <w:rsid w:val="00792FB9"/>
    <w:rsid w:val="00797D1A"/>
    <w:rsid w:val="007A2A16"/>
    <w:rsid w:val="007A7D09"/>
    <w:rsid w:val="007B0051"/>
    <w:rsid w:val="007B79D9"/>
    <w:rsid w:val="007C0599"/>
    <w:rsid w:val="007C67AF"/>
    <w:rsid w:val="007C7812"/>
    <w:rsid w:val="007D0203"/>
    <w:rsid w:val="007D5659"/>
    <w:rsid w:val="007D6B9B"/>
    <w:rsid w:val="007E398E"/>
    <w:rsid w:val="007E54B8"/>
    <w:rsid w:val="007E61FD"/>
    <w:rsid w:val="007E7DFD"/>
    <w:rsid w:val="007F5D64"/>
    <w:rsid w:val="007F6A88"/>
    <w:rsid w:val="0080171F"/>
    <w:rsid w:val="00801BDA"/>
    <w:rsid w:val="00806271"/>
    <w:rsid w:val="008063E8"/>
    <w:rsid w:val="00816EA2"/>
    <w:rsid w:val="00825F9F"/>
    <w:rsid w:val="00833F07"/>
    <w:rsid w:val="008367D0"/>
    <w:rsid w:val="00842D84"/>
    <w:rsid w:val="00850422"/>
    <w:rsid w:val="00851A39"/>
    <w:rsid w:val="00853EDC"/>
    <w:rsid w:val="008547A8"/>
    <w:rsid w:val="00856FA9"/>
    <w:rsid w:val="008579C4"/>
    <w:rsid w:val="00860C7F"/>
    <w:rsid w:val="0086317B"/>
    <w:rsid w:val="008641DD"/>
    <w:rsid w:val="00866F62"/>
    <w:rsid w:val="00873686"/>
    <w:rsid w:val="0087643F"/>
    <w:rsid w:val="0087651E"/>
    <w:rsid w:val="008845AD"/>
    <w:rsid w:val="008858CC"/>
    <w:rsid w:val="0088629B"/>
    <w:rsid w:val="00892EA0"/>
    <w:rsid w:val="00893A81"/>
    <w:rsid w:val="00896EA6"/>
    <w:rsid w:val="0089786D"/>
    <w:rsid w:val="008A51F0"/>
    <w:rsid w:val="008A57CB"/>
    <w:rsid w:val="008A5B33"/>
    <w:rsid w:val="008A638F"/>
    <w:rsid w:val="008A67D2"/>
    <w:rsid w:val="008A7AAD"/>
    <w:rsid w:val="008D3213"/>
    <w:rsid w:val="008D4D66"/>
    <w:rsid w:val="008D583B"/>
    <w:rsid w:val="008E1730"/>
    <w:rsid w:val="008E197A"/>
    <w:rsid w:val="008E2333"/>
    <w:rsid w:val="008F0583"/>
    <w:rsid w:val="008F48B6"/>
    <w:rsid w:val="008F6A76"/>
    <w:rsid w:val="009028A1"/>
    <w:rsid w:val="00905AB3"/>
    <w:rsid w:val="00906FD0"/>
    <w:rsid w:val="0091366D"/>
    <w:rsid w:val="0091559D"/>
    <w:rsid w:val="00921172"/>
    <w:rsid w:val="0092650E"/>
    <w:rsid w:val="009273CC"/>
    <w:rsid w:val="0093405C"/>
    <w:rsid w:val="00944823"/>
    <w:rsid w:val="0094696D"/>
    <w:rsid w:val="00956323"/>
    <w:rsid w:val="009630B1"/>
    <w:rsid w:val="00963A68"/>
    <w:rsid w:val="0096754A"/>
    <w:rsid w:val="00973418"/>
    <w:rsid w:val="0098068E"/>
    <w:rsid w:val="00980DBB"/>
    <w:rsid w:val="0098150F"/>
    <w:rsid w:val="009A0B26"/>
    <w:rsid w:val="009A1551"/>
    <w:rsid w:val="009A29CC"/>
    <w:rsid w:val="009A30E7"/>
    <w:rsid w:val="009A54E2"/>
    <w:rsid w:val="009A5DB7"/>
    <w:rsid w:val="009A6D23"/>
    <w:rsid w:val="009B18B2"/>
    <w:rsid w:val="009B3450"/>
    <w:rsid w:val="009B36BC"/>
    <w:rsid w:val="009C2806"/>
    <w:rsid w:val="009C32CE"/>
    <w:rsid w:val="009D2936"/>
    <w:rsid w:val="009D3836"/>
    <w:rsid w:val="009E0954"/>
    <w:rsid w:val="009E0B88"/>
    <w:rsid w:val="009E0B8F"/>
    <w:rsid w:val="009E1130"/>
    <w:rsid w:val="009E7A37"/>
    <w:rsid w:val="009F4418"/>
    <w:rsid w:val="00A0670F"/>
    <w:rsid w:val="00A07498"/>
    <w:rsid w:val="00A0762D"/>
    <w:rsid w:val="00A11C30"/>
    <w:rsid w:val="00A1280A"/>
    <w:rsid w:val="00A12887"/>
    <w:rsid w:val="00A17957"/>
    <w:rsid w:val="00A21537"/>
    <w:rsid w:val="00A24AC3"/>
    <w:rsid w:val="00A255F5"/>
    <w:rsid w:val="00A276E0"/>
    <w:rsid w:val="00A27884"/>
    <w:rsid w:val="00A333A4"/>
    <w:rsid w:val="00A34DAA"/>
    <w:rsid w:val="00A35128"/>
    <w:rsid w:val="00A370E6"/>
    <w:rsid w:val="00A41F17"/>
    <w:rsid w:val="00A42668"/>
    <w:rsid w:val="00A5054E"/>
    <w:rsid w:val="00A50E64"/>
    <w:rsid w:val="00A51A42"/>
    <w:rsid w:val="00A54015"/>
    <w:rsid w:val="00A55378"/>
    <w:rsid w:val="00A560A7"/>
    <w:rsid w:val="00A6196A"/>
    <w:rsid w:val="00A727D2"/>
    <w:rsid w:val="00A75604"/>
    <w:rsid w:val="00A804B6"/>
    <w:rsid w:val="00A80B1D"/>
    <w:rsid w:val="00A90BDC"/>
    <w:rsid w:val="00A936EC"/>
    <w:rsid w:val="00A95337"/>
    <w:rsid w:val="00AA01C6"/>
    <w:rsid w:val="00AA59B8"/>
    <w:rsid w:val="00AA647F"/>
    <w:rsid w:val="00AA75BE"/>
    <w:rsid w:val="00AB44D6"/>
    <w:rsid w:val="00AB4948"/>
    <w:rsid w:val="00AB5D05"/>
    <w:rsid w:val="00AC0714"/>
    <w:rsid w:val="00AC0DF5"/>
    <w:rsid w:val="00AC30CC"/>
    <w:rsid w:val="00AC5F27"/>
    <w:rsid w:val="00AC6099"/>
    <w:rsid w:val="00AD37FC"/>
    <w:rsid w:val="00AD3C5A"/>
    <w:rsid w:val="00AE23BE"/>
    <w:rsid w:val="00AE5797"/>
    <w:rsid w:val="00AF109E"/>
    <w:rsid w:val="00AF140F"/>
    <w:rsid w:val="00AF177C"/>
    <w:rsid w:val="00AF48C1"/>
    <w:rsid w:val="00B10FA2"/>
    <w:rsid w:val="00B13440"/>
    <w:rsid w:val="00B412CA"/>
    <w:rsid w:val="00B44A54"/>
    <w:rsid w:val="00B4528E"/>
    <w:rsid w:val="00B46A0E"/>
    <w:rsid w:val="00B54E18"/>
    <w:rsid w:val="00B67C05"/>
    <w:rsid w:val="00B73DA6"/>
    <w:rsid w:val="00B7730C"/>
    <w:rsid w:val="00B77E04"/>
    <w:rsid w:val="00B80C15"/>
    <w:rsid w:val="00B80FBD"/>
    <w:rsid w:val="00B83C88"/>
    <w:rsid w:val="00B84057"/>
    <w:rsid w:val="00BA5613"/>
    <w:rsid w:val="00BA6120"/>
    <w:rsid w:val="00BA7EF2"/>
    <w:rsid w:val="00BB627A"/>
    <w:rsid w:val="00BC1103"/>
    <w:rsid w:val="00BC3A3C"/>
    <w:rsid w:val="00BC774A"/>
    <w:rsid w:val="00BE47E9"/>
    <w:rsid w:val="00BE765B"/>
    <w:rsid w:val="00BF3FF1"/>
    <w:rsid w:val="00C00AFA"/>
    <w:rsid w:val="00C0561E"/>
    <w:rsid w:val="00C058C2"/>
    <w:rsid w:val="00C20C29"/>
    <w:rsid w:val="00C22A81"/>
    <w:rsid w:val="00C233CC"/>
    <w:rsid w:val="00C23562"/>
    <w:rsid w:val="00C310C6"/>
    <w:rsid w:val="00C32713"/>
    <w:rsid w:val="00C33250"/>
    <w:rsid w:val="00C356E4"/>
    <w:rsid w:val="00C37E57"/>
    <w:rsid w:val="00C408FD"/>
    <w:rsid w:val="00C409A9"/>
    <w:rsid w:val="00C42918"/>
    <w:rsid w:val="00C439D9"/>
    <w:rsid w:val="00C44782"/>
    <w:rsid w:val="00C44F7E"/>
    <w:rsid w:val="00C47046"/>
    <w:rsid w:val="00C51BB7"/>
    <w:rsid w:val="00C544EC"/>
    <w:rsid w:val="00C54F0B"/>
    <w:rsid w:val="00C57072"/>
    <w:rsid w:val="00C57F0F"/>
    <w:rsid w:val="00C62675"/>
    <w:rsid w:val="00C64CDE"/>
    <w:rsid w:val="00C71328"/>
    <w:rsid w:val="00C71DD4"/>
    <w:rsid w:val="00C7295E"/>
    <w:rsid w:val="00C74631"/>
    <w:rsid w:val="00C77964"/>
    <w:rsid w:val="00C77DE8"/>
    <w:rsid w:val="00C861A5"/>
    <w:rsid w:val="00C90CE3"/>
    <w:rsid w:val="00C93097"/>
    <w:rsid w:val="00C951B7"/>
    <w:rsid w:val="00C96C2E"/>
    <w:rsid w:val="00CA0661"/>
    <w:rsid w:val="00CB6431"/>
    <w:rsid w:val="00CC3300"/>
    <w:rsid w:val="00CC37A7"/>
    <w:rsid w:val="00CC3BD1"/>
    <w:rsid w:val="00CC700C"/>
    <w:rsid w:val="00CD5069"/>
    <w:rsid w:val="00CE04F5"/>
    <w:rsid w:val="00CF6233"/>
    <w:rsid w:val="00D009FA"/>
    <w:rsid w:val="00D0649A"/>
    <w:rsid w:val="00D06A1E"/>
    <w:rsid w:val="00D07068"/>
    <w:rsid w:val="00D07F87"/>
    <w:rsid w:val="00D136E4"/>
    <w:rsid w:val="00D247F2"/>
    <w:rsid w:val="00D326AF"/>
    <w:rsid w:val="00D327B6"/>
    <w:rsid w:val="00D3529B"/>
    <w:rsid w:val="00D415F2"/>
    <w:rsid w:val="00D41814"/>
    <w:rsid w:val="00D42965"/>
    <w:rsid w:val="00D4373A"/>
    <w:rsid w:val="00D43C0E"/>
    <w:rsid w:val="00D441F1"/>
    <w:rsid w:val="00D474B2"/>
    <w:rsid w:val="00D5029F"/>
    <w:rsid w:val="00D719DC"/>
    <w:rsid w:val="00D82EEF"/>
    <w:rsid w:val="00D941F5"/>
    <w:rsid w:val="00D95C4E"/>
    <w:rsid w:val="00DA02D5"/>
    <w:rsid w:val="00DA5B59"/>
    <w:rsid w:val="00DB4AA7"/>
    <w:rsid w:val="00DB6D5B"/>
    <w:rsid w:val="00DC0194"/>
    <w:rsid w:val="00DC6A63"/>
    <w:rsid w:val="00DC73EE"/>
    <w:rsid w:val="00DC7D6D"/>
    <w:rsid w:val="00DD72FE"/>
    <w:rsid w:val="00DE1652"/>
    <w:rsid w:val="00DE52D9"/>
    <w:rsid w:val="00DF30E7"/>
    <w:rsid w:val="00E014CF"/>
    <w:rsid w:val="00E0586E"/>
    <w:rsid w:val="00E06526"/>
    <w:rsid w:val="00E12F03"/>
    <w:rsid w:val="00E14960"/>
    <w:rsid w:val="00E151DC"/>
    <w:rsid w:val="00E1645D"/>
    <w:rsid w:val="00E17656"/>
    <w:rsid w:val="00E25583"/>
    <w:rsid w:val="00E26D6B"/>
    <w:rsid w:val="00E31305"/>
    <w:rsid w:val="00E3344C"/>
    <w:rsid w:val="00E35E9F"/>
    <w:rsid w:val="00E42EA8"/>
    <w:rsid w:val="00E4536D"/>
    <w:rsid w:val="00E50D5C"/>
    <w:rsid w:val="00E60BE8"/>
    <w:rsid w:val="00E624C1"/>
    <w:rsid w:val="00E6269F"/>
    <w:rsid w:val="00E63692"/>
    <w:rsid w:val="00E6439D"/>
    <w:rsid w:val="00E64636"/>
    <w:rsid w:val="00E65730"/>
    <w:rsid w:val="00E701E2"/>
    <w:rsid w:val="00E749BA"/>
    <w:rsid w:val="00E75059"/>
    <w:rsid w:val="00E772D4"/>
    <w:rsid w:val="00E777EA"/>
    <w:rsid w:val="00E80D0A"/>
    <w:rsid w:val="00E844EE"/>
    <w:rsid w:val="00E85301"/>
    <w:rsid w:val="00E85311"/>
    <w:rsid w:val="00E85952"/>
    <w:rsid w:val="00E9191B"/>
    <w:rsid w:val="00E94ABA"/>
    <w:rsid w:val="00E974AA"/>
    <w:rsid w:val="00EA089A"/>
    <w:rsid w:val="00EA148B"/>
    <w:rsid w:val="00EA1E3A"/>
    <w:rsid w:val="00EA30D8"/>
    <w:rsid w:val="00EA3AA2"/>
    <w:rsid w:val="00EC0A24"/>
    <w:rsid w:val="00EC1042"/>
    <w:rsid w:val="00EC356B"/>
    <w:rsid w:val="00EC390C"/>
    <w:rsid w:val="00EC638E"/>
    <w:rsid w:val="00ED602D"/>
    <w:rsid w:val="00EF6E12"/>
    <w:rsid w:val="00F00720"/>
    <w:rsid w:val="00F02976"/>
    <w:rsid w:val="00F02E91"/>
    <w:rsid w:val="00F03AD1"/>
    <w:rsid w:val="00F055D9"/>
    <w:rsid w:val="00F058FA"/>
    <w:rsid w:val="00F10DA3"/>
    <w:rsid w:val="00F10F6A"/>
    <w:rsid w:val="00F13625"/>
    <w:rsid w:val="00F15841"/>
    <w:rsid w:val="00F15D9B"/>
    <w:rsid w:val="00F309B1"/>
    <w:rsid w:val="00F310A5"/>
    <w:rsid w:val="00F369BD"/>
    <w:rsid w:val="00F43555"/>
    <w:rsid w:val="00F515BA"/>
    <w:rsid w:val="00F557EB"/>
    <w:rsid w:val="00F574C3"/>
    <w:rsid w:val="00F62286"/>
    <w:rsid w:val="00F70455"/>
    <w:rsid w:val="00F7120B"/>
    <w:rsid w:val="00F71AA7"/>
    <w:rsid w:val="00F7410F"/>
    <w:rsid w:val="00F77344"/>
    <w:rsid w:val="00F80ACF"/>
    <w:rsid w:val="00F855B9"/>
    <w:rsid w:val="00F875B4"/>
    <w:rsid w:val="00F92AFF"/>
    <w:rsid w:val="00F92F47"/>
    <w:rsid w:val="00F933C4"/>
    <w:rsid w:val="00F954A8"/>
    <w:rsid w:val="00F975A0"/>
    <w:rsid w:val="00FA3F84"/>
    <w:rsid w:val="00FA6959"/>
    <w:rsid w:val="00FA6F71"/>
    <w:rsid w:val="00FA7651"/>
    <w:rsid w:val="00FB0DFA"/>
    <w:rsid w:val="00FB26DB"/>
    <w:rsid w:val="00FB7EAF"/>
    <w:rsid w:val="00FC0B1B"/>
    <w:rsid w:val="00FC2977"/>
    <w:rsid w:val="00FC4102"/>
    <w:rsid w:val="00FC77FC"/>
    <w:rsid w:val="00FE5E9F"/>
    <w:rsid w:val="00FF2DA5"/>
    <w:rsid w:val="00FF3D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FD73"/>
  <w15:docId w15:val="{8B4BA7A5-4E0C-8F4D-9228-11CBA0CFA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CC"/>
    <w:pPr>
      <w:bidi/>
    </w:pPr>
    <w:rPr>
      <w:rFonts w:ascii="Calibri" w:eastAsia="Times New Roman" w:hAnsi="Calibri" w:cs="Arial"/>
    </w:rPr>
  </w:style>
  <w:style w:type="paragraph" w:styleId="Heading2">
    <w:name w:val="heading 2"/>
    <w:basedOn w:val="Normal"/>
    <w:next w:val="Normal"/>
    <w:link w:val="Heading2Char"/>
    <w:uiPriority w:val="9"/>
    <w:semiHidden/>
    <w:unhideWhenUsed/>
    <w:qFormat/>
    <w:rsid w:val="00801BDA"/>
    <w:pPr>
      <w:keepNext/>
      <w:keepLines/>
      <w:bidi w:val="0"/>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77B6F"/>
    <w:rPr>
      <w:color w:val="0000FF"/>
      <w:u w:val="single"/>
    </w:rPr>
  </w:style>
  <w:style w:type="paragraph" w:styleId="ListParagraph">
    <w:name w:val="List Paragraph"/>
    <w:basedOn w:val="Normal"/>
    <w:uiPriority w:val="34"/>
    <w:qFormat/>
    <w:rsid w:val="00377B6F"/>
    <w:pPr>
      <w:ind w:left="720"/>
      <w:contextualSpacing/>
    </w:pPr>
  </w:style>
  <w:style w:type="paragraph" w:styleId="BalloonText">
    <w:name w:val="Balloon Text"/>
    <w:basedOn w:val="Normal"/>
    <w:link w:val="BalloonTextChar"/>
    <w:uiPriority w:val="99"/>
    <w:semiHidden/>
    <w:unhideWhenUsed/>
    <w:rsid w:val="00377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B6F"/>
    <w:rPr>
      <w:rFonts w:ascii="Tahoma" w:eastAsia="Times New Roman" w:hAnsi="Tahoma" w:cs="Tahoma"/>
      <w:sz w:val="16"/>
      <w:szCs w:val="16"/>
    </w:rPr>
  </w:style>
  <w:style w:type="paragraph" w:styleId="Footer">
    <w:name w:val="footer"/>
    <w:basedOn w:val="Normal"/>
    <w:link w:val="FooterChar"/>
    <w:uiPriority w:val="99"/>
    <w:unhideWhenUsed/>
    <w:rsid w:val="002827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2797"/>
    <w:rPr>
      <w:rFonts w:ascii="Calibri" w:eastAsia="Times New Roman" w:hAnsi="Calibri" w:cs="Arial"/>
    </w:rPr>
  </w:style>
  <w:style w:type="paragraph" w:styleId="NormalWeb">
    <w:name w:val="Normal (Web)"/>
    <w:basedOn w:val="Normal"/>
    <w:link w:val="NormalWebChar"/>
    <w:uiPriority w:val="99"/>
    <w:unhideWhenUsed/>
    <w:rsid w:val="002545B9"/>
    <w:pPr>
      <w:bidi w:val="0"/>
      <w:spacing w:before="100" w:beforeAutospacing="1" w:after="100" w:afterAutospacing="1" w:line="240" w:lineRule="auto"/>
    </w:pPr>
    <w:rPr>
      <w:rFonts w:ascii="Times New Roman" w:hAnsi="Times New Roman" w:cs="Times New Roman"/>
      <w:sz w:val="24"/>
      <w:szCs w:val="24"/>
      <w:lang w:eastAsia="x-none"/>
    </w:rPr>
  </w:style>
  <w:style w:type="character" w:customStyle="1" w:styleId="NormalWebChar">
    <w:name w:val="Normal (Web) Char"/>
    <w:link w:val="NormalWeb"/>
    <w:uiPriority w:val="99"/>
    <w:rsid w:val="002545B9"/>
    <w:rPr>
      <w:rFonts w:ascii="Times New Roman" w:eastAsia="Times New Roman" w:hAnsi="Times New Roman" w:cs="Times New Roman"/>
      <w:sz w:val="24"/>
      <w:szCs w:val="24"/>
      <w:lang w:val="en" w:eastAsia="x-none"/>
    </w:rPr>
  </w:style>
  <w:style w:type="paragraph" w:styleId="Header">
    <w:name w:val="header"/>
    <w:basedOn w:val="Normal"/>
    <w:link w:val="HeaderChar"/>
    <w:uiPriority w:val="99"/>
    <w:unhideWhenUsed/>
    <w:rsid w:val="00E50D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50D5C"/>
    <w:rPr>
      <w:rFonts w:ascii="Calibri" w:eastAsia="Times New Roman" w:hAnsi="Calibri" w:cs="Arial"/>
    </w:rPr>
  </w:style>
  <w:style w:type="table" w:styleId="TableGrid">
    <w:name w:val="Table Grid"/>
    <w:basedOn w:val="TableNormal"/>
    <w:uiPriority w:val="59"/>
    <w:rsid w:val="00E75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1BDA"/>
    <w:rPr>
      <w:rFonts w:asciiTheme="majorHAnsi" w:eastAsiaTheme="majorEastAsia" w:hAnsiTheme="majorHAnsi" w:cstheme="majorBidi"/>
      <w:b/>
      <w:bCs/>
      <w:color w:val="4F81BD" w:themeColor="accent1"/>
      <w:sz w:val="26"/>
      <w:szCs w:val="26"/>
      <w:lang w:val="en-US"/>
    </w:rPr>
  </w:style>
  <w:style w:type="character" w:styleId="FollowedHyperlink">
    <w:name w:val="FollowedHyperlink"/>
    <w:basedOn w:val="DefaultParagraphFont"/>
    <w:uiPriority w:val="99"/>
    <w:semiHidden/>
    <w:unhideWhenUsed/>
    <w:rsid w:val="00C310C6"/>
    <w:rPr>
      <w:color w:val="800080" w:themeColor="followedHyperlink"/>
      <w:u w:val="single"/>
    </w:rPr>
  </w:style>
  <w:style w:type="character" w:styleId="UnresolvedMention">
    <w:name w:val="Unresolved Mention"/>
    <w:basedOn w:val="DefaultParagraphFont"/>
    <w:uiPriority w:val="99"/>
    <w:semiHidden/>
    <w:unhideWhenUsed/>
    <w:rsid w:val="00666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8882">
      <w:bodyDiv w:val="1"/>
      <w:marLeft w:val="0"/>
      <w:marRight w:val="0"/>
      <w:marTop w:val="0"/>
      <w:marBottom w:val="0"/>
      <w:divBdr>
        <w:top w:val="none" w:sz="0" w:space="0" w:color="auto"/>
        <w:left w:val="none" w:sz="0" w:space="0" w:color="auto"/>
        <w:bottom w:val="none" w:sz="0" w:space="0" w:color="auto"/>
        <w:right w:val="none" w:sz="0" w:space="0" w:color="auto"/>
      </w:divBdr>
    </w:div>
    <w:div w:id="265817897">
      <w:bodyDiv w:val="1"/>
      <w:marLeft w:val="0"/>
      <w:marRight w:val="0"/>
      <w:marTop w:val="0"/>
      <w:marBottom w:val="0"/>
      <w:divBdr>
        <w:top w:val="none" w:sz="0" w:space="0" w:color="auto"/>
        <w:left w:val="none" w:sz="0" w:space="0" w:color="auto"/>
        <w:bottom w:val="none" w:sz="0" w:space="0" w:color="auto"/>
        <w:right w:val="none" w:sz="0" w:space="0" w:color="auto"/>
      </w:divBdr>
      <w:divsChild>
        <w:div w:id="1971399791">
          <w:marLeft w:val="0"/>
          <w:marRight w:val="0"/>
          <w:marTop w:val="0"/>
          <w:marBottom w:val="0"/>
          <w:divBdr>
            <w:top w:val="none" w:sz="0" w:space="0" w:color="auto"/>
            <w:left w:val="none" w:sz="0" w:space="0" w:color="auto"/>
            <w:bottom w:val="none" w:sz="0" w:space="0" w:color="auto"/>
            <w:right w:val="none" w:sz="0" w:space="0" w:color="auto"/>
          </w:divBdr>
        </w:div>
      </w:divsChild>
    </w:div>
    <w:div w:id="438527901">
      <w:bodyDiv w:val="1"/>
      <w:marLeft w:val="0"/>
      <w:marRight w:val="0"/>
      <w:marTop w:val="0"/>
      <w:marBottom w:val="0"/>
      <w:divBdr>
        <w:top w:val="none" w:sz="0" w:space="0" w:color="auto"/>
        <w:left w:val="none" w:sz="0" w:space="0" w:color="auto"/>
        <w:bottom w:val="none" w:sz="0" w:space="0" w:color="auto"/>
        <w:right w:val="none" w:sz="0" w:space="0" w:color="auto"/>
      </w:divBdr>
    </w:div>
    <w:div w:id="498497405">
      <w:bodyDiv w:val="1"/>
      <w:marLeft w:val="0"/>
      <w:marRight w:val="0"/>
      <w:marTop w:val="0"/>
      <w:marBottom w:val="0"/>
      <w:divBdr>
        <w:top w:val="none" w:sz="0" w:space="0" w:color="auto"/>
        <w:left w:val="none" w:sz="0" w:space="0" w:color="auto"/>
        <w:bottom w:val="none" w:sz="0" w:space="0" w:color="auto"/>
        <w:right w:val="none" w:sz="0" w:space="0" w:color="auto"/>
      </w:divBdr>
    </w:div>
    <w:div w:id="554925758">
      <w:bodyDiv w:val="1"/>
      <w:marLeft w:val="0"/>
      <w:marRight w:val="0"/>
      <w:marTop w:val="0"/>
      <w:marBottom w:val="0"/>
      <w:divBdr>
        <w:top w:val="none" w:sz="0" w:space="0" w:color="auto"/>
        <w:left w:val="none" w:sz="0" w:space="0" w:color="auto"/>
        <w:bottom w:val="none" w:sz="0" w:space="0" w:color="auto"/>
        <w:right w:val="none" w:sz="0" w:space="0" w:color="auto"/>
      </w:divBdr>
    </w:div>
    <w:div w:id="571282846">
      <w:bodyDiv w:val="1"/>
      <w:marLeft w:val="0"/>
      <w:marRight w:val="0"/>
      <w:marTop w:val="0"/>
      <w:marBottom w:val="0"/>
      <w:divBdr>
        <w:top w:val="none" w:sz="0" w:space="0" w:color="auto"/>
        <w:left w:val="none" w:sz="0" w:space="0" w:color="auto"/>
        <w:bottom w:val="none" w:sz="0" w:space="0" w:color="auto"/>
        <w:right w:val="none" w:sz="0" w:space="0" w:color="auto"/>
      </w:divBdr>
    </w:div>
    <w:div w:id="607397094">
      <w:bodyDiv w:val="1"/>
      <w:marLeft w:val="0"/>
      <w:marRight w:val="0"/>
      <w:marTop w:val="0"/>
      <w:marBottom w:val="0"/>
      <w:divBdr>
        <w:top w:val="none" w:sz="0" w:space="0" w:color="auto"/>
        <w:left w:val="none" w:sz="0" w:space="0" w:color="auto"/>
        <w:bottom w:val="none" w:sz="0" w:space="0" w:color="auto"/>
        <w:right w:val="none" w:sz="0" w:space="0" w:color="auto"/>
      </w:divBdr>
    </w:div>
    <w:div w:id="815605629">
      <w:bodyDiv w:val="1"/>
      <w:marLeft w:val="0"/>
      <w:marRight w:val="0"/>
      <w:marTop w:val="0"/>
      <w:marBottom w:val="0"/>
      <w:divBdr>
        <w:top w:val="none" w:sz="0" w:space="0" w:color="auto"/>
        <w:left w:val="none" w:sz="0" w:space="0" w:color="auto"/>
        <w:bottom w:val="none" w:sz="0" w:space="0" w:color="auto"/>
        <w:right w:val="none" w:sz="0" w:space="0" w:color="auto"/>
      </w:divBdr>
    </w:div>
    <w:div w:id="1255626830">
      <w:bodyDiv w:val="1"/>
      <w:marLeft w:val="0"/>
      <w:marRight w:val="0"/>
      <w:marTop w:val="0"/>
      <w:marBottom w:val="0"/>
      <w:divBdr>
        <w:top w:val="none" w:sz="0" w:space="0" w:color="auto"/>
        <w:left w:val="none" w:sz="0" w:space="0" w:color="auto"/>
        <w:bottom w:val="none" w:sz="0" w:space="0" w:color="auto"/>
        <w:right w:val="none" w:sz="0" w:space="0" w:color="auto"/>
      </w:divBdr>
      <w:divsChild>
        <w:div w:id="1133597210">
          <w:marLeft w:val="0"/>
          <w:marRight w:val="0"/>
          <w:marTop w:val="0"/>
          <w:marBottom w:val="0"/>
          <w:divBdr>
            <w:top w:val="none" w:sz="0" w:space="0" w:color="auto"/>
            <w:left w:val="none" w:sz="0" w:space="0" w:color="auto"/>
            <w:bottom w:val="none" w:sz="0" w:space="0" w:color="auto"/>
            <w:right w:val="none" w:sz="0" w:space="0" w:color="auto"/>
          </w:divBdr>
        </w:div>
      </w:divsChild>
    </w:div>
    <w:div w:id="1327630476">
      <w:bodyDiv w:val="1"/>
      <w:marLeft w:val="0"/>
      <w:marRight w:val="0"/>
      <w:marTop w:val="0"/>
      <w:marBottom w:val="0"/>
      <w:divBdr>
        <w:top w:val="none" w:sz="0" w:space="0" w:color="auto"/>
        <w:left w:val="none" w:sz="0" w:space="0" w:color="auto"/>
        <w:bottom w:val="none" w:sz="0" w:space="0" w:color="auto"/>
        <w:right w:val="none" w:sz="0" w:space="0" w:color="auto"/>
      </w:divBdr>
    </w:div>
    <w:div w:id="1521116085">
      <w:bodyDiv w:val="1"/>
      <w:marLeft w:val="0"/>
      <w:marRight w:val="0"/>
      <w:marTop w:val="0"/>
      <w:marBottom w:val="0"/>
      <w:divBdr>
        <w:top w:val="none" w:sz="0" w:space="0" w:color="auto"/>
        <w:left w:val="none" w:sz="0" w:space="0" w:color="auto"/>
        <w:bottom w:val="none" w:sz="0" w:space="0" w:color="auto"/>
        <w:right w:val="none" w:sz="0" w:space="0" w:color="auto"/>
      </w:divBdr>
    </w:div>
    <w:div w:id="201499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s://doi.org/10.4315/0362-028x-72.8.1671" TargetMode="External"/><Relationship Id="rId47" Type="http://schemas.openxmlformats.org/officeDocument/2006/relationships/hyperlink" Target="https://doi.org/10.1016/j.nut.2008.12.008" TargetMode="External"/><Relationship Id="rId63" Type="http://schemas.openxmlformats.org/officeDocument/2006/relationships/hyperlink" Target="https://doi.org/10.3329/dujbs.v19i2.8956" TargetMode="External"/><Relationship Id="rId68" Type="http://schemas.openxmlformats.org/officeDocument/2006/relationships/hyperlink" Target="https://moaar.gov.sy/index.php?node=5610&amp;cat=5610"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hyperlink" Target="https://doi.org/10.21608/jsfc.2013.26154" TargetMode="External"/><Relationship Id="rId40" Type="http://schemas.openxmlformats.org/officeDocument/2006/relationships/hyperlink" Target="https://doi.org/10.1100/tsw.2006.181" TargetMode="External"/><Relationship Id="rId45" Type="http://schemas.openxmlformats.org/officeDocument/2006/relationships/hyperlink" Target="https://books.google.com/books?id=f_XCAAAAMAAJ" TargetMode="External"/><Relationship Id="rId53" Type="http://schemas.openxmlformats.org/officeDocument/2006/relationships/hyperlink" Target="https://doi.org/10.1016/j.ecoenv.2014.10.005" TargetMode="External"/><Relationship Id="rId58" Type="http://schemas.openxmlformats.org/officeDocument/2006/relationships/hyperlink" Target="https://doi.org/10.1016/C2020-0-03289-5" TargetMode="External"/><Relationship Id="rId66" Type="http://schemas.openxmlformats.org/officeDocument/2006/relationships/hyperlink" Target="https://doi.org/10.1111/J.1365-2621.1981.TB15333.X" TargetMode="External"/><Relationship Id="rId5" Type="http://schemas.openxmlformats.org/officeDocument/2006/relationships/footnotes" Target="footnotes.xml"/><Relationship Id="rId61" Type="http://schemas.openxmlformats.org/officeDocument/2006/relationships/hyperlink" Target="https://doi.org/10.5251/ajfn.2011.1.3.109.113"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doi.org/10.1080/09637480802400487" TargetMode="External"/><Relationship Id="rId48" Type="http://schemas.openxmlformats.org/officeDocument/2006/relationships/hyperlink" Target="https://doi.org/10.1093/femsec/fix161" TargetMode="External"/><Relationship Id="rId56" Type="http://schemas.openxmlformats.org/officeDocument/2006/relationships/hyperlink" Target="http://sciencebeingjournal.com/octa-journal-of-biosciences-fish-spoilage-in-the-tropics-a-review/" TargetMode="External"/><Relationship Id="rId64" Type="http://schemas.openxmlformats.org/officeDocument/2006/relationships/hyperlink" Target="https://doi.org/10.1201/9781003068419" TargetMode="External"/><Relationship Id="rId69" Type="http://schemas.openxmlformats.org/officeDocument/2006/relationships/hyperlink" Target="https://doi.org/10.5772/68048" TargetMode="External"/><Relationship Id="rId8" Type="http://schemas.openxmlformats.org/officeDocument/2006/relationships/image" Target="media/image2.jpeg"/><Relationship Id="rId51" Type="http://schemas.openxmlformats.org/officeDocument/2006/relationships/hyperlink" Target="https://www.sciencedirect.com/science/article/pii/S074000201500057X"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33" Type="http://schemas.openxmlformats.org/officeDocument/2006/relationships/image" Target="media/image20.jpeg"/><Relationship Id="rId38" Type="http://schemas.openxmlformats.org/officeDocument/2006/relationships/hyperlink" Target="https://www.researchgate.net/publication/350961817_Microbial_contamination_in_the_Tobruk_Bay_basin" TargetMode="External"/><Relationship Id="rId46" Type="http://schemas.openxmlformats.org/officeDocument/2006/relationships/hyperlink" Target="https://doi.org/10.1016/B978-0-323-90261-8.00009-2" TargetMode="External"/><Relationship Id="rId59" Type="http://schemas.openxmlformats.org/officeDocument/2006/relationships/hyperlink" Target="https://doi.org/10.3390/foods8090421" TargetMode="External"/><Relationship Id="rId67" Type="http://schemas.openxmlformats.org/officeDocument/2006/relationships/hyperlink" Target="https://archives.ju.edu.jo/index.php/jjas/article/view/15304/7460" TargetMode="External"/><Relationship Id="rId20" Type="http://schemas.openxmlformats.org/officeDocument/2006/relationships/chart" Target="charts/chart1.xml"/><Relationship Id="rId41" Type="http://schemas.openxmlformats.org/officeDocument/2006/relationships/hyperlink" Target="https://doi.org/10.1111/j.1365-2621.1998.tb15711.x" TargetMode="External"/><Relationship Id="rId54" Type="http://schemas.openxmlformats.org/officeDocument/2006/relationships/hyperlink" Target="https://doi.org/10.3844/ajassp.2010.859.877" TargetMode="External"/><Relationship Id="rId62" Type="http://schemas.openxmlformats.org/officeDocument/2006/relationships/hyperlink" Target="https://doi.org/10.1002/9781118346174.ch14" TargetMode="External"/><Relationship Id="rId70" Type="http://schemas.openxmlformats.org/officeDocument/2006/relationships/hyperlink" Target="https://doi.org/10.3390/microorganisms1105135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hyperlink" Target="https://uokerbala.edu.iq/wpcontent/uploads/2019/12/%D8%B1%D8%B3%D8%A7%D9%84%D8%A9-%D9%85%D8%A7%D8%AC%D8%B3%D8%AA%D9%8A%D8%B1-%D8%B9%D9%82%D9%8A%D9%84%D8%A7%D9%84%D8%B4%D8%B1%D9%8A%D9%81%D9%8A.pdf" TargetMode="External"/><Relationship Id="rId49" Type="http://schemas.openxmlformats.org/officeDocument/2006/relationships/hyperlink" Target="https://doi.org/10.1016/j.foodchem.2006.03.001" TargetMode="External"/><Relationship Id="rId57" Type="http://schemas.openxmlformats.org/officeDocument/2006/relationships/hyperlink" Target="https://doi.org/10.1016/j.foodchem.2007.03.002"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s://www.spc.int/digitallibrary/get/a7ve6" TargetMode="External"/><Relationship Id="rId52" Type="http://schemas.openxmlformats.org/officeDocument/2006/relationships/hyperlink" Target="http://www.fao.org/docrep/016/i2727e/i2727e.pdf" TargetMode="External"/><Relationship Id="rId60" Type="http://schemas.openxmlformats.org/officeDocument/2006/relationships/hyperlink" Target="https://doi.org/10.1111/raq.12762" TargetMode="External"/><Relationship Id="rId65" Type="http://schemas.openxmlformats.org/officeDocument/2006/relationships/hyperlink" Target="https://doi.org/10.1201/9781003068419-8"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16/j.aquaculture.2008.07.025" TargetMode="External"/><Relationship Id="rId34" Type="http://schemas.openxmlformats.org/officeDocument/2006/relationships/image" Target="media/image21.jpeg"/><Relationship Id="rId50" Type="http://schemas.openxmlformats.org/officeDocument/2006/relationships/hyperlink" Target="https://doi.org/10.1080/10454438.2022.2105673" TargetMode="External"/><Relationship Id="rId55" Type="http://schemas.openxmlformats.org/officeDocument/2006/relationships/hyperlink" Target="https://doi.org/10.1111/j.1365-2621.1974.tb01765.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a\Desktop\Doctorate\&#1605;&#1602;&#1575;&#1604;&#1575;&#1578;%20&#1576;&#1593;&#1583;%20&#1575;&#1604;&#1583;&#1603;&#1578;&#1608;&#1585;&#1575;&#1607;\&#1575;&#1604;&#1578;&#1604;&#1608;&#1579;%20&#1575;&#1604;&#1605;&#1610;&#1603;&#1585;&#1608;&#1576;&#1610;\&#1578;&#1604;&#1608;&#1579;%20&#1605;&#1610;&#1603;&#1585;&#1608;&#1576;&#16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7767136113029622"/>
          <c:y val="0.11064658665706517"/>
          <c:w val="0.78679068241469818"/>
          <c:h val="0.60077528770442157"/>
        </c:manualLayout>
      </c:layout>
      <c:bar3DChart>
        <c:barDir val="col"/>
        <c:grouping val="clustered"/>
        <c:varyColors val="0"/>
        <c:ser>
          <c:idx val="0"/>
          <c:order val="0"/>
          <c:tx>
            <c:strRef>
              <c:f>ورقة2!$C$13</c:f>
              <c:strCache>
                <c:ptCount val="1"/>
                <c:pt idx="0">
                  <c:v> Tartus Corniche</c:v>
                </c:pt>
              </c:strCache>
            </c:strRef>
          </c:tx>
          <c:invertIfNegative val="0"/>
          <c:cat>
            <c:multiLvlStrRef>
              <c:f>ورقة2!$A$14:$B$21</c:f>
              <c:multiLvlStrCache>
                <c:ptCount val="8"/>
                <c:lvl>
                  <c:pt idx="0">
                    <c:v>Spring</c:v>
                  </c:pt>
                  <c:pt idx="1">
                    <c:v>Summer</c:v>
                  </c:pt>
                  <c:pt idx="2">
                    <c:v>Autumn</c:v>
                  </c:pt>
                  <c:pt idx="3">
                    <c:v>Winter</c:v>
                  </c:pt>
                  <c:pt idx="4">
                    <c:v>Spring</c:v>
                  </c:pt>
                  <c:pt idx="5">
                    <c:v>Summer</c:v>
                  </c:pt>
                  <c:pt idx="6">
                    <c:v>Autumn</c:v>
                  </c:pt>
                  <c:pt idx="7">
                    <c:v>Winter</c:v>
                  </c:pt>
                </c:lvl>
                <c:lvl>
                  <c:pt idx="0">
                    <c:v>2023</c:v>
                  </c:pt>
                  <c:pt idx="4">
                    <c:v>2024</c:v>
                  </c:pt>
                </c:lvl>
              </c:multiLvlStrCache>
            </c:multiLvlStrRef>
          </c:cat>
          <c:val>
            <c:numRef>
              <c:f>ورقة2!$C$14:$C$21</c:f>
              <c:numCache>
                <c:formatCode>_(* #,##0.00_);_(* \(#,##0.00\);_(* "-"??_);_(@_)</c:formatCode>
                <c:ptCount val="8"/>
                <c:pt idx="0">
                  <c:v>1.9666666666666668</c:v>
                </c:pt>
                <c:pt idx="1">
                  <c:v>2.3333333333333335</c:v>
                </c:pt>
                <c:pt idx="2">
                  <c:v>1.8333333333333333</c:v>
                </c:pt>
                <c:pt idx="3">
                  <c:v>1.6333333333333335</c:v>
                </c:pt>
                <c:pt idx="4">
                  <c:v>2.3666666666666667</c:v>
                </c:pt>
                <c:pt idx="5">
                  <c:v>3</c:v>
                </c:pt>
                <c:pt idx="6">
                  <c:v>2.1</c:v>
                </c:pt>
                <c:pt idx="7">
                  <c:v>1.9000000000000001</c:v>
                </c:pt>
              </c:numCache>
            </c:numRef>
          </c:val>
          <c:extLst>
            <c:ext xmlns:c16="http://schemas.microsoft.com/office/drawing/2014/chart" uri="{C3380CC4-5D6E-409C-BE32-E72D297353CC}">
              <c16:uniqueId val="{00000000-451C-B447-87A5-A3515FDE1DE9}"/>
            </c:ext>
          </c:extLst>
        </c:ser>
        <c:ser>
          <c:idx val="1"/>
          <c:order val="1"/>
          <c:tx>
            <c:strRef>
              <c:f>ورقة2!$D$13</c:f>
              <c:strCache>
                <c:ptCount val="1"/>
                <c:pt idx="0">
                  <c:v>Basira </c:v>
                </c:pt>
              </c:strCache>
            </c:strRef>
          </c:tx>
          <c:invertIfNegative val="0"/>
          <c:cat>
            <c:multiLvlStrRef>
              <c:f>ورقة2!$A$14:$B$21</c:f>
              <c:multiLvlStrCache>
                <c:ptCount val="8"/>
                <c:lvl>
                  <c:pt idx="0">
                    <c:v>Spring</c:v>
                  </c:pt>
                  <c:pt idx="1">
                    <c:v>Summer</c:v>
                  </c:pt>
                  <c:pt idx="2">
                    <c:v>Autumn</c:v>
                  </c:pt>
                  <c:pt idx="3">
                    <c:v>Winter</c:v>
                  </c:pt>
                  <c:pt idx="4">
                    <c:v>Spring</c:v>
                  </c:pt>
                  <c:pt idx="5">
                    <c:v>Summer</c:v>
                  </c:pt>
                  <c:pt idx="6">
                    <c:v>Autumn</c:v>
                  </c:pt>
                  <c:pt idx="7">
                    <c:v>Winter</c:v>
                  </c:pt>
                </c:lvl>
                <c:lvl>
                  <c:pt idx="0">
                    <c:v>2023</c:v>
                  </c:pt>
                  <c:pt idx="4">
                    <c:v>2024</c:v>
                  </c:pt>
                </c:lvl>
              </c:multiLvlStrCache>
            </c:multiLvlStrRef>
          </c:cat>
          <c:val>
            <c:numRef>
              <c:f>ورقة2!$D$14:$D$21</c:f>
              <c:numCache>
                <c:formatCode>_(* #,##0.00_);_(* \(#,##0.00\);_(* "-"??_);_(@_)</c:formatCode>
                <c:ptCount val="8"/>
                <c:pt idx="0">
                  <c:v>1.8666666666666665</c:v>
                </c:pt>
                <c:pt idx="1">
                  <c:v>2.5</c:v>
                </c:pt>
                <c:pt idx="2">
                  <c:v>1.7</c:v>
                </c:pt>
                <c:pt idx="3">
                  <c:v>1.3</c:v>
                </c:pt>
                <c:pt idx="4">
                  <c:v>0.79999999999999993</c:v>
                </c:pt>
                <c:pt idx="5">
                  <c:v>0.8666666666666667</c:v>
                </c:pt>
                <c:pt idx="6">
                  <c:v>0.73333333333333339</c:v>
                </c:pt>
                <c:pt idx="7">
                  <c:v>0.69999999999999984</c:v>
                </c:pt>
              </c:numCache>
            </c:numRef>
          </c:val>
          <c:extLst>
            <c:ext xmlns:c16="http://schemas.microsoft.com/office/drawing/2014/chart" uri="{C3380CC4-5D6E-409C-BE32-E72D297353CC}">
              <c16:uniqueId val="{00000001-451C-B447-87A5-A3515FDE1DE9}"/>
            </c:ext>
          </c:extLst>
        </c:ser>
        <c:dLbls>
          <c:showLegendKey val="0"/>
          <c:showVal val="0"/>
          <c:showCatName val="0"/>
          <c:showSerName val="0"/>
          <c:showPercent val="0"/>
          <c:showBubbleSize val="0"/>
        </c:dLbls>
        <c:gapWidth val="150"/>
        <c:shape val="cylinder"/>
        <c:axId val="114428160"/>
        <c:axId val="114435584"/>
        <c:axId val="0"/>
      </c:bar3DChart>
      <c:catAx>
        <c:axId val="114428160"/>
        <c:scaling>
          <c:orientation val="minMax"/>
        </c:scaling>
        <c:delete val="0"/>
        <c:axPos val="b"/>
        <c:title>
          <c:tx>
            <c:rich>
              <a:bodyPr/>
              <a:lstStyle/>
              <a:p>
                <a:pPr>
                  <a:defRPr/>
                </a:pPr>
                <a:r>
                  <a:rPr lang="ar-SY" sz="1000" b="1" i="0" baseline="0">
                    <a:effectLst/>
                  </a:rPr>
                  <a:t>Study times</a:t>
                </a:r>
                <a:endParaRPr lang="ar-SY" sz="1000" b="1">
                  <a:effectLst/>
                </a:endParaRPr>
              </a:p>
            </c:rich>
          </c:tx>
          <c:layout>
            <c:manualLayout>
              <c:xMode val="edge"/>
              <c:yMode val="edge"/>
              <c:x val="0.47337433470166879"/>
              <c:y val="0.88328009606086699"/>
            </c:manualLayout>
          </c:layout>
          <c:overlay val="0"/>
        </c:title>
        <c:numFmt formatCode="#,##0.00" sourceLinked="0"/>
        <c:majorTickMark val="out"/>
        <c:minorTickMark val="none"/>
        <c:tickLblPos val="nextTo"/>
        <c:txPr>
          <a:bodyPr/>
          <a:lstStyle/>
          <a:p>
            <a:pPr>
              <a:defRPr sz="800"/>
            </a:pPr>
            <a:endParaRPr lang="ar-SY"/>
          </a:p>
        </c:txPr>
        <c:crossAx val="114435584"/>
        <c:crosses val="autoZero"/>
        <c:auto val="1"/>
        <c:lblAlgn val="ctr"/>
        <c:lblOffset val="100"/>
        <c:noMultiLvlLbl val="0"/>
      </c:catAx>
      <c:valAx>
        <c:axId val="114435584"/>
        <c:scaling>
          <c:orientation val="minMax"/>
        </c:scaling>
        <c:delete val="0"/>
        <c:axPos val="l"/>
        <c:majorGridlines/>
        <c:title>
          <c:tx>
            <c:rich>
              <a:bodyPr rot="-5400000" vert="horz"/>
              <a:lstStyle/>
              <a:p>
                <a:pPr>
                  <a:defRPr/>
                </a:pPr>
                <a:r>
                  <a:rPr lang="en-US" sz="1000" b="1" i="0" u="none" strike="noStrike" baseline="0">
                    <a:effectLst/>
                  </a:rPr>
                  <a:t>total aerobic plate count </a:t>
                </a:r>
                <a:r>
                  <a:rPr lang="en-US" sz="1000" b="1" i="0" baseline="0">
                    <a:effectLst/>
                  </a:rPr>
                  <a:t>cfu/g X 10</a:t>
                </a:r>
                <a:r>
                  <a:rPr lang="en-US" sz="1000" b="1" i="0" baseline="30000">
                    <a:effectLst/>
                  </a:rPr>
                  <a:t>2</a:t>
                </a:r>
                <a:endParaRPr lang="ar-SY" sz="1000">
                  <a:effectLst/>
                </a:endParaRPr>
              </a:p>
            </c:rich>
          </c:tx>
          <c:layout>
            <c:manualLayout>
              <c:xMode val="edge"/>
              <c:yMode val="edge"/>
              <c:x val="3.6131068032080403E-2"/>
              <c:y val="0.11064639187308065"/>
            </c:manualLayout>
          </c:layout>
          <c:overlay val="0"/>
        </c:title>
        <c:numFmt formatCode="_(* #,##0.00_);_(* \(#,##0.00\);_(* &quot;-&quot;??_);_(@_)" sourceLinked="1"/>
        <c:majorTickMark val="out"/>
        <c:minorTickMark val="none"/>
        <c:tickLblPos val="nextTo"/>
        <c:crossAx val="114428160"/>
        <c:crosses val="autoZero"/>
        <c:crossBetween val="between"/>
      </c:valAx>
    </c:plotArea>
    <c:legend>
      <c:legendPos val="l"/>
      <c:layout>
        <c:manualLayout>
          <c:xMode val="edge"/>
          <c:yMode val="edge"/>
          <c:x val="0.73055555555555551"/>
          <c:y val="7.369021580635754E-2"/>
          <c:w val="0.25562697668331624"/>
          <c:h val="0.121138086905803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3539</Words>
  <Characters>20178</Characters>
  <Application>Microsoft Office Word</Application>
  <DocSecurity>0</DocSecurity>
  <Lines>168</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Raeda</dc:creator>
  <cp:lastModifiedBy>Editor-90</cp:lastModifiedBy>
  <cp:revision>4</cp:revision>
  <dcterms:created xsi:type="dcterms:W3CDTF">2025-12-02T18:24:00Z</dcterms:created>
  <dcterms:modified xsi:type="dcterms:W3CDTF">2025-12-03T12:09:00Z</dcterms:modified>
</cp:coreProperties>
</file>