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E6FCD" w14:textId="7747E4CB" w:rsidR="00D0049A" w:rsidRPr="000C538E" w:rsidRDefault="00000000" w:rsidP="00273EAC">
      <w:pPr>
        <w:jc w:val="both"/>
        <w:rPr>
          <w:rFonts w:ascii="Times New Roman" w:hAnsi="Times New Roman" w:cs="Times New Roman"/>
          <w:b/>
          <w:sz w:val="32"/>
          <w:szCs w:val="32"/>
        </w:rPr>
      </w:pPr>
      <w:r w:rsidRPr="000C538E">
        <w:rPr>
          <w:rFonts w:ascii="Times New Roman" w:hAnsi="Times New Roman" w:cs="Times New Roman"/>
          <w:b/>
          <w:sz w:val="32"/>
          <w:szCs w:val="32"/>
        </w:rPr>
        <w:t xml:space="preserve">Prevalence and Epidemiological Profiling of White Spot Syndrome Virus (WSSV) in </w:t>
      </w:r>
      <w:r w:rsidRPr="000C538E">
        <w:rPr>
          <w:rStyle w:val="Emphasis"/>
          <w:rFonts w:ascii="Times New Roman" w:hAnsi="Times New Roman" w:cs="Times New Roman"/>
          <w:b/>
          <w:sz w:val="32"/>
          <w:szCs w:val="32"/>
        </w:rPr>
        <w:t>Penaeus monodon</w:t>
      </w:r>
      <w:r w:rsidRPr="000C538E">
        <w:rPr>
          <w:rFonts w:ascii="Times New Roman" w:hAnsi="Times New Roman" w:cs="Times New Roman"/>
          <w:b/>
          <w:sz w:val="32"/>
          <w:szCs w:val="32"/>
        </w:rPr>
        <w:t xml:space="preserve"> (Fabricius, 1798) from the Parangipettai Coastal Water</w:t>
      </w:r>
    </w:p>
    <w:p w14:paraId="19D2F383" w14:textId="796D78A3" w:rsidR="00D0049A" w:rsidRDefault="00D0049A">
      <w:pPr>
        <w:autoSpaceDE w:val="0"/>
        <w:autoSpaceDN w:val="0"/>
        <w:adjustRightInd w:val="0"/>
        <w:spacing w:after="0" w:line="240" w:lineRule="auto"/>
        <w:jc w:val="both"/>
        <w:rPr>
          <w:rFonts w:ascii="Times New Roman" w:hAnsi="Times New Roman" w:cs="Times New Roman"/>
          <w:bCs/>
        </w:rPr>
      </w:pPr>
    </w:p>
    <w:p w14:paraId="77B9F980" w14:textId="34A5A01B" w:rsidR="00160B63" w:rsidRDefault="00160B63">
      <w:pPr>
        <w:autoSpaceDE w:val="0"/>
        <w:autoSpaceDN w:val="0"/>
        <w:adjustRightInd w:val="0"/>
        <w:spacing w:after="0" w:line="240" w:lineRule="auto"/>
        <w:jc w:val="both"/>
        <w:rPr>
          <w:rFonts w:ascii="Times New Roman" w:hAnsi="Times New Roman" w:cs="Times New Roman"/>
          <w:sz w:val="24"/>
          <w:szCs w:val="24"/>
        </w:rPr>
      </w:pPr>
    </w:p>
    <w:p w14:paraId="50FC0858" w14:textId="6FD8FE51" w:rsidR="00160B63" w:rsidRDefault="00160B63">
      <w:pPr>
        <w:autoSpaceDE w:val="0"/>
        <w:autoSpaceDN w:val="0"/>
        <w:adjustRightInd w:val="0"/>
        <w:spacing w:after="0" w:line="240" w:lineRule="auto"/>
        <w:jc w:val="both"/>
        <w:rPr>
          <w:rFonts w:ascii="Times New Roman" w:hAnsi="Times New Roman" w:cs="Times New Roman"/>
          <w:sz w:val="24"/>
          <w:szCs w:val="24"/>
        </w:rPr>
      </w:pPr>
    </w:p>
    <w:p w14:paraId="72A16E45" w14:textId="77777777" w:rsidR="00160B63" w:rsidRDefault="00160B63">
      <w:pPr>
        <w:autoSpaceDE w:val="0"/>
        <w:autoSpaceDN w:val="0"/>
        <w:adjustRightInd w:val="0"/>
        <w:spacing w:after="0" w:line="240" w:lineRule="auto"/>
        <w:jc w:val="both"/>
        <w:rPr>
          <w:rFonts w:ascii="Times New Roman" w:hAnsi="Times New Roman" w:cs="Times New Roman"/>
          <w:sz w:val="24"/>
          <w:szCs w:val="24"/>
        </w:rPr>
      </w:pPr>
    </w:p>
    <w:p w14:paraId="229E3E95" w14:textId="77777777" w:rsidR="00D0049A" w:rsidRDefault="00000000">
      <w:pPr>
        <w:rPr>
          <w:rFonts w:ascii="Times New Roman" w:hAnsi="Times New Roman" w:cs="Times New Roman"/>
          <w:b/>
          <w:sz w:val="24"/>
          <w:szCs w:val="24"/>
        </w:rPr>
      </w:pPr>
      <w:commentRangeStart w:id="0"/>
      <w:r>
        <w:rPr>
          <w:rFonts w:ascii="Times New Roman" w:hAnsi="Times New Roman" w:cs="Times New Roman"/>
          <w:b/>
          <w:sz w:val="24"/>
          <w:szCs w:val="24"/>
        </w:rPr>
        <w:t>ABSTRACT</w:t>
      </w:r>
      <w:commentRangeEnd w:id="0"/>
      <w:r w:rsidR="00D518B2">
        <w:rPr>
          <w:rStyle w:val="CommentReference"/>
        </w:rPr>
        <w:commentReference w:id="0"/>
      </w:r>
    </w:p>
    <w:p w14:paraId="452C7B9F" w14:textId="77777777" w:rsidR="00D0049A" w:rsidRDefault="00000000">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This study assessed the seasonal prevalence of White Spot Syndrome Virus (WSSV) in wild </w:t>
      </w:r>
      <w:r>
        <w:rPr>
          <w:rFonts w:ascii="Times New Roman" w:hAnsi="Times New Roman" w:cs="Times New Roman"/>
          <w:bCs/>
          <w:i/>
          <w:iCs/>
          <w:sz w:val="24"/>
          <w:szCs w:val="24"/>
        </w:rPr>
        <w:t>Penaeus monodon</w:t>
      </w:r>
      <w:r>
        <w:rPr>
          <w:rFonts w:ascii="Times New Roman" w:hAnsi="Times New Roman" w:cs="Times New Roman"/>
          <w:bCs/>
          <w:sz w:val="24"/>
          <w:szCs w:val="24"/>
        </w:rPr>
        <w:t xml:space="preserve"> from the Parangipettai coastal waters during 2023-2025. Shrimp were collected seasonally from nearshore and estuarine environments, and screened for WSSV using wet-mount examination, histopathology, and conventional PCR targeting the WSV285 region. A total of 4,605 shrimps were analyzed, of which 948 tested positives, yielding an overall prevalence of 20.6%. Clear seasonal variation was observed, with post-monsoon showing the highest infection levels (25.7% and 25.4%), followed by summer (21.3% and 21.1%), moderate prevalence during monsoon (18.4% and 19.5%), and the lowest infection during pre-monsoon (15.6% and 16.3%). Histopathological and wet-mount examinations revealed typical WSSV-associated lesions, including hypertrophied nuclei and intranuclear inclusion bodies. These findings indicate that post-monsoon represents the most critical high-risk period for WSSV occurrence in the Parangipettai region and provide essential baseline data for regional shrimp disease monitoring.</w:t>
      </w:r>
    </w:p>
    <w:p w14:paraId="24D3F9BF" w14:textId="40FC1F99" w:rsidR="00D0049A" w:rsidRDefault="00000000">
      <w:pPr>
        <w:spacing w:line="360" w:lineRule="auto"/>
        <w:jc w:val="both"/>
        <w:rPr>
          <w:rFonts w:ascii="Times New Roman" w:hAnsi="Times New Roman" w:cs="Times New Roman"/>
          <w:b/>
          <w:sz w:val="32"/>
          <w:szCs w:val="32"/>
        </w:rPr>
      </w:pPr>
      <w:r>
        <w:rPr>
          <w:rFonts w:ascii="Times New Roman" w:hAnsi="Times New Roman" w:cs="Times New Roman"/>
          <w:b/>
          <w:sz w:val="24"/>
          <w:szCs w:val="24"/>
        </w:rPr>
        <w:t>Keywords:</w:t>
      </w:r>
      <w:r>
        <w:rPr>
          <w:rFonts w:ascii="Times New Roman" w:hAnsi="Times New Roman" w:cs="Times New Roman"/>
          <w:bCs/>
          <w:sz w:val="24"/>
          <w:szCs w:val="24"/>
        </w:rPr>
        <w:t xml:space="preserve"> White Spot Syndrome Virus (WSSV)</w:t>
      </w:r>
      <w:r w:rsidR="00F3465F">
        <w:rPr>
          <w:rFonts w:ascii="Times New Roman" w:hAnsi="Times New Roman" w:cs="Times New Roman"/>
          <w:bCs/>
          <w:sz w:val="24"/>
          <w:szCs w:val="24"/>
        </w:rPr>
        <w:t xml:space="preserve">, </w:t>
      </w:r>
      <w:r w:rsidR="00CC7FE8" w:rsidRPr="00CC7FE8">
        <w:rPr>
          <w:rFonts w:ascii="Times New Roman" w:hAnsi="Times New Roman" w:cs="Times New Roman"/>
          <w:bCs/>
          <w:i/>
          <w:iCs/>
          <w:sz w:val="24"/>
          <w:szCs w:val="24"/>
        </w:rPr>
        <w:t>P</w:t>
      </w:r>
      <w:r w:rsidRPr="00CC7FE8">
        <w:rPr>
          <w:rFonts w:ascii="Times New Roman" w:hAnsi="Times New Roman" w:cs="Times New Roman"/>
          <w:bCs/>
          <w:i/>
          <w:iCs/>
          <w:sz w:val="24"/>
          <w:szCs w:val="24"/>
        </w:rPr>
        <w:t>enaeus</w:t>
      </w:r>
      <w:r>
        <w:rPr>
          <w:rFonts w:ascii="Times New Roman" w:hAnsi="Times New Roman" w:cs="Times New Roman"/>
          <w:bCs/>
          <w:i/>
          <w:iCs/>
          <w:sz w:val="24"/>
          <w:szCs w:val="24"/>
        </w:rPr>
        <w:t xml:space="preserve"> monodon</w:t>
      </w:r>
      <w:r w:rsidR="00CC7FE8">
        <w:rPr>
          <w:rFonts w:ascii="Times New Roman" w:hAnsi="Times New Roman" w:cs="Times New Roman"/>
          <w:bCs/>
          <w:sz w:val="24"/>
          <w:szCs w:val="24"/>
        </w:rPr>
        <w:t xml:space="preserve">, </w:t>
      </w:r>
      <w:r>
        <w:rPr>
          <w:rFonts w:ascii="Times New Roman" w:hAnsi="Times New Roman" w:cs="Times New Roman"/>
          <w:bCs/>
          <w:sz w:val="24"/>
          <w:szCs w:val="24"/>
        </w:rPr>
        <w:t>Epidemiology</w:t>
      </w:r>
      <w:r w:rsidR="00CC7FE8">
        <w:rPr>
          <w:rFonts w:ascii="Times New Roman" w:hAnsi="Times New Roman" w:cs="Times New Roman"/>
          <w:bCs/>
          <w:sz w:val="24"/>
          <w:szCs w:val="24"/>
        </w:rPr>
        <w:t xml:space="preserve">, </w:t>
      </w:r>
      <w:r>
        <w:rPr>
          <w:rFonts w:ascii="Times New Roman" w:hAnsi="Times New Roman" w:cs="Times New Roman"/>
          <w:bCs/>
          <w:sz w:val="24"/>
          <w:szCs w:val="24"/>
        </w:rPr>
        <w:t xml:space="preserve">Seasonal prevalence </w:t>
      </w:r>
    </w:p>
    <w:p w14:paraId="6EBC1626" w14:textId="77777777" w:rsidR="00D0049A" w:rsidRDefault="00D0049A">
      <w:pPr>
        <w:rPr>
          <w:rFonts w:ascii="Times New Roman" w:hAnsi="Times New Roman" w:cs="Times New Roman"/>
          <w:b/>
          <w:sz w:val="24"/>
          <w:szCs w:val="24"/>
        </w:rPr>
      </w:pPr>
    </w:p>
    <w:p w14:paraId="3E5E1F70" w14:textId="77777777" w:rsidR="00D0049A" w:rsidRDefault="00000000">
      <w:pPr>
        <w:rPr>
          <w:rFonts w:ascii="Times New Roman" w:hAnsi="Times New Roman" w:cs="Times New Roman"/>
          <w:b/>
          <w:sz w:val="24"/>
          <w:szCs w:val="24"/>
        </w:rPr>
      </w:pPr>
      <w:r>
        <w:rPr>
          <w:rFonts w:ascii="Times New Roman" w:hAnsi="Times New Roman" w:cs="Times New Roman"/>
          <w:b/>
          <w:sz w:val="24"/>
          <w:szCs w:val="24"/>
        </w:rPr>
        <w:t>INTRODUCTION</w:t>
      </w:r>
    </w:p>
    <w:p w14:paraId="6D72AFD0" w14:textId="77777777" w:rsidR="00D0049A" w:rsidRDefault="00000000">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White Spot Syndrome Virus (WSSV) is recognized as one of the most devastating viral pathogens affecting penaeid shrimp, capable of causing near-complete crop losses within days of infection (Walker &amp; Winton, 2010; Bateman, 2021). Since its first major outbreaks in the mid-1990s, WSSV has spread across Asia, the Americas, and parts of Africa, establishing itself as a persistent threat to both aquaculture and wild crustacean populations (Vlak, 2022; Ziarati et al., 2025). The virus displays an exceptionally broad host range, infecting over 100 species of crustaceans including shrimps, crabs, crayfish, lobsters, and even several non-crustacean </w:t>
      </w:r>
      <w:r>
        <w:rPr>
          <w:rFonts w:ascii="Times New Roman" w:hAnsi="Times New Roman" w:cs="Times New Roman"/>
          <w:bCs/>
          <w:sz w:val="24"/>
          <w:szCs w:val="24"/>
        </w:rPr>
        <w:lastRenderedPageBreak/>
        <w:t>organisms which enhances its transmission potential in natural ecosystems (Desrina et al., 2022; Dela Peña et al., 2023).</w:t>
      </w:r>
    </w:p>
    <w:p w14:paraId="45F8ACF9" w14:textId="77777777" w:rsidR="00D0049A" w:rsidRDefault="00000000">
      <w:pPr>
        <w:spacing w:line="360" w:lineRule="auto"/>
        <w:ind w:firstLine="720"/>
        <w:jc w:val="both"/>
        <w:rPr>
          <w:rFonts w:ascii="Times New Roman" w:hAnsi="Times New Roman" w:cs="Times New Roman"/>
          <w:bCs/>
          <w:sz w:val="24"/>
          <w:szCs w:val="24"/>
        </w:rPr>
      </w:pPr>
      <w:commentRangeStart w:id="1"/>
      <w:r>
        <w:rPr>
          <w:rFonts w:ascii="Times New Roman" w:hAnsi="Times New Roman" w:cs="Times New Roman"/>
          <w:bCs/>
          <w:sz w:val="24"/>
          <w:szCs w:val="24"/>
        </w:rPr>
        <w:t xml:space="preserve">The biological success of WSSV is closely tied to its environmental resilience and efficient transmission routes. Experimental studies have demonstrated that WSSV maintains infectivity in pond sediments, decomposing tissue, frozen shrimp products, and even in water for prolonged periods (Momoyama et al., </w:t>
      </w:r>
      <w:r w:rsidRPr="00D518B2">
        <w:rPr>
          <w:rFonts w:ascii="Times New Roman" w:hAnsi="Times New Roman" w:cs="Times New Roman"/>
          <w:bCs/>
          <w:sz w:val="24"/>
          <w:szCs w:val="24"/>
          <w:highlight w:val="yellow"/>
        </w:rPr>
        <w:t>1998</w:t>
      </w:r>
      <w:r>
        <w:rPr>
          <w:rFonts w:ascii="Times New Roman" w:hAnsi="Times New Roman" w:cs="Times New Roman"/>
          <w:bCs/>
          <w:sz w:val="24"/>
          <w:szCs w:val="24"/>
        </w:rPr>
        <w:t xml:space="preserve">; Peinado-Guevara &amp; López-Meyer, </w:t>
      </w:r>
      <w:r w:rsidRPr="00D518B2">
        <w:rPr>
          <w:rFonts w:ascii="Times New Roman" w:hAnsi="Times New Roman" w:cs="Times New Roman"/>
          <w:bCs/>
          <w:sz w:val="24"/>
          <w:szCs w:val="24"/>
          <w:highlight w:val="yellow"/>
        </w:rPr>
        <w:t>2006</w:t>
      </w:r>
      <w:r>
        <w:rPr>
          <w:rFonts w:ascii="Times New Roman" w:hAnsi="Times New Roman" w:cs="Times New Roman"/>
          <w:bCs/>
          <w:sz w:val="24"/>
          <w:szCs w:val="24"/>
        </w:rPr>
        <w:t xml:space="preserve">; Takahashi et al., </w:t>
      </w:r>
      <w:r w:rsidRPr="00D518B2">
        <w:rPr>
          <w:rFonts w:ascii="Times New Roman" w:hAnsi="Times New Roman" w:cs="Times New Roman"/>
          <w:bCs/>
          <w:sz w:val="24"/>
          <w:szCs w:val="24"/>
          <w:highlight w:val="yellow"/>
        </w:rPr>
        <w:t>1998)</w:t>
      </w:r>
      <w:r>
        <w:rPr>
          <w:rFonts w:ascii="Times New Roman" w:hAnsi="Times New Roman" w:cs="Times New Roman"/>
          <w:bCs/>
          <w:sz w:val="24"/>
          <w:szCs w:val="24"/>
        </w:rPr>
        <w:t xml:space="preserve">. Multiple reservoir hosts including crabs, polychaetes, filter-feeding bivalves, and non-native crayfish can harbor the virus and facilitate its spread to penaeid shrimp (Kanchanaphum et al., </w:t>
      </w:r>
      <w:r w:rsidRPr="00D518B2">
        <w:rPr>
          <w:rFonts w:ascii="Times New Roman" w:hAnsi="Times New Roman" w:cs="Times New Roman"/>
          <w:bCs/>
          <w:sz w:val="24"/>
          <w:szCs w:val="24"/>
          <w:highlight w:val="yellow"/>
        </w:rPr>
        <w:t>1998</w:t>
      </w:r>
      <w:r>
        <w:rPr>
          <w:rFonts w:ascii="Times New Roman" w:hAnsi="Times New Roman" w:cs="Times New Roman"/>
          <w:bCs/>
          <w:sz w:val="24"/>
          <w:szCs w:val="24"/>
        </w:rPr>
        <w:t xml:space="preserve">; Laoaroon et al., </w:t>
      </w:r>
      <w:r w:rsidRPr="00D518B2">
        <w:rPr>
          <w:rFonts w:ascii="Times New Roman" w:hAnsi="Times New Roman" w:cs="Times New Roman"/>
          <w:bCs/>
          <w:sz w:val="24"/>
          <w:szCs w:val="24"/>
          <w:highlight w:val="yellow"/>
        </w:rPr>
        <w:t>2005;</w:t>
      </w:r>
      <w:commentRangeEnd w:id="1"/>
      <w:r w:rsidR="00D518B2">
        <w:rPr>
          <w:rStyle w:val="CommentReference"/>
        </w:rPr>
        <w:commentReference w:id="1"/>
      </w:r>
      <w:r>
        <w:rPr>
          <w:rFonts w:ascii="Times New Roman" w:hAnsi="Times New Roman" w:cs="Times New Roman"/>
          <w:bCs/>
          <w:sz w:val="24"/>
          <w:szCs w:val="24"/>
        </w:rPr>
        <w:t xml:space="preserve"> Min et al., </w:t>
      </w:r>
      <w:r w:rsidRPr="00D518B2">
        <w:rPr>
          <w:rFonts w:ascii="Times New Roman" w:hAnsi="Times New Roman" w:cs="Times New Roman"/>
          <w:bCs/>
          <w:sz w:val="24"/>
          <w:szCs w:val="24"/>
        </w:rPr>
        <w:t>2024; Rothman, 2024).</w:t>
      </w:r>
      <w:r>
        <w:rPr>
          <w:rFonts w:ascii="Times New Roman" w:hAnsi="Times New Roman" w:cs="Times New Roman"/>
          <w:bCs/>
          <w:sz w:val="24"/>
          <w:szCs w:val="24"/>
        </w:rPr>
        <w:t xml:space="preserve"> </w:t>
      </w:r>
      <w:commentRangeStart w:id="2"/>
      <w:r>
        <w:rPr>
          <w:rFonts w:ascii="Times New Roman" w:hAnsi="Times New Roman" w:cs="Times New Roman"/>
          <w:bCs/>
          <w:sz w:val="24"/>
          <w:szCs w:val="24"/>
        </w:rPr>
        <w:t xml:space="preserve">Horizontal transmission via cohabitation, cannibalism, and waterborne exposure is widely reported as a major driver of outbreaks in both </w:t>
      </w:r>
      <w:r>
        <w:rPr>
          <w:rFonts w:ascii="Times New Roman" w:hAnsi="Times New Roman" w:cs="Times New Roman"/>
          <w:bCs/>
          <w:i/>
          <w:iCs/>
          <w:sz w:val="24"/>
          <w:szCs w:val="24"/>
        </w:rPr>
        <w:t>Penaeus monodon</w:t>
      </w:r>
      <w:r>
        <w:rPr>
          <w:rFonts w:ascii="Times New Roman" w:hAnsi="Times New Roman" w:cs="Times New Roman"/>
          <w:bCs/>
          <w:sz w:val="24"/>
          <w:szCs w:val="24"/>
        </w:rPr>
        <w:t xml:space="preserve"> and </w:t>
      </w:r>
      <w:r>
        <w:rPr>
          <w:rFonts w:ascii="Times New Roman" w:hAnsi="Times New Roman" w:cs="Times New Roman"/>
          <w:bCs/>
          <w:i/>
          <w:iCs/>
          <w:sz w:val="24"/>
          <w:szCs w:val="24"/>
        </w:rPr>
        <w:t>P. vannamei</w:t>
      </w:r>
      <w:r>
        <w:rPr>
          <w:rFonts w:ascii="Times New Roman" w:hAnsi="Times New Roman" w:cs="Times New Roman"/>
          <w:bCs/>
          <w:sz w:val="24"/>
          <w:szCs w:val="24"/>
        </w:rPr>
        <w:t xml:space="preserve"> (Tuyen et al., 2014; Ngo Xuan et al., 2014; </w:t>
      </w:r>
      <w:commentRangeEnd w:id="2"/>
      <w:r w:rsidR="00D518B2">
        <w:rPr>
          <w:rStyle w:val="CommentReference"/>
        </w:rPr>
        <w:commentReference w:id="2"/>
      </w:r>
      <w:r>
        <w:rPr>
          <w:rFonts w:ascii="Times New Roman" w:hAnsi="Times New Roman" w:cs="Times New Roman"/>
          <w:bCs/>
          <w:sz w:val="24"/>
          <w:szCs w:val="24"/>
        </w:rPr>
        <w:t>Cox et al., 2023). Environmental factors further compound the epidemiology of WSSV. Seasonal fluctuations in temperature, salinity, turbidity, and nutrient loading can influence viral persistence and host susceptibility, particularly in estuarine and coastal systems where hydrological patterns shift markedly across monsoon cycles (Quang et al., 2009; Shields et al., 2020). Post-monsoon conditions, in particular, often promote viral amplification due to increased organic load, sediment resuspension, and greater interaction among carrier species (Uma, 2025; Singh, 2025). Such seasonally driven infection dynamics highlight the importance of region-specific epidemiological monitoring.</w:t>
      </w:r>
    </w:p>
    <w:p w14:paraId="7BF1FF0D" w14:textId="77777777" w:rsidR="00D0049A" w:rsidRDefault="00000000">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Diagnostic advancements have played a crucial role in understanding WSSV distribution and infection intensity. Early detection relied on wet-mount observation and histopathology, revealing characteristic hypertrophied nuclei and intranuclear inclusion bodies </w:t>
      </w:r>
      <w:commentRangeStart w:id="3"/>
      <w:r>
        <w:rPr>
          <w:rFonts w:ascii="Times New Roman" w:hAnsi="Times New Roman" w:cs="Times New Roman"/>
          <w:bCs/>
          <w:sz w:val="24"/>
          <w:szCs w:val="24"/>
        </w:rPr>
        <w:t xml:space="preserve">(Wongteerasupaya et al., 1995; Lo et al., 1996). Over time, molecular tools such as conventional PCR, nested PCR, real-time PCR, LAMP assays, dot-blot hybridization, and microfluidic PCR chips have substantially improved detection accuracy and sensitivity (Durand &amp; Lightner, 2002; Kim et al., 2007; Kono et al., 2004; Sun et al., 2014; de la Peña et al., 2003). PCR-based diagnostics targeting specific WSSV genomic regions, such as WSV285, remain widely employed due to their reliability and cost-efficiency (Hossain et al., 2004; Saksmerprome et al., 2009). Despite these advancements, epidemiological research in wild shrimp populations remains relatively limited, especially in regions like the southeast coast of India. The Parangipettai coastal waters characterized by a </w:t>
      </w:r>
      <w:r>
        <w:rPr>
          <w:rFonts w:ascii="Times New Roman" w:hAnsi="Times New Roman" w:cs="Times New Roman"/>
          <w:bCs/>
          <w:sz w:val="24"/>
          <w:szCs w:val="24"/>
        </w:rPr>
        <w:lastRenderedPageBreak/>
        <w:t>dynamic interface of estuarine discharge, tidal mixing, and rich biodiversity represent a critical habitat for Penaeus monodon. Wild shrimp in such environments can act as carriers or reservoirs of WSSV, potentially introducing pathogens into adjacent aquaculture operations (Flegel, 2007; Lotz &amp; Soto, 2002). Understanding infection prevalence in natural populations is therefore essential for predicting outbreak risks and designing science-based management strategies.</w:t>
      </w:r>
      <w:commentRangeEnd w:id="3"/>
      <w:r w:rsidR="00D518B2">
        <w:rPr>
          <w:rStyle w:val="CommentReference"/>
        </w:rPr>
        <w:commentReference w:id="3"/>
      </w:r>
    </w:p>
    <w:p w14:paraId="4F339905" w14:textId="77777777" w:rsidR="00D0049A" w:rsidRDefault="00000000">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Moreover, WSSV evolution and genetic variability remain active areas of study, as genome sequencing efforts continue to reveal recombination hotspots, strain diversity, and functional genomic elements related to virulence and host interaction </w:t>
      </w:r>
      <w:commentRangeStart w:id="4"/>
      <w:r>
        <w:rPr>
          <w:rFonts w:ascii="Times New Roman" w:hAnsi="Times New Roman" w:cs="Times New Roman"/>
          <w:bCs/>
          <w:sz w:val="24"/>
          <w:szCs w:val="24"/>
        </w:rPr>
        <w:t xml:space="preserve">(van Hulten et al., 2001; Marks et al., 2005; He et al., 2015). The existence of latent or persistent infections in surviving shrimp further complicates disease management, as such individuals can act as chronic carriers under favorable environmental conditions (Zhu et al., 2007; </w:t>
      </w:r>
      <w:commentRangeEnd w:id="4"/>
      <w:r w:rsidR="00D518B2">
        <w:rPr>
          <w:rStyle w:val="CommentReference"/>
        </w:rPr>
        <w:commentReference w:id="4"/>
      </w:r>
      <w:r>
        <w:rPr>
          <w:rFonts w:ascii="Times New Roman" w:hAnsi="Times New Roman" w:cs="Times New Roman"/>
          <w:bCs/>
          <w:sz w:val="24"/>
          <w:szCs w:val="24"/>
        </w:rPr>
        <w:t xml:space="preserve">Buathongkam et al., 2025). Given these challenges, comprehensive epidemiological profiling of WSSV in wild </w:t>
      </w:r>
      <w:r>
        <w:rPr>
          <w:rFonts w:ascii="Times New Roman" w:hAnsi="Times New Roman" w:cs="Times New Roman"/>
          <w:bCs/>
          <w:i/>
          <w:iCs/>
          <w:sz w:val="24"/>
          <w:szCs w:val="24"/>
        </w:rPr>
        <w:t>P. monodon</w:t>
      </w:r>
      <w:r>
        <w:rPr>
          <w:rFonts w:ascii="Times New Roman" w:hAnsi="Times New Roman" w:cs="Times New Roman"/>
          <w:bCs/>
          <w:sz w:val="24"/>
          <w:szCs w:val="24"/>
        </w:rPr>
        <w:t xml:space="preserve"> populations is vital for regions like Parangipettai, where shrimp fisheries and aquaculture coexist closely. Seasonal monitoring provides critical insights into infection patterns, high-risk periods, and the environmental drivers of viral prevalence. Such information forms the basis for improved biosecurity measures, early-warning systems, and sustainable aquaculture planning.</w:t>
      </w:r>
    </w:p>
    <w:p w14:paraId="64EB37AF" w14:textId="77777777" w:rsidR="00D0049A" w:rsidRDefault="00000000">
      <w:pPr>
        <w:spacing w:line="360" w:lineRule="auto"/>
        <w:ind w:firstLine="720"/>
        <w:jc w:val="both"/>
        <w:rPr>
          <w:rFonts w:ascii="Times New Roman" w:hAnsi="Times New Roman" w:cs="Times New Roman"/>
          <w:bCs/>
          <w:sz w:val="24"/>
          <w:szCs w:val="24"/>
        </w:rPr>
      </w:pPr>
      <w:commentRangeStart w:id="5"/>
      <w:r>
        <w:rPr>
          <w:rFonts w:ascii="Times New Roman" w:hAnsi="Times New Roman" w:cs="Times New Roman"/>
          <w:bCs/>
          <w:sz w:val="24"/>
          <w:szCs w:val="24"/>
        </w:rPr>
        <w:t xml:space="preserve">The present study investigates the seasonal prevalence and epidemiological characteristics of WSSV in wild </w:t>
      </w:r>
      <w:r>
        <w:rPr>
          <w:rFonts w:ascii="Times New Roman" w:hAnsi="Times New Roman" w:cs="Times New Roman"/>
          <w:bCs/>
          <w:i/>
          <w:iCs/>
          <w:sz w:val="24"/>
          <w:szCs w:val="24"/>
        </w:rPr>
        <w:t>Penaeus monodon</w:t>
      </w:r>
      <w:r>
        <w:rPr>
          <w:rFonts w:ascii="Times New Roman" w:hAnsi="Times New Roman" w:cs="Times New Roman"/>
          <w:bCs/>
          <w:sz w:val="24"/>
          <w:szCs w:val="24"/>
        </w:rPr>
        <w:t xml:space="preserve"> collected from the Parangipettai coastal waters between 2023 and 2025. By integrating wet-mount examination, histopathology, and PCR diagnostics, this research provides the most detailed baseline assessment of WSSV occurrence in this region to date. These findings contribute to a deeper understanding of WSSV ecology and offer essential data to support regional disease surveillance, coastal resource management, and aquaculture health protocols.</w:t>
      </w:r>
      <w:commentRangeEnd w:id="5"/>
      <w:r w:rsidR="00D518B2">
        <w:rPr>
          <w:rStyle w:val="CommentReference"/>
        </w:rPr>
        <w:commentReference w:id="5"/>
      </w:r>
    </w:p>
    <w:p w14:paraId="4A13F8DE" w14:textId="77777777" w:rsidR="00D0049A" w:rsidRDefault="00000000">
      <w:pPr>
        <w:spacing w:line="360" w:lineRule="auto"/>
        <w:rPr>
          <w:sz w:val="24"/>
          <w:szCs w:val="24"/>
        </w:rPr>
      </w:pPr>
      <w:r>
        <w:rPr>
          <w:rFonts w:ascii="Times New Roman" w:hAnsi="Times New Roman" w:cs="Times New Roman"/>
          <w:b/>
          <w:sz w:val="24"/>
          <w:szCs w:val="24"/>
        </w:rPr>
        <w:t>METHODOLOGY</w:t>
      </w:r>
      <w:r>
        <w:rPr>
          <w:sz w:val="24"/>
          <w:szCs w:val="24"/>
        </w:rPr>
        <w:t xml:space="preserve"> </w:t>
      </w:r>
    </w:p>
    <w:p w14:paraId="7B3F3DFA" w14:textId="77777777" w:rsidR="00D0049A" w:rsidRDefault="00000000">
      <w:pPr>
        <w:spacing w:line="360" w:lineRule="auto"/>
        <w:rPr>
          <w:rFonts w:ascii="Times New Roman" w:hAnsi="Times New Roman" w:cs="Times New Roman"/>
          <w:b/>
          <w:sz w:val="24"/>
          <w:szCs w:val="24"/>
        </w:rPr>
      </w:pPr>
      <w:commentRangeStart w:id="6"/>
      <w:r>
        <w:rPr>
          <w:rFonts w:ascii="Times New Roman" w:hAnsi="Times New Roman" w:cs="Times New Roman"/>
          <w:b/>
          <w:sz w:val="24"/>
          <w:szCs w:val="24"/>
        </w:rPr>
        <w:t>Sample collection</w:t>
      </w:r>
      <w:commentRangeEnd w:id="6"/>
      <w:r w:rsidR="003E66AD">
        <w:rPr>
          <w:rStyle w:val="CommentReference"/>
        </w:rPr>
        <w:commentReference w:id="6"/>
      </w:r>
    </w:p>
    <w:p w14:paraId="44399E26" w14:textId="5A05E29E" w:rsidR="00D0049A" w:rsidRDefault="00000000">
      <w:pPr>
        <w:spacing w:line="360" w:lineRule="auto"/>
        <w:ind w:firstLine="720"/>
        <w:jc w:val="both"/>
        <w:rPr>
          <w:rFonts w:ascii="Times New Roman" w:hAnsi="Times New Roman" w:cs="Times New Roman"/>
          <w:sz w:val="24"/>
        </w:rPr>
      </w:pPr>
      <w:r>
        <w:rPr>
          <w:rFonts w:ascii="Times New Roman" w:hAnsi="Times New Roman" w:cs="Times New Roman"/>
          <w:sz w:val="24"/>
        </w:rPr>
        <w:t>The sample collection for this study was carried out over a two-year period from 202</w:t>
      </w:r>
      <w:r w:rsidR="00B10FF7">
        <w:rPr>
          <w:rFonts w:ascii="Times New Roman" w:hAnsi="Times New Roman" w:cs="Times New Roman"/>
          <w:sz w:val="24"/>
        </w:rPr>
        <w:t>3</w:t>
      </w:r>
      <w:r>
        <w:rPr>
          <w:rFonts w:ascii="Times New Roman" w:hAnsi="Times New Roman" w:cs="Times New Roman"/>
          <w:sz w:val="24"/>
        </w:rPr>
        <w:t xml:space="preserve"> to 202</w:t>
      </w:r>
      <w:r w:rsidR="00B10FF7">
        <w:rPr>
          <w:rFonts w:ascii="Times New Roman" w:hAnsi="Times New Roman" w:cs="Times New Roman"/>
          <w:sz w:val="24"/>
        </w:rPr>
        <w:t>5</w:t>
      </w:r>
      <w:r>
        <w:rPr>
          <w:rFonts w:ascii="Times New Roman" w:hAnsi="Times New Roman" w:cs="Times New Roman"/>
          <w:sz w:val="24"/>
        </w:rPr>
        <w:t xml:space="preserve"> along the natural coastal and estuarine regions of Parangipettai on the southeast coast of India. Sampling stations were selected across nearshore marine waters, the Vellar estuary mouth, major landing </w:t>
      </w:r>
      <w:r w:rsidR="00347FD6">
        <w:rPr>
          <w:rFonts w:ascii="Times New Roman" w:hAnsi="Times New Roman" w:cs="Times New Roman"/>
          <w:sz w:val="24"/>
        </w:rPr>
        <w:t>centers</w:t>
      </w:r>
      <w:r>
        <w:rPr>
          <w:rFonts w:ascii="Times New Roman" w:hAnsi="Times New Roman" w:cs="Times New Roman"/>
          <w:sz w:val="24"/>
        </w:rPr>
        <w:t xml:space="preserve"> and auction yards </w:t>
      </w:r>
      <w:r>
        <w:rPr>
          <w:rFonts w:ascii="Times New Roman" w:hAnsi="Times New Roman" w:cs="Times New Roman"/>
          <w:sz w:val="24"/>
          <w:lang w:val="en-IN"/>
        </w:rPr>
        <w:t>where wild caught</w:t>
      </w:r>
      <w:r>
        <w:rPr>
          <w:rFonts w:ascii="Times New Roman" w:hAnsi="Times New Roman" w:cs="Times New Roman"/>
          <w:sz w:val="24"/>
        </w:rPr>
        <w:t xml:space="preserve"> </w:t>
      </w:r>
      <w:r>
        <w:rPr>
          <w:rStyle w:val="Emphasis"/>
          <w:rFonts w:ascii="Times New Roman" w:hAnsi="Times New Roman" w:cs="Times New Roman"/>
          <w:sz w:val="24"/>
        </w:rPr>
        <w:t>Penaeus monodon</w:t>
      </w:r>
      <w:r>
        <w:rPr>
          <w:rStyle w:val="Emphasis"/>
          <w:rFonts w:ascii="Times New Roman" w:hAnsi="Times New Roman" w:cs="Times New Roman"/>
          <w:sz w:val="24"/>
          <w:lang w:val="en-IN"/>
        </w:rPr>
        <w:t xml:space="preserve"> </w:t>
      </w:r>
      <w:r w:rsidRPr="00347FD6">
        <w:rPr>
          <w:rStyle w:val="Emphasis"/>
          <w:rFonts w:ascii="Times New Roman" w:hAnsi="Times New Roman" w:cs="Times New Roman"/>
          <w:i w:val="0"/>
          <w:iCs w:val="0"/>
          <w:sz w:val="24"/>
          <w:lang w:val="en-IN"/>
        </w:rPr>
        <w:t>being sold</w:t>
      </w:r>
      <w:r>
        <w:rPr>
          <w:rFonts w:ascii="Times New Roman" w:hAnsi="Times New Roman" w:cs="Times New Roman"/>
          <w:sz w:val="24"/>
        </w:rPr>
        <w:t xml:space="preserve">. Wild </w:t>
      </w:r>
      <w:r>
        <w:rPr>
          <w:rFonts w:ascii="Times New Roman" w:hAnsi="Times New Roman" w:cs="Times New Roman"/>
          <w:sz w:val="24"/>
        </w:rPr>
        <w:lastRenderedPageBreak/>
        <w:t>shrimp specimens were collected seasonally using traditional fishing gears such as cast nets, shore seines, push nets, and trawl by-catch with the assistance of local fishermen. Immediately after capture, the shrimp were carefully handled, placed in clean containers, and transported to the laboratory for further examination and analysis.</w:t>
      </w:r>
    </w:p>
    <w:p w14:paraId="7174FB3B" w14:textId="77777777" w:rsidR="00D0049A" w:rsidRDefault="00000000">
      <w:pPr>
        <w:spacing w:line="360" w:lineRule="auto"/>
        <w:jc w:val="both"/>
        <w:rPr>
          <w:rFonts w:ascii="Times New Roman" w:hAnsi="Times New Roman" w:cs="Times New Roman"/>
          <w:b/>
          <w:sz w:val="24"/>
        </w:rPr>
      </w:pPr>
      <w:r>
        <w:rPr>
          <w:rFonts w:ascii="Times New Roman" w:hAnsi="Times New Roman" w:cs="Times New Roman"/>
          <w:b/>
          <w:sz w:val="24"/>
        </w:rPr>
        <w:t xml:space="preserve">Wet Mount </w:t>
      </w:r>
    </w:p>
    <w:p w14:paraId="2FD70810" w14:textId="77777777" w:rsidR="00D0049A" w:rsidRDefault="00000000">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Screening for White Spot Syndrome Virus (WSSV) was conducted using wet mount preparations of the shrimp exoskeleton. Freshly collected </w:t>
      </w:r>
      <w:r>
        <w:rPr>
          <w:rStyle w:val="Emphasis"/>
          <w:rFonts w:ascii="Times New Roman" w:hAnsi="Times New Roman" w:cs="Times New Roman"/>
          <w:sz w:val="24"/>
        </w:rPr>
        <w:t>Penaeus monodon</w:t>
      </w:r>
      <w:r>
        <w:rPr>
          <w:rFonts w:ascii="Times New Roman" w:hAnsi="Times New Roman" w:cs="Times New Roman"/>
          <w:sz w:val="24"/>
        </w:rPr>
        <w:t xml:space="preserve"> were rinsed with sterile seawater to remove surface debris, and small fragments of the exoskeleton-particularly from the cephalothorax or carapace-were gently dissected using a sterile scissor. The dissected exoskeletal material was placed on a clean glass slide, mixed with a drop of sterile saline, and covered with a coverslip to prepare the wet mount. </w:t>
      </w:r>
      <w:commentRangeStart w:id="7"/>
      <w:r>
        <w:rPr>
          <w:rFonts w:ascii="Times New Roman" w:hAnsi="Times New Roman" w:cs="Times New Roman"/>
          <w:sz w:val="24"/>
        </w:rPr>
        <w:t>The preparation was examined under a compound microscope.</w:t>
      </w:r>
      <w:commentRangeEnd w:id="7"/>
      <w:r w:rsidR="003E66AD">
        <w:rPr>
          <w:rStyle w:val="CommentReference"/>
        </w:rPr>
        <w:commentReference w:id="7"/>
      </w:r>
    </w:p>
    <w:p w14:paraId="675D0A94" w14:textId="77777777" w:rsidR="00D0049A" w:rsidRDefault="00000000">
      <w:pPr>
        <w:spacing w:line="360" w:lineRule="auto"/>
        <w:jc w:val="both"/>
        <w:rPr>
          <w:rFonts w:ascii="Times New Roman" w:hAnsi="Times New Roman" w:cs="Times New Roman"/>
          <w:b/>
          <w:sz w:val="24"/>
        </w:rPr>
      </w:pPr>
      <w:r>
        <w:rPr>
          <w:rFonts w:ascii="Times New Roman" w:hAnsi="Times New Roman" w:cs="Times New Roman"/>
          <w:b/>
          <w:sz w:val="24"/>
        </w:rPr>
        <w:t>Histopathology</w:t>
      </w:r>
    </w:p>
    <w:p w14:paraId="35EAA641" w14:textId="17BD2AED" w:rsidR="00D0049A" w:rsidRDefault="00000000" w:rsidP="00EA769C">
      <w:pPr>
        <w:spacing w:line="360" w:lineRule="auto"/>
        <w:ind w:firstLine="720"/>
        <w:jc w:val="both"/>
        <w:rPr>
          <w:rFonts w:ascii="Times New Roman" w:hAnsi="Times New Roman" w:cs="Times New Roman"/>
          <w:b/>
          <w:sz w:val="24"/>
        </w:rPr>
      </w:pPr>
      <w:commentRangeStart w:id="8"/>
      <w:r>
        <w:rPr>
          <w:rFonts w:ascii="Times New Roman" w:hAnsi="Times New Roman" w:cs="Times New Roman"/>
          <w:bCs/>
          <w:sz w:val="24"/>
        </w:rPr>
        <w:t xml:space="preserve">Normal and WSSV-infected shrimp tissues were dissected from </w:t>
      </w:r>
      <w:r>
        <w:rPr>
          <w:rFonts w:ascii="Times New Roman" w:hAnsi="Times New Roman" w:cs="Times New Roman"/>
          <w:bCs/>
          <w:i/>
          <w:iCs/>
          <w:sz w:val="24"/>
        </w:rPr>
        <w:t>Penaeus monodon</w:t>
      </w:r>
      <w:r>
        <w:rPr>
          <w:rFonts w:ascii="Times New Roman" w:hAnsi="Times New Roman" w:cs="Times New Roman"/>
          <w:bCs/>
          <w:sz w:val="24"/>
        </w:rPr>
        <w:t xml:space="preserve"> collected from the Parangipettai coastal waters and immediately fixed in 10% neutral buffered formalin for 24-48 h. After fixation, tissues were washed, dehydrated through a graded ethanol series, cleared in xylene, and embedded in paraffin wax. Sections of 4-5 µm thickness were cut using a rotary microtome and mounted on poly-L-lysine-coated slides. Routine hematoxylin and eosin (H&amp;E) staining was performed by deparaffinizing sections in xylene, rehydrating through descending ethanol grades, staining with hematoxylin, bluing, counterstaining with eosin, dehydrating, and clearing in xylene before mounting with DPX.</w:t>
      </w:r>
      <w:commentRangeEnd w:id="8"/>
      <w:r w:rsidR="003E66AD">
        <w:rPr>
          <w:rStyle w:val="CommentReference"/>
        </w:rPr>
        <w:commentReference w:id="8"/>
      </w:r>
    </w:p>
    <w:p w14:paraId="0A4E3935" w14:textId="77777777" w:rsidR="00D0049A" w:rsidRDefault="00000000">
      <w:pPr>
        <w:spacing w:line="360" w:lineRule="auto"/>
        <w:jc w:val="both"/>
        <w:rPr>
          <w:rFonts w:ascii="Times New Roman" w:hAnsi="Times New Roman" w:cs="Times New Roman"/>
          <w:b/>
          <w:sz w:val="24"/>
        </w:rPr>
      </w:pPr>
      <w:commentRangeStart w:id="9"/>
      <w:r>
        <w:rPr>
          <w:rFonts w:ascii="Times New Roman" w:hAnsi="Times New Roman" w:cs="Times New Roman"/>
          <w:b/>
          <w:sz w:val="24"/>
        </w:rPr>
        <w:t>Molecular Analysis</w:t>
      </w:r>
      <w:commentRangeEnd w:id="9"/>
      <w:r w:rsidR="003E66AD">
        <w:rPr>
          <w:rStyle w:val="CommentReference"/>
        </w:rPr>
        <w:commentReference w:id="9"/>
      </w:r>
    </w:p>
    <w:p w14:paraId="7C4877D2" w14:textId="3C02E7EC" w:rsidR="00D0049A" w:rsidRDefault="00000000">
      <w:pPr>
        <w:spacing w:line="360" w:lineRule="auto"/>
        <w:ind w:firstLine="720"/>
        <w:jc w:val="both"/>
        <w:rPr>
          <w:rFonts w:ascii="Times New Roman" w:hAnsi="Times New Roman" w:cs="Times New Roman"/>
          <w:bCs/>
          <w:sz w:val="24"/>
        </w:rPr>
      </w:pPr>
      <w:r>
        <w:rPr>
          <w:rFonts w:ascii="Times New Roman" w:hAnsi="Times New Roman" w:cs="Times New Roman"/>
          <w:bCs/>
          <w:sz w:val="24"/>
        </w:rPr>
        <w:t xml:space="preserve">Genomic DNA was extracted from normal and WSSV-infected </w:t>
      </w:r>
      <w:r>
        <w:rPr>
          <w:rFonts w:ascii="Times New Roman" w:hAnsi="Times New Roman" w:cs="Times New Roman"/>
          <w:bCs/>
          <w:i/>
          <w:iCs/>
          <w:sz w:val="24"/>
        </w:rPr>
        <w:t>Penaeus monodon</w:t>
      </w:r>
      <w:r>
        <w:rPr>
          <w:rFonts w:ascii="Times New Roman" w:hAnsi="Times New Roman" w:cs="Times New Roman"/>
          <w:bCs/>
          <w:sz w:val="24"/>
        </w:rPr>
        <w:t xml:space="preserve"> tissues using a commercial DNA extraction kit following the manufacturer’s instructions. DNA quality and quantity were assessed spectrophotometrically, and working stocks were adjusted to approximately 50–100 ng/µL. </w:t>
      </w:r>
      <w:r w:rsidR="00347FD6">
        <w:rPr>
          <w:rFonts w:ascii="Times New Roman" w:hAnsi="Times New Roman" w:cs="Times New Roman"/>
          <w:bCs/>
          <w:sz w:val="24"/>
        </w:rPr>
        <w:t xml:space="preserve">Nested </w:t>
      </w:r>
      <w:r>
        <w:rPr>
          <w:rFonts w:ascii="Times New Roman" w:hAnsi="Times New Roman" w:cs="Times New Roman"/>
          <w:bCs/>
          <w:sz w:val="24"/>
        </w:rPr>
        <w:t xml:space="preserve"> PCR was carried out using WSSV-specific primers targeting a conserved region of the viral genome as described previously (146F2/146R2 target, 941 bp). Each 25 µL reaction contained 1× PCR buffer, 1.5 mM MgCl₂, 200 µM of each dNTP, 0.4 µM of each primer, 1 U of Taq DNA polymerase, and 2 µL of template DNA. Amplification </w:t>
      </w:r>
      <w:r>
        <w:rPr>
          <w:rFonts w:ascii="Times New Roman" w:hAnsi="Times New Roman" w:cs="Times New Roman"/>
          <w:bCs/>
          <w:sz w:val="24"/>
        </w:rPr>
        <w:lastRenderedPageBreak/>
        <w:t>was performed in a thermal cycler with an initial denaturation at 94 °C for 3 min followed by 35 cycles of denaturation at 94 °C for 30 s, annealing at 55–60 °C (depending on primer Tm) for 30 s, and extension at 72 °C for 45 s, with a final extension at 72 °C for 7 min. PCR products were resolved on a 1.5% agarose gel containing ethidium bromide, visualized under UV illumination, and samples showing a distinct diagnostic WSSV-specific band were considered positive. Representative WSSV-positive amplicons were purified and subjected to Sanger sequencing using the same primers on an ABI 3730xl DNA analyzer. Chromatograms were manually checked, and forward and reverse reads were assembled into consensus sequences. Sequence identity was confirmed by BLAST analysis against the NCBI database.</w:t>
      </w:r>
    </w:p>
    <w:p w14:paraId="5E008180" w14:textId="77777777" w:rsidR="00D0049A" w:rsidRDefault="00000000">
      <w:pPr>
        <w:spacing w:line="360" w:lineRule="auto"/>
        <w:jc w:val="both"/>
        <w:rPr>
          <w:rFonts w:ascii="Times New Roman" w:hAnsi="Times New Roman" w:cs="Times New Roman"/>
          <w:b/>
          <w:sz w:val="24"/>
        </w:rPr>
      </w:pPr>
      <w:r>
        <w:rPr>
          <w:rFonts w:ascii="Times New Roman" w:hAnsi="Times New Roman" w:cs="Times New Roman"/>
          <w:b/>
          <w:sz w:val="24"/>
        </w:rPr>
        <w:t>RESULT</w:t>
      </w:r>
    </w:p>
    <w:p w14:paraId="4E3D1E99" w14:textId="77777777" w:rsidR="00D0049A" w:rsidRDefault="00000000">
      <w:pPr>
        <w:spacing w:line="360" w:lineRule="auto"/>
        <w:jc w:val="both"/>
        <w:rPr>
          <w:rFonts w:ascii="Times New Roman" w:hAnsi="Times New Roman" w:cs="Times New Roman"/>
          <w:b/>
          <w:sz w:val="24"/>
        </w:rPr>
      </w:pPr>
      <w:r>
        <w:rPr>
          <w:rFonts w:ascii="Times New Roman" w:hAnsi="Times New Roman" w:cs="Times New Roman"/>
          <w:b/>
          <w:sz w:val="24"/>
        </w:rPr>
        <w:t>Gross Pathology</w:t>
      </w:r>
    </w:p>
    <w:p w14:paraId="12BFEF65" w14:textId="77777777" w:rsidR="00D0049A" w:rsidRDefault="00000000">
      <w:pPr>
        <w:spacing w:line="360" w:lineRule="auto"/>
        <w:ind w:firstLine="720"/>
        <w:jc w:val="both"/>
        <w:rPr>
          <w:rFonts w:ascii="Times New Roman" w:hAnsi="Times New Roman" w:cs="Times New Roman"/>
          <w:bCs/>
          <w:sz w:val="24"/>
        </w:rPr>
      </w:pPr>
      <w:r>
        <w:rPr>
          <w:rFonts w:ascii="Times New Roman" w:hAnsi="Times New Roman" w:cs="Times New Roman"/>
          <w:bCs/>
          <w:sz w:val="24"/>
        </w:rPr>
        <w:t xml:space="preserve">Gross examination of </w:t>
      </w:r>
      <w:r>
        <w:rPr>
          <w:rFonts w:ascii="Times New Roman" w:hAnsi="Times New Roman" w:cs="Times New Roman"/>
          <w:bCs/>
          <w:i/>
          <w:iCs/>
          <w:sz w:val="24"/>
        </w:rPr>
        <w:t>Penaeus monodon</w:t>
      </w:r>
      <w:r>
        <w:rPr>
          <w:rFonts w:ascii="Times New Roman" w:hAnsi="Times New Roman" w:cs="Times New Roman"/>
          <w:bCs/>
          <w:sz w:val="24"/>
        </w:rPr>
        <w:t xml:space="preserve"> revealed clear differences between healthy and WSSV-infected individuals. Normal shrimp (Fig1. A and C) showed a translucent, well-pigmented carapace, firm exoskeleton, and absence of white inclusions. In contrast, WSSV-infected shrimp (Fig1. B and D) exhibited characteristic whitish to opaque carapace discoloration, accompanied by distinct white spots on the cephalothorax and dorsal cuticle. The exoskeleton of infected shrimp appeared soft and fragile, with noticeable reduction in pigmentation and areas of milky opacification. These gross abnormalities are consistent with typical manifestations of WSSV infection in </w:t>
      </w:r>
      <w:r>
        <w:rPr>
          <w:rFonts w:ascii="Times New Roman" w:hAnsi="Times New Roman" w:cs="Times New Roman"/>
          <w:bCs/>
          <w:i/>
          <w:iCs/>
          <w:sz w:val="24"/>
        </w:rPr>
        <w:t>P. monodon</w:t>
      </w:r>
      <w:r>
        <w:rPr>
          <w:rFonts w:ascii="Times New Roman" w:hAnsi="Times New Roman" w:cs="Times New Roman"/>
          <w:bCs/>
          <w:sz w:val="24"/>
        </w:rPr>
        <w:t>.</w:t>
      </w:r>
    </w:p>
    <w:p w14:paraId="551C3125" w14:textId="77777777" w:rsidR="00D0049A" w:rsidRDefault="00D0049A">
      <w:pPr>
        <w:spacing w:line="360" w:lineRule="auto"/>
        <w:jc w:val="both"/>
        <w:rPr>
          <w:rFonts w:ascii="Times New Roman" w:hAnsi="Times New Roman" w:cs="Times New Roman"/>
          <w:b/>
          <w:sz w:val="24"/>
        </w:rPr>
      </w:pPr>
    </w:p>
    <w:p w14:paraId="5CB235BC" w14:textId="77777777" w:rsidR="00D0049A" w:rsidRDefault="00D0049A">
      <w:pPr>
        <w:spacing w:line="360" w:lineRule="auto"/>
        <w:jc w:val="both"/>
        <w:rPr>
          <w:rFonts w:ascii="Times New Roman" w:hAnsi="Times New Roman" w:cs="Times New Roman"/>
          <w:b/>
          <w:sz w:val="24"/>
        </w:rPr>
      </w:pPr>
    </w:p>
    <w:p w14:paraId="7511EE10" w14:textId="77777777" w:rsidR="00D0049A" w:rsidRDefault="00000000">
      <w:pPr>
        <w:spacing w:line="360" w:lineRule="auto"/>
        <w:jc w:val="both"/>
        <w:rPr>
          <w:rFonts w:ascii="Times New Roman" w:hAnsi="Times New Roman" w:cs="Times New Roman"/>
          <w:b/>
          <w:sz w:val="24"/>
        </w:rPr>
      </w:pPr>
      <w:r>
        <w:rPr>
          <w:rFonts w:ascii="Times New Roman" w:hAnsi="Times New Roman" w:cs="Times New Roman"/>
          <w:b/>
          <w:noProof/>
          <w:sz w:val="24"/>
        </w:rPr>
        <w:lastRenderedPageBreak/>
        <w:drawing>
          <wp:inline distT="0" distB="0" distL="0" distR="0" wp14:anchorId="5CFAB756" wp14:editId="195848B8">
            <wp:extent cx="6228080" cy="2742565"/>
            <wp:effectExtent l="0" t="0" r="1270" b="635"/>
            <wp:docPr id="680641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41668" name="Picture 2"/>
                    <pic:cNvPicPr>
                      <a:picLocks noChangeAspect="1" noChangeArrowheads="1"/>
                    </pic:cNvPicPr>
                  </pic:nvPicPr>
                  <pic:blipFill>
                    <a:blip r:embed="rId11">
                      <a:extLst>
                        <a:ext uri="{BEBA8EAE-BF5A-486C-A8C5-ECC9F3942E4B}">
                          <a14:imgProps xmlns:a14="http://schemas.microsoft.com/office/drawing/2010/main">
                            <a14:imgLayer>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246852" cy="2751205"/>
                    </a:xfrm>
                    <a:prstGeom prst="rect">
                      <a:avLst/>
                    </a:prstGeom>
                    <a:noFill/>
                  </pic:spPr>
                </pic:pic>
              </a:graphicData>
            </a:graphic>
          </wp:inline>
        </w:drawing>
      </w:r>
    </w:p>
    <w:p w14:paraId="72233C2A" w14:textId="77777777" w:rsidR="00D0049A" w:rsidRDefault="00000000">
      <w:pPr>
        <w:spacing w:line="360" w:lineRule="auto"/>
        <w:jc w:val="both"/>
        <w:rPr>
          <w:rFonts w:ascii="Times New Roman" w:hAnsi="Times New Roman" w:cs="Times New Roman"/>
          <w:b/>
          <w:sz w:val="24"/>
        </w:rPr>
      </w:pPr>
      <w:r>
        <w:rPr>
          <w:rFonts w:ascii="Times New Roman" w:hAnsi="Times New Roman" w:cs="Times New Roman"/>
          <w:b/>
          <w:bCs/>
          <w:sz w:val="24"/>
        </w:rPr>
        <w:t xml:space="preserve">Figure 1. </w:t>
      </w:r>
      <w:r>
        <w:rPr>
          <w:rFonts w:ascii="Times New Roman" w:hAnsi="Times New Roman" w:cs="Times New Roman"/>
          <w:sz w:val="24"/>
        </w:rPr>
        <w:t xml:space="preserve">Gross comparison between healthy and WSSV-infected </w:t>
      </w:r>
      <w:r>
        <w:rPr>
          <w:rFonts w:ascii="Times New Roman" w:hAnsi="Times New Roman" w:cs="Times New Roman"/>
          <w:i/>
          <w:iCs/>
          <w:sz w:val="24"/>
        </w:rPr>
        <w:t>Penaeus monodon</w:t>
      </w:r>
      <w:r>
        <w:rPr>
          <w:rFonts w:ascii="Times New Roman" w:hAnsi="Times New Roman" w:cs="Times New Roman"/>
          <w:sz w:val="24"/>
        </w:rPr>
        <w:t>.</w:t>
      </w:r>
      <w:r>
        <w:rPr>
          <w:rFonts w:ascii="Times New Roman" w:hAnsi="Times New Roman" w:cs="Times New Roman"/>
          <w:sz w:val="24"/>
        </w:rPr>
        <w:br/>
        <w:t>(A, C) Normal shrimp showing a clear, translucent carapace with no visible white spots.</w:t>
      </w:r>
      <w:r>
        <w:rPr>
          <w:rFonts w:ascii="Times New Roman" w:hAnsi="Times New Roman" w:cs="Times New Roman"/>
          <w:sz w:val="24"/>
        </w:rPr>
        <w:br/>
        <w:t>(B, D) WSSV-infected shrimp displaying prominent white spots, carapace opacification, and typical gross lesions associated with white spot syndrome.</w:t>
      </w:r>
    </w:p>
    <w:p w14:paraId="268679EE" w14:textId="77777777" w:rsidR="00D0049A" w:rsidRDefault="00000000">
      <w:pPr>
        <w:spacing w:line="360" w:lineRule="auto"/>
        <w:jc w:val="both"/>
        <w:rPr>
          <w:rFonts w:ascii="Times New Roman" w:hAnsi="Times New Roman" w:cs="Times New Roman"/>
          <w:b/>
          <w:i/>
          <w:iCs/>
          <w:sz w:val="24"/>
        </w:rPr>
      </w:pPr>
      <w:r>
        <w:rPr>
          <w:rFonts w:ascii="Times New Roman" w:hAnsi="Times New Roman" w:cs="Times New Roman"/>
          <w:b/>
          <w:sz w:val="24"/>
        </w:rPr>
        <w:t xml:space="preserve">Prevalence of WSSV in </w:t>
      </w:r>
      <w:r>
        <w:rPr>
          <w:rFonts w:ascii="Times New Roman" w:hAnsi="Times New Roman" w:cs="Times New Roman"/>
          <w:b/>
          <w:i/>
          <w:iCs/>
          <w:sz w:val="24"/>
        </w:rPr>
        <w:t>Penaeus monodon</w:t>
      </w:r>
    </w:p>
    <w:p w14:paraId="66E0D80E" w14:textId="288DA741" w:rsidR="00D0049A" w:rsidRDefault="00000000">
      <w:pPr>
        <w:spacing w:line="360" w:lineRule="auto"/>
        <w:ind w:firstLine="720"/>
        <w:jc w:val="both"/>
        <w:rPr>
          <w:rFonts w:ascii="Times New Roman" w:hAnsi="Times New Roman" w:cs="Times New Roman"/>
          <w:bCs/>
          <w:sz w:val="24"/>
          <w:lang w:val="en-IN"/>
        </w:rPr>
      </w:pPr>
      <w:r>
        <w:rPr>
          <w:rFonts w:ascii="Times New Roman" w:hAnsi="Times New Roman" w:cs="Times New Roman"/>
          <w:bCs/>
          <w:sz w:val="24"/>
          <w:lang w:val="en-IN"/>
        </w:rPr>
        <w:t xml:space="preserve">The seasonal prevalence of White Spot Syndrome Virus (WSSV) in </w:t>
      </w:r>
      <w:r>
        <w:rPr>
          <w:rFonts w:ascii="Times New Roman" w:hAnsi="Times New Roman" w:cs="Times New Roman"/>
          <w:bCs/>
          <w:i/>
          <w:iCs/>
          <w:sz w:val="24"/>
          <w:lang w:val="en-IN"/>
        </w:rPr>
        <w:t>Penaeus monodon</w:t>
      </w:r>
      <w:r>
        <w:rPr>
          <w:rFonts w:ascii="Times New Roman" w:hAnsi="Times New Roman" w:cs="Times New Roman"/>
          <w:bCs/>
          <w:sz w:val="24"/>
          <w:lang w:val="en-IN"/>
        </w:rPr>
        <w:t xml:space="preserve"> collected along the Parangipettai coastal water from 2023 to 2025 is summarized in Table 1. A total of </w:t>
      </w:r>
      <w:commentRangeStart w:id="10"/>
      <w:r>
        <w:rPr>
          <w:rFonts w:ascii="Times New Roman" w:hAnsi="Times New Roman" w:cs="Times New Roman"/>
          <w:bCs/>
          <w:sz w:val="24"/>
          <w:lang w:val="en-IN"/>
        </w:rPr>
        <w:t>4,</w:t>
      </w:r>
      <w:r w:rsidR="00A03B26">
        <w:rPr>
          <w:rFonts w:ascii="Times New Roman" w:hAnsi="Times New Roman" w:cs="Times New Roman"/>
          <w:bCs/>
          <w:sz w:val="24"/>
          <w:lang w:val="en-IN"/>
        </w:rPr>
        <w:t>6</w:t>
      </w:r>
      <w:r>
        <w:rPr>
          <w:rFonts w:ascii="Times New Roman" w:hAnsi="Times New Roman" w:cs="Times New Roman"/>
          <w:bCs/>
          <w:sz w:val="24"/>
          <w:lang w:val="en-IN"/>
        </w:rPr>
        <w:t xml:space="preserve">05 shrimp samples </w:t>
      </w:r>
      <w:commentRangeEnd w:id="10"/>
      <w:r w:rsidR="003E66AD">
        <w:rPr>
          <w:rStyle w:val="CommentReference"/>
        </w:rPr>
        <w:commentReference w:id="10"/>
      </w:r>
      <w:r>
        <w:rPr>
          <w:rFonts w:ascii="Times New Roman" w:hAnsi="Times New Roman" w:cs="Times New Roman"/>
          <w:bCs/>
          <w:sz w:val="24"/>
          <w:lang w:val="en-IN"/>
        </w:rPr>
        <w:t>were screened across two years, representing all four major seasons. The infection pattern showed clear and consistent seasonal fluctuations across both study years. During 2023-2024, WSSV prevalence ranged from 15.6% in the pre-monsoon season to a maximum of 25.7% in the post-monsoon period. Moderate levels of infection were observed during the summer (21.3%) and monsoon (18.4%) seasons. A similar trend was observed during 2024–2025, with lowest prevalence during pre-monsoon (16.3%) and highest during post-monsoon (25.4%). Summer and monsoon seasons recorded 21.1% and 19.5% infection levels, respectively (Graph 1).</w:t>
      </w:r>
    </w:p>
    <w:p w14:paraId="5ACD73D7" w14:textId="77777777" w:rsidR="00D0049A" w:rsidRDefault="00000000">
      <w:pPr>
        <w:spacing w:line="360" w:lineRule="auto"/>
        <w:ind w:firstLine="720"/>
        <w:jc w:val="both"/>
        <w:rPr>
          <w:rFonts w:ascii="Times New Roman" w:hAnsi="Times New Roman" w:cs="Times New Roman"/>
          <w:bCs/>
          <w:sz w:val="24"/>
          <w:lang w:val="en-IN"/>
        </w:rPr>
      </w:pPr>
      <w:r>
        <w:rPr>
          <w:rFonts w:ascii="Times New Roman" w:hAnsi="Times New Roman" w:cs="Times New Roman"/>
          <w:bCs/>
          <w:sz w:val="24"/>
          <w:lang w:val="en-IN"/>
        </w:rPr>
        <w:t xml:space="preserve">Overall, the two-year infection trend indicates that post-monsoon consistently exhibited the highest WSSV prevalence, followed by summer, while pre-monsoon remained the least affected period. The monsoon-associated prevalence remained moderate in both years, suggesting environmental influences such as salinity fluctuations and freshwater inflow may impact viral </w:t>
      </w:r>
      <w:r>
        <w:rPr>
          <w:rFonts w:ascii="Times New Roman" w:hAnsi="Times New Roman" w:cs="Times New Roman"/>
          <w:bCs/>
          <w:sz w:val="24"/>
          <w:lang w:val="en-IN"/>
        </w:rPr>
        <w:lastRenderedPageBreak/>
        <w:t>transmission dynamics. The repeated post-monsoon peak across both years highlights this season as a critical high-risk period for WSSV emergence in the Parangipettai region.</w:t>
      </w:r>
    </w:p>
    <w:p w14:paraId="28C059B2" w14:textId="77777777" w:rsidR="00D0049A" w:rsidRDefault="00000000">
      <w:pPr>
        <w:jc w:val="both"/>
        <w:rPr>
          <w:rFonts w:ascii="Times New Roman" w:hAnsi="Times New Roman" w:cs="Times New Roman"/>
          <w:b/>
          <w:sz w:val="24"/>
        </w:rPr>
      </w:pPr>
      <w:r>
        <w:rPr>
          <w:rFonts w:ascii="Times New Roman" w:hAnsi="Times New Roman" w:cs="Times New Roman"/>
          <w:b/>
          <w:noProof/>
          <w:sz w:val="24"/>
        </w:rPr>
        <w:drawing>
          <wp:inline distT="0" distB="0" distL="0" distR="0" wp14:anchorId="6AEA7297" wp14:editId="3F3AEA17">
            <wp:extent cx="5924550" cy="2440305"/>
            <wp:effectExtent l="0" t="0" r="0" b="0"/>
            <wp:docPr id="1865914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14594" name="Picture 1"/>
                    <pic:cNvPicPr>
                      <a:picLocks noChangeAspect="1" noChangeArrowheads="1"/>
                    </pic:cNvPicPr>
                  </pic:nvPicPr>
                  <pic:blipFill>
                    <a:blip r:embed="rId12" cstate="print">
                      <a:extLst>
                        <a:ext uri="{BEBA8EAE-BF5A-486C-A8C5-ECC9F3942E4B}">
                          <a14:imgProps xmlns:a14="http://schemas.microsoft.com/office/drawing/2010/main">
                            <a14:imgLayer>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7585" cy="2454155"/>
                    </a:xfrm>
                    <a:prstGeom prst="rect">
                      <a:avLst/>
                    </a:prstGeom>
                    <a:noFill/>
                  </pic:spPr>
                </pic:pic>
              </a:graphicData>
            </a:graphic>
          </wp:inline>
        </w:drawing>
      </w:r>
    </w:p>
    <w:p w14:paraId="64F1B189" w14:textId="77777777" w:rsidR="00D0049A" w:rsidRDefault="00000000">
      <w:pPr>
        <w:spacing w:line="360" w:lineRule="auto"/>
        <w:jc w:val="both"/>
        <w:rPr>
          <w:rFonts w:ascii="Times New Roman" w:hAnsi="Times New Roman" w:cs="Times New Roman"/>
          <w:b/>
          <w:sz w:val="24"/>
        </w:rPr>
      </w:pPr>
      <w:r>
        <w:rPr>
          <w:rFonts w:ascii="Times New Roman" w:hAnsi="Times New Roman" w:cs="Times New Roman"/>
          <w:b/>
          <w:sz w:val="24"/>
          <w:szCs w:val="20"/>
        </w:rPr>
        <w:t xml:space="preserve">Graph 1: </w:t>
      </w:r>
      <w:commentRangeStart w:id="11"/>
      <w:r>
        <w:rPr>
          <w:rFonts w:ascii="Times New Roman" w:hAnsi="Times New Roman" w:cs="Times New Roman"/>
          <w:bCs/>
          <w:sz w:val="24"/>
          <w:szCs w:val="20"/>
        </w:rPr>
        <w:t xml:space="preserve">Seasonal prevalence of White Spot Syndrome Virus (WSSV) in </w:t>
      </w:r>
      <w:r>
        <w:rPr>
          <w:rFonts w:ascii="Times New Roman" w:hAnsi="Times New Roman" w:cs="Times New Roman"/>
          <w:bCs/>
          <w:i/>
          <w:iCs/>
          <w:sz w:val="24"/>
          <w:szCs w:val="20"/>
        </w:rPr>
        <w:t>Penaeus monodon</w:t>
      </w:r>
      <w:r>
        <w:rPr>
          <w:rFonts w:ascii="Times New Roman" w:hAnsi="Times New Roman" w:cs="Times New Roman"/>
          <w:bCs/>
          <w:sz w:val="24"/>
          <w:szCs w:val="20"/>
        </w:rPr>
        <w:t xml:space="preserve"> collected from the Parangipettai coastal water during 2023-2025. Seasonal order is arranged based on infection intensity, with post-monsoon showing the highest prevalence followed by summer, pre-monsoon, and monsoon. Prevalence (%) was calculated as the proportion of WSSV-positive samples relative to the total number of shrimps examined in each season for both years.</w:t>
      </w:r>
      <w:commentRangeEnd w:id="11"/>
      <w:r w:rsidR="00527368">
        <w:rPr>
          <w:rStyle w:val="CommentReference"/>
        </w:rPr>
        <w:commentReference w:id="11"/>
      </w:r>
    </w:p>
    <w:p w14:paraId="776BB584" w14:textId="77777777" w:rsidR="00D0049A" w:rsidRDefault="00000000">
      <w:pPr>
        <w:jc w:val="both"/>
        <w:rPr>
          <w:rFonts w:ascii="Times New Roman" w:hAnsi="Times New Roman" w:cs="Times New Roman"/>
          <w:b/>
          <w:sz w:val="24"/>
          <w:szCs w:val="20"/>
        </w:rPr>
      </w:pPr>
      <w:r>
        <w:rPr>
          <w:rFonts w:ascii="Times New Roman" w:hAnsi="Times New Roman" w:cs="Times New Roman"/>
          <w:b/>
          <w:sz w:val="24"/>
          <w:szCs w:val="20"/>
        </w:rPr>
        <w:t>Wet Mount</w:t>
      </w:r>
    </w:p>
    <w:p w14:paraId="5B2DBC27" w14:textId="77777777" w:rsidR="00D0049A" w:rsidRDefault="00000000">
      <w:pPr>
        <w:spacing w:line="360" w:lineRule="auto"/>
        <w:ind w:firstLine="720"/>
        <w:jc w:val="both"/>
        <w:rPr>
          <w:rFonts w:ascii="Times New Roman" w:hAnsi="Times New Roman" w:cs="Times New Roman"/>
          <w:bCs/>
          <w:sz w:val="24"/>
          <w:szCs w:val="20"/>
        </w:rPr>
      </w:pPr>
      <w:r>
        <w:rPr>
          <w:rFonts w:ascii="Times New Roman" w:hAnsi="Times New Roman" w:cs="Times New Roman"/>
          <w:bCs/>
          <w:sz w:val="24"/>
          <w:szCs w:val="20"/>
        </w:rPr>
        <w:t>Wet-mount examination of the shrimp carapace revealed the presence of characteristic White Spot Syndrome Virus (WSSV) inclusions. The epithelial surface displayed distinct circular to oval viral‐associated structures with well-defined concentric layers. These inclusions appeared refractile under light microscopy and were consistently distributed along the carapace cuticle. High-magnification observation further highlighted the radiating internal pattern and finely striated outer margins, features commonly associated with WSSV-induced cuticular abnormalities. The presence of these structures strongly supports WSSV infection in the examined specimen.</w:t>
      </w:r>
    </w:p>
    <w:p w14:paraId="2FA980C9" w14:textId="77777777" w:rsidR="00D0049A" w:rsidRDefault="00D0049A">
      <w:pPr>
        <w:jc w:val="both"/>
        <w:rPr>
          <w:rFonts w:ascii="Times New Roman" w:hAnsi="Times New Roman" w:cs="Times New Roman"/>
          <w:bCs/>
          <w:sz w:val="24"/>
          <w:szCs w:val="20"/>
        </w:rPr>
      </w:pPr>
    </w:p>
    <w:p w14:paraId="1E536DF5" w14:textId="77777777" w:rsidR="00D0049A" w:rsidRDefault="00000000">
      <w:pPr>
        <w:spacing w:line="360" w:lineRule="auto"/>
        <w:jc w:val="both"/>
        <w:rPr>
          <w:rFonts w:ascii="Times New Roman" w:hAnsi="Times New Roman" w:cs="Times New Roman"/>
          <w:sz w:val="24"/>
          <w:szCs w:val="20"/>
        </w:rPr>
      </w:pPr>
      <w:r>
        <w:rPr>
          <w:rFonts w:ascii="Times New Roman" w:hAnsi="Times New Roman" w:cs="Times New Roman"/>
          <w:b/>
          <w:bCs/>
          <w:sz w:val="24"/>
          <w:szCs w:val="20"/>
        </w:rPr>
        <w:t xml:space="preserve">Figure 2: </w:t>
      </w:r>
      <w:commentRangeStart w:id="12"/>
      <w:r>
        <w:rPr>
          <w:rFonts w:ascii="Times New Roman" w:hAnsi="Times New Roman" w:cs="Times New Roman"/>
          <w:sz w:val="24"/>
          <w:szCs w:val="20"/>
        </w:rPr>
        <w:t>Wet-mount microscopy of shrimp carapace showing WSSV-associated cuticular inclusions. (A) Low-magnification view illustrating a complete circular inclusion with concentric internal radiations. (B) Higher-magnification view highlighting the fine peripheral striations typical of WSSV lesions. Scale bars: 50 µm.</w:t>
      </w:r>
      <w:commentRangeEnd w:id="12"/>
      <w:r w:rsidR="00527368">
        <w:rPr>
          <w:rStyle w:val="CommentReference"/>
        </w:rPr>
        <w:commentReference w:id="12"/>
      </w:r>
    </w:p>
    <w:p w14:paraId="41B68989" w14:textId="77777777" w:rsidR="00D0049A" w:rsidRDefault="00000000">
      <w:pPr>
        <w:jc w:val="both"/>
        <w:rPr>
          <w:rFonts w:ascii="Times New Roman" w:hAnsi="Times New Roman" w:cs="Times New Roman"/>
          <w:b/>
          <w:sz w:val="24"/>
        </w:rPr>
      </w:pPr>
      <w:r>
        <w:rPr>
          <w:rFonts w:ascii="Times New Roman" w:hAnsi="Times New Roman" w:cs="Times New Roman"/>
          <w:b/>
          <w:sz w:val="24"/>
        </w:rPr>
        <w:lastRenderedPageBreak/>
        <w:t>Histopathology</w:t>
      </w:r>
    </w:p>
    <w:p w14:paraId="525D9E5E" w14:textId="77777777" w:rsidR="00D0049A" w:rsidRDefault="00000000">
      <w:pPr>
        <w:spacing w:line="360" w:lineRule="auto"/>
        <w:ind w:firstLine="720"/>
        <w:jc w:val="both"/>
        <w:rPr>
          <w:rFonts w:ascii="Times New Roman" w:hAnsi="Times New Roman" w:cs="Times New Roman"/>
          <w:bCs/>
          <w:sz w:val="24"/>
          <w:lang w:val="en-IN"/>
        </w:rPr>
      </w:pPr>
      <w:r>
        <w:rPr>
          <w:rFonts w:ascii="Times New Roman" w:hAnsi="Times New Roman" w:cs="Times New Roman"/>
          <w:bCs/>
          <w:sz w:val="24"/>
          <w:lang w:val="en-IN"/>
        </w:rPr>
        <w:t>Histological examination of the gill tissues revealed clear distinctions between normal and WSSV-infected samples. In normal gills (Fig 3A-B), the lamellae appeared well-organized with intact epithelial layers and uniform cellular architecture. Hemocytes were sparsely distributed, and no structural abnormalities or inclusion bodies were observed. The lamellar margins were smooth, and the underlying supportive tissues showed no signs of degeneration or necrosis.</w:t>
      </w:r>
    </w:p>
    <w:p w14:paraId="6C9167BE" w14:textId="77777777" w:rsidR="00D0049A" w:rsidRDefault="00000000">
      <w:pPr>
        <w:spacing w:line="360" w:lineRule="auto"/>
        <w:jc w:val="both"/>
        <w:rPr>
          <w:rFonts w:ascii="Times New Roman" w:hAnsi="Times New Roman" w:cs="Times New Roman"/>
          <w:b/>
          <w:sz w:val="24"/>
          <w:lang w:val="en-IN"/>
        </w:rPr>
      </w:pPr>
      <w:r>
        <w:rPr>
          <w:rFonts w:ascii="Times New Roman" w:hAnsi="Times New Roman" w:cs="Times New Roman"/>
          <w:bCs/>
          <w:sz w:val="24"/>
          <w:lang w:val="en-IN"/>
        </w:rPr>
        <w:t>In contrast, gills from WSSV-infected shrimp (Fig 3. C-F) exhibited marked pathological alterations. The lamellae were congested, with pronounced cellular hypertrophy and disorganization of the epithelial lining. Numerous hypertrophied nuclei containing eosinophilic to basophilic inclusions characteristic of WSSV infection-were evident throughout the lamellar tissue. Degenerative changes, including cell swelling, vacuolation, and focal necrosis, were also prominent. These lesions were accompanied by increased hemocytic infiltration, indicating a host inflammatory response. Collectively, these histopathological features are consistent with acute WSSV infection in shrimp gill tissue</w:t>
      </w:r>
      <w:r>
        <w:rPr>
          <w:rFonts w:ascii="Times New Roman" w:hAnsi="Times New Roman" w:cs="Times New Roman"/>
          <w:b/>
          <w:sz w:val="24"/>
          <w:lang w:val="en-IN"/>
        </w:rPr>
        <w:t>.</w:t>
      </w:r>
    </w:p>
    <w:p w14:paraId="719AAEEA" w14:textId="77777777" w:rsidR="00D0049A" w:rsidRDefault="00D0049A">
      <w:pPr>
        <w:jc w:val="both"/>
        <w:rPr>
          <w:rFonts w:ascii="Times New Roman" w:hAnsi="Times New Roman" w:cs="Times New Roman"/>
          <w:b/>
          <w:sz w:val="24"/>
        </w:rPr>
      </w:pPr>
    </w:p>
    <w:p w14:paraId="6619E03B" w14:textId="04C62CE6" w:rsidR="00D0049A" w:rsidRDefault="00D0049A">
      <w:pPr>
        <w:jc w:val="both"/>
        <w:rPr>
          <w:rFonts w:ascii="Times New Roman" w:hAnsi="Times New Roman" w:cs="Times New Roman"/>
          <w:b/>
          <w:bCs/>
          <w:sz w:val="24"/>
          <w:szCs w:val="20"/>
        </w:rPr>
      </w:pPr>
    </w:p>
    <w:p w14:paraId="26134EC8" w14:textId="77777777" w:rsidR="00D0049A" w:rsidRDefault="00000000">
      <w:pPr>
        <w:spacing w:line="360" w:lineRule="auto"/>
        <w:jc w:val="both"/>
        <w:rPr>
          <w:rFonts w:ascii="Times New Roman" w:hAnsi="Times New Roman" w:cs="Times New Roman"/>
          <w:sz w:val="24"/>
          <w:szCs w:val="20"/>
        </w:rPr>
      </w:pPr>
      <w:r>
        <w:rPr>
          <w:rFonts w:ascii="Times New Roman" w:hAnsi="Times New Roman" w:cs="Times New Roman"/>
          <w:b/>
          <w:bCs/>
          <w:sz w:val="24"/>
          <w:szCs w:val="20"/>
        </w:rPr>
        <w:t xml:space="preserve">Figure 3: </w:t>
      </w:r>
      <w:commentRangeStart w:id="13"/>
      <w:r>
        <w:rPr>
          <w:rFonts w:ascii="Times New Roman" w:hAnsi="Times New Roman" w:cs="Times New Roman"/>
          <w:sz w:val="24"/>
          <w:szCs w:val="20"/>
        </w:rPr>
        <w:t xml:space="preserve">Histopathological sections of shrimp gill tissue stained with H&amp;E. </w:t>
      </w:r>
      <w:r>
        <w:rPr>
          <w:rFonts w:ascii="Times New Roman" w:hAnsi="Times New Roman" w:cs="Times New Roman"/>
          <w:b/>
          <w:bCs/>
          <w:sz w:val="24"/>
          <w:szCs w:val="20"/>
        </w:rPr>
        <w:t>(A-B)</w:t>
      </w:r>
      <w:r>
        <w:rPr>
          <w:rFonts w:ascii="Times New Roman" w:hAnsi="Times New Roman" w:cs="Times New Roman"/>
          <w:sz w:val="24"/>
          <w:szCs w:val="20"/>
        </w:rPr>
        <w:t xml:space="preserve"> Normal gill showing intact lamellae with well-organized epithelial cells and absence of degenerative changes. Scale bars: 50 µm (A), 10 µm (B). </w:t>
      </w:r>
      <w:r>
        <w:rPr>
          <w:rFonts w:ascii="Times New Roman" w:hAnsi="Times New Roman" w:cs="Times New Roman"/>
          <w:b/>
          <w:bCs/>
          <w:sz w:val="24"/>
          <w:szCs w:val="20"/>
        </w:rPr>
        <w:t>(C-F)</w:t>
      </w:r>
      <w:r>
        <w:rPr>
          <w:rFonts w:ascii="Times New Roman" w:hAnsi="Times New Roman" w:cs="Times New Roman"/>
          <w:sz w:val="24"/>
          <w:szCs w:val="20"/>
        </w:rPr>
        <w:t xml:space="preserve"> Gill tissue from WSSV-infected shrimp displaying hypertrophied nuclei with intranuclear inclusion bodies, epithelial disorganization, vacuolation, and hemocytic infiltration. </w:t>
      </w:r>
      <w:commentRangeEnd w:id="13"/>
      <w:r w:rsidR="00527368">
        <w:rPr>
          <w:rStyle w:val="CommentReference"/>
        </w:rPr>
        <w:commentReference w:id="13"/>
      </w:r>
    </w:p>
    <w:p w14:paraId="2636A70A" w14:textId="77777777" w:rsidR="00D0049A" w:rsidRDefault="00000000">
      <w:pPr>
        <w:jc w:val="both"/>
        <w:rPr>
          <w:rFonts w:ascii="Times New Roman" w:hAnsi="Times New Roman" w:cs="Times New Roman"/>
          <w:b/>
          <w:bCs/>
          <w:sz w:val="24"/>
          <w:szCs w:val="20"/>
        </w:rPr>
      </w:pPr>
      <w:r>
        <w:rPr>
          <w:rFonts w:ascii="Times New Roman" w:hAnsi="Times New Roman" w:cs="Times New Roman"/>
          <w:b/>
          <w:bCs/>
          <w:sz w:val="24"/>
          <w:szCs w:val="20"/>
        </w:rPr>
        <w:t>Molecular Analysis</w:t>
      </w:r>
    </w:p>
    <w:p w14:paraId="348DBC69" w14:textId="77777777" w:rsidR="00D0049A" w:rsidRDefault="00000000">
      <w:pPr>
        <w:spacing w:line="360" w:lineRule="auto"/>
        <w:ind w:firstLine="720"/>
        <w:jc w:val="both"/>
        <w:rPr>
          <w:rFonts w:ascii="Times New Roman" w:hAnsi="Times New Roman" w:cs="Times New Roman"/>
          <w:sz w:val="24"/>
          <w:szCs w:val="20"/>
          <w:lang w:val="en-IN"/>
        </w:rPr>
      </w:pPr>
      <w:r>
        <w:rPr>
          <w:rFonts w:ascii="Times New Roman" w:hAnsi="Times New Roman" w:cs="Times New Roman"/>
          <w:sz w:val="24"/>
          <w:szCs w:val="20"/>
        </w:rPr>
        <w:t xml:space="preserve">First- and second-step PCR assays targeting the WSSV genome yielded clear and diagnostic amplification patterns for all tested samples. In the first-step PCR, a distinct 1447 bp amplicon was observed in the positive control and in all randomly selected shrimp samples (Lanes 1–5), while the negative control showed no amplification, confirming the specificity of the reaction. To further authenticate these results, a second-step (nested) PCR was performed, producing a sharp 941 bp band in the same samples, consistent with the expected size for the internal WSSV target region. The simultaneous presence of both 1447 bp (first-step) and 941 bp (second-step) products in all samples confirms successful amplification of WSSV genomic </w:t>
      </w:r>
      <w:r>
        <w:rPr>
          <w:rFonts w:ascii="Times New Roman" w:hAnsi="Times New Roman" w:cs="Times New Roman"/>
          <w:sz w:val="24"/>
          <w:szCs w:val="20"/>
        </w:rPr>
        <w:lastRenderedPageBreak/>
        <w:t>material and validates the infection status detected through wet-mount screening and histopathology. These findings together demonstrate robust molecular confirmation of WSSV infection across the analyzed specimens.</w:t>
      </w:r>
      <w:r>
        <w:rPr>
          <w:rFonts w:ascii="Times New Roman" w:hAnsi="Times New Roman" w:cs="Times New Roman"/>
          <w:sz w:val="24"/>
          <w:szCs w:val="20"/>
          <w:lang w:val="en-IN"/>
        </w:rPr>
        <w:t xml:space="preserve"> (Fig 4).</w:t>
      </w:r>
    </w:p>
    <w:p w14:paraId="38F306B9" w14:textId="77777777" w:rsidR="00D0049A" w:rsidRDefault="00D0049A">
      <w:pPr>
        <w:ind w:firstLine="720"/>
        <w:jc w:val="both"/>
        <w:rPr>
          <w:rFonts w:ascii="Times New Roman" w:hAnsi="Times New Roman" w:cs="Times New Roman"/>
          <w:sz w:val="24"/>
          <w:szCs w:val="20"/>
          <w:lang w:val="en-IN"/>
        </w:rPr>
      </w:pPr>
    </w:p>
    <w:p w14:paraId="4C2E6F78" w14:textId="77777777" w:rsidR="00D0049A" w:rsidRDefault="00000000">
      <w:pPr>
        <w:spacing w:line="360" w:lineRule="auto"/>
        <w:jc w:val="both"/>
        <w:rPr>
          <w:rFonts w:ascii="Times New Roman" w:hAnsi="Times New Roman" w:cs="Times New Roman"/>
          <w:sz w:val="24"/>
          <w:szCs w:val="20"/>
          <w:lang w:val="en-IN"/>
        </w:rPr>
      </w:pPr>
      <w:r>
        <w:rPr>
          <w:rFonts w:ascii="Times New Roman" w:hAnsi="Times New Roman" w:cs="Times New Roman"/>
          <w:b/>
          <w:bCs/>
          <w:sz w:val="24"/>
          <w:szCs w:val="20"/>
        </w:rPr>
        <w:t>Figure 4:</w:t>
      </w:r>
      <w:r>
        <w:rPr>
          <w:rFonts w:ascii="Times New Roman" w:hAnsi="Times New Roman" w:cs="Times New Roman"/>
          <w:sz w:val="24"/>
          <w:szCs w:val="20"/>
        </w:rPr>
        <w:t xml:space="preserve"> </w:t>
      </w:r>
      <w:commentRangeStart w:id="14"/>
      <w:r>
        <w:rPr>
          <w:rFonts w:ascii="Times New Roman" w:hAnsi="Times New Roman" w:cs="Times New Roman"/>
          <w:sz w:val="24"/>
          <w:szCs w:val="20"/>
        </w:rPr>
        <w:t xml:space="preserve">First-step and second-step PCR amplification of WSSV from randomly selected shrimp samples confirmed positive by wet-mount screening. Lane M: 100 bp DNA ladder; Lane NC: negative control showing no amplification; Lane PC: positive control. Lanes 1–5 represent shrimp samples. All samples show a clear band at 1447 bp, corresponding to the first-step PCR product, and a second, distinct band at 941 bp, representing the nested/second-step PCR amplification of </w:t>
      </w:r>
      <w:commentRangeEnd w:id="14"/>
      <w:r w:rsidR="00527368">
        <w:rPr>
          <w:rStyle w:val="CommentReference"/>
        </w:rPr>
        <w:commentReference w:id="14"/>
      </w:r>
      <w:r>
        <w:rPr>
          <w:rFonts w:ascii="Times New Roman" w:hAnsi="Times New Roman" w:cs="Times New Roman"/>
          <w:sz w:val="24"/>
          <w:szCs w:val="20"/>
        </w:rPr>
        <w:t>the WSSV target region. The presence of both expected amplicons confirms successful detection and validation of WSSV infection in the tested specimens.</w:t>
      </w:r>
    </w:p>
    <w:p w14:paraId="37A2E2DD" w14:textId="77777777" w:rsidR="00D0049A" w:rsidRDefault="00D0049A">
      <w:pPr>
        <w:jc w:val="both"/>
        <w:rPr>
          <w:rFonts w:ascii="Times New Roman" w:hAnsi="Times New Roman" w:cs="Times New Roman"/>
          <w:sz w:val="24"/>
          <w:szCs w:val="20"/>
          <w:lang w:val="en-IN"/>
        </w:rPr>
      </w:pPr>
    </w:p>
    <w:p w14:paraId="7FBA5AA7" w14:textId="77777777" w:rsidR="00D0049A" w:rsidRDefault="00000000">
      <w:pPr>
        <w:jc w:val="both"/>
        <w:rPr>
          <w:rFonts w:ascii="Times New Roman" w:hAnsi="Times New Roman" w:cs="Times New Roman"/>
          <w:b/>
          <w:bCs/>
          <w:sz w:val="24"/>
        </w:rPr>
      </w:pPr>
      <w:commentRangeStart w:id="15"/>
      <w:commentRangeStart w:id="16"/>
      <w:r>
        <w:rPr>
          <w:rFonts w:ascii="Times New Roman" w:hAnsi="Times New Roman" w:cs="Times New Roman"/>
          <w:b/>
          <w:bCs/>
          <w:sz w:val="24"/>
        </w:rPr>
        <w:t>DISCUSSION</w:t>
      </w:r>
      <w:commentRangeEnd w:id="15"/>
      <w:r w:rsidR="00527368">
        <w:rPr>
          <w:rStyle w:val="CommentReference"/>
        </w:rPr>
        <w:commentReference w:id="15"/>
      </w:r>
      <w:commentRangeEnd w:id="16"/>
      <w:r w:rsidR="00527368">
        <w:rPr>
          <w:rStyle w:val="CommentReference"/>
        </w:rPr>
        <w:commentReference w:id="16"/>
      </w:r>
    </w:p>
    <w:p w14:paraId="5061187B" w14:textId="77777777" w:rsidR="00D0049A" w:rsidRDefault="00000000">
      <w:pPr>
        <w:spacing w:line="360" w:lineRule="auto"/>
        <w:ind w:firstLine="720"/>
        <w:jc w:val="both"/>
        <w:rPr>
          <w:rFonts w:ascii="Times New Roman" w:hAnsi="Times New Roman" w:cs="Times New Roman"/>
          <w:sz w:val="24"/>
          <w:lang w:val="en-IN"/>
        </w:rPr>
      </w:pPr>
      <w:r>
        <w:rPr>
          <w:rFonts w:ascii="Times New Roman" w:hAnsi="Times New Roman" w:cs="Times New Roman"/>
          <w:sz w:val="24"/>
          <w:lang w:val="en-IN"/>
        </w:rPr>
        <w:t xml:space="preserve">The present study offers a comprehensive assessment of White Spot Syndrome Virus (WSSV) infection dynamics in </w:t>
      </w:r>
      <w:r>
        <w:rPr>
          <w:rFonts w:ascii="Times New Roman" w:hAnsi="Times New Roman" w:cs="Times New Roman"/>
          <w:i/>
          <w:iCs/>
          <w:sz w:val="24"/>
          <w:lang w:val="en-IN"/>
        </w:rPr>
        <w:t>Penaeus monodon</w:t>
      </w:r>
      <w:r>
        <w:rPr>
          <w:rFonts w:ascii="Times New Roman" w:hAnsi="Times New Roman" w:cs="Times New Roman"/>
          <w:sz w:val="24"/>
          <w:lang w:val="en-IN"/>
        </w:rPr>
        <w:t xml:space="preserve"> from the Parangipettai coastal waters by integrating epidemiological data with gross pathological, histopathological, and molecular findings. The consistent detection of WSSV across seasons and diagnostic methods highlights the substantial viral burden in wild shrimp populations and underscores the ecological relevance of this region as a natural reservoir for WSSV, as previously noted for other tropical coastal systems (Desrina et al., 2022; Vlak, 2022).</w:t>
      </w:r>
    </w:p>
    <w:p w14:paraId="4D83A1F4" w14:textId="77777777" w:rsidR="00D0049A" w:rsidRDefault="00000000">
      <w:pPr>
        <w:spacing w:line="360" w:lineRule="auto"/>
        <w:ind w:firstLine="720"/>
        <w:jc w:val="both"/>
        <w:rPr>
          <w:rFonts w:ascii="Times New Roman" w:hAnsi="Times New Roman" w:cs="Times New Roman"/>
          <w:sz w:val="24"/>
          <w:lang w:val="en-IN"/>
        </w:rPr>
      </w:pPr>
      <w:r>
        <w:rPr>
          <w:rFonts w:ascii="Times New Roman" w:hAnsi="Times New Roman" w:cs="Times New Roman"/>
          <w:sz w:val="24"/>
          <w:lang w:val="en-IN"/>
        </w:rPr>
        <w:t>The clear seasonal fluctuations observed in this study particularly the pronounced post-monsoon peaks are consistent with earlier reports that environmental parameters strongly modulate WSSV transmission (Quang et al., 2009; Shields et al., 2020). Post-monsoon conditions are typically characterized by fluctuating salinity, increased nutrient input, high organic matter load, and resuspension of sediments, all of which create environments conducive to viral persistence and spread (Momoyama et al., 1998; Kumar et al., 2013). The high prevalence recorded during this period aligns with previous findings from Indian estuaries and Southeast Asian shrimp-growing regions, where WSSV prevalence often intensifies following heavy rainfall and freshwater inflow (Uma, 2025; Singh, 2025).</w:t>
      </w:r>
    </w:p>
    <w:p w14:paraId="4DE8F45E" w14:textId="77777777" w:rsidR="00D0049A" w:rsidRDefault="00000000">
      <w:pPr>
        <w:spacing w:line="360" w:lineRule="auto"/>
        <w:ind w:firstLine="720"/>
        <w:jc w:val="both"/>
        <w:rPr>
          <w:rFonts w:ascii="Times New Roman" w:hAnsi="Times New Roman" w:cs="Times New Roman"/>
          <w:sz w:val="24"/>
          <w:lang w:val="en-IN"/>
        </w:rPr>
      </w:pPr>
      <w:r>
        <w:rPr>
          <w:rFonts w:ascii="Times New Roman" w:hAnsi="Times New Roman" w:cs="Times New Roman"/>
          <w:sz w:val="24"/>
          <w:lang w:val="en-IN"/>
        </w:rPr>
        <w:lastRenderedPageBreak/>
        <w:t>The moderate prevalence during monsoon seasons may reflect the dual influence of freshwater dilution potentially reducing viral stability at low salinity (Chang et al., 1998) and increased turbidity, which can promote transmission through suspended organic particles or sediment-bound viral particles (Kumar et al., 2013). Meanwhile, the lowest prevalence in pre-monsoon seasons aligns with findings that stable salinity, reduced runoff, and relatively improved water quality limit viral circulation (Shields et al., 2020; Min et al., 2024). Together, these trends affirm that environmental variability plays a crucial role in shaping WSSV infection patterns.</w:t>
      </w:r>
    </w:p>
    <w:p w14:paraId="27AC40A5" w14:textId="77777777" w:rsidR="00D0049A" w:rsidRDefault="00000000">
      <w:pPr>
        <w:spacing w:line="360" w:lineRule="auto"/>
        <w:ind w:firstLine="720"/>
        <w:jc w:val="both"/>
        <w:rPr>
          <w:rFonts w:ascii="Times New Roman" w:hAnsi="Times New Roman" w:cs="Times New Roman"/>
          <w:sz w:val="24"/>
          <w:lang w:val="en-IN"/>
        </w:rPr>
      </w:pPr>
      <w:r>
        <w:rPr>
          <w:rFonts w:ascii="Times New Roman" w:hAnsi="Times New Roman" w:cs="Times New Roman"/>
          <w:sz w:val="24"/>
          <w:lang w:val="en-IN"/>
        </w:rPr>
        <w:t>Gross pathological findings prominent white spots, cuticular opacification, and exoskeletal softening correspond with classical WSSV lesions described in earlier studies (Wongteerasupaya et al., 1995; Lo et al., 1996). These lesions result from viral replication in ectodermal and mesodermal tissues, leading to epithelial cell hypertrophy and cuticular disorganization (Flegel, 2007). While gross signs can be highly indicative during acute infections, several studies have emphasized their limitations in detecting early or subclinical infections (Poulos et al., 1999; Hossain et al., 2004). The strong concordance between gross lesions and molecular confirmation in this study reflects predominantly acute or advanced infections during sampling periods, consistent with the observed high prevalence during peak seasons.</w:t>
      </w:r>
    </w:p>
    <w:p w14:paraId="198F5A75" w14:textId="77777777" w:rsidR="00D0049A" w:rsidRDefault="00000000">
      <w:pPr>
        <w:spacing w:line="360" w:lineRule="auto"/>
        <w:ind w:firstLine="720"/>
        <w:jc w:val="both"/>
        <w:rPr>
          <w:rFonts w:ascii="Times New Roman" w:hAnsi="Times New Roman" w:cs="Times New Roman"/>
          <w:sz w:val="24"/>
          <w:lang w:val="en-IN"/>
        </w:rPr>
      </w:pPr>
      <w:r>
        <w:rPr>
          <w:rFonts w:ascii="Times New Roman" w:hAnsi="Times New Roman" w:cs="Times New Roman"/>
          <w:sz w:val="24"/>
          <w:lang w:val="en-IN"/>
        </w:rPr>
        <w:t>Wet-mount examination revealed well-defined circular to oval inclusions with refractile properties and concentric radiations hallmark surface manifestations of WSSV-induced structural abnormalities in the cuticle. These features are consistent with previous descriptions indicating epithelial necrosis and cuticular alterations associated with viral replication (Peng et al., 1998; Chang et al., 1998). Although wet-mount microscopy lacks specificity compared to molecular methods, its rapid, low-cost utility makes it invaluable for field-level screening, especially in surveillance programs targeting both wild and farmed shrimp (Nunan &amp; Lightner, 2011).</w:t>
      </w:r>
    </w:p>
    <w:p w14:paraId="7FC9FE06" w14:textId="77777777" w:rsidR="00D0049A" w:rsidRDefault="00000000">
      <w:pPr>
        <w:spacing w:line="360" w:lineRule="auto"/>
        <w:ind w:firstLine="720"/>
        <w:jc w:val="both"/>
        <w:rPr>
          <w:rFonts w:ascii="Times New Roman" w:hAnsi="Times New Roman" w:cs="Times New Roman"/>
          <w:sz w:val="24"/>
          <w:lang w:val="en-IN"/>
        </w:rPr>
      </w:pPr>
      <w:r>
        <w:rPr>
          <w:rFonts w:ascii="Times New Roman" w:hAnsi="Times New Roman" w:cs="Times New Roman"/>
          <w:sz w:val="24"/>
          <w:lang w:val="en-IN"/>
        </w:rPr>
        <w:t xml:space="preserve">Histological findings in gill tissues hypertrophied nuclei with eosinophilic and basophilic intranuclear inclusion bodies, epithelial degeneration, vacuolation, and hemocytic infiltration are consistent with the classical pathology of acute WSSV infection (Wongteerasupaya et al., 1995; Lo et al., 1996). The severe tissue disorganization observed aligns with earlier descriptions highlighting the virus’s tropism for ectodermal and mesodermal tissues, leading to rapid cellular dysfunction and mortality (Bateman, 2021). Hemocytic infiltration indicates a strong immunological response, commonly reported in WSSV-infected shrimp undergoing acute </w:t>
      </w:r>
      <w:r>
        <w:rPr>
          <w:rFonts w:ascii="Times New Roman" w:hAnsi="Times New Roman" w:cs="Times New Roman"/>
          <w:sz w:val="24"/>
          <w:lang w:val="en-IN"/>
        </w:rPr>
        <w:lastRenderedPageBreak/>
        <w:t>systemic infection (Flegel, 2007; Buathongkam et al., 2025). The combination of nuclear hypertrophy and inclusion bodies remains the most definitive histological signature of WSSV and continues to serve as a gold standard for disease confirmation (Poulos et al., 1999; Nunan &amp; Lightner, 2011).</w:t>
      </w:r>
    </w:p>
    <w:p w14:paraId="7667C8FC" w14:textId="77777777" w:rsidR="00D0049A" w:rsidRDefault="00000000">
      <w:pPr>
        <w:spacing w:line="360" w:lineRule="auto"/>
        <w:ind w:firstLine="720"/>
        <w:jc w:val="both"/>
        <w:rPr>
          <w:rFonts w:ascii="Times New Roman" w:hAnsi="Times New Roman" w:cs="Times New Roman"/>
          <w:sz w:val="24"/>
          <w:lang w:val="en-IN"/>
        </w:rPr>
      </w:pPr>
      <w:r>
        <w:rPr>
          <w:rFonts w:ascii="Times New Roman" w:hAnsi="Times New Roman" w:cs="Times New Roman"/>
          <w:sz w:val="24"/>
          <w:lang w:val="en-IN"/>
        </w:rPr>
        <w:t>The PCR assays targeting WSSV genomic regions produced expected amplicons of 1447 bp and 941 bp in first- and second-step PCR, respectively, demonstrating high diagnostic reliability. These findings are consistent with earlier studies validating nested PCR as a superior method for detecting low viral loads and eliminating false negatives (Hossain et al., 2004; Saksmerprome et al., 2009). The use of molecular assays based on WSSV genomic regions such as WSV285 or the major virion envelope and structural proteins has been widely recommended due to their genetic stability and high sensitivity (van Hulten et al., 2001; Marks et al., 2005). The successful detection of WSSV in all positive gross and histological samples further confirms the robustness of molecular diagnostics, reinforcing their use as a cornerstone of WSSV surveillance (Durand &amp; Lightner, 2002; Kim et al., 2007).</w:t>
      </w:r>
    </w:p>
    <w:p w14:paraId="52C1F83C" w14:textId="77777777" w:rsidR="00D0049A" w:rsidRDefault="00000000">
      <w:pPr>
        <w:spacing w:line="360" w:lineRule="auto"/>
        <w:ind w:firstLine="720"/>
        <w:jc w:val="both"/>
        <w:rPr>
          <w:rFonts w:ascii="Times New Roman" w:hAnsi="Times New Roman" w:cs="Times New Roman"/>
          <w:sz w:val="24"/>
          <w:lang w:val="en-IN"/>
        </w:rPr>
      </w:pPr>
      <w:r>
        <w:rPr>
          <w:rFonts w:ascii="Times New Roman" w:hAnsi="Times New Roman" w:cs="Times New Roman"/>
          <w:sz w:val="24"/>
          <w:lang w:val="en-IN"/>
        </w:rPr>
        <w:t xml:space="preserve">The substantial WSSV prevalence observed in wild </w:t>
      </w:r>
      <w:r>
        <w:rPr>
          <w:rFonts w:ascii="Times New Roman" w:hAnsi="Times New Roman" w:cs="Times New Roman"/>
          <w:i/>
          <w:iCs/>
          <w:sz w:val="24"/>
          <w:lang w:val="en-IN"/>
        </w:rPr>
        <w:t>P. monodon</w:t>
      </w:r>
      <w:r>
        <w:rPr>
          <w:rFonts w:ascii="Times New Roman" w:hAnsi="Times New Roman" w:cs="Times New Roman"/>
          <w:sz w:val="24"/>
          <w:lang w:val="en-IN"/>
        </w:rPr>
        <w:t xml:space="preserve"> highlights the critical role natural shrimp populations play in the long-term maintenance and spillover of viral pathogens. Wild shrimp have previously been identified as key reservoirs capable of transmitting WSSV to cultured stocks through water exchange, predation, or cannibalism (Lotz &amp; Soto, 2002; Flegel, 2007). Infected crabs, polychaetes, molluscs, and even non-native crayfish in coastal ecosystems also contribute to viral persistence and transmission cycles (Kanchanaphum et al., 1998; Laoaroon et al., 2005; Rothman, 2024; Min et al., 2024). Given the proximity of the Parangipettai region to aquaculture operations, the high infection levels documented here underscore the need for enhanced biosecurity, including controlled water intake, screening of wild-caught broodstock, and regular monitoring of environmental viral loads.</w:t>
      </w:r>
    </w:p>
    <w:p w14:paraId="2F667E67" w14:textId="77777777" w:rsidR="00D0049A" w:rsidRDefault="00000000">
      <w:pPr>
        <w:spacing w:line="360" w:lineRule="auto"/>
        <w:ind w:firstLine="720"/>
        <w:jc w:val="both"/>
        <w:rPr>
          <w:rFonts w:ascii="Times New Roman" w:hAnsi="Times New Roman" w:cs="Times New Roman"/>
          <w:sz w:val="24"/>
          <w:lang w:val="en-IN"/>
        </w:rPr>
      </w:pPr>
      <w:r>
        <w:rPr>
          <w:rFonts w:ascii="Times New Roman" w:hAnsi="Times New Roman" w:cs="Times New Roman"/>
          <w:sz w:val="24"/>
          <w:lang w:val="en-IN"/>
        </w:rPr>
        <w:t xml:space="preserve">The alignment of gross pathology, wet-mount lesions, histopathology, and PCR confirmation provides a multi-layered diagnostic framework essential for effective disease surveillance. The seasonal prevalence trends reported in this study can inform targeted monitoring, particularly during post-monsoon months when infection risk is highest. Environmental management strategies including sediment management, controlled water filtration, and reduced exposure to wild carriers may help mitigate disease entry into culture systems (Hameed et al., </w:t>
      </w:r>
      <w:r>
        <w:rPr>
          <w:rFonts w:ascii="Times New Roman" w:hAnsi="Times New Roman" w:cs="Times New Roman"/>
          <w:sz w:val="24"/>
          <w:lang w:val="en-IN"/>
        </w:rPr>
        <w:lastRenderedPageBreak/>
        <w:t>2003; Chang et al., 1998). The findings also highlight the need for integrating molecular screening into routine monitoring to detect early or subclinical viral presence, which gross pathology alone may overlook.</w:t>
      </w:r>
    </w:p>
    <w:p w14:paraId="7D1F8741" w14:textId="77777777" w:rsidR="00D0049A" w:rsidRDefault="00000000">
      <w:pPr>
        <w:jc w:val="both"/>
      </w:pPr>
      <w:r>
        <w:rPr>
          <w:rFonts w:ascii="Times New Roman" w:hAnsi="Times New Roman" w:cs="Times New Roman"/>
          <w:b/>
          <w:bCs/>
          <w:sz w:val="24"/>
        </w:rPr>
        <w:t>CONCLUSION</w:t>
      </w:r>
      <w:r>
        <w:t xml:space="preserve"> </w:t>
      </w:r>
    </w:p>
    <w:p w14:paraId="1BD19853" w14:textId="77777777" w:rsidR="00D0049A" w:rsidRDefault="00000000">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The present study provides a comprehensive epidemiological assessment of White Spot Syndrome Virus (WSSV) in wild </w:t>
      </w:r>
      <w:r>
        <w:rPr>
          <w:rFonts w:ascii="Times New Roman" w:hAnsi="Times New Roman" w:cs="Times New Roman"/>
          <w:i/>
          <w:iCs/>
          <w:sz w:val="24"/>
        </w:rPr>
        <w:t>Penaeus monodon</w:t>
      </w:r>
      <w:r>
        <w:rPr>
          <w:rFonts w:ascii="Times New Roman" w:hAnsi="Times New Roman" w:cs="Times New Roman"/>
          <w:sz w:val="24"/>
        </w:rPr>
        <w:t xml:space="preserve"> inhabiting the Parangipettai coastal waters during 2023-2025. </w:t>
      </w:r>
      <w:commentRangeStart w:id="17"/>
      <w:r>
        <w:rPr>
          <w:rFonts w:ascii="Times New Roman" w:hAnsi="Times New Roman" w:cs="Times New Roman"/>
          <w:sz w:val="24"/>
        </w:rPr>
        <w:t>The findings demonstrate clear seasonal variation in WSSV prevalence, with consistently elevated infection levels during the post-monsoon period, followed by summer, while pre-monsoon remained the least affected season. Gross pathology, wet-mount observations, histopathology, and molecular confirmation together verified the presence of WSSV and its associated lesions, including hypertrophied nuclei and intranuclear inclusion bodies.</w:t>
      </w:r>
      <w:commentRangeEnd w:id="17"/>
      <w:r w:rsidR="00304C7D">
        <w:rPr>
          <w:rStyle w:val="CommentReference"/>
        </w:rPr>
        <w:commentReference w:id="17"/>
      </w:r>
    </w:p>
    <w:p w14:paraId="7519A363" w14:textId="77777777" w:rsidR="00D0049A" w:rsidRDefault="00000000">
      <w:pPr>
        <w:spacing w:line="360" w:lineRule="auto"/>
        <w:jc w:val="both"/>
        <w:rPr>
          <w:rFonts w:ascii="Times New Roman" w:hAnsi="Times New Roman" w:cs="Times New Roman"/>
          <w:sz w:val="24"/>
        </w:rPr>
      </w:pPr>
      <w:r>
        <w:rPr>
          <w:rFonts w:ascii="Times New Roman" w:hAnsi="Times New Roman" w:cs="Times New Roman"/>
          <w:sz w:val="24"/>
        </w:rPr>
        <w:t>Overall, this work establishes essential baseline data for regional WSSV monitoring and highlights the post-monsoon season as a critical high-risk period requiring strengthened surveillance and early-warning measures. These insights can support future management strategies aimed at mitigating WSSV outbreaks in both natural and culture-based shrimp populations.</w:t>
      </w:r>
    </w:p>
    <w:p w14:paraId="79AEC2EE" w14:textId="77777777" w:rsidR="00D0049A" w:rsidRDefault="00000000">
      <w:pPr>
        <w:spacing w:line="360" w:lineRule="auto"/>
        <w:jc w:val="both"/>
        <w:rPr>
          <w:rFonts w:ascii="Times New Roman" w:hAnsi="Times New Roman" w:cs="Times New Roman"/>
          <w:b/>
          <w:bCs/>
          <w:sz w:val="24"/>
          <w:lang w:val="en-IN"/>
        </w:rPr>
      </w:pPr>
      <w:r>
        <w:rPr>
          <w:rFonts w:ascii="Times New Roman" w:hAnsi="Times New Roman" w:cs="Times New Roman"/>
          <w:b/>
          <w:bCs/>
          <w:sz w:val="24"/>
          <w:lang w:val="en-IN"/>
        </w:rPr>
        <w:t>CONFLICT OF INTEREST</w:t>
      </w:r>
    </w:p>
    <w:p w14:paraId="40791AFF" w14:textId="77777777" w:rsidR="00D0049A" w:rsidRDefault="00000000">
      <w:pPr>
        <w:spacing w:line="360" w:lineRule="auto"/>
        <w:jc w:val="both"/>
        <w:rPr>
          <w:rFonts w:ascii="Times New Roman" w:hAnsi="Times New Roman" w:cs="Times New Roman"/>
          <w:sz w:val="24"/>
          <w:lang w:val="en-IN"/>
        </w:rPr>
      </w:pPr>
      <w:r>
        <w:rPr>
          <w:rFonts w:ascii="Times New Roman" w:hAnsi="Times New Roman" w:cs="Times New Roman"/>
          <w:sz w:val="24"/>
          <w:lang w:val="en-IN"/>
        </w:rPr>
        <w:t>The authors declare that there is no conflict of interest related to the publication of this manuscript.</w:t>
      </w:r>
    </w:p>
    <w:p w14:paraId="0937CF10" w14:textId="77777777" w:rsidR="00D0049A" w:rsidRDefault="00000000">
      <w:pPr>
        <w:spacing w:line="360" w:lineRule="auto"/>
        <w:jc w:val="both"/>
        <w:rPr>
          <w:rFonts w:ascii="Times New Roman" w:hAnsi="Times New Roman" w:cs="Times New Roman"/>
          <w:b/>
          <w:bCs/>
          <w:sz w:val="24"/>
        </w:rPr>
      </w:pPr>
      <w:r>
        <w:rPr>
          <w:rFonts w:ascii="Times New Roman" w:hAnsi="Times New Roman" w:cs="Times New Roman"/>
          <w:b/>
          <w:bCs/>
          <w:sz w:val="24"/>
        </w:rPr>
        <w:t>ETHICS STATEMENT</w:t>
      </w:r>
    </w:p>
    <w:p w14:paraId="197AD5F7" w14:textId="77777777" w:rsidR="00D0049A" w:rsidRDefault="00000000">
      <w:pPr>
        <w:spacing w:line="360" w:lineRule="auto"/>
        <w:jc w:val="both"/>
        <w:rPr>
          <w:rFonts w:ascii="Times New Roman" w:hAnsi="Times New Roman" w:cs="Times New Roman"/>
          <w:sz w:val="24"/>
        </w:rPr>
      </w:pPr>
      <w:r>
        <w:rPr>
          <w:rFonts w:ascii="Times New Roman" w:hAnsi="Times New Roman" w:cs="Times New Roman"/>
          <w:sz w:val="24"/>
        </w:rPr>
        <w:t>The manuscript does not require ethical approval.</w:t>
      </w:r>
    </w:p>
    <w:p w14:paraId="6251FEBA" w14:textId="77777777" w:rsidR="00D50B6E" w:rsidRDefault="00D50B6E">
      <w:pPr>
        <w:spacing w:line="360" w:lineRule="auto"/>
        <w:jc w:val="both"/>
        <w:rPr>
          <w:rFonts w:ascii="Times New Roman" w:hAnsi="Times New Roman" w:cs="Times New Roman"/>
          <w:sz w:val="24"/>
        </w:rPr>
      </w:pPr>
    </w:p>
    <w:p w14:paraId="450165C0" w14:textId="77777777" w:rsidR="00D50B6E" w:rsidRDefault="00D50B6E">
      <w:pPr>
        <w:spacing w:line="360" w:lineRule="auto"/>
        <w:jc w:val="both"/>
        <w:rPr>
          <w:rFonts w:ascii="Times New Roman" w:hAnsi="Times New Roman" w:cs="Times New Roman"/>
          <w:sz w:val="24"/>
        </w:rPr>
      </w:pPr>
    </w:p>
    <w:p w14:paraId="38C7740B" w14:textId="77777777" w:rsidR="00D50B6E" w:rsidRDefault="00D50B6E">
      <w:pPr>
        <w:spacing w:line="360" w:lineRule="auto"/>
        <w:jc w:val="both"/>
        <w:rPr>
          <w:rFonts w:ascii="Times New Roman" w:hAnsi="Times New Roman" w:cs="Times New Roman"/>
          <w:sz w:val="24"/>
        </w:rPr>
      </w:pPr>
    </w:p>
    <w:p w14:paraId="7749DD42" w14:textId="77777777" w:rsidR="00D50B6E" w:rsidRDefault="00D50B6E">
      <w:pPr>
        <w:spacing w:line="360" w:lineRule="auto"/>
        <w:jc w:val="both"/>
        <w:rPr>
          <w:rFonts w:ascii="Times New Roman" w:hAnsi="Times New Roman" w:cs="Times New Roman"/>
          <w:sz w:val="24"/>
        </w:rPr>
      </w:pPr>
    </w:p>
    <w:p w14:paraId="68A9BA64" w14:textId="77777777" w:rsidR="00D50B6E" w:rsidRDefault="00D50B6E">
      <w:pPr>
        <w:spacing w:line="360" w:lineRule="auto"/>
        <w:jc w:val="both"/>
        <w:rPr>
          <w:rFonts w:ascii="Times New Roman" w:hAnsi="Times New Roman" w:cs="Times New Roman"/>
          <w:sz w:val="24"/>
        </w:rPr>
      </w:pPr>
    </w:p>
    <w:p w14:paraId="5C547412" w14:textId="77777777" w:rsidR="00D50B6E" w:rsidRDefault="00D50B6E">
      <w:pPr>
        <w:spacing w:line="360" w:lineRule="auto"/>
        <w:jc w:val="both"/>
        <w:rPr>
          <w:rFonts w:ascii="Times New Roman" w:hAnsi="Times New Roman" w:cs="Times New Roman"/>
          <w:sz w:val="24"/>
        </w:rPr>
      </w:pPr>
    </w:p>
    <w:p w14:paraId="232BA306" w14:textId="77777777" w:rsidR="00D50B6E" w:rsidRDefault="00D50B6E">
      <w:pPr>
        <w:spacing w:line="360" w:lineRule="auto"/>
        <w:jc w:val="both"/>
        <w:rPr>
          <w:rFonts w:ascii="Times New Roman" w:hAnsi="Times New Roman" w:cs="Times New Roman"/>
          <w:sz w:val="24"/>
        </w:rPr>
      </w:pPr>
    </w:p>
    <w:p w14:paraId="67E791DC" w14:textId="77777777" w:rsidR="00D50B6E" w:rsidRDefault="00D50B6E">
      <w:pPr>
        <w:spacing w:line="360" w:lineRule="auto"/>
        <w:jc w:val="both"/>
        <w:rPr>
          <w:rFonts w:ascii="Times New Roman" w:hAnsi="Times New Roman" w:cs="Times New Roman"/>
          <w:sz w:val="24"/>
        </w:rPr>
      </w:pPr>
    </w:p>
    <w:p w14:paraId="07A36C1A" w14:textId="77777777" w:rsidR="00D50B6E" w:rsidRDefault="00D50B6E">
      <w:pPr>
        <w:spacing w:line="360" w:lineRule="auto"/>
        <w:jc w:val="both"/>
        <w:rPr>
          <w:rFonts w:ascii="Times New Roman" w:hAnsi="Times New Roman" w:cs="Times New Roman"/>
          <w:sz w:val="24"/>
        </w:rPr>
      </w:pPr>
    </w:p>
    <w:p w14:paraId="21C1C8AD" w14:textId="77777777" w:rsidR="00D50B6E" w:rsidRDefault="00D50B6E">
      <w:pPr>
        <w:spacing w:line="360" w:lineRule="auto"/>
        <w:jc w:val="both"/>
        <w:rPr>
          <w:rFonts w:ascii="Times New Roman" w:hAnsi="Times New Roman" w:cs="Times New Roman"/>
          <w:sz w:val="24"/>
        </w:rPr>
      </w:pPr>
    </w:p>
    <w:p w14:paraId="7E19C509" w14:textId="77777777" w:rsidR="00D50B6E" w:rsidRDefault="00D50B6E">
      <w:pPr>
        <w:spacing w:line="360" w:lineRule="auto"/>
        <w:jc w:val="both"/>
        <w:rPr>
          <w:rFonts w:ascii="Times New Roman" w:hAnsi="Times New Roman" w:cs="Times New Roman"/>
          <w:sz w:val="24"/>
        </w:rPr>
      </w:pPr>
    </w:p>
    <w:p w14:paraId="144C14E0" w14:textId="77777777" w:rsidR="00D50B6E" w:rsidRDefault="00D50B6E">
      <w:pPr>
        <w:spacing w:line="360" w:lineRule="auto"/>
        <w:jc w:val="both"/>
        <w:rPr>
          <w:rFonts w:ascii="Times New Roman" w:hAnsi="Times New Roman" w:cs="Times New Roman"/>
          <w:sz w:val="24"/>
          <w:lang w:val="en-IN"/>
        </w:rPr>
      </w:pPr>
    </w:p>
    <w:p w14:paraId="0D71F50F" w14:textId="6C1010BE" w:rsidR="00D0049A" w:rsidRDefault="00000000">
      <w:pPr>
        <w:jc w:val="both"/>
        <w:rPr>
          <w:rFonts w:ascii="Times New Roman" w:hAnsi="Times New Roman" w:cs="Times New Roman"/>
          <w:b/>
          <w:sz w:val="24"/>
        </w:rPr>
      </w:pPr>
      <w:r>
        <w:rPr>
          <w:rFonts w:ascii="Times New Roman" w:hAnsi="Times New Roman" w:cs="Times New Roman"/>
          <w:b/>
          <w:bCs/>
          <w:sz w:val="24"/>
        </w:rPr>
        <w:t>Table 1.</w:t>
      </w:r>
      <w:r>
        <w:rPr>
          <w:rFonts w:ascii="Times New Roman" w:hAnsi="Times New Roman" w:cs="Times New Roman"/>
          <w:b/>
          <w:sz w:val="24"/>
        </w:rPr>
        <w:t xml:space="preserve"> Seasonal prevalence of White Spot Syndrome Virus (WSSV) in </w:t>
      </w:r>
      <w:r>
        <w:rPr>
          <w:rFonts w:ascii="Times New Roman" w:hAnsi="Times New Roman" w:cs="Times New Roman"/>
          <w:b/>
          <w:i/>
          <w:iCs/>
          <w:sz w:val="24"/>
        </w:rPr>
        <w:t>Penaeus monodon</w:t>
      </w:r>
      <w:r>
        <w:rPr>
          <w:rFonts w:ascii="Times New Roman" w:hAnsi="Times New Roman" w:cs="Times New Roman"/>
          <w:b/>
          <w:sz w:val="24"/>
        </w:rPr>
        <w:t xml:space="preserve"> collected from </w:t>
      </w:r>
      <w:r>
        <w:rPr>
          <w:rFonts w:ascii="Times New Roman" w:hAnsi="Times New Roman" w:cs="Times New Roman"/>
          <w:b/>
          <w:sz w:val="24"/>
          <w:lang w:val="en-IN"/>
        </w:rPr>
        <w:t>Vellar</w:t>
      </w:r>
      <w:r w:rsidR="002D7A0F">
        <w:rPr>
          <w:rFonts w:ascii="Times New Roman" w:hAnsi="Times New Roman" w:cs="Times New Roman"/>
          <w:b/>
          <w:sz w:val="24"/>
          <w:lang w:val="en-IN"/>
        </w:rPr>
        <w:t xml:space="preserve"> estuary</w:t>
      </w:r>
      <w:r>
        <w:rPr>
          <w:rFonts w:ascii="Times New Roman" w:hAnsi="Times New Roman" w:cs="Times New Roman"/>
          <w:b/>
          <w:sz w:val="24"/>
          <w:lang w:val="en-IN"/>
        </w:rPr>
        <w:t xml:space="preserve"> </w:t>
      </w:r>
      <w:r>
        <w:rPr>
          <w:rFonts w:ascii="Times New Roman" w:hAnsi="Times New Roman" w:cs="Times New Roman"/>
          <w:b/>
          <w:sz w:val="24"/>
        </w:rPr>
        <w:t>water during 202</w:t>
      </w:r>
      <w:r w:rsidR="0047381B">
        <w:rPr>
          <w:rFonts w:ascii="Times New Roman" w:hAnsi="Times New Roman" w:cs="Times New Roman"/>
          <w:b/>
          <w:sz w:val="24"/>
        </w:rPr>
        <w:t>3 - 2025</w:t>
      </w:r>
    </w:p>
    <w:tbl>
      <w:tblPr>
        <w:tblStyle w:val="TableGridLight1"/>
        <w:tblW w:w="947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462"/>
        <w:gridCol w:w="1851"/>
        <w:gridCol w:w="2029"/>
        <w:gridCol w:w="2046"/>
        <w:gridCol w:w="2091"/>
      </w:tblGrid>
      <w:tr w:rsidR="009E4F32" w14:paraId="6BEFF2BE" w14:textId="77777777">
        <w:trPr>
          <w:trHeight w:val="438"/>
        </w:trPr>
        <w:tc>
          <w:tcPr>
            <w:tcW w:w="0" w:type="auto"/>
            <w:tcBorders>
              <w:top w:val="single" w:sz="4" w:space="0" w:color="auto"/>
              <w:bottom w:val="single" w:sz="4" w:space="0" w:color="auto"/>
            </w:tcBorders>
            <w:vAlign w:val="center"/>
          </w:tcPr>
          <w:p w14:paraId="67D306E1" w14:textId="77777777" w:rsidR="00D0049A" w:rsidRDefault="00000000">
            <w:pPr>
              <w:jc w:val="center"/>
              <w:rPr>
                <w:rFonts w:ascii="Times New Roman" w:hAnsi="Times New Roman" w:cs="Times New Roman"/>
                <w:b/>
                <w:bCs/>
                <w:sz w:val="24"/>
                <w:lang w:val="en-IN"/>
              </w:rPr>
            </w:pPr>
            <w:commentRangeStart w:id="18"/>
            <w:r>
              <w:rPr>
                <w:rFonts w:ascii="Times New Roman" w:hAnsi="Times New Roman" w:cs="Times New Roman"/>
                <w:b/>
                <w:bCs/>
                <w:sz w:val="24"/>
                <w:lang w:val="en-IN"/>
              </w:rPr>
              <w:t>Year</w:t>
            </w:r>
          </w:p>
        </w:tc>
        <w:tc>
          <w:tcPr>
            <w:tcW w:w="0" w:type="auto"/>
            <w:tcBorders>
              <w:top w:val="single" w:sz="4" w:space="0" w:color="auto"/>
              <w:bottom w:val="single" w:sz="4" w:space="0" w:color="auto"/>
            </w:tcBorders>
            <w:vAlign w:val="center"/>
          </w:tcPr>
          <w:p w14:paraId="25BBDC0D" w14:textId="77777777" w:rsidR="00D0049A" w:rsidRDefault="00000000">
            <w:pPr>
              <w:jc w:val="center"/>
              <w:rPr>
                <w:rFonts w:ascii="Times New Roman" w:hAnsi="Times New Roman" w:cs="Times New Roman"/>
                <w:b/>
                <w:bCs/>
                <w:sz w:val="24"/>
                <w:lang w:val="en-IN"/>
              </w:rPr>
            </w:pPr>
            <w:r>
              <w:rPr>
                <w:rFonts w:ascii="Times New Roman" w:hAnsi="Times New Roman" w:cs="Times New Roman"/>
                <w:b/>
                <w:bCs/>
                <w:sz w:val="24"/>
                <w:lang w:val="en-IN"/>
              </w:rPr>
              <w:t>Seasons</w:t>
            </w:r>
          </w:p>
        </w:tc>
        <w:tc>
          <w:tcPr>
            <w:tcW w:w="0" w:type="auto"/>
            <w:tcBorders>
              <w:top w:val="single" w:sz="4" w:space="0" w:color="auto"/>
              <w:bottom w:val="single" w:sz="4" w:space="0" w:color="auto"/>
            </w:tcBorders>
            <w:vAlign w:val="center"/>
          </w:tcPr>
          <w:p w14:paraId="32F5B14B" w14:textId="77777777" w:rsidR="00D0049A" w:rsidRDefault="00000000">
            <w:pPr>
              <w:jc w:val="center"/>
              <w:rPr>
                <w:rFonts w:ascii="Times New Roman" w:hAnsi="Times New Roman" w:cs="Times New Roman"/>
                <w:b/>
                <w:bCs/>
                <w:sz w:val="24"/>
                <w:lang w:val="en-IN"/>
              </w:rPr>
            </w:pPr>
            <w:r>
              <w:rPr>
                <w:rFonts w:ascii="Times New Roman" w:hAnsi="Times New Roman" w:cs="Times New Roman"/>
                <w:b/>
                <w:bCs/>
                <w:sz w:val="24"/>
                <w:lang w:val="en-IN"/>
              </w:rPr>
              <w:t>No. of Samples</w:t>
            </w:r>
          </w:p>
        </w:tc>
        <w:tc>
          <w:tcPr>
            <w:tcW w:w="0" w:type="auto"/>
            <w:tcBorders>
              <w:top w:val="single" w:sz="4" w:space="0" w:color="auto"/>
              <w:bottom w:val="single" w:sz="4" w:space="0" w:color="auto"/>
            </w:tcBorders>
            <w:vAlign w:val="center"/>
          </w:tcPr>
          <w:p w14:paraId="169F6A88" w14:textId="77777777" w:rsidR="00D0049A" w:rsidRDefault="00000000">
            <w:pPr>
              <w:jc w:val="center"/>
              <w:rPr>
                <w:rFonts w:ascii="Times New Roman" w:hAnsi="Times New Roman" w:cs="Times New Roman"/>
                <w:b/>
                <w:bCs/>
                <w:sz w:val="24"/>
                <w:lang w:val="en-IN"/>
              </w:rPr>
            </w:pPr>
            <w:r>
              <w:rPr>
                <w:rFonts w:ascii="Times New Roman" w:hAnsi="Times New Roman" w:cs="Times New Roman"/>
                <w:b/>
                <w:bCs/>
                <w:sz w:val="24"/>
                <w:lang w:val="en-IN"/>
              </w:rPr>
              <w:t>WSSV Positive</w:t>
            </w:r>
          </w:p>
        </w:tc>
        <w:tc>
          <w:tcPr>
            <w:tcW w:w="0" w:type="auto"/>
            <w:tcBorders>
              <w:top w:val="single" w:sz="4" w:space="0" w:color="auto"/>
              <w:bottom w:val="single" w:sz="4" w:space="0" w:color="auto"/>
            </w:tcBorders>
            <w:vAlign w:val="center"/>
          </w:tcPr>
          <w:p w14:paraId="7CC6A68A" w14:textId="77777777" w:rsidR="00D0049A" w:rsidRDefault="00000000">
            <w:pPr>
              <w:jc w:val="center"/>
              <w:rPr>
                <w:rFonts w:ascii="Times New Roman" w:hAnsi="Times New Roman" w:cs="Times New Roman"/>
                <w:b/>
                <w:bCs/>
                <w:sz w:val="24"/>
                <w:lang w:val="en-IN"/>
              </w:rPr>
            </w:pPr>
            <w:r>
              <w:rPr>
                <w:rFonts w:ascii="Times New Roman" w:hAnsi="Times New Roman" w:cs="Times New Roman"/>
                <w:b/>
                <w:bCs/>
                <w:sz w:val="24"/>
                <w:lang w:val="en-IN"/>
              </w:rPr>
              <w:t>Prevalence (%)</w:t>
            </w:r>
          </w:p>
        </w:tc>
      </w:tr>
      <w:tr w:rsidR="009E4F32" w14:paraId="1BE9E35B" w14:textId="77777777">
        <w:trPr>
          <w:trHeight w:val="438"/>
        </w:trPr>
        <w:tc>
          <w:tcPr>
            <w:tcW w:w="0" w:type="auto"/>
            <w:vMerge w:val="restart"/>
            <w:tcBorders>
              <w:top w:val="single" w:sz="4" w:space="0" w:color="auto"/>
            </w:tcBorders>
            <w:vAlign w:val="center"/>
          </w:tcPr>
          <w:p w14:paraId="6F40518A"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2023-2024</w:t>
            </w:r>
          </w:p>
        </w:tc>
        <w:tc>
          <w:tcPr>
            <w:tcW w:w="0" w:type="auto"/>
            <w:tcBorders>
              <w:top w:val="single" w:sz="4" w:space="0" w:color="auto"/>
            </w:tcBorders>
            <w:vAlign w:val="center"/>
          </w:tcPr>
          <w:p w14:paraId="11851857"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Post-monsoon</w:t>
            </w:r>
          </w:p>
        </w:tc>
        <w:tc>
          <w:tcPr>
            <w:tcW w:w="0" w:type="auto"/>
            <w:tcBorders>
              <w:top w:val="single" w:sz="4" w:space="0" w:color="auto"/>
            </w:tcBorders>
            <w:vAlign w:val="center"/>
          </w:tcPr>
          <w:p w14:paraId="3A03892A"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630</w:t>
            </w:r>
          </w:p>
        </w:tc>
        <w:tc>
          <w:tcPr>
            <w:tcW w:w="0" w:type="auto"/>
            <w:tcBorders>
              <w:top w:val="single" w:sz="4" w:space="0" w:color="auto"/>
            </w:tcBorders>
            <w:vAlign w:val="center"/>
          </w:tcPr>
          <w:p w14:paraId="34B1D5A4"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162</w:t>
            </w:r>
          </w:p>
        </w:tc>
        <w:tc>
          <w:tcPr>
            <w:tcW w:w="0" w:type="auto"/>
            <w:tcBorders>
              <w:top w:val="single" w:sz="4" w:space="0" w:color="auto"/>
            </w:tcBorders>
            <w:vAlign w:val="center"/>
          </w:tcPr>
          <w:p w14:paraId="255DD610"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25.7%</w:t>
            </w:r>
          </w:p>
        </w:tc>
      </w:tr>
      <w:tr w:rsidR="009E4F32" w14:paraId="24ACA7BF" w14:textId="77777777">
        <w:trPr>
          <w:trHeight w:val="428"/>
        </w:trPr>
        <w:tc>
          <w:tcPr>
            <w:tcW w:w="0" w:type="auto"/>
            <w:vMerge/>
            <w:vAlign w:val="center"/>
          </w:tcPr>
          <w:p w14:paraId="76C3CEBB" w14:textId="77777777" w:rsidR="00D0049A" w:rsidRDefault="00D0049A">
            <w:pPr>
              <w:jc w:val="center"/>
              <w:rPr>
                <w:rFonts w:ascii="Times New Roman" w:hAnsi="Times New Roman" w:cs="Times New Roman"/>
                <w:sz w:val="24"/>
                <w:lang w:val="en-IN"/>
              </w:rPr>
            </w:pPr>
          </w:p>
        </w:tc>
        <w:tc>
          <w:tcPr>
            <w:tcW w:w="0" w:type="auto"/>
            <w:vAlign w:val="center"/>
          </w:tcPr>
          <w:p w14:paraId="50DED05F"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Summer</w:t>
            </w:r>
          </w:p>
        </w:tc>
        <w:tc>
          <w:tcPr>
            <w:tcW w:w="0" w:type="auto"/>
            <w:vAlign w:val="center"/>
          </w:tcPr>
          <w:p w14:paraId="0EECB0D8"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480</w:t>
            </w:r>
          </w:p>
        </w:tc>
        <w:tc>
          <w:tcPr>
            <w:tcW w:w="0" w:type="auto"/>
            <w:vAlign w:val="center"/>
          </w:tcPr>
          <w:p w14:paraId="29490A43"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102</w:t>
            </w:r>
          </w:p>
        </w:tc>
        <w:tc>
          <w:tcPr>
            <w:tcW w:w="0" w:type="auto"/>
            <w:vAlign w:val="center"/>
          </w:tcPr>
          <w:p w14:paraId="721B843A"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21.3%</w:t>
            </w:r>
          </w:p>
        </w:tc>
      </w:tr>
      <w:tr w:rsidR="009E4F32" w14:paraId="78493B11" w14:textId="77777777">
        <w:trPr>
          <w:trHeight w:val="438"/>
        </w:trPr>
        <w:tc>
          <w:tcPr>
            <w:tcW w:w="0" w:type="auto"/>
            <w:vMerge/>
            <w:vAlign w:val="center"/>
          </w:tcPr>
          <w:p w14:paraId="0EAC1BD6" w14:textId="77777777" w:rsidR="00D0049A" w:rsidRDefault="00D0049A">
            <w:pPr>
              <w:jc w:val="center"/>
              <w:rPr>
                <w:rFonts w:ascii="Times New Roman" w:hAnsi="Times New Roman" w:cs="Times New Roman"/>
                <w:sz w:val="24"/>
                <w:lang w:val="en-IN"/>
              </w:rPr>
            </w:pPr>
          </w:p>
        </w:tc>
        <w:tc>
          <w:tcPr>
            <w:tcW w:w="0" w:type="auto"/>
            <w:vAlign w:val="center"/>
          </w:tcPr>
          <w:p w14:paraId="7BB4A539"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Pre-monsoon</w:t>
            </w:r>
          </w:p>
        </w:tc>
        <w:tc>
          <w:tcPr>
            <w:tcW w:w="0" w:type="auto"/>
            <w:vAlign w:val="center"/>
          </w:tcPr>
          <w:p w14:paraId="5C337CA8"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540</w:t>
            </w:r>
          </w:p>
        </w:tc>
        <w:tc>
          <w:tcPr>
            <w:tcW w:w="0" w:type="auto"/>
            <w:vAlign w:val="center"/>
          </w:tcPr>
          <w:p w14:paraId="3E422A19"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84</w:t>
            </w:r>
          </w:p>
        </w:tc>
        <w:tc>
          <w:tcPr>
            <w:tcW w:w="0" w:type="auto"/>
            <w:vAlign w:val="center"/>
          </w:tcPr>
          <w:p w14:paraId="0B55DE99"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15.6%</w:t>
            </w:r>
          </w:p>
        </w:tc>
      </w:tr>
      <w:tr w:rsidR="009E4F32" w14:paraId="73CBBEBC" w14:textId="77777777">
        <w:trPr>
          <w:trHeight w:val="438"/>
        </w:trPr>
        <w:tc>
          <w:tcPr>
            <w:tcW w:w="0" w:type="auto"/>
            <w:vMerge/>
            <w:vAlign w:val="center"/>
          </w:tcPr>
          <w:p w14:paraId="2C6BF0D1" w14:textId="77777777" w:rsidR="00D0049A" w:rsidRDefault="00D0049A">
            <w:pPr>
              <w:jc w:val="center"/>
              <w:rPr>
                <w:rFonts w:ascii="Times New Roman" w:hAnsi="Times New Roman" w:cs="Times New Roman"/>
                <w:sz w:val="24"/>
                <w:lang w:val="en-IN"/>
              </w:rPr>
            </w:pPr>
          </w:p>
        </w:tc>
        <w:tc>
          <w:tcPr>
            <w:tcW w:w="0" w:type="auto"/>
            <w:tcBorders>
              <w:bottom w:val="single" w:sz="4" w:space="0" w:color="auto"/>
            </w:tcBorders>
            <w:vAlign w:val="center"/>
          </w:tcPr>
          <w:p w14:paraId="44023C4C"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Monsoon</w:t>
            </w:r>
          </w:p>
        </w:tc>
        <w:tc>
          <w:tcPr>
            <w:tcW w:w="0" w:type="auto"/>
            <w:tcBorders>
              <w:bottom w:val="single" w:sz="4" w:space="0" w:color="auto"/>
            </w:tcBorders>
            <w:vAlign w:val="center"/>
          </w:tcPr>
          <w:p w14:paraId="24CFF632"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585</w:t>
            </w:r>
          </w:p>
        </w:tc>
        <w:tc>
          <w:tcPr>
            <w:tcW w:w="0" w:type="auto"/>
            <w:tcBorders>
              <w:bottom w:val="single" w:sz="4" w:space="0" w:color="auto"/>
            </w:tcBorders>
            <w:vAlign w:val="center"/>
          </w:tcPr>
          <w:p w14:paraId="592493AF"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108</w:t>
            </w:r>
          </w:p>
        </w:tc>
        <w:tc>
          <w:tcPr>
            <w:tcW w:w="0" w:type="auto"/>
            <w:tcBorders>
              <w:bottom w:val="single" w:sz="4" w:space="0" w:color="auto"/>
            </w:tcBorders>
            <w:vAlign w:val="center"/>
          </w:tcPr>
          <w:p w14:paraId="6B429144"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18.4%</w:t>
            </w:r>
          </w:p>
        </w:tc>
      </w:tr>
      <w:tr w:rsidR="009E4F32" w14:paraId="15DF0DED" w14:textId="77777777">
        <w:trPr>
          <w:trHeight w:val="438"/>
        </w:trPr>
        <w:tc>
          <w:tcPr>
            <w:tcW w:w="0" w:type="auto"/>
            <w:vMerge w:val="restart"/>
            <w:vAlign w:val="center"/>
          </w:tcPr>
          <w:p w14:paraId="6A6114D3"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2024-2025</w:t>
            </w:r>
          </w:p>
        </w:tc>
        <w:tc>
          <w:tcPr>
            <w:tcW w:w="0" w:type="auto"/>
            <w:tcBorders>
              <w:top w:val="single" w:sz="4" w:space="0" w:color="auto"/>
              <w:bottom w:val="nil"/>
            </w:tcBorders>
            <w:vAlign w:val="center"/>
          </w:tcPr>
          <w:p w14:paraId="2968DD76"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Post-monsoon</w:t>
            </w:r>
          </w:p>
        </w:tc>
        <w:tc>
          <w:tcPr>
            <w:tcW w:w="0" w:type="auto"/>
            <w:tcBorders>
              <w:top w:val="single" w:sz="4" w:space="0" w:color="auto"/>
              <w:bottom w:val="nil"/>
            </w:tcBorders>
            <w:vAlign w:val="center"/>
          </w:tcPr>
          <w:p w14:paraId="3704C68B"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660</w:t>
            </w:r>
          </w:p>
        </w:tc>
        <w:tc>
          <w:tcPr>
            <w:tcW w:w="0" w:type="auto"/>
            <w:tcBorders>
              <w:top w:val="single" w:sz="4" w:space="0" w:color="auto"/>
              <w:bottom w:val="nil"/>
            </w:tcBorders>
            <w:vAlign w:val="center"/>
          </w:tcPr>
          <w:p w14:paraId="4D4191B2"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168</w:t>
            </w:r>
          </w:p>
        </w:tc>
        <w:tc>
          <w:tcPr>
            <w:tcW w:w="0" w:type="auto"/>
            <w:tcBorders>
              <w:top w:val="single" w:sz="4" w:space="0" w:color="auto"/>
              <w:bottom w:val="nil"/>
            </w:tcBorders>
            <w:vAlign w:val="center"/>
          </w:tcPr>
          <w:p w14:paraId="677F3347"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25.4%</w:t>
            </w:r>
          </w:p>
        </w:tc>
      </w:tr>
      <w:tr w:rsidR="009E4F32" w14:paraId="20953AB8" w14:textId="77777777">
        <w:trPr>
          <w:trHeight w:val="428"/>
        </w:trPr>
        <w:tc>
          <w:tcPr>
            <w:tcW w:w="0" w:type="auto"/>
            <w:vMerge/>
            <w:vAlign w:val="center"/>
          </w:tcPr>
          <w:p w14:paraId="2925FC7D" w14:textId="77777777" w:rsidR="00D0049A" w:rsidRDefault="00D0049A">
            <w:pPr>
              <w:jc w:val="center"/>
              <w:rPr>
                <w:rFonts w:ascii="Times New Roman" w:hAnsi="Times New Roman" w:cs="Times New Roman"/>
                <w:sz w:val="24"/>
                <w:lang w:val="en-IN"/>
              </w:rPr>
            </w:pPr>
          </w:p>
        </w:tc>
        <w:tc>
          <w:tcPr>
            <w:tcW w:w="0" w:type="auto"/>
            <w:tcBorders>
              <w:top w:val="nil"/>
            </w:tcBorders>
            <w:vAlign w:val="center"/>
          </w:tcPr>
          <w:p w14:paraId="31541483"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Summer</w:t>
            </w:r>
          </w:p>
        </w:tc>
        <w:tc>
          <w:tcPr>
            <w:tcW w:w="0" w:type="auto"/>
            <w:tcBorders>
              <w:top w:val="nil"/>
            </w:tcBorders>
            <w:vAlign w:val="center"/>
          </w:tcPr>
          <w:p w14:paraId="01A3BBE9"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525</w:t>
            </w:r>
          </w:p>
        </w:tc>
        <w:tc>
          <w:tcPr>
            <w:tcW w:w="0" w:type="auto"/>
            <w:tcBorders>
              <w:top w:val="nil"/>
            </w:tcBorders>
            <w:vAlign w:val="center"/>
          </w:tcPr>
          <w:p w14:paraId="016C96B7"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111</w:t>
            </w:r>
          </w:p>
        </w:tc>
        <w:tc>
          <w:tcPr>
            <w:tcW w:w="0" w:type="auto"/>
            <w:tcBorders>
              <w:top w:val="nil"/>
            </w:tcBorders>
            <w:vAlign w:val="center"/>
          </w:tcPr>
          <w:p w14:paraId="3DDE9F62"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21.1%</w:t>
            </w:r>
          </w:p>
        </w:tc>
      </w:tr>
      <w:tr w:rsidR="009E4F32" w14:paraId="766419D1" w14:textId="77777777">
        <w:trPr>
          <w:trHeight w:val="438"/>
        </w:trPr>
        <w:tc>
          <w:tcPr>
            <w:tcW w:w="0" w:type="auto"/>
            <w:vMerge/>
            <w:vAlign w:val="center"/>
          </w:tcPr>
          <w:p w14:paraId="17FA7458" w14:textId="77777777" w:rsidR="00D0049A" w:rsidRDefault="00D0049A">
            <w:pPr>
              <w:jc w:val="center"/>
              <w:rPr>
                <w:rFonts w:ascii="Times New Roman" w:hAnsi="Times New Roman" w:cs="Times New Roman"/>
                <w:sz w:val="24"/>
                <w:lang w:val="en-IN"/>
              </w:rPr>
            </w:pPr>
          </w:p>
        </w:tc>
        <w:tc>
          <w:tcPr>
            <w:tcW w:w="0" w:type="auto"/>
            <w:vAlign w:val="center"/>
          </w:tcPr>
          <w:p w14:paraId="7E4E2317"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Pre-monsoon</w:t>
            </w:r>
          </w:p>
        </w:tc>
        <w:tc>
          <w:tcPr>
            <w:tcW w:w="0" w:type="auto"/>
            <w:vAlign w:val="center"/>
          </w:tcPr>
          <w:p w14:paraId="16A5225E"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570</w:t>
            </w:r>
          </w:p>
        </w:tc>
        <w:tc>
          <w:tcPr>
            <w:tcW w:w="0" w:type="auto"/>
            <w:vAlign w:val="center"/>
          </w:tcPr>
          <w:p w14:paraId="5824311C"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93</w:t>
            </w:r>
          </w:p>
        </w:tc>
        <w:tc>
          <w:tcPr>
            <w:tcW w:w="0" w:type="auto"/>
            <w:vAlign w:val="center"/>
          </w:tcPr>
          <w:p w14:paraId="7F7CEB84"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16.3%</w:t>
            </w:r>
          </w:p>
        </w:tc>
      </w:tr>
      <w:tr w:rsidR="009E4F32" w14:paraId="11192A24" w14:textId="77777777">
        <w:trPr>
          <w:trHeight w:val="230"/>
        </w:trPr>
        <w:tc>
          <w:tcPr>
            <w:tcW w:w="0" w:type="auto"/>
            <w:vMerge/>
            <w:tcBorders>
              <w:bottom w:val="single" w:sz="4" w:space="0" w:color="auto"/>
            </w:tcBorders>
            <w:vAlign w:val="center"/>
          </w:tcPr>
          <w:p w14:paraId="793F524B" w14:textId="77777777" w:rsidR="00D0049A" w:rsidRDefault="00D0049A">
            <w:pPr>
              <w:jc w:val="center"/>
              <w:rPr>
                <w:rFonts w:ascii="Times New Roman" w:hAnsi="Times New Roman" w:cs="Times New Roman"/>
                <w:sz w:val="24"/>
                <w:lang w:val="en-IN"/>
              </w:rPr>
            </w:pPr>
          </w:p>
        </w:tc>
        <w:tc>
          <w:tcPr>
            <w:tcW w:w="0" w:type="auto"/>
            <w:tcBorders>
              <w:bottom w:val="single" w:sz="4" w:space="0" w:color="auto"/>
            </w:tcBorders>
            <w:vAlign w:val="center"/>
          </w:tcPr>
          <w:p w14:paraId="0D4512B1"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Monsoon</w:t>
            </w:r>
          </w:p>
        </w:tc>
        <w:tc>
          <w:tcPr>
            <w:tcW w:w="0" w:type="auto"/>
            <w:tcBorders>
              <w:bottom w:val="single" w:sz="4" w:space="0" w:color="auto"/>
            </w:tcBorders>
            <w:vAlign w:val="center"/>
          </w:tcPr>
          <w:p w14:paraId="2DEAC520"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615</w:t>
            </w:r>
          </w:p>
        </w:tc>
        <w:tc>
          <w:tcPr>
            <w:tcW w:w="0" w:type="auto"/>
            <w:tcBorders>
              <w:bottom w:val="single" w:sz="4" w:space="0" w:color="auto"/>
            </w:tcBorders>
            <w:vAlign w:val="center"/>
          </w:tcPr>
          <w:p w14:paraId="229938A4"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120</w:t>
            </w:r>
          </w:p>
        </w:tc>
        <w:tc>
          <w:tcPr>
            <w:tcW w:w="0" w:type="auto"/>
            <w:tcBorders>
              <w:bottom w:val="single" w:sz="4" w:space="0" w:color="auto"/>
            </w:tcBorders>
            <w:vAlign w:val="center"/>
          </w:tcPr>
          <w:p w14:paraId="6B1EA126"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19.5%</w:t>
            </w:r>
          </w:p>
        </w:tc>
      </w:tr>
      <w:tr w:rsidR="009E4F32" w14:paraId="50DB838C" w14:textId="77777777">
        <w:trPr>
          <w:trHeight w:val="423"/>
        </w:trPr>
        <w:tc>
          <w:tcPr>
            <w:tcW w:w="0" w:type="auto"/>
            <w:gridSpan w:val="2"/>
            <w:tcBorders>
              <w:top w:val="single" w:sz="4" w:space="0" w:color="auto"/>
              <w:bottom w:val="single" w:sz="4" w:space="0" w:color="auto"/>
            </w:tcBorders>
            <w:vAlign w:val="center"/>
          </w:tcPr>
          <w:p w14:paraId="0D7259F5" w14:textId="77777777" w:rsidR="00D0049A" w:rsidRDefault="00000000">
            <w:pPr>
              <w:spacing w:after="0" w:line="240" w:lineRule="auto"/>
              <w:jc w:val="center"/>
              <w:rPr>
                <w:rFonts w:ascii="Times New Roman" w:hAnsi="Times New Roman" w:cs="Times New Roman"/>
                <w:b/>
                <w:bCs/>
                <w:sz w:val="24"/>
                <w:lang w:val="en-IN"/>
              </w:rPr>
            </w:pPr>
            <w:r>
              <w:rPr>
                <w:rFonts w:ascii="Times New Roman" w:hAnsi="Times New Roman" w:cs="Times New Roman"/>
                <w:b/>
                <w:bCs/>
                <w:sz w:val="24"/>
              </w:rPr>
              <w:t>Total</w:t>
            </w:r>
          </w:p>
        </w:tc>
        <w:tc>
          <w:tcPr>
            <w:tcW w:w="0" w:type="auto"/>
            <w:tcBorders>
              <w:top w:val="single" w:sz="4" w:space="0" w:color="auto"/>
              <w:bottom w:val="single" w:sz="4" w:space="0" w:color="auto"/>
            </w:tcBorders>
            <w:vAlign w:val="center"/>
          </w:tcPr>
          <w:p w14:paraId="76F1CC4A" w14:textId="77777777" w:rsidR="00D0049A" w:rsidRDefault="00000000">
            <w:pPr>
              <w:spacing w:after="0" w:line="240" w:lineRule="auto"/>
              <w:jc w:val="center"/>
              <w:rPr>
                <w:rFonts w:ascii="Times New Roman" w:hAnsi="Times New Roman" w:cs="Times New Roman"/>
                <w:sz w:val="24"/>
                <w:lang w:val="en-IN"/>
              </w:rPr>
            </w:pPr>
            <w:r>
              <w:rPr>
                <w:rFonts w:ascii="Times New Roman" w:hAnsi="Times New Roman" w:cs="Times New Roman"/>
                <w:sz w:val="24"/>
              </w:rPr>
              <w:t>4,605</w:t>
            </w:r>
          </w:p>
        </w:tc>
        <w:tc>
          <w:tcPr>
            <w:tcW w:w="0" w:type="auto"/>
            <w:tcBorders>
              <w:top w:val="single" w:sz="4" w:space="0" w:color="auto"/>
              <w:bottom w:val="single" w:sz="4" w:space="0" w:color="auto"/>
            </w:tcBorders>
            <w:vAlign w:val="center"/>
          </w:tcPr>
          <w:p w14:paraId="35372D3E" w14:textId="77777777" w:rsidR="00D0049A" w:rsidRDefault="00000000">
            <w:pPr>
              <w:spacing w:after="0" w:line="240" w:lineRule="auto"/>
              <w:jc w:val="center"/>
              <w:rPr>
                <w:rFonts w:ascii="Times New Roman" w:hAnsi="Times New Roman" w:cs="Times New Roman"/>
                <w:sz w:val="24"/>
                <w:lang w:val="en-IN"/>
              </w:rPr>
            </w:pPr>
            <w:r>
              <w:rPr>
                <w:rFonts w:ascii="Times New Roman" w:hAnsi="Times New Roman" w:cs="Times New Roman"/>
                <w:sz w:val="24"/>
              </w:rPr>
              <w:t>948</w:t>
            </w:r>
          </w:p>
        </w:tc>
        <w:tc>
          <w:tcPr>
            <w:tcW w:w="0" w:type="auto"/>
            <w:tcBorders>
              <w:top w:val="single" w:sz="4" w:space="0" w:color="auto"/>
              <w:bottom w:val="single" w:sz="4" w:space="0" w:color="auto"/>
            </w:tcBorders>
            <w:vAlign w:val="center"/>
          </w:tcPr>
          <w:p w14:paraId="20CF6ED4" w14:textId="77777777" w:rsidR="00D0049A" w:rsidRDefault="00000000">
            <w:pPr>
              <w:spacing w:after="0" w:line="240" w:lineRule="auto"/>
              <w:jc w:val="center"/>
              <w:rPr>
                <w:rFonts w:ascii="Times New Roman" w:hAnsi="Times New Roman" w:cs="Times New Roman"/>
                <w:sz w:val="24"/>
                <w:lang w:val="en-IN"/>
              </w:rPr>
            </w:pPr>
            <w:r>
              <w:rPr>
                <w:rFonts w:ascii="Times New Roman" w:hAnsi="Times New Roman" w:cs="Times New Roman"/>
                <w:sz w:val="24"/>
              </w:rPr>
              <w:t>20.6%</w:t>
            </w:r>
            <w:commentRangeEnd w:id="18"/>
            <w:r w:rsidR="00304C7D">
              <w:rPr>
                <w:rStyle w:val="CommentReference"/>
              </w:rPr>
              <w:commentReference w:id="18"/>
            </w:r>
          </w:p>
        </w:tc>
      </w:tr>
    </w:tbl>
    <w:p w14:paraId="1052651C" w14:textId="77777777" w:rsidR="00D0049A" w:rsidRDefault="00D0049A">
      <w:pPr>
        <w:jc w:val="both"/>
        <w:rPr>
          <w:rFonts w:ascii="Times New Roman" w:hAnsi="Times New Roman" w:cs="Times New Roman"/>
          <w:b/>
          <w:sz w:val="24"/>
        </w:rPr>
      </w:pPr>
    </w:p>
    <w:p w14:paraId="31F21924" w14:textId="77777777" w:rsidR="00D0049A" w:rsidRDefault="00D0049A">
      <w:pPr>
        <w:jc w:val="both"/>
        <w:rPr>
          <w:rFonts w:ascii="Times New Roman" w:hAnsi="Times New Roman" w:cs="Times New Roman"/>
          <w:b/>
          <w:bCs/>
          <w:sz w:val="24"/>
          <w:szCs w:val="20"/>
        </w:rPr>
      </w:pPr>
    </w:p>
    <w:p w14:paraId="12CCEB09" w14:textId="77777777" w:rsidR="00D0049A" w:rsidRDefault="00D0049A">
      <w:pPr>
        <w:jc w:val="both"/>
        <w:rPr>
          <w:rFonts w:ascii="Times New Roman" w:hAnsi="Times New Roman" w:cs="Times New Roman"/>
          <w:b/>
          <w:bCs/>
          <w:sz w:val="24"/>
          <w:szCs w:val="20"/>
        </w:rPr>
      </w:pPr>
    </w:p>
    <w:p w14:paraId="68CDD4C5" w14:textId="77777777" w:rsidR="00D0049A" w:rsidRDefault="00D0049A">
      <w:pPr>
        <w:jc w:val="both"/>
        <w:rPr>
          <w:rFonts w:ascii="Times New Roman" w:hAnsi="Times New Roman" w:cs="Times New Roman"/>
          <w:b/>
          <w:bCs/>
          <w:sz w:val="24"/>
          <w:szCs w:val="20"/>
        </w:rPr>
      </w:pPr>
    </w:p>
    <w:p w14:paraId="3094A91E" w14:textId="77777777" w:rsidR="00D0049A" w:rsidRDefault="00D0049A">
      <w:pPr>
        <w:jc w:val="both"/>
        <w:rPr>
          <w:rFonts w:ascii="Times New Roman" w:hAnsi="Times New Roman" w:cs="Times New Roman"/>
          <w:b/>
          <w:bCs/>
          <w:sz w:val="24"/>
          <w:szCs w:val="20"/>
        </w:rPr>
      </w:pPr>
    </w:p>
    <w:p w14:paraId="405E523E" w14:textId="77777777" w:rsidR="00D0049A" w:rsidRDefault="00000000">
      <w:pPr>
        <w:jc w:val="both"/>
        <w:rPr>
          <w:rFonts w:ascii="Times New Roman" w:hAnsi="Times New Roman" w:cs="Times New Roman"/>
          <w:b/>
          <w:bCs/>
          <w:sz w:val="24"/>
          <w:szCs w:val="20"/>
        </w:rPr>
      </w:pPr>
      <w:commentRangeStart w:id="19"/>
      <w:r>
        <w:rPr>
          <w:rFonts w:ascii="Times New Roman" w:hAnsi="Times New Roman" w:cs="Times New Roman"/>
          <w:b/>
          <w:bCs/>
          <w:sz w:val="24"/>
          <w:szCs w:val="20"/>
        </w:rPr>
        <w:t>REFERENCE</w:t>
      </w:r>
      <w:commentRangeEnd w:id="19"/>
      <w:r w:rsidR="00304C7D">
        <w:rPr>
          <w:rStyle w:val="CommentReference"/>
        </w:rPr>
        <w:commentReference w:id="19"/>
      </w:r>
    </w:p>
    <w:p w14:paraId="704DAD77" w14:textId="4E221CAB" w:rsidR="002015D2" w:rsidRDefault="00000000" w:rsidP="0017484F">
      <w:pPr>
        <w:pStyle w:val="ListParagraph"/>
        <w:numPr>
          <w:ilvl w:val="0"/>
          <w:numId w:val="1"/>
        </w:numPr>
        <w:jc w:val="both"/>
        <w:rPr>
          <w:rFonts w:ascii="Times New Roman" w:hAnsi="Times New Roman" w:cs="Times New Roman"/>
          <w:sz w:val="24"/>
          <w:szCs w:val="24"/>
        </w:rPr>
      </w:pPr>
      <w:r w:rsidRPr="002015D2">
        <w:rPr>
          <w:rFonts w:ascii="Times New Roman" w:hAnsi="Times New Roman" w:cs="Times New Roman"/>
          <w:sz w:val="24"/>
          <w:szCs w:val="24"/>
        </w:rPr>
        <w:t xml:space="preserve">Bateman, K. S. (2021). Viruses affecting crustaceans. In Studies in Viral Ecology (pp. 305–340). </w:t>
      </w:r>
      <w:hyperlink r:id="rId13" w:history="1">
        <w:r w:rsidR="002015D2" w:rsidRPr="00C027F0">
          <w:rPr>
            <w:rStyle w:val="Hyperlink"/>
            <w:rFonts w:ascii="Times New Roman" w:hAnsi="Times New Roman" w:cs="Times New Roman"/>
            <w:sz w:val="24"/>
            <w:szCs w:val="24"/>
          </w:rPr>
          <w:t>https://doi.org/10.1002/9781119608370.ch9</w:t>
        </w:r>
      </w:hyperlink>
    </w:p>
    <w:p w14:paraId="5142D644" w14:textId="2F951BC4" w:rsidR="002015D2" w:rsidRDefault="00000000" w:rsidP="0017484F">
      <w:pPr>
        <w:pStyle w:val="ListParagraph"/>
        <w:numPr>
          <w:ilvl w:val="0"/>
          <w:numId w:val="1"/>
        </w:numPr>
        <w:jc w:val="both"/>
        <w:rPr>
          <w:rFonts w:ascii="Times New Roman" w:hAnsi="Times New Roman" w:cs="Times New Roman"/>
          <w:sz w:val="24"/>
          <w:szCs w:val="24"/>
        </w:rPr>
      </w:pPr>
      <w:r w:rsidRPr="002015D2">
        <w:rPr>
          <w:rFonts w:ascii="Times New Roman" w:hAnsi="Times New Roman" w:cs="Times New Roman"/>
          <w:sz w:val="24"/>
          <w:szCs w:val="24"/>
        </w:rPr>
        <w:t xml:space="preserve">Buathongkam, P., Srisala, J., Srivihok, C., Tangphatsornruang, S., Coates, C. J., Taengchaiyaphum, S., Thitamadee, S., &amp; Sritunyalucksana, K. (2025). Persistence of viral load in shrimp that survived WSSV infection. Developmental &amp; Comparative Immunology. </w:t>
      </w:r>
      <w:hyperlink r:id="rId14" w:history="1">
        <w:r w:rsidR="002015D2" w:rsidRPr="00C027F0">
          <w:rPr>
            <w:rStyle w:val="Hyperlink"/>
            <w:rFonts w:ascii="Times New Roman" w:hAnsi="Times New Roman" w:cs="Times New Roman"/>
            <w:sz w:val="24"/>
            <w:szCs w:val="24"/>
          </w:rPr>
          <w:t>https://doi.org/10.1016/j.dci.2025.105488</w:t>
        </w:r>
      </w:hyperlink>
    </w:p>
    <w:p w14:paraId="1F2E55B3" w14:textId="5E766004" w:rsidR="002015D2" w:rsidRDefault="00000000" w:rsidP="0017484F">
      <w:pPr>
        <w:pStyle w:val="ListParagraph"/>
        <w:numPr>
          <w:ilvl w:val="0"/>
          <w:numId w:val="1"/>
        </w:numPr>
        <w:jc w:val="both"/>
        <w:rPr>
          <w:rFonts w:ascii="Times New Roman" w:hAnsi="Times New Roman" w:cs="Times New Roman"/>
          <w:sz w:val="24"/>
          <w:szCs w:val="24"/>
        </w:rPr>
      </w:pPr>
      <w:r w:rsidRPr="002015D2">
        <w:rPr>
          <w:rFonts w:ascii="Times New Roman" w:hAnsi="Times New Roman" w:cs="Times New Roman"/>
          <w:sz w:val="24"/>
          <w:szCs w:val="24"/>
        </w:rPr>
        <w:lastRenderedPageBreak/>
        <w:t xml:space="preserve">Cox, N., De Swaef, E., Corteel, M., Van Den Broeck, W., Bossier, P., Dantas-Lima, J. J., &amp; Nauwynck, H. J. (2023). The way of water: Unravelling White Spot Syndrome Virus (WSSV) transmission dynamics in Litopenaeus vannamei shrimp. Viruses, 15(9), 1824. </w:t>
      </w:r>
      <w:hyperlink r:id="rId15" w:history="1">
        <w:r w:rsidR="002015D2" w:rsidRPr="00C027F0">
          <w:rPr>
            <w:rStyle w:val="Hyperlink"/>
            <w:rFonts w:ascii="Times New Roman" w:hAnsi="Times New Roman" w:cs="Times New Roman"/>
            <w:sz w:val="24"/>
            <w:szCs w:val="24"/>
          </w:rPr>
          <w:t>https://doi.org/10.3390/v15091824</w:t>
        </w:r>
      </w:hyperlink>
    </w:p>
    <w:p w14:paraId="0155DBC0" w14:textId="3136D24B" w:rsidR="00D0049A" w:rsidRPr="0017484F" w:rsidRDefault="00000000" w:rsidP="0017484F">
      <w:pPr>
        <w:pStyle w:val="ListParagraph"/>
        <w:numPr>
          <w:ilvl w:val="0"/>
          <w:numId w:val="1"/>
        </w:numPr>
        <w:jc w:val="both"/>
        <w:rPr>
          <w:rFonts w:ascii="Times New Roman" w:hAnsi="Times New Roman" w:cs="Times New Roman"/>
          <w:sz w:val="24"/>
          <w:szCs w:val="24"/>
        </w:rPr>
      </w:pPr>
      <w:r w:rsidRPr="002015D2">
        <w:rPr>
          <w:rFonts w:ascii="Times New Roman" w:hAnsi="Times New Roman" w:cs="Times New Roman"/>
          <w:sz w:val="24"/>
          <w:szCs w:val="24"/>
          <w:lang w:val="fr-FR"/>
        </w:rPr>
        <w:t xml:space="preserve">De la Peña, L. D., Tavárez, J. J., &amp; Muroga, K. (2003). </w:t>
      </w:r>
      <w:r w:rsidRPr="0017484F">
        <w:rPr>
          <w:rFonts w:ascii="Times New Roman" w:hAnsi="Times New Roman" w:cs="Times New Roman"/>
          <w:sz w:val="24"/>
          <w:szCs w:val="24"/>
        </w:rPr>
        <w:t>Rapid detection of white spot syndrome virus in shrimp by dot‐blot hybridization using a DIG‐labeled probe. Aquaculture, 218(1–4), 67–73.</w:t>
      </w:r>
    </w:p>
    <w:p w14:paraId="54DEB62D" w14:textId="6DAE66DD" w:rsidR="002015D2" w:rsidRPr="002015D2" w:rsidRDefault="00000000" w:rsidP="0017484F">
      <w:pPr>
        <w:pStyle w:val="ListParagraph"/>
        <w:numPr>
          <w:ilvl w:val="0"/>
          <w:numId w:val="1"/>
        </w:numPr>
        <w:jc w:val="both"/>
        <w:rPr>
          <w:rFonts w:ascii="Times New Roman" w:hAnsi="Times New Roman" w:cs="Times New Roman"/>
          <w:sz w:val="24"/>
          <w:szCs w:val="24"/>
        </w:rPr>
      </w:pPr>
      <w:r w:rsidRPr="002015D2">
        <w:rPr>
          <w:rFonts w:ascii="Times New Roman" w:hAnsi="Times New Roman" w:cs="Times New Roman"/>
          <w:sz w:val="24"/>
          <w:szCs w:val="24"/>
        </w:rPr>
        <w:t xml:space="preserve">Peña, L. D. de la, Caber, D. B., Villacastin, A. J. B., Cabillon, N. A. R., Arboleda, J. I., Castellano, J. L. A., Nava, J. K. P. T., &amp; Watanabe, S. (2024). </w:t>
      </w:r>
      <w:r w:rsidRPr="002015D2">
        <w:rPr>
          <w:rFonts w:ascii="Times New Roman" w:hAnsi="Times New Roman" w:cs="Times New Roman"/>
          <w:sz w:val="24"/>
          <w:szCs w:val="24"/>
          <w:lang w:val="en-IN"/>
        </w:rPr>
        <w:t xml:space="preserve">Sandfish (Holothuria scabra) as potential reservoir of white spot syndrome virus (WSSV) when co-cultured with black tiger prawn (Penaeus monodon). Bulletin of the European Association of Fish Pathologists, 44(1). </w:t>
      </w:r>
      <w:hyperlink r:id="rId16" w:history="1">
        <w:r w:rsidR="002015D2" w:rsidRPr="00C027F0">
          <w:rPr>
            <w:rStyle w:val="Hyperlink"/>
            <w:rFonts w:ascii="Times New Roman" w:hAnsi="Times New Roman" w:cs="Times New Roman"/>
            <w:sz w:val="24"/>
            <w:szCs w:val="24"/>
            <w:lang w:val="en-IN"/>
          </w:rPr>
          <w:t>https://doi.org/10.48045/001c.94283</w:t>
        </w:r>
      </w:hyperlink>
    </w:p>
    <w:p w14:paraId="17BE2CF4" w14:textId="185A2637" w:rsidR="002015D2" w:rsidRPr="002015D2" w:rsidRDefault="00000000" w:rsidP="0017484F">
      <w:pPr>
        <w:pStyle w:val="ListParagraph"/>
        <w:numPr>
          <w:ilvl w:val="0"/>
          <w:numId w:val="1"/>
        </w:numPr>
        <w:jc w:val="both"/>
        <w:rPr>
          <w:rFonts w:ascii="Times New Roman" w:hAnsi="Times New Roman" w:cs="Times New Roman"/>
          <w:sz w:val="24"/>
          <w:szCs w:val="24"/>
        </w:rPr>
      </w:pPr>
      <w:r w:rsidRPr="002015D2">
        <w:rPr>
          <w:rFonts w:ascii="Times New Roman" w:hAnsi="Times New Roman" w:cs="Times New Roman"/>
          <w:sz w:val="24"/>
          <w:szCs w:val="24"/>
          <w:lang w:val="pt-BR"/>
        </w:rPr>
        <w:t xml:space="preserve">Desrina, D., Prayitno, S. B., Verdegem, M. C. J., Verreth, J. A. J., &amp; Vlak, J. M. (2022). </w:t>
      </w:r>
      <w:r w:rsidRPr="002015D2">
        <w:rPr>
          <w:rFonts w:ascii="Times New Roman" w:hAnsi="Times New Roman" w:cs="Times New Roman"/>
          <w:sz w:val="24"/>
          <w:szCs w:val="24"/>
          <w:lang w:val="en-IN"/>
        </w:rPr>
        <w:t xml:space="preserve">White spot syndrome virus host range and impact on transmission. Reviews in Aquaculture, 14(4), 1843–1860. </w:t>
      </w:r>
      <w:hyperlink r:id="rId17" w:history="1">
        <w:r w:rsidR="002015D2" w:rsidRPr="00C027F0">
          <w:rPr>
            <w:rStyle w:val="Hyperlink"/>
            <w:rFonts w:ascii="Times New Roman" w:hAnsi="Times New Roman" w:cs="Times New Roman"/>
            <w:sz w:val="24"/>
            <w:szCs w:val="24"/>
            <w:lang w:val="en-IN"/>
          </w:rPr>
          <w:t>https://doi.org/10.1111/raq.12676</w:t>
        </w:r>
      </w:hyperlink>
    </w:p>
    <w:p w14:paraId="190F1170" w14:textId="6DD21BFE" w:rsidR="002015D2" w:rsidRDefault="00000000" w:rsidP="0017484F">
      <w:pPr>
        <w:pStyle w:val="ListParagraph"/>
        <w:numPr>
          <w:ilvl w:val="0"/>
          <w:numId w:val="1"/>
        </w:numPr>
        <w:jc w:val="both"/>
        <w:rPr>
          <w:rFonts w:ascii="Times New Roman" w:hAnsi="Times New Roman" w:cs="Times New Roman"/>
          <w:sz w:val="24"/>
          <w:szCs w:val="24"/>
        </w:rPr>
      </w:pPr>
      <w:r w:rsidRPr="002015D2">
        <w:rPr>
          <w:rFonts w:ascii="Times New Roman" w:hAnsi="Times New Roman" w:cs="Times New Roman"/>
          <w:sz w:val="24"/>
          <w:szCs w:val="24"/>
        </w:rPr>
        <w:t xml:space="preserve">Durand, S., &amp; Lightner, D. V. (2002). Quantitative real‐time PCR for the measurement of white spot syndrome virus in shrimp. Journal of Fish Diseases, 25(7), 381–389. </w:t>
      </w:r>
      <w:hyperlink r:id="rId18" w:history="1">
        <w:r w:rsidR="002015D2" w:rsidRPr="00C027F0">
          <w:rPr>
            <w:rStyle w:val="Hyperlink"/>
            <w:rFonts w:ascii="Times New Roman" w:hAnsi="Times New Roman" w:cs="Times New Roman"/>
            <w:sz w:val="24"/>
            <w:szCs w:val="24"/>
          </w:rPr>
          <w:t>https://doi.org/10.1046/j.1365-2761.2002.00367.x</w:t>
        </w:r>
      </w:hyperlink>
    </w:p>
    <w:p w14:paraId="6365E1F5" w14:textId="4559E635" w:rsidR="002015D2" w:rsidRDefault="00000000" w:rsidP="0017484F">
      <w:pPr>
        <w:pStyle w:val="ListParagraph"/>
        <w:numPr>
          <w:ilvl w:val="0"/>
          <w:numId w:val="1"/>
        </w:numPr>
        <w:jc w:val="both"/>
        <w:rPr>
          <w:rFonts w:ascii="Times New Roman" w:hAnsi="Times New Roman" w:cs="Times New Roman"/>
          <w:sz w:val="24"/>
          <w:szCs w:val="24"/>
        </w:rPr>
      </w:pPr>
      <w:r w:rsidRPr="002015D2">
        <w:rPr>
          <w:rFonts w:ascii="Times New Roman" w:hAnsi="Times New Roman" w:cs="Times New Roman"/>
          <w:sz w:val="24"/>
          <w:szCs w:val="24"/>
        </w:rPr>
        <w:t xml:space="preserve">Flegel, T. W. (2007). Update on viral accommodation, a model for host–viral interaction in shrimp and other arthropods. Developmental &amp; Comparative Immunology, 31(3), 217–231. </w:t>
      </w:r>
      <w:hyperlink r:id="rId19" w:history="1">
        <w:r w:rsidR="002015D2" w:rsidRPr="00C027F0">
          <w:rPr>
            <w:rStyle w:val="Hyperlink"/>
            <w:rFonts w:ascii="Times New Roman" w:hAnsi="Times New Roman" w:cs="Times New Roman"/>
            <w:sz w:val="24"/>
            <w:szCs w:val="24"/>
          </w:rPr>
          <w:t>https://doi.org/10.1016/j.dci.2006.06.009</w:t>
        </w:r>
      </w:hyperlink>
    </w:p>
    <w:p w14:paraId="08278BFB" w14:textId="0A185AF3" w:rsidR="00D0049A" w:rsidRPr="0017484F" w:rsidRDefault="00000000" w:rsidP="0017484F">
      <w:pPr>
        <w:pStyle w:val="ListParagraph"/>
        <w:numPr>
          <w:ilvl w:val="0"/>
          <w:numId w:val="1"/>
        </w:numPr>
        <w:jc w:val="both"/>
        <w:rPr>
          <w:rFonts w:ascii="Times New Roman" w:hAnsi="Times New Roman" w:cs="Times New Roman"/>
          <w:sz w:val="24"/>
          <w:szCs w:val="24"/>
        </w:rPr>
      </w:pPr>
      <w:r w:rsidRPr="0017484F">
        <w:rPr>
          <w:rFonts w:ascii="Times New Roman" w:hAnsi="Times New Roman" w:cs="Times New Roman"/>
          <w:sz w:val="24"/>
          <w:szCs w:val="24"/>
        </w:rPr>
        <w:t>He, J., Wan, X., Chen, Y., &amp; Li, L. (2015). Comparative genomic analysis of white spot syndrome virus reveals recombination hotspots in global isolates. Virus Evolution, 1(1), vev005.</w:t>
      </w:r>
    </w:p>
    <w:p w14:paraId="40464B98" w14:textId="77777777" w:rsidR="00D0049A" w:rsidRPr="0017484F" w:rsidRDefault="00000000" w:rsidP="0017484F">
      <w:pPr>
        <w:pStyle w:val="ListParagraph"/>
        <w:numPr>
          <w:ilvl w:val="0"/>
          <w:numId w:val="1"/>
        </w:numPr>
        <w:jc w:val="both"/>
        <w:rPr>
          <w:rFonts w:ascii="Times New Roman" w:hAnsi="Times New Roman" w:cs="Times New Roman"/>
          <w:sz w:val="24"/>
          <w:szCs w:val="24"/>
        </w:rPr>
      </w:pPr>
      <w:r w:rsidRPr="002015D2">
        <w:rPr>
          <w:rFonts w:ascii="Times New Roman" w:hAnsi="Times New Roman" w:cs="Times New Roman"/>
          <w:sz w:val="24"/>
          <w:szCs w:val="24"/>
          <w:lang w:val="pt-BR"/>
        </w:rPr>
        <w:t xml:space="preserve">Hossain, M. S., Otta, S. K., Karunasagar, I., &amp; Karunasagar, I. (2004). </w:t>
      </w:r>
      <w:r w:rsidRPr="0017484F">
        <w:rPr>
          <w:rFonts w:ascii="Times New Roman" w:hAnsi="Times New Roman" w:cs="Times New Roman"/>
          <w:sz w:val="24"/>
          <w:szCs w:val="24"/>
        </w:rPr>
        <w:t>Development of a one‐step PCR method for specific detection of WSSV in cultured shrimp. Fish Pathology, 39(1), 23–28.</w:t>
      </w:r>
    </w:p>
    <w:p w14:paraId="52452809" w14:textId="32CC464E" w:rsidR="002015D2" w:rsidRDefault="00000000" w:rsidP="0017484F">
      <w:pPr>
        <w:pStyle w:val="ListParagraph"/>
        <w:numPr>
          <w:ilvl w:val="0"/>
          <w:numId w:val="1"/>
        </w:numPr>
        <w:jc w:val="both"/>
        <w:rPr>
          <w:rFonts w:ascii="Times New Roman" w:hAnsi="Times New Roman" w:cs="Times New Roman"/>
          <w:sz w:val="24"/>
          <w:szCs w:val="24"/>
        </w:rPr>
      </w:pPr>
      <w:r w:rsidRPr="002015D2">
        <w:rPr>
          <w:rFonts w:ascii="Times New Roman" w:hAnsi="Times New Roman" w:cs="Times New Roman"/>
          <w:sz w:val="24"/>
          <w:szCs w:val="24"/>
        </w:rPr>
        <w:t xml:space="preserve">Kanchanaphum, P., Wongteerasupaya, C., Sitidilokratana, N., Boonsaeng, V., Panyim, S., Tassanakajon, A., Withyachumnarnkul, B., &amp; Flegel, T. W. (1998). Experimental transmission of white spot syndrome virus (WSSV) from crabs to shrimp Penaeus monodon. Diseases of Aquatic Organisms, 34(1), 1–7. </w:t>
      </w:r>
      <w:hyperlink r:id="rId20" w:history="1">
        <w:r w:rsidR="002015D2" w:rsidRPr="00C027F0">
          <w:rPr>
            <w:rStyle w:val="Hyperlink"/>
            <w:rFonts w:ascii="Times New Roman" w:hAnsi="Times New Roman" w:cs="Times New Roman"/>
            <w:sz w:val="24"/>
            <w:szCs w:val="24"/>
          </w:rPr>
          <w:t>https://doi.org/10.3354/dao034001</w:t>
        </w:r>
      </w:hyperlink>
    </w:p>
    <w:p w14:paraId="2CD229CB" w14:textId="72701E3E" w:rsidR="00D0049A" w:rsidRPr="0017484F" w:rsidRDefault="00000000" w:rsidP="0017484F">
      <w:pPr>
        <w:pStyle w:val="ListParagraph"/>
        <w:numPr>
          <w:ilvl w:val="0"/>
          <w:numId w:val="1"/>
        </w:numPr>
        <w:jc w:val="both"/>
        <w:rPr>
          <w:rFonts w:ascii="Times New Roman" w:hAnsi="Times New Roman" w:cs="Times New Roman"/>
          <w:sz w:val="24"/>
          <w:szCs w:val="24"/>
        </w:rPr>
      </w:pPr>
      <w:r w:rsidRPr="0017484F">
        <w:rPr>
          <w:rFonts w:ascii="Times New Roman" w:hAnsi="Times New Roman" w:cs="Times New Roman"/>
          <w:sz w:val="24"/>
          <w:szCs w:val="24"/>
        </w:rPr>
        <w:t>Kim, D. K., Koo, H. J., Kim, S. W., &amp; Park, S. C. (2007). Comparative evaluation of PCR, nested PCR and real‐time PCR assays for detection of white spot syndrome virus in shrimp. Aquaculture, 272(1–4), 31–37.</w:t>
      </w:r>
    </w:p>
    <w:p w14:paraId="78EE5E40" w14:textId="39112613" w:rsidR="002015D2" w:rsidRPr="002015D2" w:rsidRDefault="00000000" w:rsidP="0017484F">
      <w:pPr>
        <w:pStyle w:val="ListParagraph"/>
        <w:numPr>
          <w:ilvl w:val="0"/>
          <w:numId w:val="1"/>
        </w:numPr>
        <w:jc w:val="both"/>
        <w:rPr>
          <w:rFonts w:ascii="Times New Roman" w:hAnsi="Times New Roman" w:cs="Times New Roman"/>
          <w:sz w:val="24"/>
          <w:szCs w:val="24"/>
        </w:rPr>
      </w:pPr>
      <w:r w:rsidRPr="002015D2">
        <w:rPr>
          <w:rFonts w:ascii="Times New Roman" w:hAnsi="Times New Roman" w:cs="Times New Roman"/>
          <w:sz w:val="24"/>
          <w:szCs w:val="24"/>
          <w:lang w:val="en-IN"/>
        </w:rPr>
        <w:t xml:space="preserve">Kono, T., Savan, R., Sakai, M., &amp; Itami, T. (2004). Detection of white spot syndrome virus in shrimp by loop-mediated isothermal amplification. Journal of Virological Methods, 115(1), 59–65. </w:t>
      </w:r>
      <w:hyperlink r:id="rId21" w:history="1">
        <w:r w:rsidR="002015D2" w:rsidRPr="00C027F0">
          <w:rPr>
            <w:rStyle w:val="Hyperlink"/>
            <w:rFonts w:ascii="Times New Roman" w:hAnsi="Times New Roman" w:cs="Times New Roman"/>
            <w:sz w:val="24"/>
            <w:szCs w:val="24"/>
            <w:lang w:val="en-IN"/>
          </w:rPr>
          <w:t>https://doi.org/10.1016/j.jviromet.2003.09.015</w:t>
        </w:r>
      </w:hyperlink>
    </w:p>
    <w:p w14:paraId="053CECCD" w14:textId="759D0710" w:rsidR="002015D2" w:rsidRDefault="00000000" w:rsidP="0017484F">
      <w:pPr>
        <w:pStyle w:val="ListParagraph"/>
        <w:numPr>
          <w:ilvl w:val="0"/>
          <w:numId w:val="1"/>
        </w:numPr>
        <w:jc w:val="both"/>
        <w:rPr>
          <w:rFonts w:ascii="Times New Roman" w:hAnsi="Times New Roman" w:cs="Times New Roman"/>
          <w:sz w:val="24"/>
          <w:szCs w:val="24"/>
        </w:rPr>
      </w:pPr>
      <w:r w:rsidRPr="002015D2">
        <w:rPr>
          <w:rFonts w:ascii="Times New Roman" w:hAnsi="Times New Roman" w:cs="Times New Roman"/>
          <w:sz w:val="24"/>
          <w:szCs w:val="24"/>
        </w:rPr>
        <w:t xml:space="preserve">Laoaroon, S., Boonnat, A., Poltana, P., Kanchanaphum, P., Gangnonngiw, W., Nash, G., &amp; Withyachumnarnkul, B. (2005). Infectivity of White Spot Syndrome Virus (WSSV) to the Polychaete Pereneis nuntia and a Possibility of WSSV Transmission from the Polychaete to the Black Tiger Shrimp Penaeus monodon. In P. J. Walker, R. G. Lester, &amp; M. G. Bondad-Reantaso (Eds.), Diseases in Asian Aquaculture V (pp. 353–361). Fish </w:t>
      </w:r>
      <w:r w:rsidRPr="002015D2">
        <w:rPr>
          <w:rFonts w:ascii="Times New Roman" w:hAnsi="Times New Roman" w:cs="Times New Roman"/>
          <w:sz w:val="24"/>
          <w:szCs w:val="24"/>
        </w:rPr>
        <w:lastRenderedPageBreak/>
        <w:t xml:space="preserve">Health Section, Asian Fisheries Society. </w:t>
      </w:r>
      <w:hyperlink r:id="rId22" w:history="1">
        <w:r w:rsidR="002015D2" w:rsidRPr="00C027F0">
          <w:rPr>
            <w:rStyle w:val="Hyperlink"/>
            <w:rFonts w:ascii="Times New Roman" w:hAnsi="Times New Roman" w:cs="Times New Roman"/>
            <w:sz w:val="24"/>
            <w:szCs w:val="24"/>
          </w:rPr>
          <w:t>https://www.fishhealthsection.org/publications/daa-v-proceedings</w:t>
        </w:r>
      </w:hyperlink>
    </w:p>
    <w:p w14:paraId="50133B04" w14:textId="21416570" w:rsidR="002015D2" w:rsidRDefault="00000000" w:rsidP="0017484F">
      <w:pPr>
        <w:pStyle w:val="ListParagraph"/>
        <w:numPr>
          <w:ilvl w:val="0"/>
          <w:numId w:val="1"/>
        </w:numPr>
        <w:jc w:val="both"/>
        <w:rPr>
          <w:rFonts w:ascii="Times New Roman" w:hAnsi="Times New Roman" w:cs="Times New Roman"/>
          <w:sz w:val="24"/>
          <w:szCs w:val="24"/>
        </w:rPr>
      </w:pPr>
      <w:r w:rsidRPr="002015D2">
        <w:rPr>
          <w:rFonts w:ascii="Times New Roman" w:hAnsi="Times New Roman" w:cs="Times New Roman"/>
          <w:sz w:val="24"/>
          <w:szCs w:val="24"/>
        </w:rPr>
        <w:t xml:space="preserve">Lo, C. F., Leu, J. H., Ho, C. H., Chen, C. H., Peng, S. E., Chen, Y. T., Chou, C. M., Yeh, P. Y., Huang, C. J., Chou, H. Y., Wang, C. H., &amp; Kou, G. H. (1996). Detection of baculovirus associated with white spot syndrome (WSBV) in penaeid shrimps using polymerase chain reaction. Diseases of Aquatic Organisms, 25(2), 133–141. </w:t>
      </w:r>
      <w:hyperlink r:id="rId23" w:history="1">
        <w:r w:rsidR="002015D2" w:rsidRPr="00C027F0">
          <w:rPr>
            <w:rStyle w:val="Hyperlink"/>
            <w:rFonts w:ascii="Times New Roman" w:hAnsi="Times New Roman" w:cs="Times New Roman"/>
            <w:sz w:val="24"/>
            <w:szCs w:val="24"/>
          </w:rPr>
          <w:t>https://doi.org/10.3354/dao025133</w:t>
        </w:r>
      </w:hyperlink>
    </w:p>
    <w:p w14:paraId="40AAB858" w14:textId="14E43F94" w:rsidR="002015D2" w:rsidRPr="002015D2" w:rsidRDefault="00000000" w:rsidP="0017484F">
      <w:pPr>
        <w:pStyle w:val="ListParagraph"/>
        <w:numPr>
          <w:ilvl w:val="0"/>
          <w:numId w:val="1"/>
        </w:numPr>
        <w:jc w:val="both"/>
        <w:rPr>
          <w:rFonts w:ascii="Times New Roman" w:hAnsi="Times New Roman" w:cs="Times New Roman"/>
          <w:sz w:val="24"/>
          <w:szCs w:val="24"/>
        </w:rPr>
      </w:pPr>
      <w:r w:rsidRPr="002015D2">
        <w:rPr>
          <w:rFonts w:ascii="Times New Roman" w:hAnsi="Times New Roman" w:cs="Times New Roman"/>
          <w:sz w:val="24"/>
          <w:szCs w:val="24"/>
          <w:lang w:val="pt-BR"/>
        </w:rPr>
        <w:t xml:space="preserve">Lotz, J. M., &amp; Soto, M. A. (2002). </w:t>
      </w:r>
      <w:r w:rsidRPr="002015D2">
        <w:rPr>
          <w:rFonts w:ascii="Times New Roman" w:hAnsi="Times New Roman" w:cs="Times New Roman"/>
          <w:sz w:val="24"/>
          <w:szCs w:val="24"/>
          <w:lang w:val="en-IN"/>
        </w:rPr>
        <w:t xml:space="preserve">Model of white spot syndrome virus (WSSV) epidemics in Litopenaeus vannamei. Diseases of Aquatic Organisms, 50(3), 199–209. </w:t>
      </w:r>
      <w:hyperlink r:id="rId24" w:history="1">
        <w:r w:rsidR="002015D2" w:rsidRPr="00C027F0">
          <w:rPr>
            <w:rStyle w:val="Hyperlink"/>
            <w:rFonts w:ascii="Times New Roman" w:hAnsi="Times New Roman" w:cs="Times New Roman"/>
            <w:sz w:val="24"/>
            <w:szCs w:val="24"/>
            <w:lang w:val="en-IN"/>
          </w:rPr>
          <w:t>https://doi.org/10.3354/dao050199</w:t>
        </w:r>
      </w:hyperlink>
    </w:p>
    <w:p w14:paraId="49A0E2B3" w14:textId="6DCF317F" w:rsidR="00D0049A" w:rsidRPr="0017484F" w:rsidRDefault="00000000" w:rsidP="0017484F">
      <w:pPr>
        <w:pStyle w:val="ListParagraph"/>
        <w:numPr>
          <w:ilvl w:val="0"/>
          <w:numId w:val="1"/>
        </w:numPr>
        <w:jc w:val="both"/>
        <w:rPr>
          <w:rFonts w:ascii="Times New Roman" w:hAnsi="Times New Roman" w:cs="Times New Roman"/>
          <w:sz w:val="24"/>
          <w:szCs w:val="24"/>
        </w:rPr>
      </w:pPr>
      <w:r w:rsidRPr="0017484F">
        <w:rPr>
          <w:rFonts w:ascii="Times New Roman" w:hAnsi="Times New Roman" w:cs="Times New Roman"/>
          <w:sz w:val="24"/>
          <w:szCs w:val="24"/>
        </w:rPr>
        <w:t>Marks, H., van Duijn, E., Zuidema, D., Koerten, H. K., van Hulten, M. C. W., &amp; Vlak, J. M. (2005). Sequence analysis and genomic organization of white spot syndrome virus reveals repeated regions and putative functional modules. Journal of Virology, 79(2), 563–567.</w:t>
      </w:r>
    </w:p>
    <w:p w14:paraId="60F98C7E" w14:textId="592B6077" w:rsidR="002015D2" w:rsidRDefault="00000000" w:rsidP="0017484F">
      <w:pPr>
        <w:pStyle w:val="ListParagraph"/>
        <w:numPr>
          <w:ilvl w:val="0"/>
          <w:numId w:val="1"/>
        </w:numPr>
        <w:jc w:val="both"/>
        <w:rPr>
          <w:rFonts w:ascii="Times New Roman" w:hAnsi="Times New Roman" w:cs="Times New Roman"/>
          <w:sz w:val="24"/>
          <w:szCs w:val="24"/>
        </w:rPr>
      </w:pPr>
      <w:r w:rsidRPr="002015D2">
        <w:rPr>
          <w:rFonts w:ascii="Times New Roman" w:hAnsi="Times New Roman" w:cs="Times New Roman"/>
          <w:sz w:val="24"/>
          <w:szCs w:val="24"/>
        </w:rPr>
        <w:t xml:space="preserve">Min, J. G., Kim, Y. C., &amp; Kim, K. I. (2024). Role of Filter-Feeding Bivalves in the Bioaccumulation and Transmission of White Spot Syndrome Virus (WSSV) in Shrimp Aquaculture Systems. Pathogens, 13(12), 1103. </w:t>
      </w:r>
      <w:hyperlink r:id="rId25" w:history="1">
        <w:r w:rsidR="002015D2" w:rsidRPr="00C027F0">
          <w:rPr>
            <w:rStyle w:val="Hyperlink"/>
            <w:rFonts w:ascii="Times New Roman" w:hAnsi="Times New Roman" w:cs="Times New Roman"/>
            <w:sz w:val="24"/>
            <w:szCs w:val="24"/>
          </w:rPr>
          <w:t>https://doi.org/10.3390/pathogens13121103</w:t>
        </w:r>
      </w:hyperlink>
    </w:p>
    <w:p w14:paraId="3505FC18" w14:textId="45336D6B" w:rsidR="00D0049A" w:rsidRPr="0017484F" w:rsidRDefault="00000000" w:rsidP="0017484F">
      <w:pPr>
        <w:pStyle w:val="ListParagraph"/>
        <w:numPr>
          <w:ilvl w:val="0"/>
          <w:numId w:val="1"/>
        </w:numPr>
        <w:jc w:val="both"/>
        <w:rPr>
          <w:rFonts w:ascii="Times New Roman" w:hAnsi="Times New Roman" w:cs="Times New Roman"/>
          <w:sz w:val="24"/>
          <w:szCs w:val="24"/>
        </w:rPr>
      </w:pPr>
      <w:r w:rsidRPr="002015D2">
        <w:rPr>
          <w:rFonts w:ascii="Times New Roman" w:hAnsi="Times New Roman" w:cs="Times New Roman"/>
          <w:sz w:val="24"/>
          <w:szCs w:val="24"/>
          <w:lang w:val="pt-BR"/>
        </w:rPr>
        <w:t xml:space="preserve">Momoyama, K., Hiraoka, M., Nakano, H., Kimura, T., &amp; Inouye, K. (1998). </w:t>
      </w:r>
      <w:r w:rsidRPr="0017484F">
        <w:rPr>
          <w:rFonts w:ascii="Times New Roman" w:hAnsi="Times New Roman" w:cs="Times New Roman"/>
          <w:sz w:val="24"/>
          <w:szCs w:val="24"/>
        </w:rPr>
        <w:t>Residual virulence of white spot syndrome virus (WSSV) in shrimp pond sediments. Fish Pathology, 33, 17–22.</w:t>
      </w:r>
    </w:p>
    <w:p w14:paraId="2CF43537" w14:textId="79F36A79" w:rsidR="002015D2" w:rsidRPr="002015D2" w:rsidRDefault="00000000" w:rsidP="0017484F">
      <w:pPr>
        <w:pStyle w:val="ListParagraph"/>
        <w:numPr>
          <w:ilvl w:val="0"/>
          <w:numId w:val="1"/>
        </w:numPr>
        <w:jc w:val="both"/>
        <w:rPr>
          <w:rFonts w:ascii="Times New Roman" w:hAnsi="Times New Roman" w:cs="Times New Roman"/>
          <w:sz w:val="24"/>
          <w:szCs w:val="24"/>
        </w:rPr>
      </w:pPr>
      <w:r w:rsidRPr="002015D2">
        <w:rPr>
          <w:rFonts w:ascii="Times New Roman" w:hAnsi="Times New Roman" w:cs="Times New Roman"/>
          <w:sz w:val="24"/>
          <w:szCs w:val="24"/>
          <w:lang w:val="fr-FR"/>
        </w:rPr>
        <w:t xml:space="preserve">Ngo Xuan, T., Verreth, J. A. J., Vlak, J. M., &amp; de Jong, M. C. M. (2014). </w:t>
      </w:r>
      <w:r w:rsidRPr="002015D2">
        <w:rPr>
          <w:rFonts w:ascii="Times New Roman" w:hAnsi="Times New Roman" w:cs="Times New Roman"/>
          <w:sz w:val="24"/>
          <w:szCs w:val="24"/>
          <w:lang w:val="en-IN"/>
        </w:rPr>
        <w:t xml:space="preserve">Horizontal transmission dynamics of White spot syndrome virus by cohabitation trials in juvenile Penaeus monodon and P. vannamei. </w:t>
      </w:r>
      <w:r w:rsidRPr="002015D2">
        <w:rPr>
          <w:rFonts w:ascii="Times New Roman" w:hAnsi="Times New Roman" w:cs="Times New Roman"/>
          <w:sz w:val="24"/>
          <w:szCs w:val="24"/>
          <w:lang w:val="fr-FR"/>
        </w:rPr>
        <w:t xml:space="preserve">Preventive Veterinary Medicine </w:t>
      </w:r>
      <w:hyperlink r:id="rId26" w:history="1">
        <w:r w:rsidR="002015D2" w:rsidRPr="00C027F0">
          <w:rPr>
            <w:rStyle w:val="Hyperlink"/>
            <w:rFonts w:ascii="Times New Roman" w:hAnsi="Times New Roman" w:cs="Times New Roman"/>
            <w:sz w:val="24"/>
            <w:szCs w:val="24"/>
            <w:lang w:val="fr-FR"/>
          </w:rPr>
          <w:t>https://doi.org/10.1016/j.prevetmed.2014.08.007</w:t>
        </w:r>
      </w:hyperlink>
    </w:p>
    <w:p w14:paraId="21048E76" w14:textId="690CD92B" w:rsidR="00D0049A" w:rsidRPr="0017484F" w:rsidRDefault="00000000" w:rsidP="0017484F">
      <w:pPr>
        <w:pStyle w:val="ListParagraph"/>
        <w:numPr>
          <w:ilvl w:val="0"/>
          <w:numId w:val="1"/>
        </w:numPr>
        <w:jc w:val="both"/>
        <w:rPr>
          <w:rFonts w:ascii="Times New Roman" w:hAnsi="Times New Roman" w:cs="Times New Roman"/>
          <w:sz w:val="24"/>
          <w:szCs w:val="24"/>
        </w:rPr>
      </w:pPr>
      <w:r w:rsidRPr="002015D2">
        <w:rPr>
          <w:rFonts w:ascii="Times New Roman" w:hAnsi="Times New Roman" w:cs="Times New Roman"/>
          <w:sz w:val="24"/>
          <w:szCs w:val="24"/>
          <w:lang w:val="pt-BR"/>
        </w:rPr>
        <w:t xml:space="preserve">Peinado-Guevara, L. I., &amp; López-Meyer, M. (2006). </w:t>
      </w:r>
      <w:r w:rsidRPr="0017484F">
        <w:rPr>
          <w:rFonts w:ascii="Times New Roman" w:hAnsi="Times New Roman" w:cs="Times New Roman"/>
          <w:sz w:val="24"/>
          <w:szCs w:val="24"/>
        </w:rPr>
        <w:t>White spot syndrome virus persists in frozen shrimp tissue and remains infective. Diseases of Aquatic Organisms, 68, 115–120.</w:t>
      </w:r>
    </w:p>
    <w:p w14:paraId="672EEDF6" w14:textId="70351BAD" w:rsidR="002015D2" w:rsidRPr="002015D2" w:rsidRDefault="00000000" w:rsidP="0017484F">
      <w:pPr>
        <w:pStyle w:val="ListParagraph"/>
        <w:numPr>
          <w:ilvl w:val="0"/>
          <w:numId w:val="1"/>
        </w:numPr>
        <w:jc w:val="both"/>
        <w:rPr>
          <w:rFonts w:ascii="Times New Roman" w:hAnsi="Times New Roman" w:cs="Times New Roman"/>
          <w:sz w:val="24"/>
          <w:szCs w:val="24"/>
        </w:rPr>
      </w:pPr>
      <w:r w:rsidRPr="002015D2">
        <w:rPr>
          <w:rFonts w:ascii="Times New Roman" w:hAnsi="Times New Roman" w:cs="Times New Roman"/>
          <w:sz w:val="24"/>
          <w:szCs w:val="24"/>
          <w:lang w:val="pt-BR"/>
        </w:rPr>
        <w:t xml:space="preserve">Quang, N. D., Hoa, P. T. P., Da, T. T., &amp; Anh, P. H. (2009). </w:t>
      </w:r>
      <w:r w:rsidRPr="002015D2">
        <w:rPr>
          <w:rFonts w:ascii="Times New Roman" w:hAnsi="Times New Roman" w:cs="Times New Roman"/>
          <w:sz w:val="24"/>
          <w:szCs w:val="24"/>
          <w:lang w:val="en-IN"/>
        </w:rPr>
        <w:t xml:space="preserve">Persistence of white spot syndrome virus in shrimp ponds and surrounding areas after an outbreak. Environmental Monitoring and Assessment. </w:t>
      </w:r>
      <w:hyperlink r:id="rId27" w:history="1">
        <w:r w:rsidR="002015D2" w:rsidRPr="00C027F0">
          <w:rPr>
            <w:rStyle w:val="Hyperlink"/>
            <w:rFonts w:ascii="Times New Roman" w:hAnsi="Times New Roman" w:cs="Times New Roman"/>
            <w:sz w:val="24"/>
            <w:szCs w:val="24"/>
            <w:lang w:val="en-IN"/>
          </w:rPr>
          <w:t>https://doi.org/10.1007/s10661-008-0463-7</w:t>
        </w:r>
      </w:hyperlink>
    </w:p>
    <w:p w14:paraId="77180EE2" w14:textId="75DAD51F" w:rsidR="00D0049A" w:rsidRPr="0017484F" w:rsidRDefault="00000000" w:rsidP="0017484F">
      <w:pPr>
        <w:pStyle w:val="ListParagraph"/>
        <w:numPr>
          <w:ilvl w:val="0"/>
          <w:numId w:val="1"/>
        </w:numPr>
        <w:jc w:val="both"/>
        <w:rPr>
          <w:rFonts w:ascii="Times New Roman" w:hAnsi="Times New Roman" w:cs="Times New Roman"/>
          <w:sz w:val="24"/>
          <w:szCs w:val="24"/>
        </w:rPr>
      </w:pPr>
      <w:r w:rsidRPr="0017484F">
        <w:rPr>
          <w:rFonts w:ascii="Times New Roman" w:hAnsi="Times New Roman" w:cs="Times New Roman"/>
          <w:sz w:val="24"/>
          <w:szCs w:val="24"/>
        </w:rPr>
        <w:t>Rothman, G. (2024). Investigating the transmission of White Spot Syndrome Virus (WSSV) from the non-native red swamp crayfish (</w:t>
      </w:r>
      <w:r w:rsidRPr="0017484F">
        <w:rPr>
          <w:rFonts w:ascii="Times New Roman" w:hAnsi="Times New Roman" w:cs="Times New Roman"/>
          <w:i/>
          <w:iCs/>
          <w:sz w:val="24"/>
          <w:szCs w:val="24"/>
        </w:rPr>
        <w:t>Procambarus</w:t>
      </w:r>
      <w:r w:rsidRPr="0017484F">
        <w:rPr>
          <w:rFonts w:ascii="Times New Roman" w:hAnsi="Times New Roman" w:cs="Times New Roman"/>
          <w:sz w:val="24"/>
          <w:szCs w:val="24"/>
        </w:rPr>
        <w:t xml:space="preserve"> </w:t>
      </w:r>
      <w:r w:rsidRPr="0017484F">
        <w:rPr>
          <w:rFonts w:ascii="Times New Roman" w:hAnsi="Times New Roman" w:cs="Times New Roman"/>
          <w:i/>
          <w:iCs/>
          <w:sz w:val="24"/>
          <w:szCs w:val="24"/>
        </w:rPr>
        <w:t>clarkii</w:t>
      </w:r>
      <w:r w:rsidRPr="0017484F">
        <w:rPr>
          <w:rFonts w:ascii="Times New Roman" w:hAnsi="Times New Roman" w:cs="Times New Roman"/>
          <w:sz w:val="24"/>
          <w:szCs w:val="24"/>
        </w:rPr>
        <w:t>) to the native white shrimp (</w:t>
      </w:r>
      <w:r w:rsidRPr="0017484F">
        <w:rPr>
          <w:rFonts w:ascii="Times New Roman" w:hAnsi="Times New Roman" w:cs="Times New Roman"/>
          <w:i/>
          <w:iCs/>
          <w:sz w:val="24"/>
          <w:szCs w:val="24"/>
        </w:rPr>
        <w:t>Penaeus</w:t>
      </w:r>
      <w:r w:rsidRPr="0017484F">
        <w:rPr>
          <w:rFonts w:ascii="Times New Roman" w:hAnsi="Times New Roman" w:cs="Times New Roman"/>
          <w:sz w:val="24"/>
          <w:szCs w:val="24"/>
        </w:rPr>
        <w:t xml:space="preserve"> </w:t>
      </w:r>
      <w:r w:rsidRPr="0017484F">
        <w:rPr>
          <w:rFonts w:ascii="Times New Roman" w:hAnsi="Times New Roman" w:cs="Times New Roman"/>
          <w:i/>
          <w:iCs/>
          <w:sz w:val="24"/>
          <w:szCs w:val="24"/>
        </w:rPr>
        <w:t>setiferus</w:t>
      </w:r>
      <w:r w:rsidRPr="0017484F">
        <w:rPr>
          <w:rFonts w:ascii="Times New Roman" w:hAnsi="Times New Roman" w:cs="Times New Roman"/>
          <w:sz w:val="24"/>
          <w:szCs w:val="24"/>
        </w:rPr>
        <w:t>) (Master’s thesis, College of Charleston).</w:t>
      </w:r>
    </w:p>
    <w:p w14:paraId="00A31313" w14:textId="31FC2D68" w:rsidR="002015D2" w:rsidRDefault="00000000" w:rsidP="00212E0D">
      <w:pPr>
        <w:pStyle w:val="ListParagraph"/>
        <w:numPr>
          <w:ilvl w:val="0"/>
          <w:numId w:val="1"/>
        </w:numPr>
        <w:jc w:val="both"/>
        <w:rPr>
          <w:rFonts w:ascii="Times New Roman" w:hAnsi="Times New Roman" w:cs="Times New Roman"/>
          <w:sz w:val="24"/>
          <w:szCs w:val="24"/>
        </w:rPr>
      </w:pPr>
      <w:r w:rsidRPr="002015D2">
        <w:rPr>
          <w:rFonts w:ascii="Times New Roman" w:hAnsi="Times New Roman" w:cs="Times New Roman"/>
          <w:sz w:val="24"/>
          <w:szCs w:val="24"/>
        </w:rPr>
        <w:t xml:space="preserve">Saksmerprome, V., Jitrakorn, S., Boonsri, B., &amp; Flegel, T. W. (2009). A simple and highly sensitive viral detection assay for white spot syndrome virus. Journal of Virological Methods, 162(1–2), 213–217. </w:t>
      </w:r>
      <w:hyperlink r:id="rId28" w:history="1">
        <w:r w:rsidR="002015D2" w:rsidRPr="00C027F0">
          <w:rPr>
            <w:rStyle w:val="Hyperlink"/>
            <w:rFonts w:ascii="Times New Roman" w:hAnsi="Times New Roman" w:cs="Times New Roman"/>
            <w:sz w:val="24"/>
            <w:szCs w:val="24"/>
          </w:rPr>
          <w:t>https://doi.org/10.1016/j.jviromet.2009.07.020</w:t>
        </w:r>
      </w:hyperlink>
    </w:p>
    <w:p w14:paraId="382A68D0" w14:textId="04E53D9F" w:rsidR="002015D2" w:rsidRDefault="00000000" w:rsidP="0017484F">
      <w:pPr>
        <w:pStyle w:val="ListParagraph"/>
        <w:numPr>
          <w:ilvl w:val="0"/>
          <w:numId w:val="1"/>
        </w:numPr>
        <w:jc w:val="both"/>
        <w:rPr>
          <w:rFonts w:ascii="Times New Roman" w:hAnsi="Times New Roman" w:cs="Times New Roman"/>
          <w:sz w:val="24"/>
          <w:szCs w:val="24"/>
        </w:rPr>
      </w:pPr>
      <w:r w:rsidRPr="002015D2">
        <w:rPr>
          <w:rFonts w:ascii="Times New Roman" w:hAnsi="Times New Roman" w:cs="Times New Roman"/>
          <w:sz w:val="24"/>
          <w:szCs w:val="24"/>
        </w:rPr>
        <w:t xml:space="preserve">Shields, J. D., &amp; Huchin-Mian, J. P. (2020). Ecological factors in the emergence of pathogens in commercially important crustaceans. In G. Lovrich &amp; M. Thiel (Eds.), Fisheries and Aquaculture (pp. 367). Oxford University Press. </w:t>
      </w:r>
      <w:hyperlink r:id="rId29" w:history="1">
        <w:r w:rsidR="002015D2" w:rsidRPr="00C027F0">
          <w:rPr>
            <w:rStyle w:val="Hyperlink"/>
            <w:rFonts w:ascii="Times New Roman" w:hAnsi="Times New Roman" w:cs="Times New Roman"/>
            <w:sz w:val="24"/>
            <w:szCs w:val="24"/>
          </w:rPr>
          <w:t>https://doi.org/10.1093/oso/9780190865627.003.0015</w:t>
        </w:r>
      </w:hyperlink>
    </w:p>
    <w:p w14:paraId="7217E54E" w14:textId="0A88AB90" w:rsidR="00D0049A" w:rsidRPr="0017484F" w:rsidRDefault="00000000" w:rsidP="0017484F">
      <w:pPr>
        <w:pStyle w:val="ListParagraph"/>
        <w:numPr>
          <w:ilvl w:val="0"/>
          <w:numId w:val="1"/>
        </w:numPr>
        <w:jc w:val="both"/>
        <w:rPr>
          <w:rFonts w:ascii="Times New Roman" w:hAnsi="Times New Roman" w:cs="Times New Roman"/>
          <w:sz w:val="24"/>
          <w:szCs w:val="24"/>
        </w:rPr>
      </w:pPr>
      <w:r w:rsidRPr="0017484F">
        <w:rPr>
          <w:rFonts w:ascii="Times New Roman" w:hAnsi="Times New Roman" w:cs="Times New Roman"/>
          <w:sz w:val="24"/>
          <w:szCs w:val="24"/>
        </w:rPr>
        <w:t>Singh, R. (2025). Important viral diseases of shrimp and prawn in aquaculture. In Futuristic Trends in Fisheries and Aquaculture (p. 39).</w:t>
      </w:r>
    </w:p>
    <w:p w14:paraId="74E2DBC3" w14:textId="05A2309B" w:rsidR="002015D2" w:rsidRDefault="00000000" w:rsidP="0017484F">
      <w:pPr>
        <w:pStyle w:val="ListParagraph"/>
        <w:numPr>
          <w:ilvl w:val="0"/>
          <w:numId w:val="1"/>
        </w:numPr>
        <w:jc w:val="both"/>
        <w:rPr>
          <w:rFonts w:ascii="Times New Roman" w:hAnsi="Times New Roman" w:cs="Times New Roman"/>
          <w:sz w:val="24"/>
          <w:szCs w:val="24"/>
        </w:rPr>
      </w:pPr>
      <w:r w:rsidRPr="002015D2">
        <w:rPr>
          <w:rFonts w:ascii="Times New Roman" w:hAnsi="Times New Roman" w:cs="Times New Roman"/>
          <w:sz w:val="24"/>
          <w:szCs w:val="24"/>
          <w:lang w:val="pt-BR"/>
        </w:rPr>
        <w:lastRenderedPageBreak/>
        <w:t xml:space="preserve">Cha, T., Cho, S., Kim, Y. Y., &amp; Lee, J. H. (2014). </w:t>
      </w:r>
      <w:r w:rsidRPr="002015D2">
        <w:rPr>
          <w:rFonts w:ascii="Times New Roman" w:hAnsi="Times New Roman" w:cs="Times New Roman"/>
          <w:sz w:val="24"/>
          <w:szCs w:val="24"/>
        </w:rPr>
        <w:t xml:space="preserve">Rapid aptasensor capable of simply diagnosing prostate cancer. Biosensors and Bioelectronics, 62, 31–37. </w:t>
      </w:r>
      <w:hyperlink r:id="rId30" w:history="1">
        <w:r w:rsidR="002015D2" w:rsidRPr="00C027F0">
          <w:rPr>
            <w:rStyle w:val="Hyperlink"/>
            <w:rFonts w:ascii="Times New Roman" w:hAnsi="Times New Roman" w:cs="Times New Roman"/>
            <w:sz w:val="24"/>
            <w:szCs w:val="24"/>
          </w:rPr>
          <w:t>https://doi.org/10.1016/j.bios.2014.06.015</w:t>
        </w:r>
      </w:hyperlink>
    </w:p>
    <w:p w14:paraId="13A586CF" w14:textId="54529093" w:rsidR="002015D2" w:rsidRPr="002015D2" w:rsidRDefault="00000000" w:rsidP="0017484F">
      <w:pPr>
        <w:pStyle w:val="ListParagraph"/>
        <w:numPr>
          <w:ilvl w:val="0"/>
          <w:numId w:val="1"/>
        </w:numPr>
        <w:jc w:val="both"/>
        <w:rPr>
          <w:rFonts w:ascii="Times New Roman" w:hAnsi="Times New Roman" w:cs="Times New Roman"/>
          <w:sz w:val="24"/>
          <w:szCs w:val="24"/>
        </w:rPr>
      </w:pPr>
      <w:r w:rsidRPr="002015D2">
        <w:rPr>
          <w:rFonts w:ascii="Times New Roman" w:hAnsi="Times New Roman" w:cs="Times New Roman"/>
          <w:sz w:val="24"/>
          <w:szCs w:val="24"/>
        </w:rPr>
        <w:t xml:space="preserve">Takahashi, Y., Itami, T., Kondo, M., Maeda, M., Fujii, R., Tomonaga, S., Supamattaya, K., &amp; Boonyaratpalin, S. (1998). </w:t>
      </w:r>
      <w:r w:rsidRPr="002015D2">
        <w:rPr>
          <w:rFonts w:ascii="Times New Roman" w:hAnsi="Times New Roman" w:cs="Times New Roman"/>
          <w:sz w:val="24"/>
          <w:szCs w:val="24"/>
          <w:lang w:val="en-IN"/>
        </w:rPr>
        <w:t xml:space="preserve">Analyses of Hemolymph Immunoparameters in Kuruma Shrimp Infected with Penaeid Rod-shaped DNA Virus. </w:t>
      </w:r>
      <w:r w:rsidRPr="002015D2">
        <w:rPr>
          <w:rFonts w:ascii="Times New Roman" w:hAnsi="Times New Roman" w:cs="Times New Roman"/>
          <w:sz w:val="24"/>
          <w:szCs w:val="24"/>
          <w:lang w:val="pt-BR"/>
        </w:rPr>
        <w:t xml:space="preserve">Fish Pathology. </w:t>
      </w:r>
      <w:hyperlink r:id="rId31" w:history="1">
        <w:r w:rsidR="002015D2" w:rsidRPr="00C027F0">
          <w:rPr>
            <w:rStyle w:val="Hyperlink"/>
            <w:rFonts w:ascii="Times New Roman" w:hAnsi="Times New Roman" w:cs="Times New Roman"/>
            <w:sz w:val="24"/>
            <w:szCs w:val="24"/>
            <w:lang w:val="pt-BR"/>
          </w:rPr>
          <w:t>https://doi.org/10.3147/jsfp.33.389</w:t>
        </w:r>
      </w:hyperlink>
    </w:p>
    <w:p w14:paraId="1151E71C" w14:textId="4655E98F" w:rsidR="002015D2" w:rsidRPr="002015D2" w:rsidRDefault="00000000" w:rsidP="0017484F">
      <w:pPr>
        <w:pStyle w:val="ListParagraph"/>
        <w:numPr>
          <w:ilvl w:val="0"/>
          <w:numId w:val="1"/>
        </w:numPr>
        <w:jc w:val="both"/>
        <w:rPr>
          <w:rFonts w:ascii="Times New Roman" w:hAnsi="Times New Roman" w:cs="Times New Roman"/>
          <w:sz w:val="24"/>
          <w:szCs w:val="24"/>
        </w:rPr>
      </w:pPr>
      <w:r w:rsidRPr="002015D2">
        <w:rPr>
          <w:rFonts w:ascii="Times New Roman" w:hAnsi="Times New Roman" w:cs="Times New Roman"/>
          <w:sz w:val="24"/>
          <w:szCs w:val="24"/>
          <w:lang w:val="fr-FR"/>
        </w:rPr>
        <w:t xml:space="preserve">Tuyen, N. X., Verreth, J., Vlak, J. M., &amp; De Jong, M. C. M. (2014). </w:t>
      </w:r>
      <w:r w:rsidRPr="002015D2">
        <w:rPr>
          <w:rFonts w:ascii="Times New Roman" w:hAnsi="Times New Roman" w:cs="Times New Roman"/>
          <w:sz w:val="24"/>
          <w:szCs w:val="24"/>
          <w:lang w:val="en-IN"/>
        </w:rPr>
        <w:t xml:space="preserve">Horizontal transmission dynamics of White spot syndrome virus by cohabitation trials in juvenile Penaeus monodon and P. vannamei. </w:t>
      </w:r>
      <w:r w:rsidRPr="002015D2">
        <w:rPr>
          <w:rFonts w:ascii="Times New Roman" w:hAnsi="Times New Roman" w:cs="Times New Roman"/>
          <w:sz w:val="24"/>
          <w:szCs w:val="24"/>
          <w:lang w:val="fr-FR"/>
        </w:rPr>
        <w:t xml:space="preserve">Preventive Veterinary Medicine, 117(1), 286–294. </w:t>
      </w:r>
      <w:hyperlink r:id="rId32" w:history="1">
        <w:r w:rsidR="002015D2" w:rsidRPr="00C027F0">
          <w:rPr>
            <w:rStyle w:val="Hyperlink"/>
            <w:rFonts w:ascii="Times New Roman" w:hAnsi="Times New Roman" w:cs="Times New Roman"/>
            <w:sz w:val="24"/>
            <w:szCs w:val="24"/>
            <w:lang w:val="fr-FR"/>
          </w:rPr>
          <w:t>https://doi.org/10.1016/j.prevetmed.2014.08.007</w:t>
        </w:r>
      </w:hyperlink>
    </w:p>
    <w:p w14:paraId="0689A052" w14:textId="10708B39" w:rsidR="002015D2" w:rsidRDefault="00000000" w:rsidP="0017484F">
      <w:pPr>
        <w:pStyle w:val="ListParagraph"/>
        <w:numPr>
          <w:ilvl w:val="0"/>
          <w:numId w:val="1"/>
        </w:numPr>
        <w:jc w:val="both"/>
        <w:rPr>
          <w:rFonts w:ascii="Times New Roman" w:hAnsi="Times New Roman" w:cs="Times New Roman"/>
          <w:sz w:val="24"/>
          <w:szCs w:val="24"/>
        </w:rPr>
      </w:pPr>
      <w:r w:rsidRPr="002015D2">
        <w:rPr>
          <w:rFonts w:ascii="Times New Roman" w:hAnsi="Times New Roman" w:cs="Times New Roman"/>
          <w:sz w:val="24"/>
          <w:szCs w:val="24"/>
        </w:rPr>
        <w:t xml:space="preserve">Uma, A. (2025). Pathogen and disease transmission in aquatic animals. In S. K. Mallik, N. Shahi, &amp; P. K. Pandey (Eds.), Management of fish diseases (pp. 19–55). Springer Nature Singapore. </w:t>
      </w:r>
      <w:hyperlink r:id="rId33" w:history="1">
        <w:r w:rsidR="002015D2" w:rsidRPr="00C027F0">
          <w:rPr>
            <w:rStyle w:val="Hyperlink"/>
            <w:rFonts w:ascii="Times New Roman" w:hAnsi="Times New Roman" w:cs="Times New Roman"/>
            <w:sz w:val="24"/>
            <w:szCs w:val="24"/>
          </w:rPr>
          <w:t>https://doi.org/10.1007/978-981-96-0270-4_2</w:t>
        </w:r>
      </w:hyperlink>
    </w:p>
    <w:p w14:paraId="6F0BDA06" w14:textId="4FFA1351" w:rsidR="002015D2" w:rsidRDefault="00000000" w:rsidP="0017484F">
      <w:pPr>
        <w:pStyle w:val="ListParagraph"/>
        <w:numPr>
          <w:ilvl w:val="0"/>
          <w:numId w:val="1"/>
        </w:numPr>
        <w:jc w:val="both"/>
        <w:rPr>
          <w:rFonts w:ascii="Times New Roman" w:hAnsi="Times New Roman" w:cs="Times New Roman"/>
          <w:sz w:val="24"/>
          <w:szCs w:val="24"/>
        </w:rPr>
      </w:pPr>
      <w:r w:rsidRPr="002015D2">
        <w:rPr>
          <w:rFonts w:ascii="Times New Roman" w:hAnsi="Times New Roman" w:cs="Times New Roman"/>
          <w:sz w:val="24"/>
          <w:szCs w:val="24"/>
        </w:rPr>
        <w:t xml:space="preserve">Van Hulten, M. C. W., Witteveldt, J., Peters, S., Kloosterboer, N., Tarchini, R., Fiers, M., Sandbrink, H., Lankhorst, R. K., &amp; Vlak, J. M. (2001). The white spot syndrome virus DNA genome sequence. Virology, 286(1), 7–22. </w:t>
      </w:r>
      <w:hyperlink r:id="rId34" w:history="1">
        <w:r w:rsidR="002015D2" w:rsidRPr="00C027F0">
          <w:rPr>
            <w:rStyle w:val="Hyperlink"/>
            <w:rFonts w:ascii="Times New Roman" w:hAnsi="Times New Roman" w:cs="Times New Roman"/>
            <w:sz w:val="24"/>
            <w:szCs w:val="24"/>
          </w:rPr>
          <w:t>https://doi.org/10.1006/viro.2001.1002</w:t>
        </w:r>
      </w:hyperlink>
    </w:p>
    <w:p w14:paraId="65F6503C" w14:textId="1D903BB8" w:rsidR="002015D2" w:rsidRDefault="00000000" w:rsidP="0017484F">
      <w:pPr>
        <w:pStyle w:val="ListParagraph"/>
        <w:numPr>
          <w:ilvl w:val="0"/>
          <w:numId w:val="1"/>
        </w:numPr>
        <w:jc w:val="both"/>
        <w:rPr>
          <w:rFonts w:ascii="Times New Roman" w:hAnsi="Times New Roman" w:cs="Times New Roman"/>
          <w:sz w:val="24"/>
          <w:szCs w:val="24"/>
        </w:rPr>
      </w:pPr>
      <w:r w:rsidRPr="002015D2">
        <w:rPr>
          <w:rFonts w:ascii="Times New Roman" w:hAnsi="Times New Roman" w:cs="Times New Roman"/>
          <w:sz w:val="24"/>
          <w:szCs w:val="24"/>
        </w:rPr>
        <w:t xml:space="preserve">Vlak, J. M. (2022). White spot syndrome virus host range and impact on transmission. Reviews in Aquaculture, 14(4), 1843–1860. </w:t>
      </w:r>
      <w:hyperlink r:id="rId35" w:history="1">
        <w:r w:rsidR="002015D2" w:rsidRPr="00C027F0">
          <w:rPr>
            <w:rStyle w:val="Hyperlink"/>
            <w:rFonts w:ascii="Times New Roman" w:hAnsi="Times New Roman" w:cs="Times New Roman"/>
            <w:sz w:val="24"/>
            <w:szCs w:val="24"/>
          </w:rPr>
          <w:t>https://doi.org/10.1111/raq.12676</w:t>
        </w:r>
      </w:hyperlink>
    </w:p>
    <w:p w14:paraId="053E7A47" w14:textId="2F6CA60B" w:rsidR="002015D2" w:rsidRDefault="00000000" w:rsidP="0017484F">
      <w:pPr>
        <w:pStyle w:val="ListParagraph"/>
        <w:numPr>
          <w:ilvl w:val="0"/>
          <w:numId w:val="1"/>
        </w:numPr>
        <w:jc w:val="both"/>
        <w:rPr>
          <w:rFonts w:ascii="Times New Roman" w:hAnsi="Times New Roman" w:cs="Times New Roman"/>
          <w:sz w:val="24"/>
          <w:szCs w:val="24"/>
        </w:rPr>
      </w:pPr>
      <w:r w:rsidRPr="002015D2">
        <w:rPr>
          <w:rFonts w:ascii="Times New Roman" w:hAnsi="Times New Roman" w:cs="Times New Roman"/>
          <w:sz w:val="24"/>
          <w:szCs w:val="24"/>
        </w:rPr>
        <w:t xml:space="preserve">Walker, P. J., &amp; Winton, J. R. (2010). Emerging viral diseases of fish and shrimp. Veterinary Research, 41(6), 51. </w:t>
      </w:r>
      <w:hyperlink r:id="rId36" w:history="1">
        <w:r w:rsidR="002015D2" w:rsidRPr="00C027F0">
          <w:rPr>
            <w:rStyle w:val="Hyperlink"/>
            <w:rFonts w:ascii="Times New Roman" w:hAnsi="Times New Roman" w:cs="Times New Roman"/>
            <w:sz w:val="24"/>
            <w:szCs w:val="24"/>
          </w:rPr>
          <w:t>https://doi.org/10.1051/vetres/2010022</w:t>
        </w:r>
      </w:hyperlink>
    </w:p>
    <w:p w14:paraId="652A3F01" w14:textId="27766CF3" w:rsidR="00D0049A" w:rsidRPr="0017484F" w:rsidRDefault="00000000" w:rsidP="0017484F">
      <w:pPr>
        <w:pStyle w:val="ListParagraph"/>
        <w:numPr>
          <w:ilvl w:val="0"/>
          <w:numId w:val="1"/>
        </w:numPr>
        <w:jc w:val="both"/>
        <w:rPr>
          <w:rFonts w:ascii="Times New Roman" w:hAnsi="Times New Roman" w:cs="Times New Roman"/>
          <w:sz w:val="24"/>
          <w:szCs w:val="24"/>
        </w:rPr>
      </w:pPr>
      <w:r w:rsidRPr="0017484F">
        <w:rPr>
          <w:rFonts w:ascii="Times New Roman" w:hAnsi="Times New Roman" w:cs="Times New Roman"/>
          <w:sz w:val="24"/>
          <w:szCs w:val="24"/>
        </w:rPr>
        <w:t>Wongteerasupaya, C., Vickers, J. E., Sriurairatana, S., Nash, G. L., Akarajamorn, A., Boonsaeng, V., Panyim, S., Tassanakajon, A., Withyachumnarnkul, B., &amp; Flegel, T. W. (1995). Yellow head virus and related viruses in penaeid shrimp in Thailand: Histopathology and ultrastructure. Diseases of Aquatic Organisms, 22(3), 145–157.</w:t>
      </w:r>
    </w:p>
    <w:p w14:paraId="007885A8" w14:textId="77777777" w:rsidR="00D0049A" w:rsidRPr="0017484F" w:rsidRDefault="00000000" w:rsidP="0017484F">
      <w:pPr>
        <w:pStyle w:val="ListParagraph"/>
        <w:numPr>
          <w:ilvl w:val="0"/>
          <w:numId w:val="1"/>
        </w:numPr>
        <w:jc w:val="both"/>
        <w:rPr>
          <w:rFonts w:ascii="Times New Roman" w:hAnsi="Times New Roman" w:cs="Times New Roman"/>
          <w:sz w:val="24"/>
          <w:szCs w:val="24"/>
        </w:rPr>
      </w:pPr>
      <w:r w:rsidRPr="002015D2">
        <w:rPr>
          <w:rFonts w:ascii="Times New Roman" w:hAnsi="Times New Roman" w:cs="Times New Roman"/>
          <w:sz w:val="24"/>
          <w:szCs w:val="24"/>
          <w:lang w:val="fr-FR"/>
        </w:rPr>
        <w:t xml:space="preserve">Zhu, Y., Li, X., Zhang, J., &amp; Xu, X. (2007). </w:t>
      </w:r>
      <w:r w:rsidRPr="0017484F">
        <w:rPr>
          <w:rFonts w:ascii="Times New Roman" w:hAnsi="Times New Roman" w:cs="Times New Roman"/>
          <w:sz w:val="24"/>
          <w:szCs w:val="24"/>
        </w:rPr>
        <w:t>Evidence for white spot syndrome virus latency and reactivation in penaeid shrimp. Journal of General Virology, 88, 2650–2658.</w:t>
      </w:r>
    </w:p>
    <w:p w14:paraId="2AAC2BE4" w14:textId="45379062" w:rsidR="00D0049A" w:rsidRPr="0017484F" w:rsidRDefault="00000000" w:rsidP="0017484F">
      <w:pPr>
        <w:pStyle w:val="ListParagraph"/>
        <w:numPr>
          <w:ilvl w:val="0"/>
          <w:numId w:val="1"/>
        </w:numPr>
        <w:jc w:val="both"/>
        <w:rPr>
          <w:rFonts w:ascii="Times New Roman" w:hAnsi="Times New Roman" w:cs="Times New Roman"/>
          <w:sz w:val="24"/>
          <w:szCs w:val="24"/>
        </w:rPr>
      </w:pPr>
      <w:r w:rsidRPr="00F62BB8">
        <w:rPr>
          <w:rFonts w:ascii="Times New Roman" w:hAnsi="Times New Roman" w:cs="Times New Roman"/>
          <w:sz w:val="24"/>
          <w:szCs w:val="24"/>
        </w:rPr>
        <w:t xml:space="preserve">Ziarati, M., Mousavi, S. S., Zorriehzahra, M. J., Yazdanpanah Goharrizi, L., &amp; Talebi, M. (2025). White spot disease (WSD), past, present and future: A review. International Aquatic Research, 17(1), 31–55. </w:t>
      </w:r>
      <w:hyperlink r:id="rId37" w:history="1">
        <w:r w:rsidR="00D0049A" w:rsidRPr="00C027F0">
          <w:rPr>
            <w:rStyle w:val="Hyperlink"/>
            <w:rFonts w:ascii="Times New Roman" w:hAnsi="Times New Roman" w:cs="Times New Roman"/>
            <w:sz w:val="24"/>
            <w:szCs w:val="24"/>
          </w:rPr>
          <w:t>https://doi.org/10.22034/iar.2025.1997032.1522</w:t>
        </w:r>
      </w:hyperlink>
      <w:r>
        <w:rPr>
          <w:rFonts w:ascii="Times New Roman" w:hAnsi="Times New Roman" w:cs="Times New Roman"/>
          <w:sz w:val="24"/>
          <w:szCs w:val="24"/>
        </w:rPr>
        <w:t xml:space="preserve"> </w:t>
      </w:r>
      <w:r w:rsidR="00F40216" w:rsidRPr="0017484F">
        <w:rPr>
          <w:rFonts w:ascii="Times New Roman" w:hAnsi="Times New Roman" w:cs="Times New Roman"/>
          <w:sz w:val="24"/>
          <w:szCs w:val="24"/>
        </w:rPr>
        <w:t>.</w:t>
      </w:r>
    </w:p>
    <w:p w14:paraId="0B0941DB" w14:textId="3EC8E76C" w:rsidR="00D0049A" w:rsidRDefault="00000000" w:rsidP="0017484F">
      <w:pPr>
        <w:pStyle w:val="ListParagraph"/>
        <w:numPr>
          <w:ilvl w:val="0"/>
          <w:numId w:val="1"/>
        </w:numPr>
        <w:jc w:val="both"/>
        <w:rPr>
          <w:rFonts w:ascii="Times New Roman" w:hAnsi="Times New Roman" w:cs="Times New Roman"/>
          <w:sz w:val="24"/>
          <w:szCs w:val="24"/>
        </w:rPr>
      </w:pPr>
      <w:r w:rsidRPr="0017484F">
        <w:rPr>
          <w:rFonts w:ascii="Times New Roman" w:hAnsi="Times New Roman" w:cs="Times New Roman"/>
          <w:sz w:val="24"/>
          <w:szCs w:val="24"/>
        </w:rPr>
        <w:t xml:space="preserve">Kumar, S. S., Bharathi, R. A., Rajan, J. J. S., Alavandi, S. V., Poornima, M., Balasubramanian, C. P., &amp; Ponniah, A. G. (2013). Viability of white spot syndrome virus (WSSV) in sediment during sun-drying (drainable pond) and under non-drainable pond conditions indicated by infectivity to shrimp. Aquaculture, 402, 119–126. </w:t>
      </w:r>
      <w:hyperlink r:id="rId38" w:history="1">
        <w:r w:rsidR="00F62BB8" w:rsidRPr="00C027F0">
          <w:rPr>
            <w:rStyle w:val="Hyperlink"/>
            <w:rFonts w:ascii="Times New Roman" w:hAnsi="Times New Roman" w:cs="Times New Roman"/>
            <w:sz w:val="24"/>
            <w:szCs w:val="24"/>
          </w:rPr>
          <w:t>https://doi.org/10.1016/j.aquaculture.2013.04.001</w:t>
        </w:r>
      </w:hyperlink>
    </w:p>
    <w:p w14:paraId="0243B68B" w14:textId="77777777" w:rsidR="00F62BB8" w:rsidRPr="0017484F" w:rsidRDefault="00F62BB8" w:rsidP="00F62BB8">
      <w:pPr>
        <w:pStyle w:val="ListParagraph"/>
        <w:jc w:val="both"/>
        <w:rPr>
          <w:rFonts w:ascii="Times New Roman" w:hAnsi="Times New Roman" w:cs="Times New Roman"/>
          <w:sz w:val="24"/>
          <w:szCs w:val="24"/>
        </w:rPr>
      </w:pPr>
    </w:p>
    <w:p w14:paraId="53D97F35" w14:textId="76A7B9C4" w:rsidR="00F62BB8" w:rsidRDefault="00000000" w:rsidP="0017484F">
      <w:pPr>
        <w:pStyle w:val="ListParagraph"/>
        <w:numPr>
          <w:ilvl w:val="0"/>
          <w:numId w:val="1"/>
        </w:numPr>
        <w:spacing w:line="360" w:lineRule="auto"/>
        <w:jc w:val="both"/>
        <w:rPr>
          <w:rFonts w:ascii="Times New Roman" w:hAnsi="Times New Roman" w:cs="Times New Roman"/>
          <w:sz w:val="24"/>
          <w:szCs w:val="24"/>
        </w:rPr>
      </w:pPr>
      <w:r w:rsidRPr="00F62BB8">
        <w:rPr>
          <w:rFonts w:ascii="Times New Roman" w:hAnsi="Times New Roman" w:cs="Times New Roman"/>
          <w:sz w:val="24"/>
          <w:szCs w:val="24"/>
        </w:rPr>
        <w:t xml:space="preserve">Chang, P. S., Chen, L. J., &amp; Wang, Y. C. (1998). The effect of ultraviolet irradiation, heat, pH, ozone, salinity and chemical disinfectants on the infectivity of white spot syndrome baculovirus. Aquaculture, 166, 1–17. </w:t>
      </w:r>
      <w:hyperlink r:id="rId39" w:history="1">
        <w:r w:rsidR="00F62BB8" w:rsidRPr="00C027F0">
          <w:rPr>
            <w:rStyle w:val="Hyperlink"/>
            <w:rFonts w:ascii="Times New Roman" w:hAnsi="Times New Roman" w:cs="Times New Roman"/>
            <w:sz w:val="24"/>
            <w:szCs w:val="24"/>
          </w:rPr>
          <w:t>https://doi.org/10.1016/S0044-8486(97)00238-X</w:t>
        </w:r>
      </w:hyperlink>
    </w:p>
    <w:p w14:paraId="1B8E9A54" w14:textId="77777777" w:rsidR="00F62BB8" w:rsidRPr="00F62BB8" w:rsidRDefault="00F62BB8" w:rsidP="00F62BB8">
      <w:pPr>
        <w:pStyle w:val="ListParagraph"/>
        <w:rPr>
          <w:rFonts w:ascii="Times New Roman" w:hAnsi="Times New Roman" w:cs="Times New Roman"/>
          <w:sz w:val="24"/>
          <w:szCs w:val="24"/>
        </w:rPr>
      </w:pPr>
    </w:p>
    <w:p w14:paraId="116B0117" w14:textId="160EE0F9" w:rsidR="00BE1B09" w:rsidRPr="0017484F" w:rsidRDefault="00000000" w:rsidP="0017484F">
      <w:pPr>
        <w:pStyle w:val="ListParagraph"/>
        <w:numPr>
          <w:ilvl w:val="0"/>
          <w:numId w:val="1"/>
        </w:numPr>
        <w:spacing w:line="360" w:lineRule="auto"/>
        <w:jc w:val="both"/>
        <w:rPr>
          <w:rFonts w:ascii="Times New Roman" w:hAnsi="Times New Roman" w:cs="Times New Roman"/>
          <w:sz w:val="24"/>
          <w:szCs w:val="24"/>
        </w:rPr>
      </w:pPr>
      <w:r w:rsidRPr="0017484F">
        <w:rPr>
          <w:rFonts w:ascii="Times New Roman" w:hAnsi="Times New Roman" w:cs="Times New Roman"/>
          <w:sz w:val="24"/>
          <w:szCs w:val="24"/>
        </w:rPr>
        <w:lastRenderedPageBreak/>
        <w:t>Poulos, B. T., Lightner, D. V., &amp; Redman, R. M. (1999). Non-lethal detection of white spot syndrome virus in penaeid shrimp using hemolymph PCR. Diseases of Aquatic Organisms, 39(1), 1–10.</w:t>
      </w:r>
    </w:p>
    <w:p w14:paraId="5B9BDE27" w14:textId="77777777" w:rsidR="00BE1B09" w:rsidRPr="0017484F" w:rsidRDefault="00000000" w:rsidP="0017484F">
      <w:pPr>
        <w:pStyle w:val="ListParagraph"/>
        <w:numPr>
          <w:ilvl w:val="0"/>
          <w:numId w:val="1"/>
        </w:numPr>
        <w:spacing w:line="360" w:lineRule="auto"/>
        <w:jc w:val="both"/>
        <w:rPr>
          <w:rFonts w:ascii="Times New Roman" w:hAnsi="Times New Roman" w:cs="Times New Roman"/>
          <w:sz w:val="24"/>
          <w:szCs w:val="24"/>
        </w:rPr>
      </w:pPr>
      <w:r w:rsidRPr="0017484F">
        <w:rPr>
          <w:rFonts w:ascii="Times New Roman" w:hAnsi="Times New Roman" w:cs="Times New Roman"/>
          <w:sz w:val="24"/>
          <w:szCs w:val="24"/>
        </w:rPr>
        <w:t>Nunan, L. M., &amp; Lightner, D. V. (2011). Developments in diagnostic methods for crustacean viruses, including WSSV. In B. Scarfe, A. C. Stokes, &amp; P. R. Bowser (Eds.), Aquaculture biosecurity: Prevention, control, and eradication of aquatic animal disease (pp. 189–203).</w:t>
      </w:r>
    </w:p>
    <w:p w14:paraId="4EA925DA" w14:textId="6828EB3D" w:rsidR="00EF4FB5" w:rsidRPr="0017484F" w:rsidRDefault="00000000" w:rsidP="0017484F">
      <w:pPr>
        <w:pStyle w:val="ListParagraph"/>
        <w:numPr>
          <w:ilvl w:val="0"/>
          <w:numId w:val="1"/>
        </w:numPr>
        <w:spacing w:line="360" w:lineRule="auto"/>
        <w:jc w:val="both"/>
        <w:rPr>
          <w:rFonts w:ascii="Times New Roman" w:hAnsi="Times New Roman" w:cs="Times New Roman"/>
          <w:sz w:val="24"/>
          <w:szCs w:val="24"/>
        </w:rPr>
      </w:pPr>
      <w:r w:rsidRPr="0017484F">
        <w:rPr>
          <w:rFonts w:ascii="Times New Roman" w:hAnsi="Times New Roman" w:cs="Times New Roman"/>
          <w:sz w:val="24"/>
          <w:szCs w:val="24"/>
        </w:rPr>
        <w:t xml:space="preserve">Hameed, A. S. S., Balasubramanian, G., Syed Musthaq, S., &amp; Sarathi, M. (2003). Chemical disinfection of white spot syndrome virus (WSSV) using ozone, iodine and formalin. </w:t>
      </w:r>
      <w:r w:rsidRPr="002015D2">
        <w:rPr>
          <w:rFonts w:ascii="Times New Roman" w:hAnsi="Times New Roman" w:cs="Times New Roman"/>
          <w:sz w:val="24"/>
          <w:szCs w:val="24"/>
          <w:lang w:val="pt-BR"/>
        </w:rPr>
        <w:t xml:space="preserve">Aquaculture, 219, 21–30.Peng, S.-E., Lo, C.-F., &amp; Kou, G.-H. (1998). </w:t>
      </w:r>
      <w:r w:rsidRPr="0017484F">
        <w:rPr>
          <w:rFonts w:ascii="Times New Roman" w:hAnsi="Times New Roman" w:cs="Times New Roman"/>
          <w:sz w:val="24"/>
          <w:szCs w:val="24"/>
        </w:rPr>
        <w:t>In situ hybridization of white spot syndrome virus (WSSV) in infected penaeid shrimp. Journal of Invertebrate Pathology, 72(1), 1–7.SJ, P., A, G., S, M. V., T, G., &amp; ST, S. (2020). First report of pedunculate barnacle (</w:t>
      </w:r>
      <w:r w:rsidRPr="00405218">
        <w:rPr>
          <w:rFonts w:ascii="Times New Roman" w:hAnsi="Times New Roman" w:cs="Times New Roman"/>
          <w:i/>
          <w:iCs/>
          <w:sz w:val="24"/>
          <w:szCs w:val="24"/>
        </w:rPr>
        <w:t>Octolasmis</w:t>
      </w:r>
      <w:r w:rsidRPr="0017484F">
        <w:rPr>
          <w:rFonts w:ascii="Times New Roman" w:hAnsi="Times New Roman" w:cs="Times New Roman"/>
          <w:sz w:val="24"/>
          <w:szCs w:val="24"/>
        </w:rPr>
        <w:t xml:space="preserve"> </w:t>
      </w:r>
      <w:r w:rsidRPr="00405218">
        <w:rPr>
          <w:rFonts w:ascii="Times New Roman" w:hAnsi="Times New Roman" w:cs="Times New Roman"/>
          <w:i/>
          <w:iCs/>
          <w:sz w:val="24"/>
          <w:szCs w:val="24"/>
        </w:rPr>
        <w:t>neptuni</w:t>
      </w:r>
      <w:r w:rsidRPr="0017484F">
        <w:rPr>
          <w:rFonts w:ascii="Times New Roman" w:hAnsi="Times New Roman" w:cs="Times New Roman"/>
          <w:sz w:val="24"/>
          <w:szCs w:val="24"/>
        </w:rPr>
        <w:t>), as potential asymptomatic carrier of white spot syndrome virus (WSSV). Comparative Clinical Pathology, 29(3), 631-638.</w:t>
      </w:r>
    </w:p>
    <w:p w14:paraId="565357E7" w14:textId="6CDCACBF" w:rsidR="00F62BB8" w:rsidRDefault="00000000" w:rsidP="0017484F">
      <w:pPr>
        <w:pStyle w:val="ListParagraph"/>
        <w:numPr>
          <w:ilvl w:val="0"/>
          <w:numId w:val="1"/>
        </w:numPr>
        <w:spacing w:line="360" w:lineRule="auto"/>
        <w:jc w:val="both"/>
        <w:rPr>
          <w:rFonts w:ascii="Times New Roman" w:hAnsi="Times New Roman" w:cs="Times New Roman"/>
          <w:sz w:val="24"/>
          <w:szCs w:val="24"/>
        </w:rPr>
      </w:pPr>
      <w:r w:rsidRPr="00F62BB8">
        <w:rPr>
          <w:rFonts w:ascii="Times New Roman" w:hAnsi="Times New Roman" w:cs="Times New Roman"/>
          <w:sz w:val="24"/>
          <w:szCs w:val="24"/>
        </w:rPr>
        <w:t xml:space="preserve">Gunasekaran, T., Gopalakrishnan, A., Deivasigamani, B., Seralathan, M. V., &amp; Kathirkaman, P. (2018). Spontaneous white spot syndrome virus (WSSV) infection in mud crab (Scylla serrata Forskal 1775) fattening pens farm of south east coast of India. Comparative Clinical Pathology, 27(2), 413-419. </w:t>
      </w:r>
      <w:hyperlink r:id="rId40" w:history="1">
        <w:r w:rsidR="00F62BB8" w:rsidRPr="00C027F0">
          <w:rPr>
            <w:rStyle w:val="Hyperlink"/>
            <w:rFonts w:ascii="Times New Roman" w:hAnsi="Times New Roman" w:cs="Times New Roman"/>
            <w:sz w:val="24"/>
            <w:szCs w:val="24"/>
          </w:rPr>
          <w:t>https://doi.org/10.1007/s00580-017-2607-z</w:t>
        </w:r>
      </w:hyperlink>
    </w:p>
    <w:p w14:paraId="3896845F" w14:textId="0587284E" w:rsidR="00F62BB8" w:rsidRDefault="00000000" w:rsidP="0017484F">
      <w:pPr>
        <w:pStyle w:val="ListParagraph"/>
        <w:numPr>
          <w:ilvl w:val="0"/>
          <w:numId w:val="1"/>
        </w:numPr>
        <w:jc w:val="both"/>
        <w:rPr>
          <w:rFonts w:ascii="Times New Roman" w:hAnsi="Times New Roman" w:cs="Times New Roman"/>
          <w:sz w:val="24"/>
          <w:szCs w:val="24"/>
        </w:rPr>
      </w:pPr>
      <w:r w:rsidRPr="00F62BB8">
        <w:rPr>
          <w:rFonts w:ascii="Times New Roman" w:hAnsi="Times New Roman" w:cs="Times New Roman"/>
          <w:sz w:val="24"/>
          <w:szCs w:val="24"/>
        </w:rPr>
        <w:t xml:space="preserve">Dewangan, N. K., Ayyaru, G., Kuzhanthaivel, R., Thirugnanasambandan, S. S., Martin, G. G., Daniel, K., &amp; Ramakrishna, R. S. (2017). Incidence of simultaneous infection of infectious hypodermal and haematopoietic necrosis virus (IHHNV) and white spot syndrome virus (WSSV) in Litopenaeus vannamei. Aquaculture. </w:t>
      </w:r>
      <w:hyperlink r:id="rId41" w:history="1">
        <w:r w:rsidR="00F62BB8" w:rsidRPr="00C027F0">
          <w:rPr>
            <w:rStyle w:val="Hyperlink"/>
            <w:rFonts w:ascii="Times New Roman" w:hAnsi="Times New Roman" w:cs="Times New Roman"/>
            <w:sz w:val="24"/>
            <w:szCs w:val="24"/>
          </w:rPr>
          <w:t>https://doi.org/10.1016/j.aquaculture.2017.01.002</w:t>
        </w:r>
      </w:hyperlink>
    </w:p>
    <w:p w14:paraId="7D81D65F" w14:textId="15F6C294" w:rsidR="00BE1B09" w:rsidRPr="0017484F" w:rsidRDefault="00000000" w:rsidP="00F62BB8">
      <w:pPr>
        <w:pStyle w:val="ListParagraph"/>
        <w:numPr>
          <w:ilvl w:val="0"/>
          <w:numId w:val="1"/>
        </w:numPr>
        <w:jc w:val="both"/>
        <w:rPr>
          <w:rFonts w:ascii="Times New Roman" w:hAnsi="Times New Roman" w:cs="Times New Roman"/>
          <w:sz w:val="24"/>
          <w:szCs w:val="24"/>
        </w:rPr>
      </w:pPr>
      <w:r w:rsidRPr="00F62BB8">
        <w:rPr>
          <w:rFonts w:ascii="Times New Roman" w:hAnsi="Times New Roman" w:cs="Times New Roman"/>
          <w:sz w:val="24"/>
          <w:szCs w:val="24"/>
        </w:rPr>
        <w:t xml:space="preserve">Gopalakrishnan, A., Rajkumar, M., Sun, J., Wang, M., &amp; Senthil Kumar, K. (2011). Mud crab, Scylla tranquebarica (Decapoda: Portunidae), a new host for the white spot syndrome virus. Aquaculture Research, 42(2). </w:t>
      </w:r>
      <w:hyperlink r:id="rId42" w:history="1">
        <w:r w:rsidR="00BE1B09" w:rsidRPr="00C027F0">
          <w:rPr>
            <w:rStyle w:val="Hyperlink"/>
            <w:rFonts w:ascii="Times New Roman" w:hAnsi="Times New Roman" w:cs="Times New Roman"/>
            <w:sz w:val="24"/>
            <w:szCs w:val="24"/>
          </w:rPr>
          <w:t>https://doi.org/10.1111/j.1365-2109.2010.02623.x</w:t>
        </w:r>
      </w:hyperlink>
      <w:r>
        <w:rPr>
          <w:rFonts w:ascii="Times New Roman" w:hAnsi="Times New Roman" w:cs="Times New Roman"/>
          <w:sz w:val="24"/>
          <w:szCs w:val="24"/>
        </w:rPr>
        <w:t xml:space="preserve"> </w:t>
      </w:r>
    </w:p>
    <w:sectPr w:rsidR="00BE1B09" w:rsidRPr="0017484F">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User" w:date="2025-12-12T09:44:00Z" w:initials="U">
    <w:p w14:paraId="23D29054" w14:textId="77777777" w:rsidR="00D518B2" w:rsidRDefault="00000000">
      <w:pPr>
        <w:pStyle w:val="CommentText"/>
      </w:pPr>
      <w:r>
        <w:rPr>
          <w:rStyle w:val="CommentReference"/>
        </w:rPr>
        <w:annotationRef/>
      </w:r>
      <w:r w:rsidRPr="00D518B2">
        <w:t>Add the fundamental problem of this research at the beginning of the paragraph. Then, write the objectives, methods, results, and a brief conclusion at the end. This abstract is still too short, only 145 words. Increase it to 250 words.</w:t>
      </w:r>
    </w:p>
  </w:comment>
  <w:comment w:id="1" w:author="User" w:date="2025-12-12T09:47:00Z" w:initials="U">
    <w:p w14:paraId="66DDAF2F" w14:textId="77777777" w:rsidR="00D518B2" w:rsidRDefault="00000000">
      <w:pPr>
        <w:pStyle w:val="CommentText"/>
      </w:pPr>
      <w:r>
        <w:rPr>
          <w:rStyle w:val="CommentReference"/>
        </w:rPr>
        <w:annotationRef/>
      </w:r>
      <w:r w:rsidRPr="00D518B2">
        <w:t>use references from the last 10 years and adjust the narrative according to the citation</w:t>
      </w:r>
    </w:p>
  </w:comment>
  <w:comment w:id="2" w:author="User" w:date="2025-12-12T09:47:00Z" w:initials="U">
    <w:p w14:paraId="6FBACD86" w14:textId="77777777" w:rsidR="00D518B2" w:rsidRDefault="00000000">
      <w:pPr>
        <w:pStyle w:val="CommentText"/>
      </w:pPr>
      <w:r>
        <w:rPr>
          <w:rStyle w:val="CommentReference"/>
        </w:rPr>
        <w:annotationRef/>
      </w:r>
      <w:r w:rsidRPr="00D518B2">
        <w:t>use references from the last 10 years and adjust the narrative according to the citation</w:t>
      </w:r>
    </w:p>
  </w:comment>
  <w:comment w:id="3" w:author="User" w:date="2025-12-12T09:48:00Z" w:initials="U">
    <w:p w14:paraId="345E05BD" w14:textId="77777777" w:rsidR="00D518B2" w:rsidRDefault="00000000">
      <w:pPr>
        <w:pStyle w:val="CommentText"/>
      </w:pPr>
      <w:r>
        <w:rPr>
          <w:rStyle w:val="CommentReference"/>
        </w:rPr>
        <w:annotationRef/>
      </w:r>
      <w:r w:rsidRPr="00D518B2">
        <w:t>use references from the last 10 years and adjust the narrative according to the citation</w:t>
      </w:r>
    </w:p>
  </w:comment>
  <w:comment w:id="4" w:author="User" w:date="2025-12-12T09:48:00Z" w:initials="U">
    <w:p w14:paraId="59CEFFD1" w14:textId="77777777" w:rsidR="00D518B2" w:rsidRDefault="00000000">
      <w:pPr>
        <w:pStyle w:val="CommentText"/>
      </w:pPr>
      <w:r>
        <w:rPr>
          <w:rStyle w:val="CommentReference"/>
        </w:rPr>
        <w:annotationRef/>
      </w:r>
      <w:r w:rsidRPr="00D518B2">
        <w:t>use references from the last 10 years and adjust the narrative according to the citation</w:t>
      </w:r>
    </w:p>
  </w:comment>
  <w:comment w:id="5" w:author="User" w:date="2025-12-12T09:50:00Z" w:initials="U">
    <w:p w14:paraId="218F81E8" w14:textId="77777777" w:rsidR="00D518B2" w:rsidRDefault="00000000">
      <w:pPr>
        <w:pStyle w:val="CommentText"/>
      </w:pPr>
      <w:r>
        <w:rPr>
          <w:rStyle w:val="CommentReference"/>
        </w:rPr>
        <w:annotationRef/>
      </w:r>
      <w:r w:rsidR="003E66AD" w:rsidRPr="003E66AD">
        <w:t>make a sharper statement about the importance of this research being carried out by referring to previous research that has been carried out by other researchers, so that its novelty is apparent</w:t>
      </w:r>
    </w:p>
  </w:comment>
  <w:comment w:id="6" w:author="User" w:date="2025-12-12T09:52:00Z" w:initials="U">
    <w:p w14:paraId="11538002" w14:textId="77777777" w:rsidR="003E66AD" w:rsidRDefault="00000000">
      <w:pPr>
        <w:pStyle w:val="CommentText"/>
      </w:pPr>
      <w:r>
        <w:rPr>
          <w:rStyle w:val="CommentReference"/>
        </w:rPr>
        <w:annotationRef/>
      </w:r>
      <w:r w:rsidRPr="003E66AD">
        <w:t>Write down the number of samples used and write down the number of samples at each sampling location.</w:t>
      </w:r>
    </w:p>
  </w:comment>
  <w:comment w:id="7" w:author="User" w:date="2025-12-12T09:54:00Z" w:initials="U">
    <w:p w14:paraId="00A6B49D" w14:textId="77777777" w:rsidR="003E66AD" w:rsidRDefault="00000000">
      <w:pPr>
        <w:pStyle w:val="CommentText"/>
      </w:pPr>
      <w:r>
        <w:rPr>
          <w:rStyle w:val="CommentReference"/>
        </w:rPr>
        <w:annotationRef/>
      </w:r>
      <w:r w:rsidRPr="003E66AD">
        <w:t>Write down the type of microscope used and the magnification used.</w:t>
      </w:r>
    </w:p>
  </w:comment>
  <w:comment w:id="8" w:author="User" w:date="2025-12-12T09:56:00Z" w:initials="U">
    <w:p w14:paraId="539E7A93" w14:textId="77777777" w:rsidR="003E66AD" w:rsidRDefault="00000000">
      <w:pPr>
        <w:pStyle w:val="CommentText"/>
      </w:pPr>
      <w:r>
        <w:rPr>
          <w:rStyle w:val="CommentReference"/>
        </w:rPr>
        <w:annotationRef/>
      </w:r>
      <w:r w:rsidRPr="003E66AD">
        <w:t>write down the reference source</w:t>
      </w:r>
    </w:p>
  </w:comment>
  <w:comment w:id="9" w:author="User" w:date="2025-12-12T09:57:00Z" w:initials="U">
    <w:p w14:paraId="1457AD3B" w14:textId="77777777" w:rsidR="003E66AD" w:rsidRDefault="00000000">
      <w:pPr>
        <w:pStyle w:val="CommentText"/>
      </w:pPr>
      <w:r>
        <w:rPr>
          <w:rStyle w:val="CommentReference"/>
        </w:rPr>
        <w:annotationRef/>
      </w:r>
      <w:r w:rsidRPr="003E66AD">
        <w:t>write down the reference source</w:t>
      </w:r>
    </w:p>
  </w:comment>
  <w:comment w:id="10" w:author="User" w:date="2025-12-12T10:00:00Z" w:initials="U">
    <w:p w14:paraId="644D4BB7" w14:textId="77777777" w:rsidR="003E66AD" w:rsidRDefault="00000000">
      <w:pPr>
        <w:pStyle w:val="CommentText"/>
      </w:pPr>
      <w:r>
        <w:rPr>
          <w:rStyle w:val="CommentReference"/>
        </w:rPr>
        <w:annotationRef/>
      </w:r>
      <w:r w:rsidRPr="003E66AD">
        <w:t>The number of samples is stated in the appropriate research method.</w:t>
      </w:r>
    </w:p>
  </w:comment>
  <w:comment w:id="11" w:author="User" w:date="2025-12-12T10:03:00Z" w:initials="U">
    <w:p w14:paraId="3E3F900D" w14:textId="77777777" w:rsidR="00527368" w:rsidRDefault="00000000">
      <w:pPr>
        <w:pStyle w:val="CommentText"/>
      </w:pPr>
      <w:r>
        <w:rPr>
          <w:rStyle w:val="CommentReference"/>
        </w:rPr>
        <w:annotationRef/>
      </w:r>
      <w:r w:rsidRPr="00527368">
        <w:t>needs to be explained in the discussion</w:t>
      </w:r>
    </w:p>
  </w:comment>
  <w:comment w:id="12" w:author="User" w:date="2025-12-12T10:05:00Z" w:initials="U">
    <w:p w14:paraId="1E60C8FD" w14:textId="77777777" w:rsidR="00527368" w:rsidRDefault="00000000">
      <w:pPr>
        <w:pStyle w:val="CommentText"/>
      </w:pPr>
      <w:r>
        <w:rPr>
          <w:rStyle w:val="CommentReference"/>
        </w:rPr>
        <w:annotationRef/>
      </w:r>
      <w:r w:rsidRPr="00527368">
        <w:t>sharpen the discussion</w:t>
      </w:r>
    </w:p>
  </w:comment>
  <w:comment w:id="13" w:author="User" w:date="2025-12-12T10:06:00Z" w:initials="U">
    <w:p w14:paraId="09EE1758" w14:textId="77777777" w:rsidR="00527368" w:rsidRDefault="00000000">
      <w:pPr>
        <w:pStyle w:val="CommentText"/>
      </w:pPr>
      <w:r>
        <w:rPr>
          <w:rStyle w:val="CommentReference"/>
        </w:rPr>
        <w:annotationRef/>
      </w:r>
      <w:r w:rsidRPr="00527368">
        <w:t>sharpen the discussion</w:t>
      </w:r>
    </w:p>
  </w:comment>
  <w:comment w:id="14" w:author="User" w:date="2025-12-12T10:06:00Z" w:initials="U">
    <w:p w14:paraId="7DBDE87D" w14:textId="77777777" w:rsidR="00527368" w:rsidRDefault="00000000">
      <w:pPr>
        <w:pStyle w:val="CommentText"/>
      </w:pPr>
      <w:r>
        <w:rPr>
          <w:rStyle w:val="CommentReference"/>
        </w:rPr>
        <w:annotationRef/>
      </w:r>
      <w:r w:rsidRPr="00527368">
        <w:t>sharpen the discussion</w:t>
      </w:r>
    </w:p>
  </w:comment>
  <w:comment w:id="15" w:author="User" w:date="2025-12-12T10:08:00Z" w:initials="U">
    <w:p w14:paraId="154E47C9" w14:textId="77777777" w:rsidR="00527368" w:rsidRDefault="00000000">
      <w:pPr>
        <w:pStyle w:val="CommentText"/>
      </w:pPr>
      <w:r>
        <w:rPr>
          <w:rStyle w:val="CommentReference"/>
        </w:rPr>
        <w:annotationRef/>
      </w:r>
      <w:r w:rsidRPr="00527368">
        <w:t>Organize the discussion according to the research objectives. Therefore, emphasize the research objectives in the abstract and introduction so that readers have a good structure for thinking when analyzing this article.</w:t>
      </w:r>
    </w:p>
  </w:comment>
  <w:comment w:id="16" w:author="User" w:date="2025-12-12T10:10:00Z" w:initials="U">
    <w:p w14:paraId="7949653B" w14:textId="77777777" w:rsidR="00527368" w:rsidRDefault="00000000">
      <w:pPr>
        <w:pStyle w:val="CommentText"/>
      </w:pPr>
      <w:r>
        <w:rPr>
          <w:rStyle w:val="CommentReference"/>
        </w:rPr>
        <w:annotationRef/>
      </w:r>
      <w:r w:rsidRPr="00527368">
        <w:t>Write a statement in the discussion, whether the results found in this study are in line with previous research, or different. If different, provide a detailed explanation, include supporting references to strengthen the statement.</w:t>
      </w:r>
    </w:p>
  </w:comment>
  <w:comment w:id="17" w:author="User" w:date="2025-12-12T10:11:00Z" w:initials="U">
    <w:p w14:paraId="193EF042" w14:textId="77777777" w:rsidR="00304C7D" w:rsidRDefault="00000000">
      <w:pPr>
        <w:pStyle w:val="CommentText"/>
      </w:pPr>
      <w:r>
        <w:rPr>
          <w:rStyle w:val="CommentReference"/>
        </w:rPr>
        <w:annotationRef/>
      </w:r>
      <w:r w:rsidRPr="00304C7D">
        <w:t>This is the core conclusion of this research. Arrange and sequence it according to the research objectives.</w:t>
      </w:r>
    </w:p>
  </w:comment>
  <w:comment w:id="18" w:author="User" w:date="2025-12-12T10:13:00Z" w:initials="U">
    <w:p w14:paraId="32F04D37" w14:textId="77777777" w:rsidR="00304C7D" w:rsidRDefault="00000000">
      <w:pPr>
        <w:pStyle w:val="CommentText"/>
      </w:pPr>
      <w:r>
        <w:rPr>
          <w:rStyle w:val="CommentReference"/>
        </w:rPr>
        <w:annotationRef/>
      </w:r>
      <w:r w:rsidRPr="00304C7D">
        <w:t>Discuss in depth in the discussion and refer to this Table</w:t>
      </w:r>
    </w:p>
  </w:comment>
  <w:comment w:id="19" w:author="User" w:date="2025-12-12T10:14:00Z" w:initials="U">
    <w:p w14:paraId="6A1FD23E" w14:textId="77777777" w:rsidR="00304C7D" w:rsidRDefault="00000000">
      <w:pPr>
        <w:pStyle w:val="CommentText"/>
      </w:pPr>
      <w:r>
        <w:rPr>
          <w:rStyle w:val="CommentReference"/>
        </w:rPr>
        <w:annotationRef/>
      </w:r>
      <w:r w:rsidRPr="00304C7D">
        <w:t>There are numerous references related to this article available online. Therefore, please use references from the last 10 years. For references without DOIs, simply use the provided links, as long as they are traceable.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3D29054" w15:done="0"/>
  <w15:commentEx w15:paraId="66DDAF2F" w15:done="0"/>
  <w15:commentEx w15:paraId="6FBACD86" w15:done="0"/>
  <w15:commentEx w15:paraId="345E05BD" w15:done="0"/>
  <w15:commentEx w15:paraId="59CEFFD1" w15:done="0"/>
  <w15:commentEx w15:paraId="218F81E8" w15:done="0"/>
  <w15:commentEx w15:paraId="11538002" w15:done="0"/>
  <w15:commentEx w15:paraId="00A6B49D" w15:done="0"/>
  <w15:commentEx w15:paraId="539E7A93" w15:done="0"/>
  <w15:commentEx w15:paraId="1457AD3B" w15:done="0"/>
  <w15:commentEx w15:paraId="644D4BB7" w15:done="0"/>
  <w15:commentEx w15:paraId="3E3F900D" w15:done="0"/>
  <w15:commentEx w15:paraId="1E60C8FD" w15:done="0"/>
  <w15:commentEx w15:paraId="09EE1758" w15:done="0"/>
  <w15:commentEx w15:paraId="7DBDE87D" w15:done="0"/>
  <w15:commentEx w15:paraId="154E47C9" w15:done="0"/>
  <w15:commentEx w15:paraId="7949653B" w15:done="0"/>
  <w15:commentEx w15:paraId="193EF042" w15:done="0"/>
  <w15:commentEx w15:paraId="32F04D37" w15:done="0"/>
  <w15:commentEx w15:paraId="6A1FD23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1105898" w16cex:dateUtc="2025-12-12T01:44:00Z"/>
  <w16cex:commentExtensible w16cex:durableId="1DF9C61E" w16cex:dateUtc="2025-12-12T01:47:00Z"/>
  <w16cex:commentExtensible w16cex:durableId="3D536A0F" w16cex:dateUtc="2025-12-12T01:47:00Z"/>
  <w16cex:commentExtensible w16cex:durableId="0D9058DA" w16cex:dateUtc="2025-12-12T01:48:00Z"/>
  <w16cex:commentExtensible w16cex:durableId="3B65C7D1" w16cex:dateUtc="2025-12-12T01:48:00Z"/>
  <w16cex:commentExtensible w16cex:durableId="36FAFF17" w16cex:dateUtc="2025-12-12T01:50:00Z"/>
  <w16cex:commentExtensible w16cex:durableId="540E1F75" w16cex:dateUtc="2025-12-12T01:52:00Z"/>
  <w16cex:commentExtensible w16cex:durableId="50A2568A" w16cex:dateUtc="2025-12-12T01:54:00Z"/>
  <w16cex:commentExtensible w16cex:durableId="66CAB865" w16cex:dateUtc="2025-12-12T01:56:00Z"/>
  <w16cex:commentExtensible w16cex:durableId="257DA3E2" w16cex:dateUtc="2025-12-12T01:57:00Z"/>
  <w16cex:commentExtensible w16cex:durableId="209D1E9F" w16cex:dateUtc="2025-12-12T02:00:00Z"/>
  <w16cex:commentExtensible w16cex:durableId="2A7E50A1" w16cex:dateUtc="2025-12-12T02:03:00Z"/>
  <w16cex:commentExtensible w16cex:durableId="6AD9EE42" w16cex:dateUtc="2025-12-12T02:05:00Z"/>
  <w16cex:commentExtensible w16cex:durableId="5A0BC78E" w16cex:dateUtc="2025-12-12T02:06:00Z"/>
  <w16cex:commentExtensible w16cex:durableId="78CED16B" w16cex:dateUtc="2025-12-12T02:06:00Z"/>
  <w16cex:commentExtensible w16cex:durableId="011A5FAE" w16cex:dateUtc="2025-12-12T02:08:00Z"/>
  <w16cex:commentExtensible w16cex:durableId="4BBC1800" w16cex:dateUtc="2025-12-12T02:10:00Z"/>
  <w16cex:commentExtensible w16cex:durableId="0557F470" w16cex:dateUtc="2025-12-12T02:11:00Z"/>
  <w16cex:commentExtensible w16cex:durableId="6B3D6FB9" w16cex:dateUtc="2025-12-12T02:13:00Z"/>
  <w16cex:commentExtensible w16cex:durableId="2E2B8BF8" w16cex:dateUtc="2025-12-12T02: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3D29054" w16cid:durableId="01105898"/>
  <w16cid:commentId w16cid:paraId="66DDAF2F" w16cid:durableId="1DF9C61E"/>
  <w16cid:commentId w16cid:paraId="6FBACD86" w16cid:durableId="3D536A0F"/>
  <w16cid:commentId w16cid:paraId="345E05BD" w16cid:durableId="0D9058DA"/>
  <w16cid:commentId w16cid:paraId="59CEFFD1" w16cid:durableId="3B65C7D1"/>
  <w16cid:commentId w16cid:paraId="218F81E8" w16cid:durableId="36FAFF17"/>
  <w16cid:commentId w16cid:paraId="11538002" w16cid:durableId="540E1F75"/>
  <w16cid:commentId w16cid:paraId="00A6B49D" w16cid:durableId="50A2568A"/>
  <w16cid:commentId w16cid:paraId="539E7A93" w16cid:durableId="66CAB865"/>
  <w16cid:commentId w16cid:paraId="1457AD3B" w16cid:durableId="257DA3E2"/>
  <w16cid:commentId w16cid:paraId="644D4BB7" w16cid:durableId="209D1E9F"/>
  <w16cid:commentId w16cid:paraId="3E3F900D" w16cid:durableId="2A7E50A1"/>
  <w16cid:commentId w16cid:paraId="1E60C8FD" w16cid:durableId="6AD9EE42"/>
  <w16cid:commentId w16cid:paraId="09EE1758" w16cid:durableId="5A0BC78E"/>
  <w16cid:commentId w16cid:paraId="7DBDE87D" w16cid:durableId="78CED16B"/>
  <w16cid:commentId w16cid:paraId="154E47C9" w16cid:durableId="011A5FAE"/>
  <w16cid:commentId w16cid:paraId="7949653B" w16cid:durableId="4BBC1800"/>
  <w16cid:commentId w16cid:paraId="193EF042" w16cid:durableId="0557F470"/>
  <w16cid:commentId w16cid:paraId="32F04D37" w16cid:durableId="6B3D6FB9"/>
  <w16cid:commentId w16cid:paraId="6A1FD23E" w16cid:durableId="2E2B8B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97061" w14:textId="77777777" w:rsidR="00B334ED" w:rsidRDefault="00B334ED">
      <w:pPr>
        <w:spacing w:after="0" w:line="240" w:lineRule="auto"/>
      </w:pPr>
      <w:r>
        <w:separator/>
      </w:r>
    </w:p>
  </w:endnote>
  <w:endnote w:type="continuationSeparator" w:id="0">
    <w:p w14:paraId="3AB8E07A" w14:textId="77777777" w:rsidR="00B334ED" w:rsidRDefault="00B33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FD4E2" w14:textId="77777777" w:rsidR="006347C6" w:rsidRDefault="006347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8BD00" w14:textId="77777777" w:rsidR="006347C6" w:rsidRDefault="006347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F2546" w14:textId="77777777" w:rsidR="006347C6" w:rsidRDefault="006347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76101" w14:textId="77777777" w:rsidR="00B334ED" w:rsidRDefault="00B334ED">
      <w:pPr>
        <w:spacing w:after="0" w:line="240" w:lineRule="auto"/>
      </w:pPr>
      <w:r>
        <w:separator/>
      </w:r>
    </w:p>
  </w:footnote>
  <w:footnote w:type="continuationSeparator" w:id="0">
    <w:p w14:paraId="20C1AC9F" w14:textId="77777777" w:rsidR="00B334ED" w:rsidRDefault="00B334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B346E" w14:textId="6D4E8435" w:rsidR="006347C6" w:rsidRDefault="00000000">
    <w:pPr>
      <w:pStyle w:val="Header"/>
    </w:pPr>
    <w:r>
      <w:rPr>
        <w:noProof/>
      </w:rPr>
      <w:pict w14:anchorId="33732F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191282" o:spid="_x0000_s3073"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07626" w14:textId="375EEF4B" w:rsidR="006347C6" w:rsidRDefault="00000000">
    <w:pPr>
      <w:pStyle w:val="Header"/>
    </w:pPr>
    <w:r>
      <w:rPr>
        <w:noProof/>
      </w:rPr>
      <w:pict w14:anchorId="238252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191283" o:spid="_x0000_s3074" type="#_x0000_t136" style="position:absolute;margin-left:0;margin-top:0;width:555.05pt;height:104.6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39F20" w14:textId="3AD389B7" w:rsidR="006347C6" w:rsidRDefault="00000000">
    <w:pPr>
      <w:pStyle w:val="Header"/>
    </w:pPr>
    <w:r>
      <w:rPr>
        <w:noProof/>
      </w:rPr>
      <w:pict w14:anchorId="58B0B4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191281" o:spid="_x0000_s3075" type="#_x0000_t136" style="position:absolute;margin-left:0;margin-top:0;width:555.05pt;height:104.6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135BF3"/>
    <w:multiLevelType w:val="hybridMultilevel"/>
    <w:tmpl w:val="823EEA7C"/>
    <w:lvl w:ilvl="0" w:tplc="9D2C29E8">
      <w:start w:val="1"/>
      <w:numFmt w:val="decimal"/>
      <w:lvlText w:val="%1."/>
      <w:lvlJc w:val="left"/>
      <w:pPr>
        <w:ind w:left="720" w:hanging="360"/>
      </w:pPr>
    </w:lvl>
    <w:lvl w:ilvl="1" w:tplc="FD84664A" w:tentative="1">
      <w:start w:val="1"/>
      <w:numFmt w:val="lowerLetter"/>
      <w:lvlText w:val="%2."/>
      <w:lvlJc w:val="left"/>
      <w:pPr>
        <w:ind w:left="1440" w:hanging="360"/>
      </w:pPr>
    </w:lvl>
    <w:lvl w:ilvl="2" w:tplc="B7EEDEEE" w:tentative="1">
      <w:start w:val="1"/>
      <w:numFmt w:val="lowerRoman"/>
      <w:lvlText w:val="%3."/>
      <w:lvlJc w:val="right"/>
      <w:pPr>
        <w:ind w:left="2160" w:hanging="180"/>
      </w:pPr>
    </w:lvl>
    <w:lvl w:ilvl="3" w:tplc="0C2686C2" w:tentative="1">
      <w:start w:val="1"/>
      <w:numFmt w:val="decimal"/>
      <w:lvlText w:val="%4."/>
      <w:lvlJc w:val="left"/>
      <w:pPr>
        <w:ind w:left="2880" w:hanging="360"/>
      </w:pPr>
    </w:lvl>
    <w:lvl w:ilvl="4" w:tplc="5B7C0094" w:tentative="1">
      <w:start w:val="1"/>
      <w:numFmt w:val="lowerLetter"/>
      <w:lvlText w:val="%5."/>
      <w:lvlJc w:val="left"/>
      <w:pPr>
        <w:ind w:left="3600" w:hanging="360"/>
      </w:pPr>
    </w:lvl>
    <w:lvl w:ilvl="5" w:tplc="AA46CA88" w:tentative="1">
      <w:start w:val="1"/>
      <w:numFmt w:val="lowerRoman"/>
      <w:lvlText w:val="%6."/>
      <w:lvlJc w:val="right"/>
      <w:pPr>
        <w:ind w:left="4320" w:hanging="180"/>
      </w:pPr>
    </w:lvl>
    <w:lvl w:ilvl="6" w:tplc="3F027B0A" w:tentative="1">
      <w:start w:val="1"/>
      <w:numFmt w:val="decimal"/>
      <w:lvlText w:val="%7."/>
      <w:lvlJc w:val="left"/>
      <w:pPr>
        <w:ind w:left="5040" w:hanging="360"/>
      </w:pPr>
    </w:lvl>
    <w:lvl w:ilvl="7" w:tplc="C8F27120" w:tentative="1">
      <w:start w:val="1"/>
      <w:numFmt w:val="lowerLetter"/>
      <w:lvlText w:val="%8."/>
      <w:lvlJc w:val="left"/>
      <w:pPr>
        <w:ind w:left="5760" w:hanging="360"/>
      </w:pPr>
    </w:lvl>
    <w:lvl w:ilvl="8" w:tplc="512EE30C" w:tentative="1">
      <w:start w:val="1"/>
      <w:numFmt w:val="lowerRoman"/>
      <w:lvlText w:val="%9."/>
      <w:lvlJc w:val="right"/>
      <w:pPr>
        <w:ind w:left="6480" w:hanging="180"/>
      </w:pPr>
    </w:lvl>
  </w:abstractNum>
  <w:num w:numId="1" w16cid:durableId="23666957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664"/>
    <w:rsid w:val="0000312F"/>
    <w:rsid w:val="00022C21"/>
    <w:rsid w:val="00024CA2"/>
    <w:rsid w:val="00026433"/>
    <w:rsid w:val="00036F59"/>
    <w:rsid w:val="00051108"/>
    <w:rsid w:val="00060A0D"/>
    <w:rsid w:val="00070A2F"/>
    <w:rsid w:val="0009612B"/>
    <w:rsid w:val="000A092E"/>
    <w:rsid w:val="000A3C60"/>
    <w:rsid w:val="000C538E"/>
    <w:rsid w:val="000C7C42"/>
    <w:rsid w:val="000D5428"/>
    <w:rsid w:val="000F6121"/>
    <w:rsid w:val="00111244"/>
    <w:rsid w:val="001135B0"/>
    <w:rsid w:val="001202C9"/>
    <w:rsid w:val="00145876"/>
    <w:rsid w:val="001471C2"/>
    <w:rsid w:val="00153822"/>
    <w:rsid w:val="00160B63"/>
    <w:rsid w:val="00160F73"/>
    <w:rsid w:val="00163717"/>
    <w:rsid w:val="00164E23"/>
    <w:rsid w:val="00167E9C"/>
    <w:rsid w:val="0017484F"/>
    <w:rsid w:val="00176999"/>
    <w:rsid w:val="001A545F"/>
    <w:rsid w:val="001C19FF"/>
    <w:rsid w:val="001D395D"/>
    <w:rsid w:val="001F1819"/>
    <w:rsid w:val="001F38CD"/>
    <w:rsid w:val="002015D2"/>
    <w:rsid w:val="0020418F"/>
    <w:rsid w:val="002078E2"/>
    <w:rsid w:val="00212E0D"/>
    <w:rsid w:val="002351A0"/>
    <w:rsid w:val="002521DB"/>
    <w:rsid w:val="0027333F"/>
    <w:rsid w:val="00273EAC"/>
    <w:rsid w:val="00280B43"/>
    <w:rsid w:val="00284C61"/>
    <w:rsid w:val="00290535"/>
    <w:rsid w:val="00291BBE"/>
    <w:rsid w:val="00294CA0"/>
    <w:rsid w:val="0029591C"/>
    <w:rsid w:val="002B0CD6"/>
    <w:rsid w:val="002B44CF"/>
    <w:rsid w:val="002D122A"/>
    <w:rsid w:val="002D2090"/>
    <w:rsid w:val="002D6A8C"/>
    <w:rsid w:val="002D7A0F"/>
    <w:rsid w:val="00304C7D"/>
    <w:rsid w:val="00313BD4"/>
    <w:rsid w:val="00314741"/>
    <w:rsid w:val="00325D99"/>
    <w:rsid w:val="00341D91"/>
    <w:rsid w:val="00347FD6"/>
    <w:rsid w:val="0035266A"/>
    <w:rsid w:val="00377FE6"/>
    <w:rsid w:val="003A5612"/>
    <w:rsid w:val="003B1012"/>
    <w:rsid w:val="003B34D6"/>
    <w:rsid w:val="003D675F"/>
    <w:rsid w:val="003D7C90"/>
    <w:rsid w:val="003E303D"/>
    <w:rsid w:val="003E66AD"/>
    <w:rsid w:val="00405218"/>
    <w:rsid w:val="00411062"/>
    <w:rsid w:val="00414FB1"/>
    <w:rsid w:val="0047381B"/>
    <w:rsid w:val="004749D0"/>
    <w:rsid w:val="00487FAD"/>
    <w:rsid w:val="004955E1"/>
    <w:rsid w:val="004C756D"/>
    <w:rsid w:val="004D5946"/>
    <w:rsid w:val="004E615C"/>
    <w:rsid w:val="00503502"/>
    <w:rsid w:val="00506D4A"/>
    <w:rsid w:val="00510308"/>
    <w:rsid w:val="0052433F"/>
    <w:rsid w:val="00527368"/>
    <w:rsid w:val="00550761"/>
    <w:rsid w:val="005679B0"/>
    <w:rsid w:val="0057061D"/>
    <w:rsid w:val="0058433F"/>
    <w:rsid w:val="00593AD5"/>
    <w:rsid w:val="005A6D02"/>
    <w:rsid w:val="005D4A43"/>
    <w:rsid w:val="005E24E5"/>
    <w:rsid w:val="005E3154"/>
    <w:rsid w:val="005E60A9"/>
    <w:rsid w:val="006212FA"/>
    <w:rsid w:val="00626642"/>
    <w:rsid w:val="00631A91"/>
    <w:rsid w:val="006342EB"/>
    <w:rsid w:val="006347C6"/>
    <w:rsid w:val="00642C5C"/>
    <w:rsid w:val="006449FA"/>
    <w:rsid w:val="0065190B"/>
    <w:rsid w:val="0066052D"/>
    <w:rsid w:val="006770D3"/>
    <w:rsid w:val="0069145E"/>
    <w:rsid w:val="0069225D"/>
    <w:rsid w:val="006A61A6"/>
    <w:rsid w:val="006D3B88"/>
    <w:rsid w:val="006E2D45"/>
    <w:rsid w:val="00702D48"/>
    <w:rsid w:val="00714F34"/>
    <w:rsid w:val="0072085E"/>
    <w:rsid w:val="00731D70"/>
    <w:rsid w:val="00754C77"/>
    <w:rsid w:val="00755F98"/>
    <w:rsid w:val="00796F3D"/>
    <w:rsid w:val="007970B6"/>
    <w:rsid w:val="007A6B22"/>
    <w:rsid w:val="007E2A1F"/>
    <w:rsid w:val="007F1137"/>
    <w:rsid w:val="00846665"/>
    <w:rsid w:val="00861019"/>
    <w:rsid w:val="00875997"/>
    <w:rsid w:val="00877F20"/>
    <w:rsid w:val="008A024B"/>
    <w:rsid w:val="008A6FF0"/>
    <w:rsid w:val="008B0B62"/>
    <w:rsid w:val="008D01B1"/>
    <w:rsid w:val="008D09B6"/>
    <w:rsid w:val="008D32DA"/>
    <w:rsid w:val="008E7D8C"/>
    <w:rsid w:val="008F3DD3"/>
    <w:rsid w:val="008F76AB"/>
    <w:rsid w:val="00917FB3"/>
    <w:rsid w:val="009249C5"/>
    <w:rsid w:val="00932CA9"/>
    <w:rsid w:val="00976B9C"/>
    <w:rsid w:val="00983DE8"/>
    <w:rsid w:val="0099746A"/>
    <w:rsid w:val="009D631E"/>
    <w:rsid w:val="009D6F84"/>
    <w:rsid w:val="009D7B98"/>
    <w:rsid w:val="009E24AE"/>
    <w:rsid w:val="009E4F32"/>
    <w:rsid w:val="009F1362"/>
    <w:rsid w:val="009F4A8E"/>
    <w:rsid w:val="00A03B26"/>
    <w:rsid w:val="00A15BD6"/>
    <w:rsid w:val="00A21E17"/>
    <w:rsid w:val="00A326FC"/>
    <w:rsid w:val="00A35AF1"/>
    <w:rsid w:val="00A76FE2"/>
    <w:rsid w:val="00AA59D6"/>
    <w:rsid w:val="00AA7430"/>
    <w:rsid w:val="00AB57B4"/>
    <w:rsid w:val="00AD35A4"/>
    <w:rsid w:val="00AE15F3"/>
    <w:rsid w:val="00B10FF7"/>
    <w:rsid w:val="00B15977"/>
    <w:rsid w:val="00B20105"/>
    <w:rsid w:val="00B25363"/>
    <w:rsid w:val="00B334ED"/>
    <w:rsid w:val="00B36B81"/>
    <w:rsid w:val="00B54E87"/>
    <w:rsid w:val="00B72824"/>
    <w:rsid w:val="00B87285"/>
    <w:rsid w:val="00B929A6"/>
    <w:rsid w:val="00B97818"/>
    <w:rsid w:val="00BA7588"/>
    <w:rsid w:val="00BB377E"/>
    <w:rsid w:val="00BD169F"/>
    <w:rsid w:val="00BD28E6"/>
    <w:rsid w:val="00BE1B09"/>
    <w:rsid w:val="00BE4B92"/>
    <w:rsid w:val="00BF0664"/>
    <w:rsid w:val="00BF0F23"/>
    <w:rsid w:val="00BF45DA"/>
    <w:rsid w:val="00C027F0"/>
    <w:rsid w:val="00C0401D"/>
    <w:rsid w:val="00C33D65"/>
    <w:rsid w:val="00C36CA6"/>
    <w:rsid w:val="00C569D6"/>
    <w:rsid w:val="00C659F5"/>
    <w:rsid w:val="00CB014F"/>
    <w:rsid w:val="00CC7FE8"/>
    <w:rsid w:val="00CE514A"/>
    <w:rsid w:val="00CF5B89"/>
    <w:rsid w:val="00D0049A"/>
    <w:rsid w:val="00D05604"/>
    <w:rsid w:val="00D20582"/>
    <w:rsid w:val="00D34720"/>
    <w:rsid w:val="00D36209"/>
    <w:rsid w:val="00D50B6E"/>
    <w:rsid w:val="00D518B2"/>
    <w:rsid w:val="00D538B9"/>
    <w:rsid w:val="00D9606C"/>
    <w:rsid w:val="00DA7FCB"/>
    <w:rsid w:val="00DC03BE"/>
    <w:rsid w:val="00DC5696"/>
    <w:rsid w:val="00DC649C"/>
    <w:rsid w:val="00DD0789"/>
    <w:rsid w:val="00DE72BC"/>
    <w:rsid w:val="00DF0258"/>
    <w:rsid w:val="00E03692"/>
    <w:rsid w:val="00E070B1"/>
    <w:rsid w:val="00E20359"/>
    <w:rsid w:val="00E47A19"/>
    <w:rsid w:val="00E77248"/>
    <w:rsid w:val="00EA65C7"/>
    <w:rsid w:val="00EA769C"/>
    <w:rsid w:val="00EC59AB"/>
    <w:rsid w:val="00EC6994"/>
    <w:rsid w:val="00EC6D4B"/>
    <w:rsid w:val="00ED1BF2"/>
    <w:rsid w:val="00EF1CF8"/>
    <w:rsid w:val="00EF4FB5"/>
    <w:rsid w:val="00F06509"/>
    <w:rsid w:val="00F140D1"/>
    <w:rsid w:val="00F15DE0"/>
    <w:rsid w:val="00F3465F"/>
    <w:rsid w:val="00F40216"/>
    <w:rsid w:val="00F507F6"/>
    <w:rsid w:val="00F62BB8"/>
    <w:rsid w:val="00F76B33"/>
    <w:rsid w:val="00F85598"/>
    <w:rsid w:val="00F96B94"/>
    <w:rsid w:val="00FC1AB1"/>
    <w:rsid w:val="00FE0F77"/>
    <w:rsid w:val="00FE1A78"/>
    <w:rsid w:val="00FF2DAD"/>
    <w:rsid w:val="00FF55D9"/>
    <w:rsid w:val="00FF78A3"/>
    <w:rsid w:val="265C682A"/>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38BFA5EA"/>
  <w15:docId w15:val="{956A0C3B-374E-4233-8968-9D9E6637B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IN" w:eastAsia="en-IN" w:bidi="ta-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uiPriority w:val="99"/>
    <w:unhideWhenUsed/>
    <w:rPr>
      <w:color w:val="0563C1"/>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CommentTextChar">
    <w:name w:val="Comment Text Char"/>
    <w:basedOn w:val="DefaultParagraphFont"/>
    <w:link w:val="CommentText"/>
    <w:uiPriority w:val="99"/>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unhideWhenUsed/>
    <w:rsid w:val="00B10FF7"/>
    <w:rPr>
      <w:sz w:val="22"/>
      <w:szCs w:val="22"/>
      <w:lang w:val="en-US" w:eastAsia="en-US" w:bidi="ar-SA"/>
    </w:rPr>
  </w:style>
  <w:style w:type="paragraph" w:styleId="ListParagraph">
    <w:name w:val="List Paragraph"/>
    <w:basedOn w:val="Normal"/>
    <w:uiPriority w:val="99"/>
    <w:unhideWhenUsed/>
    <w:rsid w:val="0017484F"/>
    <w:pPr>
      <w:ind w:left="720"/>
      <w:contextualSpacing/>
    </w:pPr>
  </w:style>
  <w:style w:type="character" w:styleId="UnresolvedMention">
    <w:name w:val="Unresolved Mention"/>
    <w:basedOn w:val="DefaultParagraphFont"/>
    <w:uiPriority w:val="99"/>
    <w:semiHidden/>
    <w:unhideWhenUsed/>
    <w:rsid w:val="00506D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1002/9781119608370.ch9" TargetMode="External"/><Relationship Id="rId18" Type="http://schemas.openxmlformats.org/officeDocument/2006/relationships/hyperlink" Target="https://doi.org/10.1046/j.1365-2761.2002.00367.x" TargetMode="External"/><Relationship Id="rId26" Type="http://schemas.openxmlformats.org/officeDocument/2006/relationships/hyperlink" Target="https://doi.org/10.1016/j.prevetmed.2014.08.007" TargetMode="External"/><Relationship Id="rId39" Type="http://schemas.openxmlformats.org/officeDocument/2006/relationships/hyperlink" Target="https://doi.org/10.1016/S0044-8486(97)00238-X" TargetMode="External"/><Relationship Id="rId3" Type="http://schemas.openxmlformats.org/officeDocument/2006/relationships/settings" Target="settings.xml"/><Relationship Id="rId21" Type="http://schemas.openxmlformats.org/officeDocument/2006/relationships/hyperlink" Target="https://doi.org/10.1016/j.jviromet.2003.09.015" TargetMode="External"/><Relationship Id="rId34" Type="http://schemas.openxmlformats.org/officeDocument/2006/relationships/hyperlink" Target="https://doi.org/10.1006/viro.2001.1002" TargetMode="External"/><Relationship Id="rId42" Type="http://schemas.openxmlformats.org/officeDocument/2006/relationships/hyperlink" Target="https://doi.org/10.1111/j.1365-2109.2010.02623.x" TargetMode="External"/><Relationship Id="rId47" Type="http://schemas.openxmlformats.org/officeDocument/2006/relationships/header" Target="header3.xml"/><Relationship Id="rId50" Type="http://schemas.microsoft.com/office/2011/relationships/people" Target="people.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hyperlink" Target="https://doi.org/10.1111/raq.12676" TargetMode="External"/><Relationship Id="rId25" Type="http://schemas.openxmlformats.org/officeDocument/2006/relationships/hyperlink" Target="https://doi.org/10.3390/pathogens13121103" TargetMode="External"/><Relationship Id="rId33" Type="http://schemas.openxmlformats.org/officeDocument/2006/relationships/hyperlink" Target="https://doi.org/10.1007/978-981-96-0270-4_2" TargetMode="External"/><Relationship Id="rId38" Type="http://schemas.openxmlformats.org/officeDocument/2006/relationships/hyperlink" Target="https://doi.org/10.1016/j.aquaculture.2013.04.001" TargetMode="External"/><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oi.org/10.48045/001c.94283" TargetMode="External"/><Relationship Id="rId20" Type="http://schemas.openxmlformats.org/officeDocument/2006/relationships/hyperlink" Target="https://doi.org/10.3354/dao034001" TargetMode="External"/><Relationship Id="rId29" Type="http://schemas.openxmlformats.org/officeDocument/2006/relationships/hyperlink" Target="https://doi.org/10.1093/oso/9780190865627.003.0015" TargetMode="External"/><Relationship Id="rId41" Type="http://schemas.openxmlformats.org/officeDocument/2006/relationships/hyperlink" Target="https://doi.org/10.1016/j.aquaculture.2017.01.00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doi.org/10.3354/dao050199" TargetMode="External"/><Relationship Id="rId32" Type="http://schemas.openxmlformats.org/officeDocument/2006/relationships/hyperlink" Target="https://doi.org/10.1016/j.prevetmed.2014.08.007" TargetMode="External"/><Relationship Id="rId37" Type="http://schemas.openxmlformats.org/officeDocument/2006/relationships/hyperlink" Target="https://doi.org/10.22034/iar.2025.1997032.1522" TargetMode="External"/><Relationship Id="rId40" Type="http://schemas.openxmlformats.org/officeDocument/2006/relationships/hyperlink" Target="https://doi.org/10.1007/s00580-017-2607-z"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oi.org/10.3390/v15091824" TargetMode="External"/><Relationship Id="rId23" Type="http://schemas.openxmlformats.org/officeDocument/2006/relationships/hyperlink" Target="https://doi.org/10.3354/dao025133" TargetMode="External"/><Relationship Id="rId28" Type="http://schemas.openxmlformats.org/officeDocument/2006/relationships/hyperlink" Target="https://doi.org/10.1016/j.jviromet.2009.07.020" TargetMode="External"/><Relationship Id="rId36" Type="http://schemas.openxmlformats.org/officeDocument/2006/relationships/hyperlink" Target="https://doi.org/10.1051/vetres/2010022" TargetMode="External"/><Relationship Id="rId49"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hyperlink" Target="https://doi.org/10.1016/j.dci.2006.06.009" TargetMode="External"/><Relationship Id="rId31" Type="http://schemas.openxmlformats.org/officeDocument/2006/relationships/hyperlink" Target="https://doi.org/10.3147/jsfp.33.389" TargetMode="External"/><Relationship Id="rId44"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doi.org/10.1016/j.dci.2025.105488" TargetMode="External"/><Relationship Id="rId22" Type="http://schemas.openxmlformats.org/officeDocument/2006/relationships/hyperlink" Target="https://www.fishhealthsection.org/publications/daa-v-proceedings" TargetMode="External"/><Relationship Id="rId27" Type="http://schemas.openxmlformats.org/officeDocument/2006/relationships/hyperlink" Target="https://doi.org/10.1007/s10661-008-0463-7" TargetMode="External"/><Relationship Id="rId30" Type="http://schemas.openxmlformats.org/officeDocument/2006/relationships/hyperlink" Target="https://doi.org/10.1016/j.bios.2014.06.015" TargetMode="External"/><Relationship Id="rId35" Type="http://schemas.openxmlformats.org/officeDocument/2006/relationships/hyperlink" Target="https://doi.org/10.1111/raq.12676" TargetMode="External"/><Relationship Id="rId43" Type="http://schemas.openxmlformats.org/officeDocument/2006/relationships/header" Target="header1.xml"/><Relationship Id="rId48" Type="http://schemas.openxmlformats.org/officeDocument/2006/relationships/footer" Target="footer3.xml"/><Relationship Id="rId8" Type="http://schemas.microsoft.com/office/2011/relationships/commentsExtended" Target="commentsExtended.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17</Pages>
  <Words>5855</Words>
  <Characters>33380</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dc:creator>
  <cp:lastModifiedBy>User</cp:lastModifiedBy>
  <cp:revision>30</cp:revision>
  <dcterms:created xsi:type="dcterms:W3CDTF">2025-12-09T07:30:00Z</dcterms:created>
  <dcterms:modified xsi:type="dcterms:W3CDTF">2025-12-12T02:40:00Z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092990c3-c3a2-4cc7-a4ec-e4bb3746dc84</vt:lpwstr>
  </property>
  <property fmtid="{D5CDD505-2E9C-101B-9397-08002B2CF9AE}" pid="3" name="ICV">
    <vt:lpwstr>47FA6397AA16467AACFC2F22BB4CBEA0_12</vt:lpwstr>
  </property>
  <property fmtid="{D5CDD505-2E9C-101B-9397-08002B2CF9AE}" pid="4" name="KSOProductBuildVer">
    <vt:lpwstr>1033-12.2.0.23155</vt:lpwstr>
  </property>
</Properties>
</file>