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8380" w14:textId="119BE035" w:rsidR="00DD4248" w:rsidRPr="00FD0538" w:rsidRDefault="00DD4248" w:rsidP="00FB4653">
      <w:pPr>
        <w:ind w:left="-567"/>
        <w:jc w:val="center"/>
        <w:rPr>
          <w:rFonts w:ascii="Times New Roman" w:hAnsi="Times New Roman" w:cs="Times New Roman"/>
          <w:b/>
          <w:bCs/>
          <w:sz w:val="32"/>
          <w:szCs w:val="32"/>
        </w:rPr>
      </w:pPr>
      <w:r w:rsidRPr="00FD0538">
        <w:rPr>
          <w:rFonts w:ascii="Times New Roman" w:hAnsi="Times New Roman" w:cs="Times New Roman"/>
          <w:b/>
          <w:bCs/>
          <w:sz w:val="32"/>
          <w:szCs w:val="32"/>
        </w:rPr>
        <w:t xml:space="preserve">      </w:t>
      </w:r>
      <w:r w:rsidR="006B7BF5">
        <w:rPr>
          <w:rFonts w:ascii="Times New Roman" w:hAnsi="Times New Roman" w:cs="Times New Roman"/>
          <w:b/>
          <w:bCs/>
          <w:sz w:val="32"/>
          <w:szCs w:val="32"/>
        </w:rPr>
        <w:t xml:space="preserve"> </w:t>
      </w:r>
      <w:commentRangeStart w:id="0"/>
      <w:r w:rsidR="006B7BF5" w:rsidRPr="006B7BF5">
        <w:rPr>
          <w:rFonts w:ascii="Times New Roman" w:hAnsi="Times New Roman" w:cs="Times New Roman"/>
          <w:b/>
          <w:bCs/>
          <w:sz w:val="32"/>
          <w:szCs w:val="32"/>
        </w:rPr>
        <w:t>Seaweed Diversity along the Southern Kerala Coast: A Comparative Study from Kovalam and Ernakulam</w:t>
      </w:r>
      <w:commentRangeEnd w:id="0"/>
      <w:r w:rsidR="004870E0">
        <w:rPr>
          <w:rStyle w:val="CommentReference"/>
        </w:rPr>
        <w:commentReference w:id="0"/>
      </w:r>
    </w:p>
    <w:p w14:paraId="5319B246" w14:textId="5584E56C" w:rsidR="00247DCF" w:rsidRDefault="00247DCF" w:rsidP="00247DCF">
      <w:pPr>
        <w:rPr>
          <w:rFonts w:ascii="Times New Roman" w:hAnsi="Times New Roman" w:cs="Times New Roman"/>
          <w:b/>
          <w:bCs/>
          <w:sz w:val="28"/>
          <w:szCs w:val="28"/>
        </w:rPr>
      </w:pPr>
    </w:p>
    <w:p w14:paraId="66624DDA" w14:textId="77777777" w:rsidR="008B05FB" w:rsidRDefault="008B05FB" w:rsidP="00247DCF">
      <w:pPr>
        <w:rPr>
          <w:rFonts w:ascii="Times New Roman" w:hAnsi="Times New Roman" w:cs="Times New Roman"/>
          <w:b/>
          <w:bCs/>
          <w:sz w:val="28"/>
          <w:szCs w:val="28"/>
        </w:rPr>
      </w:pPr>
    </w:p>
    <w:p w14:paraId="6E0CF181" w14:textId="257A5898" w:rsidR="00247DCF" w:rsidRDefault="001546B6" w:rsidP="00247DCF">
      <w:pPr>
        <w:rPr>
          <w:rFonts w:ascii="Aerial" w:hAnsi="Aerial" w:cs="Times New Roman"/>
          <w:b/>
          <w:bCs/>
        </w:rPr>
      </w:pPr>
      <w:r w:rsidRPr="001546B6">
        <w:rPr>
          <w:rFonts w:ascii="Aerial" w:hAnsi="Aerial" w:cs="Times New Roman"/>
          <w:b/>
          <w:bCs/>
        </w:rPr>
        <w:t>ABSTRACT</w:t>
      </w:r>
    </w:p>
    <w:p w14:paraId="1389E848" w14:textId="77777777" w:rsidR="00D65BBC" w:rsidRPr="00D65BBC" w:rsidRDefault="00D65BBC" w:rsidP="00D65BBC">
      <w:pPr>
        <w:spacing w:line="360" w:lineRule="auto"/>
        <w:jc w:val="both"/>
        <w:rPr>
          <w:rFonts w:ascii="Aerial" w:hAnsi="Aerial" w:cs="Times New Roman"/>
          <w:sz w:val="20"/>
          <w:szCs w:val="20"/>
        </w:rPr>
      </w:pPr>
      <w:commentRangeStart w:id="1"/>
      <w:r w:rsidRPr="00D65BBC">
        <w:rPr>
          <w:rFonts w:ascii="Aerial" w:hAnsi="Aerial" w:cs="Times New Roman"/>
          <w:sz w:val="20"/>
          <w:szCs w:val="20"/>
        </w:rPr>
        <w:t xml:space="preserve">Seaweeds, or marine macroalgae, are primitive, non-flowering photosynthetic organisms that inhabit intertidal and subtidal zones and constitute an important renewable marine resource. This study explored the diversity of seaweeds and the physicochemical characteristics of coastal waters in Kovalam (Hawaii) and Ernakulam (Nayarambalam and Kuzhupilli), Kerala. </w:t>
      </w:r>
      <w:commentRangeEnd w:id="1"/>
      <w:r w:rsidR="005E2752">
        <w:rPr>
          <w:rStyle w:val="CommentReference"/>
        </w:rPr>
        <w:commentReference w:id="1"/>
      </w:r>
      <w:r w:rsidRPr="00D65BBC">
        <w:rPr>
          <w:rFonts w:ascii="Aerial" w:hAnsi="Aerial" w:cs="Times New Roman"/>
          <w:sz w:val="20"/>
          <w:szCs w:val="20"/>
        </w:rPr>
        <w:t xml:space="preserve">Eight seaweed samples were collected from rocky intertidal substrata across these locations, with only two species documented from the Ernakulam region. Among the collected specimens, </w:t>
      </w:r>
      <w:r w:rsidRPr="00D65BBC">
        <w:rPr>
          <w:rFonts w:ascii="Aerial" w:hAnsi="Aerial" w:cs="Times New Roman"/>
          <w:i/>
          <w:iCs/>
          <w:sz w:val="20"/>
          <w:szCs w:val="20"/>
        </w:rPr>
        <w:t>Ulva fasciata</w:t>
      </w:r>
      <w:r w:rsidRPr="00D65BBC">
        <w:rPr>
          <w:rFonts w:ascii="Aerial" w:hAnsi="Aerial" w:cs="Times New Roman"/>
          <w:sz w:val="20"/>
          <w:szCs w:val="20"/>
        </w:rPr>
        <w:t xml:space="preserve"> Delile, </w:t>
      </w:r>
      <w:r w:rsidRPr="00D65BBC">
        <w:rPr>
          <w:rFonts w:ascii="Aerial" w:hAnsi="Aerial" w:cs="Times New Roman"/>
          <w:i/>
          <w:iCs/>
          <w:sz w:val="20"/>
          <w:szCs w:val="20"/>
        </w:rPr>
        <w:t>Caulerpa peltata</w:t>
      </w:r>
      <w:r w:rsidRPr="00D65BBC">
        <w:rPr>
          <w:rFonts w:ascii="Aerial" w:hAnsi="Aerial" w:cs="Times New Roman"/>
          <w:sz w:val="20"/>
          <w:szCs w:val="20"/>
        </w:rPr>
        <w:t xml:space="preserve"> J.V. Lamouroux, and </w:t>
      </w:r>
      <w:r w:rsidRPr="00D65BBC">
        <w:rPr>
          <w:rFonts w:ascii="Aerial" w:hAnsi="Aerial" w:cs="Times New Roman"/>
          <w:i/>
          <w:iCs/>
          <w:sz w:val="20"/>
          <w:szCs w:val="20"/>
        </w:rPr>
        <w:t>Chaetomorpha antennina</w:t>
      </w:r>
      <w:r w:rsidRPr="00D65BBC">
        <w:rPr>
          <w:rFonts w:ascii="Aerial" w:hAnsi="Aerial" w:cs="Times New Roman"/>
          <w:sz w:val="20"/>
          <w:szCs w:val="20"/>
        </w:rPr>
        <w:t xml:space="preserve"> Kützing were identified as green algae, while </w:t>
      </w:r>
      <w:r w:rsidRPr="00D65BBC">
        <w:rPr>
          <w:rFonts w:ascii="Aerial" w:hAnsi="Aerial" w:cs="Times New Roman"/>
          <w:i/>
          <w:iCs/>
          <w:sz w:val="20"/>
          <w:szCs w:val="20"/>
        </w:rPr>
        <w:t>Gracilaria corticata</w:t>
      </w:r>
      <w:r w:rsidRPr="00D65BBC">
        <w:rPr>
          <w:rFonts w:ascii="Aerial" w:hAnsi="Aerial" w:cs="Times New Roman"/>
          <w:sz w:val="20"/>
          <w:szCs w:val="20"/>
        </w:rPr>
        <w:t xml:space="preserve"> J. Agardh, </w:t>
      </w:r>
      <w:r w:rsidRPr="00D65BBC">
        <w:rPr>
          <w:rFonts w:ascii="Aerial" w:hAnsi="Aerial" w:cs="Times New Roman"/>
          <w:i/>
          <w:iCs/>
          <w:sz w:val="20"/>
          <w:szCs w:val="20"/>
        </w:rPr>
        <w:t>Hypnea bullata</w:t>
      </w:r>
      <w:r w:rsidRPr="00D65BBC">
        <w:rPr>
          <w:rFonts w:ascii="Aerial" w:hAnsi="Aerial" w:cs="Times New Roman"/>
          <w:sz w:val="20"/>
          <w:szCs w:val="20"/>
        </w:rPr>
        <w:t xml:space="preserve"> Kundu &amp; Patel, and </w:t>
      </w:r>
      <w:r w:rsidRPr="00D65BBC">
        <w:rPr>
          <w:rFonts w:ascii="Aerial" w:hAnsi="Aerial" w:cs="Times New Roman"/>
          <w:i/>
          <w:iCs/>
          <w:sz w:val="20"/>
          <w:szCs w:val="20"/>
        </w:rPr>
        <w:t>Asparagopsis taxiformis</w:t>
      </w:r>
      <w:r w:rsidRPr="00D65BBC">
        <w:rPr>
          <w:rFonts w:ascii="Aerial" w:hAnsi="Aerial" w:cs="Times New Roman"/>
          <w:sz w:val="20"/>
          <w:szCs w:val="20"/>
        </w:rPr>
        <w:t xml:space="preserve"> belonged to the red algae. The remaining two species—</w:t>
      </w:r>
      <w:r w:rsidRPr="00D65BBC">
        <w:rPr>
          <w:rFonts w:ascii="Aerial" w:hAnsi="Aerial" w:cs="Times New Roman"/>
          <w:i/>
          <w:iCs/>
          <w:sz w:val="20"/>
          <w:szCs w:val="20"/>
        </w:rPr>
        <w:t>Scytosiphon lomentaria</w:t>
      </w:r>
      <w:r w:rsidRPr="00D65BBC">
        <w:rPr>
          <w:rFonts w:ascii="Aerial" w:hAnsi="Aerial" w:cs="Times New Roman"/>
          <w:sz w:val="20"/>
          <w:szCs w:val="20"/>
        </w:rPr>
        <w:t xml:space="preserve"> J. Agardh and </w:t>
      </w:r>
      <w:r w:rsidRPr="00D65BBC">
        <w:rPr>
          <w:rFonts w:ascii="Aerial" w:hAnsi="Aerial" w:cs="Times New Roman"/>
          <w:i/>
          <w:iCs/>
          <w:sz w:val="20"/>
          <w:szCs w:val="20"/>
        </w:rPr>
        <w:t>Sargassum wightii</w:t>
      </w:r>
      <w:r w:rsidRPr="00D65BBC">
        <w:rPr>
          <w:rFonts w:ascii="Aerial" w:hAnsi="Aerial" w:cs="Times New Roman"/>
          <w:sz w:val="20"/>
          <w:szCs w:val="20"/>
        </w:rPr>
        <w:t xml:space="preserve"> (Greville) J. Agardh—were brown algae reported exclusively from Kovalam. </w:t>
      </w:r>
      <w:r w:rsidRPr="00D65BBC">
        <w:rPr>
          <w:rFonts w:ascii="Aerial" w:hAnsi="Aerial" w:cs="Times New Roman"/>
          <w:i/>
          <w:iCs/>
          <w:sz w:val="20"/>
          <w:szCs w:val="20"/>
        </w:rPr>
        <w:t>Ulva fasciata</w:t>
      </w:r>
      <w:r w:rsidRPr="00D65BBC">
        <w:rPr>
          <w:rFonts w:ascii="Aerial" w:hAnsi="Aerial" w:cs="Times New Roman"/>
          <w:sz w:val="20"/>
          <w:szCs w:val="20"/>
        </w:rPr>
        <w:t xml:space="preserve"> Delile and </w:t>
      </w:r>
      <w:r w:rsidRPr="00D65BBC">
        <w:rPr>
          <w:rFonts w:ascii="Aerial" w:hAnsi="Aerial" w:cs="Times New Roman"/>
          <w:i/>
          <w:iCs/>
          <w:sz w:val="20"/>
          <w:szCs w:val="20"/>
        </w:rPr>
        <w:t>Chaetomorpha antennina</w:t>
      </w:r>
      <w:r w:rsidRPr="00D65BBC">
        <w:rPr>
          <w:rFonts w:ascii="Aerial" w:hAnsi="Aerial" w:cs="Times New Roman"/>
          <w:sz w:val="20"/>
          <w:szCs w:val="20"/>
        </w:rPr>
        <w:t xml:space="preserve"> Kützing were the two green algal species recorded from the Ernakulam coastal waters. Evaluation of seven major physicochemical parameters (pH, total dissolved solids, salinity, temperature, dissolved oxygen, nitrate, and phosphate) revealed slightly alkaline, warm, and saline waters with elevated dissolved solids, conditions favorable for sustaining diverse macroalgal communities.</w:t>
      </w:r>
    </w:p>
    <w:p w14:paraId="2CA0BEF7" w14:textId="77777777" w:rsidR="00D65BBC" w:rsidRPr="00D65BBC" w:rsidRDefault="00D65BBC" w:rsidP="00D65BBC">
      <w:pPr>
        <w:spacing w:line="360" w:lineRule="auto"/>
        <w:jc w:val="both"/>
        <w:rPr>
          <w:rFonts w:ascii="Aerial" w:hAnsi="Aerial" w:cs="Times New Roman"/>
          <w:sz w:val="20"/>
          <w:szCs w:val="20"/>
        </w:rPr>
      </w:pPr>
      <w:r w:rsidRPr="00D65BBC">
        <w:rPr>
          <w:rFonts w:ascii="Aerial" w:hAnsi="Aerial" w:cs="Times New Roman"/>
          <w:sz w:val="20"/>
          <w:szCs w:val="20"/>
        </w:rPr>
        <w:t>Key words: Seaweeds, Physio chemical parameters, Kerala, Kovalam, Ernakulam Coastal water</w:t>
      </w:r>
    </w:p>
    <w:p w14:paraId="3B2765DD" w14:textId="77777777" w:rsidR="00D65BBC" w:rsidRPr="001546B6" w:rsidRDefault="00D65BBC" w:rsidP="00247DCF">
      <w:pPr>
        <w:rPr>
          <w:rFonts w:ascii="Aerial" w:hAnsi="Aerial" w:cs="Times New Roman"/>
          <w:b/>
          <w:bCs/>
        </w:rPr>
      </w:pPr>
    </w:p>
    <w:p w14:paraId="42583753" w14:textId="15DE2A38" w:rsidR="00247DCF" w:rsidRPr="00FF4F03" w:rsidRDefault="00FF4F03" w:rsidP="00247DCF">
      <w:pPr>
        <w:rPr>
          <w:rFonts w:ascii="Aerial" w:hAnsi="Aerial" w:cs="Times New Roman"/>
          <w:b/>
          <w:bCs/>
        </w:rPr>
      </w:pPr>
      <w:r w:rsidRPr="00FF4F03">
        <w:rPr>
          <w:rFonts w:ascii="Aerial" w:hAnsi="Aerial" w:cs="Times New Roman"/>
          <w:b/>
          <w:bCs/>
        </w:rPr>
        <w:t>INTRODUCTION</w:t>
      </w:r>
    </w:p>
    <w:p w14:paraId="634D56E2" w14:textId="61F39E8A" w:rsidR="0046523B" w:rsidRPr="00FF4F03" w:rsidRDefault="005A0F7A" w:rsidP="0046523B">
      <w:pPr>
        <w:spacing w:line="360" w:lineRule="auto"/>
        <w:jc w:val="both"/>
        <w:rPr>
          <w:rFonts w:ascii="Aerial" w:hAnsi="Aerial" w:cs="Times New Roman"/>
          <w:sz w:val="20"/>
          <w:szCs w:val="20"/>
        </w:rPr>
      </w:pPr>
      <w:commentRangeStart w:id="2"/>
      <w:r w:rsidRPr="00FF4F03">
        <w:rPr>
          <w:rFonts w:ascii="Aerial" w:hAnsi="Aerial" w:cs="Times New Roman"/>
          <w:sz w:val="20"/>
          <w:szCs w:val="20"/>
        </w:rPr>
        <w:t>Marine ecosystems rely heavily on seaweeds</w:t>
      </w:r>
      <w:commentRangeEnd w:id="2"/>
      <w:r w:rsidR="005E2752">
        <w:rPr>
          <w:rStyle w:val="CommentReference"/>
        </w:rPr>
        <w:commentReference w:id="2"/>
      </w:r>
      <w:r w:rsidRPr="00FF4F03">
        <w:rPr>
          <w:rFonts w:ascii="Aerial" w:hAnsi="Aerial" w:cs="Times New Roman"/>
          <w:sz w:val="20"/>
          <w:szCs w:val="20"/>
        </w:rPr>
        <w:t xml:space="preserve">, which enhance ecosystem structure, support nutrient cycling, and sustain diverse marine life. As macroscopic, multicellular, and benthic marine algae, seaweeds form an essential component of these ecosystems and represent an important renewable natural resource. </w:t>
      </w:r>
      <w:r w:rsidR="0046523B" w:rsidRPr="00FF4F03">
        <w:rPr>
          <w:rFonts w:ascii="Aerial" w:hAnsi="Aerial" w:cs="Times New Roman"/>
          <w:sz w:val="20"/>
          <w:szCs w:val="20"/>
        </w:rPr>
        <w:t>These organisms are broadly classified into three major groups—Chlorophyceae (green algae), Rhodophyceae (red algae), and Phaeophyceae (brown algae)—based on their characteristic pigmentation and biochemical composition</w:t>
      </w:r>
      <w:r w:rsidR="002801F7" w:rsidRPr="00FF4F03">
        <w:rPr>
          <w:rFonts w:ascii="Aerial" w:hAnsi="Aerial" w:cs="Times New Roman"/>
          <w:sz w:val="20"/>
          <w:szCs w:val="20"/>
        </w:rPr>
        <w:t xml:space="preserve"> (El-Beltagi et al., 2022). </w:t>
      </w:r>
      <w:r w:rsidR="0046523B" w:rsidRPr="00FF4F03">
        <w:rPr>
          <w:rFonts w:ascii="Aerial" w:hAnsi="Aerial" w:cs="Times New Roman"/>
          <w:sz w:val="20"/>
          <w:szCs w:val="20"/>
        </w:rPr>
        <w:t xml:space="preserve">Globally, more than 20,000 species of seaweeds have been identified, highlighting their vast biodiversity and ecological significance. Beyond their ecological role, seaweeds possess substantial economic importance, serving as valuable sources of food, fodder, fertilizers, and raw materials for various industries (Yadav et al., 2015). </w:t>
      </w:r>
      <w:r w:rsidR="00702927" w:rsidRPr="00FF4F03">
        <w:rPr>
          <w:rFonts w:ascii="Aerial" w:hAnsi="Aerial" w:cs="Times New Roman"/>
          <w:sz w:val="20"/>
          <w:szCs w:val="20"/>
        </w:rPr>
        <w:t xml:space="preserve">They serve as important raw materials for various industrial products, including agar, algin, and carrageenan (Manivannan et al., 2008).  </w:t>
      </w:r>
      <w:r w:rsidR="0046523B" w:rsidRPr="00FF4F03">
        <w:rPr>
          <w:rFonts w:ascii="Aerial" w:hAnsi="Aerial" w:cs="Times New Roman"/>
          <w:sz w:val="20"/>
          <w:szCs w:val="20"/>
        </w:rPr>
        <w:t xml:space="preserve">Along the southwestern coast of India, Kerala hosts approximately 580 km of diverse coastal habitats that provide </w:t>
      </w:r>
      <w:r w:rsidR="00702927" w:rsidRPr="00FF4F03">
        <w:rPr>
          <w:rFonts w:ascii="Aerial" w:hAnsi="Aerial" w:cs="Times New Roman"/>
          <w:sz w:val="20"/>
          <w:szCs w:val="20"/>
        </w:rPr>
        <w:t>favourable</w:t>
      </w:r>
      <w:r w:rsidR="0046523B" w:rsidRPr="00FF4F03">
        <w:rPr>
          <w:rFonts w:ascii="Aerial" w:hAnsi="Aerial" w:cs="Times New Roman"/>
          <w:sz w:val="20"/>
          <w:szCs w:val="20"/>
        </w:rPr>
        <w:t xml:space="preserve"> conditions for seaweed growth and distribution (Mookkan et al., 2015). </w:t>
      </w:r>
      <w:commentRangeStart w:id="3"/>
      <w:r w:rsidR="0046523B" w:rsidRPr="00FF4F03">
        <w:rPr>
          <w:rFonts w:ascii="Aerial" w:hAnsi="Aerial" w:cs="Times New Roman"/>
          <w:sz w:val="20"/>
          <w:szCs w:val="20"/>
        </w:rPr>
        <w:t xml:space="preserve">Within this region, Kovalam stands out as a prominent coastal area where marine biodiversity thrives amidst the challenges of coastal development, reflecting the intricate balance between natural resource utilization and environmental sustainability </w:t>
      </w:r>
      <w:commentRangeEnd w:id="3"/>
      <w:r w:rsidR="000D2A95">
        <w:rPr>
          <w:rStyle w:val="CommentReference"/>
        </w:rPr>
        <w:commentReference w:id="3"/>
      </w:r>
      <w:r w:rsidR="0046523B" w:rsidRPr="00FF4F03">
        <w:rPr>
          <w:rFonts w:ascii="Aerial" w:hAnsi="Aerial" w:cs="Times New Roman"/>
          <w:sz w:val="20"/>
          <w:szCs w:val="20"/>
        </w:rPr>
        <w:t>(Ghosh &amp; Datta, 2012).</w:t>
      </w:r>
    </w:p>
    <w:p w14:paraId="3AD81C10" w14:textId="79EA7401" w:rsidR="00A378BF" w:rsidRPr="00FF4F03" w:rsidRDefault="00FF4F03" w:rsidP="00247DCF">
      <w:pPr>
        <w:spacing w:line="360" w:lineRule="auto"/>
        <w:jc w:val="both"/>
        <w:rPr>
          <w:rFonts w:ascii="Aerial" w:hAnsi="Aerial" w:cs="Times New Roman"/>
          <w:b/>
          <w:bCs/>
        </w:rPr>
      </w:pPr>
      <w:r w:rsidRPr="00FF4F03">
        <w:rPr>
          <w:rFonts w:ascii="Aerial" w:hAnsi="Aerial" w:cs="Times New Roman"/>
          <w:b/>
          <w:bCs/>
        </w:rPr>
        <w:t>MATERIALS AND METHODS</w:t>
      </w:r>
    </w:p>
    <w:p w14:paraId="69212621" w14:textId="601B9531" w:rsidR="00325EF4" w:rsidRPr="00FF4F03" w:rsidRDefault="00325EF4" w:rsidP="00247DCF">
      <w:pPr>
        <w:spacing w:line="360" w:lineRule="auto"/>
        <w:jc w:val="both"/>
        <w:rPr>
          <w:rFonts w:ascii="Aerial" w:hAnsi="Aerial" w:cs="Times New Roman"/>
          <w:b/>
          <w:bCs/>
          <w:sz w:val="20"/>
          <w:szCs w:val="20"/>
          <w:u w:val="single"/>
        </w:rPr>
      </w:pPr>
      <w:r w:rsidRPr="00FF4F03">
        <w:rPr>
          <w:rFonts w:ascii="Aerial" w:hAnsi="Aerial" w:cs="Times New Roman"/>
          <w:b/>
          <w:bCs/>
          <w:sz w:val="20"/>
          <w:szCs w:val="20"/>
          <w:u w:val="single"/>
        </w:rPr>
        <w:t>Study area</w:t>
      </w:r>
    </w:p>
    <w:p w14:paraId="70CE73B3" w14:textId="675A4900" w:rsidR="00325EF4" w:rsidRPr="00FF4F03" w:rsidRDefault="00703CA3" w:rsidP="00247DCF">
      <w:pPr>
        <w:spacing w:line="360" w:lineRule="auto"/>
        <w:jc w:val="both"/>
        <w:rPr>
          <w:rFonts w:ascii="Aerial" w:hAnsi="Aerial" w:cs="Times New Roman"/>
          <w:sz w:val="20"/>
          <w:szCs w:val="20"/>
        </w:rPr>
      </w:pPr>
      <w:r w:rsidRPr="00FF4F03">
        <w:rPr>
          <w:rFonts w:ascii="Aerial" w:hAnsi="Aerial" w:cs="Times New Roman"/>
          <w:sz w:val="20"/>
          <w:szCs w:val="20"/>
        </w:rPr>
        <w:lastRenderedPageBreak/>
        <w:t xml:space="preserve">Seaweed samples were randomly collected during low-tide periods from the coastal waters of </w:t>
      </w:r>
      <w:commentRangeStart w:id="4"/>
      <w:r w:rsidRPr="00FF4F03">
        <w:rPr>
          <w:rFonts w:ascii="Aerial" w:hAnsi="Aerial" w:cs="Times New Roman"/>
          <w:sz w:val="20"/>
          <w:szCs w:val="20"/>
        </w:rPr>
        <w:t>Thiruvananthapuram</w:t>
      </w:r>
      <w:commentRangeEnd w:id="4"/>
      <w:r w:rsidR="002B12BB">
        <w:rPr>
          <w:rStyle w:val="CommentReference"/>
        </w:rPr>
        <w:commentReference w:id="4"/>
      </w:r>
      <w:r w:rsidRPr="00FF4F03">
        <w:rPr>
          <w:rFonts w:ascii="Aerial" w:hAnsi="Aerial" w:cs="Times New Roman"/>
          <w:sz w:val="20"/>
          <w:szCs w:val="20"/>
        </w:rPr>
        <w:t xml:space="preserve"> (Latitude: 8.386524⁰, Longitude: 76.975965⁰) and Ernakulam (Latitude: 10.051881⁰, Longitude: 76.202508⁰), representing two ecologically distinct sites along the southwest coast of Kerala. The three selected sites are described below</w:t>
      </w:r>
    </w:p>
    <w:p w14:paraId="1F76A602" w14:textId="404FC257" w:rsidR="00703CA3" w:rsidRPr="00FF4F03" w:rsidRDefault="00703CA3" w:rsidP="00247DCF">
      <w:pPr>
        <w:spacing w:line="360" w:lineRule="auto"/>
        <w:jc w:val="both"/>
        <w:rPr>
          <w:rFonts w:ascii="Aerial" w:hAnsi="Aerial" w:cs="Times New Roman"/>
          <w:i/>
          <w:iCs/>
          <w:sz w:val="20"/>
          <w:szCs w:val="20"/>
        </w:rPr>
      </w:pPr>
      <w:r w:rsidRPr="00FF4F03">
        <w:rPr>
          <w:rFonts w:ascii="Aerial" w:hAnsi="Aerial" w:cs="Times New Roman"/>
          <w:i/>
          <w:iCs/>
          <w:sz w:val="20"/>
          <w:szCs w:val="20"/>
        </w:rPr>
        <w:t>Kovalam</w:t>
      </w:r>
    </w:p>
    <w:p w14:paraId="631980C4" w14:textId="7E671832" w:rsidR="00424C9E" w:rsidRPr="00FF4F03" w:rsidRDefault="00703CA3"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The Kovalam coast, </w:t>
      </w:r>
      <w:r w:rsidR="00F62114" w:rsidRPr="00FF4F03">
        <w:rPr>
          <w:rFonts w:ascii="Aerial" w:hAnsi="Aerial" w:cs="Times New Roman"/>
          <w:sz w:val="20"/>
          <w:szCs w:val="20"/>
        </w:rPr>
        <w:t>situated in the Thiruvananthapuram district of southern Kerala, boasts a mixed rocky–sandy</w:t>
      </w:r>
      <w:r w:rsidRPr="00FF4F03">
        <w:rPr>
          <w:rFonts w:ascii="Aerial" w:hAnsi="Aerial" w:cs="Times New Roman"/>
          <w:sz w:val="20"/>
          <w:szCs w:val="20"/>
        </w:rPr>
        <w:t xml:space="preserve"> shoreline along the Arabian Sea. Geographically positioned </w:t>
      </w:r>
      <w:r w:rsidR="00424C9E" w:rsidRPr="00FF4F03">
        <w:rPr>
          <w:rFonts w:ascii="Aerial" w:hAnsi="Aerial" w:cs="Times New Roman"/>
          <w:sz w:val="20"/>
          <w:szCs w:val="20"/>
        </w:rPr>
        <w:t>at approximately 8.400°N, 76.980°E, this coast experiences a tropical maritime climate characterised by pronounced southwest and northeast monsoons, which significantly</w:t>
      </w:r>
      <w:r w:rsidRPr="00FF4F03">
        <w:rPr>
          <w:rFonts w:ascii="Aerial" w:hAnsi="Aerial" w:cs="Times New Roman"/>
          <w:sz w:val="20"/>
          <w:szCs w:val="20"/>
        </w:rPr>
        <w:t xml:space="preserve"> influence tidal patterns, wave dynamics, and nutrient influx. The intertidal zone features rocky platforms, tidal pools, and scattered boulders that support diverse seaweed communities and associated marine flora and fauna</w:t>
      </w:r>
      <w:r w:rsidR="00424C9E" w:rsidRPr="00FF4F03">
        <w:rPr>
          <w:rFonts w:ascii="Aerial" w:hAnsi="Aerial" w:cs="Times New Roman"/>
          <w:sz w:val="20"/>
          <w:szCs w:val="20"/>
        </w:rPr>
        <w:t xml:space="preserve"> (Manisseri et al., 2012).</w:t>
      </w:r>
    </w:p>
    <w:p w14:paraId="03CBC04E" w14:textId="1114DB47" w:rsidR="003C1E0F" w:rsidRPr="00FF4F03" w:rsidRDefault="003C1E0F" w:rsidP="00247DCF">
      <w:pPr>
        <w:spacing w:line="360" w:lineRule="auto"/>
        <w:jc w:val="both"/>
        <w:rPr>
          <w:rFonts w:ascii="Aerial" w:hAnsi="Aerial" w:cs="Times New Roman"/>
          <w:i/>
          <w:iCs/>
          <w:sz w:val="20"/>
          <w:szCs w:val="20"/>
        </w:rPr>
      </w:pPr>
      <w:r w:rsidRPr="00FF4F03">
        <w:rPr>
          <w:rFonts w:ascii="Aerial" w:hAnsi="Aerial" w:cs="Times New Roman"/>
          <w:i/>
          <w:iCs/>
          <w:sz w:val="20"/>
          <w:szCs w:val="20"/>
        </w:rPr>
        <w:t>Ernakulam</w:t>
      </w:r>
    </w:p>
    <w:p w14:paraId="4A1BD54A" w14:textId="2CC39B94" w:rsidR="003C1E0F" w:rsidRPr="00FF4F03" w:rsidRDefault="006E0212"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The Ernakulam coastal region of Kerala forms part of the southwest coast of India and includes approximately 46 km of shoreline within the district. The coastal waters of Nayarambalam and Kuzhupally are situated along the western fringe of Vypin Island in Ernakulam. Nayarambalam is characterized by its direct exposure to the Arabian Sea on the west and its connection to the Veeran Puzha/backwater system on the east. Kuzhupally likewise fronts the Arabian Sea, featuring sandy beach stretches backed by coconut groves and lying in close proximity to lagoonal and backwater channels toward the east. This coastal environment is influenced by a micro-tidal regime typical of this sector of the Kerala coast </w:t>
      </w:r>
      <w:r w:rsidR="00EC6B2B" w:rsidRPr="00FF4F03">
        <w:rPr>
          <w:rFonts w:ascii="Aerial" w:hAnsi="Aerial" w:cs="Times New Roman"/>
          <w:sz w:val="20"/>
          <w:szCs w:val="20"/>
        </w:rPr>
        <w:t>(Sankar &amp; Ramachandran, 2015).</w:t>
      </w:r>
    </w:p>
    <w:p w14:paraId="6F029CD7" w14:textId="4888FB41" w:rsidR="00272937" w:rsidRPr="00FF4F03" w:rsidRDefault="00A378BF" w:rsidP="00247DCF">
      <w:pPr>
        <w:spacing w:line="360" w:lineRule="auto"/>
        <w:jc w:val="both"/>
        <w:rPr>
          <w:rFonts w:ascii="Aerial" w:hAnsi="Aerial" w:cs="Times New Roman"/>
          <w:b/>
          <w:bCs/>
        </w:rPr>
      </w:pPr>
      <w:r w:rsidRPr="00FF4F03">
        <w:rPr>
          <w:rFonts w:ascii="Aerial" w:hAnsi="Aerial" w:cs="Times New Roman"/>
          <w:b/>
          <w:bCs/>
        </w:rPr>
        <w:t>Seaweed sampling</w:t>
      </w:r>
    </w:p>
    <w:p w14:paraId="7ED5D94B" w14:textId="3EF18BA7" w:rsidR="00803838" w:rsidRPr="00FF4F03" w:rsidRDefault="00593573" w:rsidP="00803838">
      <w:pPr>
        <w:spacing w:line="360" w:lineRule="auto"/>
        <w:jc w:val="both"/>
        <w:rPr>
          <w:rFonts w:ascii="Aerial" w:hAnsi="Aerial" w:cs="Times New Roman"/>
          <w:sz w:val="20"/>
          <w:szCs w:val="20"/>
        </w:rPr>
      </w:pPr>
      <w:r w:rsidRPr="00FF4F03">
        <w:rPr>
          <w:rFonts w:ascii="Aerial" w:hAnsi="Aerial" w:cs="Times New Roman"/>
          <w:sz w:val="20"/>
          <w:szCs w:val="20"/>
        </w:rPr>
        <w:t>Seasonal sampling was carried out such that seaweeds from Thiruvananthapuram were collected during the autumn and winter months, whereas samples from Ernakulam were collected exclusively during the winter season</w:t>
      </w:r>
      <w:r w:rsidR="00D709A2" w:rsidRPr="00FF4F03">
        <w:rPr>
          <w:rFonts w:ascii="Aerial" w:hAnsi="Aerial" w:cs="Times New Roman"/>
          <w:sz w:val="20"/>
          <w:szCs w:val="20"/>
        </w:rPr>
        <w:t xml:space="preserve">. Immediately after collection, the specimens were gently washed with fresh water to remove adhering sand particles, epiphytes, and other impurities, ensuring the structural integrity of the thalli. The cleaned samples were then preserved in 4% formalin solution to maintain their morphological characteristics for subsequent analysis. </w:t>
      </w:r>
      <w:r w:rsidR="00424C9E" w:rsidRPr="00FF4F03">
        <w:rPr>
          <w:rFonts w:ascii="Aerial" w:hAnsi="Aerial" w:cs="Times New Roman"/>
          <w:sz w:val="20"/>
          <w:szCs w:val="20"/>
        </w:rPr>
        <w:t xml:space="preserve">The taxonomic identification and authentication of the collected specimens were meticulously performed </w:t>
      </w:r>
      <w:r w:rsidR="006523F1" w:rsidRPr="00FF4F03">
        <w:rPr>
          <w:rFonts w:ascii="Aerial" w:hAnsi="Aerial" w:cs="Times New Roman"/>
          <w:sz w:val="20"/>
          <w:szCs w:val="20"/>
        </w:rPr>
        <w:t>using literature reviews (Sowjanya &amp; Sekhar, 2017</w:t>
      </w:r>
      <w:r w:rsidR="00A33448" w:rsidRPr="00FF4F03">
        <w:rPr>
          <w:rFonts w:ascii="Aerial" w:hAnsi="Aerial" w:cs="Times New Roman"/>
          <w:sz w:val="20"/>
          <w:szCs w:val="20"/>
        </w:rPr>
        <w:t>; Clayton, 1978</w:t>
      </w:r>
      <w:r w:rsidR="00E17A50" w:rsidRPr="00FF4F03">
        <w:rPr>
          <w:rFonts w:ascii="Aerial" w:hAnsi="Aerial" w:cs="Times New Roman"/>
          <w:sz w:val="20"/>
          <w:szCs w:val="20"/>
        </w:rPr>
        <w:t>; Kundu &amp; Bast, 2021</w:t>
      </w:r>
      <w:r w:rsidR="00A33448" w:rsidRPr="00FF4F03">
        <w:rPr>
          <w:rFonts w:ascii="Aerial" w:hAnsi="Aerial" w:cs="Times New Roman"/>
          <w:sz w:val="20"/>
          <w:szCs w:val="20"/>
        </w:rPr>
        <w:t>)</w:t>
      </w:r>
      <w:r w:rsidR="006523F1" w:rsidRPr="00FF4F03">
        <w:rPr>
          <w:rFonts w:ascii="Aerial" w:hAnsi="Aerial" w:cs="Times New Roman"/>
          <w:sz w:val="20"/>
          <w:szCs w:val="20"/>
        </w:rPr>
        <w:t>.</w:t>
      </w:r>
    </w:p>
    <w:p w14:paraId="4726D986" w14:textId="3AB64DDD" w:rsidR="00803838" w:rsidRPr="00FF4F03" w:rsidRDefault="00803838" w:rsidP="00803838">
      <w:pPr>
        <w:spacing w:line="360" w:lineRule="auto"/>
        <w:jc w:val="both"/>
        <w:rPr>
          <w:rFonts w:ascii="Aerial" w:hAnsi="Aerial" w:cs="Times New Roman"/>
          <w:b/>
          <w:bCs/>
        </w:rPr>
      </w:pPr>
      <w:r w:rsidRPr="00FF4F03">
        <w:rPr>
          <w:rFonts w:ascii="Aerial" w:hAnsi="Aerial" w:cs="Times New Roman"/>
          <w:b/>
          <w:bCs/>
        </w:rPr>
        <w:t>Determination of Physico-Chemical Parameters of Coastal Waters</w:t>
      </w:r>
    </w:p>
    <w:p w14:paraId="0006392C" w14:textId="5517B701" w:rsidR="0084503F" w:rsidRPr="00FF4F03" w:rsidRDefault="00260DC3" w:rsidP="00247DCF">
      <w:pPr>
        <w:spacing w:line="360" w:lineRule="auto"/>
        <w:jc w:val="both"/>
        <w:rPr>
          <w:rFonts w:ascii="Aerial" w:hAnsi="Aerial" w:cs="Times New Roman"/>
          <w:sz w:val="20"/>
          <w:szCs w:val="20"/>
        </w:rPr>
      </w:pPr>
      <w:r w:rsidRPr="00FF4F03">
        <w:rPr>
          <w:rFonts w:ascii="Aerial" w:hAnsi="Aerial" w:cs="Times New Roman"/>
          <w:sz w:val="20"/>
          <w:szCs w:val="20"/>
        </w:rPr>
        <w:t>The physicochemical characteristics of the coastal waters, including temperature, salinity, dissolved oxygen (DO), total dissolved solids (TDS), nitrate, and phosphate, were systematically analyzed to assess the environmental quality of the study sites. Temperature and TDS were measured using a calibrated TDS meter, while salinity was determined with the aid of a salinometer. Dissolved oxygen concentrations were estimated following Winkler’s iodometric method</w:t>
      </w:r>
      <w:r w:rsidR="00977A95" w:rsidRPr="00FF4F03">
        <w:rPr>
          <w:rFonts w:ascii="Aerial" w:hAnsi="Aerial"/>
          <w:sz w:val="20"/>
          <w:szCs w:val="20"/>
        </w:rPr>
        <w:t xml:space="preserve"> </w:t>
      </w:r>
      <w:r w:rsidR="00977A95" w:rsidRPr="00FF4F03">
        <w:rPr>
          <w:rFonts w:ascii="Aerial" w:hAnsi="Aerial" w:cs="Times New Roman"/>
          <w:sz w:val="20"/>
          <w:szCs w:val="20"/>
        </w:rPr>
        <w:t>(Carvalho et al., 2021)</w:t>
      </w:r>
      <w:r w:rsidRPr="00FF4F03">
        <w:rPr>
          <w:rFonts w:ascii="Aerial" w:hAnsi="Aerial" w:cs="Times New Roman"/>
          <w:sz w:val="20"/>
          <w:szCs w:val="20"/>
        </w:rPr>
        <w:t xml:space="preserve">, ensuring precise quantification of oxygen levels in the water samples. </w:t>
      </w:r>
      <w:r w:rsidR="00666688" w:rsidRPr="00FF4F03">
        <w:rPr>
          <w:rFonts w:ascii="Aerial" w:hAnsi="Aerial" w:cs="Times New Roman"/>
          <w:sz w:val="20"/>
          <w:szCs w:val="20"/>
        </w:rPr>
        <w:t>Furthermore, nitrate and phosphate concentrations were determined using the UV spectrophotometric method and the ascorbic acid (molybdenum blue) method (Dash et al., 2017).</w:t>
      </w:r>
    </w:p>
    <w:p w14:paraId="38D1DCB1" w14:textId="77777777" w:rsidR="00666688" w:rsidRDefault="00666688" w:rsidP="00247DCF">
      <w:pPr>
        <w:spacing w:line="360" w:lineRule="auto"/>
        <w:jc w:val="both"/>
        <w:rPr>
          <w:rFonts w:ascii="Times New Roman" w:hAnsi="Times New Roman" w:cs="Times New Roman"/>
          <w:b/>
          <w:bCs/>
          <w:sz w:val="24"/>
          <w:szCs w:val="24"/>
        </w:rPr>
      </w:pPr>
    </w:p>
    <w:p w14:paraId="35D66A7B" w14:textId="1C4CB5CE" w:rsidR="00260DC3" w:rsidRPr="00FF4F03" w:rsidRDefault="00FF4F03" w:rsidP="00247DCF">
      <w:pPr>
        <w:spacing w:line="360" w:lineRule="auto"/>
        <w:jc w:val="both"/>
        <w:rPr>
          <w:rFonts w:ascii="Aerial" w:hAnsi="Aerial" w:cs="Times New Roman"/>
          <w:b/>
          <w:bCs/>
        </w:rPr>
      </w:pPr>
      <w:commentRangeStart w:id="5"/>
      <w:r w:rsidRPr="00FF4F03">
        <w:rPr>
          <w:rFonts w:ascii="Aerial" w:hAnsi="Aerial" w:cs="Times New Roman"/>
          <w:b/>
          <w:bCs/>
        </w:rPr>
        <w:lastRenderedPageBreak/>
        <w:t>RESULTS AND DISCUSSIONS</w:t>
      </w:r>
      <w:commentRangeEnd w:id="5"/>
      <w:r w:rsidR="007A0DF2">
        <w:rPr>
          <w:rStyle w:val="CommentReference"/>
        </w:rPr>
        <w:commentReference w:id="5"/>
      </w:r>
    </w:p>
    <w:p w14:paraId="6602BFF4" w14:textId="77777777" w:rsidR="00AD38C2" w:rsidRPr="00FF4F03" w:rsidRDefault="007B7400" w:rsidP="007B7400">
      <w:pPr>
        <w:spacing w:line="360" w:lineRule="auto"/>
        <w:jc w:val="both"/>
        <w:rPr>
          <w:rFonts w:ascii="Aerial" w:hAnsi="Aerial" w:cs="Times New Roman"/>
          <w:sz w:val="20"/>
          <w:szCs w:val="20"/>
        </w:rPr>
      </w:pPr>
      <w:r w:rsidRPr="00FF4F03">
        <w:rPr>
          <w:rFonts w:ascii="Aerial" w:hAnsi="Aerial" w:cs="Times New Roman"/>
          <w:sz w:val="20"/>
          <w:szCs w:val="20"/>
        </w:rPr>
        <w:t>During the study period, a total of eight seaweed samples were collected from the rocky substratum in the intertidal zones of Kovalam and Ernakulam coastal waters. Among these, three species—</w:t>
      </w:r>
      <w:r w:rsidRPr="00FF4F03">
        <w:rPr>
          <w:rFonts w:ascii="Aerial" w:hAnsi="Aerial" w:cs="Times New Roman"/>
          <w:i/>
          <w:iCs/>
          <w:sz w:val="20"/>
          <w:szCs w:val="20"/>
        </w:rPr>
        <w:t>Ulva fasciata</w:t>
      </w:r>
      <w:r w:rsidRPr="00FF4F03">
        <w:rPr>
          <w:rFonts w:ascii="Aerial" w:hAnsi="Aerial" w:cs="Times New Roman"/>
          <w:sz w:val="20"/>
          <w:szCs w:val="20"/>
        </w:rPr>
        <w:t xml:space="preserve"> Delile, </w:t>
      </w:r>
      <w:r w:rsidRPr="00FF4F03">
        <w:rPr>
          <w:rFonts w:ascii="Aerial" w:hAnsi="Aerial" w:cs="Times New Roman"/>
          <w:i/>
          <w:iCs/>
          <w:sz w:val="20"/>
          <w:szCs w:val="20"/>
        </w:rPr>
        <w:t>Caulerpa peltata</w:t>
      </w:r>
      <w:r w:rsidRPr="00FF4F03">
        <w:rPr>
          <w:rFonts w:ascii="Aerial" w:hAnsi="Aerial" w:cs="Times New Roman"/>
          <w:sz w:val="20"/>
          <w:szCs w:val="20"/>
        </w:rPr>
        <w:t xml:space="preserve"> J.V. Lamouroux, and </w:t>
      </w:r>
      <w:r w:rsidRPr="00FF4F03">
        <w:rPr>
          <w:rFonts w:ascii="Aerial" w:hAnsi="Aerial" w:cs="Times New Roman"/>
          <w:i/>
          <w:iCs/>
          <w:sz w:val="20"/>
          <w:szCs w:val="20"/>
        </w:rPr>
        <w:t>Chaetomorpha antennina</w:t>
      </w:r>
      <w:r w:rsidRPr="00FF4F03">
        <w:rPr>
          <w:rFonts w:ascii="Aerial" w:hAnsi="Aerial" w:cs="Times New Roman"/>
          <w:sz w:val="20"/>
          <w:szCs w:val="20"/>
        </w:rPr>
        <w:t xml:space="preserve"> Kützing—were identified as green algae. Three species belonged to the red algae, namely </w:t>
      </w:r>
      <w:r w:rsidRPr="00FF4F03">
        <w:rPr>
          <w:rFonts w:ascii="Aerial" w:hAnsi="Aerial" w:cs="Times New Roman"/>
          <w:i/>
          <w:iCs/>
          <w:sz w:val="20"/>
          <w:szCs w:val="20"/>
        </w:rPr>
        <w:t>Gracilaria corticata</w:t>
      </w:r>
      <w:r w:rsidRPr="00FF4F03">
        <w:rPr>
          <w:rFonts w:ascii="Aerial" w:hAnsi="Aerial" w:cs="Times New Roman"/>
          <w:sz w:val="20"/>
          <w:szCs w:val="20"/>
        </w:rPr>
        <w:t xml:space="preserve"> J. Agardh, </w:t>
      </w:r>
      <w:r w:rsidRPr="00FF4F03">
        <w:rPr>
          <w:rFonts w:ascii="Aerial" w:hAnsi="Aerial" w:cs="Times New Roman"/>
          <w:i/>
          <w:iCs/>
          <w:sz w:val="20"/>
          <w:szCs w:val="20"/>
        </w:rPr>
        <w:t>Hypnea bullata</w:t>
      </w:r>
      <w:r w:rsidRPr="00FF4F03">
        <w:rPr>
          <w:rFonts w:ascii="Aerial" w:hAnsi="Aerial" w:cs="Times New Roman"/>
          <w:sz w:val="20"/>
          <w:szCs w:val="20"/>
        </w:rPr>
        <w:t xml:space="preserve"> Kundu &amp; Patel, and </w:t>
      </w:r>
      <w:r w:rsidRPr="00FF4F03">
        <w:rPr>
          <w:rFonts w:ascii="Aerial" w:hAnsi="Aerial" w:cs="Times New Roman"/>
          <w:i/>
          <w:iCs/>
          <w:sz w:val="20"/>
          <w:szCs w:val="20"/>
        </w:rPr>
        <w:t>Asparagopsis taxiformis</w:t>
      </w:r>
      <w:r w:rsidRPr="00FF4F03">
        <w:rPr>
          <w:rFonts w:ascii="Aerial" w:hAnsi="Aerial" w:cs="Times New Roman"/>
          <w:sz w:val="20"/>
          <w:szCs w:val="20"/>
        </w:rPr>
        <w:t xml:space="preserve">. The remaining two species, </w:t>
      </w:r>
      <w:r w:rsidRPr="00FF4F03">
        <w:rPr>
          <w:rFonts w:ascii="Aerial" w:hAnsi="Aerial" w:cs="Times New Roman"/>
          <w:i/>
          <w:iCs/>
          <w:sz w:val="20"/>
          <w:szCs w:val="20"/>
        </w:rPr>
        <w:t>Scytosiphon lomentaria</w:t>
      </w:r>
      <w:r w:rsidRPr="00FF4F03">
        <w:rPr>
          <w:rFonts w:ascii="Aerial" w:hAnsi="Aerial" w:cs="Times New Roman"/>
          <w:sz w:val="20"/>
          <w:szCs w:val="20"/>
        </w:rPr>
        <w:t xml:space="preserve"> J. Agardh and </w:t>
      </w:r>
      <w:r w:rsidRPr="00FF4F03">
        <w:rPr>
          <w:rFonts w:ascii="Aerial" w:hAnsi="Aerial" w:cs="Times New Roman"/>
          <w:i/>
          <w:iCs/>
          <w:sz w:val="20"/>
          <w:szCs w:val="20"/>
        </w:rPr>
        <w:t>Sargassum wightii</w:t>
      </w:r>
      <w:r w:rsidRPr="00FF4F03">
        <w:rPr>
          <w:rFonts w:ascii="Aerial" w:hAnsi="Aerial" w:cs="Times New Roman"/>
          <w:sz w:val="20"/>
          <w:szCs w:val="20"/>
        </w:rPr>
        <w:t xml:space="preserve"> (Greville) J. Agardh, were classified as brown algae. </w:t>
      </w:r>
    </w:p>
    <w:p w14:paraId="25226219" w14:textId="78CD5000" w:rsidR="007B7400" w:rsidRPr="00FF4F03" w:rsidRDefault="007B7400" w:rsidP="007B7400">
      <w:pPr>
        <w:spacing w:line="360" w:lineRule="auto"/>
        <w:jc w:val="both"/>
        <w:rPr>
          <w:rFonts w:ascii="Aerial" w:hAnsi="Aerial" w:cs="Times New Roman"/>
          <w:sz w:val="20"/>
          <w:szCs w:val="20"/>
        </w:rPr>
      </w:pPr>
      <w:r w:rsidRPr="00FF4F03">
        <w:rPr>
          <w:rFonts w:ascii="Aerial" w:hAnsi="Aerial" w:cs="Times New Roman"/>
          <w:sz w:val="20"/>
          <w:szCs w:val="20"/>
        </w:rPr>
        <w:t>From the Ernakulam coast, t</w:t>
      </w:r>
      <w:r w:rsidR="00264B04">
        <w:rPr>
          <w:rFonts w:ascii="Aerial" w:hAnsi="Aerial" w:cs="Times New Roman"/>
          <w:sz w:val="20"/>
          <w:szCs w:val="20"/>
        </w:rPr>
        <w:t>wo</w:t>
      </w:r>
      <w:r w:rsidRPr="00FF4F03">
        <w:rPr>
          <w:rFonts w:ascii="Aerial" w:hAnsi="Aerial" w:cs="Times New Roman"/>
          <w:sz w:val="20"/>
          <w:szCs w:val="20"/>
        </w:rPr>
        <w:t xml:space="preserve"> seaweed species were recorded: </w:t>
      </w:r>
      <w:r w:rsidRPr="00FF4F03">
        <w:rPr>
          <w:rFonts w:ascii="Aerial" w:hAnsi="Aerial" w:cs="Times New Roman"/>
          <w:i/>
          <w:iCs/>
          <w:sz w:val="20"/>
          <w:szCs w:val="20"/>
        </w:rPr>
        <w:t>Ulva fasciata</w:t>
      </w:r>
      <w:r w:rsidRPr="00FF4F03">
        <w:rPr>
          <w:rFonts w:ascii="Aerial" w:hAnsi="Aerial" w:cs="Times New Roman"/>
          <w:sz w:val="20"/>
          <w:szCs w:val="20"/>
        </w:rPr>
        <w:t xml:space="preserve"> Delile and </w:t>
      </w:r>
      <w:r w:rsidRPr="00FF4F03">
        <w:rPr>
          <w:rFonts w:ascii="Aerial" w:hAnsi="Aerial" w:cs="Times New Roman"/>
          <w:i/>
          <w:iCs/>
          <w:sz w:val="20"/>
          <w:szCs w:val="20"/>
        </w:rPr>
        <w:t>Chaetomorpha crassa</w:t>
      </w:r>
      <w:r w:rsidRPr="00FF4F03">
        <w:rPr>
          <w:rFonts w:ascii="Aerial" w:hAnsi="Aerial" w:cs="Times New Roman"/>
          <w:sz w:val="20"/>
          <w:szCs w:val="20"/>
        </w:rPr>
        <w:t xml:space="preserve"> (C. Agardh) Kützing, representing the green algae</w:t>
      </w:r>
      <w:r w:rsidR="00264B04">
        <w:rPr>
          <w:rFonts w:ascii="Aerial" w:hAnsi="Aerial" w:cs="Times New Roman"/>
          <w:sz w:val="20"/>
          <w:szCs w:val="20"/>
        </w:rPr>
        <w:t xml:space="preserve">. </w:t>
      </w:r>
      <w:r w:rsidRPr="00FF4F03">
        <w:rPr>
          <w:rFonts w:ascii="Aerial" w:hAnsi="Aerial" w:cs="Times New Roman"/>
          <w:sz w:val="20"/>
          <w:szCs w:val="20"/>
        </w:rPr>
        <w:t>All seaweed specimens were taxonomically identified and verified using samples collected from the Kovalam coastal waters.</w:t>
      </w:r>
      <w:r w:rsidR="00AD38C2" w:rsidRPr="00FF4F03">
        <w:rPr>
          <w:rFonts w:ascii="Aerial" w:hAnsi="Aerial"/>
          <w:sz w:val="20"/>
          <w:szCs w:val="20"/>
        </w:rPr>
        <w:t xml:space="preserve"> </w:t>
      </w:r>
      <w:r w:rsidR="00AD38C2" w:rsidRPr="00FF4F03">
        <w:rPr>
          <w:rFonts w:ascii="Aerial" w:hAnsi="Aerial" w:cs="Times New Roman"/>
          <w:sz w:val="20"/>
          <w:szCs w:val="20"/>
        </w:rPr>
        <w:t xml:space="preserve">The panoramic view of the collection sites and the identified seaweed species </w:t>
      </w:r>
      <w:r w:rsidR="00FB2C08" w:rsidRPr="00FF4F03">
        <w:rPr>
          <w:rFonts w:ascii="Aerial" w:hAnsi="Aerial" w:cs="Times New Roman"/>
          <w:sz w:val="20"/>
          <w:szCs w:val="20"/>
        </w:rPr>
        <w:t>is</w:t>
      </w:r>
      <w:r w:rsidR="00AD38C2" w:rsidRPr="00FF4F03">
        <w:rPr>
          <w:rFonts w:ascii="Aerial" w:hAnsi="Aerial" w:cs="Times New Roman"/>
          <w:sz w:val="20"/>
          <w:szCs w:val="20"/>
        </w:rPr>
        <w:t xml:space="preserve"> presented in Figures 1 and 2.</w:t>
      </w:r>
    </w:p>
    <w:p w14:paraId="7D63955A" w14:textId="58E17883" w:rsidR="007B7400" w:rsidRPr="00FF4F03" w:rsidRDefault="00FB2C08" w:rsidP="00247DCF">
      <w:pPr>
        <w:spacing w:line="360" w:lineRule="auto"/>
        <w:jc w:val="both"/>
        <w:rPr>
          <w:rFonts w:ascii="Aerial" w:hAnsi="Aerial" w:cs="Times New Roman"/>
          <w:sz w:val="20"/>
          <w:szCs w:val="20"/>
        </w:rPr>
      </w:pPr>
      <w:commentRangeStart w:id="6"/>
      <w:r w:rsidRPr="00FF4F03">
        <w:rPr>
          <w:rFonts w:ascii="Aerial" w:hAnsi="Aerial" w:cs="Times New Roman"/>
          <w:sz w:val="20"/>
          <w:szCs w:val="20"/>
        </w:rPr>
        <w:t xml:space="preserve">Seven key physicochemical parameters </w:t>
      </w:r>
      <w:commentRangeEnd w:id="6"/>
      <w:r w:rsidR="00E8313C">
        <w:rPr>
          <w:rStyle w:val="CommentReference"/>
        </w:rPr>
        <w:commentReference w:id="6"/>
      </w:r>
      <w:r w:rsidRPr="00FF4F03">
        <w:rPr>
          <w:rFonts w:ascii="Aerial" w:hAnsi="Aerial" w:cs="Times New Roman"/>
          <w:sz w:val="20"/>
          <w:szCs w:val="20"/>
        </w:rPr>
        <w:t>of the Kovalam coastal waters were assessed during the study period. The pH was 8.3, indicating slightly alkaline conditions, while the water temperature measured 32.3 °C. Salinity was recorded at 40‰, and dissolved oxygen, determined using Winkler’s iodometric method, was 4.4753 mL/L. Total dissolved solids (TDS) reached 96,000 ppm, reflecting the high ionic load characteristic of coastal ecosystems. Nitrate and phosphate concentrations were 7.99 mg/L and 0.46 mg/L, respectively. Complementing these observations, seaweed collections from the Ernakulam coastal waters were conducted at two sites—Naya</w:t>
      </w:r>
      <w:r w:rsidR="0043574E" w:rsidRPr="00FF4F03">
        <w:rPr>
          <w:rFonts w:ascii="Aerial" w:hAnsi="Aerial" w:cs="Times New Roman"/>
          <w:sz w:val="20"/>
          <w:szCs w:val="20"/>
        </w:rPr>
        <w:t>ra</w:t>
      </w:r>
      <w:r w:rsidRPr="00FF4F03">
        <w:rPr>
          <w:rFonts w:ascii="Aerial" w:hAnsi="Aerial" w:cs="Times New Roman"/>
          <w:sz w:val="20"/>
          <w:szCs w:val="20"/>
        </w:rPr>
        <w:t>mbalam and Kuzhupilly—where the environmental parameters were similarly documented. At Narya</w:t>
      </w:r>
      <w:r w:rsidR="0043574E" w:rsidRPr="00FF4F03">
        <w:rPr>
          <w:rFonts w:ascii="Aerial" w:hAnsi="Aerial" w:cs="Times New Roman"/>
          <w:sz w:val="20"/>
          <w:szCs w:val="20"/>
        </w:rPr>
        <w:t>ra</w:t>
      </w:r>
      <w:r w:rsidRPr="00FF4F03">
        <w:rPr>
          <w:rFonts w:ascii="Aerial" w:hAnsi="Aerial" w:cs="Times New Roman"/>
          <w:sz w:val="20"/>
          <w:szCs w:val="20"/>
        </w:rPr>
        <w:t>mbalam, the pH was 8.4, the temperature was 33.8 °C, salinity was 32‰, and TDS measured 526 × 10 ppm. At Kuzhupilly, the pH was slightly higher at 8.5, with a temperature of 34 °C, salinity of 33‰, and TDS of 633 × 10 ppm. Together, these measurements provide a comprehensive baseline of the physicochemical conditions prevailing across the sampling regions.</w:t>
      </w:r>
    </w:p>
    <w:p w14:paraId="16E76C25" w14:textId="17ABDCFE" w:rsidR="00192792" w:rsidRDefault="00192792" w:rsidP="00192792">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749CAA6" wp14:editId="1A5AE4FD">
            <wp:extent cx="4806950" cy="2711450"/>
            <wp:effectExtent l="0" t="0" r="0" b="0"/>
            <wp:docPr id="86167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7704" name="Picture 86167704"/>
                    <pic:cNvPicPr/>
                  </pic:nvPicPr>
                  <pic:blipFill rotWithShape="1">
                    <a:blip r:embed="rId11">
                      <a:extLst>
                        <a:ext uri="{28A0092B-C50C-407E-A947-70E740481C1C}">
                          <a14:useLocalDpi xmlns:a14="http://schemas.microsoft.com/office/drawing/2010/main" val="0"/>
                        </a:ext>
                      </a:extLst>
                    </a:blip>
                    <a:srcRect l="4367" t="5176" r="16919" b="15897"/>
                    <a:stretch>
                      <a:fillRect/>
                    </a:stretch>
                  </pic:blipFill>
                  <pic:spPr bwMode="auto">
                    <a:xfrm>
                      <a:off x="0" y="0"/>
                      <a:ext cx="4806950" cy="2711450"/>
                    </a:xfrm>
                    <a:prstGeom prst="rect">
                      <a:avLst/>
                    </a:prstGeom>
                    <a:ln>
                      <a:noFill/>
                    </a:ln>
                    <a:extLst>
                      <a:ext uri="{53640926-AAD7-44D8-BBD7-CCE9431645EC}">
                        <a14:shadowObscured xmlns:a14="http://schemas.microsoft.com/office/drawing/2010/main"/>
                      </a:ext>
                    </a:extLst>
                  </pic:spPr>
                </pic:pic>
              </a:graphicData>
            </a:graphic>
          </wp:inline>
        </w:drawing>
      </w:r>
    </w:p>
    <w:p w14:paraId="258EB0D9" w14:textId="2DAA6412" w:rsidR="00917460" w:rsidRPr="00FF4F03" w:rsidRDefault="00192792" w:rsidP="0032449B">
      <w:pPr>
        <w:spacing w:line="240" w:lineRule="auto"/>
        <w:jc w:val="both"/>
        <w:rPr>
          <w:rFonts w:ascii="Aerial" w:hAnsi="Aerial" w:cs="Times New Roman"/>
          <w:b/>
          <w:bCs/>
        </w:rPr>
      </w:pPr>
      <w:r w:rsidRPr="0032449B">
        <w:rPr>
          <w:rFonts w:ascii="Times New Roman" w:hAnsi="Times New Roman" w:cs="Times New Roman"/>
          <w:b/>
          <w:bCs/>
          <w:sz w:val="24"/>
          <w:szCs w:val="24"/>
        </w:rPr>
        <w:t xml:space="preserve">             </w:t>
      </w:r>
      <w:r w:rsidR="0032449B" w:rsidRPr="0032449B">
        <w:rPr>
          <w:rFonts w:ascii="Times New Roman" w:hAnsi="Times New Roman" w:cs="Times New Roman"/>
          <w:b/>
          <w:bCs/>
          <w:sz w:val="24"/>
          <w:szCs w:val="24"/>
        </w:rPr>
        <w:t xml:space="preserve"> </w:t>
      </w:r>
      <w:r w:rsidR="00917460">
        <w:rPr>
          <w:rFonts w:ascii="Times New Roman" w:hAnsi="Times New Roman" w:cs="Times New Roman"/>
          <w:b/>
          <w:bCs/>
          <w:sz w:val="24"/>
          <w:szCs w:val="24"/>
        </w:rPr>
        <w:t xml:space="preserve">                       </w:t>
      </w:r>
      <w:r w:rsidRPr="00FF4F03">
        <w:rPr>
          <w:rFonts w:ascii="Aerial" w:hAnsi="Aerial" w:cs="Times New Roman"/>
          <w:b/>
          <w:bCs/>
        </w:rPr>
        <w:t xml:space="preserve">Figure 1: Panoramic view of </w:t>
      </w:r>
      <w:r w:rsidR="00917460" w:rsidRPr="00FF4F03">
        <w:rPr>
          <w:rFonts w:ascii="Aerial" w:hAnsi="Aerial" w:cs="Times New Roman"/>
          <w:b/>
          <w:bCs/>
        </w:rPr>
        <w:t>Sample site</w:t>
      </w:r>
    </w:p>
    <w:p w14:paraId="48F59A4F" w14:textId="1636F4F2" w:rsidR="00192792" w:rsidRPr="00FF4F03" w:rsidRDefault="00917460" w:rsidP="0032449B">
      <w:pPr>
        <w:spacing w:line="240" w:lineRule="auto"/>
        <w:jc w:val="both"/>
        <w:rPr>
          <w:rFonts w:ascii="Aerial" w:hAnsi="Aerial" w:cs="Times New Roman"/>
          <w:sz w:val="20"/>
          <w:szCs w:val="20"/>
        </w:rPr>
      </w:pPr>
      <w:r w:rsidRPr="00917460">
        <w:rPr>
          <w:rFonts w:ascii="Times New Roman" w:hAnsi="Times New Roman" w:cs="Times New Roman"/>
          <w:sz w:val="24"/>
          <w:szCs w:val="24"/>
        </w:rPr>
        <w:t xml:space="preserve">                           </w:t>
      </w:r>
      <w:r>
        <w:rPr>
          <w:rFonts w:ascii="Times New Roman" w:hAnsi="Times New Roman" w:cs="Times New Roman"/>
          <w:sz w:val="24"/>
          <w:szCs w:val="24"/>
        </w:rPr>
        <w:t xml:space="preserve">   </w:t>
      </w:r>
      <w:r w:rsidR="00192792" w:rsidRPr="00FF4F03">
        <w:rPr>
          <w:rFonts w:ascii="Aerial" w:hAnsi="Aerial" w:cs="Times New Roman"/>
          <w:sz w:val="20"/>
          <w:szCs w:val="20"/>
        </w:rPr>
        <w:t>Kovalam (A, B) and Ernakulam Coastal water (D)</w:t>
      </w:r>
    </w:p>
    <w:p w14:paraId="25CD3E58" w14:textId="439796CF" w:rsidR="0032449B" w:rsidRPr="00FF4F03" w:rsidRDefault="0032449B" w:rsidP="0032449B">
      <w:pPr>
        <w:spacing w:line="240" w:lineRule="auto"/>
        <w:jc w:val="both"/>
        <w:rPr>
          <w:rFonts w:ascii="Aerial" w:hAnsi="Aerial" w:cs="Times New Roman"/>
          <w:sz w:val="20"/>
          <w:szCs w:val="20"/>
        </w:rPr>
      </w:pPr>
      <w:r w:rsidRPr="00FF4F03">
        <w:rPr>
          <w:rFonts w:ascii="Aerial" w:hAnsi="Aerial" w:cs="Times New Roman"/>
          <w:sz w:val="20"/>
          <w:szCs w:val="20"/>
        </w:rPr>
        <w:t xml:space="preserve">C, F- Close view of dense growth of </w:t>
      </w:r>
      <w:r w:rsidRPr="00FF4F03">
        <w:rPr>
          <w:rFonts w:ascii="Aerial" w:hAnsi="Aerial" w:cs="Times New Roman"/>
          <w:i/>
          <w:iCs/>
          <w:sz w:val="20"/>
          <w:szCs w:val="20"/>
        </w:rPr>
        <w:t>Ulva fasciata</w:t>
      </w:r>
      <w:r w:rsidRPr="00FF4F03">
        <w:rPr>
          <w:rFonts w:ascii="Aerial" w:hAnsi="Aerial" w:cs="Times New Roman"/>
          <w:sz w:val="20"/>
          <w:szCs w:val="20"/>
        </w:rPr>
        <w:t xml:space="preserve"> on rocks, E- </w:t>
      </w:r>
      <w:r w:rsidRPr="00FF4F03">
        <w:rPr>
          <w:rFonts w:ascii="Aerial" w:hAnsi="Aerial" w:cs="Times New Roman"/>
          <w:i/>
          <w:iCs/>
          <w:sz w:val="20"/>
          <w:szCs w:val="20"/>
        </w:rPr>
        <w:t xml:space="preserve">Chaetomorpha </w:t>
      </w:r>
      <w:r w:rsidRPr="00FF4F03">
        <w:rPr>
          <w:rFonts w:ascii="Aerial" w:hAnsi="Aerial" w:cs="Times New Roman"/>
          <w:sz w:val="20"/>
          <w:szCs w:val="20"/>
        </w:rPr>
        <w:t xml:space="preserve">growth on rocks </w:t>
      </w:r>
    </w:p>
    <w:p w14:paraId="70765F60" w14:textId="0835EBED" w:rsidR="00FB2C08" w:rsidRPr="0032449B" w:rsidRDefault="00FB2C08" w:rsidP="0032449B">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lastRenderedPageBreak/>
        <w:drawing>
          <wp:inline distT="0" distB="0" distL="0" distR="0" wp14:anchorId="17A894EE" wp14:editId="396619EC">
            <wp:extent cx="5422900" cy="2813050"/>
            <wp:effectExtent l="0" t="0" r="6350" b="6350"/>
            <wp:docPr id="1339805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27867" name="Picture 771527867"/>
                    <pic:cNvPicPr/>
                  </pic:nvPicPr>
                  <pic:blipFill rotWithShape="1">
                    <a:blip r:embed="rId12">
                      <a:extLst>
                        <a:ext uri="{28A0092B-C50C-407E-A947-70E740481C1C}">
                          <a14:useLocalDpi xmlns:a14="http://schemas.microsoft.com/office/drawing/2010/main" val="0"/>
                        </a:ext>
                      </a:extLst>
                    </a:blip>
                    <a:srcRect l="1976" t="5730" r="9224" b="12384"/>
                    <a:stretch>
                      <a:fillRect/>
                    </a:stretch>
                  </pic:blipFill>
                  <pic:spPr bwMode="auto">
                    <a:xfrm>
                      <a:off x="0" y="0"/>
                      <a:ext cx="5422900" cy="2813050"/>
                    </a:xfrm>
                    <a:prstGeom prst="rect">
                      <a:avLst/>
                    </a:prstGeom>
                    <a:ln>
                      <a:noFill/>
                    </a:ln>
                    <a:extLst>
                      <a:ext uri="{53640926-AAD7-44D8-BBD7-CCE9431645EC}">
                        <a14:shadowObscured xmlns:a14="http://schemas.microsoft.com/office/drawing/2010/main"/>
                      </a:ext>
                    </a:extLst>
                  </pic:spPr>
                </pic:pic>
              </a:graphicData>
            </a:graphic>
          </wp:inline>
        </w:drawing>
      </w:r>
    </w:p>
    <w:p w14:paraId="32BF9CF1" w14:textId="77777777" w:rsidR="0032449B" w:rsidRPr="00192792" w:rsidRDefault="0032449B" w:rsidP="00D46FEE">
      <w:pPr>
        <w:spacing w:line="360" w:lineRule="auto"/>
        <w:jc w:val="both"/>
        <w:rPr>
          <w:rFonts w:ascii="Times New Roman" w:hAnsi="Times New Roman" w:cs="Times New Roman"/>
          <w:sz w:val="24"/>
          <w:szCs w:val="24"/>
        </w:rPr>
      </w:pPr>
    </w:p>
    <w:p w14:paraId="53014ECF" w14:textId="77777777" w:rsidR="00FB2C08" w:rsidRPr="00FF4F03" w:rsidRDefault="00FB2C08" w:rsidP="00FB2C08">
      <w:pPr>
        <w:spacing w:line="240" w:lineRule="auto"/>
        <w:jc w:val="both"/>
        <w:rPr>
          <w:rFonts w:ascii="Aerial" w:hAnsi="Aerial" w:cs="Times New Roman"/>
          <w:b/>
          <w:bCs/>
        </w:rPr>
      </w:pPr>
      <w:r>
        <w:rPr>
          <w:rFonts w:ascii="Times New Roman" w:hAnsi="Times New Roman" w:cs="Times New Roman"/>
          <w:b/>
          <w:bCs/>
          <w:sz w:val="24"/>
          <w:szCs w:val="24"/>
        </w:rPr>
        <w:t xml:space="preserve">                                                    </w:t>
      </w:r>
      <w:r w:rsidRPr="00322970">
        <w:rPr>
          <w:rFonts w:ascii="Times New Roman" w:hAnsi="Times New Roman" w:cs="Times New Roman"/>
          <w:sz w:val="24"/>
          <w:szCs w:val="24"/>
        </w:rPr>
        <w:t xml:space="preserve"> </w:t>
      </w:r>
      <w:r w:rsidRPr="00FF4F03">
        <w:rPr>
          <w:rFonts w:ascii="Aerial" w:hAnsi="Aerial" w:cs="Times New Roman"/>
          <w:b/>
          <w:bCs/>
        </w:rPr>
        <w:t>Figure 2. Identified Seaweed Species</w:t>
      </w:r>
    </w:p>
    <w:p w14:paraId="74394F43" w14:textId="77777777" w:rsidR="00FB2C08" w:rsidRPr="00FF4F03" w:rsidRDefault="00FB2C08" w:rsidP="00FB2C08">
      <w:pPr>
        <w:spacing w:line="240" w:lineRule="auto"/>
        <w:jc w:val="both"/>
        <w:rPr>
          <w:rFonts w:ascii="Aerial" w:hAnsi="Aerial" w:cs="Times New Roman"/>
          <w:sz w:val="20"/>
          <w:szCs w:val="20"/>
        </w:rPr>
      </w:pPr>
      <w:r w:rsidRPr="00322970">
        <w:rPr>
          <w:rFonts w:ascii="Times New Roman" w:hAnsi="Times New Roman" w:cs="Times New Roman"/>
          <w:sz w:val="24"/>
          <w:szCs w:val="24"/>
        </w:rPr>
        <w:t xml:space="preserve"> </w:t>
      </w:r>
      <w:r w:rsidRPr="00FF4F03">
        <w:rPr>
          <w:rFonts w:ascii="Aerial" w:hAnsi="Aerial" w:cs="Times New Roman"/>
          <w:sz w:val="20"/>
          <w:szCs w:val="20"/>
        </w:rPr>
        <w:t xml:space="preserve">A- </w:t>
      </w:r>
      <w:r w:rsidRPr="00FF4F03">
        <w:rPr>
          <w:rFonts w:ascii="Aerial" w:hAnsi="Aerial" w:cs="Times New Roman"/>
          <w:i/>
          <w:iCs/>
          <w:sz w:val="20"/>
          <w:szCs w:val="20"/>
        </w:rPr>
        <w:t xml:space="preserve">Ulva fasciata </w:t>
      </w:r>
      <w:r w:rsidRPr="00FF4F03">
        <w:rPr>
          <w:rFonts w:ascii="Aerial" w:hAnsi="Aerial" w:cs="Times New Roman"/>
          <w:sz w:val="20"/>
          <w:szCs w:val="20"/>
        </w:rPr>
        <w:t xml:space="preserve">Delile, B- </w:t>
      </w:r>
      <w:r w:rsidRPr="00FF4F03">
        <w:rPr>
          <w:rFonts w:ascii="Aerial" w:hAnsi="Aerial" w:cs="Times New Roman"/>
          <w:i/>
          <w:iCs/>
          <w:sz w:val="20"/>
          <w:szCs w:val="20"/>
        </w:rPr>
        <w:t xml:space="preserve">Caulerpa peltata </w:t>
      </w:r>
      <w:r w:rsidRPr="00FF4F03">
        <w:rPr>
          <w:rFonts w:ascii="Aerial" w:hAnsi="Aerial" w:cs="Times New Roman"/>
          <w:sz w:val="20"/>
          <w:szCs w:val="20"/>
        </w:rPr>
        <w:t xml:space="preserve">J.V Lamourouk, C- </w:t>
      </w:r>
      <w:r w:rsidRPr="00FF4F03">
        <w:rPr>
          <w:rFonts w:ascii="Aerial" w:hAnsi="Aerial" w:cs="Times New Roman"/>
          <w:i/>
          <w:iCs/>
          <w:sz w:val="20"/>
          <w:szCs w:val="20"/>
        </w:rPr>
        <w:t xml:space="preserve">Chaetomorpha antennina </w:t>
      </w:r>
      <w:r w:rsidRPr="00FF4F03">
        <w:rPr>
          <w:rFonts w:ascii="Aerial" w:hAnsi="Aerial" w:cs="Times New Roman"/>
          <w:sz w:val="20"/>
          <w:szCs w:val="20"/>
        </w:rPr>
        <w:t xml:space="preserve">Kuetzing, D- </w:t>
      </w:r>
      <w:r w:rsidRPr="00FF4F03">
        <w:rPr>
          <w:rFonts w:ascii="Aerial" w:hAnsi="Aerial" w:cs="Times New Roman"/>
          <w:i/>
          <w:iCs/>
          <w:sz w:val="20"/>
          <w:szCs w:val="20"/>
        </w:rPr>
        <w:t xml:space="preserve">Scytosiphon lomentaria J. Agardh, E- Gracilaria corticata J. Agardh,F- Hypnea bullata </w:t>
      </w:r>
      <w:r w:rsidRPr="00FF4F03">
        <w:rPr>
          <w:rFonts w:ascii="Aerial" w:hAnsi="Aerial" w:cs="Times New Roman"/>
          <w:sz w:val="20"/>
          <w:szCs w:val="20"/>
        </w:rPr>
        <w:t>Kundu &amp; Past</w:t>
      </w:r>
      <w:r w:rsidRPr="00FF4F03">
        <w:rPr>
          <w:rFonts w:ascii="Aerial" w:hAnsi="Aerial" w:cs="Times New Roman"/>
          <w:i/>
          <w:iCs/>
          <w:sz w:val="20"/>
          <w:szCs w:val="20"/>
        </w:rPr>
        <w:t xml:space="preserve">, G- Asparagopsis taxifomis </w:t>
      </w:r>
      <w:r w:rsidRPr="00FF4F03">
        <w:rPr>
          <w:rFonts w:ascii="Aerial" w:hAnsi="Aerial" w:cs="Times New Roman"/>
          <w:sz w:val="20"/>
          <w:szCs w:val="20"/>
        </w:rPr>
        <w:t>Delile</w:t>
      </w:r>
      <w:r w:rsidRPr="00FF4F03">
        <w:rPr>
          <w:rFonts w:ascii="Aerial" w:hAnsi="Aerial" w:cs="Times New Roman"/>
          <w:i/>
          <w:iCs/>
          <w:sz w:val="20"/>
          <w:szCs w:val="20"/>
        </w:rPr>
        <w:t xml:space="preserve">, H- Sargassum wightii </w:t>
      </w:r>
      <w:r w:rsidRPr="00FF4F03">
        <w:rPr>
          <w:rFonts w:ascii="Aerial" w:hAnsi="Aerial" w:cs="Times New Roman"/>
          <w:sz w:val="20"/>
          <w:szCs w:val="20"/>
        </w:rPr>
        <w:t>(Greville) J. Agardh</w:t>
      </w:r>
      <w:r w:rsidRPr="00FF4F03">
        <w:rPr>
          <w:rFonts w:ascii="Aerial" w:hAnsi="Aerial" w:cs="Times New Roman"/>
          <w:i/>
          <w:iCs/>
          <w:sz w:val="20"/>
          <w:szCs w:val="20"/>
        </w:rPr>
        <w:t xml:space="preserve">        </w:t>
      </w:r>
    </w:p>
    <w:p w14:paraId="0C11D506" w14:textId="77777777" w:rsidR="00AD5B5D" w:rsidRPr="00FF4F03" w:rsidRDefault="00AD5B5D" w:rsidP="00D46FEE">
      <w:pPr>
        <w:spacing w:line="360" w:lineRule="auto"/>
        <w:jc w:val="both"/>
        <w:rPr>
          <w:rFonts w:ascii="Aerial" w:hAnsi="Aerial" w:cs="Times New Roman"/>
          <w:b/>
          <w:bCs/>
          <w:sz w:val="20"/>
          <w:szCs w:val="20"/>
        </w:rPr>
      </w:pPr>
    </w:p>
    <w:p w14:paraId="6DD52CC5" w14:textId="251E077C" w:rsidR="00D46FEE" w:rsidRPr="00FF4F03" w:rsidRDefault="00AD5B5D" w:rsidP="00D46FEE">
      <w:pPr>
        <w:spacing w:line="360" w:lineRule="auto"/>
        <w:jc w:val="both"/>
        <w:rPr>
          <w:rFonts w:ascii="Aerial" w:hAnsi="Aerial" w:cs="Times New Roman"/>
          <w:b/>
          <w:bCs/>
          <w:sz w:val="20"/>
          <w:szCs w:val="20"/>
        </w:rPr>
      </w:pPr>
      <w:r w:rsidRPr="00FF4F03">
        <w:rPr>
          <w:rFonts w:ascii="Aerial" w:hAnsi="Aerial" w:cs="Times New Roman"/>
          <w:b/>
          <w:bCs/>
          <w:sz w:val="20"/>
          <w:szCs w:val="20"/>
        </w:rPr>
        <w:t xml:space="preserve"> Morphological description of samples</w:t>
      </w:r>
    </w:p>
    <w:p w14:paraId="1E641F57" w14:textId="65F7AE4A" w:rsidR="00461F56" w:rsidRPr="00FF4F03" w:rsidRDefault="00461F56" w:rsidP="0073150A">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 xml:space="preserve">Ulva fasciata </w:t>
      </w:r>
      <w:r w:rsidRPr="00FF4F03">
        <w:rPr>
          <w:rFonts w:ascii="Aerial" w:hAnsi="Aerial" w:cs="Times New Roman"/>
          <w:sz w:val="20"/>
          <w:szCs w:val="20"/>
        </w:rPr>
        <w:t>Delile</w:t>
      </w:r>
    </w:p>
    <w:p w14:paraId="0D80E236" w14:textId="47E2E1A7" w:rsidR="00C10134" w:rsidRPr="00FF4F03" w:rsidRDefault="00C10134" w:rsidP="00C10134">
      <w:pPr>
        <w:spacing w:line="360" w:lineRule="auto"/>
        <w:jc w:val="both"/>
        <w:rPr>
          <w:rFonts w:ascii="Aerial" w:hAnsi="Aerial" w:cs="Times New Roman"/>
          <w:sz w:val="20"/>
          <w:szCs w:val="20"/>
        </w:rPr>
      </w:pPr>
      <w:r w:rsidRPr="00FF4F03">
        <w:rPr>
          <w:rFonts w:ascii="Aerial" w:hAnsi="Aerial" w:cs="Times New Roman"/>
          <w:sz w:val="20"/>
          <w:szCs w:val="20"/>
        </w:rPr>
        <w:t>Thallus dark-light green in colour, usually 8-50 cm long but can grow even up to 2 m long, 5-20 cm wide at base, leafy, ribbon shaped, mostly gregarious, tufted, lithophilic. Holdfast small, rhizoidal, tufted, firmly attached. Stipe small, foliaceous, simple or branched, up to 2 cm long and 0.8 cm wide. Fronds leafy, deeply divided into several linear blades; blades 2-5 cm wide, almost uniformly flattened in middle portion, surface smooth, membranous, irregularly lobed, gradually tapering towards apex, margins entire to frequently undulate, apex acute to obtuse</w:t>
      </w:r>
    </w:p>
    <w:p w14:paraId="1D232673" w14:textId="69C7A0CD" w:rsidR="00C10134" w:rsidRPr="00FF4F03" w:rsidRDefault="00C10134" w:rsidP="00C10134">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Caulerpa peltata</w:t>
      </w:r>
      <w:r w:rsidRPr="00FF4F03">
        <w:rPr>
          <w:rFonts w:ascii="Aerial" w:hAnsi="Aerial" w:cs="Times New Roman"/>
          <w:sz w:val="20"/>
          <w:szCs w:val="20"/>
        </w:rPr>
        <w:t xml:space="preserve"> J.V. Lamour</w:t>
      </w:r>
    </w:p>
    <w:p w14:paraId="08E1AA93" w14:textId="6954ED4B" w:rsidR="00C10134" w:rsidRPr="00FF4F03" w:rsidRDefault="00C10134" w:rsidP="00247DCF">
      <w:pPr>
        <w:spacing w:line="360" w:lineRule="auto"/>
        <w:jc w:val="both"/>
        <w:rPr>
          <w:rFonts w:ascii="Aerial" w:hAnsi="Aerial" w:cs="Times New Roman"/>
          <w:sz w:val="20"/>
          <w:szCs w:val="20"/>
        </w:rPr>
      </w:pPr>
      <w:r w:rsidRPr="00FF4F03">
        <w:rPr>
          <w:rFonts w:ascii="Aerial" w:hAnsi="Aerial" w:cs="Times New Roman"/>
          <w:sz w:val="20"/>
          <w:szCs w:val="20"/>
        </w:rPr>
        <w:t>Thallus dark-bright green in colour, rhizomatous, 3-15 cm long, tufted, growing as patches, prostrate, stoloniferous, epilithic. Holdfast rhizoidal, colourless, stout, variable in length, often loosely attached on rocky substrata in intertidal belts. Fronds cornsist of creeping stolons and erect assimilators. Stolon stalked, slender to terete, up to 1.8 mm in diameter, colourless to blackish green in older regions, tufted, branched. Assimilators usually arranged at intervals of 1.4-5 cm long, cylindrical, 2-6 cm long, simple or branched with radially arranged ramuli; ramuli peltate, disc like, smooth, entire, 2-5 mm in diameter; rachis 1.4-2 × 0.5-1 mm</w:t>
      </w:r>
    </w:p>
    <w:p w14:paraId="2FEE00AC" w14:textId="549B98B7" w:rsidR="00461F56" w:rsidRPr="00FF4F03" w:rsidRDefault="00045EF6" w:rsidP="00C10134">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Chaetomorpha antennina</w:t>
      </w:r>
      <w:r w:rsidRPr="00FF4F03">
        <w:rPr>
          <w:rFonts w:ascii="Aerial" w:hAnsi="Aerial" w:cs="Times New Roman"/>
          <w:sz w:val="20"/>
          <w:szCs w:val="20"/>
        </w:rPr>
        <w:t xml:space="preserve">  Ku</w:t>
      </w:r>
      <w:r w:rsidR="00461F56" w:rsidRPr="00FF4F03">
        <w:rPr>
          <w:rFonts w:ascii="Aerial" w:hAnsi="Aerial" w:cs="Times New Roman"/>
          <w:sz w:val="20"/>
          <w:szCs w:val="20"/>
        </w:rPr>
        <w:t>e</w:t>
      </w:r>
      <w:r w:rsidRPr="00FF4F03">
        <w:rPr>
          <w:rFonts w:ascii="Aerial" w:hAnsi="Aerial" w:cs="Times New Roman"/>
          <w:sz w:val="20"/>
          <w:szCs w:val="20"/>
        </w:rPr>
        <w:t xml:space="preserve">tzing </w:t>
      </w:r>
    </w:p>
    <w:p w14:paraId="760717FC" w14:textId="24F73EC8" w:rsidR="00045EF6" w:rsidRPr="00FF4F03" w:rsidRDefault="00531D34"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Thallus dark green in colour, 5-15 cm long, filamentous, brush like, caespitose, tufted, erect, growing gregariously, lithophilic. Holdfast small, rhizoidal, irregularly branched, attached tightly on rocky and muddy substrata in the tidal or intertidal zones. Stipe and fronds undifferentiated, filamentous, differentiated into nodes and internodes, </w:t>
      </w:r>
      <w:r w:rsidRPr="00FF4F03">
        <w:rPr>
          <w:rFonts w:ascii="Aerial" w:hAnsi="Aerial" w:cs="Times New Roman"/>
          <w:sz w:val="20"/>
          <w:szCs w:val="20"/>
        </w:rPr>
        <w:lastRenderedPageBreak/>
        <w:t xml:space="preserve">unbranched, uniseriate, cylindrical or barrel shaped with regular nodes and internodes; basal cells long, usually barrel shaped with narrow base; apical cell with acute apices. </w:t>
      </w:r>
    </w:p>
    <w:p w14:paraId="2B1741C5" w14:textId="4CD93892" w:rsidR="00AD5B5D" w:rsidRPr="00FF4F03" w:rsidRDefault="00AD5B5D" w:rsidP="00AD5B5D">
      <w:pPr>
        <w:pStyle w:val="ListParagraph"/>
        <w:numPr>
          <w:ilvl w:val="0"/>
          <w:numId w:val="2"/>
        </w:numPr>
        <w:spacing w:line="360" w:lineRule="auto"/>
        <w:jc w:val="both"/>
        <w:rPr>
          <w:rFonts w:ascii="Aerial" w:hAnsi="Aerial" w:cs="Times New Roman"/>
          <w:i/>
          <w:iCs/>
          <w:sz w:val="20"/>
          <w:szCs w:val="20"/>
        </w:rPr>
      </w:pPr>
      <w:r w:rsidRPr="00FF4F03">
        <w:rPr>
          <w:rFonts w:ascii="Aerial" w:hAnsi="Aerial" w:cs="Times New Roman"/>
          <w:i/>
          <w:iCs/>
          <w:sz w:val="20"/>
          <w:szCs w:val="20"/>
        </w:rPr>
        <w:t>Scytosiphon lomentaria J. Agardh</w:t>
      </w:r>
    </w:p>
    <w:p w14:paraId="3D123000" w14:textId="0FA09BE1" w:rsidR="00AD5B5D" w:rsidRPr="00FF4F03" w:rsidRDefault="00AD5B5D" w:rsidP="00AD5B5D">
      <w:pPr>
        <w:spacing w:line="360" w:lineRule="auto"/>
        <w:jc w:val="both"/>
        <w:rPr>
          <w:rFonts w:ascii="Aerial" w:hAnsi="Aerial" w:cs="Times New Roman"/>
          <w:sz w:val="20"/>
          <w:szCs w:val="20"/>
        </w:rPr>
      </w:pPr>
      <w:r w:rsidRPr="00FF4F03">
        <w:rPr>
          <w:rFonts w:ascii="Aerial" w:hAnsi="Aerial" w:cs="Times New Roman"/>
          <w:sz w:val="20"/>
          <w:szCs w:val="20"/>
        </w:rPr>
        <w:t>The fronds are cylindrical, shiny, and olive-brown, remaining unbranched and reaching lengths of up to 400 mm. Each frond arises from a short stalk, with multiple fronds often emerging from a single holdfast. They broaden to 3–10 mm before tapering again toward the tip. The fronds are hollow and commonly exhibit irregular constrictions.</w:t>
      </w:r>
    </w:p>
    <w:p w14:paraId="140EC63C" w14:textId="1847624C" w:rsidR="00461F56" w:rsidRPr="00FF4F03" w:rsidRDefault="00461F56" w:rsidP="00AD5B5D">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Gracilaria corticata</w:t>
      </w:r>
      <w:r w:rsidRPr="00FF4F03">
        <w:rPr>
          <w:rFonts w:ascii="Aerial" w:hAnsi="Aerial" w:cs="Times New Roman"/>
          <w:sz w:val="20"/>
          <w:szCs w:val="20"/>
        </w:rPr>
        <w:t xml:space="preserve"> J. Agardh</w:t>
      </w:r>
    </w:p>
    <w:p w14:paraId="6BCE4BAE" w14:textId="77777777" w:rsidR="00E17A50" w:rsidRPr="00FF4F03" w:rsidRDefault="00531D34"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Thallus light-dark brownish or yellowish red in colour, flattened, 5-20 cm long, bushy, tufted, cartilaginous, rigid, epilithic. Holdfast small, discoid, up to 5 mm in diameter, firmly attached on rocky substrata in tidal and intertidal areas. Stipe flattened, rigid, 0.4-2 cm long and 1.5-3 mm wide. Fronds cartilaginous, flattened to slightly cylindrical, up to 18 cm long and 1.4-3 mm wide; regularly dichotomously branched with narrow segments; surface usually smooth; margins entire; apex mostly acute to narrowly obtuse, rarely proliferated. </w:t>
      </w:r>
    </w:p>
    <w:p w14:paraId="7081D70C" w14:textId="4023D5CE" w:rsidR="00E17A50" w:rsidRPr="00FF4F03" w:rsidRDefault="00E17A50" w:rsidP="00E17A50">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 xml:space="preserve">Hypnea bullata </w:t>
      </w:r>
      <w:r w:rsidRPr="00FF4F03">
        <w:rPr>
          <w:rFonts w:ascii="Aerial" w:hAnsi="Aerial" w:cs="Times New Roman"/>
          <w:sz w:val="20"/>
          <w:szCs w:val="20"/>
        </w:rPr>
        <w:t xml:space="preserve">Kundu &amp; Past </w:t>
      </w:r>
    </w:p>
    <w:p w14:paraId="16F26B58" w14:textId="1EF1B69A" w:rsidR="00E17A50" w:rsidRPr="00FF4F03" w:rsidRDefault="00E17A50" w:rsidP="00E17A50">
      <w:pPr>
        <w:spacing w:line="360" w:lineRule="auto"/>
        <w:jc w:val="both"/>
        <w:rPr>
          <w:rFonts w:ascii="Aerial" w:hAnsi="Aerial" w:cs="Times New Roman"/>
          <w:sz w:val="20"/>
          <w:szCs w:val="20"/>
        </w:rPr>
      </w:pPr>
      <w:r w:rsidRPr="00FF4F03">
        <w:rPr>
          <w:rFonts w:ascii="Aerial" w:hAnsi="Aerial" w:cs="Times New Roman"/>
          <w:sz w:val="20"/>
          <w:szCs w:val="20"/>
        </w:rPr>
        <w:t>It is characterized by a prostrate thallus reaching up to 1.5 cm in height, with a highly anastomosed structure. The axial cell is encircled by periaxial cells of equal or smaller size. Tetrasporangia occur near the base of the branchlets, and lenticular thickenings are present.</w:t>
      </w:r>
    </w:p>
    <w:p w14:paraId="05D87FAF" w14:textId="387919B1" w:rsidR="00C10134" w:rsidRPr="00FF4F03" w:rsidRDefault="00C10134" w:rsidP="00247DCF">
      <w:pPr>
        <w:spacing w:line="360" w:lineRule="auto"/>
        <w:jc w:val="both"/>
        <w:rPr>
          <w:rFonts w:ascii="Aerial" w:hAnsi="Aerial" w:cs="Times New Roman"/>
          <w:sz w:val="20"/>
          <w:szCs w:val="20"/>
        </w:rPr>
      </w:pPr>
      <w:r w:rsidRPr="00FF4F03">
        <w:rPr>
          <w:rFonts w:ascii="Aerial" w:hAnsi="Aerial" w:cs="Times New Roman"/>
          <w:i/>
          <w:iCs/>
          <w:sz w:val="20"/>
          <w:szCs w:val="20"/>
        </w:rPr>
        <w:t xml:space="preserve">G- Asparagopsis taxifomis </w:t>
      </w:r>
      <w:r w:rsidRPr="00FF4F03">
        <w:rPr>
          <w:rFonts w:ascii="Aerial" w:hAnsi="Aerial" w:cs="Times New Roman"/>
          <w:sz w:val="20"/>
          <w:szCs w:val="20"/>
        </w:rPr>
        <w:t>Delile</w:t>
      </w:r>
    </w:p>
    <w:p w14:paraId="63A1AF0D" w14:textId="347B86AC" w:rsidR="00C10134" w:rsidRPr="00FF4F03" w:rsidRDefault="00C10134" w:rsidP="00247DCF">
      <w:pPr>
        <w:spacing w:line="360" w:lineRule="auto"/>
        <w:jc w:val="both"/>
        <w:rPr>
          <w:rFonts w:ascii="Aerial" w:hAnsi="Aerial" w:cs="Times New Roman"/>
          <w:sz w:val="20"/>
          <w:szCs w:val="20"/>
        </w:rPr>
      </w:pPr>
      <w:r w:rsidRPr="00FF4F03">
        <w:rPr>
          <w:rFonts w:ascii="Aerial" w:hAnsi="Aerial" w:cs="Times New Roman"/>
          <w:sz w:val="20"/>
          <w:szCs w:val="20"/>
        </w:rPr>
        <w:t>Thallus pink to purple red in colour, frondose, bushy, gregarious, brush like, usually 4-20 cm long and 1-3 cm wide, rigid, erect or prostrate, epilithic. Holdfast small, rhizomatous, arising from the creeping stolon’s, attached firmly on calcareous stones and bedrocks in intertidal zones. Stipe uniaxial, erect, cylindrical to terete, variable in size, Fronds cylindrical to terete, up to 15 cm long, usually naked below gradually becoming shortened towards apex, sub-opposite, pinnate, further divided into branchlets in all directions, densely covering the main axis in upper region; apex portion often incurved.</w:t>
      </w:r>
    </w:p>
    <w:p w14:paraId="760A2B16" w14:textId="77777777" w:rsidR="0073150A" w:rsidRPr="00FF4F03" w:rsidRDefault="0073150A" w:rsidP="0073150A">
      <w:pPr>
        <w:spacing w:line="240" w:lineRule="auto"/>
        <w:jc w:val="both"/>
        <w:rPr>
          <w:rFonts w:ascii="Aerial" w:hAnsi="Aerial" w:cs="Times New Roman"/>
          <w:sz w:val="20"/>
          <w:szCs w:val="20"/>
        </w:rPr>
      </w:pPr>
      <w:r w:rsidRPr="00FF4F03">
        <w:rPr>
          <w:rFonts w:ascii="Aerial" w:hAnsi="Aerial" w:cs="Times New Roman"/>
          <w:sz w:val="20"/>
          <w:szCs w:val="20"/>
        </w:rPr>
        <w:t xml:space="preserve">H - </w:t>
      </w:r>
      <w:r w:rsidRPr="00FF4F03">
        <w:rPr>
          <w:rFonts w:ascii="Aerial" w:hAnsi="Aerial" w:cs="Times New Roman"/>
          <w:i/>
          <w:iCs/>
          <w:sz w:val="20"/>
          <w:szCs w:val="20"/>
        </w:rPr>
        <w:t xml:space="preserve">Sargassum wightii </w:t>
      </w:r>
      <w:r w:rsidRPr="00FF4F03">
        <w:rPr>
          <w:rFonts w:ascii="Aerial" w:hAnsi="Aerial" w:cs="Times New Roman"/>
          <w:sz w:val="20"/>
          <w:szCs w:val="20"/>
        </w:rPr>
        <w:t>(Greville) J. Agardh</w:t>
      </w:r>
      <w:r w:rsidRPr="00FF4F03">
        <w:rPr>
          <w:rFonts w:ascii="Aerial" w:hAnsi="Aerial" w:cs="Times New Roman"/>
          <w:i/>
          <w:iCs/>
          <w:sz w:val="20"/>
          <w:szCs w:val="20"/>
        </w:rPr>
        <w:t xml:space="preserve">        </w:t>
      </w:r>
    </w:p>
    <w:p w14:paraId="413ABDE0" w14:textId="48FD3B4C" w:rsidR="00461F56" w:rsidRPr="00FF4F03" w:rsidRDefault="0073150A" w:rsidP="00247DCF">
      <w:pPr>
        <w:spacing w:line="360" w:lineRule="auto"/>
        <w:jc w:val="both"/>
        <w:rPr>
          <w:rFonts w:ascii="Aerial" w:hAnsi="Aerial" w:cs="Times New Roman"/>
          <w:sz w:val="20"/>
          <w:szCs w:val="20"/>
        </w:rPr>
      </w:pPr>
      <w:r w:rsidRPr="00FF4F03">
        <w:rPr>
          <w:rFonts w:ascii="Aerial" w:hAnsi="Aerial" w:cs="Times New Roman"/>
          <w:sz w:val="20"/>
          <w:szCs w:val="20"/>
        </w:rPr>
        <w:t>Thallus dark brown in colour, becomes black after drying, usually 10-30 cm long, bushy, tufted, erect, epilithic. Holdfast discoid, 1-3 mm wide, stout, occasionally calcified, firmly attached on rocky substrata. Stipe stalked, cylindrical to terete, 1-3.6 mm wide, rough, occasionally calcified in older thallus. Fronds well developed, forming bushy appearance, differentiated into primary and secondary branches; primary branches cylindrical-terete, 5-25 cm long and 1.5-5 mm wide, usually glabrous; secondary branches cylindrical or terete, occasionally slightly compressed in upper region, alternately arranged; leaves develop on primary as well as on secondary branches, narrowly oblong-linear or lanceolate, 2-8 × 0.6-1 cm, alternate, stalked or subsessile; stalk up to 2 mm long; base cuneate; surface glabrous or rough, thick; midrib usually inconspicuous; margins entire to wavy or sinuate; apex broadly acute.</w:t>
      </w:r>
    </w:p>
    <w:p w14:paraId="4FF01CDE" w14:textId="233E641D" w:rsidR="00FB4653" w:rsidRPr="00FF4F03" w:rsidRDefault="00FF4F03" w:rsidP="00247DCF">
      <w:pPr>
        <w:spacing w:line="360" w:lineRule="auto"/>
        <w:jc w:val="both"/>
        <w:rPr>
          <w:rFonts w:ascii="Aerial" w:hAnsi="Aerial" w:cs="Times New Roman"/>
          <w:b/>
          <w:bCs/>
        </w:rPr>
      </w:pPr>
      <w:r w:rsidRPr="00FF4F03">
        <w:rPr>
          <w:rFonts w:ascii="Aerial" w:hAnsi="Aerial" w:cs="Times New Roman"/>
          <w:b/>
          <w:bCs/>
        </w:rPr>
        <w:t>CONCLUSION</w:t>
      </w:r>
    </w:p>
    <w:p w14:paraId="24159173" w14:textId="6CE3EC6A" w:rsidR="00322970" w:rsidRDefault="00FB4653" w:rsidP="00FB4653">
      <w:pPr>
        <w:spacing w:line="360" w:lineRule="auto"/>
        <w:jc w:val="both"/>
        <w:rPr>
          <w:rFonts w:ascii="Aerial" w:hAnsi="Aerial" w:cs="Times New Roman"/>
          <w:sz w:val="20"/>
          <w:szCs w:val="20"/>
        </w:rPr>
      </w:pPr>
      <w:r w:rsidRPr="00FF4F03">
        <w:rPr>
          <w:rFonts w:ascii="Aerial" w:hAnsi="Aerial" w:cs="Times New Roman"/>
          <w:sz w:val="20"/>
          <w:szCs w:val="20"/>
        </w:rPr>
        <w:lastRenderedPageBreak/>
        <w:t xml:space="preserve">The present study provides a comprehensive assessment of seaweed diversity and coastal water quality along the Kovalam and Ernakulam shores of Kerala. A total of eight seaweed species representing green, red, and brown algae were documented, with </w:t>
      </w:r>
      <w:r w:rsidRPr="00FF4F03">
        <w:rPr>
          <w:rFonts w:ascii="Aerial" w:hAnsi="Aerial" w:cs="Times New Roman"/>
          <w:i/>
          <w:iCs/>
          <w:sz w:val="20"/>
          <w:szCs w:val="20"/>
        </w:rPr>
        <w:t>Ulva fasciata</w:t>
      </w:r>
      <w:r w:rsidR="00264B04">
        <w:rPr>
          <w:rFonts w:ascii="Aerial" w:hAnsi="Aerial" w:cs="Times New Roman"/>
          <w:sz w:val="20"/>
          <w:szCs w:val="20"/>
        </w:rPr>
        <w:t xml:space="preserve"> and </w:t>
      </w:r>
      <w:r w:rsidRPr="00FF4F03">
        <w:rPr>
          <w:rFonts w:ascii="Aerial" w:hAnsi="Aerial" w:cs="Times New Roman"/>
          <w:i/>
          <w:iCs/>
          <w:sz w:val="20"/>
          <w:szCs w:val="20"/>
        </w:rPr>
        <w:t>Chaetomorpha</w:t>
      </w:r>
      <w:r w:rsidRPr="00FF4F03">
        <w:rPr>
          <w:rFonts w:ascii="Aerial" w:hAnsi="Aerial" w:cs="Times New Roman"/>
          <w:sz w:val="20"/>
          <w:szCs w:val="20"/>
        </w:rPr>
        <w:t xml:space="preserve"> </w:t>
      </w:r>
      <w:r w:rsidR="00264B04" w:rsidRPr="00FF4F03">
        <w:rPr>
          <w:rFonts w:ascii="Aerial" w:hAnsi="Aerial" w:cs="Times New Roman"/>
          <w:i/>
          <w:iCs/>
          <w:sz w:val="20"/>
          <w:szCs w:val="20"/>
        </w:rPr>
        <w:t>antennina</w:t>
      </w:r>
      <w:r w:rsidR="00264B04">
        <w:rPr>
          <w:rFonts w:ascii="Aerial" w:hAnsi="Aerial" w:cs="Times New Roman"/>
          <w:sz w:val="20"/>
          <w:szCs w:val="20"/>
        </w:rPr>
        <w:t xml:space="preserve"> </w:t>
      </w:r>
      <w:r w:rsidRPr="00FF4F03">
        <w:rPr>
          <w:rFonts w:ascii="Aerial" w:hAnsi="Aerial" w:cs="Times New Roman"/>
          <w:sz w:val="20"/>
          <w:szCs w:val="20"/>
        </w:rPr>
        <w:t>occurring frequently across both regions. The physicochemical analyses revealed slightly alkaline, warm, and saline waters with high dissolved solids, conditions that support the growth of diverse macroalgal communities. The environmental parameters recorded at Narayambalam and Kuzhupilly further confirmed comparable coastal characteristics influencing species distribution. Overall, these findings establish a valuable baseline for understanding seaweed biodiversity in these coastal ecosystems and provide essential reference data for future ecological monitoring and biotechnological explorations.</w:t>
      </w:r>
    </w:p>
    <w:p w14:paraId="2BEBD5E5" w14:textId="77777777" w:rsidR="003C03A2" w:rsidRPr="003C03A2" w:rsidRDefault="003C03A2" w:rsidP="003C03A2">
      <w:pPr>
        <w:spacing w:line="480" w:lineRule="auto"/>
        <w:jc w:val="both"/>
        <w:rPr>
          <w:rFonts w:ascii="Aerial" w:hAnsi="Aerial" w:cs="Times New Roman"/>
          <w:b/>
          <w:bCs/>
          <w:sz w:val="20"/>
          <w:szCs w:val="20"/>
        </w:rPr>
      </w:pPr>
      <w:r w:rsidRPr="003C03A2">
        <w:rPr>
          <w:rFonts w:ascii="Aerial" w:hAnsi="Aerial" w:cs="Times New Roman"/>
          <w:b/>
          <w:bCs/>
          <w:sz w:val="20"/>
          <w:szCs w:val="20"/>
        </w:rPr>
        <w:t>Competing interest declaration</w:t>
      </w:r>
    </w:p>
    <w:p w14:paraId="0BBB4FAA" w14:textId="78478A89" w:rsidR="003C03A2" w:rsidRDefault="003C03A2" w:rsidP="003C03A2">
      <w:pPr>
        <w:spacing w:line="480" w:lineRule="auto"/>
        <w:jc w:val="both"/>
        <w:rPr>
          <w:rFonts w:ascii="Aerial" w:hAnsi="Aerial" w:cs="Times New Roman"/>
          <w:sz w:val="20"/>
          <w:szCs w:val="20"/>
        </w:rPr>
      </w:pPr>
      <w:r w:rsidRPr="003C03A2">
        <w:rPr>
          <w:rFonts w:ascii="Aerial" w:hAnsi="Aerial" w:cs="Times New Roman"/>
          <w:sz w:val="20"/>
          <w:szCs w:val="20"/>
        </w:rPr>
        <w:t>The authors declare that they have no competing interests related to this work.</w:t>
      </w:r>
    </w:p>
    <w:p w14:paraId="299E5FEE" w14:textId="77777777" w:rsidR="008B05FB" w:rsidRDefault="008B05FB" w:rsidP="00247DCF">
      <w:pPr>
        <w:spacing w:line="360" w:lineRule="auto"/>
        <w:jc w:val="both"/>
        <w:rPr>
          <w:rFonts w:ascii="Times New Roman" w:hAnsi="Times New Roman" w:cs="Times New Roman"/>
          <w:b/>
          <w:bCs/>
          <w:sz w:val="24"/>
          <w:szCs w:val="24"/>
        </w:rPr>
      </w:pPr>
    </w:p>
    <w:p w14:paraId="0971B4B5" w14:textId="64519A6E" w:rsidR="00247DCF" w:rsidRDefault="00247DCF" w:rsidP="00247DCF">
      <w:pPr>
        <w:spacing w:line="360" w:lineRule="auto"/>
        <w:jc w:val="both"/>
        <w:rPr>
          <w:rFonts w:ascii="Times New Roman" w:hAnsi="Times New Roman" w:cs="Times New Roman"/>
          <w:b/>
          <w:bCs/>
          <w:sz w:val="24"/>
          <w:szCs w:val="24"/>
        </w:rPr>
      </w:pPr>
      <w:r w:rsidRPr="00272937">
        <w:rPr>
          <w:rFonts w:ascii="Times New Roman" w:hAnsi="Times New Roman" w:cs="Times New Roman"/>
          <w:b/>
          <w:bCs/>
          <w:sz w:val="24"/>
          <w:szCs w:val="24"/>
        </w:rPr>
        <w:t>Reference</w:t>
      </w:r>
    </w:p>
    <w:p w14:paraId="00F1389D" w14:textId="191A94B6" w:rsidR="00666688" w:rsidRPr="00281F3B" w:rsidRDefault="009C5637" w:rsidP="00666688">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9C5637">
        <w:rPr>
          <w:rFonts w:ascii="Aerial" w:eastAsia="Times New Roman" w:hAnsi="Aerial" w:cs="Times New Roman"/>
          <w:kern w:val="0"/>
          <w:sz w:val="20"/>
          <w:szCs w:val="20"/>
          <w:lang w:eastAsia="en-IN"/>
          <w14:ligatures w14:val="none"/>
        </w:rPr>
        <w:t>Dash, S., Behera, R. K., Pati, A., Mohapatra, P. K., Sarangi, R. K., Raut, D., &amp; Patnaik, L. (2016). Sea water nutrient analysis methods. In *Water Research and Technology* (pp. 75-89). Bhumi Publishing.</w:t>
      </w:r>
      <w:r w:rsidR="00666688" w:rsidRPr="00281F3B">
        <w:rPr>
          <w:rFonts w:ascii="Aerial" w:eastAsia="Times New Roman" w:hAnsi="Aerial" w:cs="Times New Roman"/>
          <w:kern w:val="0"/>
          <w:sz w:val="20"/>
          <w:szCs w:val="20"/>
          <w:lang w:eastAsia="en-IN"/>
          <w14:ligatures w14:val="none"/>
        </w:rPr>
        <w:t>.</w:t>
      </w:r>
    </w:p>
    <w:p w14:paraId="058F8F62" w14:textId="4C5D63E6" w:rsidR="00977A95" w:rsidRPr="00281F3B" w:rsidRDefault="00C2221A" w:rsidP="002801F7">
      <w:pPr>
        <w:pStyle w:val="ListParagraph"/>
        <w:numPr>
          <w:ilvl w:val="0"/>
          <w:numId w:val="1"/>
        </w:numPr>
        <w:spacing w:line="360" w:lineRule="auto"/>
        <w:jc w:val="both"/>
        <w:rPr>
          <w:rFonts w:ascii="Aerial" w:hAnsi="Aerial" w:cs="Times New Roman"/>
          <w:sz w:val="20"/>
          <w:szCs w:val="20"/>
        </w:rPr>
      </w:pPr>
      <w:r w:rsidRPr="00C2221A">
        <w:rPr>
          <w:rFonts w:ascii="Aerial" w:hAnsi="Aerial" w:cs="Times New Roman"/>
          <w:sz w:val="20"/>
          <w:szCs w:val="20"/>
        </w:rPr>
        <w:t xml:space="preserve">Carvalho, A., Costa, R., Neves, S., Oliveira, C. M., &amp; Bettencourt da Silva, R. J. N. (2021). Determination of dissolved oxygen in water by the Winkler method: Performance modelling and optimisation for environmental analysis. Microchemical Journal, 165, 106129. </w:t>
      </w:r>
      <w:hyperlink r:id="rId13" w:history="1">
        <w:r w:rsidRPr="006353C7">
          <w:rPr>
            <w:rStyle w:val="Hyperlink"/>
            <w:rFonts w:ascii="Aerial" w:hAnsi="Aerial" w:cs="Times New Roman"/>
            <w:sz w:val="20"/>
            <w:szCs w:val="20"/>
          </w:rPr>
          <w:t>https://doi.org/10.1016/j.microc.2021.106129</w:t>
        </w:r>
      </w:hyperlink>
      <w:r>
        <w:rPr>
          <w:rFonts w:ascii="Aerial" w:hAnsi="Aerial" w:cs="Times New Roman"/>
          <w:sz w:val="20"/>
          <w:szCs w:val="20"/>
        </w:rPr>
        <w:t xml:space="preserve"> </w:t>
      </w:r>
      <w:r w:rsidR="00977A95" w:rsidRPr="00281F3B">
        <w:rPr>
          <w:rFonts w:ascii="Aerial" w:hAnsi="Aerial" w:cs="Times New Roman"/>
          <w:sz w:val="20"/>
          <w:szCs w:val="20"/>
        </w:rPr>
        <w:t xml:space="preserve">. </w:t>
      </w:r>
    </w:p>
    <w:p w14:paraId="42280BB1" w14:textId="67F5BC53" w:rsidR="00A33448" w:rsidRPr="00281F3B" w:rsidRDefault="0017410B" w:rsidP="00A33448">
      <w:pPr>
        <w:pStyle w:val="ListParagraph"/>
        <w:numPr>
          <w:ilvl w:val="0"/>
          <w:numId w:val="1"/>
        </w:numPr>
        <w:spacing w:line="360" w:lineRule="auto"/>
        <w:ind w:left="714" w:hanging="357"/>
        <w:rPr>
          <w:rFonts w:ascii="Aerial" w:hAnsi="Aerial" w:cs="Times New Roman"/>
          <w:sz w:val="20"/>
          <w:szCs w:val="20"/>
        </w:rPr>
      </w:pPr>
      <w:r w:rsidRPr="0017410B">
        <w:rPr>
          <w:rFonts w:ascii="Aerial" w:hAnsi="Aerial" w:cs="Times New Roman"/>
          <w:sz w:val="20"/>
          <w:szCs w:val="20"/>
        </w:rPr>
        <w:t xml:space="preserve">Clayton, M. N. (1978). Morphological variation and life history in cylindrical forms of Scytosiphon lomentaria (Scytosiphonaceae: Phaeophyta) from southern Australia. Marine Biology, 47(4), 349–357. </w:t>
      </w:r>
      <w:hyperlink r:id="rId14" w:history="1">
        <w:r w:rsidRPr="006353C7">
          <w:rPr>
            <w:rStyle w:val="Hyperlink"/>
            <w:rFonts w:ascii="Aerial" w:hAnsi="Aerial" w:cs="Times New Roman"/>
            <w:sz w:val="20"/>
            <w:szCs w:val="20"/>
          </w:rPr>
          <w:t>https://doi.org/10.1007/BF00388926</w:t>
        </w:r>
      </w:hyperlink>
      <w:r>
        <w:rPr>
          <w:rFonts w:ascii="Aerial" w:hAnsi="Aerial" w:cs="Times New Roman"/>
          <w:sz w:val="20"/>
          <w:szCs w:val="20"/>
        </w:rPr>
        <w:t xml:space="preserve"> </w:t>
      </w:r>
      <w:r w:rsidR="00A33448" w:rsidRPr="00281F3B">
        <w:rPr>
          <w:rFonts w:ascii="Aerial" w:hAnsi="Aerial" w:cs="Times New Roman"/>
          <w:sz w:val="20"/>
          <w:szCs w:val="20"/>
        </w:rPr>
        <w:t xml:space="preserve">. </w:t>
      </w:r>
    </w:p>
    <w:p w14:paraId="1CD8F9AF" w14:textId="294DF3DB" w:rsidR="002801F7" w:rsidRPr="00281F3B" w:rsidRDefault="008A1DC2" w:rsidP="002801F7">
      <w:pPr>
        <w:pStyle w:val="ListParagraph"/>
        <w:numPr>
          <w:ilvl w:val="0"/>
          <w:numId w:val="1"/>
        </w:numPr>
        <w:spacing w:line="360" w:lineRule="auto"/>
        <w:jc w:val="both"/>
        <w:rPr>
          <w:rFonts w:ascii="Aerial" w:hAnsi="Aerial" w:cs="Times New Roman"/>
          <w:sz w:val="20"/>
          <w:szCs w:val="20"/>
        </w:rPr>
      </w:pPr>
      <w:r w:rsidRPr="008A1DC2">
        <w:rPr>
          <w:rFonts w:ascii="Aerial" w:hAnsi="Aerial" w:cs="Times New Roman"/>
          <w:sz w:val="20"/>
          <w:szCs w:val="20"/>
        </w:rPr>
        <w:t xml:space="preserve">El-Beltagi, H. S., Mohamed, A. A., Mohamed, H. I., Ramadan, K. M. A., Barqawi, A. A., &amp; Mansour, A. T. (2022). Phytochemical and Potential Properties of Seaweeds and Their Recent Applications: A Review. Marine Drugs, 20(6), 342. </w:t>
      </w:r>
      <w:hyperlink r:id="rId15" w:history="1">
        <w:r w:rsidRPr="006353C7">
          <w:rPr>
            <w:rStyle w:val="Hyperlink"/>
            <w:rFonts w:ascii="Aerial" w:hAnsi="Aerial" w:cs="Times New Roman"/>
            <w:sz w:val="20"/>
            <w:szCs w:val="20"/>
          </w:rPr>
          <w:t>https://doi.org/10.3390/md20060342</w:t>
        </w:r>
      </w:hyperlink>
      <w:r>
        <w:rPr>
          <w:rFonts w:ascii="Aerial" w:hAnsi="Aerial" w:cs="Times New Roman"/>
          <w:sz w:val="20"/>
          <w:szCs w:val="20"/>
        </w:rPr>
        <w:t xml:space="preserve"> </w:t>
      </w:r>
      <w:r w:rsidR="002801F7" w:rsidRPr="00281F3B">
        <w:rPr>
          <w:rFonts w:ascii="Aerial" w:hAnsi="Aerial" w:cs="Times New Roman"/>
          <w:sz w:val="20"/>
          <w:szCs w:val="20"/>
        </w:rPr>
        <w:t xml:space="preserve">. </w:t>
      </w:r>
    </w:p>
    <w:p w14:paraId="297DB225" w14:textId="7003A725" w:rsidR="00DD350E" w:rsidRPr="00281F3B" w:rsidRDefault="00555475" w:rsidP="002801F7">
      <w:pPr>
        <w:pStyle w:val="ListParagraph"/>
        <w:numPr>
          <w:ilvl w:val="0"/>
          <w:numId w:val="1"/>
        </w:numPr>
        <w:spacing w:line="360" w:lineRule="auto"/>
        <w:jc w:val="both"/>
        <w:rPr>
          <w:rFonts w:ascii="Aerial" w:hAnsi="Aerial" w:cs="Times New Roman"/>
          <w:sz w:val="20"/>
          <w:szCs w:val="20"/>
        </w:rPr>
      </w:pPr>
      <w:r w:rsidRPr="00555475">
        <w:rPr>
          <w:rFonts w:ascii="Aerial" w:hAnsi="Aerial" w:cs="Times New Roman"/>
          <w:sz w:val="20"/>
          <w:szCs w:val="20"/>
        </w:rPr>
        <w:t xml:space="preserve">Ghosh, P. K., &amp; Datta, D. (2012). Coastal tourism and beach sustainability – An assessment of community perceptions in Kovalam, India. Geografia: Malaysian Journal of Society and Space, 8(7), 75–87. </w:t>
      </w:r>
      <w:hyperlink r:id="rId16" w:history="1">
        <w:r w:rsidRPr="006353C7">
          <w:rPr>
            <w:rStyle w:val="Hyperlink"/>
            <w:rFonts w:ascii="Aerial" w:hAnsi="Aerial" w:cs="Times New Roman"/>
            <w:sz w:val="20"/>
            <w:szCs w:val="20"/>
          </w:rPr>
          <w:t>http://www.ukm.my/geografia/images/upload/8.geografia-okt%202012-proshanta-english-am.pdf</w:t>
        </w:r>
      </w:hyperlink>
      <w:r>
        <w:rPr>
          <w:rFonts w:ascii="Aerial" w:hAnsi="Aerial" w:cs="Times New Roman"/>
          <w:sz w:val="20"/>
          <w:szCs w:val="20"/>
        </w:rPr>
        <w:t xml:space="preserve"> </w:t>
      </w:r>
      <w:r w:rsidR="00DD350E" w:rsidRPr="00281F3B">
        <w:rPr>
          <w:rFonts w:ascii="Aerial" w:hAnsi="Aerial" w:cs="Times New Roman"/>
          <w:sz w:val="20"/>
          <w:szCs w:val="20"/>
        </w:rPr>
        <w:t>.</w:t>
      </w:r>
    </w:p>
    <w:p w14:paraId="5F7B5AA9" w14:textId="1D3E1F89" w:rsidR="00496189" w:rsidRPr="00281F3B" w:rsidRDefault="00C4679E" w:rsidP="00496189">
      <w:pPr>
        <w:pStyle w:val="ListParagraph"/>
        <w:numPr>
          <w:ilvl w:val="0"/>
          <w:numId w:val="1"/>
        </w:numPr>
        <w:spacing w:line="360" w:lineRule="auto"/>
        <w:ind w:left="714" w:hanging="357"/>
        <w:jc w:val="both"/>
        <w:rPr>
          <w:rFonts w:ascii="Aerial" w:hAnsi="Aerial" w:cs="Times New Roman"/>
          <w:sz w:val="20"/>
          <w:szCs w:val="20"/>
        </w:rPr>
      </w:pPr>
      <w:r w:rsidRPr="00C4679E">
        <w:rPr>
          <w:rFonts w:ascii="Aerial" w:hAnsi="Aerial" w:cs="Times New Roman"/>
          <w:sz w:val="20"/>
          <w:szCs w:val="20"/>
        </w:rPr>
        <w:t xml:space="preserve">Kundu, P., &amp; Bast, F. (2021). Molecular data reveals two new species of Hypnea (Cystocloniaceae, Rhodophyta) from India: Hypnea indica sp. nov. and Hypnea bullata sp. nov. Botanica Marina, 64(2), 139-148. </w:t>
      </w:r>
      <w:hyperlink r:id="rId17" w:history="1">
        <w:r w:rsidRPr="006353C7">
          <w:rPr>
            <w:rStyle w:val="Hyperlink"/>
            <w:rFonts w:ascii="Aerial" w:hAnsi="Aerial" w:cs="Times New Roman"/>
            <w:sz w:val="20"/>
            <w:szCs w:val="20"/>
          </w:rPr>
          <w:t>https://doi.org/10.1515/bot-2020-0069</w:t>
        </w:r>
      </w:hyperlink>
      <w:r>
        <w:rPr>
          <w:rFonts w:ascii="Aerial" w:hAnsi="Aerial" w:cs="Times New Roman"/>
          <w:sz w:val="20"/>
          <w:szCs w:val="20"/>
        </w:rPr>
        <w:t xml:space="preserve"> </w:t>
      </w:r>
      <w:r w:rsidR="00496189" w:rsidRPr="00281F3B">
        <w:rPr>
          <w:rFonts w:ascii="Aerial" w:hAnsi="Aerial" w:cs="Times New Roman"/>
          <w:i/>
          <w:iCs/>
          <w:sz w:val="20"/>
          <w:szCs w:val="20"/>
        </w:rPr>
        <w:t>.</w:t>
      </w:r>
      <w:r w:rsidR="00496189" w:rsidRPr="00281F3B">
        <w:rPr>
          <w:rFonts w:ascii="Aerial" w:hAnsi="Aerial" w:cs="Times New Roman"/>
          <w:sz w:val="20"/>
          <w:szCs w:val="20"/>
        </w:rPr>
        <w:t xml:space="preserve"> </w:t>
      </w:r>
    </w:p>
    <w:p w14:paraId="407C0A8C" w14:textId="312B464C" w:rsidR="00424C9E" w:rsidRPr="00281F3B" w:rsidRDefault="001A240A" w:rsidP="00424C9E">
      <w:pPr>
        <w:pStyle w:val="ListParagraph"/>
        <w:numPr>
          <w:ilvl w:val="0"/>
          <w:numId w:val="1"/>
        </w:numPr>
        <w:spacing w:line="360" w:lineRule="auto"/>
        <w:ind w:left="714" w:hanging="357"/>
        <w:jc w:val="both"/>
        <w:rPr>
          <w:rFonts w:ascii="Aerial" w:hAnsi="Aerial" w:cs="Times New Roman"/>
          <w:sz w:val="20"/>
          <w:szCs w:val="20"/>
        </w:rPr>
      </w:pPr>
      <w:r w:rsidRPr="001A240A">
        <w:rPr>
          <w:rFonts w:ascii="Aerial" w:hAnsi="Aerial" w:cs="Times New Roman"/>
          <w:sz w:val="20"/>
          <w:szCs w:val="20"/>
        </w:rPr>
        <w:t xml:space="preserve">Manisseri, M. K., Antony, G., &amp; Rao, G. S. (2012). Common Seaweeds and Seagrasses of India Herbarium Vol.1. Central Marine Fisheries Research Institute. </w:t>
      </w:r>
      <w:hyperlink r:id="rId18" w:history="1">
        <w:r w:rsidRPr="006353C7">
          <w:rPr>
            <w:rStyle w:val="Hyperlink"/>
            <w:rFonts w:ascii="Aerial" w:hAnsi="Aerial" w:cs="Times New Roman"/>
            <w:sz w:val="20"/>
            <w:szCs w:val="20"/>
          </w:rPr>
          <w:t>http://eprints.cmfri.org.in/id/eprint/8947</w:t>
        </w:r>
      </w:hyperlink>
      <w:r>
        <w:rPr>
          <w:rFonts w:ascii="Aerial" w:hAnsi="Aerial" w:cs="Times New Roman"/>
          <w:sz w:val="20"/>
          <w:szCs w:val="20"/>
        </w:rPr>
        <w:t xml:space="preserve"> </w:t>
      </w:r>
      <w:r w:rsidR="00424C9E" w:rsidRPr="00281F3B">
        <w:rPr>
          <w:rFonts w:ascii="Aerial" w:hAnsi="Aerial" w:cs="Times New Roman"/>
          <w:sz w:val="20"/>
          <w:szCs w:val="20"/>
        </w:rPr>
        <w:t xml:space="preserve">. </w:t>
      </w:r>
    </w:p>
    <w:p w14:paraId="63FBA234" w14:textId="68066E18" w:rsidR="00702927" w:rsidRPr="00281F3B" w:rsidRDefault="00A74745" w:rsidP="00702927">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A74745">
        <w:rPr>
          <w:rFonts w:ascii="Aerial" w:eastAsia="Times New Roman" w:hAnsi="Aerial" w:cs="Times New Roman"/>
          <w:kern w:val="0"/>
          <w:sz w:val="20"/>
          <w:szCs w:val="20"/>
          <w:lang w:eastAsia="en-IN"/>
          <w14:ligatures w14:val="none"/>
        </w:rPr>
        <w:t xml:space="preserve">Manivannan, K., Thirumaran, G., Karthikai Devi, G., Hemalatha, A., &amp; Anantharaman, P. (2008). Biochemical Composition of Seaweeds from Mandapam Coastal Regions along Southeast Coast of India. American-Eurasian Journal of Botany, 1(2), 32–37. </w:t>
      </w:r>
      <w:hyperlink r:id="rId19" w:history="1">
        <w:r w:rsidRPr="006353C7">
          <w:rPr>
            <w:rStyle w:val="Hyperlink"/>
            <w:rFonts w:ascii="Aerial" w:eastAsia="Times New Roman" w:hAnsi="Aerial" w:cs="Times New Roman"/>
            <w:kern w:val="0"/>
            <w:sz w:val="20"/>
            <w:szCs w:val="20"/>
            <w:lang w:eastAsia="en-IN"/>
            <w14:ligatures w14:val="none"/>
          </w:rPr>
          <w:t>https://www.idosi.org/aejb/1(2)08/6.pdf</w:t>
        </w:r>
      </w:hyperlink>
      <w:r>
        <w:rPr>
          <w:rFonts w:ascii="Aerial" w:eastAsia="Times New Roman" w:hAnsi="Aerial" w:cs="Times New Roman"/>
          <w:kern w:val="0"/>
          <w:sz w:val="20"/>
          <w:szCs w:val="20"/>
          <w:lang w:eastAsia="en-IN"/>
          <w14:ligatures w14:val="none"/>
        </w:rPr>
        <w:t xml:space="preserve"> </w:t>
      </w:r>
      <w:r w:rsidR="00702927" w:rsidRPr="00281F3B">
        <w:rPr>
          <w:rFonts w:ascii="Aerial" w:eastAsia="Times New Roman" w:hAnsi="Aerial" w:cs="Times New Roman"/>
          <w:kern w:val="0"/>
          <w:sz w:val="20"/>
          <w:szCs w:val="20"/>
          <w:lang w:eastAsia="en-IN"/>
          <w14:ligatures w14:val="none"/>
        </w:rPr>
        <w:t>.</w:t>
      </w:r>
    </w:p>
    <w:p w14:paraId="17C0712A" w14:textId="04CAD49A" w:rsidR="009C643D" w:rsidRPr="00281F3B" w:rsidRDefault="008166FF" w:rsidP="002801F7">
      <w:pPr>
        <w:pStyle w:val="ListParagraph"/>
        <w:numPr>
          <w:ilvl w:val="0"/>
          <w:numId w:val="1"/>
        </w:numPr>
        <w:spacing w:line="360" w:lineRule="auto"/>
        <w:jc w:val="both"/>
        <w:rPr>
          <w:rFonts w:ascii="Aerial" w:hAnsi="Aerial" w:cs="Times New Roman"/>
          <w:sz w:val="20"/>
          <w:szCs w:val="20"/>
        </w:rPr>
      </w:pPr>
      <w:r w:rsidRPr="008166FF">
        <w:rPr>
          <w:rFonts w:ascii="Aerial" w:hAnsi="Aerial" w:cs="Times New Roman"/>
          <w:sz w:val="20"/>
          <w:szCs w:val="20"/>
        </w:rPr>
        <w:t xml:space="preserve">Mookkan, P., Yadav, S. K., &amp; Murthy, G. V. S. (2015). Distribution and Diversity of Seaweeds at Thikkodi Coast, Kerala, South India. In A. Rajendran &amp; V. Aravindhan (Eds.), Biodiversity Concepts: Aspects and </w:t>
      </w:r>
      <w:r w:rsidRPr="008166FF">
        <w:rPr>
          <w:rFonts w:ascii="Aerial" w:hAnsi="Aerial" w:cs="Times New Roman"/>
          <w:sz w:val="20"/>
          <w:szCs w:val="20"/>
        </w:rPr>
        <w:lastRenderedPageBreak/>
        <w:t xml:space="preserve">Prospects (pp. 28–51). </w:t>
      </w:r>
      <w:hyperlink r:id="rId20" w:history="1">
        <w:r w:rsidRPr="006353C7">
          <w:rPr>
            <w:rStyle w:val="Hyperlink"/>
            <w:rFonts w:ascii="Aerial" w:hAnsi="Aerial" w:cs="Times New Roman"/>
            <w:sz w:val="20"/>
            <w:szCs w:val="20"/>
          </w:rPr>
          <w:t>https://www.researchgate.net/publication/281340000_Distribution_and_Diversity_of_Seaweeds_at_Thikkodi_Coast_Kerala_South_India</w:t>
        </w:r>
      </w:hyperlink>
      <w:r>
        <w:rPr>
          <w:rFonts w:ascii="Aerial" w:hAnsi="Aerial" w:cs="Times New Roman"/>
          <w:sz w:val="20"/>
          <w:szCs w:val="20"/>
        </w:rPr>
        <w:t xml:space="preserve"> </w:t>
      </w:r>
      <w:r w:rsidR="009C643D" w:rsidRPr="00281F3B">
        <w:rPr>
          <w:rFonts w:ascii="Aerial" w:hAnsi="Aerial" w:cs="Times New Roman"/>
          <w:sz w:val="20"/>
          <w:szCs w:val="20"/>
        </w:rPr>
        <w:t>.</w:t>
      </w:r>
    </w:p>
    <w:p w14:paraId="4490F535" w14:textId="26BCC539" w:rsidR="00EC6B2B" w:rsidRPr="00D65BBC" w:rsidRDefault="00AD1E70" w:rsidP="00D65BBC">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AD1E70">
        <w:rPr>
          <w:rFonts w:ascii="Aerial" w:eastAsia="Times New Roman" w:hAnsi="Aerial" w:cs="Times New Roman"/>
          <w:kern w:val="0"/>
          <w:sz w:val="20"/>
          <w:szCs w:val="20"/>
          <w:lang w:eastAsia="en-IN"/>
          <w14:ligatures w14:val="none"/>
        </w:rPr>
        <w:t xml:space="preserve">Ramachandran, A., Enserink, B., &amp; Balchand, A. N. (2005). Coastal regulation zone rules in coastal panchayats (villages) of Kerala, India vis-a` -vis socio-economic impacts from the recently introduced peoples' participatory program for local self-governance and sustainable development. Ocean &amp; Coastal Management, 48(7-8), 632–653. </w:t>
      </w:r>
      <w:hyperlink r:id="rId21" w:history="1">
        <w:r w:rsidRPr="006353C7">
          <w:rPr>
            <w:rStyle w:val="Hyperlink"/>
            <w:rFonts w:ascii="Aerial" w:eastAsia="Times New Roman" w:hAnsi="Aerial" w:cs="Times New Roman"/>
            <w:kern w:val="0"/>
            <w:sz w:val="20"/>
            <w:szCs w:val="20"/>
            <w:lang w:eastAsia="en-IN"/>
            <w14:ligatures w14:val="none"/>
          </w:rPr>
          <w:t>https://doi.org/10.1016/j.ocecoaman.2005.03.011</w:t>
        </w:r>
      </w:hyperlink>
      <w:r>
        <w:rPr>
          <w:rFonts w:ascii="Aerial" w:eastAsia="Times New Roman" w:hAnsi="Aerial" w:cs="Times New Roman"/>
          <w:kern w:val="0"/>
          <w:sz w:val="20"/>
          <w:szCs w:val="20"/>
          <w:lang w:eastAsia="en-IN"/>
          <w14:ligatures w14:val="none"/>
        </w:rPr>
        <w:t xml:space="preserve"> </w:t>
      </w:r>
      <w:r w:rsidR="00EC6B2B" w:rsidRPr="00281F3B">
        <w:rPr>
          <w:rFonts w:ascii="Aerial" w:eastAsia="Times New Roman" w:hAnsi="Aerial" w:cs="Times New Roman"/>
          <w:kern w:val="0"/>
          <w:sz w:val="20"/>
          <w:szCs w:val="20"/>
          <w:lang w:eastAsia="en-IN"/>
          <w14:ligatures w14:val="none"/>
        </w:rPr>
        <w:t>.</w:t>
      </w:r>
    </w:p>
    <w:p w14:paraId="7E682711" w14:textId="57A9D2AB" w:rsidR="006523F1" w:rsidRPr="00281F3B" w:rsidRDefault="005F0294" w:rsidP="002801F7">
      <w:pPr>
        <w:pStyle w:val="ListParagraph"/>
        <w:numPr>
          <w:ilvl w:val="0"/>
          <w:numId w:val="1"/>
        </w:numPr>
        <w:spacing w:line="360" w:lineRule="auto"/>
        <w:jc w:val="both"/>
        <w:rPr>
          <w:rFonts w:ascii="Aerial" w:hAnsi="Aerial" w:cs="Times New Roman"/>
          <w:i/>
          <w:iCs/>
          <w:sz w:val="20"/>
          <w:szCs w:val="20"/>
        </w:rPr>
      </w:pPr>
      <w:r w:rsidRPr="005F0294">
        <w:rPr>
          <w:rFonts w:ascii="Aerial" w:hAnsi="Aerial" w:cs="Times New Roman"/>
          <w:sz w:val="20"/>
          <w:szCs w:val="20"/>
        </w:rPr>
        <w:t xml:space="preserve">Sowjanya, I. V., &amp; Sekhar, P. S. R. (2017). Ecology of marine macro algal flora of Visakhapatnam coastal areas, Bay of Bengal, India. Journal of Threatened Taxa, 9(3), 9911–9919. </w:t>
      </w:r>
      <w:hyperlink r:id="rId22" w:history="1">
        <w:r w:rsidRPr="006353C7">
          <w:rPr>
            <w:rStyle w:val="Hyperlink"/>
            <w:rFonts w:ascii="Aerial" w:hAnsi="Aerial" w:cs="Times New Roman"/>
            <w:sz w:val="20"/>
            <w:szCs w:val="20"/>
          </w:rPr>
          <w:t>https://doi.org/10.11609/jott.2102.9.3.9911-9919</w:t>
        </w:r>
      </w:hyperlink>
      <w:r>
        <w:rPr>
          <w:rFonts w:ascii="Aerial" w:hAnsi="Aerial" w:cs="Times New Roman"/>
          <w:sz w:val="20"/>
          <w:szCs w:val="20"/>
        </w:rPr>
        <w:t xml:space="preserve"> </w:t>
      </w:r>
      <w:r w:rsidR="006523F1" w:rsidRPr="00281F3B">
        <w:rPr>
          <w:rFonts w:ascii="Aerial" w:hAnsi="Aerial" w:cs="Times New Roman"/>
          <w:i/>
          <w:iCs/>
          <w:sz w:val="20"/>
          <w:szCs w:val="20"/>
        </w:rPr>
        <w:t>.</w:t>
      </w:r>
    </w:p>
    <w:p w14:paraId="4121C8E0" w14:textId="77777777" w:rsidR="00247DCF" w:rsidRPr="00281F3B" w:rsidRDefault="00247DCF" w:rsidP="002801F7">
      <w:pPr>
        <w:pStyle w:val="ListParagraph"/>
        <w:numPr>
          <w:ilvl w:val="0"/>
          <w:numId w:val="1"/>
        </w:numPr>
        <w:spacing w:line="360" w:lineRule="auto"/>
        <w:jc w:val="both"/>
        <w:rPr>
          <w:rFonts w:ascii="Aerial" w:hAnsi="Aerial" w:cs="Times New Roman"/>
          <w:sz w:val="20"/>
          <w:szCs w:val="20"/>
        </w:rPr>
      </w:pPr>
      <w:r w:rsidRPr="00281F3B">
        <w:rPr>
          <w:rFonts w:ascii="Aerial" w:hAnsi="Aerial" w:cs="Times New Roman"/>
          <w:sz w:val="20"/>
          <w:szCs w:val="20"/>
        </w:rPr>
        <w:t xml:space="preserve">Yadav, s. K., Mookkan, P., &amp; Murthy, G. V. S. (2015). </w:t>
      </w:r>
      <w:r w:rsidRPr="00281F3B">
        <w:rPr>
          <w:rFonts w:ascii="Aerial" w:hAnsi="Aerial" w:cs="Times New Roman"/>
          <w:i/>
          <w:iCs/>
          <w:sz w:val="20"/>
          <w:szCs w:val="20"/>
        </w:rPr>
        <w:t>Distribution, Diversity and Conservation of Seaweeds of Thiruvananthapuram Coast, Kerala</w:t>
      </w:r>
      <w:r w:rsidRPr="00281F3B">
        <w:rPr>
          <w:rFonts w:ascii="Aerial" w:hAnsi="Aerial" w:cs="Times New Roman"/>
          <w:sz w:val="20"/>
          <w:szCs w:val="20"/>
        </w:rPr>
        <w:t xml:space="preserve"> (pp. 51–62).</w:t>
      </w:r>
    </w:p>
    <w:p w14:paraId="7AEEABD6" w14:textId="77777777" w:rsidR="00247DCF" w:rsidRPr="00281F3B" w:rsidRDefault="00247DCF" w:rsidP="00247DCF">
      <w:pPr>
        <w:spacing w:line="360" w:lineRule="auto"/>
        <w:jc w:val="both"/>
        <w:rPr>
          <w:rFonts w:ascii="Aerial" w:hAnsi="Aerial" w:cs="Times New Roman"/>
          <w:sz w:val="20"/>
          <w:szCs w:val="20"/>
        </w:rPr>
      </w:pPr>
    </w:p>
    <w:sectPr w:rsidR="00247DCF" w:rsidRPr="00281F3B" w:rsidSect="00FB2C08">
      <w:headerReference w:type="even" r:id="rId23"/>
      <w:headerReference w:type="default" r:id="rId24"/>
      <w:footerReference w:type="even" r:id="rId25"/>
      <w:footerReference w:type="default" r:id="rId26"/>
      <w:headerReference w:type="first" r:id="rId27"/>
      <w:footerReference w:type="first" r:id="rId28"/>
      <w:pgSz w:w="11906" w:h="16838"/>
      <w:pgMar w:top="1440" w:right="849" w:bottom="709"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cer" w:date="2025-12-12T11:13:00Z" w:initials="A">
    <w:p w14:paraId="389ECB2A" w14:textId="77777777" w:rsidR="004870E0" w:rsidRDefault="004870E0">
      <w:pPr>
        <w:pStyle w:val="CommentText"/>
        <w:rPr>
          <w:lang w:val="en-GB"/>
        </w:rPr>
      </w:pPr>
      <w:r>
        <w:rPr>
          <w:rStyle w:val="CommentReference"/>
        </w:rPr>
        <w:annotationRef/>
      </w:r>
      <w:r>
        <w:rPr>
          <w:lang w:val="en-GB"/>
        </w:rPr>
        <w:t>Suggested title based on the actual data:</w:t>
      </w:r>
    </w:p>
    <w:p w14:paraId="6F14F8FC" w14:textId="77777777" w:rsidR="004870E0" w:rsidRDefault="004870E0">
      <w:pPr>
        <w:pStyle w:val="CommentText"/>
        <w:rPr>
          <w:lang w:val="en-GB"/>
        </w:rPr>
      </w:pPr>
    </w:p>
    <w:p w14:paraId="326EA768" w14:textId="3EE4EAEA" w:rsidR="004870E0" w:rsidRDefault="004870E0">
      <w:pPr>
        <w:pStyle w:val="CommentText"/>
      </w:pPr>
      <w:r>
        <w:rPr>
          <w:lang w:val="en-GB"/>
        </w:rPr>
        <w:t>Assessment of Seaweed and Coastal Water Quality Along Southern Kerala Coast</w:t>
      </w:r>
    </w:p>
  </w:comment>
  <w:comment w:id="1" w:author="Acer" w:date="2025-12-12T09:45:00Z" w:initials="A">
    <w:p w14:paraId="4CE964B5" w14:textId="5E39FEA4" w:rsidR="005E2752" w:rsidRDefault="005E2752">
      <w:pPr>
        <w:pStyle w:val="CommentText"/>
      </w:pPr>
      <w:r>
        <w:rPr>
          <w:rStyle w:val="CommentReference"/>
        </w:rPr>
        <w:annotationRef/>
      </w:r>
      <w:r>
        <w:t xml:space="preserve">Lack of details </w:t>
      </w:r>
      <w:r w:rsidRPr="005E2752">
        <w:t xml:space="preserve">on why </w:t>
      </w:r>
      <w:r>
        <w:t>the study is essential to be conducted.</w:t>
      </w:r>
    </w:p>
  </w:comment>
  <w:comment w:id="2" w:author="Acer" w:date="2025-12-12T09:47:00Z" w:initials="A">
    <w:p w14:paraId="71EABD3B" w14:textId="57E42143" w:rsidR="005E2752" w:rsidRDefault="005E2752">
      <w:pPr>
        <w:pStyle w:val="CommentText"/>
      </w:pPr>
      <w:r>
        <w:rPr>
          <w:rStyle w:val="CommentReference"/>
        </w:rPr>
        <w:annotationRef/>
      </w:r>
      <w:r>
        <w:t xml:space="preserve">The statement is incomplete. In what terms </w:t>
      </w:r>
      <w:r w:rsidRPr="005E2752">
        <w:t xml:space="preserve">are </w:t>
      </w:r>
      <w:r>
        <w:t>marine ecosystems reliant on seaweeds?</w:t>
      </w:r>
    </w:p>
  </w:comment>
  <w:comment w:id="3" w:author="Acer" w:date="2025-12-12T09:53:00Z" w:initials="A">
    <w:p w14:paraId="1C70F26E" w14:textId="77777777" w:rsidR="001F7D0F" w:rsidRDefault="000D2A95">
      <w:pPr>
        <w:pStyle w:val="CommentText"/>
      </w:pPr>
      <w:r>
        <w:rPr>
          <w:rStyle w:val="CommentReference"/>
        </w:rPr>
        <w:annotationRef/>
      </w:r>
      <w:r>
        <w:t xml:space="preserve">Koyalam was </w:t>
      </w:r>
      <w:r w:rsidR="001F7D0F">
        <w:t xml:space="preserve">discussed here while Ernakulam was not mentioned. </w:t>
      </w:r>
    </w:p>
    <w:p w14:paraId="0EADB380" w14:textId="77777777" w:rsidR="001F7D0F" w:rsidRDefault="001F7D0F">
      <w:pPr>
        <w:pStyle w:val="CommentText"/>
      </w:pPr>
    </w:p>
    <w:p w14:paraId="4A02ACED" w14:textId="3411170A" w:rsidR="000D2A95" w:rsidRDefault="000D2A95">
      <w:pPr>
        <w:pStyle w:val="CommentText"/>
      </w:pPr>
      <w:r>
        <w:t xml:space="preserve">The problem of the study is not clearly elaborated </w:t>
      </w:r>
      <w:r w:rsidRPr="000D2A95">
        <w:t>on as to why the study is important to conduct</w:t>
      </w:r>
      <w:r>
        <w:t xml:space="preserve">. </w:t>
      </w:r>
    </w:p>
  </w:comment>
  <w:comment w:id="4" w:author="Acer" w:date="2025-12-12T10:11:00Z" w:initials="A">
    <w:p w14:paraId="3FD1664B" w14:textId="4A6DB510" w:rsidR="002B12BB" w:rsidRDefault="002B12BB">
      <w:pPr>
        <w:pStyle w:val="CommentText"/>
      </w:pPr>
      <w:r>
        <w:rPr>
          <w:rStyle w:val="CommentReference"/>
        </w:rPr>
        <w:annotationRef/>
      </w:r>
      <w:r>
        <w:t xml:space="preserve">Be consistent of the term </w:t>
      </w:r>
      <w:r>
        <w:t xml:space="preserve">being </w:t>
      </w:r>
      <w:r>
        <w:t>use</w:t>
      </w:r>
      <w:r>
        <w:t>d</w:t>
      </w:r>
      <w:r>
        <w:t xml:space="preserve">,  it creates confusion as you interchange the Kovalam with </w:t>
      </w:r>
      <w:r w:rsidRPr="00FF4F03">
        <w:rPr>
          <w:rFonts w:ascii="Aerial" w:hAnsi="Aerial" w:cs="Times New Roman"/>
        </w:rPr>
        <w:t>Thiruvananthapuram</w:t>
      </w:r>
      <w:r>
        <w:rPr>
          <w:rStyle w:val="CommentReference"/>
        </w:rPr>
        <w:annotationRef/>
      </w:r>
      <w:r>
        <w:rPr>
          <w:rFonts w:ascii="Aerial" w:hAnsi="Aerial" w:cs="Times New Roman"/>
        </w:rPr>
        <w:t xml:space="preserve"> </w:t>
      </w:r>
      <w:r>
        <w:rPr>
          <w:rFonts w:ascii="Aerial" w:hAnsi="Aerial" w:cs="Times New Roman"/>
        </w:rPr>
        <w:t>in which in your title you use Kovalam</w:t>
      </w:r>
    </w:p>
  </w:comment>
  <w:comment w:id="5" w:author="Acer" w:date="2025-12-12T11:12:00Z" w:initials="A">
    <w:p w14:paraId="249DC6A0" w14:textId="5AB25AA0" w:rsidR="007A0DF2" w:rsidRDefault="007A0DF2">
      <w:pPr>
        <w:pStyle w:val="CommentText"/>
      </w:pPr>
      <w:r>
        <w:rPr>
          <w:rStyle w:val="CommentReference"/>
        </w:rPr>
        <w:annotationRef/>
      </w:r>
      <w:r>
        <w:t xml:space="preserve">Discuss the results with citations of relevant researches </w:t>
      </w:r>
    </w:p>
  </w:comment>
  <w:comment w:id="6" w:author="Acer" w:date="2025-12-12T10:31:00Z" w:initials="A">
    <w:p w14:paraId="3DE24627" w14:textId="0739F50A" w:rsidR="00E8313C" w:rsidRDefault="00E8313C">
      <w:pPr>
        <w:pStyle w:val="CommentText"/>
      </w:pPr>
      <w:r>
        <w:rPr>
          <w:rStyle w:val="CommentReference"/>
        </w:rPr>
        <w:annotationRef/>
      </w:r>
      <w:r>
        <w:t xml:space="preserve">Much better if the physicochemical parameters will be presented in tables before discussing.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6EA768" w15:done="0"/>
  <w15:commentEx w15:paraId="4CE964B5" w15:done="0"/>
  <w15:commentEx w15:paraId="71EABD3B" w15:done="0"/>
  <w15:commentEx w15:paraId="4A02ACED" w15:done="0"/>
  <w15:commentEx w15:paraId="3FD1664B" w15:done="0"/>
  <w15:commentEx w15:paraId="249DC6A0" w15:done="0"/>
  <w15:commentEx w15:paraId="3DE246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A4599" w16cex:dateUtc="2025-12-12T03:13:00Z"/>
  <w16cex:commentExtensible w16cex:durableId="6951614D" w16cex:dateUtc="2025-12-12T01:45:00Z"/>
  <w16cex:commentExtensible w16cex:durableId="0D4F627D" w16cex:dateUtc="2025-12-12T01:47:00Z"/>
  <w16cex:commentExtensible w16cex:durableId="7B88DF1D" w16cex:dateUtc="2025-12-12T01:53:00Z"/>
  <w16cex:commentExtensible w16cex:durableId="24B31931" w16cex:dateUtc="2025-12-12T02:11:00Z"/>
  <w16cex:commentExtensible w16cex:durableId="70638809" w16cex:dateUtc="2025-12-12T03:12:00Z"/>
  <w16cex:commentExtensible w16cex:durableId="6E3E031C" w16cex:dateUtc="2025-12-12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6EA768" w16cid:durableId="392A4599"/>
  <w16cid:commentId w16cid:paraId="4CE964B5" w16cid:durableId="6951614D"/>
  <w16cid:commentId w16cid:paraId="71EABD3B" w16cid:durableId="0D4F627D"/>
  <w16cid:commentId w16cid:paraId="4A02ACED" w16cid:durableId="7B88DF1D"/>
  <w16cid:commentId w16cid:paraId="3FD1664B" w16cid:durableId="24B31931"/>
  <w16cid:commentId w16cid:paraId="249DC6A0" w16cid:durableId="70638809"/>
  <w16cid:commentId w16cid:paraId="3DE24627" w16cid:durableId="6E3E0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D586" w14:textId="77777777" w:rsidR="000264AD" w:rsidRDefault="000264AD" w:rsidP="008B05FB">
      <w:pPr>
        <w:spacing w:after="0" w:line="240" w:lineRule="auto"/>
      </w:pPr>
      <w:r>
        <w:separator/>
      </w:r>
    </w:p>
  </w:endnote>
  <w:endnote w:type="continuationSeparator" w:id="0">
    <w:p w14:paraId="17067627" w14:textId="77777777" w:rsidR="000264AD" w:rsidRDefault="000264AD" w:rsidP="008B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eri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D34D" w14:textId="77777777" w:rsidR="008B05FB" w:rsidRDefault="008B0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74B5" w14:textId="77777777" w:rsidR="008B05FB" w:rsidRDefault="008B0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551A" w14:textId="77777777" w:rsidR="008B05FB" w:rsidRDefault="008B0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1534" w14:textId="77777777" w:rsidR="000264AD" w:rsidRDefault="000264AD" w:rsidP="008B05FB">
      <w:pPr>
        <w:spacing w:after="0" w:line="240" w:lineRule="auto"/>
      </w:pPr>
      <w:r>
        <w:separator/>
      </w:r>
    </w:p>
  </w:footnote>
  <w:footnote w:type="continuationSeparator" w:id="0">
    <w:p w14:paraId="7A2A4E1B" w14:textId="77777777" w:rsidR="000264AD" w:rsidRDefault="000264AD" w:rsidP="008B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BAFD" w14:textId="1696E05E" w:rsidR="008B05FB" w:rsidRDefault="00000000">
    <w:pPr>
      <w:pStyle w:val="Header"/>
    </w:pPr>
    <w:r>
      <w:rPr>
        <w:noProof/>
      </w:rPr>
      <w:pict w14:anchorId="00C4B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17657" o:spid="_x0000_s1026" type="#_x0000_t136" style="position:absolute;margin-left:0;margin-top:0;width:570.3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B170" w14:textId="264ED4C9" w:rsidR="008B05FB" w:rsidRDefault="00000000">
    <w:pPr>
      <w:pStyle w:val="Header"/>
    </w:pPr>
    <w:r>
      <w:rPr>
        <w:noProof/>
      </w:rPr>
      <w:pict w14:anchorId="4B480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17658" o:spid="_x0000_s1027" type="#_x0000_t136" style="position:absolute;margin-left:0;margin-top:0;width:570.3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F002" w14:textId="1AF606B1" w:rsidR="008B05FB" w:rsidRDefault="00000000">
    <w:pPr>
      <w:pStyle w:val="Header"/>
    </w:pPr>
    <w:r>
      <w:rPr>
        <w:noProof/>
      </w:rPr>
      <w:pict w14:anchorId="6BC5B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17656" o:spid="_x0000_s1025" type="#_x0000_t136" style="position:absolute;margin-left:0;margin-top:0;width:570.3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84F81"/>
    <w:multiLevelType w:val="hybridMultilevel"/>
    <w:tmpl w:val="9DB6C9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2F203BF"/>
    <w:multiLevelType w:val="hybridMultilevel"/>
    <w:tmpl w:val="EF041DF0"/>
    <w:lvl w:ilvl="0" w:tplc="DECCEF52">
      <w:start w:val="1"/>
      <w:numFmt w:val="upperLetter"/>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3491662">
    <w:abstractNumId w:val="0"/>
  </w:num>
  <w:num w:numId="2" w16cid:durableId="2266542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CF"/>
    <w:rsid w:val="000264AD"/>
    <w:rsid w:val="00045EF6"/>
    <w:rsid w:val="00060537"/>
    <w:rsid w:val="000D2A95"/>
    <w:rsid w:val="000D3A74"/>
    <w:rsid w:val="00123E42"/>
    <w:rsid w:val="001546B6"/>
    <w:rsid w:val="0017410B"/>
    <w:rsid w:val="00192792"/>
    <w:rsid w:val="001A240A"/>
    <w:rsid w:val="001F7D0F"/>
    <w:rsid w:val="00226C0F"/>
    <w:rsid w:val="00235585"/>
    <w:rsid w:val="00247DCF"/>
    <w:rsid w:val="00260DC3"/>
    <w:rsid w:val="00264B04"/>
    <w:rsid w:val="00272937"/>
    <w:rsid w:val="002801F7"/>
    <w:rsid w:val="00281F3B"/>
    <w:rsid w:val="002915E6"/>
    <w:rsid w:val="00292359"/>
    <w:rsid w:val="002B12BB"/>
    <w:rsid w:val="002D3A8B"/>
    <w:rsid w:val="002D4F1F"/>
    <w:rsid w:val="00322970"/>
    <w:rsid w:val="0032449B"/>
    <w:rsid w:val="00325EF4"/>
    <w:rsid w:val="00330F87"/>
    <w:rsid w:val="003C03A2"/>
    <w:rsid w:val="003C1E0F"/>
    <w:rsid w:val="003C41DC"/>
    <w:rsid w:val="00424C9E"/>
    <w:rsid w:val="0043574E"/>
    <w:rsid w:val="00461F56"/>
    <w:rsid w:val="0046523B"/>
    <w:rsid w:val="004811B4"/>
    <w:rsid w:val="004870E0"/>
    <w:rsid w:val="00496189"/>
    <w:rsid w:val="004966C2"/>
    <w:rsid w:val="004C073C"/>
    <w:rsid w:val="004D229B"/>
    <w:rsid w:val="004F4F62"/>
    <w:rsid w:val="004F6A5E"/>
    <w:rsid w:val="00531D34"/>
    <w:rsid w:val="00550CC3"/>
    <w:rsid w:val="00555475"/>
    <w:rsid w:val="00593573"/>
    <w:rsid w:val="005A0F7A"/>
    <w:rsid w:val="005C6871"/>
    <w:rsid w:val="005E2752"/>
    <w:rsid w:val="005F0294"/>
    <w:rsid w:val="0061128A"/>
    <w:rsid w:val="00624515"/>
    <w:rsid w:val="00645853"/>
    <w:rsid w:val="006523F1"/>
    <w:rsid w:val="00661369"/>
    <w:rsid w:val="00666688"/>
    <w:rsid w:val="006803AC"/>
    <w:rsid w:val="006B7BF5"/>
    <w:rsid w:val="006E0212"/>
    <w:rsid w:val="00702927"/>
    <w:rsid w:val="00703CA3"/>
    <w:rsid w:val="0073150A"/>
    <w:rsid w:val="00775826"/>
    <w:rsid w:val="007975DE"/>
    <w:rsid w:val="007A0DF2"/>
    <w:rsid w:val="007A527D"/>
    <w:rsid w:val="007B7400"/>
    <w:rsid w:val="00803838"/>
    <w:rsid w:val="008166FF"/>
    <w:rsid w:val="008443D4"/>
    <w:rsid w:val="0084503F"/>
    <w:rsid w:val="00877BE8"/>
    <w:rsid w:val="008A1DC2"/>
    <w:rsid w:val="008B05FB"/>
    <w:rsid w:val="008C0DB8"/>
    <w:rsid w:val="008F2390"/>
    <w:rsid w:val="00917460"/>
    <w:rsid w:val="00977A95"/>
    <w:rsid w:val="00987075"/>
    <w:rsid w:val="009C5637"/>
    <w:rsid w:val="009C643D"/>
    <w:rsid w:val="009E1CC5"/>
    <w:rsid w:val="009E51C3"/>
    <w:rsid w:val="00A2595F"/>
    <w:rsid w:val="00A26616"/>
    <w:rsid w:val="00A33448"/>
    <w:rsid w:val="00A378BF"/>
    <w:rsid w:val="00A51B0A"/>
    <w:rsid w:val="00A53814"/>
    <w:rsid w:val="00A74745"/>
    <w:rsid w:val="00AD1E70"/>
    <w:rsid w:val="00AD38C2"/>
    <w:rsid w:val="00AD5B5D"/>
    <w:rsid w:val="00B6539C"/>
    <w:rsid w:val="00BD1909"/>
    <w:rsid w:val="00BE3DF3"/>
    <w:rsid w:val="00C10134"/>
    <w:rsid w:val="00C2221A"/>
    <w:rsid w:val="00C4679E"/>
    <w:rsid w:val="00C74977"/>
    <w:rsid w:val="00CD2232"/>
    <w:rsid w:val="00CF1962"/>
    <w:rsid w:val="00D10A4B"/>
    <w:rsid w:val="00D2252A"/>
    <w:rsid w:val="00D462A9"/>
    <w:rsid w:val="00D46FEE"/>
    <w:rsid w:val="00D65BBC"/>
    <w:rsid w:val="00D709A2"/>
    <w:rsid w:val="00D742C3"/>
    <w:rsid w:val="00DD350E"/>
    <w:rsid w:val="00DD4248"/>
    <w:rsid w:val="00DF116C"/>
    <w:rsid w:val="00E17A50"/>
    <w:rsid w:val="00E62756"/>
    <w:rsid w:val="00E8313C"/>
    <w:rsid w:val="00EC6B2B"/>
    <w:rsid w:val="00ED6948"/>
    <w:rsid w:val="00EE1208"/>
    <w:rsid w:val="00EE1FF6"/>
    <w:rsid w:val="00F4484E"/>
    <w:rsid w:val="00F62114"/>
    <w:rsid w:val="00F77046"/>
    <w:rsid w:val="00F81910"/>
    <w:rsid w:val="00FB2C08"/>
    <w:rsid w:val="00FB4653"/>
    <w:rsid w:val="00FD0538"/>
    <w:rsid w:val="00FF4F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30D15"/>
  <w15:chartTrackingRefBased/>
  <w15:docId w15:val="{59636F13-8517-4FC6-9E57-092ABBC4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D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D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D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D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D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D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D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D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D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DCF"/>
    <w:rPr>
      <w:rFonts w:eastAsiaTheme="majorEastAsia" w:cstheme="majorBidi"/>
      <w:color w:val="272727" w:themeColor="text1" w:themeTint="D8"/>
    </w:rPr>
  </w:style>
  <w:style w:type="paragraph" w:styleId="Title">
    <w:name w:val="Title"/>
    <w:basedOn w:val="Normal"/>
    <w:next w:val="Normal"/>
    <w:link w:val="TitleChar"/>
    <w:uiPriority w:val="10"/>
    <w:qFormat/>
    <w:rsid w:val="00247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DCF"/>
    <w:pPr>
      <w:spacing w:before="160"/>
      <w:jc w:val="center"/>
    </w:pPr>
    <w:rPr>
      <w:i/>
      <w:iCs/>
      <w:color w:val="404040" w:themeColor="text1" w:themeTint="BF"/>
    </w:rPr>
  </w:style>
  <w:style w:type="character" w:customStyle="1" w:styleId="QuoteChar">
    <w:name w:val="Quote Char"/>
    <w:basedOn w:val="DefaultParagraphFont"/>
    <w:link w:val="Quote"/>
    <w:uiPriority w:val="29"/>
    <w:rsid w:val="00247DCF"/>
    <w:rPr>
      <w:i/>
      <w:iCs/>
      <w:color w:val="404040" w:themeColor="text1" w:themeTint="BF"/>
    </w:rPr>
  </w:style>
  <w:style w:type="paragraph" w:styleId="ListParagraph">
    <w:name w:val="List Paragraph"/>
    <w:basedOn w:val="Normal"/>
    <w:uiPriority w:val="34"/>
    <w:qFormat/>
    <w:rsid w:val="00247DCF"/>
    <w:pPr>
      <w:ind w:left="720"/>
      <w:contextualSpacing/>
    </w:pPr>
  </w:style>
  <w:style w:type="character" w:styleId="IntenseEmphasis">
    <w:name w:val="Intense Emphasis"/>
    <w:basedOn w:val="DefaultParagraphFont"/>
    <w:uiPriority w:val="21"/>
    <w:qFormat/>
    <w:rsid w:val="00247DCF"/>
    <w:rPr>
      <w:i/>
      <w:iCs/>
      <w:color w:val="2F5496" w:themeColor="accent1" w:themeShade="BF"/>
    </w:rPr>
  </w:style>
  <w:style w:type="paragraph" w:styleId="IntenseQuote">
    <w:name w:val="Intense Quote"/>
    <w:basedOn w:val="Normal"/>
    <w:next w:val="Normal"/>
    <w:link w:val="IntenseQuoteChar"/>
    <w:uiPriority w:val="30"/>
    <w:qFormat/>
    <w:rsid w:val="00247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DCF"/>
    <w:rPr>
      <w:i/>
      <w:iCs/>
      <w:color w:val="2F5496" w:themeColor="accent1" w:themeShade="BF"/>
    </w:rPr>
  </w:style>
  <w:style w:type="character" w:styleId="IntenseReference">
    <w:name w:val="Intense Reference"/>
    <w:basedOn w:val="DefaultParagraphFont"/>
    <w:uiPriority w:val="32"/>
    <w:qFormat/>
    <w:rsid w:val="00247DCF"/>
    <w:rPr>
      <w:b/>
      <w:bCs/>
      <w:smallCaps/>
      <w:color w:val="2F5496" w:themeColor="accent1" w:themeShade="BF"/>
      <w:spacing w:val="5"/>
    </w:rPr>
  </w:style>
  <w:style w:type="paragraph" w:styleId="NormalWeb">
    <w:name w:val="Normal (Web)"/>
    <w:basedOn w:val="Normal"/>
    <w:uiPriority w:val="99"/>
    <w:semiHidden/>
    <w:unhideWhenUsed/>
    <w:rsid w:val="00A5381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77A95"/>
    <w:rPr>
      <w:color w:val="0563C1" w:themeColor="hyperlink"/>
      <w:u w:val="single"/>
    </w:rPr>
  </w:style>
  <w:style w:type="character" w:styleId="UnresolvedMention">
    <w:name w:val="Unresolved Mention"/>
    <w:basedOn w:val="DefaultParagraphFont"/>
    <w:uiPriority w:val="99"/>
    <w:semiHidden/>
    <w:unhideWhenUsed/>
    <w:rsid w:val="00977A95"/>
    <w:rPr>
      <w:color w:val="605E5C"/>
      <w:shd w:val="clear" w:color="auto" w:fill="E1DFDD"/>
    </w:rPr>
  </w:style>
  <w:style w:type="paragraph" w:styleId="Header">
    <w:name w:val="header"/>
    <w:basedOn w:val="Normal"/>
    <w:link w:val="HeaderChar"/>
    <w:uiPriority w:val="99"/>
    <w:unhideWhenUsed/>
    <w:rsid w:val="008B0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5FB"/>
  </w:style>
  <w:style w:type="paragraph" w:styleId="Footer">
    <w:name w:val="footer"/>
    <w:basedOn w:val="Normal"/>
    <w:link w:val="FooterChar"/>
    <w:uiPriority w:val="99"/>
    <w:unhideWhenUsed/>
    <w:rsid w:val="008B0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5FB"/>
  </w:style>
  <w:style w:type="character" w:styleId="CommentReference">
    <w:name w:val="annotation reference"/>
    <w:basedOn w:val="DefaultParagraphFont"/>
    <w:uiPriority w:val="99"/>
    <w:semiHidden/>
    <w:unhideWhenUsed/>
    <w:rsid w:val="005E2752"/>
    <w:rPr>
      <w:sz w:val="16"/>
      <w:szCs w:val="16"/>
    </w:rPr>
  </w:style>
  <w:style w:type="paragraph" w:styleId="CommentText">
    <w:name w:val="annotation text"/>
    <w:basedOn w:val="Normal"/>
    <w:link w:val="CommentTextChar"/>
    <w:uiPriority w:val="99"/>
    <w:unhideWhenUsed/>
    <w:rsid w:val="005E2752"/>
    <w:pPr>
      <w:spacing w:line="240" w:lineRule="auto"/>
    </w:pPr>
    <w:rPr>
      <w:sz w:val="20"/>
      <w:szCs w:val="20"/>
    </w:rPr>
  </w:style>
  <w:style w:type="character" w:customStyle="1" w:styleId="CommentTextChar">
    <w:name w:val="Comment Text Char"/>
    <w:basedOn w:val="DefaultParagraphFont"/>
    <w:link w:val="CommentText"/>
    <w:uiPriority w:val="99"/>
    <w:rsid w:val="005E2752"/>
    <w:rPr>
      <w:sz w:val="20"/>
      <w:szCs w:val="20"/>
    </w:rPr>
  </w:style>
  <w:style w:type="paragraph" w:styleId="CommentSubject">
    <w:name w:val="annotation subject"/>
    <w:basedOn w:val="CommentText"/>
    <w:next w:val="CommentText"/>
    <w:link w:val="CommentSubjectChar"/>
    <w:uiPriority w:val="99"/>
    <w:semiHidden/>
    <w:unhideWhenUsed/>
    <w:rsid w:val="005E2752"/>
    <w:rPr>
      <w:b/>
      <w:bCs/>
    </w:rPr>
  </w:style>
  <w:style w:type="character" w:customStyle="1" w:styleId="CommentSubjectChar">
    <w:name w:val="Comment Subject Char"/>
    <w:basedOn w:val="CommentTextChar"/>
    <w:link w:val="CommentSubject"/>
    <w:uiPriority w:val="99"/>
    <w:semiHidden/>
    <w:rsid w:val="005E27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microc.2021.106129" TargetMode="External"/><Relationship Id="rId18" Type="http://schemas.openxmlformats.org/officeDocument/2006/relationships/hyperlink" Target="http://eprints.cmfri.org.in/id/eprint/894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ocecoaman.2005.03.011" TargetMode="External"/><Relationship Id="rId7" Type="http://schemas.openxmlformats.org/officeDocument/2006/relationships/comments" Target="comments.xml"/><Relationship Id="rId12" Type="http://schemas.openxmlformats.org/officeDocument/2006/relationships/image" Target="media/image2.jpg"/><Relationship Id="rId17" Type="http://schemas.openxmlformats.org/officeDocument/2006/relationships/hyperlink" Target="https://doi.org/10.1515/bot-2020-006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km.my/geografia/images/upload/8.geografia-okt%202012-proshanta-english-am.pdf" TargetMode="External"/><Relationship Id="rId20" Type="http://schemas.openxmlformats.org/officeDocument/2006/relationships/hyperlink" Target="https://www.researchgate.net/publication/281340000_Distribution_and_Diversity_of_Seaweeds_at_Thikkodi_Coast_Kerala_South_Indi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md20060342"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www.idosi.org/aejb/1(2)08/6.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BF00388926" TargetMode="External"/><Relationship Id="rId22" Type="http://schemas.openxmlformats.org/officeDocument/2006/relationships/hyperlink" Target="https://doi.org/10.11609/jott.2102.9.3.9911-9919"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Ganga Johny</dc:creator>
  <cp:keywords/>
  <dc:description/>
  <cp:lastModifiedBy>Acer</cp:lastModifiedBy>
  <cp:revision>20</cp:revision>
  <dcterms:created xsi:type="dcterms:W3CDTF">2025-12-08T13:22:00Z</dcterms:created>
  <dcterms:modified xsi:type="dcterms:W3CDTF">2025-12-12T03:13:00Z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c5add27a-6cf6-410f-8d33-2e173a92849a</vt:lpwstr>
  </property>
</Properties>
</file>