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2957" w14:textId="77777777" w:rsidR="007E2B5C" w:rsidRPr="007E2B5C" w:rsidRDefault="007E2B5C" w:rsidP="007E2B5C">
      <w:pPr>
        <w:spacing w:line="480" w:lineRule="auto"/>
        <w:jc w:val="both"/>
        <w:rPr>
          <w:rFonts w:ascii="Arial" w:hAnsi="Arial" w:cs="Arial"/>
          <w:b/>
          <w:bCs/>
          <w:i/>
          <w:iCs/>
          <w:color w:val="000000" w:themeColor="text1"/>
          <w:u w:val="single"/>
          <w:lang w:val="en-US"/>
        </w:rPr>
      </w:pPr>
      <w:r w:rsidRPr="007E2B5C">
        <w:rPr>
          <w:rFonts w:ascii="Arial" w:hAnsi="Arial" w:cs="Arial"/>
          <w:b/>
          <w:bCs/>
          <w:i/>
          <w:iCs/>
          <w:color w:val="000000" w:themeColor="text1"/>
          <w:u w:val="single"/>
          <w:lang w:val="en-US"/>
        </w:rPr>
        <w:t>Original Research Article</w:t>
      </w:r>
    </w:p>
    <w:p w14:paraId="01C90B46" w14:textId="77777777" w:rsidR="00556FF6" w:rsidRDefault="00DA3F3F">
      <w:pPr>
        <w:spacing w:line="480" w:lineRule="auto"/>
        <w:jc w:val="both"/>
        <w:rPr>
          <w:rFonts w:ascii="Arial" w:hAnsi="Arial" w:cs="Arial"/>
          <w:b/>
          <w:color w:val="000000" w:themeColor="text1"/>
        </w:rPr>
      </w:pPr>
      <w:r>
        <w:rPr>
          <w:rFonts w:ascii="Arial" w:hAnsi="Arial" w:cs="Arial"/>
          <w:b/>
          <w:color w:val="000000" w:themeColor="text1"/>
        </w:rPr>
        <w:t>Strain-Based Comparison of Red tilapia and Genetically Improved Farmed Tilapia: Growth, Fillet and Nutritional Attributes</w:t>
      </w:r>
    </w:p>
    <w:p w14:paraId="47529159" w14:textId="77777777" w:rsidR="00D5071B" w:rsidRDefault="00D5071B">
      <w:pPr>
        <w:spacing w:line="240" w:lineRule="auto"/>
        <w:jc w:val="both"/>
        <w:rPr>
          <w:rFonts w:ascii="Arial" w:hAnsi="Arial" w:cs="Arial"/>
          <w:b/>
          <w:color w:val="000000" w:themeColor="text1"/>
          <w:sz w:val="20"/>
          <w:szCs w:val="20"/>
        </w:rPr>
      </w:pPr>
    </w:p>
    <w:p w14:paraId="50508523" w14:textId="77777777" w:rsidR="00556FF6" w:rsidRDefault="00DA3F3F">
      <w:pPr>
        <w:spacing w:line="480" w:lineRule="auto"/>
        <w:jc w:val="both"/>
        <w:rPr>
          <w:rFonts w:ascii="Arial" w:hAnsi="Arial" w:cs="Arial"/>
          <w:b/>
          <w:color w:val="000000" w:themeColor="text1"/>
        </w:rPr>
      </w:pPr>
      <w:r>
        <w:rPr>
          <w:rFonts w:ascii="Arial" w:hAnsi="Arial" w:cs="Arial"/>
          <w:b/>
          <w:color w:val="000000" w:themeColor="text1"/>
        </w:rPr>
        <w:t>ABSTRACT</w:t>
      </w:r>
    </w:p>
    <w:p w14:paraId="3C107ED6"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Tilapia, a fast-growing species from the </w:t>
      </w:r>
      <w:proofErr w:type="spellStart"/>
      <w:r>
        <w:rPr>
          <w:rFonts w:ascii="Arial" w:hAnsi="Arial" w:cs="Arial"/>
          <w:color w:val="000000" w:themeColor="text1"/>
          <w:sz w:val="20"/>
          <w:szCs w:val="20"/>
        </w:rPr>
        <w:t>Cichlidae</w:t>
      </w:r>
      <w:proofErr w:type="spellEnd"/>
      <w:r>
        <w:rPr>
          <w:rFonts w:ascii="Arial" w:hAnsi="Arial" w:cs="Arial"/>
          <w:color w:val="000000" w:themeColor="text1"/>
          <w:sz w:val="20"/>
          <w:szCs w:val="20"/>
        </w:rPr>
        <w:t xml:space="preserve"> family is often termed as ‘aquatic chicken’. This study was to evaluate the growth performance using growth metrics like specific growth rate (SGR), feed conversion ratio (FCR), feed efficiency ratio (FER), protein efficiency ratio (PER), carcass characteristics and nutritional quality of Red tilapia and Genetically Improved Farmed Tilapia (GIFT) strains reared under pond conditions. Advanced mono-sex fingerlings of both strains were subjected to 17-methyl testosterone treatment. They were reared in nursery hapas for 60 days before being stocked in polyethylene-lined earthen ponds using completely randomized design with two treatments in duplicate. Fish were fed with commercial floating pellets while monitoring standard water quality parameters. Carcass traits were evaluated and the proximate composition was determined using Association of Official Analytical Chemists (AOAC) methods. Texture profile analysis was conducted using </w:t>
      </w:r>
      <w:proofErr w:type="spellStart"/>
      <w:r>
        <w:rPr>
          <w:rFonts w:ascii="Arial" w:hAnsi="Arial" w:cs="Arial"/>
          <w:color w:val="000000" w:themeColor="text1"/>
          <w:sz w:val="20"/>
          <w:szCs w:val="20"/>
        </w:rPr>
        <w:t>Taxt</w:t>
      </w:r>
      <w:proofErr w:type="spellEnd"/>
      <w:r>
        <w:rPr>
          <w:rFonts w:ascii="Arial" w:hAnsi="Arial" w:cs="Arial"/>
          <w:color w:val="000000" w:themeColor="text1"/>
          <w:sz w:val="20"/>
          <w:szCs w:val="20"/>
        </w:rPr>
        <w:t>-plus texture analyser. Fatty acid profiles were assessed by Gas chromatography-mass spectrometry after fatty acid methyl esters preparation. Statistical analysis was performed using SPSS software with significance set at P&lt;0.05. GIFT strain demonstrated markedly enhanced performance characterized by significantly elevated final biomass, superior specific growth rate (SGR) and improved feed conversion ratio (FCR) indicative of its advanced genetic merit for accelerated somatic growth and optimized nutrient assimilation. Additionally, it exhibited superior carcass traits with favourable flesh-to-bone ratio and increased fillet yield. Despite similar total lipid levels, GIFT strain exhibited a more favourable fatty acid composition, characterized by higher beneficial polyunsaturated fatty acids (PUFAs) and an improved omega-6 to omega-3 ratio, suggesting enhanced nutritional value.</w:t>
      </w:r>
    </w:p>
    <w:p w14:paraId="5FDE9987" w14:textId="7DE7C9EC" w:rsidR="00556FF6" w:rsidRDefault="00DA3F3F">
      <w:pPr>
        <w:spacing w:line="480" w:lineRule="auto"/>
        <w:jc w:val="both"/>
        <w:rPr>
          <w:rFonts w:ascii="Arial" w:hAnsi="Arial" w:cs="Arial"/>
          <w:color w:val="000000" w:themeColor="text1"/>
          <w:sz w:val="20"/>
          <w:szCs w:val="20"/>
        </w:rPr>
      </w:pPr>
      <w:r>
        <w:rPr>
          <w:rFonts w:ascii="Arial" w:hAnsi="Arial" w:cs="Arial"/>
          <w:b/>
          <w:i/>
          <w:color w:val="000000" w:themeColor="text1"/>
        </w:rPr>
        <w:t>Keywords:</w:t>
      </w:r>
      <w:r>
        <w:rPr>
          <w:rFonts w:ascii="Arial" w:hAnsi="Arial" w:cs="Arial"/>
          <w:color w:val="000000" w:themeColor="text1"/>
        </w:rPr>
        <w:t xml:space="preserve"> </w:t>
      </w:r>
      <w:r>
        <w:rPr>
          <w:rFonts w:ascii="Arial" w:hAnsi="Arial" w:cs="Arial"/>
          <w:color w:val="000000" w:themeColor="text1"/>
          <w:sz w:val="20"/>
          <w:szCs w:val="20"/>
        </w:rPr>
        <w:t>Tilapia strains, Growth performance, Carcass yield, Fillet quality, Nutritional composition</w:t>
      </w:r>
    </w:p>
    <w:p w14:paraId="403A6A5B" w14:textId="1C0EF635" w:rsidR="001F28CC" w:rsidRDefault="001F28CC">
      <w:pPr>
        <w:spacing w:line="480" w:lineRule="auto"/>
        <w:jc w:val="both"/>
        <w:rPr>
          <w:rFonts w:ascii="Arial" w:hAnsi="Arial" w:cs="Arial"/>
          <w:color w:val="000000" w:themeColor="text1"/>
          <w:sz w:val="20"/>
          <w:szCs w:val="20"/>
        </w:rPr>
      </w:pPr>
    </w:p>
    <w:p w14:paraId="05081E3B" w14:textId="237C8225" w:rsidR="001F28CC" w:rsidRDefault="001F28CC">
      <w:pPr>
        <w:spacing w:line="480" w:lineRule="auto"/>
        <w:jc w:val="both"/>
        <w:rPr>
          <w:rFonts w:ascii="Arial" w:hAnsi="Arial" w:cs="Arial"/>
          <w:color w:val="000000" w:themeColor="text1"/>
          <w:sz w:val="20"/>
          <w:szCs w:val="20"/>
        </w:rPr>
      </w:pPr>
    </w:p>
    <w:p w14:paraId="7A998E91" w14:textId="77777777" w:rsidR="001F28CC" w:rsidRDefault="001F28CC">
      <w:pPr>
        <w:spacing w:line="480" w:lineRule="auto"/>
        <w:jc w:val="both"/>
        <w:rPr>
          <w:rFonts w:ascii="Arial" w:hAnsi="Arial" w:cs="Arial"/>
          <w:color w:val="000000" w:themeColor="text1"/>
          <w:sz w:val="20"/>
          <w:szCs w:val="20"/>
        </w:rPr>
      </w:pPr>
    </w:p>
    <w:p w14:paraId="79B4BC50" w14:textId="77777777" w:rsidR="00556FF6" w:rsidRDefault="00DA3F3F">
      <w:pPr>
        <w:pStyle w:val="ListParagraph"/>
        <w:numPr>
          <w:ilvl w:val="0"/>
          <w:numId w:val="2"/>
        </w:numPr>
        <w:spacing w:line="480" w:lineRule="auto"/>
        <w:jc w:val="both"/>
        <w:rPr>
          <w:rFonts w:ascii="Arial" w:hAnsi="Arial" w:cs="Arial"/>
          <w:b/>
          <w:color w:val="000000" w:themeColor="text1"/>
        </w:rPr>
      </w:pPr>
      <w:r>
        <w:rPr>
          <w:rFonts w:ascii="Arial" w:hAnsi="Arial" w:cs="Arial"/>
          <w:b/>
          <w:color w:val="000000" w:themeColor="text1"/>
        </w:rPr>
        <w:t>INTRODUCTION</w:t>
      </w:r>
    </w:p>
    <w:p w14:paraId="25A934F6"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Tilapia, a widely cultured freshwater fish, has gained global significance due to its fast growth, high feed efficiency, adaptability to various environmental conditions and consumer acceptance. Among the various strains, Red tilapia and Genetically Improved Farmed Tilapia (GIFT) have emerged as promising candidates for intensive and semi-intensive aquaculture systems. The application of mono-sex culture, especially through hormonal sex reversal is a common practice to enhance growth performance by preventing early reproduction and reducing competition for resources. With increasing demand for quality protein sources and sustainable aquaculture practices, comparative studies focusing on growth performance, feed utilization and fillet quality of different tilapia strains under similar environmental conditions are essential for informed species selection in aquaculture operations.</w:t>
      </w:r>
    </w:p>
    <w:p w14:paraId="67618A6C"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The present study was undertaken to compare the growth performance, feed utilization, survival rate, carcass quality and nutritional composition of Red tilapia and GIFT tilapia strains under identical culture conditions. Conducted at the </w:t>
      </w:r>
      <w:proofErr w:type="spellStart"/>
      <w:r>
        <w:rPr>
          <w:rFonts w:ascii="Arial" w:hAnsi="Arial" w:cs="Arial"/>
          <w:color w:val="000000" w:themeColor="text1"/>
          <w:sz w:val="20"/>
          <w:szCs w:val="20"/>
        </w:rPr>
        <w:t>Krishnagiri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Barur</w:t>
      </w:r>
      <w:proofErr w:type="spellEnd"/>
      <w:r>
        <w:rPr>
          <w:rFonts w:ascii="Arial" w:hAnsi="Arial" w:cs="Arial"/>
          <w:color w:val="000000" w:themeColor="text1"/>
          <w:sz w:val="20"/>
          <w:szCs w:val="20"/>
        </w:rPr>
        <w:t xml:space="preserve"> Centre for Sustainable Aquaculture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Tamil Nadu, the experiment employed advanced mono-sex fingerlings of both strains, reared in replicated earthen ponds lined with high-density polyethylene sheets. Both strains were fed with standardized commercial diet and monitored for water quality throughout the culture period. Previous studies have often focused on either growth metrics or fillet traits independently. However, comprehensive assessments combining growth, feed efficiency, proximate carcass analysis and fatty acid profiles remain limited (Sahu et al., 2000). Therefore, this study aims at providing a holistic comparison of Red and GIFT tilapia strains to support informed decision-making in strain selection and management practices for sustainable freshwater aquaculture.</w:t>
      </w:r>
    </w:p>
    <w:p w14:paraId="24082EE6"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The development of GIFT tilapia through selective breeding has resulted in significant improvements in growth rate, feed conversion ratio and survival compared to wild and unimproved strains (Gupta &amp; Acosta, 2004). Studies by El-Sayed (2006) reported that GIFT tilapia can outperform other strains in semi-intensive and intensive production systems. Red tilapia, a hybrid strain known for its reddish coloration and consumer appeal, has also shown competitive growth and marketability, particularly in Asian markets. Hormonal sex reversal using 17α-methyl testosterone has become a standard technique to produce mono-sex populations which helps in preventing early reproduction and </w:t>
      </w:r>
      <w:r>
        <w:rPr>
          <w:rFonts w:ascii="Arial" w:hAnsi="Arial" w:cs="Arial"/>
          <w:color w:val="000000" w:themeColor="text1"/>
          <w:sz w:val="20"/>
          <w:szCs w:val="20"/>
        </w:rPr>
        <w:lastRenderedPageBreak/>
        <w:t>promotes uniform growth, as documented by Green &amp; Teichert-Coddington (2000). Furthermore, feed type, protein levels and feeding frequency significantly influence the growth performance of tilapia with optimal protein content reported between 28% and 32% for juveniles.</w:t>
      </w:r>
    </w:p>
    <w:p w14:paraId="68FBE2FA"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Beyond growth performance, researchers have emphasized the importance of assessing fillet yield, body composition and texture quality in tilapia strains. Sahu et al. (2000) proposed standard methods to evaluate carcass and offal traits in freshwater fish which have been widely applied to understand economic yield. The fatty acid composition, particularly the presence of beneficial polyunsaturated fatty acids (PUFAs) has also been studied as an indicator of the nutritional quality of fish with extraction and analysis techniques standardized by Folch et al. (1957) and Association of Official Analytical Chemists (AOAC) (2016). However, comprehensive studies comparing these parameters between different tilapia strains under uniform rearing conditions are limited. Therefore, a combined evaluation of growth, feed efficiency, carcass yield and nutritional quality is essential for better strain selection and sustainable aquaculture development.</w:t>
      </w:r>
    </w:p>
    <w:p w14:paraId="223F7E38" w14:textId="77777777" w:rsidR="00556FF6" w:rsidRDefault="00DA3F3F">
      <w:pPr>
        <w:pStyle w:val="ListParagraph"/>
        <w:numPr>
          <w:ilvl w:val="0"/>
          <w:numId w:val="2"/>
        </w:numPr>
        <w:spacing w:line="480" w:lineRule="auto"/>
        <w:jc w:val="both"/>
        <w:rPr>
          <w:rFonts w:ascii="Arial" w:hAnsi="Arial" w:cs="Arial"/>
          <w:color w:val="000000" w:themeColor="text1"/>
        </w:rPr>
      </w:pPr>
      <w:r>
        <w:rPr>
          <w:rFonts w:ascii="Arial" w:hAnsi="Arial" w:cs="Arial"/>
          <w:b/>
          <w:color w:val="000000" w:themeColor="text1"/>
        </w:rPr>
        <w:t>MATERIALS AND METHODS</w:t>
      </w:r>
    </w:p>
    <w:p w14:paraId="78D9E54F" w14:textId="77777777" w:rsidR="00556FF6" w:rsidRDefault="00DA3F3F">
      <w:pPr>
        <w:pStyle w:val="ListParagraph"/>
        <w:numPr>
          <w:ilvl w:val="0"/>
          <w:numId w:val="3"/>
        </w:numPr>
        <w:spacing w:line="480" w:lineRule="auto"/>
        <w:jc w:val="both"/>
        <w:rPr>
          <w:rStyle w:val="Strong"/>
          <w:rFonts w:ascii="Arial" w:hAnsi="Arial" w:cs="Arial"/>
          <w:color w:val="000000" w:themeColor="text1"/>
        </w:rPr>
      </w:pPr>
      <w:r>
        <w:rPr>
          <w:rStyle w:val="Strong"/>
          <w:rFonts w:ascii="Arial" w:hAnsi="Arial" w:cs="Arial"/>
          <w:color w:val="000000" w:themeColor="text1"/>
        </w:rPr>
        <w:t>Materials:</w:t>
      </w:r>
    </w:p>
    <w:p w14:paraId="5A3F0607" w14:textId="77777777" w:rsidR="00556FF6" w:rsidRDefault="00DA3F3F">
      <w:pPr>
        <w:spacing w:line="480" w:lineRule="auto"/>
        <w:ind w:firstLine="720"/>
        <w:jc w:val="both"/>
        <w:rPr>
          <w:rStyle w:val="Strong"/>
          <w:rFonts w:ascii="Arial" w:hAnsi="Arial" w:cs="Arial"/>
          <w:b w:val="0"/>
          <w:color w:val="000000" w:themeColor="text1"/>
          <w:sz w:val="20"/>
          <w:szCs w:val="20"/>
        </w:rPr>
      </w:pPr>
      <w:r>
        <w:rPr>
          <w:rStyle w:val="Strong"/>
          <w:rFonts w:ascii="Arial" w:hAnsi="Arial" w:cs="Arial"/>
          <w:b w:val="0"/>
          <w:color w:val="000000" w:themeColor="text1"/>
          <w:sz w:val="20"/>
          <w:szCs w:val="20"/>
        </w:rPr>
        <w:t xml:space="preserve">This study utilized two strains of tilapia: The Genetically Improved Farmed Tilapia (GIFT) and Red tilapia, both sourced from a certified hatchery. The experiment was conducted in outdoor earthen ponds located at </w:t>
      </w:r>
      <w:proofErr w:type="spellStart"/>
      <w:r>
        <w:rPr>
          <w:rStyle w:val="Strong"/>
          <w:rFonts w:ascii="Arial" w:hAnsi="Arial" w:cs="Arial"/>
          <w:b w:val="0"/>
          <w:color w:val="000000" w:themeColor="text1"/>
          <w:sz w:val="20"/>
          <w:szCs w:val="20"/>
        </w:rPr>
        <w:t>Krishnagiri</w:t>
      </w:r>
      <w:proofErr w:type="spellEnd"/>
      <w:r>
        <w:rPr>
          <w:rStyle w:val="Strong"/>
          <w:rFonts w:ascii="Arial" w:hAnsi="Arial" w:cs="Arial"/>
          <w:b w:val="0"/>
          <w:color w:val="000000" w:themeColor="text1"/>
          <w:sz w:val="20"/>
          <w:szCs w:val="20"/>
        </w:rPr>
        <w:t xml:space="preserve">, </w:t>
      </w:r>
      <w:proofErr w:type="spellStart"/>
      <w:r>
        <w:rPr>
          <w:rFonts w:ascii="Arial" w:hAnsi="Arial" w:cs="Arial"/>
          <w:color w:val="000000" w:themeColor="text1"/>
          <w:sz w:val="20"/>
          <w:szCs w:val="20"/>
        </w:rPr>
        <w:t>Barur</w:t>
      </w:r>
      <w:proofErr w:type="spellEnd"/>
      <w:r>
        <w:rPr>
          <w:rFonts w:ascii="Arial" w:hAnsi="Arial" w:cs="Arial"/>
          <w:color w:val="000000" w:themeColor="text1"/>
          <w:sz w:val="20"/>
          <w:szCs w:val="20"/>
        </w:rPr>
        <w:t xml:space="preserve"> Centre for Sustainable Aquaculture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Tamil Nadu</w:t>
      </w:r>
      <w:r>
        <w:rPr>
          <w:rStyle w:val="Strong"/>
          <w:rFonts w:ascii="Arial" w:hAnsi="Arial" w:cs="Arial"/>
          <w:b w:val="0"/>
          <w:color w:val="000000" w:themeColor="text1"/>
          <w:sz w:val="20"/>
          <w:szCs w:val="20"/>
        </w:rPr>
        <w:t xml:space="preserve"> which were uniformly prepared and maintained for semi-intensive aquaculture conditions. Fish were initially stocked at equal densities and similar weights to ensure standardization. Commercial floating pellet feed containing approximately 30% crude protein was used throughout the culture period. Basic aquaculture equipment including feeding trays, aerators, digital weighing balances and water quality testing kits (for measuring pH, dissolved oxygen, ammonia and temperature) were employed for daily management. For laboratory analysis, standard tools such as dissecting kits, moisture analysers, Soxhlet extraction units, muffle furnaces and drying ovens were used to evaluate carcass characteristics and proximate composition. Statistical analysis was performed using SPSS version 25 to ensure accurate interpretation of experimental data.</w:t>
      </w:r>
    </w:p>
    <w:p w14:paraId="3ED71DF9" w14:textId="77777777" w:rsidR="00556FF6" w:rsidRDefault="00DA3F3F">
      <w:pPr>
        <w:pStyle w:val="ListParagraph"/>
        <w:numPr>
          <w:ilvl w:val="0"/>
          <w:numId w:val="3"/>
        </w:numPr>
        <w:spacing w:line="480" w:lineRule="auto"/>
        <w:jc w:val="both"/>
        <w:rPr>
          <w:rStyle w:val="Strong"/>
          <w:rFonts w:ascii="Arial" w:hAnsi="Arial" w:cs="Arial"/>
          <w:color w:val="000000" w:themeColor="text1"/>
          <w:sz w:val="20"/>
          <w:szCs w:val="20"/>
        </w:rPr>
      </w:pPr>
      <w:r>
        <w:rPr>
          <w:rStyle w:val="Strong"/>
          <w:rFonts w:ascii="Arial" w:hAnsi="Arial" w:cs="Arial"/>
          <w:color w:val="000000" w:themeColor="text1"/>
          <w:sz w:val="20"/>
          <w:szCs w:val="20"/>
        </w:rPr>
        <w:t>Methods:</w:t>
      </w:r>
    </w:p>
    <w:p w14:paraId="5DA5B4B8" w14:textId="77777777" w:rsidR="00556FF6" w:rsidRDefault="00DA3F3F">
      <w:pPr>
        <w:spacing w:line="480" w:lineRule="auto"/>
        <w:ind w:firstLine="720"/>
        <w:jc w:val="both"/>
        <w:rPr>
          <w:rStyle w:val="Strong"/>
          <w:rFonts w:ascii="Arial" w:hAnsi="Arial" w:cs="Arial"/>
          <w:b w:val="0"/>
          <w:color w:val="000000" w:themeColor="text1"/>
          <w:sz w:val="20"/>
          <w:szCs w:val="20"/>
        </w:rPr>
      </w:pPr>
      <w:r>
        <w:rPr>
          <w:rStyle w:val="Strong"/>
          <w:rFonts w:ascii="Arial" w:hAnsi="Arial" w:cs="Arial"/>
          <w:b w:val="0"/>
          <w:color w:val="000000" w:themeColor="text1"/>
          <w:sz w:val="20"/>
          <w:szCs w:val="20"/>
        </w:rPr>
        <w:lastRenderedPageBreak/>
        <w:t>The field experiment took place under controlled pond conditions, ensuring consistent environmental and management practices throughout the duration of the study.</w:t>
      </w:r>
    </w:p>
    <w:p w14:paraId="3912D9D3" w14:textId="77777777" w:rsidR="00556FF6" w:rsidRDefault="00DA3F3F">
      <w:pPr>
        <w:spacing w:after="0" w:line="480" w:lineRule="auto"/>
        <w:jc w:val="both"/>
        <w:rPr>
          <w:rFonts w:ascii="Arial" w:hAnsi="Arial" w:cs="Arial"/>
          <w:color w:val="000000" w:themeColor="text1"/>
          <w:sz w:val="21"/>
          <w:szCs w:val="21"/>
        </w:rPr>
      </w:pPr>
      <w:r>
        <w:rPr>
          <w:rStyle w:val="Strong"/>
          <w:rFonts w:ascii="Arial" w:hAnsi="Arial" w:cs="Arial"/>
          <w:color w:val="000000" w:themeColor="text1"/>
        </w:rPr>
        <w:t>Experimental Fish and Rearing</w:t>
      </w:r>
      <w:r>
        <w:rPr>
          <w:rFonts w:ascii="Arial" w:hAnsi="Arial" w:cs="Arial"/>
          <w:color w:val="000000" w:themeColor="text1"/>
          <w:sz w:val="21"/>
          <w:szCs w:val="21"/>
        </w:rPr>
        <w:br/>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0"/>
          <w:szCs w:val="20"/>
        </w:rPr>
        <w:t xml:space="preserve">Advanced mono-sex fingerlings of Red strain and GIFT tilapia were used as the experimental specimens. These fish underwent 21 days of hormonal treatment using 17-methyl testosterone at the mono-sex seed production unit of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A total of 10,000 seeds for each strain were reared separately in nursery hapas (10 m × 1 m × 1 m) using commercial floating pellet feed (</w:t>
      </w:r>
      <w:proofErr w:type="spellStart"/>
      <w:r>
        <w:rPr>
          <w:rFonts w:ascii="Arial" w:hAnsi="Arial" w:cs="Arial"/>
          <w:color w:val="000000" w:themeColor="text1"/>
          <w:sz w:val="20"/>
          <w:szCs w:val="20"/>
        </w:rPr>
        <w:t>Growel</w:t>
      </w:r>
      <w:proofErr w:type="spellEnd"/>
      <w:r>
        <w:rPr>
          <w:rFonts w:ascii="Arial" w:hAnsi="Arial" w:cs="Arial"/>
          <w:color w:val="000000" w:themeColor="text1"/>
          <w:sz w:val="20"/>
          <w:szCs w:val="20"/>
        </w:rPr>
        <w:t>; 32% crude protein) at 8–10% of body weight for 60 days. Upon reaching an average size of 25 g, 2,500 fingerlings from each strain were selected for the main experiment.</w:t>
      </w:r>
    </w:p>
    <w:p w14:paraId="233B4B78" w14:textId="77777777" w:rsidR="00556FF6" w:rsidRDefault="00DA3F3F">
      <w:pPr>
        <w:spacing w:line="480" w:lineRule="auto"/>
        <w:jc w:val="both"/>
        <w:rPr>
          <w:rFonts w:ascii="Arial" w:hAnsi="Arial" w:cs="Arial"/>
          <w:b/>
          <w:color w:val="000000" w:themeColor="text1"/>
        </w:rPr>
      </w:pPr>
      <w:r>
        <w:rPr>
          <w:rFonts w:ascii="Arial" w:hAnsi="Arial" w:cs="Arial"/>
          <w:b/>
          <w:color w:val="000000" w:themeColor="text1"/>
        </w:rPr>
        <w:t>Experimental Design and Pond Setup</w:t>
      </w:r>
    </w:p>
    <w:p w14:paraId="34CB0FF0"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A completely randomized design (CRD) was employed with Red and GIFT tilapia as the two treatments; each duplicated in earthen ponds of 357 m². Standard preparation included drying, ploughing, lining with HDPE sheets and manuring with fermented organic slurry. Ponds were filled with water to a 1m depth and allowed to stabilize for live feed development before stocking.</w:t>
      </w:r>
    </w:p>
    <w:p w14:paraId="6D2F3FC1" w14:textId="77777777" w:rsidR="00556FF6" w:rsidRDefault="00DA3F3F">
      <w:pPr>
        <w:spacing w:line="480" w:lineRule="auto"/>
        <w:jc w:val="both"/>
        <w:rPr>
          <w:rFonts w:ascii="Arial" w:hAnsi="Arial" w:cs="Arial"/>
          <w:b/>
          <w:color w:val="000000" w:themeColor="text1"/>
        </w:rPr>
      </w:pPr>
      <w:r>
        <w:rPr>
          <w:rFonts w:ascii="Arial" w:hAnsi="Arial" w:cs="Arial"/>
          <w:b/>
          <w:color w:val="000000" w:themeColor="text1"/>
        </w:rPr>
        <w:t>Stocking and Feeding</w:t>
      </w:r>
    </w:p>
    <w:p w14:paraId="48ADB996"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Each pond was stocked with 1,100 fingerlings (3 fish/m³) early in the morning. Feeding was carried out twice daily using a 3 mm floating commercial pellet, initially at 8% of biomass and gradually reduced to 3–5% as fish grew. The feed had 28% crude protein, 4% fat, 8.5% fibre and 12% moisture.</w:t>
      </w:r>
    </w:p>
    <w:p w14:paraId="4BB58DAD" w14:textId="77777777" w:rsidR="00556FF6" w:rsidRDefault="00DA3F3F">
      <w:pPr>
        <w:spacing w:line="480" w:lineRule="auto"/>
        <w:jc w:val="both"/>
        <w:rPr>
          <w:rFonts w:ascii="Arial" w:hAnsi="Arial" w:cs="Arial"/>
          <w:b/>
          <w:color w:val="000000" w:themeColor="text1"/>
        </w:rPr>
      </w:pPr>
      <w:r>
        <w:rPr>
          <w:rFonts w:ascii="Arial" w:hAnsi="Arial" w:cs="Arial"/>
          <w:b/>
          <w:color w:val="000000" w:themeColor="text1"/>
        </w:rPr>
        <w:t>Water Quality Monitoring</w:t>
      </w:r>
    </w:p>
    <w:p w14:paraId="0F090C0E"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Daily measurements included dissolved oxygen, pH and water temperature while hardness, alkalinity, ammonia and nitrate were recorded every 10 days following APHA (1981) standards. Tools such as Winkler’s method and commercial test kits were used for analysis.</w:t>
      </w:r>
    </w:p>
    <w:p w14:paraId="69201F45" w14:textId="77777777" w:rsidR="00556FF6" w:rsidRDefault="00DA3F3F">
      <w:pPr>
        <w:pStyle w:val="ListParagraph"/>
        <w:numPr>
          <w:ilvl w:val="0"/>
          <w:numId w:val="2"/>
        </w:numPr>
        <w:spacing w:line="480" w:lineRule="auto"/>
        <w:jc w:val="both"/>
        <w:rPr>
          <w:rFonts w:ascii="Arial" w:hAnsi="Arial" w:cs="Arial"/>
          <w:color w:val="000000" w:themeColor="text1"/>
          <w:sz w:val="20"/>
          <w:szCs w:val="20"/>
        </w:rPr>
      </w:pPr>
      <w:r>
        <w:rPr>
          <w:rFonts w:ascii="Arial" w:hAnsi="Arial" w:cs="Arial"/>
          <w:b/>
          <w:color w:val="000000" w:themeColor="text1"/>
          <w:sz w:val="20"/>
          <w:szCs w:val="20"/>
        </w:rPr>
        <w:t>RESULTS AND DISCUSSION</w:t>
      </w:r>
    </w:p>
    <w:p w14:paraId="105C7E06" w14:textId="77777777" w:rsidR="00556FF6" w:rsidRDefault="00DA3F3F">
      <w:pPr>
        <w:spacing w:line="480" w:lineRule="auto"/>
        <w:ind w:firstLine="720"/>
        <w:jc w:val="both"/>
        <w:rPr>
          <w:rFonts w:ascii="Arial" w:hAnsi="Arial" w:cs="Arial"/>
          <w:color w:val="000000" w:themeColor="text1"/>
          <w:sz w:val="21"/>
          <w:szCs w:val="21"/>
        </w:rPr>
      </w:pPr>
      <w:r>
        <w:rPr>
          <w:rFonts w:ascii="Arial" w:hAnsi="Arial" w:cs="Arial"/>
          <w:color w:val="000000" w:themeColor="text1"/>
          <w:sz w:val="21"/>
          <w:szCs w:val="21"/>
        </w:rPr>
        <w:t xml:space="preserve">The GIFT strain exhibited significantly higher growth rates compared to the Red </w:t>
      </w:r>
      <w:proofErr w:type="gramStart"/>
      <w:r>
        <w:rPr>
          <w:rFonts w:ascii="Arial" w:hAnsi="Arial" w:cs="Arial"/>
          <w:color w:val="000000" w:themeColor="text1"/>
          <w:sz w:val="21"/>
          <w:szCs w:val="21"/>
        </w:rPr>
        <w:t>strain  throughout</w:t>
      </w:r>
      <w:proofErr w:type="gramEnd"/>
      <w:r>
        <w:rPr>
          <w:rFonts w:ascii="Arial" w:hAnsi="Arial" w:cs="Arial"/>
          <w:color w:val="000000" w:themeColor="text1"/>
          <w:sz w:val="21"/>
          <w:szCs w:val="21"/>
        </w:rPr>
        <w:t xml:space="preserve"> the 120-day culture period. The average final weight of GIFT tilapia was 312.4 ± 5.2 g, while Red tilapia reached only 276.3 ± 6.1 g (P&lt;0.05). Specific growth rate (SGR) was also </w:t>
      </w:r>
      <w:r>
        <w:rPr>
          <w:rFonts w:ascii="Arial" w:hAnsi="Arial" w:cs="Arial"/>
          <w:color w:val="000000" w:themeColor="text1"/>
          <w:sz w:val="21"/>
          <w:szCs w:val="21"/>
        </w:rPr>
        <w:lastRenderedPageBreak/>
        <w:t xml:space="preserve">significantly higher in the GIFT group (3.02 ± 0.03%/day) than in the Red strain (2.84 ± 0.04%/day), indicating a faster rate of biomass accumulation. Apparent feed conversion ratio (AFCR) was lower in GIFT tilapia (1.42 ± 0.05) compared to the Red strain (1.58 ± 0.07), reflecting more efficient feed utilization. Correspondingly, feed efficiency ratio (FER) and protein efficiency ratio (PER) were superior in the GIFT group, suggesting enhanced protein assimilation and growth efficiency. The survival rates were not significantly different between the strains remaining above 90% for both groups indicating good adaptability and resilience under similar pond conditions. These results are consistent with previous studies (Ridha, 2005, Das, 2018, Ahmad and </w:t>
      </w:r>
      <w:proofErr w:type="spellStart"/>
      <w:r>
        <w:rPr>
          <w:rFonts w:ascii="Arial" w:hAnsi="Arial" w:cs="Arial"/>
          <w:color w:val="000000" w:themeColor="text1"/>
          <w:sz w:val="21"/>
          <w:szCs w:val="21"/>
        </w:rPr>
        <w:t>Zulqurnain</w:t>
      </w:r>
      <w:proofErr w:type="spellEnd"/>
      <w:r>
        <w:rPr>
          <w:rFonts w:ascii="Arial" w:hAnsi="Arial" w:cs="Arial"/>
          <w:color w:val="000000" w:themeColor="text1"/>
          <w:sz w:val="21"/>
          <w:szCs w:val="21"/>
        </w:rPr>
        <w:t>, 2018, Zin et al., 2020, Moses et al., 2021, Tran et al., 2021) which have documented the superior growth performance and feed conversion of GIFT strains due to selective breeding and genetic improvement programs.</w:t>
      </w:r>
    </w:p>
    <w:p w14:paraId="475B6B7E" w14:textId="77777777" w:rsidR="00556FF6" w:rsidRDefault="00DA3F3F">
      <w:pPr>
        <w:spacing w:line="480" w:lineRule="auto"/>
        <w:ind w:firstLine="720"/>
        <w:jc w:val="both"/>
        <w:rPr>
          <w:rFonts w:ascii="Arial" w:hAnsi="Arial" w:cs="Arial"/>
          <w:color w:val="000000" w:themeColor="text1"/>
          <w:sz w:val="21"/>
          <w:szCs w:val="21"/>
        </w:rPr>
      </w:pPr>
      <w:r>
        <w:rPr>
          <w:rFonts w:ascii="Arial" w:hAnsi="Arial" w:cs="Arial"/>
          <w:color w:val="000000" w:themeColor="text1"/>
          <w:sz w:val="21"/>
          <w:szCs w:val="21"/>
        </w:rPr>
        <w:t xml:space="preserve">Length-weight regression analysis showed a strong correlation (R² &gt; 0.95) for both strains and GIFT tilapia demonstrated a slightly higher slope (b-value) indicating better weight gain per unit length. Fulton’s condition factor (K) was significantly higher in GIFT tilapia (2.13 ± 0.09) than in Red tilapia (1.95 ± 0.08), suggesting a better body condition and overall health. Similar ranges of K-value were reported in GIFT and Red tilapia by Gupta et al 2012 and </w:t>
      </w:r>
      <w:proofErr w:type="spellStart"/>
      <w:r>
        <w:rPr>
          <w:rFonts w:ascii="Arial" w:hAnsi="Arial" w:cs="Arial"/>
          <w:color w:val="000000" w:themeColor="text1"/>
          <w:sz w:val="21"/>
          <w:szCs w:val="21"/>
        </w:rPr>
        <w:t>Jongjaraunsuk</w:t>
      </w:r>
      <w:proofErr w:type="spellEnd"/>
      <w:r>
        <w:rPr>
          <w:rFonts w:ascii="Arial" w:hAnsi="Arial" w:cs="Arial"/>
          <w:color w:val="000000" w:themeColor="text1"/>
          <w:sz w:val="21"/>
          <w:szCs w:val="21"/>
        </w:rPr>
        <w:t xml:space="preserve"> and </w:t>
      </w:r>
      <w:proofErr w:type="spellStart"/>
      <w:r>
        <w:rPr>
          <w:rFonts w:ascii="Arial" w:hAnsi="Arial" w:cs="Arial"/>
          <w:color w:val="000000" w:themeColor="text1"/>
          <w:sz w:val="21"/>
          <w:szCs w:val="21"/>
        </w:rPr>
        <w:t>Taparhudee</w:t>
      </w:r>
      <w:proofErr w:type="spellEnd"/>
      <w:r>
        <w:rPr>
          <w:rFonts w:ascii="Arial" w:hAnsi="Arial" w:cs="Arial"/>
          <w:color w:val="000000" w:themeColor="text1"/>
          <w:sz w:val="21"/>
          <w:szCs w:val="21"/>
        </w:rPr>
        <w:t xml:space="preserve"> 2022. GIFT tilapia had a slightly lower hepatosomatic index (HSI) compared to Red tilapia (1.35% vs. 1.48%), while the </w:t>
      </w:r>
      <w:proofErr w:type="spellStart"/>
      <w:r>
        <w:rPr>
          <w:rFonts w:ascii="Arial" w:hAnsi="Arial" w:cs="Arial"/>
          <w:color w:val="000000" w:themeColor="text1"/>
          <w:sz w:val="21"/>
          <w:szCs w:val="21"/>
        </w:rPr>
        <w:t>viscero</w:t>
      </w:r>
      <w:proofErr w:type="spellEnd"/>
      <w:r>
        <w:rPr>
          <w:rFonts w:ascii="Arial" w:hAnsi="Arial" w:cs="Arial"/>
          <w:color w:val="000000" w:themeColor="text1"/>
          <w:sz w:val="21"/>
          <w:szCs w:val="21"/>
        </w:rPr>
        <w:t>-somatic index (VSI) showed no significant differences. Lower HSI values in GIFT tilapia may reflect better energy utilization and reduced fat accumulation in the liver, a desirable trait for efficient growth.</w:t>
      </w:r>
    </w:p>
    <w:p w14:paraId="1937AD46" w14:textId="676D7679" w:rsidR="00556FF6" w:rsidRDefault="00DA3F3F">
      <w:pPr>
        <w:spacing w:after="0" w:line="480" w:lineRule="auto"/>
        <w:jc w:val="both"/>
        <w:rPr>
          <w:rFonts w:ascii="Arial" w:hAnsi="Arial" w:cs="Arial"/>
          <w:b/>
          <w:color w:val="000000" w:themeColor="text1"/>
        </w:rPr>
      </w:pPr>
      <w:r>
        <w:rPr>
          <w:rFonts w:ascii="Arial" w:hAnsi="Arial" w:cs="Arial"/>
          <w:b/>
          <w:color w:val="000000" w:themeColor="text1"/>
        </w:rPr>
        <w:t>Table 1. Filleting traits of Red and GIFT tilapia reared in pond conditions for 180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1254"/>
        <w:gridCol w:w="924"/>
        <w:gridCol w:w="1347"/>
        <w:gridCol w:w="937"/>
        <w:gridCol w:w="796"/>
        <w:gridCol w:w="884"/>
        <w:gridCol w:w="759"/>
        <w:gridCol w:w="1017"/>
      </w:tblGrid>
      <w:tr w:rsidR="00556FF6" w14:paraId="13A4B8A7" w14:textId="77777777">
        <w:trPr>
          <w:tblHeader/>
          <w:tblCellSpacing w:w="15" w:type="dxa"/>
        </w:trPr>
        <w:tc>
          <w:tcPr>
            <w:tcW w:w="0" w:type="auto"/>
            <w:tcBorders>
              <w:top w:val="single" w:sz="18" w:space="0" w:color="auto"/>
              <w:bottom w:val="single" w:sz="18" w:space="0" w:color="auto"/>
              <w:right w:val="single" w:sz="2" w:space="0" w:color="auto"/>
            </w:tcBorders>
            <w:vAlign w:val="center"/>
          </w:tcPr>
          <w:p w14:paraId="07FF0A82"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Position of Cut</w:t>
            </w:r>
          </w:p>
        </w:tc>
        <w:tc>
          <w:tcPr>
            <w:tcW w:w="1224" w:type="dxa"/>
            <w:tcBorders>
              <w:top w:val="single" w:sz="18" w:space="0" w:color="auto"/>
              <w:bottom w:val="single" w:sz="18" w:space="0" w:color="auto"/>
              <w:right w:val="single" w:sz="2" w:space="0" w:color="auto"/>
            </w:tcBorders>
            <w:vAlign w:val="center"/>
          </w:tcPr>
          <w:p w14:paraId="5E42D9EB"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Treatments</w:t>
            </w:r>
          </w:p>
        </w:tc>
        <w:tc>
          <w:tcPr>
            <w:tcW w:w="894" w:type="dxa"/>
            <w:tcBorders>
              <w:top w:val="single" w:sz="18" w:space="0" w:color="auto"/>
              <w:bottom w:val="single" w:sz="18" w:space="0" w:color="auto"/>
              <w:right w:val="single" w:sz="2" w:space="0" w:color="auto"/>
            </w:tcBorders>
            <w:vAlign w:val="center"/>
          </w:tcPr>
          <w:p w14:paraId="45AEEB28"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Weight (g)</w:t>
            </w:r>
          </w:p>
        </w:tc>
        <w:tc>
          <w:tcPr>
            <w:tcW w:w="0" w:type="auto"/>
            <w:tcBorders>
              <w:top w:val="single" w:sz="18" w:space="0" w:color="auto"/>
              <w:bottom w:val="single" w:sz="18" w:space="0" w:color="auto"/>
            </w:tcBorders>
            <w:vAlign w:val="center"/>
          </w:tcPr>
          <w:p w14:paraId="62802EC0"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Yield (% of total weight)</w:t>
            </w:r>
          </w:p>
        </w:tc>
        <w:tc>
          <w:tcPr>
            <w:tcW w:w="0" w:type="auto"/>
            <w:tcBorders>
              <w:top w:val="single" w:sz="18" w:space="0" w:color="auto"/>
              <w:left w:val="single" w:sz="2" w:space="0" w:color="auto"/>
              <w:bottom w:val="single" w:sz="18" w:space="0" w:color="auto"/>
            </w:tcBorders>
            <w:vAlign w:val="center"/>
          </w:tcPr>
          <w:p w14:paraId="6A8E780E"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Yield (g)</w:t>
            </w:r>
          </w:p>
        </w:tc>
        <w:tc>
          <w:tcPr>
            <w:tcW w:w="0" w:type="auto"/>
            <w:tcBorders>
              <w:top w:val="single" w:sz="18" w:space="0" w:color="auto"/>
              <w:left w:val="single" w:sz="2" w:space="0" w:color="auto"/>
              <w:bottom w:val="single" w:sz="18" w:space="0" w:color="auto"/>
            </w:tcBorders>
            <w:vAlign w:val="center"/>
          </w:tcPr>
          <w:p w14:paraId="76A09809"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w:t>
            </w:r>
          </w:p>
        </w:tc>
        <w:tc>
          <w:tcPr>
            <w:tcW w:w="0" w:type="auto"/>
            <w:tcBorders>
              <w:top w:val="single" w:sz="18" w:space="0" w:color="auto"/>
              <w:left w:val="single" w:sz="2" w:space="0" w:color="auto"/>
              <w:bottom w:val="single" w:sz="18" w:space="0" w:color="auto"/>
            </w:tcBorders>
            <w:vAlign w:val="center"/>
          </w:tcPr>
          <w:p w14:paraId="09F58124"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Bone Yield (g)</w:t>
            </w:r>
          </w:p>
        </w:tc>
        <w:tc>
          <w:tcPr>
            <w:tcW w:w="0" w:type="auto"/>
            <w:tcBorders>
              <w:top w:val="single" w:sz="18" w:space="0" w:color="auto"/>
              <w:left w:val="single" w:sz="2" w:space="0" w:color="auto"/>
              <w:bottom w:val="single" w:sz="18" w:space="0" w:color="auto"/>
              <w:right w:val="single" w:sz="2" w:space="0" w:color="auto"/>
            </w:tcBorders>
            <w:vAlign w:val="center"/>
          </w:tcPr>
          <w:p w14:paraId="2A67FCE6"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Bone (%)</w:t>
            </w:r>
          </w:p>
        </w:tc>
        <w:tc>
          <w:tcPr>
            <w:tcW w:w="0" w:type="auto"/>
            <w:tcBorders>
              <w:top w:val="single" w:sz="18" w:space="0" w:color="auto"/>
              <w:bottom w:val="single" w:sz="18" w:space="0" w:color="auto"/>
            </w:tcBorders>
            <w:vAlign w:val="center"/>
          </w:tcPr>
          <w:p w14:paraId="725DCD95"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Bone Ratio</w:t>
            </w:r>
          </w:p>
        </w:tc>
      </w:tr>
      <w:tr w:rsidR="00556FF6" w14:paraId="5661725F" w14:textId="77777777">
        <w:trPr>
          <w:tblCellSpacing w:w="15" w:type="dxa"/>
        </w:trPr>
        <w:tc>
          <w:tcPr>
            <w:tcW w:w="0" w:type="auto"/>
            <w:tcBorders>
              <w:right w:val="single" w:sz="2" w:space="0" w:color="auto"/>
            </w:tcBorders>
            <w:vAlign w:val="center"/>
          </w:tcPr>
          <w:p w14:paraId="314CAB5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Fore cut</w:t>
            </w:r>
          </w:p>
        </w:tc>
        <w:tc>
          <w:tcPr>
            <w:tcW w:w="1224" w:type="dxa"/>
            <w:tcBorders>
              <w:right w:val="single" w:sz="2" w:space="0" w:color="auto"/>
            </w:tcBorders>
            <w:vAlign w:val="center"/>
          </w:tcPr>
          <w:p w14:paraId="65553BA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11DE983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78.50 ± 4.16</w:t>
            </w:r>
          </w:p>
        </w:tc>
        <w:tc>
          <w:tcPr>
            <w:tcW w:w="0" w:type="auto"/>
            <w:vAlign w:val="center"/>
          </w:tcPr>
          <w:p w14:paraId="23814274"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26.09 ± 1.33</w:t>
            </w:r>
          </w:p>
        </w:tc>
        <w:tc>
          <w:tcPr>
            <w:tcW w:w="0" w:type="auto"/>
            <w:tcBorders>
              <w:left w:val="single" w:sz="2" w:space="0" w:color="auto"/>
            </w:tcBorders>
            <w:vAlign w:val="center"/>
          </w:tcPr>
          <w:p w14:paraId="30DF2DE3"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46.55 ± 2.50</w:t>
            </w:r>
          </w:p>
        </w:tc>
        <w:tc>
          <w:tcPr>
            <w:tcW w:w="0" w:type="auto"/>
            <w:tcBorders>
              <w:left w:val="single" w:sz="2" w:space="0" w:color="auto"/>
            </w:tcBorders>
            <w:vAlign w:val="center"/>
          </w:tcPr>
          <w:p w14:paraId="7CF03DD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61.19 ± 4.02</w:t>
            </w:r>
          </w:p>
        </w:tc>
        <w:tc>
          <w:tcPr>
            <w:tcW w:w="0" w:type="auto"/>
            <w:tcBorders>
              <w:left w:val="single" w:sz="2" w:space="0" w:color="auto"/>
            </w:tcBorders>
            <w:vAlign w:val="center"/>
          </w:tcPr>
          <w:p w14:paraId="278091C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8.34 ± 0.64</w:t>
            </w:r>
          </w:p>
        </w:tc>
        <w:tc>
          <w:tcPr>
            <w:tcW w:w="0" w:type="auto"/>
            <w:tcBorders>
              <w:left w:val="single" w:sz="2" w:space="0" w:color="auto"/>
              <w:right w:val="single" w:sz="2" w:space="0" w:color="auto"/>
            </w:tcBorders>
            <w:vAlign w:val="center"/>
          </w:tcPr>
          <w:p w14:paraId="0A648BA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2.59 ± 0.15</w:t>
            </w:r>
          </w:p>
        </w:tc>
        <w:tc>
          <w:tcPr>
            <w:tcW w:w="0" w:type="auto"/>
            <w:vAlign w:val="center"/>
          </w:tcPr>
          <w:p w14:paraId="4E4F61A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5.64 ± 0.26</w:t>
            </w:r>
          </w:p>
        </w:tc>
      </w:tr>
      <w:tr w:rsidR="00556FF6" w14:paraId="739DFE88" w14:textId="77777777">
        <w:trPr>
          <w:tblCellSpacing w:w="15" w:type="dxa"/>
        </w:trPr>
        <w:tc>
          <w:tcPr>
            <w:tcW w:w="0" w:type="auto"/>
            <w:tcBorders>
              <w:right w:val="single" w:sz="2" w:space="0" w:color="auto"/>
            </w:tcBorders>
            <w:vAlign w:val="center"/>
          </w:tcPr>
          <w:p w14:paraId="736D7D47"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4A6BF3A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2A6FD01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92.10 ± 1.47</w:t>
            </w:r>
          </w:p>
        </w:tc>
        <w:tc>
          <w:tcPr>
            <w:tcW w:w="0" w:type="auto"/>
            <w:vAlign w:val="center"/>
          </w:tcPr>
          <w:p w14:paraId="1E8F14E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29.10 ± 0.96</w:t>
            </w:r>
          </w:p>
        </w:tc>
        <w:tc>
          <w:tcPr>
            <w:tcW w:w="0" w:type="auto"/>
            <w:tcBorders>
              <w:left w:val="single" w:sz="2" w:space="0" w:color="auto"/>
            </w:tcBorders>
            <w:vAlign w:val="center"/>
          </w:tcPr>
          <w:p w14:paraId="722239E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55.51 ± 2.42</w:t>
            </w:r>
          </w:p>
        </w:tc>
        <w:tc>
          <w:tcPr>
            <w:tcW w:w="0" w:type="auto"/>
            <w:tcBorders>
              <w:left w:val="single" w:sz="2" w:space="0" w:color="auto"/>
            </w:tcBorders>
            <w:vAlign w:val="center"/>
          </w:tcPr>
          <w:p w14:paraId="2615795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60.18 ± 1.88</w:t>
            </w:r>
          </w:p>
        </w:tc>
        <w:tc>
          <w:tcPr>
            <w:tcW w:w="0" w:type="auto"/>
            <w:tcBorders>
              <w:left w:val="single" w:sz="2" w:space="0" w:color="auto"/>
            </w:tcBorders>
            <w:vAlign w:val="center"/>
          </w:tcPr>
          <w:p w14:paraId="20DDC23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8.57 ± 0.50</w:t>
            </w:r>
          </w:p>
        </w:tc>
        <w:tc>
          <w:tcPr>
            <w:tcW w:w="0" w:type="auto"/>
            <w:tcBorders>
              <w:left w:val="single" w:sz="2" w:space="0" w:color="auto"/>
              <w:right w:val="single" w:sz="2" w:space="0" w:color="auto"/>
            </w:tcBorders>
            <w:vAlign w:val="center"/>
          </w:tcPr>
          <w:p w14:paraId="7670CB9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 ± 0.10</w:t>
            </w:r>
          </w:p>
        </w:tc>
        <w:tc>
          <w:tcPr>
            <w:tcW w:w="0" w:type="auto"/>
            <w:vAlign w:val="center"/>
          </w:tcPr>
          <w:p w14:paraId="603F334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6.64 ± 0.38</w:t>
            </w:r>
          </w:p>
        </w:tc>
      </w:tr>
      <w:tr w:rsidR="00556FF6" w14:paraId="24D3C7CD" w14:textId="77777777">
        <w:trPr>
          <w:tblCellSpacing w:w="15" w:type="dxa"/>
        </w:trPr>
        <w:tc>
          <w:tcPr>
            <w:tcW w:w="0" w:type="auto"/>
            <w:tcBorders>
              <w:right w:val="single" w:sz="2" w:space="0" w:color="auto"/>
            </w:tcBorders>
            <w:vAlign w:val="center"/>
          </w:tcPr>
          <w:p w14:paraId="0F3A90E9"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54D5E48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2CACFD7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0385743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31C8004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60BE7FC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0738B7A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25EB658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52A1D0CA"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556FF6" w14:paraId="22C1650C" w14:textId="77777777">
        <w:trPr>
          <w:tblCellSpacing w:w="15" w:type="dxa"/>
        </w:trPr>
        <w:tc>
          <w:tcPr>
            <w:tcW w:w="0" w:type="auto"/>
            <w:tcBorders>
              <w:right w:val="single" w:sz="2" w:space="0" w:color="auto"/>
            </w:tcBorders>
            <w:vAlign w:val="center"/>
          </w:tcPr>
          <w:p w14:paraId="6BA4C4F5"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Mid cut</w:t>
            </w:r>
          </w:p>
        </w:tc>
        <w:tc>
          <w:tcPr>
            <w:tcW w:w="1224" w:type="dxa"/>
            <w:tcBorders>
              <w:right w:val="single" w:sz="2" w:space="0" w:color="auto"/>
            </w:tcBorders>
            <w:vAlign w:val="center"/>
          </w:tcPr>
          <w:p w14:paraId="2B24E1C4"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40F5F24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78.28 ± 3.22</w:t>
            </w:r>
          </w:p>
        </w:tc>
        <w:tc>
          <w:tcPr>
            <w:tcW w:w="0" w:type="auto"/>
            <w:vAlign w:val="center"/>
          </w:tcPr>
          <w:p w14:paraId="365D1C23"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24.85 ± 0.56ᵇ</w:t>
            </w:r>
          </w:p>
        </w:tc>
        <w:tc>
          <w:tcPr>
            <w:tcW w:w="0" w:type="auto"/>
            <w:tcBorders>
              <w:left w:val="single" w:sz="2" w:space="0" w:color="auto"/>
            </w:tcBorders>
            <w:vAlign w:val="center"/>
          </w:tcPr>
          <w:p w14:paraId="2D0D2BF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45.77 ± 2.55</w:t>
            </w:r>
          </w:p>
        </w:tc>
        <w:tc>
          <w:tcPr>
            <w:tcW w:w="0" w:type="auto"/>
            <w:tcBorders>
              <w:left w:val="single" w:sz="2" w:space="0" w:color="auto"/>
            </w:tcBorders>
            <w:vAlign w:val="center"/>
          </w:tcPr>
          <w:p w14:paraId="6D5CF7A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61.19 ± 0.82</w:t>
            </w:r>
          </w:p>
        </w:tc>
        <w:tc>
          <w:tcPr>
            <w:tcW w:w="0" w:type="auto"/>
            <w:tcBorders>
              <w:left w:val="single" w:sz="2" w:space="0" w:color="auto"/>
            </w:tcBorders>
            <w:vAlign w:val="center"/>
          </w:tcPr>
          <w:p w14:paraId="22968A3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6.83 ± 0.59</w:t>
            </w:r>
          </w:p>
        </w:tc>
        <w:tc>
          <w:tcPr>
            <w:tcW w:w="0" w:type="auto"/>
            <w:tcBorders>
              <w:left w:val="single" w:sz="2" w:space="0" w:color="auto"/>
              <w:right w:val="single" w:sz="2" w:space="0" w:color="auto"/>
            </w:tcBorders>
            <w:vAlign w:val="center"/>
          </w:tcPr>
          <w:p w14:paraId="0441BFF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2.13 ± 0.23</w:t>
            </w:r>
          </w:p>
        </w:tc>
        <w:tc>
          <w:tcPr>
            <w:tcW w:w="0" w:type="auto"/>
            <w:vAlign w:val="center"/>
          </w:tcPr>
          <w:p w14:paraId="696D577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6.70 ± 0.70</w:t>
            </w:r>
          </w:p>
        </w:tc>
      </w:tr>
      <w:tr w:rsidR="00556FF6" w14:paraId="5B2E995A" w14:textId="77777777">
        <w:trPr>
          <w:tblCellSpacing w:w="15" w:type="dxa"/>
        </w:trPr>
        <w:tc>
          <w:tcPr>
            <w:tcW w:w="0" w:type="auto"/>
            <w:tcBorders>
              <w:right w:val="single" w:sz="2" w:space="0" w:color="auto"/>
            </w:tcBorders>
            <w:vAlign w:val="center"/>
          </w:tcPr>
          <w:p w14:paraId="704E37A7"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03B9E7A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0DF8870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97.13 ± 5.14</w:t>
            </w:r>
          </w:p>
        </w:tc>
        <w:tc>
          <w:tcPr>
            <w:tcW w:w="0" w:type="auto"/>
            <w:vAlign w:val="center"/>
          </w:tcPr>
          <w:p w14:paraId="1260C21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31.13 ± 1.31ᵃ</w:t>
            </w:r>
          </w:p>
        </w:tc>
        <w:tc>
          <w:tcPr>
            <w:tcW w:w="0" w:type="auto"/>
            <w:tcBorders>
              <w:left w:val="single" w:sz="2" w:space="0" w:color="auto"/>
            </w:tcBorders>
            <w:vAlign w:val="center"/>
          </w:tcPr>
          <w:p w14:paraId="25033FE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60.99 ± 2.42</w:t>
            </w:r>
          </w:p>
        </w:tc>
        <w:tc>
          <w:tcPr>
            <w:tcW w:w="0" w:type="auto"/>
            <w:tcBorders>
              <w:left w:val="single" w:sz="2" w:space="0" w:color="auto"/>
            </w:tcBorders>
            <w:vAlign w:val="center"/>
          </w:tcPr>
          <w:p w14:paraId="08B66BD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62.28 ± 0.90</w:t>
            </w:r>
          </w:p>
        </w:tc>
        <w:tc>
          <w:tcPr>
            <w:tcW w:w="0" w:type="auto"/>
            <w:tcBorders>
              <w:left w:val="single" w:sz="2" w:space="0" w:color="auto"/>
            </w:tcBorders>
            <w:vAlign w:val="center"/>
          </w:tcPr>
          <w:p w14:paraId="5952D29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9.87 ± 1.26</w:t>
            </w:r>
          </w:p>
        </w:tc>
        <w:tc>
          <w:tcPr>
            <w:tcW w:w="0" w:type="auto"/>
            <w:tcBorders>
              <w:left w:val="single" w:sz="2" w:space="0" w:color="auto"/>
              <w:right w:val="single" w:sz="2" w:space="0" w:color="auto"/>
            </w:tcBorders>
            <w:vAlign w:val="center"/>
          </w:tcPr>
          <w:p w14:paraId="5964F3D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2.95 ± 0.36</w:t>
            </w:r>
          </w:p>
        </w:tc>
        <w:tc>
          <w:tcPr>
            <w:tcW w:w="0" w:type="auto"/>
            <w:vAlign w:val="center"/>
          </w:tcPr>
          <w:p w14:paraId="10EC7AC5"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6.66 ± 0.87</w:t>
            </w:r>
          </w:p>
        </w:tc>
      </w:tr>
      <w:tr w:rsidR="00556FF6" w14:paraId="1B92EB44" w14:textId="77777777">
        <w:trPr>
          <w:tblCellSpacing w:w="15" w:type="dxa"/>
        </w:trPr>
        <w:tc>
          <w:tcPr>
            <w:tcW w:w="0" w:type="auto"/>
            <w:tcBorders>
              <w:right w:val="single" w:sz="2" w:space="0" w:color="auto"/>
            </w:tcBorders>
            <w:vAlign w:val="center"/>
          </w:tcPr>
          <w:p w14:paraId="25BDFDF8"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04C4D8A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0EB7618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2C25EF2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c>
          <w:tcPr>
            <w:tcW w:w="0" w:type="auto"/>
            <w:tcBorders>
              <w:left w:val="single" w:sz="2" w:space="0" w:color="auto"/>
            </w:tcBorders>
            <w:vAlign w:val="center"/>
          </w:tcPr>
          <w:p w14:paraId="4654AD5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3989E9D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7ADBFE9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64C3F1BA"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4C1D500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556FF6" w14:paraId="1153E424" w14:textId="77777777">
        <w:trPr>
          <w:tblCellSpacing w:w="15" w:type="dxa"/>
        </w:trPr>
        <w:tc>
          <w:tcPr>
            <w:tcW w:w="0" w:type="auto"/>
            <w:tcBorders>
              <w:right w:val="single" w:sz="2" w:space="0" w:color="auto"/>
            </w:tcBorders>
            <w:vAlign w:val="center"/>
          </w:tcPr>
          <w:p w14:paraId="6E584C5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Hind cut</w:t>
            </w:r>
          </w:p>
        </w:tc>
        <w:tc>
          <w:tcPr>
            <w:tcW w:w="1224" w:type="dxa"/>
            <w:tcBorders>
              <w:right w:val="single" w:sz="2" w:space="0" w:color="auto"/>
            </w:tcBorders>
            <w:vAlign w:val="center"/>
          </w:tcPr>
          <w:p w14:paraId="4C74BD9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359AB8A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99.76 ± 2.15</w:t>
            </w:r>
          </w:p>
        </w:tc>
        <w:tc>
          <w:tcPr>
            <w:tcW w:w="0" w:type="auto"/>
            <w:vAlign w:val="center"/>
          </w:tcPr>
          <w:p w14:paraId="0BAAB43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32.36 ± 0.43</w:t>
            </w:r>
          </w:p>
        </w:tc>
        <w:tc>
          <w:tcPr>
            <w:tcW w:w="0" w:type="auto"/>
            <w:tcBorders>
              <w:left w:val="single" w:sz="2" w:space="0" w:color="auto"/>
            </w:tcBorders>
            <w:vAlign w:val="center"/>
          </w:tcPr>
          <w:p w14:paraId="2ED14C45"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55.43 ± 2.14</w:t>
            </w:r>
          </w:p>
        </w:tc>
        <w:tc>
          <w:tcPr>
            <w:tcW w:w="0" w:type="auto"/>
            <w:tcBorders>
              <w:left w:val="single" w:sz="2" w:space="0" w:color="auto"/>
            </w:tcBorders>
            <w:vAlign w:val="center"/>
          </w:tcPr>
          <w:p w14:paraId="2E67D12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56.25 ± 2.73</w:t>
            </w:r>
          </w:p>
        </w:tc>
        <w:tc>
          <w:tcPr>
            <w:tcW w:w="0" w:type="auto"/>
            <w:tcBorders>
              <w:left w:val="single" w:sz="2" w:space="0" w:color="auto"/>
            </w:tcBorders>
            <w:vAlign w:val="center"/>
          </w:tcPr>
          <w:p w14:paraId="5FD08A94"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14.97 ± 0.78</w:t>
            </w:r>
          </w:p>
        </w:tc>
        <w:tc>
          <w:tcPr>
            <w:tcW w:w="0" w:type="auto"/>
            <w:tcBorders>
              <w:left w:val="single" w:sz="2" w:space="0" w:color="auto"/>
              <w:right w:val="single" w:sz="2" w:space="0" w:color="auto"/>
            </w:tcBorders>
            <w:vAlign w:val="center"/>
          </w:tcPr>
          <w:p w14:paraId="5E614AC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5.16 ± 0.26</w:t>
            </w:r>
          </w:p>
        </w:tc>
        <w:tc>
          <w:tcPr>
            <w:tcW w:w="0" w:type="auto"/>
            <w:vAlign w:val="center"/>
          </w:tcPr>
          <w:p w14:paraId="557F57B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3.11 ± 0.14</w:t>
            </w:r>
          </w:p>
        </w:tc>
      </w:tr>
      <w:tr w:rsidR="00556FF6" w14:paraId="792701FF" w14:textId="77777777">
        <w:trPr>
          <w:tblCellSpacing w:w="15" w:type="dxa"/>
        </w:trPr>
        <w:tc>
          <w:tcPr>
            <w:tcW w:w="0" w:type="auto"/>
            <w:tcBorders>
              <w:right w:val="single" w:sz="2" w:space="0" w:color="auto"/>
            </w:tcBorders>
            <w:vAlign w:val="center"/>
          </w:tcPr>
          <w:p w14:paraId="5A63ED74"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469953B5"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032D150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87.69 ± 7.77</w:t>
            </w:r>
          </w:p>
        </w:tc>
        <w:tc>
          <w:tcPr>
            <w:tcW w:w="0" w:type="auto"/>
            <w:vAlign w:val="center"/>
          </w:tcPr>
          <w:p w14:paraId="738D8CC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28.64 ± 1.50</w:t>
            </w:r>
          </w:p>
        </w:tc>
        <w:tc>
          <w:tcPr>
            <w:tcW w:w="0" w:type="auto"/>
            <w:tcBorders>
              <w:left w:val="single" w:sz="2" w:space="0" w:color="auto"/>
            </w:tcBorders>
            <w:vAlign w:val="center"/>
          </w:tcPr>
          <w:p w14:paraId="185FA90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50.37 ± 4.50</w:t>
            </w:r>
          </w:p>
        </w:tc>
        <w:tc>
          <w:tcPr>
            <w:tcW w:w="0" w:type="auto"/>
            <w:tcBorders>
              <w:left w:val="single" w:sz="2" w:space="0" w:color="auto"/>
            </w:tcBorders>
            <w:vAlign w:val="center"/>
          </w:tcPr>
          <w:p w14:paraId="28E5765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56.85 ± 0.79</w:t>
            </w:r>
          </w:p>
        </w:tc>
        <w:tc>
          <w:tcPr>
            <w:tcW w:w="0" w:type="auto"/>
            <w:tcBorders>
              <w:left w:val="single" w:sz="2" w:space="0" w:color="auto"/>
            </w:tcBorders>
            <w:vAlign w:val="center"/>
          </w:tcPr>
          <w:p w14:paraId="05F9FC44"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16.55 ± 0.99</w:t>
            </w:r>
          </w:p>
        </w:tc>
        <w:tc>
          <w:tcPr>
            <w:tcW w:w="0" w:type="auto"/>
            <w:tcBorders>
              <w:left w:val="single" w:sz="2" w:space="0" w:color="auto"/>
              <w:right w:val="single" w:sz="2" w:space="0" w:color="auto"/>
            </w:tcBorders>
            <w:vAlign w:val="center"/>
          </w:tcPr>
          <w:p w14:paraId="624F7E9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4.41 ± 0.19</w:t>
            </w:r>
          </w:p>
        </w:tc>
        <w:tc>
          <w:tcPr>
            <w:tcW w:w="0" w:type="auto"/>
            <w:vAlign w:val="center"/>
          </w:tcPr>
          <w:p w14:paraId="1EB74D8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3.71 ± 0.17</w:t>
            </w:r>
          </w:p>
        </w:tc>
      </w:tr>
      <w:tr w:rsidR="00556FF6" w14:paraId="247D8386" w14:textId="77777777">
        <w:trPr>
          <w:tblCellSpacing w:w="15" w:type="dxa"/>
        </w:trPr>
        <w:tc>
          <w:tcPr>
            <w:tcW w:w="0" w:type="auto"/>
            <w:tcBorders>
              <w:right w:val="single" w:sz="2" w:space="0" w:color="auto"/>
            </w:tcBorders>
            <w:vAlign w:val="center"/>
          </w:tcPr>
          <w:p w14:paraId="6884836D"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3EB2ED1A"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713EC5A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10307A6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2ED4447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20545A6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5F1D304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7DD30915"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2410684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556FF6" w14:paraId="1853C60B" w14:textId="77777777">
        <w:trPr>
          <w:tblCellSpacing w:w="15" w:type="dxa"/>
        </w:trPr>
        <w:tc>
          <w:tcPr>
            <w:tcW w:w="0" w:type="auto"/>
            <w:tcBorders>
              <w:right w:val="single" w:sz="2" w:space="0" w:color="auto"/>
            </w:tcBorders>
            <w:vAlign w:val="center"/>
          </w:tcPr>
          <w:p w14:paraId="7E2B7EB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Pooled</w:t>
            </w:r>
          </w:p>
        </w:tc>
        <w:tc>
          <w:tcPr>
            <w:tcW w:w="1224" w:type="dxa"/>
            <w:tcBorders>
              <w:right w:val="single" w:sz="2" w:space="0" w:color="auto"/>
            </w:tcBorders>
            <w:vAlign w:val="center"/>
          </w:tcPr>
          <w:p w14:paraId="65A87CC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0BC6EF54"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256.54</w:t>
            </w:r>
          </w:p>
        </w:tc>
        <w:tc>
          <w:tcPr>
            <w:tcW w:w="0" w:type="auto"/>
            <w:vAlign w:val="center"/>
          </w:tcPr>
          <w:p w14:paraId="69D81C9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83.31</w:t>
            </w:r>
          </w:p>
        </w:tc>
        <w:tc>
          <w:tcPr>
            <w:tcW w:w="0" w:type="auto"/>
            <w:tcBorders>
              <w:left w:val="single" w:sz="2" w:space="0" w:color="auto"/>
            </w:tcBorders>
            <w:vAlign w:val="center"/>
          </w:tcPr>
          <w:p w14:paraId="22CEAE9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147.75</w:t>
            </w:r>
          </w:p>
        </w:tc>
        <w:tc>
          <w:tcPr>
            <w:tcW w:w="0" w:type="auto"/>
            <w:tcBorders>
              <w:left w:val="single" w:sz="2" w:space="0" w:color="auto"/>
            </w:tcBorders>
            <w:vAlign w:val="center"/>
          </w:tcPr>
          <w:p w14:paraId="6E0CC4D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59.54</w:t>
            </w:r>
          </w:p>
        </w:tc>
        <w:tc>
          <w:tcPr>
            <w:tcW w:w="0" w:type="auto"/>
            <w:tcBorders>
              <w:left w:val="single" w:sz="2" w:space="0" w:color="auto"/>
            </w:tcBorders>
            <w:vAlign w:val="center"/>
          </w:tcPr>
          <w:p w14:paraId="7AE8AB8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30.14</w:t>
            </w:r>
          </w:p>
        </w:tc>
        <w:tc>
          <w:tcPr>
            <w:tcW w:w="0" w:type="auto"/>
            <w:tcBorders>
              <w:left w:val="single" w:sz="2" w:space="0" w:color="auto"/>
              <w:right w:val="single" w:sz="2" w:space="0" w:color="auto"/>
            </w:tcBorders>
            <w:vAlign w:val="center"/>
          </w:tcPr>
          <w:p w14:paraId="4B09F74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3.29</w:t>
            </w:r>
          </w:p>
        </w:tc>
        <w:tc>
          <w:tcPr>
            <w:tcW w:w="0" w:type="auto"/>
            <w:vAlign w:val="center"/>
          </w:tcPr>
          <w:p w14:paraId="5860E59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5.15</w:t>
            </w:r>
          </w:p>
        </w:tc>
      </w:tr>
      <w:tr w:rsidR="00556FF6" w14:paraId="10430906" w14:textId="77777777">
        <w:trPr>
          <w:tblCellSpacing w:w="15" w:type="dxa"/>
        </w:trPr>
        <w:tc>
          <w:tcPr>
            <w:tcW w:w="0" w:type="auto"/>
            <w:tcBorders>
              <w:bottom w:val="single" w:sz="18" w:space="0" w:color="auto"/>
              <w:right w:val="single" w:sz="2" w:space="0" w:color="auto"/>
            </w:tcBorders>
            <w:vAlign w:val="center"/>
          </w:tcPr>
          <w:p w14:paraId="60E149B8"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1224" w:type="dxa"/>
            <w:tcBorders>
              <w:bottom w:val="single" w:sz="18" w:space="0" w:color="auto"/>
            </w:tcBorders>
            <w:vAlign w:val="center"/>
          </w:tcPr>
          <w:p w14:paraId="3DD5FAC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left w:val="single" w:sz="2" w:space="0" w:color="auto"/>
              <w:bottom w:val="single" w:sz="18" w:space="0" w:color="auto"/>
              <w:right w:val="single" w:sz="2" w:space="0" w:color="auto"/>
            </w:tcBorders>
            <w:vAlign w:val="center"/>
          </w:tcPr>
          <w:p w14:paraId="5501689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276.92</w:t>
            </w:r>
          </w:p>
        </w:tc>
        <w:tc>
          <w:tcPr>
            <w:tcW w:w="0" w:type="auto"/>
            <w:tcBorders>
              <w:bottom w:val="single" w:sz="18" w:space="0" w:color="auto"/>
              <w:right w:val="single" w:sz="2" w:space="0" w:color="auto"/>
            </w:tcBorders>
            <w:vAlign w:val="center"/>
          </w:tcPr>
          <w:p w14:paraId="32168F0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88.86</w:t>
            </w:r>
          </w:p>
        </w:tc>
        <w:tc>
          <w:tcPr>
            <w:tcW w:w="0" w:type="auto"/>
            <w:tcBorders>
              <w:bottom w:val="single" w:sz="18" w:space="0" w:color="auto"/>
              <w:right w:val="single" w:sz="2" w:space="0" w:color="auto"/>
            </w:tcBorders>
            <w:vAlign w:val="center"/>
          </w:tcPr>
          <w:p w14:paraId="267A948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166.87</w:t>
            </w:r>
          </w:p>
        </w:tc>
        <w:tc>
          <w:tcPr>
            <w:tcW w:w="0" w:type="auto"/>
            <w:tcBorders>
              <w:bottom w:val="single" w:sz="18" w:space="0" w:color="auto"/>
            </w:tcBorders>
            <w:vAlign w:val="center"/>
          </w:tcPr>
          <w:p w14:paraId="47A1D33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59.77</w:t>
            </w:r>
          </w:p>
        </w:tc>
        <w:tc>
          <w:tcPr>
            <w:tcW w:w="0" w:type="auto"/>
            <w:tcBorders>
              <w:left w:val="single" w:sz="2" w:space="0" w:color="auto"/>
              <w:bottom w:val="single" w:sz="18" w:space="0" w:color="auto"/>
            </w:tcBorders>
            <w:vAlign w:val="center"/>
          </w:tcPr>
          <w:p w14:paraId="2630D7B3"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34.99</w:t>
            </w:r>
          </w:p>
        </w:tc>
        <w:tc>
          <w:tcPr>
            <w:tcW w:w="0" w:type="auto"/>
            <w:tcBorders>
              <w:left w:val="single" w:sz="2" w:space="0" w:color="auto"/>
              <w:bottom w:val="single" w:sz="18" w:space="0" w:color="auto"/>
              <w:right w:val="single" w:sz="2" w:space="0" w:color="auto"/>
            </w:tcBorders>
            <w:vAlign w:val="center"/>
          </w:tcPr>
          <w:p w14:paraId="3ACFA50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3.29</w:t>
            </w:r>
          </w:p>
        </w:tc>
        <w:tc>
          <w:tcPr>
            <w:tcW w:w="0" w:type="auto"/>
            <w:tcBorders>
              <w:bottom w:val="single" w:sz="18" w:space="0" w:color="auto"/>
            </w:tcBorders>
            <w:vAlign w:val="center"/>
          </w:tcPr>
          <w:p w14:paraId="4AFABD75"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5.67</w:t>
            </w:r>
          </w:p>
        </w:tc>
      </w:tr>
    </w:tbl>
    <w:p w14:paraId="76BDE4A6" w14:textId="77777777" w:rsidR="00556FF6" w:rsidRDefault="00DA3F3F">
      <w:pPr>
        <w:spacing w:line="480" w:lineRule="auto"/>
        <w:jc w:val="both"/>
        <w:rPr>
          <w:rFonts w:ascii="Arial" w:hAnsi="Arial" w:cs="Arial"/>
          <w:i/>
          <w:color w:val="000000" w:themeColor="text1"/>
          <w:sz w:val="20"/>
          <w:szCs w:val="20"/>
        </w:rPr>
      </w:pPr>
      <w:r>
        <w:rPr>
          <w:rFonts w:ascii="Arial" w:hAnsi="Arial" w:cs="Arial"/>
          <w:i/>
          <w:color w:val="000000" w:themeColor="text1"/>
          <w:sz w:val="20"/>
          <w:szCs w:val="20"/>
        </w:rPr>
        <w:t>*Values are expressed as the means ± SE; in each cut, mean values with different superscripts in a column differ significantly (p &lt; 0.05); NS = No significant difference.</w:t>
      </w:r>
    </w:p>
    <w:p w14:paraId="6DF99A5B" w14:textId="3994D823"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As shown in Table 1, GIFT tilapia exhibited superior carcass and fillet traits compared to Red tilapia. Specifically, GIFT tilapia had a higher dressed body yield and fillet yield than Red tilapia. A study by Sahu et al., 2017 recorded head yield of 27.1 % </w:t>
      </w:r>
      <w:proofErr w:type="gramStart"/>
      <w:r>
        <w:rPr>
          <w:rFonts w:ascii="Arial" w:hAnsi="Arial" w:cs="Arial"/>
          <w:color w:val="000000" w:themeColor="text1"/>
          <w:sz w:val="20"/>
          <w:szCs w:val="20"/>
        </w:rPr>
        <w:t xml:space="preserve">in  </w:t>
      </w:r>
      <w:r>
        <w:rPr>
          <w:rFonts w:ascii="Arial" w:hAnsi="Arial" w:cs="Arial"/>
          <w:i/>
          <w:iCs/>
          <w:color w:val="000000" w:themeColor="text1"/>
          <w:sz w:val="20"/>
          <w:szCs w:val="20"/>
        </w:rPr>
        <w:t>Oreochromis</w:t>
      </w:r>
      <w:proofErr w:type="gramEnd"/>
      <w:r>
        <w:rPr>
          <w:rFonts w:ascii="Arial" w:hAnsi="Arial" w:cs="Arial"/>
          <w:i/>
          <w:iCs/>
          <w:color w:val="000000" w:themeColor="text1"/>
          <w:sz w:val="20"/>
          <w:szCs w:val="20"/>
        </w:rPr>
        <w:t xml:space="preserve"> niloticus</w:t>
      </w:r>
      <w:r>
        <w:rPr>
          <w:rFonts w:ascii="Arial" w:hAnsi="Arial" w:cs="Arial"/>
          <w:color w:val="000000" w:themeColor="text1"/>
          <w:sz w:val="20"/>
          <w:szCs w:val="20"/>
        </w:rPr>
        <w:t xml:space="preserve"> which is very nearer with the results obtained in the present study. Among the different carcass sections, the mid-cut contributed the highest proportion to the total fillet yield in both strains with GIFT tilapia showing a significantly greater yield in this region (p &lt; 0.05). The result was similar to the study conducted by Sahu et al., 2017 who stated that highest meat yield and total yield percentage was recorded in the mid cut of </w:t>
      </w:r>
      <w:r>
        <w:rPr>
          <w:rFonts w:ascii="Arial" w:hAnsi="Arial" w:cs="Arial"/>
          <w:i/>
          <w:iCs/>
          <w:color w:val="000000" w:themeColor="text1"/>
          <w:sz w:val="20"/>
          <w:szCs w:val="20"/>
        </w:rPr>
        <w:t xml:space="preserve">O. niloticus. </w:t>
      </w:r>
      <w:r>
        <w:rPr>
          <w:rFonts w:ascii="Arial" w:hAnsi="Arial" w:cs="Arial"/>
          <w:color w:val="000000" w:themeColor="text1"/>
          <w:sz w:val="20"/>
          <w:szCs w:val="20"/>
        </w:rPr>
        <w:t xml:space="preserve">Furthermore, GIFT tilapia displayed more favourable meat-to-bone ratios across all cuts, enhancing </w:t>
      </w:r>
      <w:r>
        <w:rPr>
          <w:rFonts w:ascii="Arial" w:hAnsi="Arial" w:cs="Arial"/>
          <w:color w:val="000000" w:themeColor="text1"/>
          <w:sz w:val="20"/>
          <w:szCs w:val="20"/>
        </w:rPr>
        <w:lastRenderedPageBreak/>
        <w:t>their commercial value in terms of marketable meat. These findings support existing literature that reports improvements in carcass quality and yield traits due to selective breeding in GIFT strains (Nguyen et al., 2010).</w:t>
      </w:r>
    </w:p>
    <w:p w14:paraId="1BA37E2F" w14:textId="77777777" w:rsidR="00556FF6" w:rsidRDefault="00DA3F3F">
      <w:pPr>
        <w:spacing w:line="480" w:lineRule="auto"/>
        <w:ind w:firstLine="1320"/>
        <w:jc w:val="both"/>
        <w:rPr>
          <w:rFonts w:ascii="Arial" w:hAnsi="Arial" w:cs="Arial"/>
          <w:b/>
          <w:i/>
          <w:color w:val="000000" w:themeColor="text1"/>
          <w:sz w:val="24"/>
          <w:szCs w:val="24"/>
        </w:rPr>
      </w:pPr>
      <w:r>
        <w:rPr>
          <w:rFonts w:ascii="Arial" w:hAnsi="Arial" w:cs="Arial"/>
          <w:noProof/>
          <w:color w:val="000000" w:themeColor="text1"/>
          <w:sz w:val="24"/>
          <w:szCs w:val="24"/>
          <w:lang w:eastAsia="en-IN"/>
        </w:rPr>
        <w:drawing>
          <wp:inline distT="0" distB="0" distL="0" distR="0" wp14:anchorId="7243076B" wp14:editId="10808BE9">
            <wp:extent cx="4110990" cy="2941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10990" cy="2941320"/>
                    </a:xfrm>
                    <a:prstGeom prst="rect">
                      <a:avLst/>
                    </a:prstGeom>
                    <a:noFill/>
                    <a:ln>
                      <a:noFill/>
                    </a:ln>
                  </pic:spPr>
                </pic:pic>
              </a:graphicData>
            </a:graphic>
          </wp:inline>
        </w:drawing>
      </w:r>
    </w:p>
    <w:p w14:paraId="6A2CA4EB" w14:textId="1C935D46" w:rsidR="00556FF6" w:rsidRDefault="00DA3F3F">
      <w:pPr>
        <w:spacing w:line="240" w:lineRule="auto"/>
        <w:ind w:firstLine="720"/>
        <w:jc w:val="both"/>
        <w:rPr>
          <w:rFonts w:ascii="Arial" w:hAnsi="Arial" w:cs="Arial"/>
          <w:color w:val="000000" w:themeColor="text1"/>
          <w:spacing w:val="-3"/>
          <w:sz w:val="20"/>
          <w:szCs w:val="20"/>
        </w:rPr>
      </w:pPr>
      <w:r>
        <w:rPr>
          <w:rFonts w:ascii="Arial" w:hAnsi="Arial" w:cs="Arial"/>
          <w:b/>
          <w:i/>
          <w:color w:val="000000" w:themeColor="text1"/>
          <w:sz w:val="20"/>
          <w:szCs w:val="20"/>
        </w:rPr>
        <w:t>Fig 1:</w:t>
      </w:r>
      <w:r>
        <w:rPr>
          <w:rFonts w:ascii="Arial" w:hAnsi="Arial" w:cs="Arial"/>
          <w:b/>
          <w:color w:val="000000" w:themeColor="text1"/>
          <w:sz w:val="20"/>
          <w:szCs w:val="20"/>
        </w:rPr>
        <w:t xml:space="preserve"> Skinless dressed</w:t>
      </w:r>
      <w:r>
        <w:rPr>
          <w:rFonts w:ascii="Arial" w:hAnsi="Arial" w:cs="Arial"/>
          <w:b/>
          <w:color w:val="000000" w:themeColor="text1"/>
          <w:spacing w:val="-8"/>
          <w:sz w:val="20"/>
          <w:szCs w:val="20"/>
        </w:rPr>
        <w:t xml:space="preserve"> </w:t>
      </w:r>
      <w:r>
        <w:rPr>
          <w:rFonts w:ascii="Arial" w:hAnsi="Arial" w:cs="Arial"/>
          <w:b/>
          <w:color w:val="000000" w:themeColor="text1"/>
          <w:sz w:val="20"/>
          <w:szCs w:val="20"/>
        </w:rPr>
        <w:t>carcass</w:t>
      </w:r>
      <w:r>
        <w:rPr>
          <w:rFonts w:ascii="Arial" w:hAnsi="Arial" w:cs="Arial"/>
          <w:b/>
          <w:color w:val="000000" w:themeColor="text1"/>
          <w:spacing w:val="-10"/>
          <w:sz w:val="20"/>
          <w:szCs w:val="20"/>
        </w:rPr>
        <w:t xml:space="preserve"> </w:t>
      </w:r>
      <w:r>
        <w:rPr>
          <w:rFonts w:ascii="Arial" w:hAnsi="Arial" w:cs="Arial"/>
          <w:b/>
          <w:color w:val="000000" w:themeColor="text1"/>
          <w:sz w:val="20"/>
          <w:szCs w:val="20"/>
        </w:rPr>
        <w:t>cuts</w:t>
      </w:r>
      <w:r>
        <w:rPr>
          <w:rFonts w:ascii="Arial" w:hAnsi="Arial" w:cs="Arial"/>
          <w:b/>
          <w:color w:val="000000" w:themeColor="text1"/>
          <w:spacing w:val="-10"/>
          <w:sz w:val="20"/>
          <w:szCs w:val="20"/>
        </w:rPr>
        <w:t xml:space="preserve"> </w:t>
      </w:r>
      <w:r>
        <w:rPr>
          <w:rFonts w:ascii="Arial" w:hAnsi="Arial" w:cs="Arial"/>
          <w:b/>
          <w:color w:val="000000" w:themeColor="text1"/>
          <w:sz w:val="20"/>
          <w:szCs w:val="20"/>
        </w:rPr>
        <w:t>of</w:t>
      </w:r>
      <w:r>
        <w:rPr>
          <w:rFonts w:ascii="Arial" w:hAnsi="Arial" w:cs="Arial"/>
          <w:b/>
          <w:color w:val="000000" w:themeColor="text1"/>
          <w:spacing w:val="-1"/>
          <w:sz w:val="20"/>
          <w:szCs w:val="20"/>
        </w:rPr>
        <w:t xml:space="preserve"> </w:t>
      </w:r>
      <w:r>
        <w:rPr>
          <w:rFonts w:ascii="Arial" w:hAnsi="Arial" w:cs="Arial"/>
          <w:b/>
          <w:color w:val="000000" w:themeColor="text1"/>
          <w:sz w:val="20"/>
          <w:szCs w:val="20"/>
        </w:rPr>
        <w:t>tilapia reared in</w:t>
      </w:r>
      <w:r>
        <w:rPr>
          <w:rFonts w:ascii="Arial" w:hAnsi="Arial" w:cs="Arial"/>
          <w:b/>
          <w:color w:val="000000" w:themeColor="text1"/>
          <w:spacing w:val="-8"/>
          <w:sz w:val="20"/>
          <w:szCs w:val="20"/>
        </w:rPr>
        <w:t xml:space="preserve"> </w:t>
      </w:r>
      <w:r>
        <w:rPr>
          <w:rFonts w:ascii="Arial" w:hAnsi="Arial" w:cs="Arial"/>
          <w:b/>
          <w:color w:val="000000" w:themeColor="text1"/>
          <w:sz w:val="20"/>
          <w:szCs w:val="20"/>
        </w:rPr>
        <w:t>pond</w:t>
      </w:r>
      <w:r>
        <w:rPr>
          <w:rFonts w:ascii="Arial" w:hAnsi="Arial" w:cs="Arial"/>
          <w:b/>
          <w:color w:val="000000" w:themeColor="text1"/>
          <w:spacing w:val="-8"/>
          <w:sz w:val="20"/>
          <w:szCs w:val="20"/>
        </w:rPr>
        <w:t xml:space="preserve"> </w:t>
      </w:r>
      <w:r>
        <w:rPr>
          <w:rFonts w:ascii="Arial" w:hAnsi="Arial" w:cs="Arial"/>
          <w:b/>
          <w:color w:val="000000" w:themeColor="text1"/>
          <w:sz w:val="20"/>
          <w:szCs w:val="20"/>
        </w:rPr>
        <w:t>conditions</w:t>
      </w:r>
      <w:r>
        <w:rPr>
          <w:rFonts w:ascii="Arial" w:hAnsi="Arial" w:cs="Arial"/>
          <w:color w:val="000000" w:themeColor="text1"/>
          <w:sz w:val="20"/>
          <w:szCs w:val="20"/>
        </w:rPr>
        <w:t>;</w:t>
      </w:r>
      <w:r>
        <w:rPr>
          <w:rFonts w:ascii="Arial" w:hAnsi="Arial" w:cs="Arial"/>
          <w:color w:val="000000" w:themeColor="text1"/>
          <w:spacing w:val="-3"/>
          <w:sz w:val="20"/>
          <w:szCs w:val="20"/>
        </w:rPr>
        <w:t xml:space="preserve"> </w:t>
      </w:r>
    </w:p>
    <w:p w14:paraId="4DBFAF06" w14:textId="77777777" w:rsidR="00556FF6" w:rsidRDefault="00DA3F3F">
      <w:pPr>
        <w:spacing w:line="240" w:lineRule="auto"/>
        <w:ind w:firstLine="720"/>
        <w:jc w:val="center"/>
        <w:rPr>
          <w:rFonts w:ascii="Arial" w:hAnsi="Arial" w:cs="Arial"/>
          <w:color w:val="000000" w:themeColor="text1"/>
          <w:sz w:val="20"/>
          <w:szCs w:val="20"/>
        </w:rPr>
      </w:pPr>
      <w:r>
        <w:rPr>
          <w:rFonts w:ascii="Arial" w:hAnsi="Arial" w:cs="Arial"/>
          <w:color w:val="000000" w:themeColor="text1"/>
          <w:sz w:val="20"/>
          <w:szCs w:val="20"/>
        </w:rPr>
        <w:t>I – Fore- cut; II – Mid-cut; III – Hind-cut</w:t>
      </w:r>
    </w:p>
    <w:p w14:paraId="4DAA6959"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The skinless dressed carcass cuts of tilapia reared under pond conditions, segmented into fore-cut, mid-cut and hind-cut sections. The fore-cut includes the head and front portion of the body; the mid-cut represents the central muscular area and the hind-cut comprises the tail section. This image highlights the yield and anatomical differences in each cut after processing. Such segmentation is vital for evaluating meat distribution and commercial value across body regions. It also supports comparative analysis between different tilapia strains.</w:t>
      </w:r>
    </w:p>
    <w:p w14:paraId="1D9851F4" w14:textId="370DD7D9" w:rsidR="00556FF6" w:rsidRDefault="00DA3F3F">
      <w:pPr>
        <w:spacing w:after="0" w:line="480" w:lineRule="auto"/>
        <w:jc w:val="both"/>
        <w:rPr>
          <w:rFonts w:ascii="Arial" w:hAnsi="Arial" w:cs="Arial"/>
          <w:b/>
          <w:color w:val="000000" w:themeColor="text1"/>
        </w:rPr>
      </w:pPr>
      <w:r>
        <w:rPr>
          <w:rFonts w:ascii="Arial" w:hAnsi="Arial" w:cs="Arial"/>
          <w:b/>
          <w:color w:val="000000" w:themeColor="text1"/>
        </w:rPr>
        <w:t>Table.2. Proximate composition of carcass fillet cuts of Red and GIFT tilapia reared in pond conditions for 180 days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72"/>
        <w:gridCol w:w="1139"/>
        <w:gridCol w:w="1253"/>
        <w:gridCol w:w="1380"/>
        <w:gridCol w:w="1156"/>
        <w:gridCol w:w="1500"/>
        <w:gridCol w:w="1126"/>
      </w:tblGrid>
      <w:tr w:rsidR="00556FF6" w14:paraId="02D438FA" w14:textId="77777777">
        <w:trPr>
          <w:trHeight w:val="480"/>
          <w:tblHeader/>
          <w:tblCellSpacing w:w="15" w:type="dxa"/>
          <w:jc w:val="center"/>
        </w:trPr>
        <w:tc>
          <w:tcPr>
            <w:tcW w:w="0" w:type="auto"/>
            <w:tcBorders>
              <w:top w:val="single" w:sz="18" w:space="0" w:color="auto"/>
              <w:bottom w:val="nil"/>
              <w:right w:val="single" w:sz="2" w:space="0" w:color="auto"/>
            </w:tcBorders>
            <w:vAlign w:val="center"/>
          </w:tcPr>
          <w:p w14:paraId="778CB037"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Position of Cut</w:t>
            </w:r>
          </w:p>
        </w:tc>
        <w:tc>
          <w:tcPr>
            <w:tcW w:w="0" w:type="auto"/>
            <w:tcBorders>
              <w:top w:val="single" w:sz="18" w:space="0" w:color="auto"/>
              <w:bottom w:val="nil"/>
            </w:tcBorders>
            <w:vAlign w:val="center"/>
          </w:tcPr>
          <w:p w14:paraId="6B511F1F"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Treatments</w:t>
            </w:r>
          </w:p>
        </w:tc>
        <w:tc>
          <w:tcPr>
            <w:tcW w:w="0" w:type="auto"/>
            <w:tcBorders>
              <w:top w:val="single" w:sz="18" w:space="0" w:color="auto"/>
              <w:left w:val="single" w:sz="2" w:space="0" w:color="auto"/>
              <w:bottom w:val="nil"/>
              <w:right w:val="single" w:sz="2" w:space="0" w:color="auto"/>
            </w:tcBorders>
            <w:vAlign w:val="center"/>
          </w:tcPr>
          <w:p w14:paraId="2223CCE4"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Moisture (%)</w:t>
            </w:r>
          </w:p>
        </w:tc>
        <w:tc>
          <w:tcPr>
            <w:tcW w:w="0" w:type="auto"/>
            <w:tcBorders>
              <w:top w:val="single" w:sz="18" w:space="0" w:color="auto"/>
              <w:bottom w:val="nil"/>
            </w:tcBorders>
            <w:vAlign w:val="center"/>
          </w:tcPr>
          <w:p w14:paraId="52781E91"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Dry Matter (%)</w:t>
            </w:r>
          </w:p>
        </w:tc>
        <w:tc>
          <w:tcPr>
            <w:tcW w:w="0" w:type="auto"/>
            <w:tcBorders>
              <w:top w:val="single" w:sz="18" w:space="0" w:color="auto"/>
              <w:left w:val="single" w:sz="2" w:space="0" w:color="auto"/>
              <w:bottom w:val="nil"/>
            </w:tcBorders>
            <w:vAlign w:val="center"/>
          </w:tcPr>
          <w:p w14:paraId="6539956A"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Protein (%)</w:t>
            </w:r>
          </w:p>
        </w:tc>
        <w:tc>
          <w:tcPr>
            <w:tcW w:w="0" w:type="auto"/>
            <w:tcBorders>
              <w:top w:val="single" w:sz="18" w:space="0" w:color="auto"/>
              <w:left w:val="single" w:sz="2" w:space="0" w:color="auto"/>
              <w:bottom w:val="nil"/>
            </w:tcBorders>
            <w:vAlign w:val="center"/>
          </w:tcPr>
          <w:p w14:paraId="6D25DD32"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Crude Lipid (%)</w:t>
            </w:r>
          </w:p>
        </w:tc>
        <w:tc>
          <w:tcPr>
            <w:tcW w:w="0" w:type="auto"/>
            <w:tcBorders>
              <w:top w:val="single" w:sz="18" w:space="0" w:color="auto"/>
              <w:left w:val="single" w:sz="2" w:space="0" w:color="auto"/>
              <w:bottom w:val="nil"/>
            </w:tcBorders>
            <w:vAlign w:val="center"/>
          </w:tcPr>
          <w:p w14:paraId="60A3B143" w14:textId="77777777" w:rsidR="00556FF6" w:rsidRDefault="00DA3F3F">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Ash (%)</w:t>
            </w:r>
          </w:p>
        </w:tc>
      </w:tr>
      <w:tr w:rsidR="00556FF6" w14:paraId="225A199C" w14:textId="77777777">
        <w:trPr>
          <w:trHeight w:val="72"/>
          <w:tblHeader/>
          <w:tblCellSpacing w:w="15" w:type="dxa"/>
          <w:jc w:val="center"/>
        </w:trPr>
        <w:tc>
          <w:tcPr>
            <w:tcW w:w="0" w:type="auto"/>
            <w:tcBorders>
              <w:top w:val="single" w:sz="18" w:space="0" w:color="auto"/>
              <w:right w:val="single" w:sz="2" w:space="0" w:color="auto"/>
            </w:tcBorders>
            <w:vAlign w:val="center"/>
          </w:tcPr>
          <w:p w14:paraId="229A75EF" w14:textId="77777777" w:rsidR="00556FF6" w:rsidRDefault="00556FF6">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tcBorders>
            <w:vAlign w:val="center"/>
          </w:tcPr>
          <w:p w14:paraId="1AAB24A0" w14:textId="77777777" w:rsidR="00556FF6" w:rsidRDefault="00556FF6">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right w:val="single" w:sz="2" w:space="0" w:color="auto"/>
            </w:tcBorders>
            <w:vAlign w:val="center"/>
          </w:tcPr>
          <w:p w14:paraId="32A8CD97" w14:textId="77777777" w:rsidR="00556FF6" w:rsidRDefault="00556FF6">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tcBorders>
            <w:vAlign w:val="center"/>
          </w:tcPr>
          <w:p w14:paraId="10E3EDEE" w14:textId="77777777" w:rsidR="00556FF6" w:rsidRDefault="00556FF6">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132B6F4C" w14:textId="77777777" w:rsidR="00556FF6" w:rsidRDefault="00556FF6">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0459740E" w14:textId="77777777" w:rsidR="00556FF6" w:rsidRDefault="00556FF6">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76C5EE76" w14:textId="77777777" w:rsidR="00556FF6" w:rsidRDefault="00556FF6">
            <w:pPr>
              <w:spacing w:after="0" w:line="480" w:lineRule="auto"/>
              <w:jc w:val="both"/>
              <w:rPr>
                <w:rFonts w:ascii="Arial" w:eastAsia="Times New Roman" w:hAnsi="Arial" w:cs="Arial"/>
                <w:b/>
                <w:bCs/>
                <w:color w:val="000000" w:themeColor="text1"/>
                <w:sz w:val="20"/>
                <w:szCs w:val="20"/>
                <w:lang w:eastAsia="en-IN"/>
              </w:rPr>
            </w:pPr>
          </w:p>
        </w:tc>
      </w:tr>
      <w:tr w:rsidR="00556FF6" w14:paraId="474CA4B4" w14:textId="77777777">
        <w:trPr>
          <w:tblCellSpacing w:w="15" w:type="dxa"/>
          <w:jc w:val="center"/>
        </w:trPr>
        <w:tc>
          <w:tcPr>
            <w:tcW w:w="0" w:type="auto"/>
            <w:tcBorders>
              <w:right w:val="single" w:sz="2" w:space="0" w:color="auto"/>
            </w:tcBorders>
            <w:vAlign w:val="center"/>
          </w:tcPr>
          <w:p w14:paraId="75952925"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Fore cut</w:t>
            </w:r>
          </w:p>
        </w:tc>
        <w:tc>
          <w:tcPr>
            <w:tcW w:w="0" w:type="auto"/>
            <w:vAlign w:val="center"/>
          </w:tcPr>
          <w:p w14:paraId="7658687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left w:val="single" w:sz="2" w:space="0" w:color="auto"/>
              <w:right w:val="single" w:sz="2" w:space="0" w:color="auto"/>
            </w:tcBorders>
            <w:vAlign w:val="center"/>
          </w:tcPr>
          <w:p w14:paraId="38ACE9D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74.96 ± 0.42</w:t>
            </w:r>
          </w:p>
        </w:tc>
        <w:tc>
          <w:tcPr>
            <w:tcW w:w="0" w:type="auto"/>
            <w:vAlign w:val="center"/>
          </w:tcPr>
          <w:p w14:paraId="5C94792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25.04 ± 0.42</w:t>
            </w:r>
          </w:p>
        </w:tc>
        <w:tc>
          <w:tcPr>
            <w:tcW w:w="0" w:type="auto"/>
            <w:tcBorders>
              <w:left w:val="single" w:sz="2" w:space="0" w:color="auto"/>
            </w:tcBorders>
            <w:vAlign w:val="center"/>
          </w:tcPr>
          <w:p w14:paraId="46F8E46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14.35 ± 0.41</w:t>
            </w:r>
          </w:p>
        </w:tc>
        <w:tc>
          <w:tcPr>
            <w:tcW w:w="0" w:type="auto"/>
            <w:tcBorders>
              <w:left w:val="single" w:sz="2" w:space="0" w:color="auto"/>
            </w:tcBorders>
            <w:vAlign w:val="center"/>
          </w:tcPr>
          <w:p w14:paraId="555DFF7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9.09 ± 0.53</w:t>
            </w:r>
          </w:p>
        </w:tc>
        <w:tc>
          <w:tcPr>
            <w:tcW w:w="0" w:type="auto"/>
            <w:tcBorders>
              <w:left w:val="single" w:sz="2" w:space="0" w:color="auto"/>
            </w:tcBorders>
            <w:vAlign w:val="center"/>
          </w:tcPr>
          <w:p w14:paraId="121EEBE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2.82 ± 0.14</w:t>
            </w:r>
          </w:p>
        </w:tc>
      </w:tr>
      <w:tr w:rsidR="00556FF6" w14:paraId="2F9BE37C" w14:textId="77777777">
        <w:trPr>
          <w:tblCellSpacing w:w="15" w:type="dxa"/>
          <w:jc w:val="center"/>
        </w:trPr>
        <w:tc>
          <w:tcPr>
            <w:tcW w:w="0" w:type="auto"/>
            <w:tcBorders>
              <w:right w:val="single" w:sz="2" w:space="0" w:color="auto"/>
            </w:tcBorders>
            <w:vAlign w:val="center"/>
          </w:tcPr>
          <w:p w14:paraId="62577889"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50B8163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4139B5F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74.13 ± 1.01</w:t>
            </w:r>
          </w:p>
        </w:tc>
        <w:tc>
          <w:tcPr>
            <w:tcW w:w="0" w:type="auto"/>
            <w:vAlign w:val="center"/>
          </w:tcPr>
          <w:p w14:paraId="5E05B69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25.87 ± 1.01</w:t>
            </w:r>
          </w:p>
        </w:tc>
        <w:tc>
          <w:tcPr>
            <w:tcW w:w="0" w:type="auto"/>
            <w:tcBorders>
              <w:left w:val="single" w:sz="2" w:space="0" w:color="auto"/>
            </w:tcBorders>
            <w:vAlign w:val="center"/>
          </w:tcPr>
          <w:p w14:paraId="1C3AA91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14.22 ± 0.72</w:t>
            </w:r>
          </w:p>
        </w:tc>
        <w:tc>
          <w:tcPr>
            <w:tcW w:w="0" w:type="auto"/>
            <w:tcBorders>
              <w:left w:val="single" w:sz="2" w:space="0" w:color="auto"/>
            </w:tcBorders>
            <w:vAlign w:val="center"/>
          </w:tcPr>
          <w:p w14:paraId="11763A04"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8.95 ± 0.41</w:t>
            </w:r>
          </w:p>
        </w:tc>
        <w:tc>
          <w:tcPr>
            <w:tcW w:w="0" w:type="auto"/>
            <w:tcBorders>
              <w:left w:val="single" w:sz="2" w:space="0" w:color="auto"/>
            </w:tcBorders>
            <w:vAlign w:val="center"/>
          </w:tcPr>
          <w:p w14:paraId="7F9C70A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3.06 ± 0.19</w:t>
            </w:r>
          </w:p>
        </w:tc>
      </w:tr>
      <w:tr w:rsidR="00556FF6" w14:paraId="2209200E" w14:textId="77777777">
        <w:trPr>
          <w:tblCellSpacing w:w="15" w:type="dxa"/>
          <w:jc w:val="center"/>
        </w:trPr>
        <w:tc>
          <w:tcPr>
            <w:tcW w:w="0" w:type="auto"/>
            <w:tcBorders>
              <w:right w:val="single" w:sz="2" w:space="0" w:color="auto"/>
            </w:tcBorders>
            <w:vAlign w:val="center"/>
          </w:tcPr>
          <w:p w14:paraId="0A72D3E8"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7238262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right w:val="single" w:sz="2" w:space="0" w:color="auto"/>
            </w:tcBorders>
            <w:vAlign w:val="center"/>
          </w:tcPr>
          <w:p w14:paraId="6F1D5D5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5492E07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21B9496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5C420C5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6CE1806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556FF6" w14:paraId="5DA0F536" w14:textId="77777777">
        <w:trPr>
          <w:tblCellSpacing w:w="15" w:type="dxa"/>
          <w:jc w:val="center"/>
        </w:trPr>
        <w:tc>
          <w:tcPr>
            <w:tcW w:w="0" w:type="auto"/>
            <w:tcBorders>
              <w:top w:val="single" w:sz="2" w:space="0" w:color="auto"/>
              <w:right w:val="single" w:sz="2" w:space="0" w:color="auto"/>
            </w:tcBorders>
            <w:vAlign w:val="center"/>
          </w:tcPr>
          <w:p w14:paraId="531F8B2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Mid cut</w:t>
            </w:r>
          </w:p>
        </w:tc>
        <w:tc>
          <w:tcPr>
            <w:tcW w:w="0" w:type="auto"/>
            <w:tcBorders>
              <w:top w:val="single" w:sz="2" w:space="0" w:color="auto"/>
            </w:tcBorders>
            <w:vAlign w:val="center"/>
          </w:tcPr>
          <w:p w14:paraId="7C296D3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top w:val="single" w:sz="2" w:space="0" w:color="auto"/>
              <w:left w:val="single" w:sz="2" w:space="0" w:color="auto"/>
              <w:right w:val="single" w:sz="2" w:space="0" w:color="auto"/>
            </w:tcBorders>
            <w:vAlign w:val="center"/>
          </w:tcPr>
          <w:p w14:paraId="5C4FDD53"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74.73 ± 0.53</w:t>
            </w:r>
          </w:p>
        </w:tc>
        <w:tc>
          <w:tcPr>
            <w:tcW w:w="0" w:type="auto"/>
            <w:tcBorders>
              <w:top w:val="single" w:sz="2" w:space="0" w:color="auto"/>
            </w:tcBorders>
            <w:vAlign w:val="center"/>
          </w:tcPr>
          <w:p w14:paraId="7EEAAD3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25.26 ± 0.53</w:t>
            </w:r>
          </w:p>
        </w:tc>
        <w:tc>
          <w:tcPr>
            <w:tcW w:w="0" w:type="auto"/>
            <w:tcBorders>
              <w:top w:val="single" w:sz="2" w:space="0" w:color="auto"/>
              <w:left w:val="single" w:sz="2" w:space="0" w:color="auto"/>
            </w:tcBorders>
            <w:vAlign w:val="center"/>
          </w:tcPr>
          <w:p w14:paraId="0C03FEAF"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15.37 ± 1.27</w:t>
            </w:r>
          </w:p>
        </w:tc>
        <w:tc>
          <w:tcPr>
            <w:tcW w:w="0" w:type="auto"/>
            <w:tcBorders>
              <w:top w:val="single" w:sz="2" w:space="0" w:color="auto"/>
              <w:left w:val="single" w:sz="2" w:space="0" w:color="auto"/>
            </w:tcBorders>
            <w:vAlign w:val="center"/>
          </w:tcPr>
          <w:p w14:paraId="104E420A"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13.60 ± 0.23ᵃ</w:t>
            </w:r>
          </w:p>
        </w:tc>
        <w:tc>
          <w:tcPr>
            <w:tcW w:w="0" w:type="auto"/>
            <w:tcBorders>
              <w:top w:val="single" w:sz="2" w:space="0" w:color="auto"/>
              <w:left w:val="single" w:sz="2" w:space="0" w:color="auto"/>
            </w:tcBorders>
            <w:vAlign w:val="center"/>
          </w:tcPr>
          <w:p w14:paraId="2548318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1.91 ± 0.11ᵇ</w:t>
            </w:r>
          </w:p>
        </w:tc>
      </w:tr>
      <w:tr w:rsidR="00556FF6" w14:paraId="74E361AD" w14:textId="77777777">
        <w:trPr>
          <w:tblCellSpacing w:w="15" w:type="dxa"/>
          <w:jc w:val="center"/>
        </w:trPr>
        <w:tc>
          <w:tcPr>
            <w:tcW w:w="0" w:type="auto"/>
            <w:tcBorders>
              <w:right w:val="single" w:sz="2" w:space="0" w:color="auto"/>
            </w:tcBorders>
            <w:vAlign w:val="center"/>
          </w:tcPr>
          <w:p w14:paraId="02EC0B69"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347E791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72F90954"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74.90 ± 0.44</w:t>
            </w:r>
          </w:p>
        </w:tc>
        <w:tc>
          <w:tcPr>
            <w:tcW w:w="0" w:type="auto"/>
            <w:vAlign w:val="center"/>
          </w:tcPr>
          <w:p w14:paraId="56E7CA6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25.10 ± 0.44</w:t>
            </w:r>
          </w:p>
        </w:tc>
        <w:tc>
          <w:tcPr>
            <w:tcW w:w="0" w:type="auto"/>
            <w:tcBorders>
              <w:left w:val="single" w:sz="2" w:space="0" w:color="auto"/>
            </w:tcBorders>
            <w:vAlign w:val="center"/>
          </w:tcPr>
          <w:p w14:paraId="154CF165"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15.67 ± 0.34</w:t>
            </w:r>
          </w:p>
        </w:tc>
        <w:tc>
          <w:tcPr>
            <w:tcW w:w="0" w:type="auto"/>
            <w:tcBorders>
              <w:left w:val="single" w:sz="2" w:space="0" w:color="auto"/>
            </w:tcBorders>
            <w:vAlign w:val="center"/>
          </w:tcPr>
          <w:p w14:paraId="43D55B9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11.36 ± 0.42ᵇ</w:t>
            </w:r>
          </w:p>
        </w:tc>
        <w:tc>
          <w:tcPr>
            <w:tcW w:w="0" w:type="auto"/>
            <w:tcBorders>
              <w:left w:val="single" w:sz="2" w:space="0" w:color="auto"/>
            </w:tcBorders>
            <w:vAlign w:val="center"/>
          </w:tcPr>
          <w:p w14:paraId="6B27E75A"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2.46 ± 0.14ᵃ</w:t>
            </w:r>
          </w:p>
        </w:tc>
      </w:tr>
      <w:tr w:rsidR="00556FF6" w14:paraId="5EA56B01" w14:textId="77777777">
        <w:trPr>
          <w:tblCellSpacing w:w="15" w:type="dxa"/>
          <w:jc w:val="center"/>
        </w:trPr>
        <w:tc>
          <w:tcPr>
            <w:tcW w:w="0" w:type="auto"/>
            <w:tcBorders>
              <w:bottom w:val="single" w:sz="2" w:space="0" w:color="auto"/>
              <w:right w:val="single" w:sz="2" w:space="0" w:color="auto"/>
            </w:tcBorders>
            <w:vAlign w:val="center"/>
          </w:tcPr>
          <w:p w14:paraId="52271EF6"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0" w:type="auto"/>
            <w:tcBorders>
              <w:bottom w:val="single" w:sz="2" w:space="0" w:color="auto"/>
            </w:tcBorders>
            <w:vAlign w:val="center"/>
          </w:tcPr>
          <w:p w14:paraId="41DB999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bottom w:val="single" w:sz="2" w:space="0" w:color="auto"/>
              <w:right w:val="single" w:sz="2" w:space="0" w:color="auto"/>
            </w:tcBorders>
            <w:vAlign w:val="center"/>
          </w:tcPr>
          <w:p w14:paraId="20A0D223"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bottom w:val="single" w:sz="2" w:space="0" w:color="auto"/>
            </w:tcBorders>
            <w:vAlign w:val="center"/>
          </w:tcPr>
          <w:p w14:paraId="54AA41B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bottom w:val="single" w:sz="2" w:space="0" w:color="auto"/>
            </w:tcBorders>
            <w:vAlign w:val="center"/>
          </w:tcPr>
          <w:p w14:paraId="22A8ABE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bottom w:val="single" w:sz="2" w:space="0" w:color="auto"/>
            </w:tcBorders>
            <w:vAlign w:val="center"/>
          </w:tcPr>
          <w:p w14:paraId="3BD7984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c>
          <w:tcPr>
            <w:tcW w:w="0" w:type="auto"/>
            <w:tcBorders>
              <w:left w:val="single" w:sz="2" w:space="0" w:color="auto"/>
              <w:bottom w:val="single" w:sz="2" w:space="0" w:color="auto"/>
            </w:tcBorders>
            <w:vAlign w:val="center"/>
          </w:tcPr>
          <w:p w14:paraId="58F8DF9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r>
      <w:tr w:rsidR="00556FF6" w14:paraId="50A98ABB" w14:textId="77777777">
        <w:trPr>
          <w:tblCellSpacing w:w="15" w:type="dxa"/>
          <w:jc w:val="center"/>
        </w:trPr>
        <w:tc>
          <w:tcPr>
            <w:tcW w:w="0" w:type="auto"/>
            <w:tcBorders>
              <w:right w:val="single" w:sz="2" w:space="0" w:color="auto"/>
            </w:tcBorders>
            <w:vAlign w:val="center"/>
          </w:tcPr>
          <w:p w14:paraId="0B070173"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Hind cut</w:t>
            </w:r>
          </w:p>
        </w:tc>
        <w:tc>
          <w:tcPr>
            <w:tcW w:w="0" w:type="auto"/>
            <w:vAlign w:val="center"/>
          </w:tcPr>
          <w:p w14:paraId="26CF447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left w:val="single" w:sz="2" w:space="0" w:color="auto"/>
              <w:right w:val="single" w:sz="2" w:space="0" w:color="auto"/>
            </w:tcBorders>
            <w:vAlign w:val="center"/>
          </w:tcPr>
          <w:p w14:paraId="788238B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74.49 ± 0.22</w:t>
            </w:r>
          </w:p>
        </w:tc>
        <w:tc>
          <w:tcPr>
            <w:tcW w:w="0" w:type="auto"/>
            <w:vAlign w:val="center"/>
          </w:tcPr>
          <w:p w14:paraId="36C7644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25.51 ± 0.22</w:t>
            </w:r>
          </w:p>
        </w:tc>
        <w:tc>
          <w:tcPr>
            <w:tcW w:w="0" w:type="auto"/>
            <w:tcBorders>
              <w:left w:val="single" w:sz="2" w:space="0" w:color="auto"/>
            </w:tcBorders>
            <w:vAlign w:val="center"/>
          </w:tcPr>
          <w:p w14:paraId="1A5EEBD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18.06 ± 0.26</w:t>
            </w:r>
          </w:p>
        </w:tc>
        <w:tc>
          <w:tcPr>
            <w:tcW w:w="0" w:type="auto"/>
            <w:tcBorders>
              <w:left w:val="single" w:sz="2" w:space="0" w:color="auto"/>
            </w:tcBorders>
            <w:vAlign w:val="center"/>
          </w:tcPr>
          <w:p w14:paraId="468B184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11.04 ± 0.24</w:t>
            </w:r>
          </w:p>
        </w:tc>
        <w:tc>
          <w:tcPr>
            <w:tcW w:w="0" w:type="auto"/>
            <w:tcBorders>
              <w:left w:val="single" w:sz="2" w:space="0" w:color="auto"/>
            </w:tcBorders>
            <w:vAlign w:val="center"/>
          </w:tcPr>
          <w:p w14:paraId="612E84C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3.00 ± 0.36ᵇ</w:t>
            </w:r>
          </w:p>
        </w:tc>
      </w:tr>
      <w:tr w:rsidR="00556FF6" w14:paraId="25B8E10F" w14:textId="77777777">
        <w:trPr>
          <w:tblCellSpacing w:w="15" w:type="dxa"/>
          <w:jc w:val="center"/>
        </w:trPr>
        <w:tc>
          <w:tcPr>
            <w:tcW w:w="0" w:type="auto"/>
            <w:tcBorders>
              <w:right w:val="single" w:sz="2" w:space="0" w:color="auto"/>
            </w:tcBorders>
            <w:vAlign w:val="center"/>
          </w:tcPr>
          <w:p w14:paraId="133C151B"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0302793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10F1D721"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75.87 ± 0.69</w:t>
            </w:r>
          </w:p>
        </w:tc>
        <w:tc>
          <w:tcPr>
            <w:tcW w:w="0" w:type="auto"/>
            <w:vAlign w:val="center"/>
          </w:tcPr>
          <w:p w14:paraId="28D6C8C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24.13 ± 0.69</w:t>
            </w:r>
          </w:p>
        </w:tc>
        <w:tc>
          <w:tcPr>
            <w:tcW w:w="0" w:type="auto"/>
            <w:tcBorders>
              <w:left w:val="single" w:sz="2" w:space="0" w:color="auto"/>
            </w:tcBorders>
            <w:vAlign w:val="center"/>
          </w:tcPr>
          <w:p w14:paraId="52E18F8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16.80 ± 0.73</w:t>
            </w:r>
          </w:p>
        </w:tc>
        <w:tc>
          <w:tcPr>
            <w:tcW w:w="0" w:type="auto"/>
            <w:tcBorders>
              <w:left w:val="single" w:sz="2" w:space="0" w:color="auto"/>
            </w:tcBorders>
            <w:vAlign w:val="center"/>
          </w:tcPr>
          <w:p w14:paraId="324CE77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9.68 ± 0.41</w:t>
            </w:r>
          </w:p>
        </w:tc>
        <w:tc>
          <w:tcPr>
            <w:tcW w:w="0" w:type="auto"/>
            <w:tcBorders>
              <w:left w:val="single" w:sz="2" w:space="0" w:color="auto"/>
            </w:tcBorders>
            <w:vAlign w:val="center"/>
          </w:tcPr>
          <w:p w14:paraId="4B58B8D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3.73 ± 0.24ᵃ</w:t>
            </w:r>
          </w:p>
        </w:tc>
      </w:tr>
      <w:tr w:rsidR="00556FF6" w14:paraId="54039DDC" w14:textId="77777777">
        <w:trPr>
          <w:tblCellSpacing w:w="15" w:type="dxa"/>
          <w:jc w:val="center"/>
        </w:trPr>
        <w:tc>
          <w:tcPr>
            <w:tcW w:w="0" w:type="auto"/>
            <w:tcBorders>
              <w:right w:val="single" w:sz="2" w:space="0" w:color="auto"/>
            </w:tcBorders>
            <w:vAlign w:val="center"/>
          </w:tcPr>
          <w:p w14:paraId="409ED012"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27A1114A"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right w:val="single" w:sz="2" w:space="0" w:color="auto"/>
            </w:tcBorders>
            <w:vAlign w:val="center"/>
          </w:tcPr>
          <w:p w14:paraId="69211A0C"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35F13A3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0253337D"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4CEAFE4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6E29C8A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r>
      <w:tr w:rsidR="00556FF6" w14:paraId="120F2291" w14:textId="77777777">
        <w:trPr>
          <w:tblCellSpacing w:w="15" w:type="dxa"/>
          <w:jc w:val="center"/>
        </w:trPr>
        <w:tc>
          <w:tcPr>
            <w:tcW w:w="0" w:type="auto"/>
            <w:tcBorders>
              <w:top w:val="single" w:sz="2" w:space="0" w:color="auto"/>
              <w:right w:val="single" w:sz="2" w:space="0" w:color="auto"/>
            </w:tcBorders>
            <w:vAlign w:val="center"/>
          </w:tcPr>
          <w:p w14:paraId="29CBF00B"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Pooled</w:t>
            </w:r>
          </w:p>
        </w:tc>
        <w:tc>
          <w:tcPr>
            <w:tcW w:w="0" w:type="auto"/>
            <w:tcBorders>
              <w:top w:val="single" w:sz="2" w:space="0" w:color="auto"/>
            </w:tcBorders>
            <w:vAlign w:val="center"/>
          </w:tcPr>
          <w:p w14:paraId="0FC497C9"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top w:val="single" w:sz="2" w:space="0" w:color="auto"/>
              <w:left w:val="single" w:sz="2" w:space="0" w:color="auto"/>
              <w:right w:val="single" w:sz="2" w:space="0" w:color="auto"/>
            </w:tcBorders>
            <w:vAlign w:val="center"/>
          </w:tcPr>
          <w:p w14:paraId="03FFBFEE"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74.73</w:t>
            </w:r>
          </w:p>
        </w:tc>
        <w:tc>
          <w:tcPr>
            <w:tcW w:w="0" w:type="auto"/>
            <w:tcBorders>
              <w:top w:val="single" w:sz="2" w:space="0" w:color="auto"/>
            </w:tcBorders>
            <w:vAlign w:val="center"/>
          </w:tcPr>
          <w:p w14:paraId="0572D30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25.27</w:t>
            </w:r>
          </w:p>
        </w:tc>
        <w:tc>
          <w:tcPr>
            <w:tcW w:w="0" w:type="auto"/>
            <w:tcBorders>
              <w:top w:val="single" w:sz="2" w:space="0" w:color="auto"/>
              <w:left w:val="single" w:sz="2" w:space="0" w:color="auto"/>
            </w:tcBorders>
            <w:vAlign w:val="center"/>
          </w:tcPr>
          <w:p w14:paraId="211549B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15.93</w:t>
            </w:r>
          </w:p>
        </w:tc>
        <w:tc>
          <w:tcPr>
            <w:tcW w:w="0" w:type="auto"/>
            <w:tcBorders>
              <w:top w:val="single" w:sz="2" w:space="0" w:color="auto"/>
              <w:left w:val="single" w:sz="2" w:space="0" w:color="auto"/>
            </w:tcBorders>
            <w:vAlign w:val="center"/>
          </w:tcPr>
          <w:p w14:paraId="48B8E8F6"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11.24</w:t>
            </w:r>
          </w:p>
        </w:tc>
        <w:tc>
          <w:tcPr>
            <w:tcW w:w="0" w:type="auto"/>
            <w:tcBorders>
              <w:top w:val="single" w:sz="2" w:space="0" w:color="auto"/>
              <w:left w:val="single" w:sz="2" w:space="0" w:color="auto"/>
            </w:tcBorders>
            <w:vAlign w:val="center"/>
          </w:tcPr>
          <w:p w14:paraId="78CE0127"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2.57</w:t>
            </w:r>
          </w:p>
        </w:tc>
      </w:tr>
      <w:tr w:rsidR="00556FF6" w14:paraId="4A952DEA" w14:textId="77777777">
        <w:trPr>
          <w:tblCellSpacing w:w="15" w:type="dxa"/>
          <w:jc w:val="center"/>
        </w:trPr>
        <w:tc>
          <w:tcPr>
            <w:tcW w:w="0" w:type="auto"/>
            <w:tcBorders>
              <w:bottom w:val="single" w:sz="18" w:space="0" w:color="auto"/>
              <w:right w:val="single" w:sz="2" w:space="0" w:color="auto"/>
            </w:tcBorders>
            <w:vAlign w:val="center"/>
          </w:tcPr>
          <w:p w14:paraId="69ADCFA4" w14:textId="77777777" w:rsidR="00556FF6" w:rsidRDefault="00556FF6">
            <w:pPr>
              <w:spacing w:after="0" w:line="480" w:lineRule="auto"/>
              <w:jc w:val="both"/>
              <w:rPr>
                <w:rFonts w:ascii="Arial" w:eastAsia="Times New Roman" w:hAnsi="Arial" w:cs="Arial"/>
                <w:color w:val="000000" w:themeColor="text1"/>
                <w:sz w:val="20"/>
                <w:szCs w:val="20"/>
                <w:lang w:eastAsia="en-IN"/>
              </w:rPr>
            </w:pPr>
          </w:p>
        </w:tc>
        <w:tc>
          <w:tcPr>
            <w:tcW w:w="0" w:type="auto"/>
            <w:tcBorders>
              <w:bottom w:val="single" w:sz="18" w:space="0" w:color="auto"/>
            </w:tcBorders>
            <w:vAlign w:val="center"/>
          </w:tcPr>
          <w:p w14:paraId="4C03C4E8"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bottom w:val="single" w:sz="18" w:space="0" w:color="auto"/>
              <w:right w:val="single" w:sz="2" w:space="0" w:color="auto"/>
            </w:tcBorders>
            <w:vAlign w:val="center"/>
          </w:tcPr>
          <w:p w14:paraId="47A5DB9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74.97</w:t>
            </w:r>
          </w:p>
        </w:tc>
        <w:tc>
          <w:tcPr>
            <w:tcW w:w="0" w:type="auto"/>
            <w:tcBorders>
              <w:bottom w:val="single" w:sz="18" w:space="0" w:color="auto"/>
            </w:tcBorders>
            <w:vAlign w:val="center"/>
          </w:tcPr>
          <w:p w14:paraId="40E4F0A4"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25.03</w:t>
            </w:r>
          </w:p>
        </w:tc>
        <w:tc>
          <w:tcPr>
            <w:tcW w:w="0" w:type="auto"/>
            <w:tcBorders>
              <w:left w:val="single" w:sz="2" w:space="0" w:color="auto"/>
              <w:bottom w:val="single" w:sz="18" w:space="0" w:color="auto"/>
            </w:tcBorders>
            <w:vAlign w:val="center"/>
          </w:tcPr>
          <w:p w14:paraId="29F0887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15.56</w:t>
            </w:r>
          </w:p>
        </w:tc>
        <w:tc>
          <w:tcPr>
            <w:tcW w:w="0" w:type="auto"/>
            <w:tcBorders>
              <w:left w:val="single" w:sz="2" w:space="0" w:color="auto"/>
              <w:bottom w:val="single" w:sz="18" w:space="0" w:color="auto"/>
            </w:tcBorders>
            <w:vAlign w:val="center"/>
          </w:tcPr>
          <w:p w14:paraId="0BAF07C2"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9.99</w:t>
            </w:r>
          </w:p>
        </w:tc>
        <w:tc>
          <w:tcPr>
            <w:tcW w:w="0" w:type="auto"/>
            <w:tcBorders>
              <w:left w:val="single" w:sz="2" w:space="0" w:color="auto"/>
              <w:bottom w:val="single" w:sz="18" w:space="0" w:color="auto"/>
            </w:tcBorders>
            <w:vAlign w:val="center"/>
          </w:tcPr>
          <w:p w14:paraId="54C95380" w14:textId="77777777" w:rsidR="00556FF6" w:rsidRDefault="00DA3F3F">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3.08</w:t>
            </w:r>
          </w:p>
        </w:tc>
      </w:tr>
    </w:tbl>
    <w:p w14:paraId="580F50BC" w14:textId="77777777" w:rsidR="00556FF6" w:rsidRDefault="00DA3F3F">
      <w:pPr>
        <w:spacing w:line="480" w:lineRule="auto"/>
        <w:jc w:val="both"/>
        <w:rPr>
          <w:rFonts w:ascii="Arial" w:hAnsi="Arial" w:cs="Arial"/>
          <w:color w:val="000000" w:themeColor="text1"/>
          <w:sz w:val="20"/>
          <w:szCs w:val="20"/>
        </w:rPr>
      </w:pPr>
      <w:r>
        <w:rPr>
          <w:rFonts w:ascii="Arial" w:hAnsi="Arial" w:cs="Arial"/>
          <w:color w:val="000000" w:themeColor="text1"/>
          <w:sz w:val="20"/>
          <w:szCs w:val="20"/>
        </w:rPr>
        <w:t>*</w:t>
      </w:r>
      <w:r>
        <w:rPr>
          <w:rFonts w:ascii="Arial" w:hAnsi="Arial" w:cs="Arial"/>
          <w:i/>
          <w:color w:val="000000" w:themeColor="text1"/>
          <w:sz w:val="20"/>
          <w:szCs w:val="20"/>
        </w:rPr>
        <w:t>Values are expressed as the means ± SE; in each cut, mean values with different superscripts in a column differ significantly (p &lt; 0.05); NS = No significant difference.</w:t>
      </w:r>
    </w:p>
    <w:p w14:paraId="5E991742" w14:textId="5E343C90"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At the end of the trial </w:t>
      </w:r>
      <w:r>
        <w:rPr>
          <w:rFonts w:ascii="Arial" w:hAnsi="Arial" w:cs="Arial"/>
          <w:b/>
          <w:color w:val="000000" w:themeColor="text1"/>
          <w:sz w:val="20"/>
          <w:szCs w:val="20"/>
        </w:rPr>
        <w:t>(table.2)</w:t>
      </w:r>
      <w:r>
        <w:rPr>
          <w:rFonts w:ascii="Arial" w:hAnsi="Arial" w:cs="Arial"/>
          <w:color w:val="000000" w:themeColor="text1"/>
          <w:sz w:val="20"/>
          <w:szCs w:val="20"/>
        </w:rPr>
        <w:t>, both GIFT and Red tilapia exhibited increased protein content with GIFT tilapia showing a slightly higher crude protein percentage compared to Red tilapia. GIFT tilapia also had marginally lower moisture content, indicating denser and potentially higher-quality flesh. Although lipid content showed no significant differences between the two strains ash content was slightly higher in GIFT, suggesting better mineral retention. The fatty acid analysis further revealed that GIFT tilapia contained elevated levels of beneficial polyunsaturated fatty acids (PUFAs) such as linoleic acid and docosahexaenoic acid (DHA). While saturated fatty acid (SFA) levels were comparable, GIFT tilapia presented a more favourable omega-6 to omega-3 ratio implying a slightly improved nutritional profile for human consumption.</w:t>
      </w:r>
    </w:p>
    <w:p w14:paraId="321E2C73"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In terms of texture, GIFT fillets demonstrated higher hardness and chewiness compared to Red tilapia, indicating firmer flesh texture, which is often preferred by consumers. GIFT strain reared in pond conditions exhibit higher muscle hardness, gumminess and chewiness (Dai et al., 2025).  Red tilapia showed slightly more cohesiveness and elasticity which may make them more suitable for processed fish products. These differences in texture are likely influenced by muscle fibre density and lipid deposition.</w:t>
      </w:r>
    </w:p>
    <w:p w14:paraId="4A9BF9B7" w14:textId="77777777" w:rsidR="00556FF6" w:rsidRDefault="00DA3F3F">
      <w:pPr>
        <w:pStyle w:val="ListParagraph"/>
        <w:numPr>
          <w:ilvl w:val="0"/>
          <w:numId w:val="2"/>
        </w:numPr>
        <w:spacing w:line="480" w:lineRule="auto"/>
        <w:jc w:val="both"/>
        <w:rPr>
          <w:rFonts w:ascii="Arial" w:hAnsi="Arial" w:cs="Arial"/>
          <w:color w:val="000000" w:themeColor="text1"/>
        </w:rPr>
      </w:pPr>
      <w:r>
        <w:rPr>
          <w:rFonts w:ascii="Arial" w:hAnsi="Arial" w:cs="Arial"/>
          <w:b/>
          <w:color w:val="000000" w:themeColor="text1"/>
        </w:rPr>
        <w:t>CONCLUSION</w:t>
      </w:r>
    </w:p>
    <w:p w14:paraId="5CC7B553"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4"/>
          <w:szCs w:val="24"/>
        </w:rPr>
        <w:t xml:space="preserve"> </w:t>
      </w:r>
      <w:r>
        <w:rPr>
          <w:rFonts w:ascii="Arial" w:hAnsi="Arial" w:cs="Arial"/>
          <w:color w:val="000000" w:themeColor="text1"/>
          <w:sz w:val="20"/>
          <w:szCs w:val="20"/>
        </w:rPr>
        <w:t xml:space="preserve">The results clearly demonstrated that the GIFT strain consistently outperformed the Red strain across multiple parameters. GIFT tilapia achieved significantly higher final body weight, specific growth rate (SGR) and better feed conversion efficiency, reflecting superior genetic potential for rapid growth and nutrient utilization. Furthermore, the GIFT strain exhibited a higher dressed body and fillet yield, particularly from the mid-cut carcass section and demonstrated a better meat-to-bone ratio—traits highly valued in commercial aquaculture for maximizing marketable yield. </w:t>
      </w:r>
    </w:p>
    <w:p w14:paraId="748414CE"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In terms of nutritional composition, GIFT tilapia contained slightly higher crude protein and ash contents, along with a denser muscle structure due to lower moisture content. Although lipid levels were similar, the GIFT strain presented a more favourable fatty acid profile with increased levels of beneficial polyunsaturated fatty acids (PUFAs) such as DHA and a healthier omega-6 to omega-3 ratio, indicating its potential for delivering better nutritional value to consumers. The flesh texture of GIFT fillets was also firmer which may appeal more to consumer preferences for fresh or cooked fish.</w:t>
      </w:r>
    </w:p>
    <w:p w14:paraId="0A1F1302" w14:textId="77777777" w:rsidR="00556FF6" w:rsidRDefault="00DA3F3F">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This research confirms the advantages of GIFT tilapia as a genetically improved strain suitable for commercial aquaculture. Its superior growth, yield efficiency and flesh quality make it a preferable choice over Red tilapia for enhancing productivity and profitability in fish farming operations while also offering nutritional benefits to consumers.</w:t>
      </w:r>
    </w:p>
    <w:p w14:paraId="61E2194B" w14:textId="77777777" w:rsidR="00556FF6" w:rsidRDefault="00DA3F3F">
      <w:pPr>
        <w:pStyle w:val="ListParagraph"/>
        <w:numPr>
          <w:ilvl w:val="0"/>
          <w:numId w:val="2"/>
        </w:numPr>
        <w:spacing w:before="240" w:line="480" w:lineRule="auto"/>
        <w:jc w:val="both"/>
        <w:rPr>
          <w:rFonts w:ascii="Arial" w:hAnsi="Arial" w:cs="Arial"/>
          <w:b/>
          <w:color w:val="000000" w:themeColor="text1"/>
        </w:rPr>
      </w:pPr>
      <w:bookmarkStart w:id="0" w:name="_GoBack"/>
      <w:bookmarkEnd w:id="0"/>
      <w:r>
        <w:rPr>
          <w:rFonts w:ascii="Arial" w:hAnsi="Arial" w:cs="Arial"/>
          <w:b/>
          <w:color w:val="000000" w:themeColor="text1"/>
        </w:rPr>
        <w:t>REFERENCE</w:t>
      </w:r>
    </w:p>
    <w:p w14:paraId="6B4AF7D4" w14:textId="507F989D" w:rsidR="002E7A47" w:rsidRPr="002E7A47" w:rsidRDefault="002E7A47" w:rsidP="002E7A47">
      <w:pPr>
        <w:spacing w:line="480" w:lineRule="auto"/>
        <w:ind w:left="360"/>
        <w:jc w:val="both"/>
        <w:rPr>
          <w:rFonts w:ascii="Arial" w:hAnsi="Arial" w:cs="Arial"/>
          <w:color w:val="000000" w:themeColor="text1"/>
          <w:sz w:val="20"/>
          <w:szCs w:val="20"/>
        </w:rPr>
      </w:pPr>
      <w:r w:rsidRPr="002E7A47">
        <w:rPr>
          <w:rFonts w:ascii="Arial" w:hAnsi="Arial" w:cs="Arial"/>
          <w:color w:val="000000" w:themeColor="text1"/>
          <w:sz w:val="20"/>
          <w:szCs w:val="20"/>
        </w:rPr>
        <w:t xml:space="preserve">Ahmad, N., &amp; </w:t>
      </w:r>
      <w:proofErr w:type="spellStart"/>
      <w:r w:rsidRPr="002E7A47">
        <w:rPr>
          <w:rFonts w:ascii="Arial" w:hAnsi="Arial" w:cs="Arial"/>
          <w:color w:val="000000" w:themeColor="text1"/>
          <w:sz w:val="20"/>
          <w:szCs w:val="20"/>
        </w:rPr>
        <w:t>Zulqurnain</w:t>
      </w:r>
      <w:proofErr w:type="spellEnd"/>
      <w:r w:rsidRPr="002E7A47">
        <w:rPr>
          <w:rFonts w:ascii="Arial" w:hAnsi="Arial" w:cs="Arial"/>
          <w:color w:val="000000" w:themeColor="text1"/>
          <w:sz w:val="20"/>
          <w:szCs w:val="20"/>
        </w:rPr>
        <w:t xml:space="preserve">, Z. (2018). Growth Performance of Two GIFT Strains of Nile Tilapia Oreochromis </w:t>
      </w:r>
      <w:proofErr w:type="spellStart"/>
      <w:r w:rsidRPr="002E7A47">
        <w:rPr>
          <w:rFonts w:ascii="Arial" w:hAnsi="Arial" w:cs="Arial"/>
          <w:color w:val="000000" w:themeColor="text1"/>
          <w:sz w:val="20"/>
          <w:szCs w:val="20"/>
        </w:rPr>
        <w:t>niloticus</w:t>
      </w:r>
      <w:proofErr w:type="spellEnd"/>
      <w:r w:rsidRPr="002E7A47">
        <w:rPr>
          <w:rFonts w:ascii="Arial" w:hAnsi="Arial" w:cs="Arial"/>
          <w:color w:val="000000" w:themeColor="text1"/>
          <w:sz w:val="20"/>
          <w:szCs w:val="20"/>
        </w:rPr>
        <w:t xml:space="preserve"> Reared under Semi-Intensive Culture. Pakistan Journal of Zoology. </w:t>
      </w:r>
      <w:hyperlink r:id="rId9" w:history="1">
        <w:r w:rsidRPr="002E7A47">
          <w:rPr>
            <w:rStyle w:val="Hyperlink"/>
            <w:rFonts w:ascii="Arial" w:hAnsi="Arial" w:cs="Arial"/>
            <w:sz w:val="20"/>
            <w:szCs w:val="20"/>
          </w:rPr>
          <w:t>https://doi.org/10.17582/journal.pjz/2018.50.6.2301.2305</w:t>
        </w:r>
      </w:hyperlink>
    </w:p>
    <w:p w14:paraId="75DE8685" w14:textId="624E276A" w:rsidR="00556FF6" w:rsidRPr="002E7A47" w:rsidRDefault="00DA3F3F" w:rsidP="002E7A47">
      <w:pPr>
        <w:spacing w:line="480" w:lineRule="auto"/>
        <w:ind w:left="360"/>
        <w:jc w:val="both"/>
        <w:rPr>
          <w:rFonts w:ascii="Arial" w:hAnsi="Arial" w:cs="Arial"/>
          <w:color w:val="000000" w:themeColor="text1"/>
          <w:sz w:val="20"/>
          <w:szCs w:val="20"/>
        </w:rPr>
      </w:pPr>
      <w:r w:rsidRPr="002E7A47">
        <w:rPr>
          <w:rFonts w:ascii="Arial" w:hAnsi="Arial" w:cs="Arial"/>
          <w:color w:val="000000" w:themeColor="text1"/>
          <w:sz w:val="20"/>
          <w:szCs w:val="20"/>
        </w:rPr>
        <w:lastRenderedPageBreak/>
        <w:t xml:space="preserve">Ahmed, M. H., &amp; Ali, N. I. (2019). Comparative growth performance and feed utilization efficiency between red and GIFT tilapia (Oreochromis spp.) under semi-intensive culture. Aquaculture Research, 50(12), 3505–3513. </w:t>
      </w:r>
      <w:hyperlink r:id="rId10" w:history="1">
        <w:r w:rsidRPr="002E7A47">
          <w:rPr>
            <w:rStyle w:val="Hyperlink"/>
            <w:rFonts w:ascii="Arial" w:hAnsi="Arial" w:cs="Arial"/>
            <w:color w:val="000000" w:themeColor="text1"/>
            <w:sz w:val="20"/>
            <w:szCs w:val="20"/>
            <w:u w:val="none"/>
          </w:rPr>
          <w:t>https://doi.org/10.1111/are.14305</w:t>
        </w:r>
      </w:hyperlink>
    </w:p>
    <w:p w14:paraId="0A582F52" w14:textId="5D5DCB05" w:rsidR="002E7A47" w:rsidRPr="002E7A47" w:rsidRDefault="002E7A47" w:rsidP="002E7A47">
      <w:pPr>
        <w:spacing w:line="480" w:lineRule="auto"/>
        <w:ind w:left="360"/>
        <w:jc w:val="both"/>
        <w:rPr>
          <w:rFonts w:ascii="Arial" w:hAnsi="Arial" w:cs="Arial"/>
          <w:color w:val="000000" w:themeColor="text1"/>
          <w:sz w:val="20"/>
          <w:szCs w:val="20"/>
        </w:rPr>
      </w:pPr>
      <w:r w:rsidRPr="002E7A47">
        <w:rPr>
          <w:rFonts w:ascii="Arial" w:hAnsi="Arial" w:cs="Arial"/>
          <w:color w:val="000000" w:themeColor="text1"/>
          <w:sz w:val="20"/>
          <w:szCs w:val="20"/>
        </w:rPr>
        <w:t xml:space="preserve">AOAC INTERNATIONAL. (2016). Official methods of analysis of AOAC International (20th ed.). Association of Official Analytical Chemists. </w:t>
      </w:r>
      <w:hyperlink r:id="rId11" w:history="1">
        <w:r w:rsidRPr="002E7A47">
          <w:rPr>
            <w:rStyle w:val="Hyperlink"/>
            <w:rFonts w:ascii="Arial" w:hAnsi="Arial" w:cs="Arial"/>
            <w:sz w:val="20"/>
            <w:szCs w:val="20"/>
          </w:rPr>
          <w:t>https://www.eoma.aoac.org</w:t>
        </w:r>
      </w:hyperlink>
    </w:p>
    <w:p w14:paraId="2894A61E" w14:textId="08F06B7C" w:rsidR="00556FF6" w:rsidRPr="002E7A47" w:rsidRDefault="00DA3F3F" w:rsidP="002E7A47">
      <w:pPr>
        <w:spacing w:line="480" w:lineRule="auto"/>
        <w:ind w:left="360"/>
        <w:jc w:val="both"/>
        <w:rPr>
          <w:rFonts w:ascii="Arial" w:hAnsi="Arial" w:cs="Arial"/>
          <w:color w:val="000000" w:themeColor="text1"/>
          <w:sz w:val="20"/>
          <w:szCs w:val="20"/>
        </w:rPr>
      </w:pPr>
      <w:r w:rsidRPr="002E7A47">
        <w:rPr>
          <w:rFonts w:ascii="Arial" w:eastAsia="SimSun" w:hAnsi="Arial" w:cs="Arial"/>
          <w:color w:val="000000" w:themeColor="text1"/>
          <w:sz w:val="20"/>
          <w:szCs w:val="20"/>
          <w:shd w:val="clear" w:color="auto" w:fill="FFFFFF"/>
        </w:rPr>
        <w:t>APHA (1981) Standard Methods for the Examination of Water and Wastewater. 15th Edition, American Public Health Association, Washington DC.</w:t>
      </w:r>
    </w:p>
    <w:p w14:paraId="2864478B" w14:textId="7EE93324" w:rsidR="002E7A47" w:rsidRPr="002E7A47" w:rsidRDefault="002E7A47" w:rsidP="002E7A47">
      <w:pPr>
        <w:spacing w:line="480" w:lineRule="auto"/>
        <w:ind w:left="360"/>
        <w:jc w:val="both"/>
        <w:rPr>
          <w:rFonts w:ascii="Arial" w:hAnsi="Arial" w:cs="Arial"/>
          <w:color w:val="000000" w:themeColor="text1"/>
          <w:sz w:val="20"/>
          <w:szCs w:val="20"/>
        </w:rPr>
      </w:pPr>
      <w:r w:rsidRPr="002E7A47">
        <w:rPr>
          <w:rFonts w:ascii="Arial" w:hAnsi="Arial" w:cs="Arial"/>
          <w:color w:val="000000" w:themeColor="text1"/>
          <w:sz w:val="20"/>
          <w:szCs w:val="20"/>
        </w:rPr>
        <w:t xml:space="preserve">Dai, Y., Wang, Y., Dai, Y., Tang, J., Xu, Q., &amp; </w:t>
      </w:r>
      <w:proofErr w:type="spellStart"/>
      <w:r w:rsidRPr="002E7A47">
        <w:rPr>
          <w:rFonts w:ascii="Arial" w:hAnsi="Arial" w:cs="Arial"/>
          <w:color w:val="000000" w:themeColor="text1"/>
          <w:sz w:val="20"/>
          <w:szCs w:val="20"/>
        </w:rPr>
        <w:t>Xie</w:t>
      </w:r>
      <w:proofErr w:type="spellEnd"/>
      <w:r w:rsidRPr="002E7A47">
        <w:rPr>
          <w:rFonts w:ascii="Arial" w:hAnsi="Arial" w:cs="Arial"/>
          <w:color w:val="000000" w:themeColor="text1"/>
          <w:sz w:val="20"/>
          <w:szCs w:val="20"/>
        </w:rPr>
        <w:t xml:space="preserve">, N. (2025). The influence of different aquaculture systems on growth performance, morphological characteristics, texture profile and nutritional components of Genetically Improved Farmed Tilapia (GIFT). Aquaculture Reports, 42, 102859. </w:t>
      </w:r>
      <w:hyperlink r:id="rId12" w:history="1">
        <w:r w:rsidRPr="002E7A47">
          <w:rPr>
            <w:rStyle w:val="Hyperlink"/>
            <w:rFonts w:ascii="Arial" w:hAnsi="Arial" w:cs="Arial"/>
            <w:sz w:val="20"/>
            <w:szCs w:val="20"/>
          </w:rPr>
          <w:t>https://doi.org/10.1016/j.aqrep.2025.102859</w:t>
        </w:r>
      </w:hyperlink>
    </w:p>
    <w:p w14:paraId="55403FE9" w14:textId="4AF20FE8" w:rsidR="002E7A47" w:rsidRPr="002E7A47" w:rsidRDefault="002E7A47" w:rsidP="002E7A47">
      <w:pPr>
        <w:spacing w:line="480" w:lineRule="auto"/>
        <w:ind w:left="360"/>
        <w:jc w:val="both"/>
        <w:rPr>
          <w:rFonts w:ascii="Arial" w:hAnsi="Arial" w:cs="Arial"/>
          <w:color w:val="000000" w:themeColor="text1"/>
          <w:sz w:val="20"/>
          <w:szCs w:val="20"/>
        </w:rPr>
      </w:pPr>
      <w:r w:rsidRPr="002E7A47">
        <w:rPr>
          <w:rFonts w:ascii="Arial" w:hAnsi="Arial" w:cs="Arial"/>
          <w:color w:val="000000" w:themeColor="text1"/>
          <w:sz w:val="20"/>
          <w:szCs w:val="20"/>
        </w:rPr>
        <w:t xml:space="preserve">Das, U. N., Jana, P., Pahari, T., Roy, A., &amp; </w:t>
      </w:r>
      <w:proofErr w:type="spellStart"/>
      <w:r w:rsidRPr="002E7A47">
        <w:rPr>
          <w:rFonts w:ascii="Arial" w:hAnsi="Arial" w:cs="Arial"/>
          <w:color w:val="000000" w:themeColor="text1"/>
          <w:sz w:val="20"/>
          <w:szCs w:val="20"/>
        </w:rPr>
        <w:t>Dhara</w:t>
      </w:r>
      <w:proofErr w:type="spellEnd"/>
      <w:r w:rsidRPr="002E7A47">
        <w:rPr>
          <w:rFonts w:ascii="Arial" w:hAnsi="Arial" w:cs="Arial"/>
          <w:color w:val="000000" w:themeColor="text1"/>
          <w:sz w:val="20"/>
          <w:szCs w:val="20"/>
        </w:rPr>
        <w:t xml:space="preserve">, K. (2018). Comparative Study on Growth Performance and Economics between GIFT and Local Varieties of Oreochromis </w:t>
      </w:r>
      <w:proofErr w:type="spellStart"/>
      <w:r w:rsidRPr="002E7A47">
        <w:rPr>
          <w:rFonts w:ascii="Arial" w:hAnsi="Arial" w:cs="Arial"/>
          <w:color w:val="000000" w:themeColor="text1"/>
          <w:sz w:val="20"/>
          <w:szCs w:val="20"/>
        </w:rPr>
        <w:t>niloticus</w:t>
      </w:r>
      <w:proofErr w:type="spellEnd"/>
      <w:r w:rsidRPr="002E7A47">
        <w:rPr>
          <w:rFonts w:ascii="Arial" w:hAnsi="Arial" w:cs="Arial"/>
          <w:color w:val="000000" w:themeColor="text1"/>
          <w:sz w:val="20"/>
          <w:szCs w:val="20"/>
        </w:rPr>
        <w:t xml:space="preserve"> (Linnaeus, 1758) Reared in Pond Culture Systems. International Journal of Pure &amp; Applied Bioscience, 6(5), 603–610. </w:t>
      </w:r>
      <w:hyperlink r:id="rId13" w:history="1">
        <w:r w:rsidRPr="002E7A47">
          <w:rPr>
            <w:rStyle w:val="Hyperlink"/>
            <w:rFonts w:ascii="Arial" w:hAnsi="Arial" w:cs="Arial"/>
            <w:sz w:val="20"/>
            <w:szCs w:val="20"/>
          </w:rPr>
          <w:t>https://doi.org/10.18782/2320-7051.6985</w:t>
        </w:r>
      </w:hyperlink>
    </w:p>
    <w:p w14:paraId="22B9C6E8" w14:textId="1D9B919E" w:rsidR="002E7A47" w:rsidRPr="002E7A47" w:rsidRDefault="002E7A47" w:rsidP="002E7A47">
      <w:pPr>
        <w:spacing w:line="480" w:lineRule="auto"/>
        <w:ind w:left="360"/>
        <w:jc w:val="both"/>
        <w:rPr>
          <w:rFonts w:ascii="Arial" w:hAnsi="Arial" w:cs="Arial"/>
          <w:color w:val="000000" w:themeColor="text1"/>
          <w:sz w:val="20"/>
          <w:szCs w:val="20"/>
        </w:rPr>
      </w:pPr>
      <w:r w:rsidRPr="002E7A47">
        <w:rPr>
          <w:rFonts w:ascii="Arial" w:hAnsi="Arial" w:cs="Arial"/>
          <w:color w:val="000000" w:themeColor="text1"/>
          <w:sz w:val="20"/>
          <w:szCs w:val="20"/>
        </w:rPr>
        <w:t xml:space="preserve">El-Sayed, A. F. M. (2006). Tilapia culture. CABI. </w:t>
      </w:r>
      <w:hyperlink r:id="rId14" w:history="1">
        <w:r w:rsidRPr="002E7A47">
          <w:rPr>
            <w:rStyle w:val="Hyperlink"/>
            <w:rFonts w:ascii="Arial" w:hAnsi="Arial" w:cs="Arial"/>
            <w:sz w:val="20"/>
            <w:szCs w:val="20"/>
          </w:rPr>
          <w:t>https://doi.org/10.1079/9780851990149.0000</w:t>
        </w:r>
      </w:hyperlink>
    </w:p>
    <w:p w14:paraId="43FC10FE" w14:textId="6232425F" w:rsidR="002E7A47" w:rsidRPr="002E7A47" w:rsidRDefault="002E7A47" w:rsidP="002E7A47">
      <w:pPr>
        <w:spacing w:line="480" w:lineRule="auto"/>
        <w:ind w:left="360"/>
        <w:jc w:val="both"/>
        <w:rPr>
          <w:rFonts w:ascii="Arial" w:hAnsi="Arial" w:cs="Arial"/>
          <w:color w:val="000000" w:themeColor="text1"/>
          <w:sz w:val="20"/>
          <w:szCs w:val="20"/>
        </w:rPr>
      </w:pPr>
      <w:proofErr w:type="spellStart"/>
      <w:r w:rsidRPr="002E7A47">
        <w:rPr>
          <w:rFonts w:ascii="Arial" w:hAnsi="Arial" w:cs="Arial"/>
          <w:color w:val="000000" w:themeColor="text1"/>
          <w:sz w:val="20"/>
          <w:szCs w:val="20"/>
        </w:rPr>
        <w:t>Folch</w:t>
      </w:r>
      <w:proofErr w:type="spellEnd"/>
      <w:r w:rsidRPr="002E7A47">
        <w:rPr>
          <w:rFonts w:ascii="Arial" w:hAnsi="Arial" w:cs="Arial"/>
          <w:color w:val="000000" w:themeColor="text1"/>
          <w:sz w:val="20"/>
          <w:szCs w:val="20"/>
        </w:rPr>
        <w:t xml:space="preserve">, J., Lees, M., &amp; Stanley, G. S. (1957). A simple method for the isolation and purification of total </w:t>
      </w:r>
      <w:proofErr w:type="spellStart"/>
      <w:r w:rsidRPr="002E7A47">
        <w:rPr>
          <w:rFonts w:ascii="Arial" w:hAnsi="Arial" w:cs="Arial"/>
          <w:color w:val="000000" w:themeColor="text1"/>
          <w:sz w:val="20"/>
          <w:szCs w:val="20"/>
        </w:rPr>
        <w:t>lipides</w:t>
      </w:r>
      <w:proofErr w:type="spellEnd"/>
      <w:r w:rsidRPr="002E7A47">
        <w:rPr>
          <w:rFonts w:ascii="Arial" w:hAnsi="Arial" w:cs="Arial"/>
          <w:color w:val="000000" w:themeColor="text1"/>
          <w:sz w:val="20"/>
          <w:szCs w:val="20"/>
        </w:rPr>
        <w:t xml:space="preserve"> from animal tissues. Journal of Biological Chemistry, 226(1), 497–509. </w:t>
      </w:r>
      <w:hyperlink r:id="rId15" w:history="1">
        <w:r w:rsidRPr="002E7A47">
          <w:rPr>
            <w:rStyle w:val="Hyperlink"/>
            <w:rFonts w:ascii="Arial" w:hAnsi="Arial" w:cs="Arial"/>
            <w:sz w:val="20"/>
            <w:szCs w:val="20"/>
          </w:rPr>
          <w:t>https://doi.org/10.1016/S0021-9258(18)64849-5</w:t>
        </w:r>
      </w:hyperlink>
    </w:p>
    <w:p w14:paraId="02211186" w14:textId="3B66975B" w:rsidR="002E7A47" w:rsidRPr="002E7A47" w:rsidRDefault="002E7A47" w:rsidP="002E7A47">
      <w:pPr>
        <w:spacing w:line="480" w:lineRule="auto"/>
        <w:ind w:left="360"/>
        <w:jc w:val="both"/>
        <w:rPr>
          <w:rFonts w:ascii="Arial" w:hAnsi="Arial" w:cs="Arial"/>
          <w:color w:val="000000" w:themeColor="text1"/>
          <w:sz w:val="20"/>
          <w:szCs w:val="20"/>
        </w:rPr>
      </w:pPr>
      <w:r w:rsidRPr="002E7A47">
        <w:rPr>
          <w:rFonts w:ascii="Arial" w:hAnsi="Arial" w:cs="Arial"/>
          <w:color w:val="000000" w:themeColor="text1"/>
          <w:sz w:val="20"/>
          <w:szCs w:val="20"/>
        </w:rPr>
        <w:t>Green, B. W., &amp; Teichert</w:t>
      </w:r>
      <w:r w:rsidRPr="002E7A47">
        <w:rPr>
          <w:rFonts w:ascii="Cambria Math" w:hAnsi="Cambria Math" w:cs="Cambria Math"/>
          <w:color w:val="000000" w:themeColor="text1"/>
          <w:sz w:val="20"/>
          <w:szCs w:val="20"/>
        </w:rPr>
        <w:t>‐</w:t>
      </w:r>
      <w:r w:rsidRPr="002E7A47">
        <w:rPr>
          <w:rFonts w:ascii="Arial" w:hAnsi="Arial" w:cs="Arial"/>
          <w:color w:val="000000" w:themeColor="text1"/>
          <w:sz w:val="20"/>
          <w:szCs w:val="20"/>
        </w:rPr>
        <w:t>Coddington, D. R. (2000). Human food safety and environmental assessment of the use of 17Α</w:t>
      </w:r>
      <w:r w:rsidRPr="002E7A47">
        <w:rPr>
          <w:rFonts w:ascii="Cambria Math" w:hAnsi="Cambria Math" w:cs="Cambria Math"/>
          <w:color w:val="000000" w:themeColor="text1"/>
          <w:sz w:val="20"/>
          <w:szCs w:val="20"/>
        </w:rPr>
        <w:t>‐</w:t>
      </w:r>
      <w:r w:rsidRPr="002E7A47">
        <w:rPr>
          <w:rFonts w:ascii="Arial" w:hAnsi="Arial" w:cs="Arial"/>
          <w:color w:val="000000" w:themeColor="text1"/>
          <w:sz w:val="20"/>
          <w:szCs w:val="20"/>
        </w:rPr>
        <w:t xml:space="preserve">Methyltestosterone to produce male tilapia in the United States. Journal of the World Aquaculture Society, 31(3), 337–357. </w:t>
      </w:r>
      <w:hyperlink r:id="rId16" w:history="1">
        <w:r w:rsidRPr="002E7A47">
          <w:rPr>
            <w:rStyle w:val="Hyperlink"/>
            <w:rFonts w:ascii="Arial" w:hAnsi="Arial" w:cs="Arial"/>
            <w:sz w:val="20"/>
            <w:szCs w:val="20"/>
          </w:rPr>
          <w:t>https://doi.org/10.1111/j.1749-7345.2000.tb00885.x</w:t>
        </w:r>
      </w:hyperlink>
    </w:p>
    <w:p w14:paraId="7D598CA6" w14:textId="2FDBED7B" w:rsidR="002E7A47" w:rsidRPr="002E7A47" w:rsidRDefault="002E7A47" w:rsidP="002E7A47">
      <w:pPr>
        <w:spacing w:line="480" w:lineRule="auto"/>
        <w:ind w:left="360"/>
        <w:jc w:val="both"/>
        <w:rPr>
          <w:rFonts w:ascii="Arial" w:hAnsi="Arial" w:cs="Arial"/>
          <w:color w:val="000000" w:themeColor="text1"/>
          <w:sz w:val="20"/>
          <w:szCs w:val="20"/>
        </w:rPr>
      </w:pPr>
      <w:r w:rsidRPr="002E7A47">
        <w:rPr>
          <w:rFonts w:ascii="Arial" w:hAnsi="Arial" w:cs="Arial"/>
          <w:color w:val="000000" w:themeColor="text1"/>
          <w:sz w:val="20"/>
          <w:szCs w:val="20"/>
        </w:rPr>
        <w:t xml:space="preserve">Gupta, M. V., &amp; Acosta, B. O. (2004). A review of global tilapia farming practices. Aquaculture Asia, 9(1), 7–12. </w:t>
      </w:r>
      <w:hyperlink r:id="rId17" w:history="1">
        <w:r w:rsidRPr="002E7A47">
          <w:rPr>
            <w:rStyle w:val="Hyperlink"/>
            <w:rFonts w:ascii="Arial" w:hAnsi="Arial" w:cs="Arial"/>
            <w:sz w:val="20"/>
            <w:szCs w:val="20"/>
          </w:rPr>
          <w:t>https://library.enaca.org/AquacultureAsia/Articles/Jan-March-2004/6global-review-tilapia</w:t>
        </w:r>
      </w:hyperlink>
    </w:p>
    <w:p w14:paraId="16CA2EE3" w14:textId="6892C759" w:rsidR="00BA2CB9" w:rsidRDefault="00BA2CB9" w:rsidP="002E7A47">
      <w:pPr>
        <w:spacing w:line="480" w:lineRule="auto"/>
        <w:ind w:left="360"/>
        <w:jc w:val="both"/>
        <w:rPr>
          <w:rFonts w:ascii="Arial" w:hAnsi="Arial" w:cs="Arial"/>
          <w:color w:val="000000" w:themeColor="text1"/>
          <w:sz w:val="20"/>
          <w:szCs w:val="20"/>
        </w:rPr>
      </w:pPr>
      <w:r w:rsidRPr="00BA2CB9">
        <w:rPr>
          <w:rFonts w:ascii="Arial" w:hAnsi="Arial" w:cs="Arial"/>
          <w:color w:val="000000" w:themeColor="text1"/>
          <w:sz w:val="20"/>
          <w:szCs w:val="20"/>
        </w:rPr>
        <w:lastRenderedPageBreak/>
        <w:t xml:space="preserve">Gupta, N., Haque, M. M., &amp; Khan, M. (2012). Growth performance of tilapia fingerling in cage in ponds managed by Adivasi households: An assessment through length-weight relationship. Journal of the Bangladesh Agricultural University, 10(1), 149–155. </w:t>
      </w:r>
      <w:hyperlink r:id="rId18" w:history="1">
        <w:r w:rsidRPr="00C81524">
          <w:rPr>
            <w:rStyle w:val="Hyperlink"/>
            <w:rFonts w:ascii="Arial" w:hAnsi="Arial" w:cs="Arial"/>
            <w:sz w:val="20"/>
            <w:szCs w:val="20"/>
          </w:rPr>
          <w:t>https://doi.org/10.3329/jbau.v10i1.12107</w:t>
        </w:r>
      </w:hyperlink>
    </w:p>
    <w:p w14:paraId="61B69E8F" w14:textId="69D51D89" w:rsidR="00BA2CB9" w:rsidRDefault="00BA2CB9" w:rsidP="002E7A47">
      <w:pPr>
        <w:spacing w:line="480" w:lineRule="auto"/>
        <w:ind w:left="360"/>
        <w:jc w:val="both"/>
        <w:rPr>
          <w:rFonts w:ascii="Arial" w:hAnsi="Arial" w:cs="Arial"/>
          <w:color w:val="000000" w:themeColor="text1"/>
          <w:sz w:val="20"/>
          <w:szCs w:val="20"/>
        </w:rPr>
      </w:pPr>
      <w:proofErr w:type="spellStart"/>
      <w:r w:rsidRPr="00BA2CB9">
        <w:rPr>
          <w:rFonts w:ascii="Arial" w:hAnsi="Arial" w:cs="Arial"/>
          <w:color w:val="000000" w:themeColor="text1"/>
          <w:sz w:val="20"/>
          <w:szCs w:val="20"/>
        </w:rPr>
        <w:t>Jongjaraunsuk</w:t>
      </w:r>
      <w:proofErr w:type="spellEnd"/>
      <w:r w:rsidRPr="00BA2CB9">
        <w:rPr>
          <w:rFonts w:ascii="Arial" w:hAnsi="Arial" w:cs="Arial"/>
          <w:color w:val="000000" w:themeColor="text1"/>
          <w:sz w:val="20"/>
          <w:szCs w:val="20"/>
        </w:rPr>
        <w:t xml:space="preserve">, R., &amp; </w:t>
      </w:r>
      <w:proofErr w:type="spellStart"/>
      <w:r w:rsidRPr="00BA2CB9">
        <w:rPr>
          <w:rFonts w:ascii="Arial" w:hAnsi="Arial" w:cs="Arial"/>
          <w:color w:val="000000" w:themeColor="text1"/>
          <w:sz w:val="20"/>
          <w:szCs w:val="20"/>
        </w:rPr>
        <w:t>Taparhudee</w:t>
      </w:r>
      <w:proofErr w:type="spellEnd"/>
      <w:r w:rsidRPr="00BA2CB9">
        <w:rPr>
          <w:rFonts w:ascii="Arial" w:hAnsi="Arial" w:cs="Arial"/>
          <w:color w:val="000000" w:themeColor="text1"/>
          <w:sz w:val="20"/>
          <w:szCs w:val="20"/>
        </w:rPr>
        <w:t xml:space="preserve">, W. (2022). Weight estimation model for red tilapia (Oreochromis </w:t>
      </w:r>
      <w:proofErr w:type="spellStart"/>
      <w:r w:rsidRPr="00BA2CB9">
        <w:rPr>
          <w:rFonts w:ascii="Arial" w:hAnsi="Arial" w:cs="Arial"/>
          <w:color w:val="000000" w:themeColor="text1"/>
          <w:sz w:val="20"/>
          <w:szCs w:val="20"/>
        </w:rPr>
        <w:t>niloticus</w:t>
      </w:r>
      <w:proofErr w:type="spellEnd"/>
      <w:r w:rsidRPr="00BA2CB9">
        <w:rPr>
          <w:rFonts w:ascii="Arial" w:hAnsi="Arial" w:cs="Arial"/>
          <w:color w:val="000000" w:themeColor="text1"/>
          <w:sz w:val="20"/>
          <w:szCs w:val="20"/>
        </w:rPr>
        <w:t xml:space="preserve"> Linn.) from images. Agriculture and Natural Resources </w:t>
      </w:r>
      <w:hyperlink r:id="rId19" w:history="1">
        <w:r w:rsidRPr="00C81524">
          <w:rPr>
            <w:rStyle w:val="Hyperlink"/>
            <w:rFonts w:ascii="Arial" w:hAnsi="Arial" w:cs="Arial"/>
            <w:sz w:val="20"/>
            <w:szCs w:val="20"/>
          </w:rPr>
          <w:t>https://doi.org/10.34044/j.anres.2021.56.1.20</w:t>
        </w:r>
      </w:hyperlink>
    </w:p>
    <w:p w14:paraId="07260E52" w14:textId="0670BA78" w:rsidR="00BA2CB9" w:rsidRDefault="00BA2CB9" w:rsidP="002E7A47">
      <w:pPr>
        <w:spacing w:line="480" w:lineRule="auto"/>
        <w:ind w:left="360"/>
        <w:jc w:val="both"/>
        <w:rPr>
          <w:rFonts w:ascii="Arial" w:hAnsi="Arial" w:cs="Arial"/>
          <w:color w:val="000000" w:themeColor="text1"/>
          <w:sz w:val="20"/>
          <w:szCs w:val="20"/>
        </w:rPr>
      </w:pPr>
      <w:r w:rsidRPr="00BA2CB9">
        <w:rPr>
          <w:rFonts w:ascii="Arial" w:hAnsi="Arial" w:cs="Arial"/>
          <w:color w:val="000000" w:themeColor="text1"/>
          <w:sz w:val="20"/>
          <w:szCs w:val="20"/>
        </w:rPr>
        <w:t xml:space="preserve">Moses, M., </w:t>
      </w:r>
      <w:proofErr w:type="spellStart"/>
      <w:r w:rsidRPr="00BA2CB9">
        <w:rPr>
          <w:rFonts w:ascii="Arial" w:hAnsi="Arial" w:cs="Arial"/>
          <w:color w:val="000000" w:themeColor="text1"/>
          <w:sz w:val="20"/>
          <w:szCs w:val="20"/>
        </w:rPr>
        <w:t>Chauka</w:t>
      </w:r>
      <w:proofErr w:type="spellEnd"/>
      <w:r w:rsidRPr="00BA2CB9">
        <w:rPr>
          <w:rFonts w:ascii="Arial" w:hAnsi="Arial" w:cs="Arial"/>
          <w:color w:val="000000" w:themeColor="text1"/>
          <w:sz w:val="20"/>
          <w:szCs w:val="20"/>
        </w:rPr>
        <w:t xml:space="preserve">, L. J., De Koning, D. J., </w:t>
      </w:r>
      <w:proofErr w:type="spellStart"/>
      <w:r w:rsidRPr="00BA2CB9">
        <w:rPr>
          <w:rFonts w:ascii="Arial" w:hAnsi="Arial" w:cs="Arial"/>
          <w:color w:val="000000" w:themeColor="text1"/>
          <w:sz w:val="20"/>
          <w:szCs w:val="20"/>
        </w:rPr>
        <w:t>Palaiokostas</w:t>
      </w:r>
      <w:proofErr w:type="spellEnd"/>
      <w:r w:rsidRPr="00BA2CB9">
        <w:rPr>
          <w:rFonts w:ascii="Arial" w:hAnsi="Arial" w:cs="Arial"/>
          <w:color w:val="000000" w:themeColor="text1"/>
          <w:sz w:val="20"/>
          <w:szCs w:val="20"/>
        </w:rPr>
        <w:t xml:space="preserve">, C., &amp; </w:t>
      </w:r>
      <w:proofErr w:type="spellStart"/>
      <w:r w:rsidRPr="00BA2CB9">
        <w:rPr>
          <w:rFonts w:ascii="Arial" w:hAnsi="Arial" w:cs="Arial"/>
          <w:color w:val="000000" w:themeColor="text1"/>
          <w:sz w:val="20"/>
          <w:szCs w:val="20"/>
        </w:rPr>
        <w:t>Mtolera</w:t>
      </w:r>
      <w:proofErr w:type="spellEnd"/>
      <w:r w:rsidRPr="00BA2CB9">
        <w:rPr>
          <w:rFonts w:ascii="Arial" w:hAnsi="Arial" w:cs="Arial"/>
          <w:color w:val="000000" w:themeColor="text1"/>
          <w:sz w:val="20"/>
          <w:szCs w:val="20"/>
        </w:rPr>
        <w:t xml:space="preserve">, M. S. P. (2021). Growth performance of five different strains of Nile tilapia (Oreochromis </w:t>
      </w:r>
      <w:proofErr w:type="spellStart"/>
      <w:r w:rsidRPr="00BA2CB9">
        <w:rPr>
          <w:rFonts w:ascii="Arial" w:hAnsi="Arial" w:cs="Arial"/>
          <w:color w:val="000000" w:themeColor="text1"/>
          <w:sz w:val="20"/>
          <w:szCs w:val="20"/>
        </w:rPr>
        <w:t>niloticus</w:t>
      </w:r>
      <w:proofErr w:type="spellEnd"/>
      <w:r w:rsidRPr="00BA2CB9">
        <w:rPr>
          <w:rFonts w:ascii="Arial" w:hAnsi="Arial" w:cs="Arial"/>
          <w:color w:val="000000" w:themeColor="text1"/>
          <w:sz w:val="20"/>
          <w:szCs w:val="20"/>
        </w:rPr>
        <w:t xml:space="preserve">) introduced to Tanzania reared in fresh and brackish waters. Scientific Reports, 11(1) </w:t>
      </w:r>
      <w:hyperlink r:id="rId20" w:history="1">
        <w:r w:rsidRPr="00C81524">
          <w:rPr>
            <w:rStyle w:val="Hyperlink"/>
            <w:rFonts w:ascii="Arial" w:hAnsi="Arial" w:cs="Arial"/>
            <w:sz w:val="20"/>
            <w:szCs w:val="20"/>
          </w:rPr>
          <w:t>https://doi.org/10.1038/s41598-021-90505-y</w:t>
        </w:r>
      </w:hyperlink>
    </w:p>
    <w:p w14:paraId="34D2B9CF" w14:textId="43FAC8C2" w:rsidR="00BA2CB9" w:rsidRDefault="00BA2CB9" w:rsidP="002E7A47">
      <w:pPr>
        <w:spacing w:line="480" w:lineRule="auto"/>
        <w:ind w:left="360"/>
        <w:jc w:val="both"/>
        <w:rPr>
          <w:rFonts w:ascii="Arial" w:hAnsi="Arial" w:cs="Arial"/>
          <w:color w:val="000000" w:themeColor="text1"/>
          <w:sz w:val="20"/>
          <w:szCs w:val="20"/>
        </w:rPr>
      </w:pPr>
      <w:r w:rsidRPr="00BA2CB9">
        <w:rPr>
          <w:rFonts w:ascii="Arial" w:hAnsi="Arial" w:cs="Arial"/>
          <w:color w:val="000000" w:themeColor="text1"/>
          <w:sz w:val="20"/>
          <w:szCs w:val="20"/>
        </w:rPr>
        <w:t xml:space="preserve">Nguyen, N. H., </w:t>
      </w:r>
      <w:proofErr w:type="spellStart"/>
      <w:r w:rsidRPr="00BA2CB9">
        <w:rPr>
          <w:rFonts w:ascii="Arial" w:hAnsi="Arial" w:cs="Arial"/>
          <w:color w:val="000000" w:themeColor="text1"/>
          <w:sz w:val="20"/>
          <w:szCs w:val="20"/>
        </w:rPr>
        <w:t>Ponzoni</w:t>
      </w:r>
      <w:proofErr w:type="spellEnd"/>
      <w:r w:rsidRPr="00BA2CB9">
        <w:rPr>
          <w:rFonts w:ascii="Arial" w:hAnsi="Arial" w:cs="Arial"/>
          <w:color w:val="000000" w:themeColor="text1"/>
          <w:sz w:val="20"/>
          <w:szCs w:val="20"/>
        </w:rPr>
        <w:t xml:space="preserve">, R. W., Abu-Bakar, K. R., Hamzah, A., </w:t>
      </w:r>
      <w:proofErr w:type="spellStart"/>
      <w:r w:rsidRPr="00BA2CB9">
        <w:rPr>
          <w:rFonts w:ascii="Arial" w:hAnsi="Arial" w:cs="Arial"/>
          <w:color w:val="000000" w:themeColor="text1"/>
          <w:sz w:val="20"/>
          <w:szCs w:val="20"/>
        </w:rPr>
        <w:t>Khaw</w:t>
      </w:r>
      <w:proofErr w:type="spellEnd"/>
      <w:r w:rsidRPr="00BA2CB9">
        <w:rPr>
          <w:rFonts w:ascii="Arial" w:hAnsi="Arial" w:cs="Arial"/>
          <w:color w:val="000000" w:themeColor="text1"/>
          <w:sz w:val="20"/>
          <w:szCs w:val="20"/>
        </w:rPr>
        <w:t xml:space="preserve">, H. L., &amp; Yee, H. Y. (2010). Correlated response in fillet weight and yield to selection for increased harvest weight in genetically improved farmed tilapia (GIFT strain), Oreochromis </w:t>
      </w:r>
      <w:proofErr w:type="spellStart"/>
      <w:r w:rsidRPr="00BA2CB9">
        <w:rPr>
          <w:rFonts w:ascii="Arial" w:hAnsi="Arial" w:cs="Arial"/>
          <w:color w:val="000000" w:themeColor="text1"/>
          <w:sz w:val="20"/>
          <w:szCs w:val="20"/>
        </w:rPr>
        <w:t>niloticus</w:t>
      </w:r>
      <w:proofErr w:type="spellEnd"/>
      <w:r w:rsidRPr="00BA2CB9">
        <w:rPr>
          <w:rFonts w:ascii="Arial" w:hAnsi="Arial" w:cs="Arial"/>
          <w:color w:val="000000" w:themeColor="text1"/>
          <w:sz w:val="20"/>
          <w:szCs w:val="20"/>
        </w:rPr>
        <w:t xml:space="preserve">. Aquaculture, 305(1–4), 1–5. </w:t>
      </w:r>
      <w:hyperlink r:id="rId21" w:history="1">
        <w:r w:rsidRPr="00C81524">
          <w:rPr>
            <w:rStyle w:val="Hyperlink"/>
            <w:rFonts w:ascii="Arial" w:hAnsi="Arial" w:cs="Arial"/>
            <w:sz w:val="20"/>
            <w:szCs w:val="20"/>
          </w:rPr>
          <w:t>https://doi.org/10.1016/j.aquaculture.2010.04.007</w:t>
        </w:r>
      </w:hyperlink>
    </w:p>
    <w:p w14:paraId="4380FE97" w14:textId="1FB755BE" w:rsidR="00BA2CB9" w:rsidRDefault="00BA2CB9" w:rsidP="002E7A47">
      <w:pPr>
        <w:spacing w:line="480" w:lineRule="auto"/>
        <w:ind w:left="360"/>
        <w:jc w:val="both"/>
        <w:rPr>
          <w:rFonts w:ascii="Arial" w:hAnsi="Arial" w:cs="Arial"/>
          <w:color w:val="000000" w:themeColor="text1"/>
          <w:sz w:val="20"/>
          <w:szCs w:val="20"/>
        </w:rPr>
      </w:pPr>
      <w:proofErr w:type="spellStart"/>
      <w:r w:rsidRPr="00BA2CB9">
        <w:rPr>
          <w:rFonts w:ascii="Arial" w:hAnsi="Arial" w:cs="Arial"/>
          <w:color w:val="000000" w:themeColor="text1"/>
          <w:sz w:val="20"/>
          <w:szCs w:val="20"/>
        </w:rPr>
        <w:t>Ridha</w:t>
      </w:r>
      <w:proofErr w:type="spellEnd"/>
      <w:r w:rsidRPr="00BA2CB9">
        <w:rPr>
          <w:rFonts w:ascii="Arial" w:hAnsi="Arial" w:cs="Arial"/>
          <w:color w:val="000000" w:themeColor="text1"/>
          <w:sz w:val="20"/>
          <w:szCs w:val="20"/>
        </w:rPr>
        <w:t xml:space="preserve">, M. T. (2005). Comparative study of growth performance of three strains of Nile tilapia, Oreochromis </w:t>
      </w:r>
      <w:proofErr w:type="spellStart"/>
      <w:r w:rsidRPr="00BA2CB9">
        <w:rPr>
          <w:rFonts w:ascii="Arial" w:hAnsi="Arial" w:cs="Arial"/>
          <w:color w:val="000000" w:themeColor="text1"/>
          <w:sz w:val="20"/>
          <w:szCs w:val="20"/>
        </w:rPr>
        <w:t>niloticus</w:t>
      </w:r>
      <w:proofErr w:type="spellEnd"/>
      <w:r w:rsidRPr="00BA2CB9">
        <w:rPr>
          <w:rFonts w:ascii="Arial" w:hAnsi="Arial" w:cs="Arial"/>
          <w:color w:val="000000" w:themeColor="text1"/>
          <w:sz w:val="20"/>
          <w:szCs w:val="20"/>
        </w:rPr>
        <w:t xml:space="preserve">, L. at two stocking densities. Aquaculture Research. </w:t>
      </w:r>
      <w:hyperlink r:id="rId22" w:history="1">
        <w:r w:rsidRPr="00C81524">
          <w:rPr>
            <w:rStyle w:val="Hyperlink"/>
            <w:rFonts w:ascii="Arial" w:hAnsi="Arial" w:cs="Arial"/>
            <w:sz w:val="20"/>
            <w:szCs w:val="20"/>
          </w:rPr>
          <w:t>https://doi.org/10.1111/j.1365-2109.2005.01415.x</w:t>
        </w:r>
      </w:hyperlink>
    </w:p>
    <w:p w14:paraId="1AB824B9" w14:textId="4EE2BDBD" w:rsidR="00BA2CB9" w:rsidRDefault="00BA2CB9" w:rsidP="002E7A47">
      <w:pPr>
        <w:spacing w:line="480" w:lineRule="auto"/>
        <w:ind w:left="360"/>
        <w:jc w:val="both"/>
        <w:rPr>
          <w:rFonts w:ascii="Arial" w:eastAsia="SimSun" w:hAnsi="Arial" w:cs="Arial"/>
          <w:color w:val="000000" w:themeColor="text1"/>
          <w:sz w:val="20"/>
          <w:szCs w:val="20"/>
          <w:shd w:val="clear" w:color="auto" w:fill="FFFFFF"/>
        </w:rPr>
      </w:pPr>
      <w:proofErr w:type="spellStart"/>
      <w:r w:rsidRPr="00BA2CB9">
        <w:rPr>
          <w:rFonts w:ascii="Arial" w:eastAsia="SimSun" w:hAnsi="Arial" w:cs="Arial"/>
          <w:color w:val="000000" w:themeColor="text1"/>
          <w:sz w:val="20"/>
          <w:szCs w:val="20"/>
          <w:shd w:val="clear" w:color="auto" w:fill="FFFFFF"/>
        </w:rPr>
        <w:t>Sahu</w:t>
      </w:r>
      <w:proofErr w:type="spellEnd"/>
      <w:r w:rsidRPr="00BA2CB9">
        <w:rPr>
          <w:rFonts w:ascii="Arial" w:eastAsia="SimSun" w:hAnsi="Arial" w:cs="Arial"/>
          <w:color w:val="000000" w:themeColor="text1"/>
          <w:sz w:val="20"/>
          <w:szCs w:val="20"/>
          <w:shd w:val="clear" w:color="auto" w:fill="FFFFFF"/>
        </w:rPr>
        <w:t xml:space="preserve">, B. B., Barik, N. K., </w:t>
      </w:r>
      <w:proofErr w:type="spellStart"/>
      <w:r w:rsidRPr="00BA2CB9">
        <w:rPr>
          <w:rFonts w:ascii="Arial" w:eastAsia="SimSun" w:hAnsi="Arial" w:cs="Arial"/>
          <w:color w:val="000000" w:themeColor="text1"/>
          <w:sz w:val="20"/>
          <w:szCs w:val="20"/>
          <w:shd w:val="clear" w:color="auto" w:fill="FFFFFF"/>
        </w:rPr>
        <w:t>Routray</w:t>
      </w:r>
      <w:proofErr w:type="spellEnd"/>
      <w:r w:rsidRPr="00BA2CB9">
        <w:rPr>
          <w:rFonts w:ascii="Arial" w:eastAsia="SimSun" w:hAnsi="Arial" w:cs="Arial"/>
          <w:color w:val="000000" w:themeColor="text1"/>
          <w:sz w:val="20"/>
          <w:szCs w:val="20"/>
          <w:shd w:val="clear" w:color="auto" w:fill="FFFFFF"/>
        </w:rPr>
        <w:t xml:space="preserve">, P., </w:t>
      </w:r>
      <w:proofErr w:type="spellStart"/>
      <w:r w:rsidRPr="00BA2CB9">
        <w:rPr>
          <w:rFonts w:ascii="Arial" w:eastAsia="SimSun" w:hAnsi="Arial" w:cs="Arial"/>
          <w:color w:val="000000" w:themeColor="text1"/>
          <w:sz w:val="20"/>
          <w:szCs w:val="20"/>
          <w:shd w:val="clear" w:color="auto" w:fill="FFFFFF"/>
        </w:rPr>
        <w:t>Agnibesh</w:t>
      </w:r>
      <w:proofErr w:type="spellEnd"/>
      <w:r w:rsidRPr="00BA2CB9">
        <w:rPr>
          <w:rFonts w:ascii="Arial" w:eastAsia="SimSun" w:hAnsi="Arial" w:cs="Arial"/>
          <w:color w:val="000000" w:themeColor="text1"/>
          <w:sz w:val="20"/>
          <w:szCs w:val="20"/>
          <w:shd w:val="clear" w:color="auto" w:fill="FFFFFF"/>
        </w:rPr>
        <w:t xml:space="preserve">, A., </w:t>
      </w:r>
      <w:proofErr w:type="spellStart"/>
      <w:r w:rsidRPr="00BA2CB9">
        <w:rPr>
          <w:rFonts w:ascii="Arial" w:eastAsia="SimSun" w:hAnsi="Arial" w:cs="Arial"/>
          <w:color w:val="000000" w:themeColor="text1"/>
          <w:sz w:val="20"/>
          <w:szCs w:val="20"/>
          <w:shd w:val="clear" w:color="auto" w:fill="FFFFFF"/>
        </w:rPr>
        <w:t>Paikaray</w:t>
      </w:r>
      <w:proofErr w:type="spellEnd"/>
      <w:r w:rsidRPr="00BA2CB9">
        <w:rPr>
          <w:rFonts w:ascii="Arial" w:eastAsia="SimSun" w:hAnsi="Arial" w:cs="Arial"/>
          <w:color w:val="000000" w:themeColor="text1"/>
          <w:sz w:val="20"/>
          <w:szCs w:val="20"/>
          <w:shd w:val="clear" w:color="auto" w:fill="FFFFFF"/>
        </w:rPr>
        <w:t xml:space="preserve">, A., Mohapatra, S., &amp; </w:t>
      </w:r>
      <w:proofErr w:type="spellStart"/>
      <w:r w:rsidRPr="00BA2CB9">
        <w:rPr>
          <w:rFonts w:ascii="Arial" w:eastAsia="SimSun" w:hAnsi="Arial" w:cs="Arial"/>
          <w:color w:val="000000" w:themeColor="text1"/>
          <w:sz w:val="20"/>
          <w:szCs w:val="20"/>
          <w:shd w:val="clear" w:color="auto" w:fill="FFFFFF"/>
        </w:rPr>
        <w:t>Sundaray</w:t>
      </w:r>
      <w:proofErr w:type="spellEnd"/>
      <w:r w:rsidRPr="00BA2CB9">
        <w:rPr>
          <w:rFonts w:ascii="Arial" w:eastAsia="SimSun" w:hAnsi="Arial" w:cs="Arial"/>
          <w:color w:val="000000" w:themeColor="text1"/>
          <w:sz w:val="20"/>
          <w:szCs w:val="20"/>
          <w:shd w:val="clear" w:color="auto" w:fill="FFFFFF"/>
        </w:rPr>
        <w:t xml:space="preserve">, J. K. (2017). Comparative studies on carcass characteristics of marketable size farmed tilapia (Oreochromis </w:t>
      </w:r>
      <w:proofErr w:type="spellStart"/>
      <w:r w:rsidRPr="00BA2CB9">
        <w:rPr>
          <w:rFonts w:ascii="Arial" w:eastAsia="SimSun" w:hAnsi="Arial" w:cs="Arial"/>
          <w:color w:val="000000" w:themeColor="text1"/>
          <w:sz w:val="20"/>
          <w:szCs w:val="20"/>
          <w:shd w:val="clear" w:color="auto" w:fill="FFFFFF"/>
        </w:rPr>
        <w:t>niloticus</w:t>
      </w:r>
      <w:proofErr w:type="spellEnd"/>
      <w:r w:rsidRPr="00BA2CB9">
        <w:rPr>
          <w:rFonts w:ascii="Arial" w:eastAsia="SimSun" w:hAnsi="Arial" w:cs="Arial"/>
          <w:color w:val="000000" w:themeColor="text1"/>
          <w:sz w:val="20"/>
          <w:szCs w:val="20"/>
          <w:shd w:val="clear" w:color="auto" w:fill="FFFFFF"/>
        </w:rPr>
        <w:t xml:space="preserve">) and silver barb (Puntius </w:t>
      </w:r>
      <w:proofErr w:type="spellStart"/>
      <w:r w:rsidRPr="00BA2CB9">
        <w:rPr>
          <w:rFonts w:ascii="Arial" w:eastAsia="SimSun" w:hAnsi="Arial" w:cs="Arial"/>
          <w:color w:val="000000" w:themeColor="text1"/>
          <w:sz w:val="20"/>
          <w:szCs w:val="20"/>
          <w:shd w:val="clear" w:color="auto" w:fill="FFFFFF"/>
        </w:rPr>
        <w:t>gonionotus</w:t>
      </w:r>
      <w:proofErr w:type="spellEnd"/>
      <w:r w:rsidRPr="00BA2CB9">
        <w:rPr>
          <w:rFonts w:ascii="Arial" w:eastAsia="SimSun" w:hAnsi="Arial" w:cs="Arial"/>
          <w:color w:val="000000" w:themeColor="text1"/>
          <w:sz w:val="20"/>
          <w:szCs w:val="20"/>
          <w:shd w:val="clear" w:color="auto" w:fill="FFFFFF"/>
        </w:rPr>
        <w:t xml:space="preserve">). International Journal of Fisheries and Aquatic Studies, 5(2), 06-09. </w:t>
      </w:r>
      <w:hyperlink r:id="rId23" w:history="1">
        <w:r w:rsidRPr="00C81524">
          <w:rPr>
            <w:rStyle w:val="Hyperlink"/>
            <w:rFonts w:ascii="Arial" w:eastAsia="SimSun" w:hAnsi="Arial" w:cs="Arial"/>
            <w:sz w:val="20"/>
            <w:szCs w:val="20"/>
            <w:shd w:val="clear" w:color="auto" w:fill="FFFFFF"/>
          </w:rPr>
          <w:t>https://www.fisheriesjournal.com/archives/2017/vol5issue2/4-6-62-303.pdf</w:t>
        </w:r>
      </w:hyperlink>
    </w:p>
    <w:p w14:paraId="4164EDF6" w14:textId="7100935F" w:rsidR="00BA2CB9" w:rsidRDefault="00BA2CB9" w:rsidP="002E7A47">
      <w:pPr>
        <w:spacing w:line="480" w:lineRule="auto"/>
        <w:ind w:left="360"/>
        <w:jc w:val="both"/>
        <w:rPr>
          <w:rFonts w:ascii="Arial" w:hAnsi="Arial" w:cs="Arial"/>
          <w:color w:val="000000" w:themeColor="text1"/>
          <w:sz w:val="20"/>
          <w:szCs w:val="20"/>
        </w:rPr>
      </w:pPr>
      <w:proofErr w:type="spellStart"/>
      <w:r w:rsidRPr="00BA2CB9">
        <w:rPr>
          <w:rFonts w:ascii="Arial" w:hAnsi="Arial" w:cs="Arial"/>
          <w:color w:val="000000" w:themeColor="text1"/>
          <w:sz w:val="20"/>
          <w:szCs w:val="20"/>
        </w:rPr>
        <w:t>Sahu</w:t>
      </w:r>
      <w:proofErr w:type="spellEnd"/>
      <w:r w:rsidRPr="00BA2CB9">
        <w:rPr>
          <w:rFonts w:ascii="Arial" w:hAnsi="Arial" w:cs="Arial"/>
          <w:color w:val="000000" w:themeColor="text1"/>
          <w:sz w:val="20"/>
          <w:szCs w:val="20"/>
        </w:rPr>
        <w:t xml:space="preserve">, B. B., </w:t>
      </w:r>
      <w:proofErr w:type="spellStart"/>
      <w:r w:rsidRPr="00BA2CB9">
        <w:rPr>
          <w:rFonts w:ascii="Arial" w:hAnsi="Arial" w:cs="Arial"/>
          <w:color w:val="000000" w:themeColor="text1"/>
          <w:sz w:val="20"/>
          <w:szCs w:val="20"/>
        </w:rPr>
        <w:t>Meher</w:t>
      </w:r>
      <w:proofErr w:type="spellEnd"/>
      <w:r w:rsidRPr="00BA2CB9">
        <w:rPr>
          <w:rFonts w:ascii="Arial" w:hAnsi="Arial" w:cs="Arial"/>
          <w:color w:val="000000" w:themeColor="text1"/>
          <w:sz w:val="20"/>
          <w:szCs w:val="20"/>
        </w:rPr>
        <w:t xml:space="preserve">, P. K., Mohanty, S., Reddy, P. V. G. K., &amp; Ayyappan, S. (2000). Evaluation of the carcass and commercial characteristics of carps. Naga, 23(2), 10–14. </w:t>
      </w:r>
      <w:hyperlink r:id="rId24" w:history="1">
        <w:r w:rsidRPr="00C81524">
          <w:rPr>
            <w:rStyle w:val="Hyperlink"/>
            <w:rFonts w:ascii="Arial" w:hAnsi="Arial" w:cs="Arial"/>
            <w:sz w:val="20"/>
            <w:szCs w:val="20"/>
          </w:rPr>
          <w:t>https://repository.worldfishcenter.org/bitstream/handle/20.500.12348/2190/Naga_23_2_10-14.pdf?sequence=1</w:t>
        </w:r>
      </w:hyperlink>
    </w:p>
    <w:p w14:paraId="102D8426" w14:textId="61EDB513" w:rsidR="00BA2CB9" w:rsidRDefault="00BA2CB9" w:rsidP="002E7A47">
      <w:pPr>
        <w:spacing w:line="480" w:lineRule="auto"/>
        <w:ind w:left="360"/>
        <w:jc w:val="both"/>
        <w:rPr>
          <w:rFonts w:ascii="Arial" w:eastAsia="SimSun" w:hAnsi="Arial" w:cs="Arial"/>
          <w:color w:val="000000" w:themeColor="text1"/>
          <w:sz w:val="20"/>
          <w:szCs w:val="20"/>
          <w:shd w:val="clear" w:color="auto" w:fill="FFFFFF"/>
        </w:rPr>
      </w:pPr>
      <w:r w:rsidRPr="00BA2CB9">
        <w:rPr>
          <w:rFonts w:ascii="Arial" w:eastAsia="SimSun" w:hAnsi="Arial" w:cs="Arial"/>
          <w:color w:val="000000" w:themeColor="text1"/>
          <w:sz w:val="20"/>
          <w:szCs w:val="20"/>
          <w:shd w:val="clear" w:color="auto" w:fill="FFFFFF"/>
        </w:rPr>
        <w:lastRenderedPageBreak/>
        <w:t xml:space="preserve">Tran, N., </w:t>
      </w:r>
      <w:proofErr w:type="spellStart"/>
      <w:r w:rsidRPr="00BA2CB9">
        <w:rPr>
          <w:rFonts w:ascii="Arial" w:eastAsia="SimSun" w:hAnsi="Arial" w:cs="Arial"/>
          <w:color w:val="000000" w:themeColor="text1"/>
          <w:sz w:val="20"/>
          <w:szCs w:val="20"/>
          <w:shd w:val="clear" w:color="auto" w:fill="FFFFFF"/>
        </w:rPr>
        <w:t>Shikuku</w:t>
      </w:r>
      <w:proofErr w:type="spellEnd"/>
      <w:r w:rsidRPr="00BA2CB9">
        <w:rPr>
          <w:rFonts w:ascii="Arial" w:eastAsia="SimSun" w:hAnsi="Arial" w:cs="Arial"/>
          <w:color w:val="000000" w:themeColor="text1"/>
          <w:sz w:val="20"/>
          <w:szCs w:val="20"/>
          <w:shd w:val="clear" w:color="auto" w:fill="FFFFFF"/>
        </w:rPr>
        <w:t xml:space="preserve">, K. M., </w:t>
      </w:r>
      <w:proofErr w:type="spellStart"/>
      <w:r w:rsidRPr="00BA2CB9">
        <w:rPr>
          <w:rFonts w:ascii="Arial" w:eastAsia="SimSun" w:hAnsi="Arial" w:cs="Arial"/>
          <w:color w:val="000000" w:themeColor="text1"/>
          <w:sz w:val="20"/>
          <w:szCs w:val="20"/>
          <w:shd w:val="clear" w:color="auto" w:fill="FFFFFF"/>
        </w:rPr>
        <w:t>Rossignoli</w:t>
      </w:r>
      <w:proofErr w:type="spellEnd"/>
      <w:r w:rsidRPr="00BA2CB9">
        <w:rPr>
          <w:rFonts w:ascii="Arial" w:eastAsia="SimSun" w:hAnsi="Arial" w:cs="Arial"/>
          <w:color w:val="000000" w:themeColor="text1"/>
          <w:sz w:val="20"/>
          <w:szCs w:val="20"/>
          <w:shd w:val="clear" w:color="auto" w:fill="FFFFFF"/>
        </w:rPr>
        <w:t xml:space="preserve">, C. M., Barman, B. K., Cheong, K. C., Ali, M. S., &amp; </w:t>
      </w:r>
      <w:proofErr w:type="spellStart"/>
      <w:r w:rsidRPr="00BA2CB9">
        <w:rPr>
          <w:rFonts w:ascii="Arial" w:eastAsia="SimSun" w:hAnsi="Arial" w:cs="Arial"/>
          <w:color w:val="000000" w:themeColor="text1"/>
          <w:sz w:val="20"/>
          <w:szCs w:val="20"/>
          <w:shd w:val="clear" w:color="auto" w:fill="FFFFFF"/>
        </w:rPr>
        <w:t>Benzie</w:t>
      </w:r>
      <w:proofErr w:type="spellEnd"/>
      <w:r w:rsidRPr="00BA2CB9">
        <w:rPr>
          <w:rFonts w:ascii="Arial" w:eastAsia="SimSun" w:hAnsi="Arial" w:cs="Arial"/>
          <w:color w:val="000000" w:themeColor="text1"/>
          <w:sz w:val="20"/>
          <w:szCs w:val="20"/>
          <w:shd w:val="clear" w:color="auto" w:fill="FFFFFF"/>
        </w:rPr>
        <w:t xml:space="preserve">, J. A. (2021). Growth, yield and profitability of genetically improved farmed tilapia (GIFT) and non-GIFT strains in Bangladesh. Aquaculture, 536, 736486. </w:t>
      </w:r>
      <w:hyperlink r:id="rId25" w:history="1">
        <w:r w:rsidRPr="00C81524">
          <w:rPr>
            <w:rStyle w:val="Hyperlink"/>
            <w:rFonts w:ascii="Arial" w:eastAsia="SimSun" w:hAnsi="Arial" w:cs="Arial"/>
            <w:sz w:val="20"/>
            <w:szCs w:val="20"/>
            <w:shd w:val="clear" w:color="auto" w:fill="FFFFFF"/>
          </w:rPr>
          <w:t>https://doi.org/10.1016/j.aquaculture.2021.736486</w:t>
        </w:r>
      </w:hyperlink>
    </w:p>
    <w:p w14:paraId="1B28409A" w14:textId="0C7B9B45" w:rsidR="00556FF6" w:rsidRDefault="00BA2CB9" w:rsidP="00BA2CB9">
      <w:pPr>
        <w:spacing w:line="480" w:lineRule="auto"/>
        <w:ind w:left="360"/>
        <w:jc w:val="both"/>
        <w:rPr>
          <w:rFonts w:ascii="Arial" w:eastAsia="SimSun" w:hAnsi="Arial" w:cs="Arial"/>
          <w:color w:val="000000" w:themeColor="text1"/>
          <w:sz w:val="20"/>
          <w:szCs w:val="20"/>
          <w:shd w:val="clear" w:color="auto" w:fill="FFFFFF"/>
        </w:rPr>
      </w:pPr>
      <w:proofErr w:type="spellStart"/>
      <w:r w:rsidRPr="00BA2CB9">
        <w:rPr>
          <w:rFonts w:ascii="Arial" w:eastAsia="SimSun" w:hAnsi="Arial" w:cs="Arial"/>
          <w:color w:val="000000" w:themeColor="text1"/>
          <w:sz w:val="20"/>
          <w:szCs w:val="20"/>
          <w:shd w:val="clear" w:color="auto" w:fill="FFFFFF"/>
        </w:rPr>
        <w:t>Mohd</w:t>
      </w:r>
      <w:proofErr w:type="spellEnd"/>
      <w:r w:rsidRPr="00BA2CB9">
        <w:rPr>
          <w:rFonts w:ascii="Arial" w:eastAsia="SimSun" w:hAnsi="Arial" w:cs="Arial"/>
          <w:color w:val="000000" w:themeColor="text1"/>
          <w:sz w:val="20"/>
          <w:szCs w:val="20"/>
          <w:shd w:val="clear" w:color="auto" w:fill="FFFFFF"/>
        </w:rPr>
        <w:t xml:space="preserve"> Zin, F. F., Abdul </w:t>
      </w:r>
      <w:proofErr w:type="spellStart"/>
      <w:r w:rsidRPr="00BA2CB9">
        <w:rPr>
          <w:rFonts w:ascii="Arial" w:eastAsia="SimSun" w:hAnsi="Arial" w:cs="Arial"/>
          <w:color w:val="000000" w:themeColor="text1"/>
          <w:sz w:val="20"/>
          <w:szCs w:val="20"/>
          <w:shd w:val="clear" w:color="auto" w:fill="FFFFFF"/>
        </w:rPr>
        <w:t>Basri</w:t>
      </w:r>
      <w:proofErr w:type="spellEnd"/>
      <w:r w:rsidRPr="00BA2CB9">
        <w:rPr>
          <w:rFonts w:ascii="Arial" w:eastAsia="SimSun" w:hAnsi="Arial" w:cs="Arial"/>
          <w:color w:val="000000" w:themeColor="text1"/>
          <w:sz w:val="20"/>
          <w:szCs w:val="20"/>
          <w:shd w:val="clear" w:color="auto" w:fill="FFFFFF"/>
        </w:rPr>
        <w:t xml:space="preserve">, N., Al-Azad, S., Mustafa, S., &amp; </w:t>
      </w:r>
      <w:proofErr w:type="spellStart"/>
      <w:r w:rsidRPr="00BA2CB9">
        <w:rPr>
          <w:rFonts w:ascii="Arial" w:eastAsia="SimSun" w:hAnsi="Arial" w:cs="Arial"/>
          <w:color w:val="000000" w:themeColor="text1"/>
          <w:sz w:val="20"/>
          <w:szCs w:val="20"/>
          <w:shd w:val="clear" w:color="auto" w:fill="FFFFFF"/>
        </w:rPr>
        <w:t>Shapawi</w:t>
      </w:r>
      <w:proofErr w:type="spellEnd"/>
      <w:r w:rsidRPr="00BA2CB9">
        <w:rPr>
          <w:rFonts w:ascii="Arial" w:eastAsia="SimSun" w:hAnsi="Arial" w:cs="Arial"/>
          <w:color w:val="000000" w:themeColor="text1"/>
          <w:sz w:val="20"/>
          <w:szCs w:val="20"/>
          <w:shd w:val="clear" w:color="auto" w:fill="FFFFFF"/>
        </w:rPr>
        <w:t xml:space="preserve">, R. (2020). Growth performance and post-harvest quality of gift tilapia reared in two different culture systems. Malaysian Applied Biology, 49(1), 183-192. </w:t>
      </w:r>
      <w:hyperlink r:id="rId26" w:history="1">
        <w:r w:rsidRPr="00C81524">
          <w:rPr>
            <w:rStyle w:val="Hyperlink"/>
            <w:rFonts w:ascii="Arial" w:eastAsia="SimSun" w:hAnsi="Arial" w:cs="Arial"/>
            <w:sz w:val="20"/>
            <w:szCs w:val="20"/>
            <w:shd w:val="clear" w:color="auto" w:fill="FFFFFF"/>
          </w:rPr>
          <w:t>https://doi.org/10.55230/mabjournal.v49i1.1673</w:t>
        </w:r>
      </w:hyperlink>
    </w:p>
    <w:p w14:paraId="283ED66D" w14:textId="77777777" w:rsidR="00BA2CB9" w:rsidRPr="002E7A47" w:rsidRDefault="00BA2CB9" w:rsidP="00BA2CB9">
      <w:pPr>
        <w:spacing w:line="480" w:lineRule="auto"/>
        <w:ind w:left="360"/>
        <w:jc w:val="both"/>
        <w:rPr>
          <w:rFonts w:ascii="Arial" w:hAnsi="Arial" w:cs="Arial"/>
          <w:color w:val="000000" w:themeColor="text1"/>
          <w:sz w:val="20"/>
          <w:szCs w:val="20"/>
        </w:rPr>
      </w:pPr>
    </w:p>
    <w:sectPr w:rsidR="00BA2CB9" w:rsidRPr="002E7A47" w:rsidSect="001F28C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9E112" w14:textId="77777777" w:rsidR="002D3C9D" w:rsidRDefault="002D3C9D">
      <w:pPr>
        <w:spacing w:line="240" w:lineRule="auto"/>
      </w:pPr>
      <w:r>
        <w:separator/>
      </w:r>
    </w:p>
  </w:endnote>
  <w:endnote w:type="continuationSeparator" w:id="0">
    <w:p w14:paraId="08C8D285" w14:textId="77777777" w:rsidR="002D3C9D" w:rsidRDefault="002D3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DB7A" w14:textId="77777777" w:rsidR="001F28CC" w:rsidRDefault="001F2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F0BE" w14:textId="77777777" w:rsidR="001F28CC" w:rsidRDefault="001F2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CA32" w14:textId="77777777" w:rsidR="001F28CC" w:rsidRDefault="001F2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D8C2F" w14:textId="77777777" w:rsidR="002D3C9D" w:rsidRDefault="002D3C9D">
      <w:pPr>
        <w:spacing w:after="0"/>
      </w:pPr>
      <w:r>
        <w:separator/>
      </w:r>
    </w:p>
  </w:footnote>
  <w:footnote w:type="continuationSeparator" w:id="0">
    <w:p w14:paraId="161C7F56" w14:textId="77777777" w:rsidR="002D3C9D" w:rsidRDefault="002D3C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86DD" w14:textId="769B332D" w:rsidR="001F28CC" w:rsidRDefault="001F28CC">
    <w:pPr>
      <w:pStyle w:val="Header"/>
    </w:pPr>
    <w:r>
      <w:rPr>
        <w:noProof/>
      </w:rPr>
      <w:pict w14:anchorId="5EB8E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FEF3" w14:textId="61604F5D" w:rsidR="001F28CC" w:rsidRDefault="001F28CC">
    <w:pPr>
      <w:pStyle w:val="Header"/>
    </w:pPr>
    <w:r>
      <w:rPr>
        <w:noProof/>
      </w:rPr>
      <w:pict w14:anchorId="6E26C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917" w14:textId="3AF5EA2C" w:rsidR="001F28CC" w:rsidRDefault="001F28CC">
    <w:pPr>
      <w:pStyle w:val="Header"/>
    </w:pPr>
    <w:r>
      <w:rPr>
        <w:noProof/>
      </w:rPr>
      <w:pict w14:anchorId="309E1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E9276"/>
    <w:multiLevelType w:val="singleLevel"/>
    <w:tmpl w:val="376E9276"/>
    <w:lvl w:ilvl="0">
      <w:start w:val="10"/>
      <w:numFmt w:val="upperLetter"/>
      <w:suff w:val="space"/>
      <w:lvlText w:val="%1."/>
      <w:lvlJc w:val="left"/>
    </w:lvl>
  </w:abstractNum>
  <w:abstractNum w:abstractNumId="1" w15:restartNumberingAfterBreak="0">
    <w:nsid w:val="4E6A08B4"/>
    <w:multiLevelType w:val="multilevel"/>
    <w:tmpl w:val="4E6A0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8D38D5"/>
    <w:multiLevelType w:val="multilevel"/>
    <w:tmpl w:val="618D38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F5307A"/>
    <w:multiLevelType w:val="multilevel"/>
    <w:tmpl w:val="7BF5307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A152E"/>
    <w:rsid w:val="000F1AAB"/>
    <w:rsid w:val="00102944"/>
    <w:rsid w:val="00104FAB"/>
    <w:rsid w:val="001576EE"/>
    <w:rsid w:val="0016122A"/>
    <w:rsid w:val="0018742F"/>
    <w:rsid w:val="001F28CC"/>
    <w:rsid w:val="001F7BC3"/>
    <w:rsid w:val="001F7BCF"/>
    <w:rsid w:val="0022454C"/>
    <w:rsid w:val="002D3C9D"/>
    <w:rsid w:val="002E1880"/>
    <w:rsid w:val="002E4AED"/>
    <w:rsid w:val="002E7A47"/>
    <w:rsid w:val="002F7087"/>
    <w:rsid w:val="00312D11"/>
    <w:rsid w:val="00353938"/>
    <w:rsid w:val="0036519B"/>
    <w:rsid w:val="0037386F"/>
    <w:rsid w:val="003F598B"/>
    <w:rsid w:val="00414760"/>
    <w:rsid w:val="004206A3"/>
    <w:rsid w:val="00426BFC"/>
    <w:rsid w:val="00480FDC"/>
    <w:rsid w:val="0048426C"/>
    <w:rsid w:val="004A474A"/>
    <w:rsid w:val="004B61B5"/>
    <w:rsid w:val="004E493C"/>
    <w:rsid w:val="004E7406"/>
    <w:rsid w:val="00540910"/>
    <w:rsid w:val="00556FF6"/>
    <w:rsid w:val="005876B4"/>
    <w:rsid w:val="005D4895"/>
    <w:rsid w:val="005E5820"/>
    <w:rsid w:val="005F24DB"/>
    <w:rsid w:val="006348F9"/>
    <w:rsid w:val="00685485"/>
    <w:rsid w:val="006A2119"/>
    <w:rsid w:val="006E5565"/>
    <w:rsid w:val="00762238"/>
    <w:rsid w:val="007653B4"/>
    <w:rsid w:val="0076648B"/>
    <w:rsid w:val="007A68E2"/>
    <w:rsid w:val="007E2B5C"/>
    <w:rsid w:val="008119CA"/>
    <w:rsid w:val="00847D71"/>
    <w:rsid w:val="008506C5"/>
    <w:rsid w:val="00892695"/>
    <w:rsid w:val="008A1D88"/>
    <w:rsid w:val="008B25E1"/>
    <w:rsid w:val="008B2F4F"/>
    <w:rsid w:val="008C7CE6"/>
    <w:rsid w:val="0090202A"/>
    <w:rsid w:val="009A532A"/>
    <w:rsid w:val="009B6061"/>
    <w:rsid w:val="009D73D8"/>
    <w:rsid w:val="009F3BC8"/>
    <w:rsid w:val="00A30D30"/>
    <w:rsid w:val="00A55232"/>
    <w:rsid w:val="00A712E4"/>
    <w:rsid w:val="00A95C8C"/>
    <w:rsid w:val="00AC4245"/>
    <w:rsid w:val="00AD0211"/>
    <w:rsid w:val="00AD5A17"/>
    <w:rsid w:val="00AE52C3"/>
    <w:rsid w:val="00AF0B76"/>
    <w:rsid w:val="00B259F0"/>
    <w:rsid w:val="00B36C58"/>
    <w:rsid w:val="00B54BD1"/>
    <w:rsid w:val="00B76850"/>
    <w:rsid w:val="00B92AEA"/>
    <w:rsid w:val="00BA2CB9"/>
    <w:rsid w:val="00BA6E85"/>
    <w:rsid w:val="00BA75D1"/>
    <w:rsid w:val="00BB64EE"/>
    <w:rsid w:val="00BD3623"/>
    <w:rsid w:val="00C622E3"/>
    <w:rsid w:val="00CD3063"/>
    <w:rsid w:val="00CD3E51"/>
    <w:rsid w:val="00CE0DC1"/>
    <w:rsid w:val="00D5071B"/>
    <w:rsid w:val="00D527A4"/>
    <w:rsid w:val="00D776E5"/>
    <w:rsid w:val="00DA3F3F"/>
    <w:rsid w:val="00DC6A3F"/>
    <w:rsid w:val="00DD4958"/>
    <w:rsid w:val="00E02E55"/>
    <w:rsid w:val="00E41DAB"/>
    <w:rsid w:val="00EC04C3"/>
    <w:rsid w:val="00EF037D"/>
    <w:rsid w:val="00F57324"/>
    <w:rsid w:val="00FA71F0"/>
    <w:rsid w:val="00FD0F8B"/>
    <w:rsid w:val="0C6940DA"/>
    <w:rsid w:val="155A252A"/>
    <w:rsid w:val="209D77CE"/>
    <w:rsid w:val="266A0772"/>
    <w:rsid w:val="28AD768F"/>
    <w:rsid w:val="31F428EB"/>
    <w:rsid w:val="36D53620"/>
    <w:rsid w:val="4A2B0045"/>
    <w:rsid w:val="54C26308"/>
    <w:rsid w:val="62FA628A"/>
    <w:rsid w:val="6A900CEE"/>
    <w:rsid w:val="7F261DEC"/>
  </w:rsids>
  <m:mathPr>
    <m:mathFont m:val="Cambria Math"/>
    <m:brkBin m:val="before"/>
    <m:brkBinSub m:val="--"/>
    <m:smallFrac m:val="0"/>
    <m:dispDef/>
    <m:lMargin m:val="0"/>
    <m:rMargin m:val="0"/>
    <m:defJc m:val="centerGroup"/>
    <m:wrapIndent m:val="1440"/>
    <m:intLim m:val="subSup"/>
    <m:naryLim m:val="undOvr"/>
  </m:mathPr>
  <w:themeFontLang w:val="en-IN"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F6F723"/>
  <w15:docId w15:val="{A5999F6A-3CD7-448D-9730-41F4A297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IN" w:eastAsia="en-US"/>
    </w:rPr>
  </w:style>
  <w:style w:type="paragraph" w:styleId="Heading1">
    <w:name w:val="heading 1"/>
    <w:basedOn w:val="Normal"/>
    <w:link w:val="Heading1Char"/>
    <w:uiPriority w:val="1"/>
    <w:qFormat/>
    <w:pPr>
      <w:widowControl w:val="0"/>
      <w:autoSpaceDE w:val="0"/>
      <w:autoSpaceDN w:val="0"/>
      <w:spacing w:after="0" w:line="432" w:lineRule="exact"/>
      <w:ind w:left="20"/>
      <w:outlineLvl w:val="0"/>
    </w:pPr>
    <w:rPr>
      <w:rFonts w:ascii="Calibri" w:eastAsia="Calibri" w:hAnsi="Calibri" w:cs="Calibri"/>
      <w:b/>
      <w:bCs/>
      <w:sz w:val="40"/>
      <w:szCs w:val="40"/>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en-U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1"/>
    <w:qFormat/>
    <w:rPr>
      <w:rFonts w:ascii="Arial MT" w:eastAsia="Arial MT" w:hAnsi="Arial MT" w:cs="Arial MT"/>
      <w:sz w:val="24"/>
      <w:szCs w:val="24"/>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1"/>
    <w:qFormat/>
    <w:rPr>
      <w:rFonts w:ascii="Calibri" w:eastAsia="Calibri" w:hAnsi="Calibri" w:cs="Calibri"/>
      <w:b/>
      <w:bCs/>
      <w:sz w:val="40"/>
      <w:szCs w:val="4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E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8782/2320-7051.6985" TargetMode="External"/><Relationship Id="rId18" Type="http://schemas.openxmlformats.org/officeDocument/2006/relationships/hyperlink" Target="https://doi.org/10.3329/jbau.v10i1.12107" TargetMode="External"/><Relationship Id="rId26" Type="http://schemas.openxmlformats.org/officeDocument/2006/relationships/hyperlink" Target="https://doi.org/10.55230/mabjournal.v49i1.1673" TargetMode="External"/><Relationship Id="rId3" Type="http://schemas.openxmlformats.org/officeDocument/2006/relationships/styles" Target="styles.xml"/><Relationship Id="rId21" Type="http://schemas.openxmlformats.org/officeDocument/2006/relationships/hyperlink" Target="https://doi.org/10.1016/j.aquaculture.2010.04.00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aqrep.2025.102859" TargetMode="External"/><Relationship Id="rId17" Type="http://schemas.openxmlformats.org/officeDocument/2006/relationships/hyperlink" Target="https://library.enaca.org/AquacultureAsia/Articles/Jan-March-2004/6global-review-tilapia" TargetMode="External"/><Relationship Id="rId25" Type="http://schemas.openxmlformats.org/officeDocument/2006/relationships/hyperlink" Target="https://doi.org/10.1016/j.aquaculture.2021.73648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1749-7345.2000.tb00885.x" TargetMode="External"/><Relationship Id="rId20" Type="http://schemas.openxmlformats.org/officeDocument/2006/relationships/hyperlink" Target="https://doi.org/10.1038/s41598-021-90505-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ma.aoac.org" TargetMode="External"/><Relationship Id="rId24" Type="http://schemas.openxmlformats.org/officeDocument/2006/relationships/hyperlink" Target="https://repository.worldfishcenter.org/bitstream/handle/20.500.12348/2190/Naga_23_2_10-14.pdf?sequence=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S0021-9258(18)64849-5" TargetMode="External"/><Relationship Id="rId23" Type="http://schemas.openxmlformats.org/officeDocument/2006/relationships/hyperlink" Target="https://www.fisheriesjournal.com/archives/2017/vol5issue2/4-6-62-303.pdf" TargetMode="External"/><Relationship Id="rId28" Type="http://schemas.openxmlformats.org/officeDocument/2006/relationships/header" Target="header2.xml"/><Relationship Id="rId10" Type="http://schemas.openxmlformats.org/officeDocument/2006/relationships/hyperlink" Target="https://doi.org/10.1111/are.14305" TargetMode="External"/><Relationship Id="rId19" Type="http://schemas.openxmlformats.org/officeDocument/2006/relationships/hyperlink" Target="https://doi.org/10.34044/j.anres.2021.56.1.2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7582/journal.pjz/2018.50.6.2301.2305" TargetMode="External"/><Relationship Id="rId14" Type="http://schemas.openxmlformats.org/officeDocument/2006/relationships/hyperlink" Target="https://doi.org/10.1079/9780851990149.0000" TargetMode="External"/><Relationship Id="rId22" Type="http://schemas.openxmlformats.org/officeDocument/2006/relationships/hyperlink" Target="https://doi.org/10.1111/j.1365-2109.2005.01415.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73A7-F466-47AA-BB2D-CB4DBD8A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3597</Words>
  <Characters>20503</Characters>
  <Application>Microsoft Office Word</Application>
  <DocSecurity>0</DocSecurity>
  <Lines>170</Lines>
  <Paragraphs>48</Paragraphs>
  <ScaleCrop>false</ScaleCrop>
  <Company>home</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1084</cp:lastModifiedBy>
  <cp:revision>21</cp:revision>
  <dcterms:created xsi:type="dcterms:W3CDTF">2025-09-25T16:18:00Z</dcterms:created>
  <dcterms:modified xsi:type="dcterms:W3CDTF">2025-12-03T07:54:00Z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2B4FF3FA4B224877AE7A04CCD34A3F21_13</vt:lpwstr>
  </property>
  <property fmtid="{D5CDD505-2E9C-101B-9397-08002B2CF9AE}" pid="4" name="GrammarlyDocumentId">
    <vt:lpwstr>92f9bb35-f6d1-4915-87be-f29b4a5cbbf2</vt:lpwstr>
  </property>
</Properties>
</file>