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DA1A" w14:textId="77777777" w:rsidR="004A4790" w:rsidRDefault="004A4790">
      <w:pPr>
        <w:spacing w:line="240" w:lineRule="auto"/>
        <w:rPr>
          <w:rFonts w:ascii="Times New Roman" w:hAnsi="Times New Roman" w:cs="Times New Roman"/>
          <w:b/>
          <w:bCs/>
          <w:color w:val="36363D"/>
          <w:sz w:val="24"/>
          <w:szCs w:val="24"/>
        </w:rPr>
      </w:pPr>
    </w:p>
    <w:p w14:paraId="723607C3" w14:textId="77777777" w:rsidR="004A4790" w:rsidRDefault="004A4790">
      <w:pPr>
        <w:spacing w:line="240" w:lineRule="auto"/>
        <w:rPr>
          <w:rFonts w:ascii="Times New Roman" w:hAnsi="Times New Roman" w:cs="Times New Roman"/>
          <w:b/>
          <w:bCs/>
          <w:color w:val="36363D"/>
          <w:sz w:val="24"/>
          <w:szCs w:val="24"/>
        </w:rPr>
      </w:pPr>
    </w:p>
    <w:p w14:paraId="2F62089B" w14:textId="77777777" w:rsidR="007E35DA" w:rsidRPr="007E35DA" w:rsidRDefault="007E35DA" w:rsidP="007E35DA">
      <w:pPr>
        <w:jc w:val="center"/>
        <w:rPr>
          <w:rFonts w:ascii="Times New Roman" w:hAnsi="Times New Roman" w:cs="Times New Roman"/>
          <w:b/>
          <w:bCs/>
          <w:i/>
          <w:iCs/>
          <w:sz w:val="24"/>
          <w:szCs w:val="24"/>
          <w:u w:val="single"/>
        </w:rPr>
      </w:pPr>
      <w:r w:rsidRPr="007E35DA">
        <w:rPr>
          <w:rFonts w:ascii="Times New Roman" w:hAnsi="Times New Roman" w:cs="Times New Roman"/>
          <w:b/>
          <w:bCs/>
          <w:i/>
          <w:iCs/>
          <w:sz w:val="24"/>
          <w:szCs w:val="24"/>
          <w:u w:val="single"/>
        </w:rPr>
        <w:t>Original Research Article</w:t>
      </w:r>
    </w:p>
    <w:p w14:paraId="1DD4A879" w14:textId="77777777" w:rsidR="004A4790" w:rsidRDefault="00F029D3">
      <w:pPr>
        <w:jc w:val="center"/>
        <w:rPr>
          <w:rFonts w:ascii="Times New Roman" w:hAnsi="Times New Roman" w:cs="Times New Roman"/>
          <w:b/>
          <w:bCs/>
          <w:sz w:val="24"/>
          <w:szCs w:val="24"/>
        </w:rPr>
      </w:pPr>
      <w:r>
        <w:rPr>
          <w:rFonts w:ascii="Times New Roman" w:hAnsi="Times New Roman" w:cs="Times New Roman"/>
          <w:b/>
          <w:bCs/>
          <w:sz w:val="24"/>
          <w:szCs w:val="24"/>
        </w:rPr>
        <w:t xml:space="preserve">Neuron Specific Enolase </w:t>
      </w:r>
      <w:proofErr w:type="gramStart"/>
      <w:r>
        <w:rPr>
          <w:rFonts w:ascii="Times New Roman" w:hAnsi="Times New Roman" w:cs="Times New Roman"/>
          <w:b/>
          <w:bCs/>
          <w:sz w:val="24"/>
          <w:szCs w:val="24"/>
        </w:rPr>
        <w:t>And</w:t>
      </w:r>
      <w:proofErr w:type="gramEnd"/>
      <w:r>
        <w:rPr>
          <w:rFonts w:ascii="Times New Roman" w:hAnsi="Times New Roman" w:cs="Times New Roman"/>
          <w:b/>
          <w:bCs/>
          <w:sz w:val="24"/>
          <w:szCs w:val="24"/>
        </w:rPr>
        <w:t xml:space="preserve"> Serum Electrolytes In Comatose Patients</w:t>
      </w:r>
    </w:p>
    <w:p w14:paraId="6ECA4525" w14:textId="77777777" w:rsidR="004A4790" w:rsidRDefault="004A4790">
      <w:pPr>
        <w:jc w:val="center"/>
        <w:rPr>
          <w:rFonts w:ascii="Times New Roman" w:hAnsi="Times New Roman" w:cs="Times New Roman"/>
          <w:b/>
          <w:bCs/>
          <w:sz w:val="24"/>
          <w:szCs w:val="24"/>
        </w:rPr>
      </w:pPr>
    </w:p>
    <w:p w14:paraId="60CBA08A" w14:textId="77777777"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EDAB0F6" w14:textId="77777777"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Background:</w:t>
      </w:r>
      <w:r>
        <w:t xml:space="preserve"> </w:t>
      </w:r>
      <w:r>
        <w:rPr>
          <w:rFonts w:ascii="Times New Roman" w:hAnsi="Times New Roman" w:cs="Times New Roman"/>
          <w:sz w:val="24"/>
          <w:szCs w:val="24"/>
        </w:rPr>
        <w:t xml:space="preserve">Coma is a profound state of unconsciousness in which the patient cannot be roused by external </w:t>
      </w:r>
      <w:r>
        <w:rPr>
          <w:rFonts w:ascii="Times New Roman" w:hAnsi="Times New Roman" w:cs="Times New Roman"/>
          <w:sz w:val="24"/>
          <w:szCs w:val="24"/>
        </w:rPr>
        <w:t>stimuli. The metabolic fingerprint of comatose patients is essential to identify the underlying molecular pathways and to use as a basis for developing specific therapies. In this article, the metabolic alterations associated with coma were focused on, foc</w:t>
      </w:r>
      <w:r>
        <w:rPr>
          <w:rFonts w:ascii="Times New Roman" w:hAnsi="Times New Roman" w:cs="Times New Roman"/>
          <w:sz w:val="24"/>
          <w:szCs w:val="24"/>
        </w:rPr>
        <w:t>using in particular on key biomarkers and pathways of its pathogenesis.</w:t>
      </w:r>
    </w:p>
    <w:p w14:paraId="26C3BD9D" w14:textId="77777777"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b/>
          <w:bCs/>
          <w:sz w:val="24"/>
          <w:szCs w:val="24"/>
          <w:rtl/>
          <w:lang w:bidi="ar-IQ"/>
        </w:rPr>
        <w:t xml:space="preserve"> </w:t>
      </w:r>
      <w:r>
        <w:rPr>
          <w:rFonts w:ascii="Times New Roman" w:hAnsi="Times New Roman" w:cs="Times New Roman"/>
          <w:sz w:val="24"/>
          <w:szCs w:val="24"/>
        </w:rPr>
        <w:t xml:space="preserve">The study included 32 comatose patients with varying underlying reasons. After 48 hours of coma, serum electrolytes and neuron-specific enolase (NSE) were examined, the tests </w:t>
      </w:r>
      <w:r>
        <w:rPr>
          <w:rFonts w:ascii="Times New Roman" w:hAnsi="Times New Roman" w:cs="Times New Roman"/>
          <w:sz w:val="24"/>
          <w:szCs w:val="24"/>
        </w:rPr>
        <w:t>were repeated after 72-hour to determine the involvement of electrolytes and NSE in coma progression. The patients' coma outcomes were monitored using intensive care unit records.</w:t>
      </w:r>
    </w:p>
    <w:p w14:paraId="3E4DE768" w14:textId="77777777" w:rsidR="004A4790" w:rsidRDefault="00F029D3">
      <w:pPr>
        <w:jc w:val="both"/>
        <w:rPr>
          <w:rFonts w:ascii="Times New Roman" w:hAnsi="Times New Roman" w:cs="Times New Roman"/>
          <w:sz w:val="24"/>
          <w:szCs w:val="24"/>
        </w:rPr>
      </w:pPr>
      <w:proofErr w:type="gramStart"/>
      <w:r>
        <w:rPr>
          <w:rFonts w:ascii="Times New Roman" w:hAnsi="Times New Roman" w:cs="Times New Roman"/>
          <w:b/>
          <w:bCs/>
          <w:sz w:val="24"/>
          <w:szCs w:val="24"/>
        </w:rPr>
        <w:t>Results :</w:t>
      </w:r>
      <w:proofErr w:type="gramEnd"/>
      <w:r>
        <w:rPr>
          <w:rFonts w:ascii="Times New Roman" w:hAnsi="Times New Roman" w:cs="Times New Roman"/>
          <w:sz w:val="24"/>
          <w:szCs w:val="24"/>
        </w:rPr>
        <w:t xml:space="preserve"> The results of the serum tests showed that there was a significant</w:t>
      </w:r>
      <w:r>
        <w:rPr>
          <w:rFonts w:ascii="Times New Roman" w:hAnsi="Times New Roman" w:cs="Times New Roman"/>
          <w:sz w:val="24"/>
          <w:szCs w:val="24"/>
        </w:rPr>
        <w:t xml:space="preserve"> imbalance in the levels of Magnesium and Potassium, as they had decreased considerably. However, there was no significant change observed in the levels of Sodium during both tests. In addition, the levels of Calcium and neuron-specific enolase were found </w:t>
      </w:r>
      <w:r>
        <w:rPr>
          <w:rFonts w:ascii="Times New Roman" w:hAnsi="Times New Roman" w:cs="Times New Roman"/>
          <w:sz w:val="24"/>
          <w:szCs w:val="24"/>
        </w:rPr>
        <w:t>to be considerably increased. A moderate, positive correlation was observed between the duration of coma and the levels of neuron-specific enolase. On the other hand, a highly significant negative correlation was found between the levels of Calcium and Mag</w:t>
      </w:r>
      <w:r>
        <w:rPr>
          <w:rFonts w:ascii="Times New Roman" w:hAnsi="Times New Roman" w:cs="Times New Roman"/>
          <w:sz w:val="24"/>
          <w:szCs w:val="24"/>
        </w:rPr>
        <w:t>nesium with the duration of the coma. This correlation was more pronounced in females. The cause of the brain injury also played a significant role in determining the outcome of the coma and its duration. For instance, patients with brain trauma due to roa</w:t>
      </w:r>
      <w:r>
        <w:rPr>
          <w:rFonts w:ascii="Times New Roman" w:hAnsi="Times New Roman" w:cs="Times New Roman"/>
          <w:sz w:val="24"/>
          <w:szCs w:val="24"/>
        </w:rPr>
        <w:t>d traffic accidents had a lower mortality rate and better prognosis than patients with anoxia or ischemia as the cause of coma. The latter group had worse outcomes such as death and vegetative states.</w:t>
      </w:r>
    </w:p>
    <w:p w14:paraId="4DB36389" w14:textId="77777777"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Pr>
          <w:rFonts w:ascii="Times New Roman" w:hAnsi="Times New Roman" w:cs="Times New Roman"/>
          <w:sz w:val="24"/>
          <w:szCs w:val="24"/>
        </w:rPr>
        <w:t>The findings suggest that etiology of TBI a</w:t>
      </w:r>
      <w:r>
        <w:rPr>
          <w:rFonts w:ascii="Times New Roman" w:hAnsi="Times New Roman" w:cs="Times New Roman"/>
          <w:sz w:val="24"/>
          <w:szCs w:val="24"/>
        </w:rPr>
        <w:t>nd electrolyte status in particular low magnesium, potassium together with high calcium and NSE are significant for the duration and outcome of coma and prediction.</w:t>
      </w:r>
    </w:p>
    <w:p w14:paraId="75FE680A" w14:textId="77777777" w:rsidR="004A4790" w:rsidRDefault="004A4790">
      <w:pPr>
        <w:jc w:val="both"/>
        <w:rPr>
          <w:rFonts w:ascii="Times New Roman" w:hAnsi="Times New Roman" w:cs="Times New Roman"/>
          <w:sz w:val="24"/>
          <w:szCs w:val="24"/>
        </w:rPr>
      </w:pPr>
    </w:p>
    <w:p w14:paraId="3BEA4FB4" w14:textId="77777777"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270080D6" w14:textId="77777777" w:rsidR="004A4790" w:rsidRDefault="00F029D3">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Coma is a complex neurological condition raising multiple challenges for both investigators and clinicians. The fundamental </w:t>
      </w:r>
      <w:proofErr w:type="spellStart"/>
      <w:r>
        <w:rPr>
          <w:rFonts w:ascii="Times New Roman" w:hAnsi="Times New Roman" w:cs="Times New Roman"/>
          <w:sz w:val="24"/>
          <w:szCs w:val="24"/>
        </w:rPr>
        <w:t>patho</w:t>
      </w:r>
      <w:proofErr w:type="spellEnd"/>
      <w:r>
        <w:rPr>
          <w:rFonts w:ascii="Times New Roman" w:hAnsi="Times New Roman" w:cs="Times New Roman"/>
          <w:sz w:val="24"/>
          <w:szCs w:val="24"/>
        </w:rPr>
        <w:t>-physiology is manifest in the biochemical changes seen comatose subjects and these may have important implications for diagnos</w:t>
      </w:r>
      <w:r>
        <w:rPr>
          <w:rFonts w:ascii="Times New Roman" w:hAnsi="Times New Roman" w:cs="Times New Roman"/>
          <w:sz w:val="24"/>
          <w:szCs w:val="24"/>
        </w:rPr>
        <w:t>is, prognosis and planning of therapy. A special feature of coma is a disturbance of neurotransmitter balance [1]. It has been shown that neurotransmitter activity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acetylcholine, dopamine, </w:t>
      </w:r>
      <w:r>
        <w:rPr>
          <w:rFonts w:ascii="Times New Roman" w:hAnsi="Times New Roman" w:cs="Times New Roman"/>
          <w:sz w:val="24"/>
          <w:szCs w:val="24"/>
        </w:rPr>
        <w:lastRenderedPageBreak/>
        <w:t>and gamma-aminobutyric acid (GABA)) is impaired in patients wh</w:t>
      </w:r>
      <w:r>
        <w:rPr>
          <w:rFonts w:ascii="Times New Roman" w:hAnsi="Times New Roman" w:cs="Times New Roman"/>
          <w:sz w:val="24"/>
          <w:szCs w:val="24"/>
        </w:rPr>
        <w:t>o are comatose. These changes contribute to the disturbance of regular brain activity and could provide information on the processes underlying unconsciousness [2-4]. Comatose states are often associated with a variety of metabolic disorders involving diff</w:t>
      </w:r>
      <w:r>
        <w:rPr>
          <w:rFonts w:ascii="Times New Roman" w:hAnsi="Times New Roman" w:cs="Times New Roman"/>
          <w:sz w:val="24"/>
          <w:szCs w:val="24"/>
        </w:rPr>
        <w:t xml:space="preserve">erent biochemical pathways [5]. Glucose disorder, electrolyte abnormality, and mitochondria dysfunction are commonly occurring in patients with </w:t>
      </w:r>
      <w:proofErr w:type="gramStart"/>
      <w:r>
        <w:rPr>
          <w:rFonts w:ascii="Times New Roman" w:hAnsi="Times New Roman" w:cs="Times New Roman"/>
          <w:sz w:val="24"/>
          <w:szCs w:val="24"/>
        </w:rPr>
        <w:t>coma[</w:t>
      </w:r>
      <w:proofErr w:type="gramEnd"/>
      <w:r>
        <w:rPr>
          <w:rFonts w:ascii="Times New Roman" w:hAnsi="Times New Roman" w:cs="Times New Roman"/>
          <w:sz w:val="24"/>
          <w:szCs w:val="24"/>
        </w:rPr>
        <w:t>6]. It is necessary to understand these metabolic changes in order to develop targeted therapies for restor</w:t>
      </w:r>
      <w:r>
        <w:rPr>
          <w:rFonts w:ascii="Times New Roman" w:hAnsi="Times New Roman" w:cs="Times New Roman"/>
          <w:sz w:val="24"/>
          <w:szCs w:val="24"/>
        </w:rPr>
        <w:t xml:space="preserve">ing cellular homeostasis. Inflammation is a key contributor to the pathophysiology of coma. Comatose patients have been observed to exhibit higher levels of pro-inflammatory cytokines and chemokines, suggesting that neuro-inflammatory mechanisms may be </w:t>
      </w:r>
      <w:proofErr w:type="gramStart"/>
      <w:r>
        <w:rPr>
          <w:rFonts w:ascii="Times New Roman" w:hAnsi="Times New Roman" w:cs="Times New Roman"/>
          <w:sz w:val="24"/>
          <w:szCs w:val="24"/>
        </w:rPr>
        <w:t>con</w:t>
      </w:r>
      <w:r>
        <w:rPr>
          <w:rFonts w:ascii="Times New Roman" w:hAnsi="Times New Roman" w:cs="Times New Roman"/>
          <w:sz w:val="24"/>
          <w:szCs w:val="24"/>
        </w:rPr>
        <w:t>tributing[</w:t>
      </w:r>
      <w:proofErr w:type="gramEnd"/>
      <w:r>
        <w:rPr>
          <w:rFonts w:ascii="Times New Roman" w:hAnsi="Times New Roman" w:cs="Times New Roman"/>
          <w:sz w:val="24"/>
          <w:szCs w:val="24"/>
        </w:rPr>
        <w:t>7]. Comatose patients may be at a higher level of oxidative stress, which could lead to cellular damage and dysfunction7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8]. And ROS and RNS also mediate oxidative injury to the </w:t>
      </w:r>
      <w:proofErr w:type="gramStart"/>
      <w:r>
        <w:rPr>
          <w:rFonts w:ascii="Times New Roman" w:hAnsi="Times New Roman" w:cs="Times New Roman"/>
          <w:sz w:val="24"/>
          <w:szCs w:val="24"/>
        </w:rPr>
        <w:t>brain[</w:t>
      </w:r>
      <w:proofErr w:type="gramEnd"/>
      <w:r>
        <w:rPr>
          <w:rFonts w:ascii="Times New Roman" w:hAnsi="Times New Roman" w:cs="Times New Roman"/>
          <w:sz w:val="24"/>
          <w:szCs w:val="24"/>
        </w:rPr>
        <w:t xml:space="preserve">9-10]. Given that the antioxidant </w:t>
      </w:r>
      <w:proofErr w:type="spellStart"/>
      <w:r>
        <w:rPr>
          <w:rFonts w:ascii="Times New Roman" w:hAnsi="Times New Roman" w:cs="Times New Roman"/>
          <w:sz w:val="24"/>
          <w:szCs w:val="24"/>
        </w:rPr>
        <w:t>defences</w:t>
      </w:r>
      <w:proofErr w:type="spellEnd"/>
      <w:r>
        <w:rPr>
          <w:rFonts w:ascii="Times New Roman" w:hAnsi="Times New Roman" w:cs="Times New Roman"/>
          <w:sz w:val="24"/>
          <w:szCs w:val="24"/>
        </w:rPr>
        <w:t xml:space="preserve"> in comatose state</w:t>
      </w:r>
      <w:r>
        <w:rPr>
          <w:rFonts w:ascii="Times New Roman" w:hAnsi="Times New Roman" w:cs="Times New Roman"/>
          <w:sz w:val="24"/>
          <w:szCs w:val="24"/>
        </w:rPr>
        <w:t xml:space="preserve">s are often overwhelmed, interventions that reduce oxidative </w:t>
      </w:r>
      <w:proofErr w:type="gramStart"/>
      <w:r>
        <w:rPr>
          <w:rFonts w:ascii="Times New Roman" w:hAnsi="Times New Roman" w:cs="Times New Roman"/>
          <w:sz w:val="24"/>
          <w:szCs w:val="24"/>
        </w:rPr>
        <w:t>stress[</w:t>
      </w:r>
      <w:proofErr w:type="gramEnd"/>
      <w:r>
        <w:rPr>
          <w:rFonts w:ascii="Times New Roman" w:hAnsi="Times New Roman" w:cs="Times New Roman"/>
          <w:sz w:val="24"/>
          <w:szCs w:val="24"/>
        </w:rPr>
        <w:t>11-12] are important. With advances in neuroimaging technology, specific biomarkers of coma have been identified. S100B, neuron specific enolase (NSE) and glial fibrillary acidic protein (</w:t>
      </w:r>
      <w:r>
        <w:rPr>
          <w:rFonts w:ascii="Times New Roman" w:hAnsi="Times New Roman" w:cs="Times New Roman"/>
          <w:sz w:val="24"/>
          <w:szCs w:val="24"/>
        </w:rPr>
        <w:t>GFAP) are among the biomarkers that may be useful in assisting diagnosis and predicting patient outcome after </w:t>
      </w:r>
      <w:proofErr w:type="gramStart"/>
      <w:r>
        <w:rPr>
          <w:rFonts w:ascii="Times New Roman" w:hAnsi="Times New Roman" w:cs="Times New Roman"/>
          <w:sz w:val="24"/>
          <w:szCs w:val="24"/>
        </w:rPr>
        <w:t>coma[</w:t>
      </w:r>
      <w:proofErr w:type="gramEnd"/>
      <w:r>
        <w:rPr>
          <w:rFonts w:ascii="Times New Roman" w:hAnsi="Times New Roman" w:cs="Times New Roman"/>
          <w:sz w:val="24"/>
          <w:szCs w:val="24"/>
        </w:rPr>
        <w:t xml:space="preserve">13-15]. </w:t>
      </w:r>
      <w:proofErr w:type="gramStart"/>
      <w:r>
        <w:rPr>
          <w:rFonts w:ascii="Times New Roman" w:hAnsi="Times New Roman" w:cs="Times New Roman"/>
          <w:sz w:val="24"/>
          <w:szCs w:val="24"/>
        </w:rPr>
        <w:t>Aim :</w:t>
      </w:r>
      <w:proofErr w:type="gramEnd"/>
      <w:r>
        <w:rPr>
          <w:rFonts w:ascii="Times New Roman" w:hAnsi="Times New Roman" w:cs="Times New Roman"/>
          <w:sz w:val="24"/>
          <w:szCs w:val="24"/>
        </w:rPr>
        <w:t xml:space="preserve"> Determining how NSE and electrolytes influence the duration and outcome of coma. Enhancement in prognosis prediction can be gai</w:t>
      </w:r>
      <w:r>
        <w:rPr>
          <w:rFonts w:ascii="Times New Roman" w:hAnsi="Times New Roman" w:cs="Times New Roman"/>
          <w:sz w:val="24"/>
          <w:szCs w:val="24"/>
        </w:rPr>
        <w:t>ned by application of these biomarkers in clinics.</w:t>
      </w:r>
    </w:p>
    <w:p w14:paraId="595B606A" w14:textId="77777777" w:rsidR="004A4790" w:rsidRDefault="004A4790">
      <w:pPr>
        <w:tabs>
          <w:tab w:val="left" w:pos="720"/>
        </w:tabs>
        <w:jc w:val="both"/>
        <w:rPr>
          <w:rFonts w:ascii="Times New Roman" w:hAnsi="Times New Roman" w:cs="Times New Roman"/>
          <w:sz w:val="24"/>
          <w:szCs w:val="24"/>
        </w:rPr>
      </w:pPr>
    </w:p>
    <w:p w14:paraId="218EB813" w14:textId="77777777" w:rsidR="004A4790" w:rsidRDefault="00F029D3">
      <w:pPr>
        <w:tabs>
          <w:tab w:val="left" w:pos="720"/>
        </w:tabs>
        <w:jc w:val="both"/>
        <w:rPr>
          <w:rFonts w:ascii="Times New Roman" w:hAnsi="Times New Roman" w:cs="Times New Roman"/>
          <w:sz w:val="24"/>
          <w:szCs w:val="24"/>
        </w:rPr>
      </w:pPr>
      <w:r>
        <w:rPr>
          <w:rFonts w:ascii="Times New Roman" w:hAnsi="Times New Roman" w:cs="Times New Roman"/>
          <w:b/>
          <w:bCs/>
          <w:sz w:val="24"/>
          <w:szCs w:val="24"/>
        </w:rPr>
        <w:t>Materials and methods</w:t>
      </w:r>
    </w:p>
    <w:p w14:paraId="7B386426" w14:textId="77777777" w:rsidR="004A4790" w:rsidRDefault="00F029D3">
      <w:pPr>
        <w:tabs>
          <w:tab w:val="left" w:pos="720"/>
        </w:tabs>
        <w:jc w:val="both"/>
        <w:rPr>
          <w:rFonts w:ascii="Times New Roman" w:hAnsi="Times New Roman" w:cs="Times New Roman"/>
          <w:sz w:val="24"/>
          <w:szCs w:val="24"/>
        </w:rPr>
      </w:pPr>
      <w:r>
        <w:rPr>
          <w:rFonts w:ascii="Times New Roman" w:hAnsi="Times New Roman" w:cs="Times New Roman"/>
          <w:sz w:val="24"/>
          <w:szCs w:val="24"/>
        </w:rPr>
        <w:t>Thirty-two patients were recruited from the intensive care unit of Al-Nasiriyah Teaching Hospital, between October 2022 and April 2023 for different causes, including cardiac arrest,</w:t>
      </w:r>
      <w:r>
        <w:rPr>
          <w:rFonts w:ascii="Times New Roman" w:hAnsi="Times New Roman" w:cs="Times New Roman"/>
          <w:sz w:val="24"/>
          <w:szCs w:val="24"/>
        </w:rPr>
        <w:t xml:space="preserve"> anoxic shock and traffic collisions with initial Glasgow coma scale scores (GCS) of (3-8). 48 hours after admission and 72 hours later, blood samples were collected. From the ICU records, we gathered details regarding the patient's post-coma recovery traj</w:t>
      </w:r>
      <w:r>
        <w:rPr>
          <w:rFonts w:ascii="Times New Roman" w:hAnsi="Times New Roman" w:cs="Times New Roman"/>
          <w:sz w:val="24"/>
          <w:szCs w:val="24"/>
        </w:rPr>
        <w:t xml:space="preserve">ectory, such as whether they regained consciousness, continued to live in a vegetative state, or ended up passing away. The research made use of this data. Blood samples were analyzed for the concentration of NSE </w:t>
      </w:r>
      <w:proofErr w:type="gramStart"/>
      <w:r>
        <w:rPr>
          <w:rFonts w:ascii="Times New Roman" w:hAnsi="Times New Roman" w:cs="Times New Roman"/>
          <w:sz w:val="24"/>
          <w:szCs w:val="24"/>
        </w:rPr>
        <w:t>using  ELISA</w:t>
      </w:r>
      <w:proofErr w:type="gramEnd"/>
      <w:r>
        <w:rPr>
          <w:rFonts w:ascii="Times New Roman" w:hAnsi="Times New Roman" w:cs="Times New Roman"/>
          <w:sz w:val="24"/>
          <w:szCs w:val="24"/>
        </w:rPr>
        <w:t xml:space="preserve"> kit (</w:t>
      </w:r>
      <w:proofErr w:type="spellStart"/>
      <w:r>
        <w:rPr>
          <w:rFonts w:ascii="Times New Roman" w:hAnsi="Times New Roman" w:cs="Times New Roman"/>
          <w:sz w:val="24"/>
          <w:szCs w:val="24"/>
        </w:rPr>
        <w:t>Elabscience</w:t>
      </w:r>
      <w:proofErr w:type="spellEnd"/>
      <w:r>
        <w:rPr>
          <w:rFonts w:ascii="Times New Roman" w:hAnsi="Times New Roman" w:cs="Times New Roman"/>
          <w:sz w:val="24"/>
          <w:szCs w:val="24"/>
        </w:rPr>
        <w:t>)</w:t>
      </w:r>
      <w:r>
        <w:rPr>
          <w:rFonts w:ascii="Times New Roman" w:hAnsi="Times New Roman" w:cs="Times New Roman"/>
          <w:sz w:val="24"/>
          <w:szCs w:val="24"/>
          <w:vertAlign w:val="superscript"/>
        </w:rPr>
        <w:t xml:space="preserve">® , </w:t>
      </w:r>
      <w:r>
        <w:rPr>
          <w:rFonts w:ascii="Times New Roman" w:hAnsi="Times New Roman" w:cs="Times New Roman"/>
          <w:sz w:val="24"/>
          <w:szCs w:val="24"/>
        </w:rPr>
        <w:t xml:space="preserve">while </w:t>
      </w:r>
      <w:r>
        <w:rPr>
          <w:rFonts w:ascii="Times New Roman" w:hAnsi="Times New Roman" w:cs="Times New Roman"/>
          <w:sz w:val="24"/>
          <w:szCs w:val="24"/>
        </w:rPr>
        <w:t>serum electrolyte were analyzed using biochemical analyzer (Abbott, ARCHITECT C4000)</w:t>
      </w:r>
      <w:r>
        <w:rPr>
          <w:rFonts w:ascii="Times New Roman" w:hAnsi="Times New Roman" w:cs="Times New Roman"/>
          <w:sz w:val="24"/>
          <w:szCs w:val="24"/>
          <w:vertAlign w:val="superscript"/>
        </w:rPr>
        <w:t>®</w:t>
      </w:r>
      <w:r>
        <w:rPr>
          <w:rFonts w:ascii="Times New Roman" w:hAnsi="Times New Roman" w:cs="Times New Roman"/>
          <w:sz w:val="24"/>
          <w:szCs w:val="24"/>
        </w:rPr>
        <w:t>.</w:t>
      </w:r>
    </w:p>
    <w:p w14:paraId="3D670F4C" w14:textId="77777777"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 xml:space="preserve">Inclusion criteria: </w:t>
      </w:r>
      <w:r>
        <w:rPr>
          <w:rFonts w:ascii="Times New Roman" w:hAnsi="Times New Roman" w:cs="Times New Roman"/>
          <w:sz w:val="24"/>
          <w:szCs w:val="24"/>
        </w:rPr>
        <w:t>Patients with a Glasgow Coma Score of 8 or less and an extended coma period of 7</w:t>
      </w:r>
      <w:r>
        <w:rPr>
          <w:rFonts w:ascii="Times New Roman" w:hAnsi="Times New Roman" w:cs="Times New Roman"/>
          <w:b/>
          <w:bCs/>
          <w:sz w:val="24"/>
          <w:szCs w:val="24"/>
        </w:rPr>
        <w:t xml:space="preserve"> </w:t>
      </w:r>
      <w:r>
        <w:rPr>
          <w:rFonts w:ascii="Times New Roman" w:hAnsi="Times New Roman" w:cs="Times New Roman"/>
          <w:sz w:val="24"/>
          <w:szCs w:val="24"/>
        </w:rPr>
        <w:t>or more days</w:t>
      </w:r>
      <w:r>
        <w:rPr>
          <w:rFonts w:ascii="Times New Roman" w:hAnsi="Times New Roman" w:cs="Times New Roman"/>
          <w:b/>
          <w:bCs/>
          <w:sz w:val="24"/>
          <w:szCs w:val="24"/>
        </w:rPr>
        <w:t>.</w:t>
      </w:r>
    </w:p>
    <w:p w14:paraId="35C2BC70" w14:textId="77777777"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 xml:space="preserve">Exclusion criteria: </w:t>
      </w:r>
      <w:r>
        <w:rPr>
          <w:rFonts w:ascii="Times New Roman" w:hAnsi="Times New Roman" w:cs="Times New Roman"/>
          <w:sz w:val="24"/>
          <w:szCs w:val="24"/>
        </w:rPr>
        <w:t xml:space="preserve">Patients who regain consciousness </w:t>
      </w:r>
      <w:r>
        <w:rPr>
          <w:rFonts w:ascii="Times New Roman" w:hAnsi="Times New Roman" w:cs="Times New Roman"/>
          <w:sz w:val="24"/>
          <w:szCs w:val="24"/>
        </w:rPr>
        <w:t>within less than 7 days</w:t>
      </w:r>
    </w:p>
    <w:p w14:paraId="0AC3E8C3" w14:textId="77777777"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 xml:space="preserve">Ethical permission: </w:t>
      </w:r>
      <w:r>
        <w:rPr>
          <w:rFonts w:ascii="Times New Roman" w:hAnsi="Times New Roman" w:cs="Times New Roman"/>
          <w:sz w:val="24"/>
          <w:szCs w:val="24"/>
        </w:rPr>
        <w:t>The administration of the ICU and hospital staff officially granted approval for conducting this study and collection of samples. The legal guardian of comatose patients gave both verbal and written consent.</w:t>
      </w:r>
    </w:p>
    <w:p w14:paraId="18C52CAD" w14:textId="77777777"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Stat</w:t>
      </w:r>
      <w:r>
        <w:rPr>
          <w:rFonts w:ascii="Times New Roman" w:hAnsi="Times New Roman" w:cs="Times New Roman"/>
          <w:b/>
          <w:bCs/>
          <w:sz w:val="24"/>
          <w:szCs w:val="24"/>
        </w:rPr>
        <w:t xml:space="preserve">istical analysis: </w:t>
      </w:r>
      <w:r>
        <w:rPr>
          <w:rFonts w:ascii="Times New Roman" w:hAnsi="Times New Roman" w:cs="Times New Roman"/>
          <w:sz w:val="24"/>
          <w:szCs w:val="24"/>
        </w:rPr>
        <w:t xml:space="preserve">Microsoft Office Excel and SPSS 2010 software's statistical capabilities were employed in this investigation. ANOVA, chi square analysis, and the student's test were utilized to assess data that were statistically different. Results with </w:t>
      </w:r>
      <w:r>
        <w:rPr>
          <w:rFonts w:ascii="Times New Roman" w:hAnsi="Times New Roman" w:cs="Times New Roman"/>
          <w:sz w:val="24"/>
          <w:szCs w:val="24"/>
        </w:rPr>
        <w:t xml:space="preserve">a P value &lt; 0.05 are deemed statistically significant, and P values &lt; 0.01 indicate larger </w:t>
      </w:r>
      <w:r>
        <w:rPr>
          <w:rFonts w:ascii="Times New Roman" w:hAnsi="Times New Roman" w:cs="Times New Roman"/>
          <w:sz w:val="24"/>
          <w:szCs w:val="24"/>
        </w:rPr>
        <w:lastRenderedPageBreak/>
        <w:t>significant differences. The relationship between the parameters was ascertained using the Pearson correlation coefficient.</w:t>
      </w:r>
    </w:p>
    <w:p w14:paraId="5F4FA64A" w14:textId="77777777" w:rsidR="004A4790" w:rsidRDefault="004A4790">
      <w:pPr>
        <w:tabs>
          <w:tab w:val="left" w:pos="1284"/>
        </w:tabs>
        <w:jc w:val="both"/>
        <w:rPr>
          <w:rFonts w:ascii="Times New Roman" w:hAnsi="Times New Roman" w:cs="Times New Roman"/>
          <w:b/>
          <w:bCs/>
          <w:sz w:val="24"/>
          <w:szCs w:val="24"/>
        </w:rPr>
      </w:pPr>
    </w:p>
    <w:p w14:paraId="0DAB3CA1" w14:textId="77777777" w:rsidR="004A4790" w:rsidRDefault="00F029D3">
      <w:pPr>
        <w:tabs>
          <w:tab w:val="left" w:pos="1284"/>
        </w:tabs>
        <w:jc w:val="both"/>
        <w:rPr>
          <w:rFonts w:ascii="Times New Roman" w:hAnsi="Times New Roman" w:cs="Times New Roman"/>
          <w:b/>
          <w:bCs/>
          <w:sz w:val="24"/>
          <w:szCs w:val="24"/>
        </w:rPr>
      </w:pPr>
      <w:proofErr w:type="gramStart"/>
      <w:r>
        <w:rPr>
          <w:rFonts w:ascii="Times New Roman" w:hAnsi="Times New Roman" w:cs="Times New Roman"/>
          <w:b/>
          <w:bCs/>
          <w:sz w:val="24"/>
          <w:szCs w:val="24"/>
        </w:rPr>
        <w:t>Results :</w:t>
      </w:r>
      <w:proofErr w:type="gramEnd"/>
      <w:r>
        <w:rPr>
          <w:rFonts w:ascii="Times New Roman" w:hAnsi="Times New Roman" w:cs="Times New Roman"/>
          <w:b/>
          <w:bCs/>
          <w:sz w:val="24"/>
          <w:szCs w:val="24"/>
        </w:rPr>
        <w:tab/>
      </w:r>
    </w:p>
    <w:p w14:paraId="7D41947F" w14:textId="77777777"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sz w:val="24"/>
          <w:szCs w:val="24"/>
        </w:rPr>
        <w:t>The study included a thirty t</w:t>
      </w:r>
      <w:r>
        <w:rPr>
          <w:rFonts w:ascii="Times New Roman" w:hAnsi="Times New Roman" w:cs="Times New Roman"/>
          <w:sz w:val="24"/>
          <w:szCs w:val="24"/>
        </w:rPr>
        <w:t xml:space="preserve">wo comatose patients aged between 15 and 54 years of age of both sexes with female accounting for about 34% of the tested patients and the remaining 66% were males </w:t>
      </w:r>
      <w:proofErr w:type="gramStart"/>
      <w:r>
        <w:rPr>
          <w:rFonts w:ascii="Times New Roman" w:hAnsi="Times New Roman" w:cs="Times New Roman"/>
          <w:b/>
          <w:bCs/>
          <w:sz w:val="24"/>
          <w:szCs w:val="24"/>
        </w:rPr>
        <w:t>Figure(</w:t>
      </w:r>
      <w:proofErr w:type="gramEnd"/>
      <w:r>
        <w:rPr>
          <w:rFonts w:ascii="Times New Roman" w:hAnsi="Times New Roman" w:cs="Times New Roman"/>
          <w:b/>
          <w:bCs/>
          <w:sz w:val="24"/>
          <w:szCs w:val="24"/>
        </w:rPr>
        <w:t>1)</w:t>
      </w:r>
      <w:r>
        <w:rPr>
          <w:rFonts w:ascii="Times New Roman" w:hAnsi="Times New Roman" w:cs="Times New Roman"/>
          <w:sz w:val="24"/>
          <w:szCs w:val="24"/>
        </w:rPr>
        <w:t xml:space="preserve">. </w:t>
      </w:r>
    </w:p>
    <w:p w14:paraId="57EACC30" w14:textId="77777777"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5781A946" wp14:editId="2447B407">
            <wp:extent cx="3752215" cy="311658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5A8379C" w14:textId="77777777" w:rsidR="004A4790" w:rsidRDefault="00F029D3">
      <w:pPr>
        <w:tabs>
          <w:tab w:val="left" w:pos="1284"/>
        </w:tabs>
        <w:jc w:val="both"/>
        <w:rPr>
          <w:rFonts w:ascii="Times New Roman" w:hAnsi="Times New Roman" w:cs="Times New Roman"/>
          <w:b/>
          <w:bCs/>
          <w:sz w:val="20"/>
          <w:szCs w:val="20"/>
        </w:rPr>
      </w:pPr>
      <w:r>
        <w:rPr>
          <w:rFonts w:ascii="Times New Roman" w:hAnsi="Times New Roman" w:cs="Times New Roman"/>
          <w:b/>
          <w:bCs/>
          <w:sz w:val="20"/>
          <w:szCs w:val="20"/>
        </w:rPr>
        <w:t>Figure (1</w:t>
      </w:r>
      <w:proofErr w:type="gramStart"/>
      <w:r>
        <w:rPr>
          <w:rFonts w:ascii="Times New Roman" w:hAnsi="Times New Roman" w:cs="Times New Roman"/>
          <w:b/>
          <w:bCs/>
          <w:sz w:val="20"/>
          <w:szCs w:val="20"/>
        </w:rPr>
        <w:t>) :</w:t>
      </w:r>
      <w:proofErr w:type="gramEnd"/>
      <w:r>
        <w:rPr>
          <w:rFonts w:ascii="Times New Roman" w:hAnsi="Times New Roman" w:cs="Times New Roman"/>
          <w:b/>
          <w:bCs/>
          <w:sz w:val="20"/>
          <w:szCs w:val="20"/>
        </w:rPr>
        <w:t xml:space="preserve"> Study population according to sex </w:t>
      </w:r>
    </w:p>
    <w:p w14:paraId="016A4447" w14:textId="77777777"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sz w:val="24"/>
          <w:szCs w:val="24"/>
        </w:rPr>
        <w:t xml:space="preserve">The results of the study show </w:t>
      </w:r>
      <w:r>
        <w:rPr>
          <w:rFonts w:ascii="Times New Roman" w:hAnsi="Times New Roman" w:cs="Times New Roman"/>
          <w:sz w:val="24"/>
          <w:szCs w:val="24"/>
        </w:rPr>
        <w:t xml:space="preserve">that male patients between the ages of 15 and 34 made up a significant portion of the study's patient population. These patients also experienced extended unconscious periods. </w:t>
      </w:r>
      <w:r>
        <w:rPr>
          <w:rFonts w:ascii="Times New Roman" w:hAnsi="Times New Roman" w:cs="Times New Roman"/>
          <w:b/>
          <w:bCs/>
          <w:sz w:val="24"/>
          <w:szCs w:val="24"/>
        </w:rPr>
        <w:t>Table (1)</w:t>
      </w:r>
      <w:r>
        <w:rPr>
          <w:rFonts w:ascii="Times New Roman" w:hAnsi="Times New Roman" w:cs="Times New Roman"/>
          <w:sz w:val="24"/>
          <w:szCs w:val="24"/>
        </w:rPr>
        <w:t xml:space="preserve"> displays the average length of coma for each patient group in order to</w:t>
      </w:r>
      <w:r>
        <w:rPr>
          <w:rFonts w:ascii="Times New Roman" w:hAnsi="Times New Roman" w:cs="Times New Roman"/>
          <w:sz w:val="24"/>
          <w:szCs w:val="24"/>
        </w:rPr>
        <w:t xml:space="preserve"> clearly illustrate the correlation between age, sex, and coma duration.    </w:t>
      </w:r>
    </w:p>
    <w:p w14:paraId="64C9FAC8" w14:textId="77777777" w:rsidR="004A4790" w:rsidRDefault="00F029D3">
      <w:pPr>
        <w:tabs>
          <w:tab w:val="left" w:pos="1284"/>
        </w:tabs>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0"/>
          <w:szCs w:val="20"/>
        </w:rPr>
        <w:t xml:space="preserve"> Table (1): The average of period of coma according to Age and sex</w:t>
      </w:r>
    </w:p>
    <w:tbl>
      <w:tblPr>
        <w:tblStyle w:val="-11"/>
        <w:bidiVisual/>
        <w:tblW w:w="5339" w:type="dxa"/>
        <w:jc w:val="right"/>
        <w:tblLook w:val="04A0" w:firstRow="1" w:lastRow="0" w:firstColumn="1" w:lastColumn="0" w:noHBand="0" w:noVBand="1"/>
      </w:tblPr>
      <w:tblGrid>
        <w:gridCol w:w="773"/>
        <w:gridCol w:w="1134"/>
        <w:gridCol w:w="709"/>
        <w:gridCol w:w="1080"/>
        <w:gridCol w:w="570"/>
        <w:gridCol w:w="1073"/>
      </w:tblGrid>
      <w:tr w:rsidR="004A4790" w14:paraId="33DAC789" w14:textId="77777777" w:rsidTr="004A4790">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773" w:type="dxa"/>
            <w:vMerge w:val="restart"/>
            <w:noWrap/>
          </w:tcPr>
          <w:p w14:paraId="33A6C431"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p w14:paraId="1FC16292"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 value</w:t>
            </w:r>
          </w:p>
        </w:tc>
        <w:tc>
          <w:tcPr>
            <w:tcW w:w="1843" w:type="dxa"/>
            <w:gridSpan w:val="2"/>
            <w:noWrap/>
          </w:tcPr>
          <w:p w14:paraId="58EF3B8D" w14:textId="77777777" w:rsidR="004A4790" w:rsidRDefault="00F029D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Male </w:t>
            </w:r>
          </w:p>
        </w:tc>
        <w:tc>
          <w:tcPr>
            <w:tcW w:w="1650" w:type="dxa"/>
            <w:gridSpan w:val="2"/>
            <w:noWrap/>
          </w:tcPr>
          <w:p w14:paraId="6CCC791F" w14:textId="77777777" w:rsidR="004A4790" w:rsidRDefault="00F029D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Female </w:t>
            </w:r>
          </w:p>
        </w:tc>
        <w:tc>
          <w:tcPr>
            <w:tcW w:w="1073" w:type="dxa"/>
            <w:vMerge w:val="restart"/>
            <w:noWrap/>
          </w:tcPr>
          <w:p w14:paraId="7B4F7F7D" w14:textId="77777777" w:rsidR="004A4790" w:rsidRDefault="00F029D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Age range</w:t>
            </w:r>
          </w:p>
        </w:tc>
      </w:tr>
      <w:tr w:rsidR="004A4790" w14:paraId="529145DC" w14:textId="77777777" w:rsidTr="004A4790">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noWrap/>
          </w:tcPr>
          <w:p w14:paraId="6B25A69D" w14:textId="77777777"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14:paraId="1E75B8B1"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days of coma</w:t>
            </w:r>
          </w:p>
        </w:tc>
        <w:tc>
          <w:tcPr>
            <w:tcW w:w="709" w:type="dxa"/>
            <w:noWrap/>
          </w:tcPr>
          <w:p w14:paraId="253B2842"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080" w:type="dxa"/>
            <w:noWrap/>
          </w:tcPr>
          <w:p w14:paraId="69842A2A"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days of coma</w:t>
            </w:r>
          </w:p>
        </w:tc>
        <w:tc>
          <w:tcPr>
            <w:tcW w:w="570" w:type="dxa"/>
            <w:noWrap/>
          </w:tcPr>
          <w:p w14:paraId="0E528452"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073" w:type="dxa"/>
            <w:vMerge/>
          </w:tcPr>
          <w:p w14:paraId="0EAB0952" w14:textId="77777777" w:rsidR="004A4790" w:rsidRDefault="004A479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4A4790" w14:paraId="0C3E1C4D" w14:textId="77777777" w:rsidTr="004A4790">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val="restart"/>
            <w:noWrap/>
          </w:tcPr>
          <w:p w14:paraId="2A31F62B"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&gt;0.05</w:t>
            </w:r>
          </w:p>
        </w:tc>
        <w:tc>
          <w:tcPr>
            <w:tcW w:w="1134" w:type="dxa"/>
            <w:noWrap/>
          </w:tcPr>
          <w:p w14:paraId="59BDA304"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09" w:type="dxa"/>
            <w:noWrap/>
          </w:tcPr>
          <w:p w14:paraId="5B23B0A9"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noWrap/>
          </w:tcPr>
          <w:p w14:paraId="033D25EE"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570" w:type="dxa"/>
            <w:noWrap/>
          </w:tcPr>
          <w:p w14:paraId="5BE4C977"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14:paraId="7311C84D"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w:t>
            </w:r>
          </w:p>
        </w:tc>
      </w:tr>
      <w:tr w:rsidR="004A4790" w14:paraId="3539B0B5" w14:textId="77777777" w:rsidTr="004A4790">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45D05FDC" w14:textId="77777777"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14:paraId="65FA4300"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noWrap/>
          </w:tcPr>
          <w:p w14:paraId="4CE94D29"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noWrap/>
          </w:tcPr>
          <w:p w14:paraId="2D4208E5"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70" w:type="dxa"/>
            <w:noWrap/>
          </w:tcPr>
          <w:p w14:paraId="595BFB5A"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73" w:type="dxa"/>
            <w:noWrap/>
          </w:tcPr>
          <w:p w14:paraId="38C69472"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25-34</w:t>
            </w:r>
          </w:p>
        </w:tc>
      </w:tr>
      <w:tr w:rsidR="004A4790" w14:paraId="08CD456D" w14:textId="77777777" w:rsidTr="004A4790">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013CDAB0" w14:textId="77777777"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14:paraId="169E37A1"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709" w:type="dxa"/>
            <w:noWrap/>
          </w:tcPr>
          <w:p w14:paraId="4EC8DCFA"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80" w:type="dxa"/>
            <w:noWrap/>
          </w:tcPr>
          <w:p w14:paraId="0AD23EB9"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570" w:type="dxa"/>
            <w:noWrap/>
          </w:tcPr>
          <w:p w14:paraId="3EBCFD8C"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14:paraId="7357C27E"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w:t>
            </w:r>
          </w:p>
        </w:tc>
      </w:tr>
      <w:tr w:rsidR="004A4790" w14:paraId="2DE60D5F" w14:textId="77777777" w:rsidTr="004A4790">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45ED1E92" w14:textId="77777777"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14:paraId="34BA94D1"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09" w:type="dxa"/>
            <w:noWrap/>
          </w:tcPr>
          <w:p w14:paraId="74EBDE3B"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0" w:type="dxa"/>
            <w:noWrap/>
          </w:tcPr>
          <w:p w14:paraId="17B96224"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70" w:type="dxa"/>
            <w:noWrap/>
          </w:tcPr>
          <w:p w14:paraId="3DF6B75A"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14:paraId="3CE4BAFB"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45-54</w:t>
            </w:r>
          </w:p>
        </w:tc>
      </w:tr>
      <w:tr w:rsidR="004A4790" w14:paraId="1BC5C9CF" w14:textId="77777777" w:rsidTr="004A4790">
        <w:trPr>
          <w:trHeight w:val="312"/>
          <w:jc w:val="right"/>
        </w:trPr>
        <w:tc>
          <w:tcPr>
            <w:cnfStyle w:val="001000000000" w:firstRow="0" w:lastRow="0" w:firstColumn="1" w:lastColumn="0" w:oddVBand="0" w:evenVBand="0" w:oddHBand="0" w:evenHBand="0" w:firstRowFirstColumn="0" w:firstRowLastColumn="0" w:lastRowFirstColumn="0" w:lastRowLastColumn="0"/>
            <w:tcW w:w="773" w:type="dxa"/>
            <w:vMerge/>
          </w:tcPr>
          <w:p w14:paraId="6D9BB559" w14:textId="77777777"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14:paraId="09890E3F" w14:textId="77777777" w:rsidR="004A4790" w:rsidRDefault="004A47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709" w:type="dxa"/>
            <w:noWrap/>
          </w:tcPr>
          <w:p w14:paraId="69F4448D"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080" w:type="dxa"/>
            <w:noWrap/>
          </w:tcPr>
          <w:p w14:paraId="5AF6C1DE" w14:textId="77777777" w:rsidR="004A4790" w:rsidRDefault="004A47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0" w:type="dxa"/>
            <w:noWrap/>
          </w:tcPr>
          <w:p w14:paraId="47784A06"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073" w:type="dxa"/>
            <w:noWrap/>
          </w:tcPr>
          <w:p w14:paraId="6CBCA2FE"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r>
    </w:tbl>
    <w:p w14:paraId="0DDBD475" w14:textId="77777777" w:rsidR="004A4790" w:rsidRDefault="004A4790">
      <w:pPr>
        <w:tabs>
          <w:tab w:val="left" w:pos="1284"/>
        </w:tabs>
        <w:jc w:val="both"/>
        <w:rPr>
          <w:rFonts w:ascii="Times New Roman" w:hAnsi="Times New Roman" w:cs="Times New Roman"/>
          <w:sz w:val="24"/>
          <w:szCs w:val="24"/>
        </w:rPr>
      </w:pPr>
    </w:p>
    <w:p w14:paraId="45724034" w14:textId="77777777" w:rsidR="004A4790" w:rsidRDefault="00F029D3">
      <w:pPr>
        <w:tabs>
          <w:tab w:val="left" w:pos="1284"/>
        </w:tabs>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The results of the study indicate that the cause of brain injury plays a significant role in determining the course of the </w:t>
      </w:r>
      <w:proofErr w:type="gramStart"/>
      <w:r>
        <w:rPr>
          <w:rFonts w:ascii="Times New Roman" w:hAnsi="Times New Roman" w:cs="Times New Roman"/>
          <w:sz w:val="24"/>
          <w:szCs w:val="24"/>
        </w:rPr>
        <w:t xml:space="preserve">coma </w:t>
      </w:r>
      <w:r>
        <w:rPr>
          <w:rFonts w:ascii="Times New Roman" w:hAnsi="Times New Roman" w:cs="Times New Roman"/>
          <w:b/>
          <w:bCs/>
          <w:sz w:val="24"/>
          <w:szCs w:val="24"/>
        </w:rPr>
        <w:t>.</w:t>
      </w:r>
      <w:proofErr w:type="gramEnd"/>
      <w:r>
        <w:rPr>
          <w:rFonts w:ascii="Times New Roman" w:hAnsi="Times New Roman" w:cs="Times New Roman"/>
          <w:sz w:val="24"/>
          <w:szCs w:val="24"/>
        </w:rPr>
        <w:t xml:space="preserve"> Anoxia resulting from various causes, such as a hanging suicide attempt or cardiac arrest, has the worst results when compared to other causes, such as blunt brain injuries from car accidents or other traumas that only affect a small area of the brain, wh</w:t>
      </w:r>
      <w:r>
        <w:rPr>
          <w:rFonts w:ascii="Times New Roman" w:hAnsi="Times New Roman" w:cs="Times New Roman"/>
          <w:sz w:val="24"/>
          <w:szCs w:val="24"/>
        </w:rPr>
        <w:t xml:space="preserve">ich have been shown to have a higher recovery rate after a comparatively short coma period. </w:t>
      </w:r>
      <w:r>
        <w:rPr>
          <w:rFonts w:ascii="Times New Roman" w:hAnsi="Times New Roman" w:cs="Times New Roman"/>
          <w:b/>
          <w:bCs/>
          <w:sz w:val="24"/>
          <w:szCs w:val="24"/>
        </w:rPr>
        <w:t xml:space="preserve">Table (2) </w:t>
      </w:r>
    </w:p>
    <w:p w14:paraId="4B15F178" w14:textId="77777777" w:rsidR="004A4790" w:rsidRDefault="00F029D3">
      <w:pPr>
        <w:tabs>
          <w:tab w:val="left" w:pos="1284"/>
        </w:tabs>
        <w:jc w:val="both"/>
        <w:rPr>
          <w:rFonts w:ascii="Times New Roman" w:hAnsi="Times New Roman" w:cs="Times New Roman"/>
          <w:b/>
          <w:bCs/>
          <w:sz w:val="20"/>
          <w:szCs w:val="20"/>
        </w:rPr>
      </w:pPr>
      <w:r>
        <w:rPr>
          <w:rFonts w:ascii="Times New Roman" w:hAnsi="Times New Roman" w:cs="Times New Roman"/>
          <w:b/>
          <w:bCs/>
          <w:sz w:val="20"/>
          <w:szCs w:val="20"/>
        </w:rPr>
        <w:t xml:space="preserve">Table (2): </w:t>
      </w:r>
      <w:r>
        <w:rPr>
          <w:rFonts w:ascii="Times New Roman" w:eastAsia="Times New Roman" w:hAnsi="Times New Roman"/>
          <w:b/>
          <w:bCs/>
          <w:color w:val="000000"/>
          <w:sz w:val="20"/>
          <w:szCs w:val="20"/>
        </w:rPr>
        <w:t>The average days of coma according to cause of the brain injury</w:t>
      </w:r>
    </w:p>
    <w:tbl>
      <w:tblPr>
        <w:tblStyle w:val="-11"/>
        <w:bidiVisual/>
        <w:tblW w:w="6379" w:type="dxa"/>
        <w:jc w:val="right"/>
        <w:tblLook w:val="04A0" w:firstRow="1" w:lastRow="0" w:firstColumn="1" w:lastColumn="0" w:noHBand="0" w:noVBand="1"/>
      </w:tblPr>
      <w:tblGrid>
        <w:gridCol w:w="850"/>
        <w:gridCol w:w="1985"/>
        <w:gridCol w:w="1038"/>
        <w:gridCol w:w="2506"/>
      </w:tblGrid>
      <w:tr w:rsidR="004A4790" w14:paraId="7AA237F5" w14:textId="77777777" w:rsidTr="004A4790">
        <w:trPr>
          <w:cnfStyle w:val="100000000000" w:firstRow="1" w:lastRow="0" w:firstColumn="0" w:lastColumn="0" w:oddVBand="0" w:evenVBand="0" w:oddHBand="0"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850" w:type="dxa"/>
          </w:tcPr>
          <w:p w14:paraId="23DD559F" w14:textId="77777777" w:rsidR="004A4790" w:rsidRDefault="00F029D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 value</w:t>
            </w:r>
          </w:p>
        </w:tc>
        <w:tc>
          <w:tcPr>
            <w:tcW w:w="1985" w:type="dxa"/>
            <w:noWrap/>
          </w:tcPr>
          <w:p w14:paraId="7D2A841B" w14:textId="77777777" w:rsidR="004A4790" w:rsidRDefault="00F029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AVERAGE DAYS OF COMA</w:t>
            </w:r>
          </w:p>
        </w:tc>
        <w:tc>
          <w:tcPr>
            <w:tcW w:w="1038" w:type="dxa"/>
            <w:noWrap/>
          </w:tcPr>
          <w:p w14:paraId="631B0DB9" w14:textId="77777777" w:rsidR="004A4790" w:rsidRDefault="00F029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2506" w:type="dxa"/>
            <w:noWrap/>
          </w:tcPr>
          <w:p w14:paraId="1FEA4D3F" w14:textId="77777777" w:rsidR="004A4790" w:rsidRDefault="00F029D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CAUSE OF COMA</w:t>
            </w:r>
          </w:p>
        </w:tc>
      </w:tr>
      <w:tr w:rsidR="004A4790" w14:paraId="6E528817"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val="restart"/>
            <w:vAlign w:val="center"/>
          </w:tcPr>
          <w:p w14:paraId="3C49BC8C" w14:textId="77777777" w:rsidR="004A4790" w:rsidRDefault="00F029D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&lt;0.01</w:t>
            </w:r>
          </w:p>
        </w:tc>
        <w:tc>
          <w:tcPr>
            <w:tcW w:w="1985" w:type="dxa"/>
            <w:noWrap/>
          </w:tcPr>
          <w:p w14:paraId="73D31B27"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038" w:type="dxa"/>
            <w:noWrap/>
          </w:tcPr>
          <w:p w14:paraId="04C58E46"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06" w:type="dxa"/>
            <w:noWrap/>
          </w:tcPr>
          <w:p w14:paraId="29EFC482" w14:textId="77777777" w:rsidR="004A4790" w:rsidRDefault="00F029D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ANOXIA</w:t>
            </w:r>
          </w:p>
        </w:tc>
      </w:tr>
      <w:tr w:rsidR="004A4790" w14:paraId="5B5CAA0D"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tcPr>
          <w:p w14:paraId="6F3BC487" w14:textId="77777777" w:rsidR="004A4790" w:rsidRDefault="004A4790">
            <w:pPr>
              <w:spacing w:after="0" w:line="240" w:lineRule="auto"/>
              <w:jc w:val="center"/>
              <w:rPr>
                <w:rFonts w:ascii="Times New Roman" w:eastAsia="Times New Roman" w:hAnsi="Times New Roman"/>
                <w:color w:val="000000"/>
                <w:sz w:val="24"/>
                <w:szCs w:val="24"/>
              </w:rPr>
            </w:pPr>
          </w:p>
        </w:tc>
        <w:tc>
          <w:tcPr>
            <w:tcW w:w="1985" w:type="dxa"/>
            <w:noWrap/>
          </w:tcPr>
          <w:p w14:paraId="62EF57B7"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38" w:type="dxa"/>
            <w:noWrap/>
          </w:tcPr>
          <w:p w14:paraId="1304FE3F"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06" w:type="dxa"/>
            <w:noWrap/>
          </w:tcPr>
          <w:p w14:paraId="419A668B" w14:textId="77777777" w:rsidR="004A4790" w:rsidRDefault="00F029D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CARDIAC ARREST</w:t>
            </w:r>
          </w:p>
        </w:tc>
      </w:tr>
      <w:tr w:rsidR="004A4790" w14:paraId="6381B373"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tcPr>
          <w:p w14:paraId="0CF4A079" w14:textId="77777777" w:rsidR="004A4790" w:rsidRDefault="004A4790">
            <w:pPr>
              <w:spacing w:after="0" w:line="240" w:lineRule="auto"/>
              <w:jc w:val="center"/>
              <w:rPr>
                <w:rFonts w:ascii="Times New Roman" w:eastAsia="Times New Roman" w:hAnsi="Times New Roman"/>
                <w:color w:val="000000"/>
                <w:sz w:val="24"/>
                <w:szCs w:val="24"/>
              </w:rPr>
            </w:pPr>
          </w:p>
        </w:tc>
        <w:tc>
          <w:tcPr>
            <w:tcW w:w="1985" w:type="dxa"/>
            <w:noWrap/>
          </w:tcPr>
          <w:p w14:paraId="1FBCFD14"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038" w:type="dxa"/>
            <w:noWrap/>
          </w:tcPr>
          <w:p w14:paraId="3045A7CE"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06" w:type="dxa"/>
            <w:noWrap/>
          </w:tcPr>
          <w:p w14:paraId="7B4364DF" w14:textId="77777777" w:rsidR="004A4790" w:rsidRDefault="00F029D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ELECTRICAL SHOCK</w:t>
            </w:r>
          </w:p>
        </w:tc>
      </w:tr>
      <w:tr w:rsidR="004A4790" w14:paraId="5D457DA5"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50" w:type="dxa"/>
            <w:vMerge/>
          </w:tcPr>
          <w:p w14:paraId="01CE271C" w14:textId="77777777" w:rsidR="004A4790" w:rsidRDefault="004A4790">
            <w:pPr>
              <w:spacing w:after="0" w:line="240" w:lineRule="auto"/>
              <w:jc w:val="center"/>
              <w:rPr>
                <w:rFonts w:ascii="Times New Roman" w:eastAsia="Times New Roman" w:hAnsi="Times New Roman"/>
                <w:color w:val="000000"/>
                <w:sz w:val="24"/>
                <w:szCs w:val="24"/>
              </w:rPr>
            </w:pPr>
          </w:p>
        </w:tc>
        <w:tc>
          <w:tcPr>
            <w:tcW w:w="1985" w:type="dxa"/>
            <w:noWrap/>
          </w:tcPr>
          <w:p w14:paraId="5CBF18F7"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038" w:type="dxa"/>
            <w:noWrap/>
          </w:tcPr>
          <w:p w14:paraId="2A2D93A0" w14:textId="77777777" w:rsidR="004A4790" w:rsidRDefault="00F029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506" w:type="dxa"/>
            <w:noWrap/>
          </w:tcPr>
          <w:p w14:paraId="31852E14" w14:textId="77777777" w:rsidR="004A4790" w:rsidRDefault="00F029D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RTA</w:t>
            </w:r>
          </w:p>
        </w:tc>
      </w:tr>
    </w:tbl>
    <w:p w14:paraId="4DF20E9D" w14:textId="77777777" w:rsidR="004A4790" w:rsidRDefault="004A4790">
      <w:pPr>
        <w:tabs>
          <w:tab w:val="left" w:pos="1284"/>
        </w:tabs>
        <w:jc w:val="center"/>
        <w:rPr>
          <w:rFonts w:ascii="Times New Roman" w:hAnsi="Times New Roman" w:cs="Times New Roman"/>
          <w:sz w:val="24"/>
          <w:szCs w:val="24"/>
        </w:rPr>
      </w:pPr>
    </w:p>
    <w:p w14:paraId="5A27778C" w14:textId="77777777"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sz w:val="24"/>
          <w:szCs w:val="24"/>
        </w:rPr>
        <w:t>It is noteworthy that a majority of the patients who died, roughly 71.43% of all the deaths were involved in road traffic accidents (RTA). RTAs were responsible for 75% of the brain traumatic injuries sustained by the study's comatose participants. Remarka</w:t>
      </w:r>
      <w:r>
        <w:rPr>
          <w:rFonts w:ascii="Times New Roman" w:hAnsi="Times New Roman" w:cs="Times New Roman"/>
          <w:sz w:val="24"/>
          <w:szCs w:val="24"/>
        </w:rPr>
        <w:t xml:space="preserve">bly, these individuals recovered at a faster pace than others whose injuries were the result of other causes </w:t>
      </w:r>
      <w:proofErr w:type="gramStart"/>
      <w:r>
        <w:rPr>
          <w:rFonts w:ascii="Times New Roman" w:hAnsi="Times New Roman" w:cs="Times New Roman"/>
          <w:b/>
          <w:bCs/>
          <w:sz w:val="24"/>
          <w:szCs w:val="24"/>
        </w:rPr>
        <w:t>Figure(</w:t>
      </w:r>
      <w:proofErr w:type="gramEnd"/>
      <w:r>
        <w:rPr>
          <w:rFonts w:ascii="Times New Roman" w:hAnsi="Times New Roman" w:cs="Times New Roman"/>
          <w:b/>
          <w:bCs/>
          <w:sz w:val="24"/>
          <w:szCs w:val="24"/>
        </w:rPr>
        <w:t>2).</w:t>
      </w:r>
    </w:p>
    <w:p w14:paraId="37221FE2" w14:textId="77777777" w:rsidR="004A4790" w:rsidRDefault="00F029D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6DD242F6" wp14:editId="365FD014">
            <wp:extent cx="3290570" cy="2816860"/>
            <wp:effectExtent l="4445" t="4445" r="19685" b="17145"/>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2DFBC4" w14:textId="77777777" w:rsidR="004A4790" w:rsidRDefault="00F029D3">
      <w:pPr>
        <w:jc w:val="both"/>
        <w:rPr>
          <w:rFonts w:ascii="Times New Roman" w:hAnsi="Times New Roman" w:cs="Times New Roman"/>
          <w:b/>
          <w:bCs/>
          <w:sz w:val="20"/>
          <w:szCs w:val="20"/>
        </w:rPr>
      </w:pPr>
      <w:r>
        <w:rPr>
          <w:rFonts w:ascii="Times New Roman" w:hAnsi="Times New Roman" w:cs="Times New Roman"/>
          <w:b/>
          <w:bCs/>
          <w:sz w:val="20"/>
          <w:szCs w:val="20"/>
        </w:rPr>
        <w:t>Figure (2): Coma outcome according to the cause of the brain injury.</w:t>
      </w:r>
    </w:p>
    <w:p w14:paraId="06205FCE" w14:textId="77777777" w:rsidR="004A4790" w:rsidRDefault="004A4790">
      <w:pPr>
        <w:jc w:val="both"/>
        <w:rPr>
          <w:rFonts w:ascii="Times New Roman" w:hAnsi="Times New Roman" w:cs="Times New Roman"/>
          <w:b/>
          <w:bCs/>
          <w:sz w:val="20"/>
          <w:szCs w:val="20"/>
        </w:rPr>
      </w:pPr>
    </w:p>
    <w:p w14:paraId="39F9F20E" w14:textId="77777777" w:rsidR="004A4790" w:rsidRDefault="00F029D3">
      <w:pPr>
        <w:jc w:val="both"/>
        <w:rPr>
          <w:rFonts w:ascii="Times New Roman" w:hAnsi="Times New Roman" w:cs="Times New Roman"/>
          <w:b/>
          <w:bCs/>
          <w:sz w:val="24"/>
          <w:szCs w:val="24"/>
        </w:rPr>
      </w:pPr>
      <w:r>
        <w:rPr>
          <w:rFonts w:ascii="Times New Roman" w:hAnsi="Times New Roman" w:cs="Times New Roman"/>
          <w:sz w:val="24"/>
          <w:szCs w:val="24"/>
        </w:rPr>
        <w:t>The results of the study showed that young adults between the ages of 15 and 34 made up a significant number of the patients who successfully regained consciousness. The largest percentage of people in this age range reported a successful recovery in terms</w:t>
      </w:r>
      <w:r>
        <w:rPr>
          <w:rFonts w:ascii="Times New Roman" w:hAnsi="Times New Roman" w:cs="Times New Roman"/>
          <w:sz w:val="24"/>
          <w:szCs w:val="24"/>
        </w:rPr>
        <w:t xml:space="preserve"> of consciousness restoration.  </w:t>
      </w:r>
      <w:r>
        <w:rPr>
          <w:rFonts w:ascii="Times New Roman" w:hAnsi="Times New Roman" w:cs="Times New Roman"/>
          <w:b/>
          <w:bCs/>
          <w:sz w:val="24"/>
          <w:szCs w:val="24"/>
        </w:rPr>
        <w:t>Table (3).</w:t>
      </w:r>
    </w:p>
    <w:p w14:paraId="784ED948" w14:textId="77777777" w:rsidR="004A4790" w:rsidRDefault="004A4790">
      <w:pPr>
        <w:jc w:val="both"/>
        <w:rPr>
          <w:rFonts w:ascii="Times New Roman" w:hAnsi="Times New Roman" w:cs="Times New Roman"/>
          <w:b/>
          <w:bCs/>
          <w:sz w:val="20"/>
          <w:szCs w:val="20"/>
        </w:rPr>
      </w:pPr>
      <w:bookmarkStart w:id="0" w:name="_GoBack"/>
      <w:bookmarkEnd w:id="0"/>
    </w:p>
    <w:p w14:paraId="03F297F2" w14:textId="77777777" w:rsidR="004A4790" w:rsidRDefault="00F029D3">
      <w:pPr>
        <w:jc w:val="both"/>
        <w:rPr>
          <w:rFonts w:ascii="Times New Roman" w:eastAsia="Times New Roman" w:hAnsi="Times New Roman"/>
          <w:b/>
          <w:bCs/>
          <w:color w:val="000000"/>
          <w:sz w:val="20"/>
          <w:szCs w:val="20"/>
        </w:rPr>
      </w:pPr>
      <w:r>
        <w:rPr>
          <w:rFonts w:ascii="Times New Roman" w:hAnsi="Times New Roman" w:cs="Times New Roman"/>
          <w:b/>
          <w:bCs/>
          <w:sz w:val="20"/>
          <w:szCs w:val="20"/>
        </w:rPr>
        <w:t>Table (3</w:t>
      </w:r>
      <w:proofErr w:type="gramStart"/>
      <w:r>
        <w:rPr>
          <w:rFonts w:ascii="Times New Roman" w:hAnsi="Times New Roman" w:cs="Times New Roman"/>
          <w:b/>
          <w:bCs/>
          <w:sz w:val="20"/>
          <w:szCs w:val="20"/>
        </w:rPr>
        <w:t>):</w:t>
      </w:r>
      <w:r>
        <w:rPr>
          <w:rFonts w:ascii="Times New Roman" w:eastAsia="Times New Roman" w:hAnsi="Times New Roman"/>
          <w:b/>
          <w:bCs/>
          <w:color w:val="000000"/>
          <w:sz w:val="20"/>
          <w:szCs w:val="20"/>
        </w:rPr>
        <w:t>The</w:t>
      </w:r>
      <w:proofErr w:type="gramEnd"/>
      <w:r>
        <w:rPr>
          <w:rFonts w:ascii="Times New Roman" w:eastAsia="Times New Roman" w:hAnsi="Times New Roman"/>
          <w:b/>
          <w:bCs/>
          <w:color w:val="000000"/>
          <w:sz w:val="20"/>
          <w:szCs w:val="20"/>
        </w:rPr>
        <w:t xml:space="preserve"> outcome of the coma according to age group</w:t>
      </w:r>
    </w:p>
    <w:p w14:paraId="45591690" w14:textId="77777777" w:rsidR="000F576E" w:rsidRDefault="000F576E">
      <w:pPr>
        <w:jc w:val="both"/>
        <w:rPr>
          <w:rFonts w:ascii="Times New Roman" w:eastAsia="Times New Roman" w:hAnsi="Times New Roman"/>
          <w:b/>
          <w:bCs/>
          <w:color w:val="000000"/>
          <w:sz w:val="20"/>
          <w:szCs w:val="20"/>
        </w:rPr>
      </w:pPr>
    </w:p>
    <w:p w14:paraId="360D3AD9" w14:textId="77777777" w:rsidR="000F576E" w:rsidRDefault="000F576E">
      <w:pPr>
        <w:jc w:val="both"/>
        <w:rPr>
          <w:rFonts w:ascii="Times New Roman" w:eastAsia="Times New Roman" w:hAnsi="Times New Roman"/>
          <w:b/>
          <w:bCs/>
          <w:color w:val="000000"/>
          <w:sz w:val="20"/>
          <w:szCs w:val="20"/>
        </w:rPr>
      </w:pPr>
    </w:p>
    <w:tbl>
      <w:tblPr>
        <w:bidiVisual/>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56"/>
        <w:gridCol w:w="2054"/>
        <w:gridCol w:w="2054"/>
        <w:gridCol w:w="1882"/>
      </w:tblGrid>
      <w:tr w:rsidR="000F576E" w:rsidRPr="000F576E" w14:paraId="6199F37F" w14:textId="77777777" w:rsidTr="000F576E">
        <w:trPr>
          <w:trHeight w:val="348"/>
          <w:jc w:val="center"/>
        </w:trPr>
        <w:tc>
          <w:tcPr>
            <w:tcW w:w="1725" w:type="pct"/>
            <w:noWrap/>
          </w:tcPr>
          <w:p w14:paraId="006E535C"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i/>
                <w:iCs/>
                <w:sz w:val="20"/>
                <w:szCs w:val="20"/>
              </w:rPr>
              <w:t>P</w:t>
            </w:r>
            <w:r w:rsidRPr="000F576E">
              <w:rPr>
                <w:rFonts w:ascii="Times New Roman" w:hAnsi="Times New Roman" w:cs="Times New Roman"/>
                <w:sz w:val="20"/>
                <w:szCs w:val="20"/>
              </w:rPr>
              <w:t xml:space="preserve"> value </w:t>
            </w:r>
          </w:p>
        </w:tc>
        <w:tc>
          <w:tcPr>
            <w:tcW w:w="1123" w:type="pct"/>
            <w:noWrap/>
          </w:tcPr>
          <w:p w14:paraId="23809537"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72hr.</w:t>
            </w:r>
          </w:p>
        </w:tc>
        <w:tc>
          <w:tcPr>
            <w:tcW w:w="1123" w:type="pct"/>
            <w:noWrap/>
          </w:tcPr>
          <w:p w14:paraId="16E91994"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48hr.</w:t>
            </w:r>
          </w:p>
        </w:tc>
        <w:tc>
          <w:tcPr>
            <w:tcW w:w="1029" w:type="pct"/>
            <w:noWrap/>
          </w:tcPr>
          <w:p w14:paraId="07870365"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Parameter</w:t>
            </w:r>
          </w:p>
        </w:tc>
      </w:tr>
      <w:tr w:rsidR="000F576E" w:rsidRPr="000F576E" w14:paraId="08A95783" w14:textId="77777777" w:rsidTr="000F576E">
        <w:trPr>
          <w:trHeight w:val="585"/>
          <w:jc w:val="center"/>
        </w:trPr>
        <w:tc>
          <w:tcPr>
            <w:tcW w:w="1725" w:type="pct"/>
            <w:noWrap/>
          </w:tcPr>
          <w:p w14:paraId="6A1F415D"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&lt;0.05</w:t>
            </w:r>
          </w:p>
        </w:tc>
        <w:tc>
          <w:tcPr>
            <w:tcW w:w="1123" w:type="pct"/>
            <w:noWrap/>
          </w:tcPr>
          <w:p w14:paraId="4C1B766F"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38.05±12.32</w:t>
            </w:r>
          </w:p>
        </w:tc>
        <w:tc>
          <w:tcPr>
            <w:tcW w:w="1123" w:type="pct"/>
            <w:noWrap/>
          </w:tcPr>
          <w:p w14:paraId="549B5E82"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34.88±13.56</w:t>
            </w:r>
          </w:p>
        </w:tc>
        <w:tc>
          <w:tcPr>
            <w:tcW w:w="1029" w:type="pct"/>
            <w:noWrap/>
          </w:tcPr>
          <w:p w14:paraId="6785876D"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NSE (in ng/ml)</w:t>
            </w:r>
          </w:p>
        </w:tc>
      </w:tr>
      <w:tr w:rsidR="000F576E" w:rsidRPr="000F576E" w14:paraId="0C0EB665" w14:textId="77777777" w:rsidTr="000F576E">
        <w:trPr>
          <w:trHeight w:val="585"/>
          <w:jc w:val="center"/>
        </w:trPr>
        <w:tc>
          <w:tcPr>
            <w:tcW w:w="1725" w:type="pct"/>
            <w:noWrap/>
          </w:tcPr>
          <w:p w14:paraId="638EFA2E"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&lt;0.01</w:t>
            </w:r>
          </w:p>
        </w:tc>
        <w:tc>
          <w:tcPr>
            <w:tcW w:w="1123" w:type="pct"/>
            <w:noWrap/>
          </w:tcPr>
          <w:p w14:paraId="7F209C63"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1.77±0.25</w:t>
            </w:r>
          </w:p>
        </w:tc>
        <w:tc>
          <w:tcPr>
            <w:tcW w:w="1123" w:type="pct"/>
            <w:noWrap/>
          </w:tcPr>
          <w:p w14:paraId="211C6E77"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1.99±0.19</w:t>
            </w:r>
          </w:p>
        </w:tc>
        <w:tc>
          <w:tcPr>
            <w:tcW w:w="1029" w:type="pct"/>
            <w:noWrap/>
          </w:tcPr>
          <w:p w14:paraId="5AC67F4E"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Mg (in mg/dl)</w:t>
            </w:r>
          </w:p>
        </w:tc>
      </w:tr>
      <w:tr w:rsidR="000F576E" w:rsidRPr="000F576E" w14:paraId="38D7794F" w14:textId="77777777" w:rsidTr="000F576E">
        <w:trPr>
          <w:trHeight w:val="585"/>
          <w:jc w:val="center"/>
        </w:trPr>
        <w:tc>
          <w:tcPr>
            <w:tcW w:w="1725" w:type="pct"/>
            <w:noWrap/>
          </w:tcPr>
          <w:p w14:paraId="2B77F91D"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&gt;0.05</w:t>
            </w:r>
          </w:p>
        </w:tc>
        <w:tc>
          <w:tcPr>
            <w:tcW w:w="1123" w:type="pct"/>
            <w:noWrap/>
          </w:tcPr>
          <w:p w14:paraId="349C9EC2"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141.94±4.88</w:t>
            </w:r>
          </w:p>
        </w:tc>
        <w:tc>
          <w:tcPr>
            <w:tcW w:w="1123" w:type="pct"/>
            <w:noWrap/>
          </w:tcPr>
          <w:p w14:paraId="77834E6B"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142±4.45</w:t>
            </w:r>
          </w:p>
        </w:tc>
        <w:tc>
          <w:tcPr>
            <w:tcW w:w="1029" w:type="pct"/>
            <w:noWrap/>
          </w:tcPr>
          <w:p w14:paraId="036445D4"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Na (in mg/dl)</w:t>
            </w:r>
          </w:p>
        </w:tc>
      </w:tr>
      <w:tr w:rsidR="000F576E" w:rsidRPr="000F576E" w14:paraId="213A52DD" w14:textId="77777777" w:rsidTr="000F576E">
        <w:trPr>
          <w:trHeight w:val="585"/>
          <w:jc w:val="center"/>
        </w:trPr>
        <w:tc>
          <w:tcPr>
            <w:tcW w:w="1725" w:type="pct"/>
            <w:noWrap/>
          </w:tcPr>
          <w:p w14:paraId="3D559461"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&lt;0.01</w:t>
            </w:r>
          </w:p>
        </w:tc>
        <w:tc>
          <w:tcPr>
            <w:tcW w:w="1123" w:type="pct"/>
            <w:noWrap/>
          </w:tcPr>
          <w:p w14:paraId="172A2E6C"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9.44±0.52</w:t>
            </w:r>
          </w:p>
        </w:tc>
        <w:tc>
          <w:tcPr>
            <w:tcW w:w="1123" w:type="pct"/>
            <w:noWrap/>
          </w:tcPr>
          <w:p w14:paraId="4843AF43"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9.09±0.51</w:t>
            </w:r>
          </w:p>
        </w:tc>
        <w:tc>
          <w:tcPr>
            <w:tcW w:w="1029" w:type="pct"/>
            <w:noWrap/>
          </w:tcPr>
          <w:p w14:paraId="67A788DC"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Ca (in mg/dl)</w:t>
            </w:r>
          </w:p>
        </w:tc>
      </w:tr>
      <w:tr w:rsidR="000F576E" w:rsidRPr="000F576E" w14:paraId="660A3030" w14:textId="77777777" w:rsidTr="000F576E">
        <w:trPr>
          <w:trHeight w:val="625"/>
          <w:jc w:val="center"/>
        </w:trPr>
        <w:tc>
          <w:tcPr>
            <w:tcW w:w="1725" w:type="pct"/>
            <w:noWrap/>
          </w:tcPr>
          <w:p w14:paraId="5589B430" w14:textId="77777777"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&lt;0.01</w:t>
            </w:r>
          </w:p>
        </w:tc>
        <w:tc>
          <w:tcPr>
            <w:tcW w:w="1123" w:type="pct"/>
            <w:noWrap/>
          </w:tcPr>
          <w:p w14:paraId="1ED26F5B"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3.93±0.36</w:t>
            </w:r>
          </w:p>
        </w:tc>
        <w:tc>
          <w:tcPr>
            <w:tcW w:w="1123" w:type="pct"/>
            <w:noWrap/>
          </w:tcPr>
          <w:p w14:paraId="0A06A857" w14:textId="77777777"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4.54±0.53</w:t>
            </w:r>
          </w:p>
        </w:tc>
        <w:tc>
          <w:tcPr>
            <w:tcW w:w="1029" w:type="pct"/>
            <w:noWrap/>
          </w:tcPr>
          <w:p w14:paraId="3C74C083" w14:textId="77777777" w:rsidR="000F576E" w:rsidRPr="000F576E" w:rsidRDefault="000F576E" w:rsidP="000F576E">
            <w:pPr>
              <w:jc w:val="both"/>
              <w:rPr>
                <w:rFonts w:ascii="Times New Roman" w:hAnsi="Times New Roman" w:cs="Times New Roman"/>
                <w:b/>
                <w:bCs/>
                <w:sz w:val="20"/>
                <w:szCs w:val="20"/>
              </w:rPr>
            </w:pPr>
            <w:proofErr w:type="gramStart"/>
            <w:r w:rsidRPr="000F576E">
              <w:rPr>
                <w:rFonts w:ascii="Times New Roman" w:hAnsi="Times New Roman" w:cs="Times New Roman"/>
                <w:b/>
                <w:bCs/>
                <w:sz w:val="20"/>
                <w:szCs w:val="20"/>
              </w:rPr>
              <w:t>K  (</w:t>
            </w:r>
            <w:proofErr w:type="gramEnd"/>
            <w:r w:rsidRPr="000F576E">
              <w:rPr>
                <w:rFonts w:ascii="Times New Roman" w:hAnsi="Times New Roman" w:cs="Times New Roman"/>
                <w:b/>
                <w:bCs/>
                <w:sz w:val="20"/>
                <w:szCs w:val="20"/>
              </w:rPr>
              <w:t xml:space="preserve"> in mg/dl)</w:t>
            </w:r>
          </w:p>
        </w:tc>
      </w:tr>
    </w:tbl>
    <w:p w14:paraId="2FF87199" w14:textId="77777777" w:rsidR="000F576E" w:rsidRDefault="000F576E">
      <w:pPr>
        <w:jc w:val="both"/>
        <w:rPr>
          <w:rFonts w:ascii="Times New Roman" w:hAnsi="Times New Roman" w:cs="Times New Roman"/>
          <w:b/>
          <w:bCs/>
          <w:sz w:val="20"/>
          <w:szCs w:val="20"/>
        </w:rPr>
      </w:pPr>
    </w:p>
    <w:p w14:paraId="0CBBCAE7" w14:textId="77777777" w:rsidR="004A4790" w:rsidRDefault="004A4790">
      <w:pPr>
        <w:jc w:val="both"/>
        <w:rPr>
          <w:rFonts w:ascii="Times New Roman" w:hAnsi="Times New Roman" w:cs="Times New Roman"/>
          <w:sz w:val="24"/>
          <w:szCs w:val="24"/>
        </w:rPr>
      </w:pPr>
    </w:p>
    <w:p w14:paraId="1B63A4EF"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t xml:space="preserve">The biochemical characteristics assessed in blood samples obtained 48 and 72 hours after the coma had set </w:t>
      </w:r>
      <w:proofErr w:type="gramStart"/>
      <w:r>
        <w:rPr>
          <w:rFonts w:ascii="Times New Roman" w:hAnsi="Times New Roman" w:cs="Times New Roman"/>
          <w:sz w:val="24"/>
          <w:szCs w:val="24"/>
        </w:rPr>
        <w:t>in .</w:t>
      </w:r>
      <w:proofErr w:type="gramEnd"/>
      <w:r>
        <w:rPr>
          <w:rFonts w:ascii="Times New Roman" w:hAnsi="Times New Roman" w:cs="Times New Roman"/>
          <w:sz w:val="24"/>
          <w:szCs w:val="24"/>
        </w:rPr>
        <w:t xml:space="preserve"> There was a statistically significant </w:t>
      </w:r>
      <w:r>
        <w:rPr>
          <w:rFonts w:ascii="Times New Roman" w:hAnsi="Times New Roman" w:cs="Times New Roman"/>
          <w:sz w:val="24"/>
          <w:szCs w:val="24"/>
        </w:rPr>
        <w:t>difference between the two time points. Between 48 and 72 hours, there were significant increase in NSE and Calcium (Ca</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w:t>
      </w:r>
      <w:r>
        <w:rPr>
          <w:rFonts w:ascii="Times New Roman" w:hAnsi="Times New Roman" w:cs="Times New Roman"/>
          <w:sz w:val="24"/>
          <w:szCs w:val="24"/>
        </w:rPr>
        <w:t xml:space="preserve">  levels</w:t>
      </w:r>
      <w:proofErr w:type="gramEnd"/>
      <w:r>
        <w:rPr>
          <w:rFonts w:ascii="Times New Roman" w:hAnsi="Times New Roman" w:cs="Times New Roman"/>
          <w:sz w:val="24"/>
          <w:szCs w:val="24"/>
        </w:rPr>
        <w:t xml:space="preserve"> , on the other hand  Magnesium (Mg</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Potassium (K) levels showed a significant decrease. No significant changes observed i</w:t>
      </w:r>
      <w:r>
        <w:rPr>
          <w:rFonts w:ascii="Times New Roman" w:hAnsi="Times New Roman" w:cs="Times New Roman"/>
          <w:sz w:val="24"/>
          <w:szCs w:val="24"/>
        </w:rPr>
        <w:t>n Sodium (Na</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w:t>
      </w:r>
      <w:r>
        <w:rPr>
          <w:rFonts w:ascii="Times New Roman" w:hAnsi="Times New Roman" w:cs="Times New Roman"/>
          <w:sz w:val="24"/>
          <w:szCs w:val="24"/>
        </w:rPr>
        <w:t xml:space="preserve">  levels</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Table (4).</w:t>
      </w:r>
      <w:r>
        <w:rPr>
          <w:rFonts w:ascii="Times New Roman" w:hAnsi="Times New Roman" w:cs="Times New Roman"/>
          <w:sz w:val="24"/>
          <w:szCs w:val="24"/>
        </w:rPr>
        <w:t xml:space="preserve"> </w:t>
      </w:r>
    </w:p>
    <w:tbl>
      <w:tblPr>
        <w:tblStyle w:val="-11"/>
        <w:bidiVisual/>
        <w:tblW w:w="5906" w:type="dxa"/>
        <w:jc w:val="right"/>
        <w:tblLook w:val="04A0" w:firstRow="1" w:lastRow="0" w:firstColumn="1" w:lastColumn="0" w:noHBand="0" w:noVBand="1"/>
      </w:tblPr>
      <w:tblGrid>
        <w:gridCol w:w="830"/>
        <w:gridCol w:w="1296"/>
        <w:gridCol w:w="1283"/>
        <w:gridCol w:w="1684"/>
        <w:gridCol w:w="960"/>
      </w:tblGrid>
      <w:tr w:rsidR="004A4790" w14:paraId="3F25BF4D" w14:textId="77777777" w:rsidTr="004A4790">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58BB3452"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Death</w:t>
            </w:r>
          </w:p>
        </w:tc>
        <w:tc>
          <w:tcPr>
            <w:tcW w:w="1256" w:type="dxa"/>
            <w:noWrap/>
          </w:tcPr>
          <w:p w14:paraId="20D32347" w14:textId="77777777" w:rsidR="004A4790" w:rsidRDefault="00F029D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Vegetative State (VS)</w:t>
            </w:r>
          </w:p>
        </w:tc>
        <w:tc>
          <w:tcPr>
            <w:tcW w:w="1230" w:type="dxa"/>
            <w:noWrap/>
          </w:tcPr>
          <w:p w14:paraId="5EFD2D70" w14:textId="77777777" w:rsidR="004A4790" w:rsidRDefault="00F029D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Minimally  Conscious</w:t>
            </w:r>
            <w:proofErr w:type="gramEnd"/>
            <w:r>
              <w:rPr>
                <w:rFonts w:ascii="Times New Roman" w:eastAsia="Times New Roman" w:hAnsi="Times New Roman"/>
                <w:color w:val="000000"/>
                <w:sz w:val="24"/>
                <w:szCs w:val="24"/>
              </w:rPr>
              <w:t xml:space="preserve"> State (MCS)</w:t>
            </w:r>
          </w:p>
        </w:tc>
        <w:tc>
          <w:tcPr>
            <w:tcW w:w="1630" w:type="dxa"/>
            <w:noWrap/>
          </w:tcPr>
          <w:p w14:paraId="31C508F1" w14:textId="77777777" w:rsidR="004A4790" w:rsidRDefault="00F029D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Regain Consciousness </w:t>
            </w:r>
          </w:p>
        </w:tc>
        <w:tc>
          <w:tcPr>
            <w:tcW w:w="960" w:type="dxa"/>
            <w:noWrap/>
          </w:tcPr>
          <w:p w14:paraId="6EF4C490" w14:textId="77777777" w:rsidR="004A4790" w:rsidRDefault="00F029D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Age Range</w:t>
            </w:r>
          </w:p>
        </w:tc>
      </w:tr>
      <w:tr w:rsidR="004A4790" w14:paraId="467FE24E"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2628B189"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1256" w:type="dxa"/>
            <w:noWrap/>
          </w:tcPr>
          <w:p w14:paraId="022F8FF8"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230" w:type="dxa"/>
            <w:noWrap/>
          </w:tcPr>
          <w:p w14:paraId="75B2BD3C"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630" w:type="dxa"/>
            <w:noWrap/>
          </w:tcPr>
          <w:p w14:paraId="6512A414"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p>
        </w:tc>
        <w:tc>
          <w:tcPr>
            <w:tcW w:w="960" w:type="dxa"/>
            <w:noWrap/>
          </w:tcPr>
          <w:p w14:paraId="172D78CC"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15-24</w:t>
            </w:r>
          </w:p>
        </w:tc>
      </w:tr>
      <w:tr w:rsidR="004A4790" w14:paraId="51A93F84"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3319AD05"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256" w:type="dxa"/>
            <w:noWrap/>
          </w:tcPr>
          <w:p w14:paraId="7B0F54C1"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230" w:type="dxa"/>
            <w:noWrap/>
          </w:tcPr>
          <w:p w14:paraId="16337C4F"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630" w:type="dxa"/>
            <w:noWrap/>
          </w:tcPr>
          <w:p w14:paraId="5034907B"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c>
          <w:tcPr>
            <w:tcW w:w="960" w:type="dxa"/>
            <w:noWrap/>
          </w:tcPr>
          <w:p w14:paraId="0B9797DA"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25-34</w:t>
            </w:r>
          </w:p>
        </w:tc>
      </w:tr>
      <w:tr w:rsidR="004A4790" w14:paraId="2AE3F617"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64F68311"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256" w:type="dxa"/>
            <w:noWrap/>
          </w:tcPr>
          <w:p w14:paraId="600F1464"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230" w:type="dxa"/>
            <w:noWrap/>
          </w:tcPr>
          <w:p w14:paraId="3D8E2BC7"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630" w:type="dxa"/>
            <w:noWrap/>
          </w:tcPr>
          <w:p w14:paraId="123236E8"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960" w:type="dxa"/>
            <w:noWrap/>
          </w:tcPr>
          <w:p w14:paraId="2B710BF1"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35-44</w:t>
            </w:r>
          </w:p>
        </w:tc>
      </w:tr>
      <w:tr w:rsidR="004A4790" w14:paraId="59EB3743" w14:textId="77777777" w:rsidTr="004A4790">
        <w:trPr>
          <w:trHeight w:val="288"/>
          <w:jc w:val="right"/>
        </w:trPr>
        <w:tc>
          <w:tcPr>
            <w:cnfStyle w:val="001000000000" w:firstRow="0" w:lastRow="0" w:firstColumn="1" w:lastColumn="0" w:oddVBand="0" w:evenVBand="0" w:oddHBand="0" w:evenHBand="0" w:firstRowFirstColumn="0" w:firstRowLastColumn="0" w:lastRowFirstColumn="0" w:lastRowLastColumn="0"/>
            <w:tcW w:w="830" w:type="dxa"/>
            <w:noWrap/>
          </w:tcPr>
          <w:p w14:paraId="0664AC85" w14:textId="77777777"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256" w:type="dxa"/>
            <w:noWrap/>
          </w:tcPr>
          <w:p w14:paraId="5F3B2DD3"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230" w:type="dxa"/>
            <w:noWrap/>
          </w:tcPr>
          <w:p w14:paraId="7C59EABD"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630" w:type="dxa"/>
            <w:noWrap/>
          </w:tcPr>
          <w:p w14:paraId="208F54DD"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960" w:type="dxa"/>
            <w:noWrap/>
          </w:tcPr>
          <w:p w14:paraId="35B77408" w14:textId="77777777" w:rsidR="004A4790" w:rsidRDefault="00F029D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45-54</w:t>
            </w:r>
          </w:p>
        </w:tc>
      </w:tr>
    </w:tbl>
    <w:p w14:paraId="2FB3F5CF" w14:textId="77777777" w:rsidR="004A4790" w:rsidRDefault="004A4790">
      <w:pPr>
        <w:jc w:val="both"/>
        <w:rPr>
          <w:rFonts w:ascii="Times New Roman" w:hAnsi="Times New Roman" w:cs="Times New Roman"/>
          <w:sz w:val="24"/>
          <w:szCs w:val="24"/>
        </w:rPr>
      </w:pPr>
    </w:p>
    <w:p w14:paraId="25E9D254" w14:textId="77777777" w:rsidR="004A4790" w:rsidRDefault="00F029D3">
      <w:pPr>
        <w:jc w:val="both"/>
        <w:rPr>
          <w:rFonts w:ascii="Times New Roman" w:eastAsia="Times New Roman" w:hAnsi="Times New Roman"/>
          <w:b/>
          <w:bCs/>
          <w:color w:val="000000"/>
          <w:sz w:val="20"/>
          <w:szCs w:val="20"/>
        </w:rPr>
      </w:pPr>
      <w:r>
        <w:rPr>
          <w:rFonts w:ascii="Times New Roman" w:hAnsi="Times New Roman" w:cs="Times New Roman"/>
          <w:b/>
          <w:bCs/>
          <w:sz w:val="20"/>
          <w:szCs w:val="20"/>
        </w:rPr>
        <w:t>Table (4</w:t>
      </w:r>
      <w:proofErr w:type="gramStart"/>
      <w:r>
        <w:rPr>
          <w:rFonts w:ascii="Times New Roman" w:hAnsi="Times New Roman" w:cs="Times New Roman"/>
          <w:b/>
          <w:bCs/>
          <w:sz w:val="20"/>
          <w:szCs w:val="20"/>
        </w:rPr>
        <w:t>):</w:t>
      </w:r>
      <w:r>
        <w:rPr>
          <w:rFonts w:ascii="Times New Roman" w:eastAsia="Times New Roman" w:hAnsi="Times New Roman"/>
          <w:b/>
          <w:bCs/>
          <w:color w:val="000000"/>
          <w:sz w:val="20"/>
          <w:szCs w:val="20"/>
        </w:rPr>
        <w:t>The</w:t>
      </w:r>
      <w:proofErr w:type="gramEnd"/>
      <w:r>
        <w:rPr>
          <w:rFonts w:ascii="Times New Roman" w:eastAsia="Times New Roman" w:hAnsi="Times New Roman"/>
          <w:b/>
          <w:bCs/>
          <w:color w:val="000000"/>
          <w:sz w:val="20"/>
          <w:szCs w:val="20"/>
        </w:rPr>
        <w:t xml:space="preserve"> Biochemical Parameters According To The Time Of Sampling </w:t>
      </w:r>
    </w:p>
    <w:p w14:paraId="1636A8F9"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t xml:space="preserve">The tested biochemical parameters showed a statistically significant correlation with the duration and the outcome of the coma </w:t>
      </w:r>
      <w:r>
        <w:rPr>
          <w:rFonts w:ascii="Times New Roman" w:hAnsi="Times New Roman" w:cs="Times New Roman"/>
          <w:b/>
          <w:bCs/>
          <w:sz w:val="24"/>
          <w:szCs w:val="24"/>
        </w:rPr>
        <w:t>Figure (3)</w:t>
      </w:r>
      <w:r>
        <w:rPr>
          <w:rFonts w:ascii="Times New Roman" w:hAnsi="Times New Roman" w:cs="Times New Roman"/>
          <w:sz w:val="24"/>
          <w:szCs w:val="24"/>
        </w:rPr>
        <w:t>. NSE showed a positive correlation to coma period and sh</w:t>
      </w:r>
      <w:r>
        <w:rPr>
          <w:rFonts w:ascii="Times New Roman" w:hAnsi="Times New Roman" w:cs="Times New Roman"/>
          <w:sz w:val="24"/>
          <w:szCs w:val="24"/>
        </w:rPr>
        <w:t xml:space="preserve">owed its increase correlated positively with poor outcome of </w:t>
      </w:r>
      <w:proofErr w:type="gramStart"/>
      <w:r>
        <w:rPr>
          <w:rFonts w:ascii="Times New Roman" w:hAnsi="Times New Roman" w:cs="Times New Roman"/>
          <w:sz w:val="24"/>
          <w:szCs w:val="24"/>
        </w:rPr>
        <w:t>coma ,</w:t>
      </w:r>
      <w:proofErr w:type="gramEnd"/>
      <w:r>
        <w:rPr>
          <w:rFonts w:ascii="Times New Roman" w:hAnsi="Times New Roman" w:cs="Times New Roman"/>
          <w:sz w:val="24"/>
          <w:szCs w:val="24"/>
        </w:rPr>
        <w:t xml:space="preserve"> suggesting sever brain injury. On the other hand the levels of Mg</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Ca</w:t>
      </w:r>
      <w:r>
        <w:rPr>
          <w:rFonts w:ascii="Times New Roman" w:hAnsi="Times New Roman" w:cs="Times New Roman"/>
          <w:sz w:val="24"/>
          <w:szCs w:val="24"/>
          <w:vertAlign w:val="superscript"/>
        </w:rPr>
        <w:t>+</w:t>
      </w:r>
      <w:r>
        <w:rPr>
          <w:rFonts w:ascii="Times New Roman" w:hAnsi="Times New Roman" w:cs="Times New Roman"/>
          <w:sz w:val="24"/>
          <w:szCs w:val="24"/>
        </w:rPr>
        <w:t xml:space="preserve"> showed a </w:t>
      </w:r>
      <w:proofErr w:type="gramStart"/>
      <w:r>
        <w:rPr>
          <w:rFonts w:ascii="Times New Roman" w:hAnsi="Times New Roman" w:cs="Times New Roman"/>
          <w:sz w:val="24"/>
          <w:szCs w:val="24"/>
        </w:rPr>
        <w:t>significantly  high</w:t>
      </w:r>
      <w:proofErr w:type="gramEnd"/>
      <w:r>
        <w:rPr>
          <w:rFonts w:ascii="Times New Roman" w:hAnsi="Times New Roman" w:cs="Times New Roman"/>
          <w:sz w:val="24"/>
          <w:szCs w:val="24"/>
        </w:rPr>
        <w:t xml:space="preserve"> negative correlation with coma period . Potassium showed no statistically significan</w:t>
      </w:r>
      <w:r>
        <w:rPr>
          <w:rFonts w:ascii="Times New Roman" w:hAnsi="Times New Roman" w:cs="Times New Roman"/>
          <w:sz w:val="24"/>
          <w:szCs w:val="24"/>
        </w:rPr>
        <w:t>t effect on the duration of coma, yet the mortality rate correlated to low levels of potassium. The study found that patients with a Glasgow Coma (GC) score of five or less had less favorable outcomes. Additionally, their coma lasted longer, and regrettabl</w:t>
      </w:r>
      <w:r>
        <w:rPr>
          <w:rFonts w:ascii="Times New Roman" w:hAnsi="Times New Roman" w:cs="Times New Roman"/>
          <w:sz w:val="24"/>
          <w:szCs w:val="24"/>
        </w:rPr>
        <w:t xml:space="preserve">y, they </w:t>
      </w:r>
      <w:r>
        <w:rPr>
          <w:rFonts w:ascii="Times New Roman" w:hAnsi="Times New Roman" w:cs="Times New Roman"/>
          <w:sz w:val="24"/>
          <w:szCs w:val="24"/>
        </w:rPr>
        <w:lastRenderedPageBreak/>
        <w:t>were unable to get out of it. They consequently either died or stayed in a vegetative condition.</w:t>
      </w:r>
    </w:p>
    <w:p w14:paraId="49FD24BC"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object w:dxaOrig="6096" w:dyaOrig="5169" w14:anchorId="14BE5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4pt;height:258.75pt" o:ole="">
            <v:imagedata r:id="rId9" o:title="" embosscolor="white"/>
          </v:shape>
          <o:OLEObject Type="Embed" ProgID="Excel.Sheet.8" ShapeID="_x0000_i1025" DrawAspect="Content" ObjectID="_1826354567" r:id="rId10"/>
        </w:object>
      </w:r>
    </w:p>
    <w:p w14:paraId="0F7716B1" w14:textId="77777777" w:rsidR="004A4790" w:rsidRDefault="00F029D3">
      <w:pPr>
        <w:jc w:val="both"/>
        <w:rPr>
          <w:rFonts w:ascii="Times New Roman" w:hAnsi="Times New Roman" w:cs="Times New Roman"/>
          <w:b/>
          <w:bCs/>
          <w:sz w:val="20"/>
          <w:szCs w:val="20"/>
        </w:rPr>
      </w:pPr>
      <w:r>
        <w:rPr>
          <w:rFonts w:ascii="Times New Roman" w:hAnsi="Times New Roman" w:cs="Times New Roman"/>
          <w:b/>
          <w:bCs/>
          <w:sz w:val="20"/>
          <w:szCs w:val="20"/>
        </w:rPr>
        <w:t xml:space="preserve">Figure (3): </w:t>
      </w:r>
      <w:proofErr w:type="gramStart"/>
      <w:r>
        <w:rPr>
          <w:rFonts w:ascii="Times New Roman" w:hAnsi="Times New Roman" w:cs="Times New Roman"/>
          <w:b/>
          <w:bCs/>
          <w:sz w:val="20"/>
          <w:szCs w:val="20"/>
        </w:rPr>
        <w:t>Correlation  between</w:t>
      </w:r>
      <w:proofErr w:type="gramEnd"/>
      <w:r>
        <w:rPr>
          <w:rFonts w:ascii="Times New Roman" w:hAnsi="Times New Roman" w:cs="Times New Roman"/>
          <w:b/>
          <w:bCs/>
          <w:sz w:val="20"/>
          <w:szCs w:val="20"/>
        </w:rPr>
        <w:t xml:space="preserve"> the tested parameters and coma period at different points of time</w:t>
      </w:r>
    </w:p>
    <w:p w14:paraId="66AE4855" w14:textId="77777777" w:rsidR="004A4790" w:rsidRDefault="00F029D3">
      <w:pPr>
        <w:jc w:val="both"/>
        <w:rPr>
          <w:rFonts w:ascii="Times New Roman" w:hAnsi="Times New Roman" w:cs="Times New Roman"/>
          <w:b/>
          <w:bCs/>
          <w:sz w:val="24"/>
          <w:szCs w:val="24"/>
        </w:rPr>
      </w:pPr>
      <w:proofErr w:type="gramStart"/>
      <w:r>
        <w:rPr>
          <w:rFonts w:ascii="Times New Roman" w:hAnsi="Times New Roman" w:cs="Times New Roman"/>
          <w:b/>
          <w:bCs/>
          <w:sz w:val="24"/>
          <w:szCs w:val="24"/>
        </w:rPr>
        <w:t>Discussion :</w:t>
      </w:r>
      <w:proofErr w:type="gramEnd"/>
    </w:p>
    <w:p w14:paraId="4719E262"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t>Comatose stat</w:t>
      </w:r>
      <w:r>
        <w:rPr>
          <w:rFonts w:ascii="Times New Roman" w:hAnsi="Times New Roman" w:cs="Times New Roman"/>
          <w:sz w:val="24"/>
          <w:szCs w:val="24"/>
        </w:rPr>
        <w:t xml:space="preserve">es are a complicated neurological disorder that are frequently linked to a series of metabolic </w:t>
      </w:r>
      <w:proofErr w:type="gramStart"/>
      <w:r>
        <w:rPr>
          <w:rFonts w:ascii="Times New Roman" w:hAnsi="Times New Roman" w:cs="Times New Roman"/>
          <w:sz w:val="24"/>
          <w:szCs w:val="24"/>
        </w:rPr>
        <w:t>changes[</w:t>
      </w:r>
      <w:proofErr w:type="gramEnd"/>
      <w:r>
        <w:rPr>
          <w:rFonts w:ascii="Times New Roman" w:hAnsi="Times New Roman" w:cs="Times New Roman"/>
          <w:sz w:val="24"/>
          <w:szCs w:val="24"/>
        </w:rPr>
        <w:t xml:space="preserve">16]. The study showed an observable difference in coma duration between males and female with the later had a comparatively long </w:t>
      </w:r>
      <w:proofErr w:type="gramStart"/>
      <w:r>
        <w:rPr>
          <w:rFonts w:ascii="Times New Roman" w:hAnsi="Times New Roman" w:cs="Times New Roman"/>
          <w:sz w:val="24"/>
          <w:szCs w:val="24"/>
        </w:rPr>
        <w:t>periods ,</w:t>
      </w:r>
      <w:proofErr w:type="gramEnd"/>
      <w:r>
        <w:rPr>
          <w:rFonts w:ascii="Times New Roman" w:hAnsi="Times New Roman" w:cs="Times New Roman"/>
          <w:sz w:val="24"/>
          <w:szCs w:val="24"/>
        </w:rPr>
        <w:t xml:space="preserve"> indicating a g</w:t>
      </w:r>
      <w:r>
        <w:rPr>
          <w:rFonts w:ascii="Times New Roman" w:hAnsi="Times New Roman" w:cs="Times New Roman"/>
          <w:sz w:val="24"/>
          <w:szCs w:val="24"/>
        </w:rPr>
        <w:t>ender factor that could be involved , a similar observation was made by Eom KS</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xml:space="preserve">17] that were a significant differences between the genders regarding TBI , age , and the history related to the brain injury. The Y chromosome genes determines gender, </w:t>
      </w:r>
      <w:r>
        <w:rPr>
          <w:rFonts w:ascii="Times New Roman" w:hAnsi="Times New Roman" w:cs="Times New Roman"/>
          <w:sz w:val="24"/>
          <w:szCs w:val="24"/>
        </w:rPr>
        <w:t>and sex chromosomes determine the structural differences between men and women. The sex chromosome is the source of the fundamental difference between male and female [18,19]. Humans are physically split into men and women by a number of obscure processes.</w:t>
      </w:r>
      <w:r>
        <w:rPr>
          <w:rFonts w:ascii="Times New Roman" w:hAnsi="Times New Roman" w:cs="Times New Roman"/>
          <w:sz w:val="24"/>
          <w:szCs w:val="24"/>
        </w:rPr>
        <w:t xml:space="preserve"> There are no discernible structural differences between the male and female brains. Nonetheless, earlier research has shown that there are very slight variations in the weight and some fine structures of the human brain between the sexes [20,21]. These re</w:t>
      </w:r>
      <w:r>
        <w:rPr>
          <w:rFonts w:ascii="Times New Roman" w:hAnsi="Times New Roman" w:cs="Times New Roman"/>
          <w:sz w:val="24"/>
          <w:szCs w:val="24"/>
        </w:rPr>
        <w:t>sults are in line with previous studies that showed women fare worse clinically than men [22,23].</w:t>
      </w:r>
    </w:p>
    <w:p w14:paraId="470EACF5" w14:textId="77777777" w:rsidR="004A4790" w:rsidRDefault="00F029D3">
      <w:pPr>
        <w:jc w:val="both"/>
        <w:rPr>
          <w:rFonts w:ascii="Times New Roman" w:hAnsi="Times New Roman" w:cs="Times New Roman"/>
          <w:sz w:val="24"/>
          <w:szCs w:val="24"/>
        </w:rPr>
      </w:pPr>
      <w:proofErr w:type="gramStart"/>
      <w:r>
        <w:rPr>
          <w:rFonts w:ascii="Times New Roman" w:hAnsi="Times New Roman" w:cs="Times New Roman"/>
          <w:sz w:val="24"/>
          <w:szCs w:val="24"/>
        </w:rPr>
        <w:t>Also  changes</w:t>
      </w:r>
      <w:proofErr w:type="gramEnd"/>
      <w:r>
        <w:rPr>
          <w:rFonts w:ascii="Times New Roman" w:hAnsi="Times New Roman" w:cs="Times New Roman"/>
          <w:sz w:val="24"/>
          <w:szCs w:val="24"/>
        </w:rPr>
        <w:t xml:space="preserve"> in electrolyte levels contribute to the intricate </w:t>
      </w:r>
      <w:proofErr w:type="spellStart"/>
      <w:r>
        <w:rPr>
          <w:rFonts w:ascii="Times New Roman" w:hAnsi="Times New Roman" w:cs="Times New Roman"/>
          <w:sz w:val="24"/>
          <w:szCs w:val="24"/>
        </w:rPr>
        <w:t>patho</w:t>
      </w:r>
      <w:proofErr w:type="spellEnd"/>
      <w:r>
        <w:rPr>
          <w:rFonts w:ascii="Times New Roman" w:hAnsi="Times New Roman" w:cs="Times New Roman"/>
          <w:sz w:val="24"/>
          <w:szCs w:val="24"/>
        </w:rPr>
        <w:t xml:space="preserve">-physiology of coma. Neuron-specific enolase (NSE) stands out as an important biomarker </w:t>
      </w:r>
      <w:r>
        <w:rPr>
          <w:rFonts w:ascii="Times New Roman" w:hAnsi="Times New Roman" w:cs="Times New Roman"/>
          <w:sz w:val="24"/>
          <w:szCs w:val="24"/>
        </w:rPr>
        <w:t xml:space="preserve">representing neuronal </w:t>
      </w:r>
      <w:proofErr w:type="gramStart"/>
      <w:r>
        <w:rPr>
          <w:rFonts w:ascii="Times New Roman" w:hAnsi="Times New Roman" w:cs="Times New Roman"/>
          <w:sz w:val="24"/>
          <w:szCs w:val="24"/>
        </w:rPr>
        <w:t>injure[</w:t>
      </w:r>
      <w:proofErr w:type="gramEnd"/>
      <w:r>
        <w:rPr>
          <w:rFonts w:ascii="Times New Roman" w:hAnsi="Times New Roman" w:cs="Times New Roman"/>
          <w:sz w:val="24"/>
          <w:szCs w:val="24"/>
        </w:rPr>
        <w:t>24]. Key insights into the basic causes and prognosis of comatose patients can be gained by comprehending the dynamics of NSE and electrolyte variations, including those of calcium, magnesium, and potassium.</w:t>
      </w:r>
      <w:r>
        <w:rPr>
          <w:rFonts w:ascii="Times New Roman" w:hAnsi="Times New Roman" w:cs="Times New Roman" w:hint="cs"/>
          <w:sz w:val="24"/>
          <w:szCs w:val="24"/>
          <w:rtl/>
          <w:lang w:bidi="ar-IQ"/>
        </w:rPr>
        <w:t xml:space="preserve"> </w:t>
      </w:r>
      <w:r>
        <w:rPr>
          <w:rFonts w:ascii="Times New Roman" w:hAnsi="Times New Roman" w:cs="Times New Roman"/>
          <w:sz w:val="24"/>
          <w:szCs w:val="24"/>
        </w:rPr>
        <w:t>Neuron-specific enolase, a glycolytic enzyme mainly found in neurons and neuro-endocrine cells, has garnered huge attention as a biomarker indicative of neuronal damage or dysfunction. Elevated levels of NSE in serum or cerebrospinal fluid associate with a</w:t>
      </w:r>
      <w:r>
        <w:rPr>
          <w:rFonts w:ascii="Times New Roman" w:hAnsi="Times New Roman" w:cs="Times New Roman"/>
          <w:sz w:val="24"/>
          <w:szCs w:val="24"/>
        </w:rPr>
        <w:t xml:space="preserve"> range of neurological insults, including traumatic brain injury, ischemic stroke, and hypoxic-ischemic encephalopathy. In comatose patients, </w:t>
      </w:r>
      <w:r>
        <w:rPr>
          <w:rFonts w:ascii="Times New Roman" w:hAnsi="Times New Roman" w:cs="Times New Roman"/>
          <w:sz w:val="24"/>
          <w:szCs w:val="24"/>
        </w:rPr>
        <w:lastRenderedPageBreak/>
        <w:t>persistent rise of NSE past the acute phase suggests ongoing neuronal injury or delayed neuro-degeneration, thereb</w:t>
      </w:r>
      <w:r>
        <w:rPr>
          <w:rFonts w:ascii="Times New Roman" w:hAnsi="Times New Roman" w:cs="Times New Roman"/>
          <w:sz w:val="24"/>
          <w:szCs w:val="24"/>
        </w:rPr>
        <w:t xml:space="preserve">y serving as a prognostic marker for long-term neurological </w:t>
      </w:r>
      <w:proofErr w:type="gramStart"/>
      <w:r>
        <w:rPr>
          <w:rFonts w:ascii="Times New Roman" w:hAnsi="Times New Roman" w:cs="Times New Roman"/>
          <w:sz w:val="24"/>
          <w:szCs w:val="24"/>
        </w:rPr>
        <w:t>outcomes[</w:t>
      </w:r>
      <w:proofErr w:type="gramEnd"/>
      <w:r>
        <w:rPr>
          <w:rFonts w:ascii="Times New Roman" w:hAnsi="Times New Roman" w:cs="Times New Roman"/>
          <w:sz w:val="24"/>
          <w:szCs w:val="24"/>
        </w:rPr>
        <w:t xml:space="preserve">25]. Calcium plays a pivotal role in neuronal excitability, synaptic conduction, and cell </w:t>
      </w:r>
      <w:proofErr w:type="gramStart"/>
      <w:r>
        <w:rPr>
          <w:rFonts w:ascii="Times New Roman" w:hAnsi="Times New Roman" w:cs="Times New Roman"/>
          <w:sz w:val="24"/>
          <w:szCs w:val="24"/>
        </w:rPr>
        <w:t>signaling[</w:t>
      </w:r>
      <w:proofErr w:type="gramEnd"/>
      <w:r>
        <w:rPr>
          <w:rFonts w:ascii="Times New Roman" w:hAnsi="Times New Roman" w:cs="Times New Roman"/>
          <w:sz w:val="24"/>
          <w:szCs w:val="24"/>
        </w:rPr>
        <w:t xml:space="preserve">26]. In coma, </w:t>
      </w:r>
      <w:proofErr w:type="spellStart"/>
      <w:r>
        <w:rPr>
          <w:rFonts w:ascii="Times New Roman" w:hAnsi="Times New Roman" w:cs="Times New Roman"/>
          <w:sz w:val="24"/>
          <w:szCs w:val="24"/>
        </w:rPr>
        <w:t>dys</w:t>
      </w:r>
      <w:proofErr w:type="spellEnd"/>
      <w:r>
        <w:rPr>
          <w:rFonts w:ascii="Times New Roman" w:hAnsi="Times New Roman" w:cs="Times New Roman"/>
          <w:sz w:val="24"/>
          <w:szCs w:val="24"/>
        </w:rPr>
        <w:t>-regulation of calcium homeostasis reflects the obstruction of these e</w:t>
      </w:r>
      <w:r>
        <w:rPr>
          <w:rFonts w:ascii="Times New Roman" w:hAnsi="Times New Roman" w:cs="Times New Roman"/>
          <w:sz w:val="24"/>
          <w:szCs w:val="24"/>
        </w:rPr>
        <w:t xml:space="preserve">lemental processes. Our </w:t>
      </w:r>
      <w:proofErr w:type="gramStart"/>
      <w:r>
        <w:rPr>
          <w:rFonts w:ascii="Times New Roman" w:hAnsi="Times New Roman" w:cs="Times New Roman"/>
          <w:sz w:val="24"/>
          <w:szCs w:val="24"/>
        </w:rPr>
        <w:t>study  confirmed</w:t>
      </w:r>
      <w:proofErr w:type="gramEnd"/>
      <w:r>
        <w:rPr>
          <w:rFonts w:ascii="Times New Roman" w:hAnsi="Times New Roman" w:cs="Times New Roman"/>
          <w:sz w:val="24"/>
          <w:szCs w:val="24"/>
        </w:rPr>
        <w:t xml:space="preserve"> a consistent pattern of calcium elevation in the serum of comatose patients, mainly peaking around the third day post-onset. This late increase in calcium levels probably stems from several factors, including </w:t>
      </w:r>
      <w:proofErr w:type="spellStart"/>
      <w:r>
        <w:rPr>
          <w:rFonts w:ascii="Times New Roman" w:hAnsi="Times New Roman" w:cs="Times New Roman"/>
          <w:sz w:val="24"/>
          <w:szCs w:val="24"/>
        </w:rPr>
        <w:t>excito</w:t>
      </w:r>
      <w:proofErr w:type="spellEnd"/>
      <w:r>
        <w:rPr>
          <w:rFonts w:ascii="Times New Roman" w:hAnsi="Times New Roman" w:cs="Times New Roman"/>
          <w:sz w:val="24"/>
          <w:szCs w:val="24"/>
        </w:rPr>
        <w:t xml:space="preserve">-toxicity, release of intracellular calcium stores as suggested by Kristián T </w:t>
      </w:r>
      <w:r>
        <w:rPr>
          <w:rFonts w:ascii="Times New Roman" w:hAnsi="Times New Roman" w:cs="Times New Roman"/>
          <w:i/>
          <w:iCs/>
          <w:sz w:val="24"/>
          <w:szCs w:val="24"/>
        </w:rPr>
        <w:t xml:space="preserve">et </w:t>
      </w:r>
      <w:proofErr w:type="gramStart"/>
      <w:r>
        <w:rPr>
          <w:rFonts w:ascii="Times New Roman" w:hAnsi="Times New Roman" w:cs="Times New Roman"/>
          <w:i/>
          <w:iCs/>
          <w:sz w:val="24"/>
          <w:szCs w:val="24"/>
        </w:rPr>
        <w:t>al</w:t>
      </w:r>
      <w:r>
        <w:rPr>
          <w:rFonts w:ascii="Times New Roman" w:hAnsi="Times New Roman" w:cs="Times New Roman"/>
          <w:sz w:val="24"/>
          <w:szCs w:val="24"/>
        </w:rPr>
        <w:t>[</w:t>
      </w:r>
      <w:proofErr w:type="gramEnd"/>
      <w:r>
        <w:rPr>
          <w:rFonts w:ascii="Times New Roman" w:hAnsi="Times New Roman" w:cs="Times New Roman"/>
          <w:sz w:val="24"/>
          <w:szCs w:val="24"/>
        </w:rPr>
        <w:t>27]. As Calcium have a major role in controlling the nerve function and excitability , it is safe to deduce that the surge in calcium concentration exacerbates neuronal inj</w:t>
      </w:r>
      <w:r>
        <w:rPr>
          <w:rFonts w:ascii="Times New Roman" w:hAnsi="Times New Roman" w:cs="Times New Roman"/>
          <w:sz w:val="24"/>
          <w:szCs w:val="24"/>
        </w:rPr>
        <w:t>ury and contributes to secondary brain damage, thereby influencing the clinical course and outcome of coma, yet that wasn’t the case regarding the majority of our studied patients , whose coma duration  showed negative correlation with calcium levels; whic</w:t>
      </w:r>
      <w:r>
        <w:rPr>
          <w:rFonts w:ascii="Times New Roman" w:hAnsi="Times New Roman" w:cs="Times New Roman"/>
          <w:sz w:val="24"/>
          <w:szCs w:val="24"/>
        </w:rPr>
        <w:t xml:space="preserve">h in line with </w:t>
      </w:r>
      <w:proofErr w:type="spellStart"/>
      <w:r>
        <w:rPr>
          <w:rFonts w:ascii="Times New Roman" w:hAnsi="Times New Roman" w:cs="Times New Roman"/>
          <w:sz w:val="24"/>
          <w:szCs w:val="24"/>
        </w:rPr>
        <w:t>Li,T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[28] that also suggested low levels associated with worse outcomes.</w:t>
      </w:r>
    </w:p>
    <w:p w14:paraId="190E074D"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t xml:space="preserve"> Because it coordinates and regulates processes for synaptic plasticity and neuronal excitation, calcium is essential for neuronal function. The concentration of </w:t>
      </w:r>
      <w:r>
        <w:rPr>
          <w:rFonts w:ascii="Times New Roman" w:hAnsi="Times New Roman" w:cs="Times New Roman"/>
          <w:sz w:val="24"/>
          <w:szCs w:val="24"/>
        </w:rPr>
        <w:t>calcium at rest is strictly controlled; calcium enters the cell and is absorbed into the mitochondria and endoplasmic reticulum, where it is buffered. The calcium-ATPase in the plasma membrane expels the residual calcium, bringing the levels of cytoplasmic</w:t>
      </w:r>
      <w:r>
        <w:rPr>
          <w:rFonts w:ascii="Times New Roman" w:hAnsi="Times New Roman" w:cs="Times New Roman"/>
          <w:sz w:val="24"/>
          <w:szCs w:val="24"/>
        </w:rPr>
        <w:t xml:space="preserve"> calcium back to baseline. In response to neuronal activity, cytoplasmic calcium increases several times, triggering signaling pathways that control the expression of proteins required for neuronal </w:t>
      </w:r>
      <w:proofErr w:type="gramStart"/>
      <w:r>
        <w:rPr>
          <w:rFonts w:ascii="Times New Roman" w:hAnsi="Times New Roman" w:cs="Times New Roman"/>
          <w:sz w:val="24"/>
          <w:szCs w:val="24"/>
        </w:rPr>
        <w:t>excitation[</w:t>
      </w:r>
      <w:proofErr w:type="gramEnd"/>
      <w:r>
        <w:rPr>
          <w:rFonts w:ascii="Times New Roman" w:hAnsi="Times New Roman" w:cs="Times New Roman"/>
          <w:sz w:val="24"/>
          <w:szCs w:val="24"/>
        </w:rPr>
        <w:t>29].</w:t>
      </w:r>
    </w:p>
    <w:p w14:paraId="4A3AD5B6"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t>The study showed that Magnesium and potass</w:t>
      </w:r>
      <w:r>
        <w:rPr>
          <w:rFonts w:ascii="Times New Roman" w:hAnsi="Times New Roman" w:cs="Times New Roman"/>
          <w:sz w:val="24"/>
          <w:szCs w:val="24"/>
        </w:rPr>
        <w:t xml:space="preserve">ium levels steadily declined in comatose patients. A decline that have a </w:t>
      </w:r>
      <w:proofErr w:type="gramStart"/>
      <w:r>
        <w:rPr>
          <w:rFonts w:ascii="Times New Roman" w:hAnsi="Times New Roman" w:cs="Times New Roman"/>
          <w:sz w:val="24"/>
          <w:szCs w:val="24"/>
        </w:rPr>
        <w:t>considerable complications</w:t>
      </w:r>
      <w:proofErr w:type="gramEnd"/>
      <w:r>
        <w:rPr>
          <w:rFonts w:ascii="Times New Roman" w:hAnsi="Times New Roman" w:cs="Times New Roman"/>
          <w:sz w:val="24"/>
          <w:szCs w:val="24"/>
        </w:rPr>
        <w:t xml:space="preserve"> include neural hyperexcitability, vascular malfunction, and mitochondrial damage may result from this. Hypokalemia can worsen neuromuscular dysfunction and </w:t>
      </w:r>
      <w:r>
        <w:rPr>
          <w:rFonts w:ascii="Times New Roman" w:hAnsi="Times New Roman" w:cs="Times New Roman"/>
          <w:sz w:val="24"/>
          <w:szCs w:val="24"/>
        </w:rPr>
        <w:t xml:space="preserve">neuronal hyperexcitability. Hypomagnesaemia showed a significant negative correlation with the duration and the outcome of coma; which in some way in disagreement with a previous study by </w:t>
      </w:r>
      <w:proofErr w:type="spellStart"/>
      <w:r>
        <w:rPr>
          <w:rFonts w:ascii="Times New Roman" w:hAnsi="Times New Roman" w:cs="Times New Roman"/>
          <w:sz w:val="24"/>
          <w:szCs w:val="24"/>
        </w:rPr>
        <w:t>Mekkodathil</w:t>
      </w:r>
      <w:proofErr w:type="spellEnd"/>
      <w:r>
        <w:rPr>
          <w:rFonts w:ascii="Times New Roman" w:hAnsi="Times New Roman" w:cs="Times New Roman"/>
          <w:sz w:val="24"/>
          <w:szCs w:val="24"/>
        </w:rPr>
        <w:t xml:space="preserve">, A. </w:t>
      </w:r>
      <w:proofErr w:type="gramStart"/>
      <w:r>
        <w:rPr>
          <w:rFonts w:ascii="Times New Roman" w:hAnsi="Times New Roman" w:cs="Times New Roman"/>
          <w:i/>
          <w:iCs/>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30] that showed hypermagnesemia positively co</w:t>
      </w:r>
      <w:r>
        <w:rPr>
          <w:rFonts w:ascii="Times New Roman" w:hAnsi="Times New Roman" w:cs="Times New Roman"/>
          <w:sz w:val="24"/>
          <w:szCs w:val="24"/>
        </w:rPr>
        <w:t xml:space="preserve">rrelated with mortality rate. </w:t>
      </w:r>
    </w:p>
    <w:p w14:paraId="4E257E8F" w14:textId="77777777" w:rsidR="004A4790" w:rsidRDefault="00F029D3">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F750CD1"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t>NSE increase, calcium surge, and electrolyte imbalance are indicative of a complicated interplay between brain damage, calcium control, and systemic homeostasis in coma patients. Calcium monitoring of supplementat</w:t>
      </w:r>
      <w:r>
        <w:rPr>
          <w:rFonts w:ascii="Times New Roman" w:hAnsi="Times New Roman" w:cs="Times New Roman"/>
          <w:sz w:val="24"/>
          <w:szCs w:val="24"/>
        </w:rPr>
        <w:t xml:space="preserve">ion could have more favorable </w:t>
      </w:r>
      <w:proofErr w:type="gramStart"/>
      <w:r>
        <w:rPr>
          <w:rFonts w:ascii="Times New Roman" w:hAnsi="Times New Roman" w:cs="Times New Roman"/>
          <w:sz w:val="24"/>
          <w:szCs w:val="24"/>
        </w:rPr>
        <w:t>neurological  effect</w:t>
      </w:r>
      <w:proofErr w:type="gramEnd"/>
      <w:r>
        <w:rPr>
          <w:rFonts w:ascii="Times New Roman" w:hAnsi="Times New Roman" w:cs="Times New Roman"/>
          <w:sz w:val="24"/>
          <w:szCs w:val="24"/>
        </w:rPr>
        <w:t xml:space="preserve"> , more investigation is needed to comprehend the mechanisms underlying these neurochemical changes.</w:t>
      </w:r>
    </w:p>
    <w:p w14:paraId="0F85E6D1" w14:textId="77777777" w:rsidR="004A4790" w:rsidRDefault="004A4790">
      <w:pPr>
        <w:jc w:val="both"/>
        <w:rPr>
          <w:rFonts w:ascii="Times New Roman" w:hAnsi="Times New Roman" w:cs="Times New Roman"/>
          <w:sz w:val="24"/>
          <w:szCs w:val="24"/>
        </w:rPr>
      </w:pPr>
    </w:p>
    <w:p w14:paraId="1EF4AB3B" w14:textId="77777777" w:rsidR="004A4790" w:rsidRDefault="004A4790">
      <w:pPr>
        <w:jc w:val="both"/>
        <w:rPr>
          <w:rFonts w:ascii="Times New Roman" w:hAnsi="Times New Roman" w:cs="Times New Roman"/>
          <w:sz w:val="24"/>
          <w:szCs w:val="24"/>
        </w:rPr>
      </w:pPr>
    </w:p>
    <w:p w14:paraId="2B59BEF7" w14:textId="77777777"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0FBB65A" w14:textId="49FBB039" w:rsidR="00CE19AC" w:rsidRDefault="00F029D3">
      <w:pPr>
        <w:jc w:val="both"/>
        <w:rPr>
          <w:rFonts w:ascii="Times New Roman" w:hAnsi="Times New Roman" w:cs="Times New Roman"/>
          <w:sz w:val="24"/>
          <w:szCs w:val="24"/>
        </w:rPr>
      </w:pPr>
      <w:r>
        <w:rPr>
          <w:rFonts w:ascii="Times New Roman" w:hAnsi="Times New Roman" w:cs="Times New Roman"/>
          <w:sz w:val="24"/>
          <w:szCs w:val="24"/>
        </w:rPr>
        <w:t>1-</w:t>
      </w:r>
      <w:r w:rsidR="00CE19AC" w:rsidRPr="00CE19AC">
        <w:rPr>
          <w:rFonts w:ascii="Times New Roman" w:hAnsi="Times New Roman" w:cs="Times New Roman"/>
          <w:sz w:val="24"/>
          <w:szCs w:val="24"/>
        </w:rPr>
        <w:t xml:space="preserve">Clauss, R. P. (2010). Neurotransmitters in coma, vegetative and minimally conscious states, pharmacological interventions. Medical Hypotheses, 75(3), 287-290. </w:t>
      </w:r>
      <w:hyperlink r:id="rId11" w:history="1">
        <w:r w:rsidR="00CE19AC" w:rsidRPr="008E5DBE">
          <w:rPr>
            <w:rStyle w:val="Hyperlink"/>
            <w:rFonts w:ascii="Times New Roman" w:hAnsi="Times New Roman" w:cs="Times New Roman"/>
            <w:sz w:val="24"/>
            <w:szCs w:val="24"/>
          </w:rPr>
          <w:t>https://doi.org/10.1016/j.mehy.2010.03.005</w:t>
        </w:r>
      </w:hyperlink>
      <w:r w:rsidR="00CE19AC">
        <w:rPr>
          <w:rFonts w:ascii="Times New Roman" w:hAnsi="Times New Roman" w:cs="Times New Roman"/>
          <w:sz w:val="24"/>
          <w:szCs w:val="24"/>
        </w:rPr>
        <w:tab/>
      </w:r>
    </w:p>
    <w:p w14:paraId="6ECD3517" w14:textId="55537B5A" w:rsidR="004A4790" w:rsidRDefault="00F029D3">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CE19AC" w:rsidRPr="00CE19AC">
        <w:rPr>
          <w:rFonts w:ascii="Times New Roman" w:hAnsi="Times New Roman" w:cs="Times New Roman"/>
          <w:sz w:val="24"/>
          <w:szCs w:val="24"/>
        </w:rPr>
        <w:t>Guerriero, R. M., Giza, C. C., &amp; Rotenberg, A. (2015). Glutamate and GABA imbalance following traumatic brain injury. Current Neurology and Neuroscience Reports, 15(5), 27. https://doi.org/10.1007/s11910-015-0545-1</w:t>
      </w:r>
    </w:p>
    <w:p w14:paraId="517A9E21" w14:textId="79773E34" w:rsidR="004A4790" w:rsidRDefault="00F029D3">
      <w:pPr>
        <w:jc w:val="both"/>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w:t>
      </w:r>
      <w:r w:rsidR="00CE19AC" w:rsidRPr="00CE19AC">
        <w:rPr>
          <w:rFonts w:ascii="Times New Roman" w:hAnsi="Times New Roman" w:cs="Times New Roman"/>
          <w:sz w:val="24"/>
          <w:szCs w:val="24"/>
        </w:rPr>
        <w:t>Reis</w:t>
      </w:r>
      <w:proofErr w:type="gramEnd"/>
      <w:r w:rsidR="00CE19AC" w:rsidRPr="00CE19AC">
        <w:rPr>
          <w:rFonts w:ascii="Times New Roman" w:hAnsi="Times New Roman" w:cs="Times New Roman"/>
          <w:sz w:val="24"/>
          <w:szCs w:val="24"/>
        </w:rPr>
        <w:t xml:space="preserve">, C., Gospodarev, V., Reis, H., Wilkinson, M., Gaio, J., Araujo, C., Chen, S., &amp; Zhang, J. H. (2017). Traumatic brain injury and stem cell: Pathophysiology and update on recent treatment modalities. Stem Cells International. </w:t>
      </w:r>
      <w:hyperlink r:id="rId12" w:history="1">
        <w:r w:rsidR="00CE19AC" w:rsidRPr="008E5DBE">
          <w:rPr>
            <w:rStyle w:val="Hyperlink"/>
            <w:rFonts w:ascii="Times New Roman" w:hAnsi="Times New Roman" w:cs="Times New Roman"/>
            <w:sz w:val="24"/>
            <w:szCs w:val="24"/>
          </w:rPr>
          <w:t>https://doi.org/10.1155/2017/6392592</w:t>
        </w:r>
      </w:hyperlink>
      <w:r w:rsidR="00CE19AC">
        <w:rPr>
          <w:rFonts w:ascii="Times New Roman" w:hAnsi="Times New Roman" w:cs="Times New Roman"/>
          <w:sz w:val="24"/>
          <w:szCs w:val="24"/>
        </w:rPr>
        <w:tab/>
      </w:r>
    </w:p>
    <w:p w14:paraId="68112BAE" w14:textId="19F8C1CA" w:rsidR="004A4790" w:rsidRDefault="00F029D3">
      <w:pPr>
        <w:jc w:val="both"/>
        <w:rPr>
          <w:rFonts w:ascii="Times New Roman" w:hAnsi="Times New Roman" w:cs="Times New Roman"/>
          <w:sz w:val="24"/>
          <w:szCs w:val="24"/>
        </w:rPr>
      </w:pPr>
      <w:r>
        <w:rPr>
          <w:rFonts w:ascii="Times New Roman" w:hAnsi="Times New Roman" w:cs="Times New Roman"/>
          <w:sz w:val="24"/>
          <w:szCs w:val="24"/>
        </w:rPr>
        <w:t>4- </w:t>
      </w:r>
      <w:r w:rsidR="00CE19AC" w:rsidRPr="00CE19AC">
        <w:rPr>
          <w:rFonts w:ascii="Times New Roman" w:hAnsi="Times New Roman" w:cs="Times New Roman"/>
          <w:sz w:val="24"/>
          <w:szCs w:val="24"/>
        </w:rPr>
        <w:t xml:space="preserve">Kaur, P., &amp; Sharma, S. (2018). Recent advances in pathophysiology of traumatic brain injury. Current Neuropharmacology, 16(8), 1224–1238. </w:t>
      </w:r>
      <w:hyperlink r:id="rId13" w:history="1">
        <w:r w:rsidR="00CE19AC" w:rsidRPr="008E5DBE">
          <w:rPr>
            <w:rStyle w:val="Hyperlink"/>
            <w:rFonts w:ascii="Times New Roman" w:hAnsi="Times New Roman" w:cs="Times New Roman"/>
            <w:sz w:val="24"/>
            <w:szCs w:val="24"/>
          </w:rPr>
          <w:t>https://doi.org/10.2174/1570159X15666170613083606</w:t>
        </w:r>
      </w:hyperlink>
      <w:r w:rsidR="00CE19AC">
        <w:rPr>
          <w:rFonts w:ascii="Times New Roman" w:hAnsi="Times New Roman" w:cs="Times New Roman"/>
          <w:sz w:val="24"/>
          <w:szCs w:val="24"/>
        </w:rPr>
        <w:tab/>
      </w:r>
    </w:p>
    <w:p w14:paraId="75C5AE4A" w14:textId="3B346A19" w:rsidR="004A4790" w:rsidRDefault="00F029D3">
      <w:pPr>
        <w:jc w:val="both"/>
        <w:rPr>
          <w:rFonts w:ascii="Times New Roman" w:hAnsi="Times New Roman" w:cs="Times New Roman"/>
          <w:sz w:val="24"/>
          <w:szCs w:val="24"/>
        </w:rPr>
      </w:pPr>
      <w:r>
        <w:rPr>
          <w:rFonts w:ascii="Times New Roman" w:hAnsi="Times New Roman" w:cs="Times New Roman"/>
          <w:sz w:val="24"/>
          <w:szCs w:val="24"/>
        </w:rPr>
        <w:t>5-</w:t>
      </w:r>
      <w:r w:rsidR="00CE19AC" w:rsidRPr="00CE19AC">
        <w:rPr>
          <w:rFonts w:ascii="Times New Roman" w:hAnsi="Times New Roman" w:cs="Times New Roman"/>
          <w:sz w:val="24"/>
          <w:szCs w:val="24"/>
        </w:rPr>
        <w:t xml:space="preserve">Yu, J., Meng, F., He, F., Chen, F., Bao, W., Yu, Y., Zhou, J., Gao, J., Li, J., Yao, Y., Ge, W. P., &amp; Luo, B. (2021). Metabolic Abnormalities in Patients with Chronic Disorders of Consciousness. Aging and Disease, 12(2), 386-403. </w:t>
      </w:r>
      <w:hyperlink r:id="rId14" w:history="1">
        <w:r w:rsidR="00CE19AC" w:rsidRPr="008E5DBE">
          <w:rPr>
            <w:rStyle w:val="Hyperlink"/>
            <w:rFonts w:ascii="Times New Roman" w:hAnsi="Times New Roman" w:cs="Times New Roman"/>
            <w:sz w:val="24"/>
            <w:szCs w:val="24"/>
          </w:rPr>
          <w:t>https://doi.org/10.14336/AD.2020.0812</w:t>
        </w:r>
      </w:hyperlink>
      <w:r w:rsidR="00CE19AC">
        <w:rPr>
          <w:rFonts w:ascii="Times New Roman" w:hAnsi="Times New Roman" w:cs="Times New Roman"/>
          <w:sz w:val="24"/>
          <w:szCs w:val="24"/>
        </w:rPr>
        <w:tab/>
      </w:r>
    </w:p>
    <w:p w14:paraId="3BBC454B" w14:textId="7F53554F" w:rsidR="004A4790" w:rsidRDefault="00F029D3">
      <w:pPr>
        <w:jc w:val="both"/>
        <w:rPr>
          <w:rFonts w:ascii="Times New Roman" w:hAnsi="Times New Roman" w:cs="Times New Roman"/>
          <w:sz w:val="24"/>
          <w:szCs w:val="24"/>
        </w:rPr>
      </w:pPr>
      <w:r>
        <w:rPr>
          <w:rFonts w:ascii="Times New Roman" w:hAnsi="Times New Roman" w:cs="Times New Roman"/>
          <w:sz w:val="24"/>
          <w:szCs w:val="24"/>
        </w:rPr>
        <w:t>6-</w:t>
      </w:r>
      <w:r w:rsidR="00CE19AC" w:rsidRPr="00CE19AC">
        <w:rPr>
          <w:rFonts w:ascii="Times New Roman" w:hAnsi="Times New Roman" w:cs="Times New Roman"/>
          <w:sz w:val="24"/>
          <w:szCs w:val="24"/>
        </w:rPr>
        <w:t xml:space="preserve">Han, R., Liang, J., &amp; Zhou, B. (2021). Glucose Metabolic Dysfunction in Neurodegenerative Diseases—New Mechanistic Insights and the Potential of Hypoxia as a Prospective Therapy Targeting Metabolic Reprogramming. International Journal of Molecular Sciences. </w:t>
      </w:r>
      <w:hyperlink r:id="rId15" w:history="1">
        <w:r w:rsidR="00CE19AC" w:rsidRPr="008E5DBE">
          <w:rPr>
            <w:rStyle w:val="Hyperlink"/>
            <w:rFonts w:ascii="Times New Roman" w:hAnsi="Times New Roman" w:cs="Times New Roman"/>
            <w:sz w:val="24"/>
            <w:szCs w:val="24"/>
          </w:rPr>
          <w:t>https://doi.org/10.3390/ijms22115887</w:t>
        </w:r>
      </w:hyperlink>
      <w:r w:rsidR="00CE19AC">
        <w:rPr>
          <w:rFonts w:ascii="Times New Roman" w:hAnsi="Times New Roman" w:cs="Times New Roman"/>
          <w:sz w:val="24"/>
          <w:szCs w:val="24"/>
        </w:rPr>
        <w:tab/>
      </w:r>
    </w:p>
    <w:p w14:paraId="40BB2430" w14:textId="77777777" w:rsidR="004A4790" w:rsidRDefault="00F029D3">
      <w:pPr>
        <w:jc w:val="both"/>
        <w:rPr>
          <w:rFonts w:ascii="Times New Roman" w:hAnsi="Times New Roman" w:cs="Times New Roman"/>
          <w:sz w:val="24"/>
          <w:szCs w:val="24"/>
        </w:rPr>
      </w:pPr>
      <w:r>
        <w:rPr>
          <w:rFonts w:ascii="Times New Roman" w:hAnsi="Times New Roman" w:cs="Times New Roman"/>
          <w:sz w:val="24"/>
          <w:szCs w:val="24"/>
        </w:rPr>
        <w:t>7-Boehme, A. K., Doyle, K.</w:t>
      </w:r>
      <w:r>
        <w:rPr>
          <w:rFonts w:ascii="Times New Roman" w:hAnsi="Times New Roman" w:cs="Times New Roman"/>
          <w:sz w:val="24"/>
          <w:szCs w:val="24"/>
        </w:rPr>
        <w:t xml:space="preserve">, Thakur, K. T., Roh, D., Park, S., Agarwal, S., Velazquez, A. G., Egbebike, J. A., </w:t>
      </w:r>
      <w:proofErr w:type="spellStart"/>
      <w:r>
        <w:rPr>
          <w:rFonts w:ascii="Times New Roman" w:hAnsi="Times New Roman" w:cs="Times New Roman"/>
          <w:sz w:val="24"/>
          <w:szCs w:val="24"/>
        </w:rPr>
        <w:t>Nigoghossian</w:t>
      </w:r>
      <w:proofErr w:type="spellEnd"/>
      <w:r>
        <w:rPr>
          <w:rFonts w:ascii="Times New Roman" w:hAnsi="Times New Roman" w:cs="Times New Roman"/>
          <w:sz w:val="24"/>
          <w:szCs w:val="24"/>
        </w:rPr>
        <w:t xml:space="preserve">, C. D., Prust, M. L., Rosenberg, J., Brodie, D., </w:t>
      </w:r>
      <w:proofErr w:type="spellStart"/>
      <w:r>
        <w:rPr>
          <w:rFonts w:ascii="Times New Roman" w:hAnsi="Times New Roman" w:cs="Times New Roman"/>
          <w:sz w:val="24"/>
          <w:szCs w:val="24"/>
        </w:rPr>
        <w:t>Fishkoff</w:t>
      </w:r>
      <w:proofErr w:type="spellEnd"/>
      <w:r>
        <w:rPr>
          <w:rFonts w:ascii="Times New Roman" w:hAnsi="Times New Roman" w:cs="Times New Roman"/>
          <w:sz w:val="24"/>
          <w:szCs w:val="24"/>
        </w:rPr>
        <w:t xml:space="preserve">, K. N., </w:t>
      </w:r>
      <w:proofErr w:type="spellStart"/>
      <w:r>
        <w:rPr>
          <w:rFonts w:ascii="Times New Roman" w:hAnsi="Times New Roman" w:cs="Times New Roman"/>
          <w:sz w:val="24"/>
          <w:szCs w:val="24"/>
        </w:rPr>
        <w:t>Hochmann</w:t>
      </w:r>
      <w:proofErr w:type="spellEnd"/>
      <w:r>
        <w:rPr>
          <w:rFonts w:ascii="Times New Roman" w:hAnsi="Times New Roman" w:cs="Times New Roman"/>
          <w:sz w:val="24"/>
          <w:szCs w:val="24"/>
        </w:rPr>
        <w:t>, B. R., Rabani, L. E., Yip, N. H., Panzer, O., &amp; Claassen, J. (2022). Disorders of C</w:t>
      </w:r>
      <w:r>
        <w:rPr>
          <w:rFonts w:ascii="Times New Roman" w:hAnsi="Times New Roman" w:cs="Times New Roman"/>
          <w:sz w:val="24"/>
          <w:szCs w:val="24"/>
        </w:rPr>
        <w:t>onsciousness in Hospitalized Patients with COVID-19: The Role of the Systemic Inflammatory Response Syndrome. </w:t>
      </w:r>
      <w:r>
        <w:rPr>
          <w:rFonts w:ascii="Times New Roman" w:hAnsi="Times New Roman" w:cs="Times New Roman"/>
          <w:i/>
          <w:iCs/>
          <w:sz w:val="24"/>
          <w:szCs w:val="24"/>
        </w:rPr>
        <w:t>Neurocritical Care</w:t>
      </w:r>
      <w:r>
        <w:rPr>
          <w:rFonts w:ascii="Times New Roman" w:hAnsi="Times New Roman" w:cs="Times New Roman"/>
          <w:sz w:val="24"/>
          <w:szCs w:val="24"/>
        </w:rPr>
        <w:t>, </w:t>
      </w:r>
      <w:r>
        <w:rPr>
          <w:rFonts w:ascii="Times New Roman" w:hAnsi="Times New Roman" w:cs="Times New Roman"/>
          <w:i/>
          <w:iCs/>
          <w:sz w:val="24"/>
          <w:szCs w:val="24"/>
        </w:rPr>
        <w:t>36</w:t>
      </w:r>
      <w:r>
        <w:rPr>
          <w:rFonts w:ascii="Times New Roman" w:hAnsi="Times New Roman" w:cs="Times New Roman"/>
          <w:sz w:val="24"/>
          <w:szCs w:val="24"/>
        </w:rPr>
        <w:t>(1), 89-96. </w:t>
      </w:r>
      <w:hyperlink r:id="rId16" w:history="1">
        <w:r w:rsidR="004A4790">
          <w:rPr>
            <w:rStyle w:val="Hyperlink"/>
            <w:rFonts w:ascii="Times New Roman" w:hAnsi="Times New Roman" w:cs="Times New Roman"/>
            <w:sz w:val="24"/>
            <w:szCs w:val="24"/>
          </w:rPr>
          <w:t>https://doi.org/10.1007/s12028-021-01256-7</w:t>
        </w:r>
      </w:hyperlink>
    </w:p>
    <w:p w14:paraId="66682C63" w14:textId="108BA35F" w:rsidR="004A4790" w:rsidRDefault="00F029D3">
      <w:pPr>
        <w:jc w:val="both"/>
        <w:rPr>
          <w:rFonts w:ascii="Times New Roman" w:hAnsi="Times New Roman" w:cs="Times New Roman"/>
          <w:sz w:val="24"/>
          <w:szCs w:val="24"/>
        </w:rPr>
      </w:pPr>
      <w:r>
        <w:rPr>
          <w:rFonts w:ascii="Times New Roman" w:hAnsi="Times New Roman" w:cs="Times New Roman"/>
          <w:sz w:val="24"/>
          <w:szCs w:val="24"/>
        </w:rPr>
        <w:t>8- </w:t>
      </w:r>
      <w:r w:rsidR="00CE19AC" w:rsidRPr="00CE19AC">
        <w:rPr>
          <w:rFonts w:ascii="Times New Roman" w:hAnsi="Times New Roman" w:cs="Times New Roman"/>
          <w:sz w:val="24"/>
          <w:szCs w:val="24"/>
        </w:rPr>
        <w:t xml:space="preserve">Higgins, G. C., </w:t>
      </w:r>
      <w:proofErr w:type="spellStart"/>
      <w:r w:rsidR="00CE19AC" w:rsidRPr="00CE19AC">
        <w:rPr>
          <w:rFonts w:ascii="Times New Roman" w:hAnsi="Times New Roman" w:cs="Times New Roman"/>
          <w:sz w:val="24"/>
          <w:szCs w:val="24"/>
        </w:rPr>
        <w:t>Beart</w:t>
      </w:r>
      <w:proofErr w:type="spellEnd"/>
      <w:r w:rsidR="00CE19AC" w:rsidRPr="00CE19AC">
        <w:rPr>
          <w:rFonts w:ascii="Times New Roman" w:hAnsi="Times New Roman" w:cs="Times New Roman"/>
          <w:sz w:val="24"/>
          <w:szCs w:val="24"/>
        </w:rPr>
        <w:t>, P. M., Shin, Y. S., Chen, M. J., Cheung, N. S., &amp; Nagley, P. (2010). Oxidative stress: Emerging mitochondrial and cellular themes and variations in neuronal injury. Journal of Alzheimer's Disease, 20(Suppl. S2), S453–S473. https://doi.org/10.3233/JAD-2010-100321</w:t>
      </w:r>
    </w:p>
    <w:p w14:paraId="457BC1D5" w14:textId="2137652F" w:rsidR="004A4790" w:rsidRDefault="00F029D3">
      <w:pPr>
        <w:jc w:val="both"/>
        <w:rPr>
          <w:rFonts w:ascii="Times New Roman" w:hAnsi="Times New Roman" w:cs="Times New Roman"/>
          <w:sz w:val="24"/>
          <w:szCs w:val="24"/>
        </w:rPr>
      </w:pPr>
      <w:r>
        <w:rPr>
          <w:rFonts w:ascii="Times New Roman" w:hAnsi="Times New Roman" w:cs="Times New Roman"/>
          <w:sz w:val="24"/>
          <w:szCs w:val="24"/>
        </w:rPr>
        <w:t>9-</w:t>
      </w:r>
      <w:r w:rsidR="00CE19AC" w:rsidRPr="00CE19AC">
        <w:rPr>
          <w:rFonts w:ascii="Times New Roman" w:hAnsi="Times New Roman" w:cs="Times New Roman"/>
          <w:sz w:val="24"/>
          <w:szCs w:val="24"/>
        </w:rPr>
        <w:t xml:space="preserve">Poprac, P., </w:t>
      </w:r>
      <w:proofErr w:type="spellStart"/>
      <w:r w:rsidR="00CE19AC" w:rsidRPr="00CE19AC">
        <w:rPr>
          <w:rFonts w:ascii="Times New Roman" w:hAnsi="Times New Roman" w:cs="Times New Roman"/>
          <w:sz w:val="24"/>
          <w:szCs w:val="24"/>
        </w:rPr>
        <w:t>Jomova</w:t>
      </w:r>
      <w:proofErr w:type="spellEnd"/>
      <w:r w:rsidR="00CE19AC" w:rsidRPr="00CE19AC">
        <w:rPr>
          <w:rFonts w:ascii="Times New Roman" w:hAnsi="Times New Roman" w:cs="Times New Roman"/>
          <w:sz w:val="24"/>
          <w:szCs w:val="24"/>
        </w:rPr>
        <w:t xml:space="preserve">, K., </w:t>
      </w:r>
      <w:proofErr w:type="spellStart"/>
      <w:r w:rsidR="00CE19AC" w:rsidRPr="00CE19AC">
        <w:rPr>
          <w:rFonts w:ascii="Times New Roman" w:hAnsi="Times New Roman" w:cs="Times New Roman"/>
          <w:sz w:val="24"/>
          <w:szCs w:val="24"/>
        </w:rPr>
        <w:t>Simunkova</w:t>
      </w:r>
      <w:proofErr w:type="spellEnd"/>
      <w:r w:rsidR="00CE19AC" w:rsidRPr="00CE19AC">
        <w:rPr>
          <w:rFonts w:ascii="Times New Roman" w:hAnsi="Times New Roman" w:cs="Times New Roman"/>
          <w:sz w:val="24"/>
          <w:szCs w:val="24"/>
        </w:rPr>
        <w:t xml:space="preserve">, M., Kollar, V., Rhodes, C. J., &amp; Valko, M. (2017). Targeting Free Radicals in Oxidative Stress-Related Human Diseases. Trends in Pharmacological Sciences, 38(7), 592–607. </w:t>
      </w:r>
      <w:hyperlink r:id="rId17" w:history="1">
        <w:r w:rsidR="00CE19AC" w:rsidRPr="008E5DBE">
          <w:rPr>
            <w:rStyle w:val="Hyperlink"/>
            <w:rFonts w:ascii="Times New Roman" w:hAnsi="Times New Roman" w:cs="Times New Roman"/>
            <w:sz w:val="24"/>
            <w:szCs w:val="24"/>
          </w:rPr>
          <w:t>https://doi.org/10.1016/j.tips.2017.04.005</w:t>
        </w:r>
      </w:hyperlink>
      <w:r w:rsidR="00CE19AC">
        <w:rPr>
          <w:rFonts w:ascii="Times New Roman" w:hAnsi="Times New Roman" w:cs="Times New Roman"/>
          <w:sz w:val="24"/>
          <w:szCs w:val="24"/>
        </w:rPr>
        <w:tab/>
      </w:r>
    </w:p>
    <w:p w14:paraId="37C7E97D" w14:textId="621F68D2" w:rsidR="004A4790" w:rsidRDefault="00F029D3">
      <w:pPr>
        <w:jc w:val="both"/>
        <w:rPr>
          <w:rFonts w:ascii="Times New Roman" w:hAnsi="Times New Roman" w:cs="Times New Roman"/>
          <w:sz w:val="24"/>
          <w:szCs w:val="24"/>
        </w:rPr>
      </w:pPr>
      <w:r>
        <w:rPr>
          <w:rFonts w:ascii="Times New Roman" w:hAnsi="Times New Roman" w:cs="Times New Roman"/>
          <w:sz w:val="24"/>
          <w:szCs w:val="24"/>
        </w:rPr>
        <w:t>10- </w:t>
      </w:r>
      <w:r w:rsidR="00CE19AC" w:rsidRPr="00CE19AC">
        <w:rPr>
          <w:rFonts w:ascii="Times New Roman" w:hAnsi="Times New Roman" w:cs="Times New Roman"/>
          <w:sz w:val="24"/>
          <w:szCs w:val="24"/>
        </w:rPr>
        <w:t xml:space="preserve">Szczesny, B., Tann, A. W., &amp; Mitra, S. (2010). Age- and tissue-specific changes in mitochondrial and nuclear DNA base excision repair activity in mice: Susceptibility of skeletal muscles to oxidative injury. Mechanisms of Ageing and Development, 131(5), 330–337. </w:t>
      </w:r>
      <w:hyperlink r:id="rId18" w:history="1">
        <w:r w:rsidR="00CE19AC" w:rsidRPr="008E5DBE">
          <w:rPr>
            <w:rStyle w:val="Hyperlink"/>
            <w:rFonts w:ascii="Times New Roman" w:hAnsi="Times New Roman" w:cs="Times New Roman"/>
            <w:sz w:val="24"/>
            <w:szCs w:val="24"/>
          </w:rPr>
          <w:t>https://doi.org/10.1016/j.mad.2010.03.009</w:t>
        </w:r>
      </w:hyperlink>
      <w:r w:rsidR="00CE19AC">
        <w:rPr>
          <w:rFonts w:ascii="Times New Roman" w:hAnsi="Times New Roman" w:cs="Times New Roman"/>
          <w:sz w:val="24"/>
          <w:szCs w:val="24"/>
        </w:rPr>
        <w:tab/>
      </w:r>
    </w:p>
    <w:p w14:paraId="0B552379" w14:textId="36B2F837" w:rsidR="004A4790" w:rsidRDefault="00F029D3">
      <w:pPr>
        <w:jc w:val="both"/>
        <w:rPr>
          <w:rFonts w:ascii="Times New Roman" w:hAnsi="Times New Roman" w:cs="Times New Roman"/>
          <w:sz w:val="24"/>
          <w:szCs w:val="24"/>
        </w:rPr>
      </w:pPr>
      <w:r>
        <w:rPr>
          <w:rFonts w:ascii="Times New Roman" w:hAnsi="Times New Roman" w:cs="Times New Roman"/>
          <w:sz w:val="24"/>
          <w:szCs w:val="24"/>
        </w:rPr>
        <w:t>11- </w:t>
      </w:r>
      <w:proofErr w:type="spellStart"/>
      <w:r w:rsidR="00CE19AC" w:rsidRPr="00CE19AC">
        <w:rPr>
          <w:rFonts w:ascii="Times New Roman" w:hAnsi="Times New Roman" w:cs="Times New Roman"/>
          <w:sz w:val="24"/>
          <w:szCs w:val="24"/>
        </w:rPr>
        <w:t>Shohami</w:t>
      </w:r>
      <w:proofErr w:type="spellEnd"/>
      <w:r w:rsidR="00CE19AC" w:rsidRPr="00CE19AC">
        <w:rPr>
          <w:rFonts w:ascii="Times New Roman" w:hAnsi="Times New Roman" w:cs="Times New Roman"/>
          <w:sz w:val="24"/>
          <w:szCs w:val="24"/>
        </w:rPr>
        <w:t xml:space="preserve">, E., Beit-Yannai, E., Horowitz, M., &amp; Kohen, R. (1997). Oxidative stress in closed-head injury: Brain antioxidant capacity as an indicator of functional outcome. J. </w:t>
      </w:r>
      <w:proofErr w:type="spellStart"/>
      <w:r w:rsidR="00CE19AC" w:rsidRPr="00CE19AC">
        <w:rPr>
          <w:rFonts w:ascii="Times New Roman" w:hAnsi="Times New Roman" w:cs="Times New Roman"/>
          <w:sz w:val="24"/>
          <w:szCs w:val="24"/>
        </w:rPr>
        <w:t>Cereb</w:t>
      </w:r>
      <w:proofErr w:type="spellEnd"/>
      <w:r w:rsidR="00CE19AC" w:rsidRPr="00CE19AC">
        <w:rPr>
          <w:rFonts w:ascii="Times New Roman" w:hAnsi="Times New Roman" w:cs="Times New Roman"/>
          <w:sz w:val="24"/>
          <w:szCs w:val="24"/>
        </w:rPr>
        <w:t xml:space="preserve">. Blood Flow </w:t>
      </w:r>
      <w:proofErr w:type="spellStart"/>
      <w:r w:rsidR="00CE19AC" w:rsidRPr="00CE19AC">
        <w:rPr>
          <w:rFonts w:ascii="Times New Roman" w:hAnsi="Times New Roman" w:cs="Times New Roman"/>
          <w:sz w:val="24"/>
          <w:szCs w:val="24"/>
        </w:rPr>
        <w:t>Metab</w:t>
      </w:r>
      <w:proofErr w:type="spellEnd"/>
      <w:r w:rsidR="00CE19AC" w:rsidRPr="00CE19AC">
        <w:rPr>
          <w:rFonts w:ascii="Times New Roman" w:hAnsi="Times New Roman" w:cs="Times New Roman"/>
          <w:sz w:val="24"/>
          <w:szCs w:val="24"/>
        </w:rPr>
        <w:t xml:space="preserve">. </w:t>
      </w:r>
      <w:hyperlink r:id="rId19" w:history="1">
        <w:r w:rsidR="00CE19AC" w:rsidRPr="008E5DBE">
          <w:rPr>
            <w:rStyle w:val="Hyperlink"/>
            <w:rFonts w:ascii="Times New Roman" w:hAnsi="Times New Roman" w:cs="Times New Roman"/>
            <w:sz w:val="24"/>
            <w:szCs w:val="24"/>
          </w:rPr>
          <w:t>https://doi.org/10.1097/00004647-199710000-00002</w:t>
        </w:r>
      </w:hyperlink>
      <w:r w:rsidR="00CE19AC">
        <w:rPr>
          <w:rFonts w:ascii="Times New Roman" w:hAnsi="Times New Roman" w:cs="Times New Roman"/>
          <w:sz w:val="24"/>
          <w:szCs w:val="24"/>
        </w:rPr>
        <w:tab/>
      </w:r>
    </w:p>
    <w:p w14:paraId="33E4779E" w14:textId="77777777" w:rsidR="00CE19AC" w:rsidRDefault="00F029D3">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CE19AC" w:rsidRPr="00CE19AC">
        <w:rPr>
          <w:rFonts w:ascii="Times New Roman" w:hAnsi="Times New Roman" w:cs="Times New Roman"/>
          <w:sz w:val="24"/>
          <w:szCs w:val="24"/>
        </w:rPr>
        <w:t xml:space="preserve">Choi, B. Y., Jang, B. G., Kim, J. H., Lee, B. E., Sohn, M., Song, H. K., &amp; Suh, S. W. (2012). Prevention of traumatic brain injury-induced neuronal death by inhibition of NADPH oxidase activation. Brain Research, 1481, 49–58. </w:t>
      </w:r>
      <w:hyperlink r:id="rId20" w:history="1">
        <w:r w:rsidR="00CE19AC" w:rsidRPr="008E5DBE">
          <w:rPr>
            <w:rStyle w:val="Hyperlink"/>
            <w:rFonts w:ascii="Times New Roman" w:hAnsi="Times New Roman" w:cs="Times New Roman"/>
            <w:sz w:val="24"/>
            <w:szCs w:val="24"/>
          </w:rPr>
          <w:t>https://doi.org/10.1016/j.brainres.2012.08.032</w:t>
        </w:r>
      </w:hyperlink>
      <w:r w:rsidR="00CE19AC">
        <w:rPr>
          <w:rFonts w:ascii="Times New Roman" w:hAnsi="Times New Roman" w:cs="Times New Roman"/>
          <w:sz w:val="24"/>
          <w:szCs w:val="24"/>
        </w:rPr>
        <w:tab/>
      </w:r>
    </w:p>
    <w:p w14:paraId="69E2CA5C" w14:textId="534E322D" w:rsidR="004A4790" w:rsidRDefault="00F029D3">
      <w:pPr>
        <w:jc w:val="both"/>
        <w:rPr>
          <w:rFonts w:ascii="Times New Roman" w:hAnsi="Times New Roman" w:cs="Times New Roman"/>
          <w:sz w:val="24"/>
          <w:szCs w:val="24"/>
        </w:rPr>
      </w:pPr>
      <w:r>
        <w:rPr>
          <w:rFonts w:ascii="Times New Roman" w:hAnsi="Times New Roman" w:cs="Times New Roman"/>
          <w:sz w:val="24"/>
          <w:szCs w:val="24"/>
        </w:rPr>
        <w:t>13-</w:t>
      </w:r>
      <w:r w:rsidR="00CE19AC" w:rsidRPr="00CE19AC">
        <w:rPr>
          <w:rFonts w:ascii="Times New Roman" w:hAnsi="Times New Roman" w:cs="Times New Roman"/>
          <w:sz w:val="24"/>
          <w:szCs w:val="24"/>
        </w:rPr>
        <w:t xml:space="preserve">Piazza, O., </w:t>
      </w:r>
      <w:proofErr w:type="spellStart"/>
      <w:r w:rsidR="00CE19AC" w:rsidRPr="00CE19AC">
        <w:rPr>
          <w:rFonts w:ascii="Times New Roman" w:hAnsi="Times New Roman" w:cs="Times New Roman"/>
          <w:sz w:val="24"/>
          <w:szCs w:val="24"/>
        </w:rPr>
        <w:t>Cotena</w:t>
      </w:r>
      <w:proofErr w:type="spellEnd"/>
      <w:r w:rsidR="00CE19AC" w:rsidRPr="00CE19AC">
        <w:rPr>
          <w:rFonts w:ascii="Times New Roman" w:hAnsi="Times New Roman" w:cs="Times New Roman"/>
          <w:sz w:val="24"/>
          <w:szCs w:val="24"/>
        </w:rPr>
        <w:t xml:space="preserve">, S., Esposito, G., De Robertis, E., &amp; Tufano, R. (2005). S100B is a sensitive but not specific prognostic index in comatose patients after cardiac arrest. Minerva Chirurgica, 60(6), 477-480. </w:t>
      </w:r>
      <w:hyperlink r:id="rId21" w:history="1">
        <w:r w:rsidR="00CE19AC" w:rsidRPr="008E5DBE">
          <w:rPr>
            <w:rStyle w:val="Hyperlink"/>
            <w:rFonts w:ascii="Times New Roman" w:hAnsi="Times New Roman" w:cs="Times New Roman"/>
            <w:sz w:val="24"/>
            <w:szCs w:val="24"/>
          </w:rPr>
          <w:t>https://pubmed.ncbi.nlm.nih.gov/16402001/</w:t>
        </w:r>
      </w:hyperlink>
      <w:r w:rsidR="00CE19AC">
        <w:rPr>
          <w:rFonts w:ascii="Times New Roman" w:hAnsi="Times New Roman" w:cs="Times New Roman"/>
          <w:sz w:val="24"/>
          <w:szCs w:val="24"/>
        </w:rPr>
        <w:tab/>
      </w:r>
      <w:r w:rsidR="00CE19AC">
        <w:rPr>
          <w:rFonts w:ascii="Times New Roman" w:hAnsi="Times New Roman" w:cs="Times New Roman"/>
          <w:sz w:val="24"/>
          <w:szCs w:val="24"/>
        </w:rPr>
        <w:tab/>
      </w:r>
    </w:p>
    <w:p w14:paraId="3C7A2136" w14:textId="12EC8C8D" w:rsidR="004A4790" w:rsidRDefault="00F029D3">
      <w:pPr>
        <w:jc w:val="both"/>
        <w:rPr>
          <w:rFonts w:ascii="Times New Roman" w:hAnsi="Times New Roman" w:cs="Times New Roman"/>
          <w:sz w:val="24"/>
          <w:szCs w:val="24"/>
        </w:rPr>
      </w:pPr>
      <w:r>
        <w:rPr>
          <w:rFonts w:ascii="Times New Roman" w:hAnsi="Times New Roman" w:cs="Times New Roman"/>
          <w:sz w:val="24"/>
          <w:szCs w:val="24"/>
        </w:rPr>
        <w:t>14-</w:t>
      </w:r>
      <w:r w:rsidR="00CE19AC" w:rsidRPr="00CE19AC">
        <w:rPr>
          <w:rFonts w:ascii="Times New Roman" w:hAnsi="Times New Roman" w:cs="Times New Roman"/>
          <w:sz w:val="24"/>
          <w:szCs w:val="24"/>
        </w:rPr>
        <w:t xml:space="preserve">Stammet, P., Collignon, O., Hassager, C., Wise, M. P., </w:t>
      </w:r>
      <w:proofErr w:type="spellStart"/>
      <w:r w:rsidR="00CE19AC" w:rsidRPr="00CE19AC">
        <w:rPr>
          <w:rFonts w:ascii="Times New Roman" w:hAnsi="Times New Roman" w:cs="Times New Roman"/>
          <w:sz w:val="24"/>
          <w:szCs w:val="24"/>
        </w:rPr>
        <w:t>Hovdenes</w:t>
      </w:r>
      <w:proofErr w:type="spellEnd"/>
      <w:r w:rsidR="00CE19AC" w:rsidRPr="00CE19AC">
        <w:rPr>
          <w:rFonts w:ascii="Times New Roman" w:hAnsi="Times New Roman" w:cs="Times New Roman"/>
          <w:sz w:val="24"/>
          <w:szCs w:val="24"/>
        </w:rPr>
        <w:t xml:space="preserve">, J., </w:t>
      </w:r>
      <w:proofErr w:type="spellStart"/>
      <w:r w:rsidR="00CE19AC" w:rsidRPr="00CE19AC">
        <w:rPr>
          <w:rFonts w:ascii="Times New Roman" w:hAnsi="Times New Roman" w:cs="Times New Roman"/>
          <w:sz w:val="24"/>
          <w:szCs w:val="24"/>
        </w:rPr>
        <w:t>Åneman</w:t>
      </w:r>
      <w:proofErr w:type="spellEnd"/>
      <w:r w:rsidR="00CE19AC" w:rsidRPr="00CE19AC">
        <w:rPr>
          <w:rFonts w:ascii="Times New Roman" w:hAnsi="Times New Roman" w:cs="Times New Roman"/>
          <w:sz w:val="24"/>
          <w:szCs w:val="24"/>
        </w:rPr>
        <w:t xml:space="preserve">, A., Horn, J., Devaux, Y., </w:t>
      </w:r>
      <w:proofErr w:type="spellStart"/>
      <w:r w:rsidR="00CE19AC" w:rsidRPr="00CE19AC">
        <w:rPr>
          <w:rFonts w:ascii="Times New Roman" w:hAnsi="Times New Roman" w:cs="Times New Roman"/>
          <w:sz w:val="24"/>
          <w:szCs w:val="24"/>
        </w:rPr>
        <w:t>Erlinge</w:t>
      </w:r>
      <w:proofErr w:type="spellEnd"/>
      <w:r w:rsidR="00CE19AC" w:rsidRPr="00CE19AC">
        <w:rPr>
          <w:rFonts w:ascii="Times New Roman" w:hAnsi="Times New Roman" w:cs="Times New Roman"/>
          <w:sz w:val="24"/>
          <w:szCs w:val="24"/>
        </w:rPr>
        <w:t xml:space="preserve">, D., </w:t>
      </w:r>
      <w:proofErr w:type="spellStart"/>
      <w:r w:rsidR="00CE19AC" w:rsidRPr="00CE19AC">
        <w:rPr>
          <w:rFonts w:ascii="Times New Roman" w:hAnsi="Times New Roman" w:cs="Times New Roman"/>
          <w:sz w:val="24"/>
          <w:szCs w:val="24"/>
        </w:rPr>
        <w:t>Kjaergaard</w:t>
      </w:r>
      <w:proofErr w:type="spellEnd"/>
      <w:r w:rsidR="00CE19AC" w:rsidRPr="00CE19AC">
        <w:rPr>
          <w:rFonts w:ascii="Times New Roman" w:hAnsi="Times New Roman" w:cs="Times New Roman"/>
          <w:sz w:val="24"/>
          <w:szCs w:val="24"/>
        </w:rPr>
        <w:t xml:space="preserve">, J., Gasche, Y., Wanscher, M., Cronberg, T., Friberg, H., Wetterslev, J., Pellis, T., Kuiper, M., Gilson, G., &amp; Nielsen, N. (2015). Neuron-Specific Enolase as a Predictor of Death or Poor Neurological Outcome After Out-of-Hospital Cardiac Arrest and Targeted Temperature Management at 33°C and 36°C. Journal of the American College of Cardiology, 65(19), 2104-2114. </w:t>
      </w:r>
      <w:hyperlink r:id="rId22" w:history="1">
        <w:r w:rsidR="00CE19AC" w:rsidRPr="008E5DBE">
          <w:rPr>
            <w:rStyle w:val="Hyperlink"/>
            <w:rFonts w:ascii="Times New Roman" w:hAnsi="Times New Roman" w:cs="Times New Roman"/>
            <w:sz w:val="24"/>
            <w:szCs w:val="24"/>
          </w:rPr>
          <w:t>https://doi.org/10.1016/j.jacc.2015.03.538</w:t>
        </w:r>
      </w:hyperlink>
      <w:r w:rsidR="00CE19AC">
        <w:rPr>
          <w:rFonts w:ascii="Times New Roman" w:hAnsi="Times New Roman" w:cs="Times New Roman"/>
          <w:sz w:val="24"/>
          <w:szCs w:val="24"/>
        </w:rPr>
        <w:tab/>
      </w:r>
    </w:p>
    <w:p w14:paraId="3458DCC6" w14:textId="5A164797" w:rsidR="004A4790" w:rsidRDefault="00F029D3">
      <w:pPr>
        <w:jc w:val="both"/>
        <w:rPr>
          <w:rFonts w:ascii="Times New Roman" w:hAnsi="Times New Roman" w:cs="Times New Roman"/>
          <w:sz w:val="24"/>
          <w:szCs w:val="24"/>
        </w:rPr>
      </w:pPr>
      <w:r>
        <w:rPr>
          <w:rFonts w:ascii="Times New Roman" w:hAnsi="Times New Roman" w:cs="Times New Roman"/>
          <w:sz w:val="24"/>
          <w:szCs w:val="24"/>
        </w:rPr>
        <w:t>15-</w:t>
      </w:r>
      <w:r w:rsidR="00CE19AC" w:rsidRPr="00CE19AC">
        <w:rPr>
          <w:rFonts w:ascii="Times New Roman" w:hAnsi="Times New Roman" w:cs="Times New Roman"/>
          <w:sz w:val="24"/>
          <w:szCs w:val="24"/>
        </w:rPr>
        <w:t xml:space="preserve">Lei, J., Gao, G., Feng, J., Jin, Y., Wang, C., Mao, Q., &amp; Jiang, J. (2015). Glial fibrillary acidic protein as a biomarker in severe traumatic brain injury patients: A prospective cohort study. Critical Care. </w:t>
      </w:r>
      <w:hyperlink r:id="rId23" w:history="1">
        <w:r w:rsidR="00CE19AC" w:rsidRPr="008E5DBE">
          <w:rPr>
            <w:rStyle w:val="Hyperlink"/>
            <w:rFonts w:ascii="Times New Roman" w:hAnsi="Times New Roman" w:cs="Times New Roman"/>
            <w:sz w:val="24"/>
            <w:szCs w:val="24"/>
          </w:rPr>
          <w:t>https://doi.org/10.1186/s13054-015-1081-8</w:t>
        </w:r>
      </w:hyperlink>
      <w:r w:rsidR="00CE19AC">
        <w:rPr>
          <w:rFonts w:ascii="Times New Roman" w:hAnsi="Times New Roman" w:cs="Times New Roman"/>
          <w:sz w:val="24"/>
          <w:szCs w:val="24"/>
        </w:rPr>
        <w:tab/>
      </w:r>
    </w:p>
    <w:p w14:paraId="38618E6D" w14:textId="61EFBF69" w:rsidR="00CE19AC" w:rsidRDefault="00F029D3">
      <w:pPr>
        <w:jc w:val="both"/>
        <w:rPr>
          <w:rFonts w:ascii="Times New Roman" w:hAnsi="Times New Roman" w:cs="Times New Roman"/>
          <w:sz w:val="24"/>
          <w:szCs w:val="24"/>
        </w:rPr>
      </w:pPr>
      <w:r>
        <w:rPr>
          <w:rFonts w:ascii="Times New Roman" w:hAnsi="Times New Roman" w:cs="Times New Roman"/>
          <w:sz w:val="24"/>
          <w:szCs w:val="24"/>
        </w:rPr>
        <w:t>16-</w:t>
      </w:r>
      <w:r w:rsidR="00CE19AC" w:rsidRPr="00CE19AC">
        <w:rPr>
          <w:rFonts w:ascii="Times New Roman" w:hAnsi="Times New Roman" w:cs="Times New Roman"/>
          <w:sz w:val="24"/>
          <w:szCs w:val="24"/>
        </w:rPr>
        <w:t xml:space="preserve">Dawiskiba, T., Wojtowicz, W., Qasem, B., Łukaszewski, M., Mielko, K. A., </w:t>
      </w:r>
      <w:proofErr w:type="spellStart"/>
      <w:r w:rsidR="00CE19AC" w:rsidRPr="00CE19AC">
        <w:rPr>
          <w:rFonts w:ascii="Times New Roman" w:hAnsi="Times New Roman" w:cs="Times New Roman"/>
          <w:sz w:val="24"/>
          <w:szCs w:val="24"/>
        </w:rPr>
        <w:t>Dawiskiba</w:t>
      </w:r>
      <w:proofErr w:type="spellEnd"/>
      <w:r w:rsidR="00CE19AC" w:rsidRPr="00CE19AC">
        <w:rPr>
          <w:rFonts w:ascii="Times New Roman" w:hAnsi="Times New Roman" w:cs="Times New Roman"/>
          <w:sz w:val="24"/>
          <w:szCs w:val="24"/>
        </w:rPr>
        <w:t xml:space="preserve">, A., Banasik, M., </w:t>
      </w:r>
      <w:proofErr w:type="spellStart"/>
      <w:r w:rsidR="00CE19AC" w:rsidRPr="00CE19AC">
        <w:rPr>
          <w:rFonts w:ascii="Times New Roman" w:hAnsi="Times New Roman" w:cs="Times New Roman"/>
          <w:sz w:val="24"/>
          <w:szCs w:val="24"/>
        </w:rPr>
        <w:t>Skóra</w:t>
      </w:r>
      <w:proofErr w:type="spellEnd"/>
      <w:r w:rsidR="00CE19AC" w:rsidRPr="00CE19AC">
        <w:rPr>
          <w:rFonts w:ascii="Times New Roman" w:hAnsi="Times New Roman" w:cs="Times New Roman"/>
          <w:sz w:val="24"/>
          <w:szCs w:val="24"/>
        </w:rPr>
        <w:t xml:space="preserve">, J. P., Janczak, D., &amp; </w:t>
      </w:r>
      <w:proofErr w:type="spellStart"/>
      <w:r w:rsidR="00CE19AC" w:rsidRPr="00CE19AC">
        <w:rPr>
          <w:rFonts w:ascii="Times New Roman" w:hAnsi="Times New Roman" w:cs="Times New Roman"/>
          <w:sz w:val="24"/>
          <w:szCs w:val="24"/>
        </w:rPr>
        <w:t>Młynarz</w:t>
      </w:r>
      <w:proofErr w:type="spellEnd"/>
      <w:r w:rsidR="00CE19AC" w:rsidRPr="00CE19AC">
        <w:rPr>
          <w:rFonts w:ascii="Times New Roman" w:hAnsi="Times New Roman" w:cs="Times New Roman"/>
          <w:sz w:val="24"/>
          <w:szCs w:val="24"/>
        </w:rPr>
        <w:t xml:space="preserve">, P. (2021). Brain-dead and coma patients exhibit different serum metabolic profiles: preliminary investigation of a novel diagnostic approach in neurocritical care. Scientific Reports, 11(1), 15519. </w:t>
      </w:r>
      <w:hyperlink r:id="rId24" w:history="1">
        <w:r w:rsidR="00CE19AC" w:rsidRPr="008E5DBE">
          <w:rPr>
            <w:rStyle w:val="Hyperlink"/>
            <w:rFonts w:ascii="Times New Roman" w:hAnsi="Times New Roman" w:cs="Times New Roman"/>
            <w:sz w:val="24"/>
            <w:szCs w:val="24"/>
          </w:rPr>
          <w:t>https://doi.org/10.1038/s41598-021-94625-3</w:t>
        </w:r>
      </w:hyperlink>
    </w:p>
    <w:p w14:paraId="2115898B" w14:textId="1F1E8A63" w:rsidR="004A4790" w:rsidRDefault="00F029D3">
      <w:pPr>
        <w:jc w:val="both"/>
        <w:rPr>
          <w:rFonts w:ascii="Times New Roman" w:hAnsi="Times New Roman" w:cs="Times New Roman"/>
          <w:sz w:val="24"/>
          <w:szCs w:val="24"/>
        </w:rPr>
      </w:pPr>
      <w:r>
        <w:rPr>
          <w:rFonts w:ascii="Times New Roman" w:hAnsi="Times New Roman" w:cs="Times New Roman"/>
          <w:sz w:val="24"/>
          <w:szCs w:val="24"/>
        </w:rPr>
        <w:t>17-</w:t>
      </w:r>
      <w:r w:rsidR="00CE19AC" w:rsidRPr="00CE19AC">
        <w:rPr>
          <w:rFonts w:ascii="Times New Roman" w:hAnsi="Times New Roman" w:cs="Times New Roman"/>
          <w:sz w:val="24"/>
          <w:szCs w:val="24"/>
        </w:rPr>
        <w:t xml:space="preserve">Eom, K. S., Kim, J. H., Yoon, S. H., Lee, S. J., Park, K. J., Ha, S. K., Choi, J. G., Jo, K. W., Kim, J., Kang, S. H., &amp; Kim, J. H. (2021). Gender differences in adult traumatic brain injury according to the Glasgow coma scale: A multicenter descriptive study. Chinese Journal of Traumatology, 24(6), 333-343. </w:t>
      </w:r>
      <w:hyperlink r:id="rId25" w:history="1">
        <w:r w:rsidR="00CE19AC" w:rsidRPr="008E5DBE">
          <w:rPr>
            <w:rStyle w:val="Hyperlink"/>
            <w:rFonts w:ascii="Times New Roman" w:hAnsi="Times New Roman" w:cs="Times New Roman"/>
            <w:sz w:val="24"/>
            <w:szCs w:val="24"/>
          </w:rPr>
          <w:t>https://doi.org/10.1016/j.cjtee.2021.06.004</w:t>
        </w:r>
      </w:hyperlink>
      <w:r w:rsidR="00CE19AC">
        <w:rPr>
          <w:rFonts w:ascii="Times New Roman" w:hAnsi="Times New Roman" w:cs="Times New Roman"/>
          <w:sz w:val="24"/>
          <w:szCs w:val="24"/>
        </w:rPr>
        <w:tab/>
      </w:r>
    </w:p>
    <w:p w14:paraId="524A5C08" w14:textId="3081731C" w:rsidR="004A4790" w:rsidRDefault="00F029D3">
      <w:pPr>
        <w:jc w:val="both"/>
        <w:rPr>
          <w:rFonts w:ascii="Times New Roman" w:hAnsi="Times New Roman" w:cs="Times New Roman"/>
          <w:sz w:val="24"/>
          <w:szCs w:val="24"/>
        </w:rPr>
      </w:pPr>
      <w:r>
        <w:rPr>
          <w:rFonts w:ascii="Times New Roman" w:hAnsi="Times New Roman" w:cs="Times New Roman"/>
          <w:sz w:val="24"/>
          <w:szCs w:val="24"/>
        </w:rPr>
        <w:t>18-</w:t>
      </w:r>
      <w:r w:rsidR="00CE19AC" w:rsidRPr="00CE19AC">
        <w:rPr>
          <w:rFonts w:ascii="Times New Roman" w:hAnsi="Times New Roman" w:cs="Times New Roman"/>
          <w:sz w:val="24"/>
          <w:szCs w:val="24"/>
        </w:rPr>
        <w:t xml:space="preserve">Sekido, R. (2014). The potential role of SRY in epigenetic gene regulation during brain sexual differentiation in mammals. Advances in Genetics, 86, 135–165. </w:t>
      </w:r>
      <w:hyperlink r:id="rId26" w:history="1">
        <w:r w:rsidR="00CE19AC" w:rsidRPr="008E5DBE">
          <w:rPr>
            <w:rStyle w:val="Hyperlink"/>
            <w:rFonts w:ascii="Times New Roman" w:hAnsi="Times New Roman" w:cs="Times New Roman"/>
            <w:sz w:val="24"/>
            <w:szCs w:val="24"/>
          </w:rPr>
          <w:t>https://doi.org/10.1016/B978-0-12-800222-3.00007-3</w:t>
        </w:r>
      </w:hyperlink>
      <w:r w:rsidR="00CE19AC">
        <w:rPr>
          <w:rFonts w:ascii="Times New Roman" w:hAnsi="Times New Roman" w:cs="Times New Roman"/>
          <w:sz w:val="24"/>
          <w:szCs w:val="24"/>
        </w:rPr>
        <w:tab/>
      </w:r>
    </w:p>
    <w:p w14:paraId="09B98423" w14:textId="119F347F" w:rsidR="004A4790" w:rsidRDefault="00F029D3">
      <w:pPr>
        <w:jc w:val="both"/>
        <w:rPr>
          <w:rFonts w:ascii="Times New Roman" w:hAnsi="Times New Roman" w:cs="Times New Roman"/>
          <w:sz w:val="24"/>
          <w:szCs w:val="24"/>
        </w:rPr>
      </w:pPr>
      <w:r>
        <w:rPr>
          <w:rFonts w:ascii="Times New Roman" w:hAnsi="Times New Roman" w:cs="Times New Roman"/>
          <w:sz w:val="24"/>
          <w:szCs w:val="24"/>
        </w:rPr>
        <w:t>19-</w:t>
      </w:r>
      <w:r w:rsidR="00CE19AC" w:rsidRPr="00CE19AC">
        <w:rPr>
          <w:rFonts w:ascii="Times New Roman" w:hAnsi="Times New Roman" w:cs="Times New Roman"/>
          <w:sz w:val="24"/>
          <w:szCs w:val="24"/>
        </w:rPr>
        <w:t xml:space="preserve">Ho, B., Greenlaw, K., Al Tuwaijri, A., Moussette, S., Martínez, F., Giorgio, E., Brusco, A., Ferrero, G. B., Linhares, N. D., Valadares, E. R., </w:t>
      </w:r>
      <w:proofErr w:type="spellStart"/>
      <w:r w:rsidR="00CE19AC" w:rsidRPr="00CE19AC">
        <w:rPr>
          <w:rFonts w:ascii="Times New Roman" w:hAnsi="Times New Roman" w:cs="Times New Roman"/>
          <w:sz w:val="24"/>
          <w:szCs w:val="24"/>
        </w:rPr>
        <w:t>Svartman</w:t>
      </w:r>
      <w:proofErr w:type="spellEnd"/>
      <w:r w:rsidR="00CE19AC" w:rsidRPr="00CE19AC">
        <w:rPr>
          <w:rFonts w:ascii="Times New Roman" w:hAnsi="Times New Roman" w:cs="Times New Roman"/>
          <w:sz w:val="24"/>
          <w:szCs w:val="24"/>
        </w:rPr>
        <w:t>, M., Kalscheuer, V. M., Criado, G. R., Laprise, C., Greenwood, C. M. T., &amp; Naumova, A. K. (2018). X chromosome dosage and presence of SRY shape sex-specific differences in DNA methylation at an autosomal region in human cells. Biology of Sex Differences, 9(1), 10. https://doi.org/10.1186/s13293-018-0169-7</w:t>
      </w:r>
    </w:p>
    <w:p w14:paraId="2D0EF567" w14:textId="5ED91F90" w:rsidR="004A4790" w:rsidRDefault="00F029D3">
      <w:pPr>
        <w:jc w:val="both"/>
        <w:rPr>
          <w:rFonts w:ascii="Times New Roman" w:hAnsi="Times New Roman" w:cs="Times New Roman"/>
          <w:sz w:val="24"/>
          <w:szCs w:val="24"/>
        </w:rPr>
      </w:pPr>
      <w:r>
        <w:rPr>
          <w:rFonts w:ascii="Times New Roman" w:hAnsi="Times New Roman" w:cs="Times New Roman"/>
          <w:sz w:val="24"/>
          <w:szCs w:val="24"/>
        </w:rPr>
        <w:t>20-</w:t>
      </w:r>
      <w:r w:rsidR="00CE19AC" w:rsidRPr="00CE19AC">
        <w:rPr>
          <w:rFonts w:ascii="Times New Roman" w:hAnsi="Times New Roman" w:cs="Times New Roman"/>
          <w:sz w:val="24"/>
          <w:szCs w:val="24"/>
        </w:rPr>
        <w:t xml:space="preserve">Dekaban, A. S., &amp; Sadowsky, D. A. (1978). Changes in brain weights during the span of human life: Relation of brain weights to body heights and body weights. Annals of Neurology, 4(4), 345–356. </w:t>
      </w:r>
      <w:hyperlink r:id="rId27" w:history="1">
        <w:r w:rsidR="00CE19AC" w:rsidRPr="008E5DBE">
          <w:rPr>
            <w:rStyle w:val="Hyperlink"/>
            <w:rFonts w:ascii="Times New Roman" w:hAnsi="Times New Roman" w:cs="Times New Roman"/>
            <w:sz w:val="24"/>
            <w:szCs w:val="24"/>
          </w:rPr>
          <w:t>https://doi.org/10.1002/ana.410040410</w:t>
        </w:r>
      </w:hyperlink>
      <w:r w:rsidR="00CE19AC">
        <w:rPr>
          <w:rFonts w:ascii="Times New Roman" w:hAnsi="Times New Roman" w:cs="Times New Roman"/>
          <w:sz w:val="24"/>
          <w:szCs w:val="24"/>
        </w:rPr>
        <w:tab/>
      </w:r>
    </w:p>
    <w:p w14:paraId="31E93D38" w14:textId="52B81937" w:rsidR="004A4790" w:rsidRDefault="00F029D3">
      <w:pPr>
        <w:jc w:val="both"/>
        <w:rPr>
          <w:rFonts w:ascii="Times New Roman" w:hAnsi="Times New Roman" w:cs="Times New Roman"/>
          <w:sz w:val="24"/>
          <w:szCs w:val="24"/>
        </w:rPr>
      </w:pPr>
      <w:r>
        <w:rPr>
          <w:rFonts w:ascii="Times New Roman" w:hAnsi="Times New Roman" w:cs="Times New Roman"/>
          <w:sz w:val="24"/>
          <w:szCs w:val="24"/>
        </w:rPr>
        <w:lastRenderedPageBreak/>
        <w:t>21-</w:t>
      </w:r>
      <w:r w:rsidR="00CE19AC" w:rsidRPr="00CE19AC">
        <w:t xml:space="preserve"> </w:t>
      </w:r>
      <w:proofErr w:type="spellStart"/>
      <w:r w:rsidR="00CE19AC" w:rsidRPr="00CE19AC">
        <w:rPr>
          <w:rFonts w:ascii="Times New Roman" w:hAnsi="Times New Roman" w:cs="Times New Roman"/>
          <w:sz w:val="24"/>
          <w:szCs w:val="24"/>
        </w:rPr>
        <w:t>Witelson</w:t>
      </w:r>
      <w:proofErr w:type="spellEnd"/>
      <w:r w:rsidR="00CE19AC" w:rsidRPr="00CE19AC">
        <w:rPr>
          <w:rFonts w:ascii="Times New Roman" w:hAnsi="Times New Roman" w:cs="Times New Roman"/>
          <w:sz w:val="24"/>
          <w:szCs w:val="24"/>
        </w:rPr>
        <w:t xml:space="preserve">, S. F., &amp; Kigar, D. L. (1992). Sylvian fissure morphology and asymmetry in men and women: bilateral differences in relation to handedness in men. Journal of Comparative Neurology, 323(3), 326-340. </w:t>
      </w:r>
      <w:hyperlink r:id="rId28" w:history="1">
        <w:r w:rsidR="00CE19AC" w:rsidRPr="008E5DBE">
          <w:rPr>
            <w:rStyle w:val="Hyperlink"/>
            <w:rFonts w:ascii="Times New Roman" w:hAnsi="Times New Roman" w:cs="Times New Roman"/>
            <w:sz w:val="24"/>
            <w:szCs w:val="24"/>
          </w:rPr>
          <w:t>https://doi.org/10.1002/cne.903230303</w:t>
        </w:r>
      </w:hyperlink>
      <w:r w:rsidR="00CE19AC">
        <w:rPr>
          <w:rFonts w:ascii="Times New Roman" w:hAnsi="Times New Roman" w:cs="Times New Roman"/>
          <w:sz w:val="24"/>
          <w:szCs w:val="24"/>
        </w:rPr>
        <w:tab/>
      </w:r>
    </w:p>
    <w:p w14:paraId="5BDE6E26" w14:textId="11B36030" w:rsidR="004A4790" w:rsidRDefault="00F029D3">
      <w:pPr>
        <w:jc w:val="both"/>
        <w:rPr>
          <w:rFonts w:ascii="Times New Roman" w:hAnsi="Times New Roman" w:cs="Times New Roman"/>
          <w:sz w:val="24"/>
          <w:szCs w:val="24"/>
        </w:rPr>
      </w:pPr>
      <w:r>
        <w:rPr>
          <w:rFonts w:ascii="Times New Roman" w:hAnsi="Times New Roman" w:cs="Times New Roman"/>
          <w:sz w:val="24"/>
          <w:szCs w:val="24"/>
        </w:rPr>
        <w:t>22-</w:t>
      </w:r>
      <w:r w:rsidR="00CE19AC" w:rsidRPr="00CE19AC">
        <w:t xml:space="preserve"> </w:t>
      </w:r>
      <w:r w:rsidR="00CE19AC" w:rsidRPr="00CE19AC">
        <w:rPr>
          <w:rFonts w:ascii="Times New Roman" w:hAnsi="Times New Roman" w:cs="Times New Roman"/>
          <w:sz w:val="24"/>
          <w:szCs w:val="24"/>
        </w:rPr>
        <w:t xml:space="preserve">Farace, E., &amp; Alves, W. M. (2000). Do women fare worse: A </w:t>
      </w:r>
      <w:proofErr w:type="spellStart"/>
      <w:r w:rsidR="00CE19AC" w:rsidRPr="00CE19AC">
        <w:rPr>
          <w:rFonts w:ascii="Times New Roman" w:hAnsi="Times New Roman" w:cs="Times New Roman"/>
          <w:sz w:val="24"/>
          <w:szCs w:val="24"/>
        </w:rPr>
        <w:t>metaanalysis</w:t>
      </w:r>
      <w:proofErr w:type="spellEnd"/>
      <w:r w:rsidR="00CE19AC" w:rsidRPr="00CE19AC">
        <w:rPr>
          <w:rFonts w:ascii="Times New Roman" w:hAnsi="Times New Roman" w:cs="Times New Roman"/>
          <w:sz w:val="24"/>
          <w:szCs w:val="24"/>
        </w:rPr>
        <w:t xml:space="preserve"> of gender differences in traumatic brain injury outcome. J </w:t>
      </w:r>
      <w:proofErr w:type="spellStart"/>
      <w:r w:rsidR="00CE19AC" w:rsidRPr="00CE19AC">
        <w:rPr>
          <w:rFonts w:ascii="Times New Roman" w:hAnsi="Times New Roman" w:cs="Times New Roman"/>
          <w:sz w:val="24"/>
          <w:szCs w:val="24"/>
        </w:rPr>
        <w:t>Neurosurg</w:t>
      </w:r>
      <w:proofErr w:type="spellEnd"/>
      <w:r w:rsidR="00CE19AC" w:rsidRPr="00CE19AC">
        <w:rPr>
          <w:rFonts w:ascii="Times New Roman" w:hAnsi="Times New Roman" w:cs="Times New Roman"/>
          <w:sz w:val="24"/>
          <w:szCs w:val="24"/>
        </w:rPr>
        <w:t xml:space="preserve">, 93(4), 539–545. </w:t>
      </w:r>
      <w:hyperlink r:id="rId29" w:history="1">
        <w:r w:rsidR="00CE19AC" w:rsidRPr="008E5DBE">
          <w:rPr>
            <w:rStyle w:val="Hyperlink"/>
            <w:rFonts w:ascii="Times New Roman" w:hAnsi="Times New Roman" w:cs="Times New Roman"/>
            <w:sz w:val="24"/>
            <w:szCs w:val="24"/>
          </w:rPr>
          <w:t>https://doi.org/10.3171/jns.2000.93.4.0539</w:t>
        </w:r>
      </w:hyperlink>
      <w:r w:rsidR="00CE19AC">
        <w:rPr>
          <w:rFonts w:ascii="Times New Roman" w:hAnsi="Times New Roman" w:cs="Times New Roman"/>
          <w:sz w:val="24"/>
          <w:szCs w:val="24"/>
        </w:rPr>
        <w:tab/>
      </w:r>
    </w:p>
    <w:p w14:paraId="7F349BB7" w14:textId="66A5C615" w:rsidR="004A4790" w:rsidRDefault="00F029D3">
      <w:pPr>
        <w:jc w:val="both"/>
        <w:rPr>
          <w:rFonts w:ascii="Times New Roman" w:hAnsi="Times New Roman" w:cs="Times New Roman"/>
          <w:sz w:val="24"/>
          <w:szCs w:val="24"/>
        </w:rPr>
      </w:pPr>
      <w:r>
        <w:rPr>
          <w:rFonts w:ascii="Times New Roman" w:hAnsi="Times New Roman" w:cs="Times New Roman"/>
          <w:sz w:val="24"/>
          <w:szCs w:val="24"/>
        </w:rPr>
        <w:t>23-</w:t>
      </w:r>
      <w:r w:rsidR="00CE19AC" w:rsidRPr="00CE19AC">
        <w:t xml:space="preserve"> </w:t>
      </w:r>
      <w:r w:rsidR="00CE19AC" w:rsidRPr="00CE19AC">
        <w:rPr>
          <w:rFonts w:ascii="Times New Roman" w:hAnsi="Times New Roman" w:cs="Times New Roman"/>
          <w:sz w:val="24"/>
          <w:szCs w:val="24"/>
        </w:rPr>
        <w:t xml:space="preserve">Bayir, H., et al. (2004). Marked Gender Effect on Lipid Peroxidation after Severe Traumatic Brain Injury in Adult Patients. Journal of Neurotrauma, 21(1), 1–8. </w:t>
      </w:r>
      <w:hyperlink r:id="rId30" w:history="1">
        <w:r w:rsidR="00CE19AC" w:rsidRPr="008E5DBE">
          <w:rPr>
            <w:rStyle w:val="Hyperlink"/>
            <w:rFonts w:ascii="Times New Roman" w:hAnsi="Times New Roman" w:cs="Times New Roman"/>
            <w:sz w:val="24"/>
            <w:szCs w:val="24"/>
          </w:rPr>
          <w:t>https://doi.org/10.1089/089771504772695896</w:t>
        </w:r>
      </w:hyperlink>
      <w:r w:rsidR="00CE19AC">
        <w:rPr>
          <w:rFonts w:ascii="Times New Roman" w:hAnsi="Times New Roman" w:cs="Times New Roman"/>
          <w:sz w:val="24"/>
          <w:szCs w:val="24"/>
        </w:rPr>
        <w:tab/>
      </w:r>
    </w:p>
    <w:p w14:paraId="2046BB9C" w14:textId="0B46B03D" w:rsidR="004A4790" w:rsidRDefault="00F029D3">
      <w:pPr>
        <w:jc w:val="both"/>
        <w:rPr>
          <w:rFonts w:ascii="Times New Roman" w:hAnsi="Times New Roman" w:cs="Times New Roman"/>
          <w:sz w:val="24"/>
          <w:szCs w:val="24"/>
        </w:rPr>
      </w:pPr>
      <w:r>
        <w:rPr>
          <w:rFonts w:ascii="Times New Roman" w:hAnsi="Times New Roman" w:cs="Times New Roman"/>
          <w:sz w:val="24"/>
          <w:szCs w:val="24"/>
        </w:rPr>
        <w:t>24-</w:t>
      </w:r>
      <w:r w:rsidR="00CE19AC" w:rsidRPr="00CE19AC">
        <w:t xml:space="preserve"> </w:t>
      </w:r>
      <w:r w:rsidR="00CE19AC" w:rsidRPr="00CE19AC">
        <w:rPr>
          <w:rFonts w:ascii="Times New Roman" w:hAnsi="Times New Roman" w:cs="Times New Roman"/>
          <w:sz w:val="24"/>
          <w:szCs w:val="24"/>
        </w:rPr>
        <w:t xml:space="preserve">Chung-Esaki, H. M., Mui, G., </w:t>
      </w:r>
      <w:proofErr w:type="spellStart"/>
      <w:r w:rsidR="00CE19AC" w:rsidRPr="00CE19AC">
        <w:rPr>
          <w:rFonts w:ascii="Times New Roman" w:hAnsi="Times New Roman" w:cs="Times New Roman"/>
          <w:sz w:val="24"/>
          <w:szCs w:val="24"/>
        </w:rPr>
        <w:t>Mlynash</w:t>
      </w:r>
      <w:proofErr w:type="spellEnd"/>
      <w:r w:rsidR="00CE19AC" w:rsidRPr="00CE19AC">
        <w:rPr>
          <w:rFonts w:ascii="Times New Roman" w:hAnsi="Times New Roman" w:cs="Times New Roman"/>
          <w:sz w:val="24"/>
          <w:szCs w:val="24"/>
        </w:rPr>
        <w:t xml:space="preserve">, M., </w:t>
      </w:r>
      <w:proofErr w:type="spellStart"/>
      <w:r w:rsidR="00CE19AC" w:rsidRPr="00CE19AC">
        <w:rPr>
          <w:rFonts w:ascii="Times New Roman" w:hAnsi="Times New Roman" w:cs="Times New Roman"/>
          <w:sz w:val="24"/>
          <w:szCs w:val="24"/>
        </w:rPr>
        <w:t>Eyngorn</w:t>
      </w:r>
      <w:proofErr w:type="spellEnd"/>
      <w:r w:rsidR="00CE19AC" w:rsidRPr="00CE19AC">
        <w:rPr>
          <w:rFonts w:ascii="Times New Roman" w:hAnsi="Times New Roman" w:cs="Times New Roman"/>
          <w:sz w:val="24"/>
          <w:szCs w:val="24"/>
        </w:rPr>
        <w:t>, I., Catabay, K., &amp; Hirsch, K. G. (2018). The neuron specific enolase (NSE) ratio offers benefits over absolute value thresholds in post-cardiac arrest coma prognosis. Journal of Clinical Neuroscience, 57, 99-104. https://doi.org/10.1016/j.jocn.2018.08.020</w:t>
      </w:r>
    </w:p>
    <w:p w14:paraId="54981A86" w14:textId="1E6366DA" w:rsidR="004A4790" w:rsidRDefault="00F029D3">
      <w:pPr>
        <w:jc w:val="both"/>
        <w:rPr>
          <w:rFonts w:ascii="Times New Roman" w:hAnsi="Times New Roman" w:cs="Times New Roman"/>
          <w:sz w:val="24"/>
          <w:szCs w:val="24"/>
        </w:rPr>
      </w:pPr>
      <w:r>
        <w:rPr>
          <w:rFonts w:ascii="Times New Roman" w:hAnsi="Times New Roman" w:cs="Times New Roman"/>
          <w:sz w:val="24"/>
          <w:szCs w:val="24"/>
        </w:rPr>
        <w:t>25-</w:t>
      </w:r>
      <w:r w:rsidR="00CE19AC" w:rsidRPr="00CE19AC">
        <w:t xml:space="preserve"> </w:t>
      </w:r>
      <w:proofErr w:type="spellStart"/>
      <w:r w:rsidR="00CE19AC" w:rsidRPr="00CE19AC">
        <w:rPr>
          <w:rFonts w:ascii="Times New Roman" w:hAnsi="Times New Roman" w:cs="Times New Roman"/>
          <w:sz w:val="24"/>
          <w:szCs w:val="24"/>
        </w:rPr>
        <w:t>Isgrò</w:t>
      </w:r>
      <w:proofErr w:type="spellEnd"/>
      <w:r w:rsidR="00CE19AC" w:rsidRPr="00CE19AC">
        <w:rPr>
          <w:rFonts w:ascii="Times New Roman" w:hAnsi="Times New Roman" w:cs="Times New Roman"/>
          <w:sz w:val="24"/>
          <w:szCs w:val="24"/>
        </w:rPr>
        <w:t xml:space="preserve">, M. A., Bottoni, P., &amp; Scatena, R. (2015). Neuron-Specific Enolase as a Biomarker: Biochemical and Clinical Aspects. Advances in Experimental Medicine and Biology, 867, 125-143. </w:t>
      </w:r>
      <w:hyperlink r:id="rId31" w:history="1">
        <w:r w:rsidR="00CE19AC" w:rsidRPr="008E5DBE">
          <w:rPr>
            <w:rStyle w:val="Hyperlink"/>
            <w:rFonts w:ascii="Times New Roman" w:hAnsi="Times New Roman" w:cs="Times New Roman"/>
            <w:sz w:val="24"/>
            <w:szCs w:val="24"/>
          </w:rPr>
          <w:t>https://doi.org/10.1007/978-94-017-7215-0_9</w:t>
        </w:r>
      </w:hyperlink>
      <w:r w:rsidR="00CE19AC">
        <w:rPr>
          <w:rFonts w:ascii="Times New Roman" w:hAnsi="Times New Roman" w:cs="Times New Roman"/>
          <w:sz w:val="24"/>
          <w:szCs w:val="24"/>
        </w:rPr>
        <w:tab/>
      </w:r>
    </w:p>
    <w:p w14:paraId="6A3E7220" w14:textId="47815E5C" w:rsidR="004A4790" w:rsidRDefault="00F029D3">
      <w:pPr>
        <w:jc w:val="both"/>
        <w:rPr>
          <w:rFonts w:ascii="Times New Roman" w:hAnsi="Times New Roman" w:cs="Times New Roman"/>
          <w:sz w:val="24"/>
          <w:szCs w:val="24"/>
        </w:rPr>
      </w:pPr>
      <w:r>
        <w:rPr>
          <w:rFonts w:ascii="Times New Roman" w:hAnsi="Times New Roman" w:cs="Times New Roman"/>
          <w:sz w:val="24"/>
          <w:szCs w:val="24"/>
        </w:rPr>
        <w:t>26-</w:t>
      </w:r>
      <w:r w:rsidR="00CE19AC" w:rsidRPr="00CE19AC">
        <w:t xml:space="preserve"> </w:t>
      </w:r>
      <w:r w:rsidR="00CE19AC" w:rsidRPr="00CE19AC">
        <w:rPr>
          <w:rFonts w:ascii="Times New Roman" w:hAnsi="Times New Roman" w:cs="Times New Roman"/>
          <w:sz w:val="24"/>
          <w:szCs w:val="24"/>
        </w:rPr>
        <w:t xml:space="preserve">Lu, B., Zhang, Q., Wang, H., Wang, Y., Nakayama, M., &amp; Ren, D. (2010). Extracellular calcium controls background current and neuronal excitability via an UNC79-UNC80-NALCN cation channel complex. Neuron, 68(3), 488-499. </w:t>
      </w:r>
      <w:hyperlink r:id="rId32" w:history="1">
        <w:r w:rsidR="00CE19AC" w:rsidRPr="008E5DBE">
          <w:rPr>
            <w:rStyle w:val="Hyperlink"/>
            <w:rFonts w:ascii="Times New Roman" w:hAnsi="Times New Roman" w:cs="Times New Roman"/>
            <w:sz w:val="24"/>
            <w:szCs w:val="24"/>
          </w:rPr>
          <w:t>https://doi.org/10.1016/j.neuron.2010.09.014</w:t>
        </w:r>
      </w:hyperlink>
      <w:r w:rsidR="00CE19AC">
        <w:rPr>
          <w:rFonts w:ascii="Times New Roman" w:hAnsi="Times New Roman" w:cs="Times New Roman"/>
          <w:sz w:val="24"/>
          <w:szCs w:val="24"/>
        </w:rPr>
        <w:tab/>
      </w:r>
    </w:p>
    <w:p w14:paraId="78AD2198" w14:textId="2C0E0069" w:rsidR="004A4790" w:rsidRDefault="00F029D3">
      <w:pPr>
        <w:jc w:val="both"/>
        <w:rPr>
          <w:rFonts w:ascii="Times New Roman" w:hAnsi="Times New Roman" w:cs="Times New Roman"/>
          <w:sz w:val="24"/>
          <w:szCs w:val="24"/>
        </w:rPr>
      </w:pPr>
      <w:r>
        <w:rPr>
          <w:rFonts w:ascii="Times New Roman" w:hAnsi="Times New Roman" w:cs="Times New Roman"/>
          <w:sz w:val="24"/>
          <w:szCs w:val="24"/>
        </w:rPr>
        <w:t>27-</w:t>
      </w:r>
      <w:r w:rsidR="00CE19AC" w:rsidRPr="00CE19AC">
        <w:t xml:space="preserve"> </w:t>
      </w:r>
      <w:r w:rsidR="00CE19AC" w:rsidRPr="00CE19AC">
        <w:rPr>
          <w:rFonts w:ascii="Times New Roman" w:hAnsi="Times New Roman" w:cs="Times New Roman"/>
          <w:sz w:val="24"/>
          <w:szCs w:val="24"/>
        </w:rPr>
        <w:t xml:space="preserve">Li, T., Zhuang, D., Cai, S., Ding, F., Tian, F., Huang, M., Li, L., Chen, W., Li, K., &amp; Sheng, J. (2023). Low serum calcium is a novel predictor of unfavorable prognosis after traumatic brain injury. </w:t>
      </w:r>
      <w:proofErr w:type="spellStart"/>
      <w:r w:rsidR="00CE19AC" w:rsidRPr="00CE19AC">
        <w:rPr>
          <w:rFonts w:ascii="Times New Roman" w:hAnsi="Times New Roman" w:cs="Times New Roman"/>
          <w:sz w:val="24"/>
          <w:szCs w:val="24"/>
        </w:rPr>
        <w:t>Heliyon</w:t>
      </w:r>
      <w:proofErr w:type="spellEnd"/>
      <w:r w:rsidR="00CE19AC" w:rsidRPr="00CE19AC">
        <w:rPr>
          <w:rFonts w:ascii="Times New Roman" w:hAnsi="Times New Roman" w:cs="Times New Roman"/>
          <w:sz w:val="24"/>
          <w:szCs w:val="24"/>
        </w:rPr>
        <w:t xml:space="preserve">, 9(8). </w:t>
      </w:r>
      <w:hyperlink r:id="rId33" w:history="1">
        <w:r w:rsidR="00CE19AC" w:rsidRPr="008E5DBE">
          <w:rPr>
            <w:rStyle w:val="Hyperlink"/>
            <w:rFonts w:ascii="Times New Roman" w:hAnsi="Times New Roman" w:cs="Times New Roman"/>
            <w:sz w:val="24"/>
            <w:szCs w:val="24"/>
          </w:rPr>
          <w:t>https://doi.org/10.1016/j.heliyon.2023.e18475</w:t>
        </w:r>
      </w:hyperlink>
      <w:r w:rsidR="00CE19AC">
        <w:rPr>
          <w:rFonts w:ascii="Times New Roman" w:hAnsi="Times New Roman" w:cs="Times New Roman"/>
          <w:sz w:val="24"/>
          <w:szCs w:val="24"/>
        </w:rPr>
        <w:tab/>
      </w:r>
    </w:p>
    <w:p w14:paraId="24EEBA9C" w14:textId="6CE3D658" w:rsidR="004A4790" w:rsidRDefault="00F029D3">
      <w:pPr>
        <w:jc w:val="both"/>
        <w:rPr>
          <w:rFonts w:ascii="Times New Roman" w:hAnsi="Times New Roman" w:cs="Times New Roman"/>
          <w:sz w:val="24"/>
          <w:szCs w:val="24"/>
        </w:rPr>
      </w:pPr>
      <w:r>
        <w:rPr>
          <w:rFonts w:ascii="Times New Roman" w:hAnsi="Times New Roman" w:cs="Times New Roman"/>
          <w:sz w:val="24"/>
          <w:szCs w:val="24"/>
        </w:rPr>
        <w:t>28-</w:t>
      </w:r>
      <w:r w:rsidR="00CE19AC" w:rsidRPr="00CE19AC">
        <w:t xml:space="preserve"> </w:t>
      </w:r>
      <w:r w:rsidR="00CE19AC" w:rsidRPr="00CE19AC">
        <w:rPr>
          <w:rFonts w:ascii="Times New Roman" w:hAnsi="Times New Roman" w:cs="Times New Roman"/>
          <w:sz w:val="24"/>
          <w:szCs w:val="24"/>
        </w:rPr>
        <w:t xml:space="preserve">Kristián, T., </w:t>
      </w:r>
      <w:proofErr w:type="spellStart"/>
      <w:r w:rsidR="00CE19AC" w:rsidRPr="00CE19AC">
        <w:rPr>
          <w:rFonts w:ascii="Times New Roman" w:hAnsi="Times New Roman" w:cs="Times New Roman"/>
          <w:sz w:val="24"/>
          <w:szCs w:val="24"/>
        </w:rPr>
        <w:t>Gidö</w:t>
      </w:r>
      <w:proofErr w:type="spellEnd"/>
      <w:r w:rsidR="00CE19AC" w:rsidRPr="00CE19AC">
        <w:rPr>
          <w:rFonts w:ascii="Times New Roman" w:hAnsi="Times New Roman" w:cs="Times New Roman"/>
          <w:sz w:val="24"/>
          <w:szCs w:val="24"/>
        </w:rPr>
        <w:t xml:space="preserve">, G., &amp; </w:t>
      </w:r>
      <w:proofErr w:type="spellStart"/>
      <w:r w:rsidR="00CE19AC" w:rsidRPr="00CE19AC">
        <w:rPr>
          <w:rFonts w:ascii="Times New Roman" w:hAnsi="Times New Roman" w:cs="Times New Roman"/>
          <w:sz w:val="24"/>
          <w:szCs w:val="24"/>
        </w:rPr>
        <w:t>Siesjö</w:t>
      </w:r>
      <w:proofErr w:type="spellEnd"/>
      <w:r w:rsidR="00CE19AC" w:rsidRPr="00CE19AC">
        <w:rPr>
          <w:rFonts w:ascii="Times New Roman" w:hAnsi="Times New Roman" w:cs="Times New Roman"/>
          <w:sz w:val="24"/>
          <w:szCs w:val="24"/>
        </w:rPr>
        <w:t xml:space="preserve">, B. K. (1993). Brain calcium metabolism in hypoglycemic coma. Journal of Cerebral Blood Flow &amp; Metabolism, 13(6), 955-961. </w:t>
      </w:r>
      <w:hyperlink r:id="rId34" w:history="1">
        <w:r w:rsidR="00CE19AC" w:rsidRPr="008E5DBE">
          <w:rPr>
            <w:rStyle w:val="Hyperlink"/>
            <w:rFonts w:ascii="Times New Roman" w:hAnsi="Times New Roman" w:cs="Times New Roman"/>
            <w:sz w:val="24"/>
            <w:szCs w:val="24"/>
          </w:rPr>
          <w:t>https://doi.org/10.1038/jcbfm.1993.119</w:t>
        </w:r>
      </w:hyperlink>
      <w:r w:rsidR="00CE19AC">
        <w:rPr>
          <w:rFonts w:ascii="Times New Roman" w:hAnsi="Times New Roman" w:cs="Times New Roman"/>
          <w:sz w:val="24"/>
          <w:szCs w:val="24"/>
        </w:rPr>
        <w:tab/>
      </w:r>
    </w:p>
    <w:p w14:paraId="7579A5D8" w14:textId="05E38E0F" w:rsidR="004A4790" w:rsidRDefault="00F029D3">
      <w:pPr>
        <w:jc w:val="both"/>
        <w:rPr>
          <w:rFonts w:ascii="Times New Roman" w:hAnsi="Times New Roman" w:cs="Times New Roman"/>
          <w:sz w:val="24"/>
          <w:szCs w:val="24"/>
        </w:rPr>
      </w:pPr>
      <w:r>
        <w:rPr>
          <w:rFonts w:ascii="Times New Roman" w:hAnsi="Times New Roman" w:cs="Times New Roman"/>
          <w:sz w:val="24"/>
          <w:szCs w:val="24"/>
        </w:rPr>
        <w:t>29-</w:t>
      </w:r>
      <w:r w:rsidR="00CE19AC" w:rsidRPr="00CE19AC">
        <w:t xml:space="preserve"> </w:t>
      </w:r>
      <w:r w:rsidR="00CE19AC" w:rsidRPr="00CE19AC">
        <w:rPr>
          <w:rFonts w:ascii="Times New Roman" w:hAnsi="Times New Roman" w:cs="Times New Roman"/>
          <w:sz w:val="24"/>
          <w:szCs w:val="24"/>
        </w:rPr>
        <w:t xml:space="preserve">Díaz-García, C. M., Meyer, D. J., Nathwani, N., Rahman, M., Martínez-François, J. R., &amp; Yellen, G. (2021). The distinct roles of calcium in rapid control of neuronal glycolysis and the tricarboxylic acid cycle. </w:t>
      </w:r>
      <w:proofErr w:type="spellStart"/>
      <w:r w:rsidR="00CE19AC" w:rsidRPr="00CE19AC">
        <w:rPr>
          <w:rFonts w:ascii="Times New Roman" w:hAnsi="Times New Roman" w:cs="Times New Roman"/>
          <w:sz w:val="24"/>
          <w:szCs w:val="24"/>
        </w:rPr>
        <w:t>eLife</w:t>
      </w:r>
      <w:proofErr w:type="spellEnd"/>
      <w:r w:rsidR="00CE19AC" w:rsidRPr="00CE19AC">
        <w:rPr>
          <w:rFonts w:ascii="Times New Roman" w:hAnsi="Times New Roman" w:cs="Times New Roman"/>
          <w:sz w:val="24"/>
          <w:szCs w:val="24"/>
        </w:rPr>
        <w:t xml:space="preserve">, 10, e64821. </w:t>
      </w:r>
      <w:hyperlink r:id="rId35" w:history="1">
        <w:r w:rsidR="00CE19AC" w:rsidRPr="008E5DBE">
          <w:rPr>
            <w:rStyle w:val="Hyperlink"/>
            <w:rFonts w:ascii="Times New Roman" w:hAnsi="Times New Roman" w:cs="Times New Roman"/>
            <w:sz w:val="24"/>
            <w:szCs w:val="24"/>
          </w:rPr>
          <w:t>https://doi.org/10.7554/eLife.64821</w:t>
        </w:r>
      </w:hyperlink>
      <w:r w:rsidR="00CE19AC">
        <w:rPr>
          <w:rFonts w:ascii="Times New Roman" w:hAnsi="Times New Roman" w:cs="Times New Roman"/>
          <w:sz w:val="24"/>
          <w:szCs w:val="24"/>
        </w:rPr>
        <w:tab/>
      </w:r>
    </w:p>
    <w:p w14:paraId="5D42674C" w14:textId="2C731449" w:rsidR="004A4790" w:rsidRDefault="00F029D3">
      <w:pPr>
        <w:jc w:val="both"/>
        <w:rPr>
          <w:rFonts w:ascii="Times New Roman" w:hAnsi="Times New Roman" w:cs="Times New Roman"/>
          <w:sz w:val="24"/>
          <w:szCs w:val="24"/>
        </w:rPr>
      </w:pPr>
      <w:r>
        <w:rPr>
          <w:rFonts w:ascii="Times New Roman" w:hAnsi="Times New Roman" w:cs="Times New Roman"/>
          <w:sz w:val="24"/>
          <w:szCs w:val="24"/>
        </w:rPr>
        <w:t>30-</w:t>
      </w:r>
      <w:r w:rsidR="00CE19AC" w:rsidRPr="00CE19AC">
        <w:t xml:space="preserve"> </w:t>
      </w:r>
      <w:proofErr w:type="spellStart"/>
      <w:r w:rsidR="00CE19AC" w:rsidRPr="00CE19AC">
        <w:rPr>
          <w:rFonts w:ascii="Times New Roman" w:hAnsi="Times New Roman" w:cs="Times New Roman"/>
          <w:sz w:val="24"/>
          <w:szCs w:val="24"/>
        </w:rPr>
        <w:t>Mekkodathil</w:t>
      </w:r>
      <w:proofErr w:type="spellEnd"/>
      <w:r w:rsidR="00CE19AC" w:rsidRPr="00CE19AC">
        <w:rPr>
          <w:rFonts w:ascii="Times New Roman" w:hAnsi="Times New Roman" w:cs="Times New Roman"/>
          <w:sz w:val="24"/>
          <w:szCs w:val="24"/>
        </w:rPr>
        <w:t>, A., El-</w:t>
      </w:r>
      <w:proofErr w:type="spellStart"/>
      <w:r w:rsidR="00CE19AC" w:rsidRPr="00CE19AC">
        <w:rPr>
          <w:rFonts w:ascii="Times New Roman" w:hAnsi="Times New Roman" w:cs="Times New Roman"/>
          <w:sz w:val="24"/>
          <w:szCs w:val="24"/>
        </w:rPr>
        <w:t>Menyar</w:t>
      </w:r>
      <w:proofErr w:type="spellEnd"/>
      <w:r w:rsidR="00CE19AC" w:rsidRPr="00CE19AC">
        <w:rPr>
          <w:rFonts w:ascii="Times New Roman" w:hAnsi="Times New Roman" w:cs="Times New Roman"/>
          <w:sz w:val="24"/>
          <w:szCs w:val="24"/>
        </w:rPr>
        <w:t xml:space="preserve">, A., Hakim, S., Al Jogol, H., </w:t>
      </w:r>
      <w:proofErr w:type="spellStart"/>
      <w:r w:rsidR="00CE19AC" w:rsidRPr="00CE19AC">
        <w:rPr>
          <w:rFonts w:ascii="Times New Roman" w:hAnsi="Times New Roman" w:cs="Times New Roman"/>
          <w:sz w:val="24"/>
          <w:szCs w:val="24"/>
        </w:rPr>
        <w:t>Parchani</w:t>
      </w:r>
      <w:proofErr w:type="spellEnd"/>
      <w:r w:rsidR="00CE19AC" w:rsidRPr="00CE19AC">
        <w:rPr>
          <w:rFonts w:ascii="Times New Roman" w:hAnsi="Times New Roman" w:cs="Times New Roman"/>
          <w:sz w:val="24"/>
          <w:szCs w:val="24"/>
        </w:rPr>
        <w:t xml:space="preserve">, A., Peralta, R., </w:t>
      </w:r>
      <w:proofErr w:type="spellStart"/>
      <w:r w:rsidR="00CE19AC" w:rsidRPr="00CE19AC">
        <w:rPr>
          <w:rFonts w:ascii="Times New Roman" w:hAnsi="Times New Roman" w:cs="Times New Roman"/>
          <w:sz w:val="24"/>
          <w:szCs w:val="24"/>
        </w:rPr>
        <w:t>Rizoli</w:t>
      </w:r>
      <w:proofErr w:type="spellEnd"/>
      <w:r w:rsidR="00CE19AC" w:rsidRPr="00CE19AC">
        <w:rPr>
          <w:rFonts w:ascii="Times New Roman" w:hAnsi="Times New Roman" w:cs="Times New Roman"/>
          <w:sz w:val="24"/>
          <w:szCs w:val="24"/>
        </w:rPr>
        <w:t xml:space="preserve">, S., &amp; Al-Thani, H. (2023). Initial Serum Levels of Magnesium and Calcium as Predictors of Mortality in Traumatic Brain Injury Patients: A Retrospective Study. Diagnostics, 13(6), 1172. </w:t>
      </w:r>
      <w:hyperlink r:id="rId36" w:history="1">
        <w:r w:rsidR="00CE19AC" w:rsidRPr="008E5DBE">
          <w:rPr>
            <w:rStyle w:val="Hyperlink"/>
            <w:rFonts w:ascii="Times New Roman" w:hAnsi="Times New Roman" w:cs="Times New Roman"/>
            <w:sz w:val="24"/>
            <w:szCs w:val="24"/>
          </w:rPr>
          <w:t>https://doi.org/10.3390/diagnostics13061172</w:t>
        </w:r>
      </w:hyperlink>
      <w:r w:rsidR="00CE19AC">
        <w:rPr>
          <w:rFonts w:ascii="Times New Roman" w:hAnsi="Times New Roman" w:cs="Times New Roman"/>
          <w:sz w:val="24"/>
          <w:szCs w:val="24"/>
        </w:rPr>
        <w:tab/>
      </w:r>
    </w:p>
    <w:sectPr w:rsidR="004A4790">
      <w:headerReference w:type="even" r:id="rId37"/>
      <w:headerReference w:type="default" r:id="rId38"/>
      <w:footerReference w:type="even" r:id="rId39"/>
      <w:footerReference w:type="default" r:id="rId40"/>
      <w:headerReference w:type="first" r:id="rId41"/>
      <w:footerReference w:type="first" r:id="rId42"/>
      <w:pgSz w:w="11907" w:h="16840"/>
      <w:pgMar w:top="1134" w:right="1559"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2AE4D" w14:textId="77777777" w:rsidR="00F029D3" w:rsidRDefault="00F029D3">
      <w:pPr>
        <w:spacing w:line="240" w:lineRule="auto"/>
      </w:pPr>
      <w:r>
        <w:separator/>
      </w:r>
    </w:p>
  </w:endnote>
  <w:endnote w:type="continuationSeparator" w:id="0">
    <w:p w14:paraId="02AA30D1" w14:textId="77777777" w:rsidR="00F029D3" w:rsidRDefault="00F02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44CB6" w14:textId="77777777" w:rsidR="00061D24" w:rsidRDefault="00061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76625" w14:textId="77777777" w:rsidR="00061D24" w:rsidRDefault="00061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4C31" w14:textId="77777777" w:rsidR="00061D24" w:rsidRDefault="00061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14B8F" w14:textId="77777777" w:rsidR="00F029D3" w:rsidRDefault="00F029D3">
      <w:pPr>
        <w:spacing w:after="0"/>
      </w:pPr>
      <w:r>
        <w:separator/>
      </w:r>
    </w:p>
  </w:footnote>
  <w:footnote w:type="continuationSeparator" w:id="0">
    <w:p w14:paraId="357E0330" w14:textId="77777777" w:rsidR="00F029D3" w:rsidRDefault="00F029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73FA5" w14:textId="60245AAD" w:rsidR="00061D24" w:rsidRDefault="00061D24">
    <w:pPr>
      <w:pStyle w:val="Header"/>
    </w:pPr>
    <w:r>
      <w:rPr>
        <w:noProof/>
      </w:rPr>
      <w:pict w14:anchorId="4161C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4" o:spid="_x0000_s2050" type="#_x0000_t136" style="position:absolute;margin-left:0;margin-top:0;width:529.6pt;height:9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3EA0" w14:textId="33CE6732" w:rsidR="00061D24" w:rsidRDefault="00061D24">
    <w:pPr>
      <w:pStyle w:val="Header"/>
    </w:pPr>
    <w:r>
      <w:rPr>
        <w:noProof/>
      </w:rPr>
      <w:pict w14:anchorId="57DF7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5" o:spid="_x0000_s2051" type="#_x0000_t136" style="position:absolute;margin-left:0;margin-top:0;width:529.6pt;height:9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2CEB" w14:textId="42110E16" w:rsidR="00061D24" w:rsidRDefault="00061D24">
    <w:pPr>
      <w:pStyle w:val="Header"/>
    </w:pPr>
    <w:r>
      <w:rPr>
        <w:noProof/>
      </w:rPr>
      <w:pict w14:anchorId="0490C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3" o:spid="_x0000_s2049" type="#_x0000_t136" style="position:absolute;margin-left:0;margin-top:0;width:529.6pt;height:9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790"/>
    <w:rsid w:val="00061D24"/>
    <w:rsid w:val="000E7B9F"/>
    <w:rsid w:val="000F576E"/>
    <w:rsid w:val="001C750E"/>
    <w:rsid w:val="0035567E"/>
    <w:rsid w:val="004A4790"/>
    <w:rsid w:val="007E35DA"/>
    <w:rsid w:val="00A37E31"/>
    <w:rsid w:val="00CE19AC"/>
    <w:rsid w:val="00D16989"/>
    <w:rsid w:val="00DA021F"/>
    <w:rsid w:val="00F029D3"/>
    <w:rsid w:val="189B748E"/>
    <w:rsid w:val="501320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84F55"/>
  <w15:docId w15:val="{BC46C0DE-F5E8-45BD-A201-31D3D9C8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customStyle="1" w:styleId="BalloonTextChar">
    <w:name w:val="Balloon Text Char"/>
    <w:basedOn w:val="DefaultParagraphFont"/>
    <w:link w:val="BalloonText"/>
    <w:uiPriority w:val="99"/>
    <w:qFormat/>
    <w:rPr>
      <w:rFonts w:ascii="Tahoma" w:hAnsi="Tahoma" w:cs="Tahoma"/>
      <w:sz w:val="16"/>
      <w:szCs w:val="16"/>
    </w:rPr>
  </w:style>
  <w:style w:type="table" w:customStyle="1" w:styleId="-11">
    <w:name w:val="شبكة فاتحة - تمييز 1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styleId="UnresolvedMention">
    <w:name w:val="Unresolved Mention"/>
    <w:basedOn w:val="DefaultParagraphFont"/>
    <w:uiPriority w:val="99"/>
    <w:semiHidden/>
    <w:unhideWhenUsed/>
    <w:rsid w:val="00CE19AC"/>
    <w:rPr>
      <w:color w:val="605E5C"/>
      <w:shd w:val="clear" w:color="auto" w:fill="E1DFDD"/>
    </w:rPr>
  </w:style>
  <w:style w:type="paragraph" w:styleId="Header">
    <w:name w:val="header"/>
    <w:basedOn w:val="Normal"/>
    <w:link w:val="HeaderChar"/>
    <w:rsid w:val="00061D24"/>
    <w:pPr>
      <w:tabs>
        <w:tab w:val="center" w:pos="4680"/>
        <w:tab w:val="right" w:pos="9360"/>
      </w:tabs>
      <w:spacing w:after="0" w:line="240" w:lineRule="auto"/>
    </w:pPr>
  </w:style>
  <w:style w:type="character" w:customStyle="1" w:styleId="HeaderChar">
    <w:name w:val="Header Char"/>
    <w:basedOn w:val="DefaultParagraphFont"/>
    <w:link w:val="Header"/>
    <w:rsid w:val="00061D24"/>
    <w:rPr>
      <w:sz w:val="22"/>
      <w:szCs w:val="22"/>
      <w:lang w:val="en-US" w:eastAsia="en-US"/>
    </w:rPr>
  </w:style>
  <w:style w:type="paragraph" w:styleId="Footer">
    <w:name w:val="footer"/>
    <w:basedOn w:val="Normal"/>
    <w:link w:val="FooterChar"/>
    <w:rsid w:val="00061D24"/>
    <w:pPr>
      <w:tabs>
        <w:tab w:val="center" w:pos="4680"/>
        <w:tab w:val="right" w:pos="9360"/>
      </w:tabs>
      <w:spacing w:after="0" w:line="240" w:lineRule="auto"/>
    </w:pPr>
  </w:style>
  <w:style w:type="character" w:customStyle="1" w:styleId="FooterChar">
    <w:name w:val="Footer Char"/>
    <w:basedOn w:val="DefaultParagraphFont"/>
    <w:link w:val="Footer"/>
    <w:rsid w:val="00061D2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2174/1570159X15666170613083606" TargetMode="External"/><Relationship Id="rId18" Type="http://schemas.openxmlformats.org/officeDocument/2006/relationships/hyperlink" Target="https://doi.org/10.1016/j.mad.2010.03.009" TargetMode="External"/><Relationship Id="rId26" Type="http://schemas.openxmlformats.org/officeDocument/2006/relationships/hyperlink" Target="https://doi.org/10.1016/B978-0-12-800222-3.00007-3" TargetMode="External"/><Relationship Id="rId39" Type="http://schemas.openxmlformats.org/officeDocument/2006/relationships/footer" Target="footer1.xml"/><Relationship Id="rId21" Type="http://schemas.openxmlformats.org/officeDocument/2006/relationships/hyperlink" Target="https://pubmed.ncbi.nlm.nih.gov/16402001/" TargetMode="External"/><Relationship Id="rId34" Type="http://schemas.openxmlformats.org/officeDocument/2006/relationships/hyperlink" Target="https://doi.org/10.1038/jcbfm.1993.119" TargetMode="External"/><Relationship Id="rId42"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12028-021-01256-7" TargetMode="External"/><Relationship Id="rId20" Type="http://schemas.openxmlformats.org/officeDocument/2006/relationships/hyperlink" Target="https://doi.org/10.1016/j.brainres.2012.08.032" TargetMode="External"/><Relationship Id="rId29" Type="http://schemas.openxmlformats.org/officeDocument/2006/relationships/hyperlink" Target="https://doi.org/10.3171/jns.2000.93.4.053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mehy.2010.03.005" TargetMode="External"/><Relationship Id="rId24" Type="http://schemas.openxmlformats.org/officeDocument/2006/relationships/hyperlink" Target="https://doi.org/10.1038/s41598-021-94625-3" TargetMode="External"/><Relationship Id="rId32" Type="http://schemas.openxmlformats.org/officeDocument/2006/relationships/hyperlink" Target="https://doi.org/10.1016/j.neuron.2010.09.01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ijms22115887" TargetMode="External"/><Relationship Id="rId23" Type="http://schemas.openxmlformats.org/officeDocument/2006/relationships/hyperlink" Target="https://doi.org/10.1186/s13054-015-1081-8" TargetMode="External"/><Relationship Id="rId28" Type="http://schemas.openxmlformats.org/officeDocument/2006/relationships/hyperlink" Target="https://doi.org/10.1002/cne.903230303" TargetMode="External"/><Relationship Id="rId36" Type="http://schemas.openxmlformats.org/officeDocument/2006/relationships/hyperlink" Target="https://doi.org/10.3390/diagnostics13061172" TargetMode="External"/><Relationship Id="rId10" Type="http://schemas.openxmlformats.org/officeDocument/2006/relationships/oleObject" Target="embeddings/Microsoft_Excel_97-2003_Worksheet.xls"/><Relationship Id="rId19" Type="http://schemas.openxmlformats.org/officeDocument/2006/relationships/hyperlink" Target="https://doi.org/10.1097/00004647-199710000-00002" TargetMode="External"/><Relationship Id="rId31" Type="http://schemas.openxmlformats.org/officeDocument/2006/relationships/hyperlink" Target="https://doi.org/10.1007/978-94-017-7215-0_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4336/AD.2020.0812" TargetMode="External"/><Relationship Id="rId22" Type="http://schemas.openxmlformats.org/officeDocument/2006/relationships/hyperlink" Target="https://doi.org/10.1016/j.jacc.2015.03.538" TargetMode="External"/><Relationship Id="rId27" Type="http://schemas.openxmlformats.org/officeDocument/2006/relationships/hyperlink" Target="https://doi.org/10.1002/ana.410040410" TargetMode="External"/><Relationship Id="rId30" Type="http://schemas.openxmlformats.org/officeDocument/2006/relationships/hyperlink" Target="https://doi.org/10.1089/089771504772695896" TargetMode="External"/><Relationship Id="rId35" Type="http://schemas.openxmlformats.org/officeDocument/2006/relationships/hyperlink" Target="https://doi.org/10.7554/eLife.64821" TargetMode="External"/><Relationship Id="rId43" Type="http://schemas.openxmlformats.org/officeDocument/2006/relationships/fontTable" Target="fontTable.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155/2017/6392592" TargetMode="External"/><Relationship Id="rId17" Type="http://schemas.openxmlformats.org/officeDocument/2006/relationships/hyperlink" Target="https://doi.org/10.1016/j.tips.2017.04.005" TargetMode="External"/><Relationship Id="rId25" Type="http://schemas.openxmlformats.org/officeDocument/2006/relationships/hyperlink" Target="https://doi.org/10.1016/j.cjtee.2021.06.004" TargetMode="External"/><Relationship Id="rId33" Type="http://schemas.openxmlformats.org/officeDocument/2006/relationships/hyperlink" Target="https://doi.org/10.1016/j.heliyon.2023.e18475"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scovery\OneDrive\Desktop\&#1575;&#1604;&#1576;&#1581;&#1608;&#1579;\coma%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scovery\OneDrive\Desktop\&#1575;&#1604;&#1576;&#1581;&#1608;&#1579;\coma%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Study Population</a:t>
            </a:r>
            <a:r>
              <a:rPr lang="en-US" baseline="0">
                <a:latin typeface="Times New Roman" panose="02020603050405020304" charset="0"/>
                <a:cs typeface="Times New Roman" panose="02020603050405020304" charset="0"/>
              </a:rPr>
              <a:t> </a:t>
            </a:r>
            <a:endParaRPr lang="en-US">
              <a:latin typeface="Times New Roman" panose="02020603050405020304" charset="0"/>
              <a:cs typeface="Times New Roman" panose="02020603050405020304" charset="0"/>
            </a:endParaRPr>
          </a:p>
        </c:rich>
      </c:tx>
      <c:overlay val="0"/>
    </c:title>
    <c:autoTitleDeleted val="0"/>
    <c:plotArea>
      <c:layout/>
      <c:pieChart>
        <c:varyColors val="1"/>
        <c:ser>
          <c:idx val="0"/>
          <c:order val="0"/>
          <c:explosion val="18"/>
          <c:dPt>
            <c:idx val="0"/>
            <c:bubble3D val="0"/>
            <c:explosion val="0"/>
            <c:extLst>
              <c:ext xmlns:c16="http://schemas.microsoft.com/office/drawing/2014/chart" uri="{C3380CC4-5D6E-409C-BE32-E72D297353CC}">
                <c16:uniqueId val="{00000000-FC3A-404F-A4B6-D138C2DBD92B}"/>
              </c:ext>
            </c:extLst>
          </c:dPt>
          <c:dPt>
            <c:idx val="1"/>
            <c:bubble3D val="0"/>
            <c:explosion val="0"/>
            <c:extLst>
              <c:ext xmlns:c16="http://schemas.microsoft.com/office/drawing/2014/chart" uri="{C3380CC4-5D6E-409C-BE32-E72D297353CC}">
                <c16:uniqueId val="{00000001-FC3A-404F-A4B6-D138C2DBD92B}"/>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ورقة1!$Y$34:$Z$34</c:f>
              <c:strCache>
                <c:ptCount val="2"/>
                <c:pt idx="0">
                  <c:v>Female </c:v>
                </c:pt>
                <c:pt idx="1">
                  <c:v>Male </c:v>
                </c:pt>
              </c:strCache>
            </c:strRef>
          </c:cat>
          <c:val>
            <c:numRef>
              <c:f>ورقة1!$Y$35:$Z$35</c:f>
              <c:numCache>
                <c:formatCode>General</c:formatCode>
                <c:ptCount val="2"/>
                <c:pt idx="0">
                  <c:v>11</c:v>
                </c:pt>
                <c:pt idx="1">
                  <c:v>21</c:v>
                </c:pt>
              </c:numCache>
            </c:numRef>
          </c:val>
          <c:extLst>
            <c:ext xmlns:c16="http://schemas.microsoft.com/office/drawing/2014/chart" uri="{C3380CC4-5D6E-409C-BE32-E72D297353CC}">
              <c16:uniqueId val="{00000002-FC3A-404F-A4B6-D138C2DBD92B}"/>
            </c:ext>
          </c:extLst>
        </c:ser>
        <c:dLbls>
          <c:showLegendKey val="0"/>
          <c:showVal val="0"/>
          <c:showCatName val="1"/>
          <c:showSerName val="0"/>
          <c:showPercent val="1"/>
          <c:showBubbleSize val="0"/>
          <c:showLeaderLines val="0"/>
        </c:dLbls>
        <c:firstSliceAng val="360"/>
      </c:pieChart>
    </c:plotArea>
    <c:plotVisOnly val="1"/>
    <c:dispBlanksAs val="gap"/>
    <c:showDLblsOverMax val="0"/>
    <c:extLst>
      <c:ext uri="{0b15fc19-7d7d-44ad-8c2d-2c3a37ce22c3}">
        <chartProps xmlns="https://web.wps.cn/et/2018/main" chartId="{f9e334fa-9bff-41fb-8594-d6df0022ed78}"/>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death</c:f>
              <c:strCache>
                <c:ptCount val="1"/>
                <c:pt idx="0">
                  <c:v>death</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{0,1,1,5}</c:f>
              <c:numCache>
                <c:formatCode>General</c:formatCode>
                <c:ptCount val="4"/>
                <c:pt idx="0">
                  <c:v>0</c:v>
                </c:pt>
                <c:pt idx="1">
                  <c:v>1</c:v>
                </c:pt>
                <c:pt idx="2">
                  <c:v>1</c:v>
                </c:pt>
                <c:pt idx="3">
                  <c:v>5</c:v>
                </c:pt>
              </c:numCache>
            </c:numRef>
          </c:val>
          <c:extLst>
            <c:ext xmlns:c16="http://schemas.microsoft.com/office/drawing/2014/chart" uri="{C3380CC4-5D6E-409C-BE32-E72D297353CC}">
              <c16:uniqueId val="{00000000-0956-4195-875E-3E5953127DEF}"/>
            </c:ext>
          </c:extLst>
        </c:ser>
        <c:ser>
          <c:idx val="1"/>
          <c:order val="1"/>
          <c:tx>
            <c:strRef>
              <c:f>MCS</c:f>
              <c:strCache>
                <c:ptCount val="1"/>
                <c:pt idx="0">
                  <c:v>MCS</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{0,1,2,0}</c:f>
              <c:numCache>
                <c:formatCode>General</c:formatCode>
                <c:ptCount val="4"/>
                <c:pt idx="0">
                  <c:v>0</c:v>
                </c:pt>
                <c:pt idx="1">
                  <c:v>1</c:v>
                </c:pt>
                <c:pt idx="2">
                  <c:v>2</c:v>
                </c:pt>
                <c:pt idx="3">
                  <c:v>0</c:v>
                </c:pt>
              </c:numCache>
            </c:numRef>
          </c:val>
          <c:extLst>
            <c:ext xmlns:c16="http://schemas.microsoft.com/office/drawing/2014/chart" uri="{C3380CC4-5D6E-409C-BE32-E72D297353CC}">
              <c16:uniqueId val="{00000001-0956-4195-875E-3E5953127DEF}"/>
            </c:ext>
          </c:extLst>
        </c:ser>
        <c:ser>
          <c:idx val="2"/>
          <c:order val="2"/>
          <c:tx>
            <c:strRef>
              <c:f>regain consciousness</c:f>
              <c:strCache>
                <c:ptCount val="1"/>
                <c:pt idx="0">
                  <c:v>regain consciousness</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{0,0,0,19}</c:f>
              <c:numCache>
                <c:formatCode>General</c:formatCode>
                <c:ptCount val="4"/>
                <c:pt idx="0">
                  <c:v>0</c:v>
                </c:pt>
                <c:pt idx="1">
                  <c:v>0</c:v>
                </c:pt>
                <c:pt idx="2">
                  <c:v>0</c:v>
                </c:pt>
                <c:pt idx="3">
                  <c:v>19</c:v>
                </c:pt>
              </c:numCache>
            </c:numRef>
          </c:val>
          <c:extLst>
            <c:ext xmlns:c16="http://schemas.microsoft.com/office/drawing/2014/chart" uri="{C3380CC4-5D6E-409C-BE32-E72D297353CC}">
              <c16:uniqueId val="{00000002-0956-4195-875E-3E5953127DEF}"/>
            </c:ext>
          </c:extLst>
        </c:ser>
        <c:ser>
          <c:idx val="3"/>
          <c:order val="3"/>
          <c:tx>
            <c:strRef>
              <c:f>VS</c:f>
              <c:strCache>
                <c:ptCount val="1"/>
                <c:pt idx="0">
                  <c:v>VS</c:v>
                </c:pt>
              </c:strCache>
            </c:strRef>
          </c:tx>
          <c:invertIfNegative val="0"/>
          <c:cat>
            <c:strRef>
              <c:f>{"anoxia","cardiac arrest ","electerical shock","RTA"}</c:f>
              <c:strCache>
                <c:ptCount val="4"/>
                <c:pt idx="0">
                  <c:v>anoxia</c:v>
                </c:pt>
                <c:pt idx="1">
                  <c:v>cardiac arrest </c:v>
                </c:pt>
                <c:pt idx="2">
                  <c:v>electerical shock</c:v>
                </c:pt>
                <c:pt idx="3">
                  <c:v>RTA</c:v>
                </c:pt>
              </c:strCache>
            </c:strRef>
          </c:cat>
          <c:val>
            <c:numRef>
              <c:f>{3,0,0,0}</c:f>
              <c:numCache>
                <c:formatCode>General</c:formatCode>
                <c:ptCount val="4"/>
                <c:pt idx="0">
                  <c:v>3</c:v>
                </c:pt>
                <c:pt idx="1">
                  <c:v>0</c:v>
                </c:pt>
                <c:pt idx="2">
                  <c:v>0</c:v>
                </c:pt>
                <c:pt idx="3">
                  <c:v>0</c:v>
                </c:pt>
              </c:numCache>
            </c:numRef>
          </c:val>
          <c:extLst>
            <c:ext xmlns:c16="http://schemas.microsoft.com/office/drawing/2014/chart" uri="{C3380CC4-5D6E-409C-BE32-E72D297353CC}">
              <c16:uniqueId val="{00000003-0956-4195-875E-3E5953127DEF}"/>
            </c:ext>
          </c:extLst>
        </c:ser>
        <c:dLbls>
          <c:showLegendKey val="0"/>
          <c:showVal val="0"/>
          <c:showCatName val="0"/>
          <c:showSerName val="0"/>
          <c:showPercent val="0"/>
          <c:showBubbleSize val="0"/>
        </c:dLbls>
        <c:gapWidth val="150"/>
        <c:axId val="261071232"/>
        <c:axId val="261072768"/>
      </c:barChart>
      <c:catAx>
        <c:axId val="2610712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cap="all" baseline="0">
                <a:solidFill>
                  <a:schemeClr val="tx1"/>
                </a:solidFill>
                <a:latin typeface="+mn-lt"/>
                <a:ea typeface="+mn-ea"/>
                <a:cs typeface="+mn-cs"/>
              </a:defRPr>
            </a:pPr>
            <a:endParaRPr lang="en-US"/>
          </a:p>
        </c:txPr>
        <c:crossAx val="261072768"/>
        <c:crosses val="autoZero"/>
        <c:auto val="1"/>
        <c:lblAlgn val="ctr"/>
        <c:lblOffset val="100"/>
        <c:noMultiLvlLbl val="0"/>
      </c:catAx>
      <c:valAx>
        <c:axId val="261072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61071232"/>
        <c:crosses val="autoZero"/>
        <c:crossBetween val="between"/>
      </c:valAx>
    </c:plotArea>
    <c:legend>
      <c:legendPos val="l"/>
      <c:legendEntry>
        <c:idx val="0"/>
        <c:txPr>
          <a:bodyPr rot="0" spcFirstLastPara="0" vertOverflow="ellipsis" vert="horz" wrap="square" anchor="ctr" anchorCtr="1"/>
          <a:lstStyle/>
          <a:p>
            <a:pPr>
              <a:defRPr lang="en-US" sz="800" b="0" i="0" u="none" strike="noStrike" kern="1200" cap="all" baseline="0">
                <a:solidFill>
                  <a:schemeClr val="tx1"/>
                </a:solidFill>
                <a:latin typeface="+mn-lt"/>
                <a:ea typeface="+mn-ea"/>
                <a:cs typeface="+mn-cs"/>
              </a:defRPr>
            </a:pPr>
            <a:endParaRPr lang="en-US"/>
          </a:p>
        </c:txPr>
      </c:legendEntry>
      <c:legendEntry>
        <c:idx val="2"/>
        <c:txPr>
          <a:bodyPr rot="0" spcFirstLastPara="0" vertOverflow="ellipsis" vert="horz" wrap="square" anchor="ctr" anchorCtr="1"/>
          <a:lstStyle/>
          <a:p>
            <a:pPr>
              <a:defRPr lang="en-US" sz="800" b="0" i="0" u="none" strike="noStrike" kern="1200" cap="all" baseline="0">
                <a:solidFill>
                  <a:schemeClr val="tx1"/>
                </a:solidFill>
                <a:latin typeface="+mn-lt"/>
                <a:ea typeface="+mn-ea"/>
                <a:cs typeface="+mn-cs"/>
              </a:defRPr>
            </a:pPr>
            <a:endParaRPr lang="en-US"/>
          </a:p>
        </c:txPr>
      </c:legendEntry>
      <c:layout>
        <c:manualLayout>
          <c:xMode val="edge"/>
          <c:yMode val="edge"/>
          <c:x val="3.26655859194072E-2"/>
          <c:y val="3.3582862001404798E-2"/>
          <c:w val="0.14538773260553101"/>
          <c:h val="0.89133710398875998"/>
        </c:manualLayout>
      </c:layout>
      <c:overlay val="0"/>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bb13360-3abd-4d1f-a8f0-081eec98dabb}"/>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E110-FCEA-4F12-9877-9D6645E0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3739</Words>
  <Characters>21313</Characters>
  <Application>Microsoft Office Word</Application>
  <DocSecurity>0</DocSecurity>
  <Lines>177</Lines>
  <Paragraphs>50</Paragraphs>
  <ScaleCrop>false</ScaleCrop>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discovery</dc:creator>
  <cp:lastModifiedBy>SDI 1084</cp:lastModifiedBy>
  <cp:revision>13</cp:revision>
  <dcterms:created xsi:type="dcterms:W3CDTF">1899-12-31T18:30:00Z</dcterms:created>
  <dcterms:modified xsi:type="dcterms:W3CDTF">2025-12-04T06:26:00Z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39a85106f58b45d881055b173c754d40</vt:lpwstr>
  </property>
  <property fmtid="{D5CDD505-2E9C-101B-9397-08002B2CF9AE}" pid="3" name="KSOProductBuildVer">
    <vt:lpwstr>1033-12.2.0.22549</vt:lpwstr>
  </property>
</Properties>
</file>