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DDEAD" w14:textId="31CF3DF3" w:rsidR="006D4F51" w:rsidRPr="00CA384D" w:rsidRDefault="006D4F51" w:rsidP="006D4F51">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Morphometric and Meristic Characterization of the Striped Snakehead,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 (Bloch, 1793) from Nagapur Dam,</w:t>
      </w:r>
      <w:r>
        <w:rPr>
          <w:rFonts w:ascii="Times New Roman" w:hAnsi="Times New Roman" w:cs="Times New Roman"/>
          <w:b/>
          <w:bCs/>
          <w:sz w:val="24"/>
          <w:szCs w:val="24"/>
        </w:rPr>
        <w:t xml:space="preserve"> </w:t>
      </w:r>
      <w:r w:rsidRPr="00CF7D67">
        <w:rPr>
          <w:rFonts w:ascii="Times New Roman" w:hAnsi="Times New Roman" w:cs="Times New Roman"/>
          <w:b/>
          <w:bCs/>
          <w:sz w:val="24"/>
          <w:szCs w:val="24"/>
        </w:rPr>
        <w:t xml:space="preserve">Parli </w:t>
      </w:r>
      <w:r>
        <w:rPr>
          <w:rFonts w:ascii="Times New Roman" w:hAnsi="Times New Roman" w:cs="Times New Roman"/>
          <w:b/>
          <w:bCs/>
          <w:sz w:val="24"/>
          <w:szCs w:val="24"/>
        </w:rPr>
        <w:t>(</w:t>
      </w:r>
      <w:r w:rsidRPr="00CF7D67">
        <w:rPr>
          <w:rFonts w:ascii="Times New Roman" w:hAnsi="Times New Roman" w:cs="Times New Roman"/>
          <w:b/>
          <w:bCs/>
          <w:sz w:val="24"/>
          <w:szCs w:val="24"/>
        </w:rPr>
        <w:t>V</w:t>
      </w:r>
      <w:r>
        <w:rPr>
          <w:rFonts w:ascii="Times New Roman" w:hAnsi="Times New Roman" w:cs="Times New Roman"/>
          <w:b/>
          <w:bCs/>
          <w:sz w:val="24"/>
          <w:szCs w:val="24"/>
        </w:rPr>
        <w:t>)</w:t>
      </w:r>
      <w:r w:rsidRPr="00CF7D67">
        <w:rPr>
          <w:rFonts w:ascii="Times New Roman" w:hAnsi="Times New Roman" w:cs="Times New Roman"/>
          <w:b/>
          <w:bCs/>
          <w:sz w:val="24"/>
          <w:szCs w:val="24"/>
        </w:rPr>
        <w:t>, Beed District,</w:t>
      </w:r>
      <w:r w:rsidRPr="00CA384D">
        <w:rPr>
          <w:rFonts w:ascii="Times New Roman" w:hAnsi="Times New Roman" w:cs="Times New Roman"/>
          <w:b/>
          <w:bCs/>
          <w:sz w:val="24"/>
          <w:szCs w:val="24"/>
        </w:rPr>
        <w:t xml:space="preserve"> Maharashtra, India</w:t>
      </w:r>
    </w:p>
    <w:p w14:paraId="558DB5FD" w14:textId="77777777" w:rsidR="002221FA" w:rsidRPr="002221FA"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Abstract</w:t>
      </w:r>
    </w:p>
    <w:p w14:paraId="388B7DDB" w14:textId="77777777"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striped snakehead, </w:t>
      </w:r>
      <w:r w:rsidRPr="002221FA">
        <w:rPr>
          <w:rFonts w:ascii="Times New Roman" w:hAnsi="Times New Roman" w:cs="Times New Roman"/>
          <w:i/>
          <w:iCs/>
          <w:sz w:val="24"/>
          <w:szCs w:val="24"/>
        </w:rPr>
        <w:t>Channa striata</w:t>
      </w:r>
      <w:r w:rsidRPr="002221FA">
        <w:rPr>
          <w:rFonts w:ascii="Times New Roman" w:hAnsi="Times New Roman" w:cs="Times New Roman"/>
          <w:sz w:val="24"/>
          <w:szCs w:val="24"/>
        </w:rPr>
        <w:t>, is a commercially and ecologically significant freshwater fish species in India. This study provides a comprehensive morphometric and meristic analysis of its population in Nagapur Dam, Parli Vaijnath, Beed District, Maharashtra. A total of 176 specimens were collected from January 2023 to December 2024. Sixteen morphometric characters and five meristic counts were recorded. The population showed a wide size range, with total length (TL) from 15.2 to 55.0 cm and body weight (BW) from 32.5 to 1380.5 g. The length-weight relationship was determined as W = 0.021L³.⁰⁵, indicating positive allometric growth (b &gt; 3). Linear regression analysis revealed highly significant (p &lt; 0.001) relation</w:t>
      </w:r>
      <w:bookmarkStart w:id="0" w:name="_GoBack"/>
      <w:bookmarkEnd w:id="0"/>
      <w:r w:rsidRPr="002221FA">
        <w:rPr>
          <w:rFonts w:ascii="Times New Roman" w:hAnsi="Times New Roman" w:cs="Times New Roman"/>
          <w:sz w:val="24"/>
          <w:szCs w:val="24"/>
        </w:rPr>
        <w:t>ships between TL and all other morphometric characters, with coefficients of determination (R²) exceeding 0.98 for most parameters, demonstrating strong morphological integration. Meristic counts were stable, with dorsal fin rays (DFR) ranging from 37-45 and pelvic fin rays (PFR) showing 97.7% consistency at 6 rays. The results confirm a healthy, well-adapted population and establish crucial baseline data for the sustainable management and future monitoring of this valuable fishery resource in Nagapur Dam.</w:t>
      </w:r>
    </w:p>
    <w:p w14:paraId="665379AE" w14:textId="162A6622"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b/>
          <w:bCs/>
          <w:sz w:val="24"/>
          <w:szCs w:val="24"/>
        </w:rPr>
        <w:t>Keywords:</w:t>
      </w:r>
      <w:r w:rsidRPr="002221FA">
        <w:rPr>
          <w:rFonts w:ascii="Times New Roman" w:hAnsi="Times New Roman" w:cs="Times New Roman"/>
          <w:sz w:val="24"/>
          <w:szCs w:val="24"/>
        </w:rPr>
        <w:t> </w:t>
      </w:r>
      <w:r w:rsidRPr="002221FA">
        <w:rPr>
          <w:rFonts w:ascii="Times New Roman" w:hAnsi="Times New Roman" w:cs="Times New Roman"/>
          <w:i/>
          <w:iCs/>
          <w:sz w:val="24"/>
          <w:szCs w:val="24"/>
        </w:rPr>
        <w:t>Channa striata</w:t>
      </w:r>
      <w:r w:rsidRPr="002221FA">
        <w:rPr>
          <w:rFonts w:ascii="Times New Roman" w:hAnsi="Times New Roman" w:cs="Times New Roman"/>
          <w:sz w:val="24"/>
          <w:szCs w:val="24"/>
        </w:rPr>
        <w:t>, morphometry, meristic counts, length-weight relationship, allometric growth, fishery management.</w:t>
      </w:r>
    </w:p>
    <w:p w14:paraId="2B7000B2" w14:textId="77777777" w:rsidR="002221FA" w:rsidRPr="002221FA"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1. Introduction</w:t>
      </w:r>
    </w:p>
    <w:p w14:paraId="02D78981" w14:textId="77777777" w:rsidR="002221FA" w:rsidRPr="002221FA" w:rsidRDefault="002221FA" w:rsidP="001C0039">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ichthyofauna of Indian freshwater systems is remarkably diverse, supporting immense biodiversity and providing vital protein sources for local communities. Among these aquatic resources, fishes of the family Channidae, commonly known as snakeheads, hold considerable importance due to their nutritional value and ecological role (Courtenay Jr &amp; Williams, 2004). The striped snakehead, </w:t>
      </w:r>
      <w:r w:rsidRPr="002221FA">
        <w:rPr>
          <w:rFonts w:ascii="Times New Roman" w:hAnsi="Times New Roman" w:cs="Times New Roman"/>
          <w:i/>
          <w:iCs/>
          <w:sz w:val="24"/>
          <w:szCs w:val="24"/>
        </w:rPr>
        <w:t>Channa striata</w:t>
      </w:r>
      <w:r w:rsidRPr="002221FA">
        <w:rPr>
          <w:rFonts w:ascii="Times New Roman" w:hAnsi="Times New Roman" w:cs="Times New Roman"/>
          <w:sz w:val="24"/>
          <w:szCs w:val="24"/>
        </w:rPr>
        <w:t> (Bloch, 1793), is widely distributed across South and Southeast Asia, thriving in diverse environments from rivers and lakes to swamps and reservoirs.</w:t>
      </w:r>
    </w:p>
    <w:p w14:paraId="21C2CF5D" w14:textId="77777777" w:rsidR="002221FA" w:rsidRPr="002221FA" w:rsidRDefault="002221FA" w:rsidP="001C0039">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Economically, it commands a high market price due to its excellent flesh quality and is also revered in traditional medicine for its purported wound-healing and nutritional properties (</w:t>
      </w:r>
      <w:proofErr w:type="spellStart"/>
      <w:r w:rsidRPr="002221FA">
        <w:rPr>
          <w:rFonts w:ascii="Times New Roman" w:hAnsi="Times New Roman" w:cs="Times New Roman"/>
          <w:sz w:val="24"/>
          <w:szCs w:val="24"/>
        </w:rPr>
        <w:t>Hidayati</w:t>
      </w:r>
      <w:proofErr w:type="spellEnd"/>
      <w:r w:rsidRPr="002221FA">
        <w:rPr>
          <w:rFonts w:ascii="Times New Roman" w:hAnsi="Times New Roman" w:cs="Times New Roman"/>
          <w:sz w:val="24"/>
          <w:szCs w:val="24"/>
        </w:rPr>
        <w:t xml:space="preserve"> et al., 2017; Mustafa et al., 2012). Sustainable management of any fishery requires a fundamental understanding of population biology. Morphometric and meristic analyses </w:t>
      </w:r>
      <w:r w:rsidRPr="002221FA">
        <w:rPr>
          <w:rFonts w:ascii="Times New Roman" w:hAnsi="Times New Roman" w:cs="Times New Roman"/>
          <w:sz w:val="24"/>
          <w:szCs w:val="24"/>
        </w:rPr>
        <w:lastRenderedPageBreak/>
        <w:t>provide essential tools for stock identification and assessment (Fitzgerald et al., 2002). Morphometric characters, which are measurable features of size and shape, often exhibit phenotypic plasticity influenced by environmental factors such as habitat type, water flow, and food availability (</w:t>
      </w:r>
      <w:proofErr w:type="spellStart"/>
      <w:r w:rsidRPr="002221FA">
        <w:rPr>
          <w:rFonts w:ascii="Times New Roman" w:hAnsi="Times New Roman" w:cs="Times New Roman"/>
          <w:sz w:val="24"/>
          <w:szCs w:val="24"/>
        </w:rPr>
        <w:t>Ikpeme</w:t>
      </w:r>
      <w:proofErr w:type="spellEnd"/>
      <w:r w:rsidRPr="002221FA">
        <w:rPr>
          <w:rFonts w:ascii="Times New Roman" w:hAnsi="Times New Roman" w:cs="Times New Roman"/>
          <w:sz w:val="24"/>
          <w:szCs w:val="24"/>
        </w:rPr>
        <w:t xml:space="preserve"> et al., 2017; Brosse et al., 2021). In contrast, meristic counts—the enumeration of discrete structures like fin rays—are largely under genetic control and remain relatively stable across different environments, making them crucial for taxonomic identification and for detecting morphological variations between populations (Jannat et al., 2022; Muslimin et al., 2020).</w:t>
      </w:r>
    </w:p>
    <w:p w14:paraId="4999F0CA" w14:textId="4E5CA0B8"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Nagapur Dam in Parli Vaijnath, Beed District, Maharashtra, is a significant man-made reservoir supporting local fisheries where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represents a key target species. Therefore, this study was conducted to: (1) provide a detailed morphometric and meristic characterization; (2) establish the length-weight relationship; and (3) determine allometric growth patterns of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in Nagapur Dam. The findings will establish a vital scientific baseline for future conservation and management strategies.</w:t>
      </w:r>
    </w:p>
    <w:p w14:paraId="31B7433C" w14:textId="56ED6C68" w:rsidR="002221FA" w:rsidRPr="002221FA"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2. Materials and Methods</w:t>
      </w:r>
    </w:p>
    <w:p w14:paraId="3504D80A" w14:textId="6D64A83F" w:rsidR="006D4F51" w:rsidRDefault="0071079E" w:rsidP="009B6EDE">
      <w:pPr>
        <w:spacing w:line="360" w:lineRule="auto"/>
        <w:jc w:val="both"/>
        <w:rPr>
          <w:rFonts w:ascii="Times New Roman" w:hAnsi="Times New Roman" w:cs="Times New Roman"/>
          <w:b/>
          <w:bCs/>
          <w:sz w:val="24"/>
          <w:szCs w:val="24"/>
        </w:rPr>
      </w:pPr>
      <w:r>
        <w:rPr>
          <w:noProof/>
          <w:lang w:eastAsia="en-IN"/>
        </w:rPr>
        <w:drawing>
          <wp:anchor distT="0" distB="0" distL="114300" distR="114300" simplePos="0" relativeHeight="251659264" behindDoc="1" locked="0" layoutInCell="1" allowOverlap="1" wp14:anchorId="4100E925" wp14:editId="64DE87FA">
            <wp:simplePos x="0" y="0"/>
            <wp:positionH relativeFrom="column">
              <wp:posOffset>47625</wp:posOffset>
            </wp:positionH>
            <wp:positionV relativeFrom="paragraph">
              <wp:posOffset>279400</wp:posOffset>
            </wp:positionV>
            <wp:extent cx="5880735" cy="3241675"/>
            <wp:effectExtent l="0" t="0" r="5715" b="0"/>
            <wp:wrapTight wrapText="bothSides">
              <wp:wrapPolygon edited="0">
                <wp:start x="0" y="0"/>
                <wp:lineTo x="0" y="21452"/>
                <wp:lineTo x="21551" y="21452"/>
                <wp:lineTo x="21551" y="0"/>
                <wp:lineTo x="0" y="0"/>
              </wp:wrapPolygon>
            </wp:wrapTight>
            <wp:docPr id="1385035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80735" cy="324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1FA" w:rsidRPr="002221FA">
        <w:rPr>
          <w:rFonts w:ascii="Times New Roman" w:hAnsi="Times New Roman" w:cs="Times New Roman"/>
          <w:b/>
          <w:bCs/>
          <w:sz w:val="24"/>
          <w:szCs w:val="24"/>
        </w:rPr>
        <w:t>2.1. Study Area and Sample Collection</w:t>
      </w:r>
    </w:p>
    <w:p w14:paraId="5E9B2412" w14:textId="48137F06" w:rsidR="002221FA" w:rsidRPr="009B6EDE" w:rsidRDefault="0071079E" w:rsidP="00FD49AD">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r w:rsidR="002221FA" w:rsidRPr="002221FA">
        <w:rPr>
          <w:rFonts w:ascii="Times New Roman" w:hAnsi="Times New Roman" w:cs="Times New Roman"/>
          <w:sz w:val="24"/>
          <w:szCs w:val="24"/>
        </w:rPr>
        <w:lastRenderedPageBreak/>
        <w:t>A total of 176 specimens of </w:t>
      </w:r>
      <w:r w:rsidR="002221FA" w:rsidRPr="002221FA">
        <w:rPr>
          <w:rFonts w:ascii="Times New Roman" w:hAnsi="Times New Roman" w:cs="Times New Roman"/>
          <w:i/>
          <w:iCs/>
          <w:sz w:val="24"/>
          <w:szCs w:val="24"/>
        </w:rPr>
        <w:t>Channa striata</w:t>
      </w:r>
      <w:r w:rsidR="002221FA" w:rsidRPr="002221FA">
        <w:rPr>
          <w:rFonts w:ascii="Times New Roman" w:hAnsi="Times New Roman" w:cs="Times New Roman"/>
          <w:sz w:val="24"/>
          <w:szCs w:val="24"/>
        </w:rPr>
        <w:t> were collected monthly from January 2023 to December 2024 from the catches of local fishermen operating in Nagapur Dam, Parli Vaijnath, Beed District, Maharashtra, India. The reservoir is a semi-arid zone water body. The sampling covered all seasons to ensure a representative sample of the population. The fish were captured using gill nets of various mesh sizes (2.5-5.0 cm). Specimens were euthanized with a clove oil solution (50 mg/L), placed on ice, and transported to the laboratory for analysis. Each specimen was assigned a unique identification number (CS-ND-001 to CS-ND-176).</w:t>
      </w:r>
    </w:p>
    <w:p w14:paraId="2FE15DBE" w14:textId="77777777" w:rsidR="00406FA2" w:rsidRPr="009B6EDE" w:rsidRDefault="00406FA2" w:rsidP="009B6EDE">
      <w:pPr>
        <w:spacing w:line="360" w:lineRule="auto"/>
        <w:jc w:val="both"/>
        <w:rPr>
          <w:rFonts w:ascii="Times New Roman" w:hAnsi="Times New Roman" w:cs="Times New Roman"/>
          <w:b/>
          <w:bCs/>
          <w:sz w:val="24"/>
          <w:szCs w:val="24"/>
        </w:rPr>
      </w:pPr>
      <w:r w:rsidRPr="009B6EDE">
        <w:rPr>
          <w:rFonts w:ascii="Times New Roman" w:hAnsi="Times New Roman" w:cs="Times New Roman"/>
          <w:b/>
          <w:bCs/>
          <w:sz w:val="24"/>
          <w:szCs w:val="24"/>
        </w:rPr>
        <w:t>Reservoir Size and Characteristics:</w:t>
      </w:r>
    </w:p>
    <w:p w14:paraId="73D6174A" w14:textId="77777777" w:rsidR="00406FA2" w:rsidRPr="00FD49AD" w:rsidRDefault="00406FA2" w:rsidP="009B6EDE">
      <w:pPr>
        <w:spacing w:line="360" w:lineRule="auto"/>
        <w:jc w:val="both"/>
        <w:rPr>
          <w:rFonts w:ascii="Times New Roman" w:hAnsi="Times New Roman" w:cs="Times New Roman"/>
          <w:sz w:val="24"/>
          <w:szCs w:val="24"/>
        </w:rPr>
      </w:pPr>
      <w:r w:rsidRPr="00FD49AD">
        <w:rPr>
          <w:rFonts w:ascii="Times New Roman" w:hAnsi="Times New Roman" w:cs="Times New Roman"/>
          <w:sz w:val="24"/>
          <w:szCs w:val="24"/>
        </w:rPr>
        <w:t>Nagapur Dam is a medium-sized irrigation reservoir with a total surface area of approximately 1,250 hectares (12.5 km²) at its full reservoir level (FRL). The water spread area is subject to significant seasonal fluctuation, potentially receding to below 800 hectares during the peak summer months. The reservoir has a maximum depth of approximately 18 meters near the dam wall, with extensive shallow littoral zones, particularly in the upper reaches.</w:t>
      </w:r>
    </w:p>
    <w:p w14:paraId="774866D8" w14:textId="77777777" w:rsidR="00406FA2" w:rsidRPr="009B6EDE" w:rsidRDefault="00406FA2" w:rsidP="009B6EDE">
      <w:pPr>
        <w:spacing w:line="360" w:lineRule="auto"/>
        <w:jc w:val="both"/>
        <w:rPr>
          <w:rFonts w:ascii="Times New Roman" w:hAnsi="Times New Roman" w:cs="Times New Roman"/>
          <w:b/>
          <w:bCs/>
          <w:sz w:val="24"/>
          <w:szCs w:val="24"/>
        </w:rPr>
      </w:pPr>
      <w:r w:rsidRPr="009B6EDE">
        <w:rPr>
          <w:rFonts w:ascii="Times New Roman" w:hAnsi="Times New Roman" w:cs="Times New Roman"/>
          <w:b/>
          <w:bCs/>
          <w:sz w:val="24"/>
          <w:szCs w:val="24"/>
        </w:rPr>
        <w:t>Distribution of </w:t>
      </w:r>
      <w:r w:rsidRPr="009B6EDE">
        <w:rPr>
          <w:rFonts w:ascii="Times New Roman" w:hAnsi="Times New Roman" w:cs="Times New Roman"/>
          <w:b/>
          <w:bCs/>
          <w:i/>
          <w:iCs/>
          <w:sz w:val="24"/>
          <w:szCs w:val="24"/>
        </w:rPr>
        <w:t>Channa striata</w:t>
      </w:r>
      <w:r w:rsidRPr="009B6EDE">
        <w:rPr>
          <w:rFonts w:ascii="Times New Roman" w:hAnsi="Times New Roman" w:cs="Times New Roman"/>
          <w:b/>
          <w:bCs/>
          <w:sz w:val="24"/>
          <w:szCs w:val="24"/>
        </w:rPr>
        <w:t>:</w:t>
      </w:r>
    </w:p>
    <w:p w14:paraId="2F9E5B24" w14:textId="77777777" w:rsidR="00406FA2" w:rsidRPr="00FD49AD" w:rsidRDefault="00406FA2" w:rsidP="009B6EDE">
      <w:pPr>
        <w:spacing w:line="360" w:lineRule="auto"/>
        <w:jc w:val="both"/>
        <w:rPr>
          <w:rFonts w:ascii="Times New Roman" w:hAnsi="Times New Roman" w:cs="Times New Roman"/>
          <w:sz w:val="24"/>
          <w:szCs w:val="24"/>
        </w:rPr>
      </w:pPr>
      <w:r w:rsidRPr="00FD49AD">
        <w:rPr>
          <w:rFonts w:ascii="Times New Roman" w:hAnsi="Times New Roman" w:cs="Times New Roman"/>
          <w:sz w:val="24"/>
          <w:szCs w:val="24"/>
        </w:rPr>
        <w:t>The distribution of </w:t>
      </w:r>
      <w:r w:rsidRPr="00FD49AD">
        <w:rPr>
          <w:rFonts w:ascii="Times New Roman" w:hAnsi="Times New Roman" w:cs="Times New Roman"/>
          <w:i/>
          <w:iCs/>
          <w:sz w:val="24"/>
          <w:szCs w:val="24"/>
        </w:rPr>
        <w:t>Channa striata</w:t>
      </w:r>
      <w:r w:rsidRPr="00FD49AD">
        <w:rPr>
          <w:rFonts w:ascii="Times New Roman" w:hAnsi="Times New Roman" w:cs="Times New Roman"/>
          <w:sz w:val="24"/>
          <w:szCs w:val="24"/>
        </w:rPr>
        <w:t> within the reservoir is not uniform and is strongly influenced by habitat structure and water depth. Based on consistent feedback from local fishermen and our sampling observations:</w:t>
      </w:r>
    </w:p>
    <w:p w14:paraId="691B327E" w14:textId="77777777" w:rsidR="00406FA2" w:rsidRPr="009B6EDE" w:rsidRDefault="00406FA2" w:rsidP="009B6EDE">
      <w:pPr>
        <w:numPr>
          <w:ilvl w:val="0"/>
          <w:numId w:val="3"/>
        </w:numPr>
        <w:spacing w:line="360" w:lineRule="auto"/>
        <w:jc w:val="both"/>
        <w:rPr>
          <w:rFonts w:ascii="Times New Roman" w:hAnsi="Times New Roman" w:cs="Times New Roman"/>
          <w:sz w:val="24"/>
          <w:szCs w:val="24"/>
        </w:rPr>
      </w:pPr>
      <w:r w:rsidRPr="009B6EDE">
        <w:rPr>
          <w:rFonts w:ascii="Times New Roman" w:hAnsi="Times New Roman" w:cs="Times New Roman"/>
          <w:b/>
          <w:bCs/>
          <w:sz w:val="24"/>
          <w:szCs w:val="24"/>
        </w:rPr>
        <w:t>High-Density Zones:</w:t>
      </w:r>
      <w:r w:rsidRPr="009B6EDE">
        <w:rPr>
          <w:rFonts w:ascii="Times New Roman" w:hAnsi="Times New Roman" w:cs="Times New Roman"/>
          <w:sz w:val="24"/>
          <w:szCs w:val="24"/>
        </w:rPr>
        <w:t xml:space="preserve"> The species shows a clear preference for </w:t>
      </w:r>
      <w:r w:rsidRPr="00FD49AD">
        <w:rPr>
          <w:rFonts w:ascii="Times New Roman" w:hAnsi="Times New Roman" w:cs="Times New Roman"/>
          <w:sz w:val="24"/>
          <w:szCs w:val="24"/>
        </w:rPr>
        <w:t>the littoral (shoreline) zones, especially areas with dense submerged vegetation, fallen timber, and</w:t>
      </w:r>
      <w:r w:rsidRPr="009B6EDE">
        <w:rPr>
          <w:rFonts w:ascii="Times New Roman" w:hAnsi="Times New Roman" w:cs="Times New Roman"/>
          <w:sz w:val="24"/>
          <w:szCs w:val="24"/>
        </w:rPr>
        <w:t xml:space="preserve"> rocky substrates. These complex habitats provide ideal ambush sites for feeding and cover for juveniles. The upper reaches of the reservoir, which are shallower and more heavily vegetated, supported the highest catch per unit effort (CPUE) for smaller and medium-sized individuals.</w:t>
      </w:r>
    </w:p>
    <w:p w14:paraId="536CF160" w14:textId="77777777" w:rsidR="00406FA2" w:rsidRPr="009B6EDE" w:rsidRDefault="00406FA2" w:rsidP="009B6EDE">
      <w:pPr>
        <w:numPr>
          <w:ilvl w:val="0"/>
          <w:numId w:val="3"/>
        </w:numPr>
        <w:spacing w:line="360" w:lineRule="auto"/>
        <w:jc w:val="both"/>
        <w:rPr>
          <w:rFonts w:ascii="Times New Roman" w:hAnsi="Times New Roman" w:cs="Times New Roman"/>
          <w:sz w:val="24"/>
          <w:szCs w:val="24"/>
        </w:rPr>
      </w:pPr>
      <w:r w:rsidRPr="009B6EDE">
        <w:rPr>
          <w:rFonts w:ascii="Times New Roman" w:hAnsi="Times New Roman" w:cs="Times New Roman"/>
          <w:b/>
          <w:bCs/>
          <w:sz w:val="24"/>
          <w:szCs w:val="24"/>
        </w:rPr>
        <w:t>Adult Habitat:</w:t>
      </w:r>
      <w:r w:rsidRPr="009B6EDE">
        <w:rPr>
          <w:rFonts w:ascii="Times New Roman" w:hAnsi="Times New Roman" w:cs="Times New Roman"/>
          <w:sz w:val="24"/>
          <w:szCs w:val="24"/>
        </w:rPr>
        <w:t xml:space="preserve"> Larger, mature specimens (&gt; 35 cm TL) were more frequently captured </w:t>
      </w:r>
      <w:r w:rsidRPr="00FD49AD">
        <w:rPr>
          <w:rFonts w:ascii="Times New Roman" w:hAnsi="Times New Roman" w:cs="Times New Roman"/>
          <w:sz w:val="24"/>
          <w:szCs w:val="24"/>
        </w:rPr>
        <w:t>from deeper waters (5-12 meters)</w:t>
      </w:r>
      <w:r w:rsidRPr="009B6EDE">
        <w:rPr>
          <w:rFonts w:ascii="Times New Roman" w:hAnsi="Times New Roman" w:cs="Times New Roman"/>
          <w:sz w:val="24"/>
          <w:szCs w:val="24"/>
        </w:rPr>
        <w:t> adjacent to these littoral zones, often near submerged structures or drop-offs. This suggests an ontogenetic habitat shift, where larger adults may forage in open water but remain close to structural refuges.</w:t>
      </w:r>
    </w:p>
    <w:p w14:paraId="1574D568" w14:textId="77777777" w:rsidR="00406FA2" w:rsidRPr="009B6EDE" w:rsidRDefault="00406FA2" w:rsidP="009B6EDE">
      <w:pPr>
        <w:numPr>
          <w:ilvl w:val="0"/>
          <w:numId w:val="3"/>
        </w:numPr>
        <w:spacing w:line="360" w:lineRule="auto"/>
        <w:jc w:val="both"/>
        <w:rPr>
          <w:rFonts w:ascii="Times New Roman" w:hAnsi="Times New Roman" w:cs="Times New Roman"/>
          <w:sz w:val="24"/>
          <w:szCs w:val="24"/>
        </w:rPr>
      </w:pPr>
      <w:r w:rsidRPr="009B6EDE">
        <w:rPr>
          <w:rFonts w:ascii="Times New Roman" w:hAnsi="Times New Roman" w:cs="Times New Roman"/>
          <w:b/>
          <w:bCs/>
          <w:sz w:val="24"/>
          <w:szCs w:val="24"/>
        </w:rPr>
        <w:t>Low-Density Zones:</w:t>
      </w:r>
      <w:r w:rsidRPr="009B6EDE">
        <w:rPr>
          <w:rFonts w:ascii="Times New Roman" w:hAnsi="Times New Roman" w:cs="Times New Roman"/>
          <w:sz w:val="24"/>
          <w:szCs w:val="24"/>
        </w:rPr>
        <w:t> The central, open-water (pelagic) areas of the reservoir, which are largely devoid of submerged structures, showed a notably lower density of </w:t>
      </w:r>
      <w:r w:rsidRPr="009B6EDE">
        <w:rPr>
          <w:rFonts w:ascii="Times New Roman" w:hAnsi="Times New Roman" w:cs="Times New Roman"/>
          <w:i/>
          <w:iCs/>
          <w:sz w:val="24"/>
          <w:szCs w:val="24"/>
        </w:rPr>
        <w:t>C. striata</w:t>
      </w:r>
      <w:r w:rsidRPr="009B6EDE">
        <w:rPr>
          <w:rFonts w:ascii="Times New Roman" w:hAnsi="Times New Roman" w:cs="Times New Roman"/>
          <w:sz w:val="24"/>
          <w:szCs w:val="24"/>
        </w:rPr>
        <w:t>.</w:t>
      </w:r>
    </w:p>
    <w:p w14:paraId="399D85F5" w14:textId="77777777" w:rsidR="0071079E" w:rsidRDefault="0071079E" w:rsidP="009B6EDE">
      <w:pPr>
        <w:spacing w:line="360" w:lineRule="auto"/>
        <w:jc w:val="both"/>
        <w:rPr>
          <w:rFonts w:ascii="Times New Roman" w:hAnsi="Times New Roman" w:cs="Times New Roman"/>
          <w:b/>
          <w:bCs/>
          <w:sz w:val="24"/>
          <w:szCs w:val="24"/>
        </w:rPr>
      </w:pPr>
    </w:p>
    <w:p w14:paraId="7263C97D" w14:textId="684BB171" w:rsidR="006D4F51" w:rsidRDefault="00F408E4" w:rsidP="009B6EDE">
      <w:pPr>
        <w:spacing w:line="360" w:lineRule="auto"/>
        <w:jc w:val="both"/>
        <w:rPr>
          <w:rFonts w:ascii="Times New Roman" w:hAnsi="Times New Roman" w:cs="Times New Roman"/>
          <w:b/>
          <w:bCs/>
          <w:sz w:val="24"/>
          <w:szCs w:val="24"/>
        </w:rPr>
      </w:pPr>
      <w:r w:rsidRPr="00E01818">
        <w:rPr>
          <w:rFonts w:ascii="Times New Roman" w:hAnsi="Times New Roman" w:cs="Times New Roman"/>
          <w:b/>
          <w:bCs/>
          <w:noProof/>
          <w:sz w:val="24"/>
          <w:szCs w:val="24"/>
          <w:lang w:eastAsia="en-IN"/>
        </w:rPr>
        <w:drawing>
          <wp:anchor distT="0" distB="0" distL="114300" distR="114300" simplePos="0" relativeHeight="251661312" behindDoc="1" locked="0" layoutInCell="1" allowOverlap="1" wp14:anchorId="0400B6A3" wp14:editId="1F86D993">
            <wp:simplePos x="0" y="0"/>
            <wp:positionH relativeFrom="column">
              <wp:posOffset>0</wp:posOffset>
            </wp:positionH>
            <wp:positionV relativeFrom="paragraph">
              <wp:posOffset>361950</wp:posOffset>
            </wp:positionV>
            <wp:extent cx="5731510" cy="2543175"/>
            <wp:effectExtent l="0" t="0" r="2540" b="9525"/>
            <wp:wrapTight wrapText="bothSides">
              <wp:wrapPolygon edited="0">
                <wp:start x="0" y="0"/>
                <wp:lineTo x="0" y="21519"/>
                <wp:lineTo x="21538" y="21519"/>
                <wp:lineTo x="21538" y="0"/>
                <wp:lineTo x="0" y="0"/>
              </wp:wrapPolygon>
            </wp:wrapTight>
            <wp:docPr id="2119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9928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543175"/>
                    </a:xfrm>
                    <a:prstGeom prst="rect">
                      <a:avLst/>
                    </a:prstGeom>
                  </pic:spPr>
                </pic:pic>
              </a:graphicData>
            </a:graphic>
          </wp:anchor>
        </w:drawing>
      </w:r>
      <w:r w:rsidR="002221FA" w:rsidRPr="002221FA">
        <w:rPr>
          <w:rFonts w:ascii="Times New Roman" w:hAnsi="Times New Roman" w:cs="Times New Roman"/>
          <w:b/>
          <w:bCs/>
          <w:sz w:val="24"/>
          <w:szCs w:val="24"/>
        </w:rPr>
        <w:t>2.2. Morphometric and Meristic Analysis</w:t>
      </w:r>
    </w:p>
    <w:p w14:paraId="00C3A720" w14:textId="45540229"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In the laboratory, each specimen was thawed and blotted dry. Sixteen morphometric characters were measured to the nearest 0.1 cm using a digital vernier </w:t>
      </w:r>
      <w:r w:rsidR="006D4F51" w:rsidRPr="002221FA">
        <w:rPr>
          <w:rFonts w:ascii="Times New Roman" w:hAnsi="Times New Roman" w:cs="Times New Roman"/>
          <w:sz w:val="24"/>
          <w:szCs w:val="24"/>
        </w:rPr>
        <w:t>calliper</w:t>
      </w:r>
      <w:r w:rsidRPr="002221FA">
        <w:rPr>
          <w:rFonts w:ascii="Times New Roman" w:hAnsi="Times New Roman" w:cs="Times New Roman"/>
          <w:sz w:val="24"/>
          <w:szCs w:val="24"/>
        </w:rPr>
        <w:t>. Body weight (BW) was recorded to the nearest 0.1 g using an electronic balance. The morphometric characters measured were: Total Length (TL), Standard Length (SL), Head Length (HL), Snout Length (SnL), Dorsal Fin Length (DFL), Pectoral Fin Length (Pect.FL), Pelvic Fin Length (Pel.FL), Anal Fin Length (AFL), Caudal Fin Length (CFL), Body Depth (BD), Eye Diameter (ED), Distance of Eyes (DoE), Mouth Width (MW), Upper Jaw Length (UJL), and Lower Jaw Length (LJL).</w:t>
      </w:r>
    </w:p>
    <w:p w14:paraId="6CEF2F45" w14:textId="77777777"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Meristic counts were performed under a magnifying lamp to ensure accuracy. The following fin rays were enumerated for each specimen: Dorsal Fin Rays (DFR), Pectoral Fin Rays (PeFR), Pelvic Fin Rays (PFR), Anal Fin Rays (AFR), and Caudal Fin Rays (CFR).</w:t>
      </w:r>
    </w:p>
    <w:p w14:paraId="6D08C078" w14:textId="77777777" w:rsidR="006D4F51"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2.3. Statistical Analysis</w:t>
      </w:r>
    </w:p>
    <w:p w14:paraId="79B65D5C" w14:textId="03CCA8FE" w:rsidR="006D4F51" w:rsidRDefault="006920A9" w:rsidP="009B6EDE">
      <w:pPr>
        <w:spacing w:line="360" w:lineRule="auto"/>
        <w:jc w:val="both"/>
        <w:rPr>
          <w:rFonts w:ascii="Times New Roman" w:hAnsi="Times New Roman" w:cs="Times New Roman"/>
          <w:sz w:val="24"/>
          <w:szCs w:val="24"/>
        </w:rPr>
      </w:pPr>
      <w:r w:rsidRPr="009B6EDE">
        <w:rPr>
          <w:rFonts w:ascii="Times New Roman" w:hAnsi="Times New Roman" w:cs="Times New Roman"/>
          <w:sz w:val="24"/>
          <w:szCs w:val="24"/>
        </w:rPr>
        <w:t>All statistical analyses were performed using </w:t>
      </w:r>
      <w:r w:rsidRPr="00FD49AD">
        <w:rPr>
          <w:rFonts w:ascii="Times New Roman" w:hAnsi="Times New Roman" w:cs="Times New Roman"/>
          <w:sz w:val="24"/>
          <w:szCs w:val="24"/>
        </w:rPr>
        <w:t>SPSS software (version 26.0) and R programming language (version 4.2.1).</w:t>
      </w:r>
      <w:r w:rsidRPr="009B6EDE">
        <w:rPr>
          <w:rFonts w:ascii="Times New Roman" w:hAnsi="Times New Roman" w:cs="Times New Roman"/>
          <w:sz w:val="24"/>
          <w:szCs w:val="24"/>
        </w:rPr>
        <w:t xml:space="preserve"> Descriptive statistics (mean, standard deviation, range) were computed for all characters. The length-weight relationship was determined using the equation W = aLᵇ, which was linearized as log(W) = log(a) + b log(L) for analysis (Froese, 2006). Linear regression analysis was performed for each morphometric character against Total Length (TL). </w:t>
      </w:r>
      <w:r w:rsidRPr="00FD49AD">
        <w:rPr>
          <w:rFonts w:ascii="Times New Roman" w:hAnsi="Times New Roman" w:cs="Times New Roman"/>
          <w:sz w:val="24"/>
          <w:szCs w:val="24"/>
        </w:rPr>
        <w:t>The 95% confidence intervals (95% CI) for the regression coefficients (B) were calculated to assess the precision of the estimates</w:t>
      </w:r>
      <w:r w:rsidRPr="009B6EDE">
        <w:rPr>
          <w:rFonts w:ascii="Times New Roman" w:hAnsi="Times New Roman" w:cs="Times New Roman"/>
          <w:b/>
          <w:bCs/>
          <w:sz w:val="24"/>
          <w:szCs w:val="24"/>
        </w:rPr>
        <w:t>.</w:t>
      </w:r>
      <w:r w:rsidRPr="009B6EDE">
        <w:rPr>
          <w:rFonts w:ascii="Times New Roman" w:hAnsi="Times New Roman" w:cs="Times New Roman"/>
          <w:sz w:val="24"/>
          <w:szCs w:val="24"/>
        </w:rPr>
        <w:t> The formulas used were:</w:t>
      </w:r>
      <w:r w:rsidRPr="009B6EDE">
        <w:rPr>
          <w:rFonts w:ascii="Times New Roman" w:hAnsi="Times New Roman" w:cs="Times New Roman"/>
          <w:sz w:val="24"/>
          <w:szCs w:val="24"/>
        </w:rPr>
        <w:br/>
        <w:t>B = (∑XY - NX̄Ȳ) / (∑X² - NX̄²)</w:t>
      </w:r>
    </w:p>
    <w:p w14:paraId="27D2E79F" w14:textId="7D2B37FE" w:rsidR="00CD3FBA" w:rsidRPr="0018295A" w:rsidRDefault="006920A9" w:rsidP="00CD3FBA">
      <w:pPr>
        <w:spacing w:line="360" w:lineRule="auto"/>
        <w:jc w:val="both"/>
        <w:rPr>
          <w:rFonts w:ascii="Times New Roman" w:hAnsi="Times New Roman" w:cs="Times New Roman"/>
          <w:sz w:val="24"/>
          <w:szCs w:val="24"/>
        </w:rPr>
      </w:pPr>
      <w:r w:rsidRPr="009B6EDE">
        <w:rPr>
          <w:rFonts w:ascii="Times New Roman" w:hAnsi="Times New Roman" w:cs="Times New Roman"/>
          <w:sz w:val="24"/>
          <w:szCs w:val="24"/>
        </w:rPr>
        <w:lastRenderedPageBreak/>
        <w:t>A₁ = (∑Y - B∑X) / N</w:t>
      </w:r>
      <w:r w:rsidR="00CD3FBA">
        <w:rPr>
          <w:rFonts w:ascii="Times New Roman" w:hAnsi="Times New Roman" w:cs="Times New Roman"/>
          <w:sz w:val="24"/>
          <w:szCs w:val="24"/>
        </w:rPr>
        <w:t xml:space="preserve">     (</w:t>
      </w:r>
      <w:r w:rsidR="00CD3FBA" w:rsidRPr="0018295A">
        <w:rPr>
          <w:rFonts w:ascii="Times New Roman" w:hAnsi="Times New Roman" w:cs="Times New Roman"/>
          <w:sz w:val="24"/>
          <w:szCs w:val="24"/>
        </w:rPr>
        <w:t>Where N is the number of groups.</w:t>
      </w:r>
      <w:r w:rsidR="00CD3FBA">
        <w:rPr>
          <w:rFonts w:ascii="Times New Roman" w:hAnsi="Times New Roman" w:cs="Times New Roman"/>
          <w:sz w:val="24"/>
          <w:szCs w:val="24"/>
        </w:rPr>
        <w:t>)</w:t>
      </w:r>
    </w:p>
    <w:p w14:paraId="207A880E" w14:textId="227F820C" w:rsidR="002221FA" w:rsidRPr="002221FA"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3. Results</w:t>
      </w:r>
    </w:p>
    <w:p w14:paraId="5E8FDB93" w14:textId="77777777" w:rsidR="006D4F51"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3.1. Descriptive Statistics and Population Structure</w:t>
      </w:r>
    </w:p>
    <w:p w14:paraId="17C24D71" w14:textId="4FE7890B"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analysis of 176 specimens revealed a population with considerable size variation. As summarized in Table 1, Total Length (TL) ranged from 15.2 cm to 55.0 cm with a mean of 33.8 ± 9.5 cm. Body Weight (BW) showed an even wider range, from 32.5 g in the smallest juvenile to 1380.5 g in the largest adult, averaging 425.6 ± 325.4 g. The frequency distribution of specimens across eight pre-defined length groups was relatively even, supporting the presence of a multi-cohort population.</w:t>
      </w:r>
    </w:p>
    <w:p w14:paraId="14219F0D" w14:textId="77777777"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b/>
          <w:bCs/>
          <w:sz w:val="24"/>
          <w:szCs w:val="24"/>
        </w:rPr>
        <w:t>Table 1: Descriptive statistics of morphometric characters and body weight of </w:t>
      </w:r>
      <w:r w:rsidRPr="002221FA">
        <w:rPr>
          <w:rFonts w:ascii="Times New Roman" w:hAnsi="Times New Roman" w:cs="Times New Roman"/>
          <w:b/>
          <w:bCs/>
          <w:i/>
          <w:iCs/>
          <w:sz w:val="24"/>
          <w:szCs w:val="24"/>
        </w:rPr>
        <w:t>Channa striata</w:t>
      </w:r>
      <w:r w:rsidRPr="002221FA">
        <w:rPr>
          <w:rFonts w:ascii="Times New Roman" w:hAnsi="Times New Roman" w:cs="Times New Roman"/>
          <w:b/>
          <w:bCs/>
          <w:sz w:val="24"/>
          <w:szCs w:val="24"/>
        </w:rPr>
        <w:t> (n=176) from Nagapur Dam.</w:t>
      </w:r>
    </w:p>
    <w:tbl>
      <w:tblPr>
        <w:tblStyle w:val="TableGrid"/>
        <w:tblW w:w="0" w:type="auto"/>
        <w:jc w:val="center"/>
        <w:tblLook w:val="04A0" w:firstRow="1" w:lastRow="0" w:firstColumn="1" w:lastColumn="0" w:noHBand="0" w:noVBand="1"/>
      </w:tblPr>
      <w:tblGrid>
        <w:gridCol w:w="2665"/>
        <w:gridCol w:w="1791"/>
        <w:gridCol w:w="1791"/>
        <w:gridCol w:w="1791"/>
      </w:tblGrid>
      <w:tr w:rsidR="009B6EDE" w:rsidRPr="002221FA" w14:paraId="76385D96" w14:textId="77777777" w:rsidTr="009B6EDE">
        <w:trPr>
          <w:trHeight w:val="567"/>
          <w:jc w:val="center"/>
        </w:trPr>
        <w:tc>
          <w:tcPr>
            <w:tcW w:w="2665" w:type="dxa"/>
            <w:vAlign w:val="center"/>
            <w:hideMark/>
          </w:tcPr>
          <w:p w14:paraId="68DF75A2" w14:textId="77777777" w:rsidR="002221FA" w:rsidRPr="002221FA" w:rsidRDefault="002221FA" w:rsidP="009B6EDE">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Character</w:t>
            </w:r>
          </w:p>
        </w:tc>
        <w:tc>
          <w:tcPr>
            <w:tcW w:w="1791" w:type="dxa"/>
            <w:vAlign w:val="center"/>
            <w:hideMark/>
          </w:tcPr>
          <w:p w14:paraId="5FB0C5BB" w14:textId="77777777" w:rsidR="002221FA" w:rsidRPr="002221FA" w:rsidRDefault="002221FA" w:rsidP="009B6EDE">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Abbreviation</w:t>
            </w:r>
          </w:p>
        </w:tc>
        <w:tc>
          <w:tcPr>
            <w:tcW w:w="1791" w:type="dxa"/>
            <w:vAlign w:val="center"/>
            <w:hideMark/>
          </w:tcPr>
          <w:p w14:paraId="1B9E76C5" w14:textId="77777777" w:rsidR="002221FA" w:rsidRPr="002221FA" w:rsidRDefault="002221FA" w:rsidP="009B6EDE">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Range</w:t>
            </w:r>
          </w:p>
        </w:tc>
        <w:tc>
          <w:tcPr>
            <w:tcW w:w="1791" w:type="dxa"/>
            <w:vAlign w:val="center"/>
            <w:hideMark/>
          </w:tcPr>
          <w:p w14:paraId="293F2342" w14:textId="77777777" w:rsidR="002221FA" w:rsidRPr="002221FA" w:rsidRDefault="002221FA" w:rsidP="009B6EDE">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Mean ± SD</w:t>
            </w:r>
          </w:p>
        </w:tc>
      </w:tr>
      <w:tr w:rsidR="009B6EDE" w:rsidRPr="002221FA" w14:paraId="7EE8FB62" w14:textId="77777777" w:rsidTr="006D4F51">
        <w:trPr>
          <w:trHeight w:val="624"/>
          <w:jc w:val="center"/>
        </w:trPr>
        <w:tc>
          <w:tcPr>
            <w:tcW w:w="2665" w:type="dxa"/>
            <w:vAlign w:val="center"/>
            <w:hideMark/>
          </w:tcPr>
          <w:p w14:paraId="6B6B2FB0"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Total Length (cm)</w:t>
            </w:r>
          </w:p>
        </w:tc>
        <w:tc>
          <w:tcPr>
            <w:tcW w:w="1791" w:type="dxa"/>
            <w:vAlign w:val="center"/>
            <w:hideMark/>
          </w:tcPr>
          <w:p w14:paraId="0A1157DF"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TL</w:t>
            </w:r>
          </w:p>
        </w:tc>
        <w:tc>
          <w:tcPr>
            <w:tcW w:w="1791" w:type="dxa"/>
            <w:vAlign w:val="center"/>
            <w:hideMark/>
          </w:tcPr>
          <w:p w14:paraId="5664ACE6"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15.2 - 55.0</w:t>
            </w:r>
          </w:p>
        </w:tc>
        <w:tc>
          <w:tcPr>
            <w:tcW w:w="1791" w:type="dxa"/>
            <w:vAlign w:val="center"/>
            <w:hideMark/>
          </w:tcPr>
          <w:p w14:paraId="6F49D7CE"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33.8 ± 9.5</w:t>
            </w:r>
          </w:p>
        </w:tc>
      </w:tr>
      <w:tr w:rsidR="009B6EDE" w:rsidRPr="002221FA" w14:paraId="1094A427" w14:textId="77777777" w:rsidTr="006D4F51">
        <w:trPr>
          <w:trHeight w:val="624"/>
          <w:jc w:val="center"/>
        </w:trPr>
        <w:tc>
          <w:tcPr>
            <w:tcW w:w="2665" w:type="dxa"/>
            <w:vAlign w:val="center"/>
            <w:hideMark/>
          </w:tcPr>
          <w:p w14:paraId="4B00E10D"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Standard Length (cm)</w:t>
            </w:r>
          </w:p>
        </w:tc>
        <w:tc>
          <w:tcPr>
            <w:tcW w:w="1791" w:type="dxa"/>
            <w:vAlign w:val="center"/>
            <w:hideMark/>
          </w:tcPr>
          <w:p w14:paraId="7BC692B3"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SL</w:t>
            </w:r>
          </w:p>
        </w:tc>
        <w:tc>
          <w:tcPr>
            <w:tcW w:w="1791" w:type="dxa"/>
            <w:vAlign w:val="center"/>
            <w:hideMark/>
          </w:tcPr>
          <w:p w14:paraId="0BF6DB36"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12.5 - 45.2</w:t>
            </w:r>
          </w:p>
        </w:tc>
        <w:tc>
          <w:tcPr>
            <w:tcW w:w="1791" w:type="dxa"/>
            <w:vAlign w:val="center"/>
            <w:hideMark/>
          </w:tcPr>
          <w:p w14:paraId="1844559A"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27.8 ± 7.8</w:t>
            </w:r>
          </w:p>
        </w:tc>
      </w:tr>
      <w:tr w:rsidR="009B6EDE" w:rsidRPr="002221FA" w14:paraId="294E4B79" w14:textId="77777777" w:rsidTr="006D4F51">
        <w:trPr>
          <w:trHeight w:val="624"/>
          <w:jc w:val="center"/>
        </w:trPr>
        <w:tc>
          <w:tcPr>
            <w:tcW w:w="2665" w:type="dxa"/>
            <w:vAlign w:val="center"/>
            <w:hideMark/>
          </w:tcPr>
          <w:p w14:paraId="316A3047"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Body Weight (g)</w:t>
            </w:r>
          </w:p>
        </w:tc>
        <w:tc>
          <w:tcPr>
            <w:tcW w:w="1791" w:type="dxa"/>
            <w:vAlign w:val="center"/>
            <w:hideMark/>
          </w:tcPr>
          <w:p w14:paraId="51CAF1E7"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BW</w:t>
            </w:r>
          </w:p>
        </w:tc>
        <w:tc>
          <w:tcPr>
            <w:tcW w:w="1791" w:type="dxa"/>
            <w:vAlign w:val="center"/>
            <w:hideMark/>
          </w:tcPr>
          <w:p w14:paraId="71AF0A26"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32.5 - 1380.5</w:t>
            </w:r>
          </w:p>
        </w:tc>
        <w:tc>
          <w:tcPr>
            <w:tcW w:w="1791" w:type="dxa"/>
            <w:vAlign w:val="center"/>
            <w:hideMark/>
          </w:tcPr>
          <w:p w14:paraId="63254ED6"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425.6 ± 325.4</w:t>
            </w:r>
          </w:p>
        </w:tc>
      </w:tr>
      <w:tr w:rsidR="009B6EDE" w:rsidRPr="002221FA" w14:paraId="4FF89798" w14:textId="77777777" w:rsidTr="006D4F51">
        <w:trPr>
          <w:trHeight w:val="624"/>
          <w:jc w:val="center"/>
        </w:trPr>
        <w:tc>
          <w:tcPr>
            <w:tcW w:w="2665" w:type="dxa"/>
            <w:vAlign w:val="center"/>
            <w:hideMark/>
          </w:tcPr>
          <w:p w14:paraId="3BB231BB"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Head Length (cm)</w:t>
            </w:r>
          </w:p>
        </w:tc>
        <w:tc>
          <w:tcPr>
            <w:tcW w:w="1791" w:type="dxa"/>
            <w:vAlign w:val="center"/>
            <w:hideMark/>
          </w:tcPr>
          <w:p w14:paraId="3E2AA56E"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HL</w:t>
            </w:r>
          </w:p>
        </w:tc>
        <w:tc>
          <w:tcPr>
            <w:tcW w:w="1791" w:type="dxa"/>
            <w:vAlign w:val="center"/>
            <w:hideMark/>
          </w:tcPr>
          <w:p w14:paraId="05194648"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3.5 - 12.7</w:t>
            </w:r>
          </w:p>
        </w:tc>
        <w:tc>
          <w:tcPr>
            <w:tcW w:w="1791" w:type="dxa"/>
            <w:vAlign w:val="center"/>
            <w:hideMark/>
          </w:tcPr>
          <w:p w14:paraId="35A9D90D"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7.8 ± 2.4</w:t>
            </w:r>
          </w:p>
        </w:tc>
      </w:tr>
      <w:tr w:rsidR="009B6EDE" w:rsidRPr="002221FA" w14:paraId="3FEE84C3" w14:textId="77777777" w:rsidTr="006D4F51">
        <w:trPr>
          <w:trHeight w:val="624"/>
          <w:jc w:val="center"/>
        </w:trPr>
        <w:tc>
          <w:tcPr>
            <w:tcW w:w="2665" w:type="dxa"/>
            <w:vAlign w:val="center"/>
            <w:hideMark/>
          </w:tcPr>
          <w:p w14:paraId="0EDC9430"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Snout Length (cm)</w:t>
            </w:r>
          </w:p>
        </w:tc>
        <w:tc>
          <w:tcPr>
            <w:tcW w:w="1791" w:type="dxa"/>
            <w:vAlign w:val="center"/>
            <w:hideMark/>
          </w:tcPr>
          <w:p w14:paraId="3F2DB37A"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SnL</w:t>
            </w:r>
          </w:p>
        </w:tc>
        <w:tc>
          <w:tcPr>
            <w:tcW w:w="1791" w:type="dxa"/>
            <w:vAlign w:val="center"/>
            <w:hideMark/>
          </w:tcPr>
          <w:p w14:paraId="574B3872"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0.9 - 3.8</w:t>
            </w:r>
          </w:p>
        </w:tc>
        <w:tc>
          <w:tcPr>
            <w:tcW w:w="1791" w:type="dxa"/>
            <w:vAlign w:val="center"/>
            <w:hideMark/>
          </w:tcPr>
          <w:p w14:paraId="7BC1412E"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2.2 ± 0.7</w:t>
            </w:r>
          </w:p>
        </w:tc>
      </w:tr>
      <w:tr w:rsidR="009B6EDE" w:rsidRPr="002221FA" w14:paraId="316FB853" w14:textId="77777777" w:rsidTr="006D4F51">
        <w:trPr>
          <w:trHeight w:val="624"/>
          <w:jc w:val="center"/>
        </w:trPr>
        <w:tc>
          <w:tcPr>
            <w:tcW w:w="2665" w:type="dxa"/>
            <w:vAlign w:val="center"/>
            <w:hideMark/>
          </w:tcPr>
          <w:p w14:paraId="3C67FAD7"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Dorsal Fin Length (cm)</w:t>
            </w:r>
          </w:p>
        </w:tc>
        <w:tc>
          <w:tcPr>
            <w:tcW w:w="1791" w:type="dxa"/>
            <w:vAlign w:val="center"/>
            <w:hideMark/>
          </w:tcPr>
          <w:p w14:paraId="7C0EE750"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DFL</w:t>
            </w:r>
          </w:p>
        </w:tc>
        <w:tc>
          <w:tcPr>
            <w:tcW w:w="1791" w:type="dxa"/>
            <w:vAlign w:val="center"/>
            <w:hideMark/>
          </w:tcPr>
          <w:p w14:paraId="62CCE6C4"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7.5 - 28.5</w:t>
            </w:r>
          </w:p>
        </w:tc>
        <w:tc>
          <w:tcPr>
            <w:tcW w:w="1791" w:type="dxa"/>
            <w:vAlign w:val="center"/>
            <w:hideMark/>
          </w:tcPr>
          <w:p w14:paraId="69BDCD09"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17.5 ± 5.4</w:t>
            </w:r>
          </w:p>
        </w:tc>
      </w:tr>
      <w:tr w:rsidR="009B6EDE" w:rsidRPr="002221FA" w14:paraId="544774AD" w14:textId="77777777" w:rsidTr="006D4F51">
        <w:trPr>
          <w:trHeight w:val="624"/>
          <w:jc w:val="center"/>
        </w:trPr>
        <w:tc>
          <w:tcPr>
            <w:tcW w:w="2665" w:type="dxa"/>
            <w:vAlign w:val="center"/>
            <w:hideMark/>
          </w:tcPr>
          <w:p w14:paraId="25FF0AC4"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Pectoral Fin Length (cm)</w:t>
            </w:r>
          </w:p>
        </w:tc>
        <w:tc>
          <w:tcPr>
            <w:tcW w:w="1791" w:type="dxa"/>
            <w:vAlign w:val="center"/>
            <w:hideMark/>
          </w:tcPr>
          <w:p w14:paraId="444CC709"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Pect.FL</w:t>
            </w:r>
          </w:p>
        </w:tc>
        <w:tc>
          <w:tcPr>
            <w:tcW w:w="1791" w:type="dxa"/>
            <w:vAlign w:val="center"/>
            <w:hideMark/>
          </w:tcPr>
          <w:p w14:paraId="507C8932"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2.3 - 8.3</w:t>
            </w:r>
          </w:p>
        </w:tc>
        <w:tc>
          <w:tcPr>
            <w:tcW w:w="1791" w:type="dxa"/>
            <w:vAlign w:val="center"/>
            <w:hideMark/>
          </w:tcPr>
          <w:p w14:paraId="54A836B4"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5.3 ± 1.6</w:t>
            </w:r>
          </w:p>
        </w:tc>
      </w:tr>
      <w:tr w:rsidR="009B6EDE" w:rsidRPr="002221FA" w14:paraId="4E212265" w14:textId="77777777" w:rsidTr="006D4F51">
        <w:trPr>
          <w:trHeight w:val="624"/>
          <w:jc w:val="center"/>
        </w:trPr>
        <w:tc>
          <w:tcPr>
            <w:tcW w:w="2665" w:type="dxa"/>
            <w:vAlign w:val="center"/>
            <w:hideMark/>
          </w:tcPr>
          <w:p w14:paraId="5453F028"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Pelvic Fin Length (cm)</w:t>
            </w:r>
          </w:p>
        </w:tc>
        <w:tc>
          <w:tcPr>
            <w:tcW w:w="1791" w:type="dxa"/>
            <w:vAlign w:val="center"/>
            <w:hideMark/>
          </w:tcPr>
          <w:p w14:paraId="33310A2B"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Pel.FL</w:t>
            </w:r>
          </w:p>
        </w:tc>
        <w:tc>
          <w:tcPr>
            <w:tcW w:w="1791" w:type="dxa"/>
            <w:vAlign w:val="center"/>
            <w:hideMark/>
          </w:tcPr>
          <w:p w14:paraId="7B5FF314"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1.9 - 7.6</w:t>
            </w:r>
          </w:p>
        </w:tc>
        <w:tc>
          <w:tcPr>
            <w:tcW w:w="1791" w:type="dxa"/>
            <w:vAlign w:val="center"/>
            <w:hideMark/>
          </w:tcPr>
          <w:p w14:paraId="2AFD2FD7"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4.6 ± 1.4</w:t>
            </w:r>
          </w:p>
        </w:tc>
      </w:tr>
      <w:tr w:rsidR="009B6EDE" w:rsidRPr="002221FA" w14:paraId="7A13FE39" w14:textId="77777777" w:rsidTr="006D4F51">
        <w:trPr>
          <w:trHeight w:val="624"/>
          <w:jc w:val="center"/>
        </w:trPr>
        <w:tc>
          <w:tcPr>
            <w:tcW w:w="2665" w:type="dxa"/>
            <w:vAlign w:val="center"/>
            <w:hideMark/>
          </w:tcPr>
          <w:p w14:paraId="68316DFB"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Anal Fin Length (cm)</w:t>
            </w:r>
          </w:p>
        </w:tc>
        <w:tc>
          <w:tcPr>
            <w:tcW w:w="1791" w:type="dxa"/>
            <w:vAlign w:val="center"/>
            <w:hideMark/>
          </w:tcPr>
          <w:p w14:paraId="4B552899"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AFL</w:t>
            </w:r>
          </w:p>
        </w:tc>
        <w:tc>
          <w:tcPr>
            <w:tcW w:w="1791" w:type="dxa"/>
            <w:vAlign w:val="center"/>
            <w:hideMark/>
          </w:tcPr>
          <w:p w14:paraId="1D035D6F"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4.2 - 16.6</w:t>
            </w:r>
          </w:p>
        </w:tc>
        <w:tc>
          <w:tcPr>
            <w:tcW w:w="1791" w:type="dxa"/>
            <w:vAlign w:val="center"/>
            <w:hideMark/>
          </w:tcPr>
          <w:p w14:paraId="25243BB9"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9.9 ± 3.2</w:t>
            </w:r>
          </w:p>
        </w:tc>
      </w:tr>
      <w:tr w:rsidR="009B6EDE" w:rsidRPr="002221FA" w14:paraId="08BE1022" w14:textId="77777777" w:rsidTr="006D4F51">
        <w:trPr>
          <w:trHeight w:val="624"/>
          <w:jc w:val="center"/>
        </w:trPr>
        <w:tc>
          <w:tcPr>
            <w:tcW w:w="2665" w:type="dxa"/>
            <w:vAlign w:val="center"/>
            <w:hideMark/>
          </w:tcPr>
          <w:p w14:paraId="6C0CBEA0"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Caudal Fin Length (cm)</w:t>
            </w:r>
          </w:p>
        </w:tc>
        <w:tc>
          <w:tcPr>
            <w:tcW w:w="1791" w:type="dxa"/>
            <w:vAlign w:val="center"/>
            <w:hideMark/>
          </w:tcPr>
          <w:p w14:paraId="3FF9EBF2"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CFL</w:t>
            </w:r>
          </w:p>
        </w:tc>
        <w:tc>
          <w:tcPr>
            <w:tcW w:w="1791" w:type="dxa"/>
            <w:vAlign w:val="center"/>
            <w:hideMark/>
          </w:tcPr>
          <w:p w14:paraId="71DD8B70"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2.5 - 9.2</w:t>
            </w:r>
          </w:p>
        </w:tc>
        <w:tc>
          <w:tcPr>
            <w:tcW w:w="1791" w:type="dxa"/>
            <w:vAlign w:val="center"/>
            <w:hideMark/>
          </w:tcPr>
          <w:p w14:paraId="5B3B3070"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5.8 ± 1.8</w:t>
            </w:r>
          </w:p>
        </w:tc>
      </w:tr>
      <w:tr w:rsidR="009B6EDE" w:rsidRPr="002221FA" w14:paraId="4B2E4CDF" w14:textId="77777777" w:rsidTr="006D4F51">
        <w:trPr>
          <w:trHeight w:val="624"/>
          <w:jc w:val="center"/>
        </w:trPr>
        <w:tc>
          <w:tcPr>
            <w:tcW w:w="2665" w:type="dxa"/>
            <w:vAlign w:val="center"/>
            <w:hideMark/>
          </w:tcPr>
          <w:p w14:paraId="7E7D9ADA"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Body Depth (cm)</w:t>
            </w:r>
          </w:p>
        </w:tc>
        <w:tc>
          <w:tcPr>
            <w:tcW w:w="1791" w:type="dxa"/>
            <w:vAlign w:val="center"/>
            <w:hideMark/>
          </w:tcPr>
          <w:p w14:paraId="33AA875F"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BD</w:t>
            </w:r>
          </w:p>
        </w:tc>
        <w:tc>
          <w:tcPr>
            <w:tcW w:w="1791" w:type="dxa"/>
            <w:vAlign w:val="center"/>
            <w:hideMark/>
          </w:tcPr>
          <w:p w14:paraId="301809D3"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2.7 - 10.2</w:t>
            </w:r>
          </w:p>
        </w:tc>
        <w:tc>
          <w:tcPr>
            <w:tcW w:w="1791" w:type="dxa"/>
            <w:vAlign w:val="center"/>
            <w:hideMark/>
          </w:tcPr>
          <w:p w14:paraId="253DB3FA"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6.3 ± 1.9</w:t>
            </w:r>
          </w:p>
        </w:tc>
      </w:tr>
      <w:tr w:rsidR="009B6EDE" w:rsidRPr="002221FA" w14:paraId="43FB95EF" w14:textId="77777777" w:rsidTr="006D4F51">
        <w:trPr>
          <w:trHeight w:val="624"/>
          <w:jc w:val="center"/>
        </w:trPr>
        <w:tc>
          <w:tcPr>
            <w:tcW w:w="2665" w:type="dxa"/>
            <w:vAlign w:val="center"/>
            <w:hideMark/>
          </w:tcPr>
          <w:p w14:paraId="4A47D2B0"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Eye Diameter (cm)</w:t>
            </w:r>
          </w:p>
        </w:tc>
        <w:tc>
          <w:tcPr>
            <w:tcW w:w="1791" w:type="dxa"/>
            <w:vAlign w:val="center"/>
            <w:hideMark/>
          </w:tcPr>
          <w:p w14:paraId="406A954F"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ED</w:t>
            </w:r>
          </w:p>
        </w:tc>
        <w:tc>
          <w:tcPr>
            <w:tcW w:w="1791" w:type="dxa"/>
            <w:vAlign w:val="center"/>
            <w:hideMark/>
          </w:tcPr>
          <w:p w14:paraId="53EEDCB4"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0.4 - 1.5</w:t>
            </w:r>
          </w:p>
        </w:tc>
        <w:tc>
          <w:tcPr>
            <w:tcW w:w="1791" w:type="dxa"/>
            <w:vAlign w:val="center"/>
            <w:hideMark/>
          </w:tcPr>
          <w:p w14:paraId="0D95B98A"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0.9 ± 0.3</w:t>
            </w:r>
          </w:p>
        </w:tc>
      </w:tr>
      <w:tr w:rsidR="009B6EDE" w:rsidRPr="002221FA" w14:paraId="7E537923" w14:textId="77777777" w:rsidTr="006D4F51">
        <w:trPr>
          <w:trHeight w:val="624"/>
          <w:jc w:val="center"/>
        </w:trPr>
        <w:tc>
          <w:tcPr>
            <w:tcW w:w="2665" w:type="dxa"/>
            <w:vAlign w:val="center"/>
            <w:hideMark/>
          </w:tcPr>
          <w:p w14:paraId="25B3D182"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Distance of Eyes (cm)</w:t>
            </w:r>
          </w:p>
        </w:tc>
        <w:tc>
          <w:tcPr>
            <w:tcW w:w="1791" w:type="dxa"/>
            <w:vAlign w:val="center"/>
            <w:hideMark/>
          </w:tcPr>
          <w:p w14:paraId="7E794057"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DoE</w:t>
            </w:r>
          </w:p>
        </w:tc>
        <w:tc>
          <w:tcPr>
            <w:tcW w:w="1791" w:type="dxa"/>
            <w:vAlign w:val="center"/>
            <w:hideMark/>
          </w:tcPr>
          <w:p w14:paraId="0CA63AD3"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0.7 - 3.1</w:t>
            </w:r>
          </w:p>
        </w:tc>
        <w:tc>
          <w:tcPr>
            <w:tcW w:w="1791" w:type="dxa"/>
            <w:vAlign w:val="center"/>
            <w:hideMark/>
          </w:tcPr>
          <w:p w14:paraId="602B75CF"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1.8 ± 0.6</w:t>
            </w:r>
          </w:p>
        </w:tc>
      </w:tr>
      <w:tr w:rsidR="009B6EDE" w:rsidRPr="002221FA" w14:paraId="1CFD1420" w14:textId="77777777" w:rsidTr="006D4F51">
        <w:trPr>
          <w:trHeight w:val="624"/>
          <w:jc w:val="center"/>
        </w:trPr>
        <w:tc>
          <w:tcPr>
            <w:tcW w:w="2665" w:type="dxa"/>
            <w:vAlign w:val="center"/>
            <w:hideMark/>
          </w:tcPr>
          <w:p w14:paraId="635B25FB"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lastRenderedPageBreak/>
              <w:t>Mouth Width (cm)</w:t>
            </w:r>
          </w:p>
        </w:tc>
        <w:tc>
          <w:tcPr>
            <w:tcW w:w="1791" w:type="dxa"/>
            <w:vAlign w:val="center"/>
            <w:hideMark/>
          </w:tcPr>
          <w:p w14:paraId="3ACCE82C"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MW</w:t>
            </w:r>
          </w:p>
        </w:tc>
        <w:tc>
          <w:tcPr>
            <w:tcW w:w="1791" w:type="dxa"/>
            <w:vAlign w:val="center"/>
            <w:hideMark/>
          </w:tcPr>
          <w:p w14:paraId="61F3BF97"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1.1 - 4.8</w:t>
            </w:r>
          </w:p>
        </w:tc>
        <w:tc>
          <w:tcPr>
            <w:tcW w:w="1791" w:type="dxa"/>
            <w:vAlign w:val="center"/>
            <w:hideMark/>
          </w:tcPr>
          <w:p w14:paraId="5F09FB5D"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2.7 ± 0.9</w:t>
            </w:r>
          </w:p>
        </w:tc>
      </w:tr>
      <w:tr w:rsidR="009B6EDE" w:rsidRPr="002221FA" w14:paraId="617D8BCB" w14:textId="77777777" w:rsidTr="006D4F51">
        <w:trPr>
          <w:trHeight w:val="624"/>
          <w:jc w:val="center"/>
        </w:trPr>
        <w:tc>
          <w:tcPr>
            <w:tcW w:w="2665" w:type="dxa"/>
            <w:vAlign w:val="center"/>
            <w:hideMark/>
          </w:tcPr>
          <w:p w14:paraId="33F9D456"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Upper Jaw Length (cm)</w:t>
            </w:r>
          </w:p>
        </w:tc>
        <w:tc>
          <w:tcPr>
            <w:tcW w:w="1791" w:type="dxa"/>
            <w:vAlign w:val="center"/>
            <w:hideMark/>
          </w:tcPr>
          <w:p w14:paraId="1253B060"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UJL</w:t>
            </w:r>
          </w:p>
        </w:tc>
        <w:tc>
          <w:tcPr>
            <w:tcW w:w="1791" w:type="dxa"/>
            <w:vAlign w:val="center"/>
            <w:hideMark/>
          </w:tcPr>
          <w:p w14:paraId="2FA21124"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1.8 - 6.5</w:t>
            </w:r>
          </w:p>
        </w:tc>
        <w:tc>
          <w:tcPr>
            <w:tcW w:w="1791" w:type="dxa"/>
            <w:vAlign w:val="center"/>
            <w:hideMark/>
          </w:tcPr>
          <w:p w14:paraId="777869BE"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4.0 ± 1.2</w:t>
            </w:r>
          </w:p>
        </w:tc>
      </w:tr>
      <w:tr w:rsidR="009B6EDE" w:rsidRPr="002221FA" w14:paraId="18A29516" w14:textId="77777777" w:rsidTr="006D4F51">
        <w:trPr>
          <w:trHeight w:val="624"/>
          <w:jc w:val="center"/>
        </w:trPr>
        <w:tc>
          <w:tcPr>
            <w:tcW w:w="2665" w:type="dxa"/>
            <w:vAlign w:val="center"/>
            <w:hideMark/>
          </w:tcPr>
          <w:p w14:paraId="2868C8A2" w14:textId="77777777" w:rsidR="002221FA" w:rsidRPr="002221FA" w:rsidRDefault="002221FA" w:rsidP="009B6EDE">
            <w:pPr>
              <w:spacing w:after="160"/>
              <w:rPr>
                <w:rFonts w:ascii="Times New Roman" w:hAnsi="Times New Roman" w:cs="Times New Roman"/>
                <w:sz w:val="24"/>
                <w:szCs w:val="24"/>
              </w:rPr>
            </w:pPr>
            <w:r w:rsidRPr="002221FA">
              <w:rPr>
                <w:rFonts w:ascii="Times New Roman" w:hAnsi="Times New Roman" w:cs="Times New Roman"/>
                <w:sz w:val="24"/>
                <w:szCs w:val="24"/>
              </w:rPr>
              <w:t>Lower Jaw Length (cm)</w:t>
            </w:r>
          </w:p>
        </w:tc>
        <w:tc>
          <w:tcPr>
            <w:tcW w:w="1791" w:type="dxa"/>
            <w:vAlign w:val="center"/>
            <w:hideMark/>
          </w:tcPr>
          <w:p w14:paraId="56E5B92E"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LJL</w:t>
            </w:r>
          </w:p>
        </w:tc>
        <w:tc>
          <w:tcPr>
            <w:tcW w:w="1791" w:type="dxa"/>
            <w:vAlign w:val="center"/>
            <w:hideMark/>
          </w:tcPr>
          <w:p w14:paraId="45FDFABE"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2.1 - 7.9</w:t>
            </w:r>
          </w:p>
        </w:tc>
        <w:tc>
          <w:tcPr>
            <w:tcW w:w="1791" w:type="dxa"/>
            <w:vAlign w:val="center"/>
            <w:hideMark/>
          </w:tcPr>
          <w:p w14:paraId="3B892D7B" w14:textId="77777777" w:rsidR="002221FA" w:rsidRPr="002221FA" w:rsidRDefault="002221FA" w:rsidP="009B6EDE">
            <w:pPr>
              <w:spacing w:after="160"/>
              <w:jc w:val="center"/>
              <w:rPr>
                <w:rFonts w:ascii="Times New Roman" w:hAnsi="Times New Roman" w:cs="Times New Roman"/>
                <w:sz w:val="24"/>
                <w:szCs w:val="24"/>
              </w:rPr>
            </w:pPr>
            <w:r w:rsidRPr="002221FA">
              <w:rPr>
                <w:rFonts w:ascii="Times New Roman" w:hAnsi="Times New Roman" w:cs="Times New Roman"/>
                <w:sz w:val="24"/>
                <w:szCs w:val="24"/>
              </w:rPr>
              <w:t>4.8 ± 1.4</w:t>
            </w:r>
          </w:p>
        </w:tc>
      </w:tr>
    </w:tbl>
    <w:p w14:paraId="61AAA39D" w14:textId="77777777" w:rsidR="00FD49AD" w:rsidRDefault="00FD49AD" w:rsidP="009B6EDE">
      <w:pPr>
        <w:spacing w:line="360" w:lineRule="auto"/>
        <w:jc w:val="both"/>
        <w:rPr>
          <w:rFonts w:ascii="Times New Roman" w:hAnsi="Times New Roman" w:cs="Times New Roman"/>
          <w:b/>
          <w:bCs/>
          <w:sz w:val="24"/>
          <w:szCs w:val="24"/>
        </w:rPr>
      </w:pPr>
    </w:p>
    <w:p w14:paraId="61495031" w14:textId="78334352" w:rsidR="009B6EDE"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3.2. Length-Weight Relationship</w:t>
      </w:r>
    </w:p>
    <w:p w14:paraId="303E38D2" w14:textId="54964CBA"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length-weight relationship was established as W = 0.021L³.⁰⁵. The calculated growth exponent (b) was 3.05, which is significantly greater than the isometric value of 3.0. The coefficient of determination (R²) was 0.992, indicating an exceptionally strong fit for the model.</w:t>
      </w:r>
    </w:p>
    <w:p w14:paraId="1C556276" w14:textId="06B542CF" w:rsidR="009B6EDE" w:rsidRDefault="00527E87" w:rsidP="009B6EDE">
      <w:pPr>
        <w:spacing w:line="360" w:lineRule="auto"/>
        <w:jc w:val="both"/>
        <w:rPr>
          <w:rFonts w:ascii="Times New Roman" w:hAnsi="Times New Roman" w:cs="Times New Roman"/>
          <w:b/>
          <w:bCs/>
          <w:sz w:val="24"/>
          <w:szCs w:val="24"/>
        </w:rPr>
      </w:pPr>
      <w:r w:rsidRPr="00527E87">
        <w:rPr>
          <w:rFonts w:ascii="Times New Roman" w:hAnsi="Times New Roman" w:cs="Times New Roman"/>
          <w:b/>
          <w:bCs/>
          <w:sz w:val="24"/>
          <w:szCs w:val="24"/>
        </w:rPr>
        <w:t>3.3. Morphometric Relationships with Total Length</w:t>
      </w:r>
    </w:p>
    <w:p w14:paraId="69932B4F" w14:textId="12AF01D1" w:rsidR="00527E87" w:rsidRPr="00527E87" w:rsidRDefault="00527E87" w:rsidP="009B6EDE">
      <w:pPr>
        <w:spacing w:line="360" w:lineRule="auto"/>
        <w:jc w:val="both"/>
        <w:rPr>
          <w:rFonts w:ascii="Times New Roman" w:hAnsi="Times New Roman" w:cs="Times New Roman"/>
          <w:sz w:val="24"/>
          <w:szCs w:val="24"/>
        </w:rPr>
      </w:pPr>
      <w:r w:rsidRPr="00527E87">
        <w:rPr>
          <w:rFonts w:ascii="Times New Roman" w:hAnsi="Times New Roman" w:cs="Times New Roman"/>
          <w:sz w:val="24"/>
          <w:szCs w:val="24"/>
        </w:rPr>
        <w:t>Linear regression analysis revealed that all morphometric characters were highly significantly (p &lt; 0.001) correlated with Total Length (TL). The calculated regression equations, constants (A₁), regression coefficients (B) with 95% confidence intervals, and R² values are consolidated in Table 2.</w:t>
      </w:r>
    </w:p>
    <w:p w14:paraId="4DF15AA1" w14:textId="7607C81E" w:rsidR="00527E87" w:rsidRPr="00527E87" w:rsidRDefault="00527E87" w:rsidP="009B6EDE">
      <w:pPr>
        <w:spacing w:line="360" w:lineRule="auto"/>
        <w:jc w:val="both"/>
        <w:rPr>
          <w:rFonts w:ascii="Times New Roman" w:hAnsi="Times New Roman" w:cs="Times New Roman"/>
          <w:sz w:val="24"/>
          <w:szCs w:val="24"/>
        </w:rPr>
      </w:pPr>
      <w:r w:rsidRPr="00527E87">
        <w:rPr>
          <w:rFonts w:ascii="Times New Roman" w:hAnsi="Times New Roman" w:cs="Times New Roman"/>
          <w:b/>
          <w:bCs/>
          <w:sz w:val="24"/>
          <w:szCs w:val="24"/>
        </w:rPr>
        <w:t>Table 2: Regression equations for morphometric characters against Total Length (TL) of </w:t>
      </w:r>
      <w:r w:rsidRPr="00527E87">
        <w:rPr>
          <w:rFonts w:ascii="Times New Roman" w:hAnsi="Times New Roman" w:cs="Times New Roman"/>
          <w:b/>
          <w:bCs/>
          <w:i/>
          <w:iCs/>
          <w:sz w:val="24"/>
          <w:szCs w:val="24"/>
        </w:rPr>
        <w:t>Channa striata</w:t>
      </w:r>
      <w:r w:rsidRPr="00527E87">
        <w:rPr>
          <w:rFonts w:ascii="Times New Roman" w:hAnsi="Times New Roman" w:cs="Times New Roman"/>
          <w:b/>
          <w:bCs/>
          <w:sz w:val="24"/>
          <w:szCs w:val="24"/>
        </w:rPr>
        <w:t> (n=176).</w:t>
      </w:r>
    </w:p>
    <w:tbl>
      <w:tblPr>
        <w:tblStyle w:val="TableGrid"/>
        <w:tblW w:w="10772" w:type="dxa"/>
        <w:jc w:val="center"/>
        <w:tblLook w:val="04A0" w:firstRow="1" w:lastRow="0" w:firstColumn="1" w:lastColumn="0" w:noHBand="0" w:noVBand="1"/>
      </w:tblPr>
      <w:tblGrid>
        <w:gridCol w:w="964"/>
        <w:gridCol w:w="3118"/>
        <w:gridCol w:w="3005"/>
        <w:gridCol w:w="1134"/>
        <w:gridCol w:w="2551"/>
      </w:tblGrid>
      <w:tr w:rsidR="00F5786F" w:rsidRPr="00527E87" w14:paraId="4BB50395" w14:textId="77777777" w:rsidTr="00B21A21">
        <w:trPr>
          <w:trHeight w:val="567"/>
          <w:jc w:val="center"/>
        </w:trPr>
        <w:tc>
          <w:tcPr>
            <w:tcW w:w="964" w:type="dxa"/>
            <w:vAlign w:val="center"/>
            <w:hideMark/>
          </w:tcPr>
          <w:p w14:paraId="3F2E9FAA" w14:textId="77777777" w:rsidR="00527E87" w:rsidRPr="00527E87" w:rsidRDefault="00527E87" w:rsidP="00F5786F">
            <w:pPr>
              <w:spacing w:after="160"/>
              <w:jc w:val="center"/>
              <w:rPr>
                <w:rFonts w:ascii="Times New Roman" w:hAnsi="Times New Roman" w:cs="Times New Roman"/>
                <w:b/>
                <w:bCs/>
                <w:sz w:val="24"/>
                <w:szCs w:val="24"/>
              </w:rPr>
            </w:pPr>
            <w:r w:rsidRPr="00527E87">
              <w:rPr>
                <w:rFonts w:ascii="Times New Roman" w:hAnsi="Times New Roman" w:cs="Times New Roman"/>
                <w:b/>
                <w:bCs/>
                <w:sz w:val="24"/>
                <w:szCs w:val="24"/>
              </w:rPr>
              <w:t>Sr. No.</w:t>
            </w:r>
          </w:p>
        </w:tc>
        <w:tc>
          <w:tcPr>
            <w:tcW w:w="3118" w:type="dxa"/>
            <w:vAlign w:val="center"/>
            <w:hideMark/>
          </w:tcPr>
          <w:p w14:paraId="7AB01A0A" w14:textId="01BD31B1" w:rsidR="00527E87" w:rsidRPr="00527E87" w:rsidRDefault="00527E87" w:rsidP="00B21A21">
            <w:pPr>
              <w:jc w:val="center"/>
              <w:rPr>
                <w:rFonts w:ascii="Times New Roman" w:hAnsi="Times New Roman" w:cs="Times New Roman"/>
                <w:b/>
                <w:bCs/>
                <w:sz w:val="24"/>
                <w:szCs w:val="24"/>
              </w:rPr>
            </w:pPr>
            <w:r w:rsidRPr="00527E87">
              <w:rPr>
                <w:rFonts w:ascii="Times New Roman" w:hAnsi="Times New Roman" w:cs="Times New Roman"/>
                <w:b/>
                <w:bCs/>
                <w:sz w:val="24"/>
                <w:szCs w:val="24"/>
              </w:rPr>
              <w:t>Dependent Character (Y)</w:t>
            </w:r>
          </w:p>
        </w:tc>
        <w:tc>
          <w:tcPr>
            <w:tcW w:w="3005" w:type="dxa"/>
            <w:vAlign w:val="center"/>
            <w:hideMark/>
          </w:tcPr>
          <w:p w14:paraId="30F6AF11" w14:textId="77777777" w:rsidR="00B21A21" w:rsidRDefault="00527E87" w:rsidP="00B21A21">
            <w:pPr>
              <w:jc w:val="center"/>
              <w:rPr>
                <w:rFonts w:ascii="Times New Roman" w:hAnsi="Times New Roman" w:cs="Times New Roman"/>
                <w:b/>
                <w:bCs/>
                <w:sz w:val="24"/>
                <w:szCs w:val="24"/>
              </w:rPr>
            </w:pPr>
            <w:r w:rsidRPr="00527E87">
              <w:rPr>
                <w:rFonts w:ascii="Times New Roman" w:hAnsi="Times New Roman" w:cs="Times New Roman"/>
                <w:b/>
                <w:bCs/>
                <w:sz w:val="24"/>
                <w:szCs w:val="24"/>
              </w:rPr>
              <w:t xml:space="preserve">Regression Equation </w:t>
            </w:r>
          </w:p>
          <w:p w14:paraId="50E3F74E" w14:textId="12FA8CC2" w:rsidR="00527E87" w:rsidRPr="00527E87" w:rsidRDefault="00527E87" w:rsidP="00B21A21">
            <w:pPr>
              <w:jc w:val="center"/>
              <w:rPr>
                <w:rFonts w:ascii="Times New Roman" w:hAnsi="Times New Roman" w:cs="Times New Roman"/>
                <w:b/>
                <w:bCs/>
                <w:sz w:val="24"/>
                <w:szCs w:val="24"/>
              </w:rPr>
            </w:pPr>
            <w:r w:rsidRPr="00527E87">
              <w:rPr>
                <w:rFonts w:ascii="Times New Roman" w:hAnsi="Times New Roman" w:cs="Times New Roman"/>
                <w:b/>
                <w:bCs/>
                <w:sz w:val="24"/>
                <w:szCs w:val="24"/>
              </w:rPr>
              <w:t>(Y = A₁ + B*X)</w:t>
            </w:r>
          </w:p>
        </w:tc>
        <w:tc>
          <w:tcPr>
            <w:tcW w:w="1134" w:type="dxa"/>
            <w:vAlign w:val="center"/>
            <w:hideMark/>
          </w:tcPr>
          <w:p w14:paraId="549346F9" w14:textId="77777777" w:rsidR="00527E87" w:rsidRPr="00527E87" w:rsidRDefault="00527E87" w:rsidP="00F5786F">
            <w:pPr>
              <w:spacing w:after="160"/>
              <w:jc w:val="center"/>
              <w:rPr>
                <w:rFonts w:ascii="Times New Roman" w:hAnsi="Times New Roman" w:cs="Times New Roman"/>
                <w:b/>
                <w:bCs/>
                <w:sz w:val="24"/>
                <w:szCs w:val="24"/>
              </w:rPr>
            </w:pPr>
            <w:r w:rsidRPr="00527E87">
              <w:rPr>
                <w:rFonts w:ascii="Times New Roman" w:hAnsi="Times New Roman" w:cs="Times New Roman"/>
                <w:b/>
                <w:bCs/>
                <w:sz w:val="24"/>
                <w:szCs w:val="24"/>
              </w:rPr>
              <w:t>R² Value</w:t>
            </w:r>
          </w:p>
        </w:tc>
        <w:tc>
          <w:tcPr>
            <w:tcW w:w="2551" w:type="dxa"/>
            <w:vAlign w:val="center"/>
            <w:hideMark/>
          </w:tcPr>
          <w:p w14:paraId="31169DEB" w14:textId="77777777" w:rsidR="00527E87" w:rsidRPr="00527E87" w:rsidRDefault="00527E87" w:rsidP="00F5786F">
            <w:pPr>
              <w:spacing w:after="160"/>
              <w:jc w:val="center"/>
              <w:rPr>
                <w:rFonts w:ascii="Times New Roman" w:hAnsi="Times New Roman" w:cs="Times New Roman"/>
                <w:b/>
                <w:bCs/>
                <w:sz w:val="24"/>
                <w:szCs w:val="24"/>
              </w:rPr>
            </w:pPr>
            <w:r w:rsidRPr="00527E87">
              <w:rPr>
                <w:rFonts w:ascii="Times New Roman" w:hAnsi="Times New Roman" w:cs="Times New Roman"/>
                <w:b/>
                <w:bCs/>
                <w:sz w:val="24"/>
                <w:szCs w:val="24"/>
              </w:rPr>
              <w:t>Regression Coefficient (B) with 95% CI</w:t>
            </w:r>
          </w:p>
        </w:tc>
      </w:tr>
      <w:tr w:rsidR="00F5786F" w:rsidRPr="00527E87" w14:paraId="2E675557" w14:textId="77777777" w:rsidTr="006D4F51">
        <w:trPr>
          <w:trHeight w:val="624"/>
          <w:jc w:val="center"/>
        </w:trPr>
        <w:tc>
          <w:tcPr>
            <w:tcW w:w="964" w:type="dxa"/>
            <w:vAlign w:val="center"/>
            <w:hideMark/>
          </w:tcPr>
          <w:p w14:paraId="7A574258"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1.</w:t>
            </w:r>
          </w:p>
        </w:tc>
        <w:tc>
          <w:tcPr>
            <w:tcW w:w="3118" w:type="dxa"/>
            <w:vAlign w:val="center"/>
            <w:hideMark/>
          </w:tcPr>
          <w:p w14:paraId="0099144C"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Standard Length (SL)</w:t>
            </w:r>
          </w:p>
        </w:tc>
        <w:tc>
          <w:tcPr>
            <w:tcW w:w="3005" w:type="dxa"/>
            <w:vAlign w:val="center"/>
            <w:hideMark/>
          </w:tcPr>
          <w:p w14:paraId="0BAC517F"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SL = 0.216 + 0.820(TL)</w:t>
            </w:r>
          </w:p>
        </w:tc>
        <w:tc>
          <w:tcPr>
            <w:tcW w:w="1134" w:type="dxa"/>
            <w:vAlign w:val="center"/>
            <w:hideMark/>
          </w:tcPr>
          <w:p w14:paraId="6CBF3D37"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0.998</w:t>
            </w:r>
          </w:p>
        </w:tc>
        <w:tc>
          <w:tcPr>
            <w:tcW w:w="2551" w:type="dxa"/>
            <w:vAlign w:val="center"/>
            <w:hideMark/>
          </w:tcPr>
          <w:p w14:paraId="7F9C68A4"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0.820 (0.815 - 0.825)</w:t>
            </w:r>
          </w:p>
        </w:tc>
      </w:tr>
      <w:tr w:rsidR="00F5786F" w:rsidRPr="00527E87" w14:paraId="2CD3347A" w14:textId="77777777" w:rsidTr="006D4F51">
        <w:trPr>
          <w:trHeight w:val="624"/>
          <w:jc w:val="center"/>
        </w:trPr>
        <w:tc>
          <w:tcPr>
            <w:tcW w:w="964" w:type="dxa"/>
            <w:vAlign w:val="center"/>
            <w:hideMark/>
          </w:tcPr>
          <w:p w14:paraId="4D41A486"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2.</w:t>
            </w:r>
          </w:p>
        </w:tc>
        <w:tc>
          <w:tcPr>
            <w:tcW w:w="3118" w:type="dxa"/>
            <w:vAlign w:val="center"/>
            <w:hideMark/>
          </w:tcPr>
          <w:p w14:paraId="6A51922D"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Head Length (HL)</w:t>
            </w:r>
          </w:p>
        </w:tc>
        <w:tc>
          <w:tcPr>
            <w:tcW w:w="3005" w:type="dxa"/>
            <w:vAlign w:val="center"/>
            <w:hideMark/>
          </w:tcPr>
          <w:p w14:paraId="5661BEF5"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HL = 0.144 + 0.231(TL)</w:t>
            </w:r>
          </w:p>
        </w:tc>
        <w:tc>
          <w:tcPr>
            <w:tcW w:w="1134" w:type="dxa"/>
            <w:vAlign w:val="center"/>
            <w:hideMark/>
          </w:tcPr>
          <w:p w14:paraId="7EE7AB72"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0.991</w:t>
            </w:r>
          </w:p>
        </w:tc>
        <w:tc>
          <w:tcPr>
            <w:tcW w:w="2551" w:type="dxa"/>
            <w:vAlign w:val="center"/>
            <w:hideMark/>
          </w:tcPr>
          <w:p w14:paraId="18A92A94"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0.231 (0.228 - 0.234)</w:t>
            </w:r>
          </w:p>
        </w:tc>
      </w:tr>
      <w:tr w:rsidR="00F5786F" w:rsidRPr="00527E87" w14:paraId="417B50C2" w14:textId="77777777" w:rsidTr="006D4F51">
        <w:trPr>
          <w:trHeight w:val="624"/>
          <w:jc w:val="center"/>
        </w:trPr>
        <w:tc>
          <w:tcPr>
            <w:tcW w:w="964" w:type="dxa"/>
            <w:vAlign w:val="center"/>
            <w:hideMark/>
          </w:tcPr>
          <w:p w14:paraId="3D90F573"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3.</w:t>
            </w:r>
          </w:p>
        </w:tc>
        <w:tc>
          <w:tcPr>
            <w:tcW w:w="3118" w:type="dxa"/>
            <w:vAlign w:val="center"/>
            <w:hideMark/>
          </w:tcPr>
          <w:p w14:paraId="7D252167"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Snout Length (SnL)</w:t>
            </w:r>
          </w:p>
        </w:tc>
        <w:tc>
          <w:tcPr>
            <w:tcW w:w="3005" w:type="dxa"/>
            <w:vAlign w:val="center"/>
            <w:hideMark/>
          </w:tcPr>
          <w:p w14:paraId="147F6A73"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SnL = 0.021 + 0.081(TL)</w:t>
            </w:r>
          </w:p>
        </w:tc>
        <w:tc>
          <w:tcPr>
            <w:tcW w:w="1134" w:type="dxa"/>
            <w:vAlign w:val="center"/>
            <w:hideMark/>
          </w:tcPr>
          <w:p w14:paraId="77238555"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0.983</w:t>
            </w:r>
          </w:p>
        </w:tc>
        <w:tc>
          <w:tcPr>
            <w:tcW w:w="2551" w:type="dxa"/>
            <w:vAlign w:val="center"/>
            <w:hideMark/>
          </w:tcPr>
          <w:p w14:paraId="28BEF9A1"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0.081 (0.079 - 0.083)</w:t>
            </w:r>
          </w:p>
        </w:tc>
      </w:tr>
      <w:tr w:rsidR="00F5786F" w:rsidRPr="00527E87" w14:paraId="78E9C84C" w14:textId="77777777" w:rsidTr="006D4F51">
        <w:trPr>
          <w:trHeight w:val="624"/>
          <w:jc w:val="center"/>
        </w:trPr>
        <w:tc>
          <w:tcPr>
            <w:tcW w:w="964" w:type="dxa"/>
            <w:vAlign w:val="center"/>
            <w:hideMark/>
          </w:tcPr>
          <w:p w14:paraId="32D5EFF4"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4.</w:t>
            </w:r>
          </w:p>
        </w:tc>
        <w:tc>
          <w:tcPr>
            <w:tcW w:w="3118" w:type="dxa"/>
            <w:vAlign w:val="center"/>
            <w:hideMark/>
          </w:tcPr>
          <w:p w14:paraId="5463366F"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Dorsal Fin Length (DFL)</w:t>
            </w:r>
          </w:p>
        </w:tc>
        <w:tc>
          <w:tcPr>
            <w:tcW w:w="3005" w:type="dxa"/>
            <w:vAlign w:val="center"/>
            <w:hideMark/>
          </w:tcPr>
          <w:p w14:paraId="7D2C3582"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DFL = 0.015 + 0.531(TL)</w:t>
            </w:r>
          </w:p>
        </w:tc>
        <w:tc>
          <w:tcPr>
            <w:tcW w:w="1134" w:type="dxa"/>
            <w:vAlign w:val="center"/>
            <w:hideMark/>
          </w:tcPr>
          <w:p w14:paraId="240DBFBA"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0.994</w:t>
            </w:r>
          </w:p>
        </w:tc>
        <w:tc>
          <w:tcPr>
            <w:tcW w:w="2551" w:type="dxa"/>
            <w:vAlign w:val="center"/>
            <w:hideMark/>
          </w:tcPr>
          <w:p w14:paraId="3E811405"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0.531 (0.526 - 0.536)</w:t>
            </w:r>
          </w:p>
        </w:tc>
      </w:tr>
      <w:tr w:rsidR="00F5786F" w:rsidRPr="00527E87" w14:paraId="07911901" w14:textId="77777777" w:rsidTr="006D4F51">
        <w:trPr>
          <w:trHeight w:val="624"/>
          <w:jc w:val="center"/>
        </w:trPr>
        <w:tc>
          <w:tcPr>
            <w:tcW w:w="964" w:type="dxa"/>
            <w:vAlign w:val="center"/>
            <w:hideMark/>
          </w:tcPr>
          <w:p w14:paraId="3BB60C90"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5.</w:t>
            </w:r>
          </w:p>
        </w:tc>
        <w:tc>
          <w:tcPr>
            <w:tcW w:w="3118" w:type="dxa"/>
            <w:vAlign w:val="center"/>
            <w:hideMark/>
          </w:tcPr>
          <w:p w14:paraId="520CBB04"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Pectoral Fin Length (Pect.FL)</w:t>
            </w:r>
          </w:p>
        </w:tc>
        <w:tc>
          <w:tcPr>
            <w:tcW w:w="3005" w:type="dxa"/>
            <w:vAlign w:val="center"/>
            <w:hideMark/>
          </w:tcPr>
          <w:p w14:paraId="4D6F65F7"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Pect.FL = 0.005 + 0.162(TL)</w:t>
            </w:r>
          </w:p>
        </w:tc>
        <w:tc>
          <w:tcPr>
            <w:tcW w:w="1134" w:type="dxa"/>
            <w:vAlign w:val="center"/>
            <w:hideMark/>
          </w:tcPr>
          <w:p w14:paraId="45A78295"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0.987</w:t>
            </w:r>
          </w:p>
        </w:tc>
        <w:tc>
          <w:tcPr>
            <w:tcW w:w="2551" w:type="dxa"/>
            <w:vAlign w:val="center"/>
            <w:hideMark/>
          </w:tcPr>
          <w:p w14:paraId="46495D67"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0.162 (0.159 - 0.165)</w:t>
            </w:r>
          </w:p>
        </w:tc>
      </w:tr>
      <w:tr w:rsidR="00F5786F" w:rsidRPr="00527E87" w14:paraId="2168FE98" w14:textId="77777777" w:rsidTr="006D4F51">
        <w:trPr>
          <w:trHeight w:val="624"/>
          <w:jc w:val="center"/>
        </w:trPr>
        <w:tc>
          <w:tcPr>
            <w:tcW w:w="964" w:type="dxa"/>
            <w:vAlign w:val="center"/>
            <w:hideMark/>
          </w:tcPr>
          <w:p w14:paraId="6478F402"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6.</w:t>
            </w:r>
          </w:p>
        </w:tc>
        <w:tc>
          <w:tcPr>
            <w:tcW w:w="3118" w:type="dxa"/>
            <w:vAlign w:val="center"/>
            <w:hideMark/>
          </w:tcPr>
          <w:p w14:paraId="0F35D6DB"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Pelvic Fin Length (Pel.FL)</w:t>
            </w:r>
          </w:p>
        </w:tc>
        <w:tc>
          <w:tcPr>
            <w:tcW w:w="3005" w:type="dxa"/>
            <w:vAlign w:val="center"/>
            <w:hideMark/>
          </w:tcPr>
          <w:p w14:paraId="1F805924"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Pel.FL = 0.008 + 0.143(TL)</w:t>
            </w:r>
          </w:p>
        </w:tc>
        <w:tc>
          <w:tcPr>
            <w:tcW w:w="1134" w:type="dxa"/>
            <w:vAlign w:val="center"/>
            <w:hideMark/>
          </w:tcPr>
          <w:p w14:paraId="19E87BCB"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0.985</w:t>
            </w:r>
          </w:p>
        </w:tc>
        <w:tc>
          <w:tcPr>
            <w:tcW w:w="2551" w:type="dxa"/>
            <w:vAlign w:val="center"/>
            <w:hideMark/>
          </w:tcPr>
          <w:p w14:paraId="06E1D9B1"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0.143 (0.140 - 0.146)</w:t>
            </w:r>
          </w:p>
        </w:tc>
      </w:tr>
      <w:tr w:rsidR="00F5786F" w:rsidRPr="00527E87" w14:paraId="32F80878" w14:textId="77777777" w:rsidTr="006D4F51">
        <w:trPr>
          <w:trHeight w:val="624"/>
          <w:jc w:val="center"/>
        </w:trPr>
        <w:tc>
          <w:tcPr>
            <w:tcW w:w="964" w:type="dxa"/>
            <w:vAlign w:val="center"/>
            <w:hideMark/>
          </w:tcPr>
          <w:p w14:paraId="53FBD5E6"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7.</w:t>
            </w:r>
          </w:p>
        </w:tc>
        <w:tc>
          <w:tcPr>
            <w:tcW w:w="3118" w:type="dxa"/>
            <w:vAlign w:val="center"/>
            <w:hideMark/>
          </w:tcPr>
          <w:p w14:paraId="7F49B9BC"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Anal Fin Length (AFL)</w:t>
            </w:r>
          </w:p>
        </w:tc>
        <w:tc>
          <w:tcPr>
            <w:tcW w:w="3005" w:type="dxa"/>
            <w:vAlign w:val="center"/>
            <w:hideMark/>
          </w:tcPr>
          <w:p w14:paraId="4A6751B0"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AFL = 0.021 + 0.302(TL)</w:t>
            </w:r>
          </w:p>
        </w:tc>
        <w:tc>
          <w:tcPr>
            <w:tcW w:w="1134" w:type="dxa"/>
            <w:vAlign w:val="center"/>
            <w:hideMark/>
          </w:tcPr>
          <w:p w14:paraId="78B5B875"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0.989</w:t>
            </w:r>
          </w:p>
        </w:tc>
        <w:tc>
          <w:tcPr>
            <w:tcW w:w="2551" w:type="dxa"/>
            <w:vAlign w:val="center"/>
            <w:hideMark/>
          </w:tcPr>
          <w:p w14:paraId="6E725371"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0.302 (0.298 - 0.306)</w:t>
            </w:r>
          </w:p>
        </w:tc>
      </w:tr>
      <w:tr w:rsidR="00F5786F" w:rsidRPr="00527E87" w14:paraId="6BFBCB7C" w14:textId="77777777" w:rsidTr="006D4F51">
        <w:trPr>
          <w:trHeight w:val="624"/>
          <w:jc w:val="center"/>
        </w:trPr>
        <w:tc>
          <w:tcPr>
            <w:tcW w:w="964" w:type="dxa"/>
            <w:vAlign w:val="center"/>
            <w:hideMark/>
          </w:tcPr>
          <w:p w14:paraId="7069A527"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8.</w:t>
            </w:r>
          </w:p>
        </w:tc>
        <w:tc>
          <w:tcPr>
            <w:tcW w:w="3118" w:type="dxa"/>
            <w:vAlign w:val="center"/>
            <w:hideMark/>
          </w:tcPr>
          <w:p w14:paraId="1FF1C6E6"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Caudal Fin Length (CFL)</w:t>
            </w:r>
          </w:p>
        </w:tc>
        <w:tc>
          <w:tcPr>
            <w:tcW w:w="3005" w:type="dxa"/>
            <w:vAlign w:val="center"/>
            <w:hideMark/>
          </w:tcPr>
          <w:p w14:paraId="1968379B"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CFL = 0.012 + 0.178(TL)</w:t>
            </w:r>
          </w:p>
        </w:tc>
        <w:tc>
          <w:tcPr>
            <w:tcW w:w="1134" w:type="dxa"/>
            <w:vAlign w:val="center"/>
            <w:hideMark/>
          </w:tcPr>
          <w:p w14:paraId="4E29E4D0"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0.981</w:t>
            </w:r>
          </w:p>
        </w:tc>
        <w:tc>
          <w:tcPr>
            <w:tcW w:w="2551" w:type="dxa"/>
            <w:vAlign w:val="center"/>
            <w:hideMark/>
          </w:tcPr>
          <w:p w14:paraId="383BDF8C"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0.178 (0.174 - 0.182)</w:t>
            </w:r>
          </w:p>
        </w:tc>
      </w:tr>
      <w:tr w:rsidR="00F5786F" w:rsidRPr="00527E87" w14:paraId="331606EB" w14:textId="77777777" w:rsidTr="006D4F51">
        <w:trPr>
          <w:trHeight w:val="624"/>
          <w:jc w:val="center"/>
        </w:trPr>
        <w:tc>
          <w:tcPr>
            <w:tcW w:w="964" w:type="dxa"/>
            <w:vAlign w:val="center"/>
            <w:hideMark/>
          </w:tcPr>
          <w:p w14:paraId="35BA34C8"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lastRenderedPageBreak/>
              <w:t>9.</w:t>
            </w:r>
          </w:p>
        </w:tc>
        <w:tc>
          <w:tcPr>
            <w:tcW w:w="3118" w:type="dxa"/>
            <w:vAlign w:val="center"/>
            <w:hideMark/>
          </w:tcPr>
          <w:p w14:paraId="4387A350"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Body Depth (BD)</w:t>
            </w:r>
          </w:p>
        </w:tc>
        <w:tc>
          <w:tcPr>
            <w:tcW w:w="3005" w:type="dxa"/>
            <w:vAlign w:val="center"/>
            <w:hideMark/>
          </w:tcPr>
          <w:p w14:paraId="459118EA"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BD = -0.005 + 0.194(TL)</w:t>
            </w:r>
          </w:p>
        </w:tc>
        <w:tc>
          <w:tcPr>
            <w:tcW w:w="1134" w:type="dxa"/>
            <w:vAlign w:val="center"/>
            <w:hideMark/>
          </w:tcPr>
          <w:p w14:paraId="6A75B594"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0.987</w:t>
            </w:r>
          </w:p>
        </w:tc>
        <w:tc>
          <w:tcPr>
            <w:tcW w:w="2551" w:type="dxa"/>
            <w:vAlign w:val="center"/>
            <w:hideMark/>
          </w:tcPr>
          <w:p w14:paraId="40C3D02C"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0.194 (0.191 - 0.197)</w:t>
            </w:r>
          </w:p>
        </w:tc>
      </w:tr>
      <w:tr w:rsidR="00F5786F" w:rsidRPr="00527E87" w14:paraId="44296A73" w14:textId="77777777" w:rsidTr="006D4F51">
        <w:trPr>
          <w:trHeight w:val="624"/>
          <w:jc w:val="center"/>
        </w:trPr>
        <w:tc>
          <w:tcPr>
            <w:tcW w:w="964" w:type="dxa"/>
            <w:vAlign w:val="center"/>
            <w:hideMark/>
          </w:tcPr>
          <w:p w14:paraId="6F144487"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10.</w:t>
            </w:r>
          </w:p>
        </w:tc>
        <w:tc>
          <w:tcPr>
            <w:tcW w:w="3118" w:type="dxa"/>
            <w:vAlign w:val="center"/>
            <w:hideMark/>
          </w:tcPr>
          <w:p w14:paraId="7795E31B"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Eye Diameter (ED)</w:t>
            </w:r>
          </w:p>
        </w:tc>
        <w:tc>
          <w:tcPr>
            <w:tcW w:w="3005" w:type="dxa"/>
            <w:vAlign w:val="center"/>
            <w:hideMark/>
          </w:tcPr>
          <w:p w14:paraId="4C366A95"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ED = 0.002 + 0.025(TL)</w:t>
            </w:r>
          </w:p>
        </w:tc>
        <w:tc>
          <w:tcPr>
            <w:tcW w:w="1134" w:type="dxa"/>
            <w:vAlign w:val="center"/>
            <w:hideMark/>
          </w:tcPr>
          <w:p w14:paraId="5EA3C5FF"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0.912</w:t>
            </w:r>
          </w:p>
        </w:tc>
        <w:tc>
          <w:tcPr>
            <w:tcW w:w="2551" w:type="dxa"/>
            <w:vAlign w:val="center"/>
            <w:hideMark/>
          </w:tcPr>
          <w:p w14:paraId="4BEFA8BE"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0.025 (0.023 - 0.027)</w:t>
            </w:r>
          </w:p>
        </w:tc>
      </w:tr>
      <w:tr w:rsidR="00F5786F" w:rsidRPr="00527E87" w14:paraId="3F5D97F4" w14:textId="77777777" w:rsidTr="006D4F51">
        <w:trPr>
          <w:trHeight w:val="624"/>
          <w:jc w:val="center"/>
        </w:trPr>
        <w:tc>
          <w:tcPr>
            <w:tcW w:w="964" w:type="dxa"/>
            <w:vAlign w:val="center"/>
            <w:hideMark/>
          </w:tcPr>
          <w:p w14:paraId="03E58710"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11.</w:t>
            </w:r>
          </w:p>
        </w:tc>
        <w:tc>
          <w:tcPr>
            <w:tcW w:w="3118" w:type="dxa"/>
            <w:vAlign w:val="center"/>
            <w:hideMark/>
          </w:tcPr>
          <w:p w14:paraId="177B16A7"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Distance of Eyes (DoE)</w:t>
            </w:r>
          </w:p>
        </w:tc>
        <w:tc>
          <w:tcPr>
            <w:tcW w:w="3005" w:type="dxa"/>
            <w:vAlign w:val="center"/>
            <w:hideMark/>
          </w:tcPr>
          <w:p w14:paraId="6820D417"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DoE = 0.001 + 0.054(TL)</w:t>
            </w:r>
          </w:p>
        </w:tc>
        <w:tc>
          <w:tcPr>
            <w:tcW w:w="1134" w:type="dxa"/>
            <w:vAlign w:val="center"/>
            <w:hideMark/>
          </w:tcPr>
          <w:p w14:paraId="4E7564E0"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0.974</w:t>
            </w:r>
          </w:p>
        </w:tc>
        <w:tc>
          <w:tcPr>
            <w:tcW w:w="2551" w:type="dxa"/>
            <w:vAlign w:val="center"/>
            <w:hideMark/>
          </w:tcPr>
          <w:p w14:paraId="08ABBC25"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0.054 (0.052 - 0.056)</w:t>
            </w:r>
          </w:p>
        </w:tc>
      </w:tr>
      <w:tr w:rsidR="00F5786F" w:rsidRPr="00527E87" w14:paraId="75062411" w14:textId="77777777" w:rsidTr="006D4F51">
        <w:trPr>
          <w:trHeight w:val="624"/>
          <w:jc w:val="center"/>
        </w:trPr>
        <w:tc>
          <w:tcPr>
            <w:tcW w:w="964" w:type="dxa"/>
            <w:vAlign w:val="center"/>
            <w:hideMark/>
          </w:tcPr>
          <w:p w14:paraId="049B548B"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12.</w:t>
            </w:r>
          </w:p>
        </w:tc>
        <w:tc>
          <w:tcPr>
            <w:tcW w:w="3118" w:type="dxa"/>
            <w:vAlign w:val="center"/>
            <w:hideMark/>
          </w:tcPr>
          <w:p w14:paraId="5607175C"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Mouth Width (MW)</w:t>
            </w:r>
          </w:p>
        </w:tc>
        <w:tc>
          <w:tcPr>
            <w:tcW w:w="3005" w:type="dxa"/>
            <w:vAlign w:val="center"/>
            <w:hideMark/>
          </w:tcPr>
          <w:p w14:paraId="69180D78"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MW = 0.003 + 0.083(TL)</w:t>
            </w:r>
          </w:p>
        </w:tc>
        <w:tc>
          <w:tcPr>
            <w:tcW w:w="1134" w:type="dxa"/>
            <w:vAlign w:val="center"/>
            <w:hideMark/>
          </w:tcPr>
          <w:p w14:paraId="5AC9A7C2"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0.968</w:t>
            </w:r>
          </w:p>
        </w:tc>
        <w:tc>
          <w:tcPr>
            <w:tcW w:w="2551" w:type="dxa"/>
            <w:vAlign w:val="center"/>
            <w:hideMark/>
          </w:tcPr>
          <w:p w14:paraId="05359E4A"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0.083 (0.080 - 0.086)</w:t>
            </w:r>
          </w:p>
        </w:tc>
      </w:tr>
      <w:tr w:rsidR="00F5786F" w:rsidRPr="00527E87" w14:paraId="447B16A3" w14:textId="77777777" w:rsidTr="006D4F51">
        <w:trPr>
          <w:trHeight w:val="624"/>
          <w:jc w:val="center"/>
        </w:trPr>
        <w:tc>
          <w:tcPr>
            <w:tcW w:w="964" w:type="dxa"/>
            <w:vAlign w:val="center"/>
            <w:hideMark/>
          </w:tcPr>
          <w:p w14:paraId="07A2A04F"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13.</w:t>
            </w:r>
          </w:p>
        </w:tc>
        <w:tc>
          <w:tcPr>
            <w:tcW w:w="3118" w:type="dxa"/>
            <w:vAlign w:val="center"/>
            <w:hideMark/>
          </w:tcPr>
          <w:p w14:paraId="04EC9B31"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Upper Jaw Length (UJL)</w:t>
            </w:r>
          </w:p>
        </w:tc>
        <w:tc>
          <w:tcPr>
            <w:tcW w:w="3005" w:type="dxa"/>
            <w:vAlign w:val="center"/>
            <w:hideMark/>
          </w:tcPr>
          <w:p w14:paraId="040A6BE3"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UJL = 0.007 + 0.124(TL)</w:t>
            </w:r>
          </w:p>
        </w:tc>
        <w:tc>
          <w:tcPr>
            <w:tcW w:w="1134" w:type="dxa"/>
            <w:vAlign w:val="center"/>
            <w:hideMark/>
          </w:tcPr>
          <w:p w14:paraId="1ED9A913"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0.978</w:t>
            </w:r>
          </w:p>
        </w:tc>
        <w:tc>
          <w:tcPr>
            <w:tcW w:w="2551" w:type="dxa"/>
            <w:vAlign w:val="center"/>
            <w:hideMark/>
          </w:tcPr>
          <w:p w14:paraId="1F380DEE"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0.124 (0.121 - 0.127)</w:t>
            </w:r>
          </w:p>
        </w:tc>
      </w:tr>
      <w:tr w:rsidR="00F5786F" w:rsidRPr="00527E87" w14:paraId="1CDB24F0" w14:textId="77777777" w:rsidTr="006D4F51">
        <w:trPr>
          <w:trHeight w:val="624"/>
          <w:jc w:val="center"/>
        </w:trPr>
        <w:tc>
          <w:tcPr>
            <w:tcW w:w="964" w:type="dxa"/>
            <w:vAlign w:val="center"/>
            <w:hideMark/>
          </w:tcPr>
          <w:p w14:paraId="41204760"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14.</w:t>
            </w:r>
          </w:p>
        </w:tc>
        <w:tc>
          <w:tcPr>
            <w:tcW w:w="3118" w:type="dxa"/>
            <w:vAlign w:val="center"/>
            <w:hideMark/>
          </w:tcPr>
          <w:p w14:paraId="0E5F17C1"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Lower Jaw Length (LJL)</w:t>
            </w:r>
          </w:p>
        </w:tc>
        <w:tc>
          <w:tcPr>
            <w:tcW w:w="3005" w:type="dxa"/>
            <w:vAlign w:val="center"/>
            <w:hideMark/>
          </w:tcPr>
          <w:p w14:paraId="711EED79" w14:textId="77777777" w:rsidR="00527E87" w:rsidRPr="00527E87" w:rsidRDefault="00527E87" w:rsidP="00B21A21">
            <w:pPr>
              <w:spacing w:after="160"/>
              <w:rPr>
                <w:rFonts w:ascii="Times New Roman" w:hAnsi="Times New Roman" w:cs="Times New Roman"/>
                <w:sz w:val="24"/>
                <w:szCs w:val="24"/>
              </w:rPr>
            </w:pPr>
            <w:r w:rsidRPr="00527E87">
              <w:rPr>
                <w:rFonts w:ascii="Times New Roman" w:hAnsi="Times New Roman" w:cs="Times New Roman"/>
                <w:sz w:val="24"/>
                <w:szCs w:val="24"/>
              </w:rPr>
              <w:t>LJL = 0.006 + 0.149(TL)</w:t>
            </w:r>
          </w:p>
        </w:tc>
        <w:tc>
          <w:tcPr>
            <w:tcW w:w="1134" w:type="dxa"/>
            <w:vAlign w:val="center"/>
            <w:hideMark/>
          </w:tcPr>
          <w:p w14:paraId="4A893B29"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0.982</w:t>
            </w:r>
          </w:p>
        </w:tc>
        <w:tc>
          <w:tcPr>
            <w:tcW w:w="2551" w:type="dxa"/>
            <w:vAlign w:val="center"/>
            <w:hideMark/>
          </w:tcPr>
          <w:p w14:paraId="0DAF65A5" w14:textId="77777777" w:rsidR="00527E87" w:rsidRPr="00527E87" w:rsidRDefault="00527E87" w:rsidP="00F5786F">
            <w:pPr>
              <w:spacing w:after="160"/>
              <w:jc w:val="center"/>
              <w:rPr>
                <w:rFonts w:ascii="Times New Roman" w:hAnsi="Times New Roman" w:cs="Times New Roman"/>
                <w:sz w:val="24"/>
                <w:szCs w:val="24"/>
              </w:rPr>
            </w:pPr>
            <w:r w:rsidRPr="00527E87">
              <w:rPr>
                <w:rFonts w:ascii="Times New Roman" w:hAnsi="Times New Roman" w:cs="Times New Roman"/>
                <w:sz w:val="24"/>
                <w:szCs w:val="24"/>
              </w:rPr>
              <w:t>0.149 (0.146 - 0.152)</w:t>
            </w:r>
          </w:p>
        </w:tc>
      </w:tr>
    </w:tbl>
    <w:p w14:paraId="0687FF01" w14:textId="3F3B964B" w:rsidR="00527E87" w:rsidRPr="009B6EDE" w:rsidRDefault="00527E87" w:rsidP="009B6EDE">
      <w:pPr>
        <w:spacing w:line="360" w:lineRule="auto"/>
        <w:jc w:val="both"/>
        <w:rPr>
          <w:rFonts w:ascii="Times New Roman" w:hAnsi="Times New Roman" w:cs="Times New Roman"/>
          <w:b/>
          <w:bCs/>
          <w:sz w:val="24"/>
          <w:szCs w:val="24"/>
        </w:rPr>
      </w:pPr>
    </w:p>
    <w:p w14:paraId="7F70B3DC" w14:textId="77777777" w:rsidR="00F5786F"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3.4. Meristic Analysis</w:t>
      </w:r>
    </w:p>
    <w:p w14:paraId="6A44F6E1" w14:textId="54B9D9B1" w:rsidR="00A105FD" w:rsidRDefault="002221FA" w:rsidP="00F408E4">
      <w:pPr>
        <w:spacing w:line="360" w:lineRule="auto"/>
        <w:jc w:val="both"/>
        <w:rPr>
          <w:rFonts w:ascii="Times New Roman" w:hAnsi="Times New Roman" w:cs="Times New Roman"/>
          <w:b/>
          <w:bCs/>
          <w:sz w:val="24"/>
          <w:szCs w:val="24"/>
        </w:rPr>
      </w:pPr>
      <w:r w:rsidRPr="002221FA">
        <w:rPr>
          <w:rFonts w:ascii="Times New Roman" w:hAnsi="Times New Roman" w:cs="Times New Roman"/>
          <w:sz w:val="24"/>
          <w:szCs w:val="24"/>
        </w:rPr>
        <w:t>The meristic counts, as detailed in Table 3, demonstrated stability with some intraspecific variation. Dorsal Fin Rays (DFR) were the most variable, ranging from 37 to 45. In contrast, Pelvic Fin Rays (PFR) were remarkably stable, with 97.7% of all specimens possessing a count of 6 rays.</w:t>
      </w:r>
    </w:p>
    <w:p w14:paraId="500A1B15" w14:textId="512096C5"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b/>
          <w:bCs/>
          <w:sz w:val="24"/>
          <w:szCs w:val="24"/>
        </w:rPr>
        <w:t>Table 3: Frequency distribution of meristic counts of </w:t>
      </w:r>
      <w:r w:rsidRPr="002221FA">
        <w:rPr>
          <w:rFonts w:ascii="Times New Roman" w:hAnsi="Times New Roman" w:cs="Times New Roman"/>
          <w:b/>
          <w:bCs/>
          <w:i/>
          <w:iCs/>
          <w:sz w:val="24"/>
          <w:szCs w:val="24"/>
        </w:rPr>
        <w:t>Channa striata</w:t>
      </w:r>
      <w:r w:rsidRPr="002221FA">
        <w:rPr>
          <w:rFonts w:ascii="Times New Roman" w:hAnsi="Times New Roman" w:cs="Times New Roman"/>
          <w:b/>
          <w:bCs/>
          <w:sz w:val="24"/>
          <w:szCs w:val="24"/>
        </w:rPr>
        <w:t> (n=176) from Nagapur Dam.</w:t>
      </w:r>
    </w:p>
    <w:tbl>
      <w:tblPr>
        <w:tblStyle w:val="TableGrid"/>
        <w:tblW w:w="0" w:type="auto"/>
        <w:jc w:val="center"/>
        <w:tblLook w:val="04A0" w:firstRow="1" w:lastRow="0" w:firstColumn="1" w:lastColumn="0" w:noHBand="0" w:noVBand="1"/>
      </w:tblPr>
      <w:tblGrid>
        <w:gridCol w:w="2324"/>
        <w:gridCol w:w="1572"/>
        <w:gridCol w:w="1134"/>
        <w:gridCol w:w="1134"/>
        <w:gridCol w:w="2211"/>
      </w:tblGrid>
      <w:tr w:rsidR="00A105FD" w:rsidRPr="002221FA" w14:paraId="4C3BE87C" w14:textId="77777777" w:rsidTr="00A105FD">
        <w:trPr>
          <w:trHeight w:val="567"/>
          <w:jc w:val="center"/>
        </w:trPr>
        <w:tc>
          <w:tcPr>
            <w:tcW w:w="2324" w:type="dxa"/>
            <w:vAlign w:val="center"/>
            <w:hideMark/>
          </w:tcPr>
          <w:p w14:paraId="2EBDD2F7" w14:textId="77777777" w:rsidR="002221FA" w:rsidRPr="002221FA" w:rsidRDefault="002221FA" w:rsidP="00A105FD">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Meristic Character</w:t>
            </w:r>
          </w:p>
        </w:tc>
        <w:tc>
          <w:tcPr>
            <w:tcW w:w="1572" w:type="dxa"/>
            <w:vAlign w:val="center"/>
            <w:hideMark/>
          </w:tcPr>
          <w:p w14:paraId="43531B82" w14:textId="77777777" w:rsidR="002221FA" w:rsidRPr="002221FA" w:rsidRDefault="002221FA" w:rsidP="00A105FD">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Abbreviation</w:t>
            </w:r>
          </w:p>
        </w:tc>
        <w:tc>
          <w:tcPr>
            <w:tcW w:w="1134" w:type="dxa"/>
            <w:vAlign w:val="center"/>
            <w:hideMark/>
          </w:tcPr>
          <w:p w14:paraId="66531288" w14:textId="77777777" w:rsidR="002221FA" w:rsidRPr="002221FA" w:rsidRDefault="002221FA" w:rsidP="00A105FD">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Mode</w:t>
            </w:r>
          </w:p>
        </w:tc>
        <w:tc>
          <w:tcPr>
            <w:tcW w:w="1134" w:type="dxa"/>
            <w:vAlign w:val="center"/>
            <w:hideMark/>
          </w:tcPr>
          <w:p w14:paraId="1BFAD01D" w14:textId="77777777" w:rsidR="002221FA" w:rsidRPr="002221FA" w:rsidRDefault="002221FA" w:rsidP="00A105FD">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Range</w:t>
            </w:r>
          </w:p>
        </w:tc>
        <w:tc>
          <w:tcPr>
            <w:tcW w:w="2211" w:type="dxa"/>
            <w:vAlign w:val="center"/>
            <w:hideMark/>
          </w:tcPr>
          <w:p w14:paraId="000EA0CF" w14:textId="77777777" w:rsidR="002221FA" w:rsidRPr="002221FA" w:rsidRDefault="002221FA" w:rsidP="00A105FD">
            <w:pPr>
              <w:spacing w:after="160"/>
              <w:jc w:val="center"/>
              <w:rPr>
                <w:rFonts w:ascii="Times New Roman" w:hAnsi="Times New Roman" w:cs="Times New Roman"/>
                <w:b/>
                <w:bCs/>
                <w:sz w:val="24"/>
                <w:szCs w:val="24"/>
              </w:rPr>
            </w:pPr>
            <w:r w:rsidRPr="002221FA">
              <w:rPr>
                <w:rFonts w:ascii="Times New Roman" w:hAnsi="Times New Roman" w:cs="Times New Roman"/>
                <w:b/>
                <w:bCs/>
                <w:sz w:val="24"/>
                <w:szCs w:val="24"/>
              </w:rPr>
              <w:t>Frequency of Mode (%)</w:t>
            </w:r>
          </w:p>
        </w:tc>
      </w:tr>
      <w:tr w:rsidR="00A105FD" w:rsidRPr="002221FA" w14:paraId="540C4A80" w14:textId="77777777" w:rsidTr="00A105FD">
        <w:trPr>
          <w:trHeight w:val="567"/>
          <w:jc w:val="center"/>
        </w:trPr>
        <w:tc>
          <w:tcPr>
            <w:tcW w:w="2324" w:type="dxa"/>
            <w:vAlign w:val="center"/>
            <w:hideMark/>
          </w:tcPr>
          <w:p w14:paraId="3152BB3C"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Dorsal Fin Rays</w:t>
            </w:r>
          </w:p>
        </w:tc>
        <w:tc>
          <w:tcPr>
            <w:tcW w:w="1572" w:type="dxa"/>
            <w:vAlign w:val="center"/>
            <w:hideMark/>
          </w:tcPr>
          <w:p w14:paraId="4DE5BA46"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DFR</w:t>
            </w:r>
          </w:p>
        </w:tc>
        <w:tc>
          <w:tcPr>
            <w:tcW w:w="1134" w:type="dxa"/>
            <w:vAlign w:val="center"/>
            <w:hideMark/>
          </w:tcPr>
          <w:p w14:paraId="0127E23B"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43</w:t>
            </w:r>
          </w:p>
        </w:tc>
        <w:tc>
          <w:tcPr>
            <w:tcW w:w="1134" w:type="dxa"/>
            <w:vAlign w:val="center"/>
            <w:hideMark/>
          </w:tcPr>
          <w:p w14:paraId="721E99E4"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37 - 45</w:t>
            </w:r>
          </w:p>
        </w:tc>
        <w:tc>
          <w:tcPr>
            <w:tcW w:w="2211" w:type="dxa"/>
            <w:vAlign w:val="center"/>
            <w:hideMark/>
          </w:tcPr>
          <w:p w14:paraId="1B02C355"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38.1%</w:t>
            </w:r>
          </w:p>
        </w:tc>
      </w:tr>
      <w:tr w:rsidR="00A105FD" w:rsidRPr="002221FA" w14:paraId="144130B7" w14:textId="77777777" w:rsidTr="00A105FD">
        <w:trPr>
          <w:trHeight w:val="567"/>
          <w:jc w:val="center"/>
        </w:trPr>
        <w:tc>
          <w:tcPr>
            <w:tcW w:w="2324" w:type="dxa"/>
            <w:vAlign w:val="center"/>
            <w:hideMark/>
          </w:tcPr>
          <w:p w14:paraId="7692FA4C"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Pectoral Fin Rays</w:t>
            </w:r>
          </w:p>
        </w:tc>
        <w:tc>
          <w:tcPr>
            <w:tcW w:w="1572" w:type="dxa"/>
            <w:vAlign w:val="center"/>
            <w:hideMark/>
          </w:tcPr>
          <w:p w14:paraId="7F9921BA"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PeFR</w:t>
            </w:r>
          </w:p>
        </w:tc>
        <w:tc>
          <w:tcPr>
            <w:tcW w:w="1134" w:type="dxa"/>
            <w:vAlign w:val="center"/>
            <w:hideMark/>
          </w:tcPr>
          <w:p w14:paraId="30AFE0F8"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15, 16</w:t>
            </w:r>
          </w:p>
        </w:tc>
        <w:tc>
          <w:tcPr>
            <w:tcW w:w="1134" w:type="dxa"/>
            <w:vAlign w:val="center"/>
            <w:hideMark/>
          </w:tcPr>
          <w:p w14:paraId="6656626F"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14 - 18</w:t>
            </w:r>
          </w:p>
        </w:tc>
        <w:tc>
          <w:tcPr>
            <w:tcW w:w="2211" w:type="dxa"/>
            <w:vAlign w:val="center"/>
            <w:hideMark/>
          </w:tcPr>
          <w:p w14:paraId="1B0B1C16"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72.2% (combined)</w:t>
            </w:r>
          </w:p>
        </w:tc>
      </w:tr>
      <w:tr w:rsidR="00A105FD" w:rsidRPr="002221FA" w14:paraId="76866029" w14:textId="77777777" w:rsidTr="00A105FD">
        <w:trPr>
          <w:trHeight w:val="567"/>
          <w:jc w:val="center"/>
        </w:trPr>
        <w:tc>
          <w:tcPr>
            <w:tcW w:w="2324" w:type="dxa"/>
            <w:vAlign w:val="center"/>
            <w:hideMark/>
          </w:tcPr>
          <w:p w14:paraId="23F6A337"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Pelvic Fin Rays</w:t>
            </w:r>
          </w:p>
        </w:tc>
        <w:tc>
          <w:tcPr>
            <w:tcW w:w="1572" w:type="dxa"/>
            <w:vAlign w:val="center"/>
            <w:hideMark/>
          </w:tcPr>
          <w:p w14:paraId="47E03A70"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PFR</w:t>
            </w:r>
          </w:p>
        </w:tc>
        <w:tc>
          <w:tcPr>
            <w:tcW w:w="1134" w:type="dxa"/>
            <w:vAlign w:val="center"/>
            <w:hideMark/>
          </w:tcPr>
          <w:p w14:paraId="002EC324"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6</w:t>
            </w:r>
          </w:p>
        </w:tc>
        <w:tc>
          <w:tcPr>
            <w:tcW w:w="1134" w:type="dxa"/>
            <w:vAlign w:val="center"/>
            <w:hideMark/>
          </w:tcPr>
          <w:p w14:paraId="1D00F780"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5 - 6</w:t>
            </w:r>
          </w:p>
        </w:tc>
        <w:tc>
          <w:tcPr>
            <w:tcW w:w="2211" w:type="dxa"/>
            <w:vAlign w:val="center"/>
            <w:hideMark/>
          </w:tcPr>
          <w:p w14:paraId="49239E8D"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97.7%</w:t>
            </w:r>
          </w:p>
        </w:tc>
      </w:tr>
      <w:tr w:rsidR="00A105FD" w:rsidRPr="002221FA" w14:paraId="63682FB1" w14:textId="77777777" w:rsidTr="00A105FD">
        <w:trPr>
          <w:trHeight w:val="567"/>
          <w:jc w:val="center"/>
        </w:trPr>
        <w:tc>
          <w:tcPr>
            <w:tcW w:w="2324" w:type="dxa"/>
            <w:vAlign w:val="center"/>
            <w:hideMark/>
          </w:tcPr>
          <w:p w14:paraId="1C23F60A"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Anal Fin Rays</w:t>
            </w:r>
          </w:p>
        </w:tc>
        <w:tc>
          <w:tcPr>
            <w:tcW w:w="1572" w:type="dxa"/>
            <w:vAlign w:val="center"/>
            <w:hideMark/>
          </w:tcPr>
          <w:p w14:paraId="2AA29BE6"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AFR</w:t>
            </w:r>
          </w:p>
        </w:tc>
        <w:tc>
          <w:tcPr>
            <w:tcW w:w="1134" w:type="dxa"/>
            <w:vAlign w:val="center"/>
            <w:hideMark/>
          </w:tcPr>
          <w:p w14:paraId="3B439E39"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27</w:t>
            </w:r>
          </w:p>
        </w:tc>
        <w:tc>
          <w:tcPr>
            <w:tcW w:w="1134" w:type="dxa"/>
            <w:vAlign w:val="center"/>
            <w:hideMark/>
          </w:tcPr>
          <w:p w14:paraId="2C19B81E"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23 - 30</w:t>
            </w:r>
          </w:p>
        </w:tc>
        <w:tc>
          <w:tcPr>
            <w:tcW w:w="2211" w:type="dxa"/>
            <w:vAlign w:val="center"/>
            <w:hideMark/>
          </w:tcPr>
          <w:p w14:paraId="71B90E58"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41.5%</w:t>
            </w:r>
          </w:p>
        </w:tc>
      </w:tr>
      <w:tr w:rsidR="00A105FD" w:rsidRPr="002221FA" w14:paraId="2AF6B730" w14:textId="77777777" w:rsidTr="00A105FD">
        <w:trPr>
          <w:trHeight w:val="567"/>
          <w:jc w:val="center"/>
        </w:trPr>
        <w:tc>
          <w:tcPr>
            <w:tcW w:w="2324" w:type="dxa"/>
            <w:vAlign w:val="center"/>
            <w:hideMark/>
          </w:tcPr>
          <w:p w14:paraId="2EFA7E88"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Caudal Fin Rays</w:t>
            </w:r>
          </w:p>
        </w:tc>
        <w:tc>
          <w:tcPr>
            <w:tcW w:w="1572" w:type="dxa"/>
            <w:vAlign w:val="center"/>
            <w:hideMark/>
          </w:tcPr>
          <w:p w14:paraId="5AD4EA17"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CFR</w:t>
            </w:r>
          </w:p>
        </w:tc>
        <w:tc>
          <w:tcPr>
            <w:tcW w:w="1134" w:type="dxa"/>
            <w:vAlign w:val="center"/>
            <w:hideMark/>
          </w:tcPr>
          <w:p w14:paraId="35256785"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14, 15</w:t>
            </w:r>
          </w:p>
        </w:tc>
        <w:tc>
          <w:tcPr>
            <w:tcW w:w="1134" w:type="dxa"/>
            <w:vAlign w:val="center"/>
            <w:hideMark/>
          </w:tcPr>
          <w:p w14:paraId="77013A1F"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13 - 17</w:t>
            </w:r>
          </w:p>
        </w:tc>
        <w:tc>
          <w:tcPr>
            <w:tcW w:w="2211" w:type="dxa"/>
            <w:vAlign w:val="center"/>
            <w:hideMark/>
          </w:tcPr>
          <w:p w14:paraId="051FAB2E" w14:textId="77777777" w:rsidR="002221FA" w:rsidRPr="002221FA" w:rsidRDefault="002221FA" w:rsidP="00A105FD">
            <w:pPr>
              <w:spacing w:after="160"/>
              <w:jc w:val="center"/>
              <w:rPr>
                <w:rFonts w:ascii="Times New Roman" w:hAnsi="Times New Roman" w:cs="Times New Roman"/>
                <w:sz w:val="24"/>
                <w:szCs w:val="24"/>
              </w:rPr>
            </w:pPr>
            <w:r w:rsidRPr="002221FA">
              <w:rPr>
                <w:rFonts w:ascii="Times New Roman" w:hAnsi="Times New Roman" w:cs="Times New Roman"/>
                <w:sz w:val="24"/>
                <w:szCs w:val="24"/>
              </w:rPr>
              <w:t>79.0% (combined)</w:t>
            </w:r>
          </w:p>
        </w:tc>
      </w:tr>
    </w:tbl>
    <w:p w14:paraId="3D41C512" w14:textId="77777777" w:rsidR="006D4F51" w:rsidRDefault="006D4F51" w:rsidP="009B6EDE">
      <w:pPr>
        <w:spacing w:line="360" w:lineRule="auto"/>
        <w:jc w:val="both"/>
        <w:rPr>
          <w:rFonts w:ascii="Times New Roman" w:hAnsi="Times New Roman" w:cs="Times New Roman"/>
          <w:b/>
          <w:bCs/>
          <w:sz w:val="24"/>
          <w:szCs w:val="24"/>
        </w:rPr>
      </w:pPr>
    </w:p>
    <w:p w14:paraId="55DE7E1C" w14:textId="21726963" w:rsidR="002221FA" w:rsidRPr="002221FA"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4. Discussion</w:t>
      </w:r>
    </w:p>
    <w:p w14:paraId="4F0226F9" w14:textId="77777777"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This study provides the first comprehensive morphometric and meristic characterization of the </w:t>
      </w:r>
      <w:r w:rsidRPr="002221FA">
        <w:rPr>
          <w:rFonts w:ascii="Times New Roman" w:hAnsi="Times New Roman" w:cs="Times New Roman"/>
          <w:i/>
          <w:iCs/>
          <w:sz w:val="24"/>
          <w:szCs w:val="24"/>
        </w:rPr>
        <w:t>Channa striata</w:t>
      </w:r>
      <w:r w:rsidRPr="002221FA">
        <w:rPr>
          <w:rFonts w:ascii="Times New Roman" w:hAnsi="Times New Roman" w:cs="Times New Roman"/>
          <w:sz w:val="24"/>
          <w:szCs w:val="24"/>
        </w:rPr>
        <w:t xml:space="preserve"> population in Nagapur Dam, revealing a thriving stock that exhibits significant biological health and distinct morphological traits. The findings are critically </w:t>
      </w:r>
      <w:r w:rsidRPr="002221FA">
        <w:rPr>
          <w:rFonts w:ascii="Times New Roman" w:hAnsi="Times New Roman" w:cs="Times New Roman"/>
          <w:sz w:val="24"/>
          <w:szCs w:val="24"/>
        </w:rPr>
        <w:lastRenderedPageBreak/>
        <w:t>examined below within the context of contemporary fisheries science and the specific ecology of the reservoir.</w:t>
      </w:r>
    </w:p>
    <w:p w14:paraId="26F2DBA6" w14:textId="77777777" w:rsidR="00FD49AD" w:rsidRDefault="00FD49AD" w:rsidP="009B6EDE">
      <w:pPr>
        <w:spacing w:line="360" w:lineRule="auto"/>
        <w:jc w:val="both"/>
        <w:rPr>
          <w:rFonts w:ascii="Times New Roman" w:hAnsi="Times New Roman" w:cs="Times New Roman"/>
          <w:b/>
          <w:bCs/>
          <w:sz w:val="24"/>
          <w:szCs w:val="24"/>
        </w:rPr>
      </w:pPr>
    </w:p>
    <w:p w14:paraId="4B78CE5B" w14:textId="6A53ABCE" w:rsidR="00A105FD"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4.1. Reservoir Characteristics and Population Structure</w:t>
      </w:r>
    </w:p>
    <w:p w14:paraId="209DF839" w14:textId="749153A5"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Nagapur Dam is a medium-sized irrigation reservoir with a total surface area of approximately 1,250 hectares (12.5 km²) at full capacity. The water spread area is subject to significant seasonal fluctuation, receding to below 800 hectares during peak summer, creating a dynamic environment that tests the resilience of its aquatic fauna. The distribution of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within this reservoir is not uniform and is strongly influenced by habitat structure. Based on consistent feedback from local fishermen and our sampling observations, the species shows a clear preference for the littoral (shoreline) zones, especially areas with dense submerged vegetation, fallen timber, and rocky substrates. These complex habitats provide ideal ambush sites for feeding and crucial cover for juveniles, aligning with observations of structured habitats supporting higher fish densities (Nordlund et al., 2018). Larger, mature specimens (&gt; 35 cm TL) were more frequently associated with deeper waters (5-12 meters) adjacent to these littoral zones, suggesting an ontogenetic habitat shift. In contrast, the central, open-water (pelagic) areas of the reservoir showed a notably lower density. This patchy distribution underscores the importance of habitat heterogeneity for the species' life cycle.</w:t>
      </w:r>
    </w:p>
    <w:p w14:paraId="67486D69" w14:textId="77777777"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wide size distribution of our specimens (15.2 - 55.0 cm TL) indicates a population with successful annual recruitment and the survival of multiple age classes. The absence of "size truncation," a common symptom of overfishing where larger individuals are selectively removed, is a positive indicator that the current harvest levels in Nagapur Dam are within the population's reproductive capacity (</w:t>
      </w:r>
      <w:proofErr w:type="spellStart"/>
      <w:r w:rsidRPr="002221FA">
        <w:rPr>
          <w:rFonts w:ascii="Times New Roman" w:hAnsi="Times New Roman" w:cs="Times New Roman"/>
          <w:sz w:val="24"/>
          <w:szCs w:val="24"/>
        </w:rPr>
        <w:t>Brosset</w:t>
      </w:r>
      <w:proofErr w:type="spellEnd"/>
      <w:r w:rsidRPr="002221FA">
        <w:rPr>
          <w:rFonts w:ascii="Times New Roman" w:hAnsi="Times New Roman" w:cs="Times New Roman"/>
          <w:sz w:val="24"/>
          <w:szCs w:val="24"/>
        </w:rPr>
        <w:t xml:space="preserve"> et al., 2021). This balanced population structure is a cornerstone of a sustainable fishery.</w:t>
      </w:r>
    </w:p>
    <w:p w14:paraId="4C7C945E" w14:textId="77777777" w:rsidR="00A105FD"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4.2. Growth Pattern as a Bio-indicator of Ecosystem Health</w:t>
      </w:r>
    </w:p>
    <w:p w14:paraId="609A32A7" w14:textId="1272A4EF"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calculated length-weight relationship (W = 0.021L³.⁰⁵) is a cornerstone finding. The growth exponent (b) of 3.05 unequivocally indicates a positive allometric growth pattern, signifying that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xml:space="preserve"> in this reservoir becomes progressively heavier for its length as it grows. This is a well-established bio-indicator of </w:t>
      </w:r>
      <w:r w:rsidR="001C0039" w:rsidRPr="002221FA">
        <w:rPr>
          <w:rFonts w:ascii="Times New Roman" w:hAnsi="Times New Roman" w:cs="Times New Roman"/>
          <w:sz w:val="24"/>
          <w:szCs w:val="24"/>
        </w:rPr>
        <w:t>favourable</w:t>
      </w:r>
      <w:r w:rsidRPr="002221FA">
        <w:rPr>
          <w:rFonts w:ascii="Times New Roman" w:hAnsi="Times New Roman" w:cs="Times New Roman"/>
          <w:sz w:val="24"/>
          <w:szCs w:val="24"/>
        </w:rPr>
        <w:t xml:space="preserve"> environmental conditions, including ample food availability and low intraspecific competition, allowing for optimal energy allocation towards somatic growth and storage (Froese, 2006). This finding aligns </w:t>
      </w:r>
      <w:r w:rsidRPr="002221FA">
        <w:rPr>
          <w:rFonts w:ascii="Times New Roman" w:hAnsi="Times New Roman" w:cs="Times New Roman"/>
          <w:sz w:val="24"/>
          <w:szCs w:val="24"/>
        </w:rPr>
        <w:lastRenderedPageBreak/>
        <w:t>with other robust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populations in productive Indian water bodies (Chakraborty et al., 2017). It provides a stark contrast to populations in resource-limited or polluted environments, which typically show isometric (b ≈ 3) or negative allometric (b &lt; 3) growth, reflecting stunted development and poor health (</w:t>
      </w:r>
      <w:proofErr w:type="spellStart"/>
      <w:r w:rsidRPr="002221FA">
        <w:rPr>
          <w:rFonts w:ascii="Times New Roman" w:hAnsi="Times New Roman" w:cs="Times New Roman"/>
          <w:sz w:val="24"/>
          <w:szCs w:val="24"/>
        </w:rPr>
        <w:t>Koundal</w:t>
      </w:r>
      <w:proofErr w:type="spellEnd"/>
      <w:r w:rsidRPr="002221FA">
        <w:rPr>
          <w:rFonts w:ascii="Times New Roman" w:hAnsi="Times New Roman" w:cs="Times New Roman"/>
          <w:sz w:val="24"/>
          <w:szCs w:val="24"/>
        </w:rPr>
        <w:t xml:space="preserve"> et al., 2014; </w:t>
      </w:r>
      <w:r w:rsidR="00716BF5" w:rsidRPr="00716BF5">
        <w:rPr>
          <w:rFonts w:ascii="Times New Roman" w:hAnsi="Times New Roman" w:cs="Times New Roman"/>
          <w:sz w:val="24"/>
          <w:szCs w:val="24"/>
        </w:rPr>
        <w:t>Nur, M.</w:t>
      </w:r>
      <w:r w:rsidRPr="002221FA">
        <w:rPr>
          <w:rFonts w:ascii="Times New Roman" w:hAnsi="Times New Roman" w:cs="Times New Roman"/>
          <w:sz w:val="24"/>
          <w:szCs w:val="24"/>
        </w:rPr>
        <w:t xml:space="preserve"> et al., 202</w:t>
      </w:r>
      <w:r w:rsidR="00716BF5">
        <w:rPr>
          <w:rFonts w:ascii="Times New Roman" w:hAnsi="Times New Roman" w:cs="Times New Roman"/>
          <w:sz w:val="24"/>
          <w:szCs w:val="24"/>
        </w:rPr>
        <w:t>0</w:t>
      </w:r>
      <w:r w:rsidRPr="002221FA">
        <w:rPr>
          <w:rFonts w:ascii="Times New Roman" w:hAnsi="Times New Roman" w:cs="Times New Roman"/>
          <w:sz w:val="24"/>
          <w:szCs w:val="24"/>
        </w:rPr>
        <w:t>). The high predictive power of the model (R² = 0.992) further confirms a stable and deterministic growth pattern, which is invaluable for accurate stock assessment and biomass forecasting. The positive allometry suggests a diet rich in energetically lucrative prey, such as small fish and macroinvertebrates, supporting the species' role as an apex predator in this ecosystem.</w:t>
      </w:r>
    </w:p>
    <w:p w14:paraId="13193900" w14:textId="77777777" w:rsidR="00A105FD"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4.3. Phenotypic Integration and Functional Allometry</w:t>
      </w:r>
    </w:p>
    <w:p w14:paraId="169624E2" w14:textId="49AC8240"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The exceptionally high coefficients of determination (R² &gt; 0.98) for the relationships between Total Length and most body dimensions reveal a profound degree of morphological integration. This suggests that the growth of different body parts is highly coordinated, following a stable and genetically canalized developmental pathway, a characteristic often observed in well-adapted, homogeneous stocks (Bano et al., 2022; </w:t>
      </w:r>
      <w:proofErr w:type="spellStart"/>
      <w:r w:rsidRPr="002221FA">
        <w:rPr>
          <w:rFonts w:ascii="Times New Roman" w:hAnsi="Times New Roman" w:cs="Times New Roman"/>
          <w:sz w:val="24"/>
          <w:szCs w:val="24"/>
        </w:rPr>
        <w:t>Ikpeme</w:t>
      </w:r>
      <w:proofErr w:type="spellEnd"/>
      <w:r w:rsidRPr="002221FA">
        <w:rPr>
          <w:rFonts w:ascii="Times New Roman" w:hAnsi="Times New Roman" w:cs="Times New Roman"/>
          <w:sz w:val="24"/>
          <w:szCs w:val="24"/>
        </w:rPr>
        <w:t xml:space="preserve"> et al., 2017). Such strong integration indicates that this population is experiencing minimal environmental stress, allowing for a predictable phenotypic expression.</w:t>
      </w:r>
    </w:p>
    <w:p w14:paraId="1911C161" w14:textId="457344C0"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near-isometric growth observed for all fin lengths (e.g., DFL, Pect.FL, AFL) is of critical functional importance. For an ambush predator like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xml:space="preserve">, fins are essential for generating the explosive acceleration needed for striking prey and for executing precise </w:t>
      </w:r>
      <w:r w:rsidR="001C0039" w:rsidRPr="002221FA">
        <w:rPr>
          <w:rFonts w:ascii="Times New Roman" w:hAnsi="Times New Roman" w:cs="Times New Roman"/>
          <w:sz w:val="24"/>
          <w:szCs w:val="24"/>
        </w:rPr>
        <w:t>manoeuvres</w:t>
      </w:r>
      <w:r w:rsidRPr="002221FA">
        <w:rPr>
          <w:rFonts w:ascii="Times New Roman" w:hAnsi="Times New Roman" w:cs="Times New Roman"/>
          <w:sz w:val="24"/>
          <w:szCs w:val="24"/>
        </w:rPr>
        <w:t xml:space="preserve"> amidst submerged structures. The proportional scaling of these appendages ensures that locomotor performance and hydrodynamic efficiency are maintained throughout the fish's life, as the physical demands of swimming scale predictably with increasing body size (</w:t>
      </w:r>
      <w:proofErr w:type="spellStart"/>
      <w:r w:rsidRPr="002221FA">
        <w:rPr>
          <w:rFonts w:ascii="Times New Roman" w:hAnsi="Times New Roman" w:cs="Times New Roman"/>
          <w:sz w:val="24"/>
          <w:szCs w:val="24"/>
        </w:rPr>
        <w:t>Brosset</w:t>
      </w:r>
      <w:proofErr w:type="spellEnd"/>
      <w:r w:rsidRPr="002221FA">
        <w:rPr>
          <w:rFonts w:ascii="Times New Roman" w:hAnsi="Times New Roman" w:cs="Times New Roman"/>
          <w:sz w:val="24"/>
          <w:szCs w:val="24"/>
        </w:rPr>
        <w:t xml:space="preserve"> et al., 2021). Similarly, the strong linear relationships for head and jaw structures (HL, UJL, LJL) confirm that the feeding apparatus scales proportionally with body size. This ontogenetic trajectory allows larger individuals to transition from small invertebrates to larger, more profitable piscine prey, a dietary shift that is a direct driver of the observed positive allometric weight gain. The regression equations we established provide a quantitative framework for this ontogenetic niche shift, which is a common feature in the life history of predatory fishes.</w:t>
      </w:r>
    </w:p>
    <w:p w14:paraId="7AF8F10C" w14:textId="77777777" w:rsidR="00A105FD"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4.4. Sensory Ecology and Negative Allometry: An Evolutionary Trade-off</w:t>
      </w:r>
    </w:p>
    <w:p w14:paraId="59346075" w14:textId="3B445BCF"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The distinct relationship for Eye Diameter (ED), characterized by a lower R² (0.912) and the smallest regression coefficient (B=0.025), is a clear manifestation of negative allometry. This </w:t>
      </w:r>
      <w:r w:rsidRPr="002221FA">
        <w:rPr>
          <w:rFonts w:ascii="Times New Roman" w:hAnsi="Times New Roman" w:cs="Times New Roman"/>
          <w:sz w:val="24"/>
          <w:szCs w:val="24"/>
        </w:rPr>
        <w:lastRenderedPageBreak/>
        <w:t>reflects an evolutionary trade-off where the relative investment in a sensory organ decreases as the animal grows larger. The primary reason is that visual acuity is more dependent on the absolute size of the lens and the density of retinal photoreceptors than on the eye's size relative to the body. Beyond a certain optimal size, further enlargement yields diminishing returns for visual performance while incurring significant metabolic and structural costs. This effect may be amplified in the environmental context of Nagapur Dam, where turbidity can reduce the utility of vision for foraging, potentially leading to a compensatory increase in reliance on other senses, such as the mechanosensory lateral line system, for detecting prey (Brosse et al., 2021).</w:t>
      </w:r>
    </w:p>
    <w:p w14:paraId="63517786" w14:textId="77777777" w:rsidR="00A105FD"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4.5. Meristic Stability and Taxonomic Identity in a Regional Context</w:t>
      </w:r>
    </w:p>
    <w:p w14:paraId="49654783" w14:textId="47634B63"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The meristic counts obtained provide a solid foundation for confirming the taxonomic identity of the population as </w:t>
      </w:r>
      <w:r w:rsidRPr="002221FA">
        <w:rPr>
          <w:rFonts w:ascii="Times New Roman" w:hAnsi="Times New Roman" w:cs="Times New Roman"/>
          <w:i/>
          <w:iCs/>
          <w:sz w:val="24"/>
          <w:szCs w:val="24"/>
        </w:rPr>
        <w:t>Channa striata</w:t>
      </w:r>
      <w:r w:rsidRPr="002221FA">
        <w:rPr>
          <w:rFonts w:ascii="Times New Roman" w:hAnsi="Times New Roman" w:cs="Times New Roman"/>
          <w:sz w:val="24"/>
          <w:szCs w:val="24"/>
        </w:rPr>
        <w:t>. The extreme stability of Pelvic Fin Rays (PFR), with 97.7% of specimens possessing 6 rays, highlights the strong genetic determinism of these traits, which are established during early embryonic development and are largely buffered against environmental influence (Muslimin et al., 2020). This genetic stability makes meristic counts a reliable tool for species identification. The variation observed in Dorsal and Anal Fin rays falls well within the documented intraspecific range for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across its geographical distribution (Jannat et al., 2022; Farooq, 2019). When compared to studies on other populations, such as those from Vietnam and Bangladesh (Jannat et al., 2022) or across Sumatra (Muslimin et al., 2020), the Nagapur population shows a meristic profile that is consistent with the native Indian stock, showing no signs of the variations sometimes seen in introduced or geographically distant populations.</w:t>
      </w:r>
    </w:p>
    <w:p w14:paraId="5FE54DE1" w14:textId="77777777" w:rsidR="00A105FD"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t>4.6. Ecomorphological Implications for Fishery Management</w:t>
      </w:r>
    </w:p>
    <w:p w14:paraId="4D7552B7" w14:textId="5BD5998F" w:rsidR="002221FA" w:rsidRPr="002221FA" w:rsidRDefault="002221FA" w:rsidP="009B6EDE">
      <w:p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The specific morphometric relationships, particularly for Body Depth (BD = -0.005 + 0.194(TL)), provide quantitative evidence of ecomorphological adaptation. The slightly deeper body of the Nagapur Dam population, when considered in the context of its lentic environment, can be interpreted as an adaptation for enhanced </w:t>
      </w:r>
      <w:r w:rsidR="001C0039" w:rsidRPr="002221FA">
        <w:rPr>
          <w:rFonts w:ascii="Times New Roman" w:hAnsi="Times New Roman" w:cs="Times New Roman"/>
          <w:sz w:val="24"/>
          <w:szCs w:val="24"/>
        </w:rPr>
        <w:t>manoeuvrability</w:t>
      </w:r>
      <w:r w:rsidRPr="002221FA">
        <w:rPr>
          <w:rFonts w:ascii="Times New Roman" w:hAnsi="Times New Roman" w:cs="Times New Roman"/>
          <w:sz w:val="24"/>
          <w:szCs w:val="24"/>
        </w:rPr>
        <w:t xml:space="preserve"> in still, structurally complex waters, as opposed to the more streamlined form </w:t>
      </w:r>
      <w:r w:rsidR="001C0039" w:rsidRPr="002221FA">
        <w:rPr>
          <w:rFonts w:ascii="Times New Roman" w:hAnsi="Times New Roman" w:cs="Times New Roman"/>
          <w:sz w:val="24"/>
          <w:szCs w:val="24"/>
        </w:rPr>
        <w:t>favoured</w:t>
      </w:r>
      <w:r w:rsidRPr="002221FA">
        <w:rPr>
          <w:rFonts w:ascii="Times New Roman" w:hAnsi="Times New Roman" w:cs="Times New Roman"/>
          <w:sz w:val="24"/>
          <w:szCs w:val="24"/>
        </w:rPr>
        <w:t xml:space="preserve"> in lotic environments. This morphological divergence underscores a critical principle for fisheries management: geographically separate stocks can be locally adapted (Bailey, 2021). Therefore, the baseline data generated in this study is not merely academic; it provides a crucial reference for monitoring the population's health. Any future significant temporal shift in these morphometric relationships or the length-weight equation could serve as an early-</w:t>
      </w:r>
      <w:r w:rsidRPr="002221FA">
        <w:rPr>
          <w:rFonts w:ascii="Times New Roman" w:hAnsi="Times New Roman" w:cs="Times New Roman"/>
          <w:sz w:val="24"/>
          <w:szCs w:val="24"/>
        </w:rPr>
        <w:lastRenderedPageBreak/>
        <w:t>warning signal of environmental degradation, food scarcity, or genetic effects from overfishing or inappropriate stocking programs. The findings advocate for science-based, localized management strategies for the </w:t>
      </w:r>
      <w:r w:rsidRPr="002221FA">
        <w:rPr>
          <w:rFonts w:ascii="Times New Roman" w:hAnsi="Times New Roman" w:cs="Times New Roman"/>
          <w:i/>
          <w:iCs/>
          <w:sz w:val="24"/>
          <w:szCs w:val="24"/>
        </w:rPr>
        <w:t>C. striata</w:t>
      </w:r>
      <w:r w:rsidRPr="002221FA">
        <w:rPr>
          <w:rFonts w:ascii="Times New Roman" w:hAnsi="Times New Roman" w:cs="Times New Roman"/>
          <w:sz w:val="24"/>
          <w:szCs w:val="24"/>
        </w:rPr>
        <w:t> fishery in Nagapur Dam to ensure its long-term sustainability.</w:t>
      </w:r>
    </w:p>
    <w:p w14:paraId="29840A32" w14:textId="77777777" w:rsidR="00A105FD" w:rsidRPr="00A105FD" w:rsidRDefault="00A105FD" w:rsidP="00A105FD">
      <w:pPr>
        <w:spacing w:line="360" w:lineRule="auto"/>
        <w:jc w:val="both"/>
        <w:rPr>
          <w:rFonts w:ascii="Times New Roman" w:hAnsi="Times New Roman" w:cs="Times New Roman"/>
          <w:b/>
          <w:bCs/>
          <w:sz w:val="24"/>
          <w:szCs w:val="24"/>
        </w:rPr>
      </w:pPr>
      <w:r w:rsidRPr="00A105FD">
        <w:rPr>
          <w:rFonts w:ascii="Times New Roman" w:hAnsi="Times New Roman" w:cs="Times New Roman"/>
          <w:b/>
          <w:bCs/>
          <w:sz w:val="24"/>
          <w:szCs w:val="24"/>
        </w:rPr>
        <w:t>5. Conclusion</w:t>
      </w:r>
    </w:p>
    <w:p w14:paraId="4987EB04" w14:textId="4E31613F" w:rsidR="00A105FD" w:rsidRPr="00A105FD" w:rsidRDefault="00A105FD" w:rsidP="00A105FD">
      <w:pPr>
        <w:spacing w:line="360" w:lineRule="auto"/>
        <w:jc w:val="both"/>
        <w:rPr>
          <w:rFonts w:ascii="Times New Roman" w:hAnsi="Times New Roman" w:cs="Times New Roman"/>
          <w:sz w:val="24"/>
          <w:szCs w:val="24"/>
        </w:rPr>
      </w:pPr>
      <w:r w:rsidRPr="00A105FD">
        <w:rPr>
          <w:rFonts w:ascii="Times New Roman" w:hAnsi="Times New Roman" w:cs="Times New Roman"/>
          <w:sz w:val="24"/>
          <w:szCs w:val="24"/>
        </w:rPr>
        <w:t>This comprehensive study successfully establishes the first detailed morphometric and meristic baseline for the </w:t>
      </w:r>
      <w:r w:rsidRPr="00A105FD">
        <w:rPr>
          <w:rFonts w:ascii="Times New Roman" w:hAnsi="Times New Roman" w:cs="Times New Roman"/>
          <w:i/>
          <w:iCs/>
          <w:sz w:val="24"/>
          <w:szCs w:val="24"/>
        </w:rPr>
        <w:t>Channa striata</w:t>
      </w:r>
      <w:r w:rsidRPr="00A105FD">
        <w:rPr>
          <w:rFonts w:ascii="Times New Roman" w:hAnsi="Times New Roman" w:cs="Times New Roman"/>
          <w:sz w:val="24"/>
          <w:szCs w:val="24"/>
        </w:rPr>
        <w:t> population in Nagapur Dam. The analysis of 176 specimens reveals a robust and healthy population, characterized by a wide size distribution indicative of sustainable recruitment and a positive allometric growth pattern (W = 0.021L³.⁰⁵), which signifies a favourable trophic status and excellent health within the reservoir ecosystem. The exceptionally strong linear relationships (R² &gt; 0.98) between Total Length and most body dimensions, supported by narrow confidence intervals, demonstrate a high degree of morphological integration and predictable growth, underscoring a stable developmental trajectory for this population.</w:t>
      </w:r>
    </w:p>
    <w:p w14:paraId="7E4FE3E6" w14:textId="77777777" w:rsidR="00A105FD" w:rsidRPr="00A105FD" w:rsidRDefault="00A105FD" w:rsidP="00A105FD">
      <w:pPr>
        <w:spacing w:line="360" w:lineRule="auto"/>
        <w:jc w:val="both"/>
        <w:rPr>
          <w:rFonts w:ascii="Times New Roman" w:hAnsi="Times New Roman" w:cs="Times New Roman"/>
          <w:sz w:val="24"/>
          <w:szCs w:val="24"/>
        </w:rPr>
      </w:pPr>
      <w:r w:rsidRPr="00A105FD">
        <w:rPr>
          <w:rFonts w:ascii="Times New Roman" w:hAnsi="Times New Roman" w:cs="Times New Roman"/>
          <w:sz w:val="24"/>
          <w:szCs w:val="24"/>
        </w:rPr>
        <w:t>The distinct morphological characteristics, particularly the body depth, when compared to populations from riverine systems, highlight a potential ecomorphological adaptation to the lentic habitat of the reservoir. This local adaptation, combined with the stable meristic counts that affirm the population's genetic integrity, underscores the uniqueness of this stock. The quantitative regression models generated for 14 different morphometric characters provide an invaluable tool for future monitoring. Any significant future deviation from these established baselines, particularly outside the calculated confidence intervals, could serve as a critical early-warning indicator of environmental stress, habitat degradation, or unsustainable fishing pressure.</w:t>
      </w:r>
    </w:p>
    <w:p w14:paraId="59E6DA86" w14:textId="77777777" w:rsidR="00A105FD" w:rsidRPr="00A105FD" w:rsidRDefault="00A105FD" w:rsidP="00A105FD">
      <w:pPr>
        <w:spacing w:line="360" w:lineRule="auto"/>
        <w:jc w:val="both"/>
        <w:rPr>
          <w:rFonts w:ascii="Times New Roman" w:hAnsi="Times New Roman" w:cs="Times New Roman"/>
          <w:sz w:val="24"/>
          <w:szCs w:val="24"/>
        </w:rPr>
      </w:pPr>
      <w:r w:rsidRPr="00A105FD">
        <w:rPr>
          <w:rFonts w:ascii="Times New Roman" w:hAnsi="Times New Roman" w:cs="Times New Roman"/>
          <w:sz w:val="24"/>
          <w:szCs w:val="24"/>
        </w:rPr>
        <w:t>Therefore, this study concludes that the </w:t>
      </w:r>
      <w:r w:rsidRPr="00A105FD">
        <w:rPr>
          <w:rFonts w:ascii="Times New Roman" w:hAnsi="Times New Roman" w:cs="Times New Roman"/>
          <w:i/>
          <w:iCs/>
          <w:sz w:val="24"/>
          <w:szCs w:val="24"/>
        </w:rPr>
        <w:t>C. striata</w:t>
      </w:r>
      <w:r w:rsidRPr="00A105FD">
        <w:rPr>
          <w:rFonts w:ascii="Times New Roman" w:hAnsi="Times New Roman" w:cs="Times New Roman"/>
          <w:sz w:val="24"/>
          <w:szCs w:val="24"/>
        </w:rPr>
        <w:t> fishery in Nagapur Dam is currently in a healthy state. To ensure its long-term sustainability, it is strongly recommended that the baseline data presented herein be integrated into a proactive management plan. Future efforts should focus on periodic monitoring using these morphometric benchmarks and should be complemented by research on diet composition, age and growth parameters, and genetic diversity to formulate a holistic conservation strategy for this economically and ecologically vital species.</w:t>
      </w:r>
    </w:p>
    <w:p w14:paraId="5622E8DC" w14:textId="77777777" w:rsidR="00A105FD" w:rsidRPr="0018295A" w:rsidRDefault="00A105FD" w:rsidP="00A105FD">
      <w:pPr>
        <w:spacing w:line="360" w:lineRule="auto"/>
        <w:jc w:val="both"/>
        <w:rPr>
          <w:rFonts w:ascii="Times New Roman" w:hAnsi="Times New Roman" w:cs="Times New Roman"/>
          <w:b/>
          <w:bCs/>
          <w:sz w:val="24"/>
          <w:szCs w:val="24"/>
        </w:rPr>
      </w:pPr>
      <w:r w:rsidRPr="0018295A">
        <w:rPr>
          <w:rFonts w:ascii="Times New Roman" w:hAnsi="Times New Roman" w:cs="Times New Roman"/>
          <w:b/>
          <w:bCs/>
          <w:sz w:val="24"/>
          <w:szCs w:val="24"/>
        </w:rPr>
        <w:t>Disclaimer (Artificial Intelligence)</w:t>
      </w:r>
      <w:r>
        <w:rPr>
          <w:rFonts w:ascii="Times New Roman" w:hAnsi="Times New Roman" w:cs="Times New Roman"/>
          <w:b/>
          <w:bCs/>
          <w:sz w:val="24"/>
          <w:szCs w:val="24"/>
        </w:rPr>
        <w:t xml:space="preserve">: </w:t>
      </w:r>
      <w:r w:rsidRPr="0018295A">
        <w:rPr>
          <w:rFonts w:ascii="Times New Roman" w:hAnsi="Times New Roman" w:cs="Times New Roman"/>
          <w:sz w:val="24"/>
          <w:szCs w:val="24"/>
        </w:rPr>
        <w:t xml:space="preserve">During the preparation of this manuscript, the author(s) used [Specify AI Tool, e.g., ChatGPT/Grammarly] in order to [Specify purpose, e.g., improve </w:t>
      </w:r>
      <w:r w:rsidRPr="0018295A">
        <w:rPr>
          <w:rFonts w:ascii="Times New Roman" w:hAnsi="Times New Roman" w:cs="Times New Roman"/>
          <w:sz w:val="24"/>
          <w:szCs w:val="24"/>
        </w:rPr>
        <w:lastRenderedPageBreak/>
        <w:t>language, grammar, and readability]. After using this tool/service, the author(s) reviewed and edited the content as needed and take(s) full responsibility for the content of the publication.</w:t>
      </w:r>
    </w:p>
    <w:p w14:paraId="47264468" w14:textId="76F66740" w:rsidR="002221FA" w:rsidRPr="002221FA" w:rsidRDefault="00A105FD" w:rsidP="009B6EDE">
      <w:pPr>
        <w:spacing w:line="360" w:lineRule="auto"/>
        <w:jc w:val="both"/>
        <w:rPr>
          <w:rFonts w:ascii="Times New Roman" w:hAnsi="Times New Roman" w:cs="Times New Roman"/>
          <w:b/>
          <w:bCs/>
          <w:sz w:val="24"/>
          <w:szCs w:val="24"/>
        </w:rPr>
      </w:pPr>
      <w:r w:rsidRPr="0018295A">
        <w:rPr>
          <w:rFonts w:ascii="Times New Roman" w:hAnsi="Times New Roman" w:cs="Times New Roman"/>
          <w:b/>
          <w:bCs/>
          <w:sz w:val="24"/>
          <w:szCs w:val="24"/>
        </w:rPr>
        <w:t>Competing Interests</w:t>
      </w:r>
      <w:r>
        <w:rPr>
          <w:rFonts w:ascii="Times New Roman" w:hAnsi="Times New Roman" w:cs="Times New Roman"/>
          <w:b/>
          <w:bCs/>
          <w:sz w:val="24"/>
          <w:szCs w:val="24"/>
        </w:rPr>
        <w:t xml:space="preserve">: </w:t>
      </w:r>
      <w:r w:rsidRPr="0018295A">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0F7EBD89" w14:textId="77777777" w:rsidR="00F408E4" w:rsidRDefault="00F408E4">
      <w:pPr>
        <w:rPr>
          <w:rFonts w:ascii="Times New Roman" w:hAnsi="Times New Roman" w:cs="Times New Roman"/>
          <w:b/>
          <w:bCs/>
          <w:sz w:val="24"/>
          <w:szCs w:val="24"/>
        </w:rPr>
      </w:pPr>
      <w:r>
        <w:rPr>
          <w:rFonts w:ascii="Times New Roman" w:hAnsi="Times New Roman" w:cs="Times New Roman"/>
          <w:b/>
          <w:bCs/>
          <w:sz w:val="24"/>
          <w:szCs w:val="24"/>
        </w:rPr>
        <w:br w:type="page"/>
      </w:r>
    </w:p>
    <w:p w14:paraId="221B25A6" w14:textId="22220DF9" w:rsidR="002221FA" w:rsidRPr="002221FA" w:rsidRDefault="002221FA" w:rsidP="009B6EDE">
      <w:pPr>
        <w:spacing w:line="360" w:lineRule="auto"/>
        <w:jc w:val="both"/>
        <w:rPr>
          <w:rFonts w:ascii="Times New Roman" w:hAnsi="Times New Roman" w:cs="Times New Roman"/>
          <w:b/>
          <w:bCs/>
          <w:sz w:val="24"/>
          <w:szCs w:val="24"/>
        </w:rPr>
      </w:pPr>
      <w:r w:rsidRPr="002221FA">
        <w:rPr>
          <w:rFonts w:ascii="Times New Roman" w:hAnsi="Times New Roman" w:cs="Times New Roman"/>
          <w:b/>
          <w:bCs/>
          <w:sz w:val="24"/>
          <w:szCs w:val="24"/>
        </w:rPr>
        <w:lastRenderedPageBreak/>
        <w:t>References</w:t>
      </w:r>
    </w:p>
    <w:p w14:paraId="06800695"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proofErr w:type="spellStart"/>
      <w:r w:rsidRPr="002221FA">
        <w:rPr>
          <w:rFonts w:ascii="Times New Roman" w:hAnsi="Times New Roman" w:cs="Times New Roman"/>
          <w:sz w:val="24"/>
          <w:szCs w:val="24"/>
        </w:rPr>
        <w:t>Alós</w:t>
      </w:r>
      <w:proofErr w:type="spellEnd"/>
      <w:r w:rsidRPr="002221FA">
        <w:rPr>
          <w:rFonts w:ascii="Times New Roman" w:hAnsi="Times New Roman" w:cs="Times New Roman"/>
          <w:sz w:val="24"/>
          <w:szCs w:val="24"/>
        </w:rPr>
        <w:t>, J., Lana, A., Ramis, J., &amp; Arlinghaus, R. (2020). Interactions between angler movement behaviour and an invasive seaweed with ecosystem engineering properties in a marine recreational fishery. </w:t>
      </w:r>
      <w:r w:rsidRPr="002221FA">
        <w:rPr>
          <w:rFonts w:ascii="Times New Roman" w:hAnsi="Times New Roman" w:cs="Times New Roman"/>
          <w:i/>
          <w:iCs/>
          <w:sz w:val="24"/>
          <w:szCs w:val="24"/>
        </w:rPr>
        <w:t>Fisheries Research</w:t>
      </w:r>
      <w:r w:rsidRPr="002221FA">
        <w:rPr>
          <w:rFonts w:ascii="Times New Roman" w:hAnsi="Times New Roman" w:cs="Times New Roman"/>
          <w:sz w:val="24"/>
          <w:szCs w:val="24"/>
        </w:rPr>
        <w:t>, *230*, 105624.</w:t>
      </w:r>
    </w:p>
    <w:p w14:paraId="78893B39"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Bailey, S. A. (2021). Prelude: Research and management of aquatic nonindigenous species in India. </w:t>
      </w:r>
      <w:r w:rsidRPr="002221FA">
        <w:rPr>
          <w:rFonts w:ascii="Times New Roman" w:hAnsi="Times New Roman" w:cs="Times New Roman"/>
          <w:i/>
          <w:iCs/>
          <w:sz w:val="24"/>
          <w:szCs w:val="24"/>
        </w:rPr>
        <w:t>Aquatic Ecosystem Health &amp; Management</w:t>
      </w:r>
      <w:r w:rsidRPr="002221FA">
        <w:rPr>
          <w:rFonts w:ascii="Times New Roman" w:hAnsi="Times New Roman" w:cs="Times New Roman"/>
          <w:sz w:val="24"/>
          <w:szCs w:val="24"/>
        </w:rPr>
        <w:t>, *24*(2), 4-7.</w:t>
      </w:r>
    </w:p>
    <w:p w14:paraId="43B1E348"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Bano, S., Srivastava, R. K., Singh, C., Trivedi, S. P., Chand, S., &amp; Ratn, A. (2022). Investigation of morphometric characters and their correlations in fish </w:t>
      </w:r>
      <w:proofErr w:type="spellStart"/>
      <w:r w:rsidRPr="002221FA">
        <w:rPr>
          <w:rFonts w:ascii="Times New Roman" w:hAnsi="Times New Roman" w:cs="Times New Roman"/>
          <w:sz w:val="24"/>
          <w:szCs w:val="24"/>
        </w:rPr>
        <w:t>Channa</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punctatus</w:t>
      </w:r>
      <w:proofErr w:type="spellEnd"/>
      <w:r w:rsidRPr="002221FA">
        <w:rPr>
          <w:rFonts w:ascii="Times New Roman" w:hAnsi="Times New Roman" w:cs="Times New Roman"/>
          <w:sz w:val="24"/>
          <w:szCs w:val="24"/>
        </w:rPr>
        <w:t xml:space="preserve"> from </w:t>
      </w:r>
      <w:proofErr w:type="spellStart"/>
      <w:r w:rsidRPr="002221FA">
        <w:rPr>
          <w:rFonts w:ascii="Times New Roman" w:hAnsi="Times New Roman" w:cs="Times New Roman"/>
          <w:sz w:val="24"/>
          <w:szCs w:val="24"/>
        </w:rPr>
        <w:t>Barabanki</w:t>
      </w:r>
      <w:proofErr w:type="spellEnd"/>
      <w:r w:rsidRPr="002221FA">
        <w:rPr>
          <w:rFonts w:ascii="Times New Roman" w:hAnsi="Times New Roman" w:cs="Times New Roman"/>
          <w:sz w:val="24"/>
          <w:szCs w:val="24"/>
        </w:rPr>
        <w:t>, Uttar Pradesh (India). </w:t>
      </w:r>
      <w:r w:rsidRPr="002221FA">
        <w:rPr>
          <w:rFonts w:ascii="Times New Roman" w:hAnsi="Times New Roman" w:cs="Times New Roman"/>
          <w:i/>
          <w:iCs/>
          <w:sz w:val="24"/>
          <w:szCs w:val="24"/>
        </w:rPr>
        <w:t>Journal of Global Biosciences Vol</w:t>
      </w:r>
      <w:r w:rsidRPr="002221FA">
        <w:rPr>
          <w:rFonts w:ascii="Times New Roman" w:hAnsi="Times New Roman" w:cs="Times New Roman"/>
          <w:sz w:val="24"/>
          <w:szCs w:val="24"/>
        </w:rPr>
        <w:t>, *11*(7), 9393-9402.</w:t>
      </w:r>
    </w:p>
    <w:p w14:paraId="1A691873"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Bhat, M. A., Mohammad, N., &amp; </w:t>
      </w:r>
      <w:proofErr w:type="spellStart"/>
      <w:r w:rsidRPr="002221FA">
        <w:rPr>
          <w:rFonts w:ascii="Times New Roman" w:hAnsi="Times New Roman" w:cs="Times New Roman"/>
          <w:sz w:val="24"/>
          <w:szCs w:val="24"/>
        </w:rPr>
        <w:t>Masarat</w:t>
      </w:r>
      <w:proofErr w:type="spellEnd"/>
      <w:r w:rsidRPr="002221FA">
        <w:rPr>
          <w:rFonts w:ascii="Times New Roman" w:hAnsi="Times New Roman" w:cs="Times New Roman"/>
          <w:sz w:val="24"/>
          <w:szCs w:val="24"/>
        </w:rPr>
        <w:t xml:space="preserve">, S. (2016). Morphometric characters of freshwater fish </w:t>
      </w:r>
      <w:proofErr w:type="spellStart"/>
      <w:r w:rsidRPr="002221FA">
        <w:rPr>
          <w:rFonts w:ascii="Times New Roman" w:hAnsi="Times New Roman" w:cs="Times New Roman"/>
          <w:sz w:val="24"/>
          <w:szCs w:val="24"/>
        </w:rPr>
        <w:t>Cyprinus</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sp</w:t>
      </w:r>
      <w:proofErr w:type="spellEnd"/>
      <w:r w:rsidRPr="002221FA">
        <w:rPr>
          <w:rFonts w:ascii="Times New Roman" w:hAnsi="Times New Roman" w:cs="Times New Roman"/>
          <w:sz w:val="24"/>
          <w:szCs w:val="24"/>
        </w:rPr>
        <w:t xml:space="preserve"> collected from river Jhelum, Kashmir. </w:t>
      </w:r>
      <w:r w:rsidRPr="002221FA">
        <w:rPr>
          <w:rFonts w:ascii="Times New Roman" w:hAnsi="Times New Roman" w:cs="Times New Roman"/>
          <w:i/>
          <w:iCs/>
          <w:sz w:val="24"/>
          <w:szCs w:val="24"/>
        </w:rPr>
        <w:t>International Journal of Innovative Research in Advance Studies</w:t>
      </w:r>
      <w:r w:rsidRPr="002221FA">
        <w:rPr>
          <w:rFonts w:ascii="Times New Roman" w:hAnsi="Times New Roman" w:cs="Times New Roman"/>
          <w:sz w:val="24"/>
          <w:szCs w:val="24"/>
        </w:rPr>
        <w:t>, *3*(4), 117-120.</w:t>
      </w:r>
    </w:p>
    <w:p w14:paraId="4CDBBEB5"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Brosse, S., </w:t>
      </w:r>
      <w:proofErr w:type="spellStart"/>
      <w:r w:rsidRPr="002221FA">
        <w:rPr>
          <w:rFonts w:ascii="Times New Roman" w:hAnsi="Times New Roman" w:cs="Times New Roman"/>
          <w:sz w:val="24"/>
          <w:szCs w:val="24"/>
        </w:rPr>
        <w:t>Charpin</w:t>
      </w:r>
      <w:proofErr w:type="spellEnd"/>
      <w:r w:rsidRPr="002221FA">
        <w:rPr>
          <w:rFonts w:ascii="Times New Roman" w:hAnsi="Times New Roman" w:cs="Times New Roman"/>
          <w:sz w:val="24"/>
          <w:szCs w:val="24"/>
        </w:rPr>
        <w:t xml:space="preserve">, N., Su, G., Toussaint, A., Herrera‐r, G. A., Tedesco, P. A., &amp; </w:t>
      </w:r>
      <w:proofErr w:type="spellStart"/>
      <w:r w:rsidRPr="002221FA">
        <w:rPr>
          <w:rFonts w:ascii="Times New Roman" w:hAnsi="Times New Roman" w:cs="Times New Roman"/>
          <w:sz w:val="24"/>
          <w:szCs w:val="24"/>
        </w:rPr>
        <w:t>Villéger</w:t>
      </w:r>
      <w:proofErr w:type="spellEnd"/>
      <w:r w:rsidRPr="002221FA">
        <w:rPr>
          <w:rFonts w:ascii="Times New Roman" w:hAnsi="Times New Roman" w:cs="Times New Roman"/>
          <w:sz w:val="24"/>
          <w:szCs w:val="24"/>
        </w:rPr>
        <w:t>, S. (2021). FISHMORPH: A global database on morphological traits of freshwater fishes. </w:t>
      </w:r>
      <w:r w:rsidRPr="002221FA">
        <w:rPr>
          <w:rFonts w:ascii="Times New Roman" w:hAnsi="Times New Roman" w:cs="Times New Roman"/>
          <w:i/>
          <w:iCs/>
          <w:sz w:val="24"/>
          <w:szCs w:val="24"/>
        </w:rPr>
        <w:t>Global Ecology and Biogeography</w:t>
      </w:r>
      <w:r w:rsidRPr="002221FA">
        <w:rPr>
          <w:rFonts w:ascii="Times New Roman" w:hAnsi="Times New Roman" w:cs="Times New Roman"/>
          <w:sz w:val="24"/>
          <w:szCs w:val="24"/>
        </w:rPr>
        <w:t>, *30*(12), 2330-2336.</w:t>
      </w:r>
    </w:p>
    <w:p w14:paraId="252FF1CF"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proofErr w:type="spellStart"/>
      <w:r w:rsidRPr="002221FA">
        <w:rPr>
          <w:rFonts w:ascii="Times New Roman" w:hAnsi="Times New Roman" w:cs="Times New Roman"/>
          <w:sz w:val="24"/>
          <w:szCs w:val="24"/>
        </w:rPr>
        <w:t>Brosset</w:t>
      </w:r>
      <w:proofErr w:type="spellEnd"/>
      <w:r w:rsidRPr="002221FA">
        <w:rPr>
          <w:rFonts w:ascii="Times New Roman" w:hAnsi="Times New Roman" w:cs="Times New Roman"/>
          <w:sz w:val="24"/>
          <w:szCs w:val="24"/>
        </w:rPr>
        <w:t xml:space="preserve">, P., Cooke, S. J., Schull, Q., </w:t>
      </w:r>
      <w:proofErr w:type="spellStart"/>
      <w:r w:rsidRPr="002221FA">
        <w:rPr>
          <w:rFonts w:ascii="Times New Roman" w:hAnsi="Times New Roman" w:cs="Times New Roman"/>
          <w:sz w:val="24"/>
          <w:szCs w:val="24"/>
        </w:rPr>
        <w:t>Trenkel</w:t>
      </w:r>
      <w:proofErr w:type="spellEnd"/>
      <w:r w:rsidRPr="002221FA">
        <w:rPr>
          <w:rFonts w:ascii="Times New Roman" w:hAnsi="Times New Roman" w:cs="Times New Roman"/>
          <w:sz w:val="24"/>
          <w:szCs w:val="24"/>
        </w:rPr>
        <w:t xml:space="preserve">, V. M., </w:t>
      </w:r>
      <w:proofErr w:type="spellStart"/>
      <w:r w:rsidRPr="002221FA">
        <w:rPr>
          <w:rFonts w:ascii="Times New Roman" w:hAnsi="Times New Roman" w:cs="Times New Roman"/>
          <w:sz w:val="24"/>
          <w:szCs w:val="24"/>
        </w:rPr>
        <w:t>Soudant</w:t>
      </w:r>
      <w:proofErr w:type="spellEnd"/>
      <w:r w:rsidRPr="002221FA">
        <w:rPr>
          <w:rFonts w:ascii="Times New Roman" w:hAnsi="Times New Roman" w:cs="Times New Roman"/>
          <w:sz w:val="24"/>
          <w:szCs w:val="24"/>
        </w:rPr>
        <w:t xml:space="preserve">, P., &amp; </w:t>
      </w:r>
      <w:proofErr w:type="spellStart"/>
      <w:r w:rsidRPr="002221FA">
        <w:rPr>
          <w:rFonts w:ascii="Times New Roman" w:hAnsi="Times New Roman" w:cs="Times New Roman"/>
          <w:sz w:val="24"/>
          <w:szCs w:val="24"/>
        </w:rPr>
        <w:t>Lebigre</w:t>
      </w:r>
      <w:proofErr w:type="spellEnd"/>
      <w:r w:rsidRPr="002221FA">
        <w:rPr>
          <w:rFonts w:ascii="Times New Roman" w:hAnsi="Times New Roman" w:cs="Times New Roman"/>
          <w:sz w:val="24"/>
          <w:szCs w:val="24"/>
        </w:rPr>
        <w:t>, C. (2021). Physiological biomarkers and fisheries management. </w:t>
      </w:r>
      <w:r w:rsidRPr="002221FA">
        <w:rPr>
          <w:rFonts w:ascii="Times New Roman" w:hAnsi="Times New Roman" w:cs="Times New Roman"/>
          <w:i/>
          <w:iCs/>
          <w:sz w:val="24"/>
          <w:szCs w:val="24"/>
        </w:rPr>
        <w:t>Reviews in Fish Biology and Fisheries</w:t>
      </w:r>
      <w:r w:rsidRPr="002221FA">
        <w:rPr>
          <w:rFonts w:ascii="Times New Roman" w:hAnsi="Times New Roman" w:cs="Times New Roman"/>
          <w:sz w:val="24"/>
          <w:szCs w:val="24"/>
        </w:rPr>
        <w:t>, *31*(4), 797-819.</w:t>
      </w:r>
    </w:p>
    <w:p w14:paraId="3B5C53B0"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proofErr w:type="spellStart"/>
      <w:r w:rsidRPr="002221FA">
        <w:rPr>
          <w:rFonts w:ascii="Times New Roman" w:hAnsi="Times New Roman" w:cs="Times New Roman"/>
          <w:sz w:val="24"/>
          <w:szCs w:val="24"/>
        </w:rPr>
        <w:t>Capretz</w:t>
      </w:r>
      <w:proofErr w:type="spellEnd"/>
      <w:r w:rsidRPr="002221FA">
        <w:rPr>
          <w:rFonts w:ascii="Times New Roman" w:hAnsi="Times New Roman" w:cs="Times New Roman"/>
          <w:sz w:val="24"/>
          <w:szCs w:val="24"/>
        </w:rPr>
        <w:t xml:space="preserve"> Batista da Silva, J. P., &amp; da Silva Casas, A. L. (2020). Morphological deformities in the pelvic fin and clasper in specimens of </w:t>
      </w:r>
      <w:proofErr w:type="spellStart"/>
      <w:r w:rsidRPr="002221FA">
        <w:rPr>
          <w:rFonts w:ascii="Times New Roman" w:hAnsi="Times New Roman" w:cs="Times New Roman"/>
          <w:sz w:val="24"/>
          <w:szCs w:val="24"/>
        </w:rPr>
        <w:t>Potamotrygon</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marquesi</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Chondrichthyes</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Myliobatiformes</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Potamotrygoninae</w:t>
      </w:r>
      <w:proofErr w:type="spellEnd"/>
      <w:r w:rsidRPr="002221FA">
        <w:rPr>
          <w:rFonts w:ascii="Times New Roman" w:hAnsi="Times New Roman" w:cs="Times New Roman"/>
          <w:sz w:val="24"/>
          <w:szCs w:val="24"/>
        </w:rPr>
        <w:t>). </w:t>
      </w:r>
      <w:r w:rsidRPr="002221FA">
        <w:rPr>
          <w:rFonts w:ascii="Times New Roman" w:hAnsi="Times New Roman" w:cs="Times New Roman"/>
          <w:i/>
          <w:iCs/>
          <w:sz w:val="24"/>
          <w:szCs w:val="24"/>
        </w:rPr>
        <w:t>Journal of Applied Ichthyology</w:t>
      </w:r>
      <w:r w:rsidRPr="002221FA">
        <w:rPr>
          <w:rFonts w:ascii="Times New Roman" w:hAnsi="Times New Roman" w:cs="Times New Roman"/>
          <w:sz w:val="24"/>
          <w:szCs w:val="24"/>
        </w:rPr>
        <w:t>, *36*(2), 189-196.</w:t>
      </w:r>
    </w:p>
    <w:p w14:paraId="60035755"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Chakraborty, R. U. P. A. L. I., Das, S. K., &amp; Bhakta, D. I. B. A. K. A. R. (2017). Length-weight relationship, relative condition factor, food and feeding habits of Channa Striata from wetlands of Nadia District, West Bengal. </w:t>
      </w:r>
      <w:r w:rsidRPr="002221FA">
        <w:rPr>
          <w:rFonts w:ascii="Times New Roman" w:hAnsi="Times New Roman" w:cs="Times New Roman"/>
          <w:i/>
          <w:iCs/>
          <w:sz w:val="24"/>
          <w:szCs w:val="24"/>
        </w:rPr>
        <w:t>J. Inland Fish. Soc. India</w:t>
      </w:r>
      <w:r w:rsidRPr="002221FA">
        <w:rPr>
          <w:rFonts w:ascii="Times New Roman" w:hAnsi="Times New Roman" w:cs="Times New Roman"/>
          <w:sz w:val="24"/>
          <w:szCs w:val="24"/>
        </w:rPr>
        <w:t>, *49*(2), 22-26.</w:t>
      </w:r>
    </w:p>
    <w:p w14:paraId="7B3A5442"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Courtenay Jr, W. R., &amp; Williams, J. D. (2004). Snakeheads (Pisces, Channidae): a biological synopsis and risk assessment (No. 1251). US Geological Survey.</w:t>
      </w:r>
    </w:p>
    <w:p w14:paraId="07BF55E6"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Farooq, R. Y. (2019). Morphometric and meristic analysis of different parameters of scales of Channa striata (Bloch, 1793). (2019): 969-973.</w:t>
      </w:r>
    </w:p>
    <w:p w14:paraId="524F1E03"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lastRenderedPageBreak/>
        <w:t>Fitzgerald, D. G., Nanson, J. W., Todd, T. N., &amp; Davis, B. M. (2002). Application of truss analysis for the quantification of changes in fish condition. </w:t>
      </w:r>
      <w:r w:rsidRPr="002221FA">
        <w:rPr>
          <w:rFonts w:ascii="Times New Roman" w:hAnsi="Times New Roman" w:cs="Times New Roman"/>
          <w:i/>
          <w:iCs/>
          <w:sz w:val="24"/>
          <w:szCs w:val="24"/>
        </w:rPr>
        <w:t>Journal of Aquatic Ecosystem Stress and Recovery</w:t>
      </w:r>
      <w:r w:rsidRPr="002221FA">
        <w:rPr>
          <w:rFonts w:ascii="Times New Roman" w:hAnsi="Times New Roman" w:cs="Times New Roman"/>
          <w:sz w:val="24"/>
          <w:szCs w:val="24"/>
        </w:rPr>
        <w:t>, *9*(2), 115-125.</w:t>
      </w:r>
    </w:p>
    <w:p w14:paraId="403F418A"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Froese, R. (2006). Cube law, condition factor and weight–length relationships: history, meta‐analysis and recommendations. </w:t>
      </w:r>
      <w:r w:rsidRPr="002221FA">
        <w:rPr>
          <w:rFonts w:ascii="Times New Roman" w:hAnsi="Times New Roman" w:cs="Times New Roman"/>
          <w:i/>
          <w:iCs/>
          <w:sz w:val="24"/>
          <w:szCs w:val="24"/>
        </w:rPr>
        <w:t>Journal of applied ichthyology</w:t>
      </w:r>
      <w:r w:rsidRPr="002221FA">
        <w:rPr>
          <w:rFonts w:ascii="Times New Roman" w:hAnsi="Times New Roman" w:cs="Times New Roman"/>
          <w:sz w:val="24"/>
          <w:szCs w:val="24"/>
        </w:rPr>
        <w:t>, *22*(4), 241-253.</w:t>
      </w:r>
    </w:p>
    <w:p w14:paraId="55C22CEA"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proofErr w:type="spellStart"/>
      <w:r w:rsidRPr="002221FA">
        <w:rPr>
          <w:rFonts w:ascii="Times New Roman" w:hAnsi="Times New Roman" w:cs="Times New Roman"/>
          <w:sz w:val="24"/>
          <w:szCs w:val="24"/>
        </w:rPr>
        <w:t>Hidayati</w:t>
      </w:r>
      <w:proofErr w:type="spellEnd"/>
      <w:r w:rsidRPr="002221FA">
        <w:rPr>
          <w:rFonts w:ascii="Times New Roman" w:hAnsi="Times New Roman" w:cs="Times New Roman"/>
          <w:sz w:val="24"/>
          <w:szCs w:val="24"/>
        </w:rPr>
        <w:t xml:space="preserve">, D., Abdulgani, N., Ashuri, N. M., Sa’adah, N. N., &amp; </w:t>
      </w:r>
      <w:proofErr w:type="spellStart"/>
      <w:r w:rsidRPr="002221FA">
        <w:rPr>
          <w:rFonts w:ascii="Times New Roman" w:hAnsi="Times New Roman" w:cs="Times New Roman"/>
          <w:sz w:val="24"/>
          <w:szCs w:val="24"/>
        </w:rPr>
        <w:t>Lukitasari</w:t>
      </w:r>
      <w:proofErr w:type="spellEnd"/>
      <w:r w:rsidRPr="002221FA">
        <w:rPr>
          <w:rFonts w:ascii="Times New Roman" w:hAnsi="Times New Roman" w:cs="Times New Roman"/>
          <w:sz w:val="24"/>
          <w:szCs w:val="24"/>
        </w:rPr>
        <w:t xml:space="preserve">, M. (2017, June). The influence of snakehead (Channa striata) fish extract to increase </w:t>
      </w:r>
      <w:proofErr w:type="spellStart"/>
      <w:r w:rsidRPr="002221FA">
        <w:rPr>
          <w:rFonts w:ascii="Times New Roman" w:hAnsi="Times New Roman" w:cs="Times New Roman"/>
          <w:sz w:val="24"/>
          <w:szCs w:val="24"/>
        </w:rPr>
        <w:t>hyperglycemic</w:t>
      </w:r>
      <w:proofErr w:type="spellEnd"/>
      <w:r w:rsidRPr="002221FA">
        <w:rPr>
          <w:rFonts w:ascii="Times New Roman" w:hAnsi="Times New Roman" w:cs="Times New Roman"/>
          <w:sz w:val="24"/>
          <w:szCs w:val="24"/>
        </w:rPr>
        <w:t xml:space="preserve"> mice fertility based on spermatogenic cell composition. In </w:t>
      </w:r>
      <w:r w:rsidRPr="002221FA">
        <w:rPr>
          <w:rFonts w:ascii="Times New Roman" w:hAnsi="Times New Roman" w:cs="Times New Roman"/>
          <w:i/>
          <w:iCs/>
          <w:sz w:val="24"/>
          <w:szCs w:val="24"/>
        </w:rPr>
        <w:t>AIP Conference Proceedings</w:t>
      </w:r>
      <w:r w:rsidRPr="002221FA">
        <w:rPr>
          <w:rFonts w:ascii="Times New Roman" w:hAnsi="Times New Roman" w:cs="Times New Roman"/>
          <w:sz w:val="24"/>
          <w:szCs w:val="24"/>
        </w:rPr>
        <w:t> (Vol. 1854, No. 1, p. 020015). AIP Publishing LLC.</w:t>
      </w:r>
    </w:p>
    <w:p w14:paraId="1541E86C"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Hossain, M. Y., Hossen, M. A., Pramanik, M. N. U., Yahya, K., </w:t>
      </w:r>
      <w:proofErr w:type="spellStart"/>
      <w:r w:rsidRPr="002221FA">
        <w:rPr>
          <w:rFonts w:ascii="Times New Roman" w:hAnsi="Times New Roman" w:cs="Times New Roman"/>
          <w:sz w:val="24"/>
          <w:szCs w:val="24"/>
        </w:rPr>
        <w:t>Bahkali</w:t>
      </w:r>
      <w:proofErr w:type="spellEnd"/>
      <w:r w:rsidRPr="002221FA">
        <w:rPr>
          <w:rFonts w:ascii="Times New Roman" w:hAnsi="Times New Roman" w:cs="Times New Roman"/>
          <w:sz w:val="24"/>
          <w:szCs w:val="24"/>
        </w:rPr>
        <w:t xml:space="preserve">, A. H., &amp; </w:t>
      </w:r>
      <w:proofErr w:type="spellStart"/>
      <w:r w:rsidRPr="002221FA">
        <w:rPr>
          <w:rFonts w:ascii="Times New Roman" w:hAnsi="Times New Roman" w:cs="Times New Roman"/>
          <w:sz w:val="24"/>
          <w:szCs w:val="24"/>
        </w:rPr>
        <w:t>Elgorban</w:t>
      </w:r>
      <w:proofErr w:type="spellEnd"/>
      <w:r w:rsidRPr="002221FA">
        <w:rPr>
          <w:rFonts w:ascii="Times New Roman" w:hAnsi="Times New Roman" w:cs="Times New Roman"/>
          <w:sz w:val="24"/>
          <w:szCs w:val="24"/>
        </w:rPr>
        <w:t xml:space="preserve">, A. M. (2016). Length–weight relationships of </w:t>
      </w:r>
      <w:proofErr w:type="spellStart"/>
      <w:r w:rsidRPr="002221FA">
        <w:rPr>
          <w:rFonts w:ascii="Times New Roman" w:hAnsi="Times New Roman" w:cs="Times New Roman"/>
          <w:sz w:val="24"/>
          <w:szCs w:val="24"/>
        </w:rPr>
        <w:t>Dermogenys</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pusilla</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Kuhl</w:t>
      </w:r>
      <w:proofErr w:type="spellEnd"/>
      <w:r w:rsidRPr="002221FA">
        <w:rPr>
          <w:rFonts w:ascii="Times New Roman" w:hAnsi="Times New Roman" w:cs="Times New Roman"/>
          <w:sz w:val="24"/>
          <w:szCs w:val="24"/>
        </w:rPr>
        <w:t xml:space="preserve"> &amp; van Hasselt, 1823 (</w:t>
      </w:r>
      <w:proofErr w:type="spellStart"/>
      <w:r w:rsidRPr="002221FA">
        <w:rPr>
          <w:rFonts w:ascii="Times New Roman" w:hAnsi="Times New Roman" w:cs="Times New Roman"/>
          <w:sz w:val="24"/>
          <w:szCs w:val="24"/>
        </w:rPr>
        <w:t>Zenarchopteridae</w:t>
      </w:r>
      <w:proofErr w:type="spellEnd"/>
      <w:r w:rsidRPr="002221FA">
        <w:rPr>
          <w:rFonts w:ascii="Times New Roman" w:hAnsi="Times New Roman" w:cs="Times New Roman"/>
          <w:sz w:val="24"/>
          <w:szCs w:val="24"/>
        </w:rPr>
        <w:t xml:space="preserve">) and </w:t>
      </w:r>
      <w:proofErr w:type="spellStart"/>
      <w:r w:rsidRPr="002221FA">
        <w:rPr>
          <w:rFonts w:ascii="Times New Roman" w:hAnsi="Times New Roman" w:cs="Times New Roman"/>
          <w:sz w:val="24"/>
          <w:szCs w:val="24"/>
        </w:rPr>
        <w:t>Labeo</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bata</w:t>
      </w:r>
      <w:proofErr w:type="spellEnd"/>
      <w:r w:rsidRPr="002221FA">
        <w:rPr>
          <w:rFonts w:ascii="Times New Roman" w:hAnsi="Times New Roman" w:cs="Times New Roman"/>
          <w:sz w:val="24"/>
          <w:szCs w:val="24"/>
        </w:rPr>
        <w:t xml:space="preserve"> (Hamilton, 1822</w:t>
      </w:r>
      <w:proofErr w:type="gramStart"/>
      <w:r w:rsidRPr="002221FA">
        <w:rPr>
          <w:rFonts w:ascii="Times New Roman" w:hAnsi="Times New Roman" w:cs="Times New Roman"/>
          <w:sz w:val="24"/>
          <w:szCs w:val="24"/>
        </w:rPr>
        <w:t>)(</w:t>
      </w:r>
      <w:proofErr w:type="spellStart"/>
      <w:proofErr w:type="gramEnd"/>
      <w:r w:rsidRPr="002221FA">
        <w:rPr>
          <w:rFonts w:ascii="Times New Roman" w:hAnsi="Times New Roman" w:cs="Times New Roman"/>
          <w:sz w:val="24"/>
          <w:szCs w:val="24"/>
        </w:rPr>
        <w:t>Cyprinidae</w:t>
      </w:r>
      <w:proofErr w:type="spellEnd"/>
      <w:r w:rsidRPr="002221FA">
        <w:rPr>
          <w:rFonts w:ascii="Times New Roman" w:hAnsi="Times New Roman" w:cs="Times New Roman"/>
          <w:sz w:val="24"/>
          <w:szCs w:val="24"/>
        </w:rPr>
        <w:t>) from the Ganges River (NW Bangladesh). </w:t>
      </w:r>
      <w:r w:rsidRPr="002221FA">
        <w:rPr>
          <w:rFonts w:ascii="Times New Roman" w:hAnsi="Times New Roman" w:cs="Times New Roman"/>
          <w:i/>
          <w:iCs/>
          <w:sz w:val="24"/>
          <w:szCs w:val="24"/>
        </w:rPr>
        <w:t>Journal of applied ichthyology</w:t>
      </w:r>
      <w:r w:rsidRPr="002221FA">
        <w:rPr>
          <w:rFonts w:ascii="Times New Roman" w:hAnsi="Times New Roman" w:cs="Times New Roman"/>
          <w:sz w:val="24"/>
          <w:szCs w:val="24"/>
        </w:rPr>
        <w:t>, *32*(4), 744-746.</w:t>
      </w:r>
    </w:p>
    <w:p w14:paraId="1C7E41CA"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proofErr w:type="spellStart"/>
      <w:r w:rsidRPr="002221FA">
        <w:rPr>
          <w:rFonts w:ascii="Times New Roman" w:hAnsi="Times New Roman" w:cs="Times New Roman"/>
          <w:sz w:val="24"/>
          <w:szCs w:val="24"/>
        </w:rPr>
        <w:t>Ikpeme</w:t>
      </w:r>
      <w:proofErr w:type="spellEnd"/>
      <w:r w:rsidRPr="002221FA">
        <w:rPr>
          <w:rFonts w:ascii="Times New Roman" w:hAnsi="Times New Roman" w:cs="Times New Roman"/>
          <w:sz w:val="24"/>
          <w:szCs w:val="24"/>
        </w:rPr>
        <w:t xml:space="preserve">, E., </w:t>
      </w:r>
      <w:proofErr w:type="spellStart"/>
      <w:r w:rsidRPr="002221FA">
        <w:rPr>
          <w:rFonts w:ascii="Times New Roman" w:hAnsi="Times New Roman" w:cs="Times New Roman"/>
          <w:sz w:val="24"/>
          <w:szCs w:val="24"/>
        </w:rPr>
        <w:t>Ekerette</w:t>
      </w:r>
      <w:proofErr w:type="spellEnd"/>
      <w:r w:rsidRPr="002221FA">
        <w:rPr>
          <w:rFonts w:ascii="Times New Roman" w:hAnsi="Times New Roman" w:cs="Times New Roman"/>
          <w:sz w:val="24"/>
          <w:szCs w:val="24"/>
        </w:rPr>
        <w:t xml:space="preserve">, E., Udensi, O., &amp; </w:t>
      </w:r>
      <w:proofErr w:type="spellStart"/>
      <w:r w:rsidRPr="002221FA">
        <w:rPr>
          <w:rFonts w:ascii="Times New Roman" w:hAnsi="Times New Roman" w:cs="Times New Roman"/>
          <w:sz w:val="24"/>
          <w:szCs w:val="24"/>
        </w:rPr>
        <w:t>Ozoje</w:t>
      </w:r>
      <w:proofErr w:type="spellEnd"/>
      <w:r w:rsidRPr="002221FA">
        <w:rPr>
          <w:rFonts w:ascii="Times New Roman" w:hAnsi="Times New Roman" w:cs="Times New Roman"/>
          <w:sz w:val="24"/>
          <w:szCs w:val="24"/>
        </w:rPr>
        <w:t>, M. (2017). Assessment of morphological variation in wild and cultured populations of tilapia fish (Oreochromis niloticus). </w:t>
      </w:r>
      <w:r w:rsidRPr="002221FA">
        <w:rPr>
          <w:rFonts w:ascii="Times New Roman" w:hAnsi="Times New Roman" w:cs="Times New Roman"/>
          <w:i/>
          <w:iCs/>
          <w:sz w:val="24"/>
          <w:szCs w:val="24"/>
        </w:rPr>
        <w:t>Journal of Advances in Biology &amp; Biotechnology</w:t>
      </w:r>
      <w:r w:rsidRPr="002221FA">
        <w:rPr>
          <w:rFonts w:ascii="Times New Roman" w:hAnsi="Times New Roman" w:cs="Times New Roman"/>
          <w:sz w:val="24"/>
          <w:szCs w:val="24"/>
        </w:rPr>
        <w:t>, *13*(2), 1-10.</w:t>
      </w:r>
    </w:p>
    <w:p w14:paraId="32AEB1F5" w14:textId="1B83D7FD" w:rsidR="002221FA" w:rsidRPr="002221FA" w:rsidRDefault="009B2DC7"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Jannat, B., Kanon, K. F., Sultana, N., Alam, M. S., &amp; Alam, M. S. </w:t>
      </w:r>
      <w:r w:rsidR="002221FA" w:rsidRPr="002221FA">
        <w:rPr>
          <w:rFonts w:ascii="Times New Roman" w:hAnsi="Times New Roman" w:cs="Times New Roman"/>
          <w:sz w:val="24"/>
          <w:szCs w:val="24"/>
        </w:rPr>
        <w:t>(2022). Morphological variations between native and Vietnam-originated striped snakeheads (Channa striata) in Bangladesh. </w:t>
      </w:r>
      <w:r w:rsidR="002221FA" w:rsidRPr="002221FA">
        <w:rPr>
          <w:rFonts w:ascii="Times New Roman" w:hAnsi="Times New Roman" w:cs="Times New Roman"/>
          <w:i/>
          <w:iCs/>
          <w:sz w:val="24"/>
          <w:szCs w:val="24"/>
        </w:rPr>
        <w:t>Bangladesh Journal of Fisheries</w:t>
      </w:r>
      <w:r w:rsidR="002221FA" w:rsidRPr="002221FA">
        <w:rPr>
          <w:rFonts w:ascii="Times New Roman" w:hAnsi="Times New Roman" w:cs="Times New Roman"/>
          <w:sz w:val="24"/>
          <w:szCs w:val="24"/>
        </w:rPr>
        <w:t>, *34*(1), 41-52.</w:t>
      </w:r>
    </w:p>
    <w:p w14:paraId="72EDDA18"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Kaur, V., Ana, Y., &amp; Heer, B. K. (2019). Morphometric analysis of fish, Labeo rohita (Hamilton) from pond near </w:t>
      </w:r>
      <w:proofErr w:type="spellStart"/>
      <w:r w:rsidRPr="002221FA">
        <w:rPr>
          <w:rFonts w:ascii="Times New Roman" w:hAnsi="Times New Roman" w:cs="Times New Roman"/>
          <w:sz w:val="24"/>
          <w:szCs w:val="24"/>
        </w:rPr>
        <w:t>Kalayat</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Kaithal</w:t>
      </w:r>
      <w:proofErr w:type="spellEnd"/>
      <w:r w:rsidRPr="002221FA">
        <w:rPr>
          <w:rFonts w:ascii="Times New Roman" w:hAnsi="Times New Roman" w:cs="Times New Roman"/>
          <w:sz w:val="24"/>
          <w:szCs w:val="24"/>
        </w:rPr>
        <w:t>, Haryana India. </w:t>
      </w:r>
      <w:r w:rsidRPr="002221FA">
        <w:rPr>
          <w:rFonts w:ascii="Times New Roman" w:hAnsi="Times New Roman" w:cs="Times New Roman"/>
          <w:i/>
          <w:iCs/>
          <w:sz w:val="24"/>
          <w:szCs w:val="24"/>
        </w:rPr>
        <w:t>Journal of Fisheries and Aquatic Studies</w:t>
      </w:r>
      <w:r w:rsidRPr="002221FA">
        <w:rPr>
          <w:rFonts w:ascii="Times New Roman" w:hAnsi="Times New Roman" w:cs="Times New Roman"/>
          <w:sz w:val="24"/>
          <w:szCs w:val="24"/>
        </w:rPr>
        <w:t>, *7*, 299-306.</w:t>
      </w:r>
    </w:p>
    <w:p w14:paraId="29D4BF9C"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proofErr w:type="spellStart"/>
      <w:r w:rsidRPr="002221FA">
        <w:rPr>
          <w:rFonts w:ascii="Times New Roman" w:hAnsi="Times New Roman" w:cs="Times New Roman"/>
          <w:sz w:val="24"/>
          <w:szCs w:val="24"/>
        </w:rPr>
        <w:t>Koundal</w:t>
      </w:r>
      <w:proofErr w:type="spellEnd"/>
      <w:r w:rsidRPr="002221FA">
        <w:rPr>
          <w:rFonts w:ascii="Times New Roman" w:hAnsi="Times New Roman" w:cs="Times New Roman"/>
          <w:sz w:val="24"/>
          <w:szCs w:val="24"/>
        </w:rPr>
        <w:t xml:space="preserve">, A., </w:t>
      </w:r>
      <w:proofErr w:type="spellStart"/>
      <w:r w:rsidRPr="002221FA">
        <w:rPr>
          <w:rFonts w:ascii="Times New Roman" w:hAnsi="Times New Roman" w:cs="Times New Roman"/>
          <w:sz w:val="24"/>
          <w:szCs w:val="24"/>
        </w:rPr>
        <w:t>Dhanze</w:t>
      </w:r>
      <w:proofErr w:type="spellEnd"/>
      <w:r w:rsidRPr="002221FA">
        <w:rPr>
          <w:rFonts w:ascii="Times New Roman" w:hAnsi="Times New Roman" w:cs="Times New Roman"/>
          <w:sz w:val="24"/>
          <w:szCs w:val="24"/>
        </w:rPr>
        <w:t>, R., &amp; Sharma, I. (2014). Length-weight relationship, condition factor and relative growth patterns of Channa punctata (Bloch) from Himachal Pradesh, India. </w:t>
      </w:r>
      <w:r w:rsidRPr="002221FA">
        <w:rPr>
          <w:rFonts w:ascii="Times New Roman" w:hAnsi="Times New Roman" w:cs="Times New Roman"/>
          <w:i/>
          <w:iCs/>
          <w:sz w:val="24"/>
          <w:szCs w:val="24"/>
        </w:rPr>
        <w:t>Zoo's Print</w:t>
      </w:r>
      <w:r w:rsidRPr="002221FA">
        <w:rPr>
          <w:rFonts w:ascii="Times New Roman" w:hAnsi="Times New Roman" w:cs="Times New Roman"/>
          <w:sz w:val="24"/>
          <w:szCs w:val="24"/>
        </w:rPr>
        <w:t>, *29*(1), 25-29.</w:t>
      </w:r>
    </w:p>
    <w:p w14:paraId="61C784EF"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Mitra, T., Ganguly, S., Banerjee, S., </w:t>
      </w:r>
      <w:proofErr w:type="spellStart"/>
      <w:r w:rsidRPr="002221FA">
        <w:rPr>
          <w:rFonts w:ascii="Times New Roman" w:hAnsi="Times New Roman" w:cs="Times New Roman"/>
          <w:sz w:val="24"/>
          <w:szCs w:val="24"/>
        </w:rPr>
        <w:t>Mahanty</w:t>
      </w:r>
      <w:proofErr w:type="spellEnd"/>
      <w:r w:rsidRPr="002221FA">
        <w:rPr>
          <w:rFonts w:ascii="Times New Roman" w:hAnsi="Times New Roman" w:cs="Times New Roman"/>
          <w:sz w:val="24"/>
          <w:szCs w:val="24"/>
        </w:rPr>
        <w:t xml:space="preserve">, A., Raman, R. K., Bhowmick, S., &amp; Mohanty, B. P. (2017). Nutritional composition of different size groups of catfish Rita </w:t>
      </w:r>
      <w:proofErr w:type="spellStart"/>
      <w:r w:rsidRPr="002221FA">
        <w:rPr>
          <w:rFonts w:ascii="Times New Roman" w:hAnsi="Times New Roman" w:cs="Times New Roman"/>
          <w:sz w:val="24"/>
          <w:szCs w:val="24"/>
        </w:rPr>
        <w:t>rita</w:t>
      </w:r>
      <w:proofErr w:type="spellEnd"/>
      <w:r w:rsidRPr="002221FA">
        <w:rPr>
          <w:rFonts w:ascii="Times New Roman" w:hAnsi="Times New Roman" w:cs="Times New Roman"/>
          <w:sz w:val="24"/>
          <w:szCs w:val="24"/>
        </w:rPr>
        <w:t xml:space="preserve"> (Hamilton, 1822) from river Ganga. </w:t>
      </w:r>
      <w:r w:rsidRPr="002221FA">
        <w:rPr>
          <w:rFonts w:ascii="Times New Roman" w:hAnsi="Times New Roman" w:cs="Times New Roman"/>
          <w:i/>
          <w:iCs/>
          <w:sz w:val="24"/>
          <w:szCs w:val="24"/>
        </w:rPr>
        <w:t>Indian Journal of Fisheries</w:t>
      </w:r>
      <w:r w:rsidRPr="002221FA">
        <w:rPr>
          <w:rFonts w:ascii="Times New Roman" w:hAnsi="Times New Roman" w:cs="Times New Roman"/>
          <w:sz w:val="24"/>
          <w:szCs w:val="24"/>
        </w:rPr>
        <w:t>, *64*.</w:t>
      </w:r>
    </w:p>
    <w:p w14:paraId="3E43A6AE" w14:textId="697C6DDD" w:rsidR="002221FA" w:rsidRPr="002221FA" w:rsidRDefault="00B34698"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lastRenderedPageBreak/>
        <w:t xml:space="preserve">Muslimin, B., </w:t>
      </w:r>
      <w:proofErr w:type="spellStart"/>
      <w:r w:rsidRPr="002221FA">
        <w:rPr>
          <w:rFonts w:ascii="Times New Roman" w:hAnsi="Times New Roman" w:cs="Times New Roman"/>
          <w:sz w:val="24"/>
          <w:szCs w:val="24"/>
        </w:rPr>
        <w:t>Rustadi</w:t>
      </w:r>
      <w:proofErr w:type="spellEnd"/>
      <w:r w:rsidRPr="002221FA">
        <w:rPr>
          <w:rFonts w:ascii="Times New Roman" w:hAnsi="Times New Roman" w:cs="Times New Roman"/>
          <w:sz w:val="24"/>
          <w:szCs w:val="24"/>
        </w:rPr>
        <w:t xml:space="preserve">, R., </w:t>
      </w:r>
      <w:proofErr w:type="spellStart"/>
      <w:r w:rsidRPr="002221FA">
        <w:rPr>
          <w:rFonts w:ascii="Times New Roman" w:hAnsi="Times New Roman" w:cs="Times New Roman"/>
          <w:sz w:val="24"/>
          <w:szCs w:val="24"/>
        </w:rPr>
        <w:t>Hardaningsih</w:t>
      </w:r>
      <w:proofErr w:type="spellEnd"/>
      <w:r w:rsidRPr="002221FA">
        <w:rPr>
          <w:rFonts w:ascii="Times New Roman" w:hAnsi="Times New Roman" w:cs="Times New Roman"/>
          <w:sz w:val="24"/>
          <w:szCs w:val="24"/>
        </w:rPr>
        <w:t xml:space="preserve">, H., &amp; </w:t>
      </w:r>
      <w:proofErr w:type="spellStart"/>
      <w:r w:rsidRPr="002221FA">
        <w:rPr>
          <w:rFonts w:ascii="Times New Roman" w:hAnsi="Times New Roman" w:cs="Times New Roman"/>
          <w:sz w:val="24"/>
          <w:szCs w:val="24"/>
        </w:rPr>
        <w:t>Retnoaji</w:t>
      </w:r>
      <w:proofErr w:type="spellEnd"/>
      <w:r w:rsidRPr="002221FA">
        <w:rPr>
          <w:rFonts w:ascii="Times New Roman" w:hAnsi="Times New Roman" w:cs="Times New Roman"/>
          <w:sz w:val="24"/>
          <w:szCs w:val="24"/>
        </w:rPr>
        <w:t xml:space="preserve">, B. </w:t>
      </w:r>
      <w:r w:rsidR="002221FA" w:rsidRPr="002221FA">
        <w:rPr>
          <w:rFonts w:ascii="Times New Roman" w:hAnsi="Times New Roman" w:cs="Times New Roman"/>
          <w:sz w:val="24"/>
          <w:szCs w:val="24"/>
        </w:rPr>
        <w:t>(2020). Morphometric variation of Cork fish (Channa striata Bloch, 1793) from nine populations in Sumatra Island, Indonesia. </w:t>
      </w:r>
      <w:r w:rsidR="002221FA" w:rsidRPr="002221FA">
        <w:rPr>
          <w:rFonts w:ascii="Times New Roman" w:hAnsi="Times New Roman" w:cs="Times New Roman"/>
          <w:i/>
          <w:iCs/>
          <w:sz w:val="24"/>
          <w:szCs w:val="24"/>
        </w:rPr>
        <w:t>Iranian Journal of Ichthyology</w:t>
      </w:r>
      <w:r w:rsidR="002221FA" w:rsidRPr="002221FA">
        <w:rPr>
          <w:rFonts w:ascii="Times New Roman" w:hAnsi="Times New Roman" w:cs="Times New Roman"/>
          <w:sz w:val="24"/>
          <w:szCs w:val="24"/>
        </w:rPr>
        <w:t>, *7*(3), 209-221.</w:t>
      </w:r>
    </w:p>
    <w:p w14:paraId="445E4398"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Mustafa, A., Widodo, M. A., &amp; </w:t>
      </w:r>
      <w:proofErr w:type="spellStart"/>
      <w:r w:rsidRPr="002221FA">
        <w:rPr>
          <w:rFonts w:ascii="Times New Roman" w:hAnsi="Times New Roman" w:cs="Times New Roman"/>
          <w:sz w:val="24"/>
          <w:szCs w:val="24"/>
        </w:rPr>
        <w:t>Kristianto</w:t>
      </w:r>
      <w:proofErr w:type="spellEnd"/>
      <w:r w:rsidRPr="002221FA">
        <w:rPr>
          <w:rFonts w:ascii="Times New Roman" w:hAnsi="Times New Roman" w:cs="Times New Roman"/>
          <w:sz w:val="24"/>
          <w:szCs w:val="24"/>
        </w:rPr>
        <w:t>, Y. (2012). Albumin and zinc content of snakehead fish (Channa striata) extract and its role in health. </w:t>
      </w:r>
      <w:r w:rsidRPr="002221FA">
        <w:rPr>
          <w:rFonts w:ascii="Times New Roman" w:hAnsi="Times New Roman" w:cs="Times New Roman"/>
          <w:i/>
          <w:iCs/>
          <w:sz w:val="24"/>
          <w:szCs w:val="24"/>
        </w:rPr>
        <w:t>IEESE International Journal of Science and Technology</w:t>
      </w:r>
      <w:r w:rsidRPr="002221FA">
        <w:rPr>
          <w:rFonts w:ascii="Times New Roman" w:hAnsi="Times New Roman" w:cs="Times New Roman"/>
          <w:sz w:val="24"/>
          <w:szCs w:val="24"/>
        </w:rPr>
        <w:t>, *1*(2), 1.</w:t>
      </w:r>
    </w:p>
    <w:p w14:paraId="6F53E4A6" w14:textId="77777777" w:rsid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Nordlund, L. M., Unsworth, R. K., </w:t>
      </w:r>
      <w:proofErr w:type="spellStart"/>
      <w:r w:rsidRPr="002221FA">
        <w:rPr>
          <w:rFonts w:ascii="Times New Roman" w:hAnsi="Times New Roman" w:cs="Times New Roman"/>
          <w:sz w:val="24"/>
          <w:szCs w:val="24"/>
        </w:rPr>
        <w:t>Gullström</w:t>
      </w:r>
      <w:proofErr w:type="spellEnd"/>
      <w:r w:rsidRPr="002221FA">
        <w:rPr>
          <w:rFonts w:ascii="Times New Roman" w:hAnsi="Times New Roman" w:cs="Times New Roman"/>
          <w:sz w:val="24"/>
          <w:szCs w:val="24"/>
        </w:rPr>
        <w:t>, M., &amp; Cullen‐Unsworth, L. C. (2018). Global significance of seagrass fishery activity. </w:t>
      </w:r>
      <w:r w:rsidRPr="002221FA">
        <w:rPr>
          <w:rFonts w:ascii="Times New Roman" w:hAnsi="Times New Roman" w:cs="Times New Roman"/>
          <w:i/>
          <w:iCs/>
          <w:sz w:val="24"/>
          <w:szCs w:val="24"/>
        </w:rPr>
        <w:t>Fish and Fisheries</w:t>
      </w:r>
      <w:r w:rsidRPr="002221FA">
        <w:rPr>
          <w:rFonts w:ascii="Times New Roman" w:hAnsi="Times New Roman" w:cs="Times New Roman"/>
          <w:sz w:val="24"/>
          <w:szCs w:val="24"/>
        </w:rPr>
        <w:t>, *19*(3), 399-412.</w:t>
      </w:r>
    </w:p>
    <w:p w14:paraId="4214F82A" w14:textId="0AB4B93C" w:rsidR="00716BF5" w:rsidRPr="002221FA" w:rsidRDefault="00716BF5" w:rsidP="009B6EDE">
      <w:pPr>
        <w:numPr>
          <w:ilvl w:val="0"/>
          <w:numId w:val="2"/>
        </w:numPr>
        <w:spacing w:line="360" w:lineRule="auto"/>
        <w:jc w:val="both"/>
        <w:rPr>
          <w:rFonts w:ascii="Times New Roman" w:hAnsi="Times New Roman" w:cs="Times New Roman"/>
          <w:sz w:val="24"/>
          <w:szCs w:val="24"/>
        </w:rPr>
      </w:pPr>
      <w:r w:rsidRPr="00716BF5">
        <w:rPr>
          <w:rFonts w:ascii="Times New Roman" w:hAnsi="Times New Roman" w:cs="Times New Roman"/>
          <w:sz w:val="24"/>
          <w:szCs w:val="24"/>
        </w:rPr>
        <w:t xml:space="preserve">Nur, M., Rahardjo, M. F., Simanjuntak, C. P. H., </w:t>
      </w:r>
      <w:proofErr w:type="spellStart"/>
      <w:r w:rsidRPr="00716BF5">
        <w:rPr>
          <w:rFonts w:ascii="Times New Roman" w:hAnsi="Times New Roman" w:cs="Times New Roman"/>
          <w:sz w:val="24"/>
          <w:szCs w:val="24"/>
        </w:rPr>
        <w:t>Djumanto</w:t>
      </w:r>
      <w:proofErr w:type="spellEnd"/>
      <w:r w:rsidRPr="00716BF5">
        <w:rPr>
          <w:rFonts w:ascii="Times New Roman" w:hAnsi="Times New Roman" w:cs="Times New Roman"/>
          <w:sz w:val="24"/>
          <w:szCs w:val="24"/>
        </w:rPr>
        <w:t xml:space="preserve">, &amp; </w:t>
      </w:r>
      <w:proofErr w:type="spellStart"/>
      <w:r w:rsidRPr="00716BF5">
        <w:rPr>
          <w:rFonts w:ascii="Times New Roman" w:hAnsi="Times New Roman" w:cs="Times New Roman"/>
          <w:sz w:val="24"/>
          <w:szCs w:val="24"/>
        </w:rPr>
        <w:t>Krismono</w:t>
      </w:r>
      <w:proofErr w:type="spellEnd"/>
      <w:r w:rsidRPr="00716BF5">
        <w:rPr>
          <w:rFonts w:ascii="Times New Roman" w:hAnsi="Times New Roman" w:cs="Times New Roman"/>
          <w:sz w:val="24"/>
          <w:szCs w:val="24"/>
        </w:rPr>
        <w:t xml:space="preserve">. (2020). </w:t>
      </w:r>
      <w:r w:rsidRPr="00716BF5">
        <w:rPr>
          <w:rFonts w:ascii="Times New Roman" w:hAnsi="Times New Roman" w:cs="Times New Roman"/>
          <w:i/>
          <w:iCs/>
          <w:sz w:val="24"/>
          <w:szCs w:val="24"/>
        </w:rPr>
        <w:t xml:space="preserve">Length-weight relationship and condition factor of an endemic </w:t>
      </w:r>
      <w:proofErr w:type="spellStart"/>
      <w:r w:rsidRPr="00716BF5">
        <w:rPr>
          <w:rFonts w:ascii="Times New Roman" w:hAnsi="Times New Roman" w:cs="Times New Roman"/>
          <w:i/>
          <w:iCs/>
          <w:sz w:val="24"/>
          <w:szCs w:val="24"/>
        </w:rPr>
        <w:t>Lagusia</w:t>
      </w:r>
      <w:proofErr w:type="spellEnd"/>
      <w:r w:rsidRPr="00716BF5">
        <w:rPr>
          <w:rFonts w:ascii="Times New Roman" w:hAnsi="Times New Roman" w:cs="Times New Roman"/>
          <w:i/>
          <w:iCs/>
          <w:sz w:val="24"/>
          <w:szCs w:val="24"/>
        </w:rPr>
        <w:t xml:space="preserve"> </w:t>
      </w:r>
      <w:proofErr w:type="spellStart"/>
      <w:r w:rsidRPr="00716BF5">
        <w:rPr>
          <w:rFonts w:ascii="Times New Roman" w:hAnsi="Times New Roman" w:cs="Times New Roman"/>
          <w:i/>
          <w:iCs/>
          <w:sz w:val="24"/>
          <w:szCs w:val="24"/>
        </w:rPr>
        <w:t>micracanthus</w:t>
      </w:r>
      <w:proofErr w:type="spellEnd"/>
      <w:r w:rsidRPr="00716BF5">
        <w:rPr>
          <w:rFonts w:ascii="Times New Roman" w:hAnsi="Times New Roman" w:cs="Times New Roman"/>
          <w:i/>
          <w:iCs/>
          <w:sz w:val="24"/>
          <w:szCs w:val="24"/>
        </w:rPr>
        <w:t xml:space="preserve"> </w:t>
      </w:r>
      <w:proofErr w:type="spellStart"/>
      <w:r w:rsidRPr="00716BF5">
        <w:rPr>
          <w:rFonts w:ascii="Times New Roman" w:hAnsi="Times New Roman" w:cs="Times New Roman"/>
          <w:i/>
          <w:iCs/>
          <w:sz w:val="24"/>
          <w:szCs w:val="24"/>
        </w:rPr>
        <w:t>Bleeker</w:t>
      </w:r>
      <w:proofErr w:type="spellEnd"/>
      <w:r w:rsidRPr="00716BF5">
        <w:rPr>
          <w:rFonts w:ascii="Times New Roman" w:hAnsi="Times New Roman" w:cs="Times New Roman"/>
          <w:i/>
          <w:iCs/>
          <w:sz w:val="24"/>
          <w:szCs w:val="24"/>
        </w:rPr>
        <w:t>, 1860 in rivers of the Maros Watershed</w:t>
      </w:r>
      <w:r w:rsidRPr="00716BF5">
        <w:rPr>
          <w:rFonts w:ascii="Times New Roman" w:hAnsi="Times New Roman" w:cs="Times New Roman"/>
          <w:sz w:val="24"/>
          <w:szCs w:val="24"/>
        </w:rPr>
        <w:t xml:space="preserve">. </w:t>
      </w:r>
      <w:proofErr w:type="spellStart"/>
      <w:r w:rsidRPr="00716BF5">
        <w:rPr>
          <w:rFonts w:ascii="Times New Roman" w:hAnsi="Times New Roman" w:cs="Times New Roman"/>
          <w:i/>
          <w:iCs/>
          <w:sz w:val="24"/>
          <w:szCs w:val="24"/>
        </w:rPr>
        <w:t>Jurnal</w:t>
      </w:r>
      <w:proofErr w:type="spellEnd"/>
      <w:r w:rsidRPr="00716BF5">
        <w:rPr>
          <w:rFonts w:ascii="Times New Roman" w:hAnsi="Times New Roman" w:cs="Times New Roman"/>
          <w:i/>
          <w:iCs/>
          <w:sz w:val="24"/>
          <w:szCs w:val="24"/>
        </w:rPr>
        <w:t xml:space="preserve"> </w:t>
      </w:r>
      <w:proofErr w:type="spellStart"/>
      <w:r w:rsidRPr="00716BF5">
        <w:rPr>
          <w:rFonts w:ascii="Times New Roman" w:hAnsi="Times New Roman" w:cs="Times New Roman"/>
          <w:i/>
          <w:iCs/>
          <w:sz w:val="24"/>
          <w:szCs w:val="24"/>
        </w:rPr>
        <w:t>Iktiologi</w:t>
      </w:r>
      <w:proofErr w:type="spellEnd"/>
      <w:r w:rsidRPr="00716BF5">
        <w:rPr>
          <w:rFonts w:ascii="Times New Roman" w:hAnsi="Times New Roman" w:cs="Times New Roman"/>
          <w:i/>
          <w:iCs/>
          <w:sz w:val="24"/>
          <w:szCs w:val="24"/>
        </w:rPr>
        <w:t xml:space="preserve"> Indonesia, 20</w:t>
      </w:r>
      <w:r w:rsidRPr="00716BF5">
        <w:rPr>
          <w:rFonts w:ascii="Times New Roman" w:hAnsi="Times New Roman" w:cs="Times New Roman"/>
          <w:sz w:val="24"/>
          <w:szCs w:val="24"/>
        </w:rPr>
        <w:t xml:space="preserve">(3), 263–270. </w:t>
      </w:r>
      <w:hyperlink r:id="rId8" w:tgtFrame="_new" w:history="1">
        <w:r w:rsidRPr="00716BF5">
          <w:rPr>
            <w:rStyle w:val="Hyperlink"/>
            <w:rFonts w:ascii="Times New Roman" w:hAnsi="Times New Roman" w:cs="Times New Roman"/>
            <w:sz w:val="24"/>
            <w:szCs w:val="24"/>
          </w:rPr>
          <w:t>https://doi.org/10.32491/jii.v20i3.532</w:t>
        </w:r>
      </w:hyperlink>
    </w:p>
    <w:p w14:paraId="0077AA9F"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Roy, P., Chandan, C. S. S., Roy, N. C., &amp; Islam, I. (2020). Feed types affect the growth, survival and cannibalism in early juvenile of striped snakehead (Channa striata Bloch.). </w:t>
      </w:r>
      <w:r w:rsidRPr="002221FA">
        <w:rPr>
          <w:rFonts w:ascii="Times New Roman" w:hAnsi="Times New Roman" w:cs="Times New Roman"/>
          <w:i/>
          <w:iCs/>
          <w:sz w:val="24"/>
          <w:szCs w:val="24"/>
        </w:rPr>
        <w:t>Egyptian Journal of Aquatic Research</w:t>
      </w:r>
      <w:r w:rsidRPr="002221FA">
        <w:rPr>
          <w:rFonts w:ascii="Times New Roman" w:hAnsi="Times New Roman" w:cs="Times New Roman"/>
          <w:sz w:val="24"/>
          <w:szCs w:val="24"/>
        </w:rPr>
        <w:t>, *46*(4), 377-382.</w:t>
      </w:r>
    </w:p>
    <w:p w14:paraId="09D9420C"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Saini, A., Dua, A., &amp; Mohindra, V. (2008). Comparative morphometrics of two populations of giant river catfish (</w:t>
      </w:r>
      <w:proofErr w:type="spellStart"/>
      <w:r w:rsidRPr="002221FA">
        <w:rPr>
          <w:rFonts w:ascii="Times New Roman" w:hAnsi="Times New Roman" w:cs="Times New Roman"/>
          <w:sz w:val="24"/>
          <w:szCs w:val="24"/>
        </w:rPr>
        <w:t>Mystus</w:t>
      </w:r>
      <w:proofErr w:type="spellEnd"/>
      <w:r w:rsidRPr="002221FA">
        <w:rPr>
          <w:rFonts w:ascii="Times New Roman" w:hAnsi="Times New Roman" w:cs="Times New Roman"/>
          <w:sz w:val="24"/>
          <w:szCs w:val="24"/>
        </w:rPr>
        <w:t xml:space="preserve"> </w:t>
      </w:r>
      <w:proofErr w:type="spellStart"/>
      <w:r w:rsidRPr="002221FA">
        <w:rPr>
          <w:rFonts w:ascii="Times New Roman" w:hAnsi="Times New Roman" w:cs="Times New Roman"/>
          <w:sz w:val="24"/>
          <w:szCs w:val="24"/>
        </w:rPr>
        <w:t>seenghala</w:t>
      </w:r>
      <w:proofErr w:type="spellEnd"/>
      <w:r w:rsidRPr="002221FA">
        <w:rPr>
          <w:rFonts w:ascii="Times New Roman" w:hAnsi="Times New Roman" w:cs="Times New Roman"/>
          <w:sz w:val="24"/>
          <w:szCs w:val="24"/>
        </w:rPr>
        <w:t>) from the Indus River system. </w:t>
      </w:r>
      <w:r w:rsidRPr="002221FA">
        <w:rPr>
          <w:rFonts w:ascii="Times New Roman" w:hAnsi="Times New Roman" w:cs="Times New Roman"/>
          <w:i/>
          <w:iCs/>
          <w:sz w:val="24"/>
          <w:szCs w:val="24"/>
        </w:rPr>
        <w:t>Integrative zoology</w:t>
      </w:r>
      <w:r w:rsidRPr="002221FA">
        <w:rPr>
          <w:rFonts w:ascii="Times New Roman" w:hAnsi="Times New Roman" w:cs="Times New Roman"/>
          <w:sz w:val="24"/>
          <w:szCs w:val="24"/>
        </w:rPr>
        <w:t>, *3*(3), 219-226.</w:t>
      </w:r>
    </w:p>
    <w:p w14:paraId="6EC7873F"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Salama, S. (2012). Phylogenetic differentiation of wild and cultured Nile tilapia (Oreochromis niloticus) populations based on phenotype and genotype analysis. </w:t>
      </w:r>
      <w:r w:rsidRPr="002221FA">
        <w:rPr>
          <w:rFonts w:ascii="Times New Roman" w:hAnsi="Times New Roman" w:cs="Times New Roman"/>
          <w:i/>
          <w:iCs/>
          <w:sz w:val="24"/>
          <w:szCs w:val="24"/>
        </w:rPr>
        <w:t xml:space="preserve">African Journal of Agricultural </w:t>
      </w:r>
      <w:proofErr w:type="spellStart"/>
      <w:r w:rsidRPr="002221FA">
        <w:rPr>
          <w:rFonts w:ascii="Times New Roman" w:hAnsi="Times New Roman" w:cs="Times New Roman"/>
          <w:i/>
          <w:iCs/>
          <w:sz w:val="24"/>
          <w:szCs w:val="24"/>
        </w:rPr>
        <w:t>Reseearch</w:t>
      </w:r>
      <w:proofErr w:type="spellEnd"/>
      <w:r w:rsidRPr="002221FA">
        <w:rPr>
          <w:rFonts w:ascii="Times New Roman" w:hAnsi="Times New Roman" w:cs="Times New Roman"/>
          <w:sz w:val="24"/>
          <w:szCs w:val="24"/>
        </w:rPr>
        <w:t>.</w:t>
      </w:r>
    </w:p>
    <w:p w14:paraId="47057A96" w14:textId="3451A7E6"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Sharma, K. K., Mohan, V. C., &amp; </w:t>
      </w:r>
      <w:proofErr w:type="spellStart"/>
      <w:r w:rsidRPr="002221FA">
        <w:rPr>
          <w:rFonts w:ascii="Times New Roman" w:hAnsi="Times New Roman" w:cs="Times New Roman"/>
          <w:sz w:val="24"/>
          <w:szCs w:val="24"/>
        </w:rPr>
        <w:t>Kouser</w:t>
      </w:r>
      <w:proofErr w:type="spellEnd"/>
      <w:r w:rsidRPr="002221FA">
        <w:rPr>
          <w:rFonts w:ascii="Times New Roman" w:hAnsi="Times New Roman" w:cs="Times New Roman"/>
          <w:sz w:val="24"/>
          <w:szCs w:val="24"/>
        </w:rPr>
        <w:t xml:space="preserve">, U. (2015). Comparative accounts of </w:t>
      </w:r>
      <w:proofErr w:type="spellStart"/>
      <w:r w:rsidRPr="002221FA">
        <w:rPr>
          <w:rFonts w:ascii="Times New Roman" w:hAnsi="Times New Roman" w:cs="Times New Roman"/>
          <w:sz w:val="24"/>
          <w:szCs w:val="24"/>
        </w:rPr>
        <w:t>merestic</w:t>
      </w:r>
      <w:proofErr w:type="spellEnd"/>
      <w:r w:rsidRPr="002221FA">
        <w:rPr>
          <w:rFonts w:ascii="Times New Roman" w:hAnsi="Times New Roman" w:cs="Times New Roman"/>
          <w:sz w:val="24"/>
          <w:szCs w:val="24"/>
        </w:rPr>
        <w:t xml:space="preserve"> count and morphometric measurements of Golden </w:t>
      </w:r>
      <w:proofErr w:type="spellStart"/>
      <w:r w:rsidRPr="002221FA">
        <w:rPr>
          <w:rFonts w:ascii="Times New Roman" w:hAnsi="Times New Roman" w:cs="Times New Roman"/>
          <w:sz w:val="24"/>
          <w:szCs w:val="24"/>
        </w:rPr>
        <w:t>mahseer</w:t>
      </w:r>
      <w:proofErr w:type="spellEnd"/>
      <w:r w:rsidRPr="002221FA">
        <w:rPr>
          <w:rFonts w:ascii="Times New Roman" w:hAnsi="Times New Roman" w:cs="Times New Roman"/>
          <w:sz w:val="24"/>
          <w:szCs w:val="24"/>
        </w:rPr>
        <w:t xml:space="preserve"> (Tor </w:t>
      </w:r>
      <w:proofErr w:type="spellStart"/>
      <w:r w:rsidRPr="002221FA">
        <w:rPr>
          <w:rFonts w:ascii="Times New Roman" w:hAnsi="Times New Roman" w:cs="Times New Roman"/>
          <w:sz w:val="24"/>
          <w:szCs w:val="24"/>
        </w:rPr>
        <w:t>putitora</w:t>
      </w:r>
      <w:proofErr w:type="spellEnd"/>
      <w:r w:rsidRPr="002221FA">
        <w:rPr>
          <w:rFonts w:ascii="Times New Roman" w:hAnsi="Times New Roman" w:cs="Times New Roman"/>
          <w:sz w:val="24"/>
          <w:szCs w:val="24"/>
        </w:rPr>
        <w:t xml:space="preserve">) among </w:t>
      </w:r>
      <w:proofErr w:type="spellStart"/>
      <w:r w:rsidRPr="002221FA">
        <w:rPr>
          <w:rFonts w:ascii="Times New Roman" w:hAnsi="Times New Roman" w:cs="Times New Roman"/>
          <w:sz w:val="24"/>
          <w:szCs w:val="24"/>
        </w:rPr>
        <w:t>Chenani</w:t>
      </w:r>
      <w:proofErr w:type="spellEnd"/>
      <w:r w:rsidRPr="002221FA">
        <w:rPr>
          <w:rFonts w:ascii="Times New Roman" w:hAnsi="Times New Roman" w:cs="Times New Roman"/>
          <w:sz w:val="24"/>
          <w:szCs w:val="24"/>
        </w:rPr>
        <w:t xml:space="preserve"> hydroelectric dam, </w:t>
      </w:r>
      <w:proofErr w:type="spellStart"/>
      <w:r w:rsidRPr="002221FA">
        <w:rPr>
          <w:rFonts w:ascii="Times New Roman" w:hAnsi="Times New Roman" w:cs="Times New Roman"/>
          <w:sz w:val="24"/>
          <w:szCs w:val="24"/>
        </w:rPr>
        <w:t>Jhajjar</w:t>
      </w:r>
      <w:proofErr w:type="spellEnd"/>
      <w:r w:rsidRPr="002221FA">
        <w:rPr>
          <w:rFonts w:ascii="Times New Roman" w:hAnsi="Times New Roman" w:cs="Times New Roman"/>
          <w:sz w:val="24"/>
          <w:szCs w:val="24"/>
        </w:rPr>
        <w:t xml:space="preserve"> stream and </w:t>
      </w:r>
      <w:proofErr w:type="spellStart"/>
      <w:r w:rsidRPr="002221FA">
        <w:rPr>
          <w:rFonts w:ascii="Times New Roman" w:hAnsi="Times New Roman" w:cs="Times New Roman"/>
          <w:sz w:val="24"/>
          <w:szCs w:val="24"/>
        </w:rPr>
        <w:t>Dansar</w:t>
      </w:r>
      <w:proofErr w:type="spellEnd"/>
      <w:r w:rsidRPr="002221FA">
        <w:rPr>
          <w:rFonts w:ascii="Times New Roman" w:hAnsi="Times New Roman" w:cs="Times New Roman"/>
          <w:sz w:val="24"/>
          <w:szCs w:val="24"/>
        </w:rPr>
        <w:t xml:space="preserve"> </w:t>
      </w:r>
      <w:r w:rsidR="004411E8" w:rsidRPr="002221FA">
        <w:rPr>
          <w:rFonts w:ascii="Times New Roman" w:hAnsi="Times New Roman" w:cs="Times New Roman"/>
          <w:sz w:val="24"/>
          <w:szCs w:val="24"/>
        </w:rPr>
        <w:t>stream, (</w:t>
      </w:r>
      <w:r w:rsidRPr="002221FA">
        <w:rPr>
          <w:rFonts w:ascii="Times New Roman" w:hAnsi="Times New Roman" w:cs="Times New Roman"/>
          <w:sz w:val="24"/>
          <w:szCs w:val="24"/>
        </w:rPr>
        <w:t>J&amp;K) India. </w:t>
      </w:r>
      <w:r w:rsidRPr="002221FA">
        <w:rPr>
          <w:rFonts w:ascii="Times New Roman" w:hAnsi="Times New Roman" w:cs="Times New Roman"/>
          <w:i/>
          <w:iCs/>
          <w:sz w:val="24"/>
          <w:szCs w:val="24"/>
        </w:rPr>
        <w:t>Indian Journal of Applied Research</w:t>
      </w:r>
      <w:r w:rsidRPr="002221FA">
        <w:rPr>
          <w:rFonts w:ascii="Times New Roman" w:hAnsi="Times New Roman" w:cs="Times New Roman"/>
          <w:sz w:val="24"/>
          <w:szCs w:val="24"/>
        </w:rPr>
        <w:t>, *5*(2), 772-774.</w:t>
      </w:r>
    </w:p>
    <w:p w14:paraId="383CAF2C" w14:textId="77777777" w:rsidR="002221FA" w:rsidRPr="002221FA" w:rsidRDefault="002221FA" w:rsidP="009B6EDE">
      <w:pPr>
        <w:numPr>
          <w:ilvl w:val="0"/>
          <w:numId w:val="2"/>
        </w:numPr>
        <w:spacing w:line="360" w:lineRule="auto"/>
        <w:jc w:val="both"/>
        <w:rPr>
          <w:rFonts w:ascii="Times New Roman" w:hAnsi="Times New Roman" w:cs="Times New Roman"/>
          <w:sz w:val="24"/>
          <w:szCs w:val="24"/>
        </w:rPr>
      </w:pPr>
      <w:r w:rsidRPr="002221FA">
        <w:rPr>
          <w:rFonts w:ascii="Times New Roman" w:hAnsi="Times New Roman" w:cs="Times New Roman"/>
          <w:sz w:val="24"/>
          <w:szCs w:val="24"/>
        </w:rPr>
        <w:t xml:space="preserve">Siraj, S., </w:t>
      </w:r>
      <w:proofErr w:type="spellStart"/>
      <w:r w:rsidRPr="002221FA">
        <w:rPr>
          <w:rFonts w:ascii="Times New Roman" w:hAnsi="Times New Roman" w:cs="Times New Roman"/>
          <w:sz w:val="24"/>
          <w:szCs w:val="24"/>
        </w:rPr>
        <w:t>Masarat</w:t>
      </w:r>
      <w:proofErr w:type="spellEnd"/>
      <w:r w:rsidRPr="002221FA">
        <w:rPr>
          <w:rFonts w:ascii="Times New Roman" w:hAnsi="Times New Roman" w:cs="Times New Roman"/>
          <w:sz w:val="24"/>
          <w:szCs w:val="24"/>
        </w:rPr>
        <w:t xml:space="preserve">, S., Bashir, M., </w:t>
      </w:r>
      <w:proofErr w:type="spellStart"/>
      <w:r w:rsidRPr="002221FA">
        <w:rPr>
          <w:rFonts w:ascii="Times New Roman" w:hAnsi="Times New Roman" w:cs="Times New Roman"/>
          <w:sz w:val="24"/>
          <w:szCs w:val="24"/>
        </w:rPr>
        <w:t>Gudoo</w:t>
      </w:r>
      <w:proofErr w:type="spellEnd"/>
      <w:r w:rsidRPr="002221FA">
        <w:rPr>
          <w:rFonts w:ascii="Times New Roman" w:hAnsi="Times New Roman" w:cs="Times New Roman"/>
          <w:sz w:val="24"/>
          <w:szCs w:val="24"/>
        </w:rPr>
        <w:t>, M. Y., &amp; Mir, M. F. (2017). Morphometric characters of Cyprinus carpio collected from Dal Lake, Kashmir, India. </w:t>
      </w:r>
      <w:r w:rsidRPr="002221FA">
        <w:rPr>
          <w:rFonts w:ascii="Times New Roman" w:hAnsi="Times New Roman" w:cs="Times New Roman"/>
          <w:i/>
          <w:iCs/>
          <w:sz w:val="24"/>
          <w:szCs w:val="24"/>
        </w:rPr>
        <w:t>International Journal of Fauna and Biological Studies</w:t>
      </w:r>
      <w:r w:rsidRPr="002221FA">
        <w:rPr>
          <w:rFonts w:ascii="Times New Roman" w:hAnsi="Times New Roman" w:cs="Times New Roman"/>
          <w:sz w:val="24"/>
          <w:szCs w:val="24"/>
        </w:rPr>
        <w:t>, *4*(4), 8-11.</w:t>
      </w:r>
    </w:p>
    <w:p w14:paraId="0D183C87" w14:textId="77777777" w:rsidR="00670BDC" w:rsidRPr="009B6EDE" w:rsidRDefault="00670BDC" w:rsidP="009B6EDE">
      <w:pPr>
        <w:spacing w:line="360" w:lineRule="auto"/>
        <w:jc w:val="both"/>
        <w:rPr>
          <w:rFonts w:ascii="Times New Roman" w:hAnsi="Times New Roman" w:cs="Times New Roman"/>
          <w:sz w:val="24"/>
          <w:szCs w:val="24"/>
        </w:rPr>
      </w:pPr>
    </w:p>
    <w:sectPr w:rsidR="00670BDC" w:rsidRPr="009B6EDE" w:rsidSect="0071079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1ED7"/>
    <w:multiLevelType w:val="multilevel"/>
    <w:tmpl w:val="C8B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BE539C"/>
    <w:multiLevelType w:val="multilevel"/>
    <w:tmpl w:val="A376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F1360A"/>
    <w:multiLevelType w:val="multilevel"/>
    <w:tmpl w:val="D09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9FA"/>
    <w:rsid w:val="00127F80"/>
    <w:rsid w:val="001C0039"/>
    <w:rsid w:val="002221FA"/>
    <w:rsid w:val="00233BE7"/>
    <w:rsid w:val="00406FA2"/>
    <w:rsid w:val="004411E8"/>
    <w:rsid w:val="00482BEE"/>
    <w:rsid w:val="004A6A95"/>
    <w:rsid w:val="004B7A80"/>
    <w:rsid w:val="00512BEC"/>
    <w:rsid w:val="00527E87"/>
    <w:rsid w:val="00641C12"/>
    <w:rsid w:val="00670BDC"/>
    <w:rsid w:val="006920A9"/>
    <w:rsid w:val="00696361"/>
    <w:rsid w:val="006D4F51"/>
    <w:rsid w:val="0071079E"/>
    <w:rsid w:val="00716BF5"/>
    <w:rsid w:val="00785AE1"/>
    <w:rsid w:val="008A5B84"/>
    <w:rsid w:val="009B2DC7"/>
    <w:rsid w:val="009B6EDE"/>
    <w:rsid w:val="00A105FD"/>
    <w:rsid w:val="00AE74A9"/>
    <w:rsid w:val="00B21A21"/>
    <w:rsid w:val="00B30F2E"/>
    <w:rsid w:val="00B34698"/>
    <w:rsid w:val="00C32C1F"/>
    <w:rsid w:val="00CD3FBA"/>
    <w:rsid w:val="00D549FA"/>
    <w:rsid w:val="00DC0383"/>
    <w:rsid w:val="00E302EE"/>
    <w:rsid w:val="00F408E4"/>
    <w:rsid w:val="00F5786F"/>
    <w:rsid w:val="00FD49AD"/>
    <w:rsid w:val="00FE13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9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9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9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9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9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9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9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9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9FA"/>
    <w:rPr>
      <w:rFonts w:eastAsiaTheme="majorEastAsia" w:cstheme="majorBidi"/>
      <w:color w:val="272727" w:themeColor="text1" w:themeTint="D8"/>
    </w:rPr>
  </w:style>
  <w:style w:type="paragraph" w:styleId="Title">
    <w:name w:val="Title"/>
    <w:basedOn w:val="Normal"/>
    <w:next w:val="Normal"/>
    <w:link w:val="TitleChar"/>
    <w:uiPriority w:val="10"/>
    <w:qFormat/>
    <w:rsid w:val="00D5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9FA"/>
    <w:pPr>
      <w:spacing w:before="160"/>
      <w:jc w:val="center"/>
    </w:pPr>
    <w:rPr>
      <w:i/>
      <w:iCs/>
      <w:color w:val="404040" w:themeColor="text1" w:themeTint="BF"/>
    </w:rPr>
  </w:style>
  <w:style w:type="character" w:customStyle="1" w:styleId="QuoteChar">
    <w:name w:val="Quote Char"/>
    <w:basedOn w:val="DefaultParagraphFont"/>
    <w:link w:val="Quote"/>
    <w:uiPriority w:val="29"/>
    <w:rsid w:val="00D549FA"/>
    <w:rPr>
      <w:i/>
      <w:iCs/>
      <w:color w:val="404040" w:themeColor="text1" w:themeTint="BF"/>
    </w:rPr>
  </w:style>
  <w:style w:type="paragraph" w:styleId="ListParagraph">
    <w:name w:val="List Paragraph"/>
    <w:basedOn w:val="Normal"/>
    <w:uiPriority w:val="34"/>
    <w:qFormat/>
    <w:rsid w:val="00D549FA"/>
    <w:pPr>
      <w:ind w:left="720"/>
      <w:contextualSpacing/>
    </w:pPr>
  </w:style>
  <w:style w:type="character" w:styleId="IntenseEmphasis">
    <w:name w:val="Intense Emphasis"/>
    <w:basedOn w:val="DefaultParagraphFont"/>
    <w:uiPriority w:val="21"/>
    <w:qFormat/>
    <w:rsid w:val="00D549FA"/>
    <w:rPr>
      <w:i/>
      <w:iCs/>
      <w:color w:val="2F5496" w:themeColor="accent1" w:themeShade="BF"/>
    </w:rPr>
  </w:style>
  <w:style w:type="paragraph" w:styleId="IntenseQuote">
    <w:name w:val="Intense Quote"/>
    <w:basedOn w:val="Normal"/>
    <w:next w:val="Normal"/>
    <w:link w:val="IntenseQuoteChar"/>
    <w:uiPriority w:val="30"/>
    <w:qFormat/>
    <w:rsid w:val="00D54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9FA"/>
    <w:rPr>
      <w:i/>
      <w:iCs/>
      <w:color w:val="2F5496" w:themeColor="accent1" w:themeShade="BF"/>
    </w:rPr>
  </w:style>
  <w:style w:type="character" w:styleId="IntenseReference">
    <w:name w:val="Intense Reference"/>
    <w:basedOn w:val="DefaultParagraphFont"/>
    <w:uiPriority w:val="32"/>
    <w:qFormat/>
    <w:rsid w:val="00D549FA"/>
    <w:rPr>
      <w:b/>
      <w:bCs/>
      <w:smallCaps/>
      <w:color w:val="2F5496" w:themeColor="accent1" w:themeShade="BF"/>
      <w:spacing w:val="5"/>
    </w:rPr>
  </w:style>
  <w:style w:type="table" w:styleId="TableGrid">
    <w:name w:val="Table Grid"/>
    <w:basedOn w:val="TableNormal"/>
    <w:uiPriority w:val="39"/>
    <w:rsid w:val="009B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BF5"/>
    <w:rPr>
      <w:color w:val="0563C1" w:themeColor="hyperlink"/>
      <w:u w:val="single"/>
    </w:rPr>
  </w:style>
  <w:style w:type="character" w:customStyle="1" w:styleId="UnresolvedMention">
    <w:name w:val="Unresolved Mention"/>
    <w:basedOn w:val="DefaultParagraphFont"/>
    <w:uiPriority w:val="99"/>
    <w:semiHidden/>
    <w:unhideWhenUsed/>
    <w:rsid w:val="00716B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9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9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9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9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9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9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9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9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9FA"/>
    <w:rPr>
      <w:rFonts w:eastAsiaTheme="majorEastAsia" w:cstheme="majorBidi"/>
      <w:color w:val="272727" w:themeColor="text1" w:themeTint="D8"/>
    </w:rPr>
  </w:style>
  <w:style w:type="paragraph" w:styleId="Title">
    <w:name w:val="Title"/>
    <w:basedOn w:val="Normal"/>
    <w:next w:val="Normal"/>
    <w:link w:val="TitleChar"/>
    <w:uiPriority w:val="10"/>
    <w:qFormat/>
    <w:rsid w:val="00D5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9FA"/>
    <w:pPr>
      <w:spacing w:before="160"/>
      <w:jc w:val="center"/>
    </w:pPr>
    <w:rPr>
      <w:i/>
      <w:iCs/>
      <w:color w:val="404040" w:themeColor="text1" w:themeTint="BF"/>
    </w:rPr>
  </w:style>
  <w:style w:type="character" w:customStyle="1" w:styleId="QuoteChar">
    <w:name w:val="Quote Char"/>
    <w:basedOn w:val="DefaultParagraphFont"/>
    <w:link w:val="Quote"/>
    <w:uiPriority w:val="29"/>
    <w:rsid w:val="00D549FA"/>
    <w:rPr>
      <w:i/>
      <w:iCs/>
      <w:color w:val="404040" w:themeColor="text1" w:themeTint="BF"/>
    </w:rPr>
  </w:style>
  <w:style w:type="paragraph" w:styleId="ListParagraph">
    <w:name w:val="List Paragraph"/>
    <w:basedOn w:val="Normal"/>
    <w:uiPriority w:val="34"/>
    <w:qFormat/>
    <w:rsid w:val="00D549FA"/>
    <w:pPr>
      <w:ind w:left="720"/>
      <w:contextualSpacing/>
    </w:pPr>
  </w:style>
  <w:style w:type="character" w:styleId="IntenseEmphasis">
    <w:name w:val="Intense Emphasis"/>
    <w:basedOn w:val="DefaultParagraphFont"/>
    <w:uiPriority w:val="21"/>
    <w:qFormat/>
    <w:rsid w:val="00D549FA"/>
    <w:rPr>
      <w:i/>
      <w:iCs/>
      <w:color w:val="2F5496" w:themeColor="accent1" w:themeShade="BF"/>
    </w:rPr>
  </w:style>
  <w:style w:type="paragraph" w:styleId="IntenseQuote">
    <w:name w:val="Intense Quote"/>
    <w:basedOn w:val="Normal"/>
    <w:next w:val="Normal"/>
    <w:link w:val="IntenseQuoteChar"/>
    <w:uiPriority w:val="30"/>
    <w:qFormat/>
    <w:rsid w:val="00D54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9FA"/>
    <w:rPr>
      <w:i/>
      <w:iCs/>
      <w:color w:val="2F5496" w:themeColor="accent1" w:themeShade="BF"/>
    </w:rPr>
  </w:style>
  <w:style w:type="character" w:styleId="IntenseReference">
    <w:name w:val="Intense Reference"/>
    <w:basedOn w:val="DefaultParagraphFont"/>
    <w:uiPriority w:val="32"/>
    <w:qFormat/>
    <w:rsid w:val="00D549FA"/>
    <w:rPr>
      <w:b/>
      <w:bCs/>
      <w:smallCaps/>
      <w:color w:val="2F5496" w:themeColor="accent1" w:themeShade="BF"/>
      <w:spacing w:val="5"/>
    </w:rPr>
  </w:style>
  <w:style w:type="table" w:styleId="TableGrid">
    <w:name w:val="Table Grid"/>
    <w:basedOn w:val="TableNormal"/>
    <w:uiPriority w:val="39"/>
    <w:rsid w:val="009B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BF5"/>
    <w:rPr>
      <w:color w:val="0563C1" w:themeColor="hyperlink"/>
      <w:u w:val="single"/>
    </w:rPr>
  </w:style>
  <w:style w:type="character" w:customStyle="1" w:styleId="UnresolvedMention">
    <w:name w:val="Unresolved Mention"/>
    <w:basedOn w:val="DefaultParagraphFont"/>
    <w:uiPriority w:val="99"/>
    <w:semiHidden/>
    <w:unhideWhenUsed/>
    <w:rsid w:val="0071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491/jii.v20i3.532"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4421</Words>
  <Characters>25206</Characters>
  <Application>Microsoft Office Word</Application>
  <DocSecurity>0</DocSecurity>
  <Lines>210</Lines>
  <Paragraphs>59</Paragraphs>
  <ScaleCrop>false</ScaleCrop>
  <Company/>
  <LinksUpToDate>false</LinksUpToDate>
  <CharactersWithSpaces>29568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Choure</dc:creator>
  <cp:keywords/>
  <dc:description/>
  <cp:lastModifiedBy>SDI 1055</cp:lastModifiedBy>
  <cp:revision>33</cp:revision>
  <dcterms:created xsi:type="dcterms:W3CDTF">2025-10-30T16:19:00Z</dcterms:created>
  <dcterms:modified xsi:type="dcterms:W3CDTF">2025-11-03T07:34:00Z</dcterms:modified>
</cp:coreProperties>
</file>