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78F" w:rsidRPr="00F1278F" w:rsidRDefault="00F1278F" w:rsidP="00F1278F">
      <w:pPr>
        <w:rPr>
          <w:rFonts w:ascii="Arial" w:hAnsi="Arial" w:cs="Arial"/>
          <w:b/>
          <w:bCs/>
          <w:i/>
          <w:iCs/>
          <w:sz w:val="36"/>
          <w:szCs w:val="36"/>
          <w:u w:val="single"/>
        </w:rPr>
      </w:pPr>
      <w:bookmarkStart w:id="0" w:name="_Hlk212982037"/>
      <w:r w:rsidRPr="00F1278F">
        <w:rPr>
          <w:rFonts w:ascii="Arial" w:hAnsi="Arial" w:cs="Arial"/>
          <w:b/>
          <w:bCs/>
          <w:i/>
          <w:iCs/>
          <w:sz w:val="36"/>
          <w:szCs w:val="36"/>
          <w:u w:val="single"/>
        </w:rPr>
        <w:t>Short communication</w:t>
      </w:r>
    </w:p>
    <w:p w:rsidR="00B423C9" w:rsidRPr="00DD77D0" w:rsidRDefault="00B423C9" w:rsidP="00B423C9">
      <w:pPr>
        <w:rPr>
          <w:rFonts w:ascii="Arial" w:hAnsi="Arial" w:cs="Arial"/>
          <w:sz w:val="36"/>
          <w:szCs w:val="36"/>
        </w:rPr>
      </w:pPr>
      <w:r w:rsidRPr="00B423C9">
        <w:rPr>
          <w:rFonts w:ascii="Arial" w:hAnsi="Arial" w:cs="Arial"/>
          <w:sz w:val="36"/>
          <w:szCs w:val="36"/>
        </w:rPr>
        <w:t>B</w:t>
      </w:r>
      <w:r w:rsidRPr="00DD77D0">
        <w:rPr>
          <w:rFonts w:ascii="Arial" w:hAnsi="Arial" w:cs="Arial"/>
          <w:sz w:val="36"/>
          <w:szCs w:val="36"/>
        </w:rPr>
        <w:t xml:space="preserve">aseline data on </w:t>
      </w:r>
      <w:r w:rsidR="00740F39">
        <w:rPr>
          <w:rFonts w:ascii="Arial" w:hAnsi="Arial" w:cs="Arial"/>
          <w:sz w:val="36"/>
          <w:szCs w:val="36"/>
        </w:rPr>
        <w:t>B</w:t>
      </w:r>
      <w:r w:rsidRPr="00DD77D0">
        <w:rPr>
          <w:rFonts w:ascii="Arial" w:hAnsi="Arial" w:cs="Arial"/>
          <w:sz w:val="36"/>
          <w:szCs w:val="36"/>
        </w:rPr>
        <w:t xml:space="preserve">utterfly </w:t>
      </w:r>
      <w:r w:rsidR="00740F39">
        <w:rPr>
          <w:rFonts w:ascii="Arial" w:hAnsi="Arial" w:cs="Arial"/>
          <w:sz w:val="36"/>
          <w:szCs w:val="36"/>
        </w:rPr>
        <w:t>D</w:t>
      </w:r>
      <w:r w:rsidRPr="00DD77D0">
        <w:rPr>
          <w:rFonts w:ascii="Arial" w:hAnsi="Arial" w:cs="Arial"/>
          <w:sz w:val="36"/>
          <w:szCs w:val="36"/>
        </w:rPr>
        <w:t xml:space="preserve">iversity (Lepidoptera: Rhopalocera) from </w:t>
      </w:r>
      <w:r w:rsidRPr="00B423C9">
        <w:rPr>
          <w:rFonts w:ascii="Arial" w:hAnsi="Arial" w:cs="Arial"/>
          <w:sz w:val="36"/>
          <w:szCs w:val="36"/>
        </w:rPr>
        <w:t>Bazpur</w:t>
      </w:r>
      <w:r w:rsidR="007B42C0">
        <w:rPr>
          <w:rFonts w:ascii="Arial" w:hAnsi="Arial" w:cs="Arial"/>
          <w:sz w:val="36"/>
          <w:szCs w:val="36"/>
        </w:rPr>
        <w:t xml:space="preserve">, </w:t>
      </w:r>
      <w:r w:rsidRPr="00DD77D0">
        <w:rPr>
          <w:rFonts w:ascii="Arial" w:hAnsi="Arial" w:cs="Arial"/>
          <w:sz w:val="36"/>
          <w:szCs w:val="36"/>
        </w:rPr>
        <w:t>Terai region of Kumaun, Uttarakhand, India</w:t>
      </w:r>
      <w:r w:rsidR="00134B52">
        <w:rPr>
          <w:rFonts w:ascii="Arial" w:hAnsi="Arial" w:cs="Arial"/>
          <w:sz w:val="36"/>
          <w:szCs w:val="36"/>
        </w:rPr>
        <w:t>.</w:t>
      </w:r>
    </w:p>
    <w:bookmarkEnd w:id="0"/>
    <w:p w:rsidR="001004E3" w:rsidRDefault="001004E3" w:rsidP="00B423C9">
      <w:pPr>
        <w:spacing w:before="100" w:beforeAutospacing="1" w:after="100" w:afterAutospacing="1"/>
        <w:jc w:val="right"/>
        <w:rPr>
          <w:rFonts w:ascii="Arial" w:hAnsi="Arial" w:cs="Arial"/>
          <w:i/>
        </w:rPr>
      </w:pPr>
    </w:p>
    <w:p w:rsidR="00B01FCD" w:rsidRPr="00FB3A86" w:rsidRDefault="00275A9B" w:rsidP="00441B6F">
      <w:pPr>
        <w:pStyle w:val="Copyright"/>
        <w:spacing w:after="0" w:line="240" w:lineRule="auto"/>
        <w:jc w:val="both"/>
        <w:rPr>
          <w:rFonts w:ascii="Arial" w:hAnsi="Arial" w:cs="Arial"/>
        </w:rPr>
        <w:sectPr w:rsidR="00B01FCD" w:rsidRPr="00FB3A86" w:rsidSect="000C2F7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1026" type="#_x0000_t32" style="width:417.6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"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E44FE">
        <w:tc>
          <w:tcPr>
            <w:tcW w:w="9576" w:type="dxa"/>
            <w:shd w:val="clear" w:color="auto" w:fill="F2F2F2"/>
          </w:tcPr>
          <w:p w:rsidR="00505F06" w:rsidRPr="00B423C9" w:rsidRDefault="00E32870" w:rsidP="00E32870">
            <w:pPr>
              <w:pStyle w:val="Body"/>
              <w:spacing w:after="0"/>
              <w:rPr>
                <w:rFonts w:ascii="Arial" w:eastAsia="Calibri" w:hAnsi="Arial" w:cs="Arial"/>
              </w:rPr>
            </w:pPr>
            <w:r w:rsidRPr="0002487A">
              <w:rPr>
                <w:rFonts w:ascii="Arial" w:hAnsi="Arial" w:cs="Arial"/>
              </w:rPr>
              <w:t xml:space="preserve">The present study provides the first baseline account of butterfly diversity from Bazpur, a semi-urban landscape situated in the Terai region of Kumaun, Uttarakhand, India. The Terai belt, representing an ecotonal zone between the Himalayan foothills and the Gangetic plains, remains </w:t>
            </w:r>
            <w:r w:rsidR="002E1FAF">
              <w:rPr>
                <w:rFonts w:ascii="Arial" w:hAnsi="Arial" w:cs="Arial"/>
              </w:rPr>
              <w:t>less</w:t>
            </w:r>
            <w:r w:rsidRPr="0002487A">
              <w:rPr>
                <w:rFonts w:ascii="Arial" w:hAnsi="Arial" w:cs="Arial"/>
              </w:rPr>
              <w:t xml:space="preserve"> studied in terms of insect diversity. Pilot surveys were conducted from 15 July to 16 October 2025 at two sites—MundiaPistor (Site A) and Namoona (Site B)—using the modified Pollard Walk method. A total of 22 species belonging to five families and 267 individuals were recorded. The family Nymphalidae was the most dominant (35.2</w:t>
            </w:r>
            <w:r w:rsidR="00991C57">
              <w:rPr>
                <w:rFonts w:ascii="Arial" w:hAnsi="Arial" w:cs="Arial"/>
              </w:rPr>
              <w:t>1%), followed by Pieridae (31.46</w:t>
            </w:r>
            <w:r w:rsidRPr="0002487A">
              <w:rPr>
                <w:rFonts w:ascii="Arial" w:hAnsi="Arial" w:cs="Arial"/>
              </w:rPr>
              <w:t>%), Papilionidae (15.7</w:t>
            </w:r>
            <w:r w:rsidR="00991C57">
              <w:rPr>
                <w:rFonts w:ascii="Arial" w:hAnsi="Arial" w:cs="Arial"/>
              </w:rPr>
              <w:t>3</w:t>
            </w:r>
            <w:r w:rsidRPr="0002487A">
              <w:rPr>
                <w:rFonts w:ascii="Arial" w:hAnsi="Arial" w:cs="Arial"/>
              </w:rPr>
              <w:t>%), Hesperiidae (12.7</w:t>
            </w:r>
            <w:r w:rsidR="00991C57">
              <w:rPr>
                <w:rFonts w:ascii="Arial" w:hAnsi="Arial" w:cs="Arial"/>
              </w:rPr>
              <w:t>3%), and Lycaenidae (4.87</w:t>
            </w:r>
            <w:r w:rsidRPr="0002487A">
              <w:rPr>
                <w:rFonts w:ascii="Arial" w:hAnsi="Arial" w:cs="Arial"/>
              </w:rPr>
              <w:t xml:space="preserve">%). Species richness and abundance were slightly higher at Site B due to greater vegetation heterogeneity. The Shannon–Wiener diversity index (H′ = 2.955) and Pielou’s evenness (J = 0.956) indicated a well-balanced and heterogeneous butterfly community. The most common species included </w:t>
            </w:r>
            <w:r w:rsidRPr="0002487A">
              <w:rPr>
                <w:rFonts w:ascii="Arial" w:hAnsi="Arial" w:cs="Arial"/>
                <w:i/>
                <w:iCs/>
              </w:rPr>
              <w:t>Phalantaphalantha</w:t>
            </w:r>
            <w:r w:rsidRPr="0002487A">
              <w:rPr>
                <w:rFonts w:ascii="Arial" w:hAnsi="Arial" w:cs="Arial"/>
              </w:rPr>
              <w:t xml:space="preserve">, </w:t>
            </w:r>
            <w:r w:rsidRPr="0002487A">
              <w:rPr>
                <w:rFonts w:ascii="Arial" w:hAnsi="Arial" w:cs="Arial"/>
                <w:i/>
                <w:iCs/>
              </w:rPr>
              <w:t>Danaus chrysippus</w:t>
            </w:r>
            <w:r w:rsidRPr="0002487A">
              <w:rPr>
                <w:rFonts w:ascii="Arial" w:hAnsi="Arial" w:cs="Arial"/>
              </w:rPr>
              <w:t xml:space="preserve">, and </w:t>
            </w:r>
            <w:r w:rsidRPr="0002487A">
              <w:rPr>
                <w:rFonts w:ascii="Arial" w:hAnsi="Arial" w:cs="Arial"/>
                <w:i/>
                <w:iCs/>
              </w:rPr>
              <w:t>Catopsiliapomona</w:t>
            </w:r>
            <w:r w:rsidRPr="0002487A">
              <w:rPr>
                <w:rFonts w:ascii="Arial" w:hAnsi="Arial" w:cs="Arial"/>
              </w:rPr>
              <w:t xml:space="preserve">, whereas </w:t>
            </w:r>
            <w:r w:rsidRPr="0002487A">
              <w:rPr>
                <w:rFonts w:ascii="Arial" w:hAnsi="Arial" w:cs="Arial"/>
                <w:i/>
                <w:iCs/>
              </w:rPr>
              <w:t>Tarucusbalkanica</w:t>
            </w:r>
            <w:r w:rsidRPr="0002487A">
              <w:rPr>
                <w:rFonts w:ascii="Arial" w:hAnsi="Arial" w:cs="Arial"/>
              </w:rPr>
              <w:t>, a rare species in Uttarakhand, was recorded once from Site A. The observed post-monsoon peak in butterfly activity corresponds with patterns reported from other Himalayan foothill regions. Despite increasing anthropogenic pressures, the BazpurTerai supports diverse butterfly taxa, reflecting its ecological significance within the Terai Arc Landscape. This study establishes essential baseline data for future biodiversity monitoring, habitat management, and conservation planning in the lowland ecosystems of the Kumaun Himalaya</w:t>
            </w:r>
            <w:r>
              <w:rPr>
                <w:rFonts w:ascii="Arial" w:hAnsi="Arial" w:cs="Arial"/>
              </w:rPr>
              <w:t>.</w:t>
            </w:r>
          </w:p>
        </w:tc>
      </w:tr>
    </w:tbl>
    <w:p w:rsidR="00636EB2" w:rsidRDefault="00636EB2" w:rsidP="00441B6F">
      <w:pPr>
        <w:pStyle w:val="Body"/>
        <w:spacing w:after="0"/>
        <w:rPr>
          <w:rFonts w:ascii="Arial" w:hAnsi="Arial" w:cs="Arial"/>
          <w:i/>
        </w:rPr>
      </w:pPr>
    </w:p>
    <w:p w:rsidR="00A24E7E" w:rsidRDefault="00A24E7E" w:rsidP="00152553">
      <w:pPr>
        <w:pStyle w:val="Body"/>
        <w:spacing w:after="0"/>
        <w:jc w:val="left"/>
        <w:rPr>
          <w:rFonts w:ascii="Arial" w:hAnsi="Arial" w:cs="Arial"/>
          <w:i/>
        </w:rPr>
      </w:pPr>
      <w:r>
        <w:rPr>
          <w:rFonts w:ascii="Arial" w:hAnsi="Arial" w:cs="Arial"/>
          <w:i/>
        </w:rPr>
        <w:t>Keywords:</w:t>
      </w:r>
      <w:r w:rsidR="00740F39">
        <w:rPr>
          <w:rFonts w:ascii="Arial" w:hAnsi="Arial" w:cs="Arial"/>
          <w:i/>
        </w:rPr>
        <w:t xml:space="preserve"> B</w:t>
      </w:r>
      <w:r w:rsidR="00152553" w:rsidRPr="00DD77D0">
        <w:rPr>
          <w:rFonts w:ascii="Arial" w:hAnsi="Arial" w:cs="Arial"/>
          <w:i/>
        </w:rPr>
        <w:t>utterfly diversity, baseline data, KumaunTerai, Uttarakhand, Lepidoptera</w:t>
      </w:r>
    </w:p>
    <w:p w:rsidR="00E32870" w:rsidRPr="00DD77D0" w:rsidRDefault="00E32870" w:rsidP="00E32870">
      <w:pPr>
        <w:spacing w:before="100" w:beforeAutospacing="1" w:after="100" w:afterAutospacing="1"/>
        <w:jc w:val="both"/>
        <w:outlineLvl w:val="3"/>
        <w:rPr>
          <w:rFonts w:ascii="Arial" w:hAnsi="Arial" w:cs="Arial"/>
          <w:b/>
          <w:bCs/>
          <w:sz w:val="22"/>
          <w:szCs w:val="22"/>
        </w:rPr>
      </w:pPr>
      <w:r>
        <w:rPr>
          <w:rFonts w:ascii="Arial" w:hAnsi="Arial" w:cs="Arial"/>
          <w:b/>
          <w:bCs/>
          <w:sz w:val="22"/>
          <w:szCs w:val="22"/>
        </w:rPr>
        <w:t xml:space="preserve">1. INTRODUCTION </w:t>
      </w:r>
    </w:p>
    <w:p w:rsidR="00EF2A8C" w:rsidRPr="00BE1BA7" w:rsidRDefault="00EF2A8C" w:rsidP="00EF2A8C">
      <w:pPr>
        <w:jc w:val="both"/>
        <w:rPr>
          <w:rFonts w:ascii="Arial" w:hAnsi="Arial" w:cs="Arial"/>
        </w:rPr>
      </w:pPr>
      <w:r w:rsidRPr="00BE1BA7">
        <w:rPr>
          <w:rFonts w:ascii="Arial" w:hAnsi="Arial" w:cs="Arial"/>
        </w:rPr>
        <w:t xml:space="preserve">Butterflies (Lepidoptera: Rhopalocera) are among the most studied groups of insects because </w:t>
      </w:r>
      <w:r w:rsidR="00A50709">
        <w:rPr>
          <w:rFonts w:ascii="Arial" w:hAnsi="Arial" w:cs="Arial"/>
        </w:rPr>
        <w:t>t</w:t>
      </w:r>
      <w:r w:rsidRPr="00BE1BA7">
        <w:rPr>
          <w:rFonts w:ascii="Arial" w:hAnsi="Arial" w:cs="Arial"/>
        </w:rPr>
        <w:t xml:space="preserve">heir occurrence and abundance reflect the quality and structure of habitats, host-plant diversity, and local climatic conditions, making them excellent bioindicators of ecosystem health (Kunte, 1997; Bonebrake et al., 2010). Since both larval and adult stages depend closely on vegetation, </w:t>
      </w:r>
      <w:r w:rsidR="002C0E51">
        <w:rPr>
          <w:rFonts w:ascii="Arial" w:hAnsi="Arial" w:cs="Arial"/>
        </w:rPr>
        <w:t xml:space="preserve">factor like </w:t>
      </w:r>
      <w:r w:rsidRPr="00BE1BA7">
        <w:rPr>
          <w:rFonts w:ascii="Arial" w:hAnsi="Arial" w:cs="Arial"/>
        </w:rPr>
        <w:t>changes in land use, deforestation, and pollution</w:t>
      </w:r>
      <w:r w:rsidR="00041BDB">
        <w:rPr>
          <w:rFonts w:ascii="Arial" w:hAnsi="Arial" w:cs="Arial"/>
        </w:rPr>
        <w:t>affect</w:t>
      </w:r>
      <w:r w:rsidRPr="00BE1BA7">
        <w:rPr>
          <w:rFonts w:ascii="Arial" w:hAnsi="Arial" w:cs="Arial"/>
        </w:rPr>
        <w:t xml:space="preserve"> butterfly populations (Warren et al., 2001; Kehimkar, 2016). Thus, documenting butterfly diversity is crucial for assessing the impact of environmental change and planning effective conservation strategies (Bonebrake&amp; Boggs, 2020; An &amp; Choi, 2021).</w:t>
      </w:r>
    </w:p>
    <w:p w:rsidR="00EF2A8C" w:rsidRPr="00BE1BA7" w:rsidRDefault="00EF2A8C" w:rsidP="00EF2A8C">
      <w:pPr>
        <w:jc w:val="both"/>
        <w:rPr>
          <w:rFonts w:ascii="Arial" w:hAnsi="Arial" w:cs="Arial"/>
        </w:rPr>
      </w:pPr>
      <w:r w:rsidRPr="00BE1BA7">
        <w:rPr>
          <w:rFonts w:ascii="Arial" w:hAnsi="Arial" w:cs="Arial"/>
        </w:rPr>
        <w:t>India, with nearly 1,500 known species of butterflies, represents about 10% of the world’s butterfly fauna (Kehimkar, 2016). The Himalayan region supports the richest assemblages</w:t>
      </w:r>
      <w:r w:rsidR="00A50709">
        <w:rPr>
          <w:rFonts w:ascii="Arial" w:hAnsi="Arial" w:cs="Arial"/>
        </w:rPr>
        <w:t xml:space="preserve"> of butterfly species</w:t>
      </w:r>
      <w:r w:rsidRPr="00BE1BA7">
        <w:rPr>
          <w:rFonts w:ascii="Arial" w:hAnsi="Arial" w:cs="Arial"/>
        </w:rPr>
        <w:t xml:space="preserve">, primarily due to its altitudinal range and diverse habitats (Sondhi&amp;Kunte, 2018). Within this region, Uttarakhand is particularly important with over 500 recorded species (Singh &amp; Bhandari, 2006; Sondhi&amp;Kunte, 2018). </w:t>
      </w:r>
      <w:r w:rsidRPr="00041BDB">
        <w:rPr>
          <w:rFonts w:ascii="Arial" w:hAnsi="Arial" w:cs="Arial"/>
        </w:rPr>
        <w:t xml:space="preserve">However, most research in the state has been concentrated in the mid- and high-altitude regions such as Nainital, Almora, and Pithoragarh (Joshi &amp; Arya, 2007; </w:t>
      </w:r>
      <w:commentRangeStart w:id="2"/>
      <w:r w:rsidRPr="00041BDB">
        <w:rPr>
          <w:rFonts w:ascii="Arial" w:hAnsi="Arial" w:cs="Arial"/>
        </w:rPr>
        <w:t>Singh, 2009</w:t>
      </w:r>
      <w:commentRangeEnd w:id="2"/>
      <w:r w:rsidR="00043E63">
        <w:rPr>
          <w:rStyle w:val="CommentReference"/>
          <w:rFonts w:ascii="Times New Roman" w:hAnsi="Times New Roman"/>
          <w:lang w:val="nb-NO" w:eastAsia="nb-NO"/>
        </w:rPr>
        <w:commentReference w:id="2"/>
      </w:r>
      <w:r w:rsidRPr="00041BDB">
        <w:rPr>
          <w:rFonts w:ascii="Arial" w:hAnsi="Arial" w:cs="Arial"/>
        </w:rPr>
        <w:t>; Verma &amp; Arya, 2022)</w:t>
      </w:r>
      <w:r w:rsidR="007D4525">
        <w:rPr>
          <w:rFonts w:ascii="Arial" w:hAnsi="Arial" w:cs="Arial"/>
        </w:rPr>
        <w:t>.</w:t>
      </w:r>
      <w:r w:rsidRPr="00041BDB">
        <w:rPr>
          <w:rFonts w:ascii="Arial" w:hAnsi="Arial" w:cs="Arial"/>
        </w:rPr>
        <w:t xml:space="preserve">The </w:t>
      </w:r>
      <w:r w:rsidRPr="00041BDB">
        <w:rPr>
          <w:rFonts w:ascii="Arial" w:hAnsi="Arial" w:cs="Arial"/>
          <w:bCs/>
        </w:rPr>
        <w:t>KumaunTerai</w:t>
      </w:r>
      <w:r w:rsidR="00E10056" w:rsidRPr="00041BDB">
        <w:rPr>
          <w:rFonts w:ascii="Arial" w:hAnsi="Arial" w:cs="Arial"/>
        </w:rPr>
        <w:t xml:space="preserve"> </w:t>
      </w:r>
      <w:r w:rsidR="00E10056" w:rsidRPr="00041BDB">
        <w:rPr>
          <w:rFonts w:ascii="Arial" w:hAnsi="Arial" w:cs="Arial"/>
        </w:rPr>
        <w:lastRenderedPageBreak/>
        <w:t>i</w:t>
      </w:r>
      <w:r w:rsidR="0082621B">
        <w:rPr>
          <w:rFonts w:ascii="Arial" w:hAnsi="Arial" w:cs="Arial"/>
        </w:rPr>
        <w:t>s</w:t>
      </w:r>
      <w:r w:rsidR="00E10056" w:rsidRPr="00041BDB">
        <w:rPr>
          <w:rFonts w:ascii="Arial" w:hAnsi="Arial" w:cs="Arial"/>
        </w:rPr>
        <w:t xml:space="preserve"> an ecotone</w:t>
      </w:r>
      <w:r w:rsidRPr="00041BDB">
        <w:rPr>
          <w:rFonts w:ascii="Arial" w:hAnsi="Arial" w:cs="Arial"/>
        </w:rPr>
        <w:t xml:space="preserve"> between the Shivalik foothills and the Gangetic plains, supporting a mosaic of tropical moist deciduous forests, agricultural fields, scrub veget</w:t>
      </w:r>
      <w:r w:rsidR="00E10056" w:rsidRPr="00041BDB">
        <w:rPr>
          <w:rFonts w:ascii="Arial" w:hAnsi="Arial" w:cs="Arial"/>
        </w:rPr>
        <w:t>ation, and wetlands</w:t>
      </w:r>
      <w:r w:rsidRPr="00041BDB">
        <w:rPr>
          <w:rFonts w:ascii="Arial" w:hAnsi="Arial" w:cs="Arial"/>
        </w:rPr>
        <w:t>(Chanchani et al., 2014; Chandra et al., 2023). However, land-use changes, agricultural intensification, and pesticide application have led to habitat loss and fragmentation</w:t>
      </w:r>
      <w:r w:rsidR="00012BF7" w:rsidRPr="00041BDB">
        <w:rPr>
          <w:rFonts w:ascii="Arial" w:hAnsi="Arial" w:cs="Arial"/>
        </w:rPr>
        <w:t xml:space="preserve"> which in turn </w:t>
      </w:r>
      <w:r w:rsidRPr="00041BDB">
        <w:rPr>
          <w:rFonts w:ascii="Arial" w:hAnsi="Arial" w:cs="Arial"/>
        </w:rPr>
        <w:t>adversely affect</w:t>
      </w:r>
      <w:r w:rsidR="00012BF7" w:rsidRPr="00041BDB">
        <w:rPr>
          <w:rFonts w:ascii="Arial" w:hAnsi="Arial" w:cs="Arial"/>
        </w:rPr>
        <w:t>s</w:t>
      </w:r>
      <w:r w:rsidRPr="00041BDB">
        <w:rPr>
          <w:rFonts w:ascii="Arial" w:hAnsi="Arial" w:cs="Arial"/>
        </w:rPr>
        <w:t xml:space="preserve"> insect communities (Öckinger et al., 2006; Gilburn et al., 2015; Braak et al., 2018). Despite this ecological significance, the KumaunTerai remains poorly explored in terms of butterfly fauna, and baseline information is largely lacking.Recent studies from various parts of Uttarakhand have reported high species richness in relatively undisturbed habitats—for example, 89 species from Nandhour Wildlife</w:t>
      </w:r>
      <w:r w:rsidRPr="00BE1BA7">
        <w:rPr>
          <w:rFonts w:ascii="Arial" w:hAnsi="Arial" w:cs="Arial"/>
        </w:rPr>
        <w:t xml:space="preserve"> Sanctuary (Chandra et al., 2023)</w:t>
      </w:r>
      <w:r w:rsidR="00E50D39">
        <w:rPr>
          <w:rFonts w:ascii="Arial" w:hAnsi="Arial" w:cs="Arial"/>
        </w:rPr>
        <w:t xml:space="preserve"> and</w:t>
      </w:r>
      <w:r w:rsidRPr="00BE1BA7">
        <w:rPr>
          <w:rFonts w:ascii="Arial" w:hAnsi="Arial" w:cs="Arial"/>
        </w:rPr>
        <w:t xml:space="preserve"> 98 from Pancheshwar (Verma &amp; Arya, 2021)</w:t>
      </w:r>
      <w:r w:rsidR="009E4EB9">
        <w:rPr>
          <w:rFonts w:ascii="Arial" w:hAnsi="Arial" w:cs="Arial"/>
        </w:rPr>
        <w:t>,w</w:t>
      </w:r>
      <w:r w:rsidR="009E4EB9" w:rsidRPr="00041BDB">
        <w:rPr>
          <w:rFonts w:ascii="Arial" w:hAnsi="Arial" w:cs="Arial"/>
        </w:rPr>
        <w:t>hile the low-elevation foothills and adjoining plains have received comparatively little attention (Samraj &amp; Agnihotri, 2021).</w:t>
      </w:r>
      <w:r w:rsidRPr="00BE1BA7">
        <w:rPr>
          <w:rFonts w:ascii="Arial" w:hAnsi="Arial" w:cs="Arial"/>
        </w:rPr>
        <w:t>Such findings emphasize the need to investigate lowland areas that lie outside protected zones but still maintain ecologically significant butterfly populations.</w:t>
      </w:r>
    </w:p>
    <w:p w:rsidR="00EF2A8C" w:rsidRPr="00BE1BA7" w:rsidRDefault="00EF2A8C" w:rsidP="00EF2A8C">
      <w:pPr>
        <w:jc w:val="both"/>
        <w:rPr>
          <w:rFonts w:ascii="Arial" w:hAnsi="Arial" w:cs="Arial"/>
        </w:rPr>
      </w:pPr>
      <w:r w:rsidRPr="00BE1BA7">
        <w:rPr>
          <w:rFonts w:ascii="Arial" w:hAnsi="Arial" w:cs="Arial"/>
        </w:rPr>
        <w:t xml:space="preserve">The present study documents butterfly diversity from </w:t>
      </w:r>
      <w:r w:rsidRPr="00DA723B">
        <w:rPr>
          <w:rFonts w:ascii="Arial" w:hAnsi="Arial" w:cs="Arial"/>
          <w:bCs/>
        </w:rPr>
        <w:t>Bazpur</w:t>
      </w:r>
      <w:r w:rsidRPr="00DA723B">
        <w:rPr>
          <w:rFonts w:ascii="Arial" w:hAnsi="Arial" w:cs="Arial"/>
        </w:rPr>
        <w:t>,</w:t>
      </w:r>
      <w:r w:rsidRPr="00BE1BA7">
        <w:rPr>
          <w:rFonts w:ascii="Arial" w:hAnsi="Arial" w:cs="Arial"/>
        </w:rPr>
        <w:t xml:space="preserve"> a semi-urban locality in the </w:t>
      </w:r>
      <w:r w:rsidR="00D30E07">
        <w:rPr>
          <w:rFonts w:ascii="Arial" w:hAnsi="Arial" w:cs="Arial"/>
        </w:rPr>
        <w:t>Terai</w:t>
      </w:r>
      <w:r w:rsidR="00723509">
        <w:rPr>
          <w:rFonts w:ascii="Arial" w:hAnsi="Arial" w:cs="Arial"/>
        </w:rPr>
        <w:t xml:space="preserve"> region of Kumaun</w:t>
      </w:r>
      <w:r w:rsidR="00B0292B">
        <w:rPr>
          <w:rFonts w:ascii="Arial" w:hAnsi="Arial" w:cs="Arial"/>
        </w:rPr>
        <w:t xml:space="preserve"> Uttarakhand. It aims to</w:t>
      </w:r>
      <w:r w:rsidRPr="00BE1BA7">
        <w:rPr>
          <w:rFonts w:ascii="Arial" w:hAnsi="Arial" w:cs="Arial"/>
        </w:rPr>
        <w:t xml:space="preserve"> record the butterfly species composition </w:t>
      </w:r>
      <w:r w:rsidR="00B0292B">
        <w:rPr>
          <w:rFonts w:ascii="Arial" w:hAnsi="Arial" w:cs="Arial"/>
        </w:rPr>
        <w:t xml:space="preserve">and family-wise abundance; </w:t>
      </w:r>
      <w:r w:rsidRPr="00BE1BA7">
        <w:rPr>
          <w:rFonts w:ascii="Arial" w:hAnsi="Arial" w:cs="Arial"/>
        </w:rPr>
        <w:t>compare diversity betwe</w:t>
      </w:r>
      <w:r w:rsidR="00723509">
        <w:rPr>
          <w:rFonts w:ascii="Arial" w:hAnsi="Arial" w:cs="Arial"/>
        </w:rPr>
        <w:t xml:space="preserve">en two habitat types; </w:t>
      </w:r>
      <w:r w:rsidRPr="00723509">
        <w:rPr>
          <w:rFonts w:ascii="Arial" w:hAnsi="Arial" w:cs="Arial"/>
        </w:rPr>
        <w:t>This</w:t>
      </w:r>
      <w:r w:rsidRPr="00BE1BA7">
        <w:rPr>
          <w:rFonts w:ascii="Arial" w:hAnsi="Arial" w:cs="Arial"/>
        </w:rPr>
        <w:t xml:space="preserve"> paper represents the first detailed record of butterfly fauna from the B</w:t>
      </w:r>
      <w:r w:rsidR="00B0292B">
        <w:rPr>
          <w:rFonts w:ascii="Arial" w:hAnsi="Arial" w:cs="Arial"/>
        </w:rPr>
        <w:t>azpur region of the Kumaun</w:t>
      </w:r>
      <w:r w:rsidR="00D30E07">
        <w:rPr>
          <w:rFonts w:ascii="Arial" w:hAnsi="Arial" w:cs="Arial"/>
        </w:rPr>
        <w:t>Terai</w:t>
      </w:r>
      <w:r w:rsidR="00B0292B">
        <w:rPr>
          <w:rFonts w:ascii="Arial" w:hAnsi="Arial" w:cs="Arial"/>
        </w:rPr>
        <w:t xml:space="preserve"> and </w:t>
      </w:r>
      <w:r w:rsidR="00B0292B" w:rsidRPr="00BE1BA7">
        <w:rPr>
          <w:rFonts w:ascii="Arial" w:hAnsi="Arial" w:cs="Arial"/>
        </w:rPr>
        <w:t>support future monitoring and conservation initiatives in the foothill ecosystems of northern India.</w:t>
      </w:r>
    </w:p>
    <w:p w:rsidR="00CB3EF4" w:rsidRDefault="00CB3EF4" w:rsidP="00441B6F">
      <w:pPr>
        <w:pStyle w:val="AbstHead"/>
        <w:spacing w:after="0"/>
        <w:jc w:val="both"/>
        <w:rPr>
          <w:rFonts w:ascii="Arial" w:hAnsi="Arial" w:cs="Arial"/>
        </w:rPr>
      </w:pPr>
    </w:p>
    <w:p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rsidR="00CB3EF4" w:rsidRPr="00DD77D0" w:rsidRDefault="00CB3EF4" w:rsidP="00CB3EF4">
      <w:pPr>
        <w:spacing w:before="100" w:beforeAutospacing="1" w:after="100" w:afterAutospacing="1"/>
        <w:jc w:val="both"/>
        <w:outlineLvl w:val="3"/>
        <w:rPr>
          <w:rFonts w:ascii="Arial" w:hAnsi="Arial" w:cs="Arial"/>
          <w:b/>
          <w:bCs/>
          <w:sz w:val="22"/>
          <w:szCs w:val="22"/>
        </w:rPr>
      </w:pPr>
      <w:r>
        <w:rPr>
          <w:rFonts w:ascii="Arial" w:hAnsi="Arial" w:cs="Arial"/>
          <w:b/>
          <w:bCs/>
          <w:sz w:val="22"/>
          <w:szCs w:val="22"/>
        </w:rPr>
        <w:t xml:space="preserve">2.1 </w:t>
      </w:r>
      <w:r w:rsidRPr="00DD77D0">
        <w:rPr>
          <w:rFonts w:ascii="Arial" w:hAnsi="Arial" w:cs="Arial"/>
          <w:b/>
          <w:bCs/>
          <w:sz w:val="22"/>
          <w:szCs w:val="22"/>
        </w:rPr>
        <w:t>Study Area</w:t>
      </w:r>
    </w:p>
    <w:p w:rsidR="00CB3EF4" w:rsidRPr="00DD77D0" w:rsidRDefault="00CB3EF4" w:rsidP="00CB3EF4">
      <w:pPr>
        <w:spacing w:before="100" w:beforeAutospacing="1" w:after="100" w:afterAutospacing="1"/>
        <w:jc w:val="both"/>
        <w:rPr>
          <w:rFonts w:ascii="Arial" w:hAnsi="Arial" w:cs="Arial"/>
        </w:rPr>
      </w:pPr>
      <w:r w:rsidRPr="00DD77D0">
        <w:rPr>
          <w:rFonts w:ascii="Arial" w:hAnsi="Arial" w:cs="Arial"/>
        </w:rPr>
        <w:t xml:space="preserve">The study was conducted in Bazpur town, located in the </w:t>
      </w:r>
      <w:r w:rsidR="00D30E07">
        <w:rPr>
          <w:rFonts w:ascii="Arial" w:hAnsi="Arial" w:cs="Arial"/>
        </w:rPr>
        <w:t>Terai</w:t>
      </w:r>
      <w:r w:rsidRPr="00DD77D0">
        <w:rPr>
          <w:rFonts w:ascii="Arial" w:hAnsi="Arial" w:cs="Arial"/>
        </w:rPr>
        <w:t xml:space="preserve"> region of Kumaun, Uttarakhand, India. The landscape comprises open agricultural fieldsand scrub vegetation typical of the Terai ecosystem. Two localities were selected for sampling</w:t>
      </w:r>
      <w:r>
        <w:rPr>
          <w:rFonts w:ascii="Arial" w:hAnsi="Arial" w:cs="Arial"/>
        </w:rPr>
        <w:t xml:space="preserve">, </w:t>
      </w:r>
      <w:r w:rsidRPr="001E1075">
        <w:rPr>
          <w:rFonts w:ascii="Arial" w:hAnsi="Arial" w:cs="Arial"/>
          <w:bCs/>
        </w:rPr>
        <w:t>Site A:</w:t>
      </w:r>
      <w:r w:rsidRPr="001E1075">
        <w:rPr>
          <w:rFonts w:ascii="Arial" w:hAnsi="Arial" w:cs="Arial"/>
        </w:rPr>
        <w:t>MundiaPistor, Bazpur (Lat 29.146855°, Long 79.14606°)</w:t>
      </w:r>
      <w:r w:rsidR="00134B52">
        <w:rPr>
          <w:rFonts w:ascii="Arial" w:hAnsi="Arial" w:cs="Arial"/>
        </w:rPr>
        <w:t xml:space="preserve">, located near national highway NH-74. The area has </w:t>
      </w:r>
      <w:r w:rsidRPr="001E1075">
        <w:rPr>
          <w:rFonts w:ascii="Arial" w:hAnsi="Arial" w:cs="Arial"/>
        </w:rPr>
        <w:t xml:space="preserve">mixed agricultural </w:t>
      </w:r>
      <w:r w:rsidR="00134B52">
        <w:rPr>
          <w:rFonts w:ascii="Arial" w:hAnsi="Arial" w:cs="Arial"/>
        </w:rPr>
        <w:t xml:space="preserve">fields, </w:t>
      </w:r>
      <w:r w:rsidR="00EE561C">
        <w:rPr>
          <w:rFonts w:ascii="Arial" w:hAnsi="Arial" w:cs="Arial"/>
        </w:rPr>
        <w:t>scrub</w:t>
      </w:r>
      <w:r w:rsidR="00646919">
        <w:rPr>
          <w:rFonts w:ascii="Arial" w:hAnsi="Arial" w:cs="Arial"/>
        </w:rPr>
        <w:t>vegetation with thin to moderate field margins</w:t>
      </w:r>
      <w:r w:rsidR="002C34FC">
        <w:rPr>
          <w:rFonts w:ascii="Arial" w:hAnsi="Arial" w:cs="Arial"/>
        </w:rPr>
        <w:t xml:space="preserve">. The area has </w:t>
      </w:r>
      <w:r w:rsidR="00134B52">
        <w:rPr>
          <w:rFonts w:ascii="Arial" w:hAnsi="Arial" w:cs="Arial"/>
        </w:rPr>
        <w:t>higher anthropogenic activities as compared to the other site.</w:t>
      </w:r>
      <w:r w:rsidRPr="001E1075">
        <w:rPr>
          <w:rFonts w:ascii="Arial" w:hAnsi="Arial" w:cs="Arial"/>
          <w:bCs/>
        </w:rPr>
        <w:t>Site B:</w:t>
      </w:r>
      <w:r w:rsidRPr="001E1075">
        <w:rPr>
          <w:rFonts w:ascii="Arial" w:hAnsi="Arial" w:cs="Arial"/>
        </w:rPr>
        <w:t>Namoona</w:t>
      </w:r>
      <w:r w:rsidR="00507D64">
        <w:rPr>
          <w:rFonts w:ascii="Arial" w:hAnsi="Arial" w:cs="Arial"/>
        </w:rPr>
        <w:t xml:space="preserve">, </w:t>
      </w:r>
      <w:r w:rsidRPr="001E1075">
        <w:rPr>
          <w:rFonts w:ascii="Arial" w:hAnsi="Arial" w:cs="Arial"/>
        </w:rPr>
        <w:t>Bazpur (Lat 29.190454°, Long 79.190897°)</w:t>
      </w:r>
      <w:r w:rsidR="00134B52">
        <w:rPr>
          <w:rFonts w:ascii="Arial" w:hAnsi="Arial" w:cs="Arial"/>
        </w:rPr>
        <w:t xml:space="preserve"> located near BazpurHaldwani</w:t>
      </w:r>
      <w:r w:rsidR="002C34FC">
        <w:rPr>
          <w:rFonts w:ascii="Arial" w:hAnsi="Arial" w:cs="Arial"/>
        </w:rPr>
        <w:t xml:space="preserve"> road</w:t>
      </w:r>
      <w:r w:rsidR="00134B52">
        <w:rPr>
          <w:rFonts w:ascii="Arial" w:hAnsi="Arial" w:cs="Arial"/>
        </w:rPr>
        <w:t xml:space="preserve"> with an approximate distance of 4-5 Km from Barhani forest range. The area contains </w:t>
      </w:r>
      <w:r w:rsidRPr="001E1075">
        <w:rPr>
          <w:rFonts w:ascii="Arial" w:hAnsi="Arial" w:cs="Arial"/>
        </w:rPr>
        <w:t>agricultural</w:t>
      </w:r>
      <w:r w:rsidR="00134B52">
        <w:rPr>
          <w:rFonts w:ascii="Arial" w:hAnsi="Arial" w:cs="Arial"/>
        </w:rPr>
        <w:t xml:space="preserve"> lands</w:t>
      </w:r>
      <w:r w:rsidRPr="001E1075">
        <w:rPr>
          <w:rFonts w:ascii="Arial" w:hAnsi="Arial" w:cs="Arial"/>
        </w:rPr>
        <w:t xml:space="preserve"> and </w:t>
      </w:r>
      <w:r w:rsidR="00EE561C">
        <w:rPr>
          <w:rFonts w:ascii="Arial" w:hAnsi="Arial" w:cs="Arial"/>
        </w:rPr>
        <w:t>scrub</w:t>
      </w:r>
      <w:r w:rsidR="00646919">
        <w:rPr>
          <w:rFonts w:ascii="Arial" w:hAnsi="Arial" w:cs="Arial"/>
        </w:rPr>
        <w:t xml:space="preserve"> vegetation with wide</w:t>
      </w:r>
      <w:r w:rsidR="002C34FC">
        <w:rPr>
          <w:rFonts w:ascii="Arial" w:hAnsi="Arial" w:cs="Arial"/>
        </w:rPr>
        <w:t>r</w:t>
      </w:r>
      <w:r w:rsidR="00646919">
        <w:rPr>
          <w:rFonts w:ascii="Arial" w:hAnsi="Arial" w:cs="Arial"/>
        </w:rPr>
        <w:t xml:space="preserve"> field margin</w:t>
      </w:r>
      <w:r w:rsidR="002C34FC">
        <w:rPr>
          <w:rFonts w:ascii="Arial" w:hAnsi="Arial" w:cs="Arial"/>
        </w:rPr>
        <w:t>s</w:t>
      </w:r>
      <w:r w:rsidR="00134B52">
        <w:rPr>
          <w:rFonts w:ascii="Arial" w:hAnsi="Arial" w:cs="Arial"/>
        </w:rPr>
        <w:t xml:space="preserve"> and higher floral vegetation </w:t>
      </w:r>
      <w:r w:rsidR="00F7787B">
        <w:rPr>
          <w:rFonts w:ascii="Arial" w:hAnsi="Arial" w:cs="Arial"/>
        </w:rPr>
        <w:t>as compared to</w:t>
      </w:r>
      <w:r w:rsidR="00134B52">
        <w:rPr>
          <w:rFonts w:ascii="Arial" w:hAnsi="Arial" w:cs="Arial"/>
        </w:rPr>
        <w:t xml:space="preserve"> site A.</w:t>
      </w:r>
    </w:p>
    <w:p w:rsidR="00CB3EF4" w:rsidRPr="00DD77D0" w:rsidRDefault="00CB3EF4" w:rsidP="00CB3EF4">
      <w:pPr>
        <w:spacing w:before="100" w:beforeAutospacing="1" w:after="100" w:afterAutospacing="1"/>
        <w:jc w:val="both"/>
        <w:outlineLvl w:val="3"/>
        <w:rPr>
          <w:rFonts w:ascii="Arial" w:hAnsi="Arial" w:cs="Arial"/>
          <w:b/>
          <w:bCs/>
          <w:sz w:val="22"/>
          <w:szCs w:val="22"/>
        </w:rPr>
      </w:pPr>
      <w:r>
        <w:rPr>
          <w:rFonts w:ascii="Arial" w:hAnsi="Arial" w:cs="Arial"/>
          <w:b/>
          <w:bCs/>
          <w:sz w:val="22"/>
          <w:szCs w:val="22"/>
        </w:rPr>
        <w:t xml:space="preserve">2.2 </w:t>
      </w:r>
      <w:r w:rsidRPr="00DD77D0">
        <w:rPr>
          <w:rFonts w:ascii="Arial" w:hAnsi="Arial" w:cs="Arial"/>
          <w:b/>
          <w:bCs/>
          <w:sz w:val="22"/>
          <w:szCs w:val="22"/>
        </w:rPr>
        <w:t>Sampling Method</w:t>
      </w:r>
    </w:p>
    <w:p w:rsidR="00AC697C" w:rsidRDefault="00CB3EF4" w:rsidP="00CB3EF4">
      <w:pPr>
        <w:spacing w:before="100" w:beforeAutospacing="1" w:after="100" w:afterAutospacing="1"/>
        <w:jc w:val="both"/>
        <w:rPr>
          <w:rFonts w:ascii="Arial" w:hAnsi="Arial" w:cs="Arial"/>
        </w:rPr>
      </w:pPr>
      <w:r w:rsidRPr="00DD77D0">
        <w:rPr>
          <w:rFonts w:ascii="Arial" w:hAnsi="Arial" w:cs="Arial"/>
        </w:rPr>
        <w:t xml:space="preserve">Butterfly diversity was assessed using a modified Pollard Walk method (Pollard 1977; Kunte 2000; </w:t>
      </w:r>
      <w:commentRangeStart w:id="3"/>
      <w:r w:rsidRPr="00DD77D0">
        <w:rPr>
          <w:rFonts w:ascii="Arial" w:hAnsi="Arial" w:cs="Arial"/>
        </w:rPr>
        <w:t>K.C. &amp; Sapkota 202</w:t>
      </w:r>
      <w:r w:rsidR="000315C1">
        <w:rPr>
          <w:rFonts w:ascii="Arial" w:hAnsi="Arial" w:cs="Arial"/>
        </w:rPr>
        <w:t>5</w:t>
      </w:r>
      <w:commentRangeEnd w:id="3"/>
      <w:r w:rsidR="00C00AB1">
        <w:rPr>
          <w:rStyle w:val="CommentReference"/>
          <w:rFonts w:ascii="Times New Roman" w:hAnsi="Times New Roman"/>
          <w:lang w:val="nb-NO" w:eastAsia="nb-NO"/>
        </w:rPr>
        <w:commentReference w:id="3"/>
      </w:r>
      <w:r w:rsidRPr="00DD77D0">
        <w:rPr>
          <w:rFonts w:ascii="Arial" w:hAnsi="Arial" w:cs="Arial"/>
        </w:rPr>
        <w:t xml:space="preserve">). Surveys were conducted from </w:t>
      </w:r>
      <w:r w:rsidR="00F36562">
        <w:rPr>
          <w:rFonts w:ascii="Arial" w:hAnsi="Arial" w:cs="Arial"/>
        </w:rPr>
        <w:t>1</w:t>
      </w:r>
      <w:r w:rsidRPr="00DD77D0">
        <w:rPr>
          <w:rFonts w:ascii="Arial" w:hAnsi="Arial" w:cs="Arial"/>
        </w:rPr>
        <w:t>5 July to 1</w:t>
      </w:r>
      <w:r w:rsidR="00507D64">
        <w:rPr>
          <w:rFonts w:ascii="Arial" w:hAnsi="Arial" w:cs="Arial"/>
        </w:rPr>
        <w:t>6</w:t>
      </w:r>
      <w:r w:rsidRPr="00DD77D0">
        <w:rPr>
          <w:rFonts w:ascii="Arial" w:hAnsi="Arial" w:cs="Arial"/>
        </w:rPr>
        <w:t xml:space="preserve"> October 2025, twice a week during clear o</w:t>
      </w:r>
      <w:r w:rsidR="00203F23">
        <w:rPr>
          <w:rFonts w:ascii="Arial" w:hAnsi="Arial" w:cs="Arial"/>
        </w:rPr>
        <w:t>r partly sunny mornings (0800–12</w:t>
      </w:r>
      <w:r w:rsidRPr="00DD77D0">
        <w:rPr>
          <w:rFonts w:ascii="Arial" w:hAnsi="Arial" w:cs="Arial"/>
        </w:rPr>
        <w:t>00 h). Each site was surveyed along fixed transects measuring 0.5–</w:t>
      </w:r>
      <w:r w:rsidR="00892D59">
        <w:rPr>
          <w:rFonts w:ascii="Arial" w:hAnsi="Arial" w:cs="Arial"/>
        </w:rPr>
        <w:t xml:space="preserve">0.7 </w:t>
      </w:r>
      <w:r w:rsidRPr="00DD77D0">
        <w:rPr>
          <w:rFonts w:ascii="Arial" w:hAnsi="Arial" w:cs="Arial"/>
        </w:rPr>
        <w:t>km in length. Butterflies observed within approximately 5–</w:t>
      </w:r>
      <w:r w:rsidR="00F36562">
        <w:rPr>
          <w:rFonts w:ascii="Arial" w:hAnsi="Arial" w:cs="Arial"/>
        </w:rPr>
        <w:t>6</w:t>
      </w:r>
      <w:r w:rsidRPr="00DD77D0">
        <w:rPr>
          <w:rFonts w:ascii="Arial" w:hAnsi="Arial" w:cs="Arial"/>
        </w:rPr>
        <w:t xml:space="preserve"> m on either side of the transect were counted and photographed. Suspected repeat sightings of the same individual were excluded to avoid duplication.</w:t>
      </w:r>
      <w:r w:rsidR="00FA1711">
        <w:rPr>
          <w:rFonts w:ascii="Arial" w:hAnsi="Arial" w:cs="Arial"/>
        </w:rPr>
        <w:t>B</w:t>
      </w:r>
      <w:r w:rsidRPr="00DD77D0">
        <w:rPr>
          <w:rFonts w:ascii="Arial" w:hAnsi="Arial" w:cs="Arial"/>
        </w:rPr>
        <w:t xml:space="preserve">utterflies were photographed in the field; a few were briefly handled </w:t>
      </w:r>
      <w:r w:rsidR="00892D59">
        <w:rPr>
          <w:rFonts w:ascii="Arial" w:hAnsi="Arial" w:cs="Arial"/>
        </w:rPr>
        <w:t xml:space="preserve">when </w:t>
      </w:r>
      <w:r w:rsidR="00B17172">
        <w:rPr>
          <w:rFonts w:ascii="Arial" w:hAnsi="Arial" w:cs="Arial"/>
        </w:rPr>
        <w:t>necessary and</w:t>
      </w:r>
      <w:r w:rsidRPr="00DD77D0">
        <w:rPr>
          <w:rFonts w:ascii="Arial" w:hAnsi="Arial" w:cs="Arial"/>
        </w:rPr>
        <w:t xml:space="preserve"> immediately released unha</w:t>
      </w:r>
      <w:r w:rsidR="007A6E83">
        <w:rPr>
          <w:rFonts w:ascii="Arial" w:hAnsi="Arial" w:cs="Arial"/>
        </w:rPr>
        <w:t xml:space="preserve">rmed. No protected </w:t>
      </w:r>
      <w:r w:rsidRPr="00DD77D0">
        <w:rPr>
          <w:rFonts w:ascii="Arial" w:hAnsi="Arial" w:cs="Arial"/>
        </w:rPr>
        <w:t>species were encountered during the study.</w:t>
      </w:r>
    </w:p>
    <w:p w:rsidR="00AC697C" w:rsidRDefault="00AC697C" w:rsidP="00CB3EF4">
      <w:pPr>
        <w:spacing w:before="100" w:beforeAutospacing="1" w:after="100" w:afterAutospacing="1"/>
        <w:jc w:val="both"/>
        <w:rPr>
          <w:rFonts w:ascii="Arial" w:hAnsi="Arial" w:cs="Arial"/>
        </w:rPr>
      </w:pPr>
      <w:r>
        <w:rPr>
          <w:rFonts w:ascii="Arial" w:hAnsi="Arial" w:cs="Arial"/>
          <w:b/>
          <w:bCs/>
          <w:sz w:val="22"/>
          <w:szCs w:val="22"/>
        </w:rPr>
        <w:t>2.3 Identification</w:t>
      </w:r>
      <w:r w:rsidR="00A97981">
        <w:rPr>
          <w:rFonts w:ascii="Arial" w:hAnsi="Arial" w:cs="Arial"/>
          <w:b/>
          <w:bCs/>
          <w:sz w:val="22"/>
          <w:szCs w:val="22"/>
        </w:rPr>
        <w:t xml:space="preserve"> and Data analysis</w:t>
      </w:r>
    </w:p>
    <w:p w:rsidR="00CB3EF4" w:rsidRPr="00DD77D0" w:rsidRDefault="00CB3EF4" w:rsidP="00CB3EF4">
      <w:pPr>
        <w:spacing w:before="100" w:beforeAutospacing="1" w:after="100" w:afterAutospacing="1"/>
        <w:jc w:val="both"/>
        <w:rPr>
          <w:rFonts w:ascii="Arial" w:hAnsi="Arial" w:cs="Arial"/>
        </w:rPr>
      </w:pPr>
      <w:r w:rsidRPr="00DD77D0">
        <w:rPr>
          <w:rFonts w:ascii="Arial" w:hAnsi="Arial" w:cs="Arial"/>
        </w:rPr>
        <w:t xml:space="preserve">Identification followed Kunte (2000), Kehimkar (2016), </w:t>
      </w:r>
      <w:r w:rsidRPr="00DD77D0">
        <w:rPr>
          <w:rFonts w:ascii="Arial" w:hAnsi="Arial" w:cs="Arial"/>
          <w:i/>
          <w:iCs/>
        </w:rPr>
        <w:t>Butterflies of Uttarakhand</w:t>
      </w:r>
      <w:r w:rsidR="007A6E83">
        <w:rPr>
          <w:rFonts w:ascii="Arial" w:hAnsi="Arial" w:cs="Arial"/>
        </w:rPr>
        <w:t xml:space="preserve"> (</w:t>
      </w:r>
      <w:commentRangeStart w:id="4"/>
      <w:r w:rsidR="007A6E83">
        <w:rPr>
          <w:rFonts w:ascii="Arial" w:hAnsi="Arial" w:cs="Arial"/>
        </w:rPr>
        <w:t>Kunte 2018</w:t>
      </w:r>
      <w:commentRangeEnd w:id="4"/>
      <w:r w:rsidR="00F00B81">
        <w:rPr>
          <w:rStyle w:val="CommentReference"/>
          <w:rFonts w:ascii="Times New Roman" w:hAnsi="Times New Roman"/>
          <w:lang w:val="nb-NO" w:eastAsia="nb-NO"/>
        </w:rPr>
        <w:commentReference w:id="4"/>
      </w:r>
      <w:r w:rsidRPr="00DD77D0">
        <w:rPr>
          <w:rFonts w:ascii="Arial" w:hAnsi="Arial" w:cs="Arial"/>
        </w:rPr>
        <w:t>),</w:t>
      </w:r>
      <w:r w:rsidR="00384E83" w:rsidRPr="00384E83">
        <w:rPr>
          <w:rFonts w:ascii="Arial" w:hAnsi="Arial" w:cs="Arial"/>
          <w:i/>
        </w:rPr>
        <w:t>Handbook on Common Butterflies of Uttarakhand</w:t>
      </w:r>
      <w:r w:rsidR="00384E83">
        <w:rPr>
          <w:rFonts w:ascii="Arial" w:hAnsi="Arial" w:cs="Arial"/>
          <w:i/>
        </w:rPr>
        <w:t xml:space="preserve"> (Parmod Kumar </w:t>
      </w:r>
      <w:r w:rsidR="00384E83" w:rsidRPr="00384E83">
        <w:rPr>
          <w:rFonts w:ascii="Arial" w:hAnsi="Arial" w:cs="Arial"/>
          <w:i/>
        </w:rPr>
        <w:t>2008)</w:t>
      </w:r>
      <w:r w:rsidR="00384E83">
        <w:rPr>
          <w:rFonts w:ascii="Arial" w:hAnsi="Arial" w:cs="Arial"/>
          <w:i/>
        </w:rPr>
        <w:t>,</w:t>
      </w:r>
      <w:r w:rsidRPr="00DD77D0">
        <w:rPr>
          <w:rFonts w:ascii="Arial" w:hAnsi="Arial" w:cs="Arial"/>
        </w:rPr>
        <w:t xml:space="preserve"> and the Butterflies of India online database.Diversity indices, including species richness, Shannon–</w:t>
      </w:r>
      <w:r w:rsidRPr="00DD77D0">
        <w:rPr>
          <w:rFonts w:ascii="Arial" w:hAnsi="Arial" w:cs="Arial"/>
        </w:rPr>
        <w:lastRenderedPageBreak/>
        <w:t xml:space="preserve">Wiener index (H′), Simpson’s index (1–D), and Pielou’s evenness (J), were calculated using standard formulas (Magurran 2004; </w:t>
      </w:r>
      <w:commentRangeStart w:id="5"/>
      <w:r w:rsidRPr="00DD77D0">
        <w:rPr>
          <w:rFonts w:ascii="Arial" w:hAnsi="Arial" w:cs="Arial"/>
        </w:rPr>
        <w:t>Ludwig &amp; Reynolds 1988</w:t>
      </w:r>
      <w:commentRangeEnd w:id="5"/>
      <w:r w:rsidR="00790C7B">
        <w:rPr>
          <w:rStyle w:val="CommentReference"/>
          <w:rFonts w:ascii="Times New Roman" w:hAnsi="Times New Roman"/>
          <w:lang w:val="nb-NO" w:eastAsia="nb-NO"/>
        </w:rPr>
        <w:commentReference w:id="5"/>
      </w:r>
      <w:r w:rsidRPr="00DD77D0">
        <w:rPr>
          <w:rFonts w:ascii="Arial" w:hAnsi="Arial" w:cs="Arial"/>
        </w:rPr>
        <w:t>).</w:t>
      </w:r>
    </w:p>
    <w:p w:rsidR="00DE43D6" w:rsidRPr="00DD77D0" w:rsidRDefault="00DE43D6" w:rsidP="00DE43D6">
      <w:pPr>
        <w:spacing w:before="100" w:beforeAutospacing="1" w:after="100" w:afterAutospacing="1"/>
        <w:jc w:val="both"/>
        <w:outlineLvl w:val="3"/>
        <w:rPr>
          <w:rFonts w:ascii="Arial" w:hAnsi="Arial" w:cs="Arial"/>
          <w:b/>
          <w:bCs/>
          <w:sz w:val="22"/>
          <w:szCs w:val="22"/>
        </w:rPr>
      </w:pPr>
      <w:r>
        <w:rPr>
          <w:rFonts w:ascii="Arial" w:hAnsi="Arial" w:cs="Arial"/>
          <w:b/>
          <w:bCs/>
          <w:sz w:val="22"/>
          <w:szCs w:val="22"/>
        </w:rPr>
        <w:t xml:space="preserve">3. RESULT AND DISCUSSION </w:t>
      </w:r>
    </w:p>
    <w:p w:rsidR="00DE43D6" w:rsidRPr="00DE43D6" w:rsidRDefault="00DE43D6" w:rsidP="00DE43D6">
      <w:pPr>
        <w:pStyle w:val="Head1"/>
        <w:spacing w:after="0"/>
        <w:jc w:val="both"/>
        <w:rPr>
          <w:rFonts w:ascii="Arial" w:hAnsi="Arial" w:cs="Arial"/>
          <w:b w:val="0"/>
          <w:bCs/>
          <w:caps w:val="0"/>
          <w:sz w:val="20"/>
        </w:rPr>
      </w:pPr>
      <w:bookmarkStart w:id="6" w:name="_Hlk212906343"/>
      <w:r w:rsidRPr="00DE43D6">
        <w:rPr>
          <w:rFonts w:ascii="Arial" w:hAnsi="Arial" w:cs="Arial"/>
          <w:b w:val="0"/>
          <w:bCs/>
          <w:caps w:val="0"/>
          <w:sz w:val="20"/>
        </w:rPr>
        <w:t>A total of 267 individuals representing 22 species and five families of butterflies were recorded from the tw</w:t>
      </w:r>
      <w:r w:rsidR="007A6E83">
        <w:rPr>
          <w:rFonts w:ascii="Arial" w:hAnsi="Arial" w:cs="Arial"/>
          <w:b w:val="0"/>
          <w:bCs/>
          <w:caps w:val="0"/>
          <w:sz w:val="20"/>
        </w:rPr>
        <w:t>o study sites in bazpur during July–O</w:t>
      </w:r>
      <w:r w:rsidRPr="00DE43D6">
        <w:rPr>
          <w:rFonts w:ascii="Arial" w:hAnsi="Arial" w:cs="Arial"/>
          <w:b w:val="0"/>
          <w:bCs/>
          <w:caps w:val="0"/>
          <w:sz w:val="20"/>
        </w:rPr>
        <w:t>ctober 2025 (table 1). the family Nymphalidae was the most dominant, accounting for 94 individuals (</w:t>
      </w:r>
      <w:commentRangeStart w:id="7"/>
      <w:r w:rsidRPr="00DE43D6">
        <w:rPr>
          <w:rFonts w:ascii="Arial" w:hAnsi="Arial" w:cs="Arial"/>
          <w:b w:val="0"/>
          <w:bCs/>
          <w:caps w:val="0"/>
          <w:sz w:val="20"/>
        </w:rPr>
        <w:t>35.2</w:t>
      </w:r>
      <w:r w:rsidR="003D5C24">
        <w:rPr>
          <w:rFonts w:ascii="Arial" w:hAnsi="Arial" w:cs="Arial"/>
          <w:b w:val="0"/>
          <w:bCs/>
          <w:caps w:val="0"/>
          <w:sz w:val="20"/>
        </w:rPr>
        <w:t>1</w:t>
      </w:r>
      <w:r w:rsidRPr="00DE43D6">
        <w:rPr>
          <w:rFonts w:ascii="Arial" w:hAnsi="Arial" w:cs="Arial"/>
          <w:b w:val="0"/>
          <w:bCs/>
          <w:caps w:val="0"/>
          <w:sz w:val="20"/>
        </w:rPr>
        <w:t xml:space="preserve">%) </w:t>
      </w:r>
      <w:commentRangeEnd w:id="7"/>
      <w:r w:rsidR="005D3989">
        <w:rPr>
          <w:rStyle w:val="CommentReference"/>
          <w:rFonts w:ascii="Times New Roman" w:hAnsi="Times New Roman"/>
          <w:b w:val="0"/>
          <w:caps w:val="0"/>
          <w:lang w:val="nb-NO" w:eastAsia="nb-NO"/>
        </w:rPr>
        <w:commentReference w:id="7"/>
      </w:r>
      <w:r w:rsidRPr="00DE43D6">
        <w:rPr>
          <w:rFonts w:ascii="Arial" w:hAnsi="Arial" w:cs="Arial"/>
          <w:b w:val="0"/>
          <w:bCs/>
          <w:caps w:val="0"/>
          <w:sz w:val="20"/>
        </w:rPr>
        <w:t>and seven speci</w:t>
      </w:r>
      <w:r w:rsidR="000013E4">
        <w:rPr>
          <w:rFonts w:ascii="Arial" w:hAnsi="Arial" w:cs="Arial"/>
          <w:b w:val="0"/>
          <w:bCs/>
          <w:caps w:val="0"/>
          <w:sz w:val="20"/>
        </w:rPr>
        <w:t>es, followed by Pieridae with 84</w:t>
      </w:r>
      <w:r w:rsidR="003D5C24">
        <w:rPr>
          <w:rFonts w:ascii="Arial" w:hAnsi="Arial" w:cs="Arial"/>
          <w:b w:val="0"/>
          <w:bCs/>
          <w:caps w:val="0"/>
          <w:sz w:val="20"/>
        </w:rPr>
        <w:t xml:space="preserve"> individuals (31.46</w:t>
      </w:r>
      <w:r w:rsidRPr="00DE43D6">
        <w:rPr>
          <w:rFonts w:ascii="Arial" w:hAnsi="Arial" w:cs="Arial"/>
          <w:b w:val="0"/>
          <w:bCs/>
          <w:caps w:val="0"/>
          <w:sz w:val="20"/>
        </w:rPr>
        <w:t>%), Papilionidae with 42 individuals (15.7</w:t>
      </w:r>
      <w:r w:rsidR="003D5C24">
        <w:rPr>
          <w:rFonts w:ascii="Arial" w:hAnsi="Arial" w:cs="Arial"/>
          <w:b w:val="0"/>
          <w:bCs/>
          <w:caps w:val="0"/>
          <w:sz w:val="20"/>
        </w:rPr>
        <w:t>3</w:t>
      </w:r>
      <w:r w:rsidRPr="00DE43D6">
        <w:rPr>
          <w:rFonts w:ascii="Arial" w:hAnsi="Arial" w:cs="Arial"/>
          <w:b w:val="0"/>
          <w:bCs/>
          <w:caps w:val="0"/>
          <w:sz w:val="20"/>
        </w:rPr>
        <w:t>%), Hesperiidae with 34 individuals (12.7</w:t>
      </w:r>
      <w:r w:rsidR="003D5C24">
        <w:rPr>
          <w:rFonts w:ascii="Arial" w:hAnsi="Arial" w:cs="Arial"/>
          <w:b w:val="0"/>
          <w:bCs/>
          <w:caps w:val="0"/>
          <w:sz w:val="20"/>
        </w:rPr>
        <w:t>3</w:t>
      </w:r>
      <w:r w:rsidRPr="00DE43D6">
        <w:rPr>
          <w:rFonts w:ascii="Arial" w:hAnsi="Arial" w:cs="Arial"/>
          <w:b w:val="0"/>
          <w:bCs/>
          <w:caps w:val="0"/>
          <w:sz w:val="20"/>
        </w:rPr>
        <w:t>%), and Lyc</w:t>
      </w:r>
      <w:r w:rsidR="003D5C24">
        <w:rPr>
          <w:rFonts w:ascii="Arial" w:hAnsi="Arial" w:cs="Arial"/>
          <w:b w:val="0"/>
          <w:bCs/>
          <w:caps w:val="0"/>
          <w:sz w:val="20"/>
        </w:rPr>
        <w:t>aenidae with 13 individuals (4.87</w:t>
      </w:r>
      <w:r w:rsidRPr="00DE43D6">
        <w:rPr>
          <w:rFonts w:ascii="Arial" w:hAnsi="Arial" w:cs="Arial"/>
          <w:b w:val="0"/>
          <w:bCs/>
          <w:caps w:val="0"/>
          <w:sz w:val="20"/>
        </w:rPr>
        <w:t>%).</w:t>
      </w:r>
    </w:p>
    <w:p w:rsidR="00DE43D6" w:rsidRPr="00B321BC" w:rsidRDefault="00DE43D6" w:rsidP="00DE43D6">
      <w:pPr>
        <w:pStyle w:val="Head1"/>
        <w:spacing w:after="0"/>
        <w:jc w:val="both"/>
        <w:rPr>
          <w:rFonts w:ascii="Arial" w:hAnsi="Arial" w:cs="Arial"/>
          <w:b w:val="0"/>
          <w:bCs/>
          <w:caps w:val="0"/>
          <w:sz w:val="20"/>
        </w:rPr>
      </w:pPr>
      <w:r w:rsidRPr="00DE43D6">
        <w:rPr>
          <w:rFonts w:ascii="Arial" w:hAnsi="Arial" w:cs="Arial"/>
          <w:b w:val="0"/>
          <w:bCs/>
          <w:caps w:val="0"/>
          <w:sz w:val="20"/>
        </w:rPr>
        <w:t xml:space="preserve">The most abundant single species was </w:t>
      </w:r>
      <w:r w:rsidRPr="00DE43D6">
        <w:rPr>
          <w:rFonts w:ascii="Arial" w:hAnsi="Arial" w:cs="Arial"/>
          <w:b w:val="0"/>
          <w:bCs/>
          <w:i/>
          <w:iCs/>
          <w:caps w:val="0"/>
          <w:sz w:val="20"/>
        </w:rPr>
        <w:t>Phalantaphalantha</w:t>
      </w:r>
      <w:r w:rsidRPr="00DE43D6">
        <w:rPr>
          <w:rFonts w:ascii="Arial" w:hAnsi="Arial" w:cs="Arial"/>
          <w:b w:val="0"/>
          <w:bCs/>
          <w:caps w:val="0"/>
          <w:sz w:val="20"/>
        </w:rPr>
        <w:t xml:space="preserve"> (common leopard) representing 8.2% of all individuals, followed by </w:t>
      </w:r>
      <w:r w:rsidRPr="00DE43D6">
        <w:rPr>
          <w:rFonts w:ascii="Arial" w:hAnsi="Arial" w:cs="Arial"/>
          <w:b w:val="0"/>
          <w:bCs/>
          <w:i/>
          <w:iCs/>
          <w:caps w:val="0"/>
          <w:sz w:val="20"/>
        </w:rPr>
        <w:t>Danaus chrysippus</w:t>
      </w:r>
      <w:r w:rsidRPr="00DE43D6">
        <w:rPr>
          <w:rFonts w:ascii="Arial" w:hAnsi="Arial" w:cs="Arial"/>
          <w:b w:val="0"/>
          <w:bCs/>
          <w:caps w:val="0"/>
          <w:sz w:val="20"/>
        </w:rPr>
        <w:t xml:space="preserve">, </w:t>
      </w:r>
      <w:r w:rsidRPr="00DE43D6">
        <w:rPr>
          <w:rFonts w:ascii="Arial" w:hAnsi="Arial" w:cs="Arial"/>
          <w:b w:val="0"/>
          <w:bCs/>
          <w:i/>
          <w:iCs/>
          <w:caps w:val="0"/>
          <w:sz w:val="20"/>
        </w:rPr>
        <w:t>Catopsiliapomona</w:t>
      </w:r>
      <w:r w:rsidRPr="00DE43D6">
        <w:rPr>
          <w:rFonts w:ascii="Arial" w:hAnsi="Arial" w:cs="Arial"/>
          <w:b w:val="0"/>
          <w:bCs/>
          <w:caps w:val="0"/>
          <w:sz w:val="20"/>
        </w:rPr>
        <w:t xml:space="preserve">, and </w:t>
      </w:r>
      <w:r w:rsidRPr="00DE43D6">
        <w:rPr>
          <w:rFonts w:ascii="Arial" w:hAnsi="Arial" w:cs="Arial"/>
          <w:b w:val="0"/>
          <w:bCs/>
          <w:i/>
          <w:iCs/>
          <w:caps w:val="0"/>
          <w:sz w:val="20"/>
        </w:rPr>
        <w:t>Papiliopolytus</w:t>
      </w:r>
      <w:r w:rsidRPr="00DE43D6">
        <w:rPr>
          <w:rFonts w:ascii="Arial" w:hAnsi="Arial" w:cs="Arial"/>
          <w:b w:val="0"/>
          <w:bCs/>
          <w:caps w:val="0"/>
          <w:sz w:val="20"/>
        </w:rPr>
        <w:t>. families Nymphalidae and Pieridae together comprised nearly two-thirds of all individuals, indicating their strong adaptation to the mosaic of cultiva</w:t>
      </w:r>
      <w:r w:rsidR="000013E4">
        <w:rPr>
          <w:rFonts w:ascii="Arial" w:hAnsi="Arial" w:cs="Arial"/>
          <w:b w:val="0"/>
          <w:bCs/>
          <w:caps w:val="0"/>
          <w:sz w:val="20"/>
        </w:rPr>
        <w:t>ted and scrub habitats that found in</w:t>
      </w:r>
      <w:r w:rsidR="00D30E07">
        <w:rPr>
          <w:rFonts w:ascii="Arial" w:hAnsi="Arial" w:cs="Arial"/>
          <w:b w:val="0"/>
          <w:bCs/>
          <w:caps w:val="0"/>
          <w:sz w:val="20"/>
        </w:rPr>
        <w:t xml:space="preserve"> T</w:t>
      </w:r>
      <w:r w:rsidRPr="00DE43D6">
        <w:rPr>
          <w:rFonts w:ascii="Arial" w:hAnsi="Arial" w:cs="Arial"/>
          <w:b w:val="0"/>
          <w:bCs/>
          <w:caps w:val="0"/>
          <w:sz w:val="20"/>
        </w:rPr>
        <w:t>erai region.</w:t>
      </w:r>
    </w:p>
    <w:p w:rsidR="00DE43D6" w:rsidRDefault="00DE43D6" w:rsidP="00DE43D6">
      <w:pPr>
        <w:jc w:val="both"/>
        <w:rPr>
          <w:rFonts w:ascii="Arial" w:hAnsi="Arial" w:cs="Arial"/>
          <w:b/>
          <w:bCs/>
        </w:rPr>
      </w:pPr>
      <w:r>
        <w:rPr>
          <w:rFonts w:ascii="Arial" w:hAnsi="Arial" w:cs="Arial"/>
          <w:b/>
          <w:bCs/>
        </w:rPr>
        <w:t xml:space="preserve">3.1 </w:t>
      </w:r>
      <w:r w:rsidRPr="00B321BC">
        <w:rPr>
          <w:rFonts w:ascii="Arial" w:hAnsi="Arial" w:cs="Arial"/>
          <w:b/>
          <w:bCs/>
        </w:rPr>
        <w:t>Family-wise observations:</w:t>
      </w:r>
    </w:p>
    <w:p w:rsidR="00DE43D6" w:rsidRPr="00B321BC" w:rsidRDefault="00DE43D6" w:rsidP="00DE43D6">
      <w:pPr>
        <w:jc w:val="both"/>
        <w:rPr>
          <w:rFonts w:ascii="Arial" w:hAnsi="Arial" w:cs="Arial"/>
          <w:b/>
          <w:bCs/>
        </w:rPr>
      </w:pPr>
      <w:r w:rsidRPr="00B321BC">
        <w:rPr>
          <w:rFonts w:ascii="Arial" w:hAnsi="Arial" w:cs="Arial"/>
          <w:i/>
          <w:iCs/>
        </w:rPr>
        <w:t>Nymphalidae</w:t>
      </w:r>
      <w:r w:rsidR="007A6E83">
        <w:rPr>
          <w:rFonts w:ascii="Arial" w:hAnsi="Arial" w:cs="Arial"/>
        </w:rPr>
        <w:t xml:space="preserve">: </w:t>
      </w:r>
      <w:r w:rsidRPr="00B321BC">
        <w:rPr>
          <w:rFonts w:ascii="Arial" w:hAnsi="Arial" w:cs="Arial"/>
        </w:rPr>
        <w:t xml:space="preserve">Seven species were recorded, dominated by </w:t>
      </w:r>
      <w:r w:rsidRPr="00B321BC">
        <w:rPr>
          <w:rFonts w:ascii="Arial" w:hAnsi="Arial" w:cs="Arial"/>
          <w:i/>
          <w:iCs/>
        </w:rPr>
        <w:t>Phalantaphalantha</w:t>
      </w:r>
      <w:r w:rsidRPr="00B321BC">
        <w:rPr>
          <w:rFonts w:ascii="Arial" w:hAnsi="Arial" w:cs="Arial"/>
        </w:rPr>
        <w:t xml:space="preserve"> (22 ind.), </w:t>
      </w:r>
      <w:r w:rsidRPr="00B321BC">
        <w:rPr>
          <w:rFonts w:ascii="Arial" w:hAnsi="Arial" w:cs="Arial"/>
          <w:i/>
          <w:iCs/>
        </w:rPr>
        <w:t>Danaus chrysippus</w:t>
      </w:r>
      <w:r w:rsidRPr="00B321BC">
        <w:rPr>
          <w:rFonts w:ascii="Arial" w:hAnsi="Arial" w:cs="Arial"/>
        </w:rPr>
        <w:t xml:space="preserve"> (16 ind.), and </w:t>
      </w:r>
      <w:r w:rsidRPr="00B321BC">
        <w:rPr>
          <w:rFonts w:ascii="Arial" w:hAnsi="Arial" w:cs="Arial"/>
          <w:i/>
          <w:iCs/>
        </w:rPr>
        <w:t>Elymniashypermnestra</w:t>
      </w:r>
      <w:r w:rsidRPr="00B321BC">
        <w:rPr>
          <w:rFonts w:ascii="Arial" w:hAnsi="Arial" w:cs="Arial"/>
        </w:rPr>
        <w:t xml:space="preserve"> (16 ind.). The genus </w:t>
      </w:r>
      <w:r w:rsidRPr="00B321BC">
        <w:rPr>
          <w:rFonts w:ascii="Arial" w:hAnsi="Arial" w:cs="Arial"/>
          <w:i/>
          <w:iCs/>
        </w:rPr>
        <w:t>Junonia</w:t>
      </w:r>
      <w:r w:rsidRPr="00B321BC">
        <w:rPr>
          <w:rFonts w:ascii="Arial" w:hAnsi="Arial" w:cs="Arial"/>
        </w:rPr>
        <w:t xml:space="preserve"> was represented by </w:t>
      </w:r>
      <w:r w:rsidRPr="00B321BC">
        <w:rPr>
          <w:rFonts w:ascii="Arial" w:hAnsi="Arial" w:cs="Arial"/>
          <w:i/>
          <w:iCs/>
        </w:rPr>
        <w:t>J. almana</w:t>
      </w:r>
      <w:r w:rsidRPr="00B321BC">
        <w:rPr>
          <w:rFonts w:ascii="Arial" w:hAnsi="Arial" w:cs="Arial"/>
        </w:rPr>
        <w:t xml:space="preserve"> and </w:t>
      </w:r>
      <w:r w:rsidRPr="00B321BC">
        <w:rPr>
          <w:rFonts w:ascii="Arial" w:hAnsi="Arial" w:cs="Arial"/>
          <w:i/>
          <w:iCs/>
        </w:rPr>
        <w:t>J. atlites</w:t>
      </w:r>
      <w:r w:rsidRPr="00B321BC">
        <w:rPr>
          <w:rFonts w:ascii="Arial" w:hAnsi="Arial" w:cs="Arial"/>
        </w:rPr>
        <w:t>. These were the most widespread and frequently encountered butterflies in both sites.</w:t>
      </w:r>
    </w:p>
    <w:p w:rsidR="00DE43D6" w:rsidRPr="00B321BC" w:rsidRDefault="00DE43D6" w:rsidP="00DE43D6">
      <w:pPr>
        <w:jc w:val="both"/>
        <w:rPr>
          <w:rFonts w:ascii="Arial" w:hAnsi="Arial" w:cs="Arial"/>
        </w:rPr>
      </w:pPr>
      <w:r w:rsidRPr="00B321BC">
        <w:rPr>
          <w:rFonts w:ascii="Arial" w:hAnsi="Arial" w:cs="Arial"/>
          <w:i/>
          <w:iCs/>
        </w:rPr>
        <w:t>Pieridae</w:t>
      </w:r>
      <w:r w:rsidR="007A6E83">
        <w:rPr>
          <w:rFonts w:ascii="Arial" w:hAnsi="Arial" w:cs="Arial"/>
        </w:rPr>
        <w:t xml:space="preserve">: </w:t>
      </w:r>
      <w:r w:rsidR="00991C57">
        <w:rPr>
          <w:rFonts w:ascii="Arial" w:hAnsi="Arial" w:cs="Arial"/>
        </w:rPr>
        <w:t>This family contributed 31.46</w:t>
      </w:r>
      <w:r w:rsidRPr="00B321BC">
        <w:rPr>
          <w:rFonts w:ascii="Arial" w:hAnsi="Arial" w:cs="Arial"/>
        </w:rPr>
        <w:t xml:space="preserve">% of the total individuals. </w:t>
      </w:r>
      <w:r w:rsidRPr="00B321BC">
        <w:rPr>
          <w:rFonts w:ascii="Arial" w:hAnsi="Arial" w:cs="Arial"/>
          <w:i/>
          <w:iCs/>
        </w:rPr>
        <w:t>Catopsiliapomona</w:t>
      </w:r>
      <w:r w:rsidRPr="00B321BC">
        <w:rPr>
          <w:rFonts w:ascii="Arial" w:hAnsi="Arial" w:cs="Arial"/>
        </w:rPr>
        <w:t xml:space="preserve"> and </w:t>
      </w:r>
      <w:r w:rsidRPr="00B321BC">
        <w:rPr>
          <w:rFonts w:ascii="Arial" w:hAnsi="Arial" w:cs="Arial"/>
          <w:i/>
          <w:iCs/>
        </w:rPr>
        <w:t>C. pyranthe</w:t>
      </w:r>
      <w:r w:rsidRPr="00B321BC">
        <w:rPr>
          <w:rFonts w:ascii="Arial" w:hAnsi="Arial" w:cs="Arial"/>
        </w:rPr>
        <w:t xml:space="preserve"> were most abundant (20 ind. each), followed by </w:t>
      </w:r>
      <w:r w:rsidRPr="00B321BC">
        <w:rPr>
          <w:rFonts w:ascii="Arial" w:hAnsi="Arial" w:cs="Arial"/>
          <w:i/>
          <w:iCs/>
        </w:rPr>
        <w:t>Euremahecabe</w:t>
      </w:r>
      <w:r w:rsidRPr="00B321BC">
        <w:rPr>
          <w:rFonts w:ascii="Arial" w:hAnsi="Arial" w:cs="Arial"/>
        </w:rPr>
        <w:t xml:space="preserve"> (16 ind.) and </w:t>
      </w:r>
      <w:r w:rsidRPr="00B321BC">
        <w:rPr>
          <w:rFonts w:ascii="Arial" w:hAnsi="Arial" w:cs="Arial"/>
          <w:i/>
          <w:iCs/>
        </w:rPr>
        <w:t>Pareroniahippia</w:t>
      </w:r>
      <w:r w:rsidRPr="00B321BC">
        <w:rPr>
          <w:rFonts w:ascii="Arial" w:hAnsi="Arial" w:cs="Arial"/>
        </w:rPr>
        <w:t xml:space="preserve"> (12 ind.). Less common species such as </w:t>
      </w:r>
      <w:r w:rsidRPr="00B321BC">
        <w:rPr>
          <w:rFonts w:ascii="Arial" w:hAnsi="Arial" w:cs="Arial"/>
          <w:i/>
          <w:iCs/>
        </w:rPr>
        <w:t>Leptosianina</w:t>
      </w:r>
      <w:r w:rsidRPr="00B321BC">
        <w:rPr>
          <w:rFonts w:ascii="Arial" w:hAnsi="Arial" w:cs="Arial"/>
        </w:rPr>
        <w:t xml:space="preserve">, </w:t>
      </w:r>
      <w:r w:rsidRPr="00B321BC">
        <w:rPr>
          <w:rFonts w:ascii="Arial" w:hAnsi="Arial" w:cs="Arial"/>
          <w:i/>
          <w:iCs/>
        </w:rPr>
        <w:t>Delias eucharis</w:t>
      </w:r>
      <w:r w:rsidRPr="00B321BC">
        <w:rPr>
          <w:rFonts w:ascii="Arial" w:hAnsi="Arial" w:cs="Arial"/>
        </w:rPr>
        <w:t xml:space="preserve">, and </w:t>
      </w:r>
      <w:r w:rsidRPr="00B321BC">
        <w:rPr>
          <w:rFonts w:ascii="Arial" w:hAnsi="Arial" w:cs="Arial"/>
          <w:i/>
          <w:iCs/>
        </w:rPr>
        <w:t>Ceporanerissa</w:t>
      </w:r>
      <w:r w:rsidRPr="00B321BC">
        <w:rPr>
          <w:rFonts w:ascii="Arial" w:hAnsi="Arial" w:cs="Arial"/>
        </w:rPr>
        <w:t xml:space="preserve"> were confined mainly to Site B.</w:t>
      </w:r>
    </w:p>
    <w:p w:rsidR="00DE43D6" w:rsidRPr="00B321BC" w:rsidRDefault="00DE43D6" w:rsidP="00DE43D6">
      <w:pPr>
        <w:jc w:val="both"/>
        <w:rPr>
          <w:rFonts w:ascii="Arial" w:hAnsi="Arial" w:cs="Arial"/>
        </w:rPr>
      </w:pPr>
      <w:r w:rsidRPr="00B321BC">
        <w:rPr>
          <w:rFonts w:ascii="Arial" w:hAnsi="Arial" w:cs="Arial"/>
          <w:i/>
          <w:iCs/>
        </w:rPr>
        <w:t>Papilionidae</w:t>
      </w:r>
      <w:r w:rsidR="007A6E83">
        <w:rPr>
          <w:rFonts w:ascii="Arial" w:hAnsi="Arial" w:cs="Arial"/>
        </w:rPr>
        <w:t xml:space="preserve">: </w:t>
      </w:r>
      <w:r w:rsidRPr="00B321BC">
        <w:rPr>
          <w:rFonts w:ascii="Arial" w:hAnsi="Arial" w:cs="Arial"/>
        </w:rPr>
        <w:t>Three species (</w:t>
      </w:r>
      <w:r w:rsidRPr="00B321BC">
        <w:rPr>
          <w:rFonts w:ascii="Arial" w:hAnsi="Arial" w:cs="Arial"/>
          <w:i/>
          <w:iCs/>
        </w:rPr>
        <w:t>Papiliopolytus</w:t>
      </w:r>
      <w:r w:rsidRPr="00B321BC">
        <w:rPr>
          <w:rFonts w:ascii="Arial" w:hAnsi="Arial" w:cs="Arial"/>
        </w:rPr>
        <w:t xml:space="preserve">, </w:t>
      </w:r>
      <w:r w:rsidRPr="00B321BC">
        <w:rPr>
          <w:rFonts w:ascii="Arial" w:hAnsi="Arial" w:cs="Arial"/>
          <w:i/>
          <w:iCs/>
        </w:rPr>
        <w:t>P. demoleus</w:t>
      </w:r>
      <w:r w:rsidRPr="00B321BC">
        <w:rPr>
          <w:rFonts w:ascii="Arial" w:hAnsi="Arial" w:cs="Arial"/>
        </w:rPr>
        <w:t xml:space="preserve">, </w:t>
      </w:r>
      <w:r w:rsidRPr="00B321BC">
        <w:rPr>
          <w:rFonts w:ascii="Arial" w:hAnsi="Arial" w:cs="Arial"/>
          <w:i/>
          <w:iCs/>
        </w:rPr>
        <w:t>Graphiumdoson</w:t>
      </w:r>
      <w:r w:rsidRPr="00B321BC">
        <w:rPr>
          <w:rFonts w:ascii="Arial" w:hAnsi="Arial" w:cs="Arial"/>
        </w:rPr>
        <w:t xml:space="preserve">) were observed. </w:t>
      </w:r>
      <w:r w:rsidRPr="00B321BC">
        <w:rPr>
          <w:rFonts w:ascii="Arial" w:hAnsi="Arial" w:cs="Arial"/>
          <w:i/>
          <w:iCs/>
        </w:rPr>
        <w:t>P. polytus</w:t>
      </w:r>
      <w:r w:rsidRPr="00B321BC">
        <w:rPr>
          <w:rFonts w:ascii="Arial" w:hAnsi="Arial" w:cs="Arial"/>
        </w:rPr>
        <w:t xml:space="preserve"> (18 ind.) and </w:t>
      </w:r>
      <w:r w:rsidRPr="00B321BC">
        <w:rPr>
          <w:rFonts w:ascii="Arial" w:hAnsi="Arial" w:cs="Arial"/>
          <w:i/>
          <w:iCs/>
        </w:rPr>
        <w:t>P. demoleus</w:t>
      </w:r>
      <w:r w:rsidRPr="00B321BC">
        <w:rPr>
          <w:rFonts w:ascii="Arial" w:hAnsi="Arial" w:cs="Arial"/>
        </w:rPr>
        <w:t xml:space="preserve"> (16 ind.) were common across both sites, while </w:t>
      </w:r>
      <w:r w:rsidRPr="00B321BC">
        <w:rPr>
          <w:rFonts w:ascii="Arial" w:hAnsi="Arial" w:cs="Arial"/>
          <w:i/>
          <w:iCs/>
        </w:rPr>
        <w:t>G. doson</w:t>
      </w:r>
      <w:r w:rsidRPr="00B321BC">
        <w:rPr>
          <w:rFonts w:ascii="Arial" w:hAnsi="Arial" w:cs="Arial"/>
        </w:rPr>
        <w:t xml:space="preserve"> (8 ind.) was found in shaded patches with host plants like </w:t>
      </w:r>
      <w:r w:rsidRPr="00B321BC">
        <w:rPr>
          <w:rFonts w:ascii="Arial" w:hAnsi="Arial" w:cs="Arial"/>
          <w:i/>
          <w:iCs/>
        </w:rPr>
        <w:t>Citrus</w:t>
      </w:r>
      <w:r w:rsidRPr="00B321BC">
        <w:rPr>
          <w:rFonts w:ascii="Arial" w:hAnsi="Arial" w:cs="Arial"/>
        </w:rPr>
        <w:t xml:space="preserve"> and </w:t>
      </w:r>
      <w:r w:rsidRPr="00B321BC">
        <w:rPr>
          <w:rFonts w:ascii="Arial" w:hAnsi="Arial" w:cs="Arial"/>
          <w:i/>
          <w:iCs/>
        </w:rPr>
        <w:t>Annona</w:t>
      </w:r>
      <w:r w:rsidRPr="00B321BC">
        <w:rPr>
          <w:rFonts w:ascii="Arial" w:hAnsi="Arial" w:cs="Arial"/>
        </w:rPr>
        <w:t>.</w:t>
      </w:r>
    </w:p>
    <w:p w:rsidR="00DE43D6" w:rsidRPr="00B321BC" w:rsidRDefault="00DE43D6" w:rsidP="00DE43D6">
      <w:pPr>
        <w:jc w:val="both"/>
        <w:rPr>
          <w:rFonts w:ascii="Arial" w:hAnsi="Arial" w:cs="Arial"/>
        </w:rPr>
      </w:pPr>
      <w:r w:rsidRPr="00B321BC">
        <w:rPr>
          <w:rFonts w:ascii="Arial" w:hAnsi="Arial" w:cs="Arial"/>
          <w:i/>
          <w:iCs/>
        </w:rPr>
        <w:t>Hesperiidae</w:t>
      </w:r>
      <w:r w:rsidR="007A6E83">
        <w:rPr>
          <w:rFonts w:ascii="Arial" w:hAnsi="Arial" w:cs="Arial"/>
        </w:rPr>
        <w:t xml:space="preserve">: </w:t>
      </w:r>
      <w:r w:rsidRPr="00B321BC">
        <w:rPr>
          <w:rFonts w:ascii="Arial" w:hAnsi="Arial" w:cs="Arial"/>
        </w:rPr>
        <w:t xml:space="preserve">Two species, </w:t>
      </w:r>
      <w:r w:rsidRPr="00B321BC">
        <w:rPr>
          <w:rFonts w:ascii="Arial" w:hAnsi="Arial" w:cs="Arial"/>
          <w:i/>
          <w:iCs/>
        </w:rPr>
        <w:t>Pelopidas mathias</w:t>
      </w:r>
      <w:r w:rsidRPr="00B321BC">
        <w:rPr>
          <w:rFonts w:ascii="Arial" w:hAnsi="Arial" w:cs="Arial"/>
        </w:rPr>
        <w:t xml:space="preserve"> (18 ind.) and </w:t>
      </w:r>
      <w:r w:rsidRPr="00B321BC">
        <w:rPr>
          <w:rFonts w:ascii="Arial" w:hAnsi="Arial" w:cs="Arial"/>
          <w:i/>
          <w:iCs/>
        </w:rPr>
        <w:t>Borbocinnara</w:t>
      </w:r>
      <w:r w:rsidRPr="00B321BC">
        <w:rPr>
          <w:rFonts w:ascii="Arial" w:hAnsi="Arial" w:cs="Arial"/>
        </w:rPr>
        <w:t xml:space="preserve"> (16 ind.), were frequent along grassy crop-field margins. Their presence indicates the suitability of </w:t>
      </w:r>
      <w:r w:rsidR="00D30E07">
        <w:rPr>
          <w:rFonts w:ascii="Arial" w:hAnsi="Arial" w:cs="Arial"/>
        </w:rPr>
        <w:t>Terai</w:t>
      </w:r>
      <w:r w:rsidRPr="00B321BC">
        <w:rPr>
          <w:rFonts w:ascii="Arial" w:hAnsi="Arial" w:cs="Arial"/>
        </w:rPr>
        <w:t xml:space="preserve"> grasslands for small skippers.</w:t>
      </w:r>
    </w:p>
    <w:p w:rsidR="00DE43D6" w:rsidRPr="00B321BC" w:rsidRDefault="00DE43D6" w:rsidP="00DE43D6">
      <w:pPr>
        <w:jc w:val="both"/>
        <w:rPr>
          <w:rFonts w:ascii="Arial" w:hAnsi="Arial" w:cs="Arial"/>
        </w:rPr>
      </w:pPr>
      <w:r w:rsidRPr="00B321BC">
        <w:rPr>
          <w:rFonts w:ascii="Arial" w:hAnsi="Arial" w:cs="Arial"/>
          <w:i/>
          <w:iCs/>
        </w:rPr>
        <w:t>Lycaenidae</w:t>
      </w:r>
      <w:r w:rsidR="007A6E83">
        <w:rPr>
          <w:rFonts w:ascii="Arial" w:hAnsi="Arial" w:cs="Arial"/>
        </w:rPr>
        <w:t xml:space="preserve">: </w:t>
      </w:r>
      <w:r w:rsidRPr="00B321BC">
        <w:rPr>
          <w:rFonts w:ascii="Arial" w:hAnsi="Arial" w:cs="Arial"/>
        </w:rPr>
        <w:t xml:space="preserve">Three species formed the least represented family. </w:t>
      </w:r>
      <w:r w:rsidRPr="00B321BC">
        <w:rPr>
          <w:rFonts w:ascii="Arial" w:hAnsi="Arial" w:cs="Arial"/>
          <w:i/>
          <w:iCs/>
        </w:rPr>
        <w:t>Zizeeriakarsandra</w:t>
      </w:r>
      <w:r w:rsidRPr="00B321BC">
        <w:rPr>
          <w:rFonts w:ascii="Arial" w:hAnsi="Arial" w:cs="Arial"/>
        </w:rPr>
        <w:t xml:space="preserve"> (8 ind.) and </w:t>
      </w:r>
      <w:r w:rsidRPr="00B321BC">
        <w:rPr>
          <w:rFonts w:ascii="Arial" w:hAnsi="Arial" w:cs="Arial"/>
          <w:i/>
          <w:iCs/>
        </w:rPr>
        <w:t>Neopithecopszalmora</w:t>
      </w:r>
      <w:r w:rsidRPr="00B321BC">
        <w:rPr>
          <w:rFonts w:ascii="Arial" w:hAnsi="Arial" w:cs="Arial"/>
        </w:rPr>
        <w:t xml:space="preserve"> (4 ind.) were recorded commonly, while </w:t>
      </w:r>
      <w:r w:rsidRPr="00B321BC">
        <w:rPr>
          <w:rFonts w:ascii="Arial" w:hAnsi="Arial" w:cs="Arial"/>
          <w:i/>
          <w:iCs/>
        </w:rPr>
        <w:t>Tarucusbalkanica</w:t>
      </w:r>
      <w:r w:rsidRPr="00B321BC">
        <w:rPr>
          <w:rFonts w:ascii="Arial" w:hAnsi="Arial" w:cs="Arial"/>
        </w:rPr>
        <w:t xml:space="preserve"> (1 ind.) </w:t>
      </w:r>
      <w:r w:rsidR="00BB6EFB" w:rsidRPr="00B321BC">
        <w:rPr>
          <w:rFonts w:ascii="Arial" w:hAnsi="Arial" w:cs="Arial"/>
        </w:rPr>
        <w:t xml:space="preserve">considered rare in Uttarakhand (Sondhi&amp;Kunte 2018; </w:t>
      </w:r>
      <w:r w:rsidR="00BB6EFB" w:rsidRPr="00991C57">
        <w:rPr>
          <w:rFonts w:ascii="Arial" w:hAnsi="Arial" w:cs="Arial"/>
        </w:rPr>
        <w:t>Kunte 2022</w:t>
      </w:r>
      <w:r w:rsidR="00BB6EFB" w:rsidRPr="00B321BC">
        <w:rPr>
          <w:rFonts w:ascii="Arial" w:hAnsi="Arial" w:cs="Arial"/>
        </w:rPr>
        <w:t>)</w:t>
      </w:r>
      <w:r w:rsidRPr="00B321BC">
        <w:rPr>
          <w:rFonts w:ascii="Arial" w:hAnsi="Arial" w:cs="Arial"/>
        </w:rPr>
        <w:t>was sighted once from Site A</w:t>
      </w:r>
      <w:r w:rsidR="00BB6EFB">
        <w:rPr>
          <w:rFonts w:ascii="Arial" w:hAnsi="Arial" w:cs="Arial"/>
        </w:rPr>
        <w:t xml:space="preserve">, extending </w:t>
      </w:r>
      <w:r w:rsidRPr="00B321BC">
        <w:rPr>
          <w:rFonts w:ascii="Arial" w:hAnsi="Arial" w:cs="Arial"/>
        </w:rPr>
        <w:t>its known distribution within the Kumaun</w:t>
      </w:r>
      <w:r w:rsidR="00D30E07">
        <w:rPr>
          <w:rFonts w:ascii="Arial" w:hAnsi="Arial" w:cs="Arial"/>
        </w:rPr>
        <w:t>T</w:t>
      </w:r>
      <w:r w:rsidRPr="00B321BC">
        <w:rPr>
          <w:rFonts w:ascii="Arial" w:hAnsi="Arial" w:cs="Arial"/>
        </w:rPr>
        <w:t>erai.</w:t>
      </w:r>
    </w:p>
    <w:p w:rsidR="00DE43D6" w:rsidRPr="00B321BC" w:rsidRDefault="00DE43D6" w:rsidP="00DE43D6">
      <w:pPr>
        <w:jc w:val="both"/>
        <w:rPr>
          <w:rFonts w:ascii="Arial" w:hAnsi="Arial" w:cs="Arial"/>
        </w:rPr>
      </w:pPr>
      <w:r>
        <w:rPr>
          <w:rFonts w:ascii="Arial" w:hAnsi="Arial" w:cs="Arial"/>
          <w:b/>
          <w:bCs/>
        </w:rPr>
        <w:t xml:space="preserve">3.2 </w:t>
      </w:r>
      <w:r w:rsidRPr="00B321BC">
        <w:rPr>
          <w:rFonts w:ascii="Arial" w:hAnsi="Arial" w:cs="Arial"/>
          <w:b/>
          <w:bCs/>
        </w:rPr>
        <w:t>Site-wise pattern:</w:t>
      </w:r>
      <w:r w:rsidRPr="00B321BC">
        <w:rPr>
          <w:rFonts w:ascii="Arial" w:hAnsi="Arial" w:cs="Arial"/>
        </w:rPr>
        <w:t>Species richness was slightly higher at Site B (21 species, 166 individuals) compared to Site A (18 species, 101 individuals). The higher richness at Site B is attributed to greater vegetation heterogeneity and floral abundance, providing more microhabitats and nectar sources.</w:t>
      </w:r>
    </w:p>
    <w:p w:rsidR="00DE43D6" w:rsidRPr="00B321BC" w:rsidRDefault="00DE43D6" w:rsidP="00DE43D6">
      <w:pPr>
        <w:jc w:val="both"/>
        <w:rPr>
          <w:rFonts w:ascii="Arial" w:hAnsi="Arial" w:cs="Arial"/>
        </w:rPr>
      </w:pPr>
      <w:r>
        <w:rPr>
          <w:rFonts w:ascii="Arial" w:hAnsi="Arial" w:cs="Arial"/>
          <w:b/>
          <w:bCs/>
        </w:rPr>
        <w:t xml:space="preserve">3.3 </w:t>
      </w:r>
      <w:r w:rsidRPr="00B321BC">
        <w:rPr>
          <w:rFonts w:ascii="Arial" w:hAnsi="Arial" w:cs="Arial"/>
          <w:b/>
          <w:bCs/>
        </w:rPr>
        <w:t>Diversity indices:</w:t>
      </w:r>
      <w:r w:rsidRPr="00B321BC">
        <w:rPr>
          <w:rFonts w:ascii="Arial" w:hAnsi="Arial" w:cs="Arial"/>
        </w:rPr>
        <w:t xml:space="preserve">Diversity analysis revealed a </w:t>
      </w:r>
      <w:r w:rsidRPr="00740F39">
        <w:rPr>
          <w:rFonts w:ascii="Arial" w:hAnsi="Arial" w:cs="Arial"/>
          <w:bCs/>
        </w:rPr>
        <w:t>Shannon–Wiener index (</w:t>
      </w:r>
      <w:commentRangeStart w:id="8"/>
      <w:r w:rsidRPr="00740F39">
        <w:rPr>
          <w:rFonts w:ascii="Arial" w:hAnsi="Arial" w:cs="Arial"/>
          <w:bCs/>
        </w:rPr>
        <w:t>H′ = 2.955</w:t>
      </w:r>
      <w:commentRangeEnd w:id="8"/>
      <w:r w:rsidR="005D3989">
        <w:rPr>
          <w:rStyle w:val="CommentReference"/>
          <w:rFonts w:ascii="Times New Roman" w:hAnsi="Times New Roman"/>
          <w:lang w:val="nb-NO" w:eastAsia="nb-NO"/>
        </w:rPr>
        <w:commentReference w:id="8"/>
      </w:r>
      <w:r w:rsidRPr="00740F39">
        <w:rPr>
          <w:rFonts w:ascii="Arial" w:hAnsi="Arial" w:cs="Arial"/>
          <w:bCs/>
        </w:rPr>
        <w:t>)</w:t>
      </w:r>
      <w:r w:rsidRPr="00740F39">
        <w:rPr>
          <w:rFonts w:ascii="Arial" w:hAnsi="Arial" w:cs="Arial"/>
        </w:rPr>
        <w:t xml:space="preserve">, </w:t>
      </w:r>
      <w:r w:rsidRPr="00740F39">
        <w:rPr>
          <w:rFonts w:ascii="Arial" w:hAnsi="Arial" w:cs="Arial"/>
          <w:bCs/>
        </w:rPr>
        <w:t>Simpson’s diversity (1–D = 0.912)</w:t>
      </w:r>
      <w:r w:rsidRPr="00740F39">
        <w:rPr>
          <w:rFonts w:ascii="Arial" w:hAnsi="Arial" w:cs="Arial"/>
        </w:rPr>
        <w:t xml:space="preserve">, and </w:t>
      </w:r>
      <w:r w:rsidRPr="00740F39">
        <w:rPr>
          <w:rFonts w:ascii="Arial" w:hAnsi="Arial" w:cs="Arial"/>
          <w:bCs/>
        </w:rPr>
        <w:t>Pielou’s evenness (J = 0.956)</w:t>
      </w:r>
      <w:r w:rsidRPr="00740F39">
        <w:rPr>
          <w:rFonts w:ascii="Arial" w:hAnsi="Arial" w:cs="Arial"/>
        </w:rPr>
        <w:t xml:space="preserve"> for the</w:t>
      </w:r>
      <w:r w:rsidRPr="00B321BC">
        <w:rPr>
          <w:rFonts w:ascii="Arial" w:hAnsi="Arial" w:cs="Arial"/>
        </w:rPr>
        <w:t xml:space="preserve"> combined dataset, indicating high heterogeneity and even distribution of individuals among species. Site B showed marginally higher values (H′ = 2.98) than Site A (H′ = 2.84), reflecting richer assemblages and balanced species representation.</w:t>
      </w:r>
    </w:p>
    <w:p w:rsidR="00DE43D6" w:rsidRPr="00B321BC" w:rsidRDefault="00DE43D6" w:rsidP="00DE43D6">
      <w:pPr>
        <w:jc w:val="both"/>
        <w:rPr>
          <w:rFonts w:ascii="Arial" w:hAnsi="Arial" w:cs="Arial"/>
        </w:rPr>
      </w:pPr>
      <w:r>
        <w:rPr>
          <w:rFonts w:ascii="Arial" w:hAnsi="Arial" w:cs="Arial"/>
          <w:b/>
          <w:bCs/>
        </w:rPr>
        <w:t xml:space="preserve">3.4 </w:t>
      </w:r>
      <w:r w:rsidRPr="00B321BC">
        <w:rPr>
          <w:rFonts w:ascii="Arial" w:hAnsi="Arial" w:cs="Arial"/>
          <w:b/>
          <w:bCs/>
        </w:rPr>
        <w:t>Temporal trend:</w:t>
      </w:r>
      <w:r w:rsidRPr="00B321BC">
        <w:rPr>
          <w:rFonts w:ascii="Arial" w:hAnsi="Arial" w:cs="Arial"/>
        </w:rPr>
        <w:t>Species abundance peaked in late August and September, coinciding with lush vegetation and abundant flowering. A gradual decline occurred in October as temperature and floral resources reduced. Such seasonal variation aligns with typical monsoon-driven butterfly activity patterns in northern India (Kunte 1997; Grøtan et al. 2012).</w:t>
      </w:r>
    </w:p>
    <w:p w:rsidR="00DE43D6" w:rsidRDefault="005D00CB" w:rsidP="00DE43D6">
      <w:pPr>
        <w:jc w:val="both"/>
        <w:rPr>
          <w:rFonts w:ascii="Arial" w:hAnsi="Arial" w:cs="Arial"/>
        </w:rPr>
      </w:pPr>
      <w:r>
        <w:rPr>
          <w:rFonts w:ascii="Arial" w:hAnsi="Arial" w:cs="Arial"/>
          <w:b/>
          <w:bCs/>
        </w:rPr>
        <w:t>3.5 Discussion</w:t>
      </w:r>
      <w:r w:rsidRPr="00B321BC">
        <w:rPr>
          <w:rFonts w:ascii="Arial" w:hAnsi="Arial" w:cs="Arial"/>
          <w:b/>
          <w:bCs/>
        </w:rPr>
        <w:t>:</w:t>
      </w:r>
    </w:p>
    <w:p w:rsidR="003B37AA" w:rsidRPr="00845788" w:rsidRDefault="003B37AA" w:rsidP="003B37AA">
      <w:pPr>
        <w:jc w:val="both"/>
        <w:rPr>
          <w:rFonts w:ascii="Arial" w:hAnsi="Arial" w:cs="Arial"/>
        </w:rPr>
      </w:pPr>
      <w:r w:rsidRPr="00845788">
        <w:rPr>
          <w:rFonts w:ascii="Arial" w:hAnsi="Arial" w:cs="Arial"/>
        </w:rPr>
        <w:t xml:space="preserve">The present survey provides the first systematic documentation of butterfly fauna from the Bazpur region of the KumaunTerai, Uttarakhand. The record of 22 species, though modest, is significant for a short-term post-monsoon study in a largely agricultural landscape. The dominance of Nymphalidae and Pieridae mirrors findings from nearby regions such as </w:t>
      </w:r>
      <w:r w:rsidRPr="00845788">
        <w:rPr>
          <w:rFonts w:ascii="Arial" w:hAnsi="Arial" w:cs="Arial"/>
        </w:rPr>
        <w:lastRenderedPageBreak/>
        <w:t>Nandhour Wildlife Sanctuary (Chandra et al. 2023) and Shyamlatal wetland (Verma &amp; Arya 2021), where these families were also most abundant. Members of Nymphalidae are known to be polyphagous and resilient, able to utilize multiple nectar and host-plant resources (Kunte1997; Kehimkar 2016). Their wide adaptability explains their success in semi-urban and open  habitats such as Bazpur.</w:t>
      </w:r>
    </w:p>
    <w:p w:rsidR="00DE43D6" w:rsidRPr="00B321BC" w:rsidRDefault="00DE43D6" w:rsidP="00DE43D6">
      <w:pPr>
        <w:jc w:val="both"/>
        <w:rPr>
          <w:rFonts w:ascii="Arial" w:hAnsi="Arial" w:cs="Arial"/>
        </w:rPr>
      </w:pPr>
      <w:r w:rsidRPr="00B321BC">
        <w:rPr>
          <w:rFonts w:ascii="Arial" w:hAnsi="Arial" w:cs="Arial"/>
        </w:rPr>
        <w:t>Slightly higher richness at Site B compared to Site A can be attributed to greater vegetation complexity and reduced human disturbance. Similar patterns were noted by Verma &amp; Arya (2022) and Chandra et al. (2023), who found that mixed vegetation and floral diversity support richer butterfly communities. The comparatively lower diversity at Site A may result from agricultural intensification, pesticide use, and habitat simplification—factors known to adversely affect butterfly assemblages worldwide (Öckinger et al. 2006; Gilburn et al. 2015).</w:t>
      </w:r>
    </w:p>
    <w:p w:rsidR="00DE43D6" w:rsidRPr="00B321BC" w:rsidRDefault="00DE43D6" w:rsidP="00DE43D6">
      <w:pPr>
        <w:jc w:val="both"/>
        <w:rPr>
          <w:rFonts w:ascii="Arial" w:hAnsi="Arial" w:cs="Arial"/>
        </w:rPr>
      </w:pPr>
      <w:r w:rsidRPr="00B321BC">
        <w:rPr>
          <w:rFonts w:ascii="Arial" w:hAnsi="Arial" w:cs="Arial"/>
        </w:rPr>
        <w:t xml:space="preserve">The occurrence of all five major families, including swallowtails and skippers, suggests that the Terai landscape still retains the ecological resources required for diverse butterfly guilds. Particularly notable was the record of </w:t>
      </w:r>
      <w:r w:rsidRPr="00B321BC">
        <w:rPr>
          <w:rFonts w:ascii="Arial" w:hAnsi="Arial" w:cs="Arial"/>
          <w:i/>
          <w:iCs/>
        </w:rPr>
        <w:t>Tarucusbalkanica</w:t>
      </w:r>
      <w:r w:rsidRPr="00B321BC">
        <w:rPr>
          <w:rFonts w:ascii="Arial" w:hAnsi="Arial" w:cs="Arial"/>
        </w:rPr>
        <w:t>, a species regarded as rare in Uttarakhand (Sondhi&amp;Kunte 2018; Kunte 2022). Its isolated sighting extends the known distribution of this taxon in the Kumaun plains and underlines the importance of continued surveys. Comparable single-site occurrences have contributed to rediscoveries or range extensions of other Himalayan species (Smetacek 2012; Arya et al. 2020).</w:t>
      </w:r>
    </w:p>
    <w:p w:rsidR="00DE43D6" w:rsidRPr="00B321BC" w:rsidRDefault="00DE43D6" w:rsidP="00DE43D6">
      <w:pPr>
        <w:jc w:val="both"/>
        <w:rPr>
          <w:rFonts w:ascii="Arial" w:hAnsi="Arial" w:cs="Arial"/>
        </w:rPr>
      </w:pPr>
      <w:r w:rsidRPr="00B321BC">
        <w:rPr>
          <w:rFonts w:ascii="Arial" w:hAnsi="Arial" w:cs="Arial"/>
        </w:rPr>
        <w:t>The high evenness (J = 0.956) and Shannon diversity (H′ = 2.955) indicate a balanced community with no extreme dominance, suggesting habitat stability despite anthropogenic pressures. Similar diversity levels have been reported from Dehradun (Pandey et al. 2022). The observed seasonal peak during the monsoon corresponds with well-established patterns in tropical regions, where moisture and floral availability drive butterfly abundance (Grøtan et al. 2012; Verma &amp; Arya 2021).</w:t>
      </w:r>
    </w:p>
    <w:p w:rsidR="00DE43D6" w:rsidRPr="00B321BC" w:rsidRDefault="00DE43D6" w:rsidP="00DE43D6">
      <w:pPr>
        <w:jc w:val="both"/>
        <w:rPr>
          <w:rFonts w:ascii="Arial" w:hAnsi="Arial" w:cs="Arial"/>
        </w:rPr>
      </w:pPr>
      <w:r w:rsidRPr="00B321BC">
        <w:rPr>
          <w:rFonts w:ascii="Arial" w:hAnsi="Arial" w:cs="Arial"/>
        </w:rPr>
        <w:t>Anthropogenic activities such as</w:t>
      </w:r>
      <w:r w:rsidR="00991C57">
        <w:rPr>
          <w:rFonts w:ascii="Arial" w:hAnsi="Arial" w:cs="Arial"/>
        </w:rPr>
        <w:t xml:space="preserve"> use of</w:t>
      </w:r>
      <w:r w:rsidRPr="00B321BC">
        <w:rPr>
          <w:rFonts w:ascii="Arial" w:hAnsi="Arial" w:cs="Arial"/>
        </w:rPr>
        <w:t xml:space="preserve"> fertilizer and pes</w:t>
      </w:r>
      <w:r w:rsidR="00991C57">
        <w:rPr>
          <w:rFonts w:ascii="Arial" w:hAnsi="Arial" w:cs="Arial"/>
        </w:rPr>
        <w:t>ticide,</w:t>
      </w:r>
      <w:r w:rsidRPr="00B321BC">
        <w:rPr>
          <w:rFonts w:ascii="Arial" w:hAnsi="Arial" w:cs="Arial"/>
        </w:rPr>
        <w:t xml:space="preserve"> grazing, and veg</w:t>
      </w:r>
      <w:r w:rsidR="00991C57">
        <w:rPr>
          <w:rFonts w:ascii="Arial" w:hAnsi="Arial" w:cs="Arial"/>
        </w:rPr>
        <w:t>etation clearance can adversely</w:t>
      </w:r>
      <w:r w:rsidRPr="00B321BC">
        <w:rPr>
          <w:rFonts w:ascii="Arial" w:hAnsi="Arial" w:cs="Arial"/>
        </w:rPr>
        <w:t xml:space="preserve"> affect butterfly populations by reducing host-plant availability and altering microhabitats (Braak et al. 2018; Forister et al. 2016). Nevertheless, the persistence of generalist taxa in Bazpur indicates ecological tolerance and partial adaptation to modified environments. Conservation measures promoting organic farming, floral hedgerows, and native vegetation in agricultural landscapes can help maintain pollinator diversity (Gilburn et al. 2015).</w:t>
      </w:r>
    </w:p>
    <w:bookmarkEnd w:id="6"/>
    <w:p w:rsidR="003B37AA" w:rsidRPr="00845788" w:rsidRDefault="003B37AA" w:rsidP="003B37AA">
      <w:pPr>
        <w:jc w:val="both"/>
        <w:rPr>
          <w:rFonts w:ascii="Arial" w:hAnsi="Arial" w:cs="Arial"/>
        </w:rPr>
      </w:pPr>
      <w:r w:rsidRPr="00845788">
        <w:rPr>
          <w:rFonts w:ascii="Arial" w:hAnsi="Arial" w:cs="Arial"/>
        </w:rPr>
        <w:t>Overall, this baseline documentation demonstrates that BazpurTerai sustain a noteworthy butterfly diversity, including a rare species and ecologically important families dominated by generalist taxa of Nymphalidae and Pieridae, with representatives from all major families of Lepidoptera. Such baselines is important for long-term monitoring, especially given increasing habitat alteration in the Terai Arc Landscape (Chanchani et al. 2014). Future work should include year-round sampling, quantitative habitat analysis, and inclusion of adjoining forest edges to better understand seasonal dynamics and conservation priorities in this transitional Himalayan ecosystem.</w:t>
      </w:r>
    </w:p>
    <w:p w:rsidR="00DE43D6" w:rsidRDefault="00DE43D6" w:rsidP="00F36562">
      <w:pPr>
        <w:tabs>
          <w:tab w:val="left" w:pos="7845"/>
        </w:tabs>
        <w:rPr>
          <w:rFonts w:ascii="Arial" w:hAnsi="Arial"/>
          <w:b/>
        </w:rPr>
      </w:pPr>
    </w:p>
    <w:p w:rsidR="00CB3EF4" w:rsidRDefault="00CB3EF4" w:rsidP="009231F8">
      <w:pPr>
        <w:tabs>
          <w:tab w:val="left" w:pos="7845"/>
        </w:tabs>
        <w:rPr>
          <w:rFonts w:ascii="Arial" w:hAnsi="Arial"/>
          <w:b/>
        </w:rPr>
      </w:pPr>
      <w:r>
        <w:rPr>
          <w:rFonts w:ascii="Arial" w:hAnsi="Arial"/>
          <w:b/>
        </w:rPr>
        <w:t>Table 1</w:t>
      </w:r>
      <w:r w:rsidR="002F5BC0">
        <w:rPr>
          <w:rFonts w:ascii="Arial" w:hAnsi="Arial"/>
          <w:b/>
        </w:rPr>
        <w:t>:</w:t>
      </w:r>
      <w:r w:rsidR="002E0DCA" w:rsidRPr="00DD77D0">
        <w:rPr>
          <w:rFonts w:ascii="Arial" w:hAnsi="Arial" w:cs="Arial"/>
          <w:b/>
          <w:bCs/>
        </w:rPr>
        <w:t xml:space="preserve">Butterfly </w:t>
      </w:r>
      <w:r w:rsidR="009231F8">
        <w:rPr>
          <w:rFonts w:ascii="Arial" w:hAnsi="Arial" w:cs="Arial"/>
          <w:b/>
          <w:bCs/>
        </w:rPr>
        <w:t>(</w:t>
      </w:r>
      <w:r w:rsidR="002F5BC0" w:rsidRPr="002F5BC0">
        <w:rPr>
          <w:rFonts w:ascii="Arial" w:hAnsi="Arial" w:cs="Arial"/>
          <w:b/>
        </w:rPr>
        <w:t>Lepidoptera: Rhopalocera</w:t>
      </w:r>
      <w:r w:rsidR="009231F8">
        <w:rPr>
          <w:rFonts w:ascii="Arial" w:hAnsi="Arial" w:cs="Arial"/>
          <w:b/>
        </w:rPr>
        <w:t xml:space="preserve">) </w:t>
      </w:r>
      <w:r w:rsidR="002E0DCA" w:rsidRPr="00DD77D0">
        <w:rPr>
          <w:rFonts w:ascii="Arial" w:hAnsi="Arial" w:cs="Arial"/>
          <w:b/>
          <w:bCs/>
        </w:rPr>
        <w:t>taxa recorded from Bazpur, Uttarakhand (</w:t>
      </w:r>
      <w:r w:rsidR="00F36562">
        <w:rPr>
          <w:rFonts w:ascii="Arial" w:hAnsi="Arial" w:cs="Arial"/>
          <w:b/>
          <w:bCs/>
        </w:rPr>
        <w:t>1</w:t>
      </w:r>
      <w:r w:rsidR="002E0DCA" w:rsidRPr="00DD77D0">
        <w:rPr>
          <w:rFonts w:ascii="Arial" w:hAnsi="Arial" w:cs="Arial"/>
          <w:b/>
          <w:bCs/>
        </w:rPr>
        <w:t>5 July–1</w:t>
      </w:r>
      <w:r w:rsidR="00F7784F">
        <w:rPr>
          <w:rFonts w:ascii="Arial" w:hAnsi="Arial" w:cs="Arial"/>
          <w:b/>
          <w:bCs/>
        </w:rPr>
        <w:t>4</w:t>
      </w:r>
      <w:r w:rsidR="002E0DCA" w:rsidRPr="00DD77D0">
        <w:rPr>
          <w:rFonts w:ascii="Arial" w:hAnsi="Arial" w:cs="Arial"/>
          <w:b/>
          <w:bCs/>
        </w:rPr>
        <w:t xml:space="preserve"> October 2025)</w:t>
      </w:r>
    </w:p>
    <w:p w:rsidR="002E0DCA" w:rsidRPr="00DC3180" w:rsidRDefault="002E0DCA" w:rsidP="002E0DCA">
      <w:pPr>
        <w:tabs>
          <w:tab w:val="left" w:pos="1080"/>
        </w:tabs>
        <w:jc w:val="both"/>
        <w:rPr>
          <w:rFonts w:ascii="Arial" w:hAnsi="Arial"/>
          <w:b/>
        </w:rPr>
      </w:pPr>
    </w:p>
    <w:tbl>
      <w:tblPr>
        <w:tblStyle w:val="TableGrid"/>
        <w:tblW w:w="9081" w:type="dxa"/>
        <w:tblInd w:w="-176" w:type="dxa"/>
        <w:tblLayout w:type="fixed"/>
        <w:tblLook w:val="04A0"/>
      </w:tblPr>
      <w:tblGrid>
        <w:gridCol w:w="763"/>
        <w:gridCol w:w="2378"/>
        <w:gridCol w:w="2430"/>
        <w:gridCol w:w="990"/>
        <w:gridCol w:w="900"/>
        <w:gridCol w:w="720"/>
        <w:gridCol w:w="900"/>
      </w:tblGrid>
      <w:tr w:rsidR="002E0DCA" w:rsidRPr="00257980" w:rsidTr="0033417A">
        <w:trPr>
          <w:trHeight w:val="407"/>
        </w:trPr>
        <w:tc>
          <w:tcPr>
            <w:tcW w:w="763" w:type="dxa"/>
          </w:tcPr>
          <w:p w:rsidR="002E0DCA" w:rsidRPr="00257980" w:rsidRDefault="002E0DCA" w:rsidP="00A43368">
            <w:pPr>
              <w:tabs>
                <w:tab w:val="left" w:pos="7845"/>
              </w:tabs>
              <w:rPr>
                <w:rFonts w:ascii="Arial" w:hAnsi="Arial" w:cs="Arial"/>
                <w:b/>
                <w:sz w:val="20"/>
                <w:szCs w:val="20"/>
              </w:rPr>
            </w:pPr>
            <w:r w:rsidRPr="00257980">
              <w:rPr>
                <w:rFonts w:ascii="Arial" w:hAnsi="Arial" w:cs="Arial"/>
                <w:b/>
                <w:sz w:val="20"/>
                <w:szCs w:val="20"/>
              </w:rPr>
              <w:t>S.No.</w:t>
            </w:r>
          </w:p>
        </w:tc>
        <w:tc>
          <w:tcPr>
            <w:tcW w:w="2378" w:type="dxa"/>
          </w:tcPr>
          <w:p w:rsidR="002E0DCA" w:rsidRPr="00257980" w:rsidRDefault="002E0DCA" w:rsidP="00A43368">
            <w:pPr>
              <w:tabs>
                <w:tab w:val="left" w:pos="7845"/>
              </w:tabs>
              <w:rPr>
                <w:rFonts w:ascii="Arial" w:hAnsi="Arial" w:cs="Arial"/>
                <w:b/>
                <w:sz w:val="20"/>
                <w:szCs w:val="20"/>
              </w:rPr>
            </w:pPr>
            <w:r w:rsidRPr="00257980">
              <w:rPr>
                <w:rFonts w:ascii="Arial" w:hAnsi="Arial" w:cs="Arial"/>
                <w:b/>
                <w:sz w:val="20"/>
                <w:szCs w:val="20"/>
              </w:rPr>
              <w:t xml:space="preserve">Species composition </w:t>
            </w:r>
          </w:p>
        </w:tc>
        <w:tc>
          <w:tcPr>
            <w:tcW w:w="2430" w:type="dxa"/>
          </w:tcPr>
          <w:p w:rsidR="002E0DCA" w:rsidRPr="00257980" w:rsidRDefault="002E0DCA" w:rsidP="00A43368">
            <w:pPr>
              <w:tabs>
                <w:tab w:val="left" w:pos="7845"/>
              </w:tabs>
              <w:rPr>
                <w:rFonts w:ascii="Arial" w:hAnsi="Arial" w:cs="Arial"/>
                <w:b/>
                <w:sz w:val="20"/>
                <w:szCs w:val="20"/>
              </w:rPr>
            </w:pPr>
            <w:r w:rsidRPr="00257980">
              <w:rPr>
                <w:rFonts w:ascii="Arial" w:hAnsi="Arial" w:cs="Arial"/>
                <w:b/>
                <w:sz w:val="20"/>
                <w:szCs w:val="20"/>
              </w:rPr>
              <w:t>Common Name</w:t>
            </w:r>
          </w:p>
        </w:tc>
        <w:tc>
          <w:tcPr>
            <w:tcW w:w="990" w:type="dxa"/>
          </w:tcPr>
          <w:p w:rsidR="002E0DCA" w:rsidRPr="00257980" w:rsidRDefault="002E0DCA" w:rsidP="00A43368">
            <w:pPr>
              <w:tabs>
                <w:tab w:val="left" w:pos="7845"/>
              </w:tabs>
              <w:rPr>
                <w:rFonts w:ascii="Arial" w:hAnsi="Arial" w:cs="Arial"/>
                <w:b/>
                <w:sz w:val="20"/>
                <w:szCs w:val="20"/>
              </w:rPr>
            </w:pPr>
            <w:r w:rsidRPr="00257980">
              <w:rPr>
                <w:rFonts w:ascii="Arial" w:hAnsi="Arial" w:cs="Arial"/>
                <w:b/>
                <w:sz w:val="20"/>
                <w:szCs w:val="20"/>
              </w:rPr>
              <w:t xml:space="preserve">Site </w:t>
            </w:r>
            <w:r w:rsidR="00DA723B">
              <w:rPr>
                <w:rFonts w:ascii="Arial" w:hAnsi="Arial" w:cs="Arial"/>
                <w:b/>
                <w:sz w:val="20"/>
                <w:szCs w:val="20"/>
              </w:rPr>
              <w:t>–</w:t>
            </w:r>
            <w:r w:rsidRPr="00257980">
              <w:rPr>
                <w:rFonts w:ascii="Arial" w:hAnsi="Arial" w:cs="Arial"/>
                <w:b/>
                <w:sz w:val="20"/>
                <w:szCs w:val="20"/>
              </w:rPr>
              <w:t xml:space="preserve"> 1</w:t>
            </w:r>
          </w:p>
        </w:tc>
        <w:tc>
          <w:tcPr>
            <w:tcW w:w="900" w:type="dxa"/>
          </w:tcPr>
          <w:p w:rsidR="002E0DCA" w:rsidRPr="00257980" w:rsidRDefault="002E0DCA" w:rsidP="00A43368">
            <w:pPr>
              <w:tabs>
                <w:tab w:val="left" w:pos="7845"/>
              </w:tabs>
              <w:rPr>
                <w:rFonts w:ascii="Arial" w:hAnsi="Arial" w:cs="Arial"/>
                <w:b/>
                <w:sz w:val="20"/>
                <w:szCs w:val="20"/>
              </w:rPr>
            </w:pPr>
            <w:r w:rsidRPr="00257980">
              <w:rPr>
                <w:rFonts w:ascii="Arial" w:hAnsi="Arial" w:cs="Arial"/>
                <w:b/>
                <w:sz w:val="20"/>
                <w:szCs w:val="20"/>
              </w:rPr>
              <w:t>Site - 2</w:t>
            </w:r>
          </w:p>
        </w:tc>
        <w:tc>
          <w:tcPr>
            <w:tcW w:w="720" w:type="dxa"/>
            <w:tcBorders>
              <w:right w:val="single" w:sz="4" w:space="0" w:color="auto"/>
            </w:tcBorders>
          </w:tcPr>
          <w:p w:rsidR="002E0DCA" w:rsidRPr="00257980" w:rsidRDefault="002E0DCA" w:rsidP="00A43368">
            <w:pPr>
              <w:tabs>
                <w:tab w:val="left" w:pos="7845"/>
              </w:tabs>
              <w:rPr>
                <w:rFonts w:ascii="Arial" w:hAnsi="Arial" w:cs="Arial"/>
                <w:b/>
                <w:sz w:val="20"/>
                <w:szCs w:val="20"/>
              </w:rPr>
            </w:pPr>
            <w:r w:rsidRPr="00257980">
              <w:rPr>
                <w:rFonts w:ascii="Arial" w:hAnsi="Arial" w:cs="Arial"/>
                <w:b/>
                <w:sz w:val="20"/>
                <w:szCs w:val="20"/>
              </w:rPr>
              <w:t>Total</w:t>
            </w:r>
          </w:p>
        </w:tc>
        <w:tc>
          <w:tcPr>
            <w:tcW w:w="900" w:type="dxa"/>
            <w:tcBorders>
              <w:left w:val="single" w:sz="4" w:space="0" w:color="auto"/>
            </w:tcBorders>
          </w:tcPr>
          <w:p w:rsidR="002E0DCA" w:rsidRPr="00257980" w:rsidRDefault="002E0DCA" w:rsidP="00A43368">
            <w:pPr>
              <w:tabs>
                <w:tab w:val="left" w:pos="7845"/>
              </w:tabs>
              <w:rPr>
                <w:rFonts w:ascii="Arial" w:hAnsi="Arial" w:cs="Arial"/>
                <w:b/>
                <w:sz w:val="20"/>
                <w:szCs w:val="20"/>
              </w:rPr>
            </w:pPr>
            <w:r w:rsidRPr="00257980">
              <w:rPr>
                <w:rFonts w:ascii="Arial" w:hAnsi="Arial" w:cs="Arial"/>
                <w:b/>
                <w:sz w:val="20"/>
                <w:szCs w:val="20"/>
              </w:rPr>
              <w:t>Status</w:t>
            </w:r>
          </w:p>
        </w:tc>
      </w:tr>
      <w:tr w:rsidR="002E0DCA" w:rsidRPr="00257980" w:rsidTr="0033417A">
        <w:trPr>
          <w:trHeight w:val="287"/>
        </w:trPr>
        <w:tc>
          <w:tcPr>
            <w:tcW w:w="9081" w:type="dxa"/>
            <w:gridSpan w:val="7"/>
            <w:tcBorders>
              <w:bottom w:val="single" w:sz="4" w:space="0" w:color="000000" w:themeColor="text1"/>
            </w:tcBorders>
          </w:tcPr>
          <w:p w:rsidR="002E0DCA" w:rsidRPr="00257980" w:rsidRDefault="009231F8" w:rsidP="00A43368">
            <w:pPr>
              <w:tabs>
                <w:tab w:val="left" w:pos="7845"/>
              </w:tabs>
              <w:jc w:val="center"/>
              <w:rPr>
                <w:rFonts w:ascii="Arial" w:hAnsi="Arial" w:cs="Arial"/>
                <w:b/>
                <w:sz w:val="20"/>
                <w:szCs w:val="20"/>
              </w:rPr>
            </w:pPr>
            <w:r w:rsidRPr="00257980">
              <w:rPr>
                <w:rFonts w:ascii="Arial" w:hAnsi="Arial" w:cs="Arial"/>
                <w:b/>
                <w:sz w:val="20"/>
                <w:szCs w:val="20"/>
              </w:rPr>
              <w:t>Family: Nymphalidae</w:t>
            </w:r>
          </w:p>
        </w:tc>
      </w:tr>
      <w:tr w:rsidR="002E0DCA" w:rsidRPr="00257980" w:rsidTr="0033417A">
        <w:trPr>
          <w:trHeight w:val="254"/>
        </w:trPr>
        <w:tc>
          <w:tcPr>
            <w:tcW w:w="763" w:type="dxa"/>
          </w:tcPr>
          <w:p w:rsidR="002E0DCA" w:rsidRPr="00257980" w:rsidRDefault="002E0DCA" w:rsidP="00A43368">
            <w:pPr>
              <w:tabs>
                <w:tab w:val="left" w:pos="7845"/>
              </w:tabs>
              <w:rPr>
                <w:rFonts w:ascii="Arial" w:hAnsi="Arial" w:cs="Arial"/>
                <w:sz w:val="20"/>
                <w:szCs w:val="20"/>
              </w:rPr>
            </w:pPr>
            <w:bookmarkStart w:id="9" w:name="_Hlk212912834"/>
            <w:r w:rsidRPr="00257980">
              <w:rPr>
                <w:rFonts w:ascii="Arial" w:hAnsi="Arial" w:cs="Arial"/>
                <w:sz w:val="20"/>
                <w:szCs w:val="20"/>
              </w:rPr>
              <w:t>1</w:t>
            </w:r>
          </w:p>
        </w:tc>
        <w:tc>
          <w:tcPr>
            <w:tcW w:w="2378" w:type="dxa"/>
          </w:tcPr>
          <w:p w:rsidR="002E0DCA" w:rsidRPr="00257980" w:rsidRDefault="002E0DCA" w:rsidP="00A43368">
            <w:pPr>
              <w:tabs>
                <w:tab w:val="left" w:pos="7845"/>
              </w:tabs>
              <w:rPr>
                <w:rFonts w:ascii="Arial" w:hAnsi="Arial" w:cs="Arial"/>
                <w:i/>
                <w:sz w:val="20"/>
                <w:szCs w:val="20"/>
              </w:rPr>
            </w:pPr>
            <w:r w:rsidRPr="00257980">
              <w:rPr>
                <w:rFonts w:ascii="Arial" w:hAnsi="Arial" w:cs="Arial"/>
                <w:i/>
                <w:sz w:val="20"/>
                <w:szCs w:val="20"/>
              </w:rPr>
              <w:t>Ariadne merione</w:t>
            </w:r>
          </w:p>
        </w:tc>
        <w:tc>
          <w:tcPr>
            <w:tcW w:w="2430"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 xml:space="preserve">Common castor </w:t>
            </w:r>
          </w:p>
        </w:tc>
        <w:tc>
          <w:tcPr>
            <w:tcW w:w="990" w:type="dxa"/>
          </w:tcPr>
          <w:p w:rsidR="002E0DCA" w:rsidRPr="00257980" w:rsidRDefault="00507D64" w:rsidP="00A43368">
            <w:pPr>
              <w:tabs>
                <w:tab w:val="left" w:pos="7845"/>
              </w:tabs>
              <w:rPr>
                <w:rFonts w:ascii="Arial" w:hAnsi="Arial" w:cs="Arial"/>
                <w:sz w:val="20"/>
                <w:szCs w:val="20"/>
              </w:rPr>
            </w:pPr>
            <w:r>
              <w:rPr>
                <w:rFonts w:ascii="Arial" w:hAnsi="Arial" w:cs="Arial"/>
                <w:sz w:val="20"/>
                <w:szCs w:val="20"/>
              </w:rPr>
              <w:t>6</w:t>
            </w:r>
          </w:p>
        </w:tc>
        <w:tc>
          <w:tcPr>
            <w:tcW w:w="900" w:type="dxa"/>
          </w:tcPr>
          <w:p w:rsidR="002E0DCA" w:rsidRPr="00257980" w:rsidRDefault="00507D64" w:rsidP="00A43368">
            <w:pPr>
              <w:tabs>
                <w:tab w:val="left" w:pos="7845"/>
              </w:tabs>
              <w:rPr>
                <w:rFonts w:ascii="Arial" w:hAnsi="Arial" w:cs="Arial"/>
                <w:sz w:val="20"/>
                <w:szCs w:val="20"/>
              </w:rPr>
            </w:pPr>
            <w:r>
              <w:rPr>
                <w:rFonts w:ascii="Arial" w:hAnsi="Arial" w:cs="Arial"/>
                <w:sz w:val="20"/>
                <w:szCs w:val="20"/>
              </w:rPr>
              <w:t>4</w:t>
            </w:r>
          </w:p>
        </w:tc>
        <w:tc>
          <w:tcPr>
            <w:tcW w:w="720" w:type="dxa"/>
            <w:tcBorders>
              <w:right w:val="single" w:sz="4" w:space="0" w:color="auto"/>
            </w:tcBorders>
          </w:tcPr>
          <w:p w:rsidR="002E0DCA" w:rsidRPr="00257980" w:rsidRDefault="00507D64" w:rsidP="00A43368">
            <w:pPr>
              <w:tabs>
                <w:tab w:val="left" w:pos="7845"/>
              </w:tabs>
              <w:rPr>
                <w:rFonts w:ascii="Arial" w:hAnsi="Arial" w:cs="Arial"/>
                <w:sz w:val="20"/>
                <w:szCs w:val="20"/>
              </w:rPr>
            </w:pPr>
            <w:r>
              <w:rPr>
                <w:rFonts w:ascii="Arial" w:hAnsi="Arial" w:cs="Arial"/>
                <w:sz w:val="20"/>
                <w:szCs w:val="20"/>
              </w:rPr>
              <w:t>10</w:t>
            </w:r>
          </w:p>
        </w:tc>
        <w:tc>
          <w:tcPr>
            <w:tcW w:w="900" w:type="dxa"/>
            <w:tcBorders>
              <w:left w:val="single" w:sz="4" w:space="0" w:color="auto"/>
            </w:tcBorders>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rsidTr="0033417A">
        <w:trPr>
          <w:trHeight w:val="287"/>
        </w:trPr>
        <w:tc>
          <w:tcPr>
            <w:tcW w:w="763"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2</w:t>
            </w:r>
          </w:p>
        </w:tc>
        <w:tc>
          <w:tcPr>
            <w:tcW w:w="2378" w:type="dxa"/>
          </w:tcPr>
          <w:p w:rsidR="002E0DCA" w:rsidRPr="00257980" w:rsidRDefault="002E0DCA" w:rsidP="00A43368">
            <w:pPr>
              <w:tabs>
                <w:tab w:val="left" w:pos="7845"/>
              </w:tabs>
              <w:rPr>
                <w:rFonts w:ascii="Arial" w:hAnsi="Arial" w:cs="Arial"/>
                <w:i/>
                <w:sz w:val="20"/>
                <w:szCs w:val="20"/>
              </w:rPr>
            </w:pPr>
            <w:r w:rsidRPr="00257980">
              <w:rPr>
                <w:rFonts w:ascii="Arial" w:hAnsi="Arial" w:cs="Arial"/>
                <w:i/>
                <w:sz w:val="20"/>
                <w:szCs w:val="20"/>
              </w:rPr>
              <w:t>Junonia</w:t>
            </w:r>
            <w:r w:rsidR="007757BD">
              <w:rPr>
                <w:rFonts w:ascii="Arial" w:hAnsi="Arial" w:cs="Arial"/>
                <w:i/>
                <w:sz w:val="20"/>
                <w:szCs w:val="20"/>
              </w:rPr>
              <w:t>almanac</w:t>
            </w:r>
          </w:p>
        </w:tc>
        <w:tc>
          <w:tcPr>
            <w:tcW w:w="2430"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Peacock pansy</w:t>
            </w:r>
          </w:p>
        </w:tc>
        <w:tc>
          <w:tcPr>
            <w:tcW w:w="990" w:type="dxa"/>
          </w:tcPr>
          <w:p w:rsidR="002E0DCA" w:rsidRPr="00257980" w:rsidRDefault="00507D64" w:rsidP="00A43368">
            <w:pPr>
              <w:tabs>
                <w:tab w:val="left" w:pos="7845"/>
              </w:tabs>
              <w:rPr>
                <w:rFonts w:ascii="Arial" w:hAnsi="Arial" w:cs="Arial"/>
                <w:sz w:val="20"/>
                <w:szCs w:val="20"/>
              </w:rPr>
            </w:pPr>
            <w:r>
              <w:rPr>
                <w:rFonts w:ascii="Arial" w:hAnsi="Arial" w:cs="Arial"/>
                <w:sz w:val="20"/>
                <w:szCs w:val="20"/>
              </w:rPr>
              <w:t>4</w:t>
            </w:r>
          </w:p>
        </w:tc>
        <w:tc>
          <w:tcPr>
            <w:tcW w:w="900" w:type="dxa"/>
          </w:tcPr>
          <w:p w:rsidR="002E0DCA" w:rsidRPr="00257980" w:rsidRDefault="00507D64" w:rsidP="00A43368">
            <w:pPr>
              <w:tabs>
                <w:tab w:val="left" w:pos="7845"/>
              </w:tabs>
              <w:rPr>
                <w:rFonts w:ascii="Arial" w:hAnsi="Arial" w:cs="Arial"/>
                <w:sz w:val="20"/>
                <w:szCs w:val="20"/>
              </w:rPr>
            </w:pPr>
            <w:r>
              <w:rPr>
                <w:rFonts w:ascii="Arial" w:hAnsi="Arial" w:cs="Arial"/>
                <w:sz w:val="20"/>
                <w:szCs w:val="20"/>
              </w:rPr>
              <w:t>8</w:t>
            </w:r>
          </w:p>
        </w:tc>
        <w:tc>
          <w:tcPr>
            <w:tcW w:w="720" w:type="dxa"/>
            <w:tcBorders>
              <w:right w:val="single" w:sz="4" w:space="0" w:color="auto"/>
            </w:tcBorders>
          </w:tcPr>
          <w:p w:rsidR="002E0DCA" w:rsidRPr="00257980" w:rsidRDefault="00507D64" w:rsidP="00A43368">
            <w:pPr>
              <w:tabs>
                <w:tab w:val="left" w:pos="7845"/>
              </w:tabs>
              <w:rPr>
                <w:rFonts w:ascii="Arial" w:hAnsi="Arial" w:cs="Arial"/>
                <w:sz w:val="20"/>
                <w:szCs w:val="20"/>
              </w:rPr>
            </w:pPr>
            <w:r>
              <w:rPr>
                <w:rFonts w:ascii="Arial" w:hAnsi="Arial" w:cs="Arial"/>
                <w:sz w:val="20"/>
                <w:szCs w:val="20"/>
              </w:rPr>
              <w:t>12</w:t>
            </w:r>
          </w:p>
        </w:tc>
        <w:tc>
          <w:tcPr>
            <w:tcW w:w="900" w:type="dxa"/>
            <w:tcBorders>
              <w:left w:val="single" w:sz="4" w:space="0" w:color="auto"/>
            </w:tcBorders>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rsidTr="0033417A">
        <w:trPr>
          <w:trHeight w:val="121"/>
        </w:trPr>
        <w:tc>
          <w:tcPr>
            <w:tcW w:w="763"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3</w:t>
            </w:r>
          </w:p>
        </w:tc>
        <w:tc>
          <w:tcPr>
            <w:tcW w:w="2378" w:type="dxa"/>
          </w:tcPr>
          <w:p w:rsidR="002E0DCA" w:rsidRPr="00257980" w:rsidRDefault="002E0DCA" w:rsidP="00A43368">
            <w:pPr>
              <w:tabs>
                <w:tab w:val="left" w:pos="7845"/>
              </w:tabs>
              <w:rPr>
                <w:rFonts w:ascii="Arial" w:hAnsi="Arial" w:cs="Arial"/>
                <w:i/>
                <w:sz w:val="20"/>
                <w:szCs w:val="20"/>
              </w:rPr>
            </w:pPr>
            <w:r w:rsidRPr="00257980">
              <w:rPr>
                <w:rFonts w:ascii="Arial" w:hAnsi="Arial" w:cs="Arial"/>
                <w:i/>
                <w:sz w:val="20"/>
                <w:szCs w:val="20"/>
              </w:rPr>
              <w:t>Danaus chrysippur</w:t>
            </w:r>
          </w:p>
        </w:tc>
        <w:tc>
          <w:tcPr>
            <w:tcW w:w="2430"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Plain tiger</w:t>
            </w:r>
          </w:p>
        </w:tc>
        <w:tc>
          <w:tcPr>
            <w:tcW w:w="990" w:type="dxa"/>
          </w:tcPr>
          <w:p w:rsidR="002E0DCA" w:rsidRPr="00257980" w:rsidRDefault="00507D64" w:rsidP="00A43368">
            <w:pPr>
              <w:tabs>
                <w:tab w:val="left" w:pos="7845"/>
              </w:tabs>
              <w:rPr>
                <w:rFonts w:ascii="Arial" w:hAnsi="Arial" w:cs="Arial"/>
                <w:sz w:val="20"/>
                <w:szCs w:val="20"/>
              </w:rPr>
            </w:pPr>
            <w:r>
              <w:rPr>
                <w:rFonts w:ascii="Arial" w:hAnsi="Arial" w:cs="Arial"/>
                <w:sz w:val="20"/>
                <w:szCs w:val="20"/>
              </w:rPr>
              <w:t>6</w:t>
            </w:r>
          </w:p>
        </w:tc>
        <w:tc>
          <w:tcPr>
            <w:tcW w:w="900" w:type="dxa"/>
          </w:tcPr>
          <w:p w:rsidR="002E0DCA" w:rsidRPr="00257980" w:rsidRDefault="00507D64" w:rsidP="00A43368">
            <w:pPr>
              <w:tabs>
                <w:tab w:val="left" w:pos="7845"/>
              </w:tabs>
              <w:rPr>
                <w:rFonts w:ascii="Arial" w:hAnsi="Arial" w:cs="Arial"/>
                <w:sz w:val="20"/>
                <w:szCs w:val="20"/>
              </w:rPr>
            </w:pPr>
            <w:r>
              <w:rPr>
                <w:rFonts w:ascii="Arial" w:hAnsi="Arial" w:cs="Arial"/>
                <w:sz w:val="20"/>
                <w:szCs w:val="20"/>
              </w:rPr>
              <w:t>10</w:t>
            </w:r>
          </w:p>
        </w:tc>
        <w:tc>
          <w:tcPr>
            <w:tcW w:w="720" w:type="dxa"/>
            <w:tcBorders>
              <w:right w:val="single" w:sz="4" w:space="0" w:color="auto"/>
            </w:tcBorders>
          </w:tcPr>
          <w:p w:rsidR="002E0DCA" w:rsidRPr="00257980" w:rsidRDefault="00507D64" w:rsidP="00A43368">
            <w:pPr>
              <w:tabs>
                <w:tab w:val="left" w:pos="7845"/>
              </w:tabs>
              <w:rPr>
                <w:rFonts w:ascii="Arial" w:hAnsi="Arial" w:cs="Arial"/>
                <w:sz w:val="20"/>
                <w:szCs w:val="20"/>
              </w:rPr>
            </w:pPr>
            <w:r>
              <w:rPr>
                <w:rFonts w:ascii="Arial" w:hAnsi="Arial" w:cs="Arial"/>
                <w:sz w:val="20"/>
                <w:szCs w:val="20"/>
              </w:rPr>
              <w:t>16</w:t>
            </w:r>
          </w:p>
        </w:tc>
        <w:tc>
          <w:tcPr>
            <w:tcW w:w="900" w:type="dxa"/>
            <w:tcBorders>
              <w:left w:val="single" w:sz="4" w:space="0" w:color="auto"/>
            </w:tcBorders>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rsidTr="0033417A">
        <w:trPr>
          <w:trHeight w:val="309"/>
        </w:trPr>
        <w:tc>
          <w:tcPr>
            <w:tcW w:w="763"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4</w:t>
            </w:r>
          </w:p>
        </w:tc>
        <w:tc>
          <w:tcPr>
            <w:tcW w:w="2378" w:type="dxa"/>
          </w:tcPr>
          <w:p w:rsidR="002E0DCA" w:rsidRPr="00257980" w:rsidRDefault="002E0DCA" w:rsidP="00A43368">
            <w:pPr>
              <w:tabs>
                <w:tab w:val="left" w:pos="7845"/>
              </w:tabs>
              <w:rPr>
                <w:rFonts w:ascii="Arial" w:hAnsi="Arial" w:cs="Arial"/>
                <w:i/>
                <w:sz w:val="20"/>
                <w:szCs w:val="20"/>
              </w:rPr>
            </w:pPr>
            <w:r w:rsidRPr="00257980">
              <w:rPr>
                <w:rFonts w:ascii="Arial" w:hAnsi="Arial" w:cs="Arial"/>
                <w:i/>
                <w:sz w:val="20"/>
                <w:szCs w:val="20"/>
              </w:rPr>
              <w:t>Phalantaphalantha</w:t>
            </w:r>
          </w:p>
        </w:tc>
        <w:tc>
          <w:tcPr>
            <w:tcW w:w="2430"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Common leopard</w:t>
            </w:r>
          </w:p>
        </w:tc>
        <w:tc>
          <w:tcPr>
            <w:tcW w:w="990" w:type="dxa"/>
          </w:tcPr>
          <w:p w:rsidR="002E0DCA" w:rsidRPr="00257980" w:rsidRDefault="00507D64" w:rsidP="00A43368">
            <w:pPr>
              <w:tabs>
                <w:tab w:val="left" w:pos="7845"/>
              </w:tabs>
              <w:rPr>
                <w:rFonts w:ascii="Arial" w:hAnsi="Arial" w:cs="Arial"/>
                <w:sz w:val="20"/>
                <w:szCs w:val="20"/>
              </w:rPr>
            </w:pPr>
            <w:r>
              <w:rPr>
                <w:rFonts w:ascii="Arial" w:hAnsi="Arial" w:cs="Arial"/>
                <w:sz w:val="20"/>
                <w:szCs w:val="20"/>
              </w:rPr>
              <w:t>8</w:t>
            </w:r>
          </w:p>
        </w:tc>
        <w:tc>
          <w:tcPr>
            <w:tcW w:w="900" w:type="dxa"/>
          </w:tcPr>
          <w:p w:rsidR="002E0DCA" w:rsidRPr="00257980" w:rsidRDefault="00507D64" w:rsidP="00A43368">
            <w:pPr>
              <w:tabs>
                <w:tab w:val="left" w:pos="7845"/>
              </w:tabs>
              <w:rPr>
                <w:rFonts w:ascii="Arial" w:hAnsi="Arial" w:cs="Arial"/>
                <w:sz w:val="20"/>
                <w:szCs w:val="20"/>
              </w:rPr>
            </w:pPr>
            <w:r>
              <w:rPr>
                <w:rFonts w:ascii="Arial" w:hAnsi="Arial" w:cs="Arial"/>
                <w:sz w:val="20"/>
                <w:szCs w:val="20"/>
              </w:rPr>
              <w:t>14</w:t>
            </w:r>
          </w:p>
        </w:tc>
        <w:tc>
          <w:tcPr>
            <w:tcW w:w="720" w:type="dxa"/>
            <w:tcBorders>
              <w:right w:val="single" w:sz="4" w:space="0" w:color="auto"/>
            </w:tcBorders>
          </w:tcPr>
          <w:p w:rsidR="002E0DCA" w:rsidRPr="00257980" w:rsidRDefault="00507D64" w:rsidP="00A43368">
            <w:pPr>
              <w:tabs>
                <w:tab w:val="left" w:pos="7845"/>
              </w:tabs>
              <w:rPr>
                <w:rFonts w:ascii="Arial" w:hAnsi="Arial" w:cs="Arial"/>
                <w:sz w:val="20"/>
                <w:szCs w:val="20"/>
              </w:rPr>
            </w:pPr>
            <w:r>
              <w:rPr>
                <w:rFonts w:ascii="Arial" w:hAnsi="Arial" w:cs="Arial"/>
                <w:sz w:val="20"/>
                <w:szCs w:val="20"/>
              </w:rPr>
              <w:t>22</w:t>
            </w:r>
          </w:p>
        </w:tc>
        <w:tc>
          <w:tcPr>
            <w:tcW w:w="900" w:type="dxa"/>
            <w:tcBorders>
              <w:left w:val="single" w:sz="4" w:space="0" w:color="auto"/>
            </w:tcBorders>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rsidTr="0033417A">
        <w:trPr>
          <w:trHeight w:val="143"/>
        </w:trPr>
        <w:tc>
          <w:tcPr>
            <w:tcW w:w="763"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5</w:t>
            </w:r>
          </w:p>
        </w:tc>
        <w:tc>
          <w:tcPr>
            <w:tcW w:w="2378" w:type="dxa"/>
          </w:tcPr>
          <w:p w:rsidR="002E0DCA" w:rsidRPr="00257980" w:rsidRDefault="002E0DCA" w:rsidP="00A43368">
            <w:pPr>
              <w:tabs>
                <w:tab w:val="left" w:pos="7845"/>
              </w:tabs>
              <w:rPr>
                <w:rFonts w:ascii="Arial" w:hAnsi="Arial" w:cs="Arial"/>
                <w:i/>
                <w:sz w:val="20"/>
                <w:szCs w:val="20"/>
              </w:rPr>
            </w:pPr>
            <w:r w:rsidRPr="00257980">
              <w:rPr>
                <w:rFonts w:ascii="Arial" w:hAnsi="Arial" w:cs="Arial"/>
                <w:i/>
                <w:sz w:val="20"/>
                <w:szCs w:val="20"/>
              </w:rPr>
              <w:t>Elymniashypermnestra</w:t>
            </w:r>
          </w:p>
        </w:tc>
        <w:tc>
          <w:tcPr>
            <w:tcW w:w="2430"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Common palmfly</w:t>
            </w:r>
          </w:p>
        </w:tc>
        <w:tc>
          <w:tcPr>
            <w:tcW w:w="990" w:type="dxa"/>
          </w:tcPr>
          <w:p w:rsidR="002E0DCA" w:rsidRPr="00257980" w:rsidRDefault="00507D64" w:rsidP="00A43368">
            <w:pPr>
              <w:tabs>
                <w:tab w:val="left" w:pos="7845"/>
              </w:tabs>
              <w:rPr>
                <w:rFonts w:ascii="Arial" w:hAnsi="Arial" w:cs="Arial"/>
                <w:sz w:val="20"/>
                <w:szCs w:val="20"/>
              </w:rPr>
            </w:pPr>
            <w:r>
              <w:rPr>
                <w:rFonts w:ascii="Arial" w:hAnsi="Arial" w:cs="Arial"/>
                <w:sz w:val="20"/>
                <w:szCs w:val="20"/>
              </w:rPr>
              <w:t>6</w:t>
            </w:r>
          </w:p>
        </w:tc>
        <w:tc>
          <w:tcPr>
            <w:tcW w:w="900" w:type="dxa"/>
          </w:tcPr>
          <w:p w:rsidR="002E0DCA" w:rsidRPr="00257980" w:rsidRDefault="00507D64" w:rsidP="00A43368">
            <w:pPr>
              <w:tabs>
                <w:tab w:val="left" w:pos="7845"/>
              </w:tabs>
              <w:rPr>
                <w:rFonts w:ascii="Arial" w:hAnsi="Arial" w:cs="Arial"/>
                <w:sz w:val="20"/>
                <w:szCs w:val="20"/>
              </w:rPr>
            </w:pPr>
            <w:r>
              <w:rPr>
                <w:rFonts w:ascii="Arial" w:hAnsi="Arial" w:cs="Arial"/>
                <w:sz w:val="20"/>
                <w:szCs w:val="20"/>
              </w:rPr>
              <w:t>10</w:t>
            </w:r>
          </w:p>
        </w:tc>
        <w:tc>
          <w:tcPr>
            <w:tcW w:w="720" w:type="dxa"/>
            <w:tcBorders>
              <w:right w:val="single" w:sz="4" w:space="0" w:color="auto"/>
            </w:tcBorders>
          </w:tcPr>
          <w:p w:rsidR="002E0DCA" w:rsidRPr="00257980" w:rsidRDefault="00507D64" w:rsidP="00A43368">
            <w:pPr>
              <w:tabs>
                <w:tab w:val="left" w:pos="7845"/>
              </w:tabs>
              <w:rPr>
                <w:rFonts w:ascii="Arial" w:hAnsi="Arial" w:cs="Arial"/>
                <w:sz w:val="20"/>
                <w:szCs w:val="20"/>
              </w:rPr>
            </w:pPr>
            <w:r>
              <w:rPr>
                <w:rFonts w:ascii="Arial" w:hAnsi="Arial" w:cs="Arial"/>
                <w:sz w:val="20"/>
                <w:szCs w:val="20"/>
              </w:rPr>
              <w:t>16</w:t>
            </w:r>
          </w:p>
        </w:tc>
        <w:tc>
          <w:tcPr>
            <w:tcW w:w="900" w:type="dxa"/>
            <w:tcBorders>
              <w:left w:val="single" w:sz="4" w:space="0" w:color="auto"/>
            </w:tcBorders>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rsidTr="0033417A">
        <w:trPr>
          <w:trHeight w:val="175"/>
        </w:trPr>
        <w:tc>
          <w:tcPr>
            <w:tcW w:w="763"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6</w:t>
            </w:r>
          </w:p>
        </w:tc>
        <w:tc>
          <w:tcPr>
            <w:tcW w:w="2378" w:type="dxa"/>
          </w:tcPr>
          <w:p w:rsidR="002E0DCA" w:rsidRPr="00257980" w:rsidRDefault="002E0DCA" w:rsidP="00A43368">
            <w:pPr>
              <w:tabs>
                <w:tab w:val="left" w:pos="7845"/>
              </w:tabs>
              <w:rPr>
                <w:rFonts w:ascii="Arial" w:hAnsi="Arial" w:cs="Arial"/>
                <w:i/>
                <w:sz w:val="20"/>
                <w:szCs w:val="20"/>
              </w:rPr>
            </w:pPr>
            <w:r w:rsidRPr="00257980">
              <w:rPr>
                <w:rFonts w:ascii="Arial" w:hAnsi="Arial" w:cs="Arial"/>
                <w:i/>
                <w:sz w:val="20"/>
                <w:szCs w:val="20"/>
              </w:rPr>
              <w:t>Melanitisleda</w:t>
            </w:r>
          </w:p>
        </w:tc>
        <w:tc>
          <w:tcPr>
            <w:tcW w:w="2430"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Common evening brown</w:t>
            </w:r>
          </w:p>
        </w:tc>
        <w:tc>
          <w:tcPr>
            <w:tcW w:w="990" w:type="dxa"/>
          </w:tcPr>
          <w:p w:rsidR="002E0DCA" w:rsidRPr="00257980" w:rsidRDefault="00507D64" w:rsidP="00A43368">
            <w:pPr>
              <w:tabs>
                <w:tab w:val="left" w:pos="7845"/>
              </w:tabs>
              <w:rPr>
                <w:rFonts w:ascii="Arial" w:hAnsi="Arial" w:cs="Arial"/>
                <w:sz w:val="20"/>
                <w:szCs w:val="20"/>
              </w:rPr>
            </w:pPr>
            <w:r>
              <w:rPr>
                <w:rFonts w:ascii="Arial" w:hAnsi="Arial" w:cs="Arial"/>
                <w:sz w:val="20"/>
                <w:szCs w:val="20"/>
              </w:rPr>
              <w:t>4</w:t>
            </w:r>
          </w:p>
        </w:tc>
        <w:tc>
          <w:tcPr>
            <w:tcW w:w="900" w:type="dxa"/>
          </w:tcPr>
          <w:p w:rsidR="002E0DCA" w:rsidRPr="00257980" w:rsidRDefault="00507D64" w:rsidP="00A43368">
            <w:pPr>
              <w:tabs>
                <w:tab w:val="left" w:pos="7845"/>
              </w:tabs>
              <w:rPr>
                <w:rFonts w:ascii="Arial" w:hAnsi="Arial" w:cs="Arial"/>
                <w:sz w:val="20"/>
                <w:szCs w:val="20"/>
              </w:rPr>
            </w:pPr>
            <w:r>
              <w:rPr>
                <w:rFonts w:ascii="Arial" w:hAnsi="Arial" w:cs="Arial"/>
                <w:sz w:val="20"/>
                <w:szCs w:val="20"/>
              </w:rPr>
              <w:t>8</w:t>
            </w:r>
          </w:p>
        </w:tc>
        <w:tc>
          <w:tcPr>
            <w:tcW w:w="720" w:type="dxa"/>
            <w:tcBorders>
              <w:right w:val="single" w:sz="4" w:space="0" w:color="auto"/>
            </w:tcBorders>
          </w:tcPr>
          <w:p w:rsidR="002E0DCA" w:rsidRPr="00257980" w:rsidRDefault="00507D64" w:rsidP="00A43368">
            <w:pPr>
              <w:tabs>
                <w:tab w:val="left" w:pos="7845"/>
              </w:tabs>
              <w:rPr>
                <w:rFonts w:ascii="Arial" w:hAnsi="Arial" w:cs="Arial"/>
                <w:sz w:val="20"/>
                <w:szCs w:val="20"/>
              </w:rPr>
            </w:pPr>
            <w:r>
              <w:rPr>
                <w:rFonts w:ascii="Arial" w:hAnsi="Arial" w:cs="Arial"/>
                <w:sz w:val="20"/>
                <w:szCs w:val="20"/>
              </w:rPr>
              <w:t>12</w:t>
            </w:r>
          </w:p>
        </w:tc>
        <w:tc>
          <w:tcPr>
            <w:tcW w:w="900" w:type="dxa"/>
            <w:tcBorders>
              <w:left w:val="single" w:sz="4" w:space="0" w:color="auto"/>
            </w:tcBorders>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rsidTr="0033417A">
        <w:trPr>
          <w:trHeight w:val="278"/>
        </w:trPr>
        <w:tc>
          <w:tcPr>
            <w:tcW w:w="763"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lastRenderedPageBreak/>
              <w:t>7</w:t>
            </w:r>
          </w:p>
        </w:tc>
        <w:tc>
          <w:tcPr>
            <w:tcW w:w="2378" w:type="dxa"/>
          </w:tcPr>
          <w:p w:rsidR="002E0DCA" w:rsidRPr="00257980" w:rsidRDefault="002E0DCA" w:rsidP="00A43368">
            <w:pPr>
              <w:tabs>
                <w:tab w:val="left" w:pos="7845"/>
              </w:tabs>
              <w:rPr>
                <w:rFonts w:ascii="Arial" w:hAnsi="Arial" w:cs="Arial"/>
                <w:i/>
                <w:sz w:val="20"/>
                <w:szCs w:val="20"/>
              </w:rPr>
            </w:pPr>
            <w:r w:rsidRPr="00257980">
              <w:rPr>
                <w:rFonts w:ascii="Arial" w:hAnsi="Arial" w:cs="Arial"/>
                <w:i/>
                <w:sz w:val="20"/>
                <w:szCs w:val="20"/>
              </w:rPr>
              <w:t>Junoniaatlites</w:t>
            </w:r>
          </w:p>
        </w:tc>
        <w:tc>
          <w:tcPr>
            <w:tcW w:w="2430"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Grey pansy</w:t>
            </w:r>
          </w:p>
        </w:tc>
        <w:tc>
          <w:tcPr>
            <w:tcW w:w="990" w:type="dxa"/>
          </w:tcPr>
          <w:p w:rsidR="002E0DCA" w:rsidRPr="00257980" w:rsidRDefault="00507D64" w:rsidP="00A43368">
            <w:pPr>
              <w:tabs>
                <w:tab w:val="left" w:pos="7845"/>
              </w:tabs>
              <w:rPr>
                <w:rFonts w:ascii="Arial" w:hAnsi="Arial" w:cs="Arial"/>
                <w:sz w:val="20"/>
                <w:szCs w:val="20"/>
              </w:rPr>
            </w:pPr>
            <w:r>
              <w:rPr>
                <w:rFonts w:ascii="Arial" w:hAnsi="Arial" w:cs="Arial"/>
                <w:sz w:val="20"/>
                <w:szCs w:val="20"/>
              </w:rPr>
              <w:t>4</w:t>
            </w:r>
          </w:p>
        </w:tc>
        <w:tc>
          <w:tcPr>
            <w:tcW w:w="900" w:type="dxa"/>
          </w:tcPr>
          <w:p w:rsidR="002E0DCA" w:rsidRPr="00257980" w:rsidRDefault="00507D64" w:rsidP="00A43368">
            <w:pPr>
              <w:tabs>
                <w:tab w:val="left" w:pos="7845"/>
              </w:tabs>
              <w:rPr>
                <w:rFonts w:ascii="Arial" w:hAnsi="Arial" w:cs="Arial"/>
                <w:sz w:val="20"/>
                <w:szCs w:val="20"/>
              </w:rPr>
            </w:pPr>
            <w:r>
              <w:rPr>
                <w:rFonts w:ascii="Arial" w:hAnsi="Arial" w:cs="Arial"/>
                <w:sz w:val="20"/>
                <w:szCs w:val="20"/>
              </w:rPr>
              <w:t>2</w:t>
            </w:r>
          </w:p>
        </w:tc>
        <w:tc>
          <w:tcPr>
            <w:tcW w:w="720" w:type="dxa"/>
            <w:tcBorders>
              <w:right w:val="single" w:sz="4" w:space="0" w:color="auto"/>
            </w:tcBorders>
          </w:tcPr>
          <w:p w:rsidR="002E0DCA" w:rsidRPr="00257980" w:rsidRDefault="00507D64" w:rsidP="00A43368">
            <w:pPr>
              <w:tabs>
                <w:tab w:val="left" w:pos="7845"/>
              </w:tabs>
              <w:rPr>
                <w:rFonts w:ascii="Arial" w:hAnsi="Arial" w:cs="Arial"/>
                <w:sz w:val="20"/>
                <w:szCs w:val="20"/>
              </w:rPr>
            </w:pPr>
            <w:r>
              <w:rPr>
                <w:rFonts w:ascii="Arial" w:hAnsi="Arial" w:cs="Arial"/>
                <w:sz w:val="20"/>
                <w:szCs w:val="20"/>
              </w:rPr>
              <w:t>6</w:t>
            </w:r>
          </w:p>
        </w:tc>
        <w:tc>
          <w:tcPr>
            <w:tcW w:w="900" w:type="dxa"/>
            <w:tcBorders>
              <w:left w:val="single" w:sz="4" w:space="0" w:color="auto"/>
            </w:tcBorders>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bookmarkEnd w:id="9"/>
      <w:tr w:rsidR="002E0DCA" w:rsidRPr="00257980" w:rsidTr="0033417A">
        <w:trPr>
          <w:trHeight w:val="233"/>
        </w:trPr>
        <w:tc>
          <w:tcPr>
            <w:tcW w:w="9081" w:type="dxa"/>
            <w:gridSpan w:val="7"/>
          </w:tcPr>
          <w:p w:rsidR="002E0DCA" w:rsidRPr="00257980" w:rsidRDefault="002E0DCA" w:rsidP="00A43368">
            <w:pPr>
              <w:tabs>
                <w:tab w:val="left" w:pos="7845"/>
              </w:tabs>
              <w:jc w:val="center"/>
              <w:rPr>
                <w:rFonts w:ascii="Arial" w:hAnsi="Arial" w:cs="Arial"/>
                <w:sz w:val="20"/>
                <w:szCs w:val="20"/>
              </w:rPr>
            </w:pPr>
            <w:r w:rsidRPr="00257980">
              <w:rPr>
                <w:rFonts w:ascii="Arial" w:hAnsi="Arial" w:cs="Arial"/>
                <w:b/>
                <w:sz w:val="20"/>
                <w:szCs w:val="20"/>
              </w:rPr>
              <w:t>Family:Pieridae</w:t>
            </w:r>
          </w:p>
        </w:tc>
      </w:tr>
      <w:tr w:rsidR="002E0DCA" w:rsidRPr="00257980" w:rsidTr="0033417A">
        <w:trPr>
          <w:trHeight w:val="287"/>
        </w:trPr>
        <w:tc>
          <w:tcPr>
            <w:tcW w:w="763"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8</w:t>
            </w:r>
          </w:p>
        </w:tc>
        <w:tc>
          <w:tcPr>
            <w:tcW w:w="2378" w:type="dxa"/>
          </w:tcPr>
          <w:p w:rsidR="002E0DCA" w:rsidRPr="00257980" w:rsidRDefault="002E0DCA" w:rsidP="00A43368">
            <w:pPr>
              <w:tabs>
                <w:tab w:val="left" w:pos="7845"/>
              </w:tabs>
              <w:rPr>
                <w:rFonts w:ascii="Arial" w:hAnsi="Arial" w:cs="Arial"/>
                <w:i/>
                <w:sz w:val="20"/>
                <w:szCs w:val="20"/>
              </w:rPr>
            </w:pPr>
            <w:r w:rsidRPr="00257980">
              <w:rPr>
                <w:rFonts w:ascii="Arial" w:hAnsi="Arial" w:cs="Arial"/>
                <w:i/>
                <w:sz w:val="20"/>
                <w:szCs w:val="20"/>
              </w:rPr>
              <w:t>Pareronia</w:t>
            </w:r>
            <w:r w:rsidR="007757BD">
              <w:rPr>
                <w:rFonts w:ascii="Arial" w:hAnsi="Arial" w:cs="Arial"/>
                <w:i/>
                <w:sz w:val="20"/>
                <w:szCs w:val="20"/>
              </w:rPr>
              <w:t>hippie</w:t>
            </w:r>
          </w:p>
        </w:tc>
        <w:tc>
          <w:tcPr>
            <w:tcW w:w="2430"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Indian wanderer</w:t>
            </w:r>
          </w:p>
        </w:tc>
        <w:tc>
          <w:tcPr>
            <w:tcW w:w="990" w:type="dxa"/>
          </w:tcPr>
          <w:p w:rsidR="002E0DCA" w:rsidRPr="00257980" w:rsidRDefault="00507D64" w:rsidP="00A43368">
            <w:pPr>
              <w:tabs>
                <w:tab w:val="left" w:pos="7845"/>
              </w:tabs>
              <w:rPr>
                <w:rFonts w:ascii="Arial" w:hAnsi="Arial" w:cs="Arial"/>
                <w:sz w:val="20"/>
                <w:szCs w:val="20"/>
              </w:rPr>
            </w:pPr>
            <w:r>
              <w:rPr>
                <w:rFonts w:ascii="Arial" w:hAnsi="Arial" w:cs="Arial"/>
                <w:sz w:val="20"/>
                <w:szCs w:val="20"/>
              </w:rPr>
              <w:t>4</w:t>
            </w:r>
          </w:p>
        </w:tc>
        <w:tc>
          <w:tcPr>
            <w:tcW w:w="900" w:type="dxa"/>
          </w:tcPr>
          <w:p w:rsidR="002E0DCA" w:rsidRPr="00257980" w:rsidRDefault="00507D64" w:rsidP="00A43368">
            <w:pPr>
              <w:tabs>
                <w:tab w:val="left" w:pos="7845"/>
              </w:tabs>
              <w:rPr>
                <w:rFonts w:ascii="Arial" w:hAnsi="Arial" w:cs="Arial"/>
                <w:sz w:val="20"/>
                <w:szCs w:val="20"/>
              </w:rPr>
            </w:pPr>
            <w:r>
              <w:rPr>
                <w:rFonts w:ascii="Arial" w:hAnsi="Arial" w:cs="Arial"/>
                <w:sz w:val="20"/>
                <w:szCs w:val="20"/>
              </w:rPr>
              <w:t>8</w:t>
            </w:r>
          </w:p>
        </w:tc>
        <w:tc>
          <w:tcPr>
            <w:tcW w:w="720" w:type="dxa"/>
            <w:tcBorders>
              <w:right w:val="single" w:sz="4" w:space="0" w:color="auto"/>
            </w:tcBorders>
          </w:tcPr>
          <w:p w:rsidR="002E0DCA" w:rsidRPr="00257980" w:rsidRDefault="003A2F3E" w:rsidP="00A43368">
            <w:pPr>
              <w:tabs>
                <w:tab w:val="left" w:pos="7845"/>
              </w:tabs>
              <w:rPr>
                <w:rFonts w:ascii="Arial" w:hAnsi="Arial" w:cs="Arial"/>
                <w:sz w:val="20"/>
                <w:szCs w:val="20"/>
              </w:rPr>
            </w:pPr>
            <w:r>
              <w:rPr>
                <w:rFonts w:ascii="Arial" w:hAnsi="Arial" w:cs="Arial"/>
                <w:sz w:val="20"/>
                <w:szCs w:val="20"/>
              </w:rPr>
              <w:t>12</w:t>
            </w:r>
          </w:p>
        </w:tc>
        <w:tc>
          <w:tcPr>
            <w:tcW w:w="900" w:type="dxa"/>
            <w:tcBorders>
              <w:left w:val="single" w:sz="4" w:space="0" w:color="auto"/>
            </w:tcBorders>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rsidTr="0033417A">
        <w:trPr>
          <w:trHeight w:val="350"/>
        </w:trPr>
        <w:tc>
          <w:tcPr>
            <w:tcW w:w="763"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9</w:t>
            </w:r>
          </w:p>
        </w:tc>
        <w:tc>
          <w:tcPr>
            <w:tcW w:w="2378" w:type="dxa"/>
          </w:tcPr>
          <w:p w:rsidR="002E0DCA" w:rsidRPr="00257980" w:rsidRDefault="002E0DCA" w:rsidP="00A43368">
            <w:pPr>
              <w:tabs>
                <w:tab w:val="left" w:pos="7845"/>
              </w:tabs>
              <w:rPr>
                <w:rFonts w:ascii="Arial" w:hAnsi="Arial" w:cs="Arial"/>
                <w:i/>
                <w:sz w:val="20"/>
                <w:szCs w:val="20"/>
              </w:rPr>
            </w:pPr>
            <w:r w:rsidRPr="00257980">
              <w:rPr>
                <w:rFonts w:ascii="Arial" w:hAnsi="Arial" w:cs="Arial"/>
                <w:i/>
                <w:sz w:val="20"/>
                <w:szCs w:val="20"/>
              </w:rPr>
              <w:t>Leptosianina</w:t>
            </w:r>
          </w:p>
        </w:tc>
        <w:tc>
          <w:tcPr>
            <w:tcW w:w="2430"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Psyche</w:t>
            </w:r>
          </w:p>
        </w:tc>
        <w:tc>
          <w:tcPr>
            <w:tcW w:w="990"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w:t>
            </w:r>
          </w:p>
        </w:tc>
        <w:tc>
          <w:tcPr>
            <w:tcW w:w="900" w:type="dxa"/>
          </w:tcPr>
          <w:p w:rsidR="002E0DCA" w:rsidRPr="00257980" w:rsidRDefault="00507D64" w:rsidP="00A43368">
            <w:pPr>
              <w:tabs>
                <w:tab w:val="left" w:pos="7845"/>
              </w:tabs>
              <w:rPr>
                <w:rFonts w:ascii="Arial" w:hAnsi="Arial" w:cs="Arial"/>
                <w:sz w:val="20"/>
                <w:szCs w:val="20"/>
              </w:rPr>
            </w:pPr>
            <w:r>
              <w:rPr>
                <w:rFonts w:ascii="Arial" w:hAnsi="Arial" w:cs="Arial"/>
                <w:sz w:val="20"/>
                <w:szCs w:val="20"/>
              </w:rPr>
              <w:t>6</w:t>
            </w:r>
          </w:p>
        </w:tc>
        <w:tc>
          <w:tcPr>
            <w:tcW w:w="720" w:type="dxa"/>
            <w:tcBorders>
              <w:right w:val="single" w:sz="4" w:space="0" w:color="auto"/>
            </w:tcBorders>
          </w:tcPr>
          <w:p w:rsidR="002E0DCA" w:rsidRPr="00257980" w:rsidRDefault="003A2F3E" w:rsidP="00A43368">
            <w:pPr>
              <w:tabs>
                <w:tab w:val="left" w:pos="7845"/>
              </w:tabs>
              <w:rPr>
                <w:rFonts w:ascii="Arial" w:hAnsi="Arial" w:cs="Arial"/>
                <w:sz w:val="20"/>
                <w:szCs w:val="20"/>
              </w:rPr>
            </w:pPr>
            <w:r>
              <w:rPr>
                <w:rFonts w:ascii="Arial" w:hAnsi="Arial" w:cs="Arial"/>
                <w:sz w:val="20"/>
                <w:szCs w:val="20"/>
              </w:rPr>
              <w:t>6</w:t>
            </w:r>
          </w:p>
        </w:tc>
        <w:tc>
          <w:tcPr>
            <w:tcW w:w="900" w:type="dxa"/>
            <w:tcBorders>
              <w:left w:val="single" w:sz="4" w:space="0" w:color="auto"/>
            </w:tcBorders>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rsidTr="0033417A">
        <w:trPr>
          <w:trHeight w:val="260"/>
        </w:trPr>
        <w:tc>
          <w:tcPr>
            <w:tcW w:w="763"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10</w:t>
            </w:r>
          </w:p>
        </w:tc>
        <w:tc>
          <w:tcPr>
            <w:tcW w:w="2378" w:type="dxa"/>
          </w:tcPr>
          <w:p w:rsidR="002E0DCA" w:rsidRPr="00257980" w:rsidRDefault="002E0DCA" w:rsidP="00A43368">
            <w:pPr>
              <w:tabs>
                <w:tab w:val="left" w:pos="7845"/>
              </w:tabs>
              <w:rPr>
                <w:rFonts w:ascii="Arial" w:hAnsi="Arial" w:cs="Arial"/>
                <w:i/>
                <w:sz w:val="20"/>
                <w:szCs w:val="20"/>
              </w:rPr>
            </w:pPr>
            <w:r w:rsidRPr="00257980">
              <w:rPr>
                <w:rFonts w:ascii="Arial" w:hAnsi="Arial" w:cs="Arial"/>
                <w:i/>
                <w:sz w:val="20"/>
                <w:szCs w:val="20"/>
              </w:rPr>
              <w:t>Catopsilia</w:t>
            </w:r>
            <w:r w:rsidR="007757BD">
              <w:rPr>
                <w:rFonts w:ascii="Arial" w:hAnsi="Arial" w:cs="Arial"/>
                <w:i/>
                <w:sz w:val="20"/>
                <w:szCs w:val="20"/>
              </w:rPr>
              <w:t>Pomona</w:t>
            </w:r>
          </w:p>
        </w:tc>
        <w:tc>
          <w:tcPr>
            <w:tcW w:w="2430"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Lemon emigrant</w:t>
            </w:r>
          </w:p>
        </w:tc>
        <w:tc>
          <w:tcPr>
            <w:tcW w:w="990" w:type="dxa"/>
          </w:tcPr>
          <w:p w:rsidR="002E0DCA" w:rsidRPr="00257980" w:rsidRDefault="00507D64" w:rsidP="00A43368">
            <w:pPr>
              <w:tabs>
                <w:tab w:val="left" w:pos="7845"/>
              </w:tabs>
              <w:rPr>
                <w:rFonts w:ascii="Arial" w:hAnsi="Arial" w:cs="Arial"/>
                <w:sz w:val="20"/>
                <w:szCs w:val="20"/>
              </w:rPr>
            </w:pPr>
            <w:r>
              <w:rPr>
                <w:rFonts w:ascii="Arial" w:hAnsi="Arial" w:cs="Arial"/>
                <w:sz w:val="20"/>
                <w:szCs w:val="20"/>
              </w:rPr>
              <w:t>8</w:t>
            </w:r>
          </w:p>
        </w:tc>
        <w:tc>
          <w:tcPr>
            <w:tcW w:w="900" w:type="dxa"/>
          </w:tcPr>
          <w:p w:rsidR="002E0DCA" w:rsidRPr="00257980" w:rsidRDefault="00507D64" w:rsidP="00A43368">
            <w:pPr>
              <w:tabs>
                <w:tab w:val="left" w:pos="7845"/>
              </w:tabs>
              <w:rPr>
                <w:rFonts w:ascii="Arial" w:hAnsi="Arial" w:cs="Arial"/>
                <w:sz w:val="20"/>
                <w:szCs w:val="20"/>
              </w:rPr>
            </w:pPr>
            <w:r>
              <w:rPr>
                <w:rFonts w:ascii="Arial" w:hAnsi="Arial" w:cs="Arial"/>
                <w:sz w:val="20"/>
                <w:szCs w:val="20"/>
              </w:rPr>
              <w:t>12</w:t>
            </w:r>
          </w:p>
        </w:tc>
        <w:tc>
          <w:tcPr>
            <w:tcW w:w="720" w:type="dxa"/>
            <w:tcBorders>
              <w:right w:val="single" w:sz="4" w:space="0" w:color="auto"/>
            </w:tcBorders>
          </w:tcPr>
          <w:p w:rsidR="002E0DCA" w:rsidRPr="00257980" w:rsidRDefault="003A2F3E" w:rsidP="00A43368">
            <w:pPr>
              <w:tabs>
                <w:tab w:val="left" w:pos="7845"/>
              </w:tabs>
              <w:rPr>
                <w:rFonts w:ascii="Arial" w:hAnsi="Arial" w:cs="Arial"/>
                <w:sz w:val="20"/>
                <w:szCs w:val="20"/>
              </w:rPr>
            </w:pPr>
            <w:r>
              <w:rPr>
                <w:rFonts w:ascii="Arial" w:hAnsi="Arial" w:cs="Arial"/>
                <w:sz w:val="20"/>
                <w:szCs w:val="20"/>
              </w:rPr>
              <w:t>2</w:t>
            </w:r>
            <w:r w:rsidR="002E0DCA" w:rsidRPr="00257980">
              <w:rPr>
                <w:rFonts w:ascii="Arial" w:hAnsi="Arial" w:cs="Arial"/>
                <w:sz w:val="20"/>
                <w:szCs w:val="20"/>
              </w:rPr>
              <w:t>0</w:t>
            </w:r>
          </w:p>
        </w:tc>
        <w:tc>
          <w:tcPr>
            <w:tcW w:w="900" w:type="dxa"/>
            <w:tcBorders>
              <w:left w:val="single" w:sz="4" w:space="0" w:color="auto"/>
            </w:tcBorders>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rsidTr="0033417A">
        <w:trPr>
          <w:trHeight w:val="341"/>
        </w:trPr>
        <w:tc>
          <w:tcPr>
            <w:tcW w:w="763"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11</w:t>
            </w:r>
          </w:p>
        </w:tc>
        <w:tc>
          <w:tcPr>
            <w:tcW w:w="2378" w:type="dxa"/>
          </w:tcPr>
          <w:p w:rsidR="002E0DCA" w:rsidRPr="00257980" w:rsidRDefault="002E0DCA" w:rsidP="00A43368">
            <w:pPr>
              <w:tabs>
                <w:tab w:val="left" w:pos="7845"/>
              </w:tabs>
              <w:rPr>
                <w:rFonts w:ascii="Arial" w:hAnsi="Arial" w:cs="Arial"/>
                <w:i/>
                <w:sz w:val="20"/>
                <w:szCs w:val="20"/>
              </w:rPr>
            </w:pPr>
            <w:r w:rsidRPr="00257980">
              <w:rPr>
                <w:rFonts w:ascii="Arial" w:hAnsi="Arial" w:cs="Arial"/>
                <w:i/>
                <w:sz w:val="20"/>
                <w:szCs w:val="20"/>
              </w:rPr>
              <w:t>Euremahecabe</w:t>
            </w:r>
          </w:p>
        </w:tc>
        <w:tc>
          <w:tcPr>
            <w:tcW w:w="2430"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Common grass yellow</w:t>
            </w:r>
          </w:p>
        </w:tc>
        <w:tc>
          <w:tcPr>
            <w:tcW w:w="990" w:type="dxa"/>
          </w:tcPr>
          <w:p w:rsidR="002E0DCA" w:rsidRPr="00257980" w:rsidRDefault="00507D64" w:rsidP="00A43368">
            <w:pPr>
              <w:tabs>
                <w:tab w:val="left" w:pos="7845"/>
              </w:tabs>
              <w:rPr>
                <w:rFonts w:ascii="Arial" w:hAnsi="Arial" w:cs="Arial"/>
                <w:sz w:val="20"/>
                <w:szCs w:val="20"/>
              </w:rPr>
            </w:pPr>
            <w:r>
              <w:rPr>
                <w:rFonts w:ascii="Arial" w:hAnsi="Arial" w:cs="Arial"/>
                <w:sz w:val="20"/>
                <w:szCs w:val="20"/>
              </w:rPr>
              <w:t>10</w:t>
            </w:r>
          </w:p>
        </w:tc>
        <w:tc>
          <w:tcPr>
            <w:tcW w:w="900" w:type="dxa"/>
          </w:tcPr>
          <w:p w:rsidR="002E0DCA" w:rsidRPr="00257980" w:rsidRDefault="00507D64" w:rsidP="00A43368">
            <w:pPr>
              <w:tabs>
                <w:tab w:val="left" w:pos="7845"/>
              </w:tabs>
              <w:rPr>
                <w:rFonts w:ascii="Arial" w:hAnsi="Arial" w:cs="Arial"/>
                <w:sz w:val="20"/>
                <w:szCs w:val="20"/>
              </w:rPr>
            </w:pPr>
            <w:r>
              <w:rPr>
                <w:rFonts w:ascii="Arial" w:hAnsi="Arial" w:cs="Arial"/>
                <w:sz w:val="20"/>
                <w:szCs w:val="20"/>
              </w:rPr>
              <w:t>6</w:t>
            </w:r>
          </w:p>
        </w:tc>
        <w:tc>
          <w:tcPr>
            <w:tcW w:w="720" w:type="dxa"/>
            <w:tcBorders>
              <w:right w:val="single" w:sz="4" w:space="0" w:color="auto"/>
            </w:tcBorders>
          </w:tcPr>
          <w:p w:rsidR="002E0DCA" w:rsidRPr="00257980" w:rsidRDefault="003A2F3E" w:rsidP="00A43368">
            <w:pPr>
              <w:tabs>
                <w:tab w:val="left" w:pos="7845"/>
              </w:tabs>
              <w:rPr>
                <w:rFonts w:ascii="Arial" w:hAnsi="Arial" w:cs="Arial"/>
                <w:sz w:val="20"/>
                <w:szCs w:val="20"/>
              </w:rPr>
            </w:pPr>
            <w:r>
              <w:rPr>
                <w:rFonts w:ascii="Arial" w:hAnsi="Arial" w:cs="Arial"/>
                <w:sz w:val="20"/>
                <w:szCs w:val="20"/>
              </w:rPr>
              <w:t>16</w:t>
            </w:r>
          </w:p>
        </w:tc>
        <w:tc>
          <w:tcPr>
            <w:tcW w:w="900" w:type="dxa"/>
            <w:tcBorders>
              <w:left w:val="single" w:sz="4" w:space="0" w:color="auto"/>
            </w:tcBorders>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rsidTr="0033417A">
        <w:trPr>
          <w:trHeight w:val="269"/>
        </w:trPr>
        <w:tc>
          <w:tcPr>
            <w:tcW w:w="763"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12</w:t>
            </w:r>
          </w:p>
        </w:tc>
        <w:tc>
          <w:tcPr>
            <w:tcW w:w="2378" w:type="dxa"/>
          </w:tcPr>
          <w:p w:rsidR="002E0DCA" w:rsidRPr="00257980" w:rsidRDefault="002E0DCA" w:rsidP="00A43368">
            <w:pPr>
              <w:tabs>
                <w:tab w:val="left" w:pos="7845"/>
              </w:tabs>
              <w:rPr>
                <w:rFonts w:ascii="Arial" w:hAnsi="Arial" w:cs="Arial"/>
                <w:i/>
                <w:sz w:val="20"/>
                <w:szCs w:val="20"/>
              </w:rPr>
            </w:pPr>
            <w:r w:rsidRPr="00257980">
              <w:rPr>
                <w:rFonts w:ascii="Arial" w:hAnsi="Arial" w:cs="Arial"/>
                <w:i/>
                <w:sz w:val="20"/>
                <w:szCs w:val="20"/>
              </w:rPr>
              <w:t>Delia eucharis</w:t>
            </w:r>
          </w:p>
        </w:tc>
        <w:tc>
          <w:tcPr>
            <w:tcW w:w="2430"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Common jezebel</w:t>
            </w:r>
          </w:p>
        </w:tc>
        <w:tc>
          <w:tcPr>
            <w:tcW w:w="990"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w:t>
            </w:r>
          </w:p>
        </w:tc>
        <w:tc>
          <w:tcPr>
            <w:tcW w:w="900" w:type="dxa"/>
          </w:tcPr>
          <w:p w:rsidR="002E0DCA" w:rsidRPr="00257980" w:rsidRDefault="00507D64" w:rsidP="00A43368">
            <w:pPr>
              <w:tabs>
                <w:tab w:val="left" w:pos="7845"/>
              </w:tabs>
              <w:rPr>
                <w:rFonts w:ascii="Arial" w:hAnsi="Arial" w:cs="Arial"/>
                <w:sz w:val="20"/>
                <w:szCs w:val="20"/>
              </w:rPr>
            </w:pPr>
            <w:r>
              <w:rPr>
                <w:rFonts w:ascii="Arial" w:hAnsi="Arial" w:cs="Arial"/>
                <w:sz w:val="20"/>
                <w:szCs w:val="20"/>
              </w:rPr>
              <w:t>6</w:t>
            </w:r>
          </w:p>
        </w:tc>
        <w:tc>
          <w:tcPr>
            <w:tcW w:w="720" w:type="dxa"/>
            <w:tcBorders>
              <w:right w:val="single" w:sz="4" w:space="0" w:color="auto"/>
            </w:tcBorders>
          </w:tcPr>
          <w:p w:rsidR="002E0DCA" w:rsidRPr="00257980" w:rsidRDefault="003A2F3E" w:rsidP="00A43368">
            <w:pPr>
              <w:tabs>
                <w:tab w:val="left" w:pos="7845"/>
              </w:tabs>
              <w:rPr>
                <w:rFonts w:ascii="Arial" w:hAnsi="Arial" w:cs="Arial"/>
                <w:sz w:val="20"/>
                <w:szCs w:val="20"/>
              </w:rPr>
            </w:pPr>
            <w:r>
              <w:rPr>
                <w:rFonts w:ascii="Arial" w:hAnsi="Arial" w:cs="Arial"/>
                <w:sz w:val="20"/>
                <w:szCs w:val="20"/>
              </w:rPr>
              <w:t>6</w:t>
            </w:r>
          </w:p>
        </w:tc>
        <w:tc>
          <w:tcPr>
            <w:tcW w:w="900" w:type="dxa"/>
            <w:tcBorders>
              <w:left w:val="single" w:sz="4" w:space="0" w:color="auto"/>
            </w:tcBorders>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rsidTr="0033417A">
        <w:trPr>
          <w:trHeight w:val="260"/>
        </w:trPr>
        <w:tc>
          <w:tcPr>
            <w:tcW w:w="763"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13</w:t>
            </w:r>
          </w:p>
        </w:tc>
        <w:tc>
          <w:tcPr>
            <w:tcW w:w="2378" w:type="dxa"/>
          </w:tcPr>
          <w:p w:rsidR="002E0DCA" w:rsidRPr="00257980" w:rsidRDefault="002E0DCA" w:rsidP="00A43368">
            <w:pPr>
              <w:tabs>
                <w:tab w:val="left" w:pos="7845"/>
              </w:tabs>
              <w:rPr>
                <w:rFonts w:ascii="Arial" w:hAnsi="Arial" w:cs="Arial"/>
                <w:i/>
                <w:sz w:val="20"/>
                <w:szCs w:val="20"/>
              </w:rPr>
            </w:pPr>
            <w:r w:rsidRPr="00257980">
              <w:rPr>
                <w:rFonts w:ascii="Arial" w:hAnsi="Arial" w:cs="Arial"/>
                <w:i/>
                <w:sz w:val="20"/>
                <w:szCs w:val="20"/>
              </w:rPr>
              <w:t>Cepora</w:t>
            </w:r>
            <w:r w:rsidR="007757BD">
              <w:rPr>
                <w:rFonts w:ascii="Arial" w:hAnsi="Arial" w:cs="Arial"/>
                <w:i/>
                <w:sz w:val="20"/>
                <w:szCs w:val="20"/>
              </w:rPr>
              <w:t>Nerissa</w:t>
            </w:r>
          </w:p>
        </w:tc>
        <w:tc>
          <w:tcPr>
            <w:tcW w:w="2430"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Common gull</w:t>
            </w:r>
          </w:p>
        </w:tc>
        <w:tc>
          <w:tcPr>
            <w:tcW w:w="990"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w:t>
            </w:r>
          </w:p>
        </w:tc>
        <w:tc>
          <w:tcPr>
            <w:tcW w:w="900" w:type="dxa"/>
          </w:tcPr>
          <w:p w:rsidR="002E0DCA" w:rsidRPr="00257980" w:rsidRDefault="00507D64" w:rsidP="00A43368">
            <w:pPr>
              <w:tabs>
                <w:tab w:val="left" w:pos="7845"/>
              </w:tabs>
              <w:rPr>
                <w:rFonts w:ascii="Arial" w:hAnsi="Arial" w:cs="Arial"/>
                <w:sz w:val="20"/>
                <w:szCs w:val="20"/>
              </w:rPr>
            </w:pPr>
            <w:r>
              <w:rPr>
                <w:rFonts w:ascii="Arial" w:hAnsi="Arial" w:cs="Arial"/>
                <w:sz w:val="20"/>
                <w:szCs w:val="20"/>
              </w:rPr>
              <w:t>4</w:t>
            </w:r>
          </w:p>
        </w:tc>
        <w:tc>
          <w:tcPr>
            <w:tcW w:w="720" w:type="dxa"/>
            <w:tcBorders>
              <w:right w:val="single" w:sz="4" w:space="0" w:color="auto"/>
            </w:tcBorders>
          </w:tcPr>
          <w:p w:rsidR="002E0DCA" w:rsidRPr="00257980" w:rsidRDefault="003A2F3E" w:rsidP="00A43368">
            <w:pPr>
              <w:tabs>
                <w:tab w:val="left" w:pos="7845"/>
              </w:tabs>
              <w:rPr>
                <w:rFonts w:ascii="Arial" w:hAnsi="Arial" w:cs="Arial"/>
                <w:sz w:val="20"/>
                <w:szCs w:val="20"/>
              </w:rPr>
            </w:pPr>
            <w:r>
              <w:rPr>
                <w:rFonts w:ascii="Arial" w:hAnsi="Arial" w:cs="Arial"/>
                <w:sz w:val="20"/>
                <w:szCs w:val="20"/>
              </w:rPr>
              <w:t>4</w:t>
            </w:r>
          </w:p>
        </w:tc>
        <w:tc>
          <w:tcPr>
            <w:tcW w:w="900" w:type="dxa"/>
            <w:tcBorders>
              <w:left w:val="single" w:sz="4" w:space="0" w:color="auto"/>
            </w:tcBorders>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rsidTr="0033417A">
        <w:trPr>
          <w:trHeight w:val="251"/>
        </w:trPr>
        <w:tc>
          <w:tcPr>
            <w:tcW w:w="763"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14</w:t>
            </w:r>
          </w:p>
        </w:tc>
        <w:tc>
          <w:tcPr>
            <w:tcW w:w="2378" w:type="dxa"/>
          </w:tcPr>
          <w:p w:rsidR="002E0DCA" w:rsidRPr="00257980" w:rsidRDefault="002E0DCA" w:rsidP="00A43368">
            <w:pPr>
              <w:tabs>
                <w:tab w:val="left" w:pos="7845"/>
              </w:tabs>
              <w:rPr>
                <w:rFonts w:ascii="Arial" w:hAnsi="Arial" w:cs="Arial"/>
                <w:i/>
                <w:sz w:val="20"/>
                <w:szCs w:val="20"/>
              </w:rPr>
            </w:pPr>
            <w:r w:rsidRPr="00257980">
              <w:rPr>
                <w:rFonts w:ascii="Arial" w:hAnsi="Arial" w:cs="Arial"/>
                <w:i/>
                <w:sz w:val="20"/>
                <w:szCs w:val="20"/>
              </w:rPr>
              <w:t>Catopsiliapyranthe</w:t>
            </w:r>
          </w:p>
        </w:tc>
        <w:tc>
          <w:tcPr>
            <w:tcW w:w="2430"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Mottled emigrant</w:t>
            </w:r>
          </w:p>
        </w:tc>
        <w:tc>
          <w:tcPr>
            <w:tcW w:w="990" w:type="dxa"/>
          </w:tcPr>
          <w:p w:rsidR="002E0DCA" w:rsidRPr="00257980" w:rsidRDefault="00507D64" w:rsidP="00A43368">
            <w:pPr>
              <w:tabs>
                <w:tab w:val="left" w:pos="7845"/>
              </w:tabs>
              <w:rPr>
                <w:rFonts w:ascii="Arial" w:hAnsi="Arial" w:cs="Arial"/>
                <w:sz w:val="20"/>
                <w:szCs w:val="20"/>
              </w:rPr>
            </w:pPr>
            <w:r>
              <w:rPr>
                <w:rFonts w:ascii="Arial" w:hAnsi="Arial" w:cs="Arial"/>
                <w:sz w:val="20"/>
                <w:szCs w:val="20"/>
              </w:rPr>
              <w:t>8</w:t>
            </w:r>
          </w:p>
        </w:tc>
        <w:tc>
          <w:tcPr>
            <w:tcW w:w="900" w:type="dxa"/>
          </w:tcPr>
          <w:p w:rsidR="002E0DCA" w:rsidRPr="00257980" w:rsidRDefault="003A2F3E" w:rsidP="00A43368">
            <w:pPr>
              <w:tabs>
                <w:tab w:val="left" w:pos="7845"/>
              </w:tabs>
              <w:rPr>
                <w:rFonts w:ascii="Arial" w:hAnsi="Arial" w:cs="Arial"/>
                <w:sz w:val="20"/>
                <w:szCs w:val="20"/>
              </w:rPr>
            </w:pPr>
            <w:r>
              <w:rPr>
                <w:rFonts w:ascii="Arial" w:hAnsi="Arial" w:cs="Arial"/>
                <w:sz w:val="20"/>
                <w:szCs w:val="20"/>
              </w:rPr>
              <w:t>12</w:t>
            </w:r>
          </w:p>
        </w:tc>
        <w:tc>
          <w:tcPr>
            <w:tcW w:w="720" w:type="dxa"/>
            <w:tcBorders>
              <w:right w:val="single" w:sz="4" w:space="0" w:color="auto"/>
            </w:tcBorders>
          </w:tcPr>
          <w:p w:rsidR="002E0DCA" w:rsidRPr="00257980" w:rsidRDefault="003A2F3E" w:rsidP="00A43368">
            <w:pPr>
              <w:tabs>
                <w:tab w:val="left" w:pos="7845"/>
              </w:tabs>
              <w:rPr>
                <w:rFonts w:ascii="Arial" w:hAnsi="Arial" w:cs="Arial"/>
                <w:sz w:val="20"/>
                <w:szCs w:val="20"/>
              </w:rPr>
            </w:pPr>
            <w:r>
              <w:rPr>
                <w:rFonts w:ascii="Arial" w:hAnsi="Arial" w:cs="Arial"/>
                <w:sz w:val="20"/>
                <w:szCs w:val="20"/>
              </w:rPr>
              <w:t>2</w:t>
            </w:r>
            <w:r w:rsidR="002E0DCA" w:rsidRPr="00257980">
              <w:rPr>
                <w:rFonts w:ascii="Arial" w:hAnsi="Arial" w:cs="Arial"/>
                <w:sz w:val="20"/>
                <w:szCs w:val="20"/>
              </w:rPr>
              <w:t>0</w:t>
            </w:r>
          </w:p>
        </w:tc>
        <w:tc>
          <w:tcPr>
            <w:tcW w:w="900" w:type="dxa"/>
            <w:tcBorders>
              <w:left w:val="single" w:sz="4" w:space="0" w:color="auto"/>
            </w:tcBorders>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rsidTr="0033417A">
        <w:trPr>
          <w:trHeight w:val="233"/>
        </w:trPr>
        <w:tc>
          <w:tcPr>
            <w:tcW w:w="9081" w:type="dxa"/>
            <w:gridSpan w:val="7"/>
          </w:tcPr>
          <w:p w:rsidR="002E0DCA" w:rsidRPr="00257980" w:rsidRDefault="002E0DCA" w:rsidP="00A43368">
            <w:pPr>
              <w:tabs>
                <w:tab w:val="left" w:pos="7845"/>
              </w:tabs>
              <w:jc w:val="center"/>
              <w:rPr>
                <w:rFonts w:ascii="Arial" w:hAnsi="Arial" w:cs="Arial"/>
                <w:b/>
                <w:sz w:val="20"/>
                <w:szCs w:val="20"/>
              </w:rPr>
            </w:pPr>
            <w:r w:rsidRPr="00257980">
              <w:rPr>
                <w:rFonts w:ascii="Arial" w:hAnsi="Arial" w:cs="Arial"/>
                <w:b/>
                <w:sz w:val="20"/>
                <w:szCs w:val="20"/>
              </w:rPr>
              <w:t>Family:Lycaenidae</w:t>
            </w:r>
          </w:p>
        </w:tc>
      </w:tr>
      <w:tr w:rsidR="002E0DCA" w:rsidRPr="00257980" w:rsidTr="0033417A">
        <w:trPr>
          <w:trHeight w:val="287"/>
        </w:trPr>
        <w:tc>
          <w:tcPr>
            <w:tcW w:w="763"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15</w:t>
            </w:r>
          </w:p>
        </w:tc>
        <w:tc>
          <w:tcPr>
            <w:tcW w:w="2378" w:type="dxa"/>
          </w:tcPr>
          <w:p w:rsidR="002E0DCA" w:rsidRPr="00257980" w:rsidRDefault="002E0DCA" w:rsidP="00A43368">
            <w:pPr>
              <w:tabs>
                <w:tab w:val="left" w:pos="7845"/>
              </w:tabs>
              <w:rPr>
                <w:rFonts w:ascii="Arial" w:hAnsi="Arial" w:cs="Arial"/>
                <w:i/>
                <w:sz w:val="20"/>
                <w:szCs w:val="20"/>
              </w:rPr>
            </w:pPr>
            <w:r w:rsidRPr="00257980">
              <w:rPr>
                <w:rFonts w:ascii="Arial" w:hAnsi="Arial" w:cs="Arial"/>
                <w:i/>
                <w:sz w:val="20"/>
                <w:szCs w:val="20"/>
              </w:rPr>
              <w:t>Zizeeriakarsandra</w:t>
            </w:r>
          </w:p>
        </w:tc>
        <w:tc>
          <w:tcPr>
            <w:tcW w:w="2430"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Dark grass blue</w:t>
            </w:r>
          </w:p>
        </w:tc>
        <w:tc>
          <w:tcPr>
            <w:tcW w:w="990" w:type="dxa"/>
          </w:tcPr>
          <w:p w:rsidR="002E0DCA" w:rsidRPr="00257980" w:rsidRDefault="003A2F3E" w:rsidP="00A43368">
            <w:pPr>
              <w:tabs>
                <w:tab w:val="left" w:pos="7845"/>
              </w:tabs>
              <w:rPr>
                <w:rFonts w:ascii="Arial" w:hAnsi="Arial" w:cs="Arial"/>
                <w:sz w:val="20"/>
                <w:szCs w:val="20"/>
              </w:rPr>
            </w:pPr>
            <w:r>
              <w:rPr>
                <w:rFonts w:ascii="Arial" w:hAnsi="Arial" w:cs="Arial"/>
                <w:sz w:val="20"/>
                <w:szCs w:val="20"/>
              </w:rPr>
              <w:t>2</w:t>
            </w:r>
          </w:p>
        </w:tc>
        <w:tc>
          <w:tcPr>
            <w:tcW w:w="900" w:type="dxa"/>
          </w:tcPr>
          <w:p w:rsidR="002E0DCA" w:rsidRPr="00257980" w:rsidRDefault="003A2F3E" w:rsidP="00A43368">
            <w:pPr>
              <w:tabs>
                <w:tab w:val="left" w:pos="7845"/>
              </w:tabs>
              <w:rPr>
                <w:rFonts w:ascii="Arial" w:hAnsi="Arial" w:cs="Arial"/>
                <w:sz w:val="20"/>
                <w:szCs w:val="20"/>
              </w:rPr>
            </w:pPr>
            <w:r>
              <w:rPr>
                <w:rFonts w:ascii="Arial" w:hAnsi="Arial" w:cs="Arial"/>
                <w:sz w:val="20"/>
                <w:szCs w:val="20"/>
              </w:rPr>
              <w:t>6</w:t>
            </w:r>
          </w:p>
        </w:tc>
        <w:tc>
          <w:tcPr>
            <w:tcW w:w="720" w:type="dxa"/>
            <w:tcBorders>
              <w:right w:val="single" w:sz="4" w:space="0" w:color="auto"/>
            </w:tcBorders>
          </w:tcPr>
          <w:p w:rsidR="002E0DCA" w:rsidRPr="00257980" w:rsidRDefault="003A2F3E" w:rsidP="00A43368">
            <w:pPr>
              <w:tabs>
                <w:tab w:val="left" w:pos="7845"/>
              </w:tabs>
              <w:rPr>
                <w:rFonts w:ascii="Arial" w:hAnsi="Arial" w:cs="Arial"/>
                <w:sz w:val="20"/>
                <w:szCs w:val="20"/>
              </w:rPr>
            </w:pPr>
            <w:r>
              <w:rPr>
                <w:rFonts w:ascii="Arial" w:hAnsi="Arial" w:cs="Arial"/>
                <w:sz w:val="20"/>
                <w:szCs w:val="20"/>
              </w:rPr>
              <w:t>8</w:t>
            </w:r>
          </w:p>
        </w:tc>
        <w:tc>
          <w:tcPr>
            <w:tcW w:w="900" w:type="dxa"/>
            <w:tcBorders>
              <w:left w:val="single" w:sz="4" w:space="0" w:color="auto"/>
            </w:tcBorders>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rsidTr="0033417A">
        <w:trPr>
          <w:trHeight w:val="269"/>
        </w:trPr>
        <w:tc>
          <w:tcPr>
            <w:tcW w:w="763"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16</w:t>
            </w:r>
          </w:p>
        </w:tc>
        <w:tc>
          <w:tcPr>
            <w:tcW w:w="2378" w:type="dxa"/>
          </w:tcPr>
          <w:p w:rsidR="002E0DCA" w:rsidRPr="00257980" w:rsidRDefault="002E0DCA" w:rsidP="00A43368">
            <w:pPr>
              <w:tabs>
                <w:tab w:val="left" w:pos="7845"/>
              </w:tabs>
              <w:rPr>
                <w:rFonts w:ascii="Arial" w:hAnsi="Arial" w:cs="Arial"/>
                <w:i/>
                <w:sz w:val="20"/>
                <w:szCs w:val="20"/>
              </w:rPr>
            </w:pPr>
            <w:r w:rsidRPr="00257980">
              <w:rPr>
                <w:rFonts w:ascii="Arial" w:hAnsi="Arial" w:cs="Arial"/>
                <w:i/>
                <w:sz w:val="20"/>
                <w:szCs w:val="20"/>
              </w:rPr>
              <w:t>Tarucusbalkanica</w:t>
            </w:r>
          </w:p>
        </w:tc>
        <w:tc>
          <w:tcPr>
            <w:tcW w:w="2430"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Little tiger blue</w:t>
            </w:r>
          </w:p>
        </w:tc>
        <w:tc>
          <w:tcPr>
            <w:tcW w:w="990"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w:t>
            </w:r>
          </w:p>
        </w:tc>
        <w:tc>
          <w:tcPr>
            <w:tcW w:w="900"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w:t>
            </w:r>
          </w:p>
        </w:tc>
        <w:tc>
          <w:tcPr>
            <w:tcW w:w="720" w:type="dxa"/>
            <w:tcBorders>
              <w:right w:val="single" w:sz="4" w:space="0" w:color="auto"/>
            </w:tcBorders>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w:t>
            </w:r>
          </w:p>
        </w:tc>
        <w:tc>
          <w:tcPr>
            <w:tcW w:w="900" w:type="dxa"/>
            <w:tcBorders>
              <w:left w:val="single" w:sz="4" w:space="0" w:color="auto"/>
            </w:tcBorders>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R</w:t>
            </w:r>
          </w:p>
        </w:tc>
      </w:tr>
      <w:tr w:rsidR="002E0DCA" w:rsidRPr="00257980" w:rsidTr="0033417A">
        <w:trPr>
          <w:trHeight w:val="341"/>
        </w:trPr>
        <w:tc>
          <w:tcPr>
            <w:tcW w:w="763" w:type="dxa"/>
            <w:tcBorders>
              <w:bottom w:val="single" w:sz="4" w:space="0" w:color="000000" w:themeColor="text1"/>
            </w:tcBorders>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17</w:t>
            </w:r>
          </w:p>
        </w:tc>
        <w:tc>
          <w:tcPr>
            <w:tcW w:w="2378" w:type="dxa"/>
            <w:tcBorders>
              <w:bottom w:val="single" w:sz="4" w:space="0" w:color="000000" w:themeColor="text1"/>
            </w:tcBorders>
          </w:tcPr>
          <w:p w:rsidR="002E0DCA" w:rsidRPr="00257980" w:rsidRDefault="002E0DCA" w:rsidP="00A43368">
            <w:pPr>
              <w:tabs>
                <w:tab w:val="left" w:pos="7845"/>
              </w:tabs>
              <w:rPr>
                <w:rFonts w:ascii="Arial" w:hAnsi="Arial" w:cs="Arial"/>
                <w:i/>
                <w:sz w:val="20"/>
                <w:szCs w:val="20"/>
              </w:rPr>
            </w:pPr>
            <w:r w:rsidRPr="00257980">
              <w:rPr>
                <w:rFonts w:ascii="Arial" w:hAnsi="Arial" w:cs="Arial"/>
                <w:i/>
                <w:sz w:val="20"/>
                <w:szCs w:val="20"/>
              </w:rPr>
              <w:t>Neopithecopszalmora</w:t>
            </w:r>
          </w:p>
        </w:tc>
        <w:tc>
          <w:tcPr>
            <w:tcW w:w="2430" w:type="dxa"/>
            <w:tcBorders>
              <w:bottom w:val="single" w:sz="4" w:space="0" w:color="000000" w:themeColor="text1"/>
            </w:tcBorders>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Common quaker</w:t>
            </w:r>
          </w:p>
        </w:tc>
        <w:tc>
          <w:tcPr>
            <w:tcW w:w="990" w:type="dxa"/>
            <w:tcBorders>
              <w:bottom w:val="single" w:sz="4" w:space="0" w:color="000000" w:themeColor="text1"/>
            </w:tcBorders>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w:t>
            </w:r>
          </w:p>
        </w:tc>
        <w:tc>
          <w:tcPr>
            <w:tcW w:w="900" w:type="dxa"/>
            <w:tcBorders>
              <w:bottom w:val="single" w:sz="4" w:space="0" w:color="000000" w:themeColor="text1"/>
            </w:tcBorders>
          </w:tcPr>
          <w:p w:rsidR="002E0DCA" w:rsidRPr="00257980" w:rsidRDefault="003A2F3E" w:rsidP="00A43368">
            <w:pPr>
              <w:tabs>
                <w:tab w:val="left" w:pos="7845"/>
              </w:tabs>
              <w:rPr>
                <w:rFonts w:ascii="Arial" w:hAnsi="Arial" w:cs="Arial"/>
                <w:sz w:val="20"/>
                <w:szCs w:val="20"/>
              </w:rPr>
            </w:pPr>
            <w:r>
              <w:rPr>
                <w:rFonts w:ascii="Arial" w:hAnsi="Arial" w:cs="Arial"/>
                <w:sz w:val="20"/>
                <w:szCs w:val="20"/>
              </w:rPr>
              <w:t>4</w:t>
            </w:r>
          </w:p>
        </w:tc>
        <w:tc>
          <w:tcPr>
            <w:tcW w:w="720" w:type="dxa"/>
            <w:tcBorders>
              <w:bottom w:val="single" w:sz="4" w:space="0" w:color="000000" w:themeColor="text1"/>
              <w:right w:val="single" w:sz="4" w:space="0" w:color="auto"/>
            </w:tcBorders>
          </w:tcPr>
          <w:p w:rsidR="002E0DCA" w:rsidRPr="00257980" w:rsidRDefault="003A2F3E" w:rsidP="00A43368">
            <w:pPr>
              <w:tabs>
                <w:tab w:val="left" w:pos="7845"/>
              </w:tabs>
              <w:rPr>
                <w:rFonts w:ascii="Arial" w:hAnsi="Arial" w:cs="Arial"/>
                <w:sz w:val="20"/>
                <w:szCs w:val="20"/>
              </w:rPr>
            </w:pPr>
            <w:r>
              <w:rPr>
                <w:rFonts w:ascii="Arial" w:hAnsi="Arial" w:cs="Arial"/>
                <w:sz w:val="20"/>
                <w:szCs w:val="20"/>
              </w:rPr>
              <w:t>4</w:t>
            </w:r>
          </w:p>
        </w:tc>
        <w:tc>
          <w:tcPr>
            <w:tcW w:w="900" w:type="dxa"/>
            <w:tcBorders>
              <w:left w:val="single" w:sz="4" w:space="0" w:color="auto"/>
              <w:bottom w:val="single" w:sz="4" w:space="0" w:color="000000" w:themeColor="text1"/>
            </w:tcBorders>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rsidTr="0033417A">
        <w:trPr>
          <w:trHeight w:val="260"/>
        </w:trPr>
        <w:tc>
          <w:tcPr>
            <w:tcW w:w="9081" w:type="dxa"/>
            <w:gridSpan w:val="7"/>
          </w:tcPr>
          <w:p w:rsidR="002E0DCA" w:rsidRPr="00257980" w:rsidRDefault="002E0DCA" w:rsidP="00A43368">
            <w:pPr>
              <w:tabs>
                <w:tab w:val="left" w:pos="7845"/>
              </w:tabs>
              <w:jc w:val="center"/>
              <w:rPr>
                <w:rFonts w:ascii="Arial" w:hAnsi="Arial" w:cs="Arial"/>
                <w:b/>
                <w:sz w:val="20"/>
                <w:szCs w:val="20"/>
              </w:rPr>
            </w:pPr>
            <w:r w:rsidRPr="00257980">
              <w:rPr>
                <w:rFonts w:ascii="Arial" w:hAnsi="Arial" w:cs="Arial"/>
                <w:b/>
                <w:sz w:val="20"/>
                <w:szCs w:val="20"/>
              </w:rPr>
              <w:t>Family:Papilionidae</w:t>
            </w:r>
          </w:p>
        </w:tc>
      </w:tr>
      <w:tr w:rsidR="002E0DCA" w:rsidRPr="00257980" w:rsidTr="0033417A">
        <w:trPr>
          <w:trHeight w:val="269"/>
        </w:trPr>
        <w:tc>
          <w:tcPr>
            <w:tcW w:w="763"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18</w:t>
            </w:r>
          </w:p>
        </w:tc>
        <w:tc>
          <w:tcPr>
            <w:tcW w:w="2378" w:type="dxa"/>
          </w:tcPr>
          <w:p w:rsidR="002E0DCA" w:rsidRPr="00257980" w:rsidRDefault="002E0DCA" w:rsidP="00A43368">
            <w:pPr>
              <w:tabs>
                <w:tab w:val="left" w:pos="7845"/>
              </w:tabs>
              <w:rPr>
                <w:rFonts w:ascii="Arial" w:hAnsi="Arial" w:cs="Arial"/>
                <w:i/>
                <w:sz w:val="20"/>
                <w:szCs w:val="20"/>
              </w:rPr>
            </w:pPr>
            <w:r w:rsidRPr="00257980">
              <w:rPr>
                <w:rFonts w:ascii="Arial" w:hAnsi="Arial" w:cs="Arial"/>
                <w:i/>
                <w:sz w:val="20"/>
                <w:szCs w:val="20"/>
              </w:rPr>
              <w:t>Papiliodemoleus</w:t>
            </w:r>
          </w:p>
        </w:tc>
        <w:tc>
          <w:tcPr>
            <w:tcW w:w="2430"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Lime butterfly</w:t>
            </w:r>
          </w:p>
        </w:tc>
        <w:tc>
          <w:tcPr>
            <w:tcW w:w="990" w:type="dxa"/>
          </w:tcPr>
          <w:p w:rsidR="002E0DCA" w:rsidRPr="00257980" w:rsidRDefault="003A2F3E" w:rsidP="00A43368">
            <w:pPr>
              <w:tabs>
                <w:tab w:val="left" w:pos="7845"/>
              </w:tabs>
              <w:rPr>
                <w:rFonts w:ascii="Arial" w:hAnsi="Arial" w:cs="Arial"/>
                <w:sz w:val="20"/>
                <w:szCs w:val="20"/>
              </w:rPr>
            </w:pPr>
            <w:r>
              <w:rPr>
                <w:rFonts w:ascii="Arial" w:hAnsi="Arial" w:cs="Arial"/>
                <w:sz w:val="20"/>
                <w:szCs w:val="20"/>
              </w:rPr>
              <w:t>6</w:t>
            </w:r>
          </w:p>
        </w:tc>
        <w:tc>
          <w:tcPr>
            <w:tcW w:w="900" w:type="dxa"/>
          </w:tcPr>
          <w:p w:rsidR="002E0DCA" w:rsidRPr="00257980" w:rsidRDefault="003A2F3E" w:rsidP="00A43368">
            <w:pPr>
              <w:tabs>
                <w:tab w:val="left" w:pos="7845"/>
              </w:tabs>
              <w:rPr>
                <w:rFonts w:ascii="Arial" w:hAnsi="Arial" w:cs="Arial"/>
                <w:sz w:val="20"/>
                <w:szCs w:val="20"/>
              </w:rPr>
            </w:pPr>
            <w:r>
              <w:rPr>
                <w:rFonts w:ascii="Arial" w:hAnsi="Arial" w:cs="Arial"/>
                <w:sz w:val="20"/>
                <w:szCs w:val="20"/>
              </w:rPr>
              <w:t>10</w:t>
            </w:r>
          </w:p>
        </w:tc>
        <w:tc>
          <w:tcPr>
            <w:tcW w:w="720" w:type="dxa"/>
            <w:tcBorders>
              <w:right w:val="single" w:sz="4" w:space="0" w:color="auto"/>
            </w:tcBorders>
          </w:tcPr>
          <w:p w:rsidR="002E0DCA" w:rsidRPr="00257980" w:rsidRDefault="003A2F3E" w:rsidP="00A43368">
            <w:pPr>
              <w:tabs>
                <w:tab w:val="left" w:pos="7845"/>
              </w:tabs>
              <w:rPr>
                <w:rFonts w:ascii="Arial" w:hAnsi="Arial" w:cs="Arial"/>
                <w:sz w:val="20"/>
                <w:szCs w:val="20"/>
              </w:rPr>
            </w:pPr>
            <w:r>
              <w:rPr>
                <w:rFonts w:ascii="Arial" w:hAnsi="Arial" w:cs="Arial"/>
                <w:sz w:val="20"/>
                <w:szCs w:val="20"/>
              </w:rPr>
              <w:t>16</w:t>
            </w:r>
          </w:p>
        </w:tc>
        <w:tc>
          <w:tcPr>
            <w:tcW w:w="900" w:type="dxa"/>
            <w:tcBorders>
              <w:left w:val="single" w:sz="4" w:space="0" w:color="auto"/>
            </w:tcBorders>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rsidTr="0033417A">
        <w:trPr>
          <w:trHeight w:val="296"/>
        </w:trPr>
        <w:tc>
          <w:tcPr>
            <w:tcW w:w="763"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19</w:t>
            </w:r>
          </w:p>
        </w:tc>
        <w:tc>
          <w:tcPr>
            <w:tcW w:w="2378" w:type="dxa"/>
          </w:tcPr>
          <w:p w:rsidR="002E0DCA" w:rsidRPr="00257980" w:rsidRDefault="002E0DCA" w:rsidP="00A43368">
            <w:pPr>
              <w:tabs>
                <w:tab w:val="left" w:pos="7845"/>
              </w:tabs>
              <w:rPr>
                <w:rFonts w:ascii="Arial" w:hAnsi="Arial" w:cs="Arial"/>
                <w:i/>
                <w:sz w:val="20"/>
                <w:szCs w:val="20"/>
              </w:rPr>
            </w:pPr>
            <w:r w:rsidRPr="00257980">
              <w:rPr>
                <w:rFonts w:ascii="Arial" w:hAnsi="Arial" w:cs="Arial"/>
                <w:i/>
                <w:sz w:val="20"/>
                <w:szCs w:val="20"/>
              </w:rPr>
              <w:t>Papiliopolytus</w:t>
            </w:r>
          </w:p>
        </w:tc>
        <w:tc>
          <w:tcPr>
            <w:tcW w:w="2430"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 xml:space="preserve">Common </w:t>
            </w:r>
            <w:r w:rsidR="00257980" w:rsidRPr="00257980">
              <w:rPr>
                <w:rFonts w:ascii="Arial" w:hAnsi="Arial" w:cs="Arial"/>
                <w:sz w:val="20"/>
                <w:szCs w:val="20"/>
              </w:rPr>
              <w:t>Mormon</w:t>
            </w:r>
          </w:p>
        </w:tc>
        <w:tc>
          <w:tcPr>
            <w:tcW w:w="990" w:type="dxa"/>
          </w:tcPr>
          <w:p w:rsidR="002E0DCA" w:rsidRPr="00257980" w:rsidRDefault="003A2F3E" w:rsidP="00A43368">
            <w:pPr>
              <w:tabs>
                <w:tab w:val="left" w:pos="7845"/>
              </w:tabs>
              <w:rPr>
                <w:rFonts w:ascii="Arial" w:hAnsi="Arial" w:cs="Arial"/>
                <w:sz w:val="20"/>
                <w:szCs w:val="20"/>
              </w:rPr>
            </w:pPr>
            <w:r>
              <w:rPr>
                <w:rFonts w:ascii="Arial" w:hAnsi="Arial" w:cs="Arial"/>
                <w:sz w:val="20"/>
                <w:szCs w:val="20"/>
              </w:rPr>
              <w:t>6</w:t>
            </w:r>
          </w:p>
        </w:tc>
        <w:tc>
          <w:tcPr>
            <w:tcW w:w="900" w:type="dxa"/>
          </w:tcPr>
          <w:p w:rsidR="002E0DCA" w:rsidRPr="00257980" w:rsidRDefault="003A2F3E" w:rsidP="00A43368">
            <w:pPr>
              <w:tabs>
                <w:tab w:val="left" w:pos="7845"/>
              </w:tabs>
              <w:rPr>
                <w:rFonts w:ascii="Arial" w:hAnsi="Arial" w:cs="Arial"/>
                <w:sz w:val="20"/>
                <w:szCs w:val="20"/>
              </w:rPr>
            </w:pPr>
            <w:r>
              <w:rPr>
                <w:rFonts w:ascii="Arial" w:hAnsi="Arial" w:cs="Arial"/>
                <w:sz w:val="20"/>
                <w:szCs w:val="20"/>
              </w:rPr>
              <w:t>12</w:t>
            </w:r>
          </w:p>
        </w:tc>
        <w:tc>
          <w:tcPr>
            <w:tcW w:w="720" w:type="dxa"/>
            <w:tcBorders>
              <w:right w:val="single" w:sz="4" w:space="0" w:color="auto"/>
            </w:tcBorders>
          </w:tcPr>
          <w:p w:rsidR="002E0DCA" w:rsidRPr="00257980" w:rsidRDefault="003A2F3E" w:rsidP="00A43368">
            <w:pPr>
              <w:tabs>
                <w:tab w:val="left" w:pos="7845"/>
              </w:tabs>
              <w:rPr>
                <w:rFonts w:ascii="Arial" w:hAnsi="Arial" w:cs="Arial"/>
                <w:sz w:val="20"/>
                <w:szCs w:val="20"/>
              </w:rPr>
            </w:pPr>
            <w:r>
              <w:rPr>
                <w:rFonts w:ascii="Arial" w:hAnsi="Arial" w:cs="Arial"/>
                <w:sz w:val="20"/>
                <w:szCs w:val="20"/>
              </w:rPr>
              <w:t>18</w:t>
            </w:r>
          </w:p>
        </w:tc>
        <w:tc>
          <w:tcPr>
            <w:tcW w:w="900" w:type="dxa"/>
            <w:tcBorders>
              <w:left w:val="single" w:sz="4" w:space="0" w:color="auto"/>
            </w:tcBorders>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rsidTr="0033417A">
        <w:trPr>
          <w:trHeight w:val="233"/>
        </w:trPr>
        <w:tc>
          <w:tcPr>
            <w:tcW w:w="763"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20</w:t>
            </w:r>
          </w:p>
        </w:tc>
        <w:tc>
          <w:tcPr>
            <w:tcW w:w="2378" w:type="dxa"/>
          </w:tcPr>
          <w:p w:rsidR="002E0DCA" w:rsidRPr="00257980" w:rsidRDefault="002E0DCA" w:rsidP="00A43368">
            <w:pPr>
              <w:tabs>
                <w:tab w:val="left" w:pos="7845"/>
              </w:tabs>
              <w:rPr>
                <w:rFonts w:ascii="Arial" w:hAnsi="Arial" w:cs="Arial"/>
                <w:i/>
                <w:sz w:val="20"/>
                <w:szCs w:val="20"/>
              </w:rPr>
            </w:pPr>
            <w:r w:rsidRPr="00257980">
              <w:rPr>
                <w:rFonts w:ascii="Arial" w:hAnsi="Arial" w:cs="Arial"/>
                <w:i/>
                <w:sz w:val="20"/>
                <w:szCs w:val="20"/>
              </w:rPr>
              <w:t>Graphiumdoson</w:t>
            </w:r>
          </w:p>
        </w:tc>
        <w:tc>
          <w:tcPr>
            <w:tcW w:w="2430"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Common jay</w:t>
            </w:r>
          </w:p>
        </w:tc>
        <w:tc>
          <w:tcPr>
            <w:tcW w:w="990" w:type="dxa"/>
          </w:tcPr>
          <w:p w:rsidR="002E0DCA" w:rsidRPr="00257980" w:rsidRDefault="003A2F3E" w:rsidP="00A43368">
            <w:pPr>
              <w:tabs>
                <w:tab w:val="left" w:pos="7845"/>
              </w:tabs>
              <w:rPr>
                <w:rFonts w:ascii="Arial" w:hAnsi="Arial" w:cs="Arial"/>
                <w:sz w:val="20"/>
                <w:szCs w:val="20"/>
              </w:rPr>
            </w:pPr>
            <w:r>
              <w:rPr>
                <w:rFonts w:ascii="Arial" w:hAnsi="Arial" w:cs="Arial"/>
                <w:sz w:val="20"/>
                <w:szCs w:val="20"/>
              </w:rPr>
              <w:t>4</w:t>
            </w:r>
          </w:p>
        </w:tc>
        <w:tc>
          <w:tcPr>
            <w:tcW w:w="900" w:type="dxa"/>
          </w:tcPr>
          <w:p w:rsidR="002E0DCA" w:rsidRPr="00257980" w:rsidRDefault="003A2F3E" w:rsidP="00A43368">
            <w:pPr>
              <w:tabs>
                <w:tab w:val="left" w:pos="7845"/>
              </w:tabs>
              <w:rPr>
                <w:rFonts w:ascii="Arial" w:hAnsi="Arial" w:cs="Arial"/>
                <w:sz w:val="20"/>
                <w:szCs w:val="20"/>
              </w:rPr>
            </w:pPr>
            <w:r>
              <w:rPr>
                <w:rFonts w:ascii="Arial" w:hAnsi="Arial" w:cs="Arial"/>
                <w:sz w:val="20"/>
                <w:szCs w:val="20"/>
              </w:rPr>
              <w:t>4</w:t>
            </w:r>
          </w:p>
        </w:tc>
        <w:tc>
          <w:tcPr>
            <w:tcW w:w="720" w:type="dxa"/>
            <w:tcBorders>
              <w:right w:val="single" w:sz="4" w:space="0" w:color="auto"/>
            </w:tcBorders>
          </w:tcPr>
          <w:p w:rsidR="002E0DCA" w:rsidRPr="00257980" w:rsidRDefault="003A2F3E" w:rsidP="00A43368">
            <w:pPr>
              <w:tabs>
                <w:tab w:val="left" w:pos="7845"/>
              </w:tabs>
              <w:rPr>
                <w:rFonts w:ascii="Arial" w:hAnsi="Arial" w:cs="Arial"/>
                <w:sz w:val="20"/>
                <w:szCs w:val="20"/>
              </w:rPr>
            </w:pPr>
            <w:r>
              <w:rPr>
                <w:rFonts w:ascii="Arial" w:hAnsi="Arial" w:cs="Arial"/>
                <w:sz w:val="20"/>
                <w:szCs w:val="20"/>
              </w:rPr>
              <w:t>8</w:t>
            </w:r>
          </w:p>
        </w:tc>
        <w:tc>
          <w:tcPr>
            <w:tcW w:w="900" w:type="dxa"/>
            <w:tcBorders>
              <w:left w:val="single" w:sz="4" w:space="0" w:color="auto"/>
            </w:tcBorders>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rsidTr="0033417A">
        <w:trPr>
          <w:trHeight w:val="430"/>
        </w:trPr>
        <w:tc>
          <w:tcPr>
            <w:tcW w:w="9081" w:type="dxa"/>
            <w:gridSpan w:val="7"/>
            <w:tcBorders>
              <w:bottom w:val="single" w:sz="4" w:space="0" w:color="auto"/>
            </w:tcBorders>
          </w:tcPr>
          <w:p w:rsidR="002E0DCA" w:rsidRPr="00257980" w:rsidRDefault="002E0DCA" w:rsidP="00A43368">
            <w:pPr>
              <w:tabs>
                <w:tab w:val="left" w:pos="7845"/>
              </w:tabs>
              <w:jc w:val="center"/>
              <w:rPr>
                <w:rFonts w:ascii="Arial" w:hAnsi="Arial" w:cs="Arial"/>
                <w:b/>
                <w:sz w:val="20"/>
                <w:szCs w:val="20"/>
              </w:rPr>
            </w:pPr>
            <w:r w:rsidRPr="00257980">
              <w:rPr>
                <w:rFonts w:ascii="Arial" w:hAnsi="Arial" w:cs="Arial"/>
                <w:b/>
                <w:sz w:val="20"/>
                <w:szCs w:val="20"/>
              </w:rPr>
              <w:t>Family:Hesperiidae</w:t>
            </w:r>
          </w:p>
        </w:tc>
      </w:tr>
      <w:tr w:rsidR="002E0DCA" w:rsidRPr="00257980" w:rsidTr="0033417A">
        <w:trPr>
          <w:trHeight w:val="377"/>
        </w:trPr>
        <w:tc>
          <w:tcPr>
            <w:tcW w:w="763" w:type="dxa"/>
            <w:tcBorders>
              <w:top w:val="single" w:sz="4" w:space="0" w:color="auto"/>
            </w:tcBorders>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21</w:t>
            </w:r>
          </w:p>
        </w:tc>
        <w:tc>
          <w:tcPr>
            <w:tcW w:w="2378" w:type="dxa"/>
            <w:tcBorders>
              <w:top w:val="single" w:sz="4" w:space="0" w:color="auto"/>
            </w:tcBorders>
          </w:tcPr>
          <w:p w:rsidR="002E0DCA" w:rsidRPr="00257980" w:rsidRDefault="002E0DCA" w:rsidP="00A43368">
            <w:pPr>
              <w:tabs>
                <w:tab w:val="left" w:pos="7845"/>
              </w:tabs>
              <w:rPr>
                <w:rFonts w:ascii="Arial" w:hAnsi="Arial" w:cs="Arial"/>
                <w:i/>
                <w:sz w:val="20"/>
                <w:szCs w:val="20"/>
              </w:rPr>
            </w:pPr>
            <w:r w:rsidRPr="00257980">
              <w:rPr>
                <w:rFonts w:ascii="Arial" w:hAnsi="Arial" w:cs="Arial"/>
                <w:i/>
                <w:sz w:val="20"/>
                <w:szCs w:val="20"/>
              </w:rPr>
              <w:t>Pelopidas mathias</w:t>
            </w:r>
          </w:p>
        </w:tc>
        <w:tc>
          <w:tcPr>
            <w:tcW w:w="2430" w:type="dxa"/>
            <w:tcBorders>
              <w:top w:val="single" w:sz="4" w:space="0" w:color="auto"/>
            </w:tcBorders>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 xml:space="preserve">Small branded swift </w:t>
            </w:r>
          </w:p>
        </w:tc>
        <w:tc>
          <w:tcPr>
            <w:tcW w:w="990" w:type="dxa"/>
            <w:tcBorders>
              <w:top w:val="single" w:sz="4" w:space="0" w:color="auto"/>
            </w:tcBorders>
          </w:tcPr>
          <w:p w:rsidR="002E0DCA" w:rsidRPr="00257980" w:rsidRDefault="003A2F3E" w:rsidP="00A43368">
            <w:pPr>
              <w:tabs>
                <w:tab w:val="left" w:pos="7845"/>
              </w:tabs>
              <w:rPr>
                <w:rFonts w:ascii="Arial" w:hAnsi="Arial" w:cs="Arial"/>
                <w:sz w:val="20"/>
                <w:szCs w:val="20"/>
              </w:rPr>
            </w:pPr>
            <w:r>
              <w:rPr>
                <w:rFonts w:ascii="Arial" w:hAnsi="Arial" w:cs="Arial"/>
                <w:sz w:val="20"/>
                <w:szCs w:val="20"/>
              </w:rPr>
              <w:t>8</w:t>
            </w:r>
          </w:p>
        </w:tc>
        <w:tc>
          <w:tcPr>
            <w:tcW w:w="900" w:type="dxa"/>
            <w:tcBorders>
              <w:top w:val="single" w:sz="4" w:space="0" w:color="auto"/>
            </w:tcBorders>
          </w:tcPr>
          <w:p w:rsidR="002E0DCA" w:rsidRPr="00257980" w:rsidRDefault="003A2F3E" w:rsidP="00A43368">
            <w:pPr>
              <w:tabs>
                <w:tab w:val="left" w:pos="7845"/>
              </w:tabs>
              <w:rPr>
                <w:rFonts w:ascii="Arial" w:hAnsi="Arial" w:cs="Arial"/>
                <w:sz w:val="20"/>
                <w:szCs w:val="20"/>
              </w:rPr>
            </w:pPr>
            <w:r>
              <w:rPr>
                <w:rFonts w:ascii="Arial" w:hAnsi="Arial" w:cs="Arial"/>
                <w:sz w:val="20"/>
                <w:szCs w:val="20"/>
              </w:rPr>
              <w:t>10</w:t>
            </w:r>
          </w:p>
        </w:tc>
        <w:tc>
          <w:tcPr>
            <w:tcW w:w="720" w:type="dxa"/>
            <w:tcBorders>
              <w:top w:val="single" w:sz="4" w:space="0" w:color="auto"/>
              <w:right w:val="single" w:sz="4" w:space="0" w:color="auto"/>
            </w:tcBorders>
          </w:tcPr>
          <w:p w:rsidR="002E0DCA" w:rsidRPr="00257980" w:rsidRDefault="003A2F3E" w:rsidP="00A43368">
            <w:pPr>
              <w:tabs>
                <w:tab w:val="left" w:pos="7845"/>
              </w:tabs>
              <w:rPr>
                <w:rFonts w:ascii="Arial" w:hAnsi="Arial" w:cs="Arial"/>
                <w:sz w:val="20"/>
                <w:szCs w:val="20"/>
              </w:rPr>
            </w:pPr>
            <w:r>
              <w:rPr>
                <w:rFonts w:ascii="Arial" w:hAnsi="Arial" w:cs="Arial"/>
                <w:sz w:val="20"/>
                <w:szCs w:val="20"/>
              </w:rPr>
              <w:t>18</w:t>
            </w:r>
          </w:p>
        </w:tc>
        <w:tc>
          <w:tcPr>
            <w:tcW w:w="900" w:type="dxa"/>
            <w:tcBorders>
              <w:top w:val="single" w:sz="4" w:space="0" w:color="auto"/>
              <w:left w:val="single" w:sz="4" w:space="0" w:color="auto"/>
            </w:tcBorders>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rsidTr="0033417A">
        <w:trPr>
          <w:trHeight w:val="377"/>
        </w:trPr>
        <w:tc>
          <w:tcPr>
            <w:tcW w:w="763"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22</w:t>
            </w:r>
          </w:p>
        </w:tc>
        <w:tc>
          <w:tcPr>
            <w:tcW w:w="2378" w:type="dxa"/>
          </w:tcPr>
          <w:p w:rsidR="002E0DCA" w:rsidRPr="00257980" w:rsidRDefault="002E0DCA" w:rsidP="00A43368">
            <w:pPr>
              <w:tabs>
                <w:tab w:val="left" w:pos="7845"/>
              </w:tabs>
              <w:rPr>
                <w:rFonts w:ascii="Arial" w:hAnsi="Arial" w:cs="Arial"/>
                <w:i/>
                <w:sz w:val="20"/>
                <w:szCs w:val="20"/>
              </w:rPr>
            </w:pPr>
            <w:r w:rsidRPr="00257980">
              <w:rPr>
                <w:rFonts w:ascii="Arial" w:hAnsi="Arial" w:cs="Arial"/>
                <w:i/>
                <w:sz w:val="20"/>
                <w:szCs w:val="20"/>
              </w:rPr>
              <w:t>Borbocinnara</w:t>
            </w:r>
          </w:p>
        </w:tc>
        <w:tc>
          <w:tcPr>
            <w:tcW w:w="2430" w:type="dxa"/>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Rice swift</w:t>
            </w:r>
          </w:p>
        </w:tc>
        <w:tc>
          <w:tcPr>
            <w:tcW w:w="990" w:type="dxa"/>
          </w:tcPr>
          <w:p w:rsidR="002E0DCA" w:rsidRPr="00257980" w:rsidRDefault="003A2F3E" w:rsidP="00A43368">
            <w:pPr>
              <w:tabs>
                <w:tab w:val="left" w:pos="7845"/>
              </w:tabs>
              <w:rPr>
                <w:rFonts w:ascii="Arial" w:hAnsi="Arial" w:cs="Arial"/>
                <w:sz w:val="20"/>
                <w:szCs w:val="20"/>
              </w:rPr>
            </w:pPr>
            <w:r>
              <w:rPr>
                <w:rFonts w:ascii="Arial" w:hAnsi="Arial" w:cs="Arial"/>
                <w:sz w:val="20"/>
                <w:szCs w:val="20"/>
              </w:rPr>
              <w:t>6</w:t>
            </w:r>
          </w:p>
        </w:tc>
        <w:tc>
          <w:tcPr>
            <w:tcW w:w="900" w:type="dxa"/>
          </w:tcPr>
          <w:p w:rsidR="002E0DCA" w:rsidRPr="00257980" w:rsidRDefault="003A2F3E" w:rsidP="00A43368">
            <w:pPr>
              <w:tabs>
                <w:tab w:val="left" w:pos="7845"/>
              </w:tabs>
              <w:rPr>
                <w:rFonts w:ascii="Arial" w:hAnsi="Arial" w:cs="Arial"/>
                <w:sz w:val="20"/>
                <w:szCs w:val="20"/>
              </w:rPr>
            </w:pPr>
            <w:r>
              <w:rPr>
                <w:rFonts w:ascii="Arial" w:hAnsi="Arial" w:cs="Arial"/>
                <w:sz w:val="20"/>
                <w:szCs w:val="20"/>
              </w:rPr>
              <w:t>10</w:t>
            </w:r>
          </w:p>
        </w:tc>
        <w:tc>
          <w:tcPr>
            <w:tcW w:w="720" w:type="dxa"/>
            <w:tcBorders>
              <w:right w:val="single" w:sz="4" w:space="0" w:color="auto"/>
            </w:tcBorders>
          </w:tcPr>
          <w:p w:rsidR="002E0DCA" w:rsidRPr="00257980" w:rsidRDefault="003A2F3E" w:rsidP="00A43368">
            <w:pPr>
              <w:tabs>
                <w:tab w:val="left" w:pos="7845"/>
              </w:tabs>
              <w:rPr>
                <w:rFonts w:ascii="Arial" w:hAnsi="Arial" w:cs="Arial"/>
                <w:sz w:val="20"/>
                <w:szCs w:val="20"/>
              </w:rPr>
            </w:pPr>
            <w:r>
              <w:rPr>
                <w:rFonts w:ascii="Arial" w:hAnsi="Arial" w:cs="Arial"/>
                <w:sz w:val="20"/>
                <w:szCs w:val="20"/>
              </w:rPr>
              <w:t>16</w:t>
            </w:r>
          </w:p>
        </w:tc>
        <w:tc>
          <w:tcPr>
            <w:tcW w:w="900" w:type="dxa"/>
            <w:tcBorders>
              <w:left w:val="single" w:sz="4" w:space="0" w:color="auto"/>
            </w:tcBorders>
          </w:tcPr>
          <w:p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rsidTr="0033417A">
        <w:trPr>
          <w:trHeight w:val="260"/>
        </w:trPr>
        <w:tc>
          <w:tcPr>
            <w:tcW w:w="763" w:type="dxa"/>
          </w:tcPr>
          <w:p w:rsidR="002E0DCA" w:rsidRPr="00257980" w:rsidRDefault="002E0DCA" w:rsidP="00A43368">
            <w:pPr>
              <w:tabs>
                <w:tab w:val="left" w:pos="7845"/>
              </w:tabs>
              <w:rPr>
                <w:rFonts w:ascii="Arial" w:hAnsi="Arial" w:cs="Arial"/>
                <w:sz w:val="20"/>
                <w:szCs w:val="20"/>
              </w:rPr>
            </w:pPr>
          </w:p>
        </w:tc>
        <w:tc>
          <w:tcPr>
            <w:tcW w:w="2378" w:type="dxa"/>
          </w:tcPr>
          <w:p w:rsidR="002E0DCA" w:rsidRPr="00257980" w:rsidRDefault="002E0DCA" w:rsidP="00A43368">
            <w:pPr>
              <w:tabs>
                <w:tab w:val="left" w:pos="7845"/>
              </w:tabs>
              <w:rPr>
                <w:rFonts w:ascii="Arial" w:hAnsi="Arial" w:cs="Arial"/>
                <w:sz w:val="20"/>
                <w:szCs w:val="20"/>
              </w:rPr>
            </w:pPr>
          </w:p>
        </w:tc>
        <w:tc>
          <w:tcPr>
            <w:tcW w:w="2430" w:type="dxa"/>
          </w:tcPr>
          <w:p w:rsidR="002E0DCA" w:rsidRPr="00257980" w:rsidRDefault="002E0DCA" w:rsidP="00A43368">
            <w:pPr>
              <w:tabs>
                <w:tab w:val="left" w:pos="7845"/>
              </w:tabs>
              <w:jc w:val="center"/>
              <w:rPr>
                <w:rFonts w:ascii="Arial" w:hAnsi="Arial" w:cs="Arial"/>
                <w:b/>
                <w:sz w:val="20"/>
                <w:szCs w:val="20"/>
              </w:rPr>
            </w:pPr>
            <w:r w:rsidRPr="00257980">
              <w:rPr>
                <w:rFonts w:ascii="Arial" w:hAnsi="Arial" w:cs="Arial"/>
                <w:b/>
                <w:sz w:val="20"/>
                <w:szCs w:val="20"/>
              </w:rPr>
              <w:t>Total</w:t>
            </w:r>
          </w:p>
        </w:tc>
        <w:tc>
          <w:tcPr>
            <w:tcW w:w="990" w:type="dxa"/>
          </w:tcPr>
          <w:p w:rsidR="002E0DCA" w:rsidRPr="00257980" w:rsidRDefault="003A2F3E" w:rsidP="00A43368">
            <w:pPr>
              <w:tabs>
                <w:tab w:val="left" w:pos="7845"/>
              </w:tabs>
              <w:rPr>
                <w:rFonts w:ascii="Arial" w:hAnsi="Arial" w:cs="Arial"/>
                <w:b/>
                <w:sz w:val="20"/>
                <w:szCs w:val="20"/>
              </w:rPr>
            </w:pPr>
            <w:r>
              <w:rPr>
                <w:rFonts w:ascii="Arial" w:hAnsi="Arial" w:cs="Arial"/>
                <w:b/>
                <w:sz w:val="20"/>
                <w:szCs w:val="20"/>
              </w:rPr>
              <w:t>101</w:t>
            </w:r>
          </w:p>
        </w:tc>
        <w:tc>
          <w:tcPr>
            <w:tcW w:w="900" w:type="dxa"/>
          </w:tcPr>
          <w:p w:rsidR="002E0DCA" w:rsidRPr="00257980" w:rsidRDefault="003A2F3E" w:rsidP="00A43368">
            <w:pPr>
              <w:tabs>
                <w:tab w:val="left" w:pos="7845"/>
              </w:tabs>
              <w:rPr>
                <w:rFonts w:ascii="Arial" w:hAnsi="Arial" w:cs="Arial"/>
                <w:b/>
                <w:sz w:val="20"/>
                <w:szCs w:val="20"/>
              </w:rPr>
            </w:pPr>
            <w:r>
              <w:rPr>
                <w:rFonts w:ascii="Arial" w:hAnsi="Arial" w:cs="Arial"/>
                <w:b/>
                <w:sz w:val="20"/>
                <w:szCs w:val="20"/>
              </w:rPr>
              <w:t>166</w:t>
            </w:r>
          </w:p>
        </w:tc>
        <w:tc>
          <w:tcPr>
            <w:tcW w:w="720" w:type="dxa"/>
            <w:tcBorders>
              <w:right w:val="single" w:sz="4" w:space="0" w:color="auto"/>
            </w:tcBorders>
          </w:tcPr>
          <w:p w:rsidR="002E0DCA" w:rsidRPr="00257980" w:rsidRDefault="003A2F3E" w:rsidP="00A43368">
            <w:pPr>
              <w:tabs>
                <w:tab w:val="left" w:pos="7845"/>
              </w:tabs>
              <w:rPr>
                <w:rFonts w:ascii="Arial" w:hAnsi="Arial" w:cs="Arial"/>
                <w:b/>
                <w:sz w:val="20"/>
                <w:szCs w:val="20"/>
              </w:rPr>
            </w:pPr>
            <w:r>
              <w:rPr>
                <w:rFonts w:ascii="Arial" w:hAnsi="Arial" w:cs="Arial"/>
                <w:b/>
                <w:sz w:val="20"/>
                <w:szCs w:val="20"/>
              </w:rPr>
              <w:t>267</w:t>
            </w:r>
          </w:p>
        </w:tc>
        <w:tc>
          <w:tcPr>
            <w:tcW w:w="900" w:type="dxa"/>
            <w:tcBorders>
              <w:left w:val="single" w:sz="4" w:space="0" w:color="auto"/>
            </w:tcBorders>
          </w:tcPr>
          <w:p w:rsidR="002E0DCA" w:rsidRPr="00257980" w:rsidRDefault="002E0DCA" w:rsidP="00A43368">
            <w:pPr>
              <w:tabs>
                <w:tab w:val="left" w:pos="7845"/>
              </w:tabs>
              <w:rPr>
                <w:rFonts w:ascii="Arial" w:hAnsi="Arial" w:cs="Arial"/>
                <w:b/>
                <w:sz w:val="20"/>
                <w:szCs w:val="20"/>
              </w:rPr>
            </w:pPr>
          </w:p>
        </w:tc>
      </w:tr>
    </w:tbl>
    <w:p w:rsidR="00CB3EF4" w:rsidRDefault="00CB3EF4" w:rsidP="00CB3EF4">
      <w:pPr>
        <w:pStyle w:val="BodyText3"/>
        <w:tabs>
          <w:tab w:val="left" w:pos="1080"/>
        </w:tabs>
        <w:spacing w:after="0"/>
        <w:ind w:left="1080" w:hanging="1080"/>
        <w:jc w:val="both"/>
        <w:rPr>
          <w:rFonts w:ascii="Arial" w:hAnsi="Arial"/>
          <w:b/>
          <w:sz w:val="20"/>
          <w:szCs w:val="20"/>
        </w:rPr>
      </w:pPr>
    </w:p>
    <w:p w:rsidR="00BB2688" w:rsidRDefault="00BB2688" w:rsidP="00BB2688">
      <w:pPr>
        <w:pStyle w:val="BodyText3"/>
        <w:tabs>
          <w:tab w:val="left" w:pos="1080"/>
        </w:tabs>
        <w:spacing w:after="0"/>
        <w:ind w:left="1080" w:hanging="1080"/>
        <w:jc w:val="both"/>
        <w:rPr>
          <w:rFonts w:ascii="Arial" w:hAnsi="Arial"/>
          <w:b/>
          <w:sz w:val="20"/>
          <w:szCs w:val="20"/>
        </w:rPr>
      </w:pPr>
      <w:r>
        <w:rPr>
          <w:rFonts w:ascii="Arial" w:hAnsi="Arial" w:cs="Arial"/>
          <w:sz w:val="20"/>
          <w:szCs w:val="20"/>
        </w:rPr>
        <w:t>(</w:t>
      </w:r>
      <w:r w:rsidRPr="002E0DCA">
        <w:rPr>
          <w:rFonts w:ascii="Arial" w:hAnsi="Arial" w:cs="Arial"/>
          <w:sz w:val="20"/>
          <w:szCs w:val="20"/>
        </w:rPr>
        <w:t>VC</w:t>
      </w:r>
      <w:r>
        <w:rPr>
          <w:rFonts w:ascii="Arial" w:hAnsi="Arial" w:cs="Arial"/>
          <w:sz w:val="20"/>
          <w:szCs w:val="20"/>
        </w:rPr>
        <w:t>=Very Common,C=Common, R=Rare)</w:t>
      </w:r>
    </w:p>
    <w:p w:rsidR="00BB2688" w:rsidRDefault="00BB2688" w:rsidP="00BB2688">
      <w:pPr>
        <w:pStyle w:val="BodyText3"/>
        <w:tabs>
          <w:tab w:val="left" w:pos="1080"/>
        </w:tabs>
        <w:spacing w:after="0"/>
        <w:ind w:left="1080" w:hanging="1080"/>
        <w:jc w:val="both"/>
        <w:rPr>
          <w:rFonts w:ascii="Arial" w:hAnsi="Arial"/>
          <w:b/>
          <w:sz w:val="20"/>
          <w:szCs w:val="20"/>
        </w:rPr>
      </w:pPr>
    </w:p>
    <w:p w:rsidR="00892D59" w:rsidRPr="003A568C" w:rsidRDefault="00892D59" w:rsidP="00B9116B">
      <w:pPr>
        <w:pStyle w:val="BodyText3"/>
        <w:tabs>
          <w:tab w:val="left" w:pos="810"/>
        </w:tabs>
        <w:spacing w:after="0"/>
        <w:ind w:left="810" w:hanging="810"/>
        <w:jc w:val="both"/>
        <w:rPr>
          <w:rFonts w:ascii="Arial" w:hAnsi="Arial" w:cs="Arial"/>
          <w:b/>
          <w:sz w:val="20"/>
          <w:szCs w:val="20"/>
        </w:rPr>
      </w:pPr>
      <w:r>
        <w:rPr>
          <w:rFonts w:ascii="Arial" w:hAnsi="Arial"/>
          <w:b/>
          <w:sz w:val="20"/>
          <w:szCs w:val="20"/>
        </w:rPr>
        <w:t>Figure 1.</w:t>
      </w:r>
      <w:r w:rsidR="00BB2688">
        <w:rPr>
          <w:rFonts w:ascii="Arial" w:hAnsi="Arial"/>
          <w:b/>
          <w:sz w:val="20"/>
          <w:szCs w:val="20"/>
        </w:rPr>
        <w:t xml:space="preserve">Representative Species </w:t>
      </w:r>
      <w:r w:rsidR="00440F03">
        <w:rPr>
          <w:rFonts w:ascii="Arial" w:hAnsi="Arial"/>
          <w:b/>
          <w:sz w:val="20"/>
          <w:szCs w:val="20"/>
        </w:rPr>
        <w:t xml:space="preserve">Family </w:t>
      </w:r>
      <w:r w:rsidR="00440F03" w:rsidRPr="00440F03">
        <w:rPr>
          <w:rFonts w:ascii="Arial" w:hAnsi="Arial" w:cs="Arial"/>
          <w:b/>
          <w:sz w:val="20"/>
          <w:szCs w:val="20"/>
        </w:rPr>
        <w:t>Nymphalidae a</w:t>
      </w:r>
      <w:r w:rsidR="00440F03">
        <w:rPr>
          <w:rFonts w:ascii="Arial" w:hAnsi="Arial" w:cs="Arial"/>
          <w:b/>
          <w:sz w:val="20"/>
          <w:szCs w:val="20"/>
        </w:rPr>
        <w:t xml:space="preserve">. </w:t>
      </w:r>
      <w:r w:rsidR="00440F03" w:rsidRPr="00440F03">
        <w:rPr>
          <w:rFonts w:ascii="Arial" w:hAnsi="Arial" w:cs="Arial"/>
          <w:b/>
          <w:i/>
          <w:sz w:val="20"/>
          <w:szCs w:val="20"/>
        </w:rPr>
        <w:t>Ariadne merione</w:t>
      </w:r>
      <w:r w:rsidR="00BB2688" w:rsidRPr="00BB2688">
        <w:rPr>
          <w:rFonts w:ascii="Arial" w:hAnsi="Arial" w:cs="Arial"/>
          <w:b/>
          <w:sz w:val="20"/>
          <w:szCs w:val="20"/>
        </w:rPr>
        <w:t>b</w:t>
      </w:r>
      <w:r w:rsidR="00440F03">
        <w:rPr>
          <w:rFonts w:ascii="Arial" w:hAnsi="Arial" w:cs="Arial"/>
          <w:b/>
          <w:i/>
          <w:sz w:val="20"/>
          <w:szCs w:val="20"/>
        </w:rPr>
        <w:t xml:space="preserve">. </w:t>
      </w:r>
      <w:r w:rsidR="00440F03" w:rsidRPr="00440F03">
        <w:rPr>
          <w:rFonts w:ascii="Arial" w:hAnsi="Arial" w:cs="Arial"/>
          <w:b/>
          <w:i/>
          <w:sz w:val="20"/>
          <w:szCs w:val="20"/>
        </w:rPr>
        <w:t>Melanitisleda</w:t>
      </w:r>
      <w:r w:rsidR="00216F35">
        <w:rPr>
          <w:rFonts w:ascii="Arial" w:hAnsi="Arial" w:cs="Arial"/>
          <w:b/>
          <w:i/>
          <w:sz w:val="20"/>
          <w:szCs w:val="20"/>
        </w:rPr>
        <w:t>,</w:t>
      </w:r>
      <w:r w:rsidR="00680B19">
        <w:rPr>
          <w:rFonts w:ascii="Arial" w:hAnsi="Arial"/>
          <w:b/>
          <w:sz w:val="20"/>
          <w:szCs w:val="20"/>
        </w:rPr>
        <w:t xml:space="preserve"> Family</w:t>
      </w:r>
      <w:r w:rsidR="00680B19" w:rsidRPr="002E0DCA">
        <w:rPr>
          <w:rFonts w:ascii="Arial" w:hAnsi="Arial" w:cs="Arial"/>
          <w:b/>
          <w:sz w:val="20"/>
          <w:szCs w:val="20"/>
        </w:rPr>
        <w:t>Pieridae</w:t>
      </w:r>
      <w:r w:rsidR="00680B19">
        <w:rPr>
          <w:rFonts w:ascii="Arial" w:hAnsi="Arial"/>
          <w:b/>
          <w:sz w:val="20"/>
          <w:szCs w:val="20"/>
        </w:rPr>
        <w:t xml:space="preserve">; </w:t>
      </w:r>
      <w:r w:rsidR="00BB2688">
        <w:rPr>
          <w:rFonts w:ascii="Arial" w:hAnsi="Arial"/>
          <w:b/>
          <w:sz w:val="20"/>
          <w:szCs w:val="20"/>
        </w:rPr>
        <w:t>c</w:t>
      </w:r>
      <w:r w:rsidR="00820C76">
        <w:rPr>
          <w:rFonts w:ascii="Arial" w:hAnsi="Arial"/>
          <w:b/>
          <w:sz w:val="20"/>
          <w:szCs w:val="20"/>
        </w:rPr>
        <w:t xml:space="preserve">. </w:t>
      </w:r>
      <w:r w:rsidR="00030DAC">
        <w:rPr>
          <w:rFonts w:ascii="Arial" w:hAnsi="Arial" w:cs="Arial"/>
          <w:b/>
          <w:i/>
          <w:sz w:val="20"/>
          <w:szCs w:val="20"/>
        </w:rPr>
        <w:t>Catopsilia</w:t>
      </w:r>
      <w:r w:rsidR="00345B71">
        <w:rPr>
          <w:rFonts w:ascii="Arial" w:hAnsi="Arial" w:cs="Arial"/>
          <w:b/>
          <w:i/>
          <w:sz w:val="20"/>
          <w:szCs w:val="20"/>
        </w:rPr>
        <w:t>pomona</w:t>
      </w:r>
      <w:r w:rsidR="00BB2688" w:rsidRPr="00BB2688">
        <w:rPr>
          <w:rFonts w:ascii="Arial" w:hAnsi="Arial" w:cs="Arial"/>
          <w:b/>
          <w:sz w:val="20"/>
          <w:szCs w:val="20"/>
        </w:rPr>
        <w:t>d</w:t>
      </w:r>
      <w:r w:rsidR="00B97634">
        <w:rPr>
          <w:rFonts w:ascii="Arial" w:hAnsi="Arial" w:cs="Arial"/>
          <w:b/>
          <w:sz w:val="20"/>
          <w:szCs w:val="20"/>
        </w:rPr>
        <w:t xml:space="preserve">. </w:t>
      </w:r>
      <w:r w:rsidR="00030DAC" w:rsidRPr="00820C76">
        <w:rPr>
          <w:rFonts w:ascii="Arial" w:hAnsi="Arial" w:cs="Arial"/>
          <w:b/>
          <w:i/>
          <w:sz w:val="20"/>
          <w:szCs w:val="20"/>
        </w:rPr>
        <w:t>Pareroniahippi</w:t>
      </w:r>
      <w:r w:rsidR="00030DAC">
        <w:rPr>
          <w:rFonts w:ascii="Arial" w:hAnsi="Arial" w:cs="Arial"/>
          <w:b/>
          <w:i/>
          <w:sz w:val="20"/>
          <w:szCs w:val="20"/>
        </w:rPr>
        <w:t>a</w:t>
      </w:r>
      <w:r w:rsidR="00216F35">
        <w:rPr>
          <w:rFonts w:ascii="Arial" w:hAnsi="Arial" w:cs="Arial"/>
          <w:b/>
          <w:i/>
          <w:sz w:val="20"/>
          <w:szCs w:val="20"/>
        </w:rPr>
        <w:t>,</w:t>
      </w:r>
      <w:r w:rsidR="00E510B9" w:rsidRPr="00680B19">
        <w:rPr>
          <w:rFonts w:ascii="Arial" w:hAnsi="Arial" w:cs="Arial"/>
          <w:b/>
          <w:sz w:val="20"/>
          <w:szCs w:val="20"/>
        </w:rPr>
        <w:t xml:space="preserve">FamilyPapilionidae; </w:t>
      </w:r>
      <w:r w:rsidR="00030DAC">
        <w:rPr>
          <w:rFonts w:ascii="Arial" w:hAnsi="Arial" w:cs="Arial"/>
          <w:b/>
          <w:sz w:val="20"/>
          <w:szCs w:val="20"/>
        </w:rPr>
        <w:t>e</w:t>
      </w:r>
      <w:r w:rsidR="00680B19" w:rsidRPr="00680B19">
        <w:rPr>
          <w:rFonts w:ascii="Arial" w:hAnsi="Arial" w:cs="Arial"/>
          <w:b/>
          <w:sz w:val="20"/>
          <w:szCs w:val="20"/>
        </w:rPr>
        <w:t>.</w:t>
      </w:r>
      <w:r w:rsidR="00680B19" w:rsidRPr="00680B19">
        <w:rPr>
          <w:rFonts w:ascii="Arial" w:hAnsi="Arial" w:cs="Arial"/>
          <w:b/>
          <w:i/>
          <w:sz w:val="20"/>
          <w:szCs w:val="20"/>
        </w:rPr>
        <w:t>Graphiumdoson</w:t>
      </w:r>
      <w:r w:rsidR="00216F35">
        <w:rPr>
          <w:rFonts w:ascii="Arial" w:hAnsi="Arial" w:cs="Arial"/>
          <w:b/>
          <w:i/>
          <w:sz w:val="20"/>
          <w:szCs w:val="20"/>
        </w:rPr>
        <w:t>,</w:t>
      </w:r>
      <w:r w:rsidR="00030DAC">
        <w:rPr>
          <w:rFonts w:ascii="Arial" w:hAnsi="Arial"/>
          <w:b/>
          <w:sz w:val="20"/>
          <w:szCs w:val="20"/>
        </w:rPr>
        <w:t>Family</w:t>
      </w:r>
      <w:r w:rsidR="00030DAC" w:rsidRPr="002E0DCA">
        <w:rPr>
          <w:rFonts w:ascii="Arial" w:hAnsi="Arial" w:cs="Arial"/>
          <w:b/>
          <w:sz w:val="20"/>
          <w:szCs w:val="20"/>
        </w:rPr>
        <w:t>Lycaenidae</w:t>
      </w:r>
      <w:r w:rsidR="00030DAC">
        <w:rPr>
          <w:rFonts w:ascii="Arial" w:hAnsi="Arial" w:cs="Arial"/>
          <w:b/>
          <w:sz w:val="20"/>
          <w:szCs w:val="20"/>
        </w:rPr>
        <w:t>; f</w:t>
      </w:r>
      <w:r w:rsidR="00030DAC" w:rsidRPr="00680B19">
        <w:rPr>
          <w:rFonts w:ascii="Arial" w:hAnsi="Arial" w:cs="Arial"/>
          <w:b/>
          <w:sz w:val="20"/>
          <w:szCs w:val="20"/>
        </w:rPr>
        <w:t>.</w:t>
      </w:r>
      <w:r w:rsidR="00030DAC" w:rsidRPr="00680B19">
        <w:rPr>
          <w:rFonts w:ascii="Arial" w:hAnsi="Arial" w:cs="Arial"/>
          <w:b/>
          <w:i/>
          <w:sz w:val="20"/>
          <w:szCs w:val="20"/>
        </w:rPr>
        <w:t>Tarucusbalkanica</w:t>
      </w:r>
      <w:r w:rsidR="00030DAC">
        <w:rPr>
          <w:rFonts w:ascii="Arial" w:hAnsi="Arial" w:cs="Arial"/>
          <w:b/>
          <w:i/>
          <w:sz w:val="20"/>
          <w:szCs w:val="20"/>
        </w:rPr>
        <w:t>,</w:t>
      </w:r>
      <w:r w:rsidR="00680B19">
        <w:rPr>
          <w:rFonts w:ascii="Arial" w:hAnsi="Arial"/>
          <w:b/>
          <w:sz w:val="20"/>
          <w:szCs w:val="20"/>
        </w:rPr>
        <w:t>Family</w:t>
      </w:r>
      <w:r w:rsidR="00680B19" w:rsidRPr="002E0DCA">
        <w:rPr>
          <w:rFonts w:ascii="Arial" w:hAnsi="Arial" w:cs="Arial"/>
          <w:b/>
          <w:sz w:val="20"/>
          <w:szCs w:val="20"/>
        </w:rPr>
        <w:t>Hesperiidae</w:t>
      </w:r>
      <w:r w:rsidR="00216F35">
        <w:rPr>
          <w:rFonts w:ascii="Arial" w:hAnsi="Arial" w:cs="Arial"/>
          <w:b/>
          <w:sz w:val="20"/>
          <w:szCs w:val="20"/>
        </w:rPr>
        <w:t>;</w:t>
      </w:r>
      <w:r w:rsidR="00030DAC">
        <w:rPr>
          <w:rFonts w:ascii="Arial" w:hAnsi="Arial" w:cs="Arial"/>
          <w:b/>
          <w:sz w:val="20"/>
          <w:szCs w:val="20"/>
        </w:rPr>
        <w:t>g</w:t>
      </w:r>
      <w:r w:rsidR="00BB2688">
        <w:rPr>
          <w:rFonts w:ascii="Arial" w:hAnsi="Arial" w:cs="Arial"/>
          <w:b/>
          <w:sz w:val="20"/>
          <w:szCs w:val="20"/>
        </w:rPr>
        <w:t>.</w:t>
      </w:r>
      <w:r w:rsidR="00680B19" w:rsidRPr="00680B19">
        <w:rPr>
          <w:rFonts w:ascii="Arial" w:hAnsi="Arial" w:cs="Arial"/>
          <w:b/>
          <w:i/>
          <w:sz w:val="20"/>
          <w:szCs w:val="20"/>
        </w:rPr>
        <w:t>Borbocinnara</w:t>
      </w:r>
      <w:r w:rsidR="003A568C">
        <w:rPr>
          <w:rFonts w:ascii="Arial" w:hAnsi="Arial" w:cs="Arial"/>
          <w:b/>
          <w:i/>
          <w:sz w:val="20"/>
          <w:szCs w:val="20"/>
        </w:rPr>
        <w:t xml:space="preserve">. </w:t>
      </w:r>
      <w:r w:rsidR="00216F35">
        <w:rPr>
          <w:rFonts w:ascii="Arial" w:hAnsi="Arial" w:cs="Arial"/>
          <w:b/>
          <w:i/>
          <w:sz w:val="20"/>
          <w:szCs w:val="20"/>
        </w:rPr>
        <w:t>(</w:t>
      </w:r>
      <w:r w:rsidR="003A568C">
        <w:rPr>
          <w:rFonts w:ascii="Arial" w:hAnsi="Arial" w:cs="Arial"/>
          <w:b/>
          <w:sz w:val="20"/>
          <w:szCs w:val="20"/>
        </w:rPr>
        <w:t>All photograph</w:t>
      </w:r>
      <w:r w:rsidR="00216F35">
        <w:rPr>
          <w:rFonts w:ascii="Arial" w:hAnsi="Arial" w:cs="Arial"/>
          <w:b/>
          <w:sz w:val="20"/>
          <w:szCs w:val="20"/>
        </w:rPr>
        <w:t>ed</w:t>
      </w:r>
      <w:r w:rsidR="003A568C">
        <w:rPr>
          <w:rFonts w:ascii="Arial" w:hAnsi="Arial" w:cs="Arial"/>
          <w:b/>
          <w:sz w:val="20"/>
          <w:szCs w:val="20"/>
        </w:rPr>
        <w:t xml:space="preserve"> by the </w:t>
      </w:r>
      <w:r w:rsidR="00216F35">
        <w:rPr>
          <w:rFonts w:ascii="Arial" w:hAnsi="Arial" w:cs="Arial"/>
          <w:b/>
          <w:sz w:val="20"/>
          <w:szCs w:val="20"/>
        </w:rPr>
        <w:t>authors)</w:t>
      </w:r>
      <w:r w:rsidR="003A568C">
        <w:rPr>
          <w:rFonts w:ascii="Arial" w:hAnsi="Arial" w:cs="Arial"/>
          <w:b/>
          <w:sz w:val="20"/>
          <w:szCs w:val="20"/>
        </w:rPr>
        <w:t>.</w:t>
      </w:r>
    </w:p>
    <w:p w:rsidR="00892D59" w:rsidRDefault="00BB2688" w:rsidP="00486711">
      <w:pPr>
        <w:pStyle w:val="ConcHead"/>
        <w:spacing w:after="0"/>
        <w:jc w:val="center"/>
        <w:rPr>
          <w:rFonts w:ascii="Arial" w:hAnsi="Arial" w:cs="Arial"/>
        </w:rPr>
      </w:pPr>
      <w:r>
        <w:rPr>
          <w:noProof/>
          <w:lang w:bidi="gu-IN"/>
        </w:rPr>
        <w:drawing>
          <wp:inline distT="0" distB="0" distL="0" distR="0">
            <wp:extent cx="3099057" cy="2151220"/>
            <wp:effectExtent l="19050" t="0" r="6093"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24210" cy="2168680"/>
                    </a:xfrm>
                    <a:prstGeom prst="rect">
                      <a:avLst/>
                    </a:prstGeom>
                    <a:noFill/>
                    <a:ln>
                      <a:noFill/>
                    </a:ln>
                  </pic:spPr>
                </pic:pic>
              </a:graphicData>
            </a:graphic>
          </wp:inline>
        </w:drawing>
      </w:r>
    </w:p>
    <w:p w:rsidR="0068679D" w:rsidRDefault="0068679D" w:rsidP="00DE43D6">
      <w:pPr>
        <w:spacing w:before="100" w:beforeAutospacing="1" w:after="100" w:afterAutospacing="1"/>
        <w:jc w:val="both"/>
        <w:rPr>
          <w:rFonts w:ascii="Arial" w:hAnsi="Arial" w:cs="Arial"/>
          <w:b/>
          <w:sz w:val="22"/>
          <w:szCs w:val="22"/>
        </w:rPr>
      </w:pPr>
    </w:p>
    <w:p w:rsidR="00DE43D6" w:rsidRDefault="00DE43D6" w:rsidP="00DE43D6">
      <w:pPr>
        <w:spacing w:before="100" w:beforeAutospacing="1" w:after="100" w:afterAutospacing="1"/>
        <w:jc w:val="both"/>
        <w:rPr>
          <w:rFonts w:ascii="Arial" w:hAnsi="Arial" w:cs="Arial"/>
          <w:sz w:val="22"/>
          <w:szCs w:val="22"/>
        </w:rPr>
      </w:pPr>
      <w:r>
        <w:rPr>
          <w:rFonts w:ascii="Arial" w:hAnsi="Arial" w:cs="Arial"/>
          <w:b/>
          <w:sz w:val="22"/>
          <w:szCs w:val="22"/>
        </w:rPr>
        <w:lastRenderedPageBreak/>
        <w:t>CONCLUSION</w:t>
      </w:r>
    </w:p>
    <w:p w:rsidR="00DE43D6" w:rsidRPr="00B321BC" w:rsidRDefault="00DE43D6" w:rsidP="00DE43D6">
      <w:pPr>
        <w:jc w:val="both"/>
        <w:rPr>
          <w:rFonts w:ascii="Arial" w:hAnsi="Arial" w:cs="Arial"/>
        </w:rPr>
      </w:pPr>
      <w:r w:rsidRPr="00B321BC">
        <w:rPr>
          <w:rFonts w:ascii="Arial" w:hAnsi="Arial" w:cs="Arial"/>
        </w:rPr>
        <w:t>The present study provides the first baseline record of butterfly diversity from the Bazpur region of the Kumaun</w:t>
      </w:r>
      <w:r w:rsidR="006B4B8A">
        <w:rPr>
          <w:rFonts w:ascii="Arial" w:hAnsi="Arial" w:cs="Arial"/>
        </w:rPr>
        <w:t>T</w:t>
      </w:r>
      <w:r w:rsidRPr="00B321BC">
        <w:rPr>
          <w:rFonts w:ascii="Arial" w:hAnsi="Arial" w:cs="Arial"/>
        </w:rPr>
        <w:t xml:space="preserve">erai, Uttarakhand. Despite the predominance of agricultural land use, the documentation of 22 species belonging to five families reflects a moderately rich and ecologically balanced lepidopteran assemblage. The dominance of Nymphalidae and Pieridae, coupled with the presence of Papilionidae and Hesperiidae, highlights the capacity of the Terai landscape to sustain both generalist and habitat-sensitive taxa. The single record of </w:t>
      </w:r>
      <w:r w:rsidRPr="00B321BC">
        <w:rPr>
          <w:rFonts w:ascii="Arial" w:hAnsi="Arial" w:cs="Arial"/>
          <w:i/>
          <w:iCs/>
        </w:rPr>
        <w:t>Tarucusbalkanica</w:t>
      </w:r>
      <w:r w:rsidRPr="00B321BC">
        <w:rPr>
          <w:rFonts w:ascii="Arial" w:hAnsi="Arial" w:cs="Arial"/>
        </w:rPr>
        <w:t>, a species considered rare in Uttarakhand, further enhances the faunal significance of the area and underlines the importance of continuous monitoring.</w:t>
      </w:r>
    </w:p>
    <w:p w:rsidR="00DE43D6" w:rsidRPr="00B321BC" w:rsidRDefault="00DE43D6" w:rsidP="00DE43D6">
      <w:pPr>
        <w:jc w:val="both"/>
        <w:rPr>
          <w:rFonts w:ascii="Arial" w:hAnsi="Arial" w:cs="Arial"/>
        </w:rPr>
      </w:pPr>
      <w:r w:rsidRPr="00B321BC">
        <w:rPr>
          <w:rFonts w:ascii="Arial" w:hAnsi="Arial" w:cs="Arial"/>
        </w:rPr>
        <w:t xml:space="preserve">The results affirm that even semi-urban and agricultural habitats in the Terai Arc Landscape retain substantial conservation value when vegetation heterogeneity and floral resources are maintained. Long-term, seasonally extended surveys </w:t>
      </w:r>
      <w:r w:rsidR="00A10AAA" w:rsidRPr="00B321BC">
        <w:rPr>
          <w:rFonts w:ascii="Arial" w:hAnsi="Arial" w:cs="Arial"/>
        </w:rPr>
        <w:t>surrounding</w:t>
      </w:r>
      <w:r w:rsidRPr="00B321BC">
        <w:rPr>
          <w:rFonts w:ascii="Arial" w:hAnsi="Arial" w:cs="Arial"/>
        </w:rPr>
        <w:t xml:space="preserve"> adjacent forest patches, riparian corridors, and wetlands are recommended to capture full annual diversity and assess anthropogenic impacts. The baseline data generated in this study will support future ecological monitoring, biodiversity mapping, and conservation planning in the lesser-studied lowland ecosystems of the Kumaun Himalaya.</w:t>
      </w:r>
    </w:p>
    <w:p w:rsidR="00192A2D" w:rsidRPr="00192A2D" w:rsidRDefault="00192A2D" w:rsidP="006B2BDF">
      <w:pPr>
        <w:spacing w:before="100" w:beforeAutospacing="1" w:after="100" w:afterAutospacing="1"/>
        <w:jc w:val="both"/>
        <w:rPr>
          <w:rFonts w:ascii="Arial" w:hAnsi="Arial" w:cs="Arial"/>
          <w:b/>
          <w:sz w:val="22"/>
          <w:szCs w:val="22"/>
          <w:shd w:val="clear" w:color="auto" w:fill="FFFFFF"/>
        </w:rPr>
      </w:pPr>
      <w:r w:rsidRPr="00192A2D">
        <w:rPr>
          <w:rFonts w:ascii="Arial" w:hAnsi="Arial" w:cs="Arial"/>
          <w:b/>
          <w:sz w:val="22"/>
          <w:szCs w:val="22"/>
          <w:shd w:val="clear" w:color="auto" w:fill="FFFFFF"/>
        </w:rPr>
        <w:t>DISCLAIMER (ARTIFICIAL INTELLIGENCE)</w:t>
      </w:r>
    </w:p>
    <w:p w:rsidR="00192A2D" w:rsidRPr="00192A2D" w:rsidRDefault="00192A2D" w:rsidP="006B2BDF">
      <w:pPr>
        <w:spacing w:before="100" w:beforeAutospacing="1" w:after="100" w:afterAutospacing="1"/>
        <w:jc w:val="both"/>
        <w:rPr>
          <w:rFonts w:ascii="Arial" w:hAnsi="Arial" w:cs="Arial"/>
          <w:b/>
        </w:rPr>
      </w:pPr>
      <w:r w:rsidRPr="00192A2D">
        <w:rPr>
          <w:rFonts w:ascii="Arial" w:hAnsi="Arial" w:cs="Arial"/>
          <w:shd w:val="clear" w:color="auto" w:fill="FFFFFF"/>
        </w:rPr>
        <w:t xml:space="preserve">Authorsdeclare that </w:t>
      </w:r>
      <w:r w:rsidR="000D6BCE">
        <w:rPr>
          <w:rFonts w:ascii="Arial" w:hAnsi="Arial" w:cs="Arial"/>
          <w:shd w:val="clear" w:color="auto" w:fill="FFFFFF"/>
        </w:rPr>
        <w:t>no</w:t>
      </w:r>
      <w:r w:rsidRPr="00192A2D">
        <w:rPr>
          <w:rFonts w:ascii="Arial" w:hAnsi="Arial" w:cs="Arial"/>
          <w:shd w:val="clear" w:color="auto" w:fill="FFFFFF"/>
        </w:rPr>
        <w:t xml:space="preserve"> generative AI technologies such as Large Language Models and text-to-image generators have been used during writing or editing of this manuscript</w:t>
      </w:r>
      <w:r w:rsidR="00740F39">
        <w:rPr>
          <w:rFonts w:ascii="Arial" w:hAnsi="Arial" w:cs="Arial"/>
          <w:shd w:val="clear" w:color="auto" w:fill="FFFFFF"/>
        </w:rPr>
        <w:t>.</w:t>
      </w:r>
    </w:p>
    <w:p w:rsidR="006B2BDF" w:rsidRDefault="006B2BDF" w:rsidP="006B2BDF">
      <w:pPr>
        <w:spacing w:before="100" w:beforeAutospacing="1" w:after="100" w:afterAutospacing="1"/>
        <w:jc w:val="both"/>
        <w:rPr>
          <w:rFonts w:ascii="Arial" w:hAnsi="Arial" w:cs="Arial"/>
          <w:sz w:val="22"/>
          <w:szCs w:val="22"/>
        </w:rPr>
      </w:pPr>
      <w:r>
        <w:rPr>
          <w:rFonts w:ascii="Arial" w:hAnsi="Arial" w:cs="Arial"/>
          <w:b/>
          <w:sz w:val="22"/>
          <w:szCs w:val="22"/>
        </w:rPr>
        <w:t>COMPE</w:t>
      </w:r>
      <w:r w:rsidR="00192A2D">
        <w:rPr>
          <w:rFonts w:ascii="Arial" w:hAnsi="Arial" w:cs="Arial"/>
          <w:b/>
          <w:sz w:val="22"/>
          <w:szCs w:val="22"/>
        </w:rPr>
        <w:t>T</w:t>
      </w:r>
      <w:r>
        <w:rPr>
          <w:rFonts w:ascii="Arial" w:hAnsi="Arial" w:cs="Arial"/>
          <w:b/>
          <w:sz w:val="22"/>
          <w:szCs w:val="22"/>
        </w:rPr>
        <w:t>ING INTEREST</w:t>
      </w:r>
    </w:p>
    <w:p w:rsidR="00860000" w:rsidRDefault="00E66E10" w:rsidP="00441B6F">
      <w:pPr>
        <w:pStyle w:val="ReferHead"/>
        <w:spacing w:after="0"/>
        <w:jc w:val="both"/>
        <w:rPr>
          <w:rFonts w:ascii="Arial" w:hAnsi="Arial" w:cs="Arial"/>
          <w:b w:val="0"/>
          <w:caps w:val="0"/>
          <w:sz w:val="20"/>
        </w:rPr>
      </w:pPr>
      <w:r w:rsidRPr="002E0DCA">
        <w:rPr>
          <w:rFonts w:ascii="Arial" w:hAnsi="Arial" w:cs="Arial"/>
          <w:b w:val="0"/>
          <w:caps w:val="0"/>
          <w:sz w:val="20"/>
        </w:rPr>
        <w:t>Authors declare that no competing interests exist.</w:t>
      </w:r>
    </w:p>
    <w:p w:rsidR="006B2BDF" w:rsidRPr="006B2BDF" w:rsidRDefault="006B2BDF" w:rsidP="006B2BDF">
      <w:pPr>
        <w:spacing w:before="100" w:beforeAutospacing="1" w:after="100" w:afterAutospacing="1"/>
        <w:jc w:val="both"/>
        <w:rPr>
          <w:rFonts w:ascii="Arial" w:hAnsi="Arial" w:cs="Arial"/>
          <w:sz w:val="22"/>
          <w:szCs w:val="22"/>
        </w:rPr>
      </w:pPr>
      <w:r>
        <w:rPr>
          <w:rFonts w:ascii="Arial" w:hAnsi="Arial" w:cs="Arial"/>
          <w:b/>
          <w:sz w:val="22"/>
          <w:szCs w:val="22"/>
        </w:rPr>
        <w:t xml:space="preserve">REFERENCES </w:t>
      </w:r>
    </w:p>
    <w:p w:rsidR="00F81638" w:rsidRPr="00740F39" w:rsidRDefault="00F81638" w:rsidP="00F81638">
      <w:pPr>
        <w:ind w:left="851" w:hanging="491"/>
        <w:jc w:val="both"/>
        <w:rPr>
          <w:rFonts w:ascii="Arial" w:hAnsi="Arial" w:cs="Arial"/>
        </w:rPr>
      </w:pPr>
      <w:r w:rsidRPr="00740F39">
        <w:rPr>
          <w:rFonts w:ascii="Arial" w:hAnsi="Arial" w:cs="Arial"/>
        </w:rPr>
        <w:t xml:space="preserve">An, S. &amp; Choi, S. (2021). Effects of environmental variables on butterfly diversity along riparian forests in East Asia. </w:t>
      </w:r>
      <w:r w:rsidRPr="00740F39">
        <w:rPr>
          <w:rFonts w:ascii="Arial" w:hAnsi="Arial" w:cs="Arial"/>
          <w:bCs/>
        </w:rPr>
        <w:t>Journal of Asia-Pacific Biodiversity</w:t>
      </w:r>
      <w:r w:rsidRPr="00740F39">
        <w:rPr>
          <w:rFonts w:ascii="Arial" w:hAnsi="Arial" w:cs="Arial"/>
        </w:rPr>
        <w:t>, 14(3): 412–420.</w:t>
      </w:r>
    </w:p>
    <w:p w:rsidR="00F81638" w:rsidRPr="00740F39" w:rsidRDefault="00F81638" w:rsidP="00F81638">
      <w:pPr>
        <w:ind w:left="851" w:hanging="491"/>
        <w:jc w:val="both"/>
        <w:rPr>
          <w:rFonts w:ascii="Arial" w:hAnsi="Arial" w:cs="Arial"/>
        </w:rPr>
      </w:pPr>
      <w:r w:rsidRPr="00740F39">
        <w:rPr>
          <w:rFonts w:ascii="Arial" w:hAnsi="Arial" w:cs="Arial"/>
        </w:rPr>
        <w:t xml:space="preserve">Arya, M.K., Verma, A. &amp; Pandey, D. (2020). Diversity of butterflies in the Corbett Tiger Reserve, Uttarakhand, India. </w:t>
      </w:r>
      <w:r w:rsidRPr="00740F39">
        <w:rPr>
          <w:rFonts w:ascii="Arial" w:hAnsi="Arial" w:cs="Arial"/>
          <w:bCs/>
        </w:rPr>
        <w:t>Journal of Entomology and Zoology Studies</w:t>
      </w:r>
      <w:r w:rsidRPr="00740F39">
        <w:rPr>
          <w:rFonts w:ascii="Arial" w:hAnsi="Arial" w:cs="Arial"/>
        </w:rPr>
        <w:t>, 8(3): 223–231.</w:t>
      </w:r>
    </w:p>
    <w:p w:rsidR="00F81638" w:rsidRPr="00740F39" w:rsidRDefault="00F81638" w:rsidP="00F81638">
      <w:pPr>
        <w:ind w:left="851" w:hanging="491"/>
        <w:jc w:val="both"/>
        <w:rPr>
          <w:rFonts w:ascii="Arial" w:hAnsi="Arial" w:cs="Arial"/>
        </w:rPr>
      </w:pPr>
      <w:r w:rsidRPr="00740F39">
        <w:rPr>
          <w:rFonts w:ascii="Arial" w:hAnsi="Arial" w:cs="Arial"/>
        </w:rPr>
        <w:t xml:space="preserve">Bonebrake, T.C. &amp; Boggs, C.L. (2020). Butterfly responses to climate change and human disturbance. </w:t>
      </w:r>
      <w:r w:rsidRPr="00740F39">
        <w:rPr>
          <w:rFonts w:ascii="Arial" w:hAnsi="Arial" w:cs="Arial"/>
          <w:bCs/>
        </w:rPr>
        <w:t>Annual Review of Entomology</w:t>
      </w:r>
      <w:r w:rsidRPr="00740F39">
        <w:rPr>
          <w:rFonts w:ascii="Arial" w:hAnsi="Arial" w:cs="Arial"/>
        </w:rPr>
        <w:t>, 65: 127–146.</w:t>
      </w:r>
    </w:p>
    <w:p w:rsidR="00F81638" w:rsidRPr="00740F39" w:rsidRDefault="00F81638" w:rsidP="00F81638">
      <w:pPr>
        <w:ind w:left="851" w:hanging="491"/>
        <w:jc w:val="both"/>
        <w:rPr>
          <w:rFonts w:ascii="Arial" w:hAnsi="Arial" w:cs="Arial"/>
        </w:rPr>
      </w:pPr>
      <w:r w:rsidRPr="00740F39">
        <w:rPr>
          <w:rFonts w:ascii="Arial" w:hAnsi="Arial" w:cs="Arial"/>
        </w:rPr>
        <w:t xml:space="preserve">Bonebrake, T.C., Ponisio, L.C., Boggs, C.L. &amp; Ehrlich, P.R. (2010). More than just indicators: a review of tropical butterfly ecology and conservation. </w:t>
      </w:r>
      <w:r w:rsidRPr="00740F39">
        <w:rPr>
          <w:rFonts w:ascii="Arial" w:hAnsi="Arial" w:cs="Arial"/>
          <w:bCs/>
        </w:rPr>
        <w:t>Biological Conservation</w:t>
      </w:r>
      <w:r w:rsidRPr="00740F39">
        <w:rPr>
          <w:rFonts w:ascii="Arial" w:hAnsi="Arial" w:cs="Arial"/>
        </w:rPr>
        <w:t>, 143(8): 1831–1841.</w:t>
      </w:r>
    </w:p>
    <w:p w:rsidR="00F81638" w:rsidRPr="00740F39" w:rsidRDefault="00F81638" w:rsidP="00F81638">
      <w:pPr>
        <w:ind w:left="851" w:hanging="491"/>
        <w:jc w:val="both"/>
        <w:rPr>
          <w:rFonts w:ascii="Arial" w:hAnsi="Arial" w:cs="Arial"/>
        </w:rPr>
      </w:pPr>
      <w:r w:rsidRPr="00740F39">
        <w:rPr>
          <w:rFonts w:ascii="Arial" w:hAnsi="Arial" w:cs="Arial"/>
        </w:rPr>
        <w:t xml:space="preserve">Braak, C.J.F., Mulder, C. &amp;Hemerik, L. (2018). Agricultural intensification and insect decline: patterns, processes and consequences. </w:t>
      </w:r>
      <w:r w:rsidRPr="00740F39">
        <w:rPr>
          <w:rFonts w:ascii="Arial" w:hAnsi="Arial" w:cs="Arial"/>
          <w:bCs/>
        </w:rPr>
        <w:t>Agriculture, Ecosystems &amp; Environment</w:t>
      </w:r>
      <w:r w:rsidRPr="00740F39">
        <w:rPr>
          <w:rFonts w:ascii="Arial" w:hAnsi="Arial" w:cs="Arial"/>
        </w:rPr>
        <w:t>, 264: 255–264.</w:t>
      </w:r>
    </w:p>
    <w:p w:rsidR="00F81638" w:rsidRPr="00740F39" w:rsidRDefault="00F81638" w:rsidP="00F81638">
      <w:pPr>
        <w:ind w:left="851" w:hanging="491"/>
        <w:jc w:val="both"/>
        <w:rPr>
          <w:rFonts w:ascii="Arial" w:hAnsi="Arial" w:cs="Arial"/>
        </w:rPr>
      </w:pPr>
      <w:r w:rsidRPr="00740F39">
        <w:rPr>
          <w:rFonts w:ascii="Arial" w:hAnsi="Arial" w:cs="Arial"/>
        </w:rPr>
        <w:t xml:space="preserve">Chanchani, P., Lamichhane, B.R., Malla, S., Maurya, K.K. &amp;Bista, A. (2014). </w:t>
      </w:r>
      <w:r w:rsidRPr="00740F39">
        <w:rPr>
          <w:rFonts w:ascii="Arial" w:hAnsi="Arial" w:cs="Arial"/>
          <w:i/>
          <w:iCs/>
        </w:rPr>
        <w:t>Status and distribution of tigers and prey in the Terai Arc Landscape (TAL)</w:t>
      </w:r>
      <w:r w:rsidRPr="00740F39">
        <w:rPr>
          <w:rFonts w:ascii="Arial" w:hAnsi="Arial" w:cs="Arial"/>
        </w:rPr>
        <w:t>. WWF-India &amp; NTNC, New Delhi, India.</w:t>
      </w:r>
    </w:p>
    <w:p w:rsidR="00F81638" w:rsidRPr="00740F39" w:rsidRDefault="00F81638" w:rsidP="00F81638">
      <w:pPr>
        <w:ind w:left="851" w:hanging="491"/>
        <w:jc w:val="both"/>
        <w:rPr>
          <w:rFonts w:ascii="Arial" w:hAnsi="Arial" w:cs="Arial"/>
        </w:rPr>
      </w:pPr>
      <w:r w:rsidRPr="00740F39">
        <w:rPr>
          <w:rFonts w:ascii="Arial" w:hAnsi="Arial" w:cs="Arial"/>
        </w:rPr>
        <w:t xml:space="preserve">Chandra, H., Arya, M.K. &amp; Verma, A. (2023). Biodiversity of butterflies (Lepidoptera: Rhopalocera) in the protected landscape of Nandhour, Uttarakhand, India. </w:t>
      </w:r>
      <w:r w:rsidRPr="00740F39">
        <w:rPr>
          <w:rFonts w:ascii="Arial" w:hAnsi="Arial" w:cs="Arial"/>
          <w:bCs/>
        </w:rPr>
        <w:t>Uttar Pradesh Journal of Zoology</w:t>
      </w:r>
      <w:r w:rsidRPr="00740F39">
        <w:rPr>
          <w:rFonts w:ascii="Arial" w:hAnsi="Arial" w:cs="Arial"/>
        </w:rPr>
        <w:t>, 45(2): 7519–7527.</w:t>
      </w:r>
    </w:p>
    <w:p w:rsidR="00F81638" w:rsidRPr="00740F39" w:rsidRDefault="00F81638" w:rsidP="00F81638">
      <w:pPr>
        <w:ind w:left="851" w:hanging="491"/>
        <w:jc w:val="both"/>
        <w:rPr>
          <w:rFonts w:ascii="Arial" w:hAnsi="Arial" w:cs="Arial"/>
        </w:rPr>
      </w:pPr>
      <w:r w:rsidRPr="00740F39">
        <w:rPr>
          <w:rFonts w:ascii="Arial" w:hAnsi="Arial" w:cs="Arial"/>
        </w:rPr>
        <w:t xml:space="preserve">Forister, M.L., Pelton, E.M. &amp; Black, S.H. (2016). Declines in insect abundance and diversity: causes and consequences. </w:t>
      </w:r>
      <w:r w:rsidRPr="00740F39">
        <w:rPr>
          <w:rFonts w:ascii="Arial" w:hAnsi="Arial" w:cs="Arial"/>
          <w:bCs/>
        </w:rPr>
        <w:t>Proceedings of the National Academy of Sciences</w:t>
      </w:r>
      <w:r w:rsidRPr="00740F39">
        <w:rPr>
          <w:rFonts w:ascii="Arial" w:hAnsi="Arial" w:cs="Arial"/>
        </w:rPr>
        <w:t>, 113(31): 868–874.</w:t>
      </w:r>
    </w:p>
    <w:p w:rsidR="00F81638" w:rsidRPr="00740F39" w:rsidRDefault="00F81638" w:rsidP="00F81638">
      <w:pPr>
        <w:ind w:left="851" w:hanging="491"/>
        <w:jc w:val="both"/>
        <w:rPr>
          <w:rFonts w:ascii="Arial" w:hAnsi="Arial" w:cs="Arial"/>
        </w:rPr>
      </w:pPr>
      <w:r w:rsidRPr="00740F39">
        <w:rPr>
          <w:rFonts w:ascii="Arial" w:hAnsi="Arial" w:cs="Arial"/>
        </w:rPr>
        <w:lastRenderedPageBreak/>
        <w:t xml:space="preserve">Gilburn, A.S., Bunnefeld, N., Wilson, J.M., Botham, M.S., Brereton, T.M., Fox, R., Goulson, D., Hails, R.S., Hulme, P.E., Pywell, R.F. &amp; Potts, S.G. (2015). Agricultural intensification and pesticides reduce butterfly diversity across Europe. </w:t>
      </w:r>
      <w:r w:rsidRPr="00740F39">
        <w:rPr>
          <w:rFonts w:ascii="Arial" w:hAnsi="Arial" w:cs="Arial"/>
          <w:bCs/>
        </w:rPr>
        <w:t>Ecology Letters</w:t>
      </w:r>
      <w:r w:rsidRPr="00740F39">
        <w:rPr>
          <w:rFonts w:ascii="Arial" w:hAnsi="Arial" w:cs="Arial"/>
        </w:rPr>
        <w:t>, 18(8): 884–891.</w:t>
      </w:r>
    </w:p>
    <w:p w:rsidR="00F81638" w:rsidRPr="00740F39" w:rsidRDefault="00F81638" w:rsidP="00F81638">
      <w:pPr>
        <w:ind w:left="851" w:hanging="491"/>
        <w:jc w:val="both"/>
        <w:rPr>
          <w:rFonts w:ascii="Arial" w:hAnsi="Arial" w:cs="Arial"/>
        </w:rPr>
      </w:pPr>
      <w:r w:rsidRPr="00740F39">
        <w:rPr>
          <w:rFonts w:ascii="Arial" w:hAnsi="Arial" w:cs="Arial"/>
        </w:rPr>
        <w:t xml:space="preserve">Grøtan, V., Lande, R., Engen, S., Sæther, B.E. &amp; DeVries, P.J. (2012). Seasonal cycles of species diversity and similarity in a tropical butterfly community. </w:t>
      </w:r>
      <w:r w:rsidRPr="00740F39">
        <w:rPr>
          <w:rFonts w:ascii="Arial" w:hAnsi="Arial" w:cs="Arial"/>
          <w:bCs/>
        </w:rPr>
        <w:t>Journal of Animal Ecology</w:t>
      </w:r>
      <w:r w:rsidRPr="00740F39">
        <w:rPr>
          <w:rFonts w:ascii="Arial" w:hAnsi="Arial" w:cs="Arial"/>
        </w:rPr>
        <w:t>, 81(3): 714–723.</w:t>
      </w:r>
    </w:p>
    <w:p w:rsidR="00F81638" w:rsidRDefault="00F81638" w:rsidP="00F81638">
      <w:pPr>
        <w:pStyle w:val="NormalWeb"/>
        <w:spacing w:before="0" w:beforeAutospacing="0" w:after="0" w:afterAutospacing="0"/>
        <w:ind w:left="720" w:hanging="360"/>
        <w:rPr>
          <w:rFonts w:ascii="Arial" w:hAnsi="Arial" w:cs="Arial"/>
          <w:sz w:val="20"/>
          <w:szCs w:val="20"/>
        </w:rPr>
      </w:pPr>
      <w:r>
        <w:rPr>
          <w:rStyle w:val="Strong"/>
          <w:rFonts w:ascii="Arial" w:hAnsi="Arial" w:cs="Arial"/>
          <w:b w:val="0"/>
          <w:sz w:val="20"/>
          <w:szCs w:val="20"/>
        </w:rPr>
        <w:t>Joshi, P.C. &amp; Arya, M.K</w:t>
      </w:r>
      <w:r>
        <w:rPr>
          <w:rStyle w:val="Strong"/>
          <w:rFonts w:ascii="Arial" w:hAnsi="Arial" w:cs="Arial"/>
          <w:sz w:val="20"/>
          <w:szCs w:val="20"/>
        </w:rPr>
        <w:t>.</w:t>
      </w:r>
      <w:r>
        <w:rPr>
          <w:rFonts w:ascii="Arial" w:hAnsi="Arial" w:cs="Arial"/>
          <w:sz w:val="20"/>
          <w:szCs w:val="20"/>
        </w:rPr>
        <w:t xml:space="preserve"> (2007). Diversity of butterflies from Pindari area of Nanda Devi Biosphere Reserve, Uttarakhand, India. </w:t>
      </w:r>
      <w:r>
        <w:rPr>
          <w:rStyle w:val="Emphasis"/>
          <w:rFonts w:ascii="Arial" w:hAnsi="Arial" w:cs="Arial"/>
          <w:sz w:val="20"/>
          <w:szCs w:val="20"/>
        </w:rPr>
        <w:t>Indian Forester</w:t>
      </w:r>
      <w:r>
        <w:rPr>
          <w:rFonts w:ascii="Arial" w:hAnsi="Arial" w:cs="Arial"/>
          <w:sz w:val="20"/>
          <w:szCs w:val="20"/>
        </w:rPr>
        <w:t xml:space="preserve">, </w:t>
      </w:r>
      <w:r>
        <w:rPr>
          <w:rStyle w:val="Strong"/>
          <w:rFonts w:ascii="Arial" w:hAnsi="Arial" w:cs="Arial"/>
          <w:b w:val="0"/>
          <w:sz w:val="20"/>
          <w:szCs w:val="20"/>
        </w:rPr>
        <w:t>133(10)</w:t>
      </w:r>
      <w:r>
        <w:rPr>
          <w:rFonts w:ascii="Arial" w:hAnsi="Arial" w:cs="Arial"/>
          <w:b/>
          <w:sz w:val="20"/>
          <w:szCs w:val="20"/>
        </w:rPr>
        <w:t>:</w:t>
      </w:r>
      <w:r>
        <w:rPr>
          <w:rFonts w:ascii="Arial" w:hAnsi="Arial" w:cs="Arial"/>
          <w:sz w:val="20"/>
          <w:szCs w:val="20"/>
        </w:rPr>
        <w:t xml:space="preserve"> 1371–1386.</w:t>
      </w:r>
    </w:p>
    <w:p w:rsidR="00F81638" w:rsidRPr="00740F39" w:rsidRDefault="00F81638" w:rsidP="00F81638">
      <w:pPr>
        <w:ind w:left="851" w:hanging="491"/>
        <w:jc w:val="both"/>
        <w:rPr>
          <w:rFonts w:ascii="Arial" w:hAnsi="Arial" w:cs="Arial"/>
        </w:rPr>
      </w:pPr>
      <w:r w:rsidRPr="00740F39">
        <w:rPr>
          <w:rFonts w:ascii="Arial" w:hAnsi="Arial" w:cs="Arial"/>
        </w:rPr>
        <w:t xml:space="preserve">Kehimkar, I. (2016). </w:t>
      </w:r>
      <w:r w:rsidRPr="00740F39">
        <w:rPr>
          <w:rFonts w:ascii="Arial" w:hAnsi="Arial" w:cs="Arial"/>
          <w:i/>
          <w:iCs/>
        </w:rPr>
        <w:t>The Book of Indian Butterflies</w:t>
      </w:r>
      <w:r w:rsidRPr="00740F39">
        <w:rPr>
          <w:rFonts w:ascii="Arial" w:hAnsi="Arial" w:cs="Arial"/>
        </w:rPr>
        <w:t>. Bombay Natural History Society, Mumbai, India.</w:t>
      </w:r>
    </w:p>
    <w:p w:rsidR="00F81638" w:rsidRPr="00740F39" w:rsidRDefault="00F81638" w:rsidP="00F81638">
      <w:pPr>
        <w:ind w:left="851" w:hanging="491"/>
        <w:jc w:val="both"/>
        <w:rPr>
          <w:rFonts w:ascii="Arial" w:hAnsi="Arial" w:cs="Arial"/>
        </w:rPr>
      </w:pPr>
      <w:r w:rsidRPr="00740F39">
        <w:rPr>
          <w:rFonts w:ascii="Arial" w:hAnsi="Arial" w:cs="Arial"/>
        </w:rPr>
        <w:t xml:space="preserve">Kunte, K. (1997). Seasonality and species diversity of butterflies in four tropical habitats in the northern Western Ghats. </w:t>
      </w:r>
      <w:r w:rsidRPr="00740F39">
        <w:rPr>
          <w:rFonts w:ascii="Arial" w:hAnsi="Arial" w:cs="Arial"/>
          <w:bCs/>
        </w:rPr>
        <w:t>Journal of Biosciences</w:t>
      </w:r>
      <w:r w:rsidRPr="00740F39">
        <w:rPr>
          <w:rFonts w:ascii="Arial" w:hAnsi="Arial" w:cs="Arial"/>
        </w:rPr>
        <w:t>, 22(5): 593–603.</w:t>
      </w:r>
    </w:p>
    <w:p w:rsidR="00F81638" w:rsidRPr="00740F39" w:rsidRDefault="00F81638" w:rsidP="00F81638">
      <w:pPr>
        <w:ind w:left="851" w:hanging="491"/>
        <w:jc w:val="both"/>
        <w:rPr>
          <w:rFonts w:ascii="Arial" w:hAnsi="Arial" w:cs="Arial"/>
        </w:rPr>
      </w:pPr>
      <w:r w:rsidRPr="00740F39">
        <w:rPr>
          <w:rFonts w:ascii="Arial" w:hAnsi="Arial" w:cs="Arial"/>
        </w:rPr>
        <w:t xml:space="preserve">Kunte, K. (2000). </w:t>
      </w:r>
      <w:r w:rsidRPr="00740F39">
        <w:rPr>
          <w:rFonts w:ascii="Arial" w:hAnsi="Arial" w:cs="Arial"/>
          <w:i/>
          <w:iCs/>
        </w:rPr>
        <w:t>Butterflies of Peninsular India</w:t>
      </w:r>
      <w:r w:rsidRPr="00740F39">
        <w:rPr>
          <w:rFonts w:ascii="Arial" w:hAnsi="Arial" w:cs="Arial"/>
        </w:rPr>
        <w:t>. Universities Press, Hyderabad, India.</w:t>
      </w:r>
    </w:p>
    <w:p w:rsidR="00F81638" w:rsidRPr="00740F39" w:rsidRDefault="00F81638" w:rsidP="00F81638">
      <w:pPr>
        <w:ind w:left="851" w:hanging="491"/>
        <w:jc w:val="both"/>
        <w:rPr>
          <w:rFonts w:ascii="Arial" w:hAnsi="Arial" w:cs="Arial"/>
        </w:rPr>
      </w:pPr>
      <w:r w:rsidRPr="00740F39">
        <w:rPr>
          <w:rFonts w:ascii="Arial" w:hAnsi="Arial" w:cs="Arial"/>
        </w:rPr>
        <w:t xml:space="preserve">Kunte, K. (2022). </w:t>
      </w:r>
      <w:r w:rsidRPr="00740F39">
        <w:rPr>
          <w:rFonts w:ascii="Arial" w:hAnsi="Arial" w:cs="Arial"/>
          <w:i/>
          <w:iCs/>
        </w:rPr>
        <w:t>Butterflies of Uttarakhand</w:t>
      </w:r>
      <w:r w:rsidRPr="00740F39">
        <w:rPr>
          <w:rFonts w:ascii="Arial" w:hAnsi="Arial" w:cs="Arial"/>
        </w:rPr>
        <w:t xml:space="preserve"> (Online database, version 3.65). Indian Foundation for Butterflies, Bengaluru. Available at: </w:t>
      </w:r>
      <w:hyperlink r:id="rId16" w:history="1">
        <w:r w:rsidRPr="00740F39">
          <w:rPr>
            <w:rStyle w:val="Hyperlink"/>
            <w:rFonts w:ascii="Arial" w:hAnsi="Arial" w:cs="Arial"/>
            <w:color w:val="auto"/>
            <w:u w:val="none"/>
          </w:rPr>
          <w:t>https://www.ifoundbutterflies.org</w:t>
        </w:r>
      </w:hyperlink>
    </w:p>
    <w:p w:rsidR="00F81638" w:rsidRDefault="00F81638" w:rsidP="00F81638">
      <w:pPr>
        <w:pStyle w:val="NormalWeb"/>
        <w:spacing w:before="0" w:beforeAutospacing="0" w:after="0" w:afterAutospacing="0"/>
        <w:ind w:left="720" w:hanging="360"/>
        <w:rPr>
          <w:rFonts w:ascii="Arial" w:hAnsi="Arial" w:cs="Arial"/>
          <w:sz w:val="20"/>
          <w:szCs w:val="20"/>
        </w:rPr>
      </w:pPr>
      <w:r>
        <w:rPr>
          <w:rStyle w:val="Strong"/>
          <w:rFonts w:ascii="Arial" w:hAnsi="Arial" w:cs="Arial"/>
          <w:b w:val="0"/>
          <w:sz w:val="20"/>
          <w:szCs w:val="20"/>
        </w:rPr>
        <w:t>Magurran, A.E.</w:t>
      </w:r>
      <w:r>
        <w:rPr>
          <w:rFonts w:ascii="Arial" w:hAnsi="Arial" w:cs="Arial"/>
          <w:sz w:val="20"/>
          <w:szCs w:val="20"/>
        </w:rPr>
        <w:t xml:space="preserve"> (2004). </w:t>
      </w:r>
      <w:r>
        <w:rPr>
          <w:rStyle w:val="Emphasis"/>
          <w:rFonts w:ascii="Arial" w:hAnsi="Arial" w:cs="Arial"/>
          <w:sz w:val="20"/>
          <w:szCs w:val="20"/>
        </w:rPr>
        <w:t>Measuring Biological Diversity</w:t>
      </w:r>
      <w:r>
        <w:rPr>
          <w:rFonts w:ascii="Arial" w:hAnsi="Arial" w:cs="Arial"/>
          <w:sz w:val="20"/>
          <w:szCs w:val="20"/>
        </w:rPr>
        <w:t>. Blackwell Publishing, Oxford, UK. 256 pp.</w:t>
      </w:r>
    </w:p>
    <w:p w:rsidR="00F81638" w:rsidRPr="00740F39" w:rsidRDefault="00F81638" w:rsidP="00F81638">
      <w:pPr>
        <w:ind w:left="851" w:hanging="491"/>
        <w:jc w:val="both"/>
        <w:rPr>
          <w:rFonts w:ascii="Arial" w:hAnsi="Arial" w:cs="Arial"/>
        </w:rPr>
      </w:pPr>
      <w:r w:rsidRPr="00740F39">
        <w:rPr>
          <w:rFonts w:ascii="Arial" w:hAnsi="Arial" w:cs="Arial"/>
        </w:rPr>
        <w:t xml:space="preserve">Öckinger, E., Eriksson, A.K. &amp; Smith, H.G. (2006). Effects of grassland management, landscape composition and historical factors on grassland butterflies. </w:t>
      </w:r>
      <w:r w:rsidRPr="00740F39">
        <w:rPr>
          <w:rFonts w:ascii="Arial" w:hAnsi="Arial" w:cs="Arial"/>
          <w:bCs/>
        </w:rPr>
        <w:t>Biological Conservation</w:t>
      </w:r>
      <w:r w:rsidRPr="00740F39">
        <w:rPr>
          <w:rFonts w:ascii="Arial" w:hAnsi="Arial" w:cs="Arial"/>
        </w:rPr>
        <w:t>, 128(2): 179–192.</w:t>
      </w:r>
    </w:p>
    <w:p w:rsidR="00F81638" w:rsidRDefault="00F81638" w:rsidP="00F81638">
      <w:pPr>
        <w:ind w:left="851" w:hanging="491"/>
        <w:jc w:val="both"/>
        <w:rPr>
          <w:rFonts w:ascii="Arial" w:hAnsi="Arial" w:cs="Arial"/>
        </w:rPr>
      </w:pPr>
      <w:r w:rsidRPr="00740F39">
        <w:rPr>
          <w:rFonts w:ascii="Arial" w:hAnsi="Arial" w:cs="Arial"/>
        </w:rPr>
        <w:t xml:space="preserve">Pandey, N., Randhawa, H.S. &amp; Sharma, N. (2022). Butterflies (Lepidoptera) diversity in Maldevta region, Dehradun, Uttarakhand. </w:t>
      </w:r>
      <w:r w:rsidRPr="00740F39">
        <w:rPr>
          <w:rFonts w:ascii="Arial" w:hAnsi="Arial" w:cs="Arial"/>
          <w:bCs/>
        </w:rPr>
        <w:t>Journal of Entomology and Zoology Studies</w:t>
      </w:r>
      <w:r w:rsidRPr="00740F39">
        <w:rPr>
          <w:rFonts w:ascii="Arial" w:hAnsi="Arial" w:cs="Arial"/>
        </w:rPr>
        <w:t>, 10(6): 167–172.</w:t>
      </w:r>
    </w:p>
    <w:p w:rsidR="00F81638" w:rsidRPr="00740F39" w:rsidRDefault="00F81638" w:rsidP="00F81638">
      <w:pPr>
        <w:ind w:left="851" w:hanging="491"/>
        <w:jc w:val="both"/>
        <w:rPr>
          <w:rFonts w:ascii="Arial" w:hAnsi="Arial" w:cs="Arial"/>
        </w:rPr>
      </w:pPr>
      <w:r w:rsidRPr="00384E83">
        <w:rPr>
          <w:rFonts w:ascii="Arial" w:hAnsi="Arial" w:cs="Arial"/>
        </w:rPr>
        <w:t>Parmod Kumar. 2008. Handbook on Common Butterflies of Uttarakhand 1-136. (Published by the Director</w:t>
      </w:r>
      <w:r>
        <w:rPr>
          <w:rFonts w:ascii="Arial" w:hAnsi="Arial" w:cs="Arial"/>
        </w:rPr>
        <w:t>, Zool. Surv. India, Kolkata).</w:t>
      </w:r>
    </w:p>
    <w:p w:rsidR="00F81638" w:rsidRDefault="00F81638" w:rsidP="00F81638">
      <w:pPr>
        <w:pStyle w:val="NormalWeb"/>
        <w:spacing w:before="0" w:beforeAutospacing="0" w:after="0" w:afterAutospacing="0"/>
        <w:ind w:left="720" w:hanging="360"/>
        <w:rPr>
          <w:rFonts w:ascii="Arial" w:hAnsi="Arial" w:cs="Arial"/>
          <w:sz w:val="20"/>
          <w:szCs w:val="20"/>
        </w:rPr>
      </w:pPr>
      <w:r>
        <w:rPr>
          <w:rStyle w:val="Strong"/>
          <w:rFonts w:ascii="Arial" w:hAnsi="Arial" w:cs="Arial"/>
          <w:b w:val="0"/>
          <w:sz w:val="20"/>
          <w:szCs w:val="20"/>
        </w:rPr>
        <w:t>Pollard, E.</w:t>
      </w:r>
      <w:r>
        <w:rPr>
          <w:rFonts w:ascii="Arial" w:hAnsi="Arial" w:cs="Arial"/>
          <w:sz w:val="20"/>
          <w:szCs w:val="20"/>
        </w:rPr>
        <w:t xml:space="preserve"> (1977). A method for assessing changes in the abundance of butterflies. </w:t>
      </w:r>
      <w:r>
        <w:rPr>
          <w:rStyle w:val="Emphasis"/>
          <w:rFonts w:ascii="Arial" w:hAnsi="Arial" w:cs="Arial"/>
          <w:sz w:val="20"/>
          <w:szCs w:val="20"/>
        </w:rPr>
        <w:t>Biological Conservation</w:t>
      </w:r>
      <w:r>
        <w:rPr>
          <w:rFonts w:ascii="Arial" w:hAnsi="Arial" w:cs="Arial"/>
          <w:sz w:val="20"/>
          <w:szCs w:val="20"/>
        </w:rPr>
        <w:t xml:space="preserve">, </w:t>
      </w:r>
      <w:r>
        <w:rPr>
          <w:rStyle w:val="Strong"/>
          <w:rFonts w:ascii="Arial" w:hAnsi="Arial" w:cs="Arial"/>
          <w:b w:val="0"/>
          <w:sz w:val="20"/>
          <w:szCs w:val="20"/>
        </w:rPr>
        <w:t>12(2)</w:t>
      </w:r>
      <w:r>
        <w:rPr>
          <w:rFonts w:ascii="Arial" w:hAnsi="Arial" w:cs="Arial"/>
          <w:b/>
          <w:sz w:val="20"/>
          <w:szCs w:val="20"/>
        </w:rPr>
        <w:t>:</w:t>
      </w:r>
      <w:r>
        <w:rPr>
          <w:rFonts w:ascii="Arial" w:hAnsi="Arial" w:cs="Arial"/>
          <w:sz w:val="20"/>
          <w:szCs w:val="20"/>
        </w:rPr>
        <w:t xml:space="preserve"> 115–134.</w:t>
      </w:r>
    </w:p>
    <w:p w:rsidR="007D4525" w:rsidRPr="007D4525" w:rsidRDefault="007D4525" w:rsidP="00F81638">
      <w:pPr>
        <w:pStyle w:val="NormalWeb"/>
        <w:spacing w:before="0" w:beforeAutospacing="0" w:after="0" w:afterAutospacing="0"/>
        <w:ind w:left="720" w:hanging="360"/>
        <w:rPr>
          <w:rFonts w:ascii="Arial" w:hAnsi="Arial" w:cs="Arial"/>
          <w:sz w:val="20"/>
          <w:szCs w:val="20"/>
        </w:rPr>
      </w:pPr>
      <w:r w:rsidRPr="007D4525">
        <w:rPr>
          <w:rStyle w:val="Strong"/>
          <w:rFonts w:ascii="Arial" w:hAnsi="Arial" w:cs="Arial"/>
          <w:b w:val="0"/>
          <w:sz w:val="20"/>
          <w:szCs w:val="20"/>
        </w:rPr>
        <w:t>Samraj, J.M. &amp; Agnihotri, M.</w:t>
      </w:r>
      <w:r w:rsidRPr="007D4525">
        <w:rPr>
          <w:rFonts w:ascii="Arial" w:hAnsi="Arial" w:cs="Arial"/>
          <w:sz w:val="20"/>
          <w:szCs w:val="20"/>
        </w:rPr>
        <w:t xml:space="preserve"> (2021). Impact of land use pattern and seasonality on butterfly diversity in a sub-tropical Terai Arc Landscape (TAL), Pantnagar, Uttarakhand (India). </w:t>
      </w:r>
      <w:r w:rsidRPr="007D4525">
        <w:rPr>
          <w:rStyle w:val="Emphasis"/>
          <w:rFonts w:ascii="Arial" w:hAnsi="Arial" w:cs="Arial"/>
          <w:sz w:val="20"/>
          <w:szCs w:val="20"/>
        </w:rPr>
        <w:t>Tropical Ecology</w:t>
      </w:r>
      <w:r w:rsidRPr="007D4525">
        <w:rPr>
          <w:rFonts w:ascii="Arial" w:hAnsi="Arial" w:cs="Arial"/>
          <w:sz w:val="20"/>
          <w:szCs w:val="20"/>
        </w:rPr>
        <w:t xml:space="preserve">, </w:t>
      </w:r>
      <w:r w:rsidRPr="007D4525">
        <w:rPr>
          <w:rStyle w:val="Strong"/>
          <w:rFonts w:ascii="Arial" w:hAnsi="Arial" w:cs="Arial"/>
          <w:b w:val="0"/>
          <w:sz w:val="20"/>
          <w:szCs w:val="20"/>
        </w:rPr>
        <w:t>62(2)</w:t>
      </w:r>
      <w:r w:rsidRPr="007D4525">
        <w:rPr>
          <w:rFonts w:ascii="Arial" w:hAnsi="Arial" w:cs="Arial"/>
          <w:sz w:val="20"/>
          <w:szCs w:val="20"/>
        </w:rPr>
        <w:t>: 301–310.</w:t>
      </w:r>
    </w:p>
    <w:p w:rsidR="00F81638" w:rsidRDefault="00F81638" w:rsidP="00F81638">
      <w:pPr>
        <w:pStyle w:val="NormalWeb"/>
        <w:spacing w:before="0" w:beforeAutospacing="0" w:after="0" w:afterAutospacing="0"/>
        <w:ind w:left="720" w:hanging="360"/>
        <w:rPr>
          <w:rFonts w:ascii="Arial" w:hAnsi="Arial" w:cs="Arial"/>
          <w:sz w:val="20"/>
          <w:szCs w:val="20"/>
        </w:rPr>
      </w:pPr>
      <w:r w:rsidRPr="00F81638">
        <w:rPr>
          <w:rStyle w:val="Strong"/>
          <w:rFonts w:ascii="Arial" w:hAnsi="Arial" w:cs="Arial"/>
          <w:b w:val="0"/>
          <w:sz w:val="20"/>
          <w:szCs w:val="20"/>
        </w:rPr>
        <w:t>Singh, A.P. &amp; Bhandari, R</w:t>
      </w:r>
      <w:r>
        <w:rPr>
          <w:rStyle w:val="Strong"/>
          <w:rFonts w:ascii="Arial" w:hAnsi="Arial" w:cs="Arial"/>
          <w:sz w:val="20"/>
          <w:szCs w:val="20"/>
        </w:rPr>
        <w:t>.</w:t>
      </w:r>
      <w:r>
        <w:rPr>
          <w:rFonts w:ascii="Arial" w:hAnsi="Arial" w:cs="Arial"/>
          <w:sz w:val="20"/>
          <w:szCs w:val="20"/>
        </w:rPr>
        <w:t xml:space="preserve"> (2006). Butterflies of Garhwal, Uttarakhand, western Himalaya, India. </w:t>
      </w:r>
      <w:r>
        <w:rPr>
          <w:rStyle w:val="Emphasis"/>
          <w:rFonts w:ascii="Arial" w:hAnsi="Arial" w:cs="Arial"/>
          <w:sz w:val="20"/>
          <w:szCs w:val="20"/>
        </w:rPr>
        <w:t>Journal of the Bombay Natural History Society</w:t>
      </w:r>
      <w:r>
        <w:rPr>
          <w:rFonts w:ascii="Arial" w:hAnsi="Arial" w:cs="Arial"/>
          <w:sz w:val="20"/>
          <w:szCs w:val="20"/>
        </w:rPr>
        <w:t xml:space="preserve">, </w:t>
      </w:r>
      <w:r w:rsidRPr="00F81638">
        <w:rPr>
          <w:rStyle w:val="Strong"/>
          <w:rFonts w:ascii="Arial" w:hAnsi="Arial" w:cs="Arial"/>
          <w:b w:val="0"/>
          <w:sz w:val="20"/>
          <w:szCs w:val="20"/>
        </w:rPr>
        <w:t>103(2–3)</w:t>
      </w:r>
      <w:r w:rsidRPr="00F81638">
        <w:rPr>
          <w:rFonts w:ascii="Arial" w:hAnsi="Arial" w:cs="Arial"/>
          <w:b/>
          <w:sz w:val="20"/>
          <w:szCs w:val="20"/>
        </w:rPr>
        <w:t>:</w:t>
      </w:r>
      <w:r>
        <w:rPr>
          <w:rFonts w:ascii="Arial" w:hAnsi="Arial" w:cs="Arial"/>
          <w:sz w:val="20"/>
          <w:szCs w:val="20"/>
        </w:rPr>
        <w:t xml:space="preserve"> 227–243.</w:t>
      </w:r>
    </w:p>
    <w:p w:rsidR="00F81638" w:rsidRPr="00740F39" w:rsidRDefault="00F81638" w:rsidP="00F81638">
      <w:pPr>
        <w:ind w:left="851" w:hanging="491"/>
        <w:jc w:val="both"/>
        <w:rPr>
          <w:rFonts w:ascii="Arial" w:hAnsi="Arial" w:cs="Arial"/>
        </w:rPr>
      </w:pPr>
      <w:r w:rsidRPr="00740F39">
        <w:rPr>
          <w:rFonts w:ascii="Arial" w:hAnsi="Arial" w:cs="Arial"/>
        </w:rPr>
        <w:t xml:space="preserve">Smetacek, P. (2012). Notes on butterflies (Lepidoptera: Rhopalocera) of the Kumaon Himalaya, India. </w:t>
      </w:r>
      <w:r w:rsidRPr="00740F39">
        <w:rPr>
          <w:rFonts w:ascii="Arial" w:hAnsi="Arial" w:cs="Arial"/>
          <w:bCs/>
        </w:rPr>
        <w:t>Journal of Threatened Taxa</w:t>
      </w:r>
      <w:r w:rsidRPr="00740F39">
        <w:rPr>
          <w:rFonts w:ascii="Arial" w:hAnsi="Arial" w:cs="Arial"/>
        </w:rPr>
        <w:t>, 4(2): 2333–2342.</w:t>
      </w:r>
    </w:p>
    <w:p w:rsidR="00F81638" w:rsidRPr="00740F39" w:rsidRDefault="00F81638" w:rsidP="00F81638">
      <w:pPr>
        <w:ind w:left="851" w:hanging="491"/>
        <w:jc w:val="both"/>
        <w:rPr>
          <w:rFonts w:ascii="Arial" w:hAnsi="Arial" w:cs="Arial"/>
        </w:rPr>
      </w:pPr>
      <w:r w:rsidRPr="00740F39">
        <w:rPr>
          <w:rFonts w:ascii="Arial" w:hAnsi="Arial" w:cs="Arial"/>
        </w:rPr>
        <w:t xml:space="preserve">Sondhi, S. &amp;Kunte, K. (2018). </w:t>
      </w:r>
      <w:r w:rsidRPr="00740F39">
        <w:rPr>
          <w:rFonts w:ascii="Arial" w:hAnsi="Arial" w:cs="Arial"/>
          <w:i/>
          <w:iCs/>
        </w:rPr>
        <w:t>Butterflies of Uttarakhand – A Field Guide</w:t>
      </w:r>
      <w:r w:rsidRPr="00740F39">
        <w:rPr>
          <w:rFonts w:ascii="Arial" w:hAnsi="Arial" w:cs="Arial"/>
        </w:rPr>
        <w:t>. Bishen Singh Mahendra Pal Singh, Dehradun, India.</w:t>
      </w:r>
      <w:r w:rsidR="00271355">
        <w:rPr>
          <w:rFonts w:ascii="Arial" w:hAnsi="Arial" w:cs="Arial"/>
        </w:rPr>
        <w:t xml:space="preserve"> </w:t>
      </w:r>
    </w:p>
    <w:p w:rsidR="00F81638" w:rsidRPr="00740F39" w:rsidRDefault="00F81638" w:rsidP="00F81638">
      <w:pPr>
        <w:ind w:left="851" w:hanging="491"/>
        <w:jc w:val="both"/>
        <w:rPr>
          <w:rFonts w:ascii="Arial" w:hAnsi="Arial" w:cs="Arial"/>
        </w:rPr>
      </w:pPr>
      <w:r w:rsidRPr="00740F39">
        <w:rPr>
          <w:rFonts w:ascii="Arial" w:hAnsi="Arial" w:cs="Arial"/>
        </w:rPr>
        <w:t xml:space="preserve">Verma, A. &amp; Arya, M.K. (2021). Butterfly diversity and abundance in a subtropical wetland environment of Shyamlatal, Western Himalaya. </w:t>
      </w:r>
      <w:r w:rsidRPr="00740F39">
        <w:rPr>
          <w:rFonts w:ascii="Arial" w:hAnsi="Arial" w:cs="Arial"/>
          <w:bCs/>
        </w:rPr>
        <w:t>Asian Journal of Conservation Biology</w:t>
      </w:r>
      <w:r w:rsidRPr="00740F39">
        <w:rPr>
          <w:rFonts w:ascii="Arial" w:hAnsi="Arial" w:cs="Arial"/>
        </w:rPr>
        <w:t>, 11(1): 79–87.</w:t>
      </w:r>
    </w:p>
    <w:p w:rsidR="00F81638" w:rsidRDefault="00F81638" w:rsidP="00F81638">
      <w:pPr>
        <w:pStyle w:val="NormalWeb"/>
        <w:spacing w:before="0" w:beforeAutospacing="0" w:after="0" w:afterAutospacing="0"/>
        <w:ind w:left="720" w:hanging="360"/>
        <w:rPr>
          <w:rFonts w:ascii="Arial" w:hAnsi="Arial" w:cs="Arial"/>
          <w:sz w:val="20"/>
          <w:szCs w:val="20"/>
        </w:rPr>
      </w:pPr>
      <w:commentRangeStart w:id="10"/>
      <w:r>
        <w:rPr>
          <w:rStyle w:val="Strong"/>
          <w:rFonts w:ascii="Arial" w:hAnsi="Arial" w:cs="Arial"/>
          <w:b w:val="0"/>
          <w:sz w:val="20"/>
          <w:szCs w:val="20"/>
        </w:rPr>
        <w:t>Verma, A. &amp; Arya, M.K.</w:t>
      </w:r>
      <w:r>
        <w:rPr>
          <w:rFonts w:ascii="Arial" w:hAnsi="Arial" w:cs="Arial"/>
          <w:sz w:val="20"/>
          <w:szCs w:val="20"/>
        </w:rPr>
        <w:t xml:space="preserve"> (2021). Butterfly diversity and abundance in a subtropical wetland environment of Shyamlatal, western Himalaya. </w:t>
      </w:r>
      <w:r>
        <w:rPr>
          <w:rStyle w:val="Emphasis"/>
          <w:rFonts w:ascii="Arial" w:hAnsi="Arial" w:cs="Arial"/>
          <w:sz w:val="20"/>
          <w:szCs w:val="20"/>
        </w:rPr>
        <w:t>Asian Journal of Conservation Biology</w:t>
      </w:r>
      <w:r>
        <w:rPr>
          <w:rFonts w:ascii="Arial" w:hAnsi="Arial" w:cs="Arial"/>
          <w:sz w:val="20"/>
          <w:szCs w:val="20"/>
        </w:rPr>
        <w:t xml:space="preserve">, </w:t>
      </w:r>
      <w:r>
        <w:rPr>
          <w:rStyle w:val="Strong"/>
          <w:rFonts w:ascii="Arial" w:hAnsi="Arial" w:cs="Arial"/>
          <w:b w:val="0"/>
          <w:sz w:val="20"/>
          <w:szCs w:val="20"/>
        </w:rPr>
        <w:t>11(1)</w:t>
      </w:r>
      <w:r>
        <w:rPr>
          <w:rFonts w:ascii="Arial" w:hAnsi="Arial" w:cs="Arial"/>
          <w:b/>
          <w:sz w:val="20"/>
          <w:szCs w:val="20"/>
        </w:rPr>
        <w:t>:</w:t>
      </w:r>
      <w:r>
        <w:rPr>
          <w:rFonts w:ascii="Arial" w:hAnsi="Arial" w:cs="Arial"/>
          <w:sz w:val="20"/>
          <w:szCs w:val="20"/>
        </w:rPr>
        <w:t xml:space="preserve"> 79–87.</w:t>
      </w:r>
      <w:commentRangeEnd w:id="10"/>
      <w:r w:rsidR="00DA2F1D">
        <w:rPr>
          <w:rStyle w:val="CommentReference"/>
          <w:lang w:val="nb-NO" w:eastAsia="nb-NO"/>
        </w:rPr>
        <w:commentReference w:id="10"/>
      </w:r>
    </w:p>
    <w:p w:rsidR="00F81638" w:rsidRDefault="00F81638" w:rsidP="00F81638">
      <w:pPr>
        <w:ind w:left="851" w:hanging="491"/>
        <w:jc w:val="both"/>
        <w:rPr>
          <w:rFonts w:ascii="Arial" w:hAnsi="Arial" w:cs="Arial"/>
        </w:rPr>
      </w:pPr>
      <w:r w:rsidRPr="00740F39">
        <w:rPr>
          <w:rFonts w:ascii="Arial" w:hAnsi="Arial" w:cs="Arial"/>
        </w:rPr>
        <w:t xml:space="preserve">Verma, A. &amp; Arya, M.K. (2022). Butterfly diversity and abundance in the Kumaun Himalaya. </w:t>
      </w:r>
      <w:r w:rsidRPr="00740F39">
        <w:rPr>
          <w:rFonts w:ascii="Arial" w:hAnsi="Arial" w:cs="Arial"/>
          <w:bCs/>
        </w:rPr>
        <w:t>Asian Journal of Conservation Biology</w:t>
      </w:r>
      <w:r w:rsidRPr="00740F39">
        <w:rPr>
          <w:rFonts w:ascii="Arial" w:hAnsi="Arial" w:cs="Arial"/>
        </w:rPr>
        <w:t>, 12(1): 67–76.</w:t>
      </w:r>
    </w:p>
    <w:p w:rsidR="00F81638" w:rsidRDefault="00F81638" w:rsidP="00F81638">
      <w:pPr>
        <w:pStyle w:val="NormalWeb"/>
        <w:spacing w:before="0" w:beforeAutospacing="0" w:after="0" w:afterAutospacing="0"/>
        <w:ind w:left="720" w:hanging="360"/>
      </w:pPr>
      <w:commentRangeStart w:id="11"/>
      <w:r>
        <w:rPr>
          <w:rStyle w:val="Strong"/>
          <w:rFonts w:ascii="Arial" w:hAnsi="Arial" w:cs="Arial"/>
          <w:b w:val="0"/>
          <w:sz w:val="20"/>
          <w:szCs w:val="20"/>
        </w:rPr>
        <w:t>Verma, A. &amp; Arya, M.K.</w:t>
      </w:r>
      <w:r>
        <w:rPr>
          <w:rFonts w:ascii="Arial" w:hAnsi="Arial" w:cs="Arial"/>
          <w:sz w:val="20"/>
          <w:szCs w:val="20"/>
        </w:rPr>
        <w:t xml:space="preserve"> (2022). Butterfly diversity and abundance in the Kumaun Himalaya, Uttarakhand, India. </w:t>
      </w:r>
      <w:r>
        <w:rPr>
          <w:rStyle w:val="Emphasis"/>
          <w:rFonts w:ascii="Arial" w:hAnsi="Arial" w:cs="Arial"/>
          <w:sz w:val="20"/>
          <w:szCs w:val="20"/>
        </w:rPr>
        <w:t>Asian Journal of Conservation Biology</w:t>
      </w:r>
      <w:r>
        <w:rPr>
          <w:rFonts w:ascii="Arial" w:hAnsi="Arial" w:cs="Arial"/>
          <w:sz w:val="20"/>
          <w:szCs w:val="20"/>
        </w:rPr>
        <w:t xml:space="preserve">, </w:t>
      </w:r>
      <w:r>
        <w:rPr>
          <w:rStyle w:val="Strong"/>
          <w:rFonts w:ascii="Arial" w:hAnsi="Arial" w:cs="Arial"/>
          <w:b w:val="0"/>
          <w:sz w:val="20"/>
          <w:szCs w:val="20"/>
        </w:rPr>
        <w:t>12(1)</w:t>
      </w:r>
      <w:r>
        <w:rPr>
          <w:rFonts w:ascii="Arial" w:hAnsi="Arial" w:cs="Arial"/>
          <w:b/>
          <w:sz w:val="20"/>
          <w:szCs w:val="20"/>
        </w:rPr>
        <w:t>:</w:t>
      </w:r>
      <w:r>
        <w:rPr>
          <w:rFonts w:ascii="Arial" w:hAnsi="Arial" w:cs="Arial"/>
          <w:sz w:val="20"/>
          <w:szCs w:val="20"/>
        </w:rPr>
        <w:t xml:space="preserve"> 67–76</w:t>
      </w:r>
      <w:r>
        <w:t>.</w:t>
      </w:r>
      <w:commentRangeEnd w:id="11"/>
      <w:r w:rsidR="00DA2F1D">
        <w:rPr>
          <w:rStyle w:val="CommentReference"/>
          <w:lang w:val="nb-NO" w:eastAsia="nb-NO"/>
        </w:rPr>
        <w:commentReference w:id="11"/>
      </w:r>
    </w:p>
    <w:p w:rsidR="00F81638" w:rsidRDefault="00F81638" w:rsidP="007757BD">
      <w:pPr>
        <w:pStyle w:val="NormalWeb"/>
        <w:spacing w:before="0" w:beforeAutospacing="0" w:after="0" w:afterAutospacing="0"/>
        <w:ind w:left="810" w:hanging="450"/>
        <w:rPr>
          <w:rFonts w:ascii="Arial" w:hAnsi="Arial" w:cs="Arial"/>
          <w:sz w:val="20"/>
          <w:szCs w:val="20"/>
        </w:rPr>
      </w:pPr>
      <w:r w:rsidRPr="00F81638">
        <w:rPr>
          <w:rStyle w:val="Strong"/>
          <w:rFonts w:ascii="Arial" w:hAnsi="Arial" w:cs="Arial"/>
          <w:b w:val="0"/>
          <w:sz w:val="20"/>
          <w:szCs w:val="20"/>
        </w:rPr>
        <w:t>Warren, M.S., Hill, J.K., Thomas, J.A., Asher, J., Fox, R., Huntley, B., Roy, D.B., Telfer, M.G., Jeffcoate, S., Harding, P., Jeffcoate, G., Willis, S.G., Greatorex-Davies, J.N., Moss, D. &amp; Thomas, C.D.</w:t>
      </w:r>
      <w:r>
        <w:rPr>
          <w:rFonts w:ascii="Arial" w:hAnsi="Arial" w:cs="Arial"/>
          <w:sz w:val="20"/>
          <w:szCs w:val="20"/>
        </w:rPr>
        <w:t xml:space="preserve">(2001). Rapid responses of British butterflies to opposing forces of climate and habitat change. </w:t>
      </w:r>
      <w:r>
        <w:rPr>
          <w:rStyle w:val="Emphasis"/>
          <w:rFonts w:ascii="Arial" w:hAnsi="Arial" w:cs="Arial"/>
          <w:sz w:val="20"/>
          <w:szCs w:val="20"/>
        </w:rPr>
        <w:t>Nature</w:t>
      </w:r>
      <w:r w:rsidRPr="00F81638">
        <w:rPr>
          <w:rFonts w:ascii="Arial" w:hAnsi="Arial" w:cs="Arial"/>
          <w:b/>
          <w:sz w:val="20"/>
          <w:szCs w:val="20"/>
        </w:rPr>
        <w:t xml:space="preserve">, </w:t>
      </w:r>
      <w:r w:rsidRPr="00F81638">
        <w:rPr>
          <w:rStyle w:val="Strong"/>
          <w:rFonts w:ascii="Arial" w:hAnsi="Arial" w:cs="Arial"/>
          <w:b w:val="0"/>
          <w:sz w:val="20"/>
          <w:szCs w:val="20"/>
        </w:rPr>
        <w:t>414(6859)</w:t>
      </w:r>
      <w:r w:rsidRPr="00F81638">
        <w:rPr>
          <w:rFonts w:ascii="Arial" w:hAnsi="Arial" w:cs="Arial"/>
          <w:b/>
          <w:sz w:val="20"/>
          <w:szCs w:val="20"/>
        </w:rPr>
        <w:t>:</w:t>
      </w:r>
      <w:r>
        <w:rPr>
          <w:rFonts w:ascii="Arial" w:hAnsi="Arial" w:cs="Arial"/>
          <w:sz w:val="20"/>
          <w:szCs w:val="20"/>
        </w:rPr>
        <w:t xml:space="preserve"> 65–69.</w:t>
      </w:r>
      <w:r w:rsidR="00B1006D">
        <w:rPr>
          <w:rFonts w:ascii="Arial" w:hAnsi="Arial" w:cs="Arial"/>
          <w:sz w:val="20"/>
          <w:szCs w:val="20"/>
        </w:rPr>
        <w:t xml:space="preserve"> </w:t>
      </w:r>
    </w:p>
    <w:sectPr w:rsidR="00F81638" w:rsidSect="000C2F7F">
      <w:type w:val="continuous"/>
      <w:pgSz w:w="12240" w:h="15840"/>
      <w:pgMar w:top="1440" w:right="2016" w:bottom="2016" w:left="2016" w:header="720" w:footer="1123"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Hp" w:date="2025-11-07T11:29:00Z" w:initials="H">
    <w:p w:rsidR="00043E63" w:rsidRDefault="00043E63">
      <w:pPr>
        <w:pStyle w:val="CommentText"/>
      </w:pPr>
      <w:r>
        <w:rPr>
          <w:rStyle w:val="CommentReference"/>
        </w:rPr>
        <w:annotationRef/>
      </w:r>
      <w:r>
        <w:t>Missing in reference section</w:t>
      </w:r>
    </w:p>
  </w:comment>
  <w:comment w:id="3" w:author="Hp" w:date="2025-11-07T11:29:00Z" w:initials="H">
    <w:p w:rsidR="00C00AB1" w:rsidRDefault="00C00AB1">
      <w:pPr>
        <w:pStyle w:val="CommentText"/>
      </w:pPr>
      <w:r>
        <w:rPr>
          <w:rStyle w:val="CommentReference"/>
        </w:rPr>
        <w:annotationRef/>
      </w:r>
      <w:r>
        <w:rPr>
          <w:rFonts w:ascii="Arial" w:hAnsi="Arial" w:cs="Arial"/>
        </w:rPr>
        <w:t>Missing in reference section</w:t>
      </w:r>
    </w:p>
  </w:comment>
  <w:comment w:id="4" w:author="Hp" w:date="2025-11-07T11:30:00Z" w:initials="H">
    <w:p w:rsidR="00F00B81" w:rsidRDefault="00F00B81">
      <w:pPr>
        <w:pStyle w:val="CommentText"/>
      </w:pPr>
      <w:r>
        <w:rPr>
          <w:rStyle w:val="CommentReference"/>
        </w:rPr>
        <w:annotationRef/>
      </w:r>
      <w:r>
        <w:rPr>
          <w:rFonts w:ascii="Arial" w:hAnsi="Arial" w:cs="Arial"/>
        </w:rPr>
        <w:t>Missing in reference section</w:t>
      </w:r>
    </w:p>
  </w:comment>
  <w:comment w:id="5" w:author="Hp" w:date="2025-11-07T11:30:00Z" w:initials="H">
    <w:p w:rsidR="00790C7B" w:rsidRDefault="00790C7B">
      <w:pPr>
        <w:pStyle w:val="CommentText"/>
      </w:pPr>
      <w:r>
        <w:rPr>
          <w:rStyle w:val="CommentReference"/>
        </w:rPr>
        <w:annotationRef/>
      </w:r>
      <w:r>
        <w:rPr>
          <w:rFonts w:ascii="Arial" w:hAnsi="Arial" w:cs="Arial"/>
        </w:rPr>
        <w:t>Missing in reference section</w:t>
      </w:r>
    </w:p>
  </w:comment>
  <w:comment w:id="7" w:author="Hp" w:date="2025-11-07T10:34:00Z" w:initials="H">
    <w:p w:rsidR="005D3989" w:rsidRDefault="005D3989">
      <w:pPr>
        <w:pStyle w:val="CommentText"/>
      </w:pPr>
      <w:r>
        <w:rPr>
          <w:rStyle w:val="CommentReference"/>
        </w:rPr>
        <w:annotationRef/>
      </w:r>
      <w:r>
        <w:t>Per cent data should be reflected in table hence incorporate it</w:t>
      </w:r>
    </w:p>
  </w:comment>
  <w:comment w:id="8" w:author="Hp" w:date="2025-11-07T11:12:00Z" w:initials="H">
    <w:p w:rsidR="005D3989" w:rsidRDefault="005D3989">
      <w:pPr>
        <w:pStyle w:val="CommentText"/>
      </w:pPr>
      <w:r>
        <w:rPr>
          <w:rStyle w:val="CommentReference"/>
        </w:rPr>
        <w:annotationRef/>
      </w:r>
      <w:r>
        <w:t>Give separate table for diversity indices</w:t>
      </w:r>
      <w:r w:rsidR="006903C3">
        <w:t xml:space="preserve">. Data shown in </w:t>
      </w:r>
      <w:r>
        <w:t>manuscipt</w:t>
      </w:r>
      <w:r w:rsidR="006903C3">
        <w:t xml:space="preserve"> not reflected in table.</w:t>
      </w:r>
    </w:p>
  </w:comment>
  <w:comment w:id="10" w:author="Hp" w:date="2025-11-07T11:33:00Z" w:initials="H">
    <w:p w:rsidR="00DA2F1D" w:rsidRDefault="00DA2F1D">
      <w:pPr>
        <w:pStyle w:val="CommentText"/>
      </w:pPr>
      <w:r>
        <w:rPr>
          <w:rStyle w:val="CommentReference"/>
        </w:rPr>
        <w:annotationRef/>
      </w:r>
      <w:r>
        <w:t>Remove as it is repeating</w:t>
      </w:r>
    </w:p>
  </w:comment>
  <w:comment w:id="11" w:author="Hp" w:date="2025-11-07T11:33:00Z" w:initials="H">
    <w:p w:rsidR="00DA2F1D" w:rsidRDefault="00DA2F1D">
      <w:pPr>
        <w:pStyle w:val="CommentText"/>
      </w:pPr>
      <w:r>
        <w:rPr>
          <w:rStyle w:val="CommentReference"/>
        </w:rPr>
        <w:annotationRef/>
      </w:r>
      <w:r>
        <w:t>Remove as it is repeating</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94F" w:rsidRDefault="00EB194F" w:rsidP="00C37E61">
      <w:r>
        <w:separator/>
      </w:r>
    </w:p>
  </w:endnote>
  <w:endnote w:type="continuationSeparator" w:id="1">
    <w:p w:rsidR="00EB194F" w:rsidRDefault="00EB194F" w:rsidP="00C37E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3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F7F" w:rsidRDefault="000C2F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F7F" w:rsidRDefault="000C2F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368" w:rsidRPr="00BF4867" w:rsidRDefault="00A43368" w:rsidP="00BF4867">
    <w:pPr>
      <w:pStyle w:val="Footer"/>
    </w:pPr>
    <w:bookmarkStart w:id="1" w:name="_GoBack"/>
    <w:bookmarkEnd w:id="1"/>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94F" w:rsidRDefault="00EB194F" w:rsidP="00C37E61">
      <w:r>
        <w:separator/>
      </w:r>
    </w:p>
  </w:footnote>
  <w:footnote w:type="continuationSeparator" w:id="1">
    <w:p w:rsidR="00EB194F" w:rsidRDefault="00EB194F"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F7F" w:rsidRDefault="00275A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6425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F7F" w:rsidRDefault="00275A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6425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368" w:rsidRPr="00296529" w:rsidRDefault="00275A9B" w:rsidP="00296529">
    <w:pPr>
      <w:ind w:left="2160"/>
      <w:jc w:val="center"/>
      <w:rPr>
        <w:rFonts w:ascii="Times New Roman" w:eastAsia="Calibri" w:hAnsi="Times New Roman"/>
        <w:i/>
        <w:sz w:val="18"/>
        <w:szCs w:val="22"/>
      </w:rPr>
    </w:pPr>
    <w:r w:rsidRPr="00275A9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6425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A43368" w:rsidRPr="00296529" w:rsidRDefault="00A43368" w:rsidP="00296529">
    <w:pPr>
      <w:ind w:left="4320"/>
      <w:rPr>
        <w:rFonts w:ascii="Times New Roman" w:eastAsia="Calibri" w:hAnsi="Times New Roman"/>
        <w:i/>
        <w:sz w:val="18"/>
        <w:szCs w:val="22"/>
      </w:rPr>
    </w:pPr>
    <w:r>
      <w:rPr>
        <w:rFonts w:ascii="Times New Roman" w:eastAsia="Calibri" w:hAnsi="Times New Roman"/>
        <w:i/>
        <w:sz w:val="18"/>
        <w:szCs w:val="22"/>
      </w:rPr>
      <w:t>.</w:t>
    </w:r>
  </w:p>
  <w:p w:rsidR="00A43368" w:rsidRPr="00296529" w:rsidRDefault="00A43368" w:rsidP="00296529">
    <w:pPr>
      <w:jc w:val="center"/>
      <w:rPr>
        <w:rFonts w:ascii="Times New Roman" w:eastAsia="Calibri" w:hAnsi="Times New Roman"/>
        <w:i/>
        <w:sz w:val="18"/>
        <w:szCs w:val="22"/>
      </w:rPr>
    </w:pPr>
    <w:r>
      <w:rPr>
        <w:rFonts w:ascii="Times New Roman" w:eastAsia="Calibri" w:hAnsi="Times New Roman"/>
        <w:i/>
        <w:sz w:val="18"/>
        <w:szCs w:val="22"/>
      </w:rPr>
      <w:t>.</w:t>
    </w:r>
  </w:p>
  <w:p w:rsidR="00A43368" w:rsidRPr="00296529" w:rsidRDefault="00A43368"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A43368" w:rsidRDefault="00A43368" w:rsidP="00296529">
    <w:pPr>
      <w:jc w:val="center"/>
      <w:rPr>
        <w:rFonts w:ascii="Times New Roman" w:eastAsia="Calibri" w:hAnsi="Times New Roman"/>
        <w:i/>
        <w:sz w:val="18"/>
        <w:szCs w:val="22"/>
      </w:rPr>
    </w:pPr>
  </w:p>
  <w:p w:rsidR="00A43368" w:rsidRDefault="00A4336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A43368" w:rsidRDefault="00A43368">
    <w:pPr>
      <w:pStyle w:val="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36563B6"/>
    <w:multiLevelType w:val="multilevel"/>
    <w:tmpl w:val="1256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013E4"/>
    <w:rsid w:val="00012BF7"/>
    <w:rsid w:val="000143D0"/>
    <w:rsid w:val="00030174"/>
    <w:rsid w:val="00030DAC"/>
    <w:rsid w:val="000315C1"/>
    <w:rsid w:val="00041BDB"/>
    <w:rsid w:val="00043E63"/>
    <w:rsid w:val="0004579C"/>
    <w:rsid w:val="00064938"/>
    <w:rsid w:val="000A47FA"/>
    <w:rsid w:val="000A65D3"/>
    <w:rsid w:val="000B1E33"/>
    <w:rsid w:val="000C2F7F"/>
    <w:rsid w:val="000C418B"/>
    <w:rsid w:val="000D429D"/>
    <w:rsid w:val="000D689F"/>
    <w:rsid w:val="000D6BCE"/>
    <w:rsid w:val="000E7B7B"/>
    <w:rsid w:val="000E7D62"/>
    <w:rsid w:val="001004E3"/>
    <w:rsid w:val="00103357"/>
    <w:rsid w:val="00123C9F"/>
    <w:rsid w:val="00126190"/>
    <w:rsid w:val="00126454"/>
    <w:rsid w:val="00126819"/>
    <w:rsid w:val="00130F17"/>
    <w:rsid w:val="00131758"/>
    <w:rsid w:val="001320BF"/>
    <w:rsid w:val="001327D9"/>
    <w:rsid w:val="00134B52"/>
    <w:rsid w:val="00152553"/>
    <w:rsid w:val="00160EA5"/>
    <w:rsid w:val="00163BC4"/>
    <w:rsid w:val="00163C10"/>
    <w:rsid w:val="00165D17"/>
    <w:rsid w:val="001755CF"/>
    <w:rsid w:val="00191062"/>
    <w:rsid w:val="00192A2D"/>
    <w:rsid w:val="00192B72"/>
    <w:rsid w:val="00196C8E"/>
    <w:rsid w:val="001A29D8"/>
    <w:rsid w:val="001A50A3"/>
    <w:rsid w:val="001A5CAA"/>
    <w:rsid w:val="001A5E6E"/>
    <w:rsid w:val="001B0427"/>
    <w:rsid w:val="001D3A51"/>
    <w:rsid w:val="001E1075"/>
    <w:rsid w:val="001E10D2"/>
    <w:rsid w:val="001E25B4"/>
    <w:rsid w:val="001E36CD"/>
    <w:rsid w:val="001E44FE"/>
    <w:rsid w:val="001F16FF"/>
    <w:rsid w:val="001F224B"/>
    <w:rsid w:val="001F3DE0"/>
    <w:rsid w:val="00200595"/>
    <w:rsid w:val="00203F23"/>
    <w:rsid w:val="00204835"/>
    <w:rsid w:val="00216E6E"/>
    <w:rsid w:val="00216F35"/>
    <w:rsid w:val="0022703D"/>
    <w:rsid w:val="00231920"/>
    <w:rsid w:val="0023195C"/>
    <w:rsid w:val="0024282C"/>
    <w:rsid w:val="002460DC"/>
    <w:rsid w:val="00250985"/>
    <w:rsid w:val="002556F6"/>
    <w:rsid w:val="00257980"/>
    <w:rsid w:val="00262CBD"/>
    <w:rsid w:val="00271355"/>
    <w:rsid w:val="00275A9B"/>
    <w:rsid w:val="00283105"/>
    <w:rsid w:val="00284C4C"/>
    <w:rsid w:val="00287E68"/>
    <w:rsid w:val="00296529"/>
    <w:rsid w:val="002B27FB"/>
    <w:rsid w:val="002B685A"/>
    <w:rsid w:val="002C0E51"/>
    <w:rsid w:val="002C34FC"/>
    <w:rsid w:val="002C57D2"/>
    <w:rsid w:val="002E0D56"/>
    <w:rsid w:val="002E0DCA"/>
    <w:rsid w:val="002E1FAF"/>
    <w:rsid w:val="002F5BC0"/>
    <w:rsid w:val="00315186"/>
    <w:rsid w:val="003214FB"/>
    <w:rsid w:val="003253BF"/>
    <w:rsid w:val="0033343E"/>
    <w:rsid w:val="0033417A"/>
    <w:rsid w:val="00335A53"/>
    <w:rsid w:val="00345B71"/>
    <w:rsid w:val="00345FBC"/>
    <w:rsid w:val="003512C2"/>
    <w:rsid w:val="00371FB6"/>
    <w:rsid w:val="003763C1"/>
    <w:rsid w:val="00376BBE"/>
    <w:rsid w:val="00384E83"/>
    <w:rsid w:val="00391456"/>
    <w:rsid w:val="0039224F"/>
    <w:rsid w:val="003A2F3E"/>
    <w:rsid w:val="003A43A4"/>
    <w:rsid w:val="003A568C"/>
    <w:rsid w:val="003A7E18"/>
    <w:rsid w:val="003B37AA"/>
    <w:rsid w:val="003C4C86"/>
    <w:rsid w:val="003C6258"/>
    <w:rsid w:val="003D5C24"/>
    <w:rsid w:val="003D7193"/>
    <w:rsid w:val="003E2904"/>
    <w:rsid w:val="00401927"/>
    <w:rsid w:val="0041027F"/>
    <w:rsid w:val="00412475"/>
    <w:rsid w:val="00412554"/>
    <w:rsid w:val="00423789"/>
    <w:rsid w:val="004258B5"/>
    <w:rsid w:val="00435E97"/>
    <w:rsid w:val="00440F03"/>
    <w:rsid w:val="00440F43"/>
    <w:rsid w:val="00441B6F"/>
    <w:rsid w:val="004429E6"/>
    <w:rsid w:val="00446221"/>
    <w:rsid w:val="00450E62"/>
    <w:rsid w:val="004539DB"/>
    <w:rsid w:val="00461052"/>
    <w:rsid w:val="00471A80"/>
    <w:rsid w:val="00485EB8"/>
    <w:rsid w:val="00486711"/>
    <w:rsid w:val="004C1829"/>
    <w:rsid w:val="004C6BBD"/>
    <w:rsid w:val="004D0B69"/>
    <w:rsid w:val="004D305E"/>
    <w:rsid w:val="004D4277"/>
    <w:rsid w:val="00502516"/>
    <w:rsid w:val="00505F06"/>
    <w:rsid w:val="00506828"/>
    <w:rsid w:val="00507D64"/>
    <w:rsid w:val="00515334"/>
    <w:rsid w:val="005272A5"/>
    <w:rsid w:val="0053056E"/>
    <w:rsid w:val="00554FDA"/>
    <w:rsid w:val="005707AC"/>
    <w:rsid w:val="005C534A"/>
    <w:rsid w:val="005C784C"/>
    <w:rsid w:val="005D00CB"/>
    <w:rsid w:val="005D17F6"/>
    <w:rsid w:val="005D3989"/>
    <w:rsid w:val="005E5539"/>
    <w:rsid w:val="00602BF5"/>
    <w:rsid w:val="00617FDD"/>
    <w:rsid w:val="006216FF"/>
    <w:rsid w:val="00633614"/>
    <w:rsid w:val="00633F68"/>
    <w:rsid w:val="00636EB2"/>
    <w:rsid w:val="006375B8"/>
    <w:rsid w:val="00646919"/>
    <w:rsid w:val="0066510A"/>
    <w:rsid w:val="00665A50"/>
    <w:rsid w:val="00673F9F"/>
    <w:rsid w:val="00674794"/>
    <w:rsid w:val="00680B19"/>
    <w:rsid w:val="0068679D"/>
    <w:rsid w:val="00686953"/>
    <w:rsid w:val="00687DEA"/>
    <w:rsid w:val="00687E67"/>
    <w:rsid w:val="006903C3"/>
    <w:rsid w:val="006967F7"/>
    <w:rsid w:val="006A250C"/>
    <w:rsid w:val="006A6D77"/>
    <w:rsid w:val="006A7E9B"/>
    <w:rsid w:val="006B21D3"/>
    <w:rsid w:val="006B2BDF"/>
    <w:rsid w:val="006B4B8A"/>
    <w:rsid w:val="006B57D0"/>
    <w:rsid w:val="006D30FF"/>
    <w:rsid w:val="006D6940"/>
    <w:rsid w:val="006E4777"/>
    <w:rsid w:val="006F11EC"/>
    <w:rsid w:val="0070082C"/>
    <w:rsid w:val="0070109D"/>
    <w:rsid w:val="00703889"/>
    <w:rsid w:val="0070726D"/>
    <w:rsid w:val="00710FCB"/>
    <w:rsid w:val="007215C1"/>
    <w:rsid w:val="00723509"/>
    <w:rsid w:val="007369E6"/>
    <w:rsid w:val="00740F39"/>
    <w:rsid w:val="00746E59"/>
    <w:rsid w:val="00754C9A"/>
    <w:rsid w:val="0075599A"/>
    <w:rsid w:val="00761D52"/>
    <w:rsid w:val="007757BD"/>
    <w:rsid w:val="0077704A"/>
    <w:rsid w:val="0077749E"/>
    <w:rsid w:val="00790ADA"/>
    <w:rsid w:val="00790C7B"/>
    <w:rsid w:val="007971B1"/>
    <w:rsid w:val="007A6E83"/>
    <w:rsid w:val="007B42C0"/>
    <w:rsid w:val="007D2288"/>
    <w:rsid w:val="007D4525"/>
    <w:rsid w:val="007D5178"/>
    <w:rsid w:val="007E088F"/>
    <w:rsid w:val="007F7B32"/>
    <w:rsid w:val="00804BC2"/>
    <w:rsid w:val="0081431A"/>
    <w:rsid w:val="00820C76"/>
    <w:rsid w:val="0082621B"/>
    <w:rsid w:val="0083216F"/>
    <w:rsid w:val="00845BB3"/>
    <w:rsid w:val="00850F01"/>
    <w:rsid w:val="00856E56"/>
    <w:rsid w:val="00860000"/>
    <w:rsid w:val="00863BD3"/>
    <w:rsid w:val="00863DD0"/>
    <w:rsid w:val="008641ED"/>
    <w:rsid w:val="00866D66"/>
    <w:rsid w:val="008671C6"/>
    <w:rsid w:val="00875803"/>
    <w:rsid w:val="00875C8C"/>
    <w:rsid w:val="00892D59"/>
    <w:rsid w:val="008B459E"/>
    <w:rsid w:val="008B5D0E"/>
    <w:rsid w:val="008D12F1"/>
    <w:rsid w:val="008E13AE"/>
    <w:rsid w:val="008E1506"/>
    <w:rsid w:val="008E710C"/>
    <w:rsid w:val="008F69D6"/>
    <w:rsid w:val="00902823"/>
    <w:rsid w:val="00907845"/>
    <w:rsid w:val="00910A5D"/>
    <w:rsid w:val="00915CA6"/>
    <w:rsid w:val="009231F8"/>
    <w:rsid w:val="00927834"/>
    <w:rsid w:val="009500A6"/>
    <w:rsid w:val="00957C18"/>
    <w:rsid w:val="009659BA"/>
    <w:rsid w:val="00966BE0"/>
    <w:rsid w:val="00983040"/>
    <w:rsid w:val="00991C57"/>
    <w:rsid w:val="009B2D37"/>
    <w:rsid w:val="009B3FB9"/>
    <w:rsid w:val="009C2465"/>
    <w:rsid w:val="009D35A0"/>
    <w:rsid w:val="009D7EB7"/>
    <w:rsid w:val="009E048A"/>
    <w:rsid w:val="009E08E9"/>
    <w:rsid w:val="009E3DB9"/>
    <w:rsid w:val="009E4EB9"/>
    <w:rsid w:val="009E6E35"/>
    <w:rsid w:val="009E723C"/>
    <w:rsid w:val="009F0EDA"/>
    <w:rsid w:val="00A025D6"/>
    <w:rsid w:val="00A03B96"/>
    <w:rsid w:val="00A05B19"/>
    <w:rsid w:val="00A10AAA"/>
    <w:rsid w:val="00A1134E"/>
    <w:rsid w:val="00A16BCA"/>
    <w:rsid w:val="00A24E7E"/>
    <w:rsid w:val="00A258C3"/>
    <w:rsid w:val="00A3011D"/>
    <w:rsid w:val="00A347C0"/>
    <w:rsid w:val="00A421CC"/>
    <w:rsid w:val="00A43368"/>
    <w:rsid w:val="00A50709"/>
    <w:rsid w:val="00A51431"/>
    <w:rsid w:val="00A539AD"/>
    <w:rsid w:val="00A94063"/>
    <w:rsid w:val="00A97981"/>
    <w:rsid w:val="00AA59FD"/>
    <w:rsid w:val="00AA6219"/>
    <w:rsid w:val="00AA703F"/>
    <w:rsid w:val="00AA74E0"/>
    <w:rsid w:val="00AB703F"/>
    <w:rsid w:val="00AC697C"/>
    <w:rsid w:val="00AC6BB8"/>
    <w:rsid w:val="00AD0ACB"/>
    <w:rsid w:val="00AE008F"/>
    <w:rsid w:val="00AF3DDE"/>
    <w:rsid w:val="00AF75C9"/>
    <w:rsid w:val="00B01FCD"/>
    <w:rsid w:val="00B0292B"/>
    <w:rsid w:val="00B1006D"/>
    <w:rsid w:val="00B17172"/>
    <w:rsid w:val="00B1776C"/>
    <w:rsid w:val="00B33918"/>
    <w:rsid w:val="00B423C9"/>
    <w:rsid w:val="00B42A8D"/>
    <w:rsid w:val="00B52583"/>
    <w:rsid w:val="00B52896"/>
    <w:rsid w:val="00B64C7C"/>
    <w:rsid w:val="00B75517"/>
    <w:rsid w:val="00B9116B"/>
    <w:rsid w:val="00B95236"/>
    <w:rsid w:val="00B96BD9"/>
    <w:rsid w:val="00B97634"/>
    <w:rsid w:val="00BA1B01"/>
    <w:rsid w:val="00BA2641"/>
    <w:rsid w:val="00BB2688"/>
    <w:rsid w:val="00BB37AA"/>
    <w:rsid w:val="00BB6EFB"/>
    <w:rsid w:val="00BC53A0"/>
    <w:rsid w:val="00BE62AD"/>
    <w:rsid w:val="00BF121F"/>
    <w:rsid w:val="00BF1F80"/>
    <w:rsid w:val="00BF4867"/>
    <w:rsid w:val="00C00AB1"/>
    <w:rsid w:val="00C012BF"/>
    <w:rsid w:val="00C166EF"/>
    <w:rsid w:val="00C17EB0"/>
    <w:rsid w:val="00C21F8B"/>
    <w:rsid w:val="00C26C54"/>
    <w:rsid w:val="00C27F5F"/>
    <w:rsid w:val="00C30A0F"/>
    <w:rsid w:val="00C33888"/>
    <w:rsid w:val="00C37E61"/>
    <w:rsid w:val="00C52A56"/>
    <w:rsid w:val="00C63869"/>
    <w:rsid w:val="00C70F1B"/>
    <w:rsid w:val="00C71A47"/>
    <w:rsid w:val="00C7464C"/>
    <w:rsid w:val="00C85588"/>
    <w:rsid w:val="00C95088"/>
    <w:rsid w:val="00C9631F"/>
    <w:rsid w:val="00CA0FD2"/>
    <w:rsid w:val="00CB3EF4"/>
    <w:rsid w:val="00CD6755"/>
    <w:rsid w:val="00CD6856"/>
    <w:rsid w:val="00CE0089"/>
    <w:rsid w:val="00CE793C"/>
    <w:rsid w:val="00CF193C"/>
    <w:rsid w:val="00CF7728"/>
    <w:rsid w:val="00D10CB8"/>
    <w:rsid w:val="00D173F1"/>
    <w:rsid w:val="00D30E07"/>
    <w:rsid w:val="00D33316"/>
    <w:rsid w:val="00D74CB0"/>
    <w:rsid w:val="00D8295D"/>
    <w:rsid w:val="00DA2F1D"/>
    <w:rsid w:val="00DA723B"/>
    <w:rsid w:val="00DC2A65"/>
    <w:rsid w:val="00DC5481"/>
    <w:rsid w:val="00DE15F0"/>
    <w:rsid w:val="00DE43D6"/>
    <w:rsid w:val="00DE5663"/>
    <w:rsid w:val="00DE78AA"/>
    <w:rsid w:val="00E053D0"/>
    <w:rsid w:val="00E10056"/>
    <w:rsid w:val="00E15994"/>
    <w:rsid w:val="00E2587E"/>
    <w:rsid w:val="00E3114E"/>
    <w:rsid w:val="00E31A70"/>
    <w:rsid w:val="00E32870"/>
    <w:rsid w:val="00E35B02"/>
    <w:rsid w:val="00E50D39"/>
    <w:rsid w:val="00E510B9"/>
    <w:rsid w:val="00E63871"/>
    <w:rsid w:val="00E66496"/>
    <w:rsid w:val="00E66B35"/>
    <w:rsid w:val="00E66E10"/>
    <w:rsid w:val="00E66EB7"/>
    <w:rsid w:val="00E70BFF"/>
    <w:rsid w:val="00E769F6"/>
    <w:rsid w:val="00E8407C"/>
    <w:rsid w:val="00E84F3C"/>
    <w:rsid w:val="00EA012C"/>
    <w:rsid w:val="00EB194F"/>
    <w:rsid w:val="00EC6A55"/>
    <w:rsid w:val="00ED0288"/>
    <w:rsid w:val="00EE52CB"/>
    <w:rsid w:val="00EE561C"/>
    <w:rsid w:val="00EF2A8C"/>
    <w:rsid w:val="00EF581D"/>
    <w:rsid w:val="00EF7FD8"/>
    <w:rsid w:val="00F00B81"/>
    <w:rsid w:val="00F06F59"/>
    <w:rsid w:val="00F1278F"/>
    <w:rsid w:val="00F14267"/>
    <w:rsid w:val="00F17988"/>
    <w:rsid w:val="00F36562"/>
    <w:rsid w:val="00F43349"/>
    <w:rsid w:val="00F469F0"/>
    <w:rsid w:val="00F52AB6"/>
    <w:rsid w:val="00F53273"/>
    <w:rsid w:val="00F755E4"/>
    <w:rsid w:val="00F7784F"/>
    <w:rsid w:val="00F7787B"/>
    <w:rsid w:val="00F77D02"/>
    <w:rsid w:val="00F81638"/>
    <w:rsid w:val="00FA1711"/>
    <w:rsid w:val="00FA78D5"/>
    <w:rsid w:val="00FB3A86"/>
    <w:rsid w:val="00FC046C"/>
    <w:rsid w:val="00FC2FE1"/>
    <w:rsid w:val="00FD36C8"/>
    <w:rsid w:val="00FE728A"/>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064938"/>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064938"/>
    <w:rPr>
      <w:b/>
      <w:bCs/>
    </w:rPr>
  </w:style>
  <w:style w:type="paragraph" w:styleId="CommentSubject">
    <w:name w:val="annotation subject"/>
    <w:basedOn w:val="CommentText"/>
    <w:next w:val="CommentText"/>
    <w:link w:val="CommentSubjectChar"/>
    <w:semiHidden/>
    <w:unhideWhenUsed/>
    <w:rsid w:val="005D3989"/>
    <w:rPr>
      <w:rFonts w:ascii="Helvetica" w:hAnsi="Helvetica"/>
      <w:b/>
      <w:bCs/>
      <w:lang w:val="en-US" w:eastAsia="en-US"/>
    </w:rPr>
  </w:style>
  <w:style w:type="character" w:customStyle="1" w:styleId="CommentSubjectChar">
    <w:name w:val="Comment Subject Char"/>
    <w:basedOn w:val="CommentTextChar"/>
    <w:link w:val="CommentSubject"/>
    <w:semiHidden/>
    <w:rsid w:val="005D3989"/>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7825200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9471361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8134685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961963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foundbutterflie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AFF7A-9952-4E41-B084-C876E9097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295</TotalTime>
  <Pages>7</Pages>
  <Words>3300</Words>
  <Characters>18813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22069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47</cp:revision>
  <cp:lastPrinted>2025-11-07T05:45:00Z</cp:lastPrinted>
  <dcterms:created xsi:type="dcterms:W3CDTF">2025-11-04T14:39:00Z</dcterms:created>
  <dcterms:modified xsi:type="dcterms:W3CDTF">2025-11-07T06:04:00Z</dcterms:modified>
</cp:coreProperties>
</file>