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04C9" w14:textId="77777777" w:rsidR="007059FC" w:rsidRDefault="00B13C43">
      <w:pPr>
        <w:pStyle w:val="Heading1"/>
        <w:spacing w:line="360" w:lineRule="auto"/>
        <w:jc w:val="center"/>
        <w:rPr>
          <w:rFonts w:ascii="Times New Roman" w:hAnsi="Times New Roman" w:cs="Times New Roman"/>
          <w:b/>
          <w:bCs/>
          <w:color w:val="auto"/>
          <w:sz w:val="24"/>
          <w:szCs w:val="24"/>
        </w:rPr>
      </w:pPr>
      <w:bookmarkStart w:id="0" w:name="X86a271a0606d79b4fe86fc20d2a1bd9df2f4944"/>
      <w:r>
        <w:rPr>
          <w:rFonts w:ascii="Times New Roman" w:hAnsi="Times New Roman" w:cs="Times New Roman"/>
          <w:b/>
          <w:bCs/>
          <w:color w:val="auto"/>
          <w:sz w:val="24"/>
          <w:szCs w:val="24"/>
        </w:rPr>
        <w:t>Effects of Invasive Prey Species on the Feeding Ecology and Growth Rates of Crocodiles: A Case Study from the Crocodile Breeding Centre, Bohr Saidan, Kurukshetra</w:t>
      </w:r>
    </w:p>
    <w:p w14:paraId="6DCCDDED" w14:textId="77777777" w:rsidR="007059FC" w:rsidRDefault="00B13C43">
      <w:pPr>
        <w:pStyle w:val="Heading2"/>
        <w:spacing w:line="360" w:lineRule="auto"/>
        <w:jc w:val="both"/>
        <w:rPr>
          <w:rFonts w:ascii="Times New Roman" w:hAnsi="Times New Roman" w:cs="Times New Roman"/>
          <w:b/>
          <w:bCs/>
          <w:color w:val="auto"/>
          <w:sz w:val="24"/>
          <w:szCs w:val="24"/>
        </w:rPr>
      </w:pPr>
      <w:bookmarkStart w:id="1" w:name="abstract"/>
      <w:r>
        <w:rPr>
          <w:rFonts w:ascii="Times New Roman" w:hAnsi="Times New Roman" w:cs="Times New Roman"/>
          <w:b/>
          <w:bCs/>
          <w:color w:val="auto"/>
          <w:sz w:val="24"/>
          <w:szCs w:val="24"/>
        </w:rPr>
        <w:t>Abstract</w:t>
      </w:r>
    </w:p>
    <w:p w14:paraId="676ABC84" w14:textId="77777777" w:rsidR="007059FC" w:rsidRDefault="00B13C43">
      <w:pPr>
        <w:pStyle w:val="FirstParagraph"/>
        <w:spacing w:line="360" w:lineRule="auto"/>
        <w:jc w:val="both"/>
        <w:rPr>
          <w:rFonts w:ascii="Times New Roman" w:hAnsi="Times New Roman" w:cs="Times New Roman"/>
        </w:rPr>
      </w:pPr>
      <w:r>
        <w:rPr>
          <w:rFonts w:ascii="Times New Roman" w:hAnsi="Times New Roman" w:cs="Times New Roman"/>
        </w:rPr>
        <w:t>Invasive prey species pose significant ecological challenges by altering food web structures and predator-prey dynamics. For apex predators like the Marsh Mugger (</w:t>
      </w:r>
      <w:r>
        <w:rPr>
          <w:rFonts w:ascii="Times New Roman" w:hAnsi="Times New Roman" w:cs="Times New Roman"/>
          <w:i/>
          <w:iCs/>
        </w:rPr>
        <w:t>Crocodylus palustris</w:t>
      </w:r>
      <w:r>
        <w:rPr>
          <w:rFonts w:ascii="Times New Roman" w:hAnsi="Times New Roman" w:cs="Times New Roman"/>
        </w:rPr>
        <w:t xml:space="preserve">), dietary flexibility often facilitates adaptation, yet the long-term effects on growth, health, and conservation outcomes remain underexplored. This study investigates the influence of invasive prey species on the feeding ecology and growth rates of crocodiles at the Crocodile Breeding Centre (CBC), Bohr Saidan, Kurukshetra, Haryana, India. Data were collected through direct feeding observations, fecal and regurgitate analysis, and morphometric monitoring over a one-year period. Results showed that invasive prey species, particularly </w:t>
      </w:r>
      <w:r>
        <w:rPr>
          <w:rFonts w:ascii="Times New Roman" w:hAnsi="Times New Roman" w:cs="Times New Roman"/>
          <w:i/>
          <w:iCs/>
        </w:rPr>
        <w:t>Oreochromis niloticus</w:t>
      </w:r>
      <w:r>
        <w:rPr>
          <w:rFonts w:ascii="Times New Roman" w:hAnsi="Times New Roman" w:cs="Times New Roman"/>
        </w:rPr>
        <w:t xml:space="preserve"> (Nile tilapia) and </w:t>
      </w:r>
      <w:r>
        <w:rPr>
          <w:rFonts w:ascii="Times New Roman" w:hAnsi="Times New Roman" w:cs="Times New Roman"/>
          <w:i/>
          <w:iCs/>
        </w:rPr>
        <w:t xml:space="preserve">Clarias </w:t>
      </w:r>
      <w:proofErr w:type="spellStart"/>
      <w:r>
        <w:rPr>
          <w:rFonts w:ascii="Times New Roman" w:hAnsi="Times New Roman" w:cs="Times New Roman"/>
          <w:i/>
          <w:iCs/>
        </w:rPr>
        <w:t>gariepinus</w:t>
      </w:r>
      <w:proofErr w:type="spellEnd"/>
      <w:r>
        <w:rPr>
          <w:rFonts w:ascii="Times New Roman" w:hAnsi="Times New Roman" w:cs="Times New Roman"/>
        </w:rPr>
        <w:t xml:space="preserve"> (African catfish), have become prominent components of the diet. While invasive prey facilitated short-term increases in feeding efficiency and juvenile growth, long-term analyses revealed nutritional imbalances, stunted growth, and health trade-offs. These findings highlight the need for management interventions at CBC to ensure dietary diversity and sustain robust crocodile populations for reintroduction programs.</w:t>
      </w:r>
    </w:p>
    <w:p w14:paraId="04CEF1B1" w14:textId="77777777" w:rsidR="007059FC" w:rsidRDefault="00B13C43">
      <w:pPr>
        <w:pStyle w:val="BodyText"/>
        <w:spacing w:line="360" w:lineRule="auto"/>
        <w:jc w:val="both"/>
        <w:rPr>
          <w:rFonts w:ascii="Times New Roman" w:hAnsi="Times New Roman" w:cs="Times New Roman"/>
        </w:rPr>
      </w:pPr>
      <w:commentRangeStart w:id="2"/>
      <w:r>
        <w:rPr>
          <w:rFonts w:ascii="Times New Roman" w:hAnsi="Times New Roman" w:cs="Times New Roman"/>
          <w:b/>
          <w:bCs/>
        </w:rPr>
        <w:t>Keywords</w:t>
      </w:r>
      <w:commentRangeEnd w:id="2"/>
      <w:r w:rsidR="00B13B23">
        <w:rPr>
          <w:rStyle w:val="CommentReference"/>
        </w:rPr>
        <w:commentReference w:id="2"/>
      </w:r>
      <w:r>
        <w:rPr>
          <w:rFonts w:ascii="Times New Roman" w:hAnsi="Times New Roman" w:cs="Times New Roman"/>
          <w:b/>
          <w:bCs/>
        </w:rPr>
        <w:t>:</w:t>
      </w:r>
      <w:r>
        <w:rPr>
          <w:rFonts w:ascii="Times New Roman" w:hAnsi="Times New Roman" w:cs="Times New Roman"/>
        </w:rPr>
        <w:t xml:space="preserve"> invasive prey, feeding ecology, growth rates, </w:t>
      </w:r>
      <w:r>
        <w:rPr>
          <w:rFonts w:ascii="Times New Roman" w:hAnsi="Times New Roman" w:cs="Times New Roman"/>
          <w:i/>
          <w:iCs/>
        </w:rPr>
        <w:t>Crocodylus palustris</w:t>
      </w:r>
      <w:r>
        <w:rPr>
          <w:rFonts w:ascii="Times New Roman" w:hAnsi="Times New Roman" w:cs="Times New Roman"/>
        </w:rPr>
        <w:t>, Crocodile Breeding Centre, Kurukshetra, diet shifts, conservation</w:t>
      </w:r>
    </w:p>
    <w:p w14:paraId="121ACFB2" w14:textId="77777777" w:rsidR="007059FC" w:rsidRDefault="00000000">
      <w:pPr>
        <w:spacing w:line="360" w:lineRule="auto"/>
        <w:jc w:val="both"/>
        <w:rPr>
          <w:rFonts w:ascii="Times New Roman" w:hAnsi="Times New Roman" w:cs="Times New Roman"/>
        </w:rPr>
      </w:pPr>
      <w:r>
        <w:rPr>
          <w:rFonts w:ascii="Times New Roman" w:hAnsi="Times New Roman" w:cs="Times New Roman"/>
        </w:rPr>
        <w:pict w14:anchorId="751FF6D8">
          <v:rect id="_x0000_i1025" style="width:0;height:1.5pt" o:hralign="center" o:hrstd="t" o:hr="t"/>
        </w:pict>
      </w:r>
    </w:p>
    <w:p w14:paraId="299EA294" w14:textId="77777777" w:rsidR="007059FC" w:rsidRDefault="00B13C43">
      <w:pPr>
        <w:pStyle w:val="Heading2"/>
        <w:spacing w:line="360" w:lineRule="auto"/>
        <w:jc w:val="both"/>
        <w:rPr>
          <w:rFonts w:ascii="Times New Roman" w:hAnsi="Times New Roman" w:cs="Times New Roman"/>
          <w:b/>
          <w:bCs/>
          <w:color w:val="auto"/>
          <w:sz w:val="24"/>
          <w:szCs w:val="24"/>
        </w:rPr>
      </w:pPr>
      <w:bookmarkStart w:id="3" w:name="introduction"/>
      <w:bookmarkEnd w:id="1"/>
      <w:r>
        <w:rPr>
          <w:rFonts w:ascii="Times New Roman" w:hAnsi="Times New Roman" w:cs="Times New Roman"/>
          <w:b/>
          <w:bCs/>
          <w:color w:val="auto"/>
          <w:sz w:val="24"/>
          <w:szCs w:val="24"/>
        </w:rPr>
        <w:t xml:space="preserve">1. </w:t>
      </w:r>
      <w:commentRangeStart w:id="4"/>
      <w:r>
        <w:rPr>
          <w:rFonts w:ascii="Times New Roman" w:hAnsi="Times New Roman" w:cs="Times New Roman"/>
          <w:b/>
          <w:bCs/>
          <w:color w:val="auto"/>
          <w:sz w:val="24"/>
          <w:szCs w:val="24"/>
        </w:rPr>
        <w:t>Introduction</w:t>
      </w:r>
      <w:commentRangeEnd w:id="4"/>
      <w:r w:rsidR="000B0276">
        <w:rPr>
          <w:rStyle w:val="CommentReference"/>
          <w:rFonts w:ascii="Aptos" w:eastAsia="Aptos" w:hAnsi="Aptos"/>
          <w:color w:val="auto"/>
        </w:rPr>
        <w:commentReference w:id="4"/>
      </w:r>
    </w:p>
    <w:p w14:paraId="45CFC31C" w14:textId="77777777" w:rsidR="007059FC" w:rsidRDefault="00B13C43">
      <w:pPr>
        <w:pStyle w:val="FirstParagraph"/>
        <w:spacing w:line="360" w:lineRule="auto"/>
        <w:jc w:val="both"/>
        <w:rPr>
          <w:rFonts w:ascii="Times New Roman" w:hAnsi="Times New Roman" w:cs="Times New Roman"/>
        </w:rPr>
      </w:pPr>
      <w:r>
        <w:rPr>
          <w:rFonts w:ascii="Times New Roman" w:hAnsi="Times New Roman" w:cs="Times New Roman"/>
        </w:rPr>
        <w:t xml:space="preserve">Predator-prey dynamics play a pivotal role in maintaining ecological balance. However, biological invasions have reshaped food webs worldwide, often leading to the displacement of native prey species and forcing predators to adapt their feeding strategies (Lowe et </w:t>
      </w:r>
      <w:commentRangeStart w:id="5"/>
      <w:r>
        <w:rPr>
          <w:rFonts w:ascii="Times New Roman" w:hAnsi="Times New Roman" w:cs="Times New Roman"/>
        </w:rPr>
        <w:t>al</w:t>
      </w:r>
      <w:commentRangeEnd w:id="5"/>
      <w:r w:rsidR="00B13B23">
        <w:rPr>
          <w:rStyle w:val="CommentReference"/>
        </w:rPr>
        <w:commentReference w:id="5"/>
      </w:r>
      <w:r>
        <w:rPr>
          <w:rFonts w:ascii="Times New Roman" w:hAnsi="Times New Roman" w:cs="Times New Roman"/>
        </w:rPr>
        <w:t>., 2000; Ricciardi &amp; MacIsaac, 2011). Invasive prey may offer abundant and easily captured resources, but their nutritional profiles, defensive adaptations, and ecological impacts can generate unforeseen consequences for predators (Carlsson et al., 2009; Paolucci et al., 2013).</w:t>
      </w:r>
    </w:p>
    <w:p w14:paraId="4E7CDD9E"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rPr>
        <w:lastRenderedPageBreak/>
        <w:t>The Marsh Mugger (</w:t>
      </w:r>
      <w:r>
        <w:rPr>
          <w:rFonts w:ascii="Times New Roman" w:hAnsi="Times New Roman" w:cs="Times New Roman"/>
          <w:i/>
          <w:iCs/>
        </w:rPr>
        <w:t>Crocodylus palustris</w:t>
      </w:r>
      <w:r>
        <w:rPr>
          <w:rFonts w:ascii="Times New Roman" w:hAnsi="Times New Roman" w:cs="Times New Roman"/>
        </w:rPr>
        <w:t>), a freshwater crocodilian distributed across the Indian subcontinent, exhibits notable dietary plasticity (Whitaker &amp; Andrews, 2003). At the Crocodile Breeding Centre (CBC), Bohr Saidan, Kurukshetra, conservation programs have focused on rearing robust individuals for release into natural habitats. However, the growing presence of invasive prey species in Haryana’s aquatic systems raises concerns about altered diet composition and growth outcomes in captive populations.</w:t>
      </w:r>
    </w:p>
    <w:p w14:paraId="274EC513"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rPr>
        <w:t>This study addresses three core questions: (</w:t>
      </w:r>
      <w:proofErr w:type="spellStart"/>
      <w:r>
        <w:rPr>
          <w:rFonts w:ascii="Times New Roman" w:hAnsi="Times New Roman" w:cs="Times New Roman"/>
        </w:rPr>
        <w:t>i</w:t>
      </w:r>
      <w:proofErr w:type="spellEnd"/>
      <w:r>
        <w:rPr>
          <w:rFonts w:ascii="Times New Roman" w:hAnsi="Times New Roman" w:cs="Times New Roman"/>
        </w:rPr>
        <w:t>) To what extent have invasive prey species infiltrated crocodile diets at CBC? (ii) How has invasive prey consumption affected feeding ecology and foraging behavior? (iii) What are the consequences of invasive prey consumption on crocodile growth rates and health? By integrating field-based diet analysis with morphometric monitoring, this study provides critical insights for adaptive management of crocodile conservation.</w:t>
      </w:r>
    </w:p>
    <w:p w14:paraId="13EB391B" w14:textId="77777777" w:rsidR="007059FC" w:rsidRDefault="00000000">
      <w:pPr>
        <w:spacing w:line="360" w:lineRule="auto"/>
        <w:jc w:val="both"/>
        <w:rPr>
          <w:rFonts w:ascii="Times New Roman" w:hAnsi="Times New Roman" w:cs="Times New Roman"/>
        </w:rPr>
      </w:pPr>
      <w:r>
        <w:rPr>
          <w:rFonts w:ascii="Times New Roman" w:hAnsi="Times New Roman" w:cs="Times New Roman"/>
        </w:rPr>
        <w:pict w14:anchorId="664DADFC">
          <v:rect id="_x0000_i1026" style="width:0;height:1.5pt" o:hralign="center" o:hrstd="t" o:hr="t"/>
        </w:pict>
      </w:r>
    </w:p>
    <w:p w14:paraId="41FA740F" w14:textId="77777777" w:rsidR="007059FC" w:rsidRDefault="00B13C43">
      <w:pPr>
        <w:pStyle w:val="Heading2"/>
        <w:spacing w:line="360" w:lineRule="auto"/>
        <w:jc w:val="both"/>
        <w:rPr>
          <w:rFonts w:ascii="Times New Roman" w:hAnsi="Times New Roman" w:cs="Times New Roman"/>
          <w:b/>
          <w:bCs/>
          <w:color w:val="auto"/>
          <w:sz w:val="24"/>
          <w:szCs w:val="24"/>
        </w:rPr>
      </w:pPr>
      <w:bookmarkStart w:id="6" w:name="materials-and-methods"/>
      <w:bookmarkEnd w:id="3"/>
      <w:r>
        <w:rPr>
          <w:rFonts w:ascii="Times New Roman" w:hAnsi="Times New Roman" w:cs="Times New Roman"/>
          <w:b/>
          <w:bCs/>
          <w:color w:val="auto"/>
          <w:sz w:val="24"/>
          <w:szCs w:val="24"/>
        </w:rPr>
        <w:t>2</w:t>
      </w:r>
      <w:bookmarkStart w:id="7" w:name="study-area"/>
      <w:r>
        <w:rPr>
          <w:rFonts w:ascii="Times New Roman" w:hAnsi="Times New Roman" w:cs="Times New Roman"/>
          <w:b/>
          <w:bCs/>
          <w:color w:val="auto"/>
          <w:sz w:val="24"/>
          <w:szCs w:val="24"/>
        </w:rPr>
        <w:t>. Materials and Methods</w:t>
      </w:r>
    </w:p>
    <w:p w14:paraId="40434694" w14:textId="77777777" w:rsidR="007059FC" w:rsidRDefault="00B13C43">
      <w:pPr>
        <w:pStyle w:val="FirstParagraph"/>
        <w:spacing w:line="360" w:lineRule="auto"/>
        <w:jc w:val="both"/>
        <w:rPr>
          <w:rFonts w:ascii="Times New Roman" w:hAnsi="Times New Roman" w:cs="Times New Roman"/>
        </w:rPr>
      </w:pPr>
      <w:r>
        <w:rPr>
          <w:rFonts w:ascii="Times New Roman" w:eastAsia="SimSun" w:hAnsi="Times New Roman" w:cs="Times New Roman"/>
          <w:b/>
          <w:bCs/>
        </w:rPr>
        <w:t xml:space="preserve">2.1 Study </w:t>
      </w:r>
      <w:proofErr w:type="spellStart"/>
      <w:r>
        <w:rPr>
          <w:rFonts w:ascii="Times New Roman" w:eastAsia="SimSun" w:hAnsi="Times New Roman" w:cs="Times New Roman"/>
          <w:b/>
          <w:bCs/>
        </w:rPr>
        <w:t>Area</w:t>
      </w:r>
      <w:r>
        <w:rPr>
          <w:rFonts w:ascii="Times New Roman" w:hAnsi="Times New Roman" w:cs="Times New Roman"/>
        </w:rPr>
        <w:t>The</w:t>
      </w:r>
      <w:proofErr w:type="spellEnd"/>
      <w:r>
        <w:rPr>
          <w:rFonts w:ascii="Times New Roman" w:hAnsi="Times New Roman" w:cs="Times New Roman"/>
        </w:rPr>
        <w:t xml:space="preserve"> Crocodile Breeding Centre, Bohr Saidan (29.95°N, 76.82°E), lies within the Kurukshetra district of Haryana, India. The facility includes multiple enclosures with semi-natural ponds, native aquatic vegetation, and controlled feeding regimes. The CBC houses over 200 Marsh Muggers across different age classes, with juveniles and sub-adults maintained in designated rearing ponds.</w:t>
      </w:r>
    </w:p>
    <w:p w14:paraId="6FF78184" w14:textId="77777777" w:rsidR="007059FC" w:rsidRDefault="00B13C43">
      <w:pPr>
        <w:pStyle w:val="Heading3"/>
        <w:spacing w:line="360" w:lineRule="auto"/>
        <w:jc w:val="both"/>
        <w:rPr>
          <w:rFonts w:ascii="Times New Roman" w:hAnsi="Times New Roman" w:cs="Times New Roman"/>
          <w:b/>
          <w:bCs/>
          <w:color w:val="auto"/>
          <w:sz w:val="24"/>
          <w:szCs w:val="24"/>
        </w:rPr>
      </w:pPr>
      <w:bookmarkStart w:id="8" w:name="data-collection"/>
      <w:bookmarkEnd w:id="7"/>
      <w:r>
        <w:rPr>
          <w:rFonts w:ascii="Times New Roman" w:hAnsi="Times New Roman" w:cs="Times New Roman"/>
          <w:b/>
          <w:bCs/>
          <w:color w:val="auto"/>
          <w:sz w:val="24"/>
          <w:szCs w:val="24"/>
        </w:rPr>
        <w:t>2.2 Data Collection</w:t>
      </w:r>
    </w:p>
    <w:p w14:paraId="0530986C"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Diet Composition:</w:t>
      </w:r>
      <w:r>
        <w:rPr>
          <w:rFonts w:ascii="Times New Roman" w:hAnsi="Times New Roman" w:cs="Times New Roman"/>
        </w:rPr>
        <w:t xml:space="preserve"> Feeding observations (n = 120 sessions) were conducted between March 2024 and March 2025. Fecal and regurgitate samples (n = 85) were collected and examined under a dissecting microscope. Prey remains (scales, bones, spines) were identified using standard fish identification keys (Jayaram, 2010).</w:t>
      </w:r>
    </w:p>
    <w:p w14:paraId="34541744"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Invasive Species Identification:</w:t>
      </w:r>
      <w:r>
        <w:rPr>
          <w:rFonts w:ascii="Times New Roman" w:hAnsi="Times New Roman" w:cs="Times New Roman"/>
        </w:rPr>
        <w:t xml:space="preserve"> Particular attention was given to the presence of </w:t>
      </w:r>
      <w:r>
        <w:rPr>
          <w:rFonts w:ascii="Times New Roman" w:hAnsi="Times New Roman" w:cs="Times New Roman"/>
          <w:i/>
          <w:iCs/>
        </w:rPr>
        <w:t>Oreochromis niloticus</w:t>
      </w:r>
      <w:r>
        <w:rPr>
          <w:rFonts w:ascii="Times New Roman" w:hAnsi="Times New Roman" w:cs="Times New Roman"/>
        </w:rPr>
        <w:t xml:space="preserve"> and </w:t>
      </w:r>
      <w:r>
        <w:rPr>
          <w:rFonts w:ascii="Times New Roman" w:hAnsi="Times New Roman" w:cs="Times New Roman"/>
          <w:i/>
          <w:iCs/>
        </w:rPr>
        <w:t xml:space="preserve">Clarias </w:t>
      </w:r>
      <w:proofErr w:type="spellStart"/>
      <w:r>
        <w:rPr>
          <w:rFonts w:ascii="Times New Roman" w:hAnsi="Times New Roman" w:cs="Times New Roman"/>
          <w:i/>
          <w:iCs/>
        </w:rPr>
        <w:t>gariepinus</w:t>
      </w:r>
      <w:proofErr w:type="spellEnd"/>
      <w:r>
        <w:rPr>
          <w:rFonts w:ascii="Times New Roman" w:hAnsi="Times New Roman" w:cs="Times New Roman"/>
        </w:rPr>
        <w:t>, known invaders in north Indian waters (Singh &amp; Lakra, 2011).</w:t>
      </w:r>
    </w:p>
    <w:p w14:paraId="190D4FBE"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lastRenderedPageBreak/>
        <w:t>Growth Monitoring:</w:t>
      </w:r>
      <w:r>
        <w:rPr>
          <w:rFonts w:ascii="Times New Roman" w:hAnsi="Times New Roman" w:cs="Times New Roman"/>
        </w:rPr>
        <w:t xml:space="preserve"> Thirty individuals (15 juveniles, 15 sub-adults) were randomly tagged and monitored monthly for morphometric traits: total length (TL), snout–vent length (SVL), and body mass.</w:t>
      </w:r>
    </w:p>
    <w:p w14:paraId="2EB8DCCE"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Health Assessment:</w:t>
      </w:r>
      <w:r>
        <w:rPr>
          <w:rFonts w:ascii="Times New Roman" w:hAnsi="Times New Roman" w:cs="Times New Roman"/>
        </w:rPr>
        <w:t xml:space="preserve"> Condition scoring was performed using visual indicators of body condition, fat deposition, activity levels, and presence of injuries.</w:t>
      </w:r>
    </w:p>
    <w:p w14:paraId="04FB87D5" w14:textId="77777777" w:rsidR="007059FC" w:rsidRDefault="00B13C43">
      <w:pPr>
        <w:pStyle w:val="Heading3"/>
        <w:spacing w:line="360" w:lineRule="auto"/>
        <w:jc w:val="both"/>
        <w:rPr>
          <w:rFonts w:ascii="Times New Roman" w:hAnsi="Times New Roman" w:cs="Times New Roman"/>
          <w:b/>
          <w:bCs/>
          <w:color w:val="auto"/>
          <w:sz w:val="24"/>
          <w:szCs w:val="24"/>
        </w:rPr>
      </w:pPr>
      <w:bookmarkStart w:id="9" w:name="data-analysis"/>
      <w:bookmarkEnd w:id="8"/>
      <w:r>
        <w:rPr>
          <w:rFonts w:ascii="Times New Roman" w:hAnsi="Times New Roman" w:cs="Times New Roman"/>
          <w:b/>
          <w:bCs/>
          <w:color w:val="auto"/>
          <w:sz w:val="24"/>
          <w:szCs w:val="24"/>
        </w:rPr>
        <w:t>2.3 Data Analysis</w:t>
      </w:r>
    </w:p>
    <w:p w14:paraId="4096A44F"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Diet Analysis:</w:t>
      </w:r>
      <w:r>
        <w:rPr>
          <w:rFonts w:ascii="Times New Roman" w:hAnsi="Times New Roman" w:cs="Times New Roman"/>
        </w:rPr>
        <w:t xml:space="preserve"> Percentage occurrence and frequency of invasive prey in diets were calculated (Hyslop, 1980).</w:t>
      </w:r>
    </w:p>
    <w:p w14:paraId="6E2A51CC"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Growth Rates:</w:t>
      </w:r>
      <w:r>
        <w:rPr>
          <w:rFonts w:ascii="Times New Roman" w:hAnsi="Times New Roman" w:cs="Times New Roman"/>
        </w:rPr>
        <w:t xml:space="preserve"> Average monthly weight gain and SVL increment were compared across groups consuming invasive-dominated diets versus mixed diets.</w:t>
      </w:r>
    </w:p>
    <w:p w14:paraId="6890FCE9" w14:textId="77777777" w:rsidR="007059FC" w:rsidRDefault="00B13C43">
      <w:pPr>
        <w:pStyle w:val="Compact"/>
        <w:numPr>
          <w:ilvl w:val="0"/>
          <w:numId w:val="1"/>
        </w:numPr>
        <w:spacing w:line="360" w:lineRule="auto"/>
        <w:jc w:val="both"/>
        <w:rPr>
          <w:rFonts w:ascii="Times New Roman" w:hAnsi="Times New Roman" w:cs="Times New Roman"/>
          <w:b/>
          <w:bCs/>
        </w:rPr>
      </w:pPr>
      <w:r>
        <w:rPr>
          <w:rFonts w:ascii="Times New Roman" w:hAnsi="Times New Roman" w:cs="Times New Roman"/>
          <w:b/>
          <w:bCs/>
        </w:rPr>
        <w:t>Statistics:</w:t>
      </w:r>
      <w:r>
        <w:rPr>
          <w:rFonts w:ascii="Times New Roman" w:hAnsi="Times New Roman" w:cs="Times New Roman"/>
        </w:rPr>
        <w:t xml:space="preserve"> Data were analyzed using one-way ANOVA and Tukey’s post-hoc tests in R </w:t>
      </w:r>
      <w:commentRangeStart w:id="10"/>
      <w:r>
        <w:rPr>
          <w:rFonts w:ascii="Times New Roman" w:hAnsi="Times New Roman" w:cs="Times New Roman"/>
        </w:rPr>
        <w:t>software</w:t>
      </w:r>
      <w:commentRangeEnd w:id="10"/>
      <w:r w:rsidR="00E632D9">
        <w:rPr>
          <w:rStyle w:val="CommentReference"/>
        </w:rPr>
        <w:commentReference w:id="10"/>
      </w:r>
      <w:r>
        <w:rPr>
          <w:rFonts w:ascii="Times New Roman" w:hAnsi="Times New Roman" w:cs="Times New Roman"/>
        </w:rPr>
        <w:t>.</w:t>
      </w:r>
    </w:p>
    <w:p w14:paraId="1D4375F3" w14:textId="77777777" w:rsidR="007059FC" w:rsidRDefault="00B13C43">
      <w:pPr>
        <w:pStyle w:val="Heading2"/>
        <w:numPr>
          <w:ilvl w:val="0"/>
          <w:numId w:val="2"/>
        </w:numPr>
        <w:spacing w:line="360" w:lineRule="auto"/>
        <w:jc w:val="both"/>
        <w:rPr>
          <w:rFonts w:ascii="Times New Roman" w:hAnsi="Times New Roman" w:cs="Times New Roman"/>
          <w:b/>
          <w:bCs/>
          <w:color w:val="auto"/>
          <w:sz w:val="24"/>
          <w:szCs w:val="24"/>
        </w:rPr>
      </w:pPr>
      <w:bookmarkStart w:id="11" w:name="results"/>
      <w:bookmarkEnd w:id="6"/>
      <w:bookmarkEnd w:id="9"/>
      <w:r>
        <w:rPr>
          <w:rFonts w:ascii="Times New Roman" w:hAnsi="Times New Roman" w:cs="Times New Roman"/>
          <w:b/>
          <w:bCs/>
          <w:color w:val="auto"/>
          <w:sz w:val="24"/>
          <w:szCs w:val="24"/>
        </w:rPr>
        <w:t>Results</w:t>
      </w:r>
    </w:p>
    <w:p w14:paraId="4010B60E" w14:textId="77777777" w:rsidR="007059FC" w:rsidRDefault="00B13C43">
      <w:pPr>
        <w:spacing w:line="360" w:lineRule="auto"/>
        <w:jc w:val="both"/>
        <w:rPr>
          <w:rFonts w:ascii="Times New Roman" w:hAnsi="Times New Roman" w:cs="Times New Roman"/>
        </w:rPr>
      </w:pPr>
      <w:commentRangeStart w:id="12"/>
      <w:r>
        <w:rPr>
          <w:rFonts w:ascii="Times New Roman" w:hAnsi="Times New Roman" w:cs="Times New Roman"/>
        </w:rPr>
        <w:t xml:space="preserve">This section presents the comprehensive results obtained from the year-long investigation (March 2024–March 2025) on the feeding ecology, growth dynamics, and health outcomes of Mugger crocodiles (Crocodylus palustris) at the Crocodile Breeding Centre (CBC). </w:t>
      </w:r>
      <w:commentRangeEnd w:id="12"/>
      <w:r w:rsidR="00E632D9">
        <w:rPr>
          <w:rStyle w:val="CommentReference"/>
        </w:rPr>
        <w:commentReference w:id="12"/>
      </w:r>
      <w:r>
        <w:rPr>
          <w:rFonts w:ascii="Times New Roman" w:hAnsi="Times New Roman" w:cs="Times New Roman"/>
        </w:rPr>
        <w:t xml:space="preserve">A total of 30 individuals representing juvenile and sub‑adult size classes were monitored across various habitat units, including the main breeding ponds and adjoining enclosures. </w:t>
      </w:r>
      <w:commentRangeStart w:id="13"/>
      <w:r>
        <w:rPr>
          <w:rFonts w:ascii="Times New Roman" w:hAnsi="Times New Roman" w:cs="Times New Roman"/>
        </w:rPr>
        <w:t>Data were collected on diet composition through direct feeding observations, regurgitate analysis, and scat examinations. Growth metrics were derived from standardized monthly morphometric measurements, while health indices were assessed using visual body condition scoring and veterinary examinations. The following subsections elaborate the findings in detail, highlighting the impacts of invasive prey species on crocodile ecology and well‑being.</w:t>
      </w:r>
      <w:commentRangeEnd w:id="13"/>
      <w:r w:rsidR="00E632D9">
        <w:rPr>
          <w:rStyle w:val="CommentReference"/>
        </w:rPr>
        <w:commentReference w:id="13"/>
      </w:r>
    </w:p>
    <w:p w14:paraId="5C251B90" w14:textId="77777777" w:rsidR="007059FC" w:rsidRDefault="007059FC">
      <w:pPr>
        <w:pStyle w:val="BodyText"/>
        <w:spacing w:line="360" w:lineRule="auto"/>
        <w:jc w:val="both"/>
        <w:rPr>
          <w:rFonts w:ascii="Times New Roman" w:hAnsi="Times New Roman" w:cs="Times New Roman"/>
        </w:rPr>
      </w:pPr>
    </w:p>
    <w:p w14:paraId="169F5368" w14:textId="77777777" w:rsidR="007059FC" w:rsidRDefault="00B13C43">
      <w:pPr>
        <w:pStyle w:val="Heading3"/>
        <w:spacing w:line="360" w:lineRule="auto"/>
        <w:jc w:val="both"/>
        <w:rPr>
          <w:rFonts w:ascii="Times New Roman" w:hAnsi="Times New Roman" w:cs="Times New Roman"/>
          <w:b/>
          <w:bCs/>
          <w:color w:val="auto"/>
          <w:sz w:val="24"/>
          <w:szCs w:val="24"/>
        </w:rPr>
      </w:pPr>
      <w:bookmarkStart w:id="14" w:name="diet-composition"/>
      <w:r>
        <w:rPr>
          <w:rFonts w:ascii="Times New Roman" w:hAnsi="Times New Roman" w:cs="Times New Roman"/>
          <w:b/>
          <w:bCs/>
          <w:color w:val="auto"/>
          <w:sz w:val="24"/>
          <w:szCs w:val="24"/>
        </w:rPr>
        <w:t>3.1 Diet Composition</w:t>
      </w:r>
    </w:p>
    <w:p w14:paraId="794F8C6D" w14:textId="77777777" w:rsidR="007059FC" w:rsidRDefault="00B13C43">
      <w:pPr>
        <w:spacing w:line="360" w:lineRule="auto"/>
        <w:jc w:val="both"/>
        <w:rPr>
          <w:rFonts w:ascii="Times New Roman" w:hAnsi="Times New Roman" w:cs="Times New Roman"/>
        </w:rPr>
      </w:pPr>
      <w:r>
        <w:rPr>
          <w:rFonts w:ascii="Times New Roman" w:hAnsi="Times New Roman" w:cs="Times New Roman"/>
        </w:rPr>
        <w:t>Diet composition analyses revealed pronounced dominance of invasive fish species within the feeding profiles of captive and semi‑wild crocodiles at CBC. The most frequently consumed prey item was the Nile tilapia (</w:t>
      </w:r>
      <w:commentRangeStart w:id="15"/>
      <w:r>
        <w:rPr>
          <w:rFonts w:ascii="Times New Roman" w:hAnsi="Times New Roman" w:cs="Times New Roman"/>
        </w:rPr>
        <w:t>Oreochromis niloticus</w:t>
      </w:r>
      <w:commentRangeEnd w:id="15"/>
      <w:r w:rsidR="00275321">
        <w:rPr>
          <w:rStyle w:val="CommentReference"/>
        </w:rPr>
        <w:commentReference w:id="15"/>
      </w:r>
      <w:r>
        <w:rPr>
          <w:rFonts w:ascii="Times New Roman" w:hAnsi="Times New Roman" w:cs="Times New Roman"/>
        </w:rPr>
        <w:t xml:space="preserve">), accounting for 34% of total prey occurrences (Table 1). </w:t>
      </w:r>
      <w:commentRangeStart w:id="16"/>
      <w:r>
        <w:rPr>
          <w:rFonts w:ascii="Times New Roman" w:hAnsi="Times New Roman" w:cs="Times New Roman"/>
        </w:rPr>
        <w:t xml:space="preserve">This species was consistently </w:t>
      </w:r>
      <w:r>
        <w:rPr>
          <w:rFonts w:ascii="Times New Roman" w:hAnsi="Times New Roman" w:cs="Times New Roman"/>
        </w:rPr>
        <w:lastRenderedPageBreak/>
        <w:t xml:space="preserve">abundant in the main breeding ponds throughout the monitoring period, reflecting its prolific breeding and schooling </w:t>
      </w:r>
      <w:proofErr w:type="spellStart"/>
      <w:r>
        <w:rPr>
          <w:rFonts w:ascii="Times New Roman" w:hAnsi="Times New Roman" w:cs="Times New Roman"/>
        </w:rPr>
        <w:t>behaviour</w:t>
      </w:r>
      <w:proofErr w:type="spellEnd"/>
      <w:r>
        <w:rPr>
          <w:rFonts w:ascii="Times New Roman" w:hAnsi="Times New Roman" w:cs="Times New Roman"/>
        </w:rPr>
        <w:t xml:space="preserve">. </w:t>
      </w:r>
      <w:commentRangeEnd w:id="16"/>
      <w:r w:rsidR="001200C0">
        <w:rPr>
          <w:rStyle w:val="CommentReference"/>
        </w:rPr>
        <w:commentReference w:id="16"/>
      </w:r>
      <w:r>
        <w:rPr>
          <w:rFonts w:ascii="Times New Roman" w:hAnsi="Times New Roman" w:cs="Times New Roman"/>
        </w:rPr>
        <w:t>African catfish (</w:t>
      </w:r>
      <w:commentRangeStart w:id="17"/>
      <w:r>
        <w:rPr>
          <w:rFonts w:ascii="Times New Roman" w:hAnsi="Times New Roman" w:cs="Times New Roman"/>
        </w:rPr>
        <w:t xml:space="preserve">Clarias </w:t>
      </w:r>
      <w:proofErr w:type="spellStart"/>
      <w:r>
        <w:rPr>
          <w:rFonts w:ascii="Times New Roman" w:hAnsi="Times New Roman" w:cs="Times New Roman"/>
        </w:rPr>
        <w:t>gariepinus</w:t>
      </w:r>
      <w:commentRangeEnd w:id="17"/>
      <w:proofErr w:type="spellEnd"/>
      <w:r w:rsidR="00275321">
        <w:rPr>
          <w:rStyle w:val="CommentReference"/>
        </w:rPr>
        <w:commentReference w:id="17"/>
      </w:r>
      <w:r>
        <w:rPr>
          <w:rFonts w:ascii="Times New Roman" w:hAnsi="Times New Roman" w:cs="Times New Roman"/>
        </w:rPr>
        <w:t>) contributed an additional 19%, making invasive taxa collectively responsible for over half of the total prey intake.</w:t>
      </w:r>
      <w:r>
        <w:rPr>
          <w:rFonts w:ascii="Times New Roman" w:hAnsi="Times New Roman" w:cs="Times New Roman"/>
        </w:rPr>
        <w:br/>
      </w:r>
      <w:r>
        <w:rPr>
          <w:rFonts w:ascii="Times New Roman" w:hAnsi="Times New Roman" w:cs="Times New Roman"/>
        </w:rPr>
        <w:br/>
        <w:t xml:space="preserve">Native Indian carps, primarily </w:t>
      </w:r>
      <w:proofErr w:type="spellStart"/>
      <w:r>
        <w:rPr>
          <w:rFonts w:ascii="Times New Roman" w:hAnsi="Times New Roman" w:cs="Times New Roman"/>
        </w:rPr>
        <w:t>Labeo</w:t>
      </w:r>
      <w:proofErr w:type="spellEnd"/>
      <w:r>
        <w:rPr>
          <w:rFonts w:ascii="Times New Roman" w:hAnsi="Times New Roman" w:cs="Times New Roman"/>
        </w:rPr>
        <w:t xml:space="preserve"> </w:t>
      </w:r>
      <w:proofErr w:type="spellStart"/>
      <w:r>
        <w:rPr>
          <w:rFonts w:ascii="Times New Roman" w:hAnsi="Times New Roman" w:cs="Times New Roman"/>
        </w:rPr>
        <w:t>rohita</w:t>
      </w:r>
      <w:proofErr w:type="spellEnd"/>
      <w:r>
        <w:rPr>
          <w:rFonts w:ascii="Times New Roman" w:hAnsi="Times New Roman" w:cs="Times New Roman"/>
        </w:rPr>
        <w:t xml:space="preserve"> and </w:t>
      </w:r>
      <w:proofErr w:type="spellStart"/>
      <w:r>
        <w:rPr>
          <w:rFonts w:ascii="Times New Roman" w:hAnsi="Times New Roman" w:cs="Times New Roman"/>
        </w:rPr>
        <w:t>Catla</w:t>
      </w:r>
      <w:proofErr w:type="spellEnd"/>
      <w:r>
        <w:rPr>
          <w:rFonts w:ascii="Times New Roman" w:hAnsi="Times New Roman" w:cs="Times New Roman"/>
        </w:rPr>
        <w:t xml:space="preserve"> </w:t>
      </w:r>
      <w:proofErr w:type="spellStart"/>
      <w:r>
        <w:rPr>
          <w:rFonts w:ascii="Times New Roman" w:hAnsi="Times New Roman" w:cs="Times New Roman"/>
        </w:rPr>
        <w:t>catla</w:t>
      </w:r>
      <w:proofErr w:type="spellEnd"/>
      <w:r>
        <w:rPr>
          <w:rFonts w:ascii="Times New Roman" w:hAnsi="Times New Roman" w:cs="Times New Roman"/>
        </w:rPr>
        <w:t xml:space="preserve">, collectively represented only 29% of prey items (17% and 12% respectively). Amphibians, mainly local anurans such as </w:t>
      </w:r>
      <w:commentRangeStart w:id="18"/>
      <w:proofErr w:type="spellStart"/>
      <w:r>
        <w:rPr>
          <w:rFonts w:ascii="Times New Roman" w:hAnsi="Times New Roman" w:cs="Times New Roman"/>
        </w:rPr>
        <w:t>Hoplobatrachus</w:t>
      </w:r>
      <w:proofErr w:type="spellEnd"/>
      <w:r>
        <w:rPr>
          <w:rFonts w:ascii="Times New Roman" w:hAnsi="Times New Roman" w:cs="Times New Roman"/>
        </w:rPr>
        <w:t xml:space="preserve"> </w:t>
      </w:r>
      <w:proofErr w:type="spellStart"/>
      <w:r>
        <w:rPr>
          <w:rFonts w:ascii="Times New Roman" w:hAnsi="Times New Roman" w:cs="Times New Roman"/>
        </w:rPr>
        <w:t>tigerinus</w:t>
      </w:r>
      <w:commentRangeEnd w:id="18"/>
      <w:proofErr w:type="spellEnd"/>
      <w:r w:rsidR="00275321">
        <w:rPr>
          <w:rStyle w:val="CommentReference"/>
        </w:rPr>
        <w:commentReference w:id="18"/>
      </w:r>
      <w:r>
        <w:rPr>
          <w:rFonts w:ascii="Times New Roman" w:hAnsi="Times New Roman" w:cs="Times New Roman"/>
        </w:rPr>
        <w:t>, accounted for 9%, while other mixed fish species contributed another 9%. The predominance of invasive fish species in the crocodile diet underscores a clear dietary shift from the historically carp‑dominated prey base towards easily available and energetically profitable invasive taxa.</w:t>
      </w:r>
      <w:r>
        <w:rPr>
          <w:rFonts w:ascii="Times New Roman" w:hAnsi="Times New Roman" w:cs="Times New Roman"/>
        </w:rPr>
        <w:br/>
      </w:r>
      <w:r>
        <w:rPr>
          <w:rFonts w:ascii="Times New Roman" w:hAnsi="Times New Roman" w:cs="Times New Roman"/>
        </w:rPr>
        <w:br/>
        <w:t>Seasonal analysis suggested that tilapia dominated the diet during both dry and wet seasons due to its year‑round availability. Amphibians were more prominent during the monsoon period, coinciding with increased breeding activity in peripheral wetlands. This seasonal prey fluctuation demonstrates the opportunistic nature of Muggers, which exploit the most abundant and accessible prey at any given time.</w:t>
      </w:r>
      <w:r>
        <w:rPr>
          <w:rFonts w:ascii="Times New Roman" w:hAnsi="Times New Roman" w:cs="Times New Roman"/>
        </w:rPr>
        <w:br/>
      </w:r>
      <w:r>
        <w:rPr>
          <w:rFonts w:ascii="Times New Roman" w:hAnsi="Times New Roman" w:cs="Times New Roman"/>
        </w:rPr>
        <w:br/>
        <w:t>The overall dietary trend reflects not only ecological plasticity but also potential ecological displacement of native prey by invasive species, altering the trophic dynamics within the CBC enclosures.</w:t>
      </w:r>
    </w:p>
    <w:p w14:paraId="7BCB3505" w14:textId="77777777" w:rsidR="007059FC" w:rsidRDefault="007059FC">
      <w:pPr>
        <w:pStyle w:val="BodyText"/>
        <w:spacing w:line="360" w:lineRule="auto"/>
        <w:jc w:val="both"/>
        <w:rPr>
          <w:rFonts w:ascii="Times New Roman" w:hAnsi="Times New Roman" w:cs="Times New Roman"/>
        </w:rPr>
      </w:pPr>
    </w:p>
    <w:p w14:paraId="3DBDF1BC"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b/>
          <w:bCs/>
        </w:rPr>
        <w:t>Table 1. Percentage occurrence of prey species in Mugger crocodile diets at CBC (March 2024–March 2025).</w:t>
      </w:r>
    </w:p>
    <w:tbl>
      <w:tblPr>
        <w:tblStyle w:val="Table"/>
        <w:tblW w:w="5000" w:type="pct"/>
        <w:tblInd w:w="0" w:type="dxa"/>
        <w:tblLayout w:type="fixed"/>
        <w:tblLook w:val="04A0" w:firstRow="1" w:lastRow="0" w:firstColumn="1" w:lastColumn="0" w:noHBand="0" w:noVBand="1"/>
      </w:tblPr>
      <w:tblGrid>
        <w:gridCol w:w="3458"/>
        <w:gridCol w:w="1606"/>
        <w:gridCol w:w="3458"/>
      </w:tblGrid>
      <w:tr w:rsidR="007059FC" w14:paraId="511CD7B5" w14:textId="77777777" w:rsidTr="007059FC">
        <w:trPr>
          <w:cnfStyle w:val="100000000000" w:firstRow="1" w:lastRow="0" w:firstColumn="0" w:lastColumn="0" w:oddVBand="0" w:evenVBand="0" w:oddHBand="0" w:evenHBand="0" w:firstRowFirstColumn="0" w:firstRowLastColumn="0" w:lastRowFirstColumn="0" w:lastRowLastColumn="0"/>
          <w:tblHeader/>
        </w:trPr>
        <w:tc>
          <w:tcPr>
            <w:tcW w:w="3458" w:type="dxa"/>
          </w:tcPr>
          <w:p w14:paraId="3AEF88F2"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Prey Species</w:t>
            </w:r>
          </w:p>
        </w:tc>
        <w:tc>
          <w:tcPr>
            <w:tcW w:w="1606" w:type="dxa"/>
          </w:tcPr>
          <w:p w14:paraId="126588FA"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Origin</w:t>
            </w:r>
          </w:p>
        </w:tc>
        <w:tc>
          <w:tcPr>
            <w:tcW w:w="3458" w:type="dxa"/>
          </w:tcPr>
          <w:p w14:paraId="5C44A939"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Percentage Occurrence (%)</w:t>
            </w:r>
          </w:p>
        </w:tc>
      </w:tr>
      <w:tr w:rsidR="007059FC" w14:paraId="6A2B2EBC" w14:textId="77777777" w:rsidTr="007059FC">
        <w:tc>
          <w:tcPr>
            <w:tcW w:w="3458" w:type="dxa"/>
          </w:tcPr>
          <w:p w14:paraId="5A8C1916"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i/>
                <w:iCs/>
              </w:rPr>
              <w:t>Oreochromis niloticus</w:t>
            </w:r>
          </w:p>
        </w:tc>
        <w:tc>
          <w:tcPr>
            <w:tcW w:w="1606" w:type="dxa"/>
          </w:tcPr>
          <w:p w14:paraId="4BAB5521"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Invasive</w:t>
            </w:r>
          </w:p>
        </w:tc>
        <w:tc>
          <w:tcPr>
            <w:tcW w:w="3458" w:type="dxa"/>
          </w:tcPr>
          <w:p w14:paraId="06EDC1A9"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34</w:t>
            </w:r>
          </w:p>
        </w:tc>
      </w:tr>
      <w:tr w:rsidR="007059FC" w14:paraId="3D754D43" w14:textId="77777777" w:rsidTr="007059FC">
        <w:tc>
          <w:tcPr>
            <w:tcW w:w="3458" w:type="dxa"/>
          </w:tcPr>
          <w:p w14:paraId="15ACC0E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i/>
                <w:iCs/>
              </w:rPr>
              <w:t xml:space="preserve">Clarias </w:t>
            </w:r>
            <w:proofErr w:type="spellStart"/>
            <w:r>
              <w:rPr>
                <w:rFonts w:ascii="Times New Roman" w:hAnsi="Times New Roman" w:cs="Times New Roman"/>
                <w:i/>
                <w:iCs/>
              </w:rPr>
              <w:t>gariepinus</w:t>
            </w:r>
            <w:proofErr w:type="spellEnd"/>
          </w:p>
        </w:tc>
        <w:tc>
          <w:tcPr>
            <w:tcW w:w="1606" w:type="dxa"/>
          </w:tcPr>
          <w:p w14:paraId="1F72541D"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Invasive</w:t>
            </w:r>
          </w:p>
        </w:tc>
        <w:tc>
          <w:tcPr>
            <w:tcW w:w="3458" w:type="dxa"/>
          </w:tcPr>
          <w:p w14:paraId="0011945C"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19</w:t>
            </w:r>
          </w:p>
        </w:tc>
      </w:tr>
      <w:tr w:rsidR="007059FC" w14:paraId="45A4EC75" w14:textId="77777777" w:rsidTr="007059FC">
        <w:tc>
          <w:tcPr>
            <w:tcW w:w="3458" w:type="dxa"/>
          </w:tcPr>
          <w:p w14:paraId="5821D3E3" w14:textId="77777777" w:rsidR="007059FC" w:rsidRDefault="00B13C43">
            <w:pPr>
              <w:pStyle w:val="Compact"/>
              <w:spacing w:line="360" w:lineRule="auto"/>
              <w:jc w:val="both"/>
              <w:rPr>
                <w:rFonts w:ascii="Times New Roman" w:hAnsi="Times New Roman" w:cs="Times New Roman"/>
              </w:rPr>
            </w:pPr>
            <w:proofErr w:type="spellStart"/>
            <w:r>
              <w:rPr>
                <w:rFonts w:ascii="Times New Roman" w:hAnsi="Times New Roman" w:cs="Times New Roman"/>
                <w:i/>
                <w:iCs/>
              </w:rPr>
              <w:t>Labeo</w:t>
            </w:r>
            <w:proofErr w:type="spellEnd"/>
            <w:r>
              <w:rPr>
                <w:rFonts w:ascii="Times New Roman" w:hAnsi="Times New Roman" w:cs="Times New Roman"/>
                <w:i/>
                <w:iCs/>
              </w:rPr>
              <w:t xml:space="preserve"> </w:t>
            </w:r>
            <w:proofErr w:type="spellStart"/>
            <w:r>
              <w:rPr>
                <w:rFonts w:ascii="Times New Roman" w:hAnsi="Times New Roman" w:cs="Times New Roman"/>
                <w:i/>
                <w:iCs/>
              </w:rPr>
              <w:t>rohita</w:t>
            </w:r>
            <w:proofErr w:type="spellEnd"/>
          </w:p>
        </w:tc>
        <w:tc>
          <w:tcPr>
            <w:tcW w:w="1606" w:type="dxa"/>
          </w:tcPr>
          <w:p w14:paraId="24CA9D0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Native</w:t>
            </w:r>
          </w:p>
        </w:tc>
        <w:tc>
          <w:tcPr>
            <w:tcW w:w="3458" w:type="dxa"/>
          </w:tcPr>
          <w:p w14:paraId="0BF80A04"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17</w:t>
            </w:r>
          </w:p>
        </w:tc>
      </w:tr>
      <w:tr w:rsidR="007059FC" w14:paraId="22215DE7" w14:textId="77777777" w:rsidTr="007059FC">
        <w:tc>
          <w:tcPr>
            <w:tcW w:w="3458" w:type="dxa"/>
          </w:tcPr>
          <w:p w14:paraId="63101666" w14:textId="77777777" w:rsidR="007059FC" w:rsidRDefault="00B13C43">
            <w:pPr>
              <w:pStyle w:val="Compact"/>
              <w:spacing w:line="360" w:lineRule="auto"/>
              <w:jc w:val="both"/>
              <w:rPr>
                <w:rFonts w:ascii="Times New Roman" w:hAnsi="Times New Roman" w:cs="Times New Roman"/>
              </w:rPr>
            </w:pPr>
            <w:proofErr w:type="spellStart"/>
            <w:r>
              <w:rPr>
                <w:rFonts w:ascii="Times New Roman" w:hAnsi="Times New Roman" w:cs="Times New Roman"/>
                <w:i/>
                <w:iCs/>
              </w:rPr>
              <w:t>Catla</w:t>
            </w:r>
            <w:proofErr w:type="spellEnd"/>
            <w:r>
              <w:rPr>
                <w:rFonts w:ascii="Times New Roman" w:hAnsi="Times New Roman" w:cs="Times New Roman"/>
                <w:i/>
                <w:iCs/>
              </w:rPr>
              <w:t xml:space="preserve"> </w:t>
            </w:r>
            <w:proofErr w:type="spellStart"/>
            <w:r>
              <w:rPr>
                <w:rFonts w:ascii="Times New Roman" w:hAnsi="Times New Roman" w:cs="Times New Roman"/>
                <w:i/>
                <w:iCs/>
              </w:rPr>
              <w:t>catla</w:t>
            </w:r>
            <w:proofErr w:type="spellEnd"/>
          </w:p>
        </w:tc>
        <w:tc>
          <w:tcPr>
            <w:tcW w:w="1606" w:type="dxa"/>
          </w:tcPr>
          <w:p w14:paraId="7B383559"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Native</w:t>
            </w:r>
          </w:p>
        </w:tc>
        <w:tc>
          <w:tcPr>
            <w:tcW w:w="3458" w:type="dxa"/>
          </w:tcPr>
          <w:p w14:paraId="36637F8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12</w:t>
            </w:r>
          </w:p>
        </w:tc>
      </w:tr>
      <w:tr w:rsidR="007059FC" w14:paraId="29C5F004" w14:textId="77777777" w:rsidTr="007059FC">
        <w:tc>
          <w:tcPr>
            <w:tcW w:w="3458" w:type="dxa"/>
          </w:tcPr>
          <w:p w14:paraId="751C2F4C"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Amphibians (native)</w:t>
            </w:r>
          </w:p>
        </w:tc>
        <w:tc>
          <w:tcPr>
            <w:tcW w:w="1606" w:type="dxa"/>
          </w:tcPr>
          <w:p w14:paraId="554F6248"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Native</w:t>
            </w:r>
          </w:p>
        </w:tc>
        <w:tc>
          <w:tcPr>
            <w:tcW w:w="3458" w:type="dxa"/>
          </w:tcPr>
          <w:p w14:paraId="617A3EBE"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9</w:t>
            </w:r>
          </w:p>
        </w:tc>
      </w:tr>
      <w:tr w:rsidR="007059FC" w14:paraId="175F3B39" w14:textId="77777777" w:rsidTr="007059FC">
        <w:tc>
          <w:tcPr>
            <w:tcW w:w="3458" w:type="dxa"/>
          </w:tcPr>
          <w:p w14:paraId="29959FF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Other fishes (mixed spp.)</w:t>
            </w:r>
          </w:p>
        </w:tc>
        <w:tc>
          <w:tcPr>
            <w:tcW w:w="1606" w:type="dxa"/>
          </w:tcPr>
          <w:p w14:paraId="6C27CB9B"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Mixed</w:t>
            </w:r>
          </w:p>
        </w:tc>
        <w:tc>
          <w:tcPr>
            <w:tcW w:w="3458" w:type="dxa"/>
          </w:tcPr>
          <w:p w14:paraId="4DBAEE92"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9</w:t>
            </w:r>
          </w:p>
        </w:tc>
      </w:tr>
    </w:tbl>
    <w:p w14:paraId="3B6FA790" w14:textId="77777777" w:rsidR="007059FC" w:rsidRDefault="00B13C43">
      <w:pPr>
        <w:pStyle w:val="Heading3"/>
        <w:spacing w:line="360" w:lineRule="auto"/>
        <w:jc w:val="both"/>
        <w:rPr>
          <w:rFonts w:ascii="Times New Roman" w:hAnsi="Times New Roman" w:cs="Times New Roman"/>
          <w:b/>
          <w:bCs/>
          <w:color w:val="auto"/>
          <w:sz w:val="24"/>
          <w:szCs w:val="24"/>
        </w:rPr>
      </w:pPr>
      <w:bookmarkStart w:id="19" w:name="feeding-ecology-shifts"/>
      <w:bookmarkEnd w:id="14"/>
      <w:r>
        <w:rPr>
          <w:rFonts w:ascii="Times New Roman" w:hAnsi="Times New Roman" w:cs="Times New Roman"/>
          <w:b/>
          <w:bCs/>
          <w:color w:val="auto"/>
          <w:sz w:val="24"/>
          <w:szCs w:val="24"/>
        </w:rPr>
        <w:lastRenderedPageBreak/>
        <w:t>3.2 Feeding Ecology Shifts</w:t>
      </w:r>
    </w:p>
    <w:p w14:paraId="457C1F72" w14:textId="77777777" w:rsidR="007059FC" w:rsidRDefault="00B13C43">
      <w:pPr>
        <w:spacing w:line="360" w:lineRule="auto"/>
        <w:jc w:val="both"/>
        <w:rPr>
          <w:rFonts w:ascii="Times New Roman" w:hAnsi="Times New Roman" w:cs="Times New Roman"/>
        </w:rPr>
      </w:pPr>
      <w:bookmarkStart w:id="20" w:name="growth-rates"/>
      <w:bookmarkEnd w:id="19"/>
      <w:r>
        <w:rPr>
          <w:rFonts w:ascii="Times New Roman" w:hAnsi="Times New Roman" w:cs="Times New Roman"/>
        </w:rPr>
        <w:t xml:space="preserve">Feeding observations highlighted notable shifts in foraging strategies linked to the presence of invasive prey. Crocodiles exhibited markedly shorter prey capture times when consuming tilapia due to the latter’s dense schooling </w:t>
      </w:r>
      <w:proofErr w:type="spellStart"/>
      <w:r>
        <w:rPr>
          <w:rFonts w:ascii="Times New Roman" w:hAnsi="Times New Roman" w:cs="Times New Roman"/>
        </w:rPr>
        <w:t>behaviour</w:t>
      </w:r>
      <w:proofErr w:type="spellEnd"/>
      <w:r>
        <w:rPr>
          <w:rFonts w:ascii="Times New Roman" w:hAnsi="Times New Roman" w:cs="Times New Roman"/>
        </w:rPr>
        <w:t xml:space="preserve"> and tendency to congregate in shallow littoral zones. This facilitated rapid ambush strikes and minimized chase duration, leading to reduced energy expenditure and increased feeding efficiency.</w:t>
      </w:r>
      <w:r>
        <w:rPr>
          <w:rFonts w:ascii="Times New Roman" w:hAnsi="Times New Roman" w:cs="Times New Roman"/>
        </w:rPr>
        <w:br/>
      </w:r>
      <w:r>
        <w:rPr>
          <w:rFonts w:ascii="Times New Roman" w:hAnsi="Times New Roman" w:cs="Times New Roman"/>
        </w:rPr>
        <w:br/>
        <w:t>Conversely, the handling of African catfish proved more challenging. Catfish possess robust pectoral spines and mucus‑coated bodies that complicated capture and ingestion. Several individuals displayed prolonged handling times, with frequent attempts to reorient prey before successful swallowing. In some cases, catfish inflicted superficial oral abrasions or transient esophageal injuries, as confirmed during subsequent veterinary health checks.</w:t>
      </w:r>
      <w:r>
        <w:rPr>
          <w:rFonts w:ascii="Times New Roman" w:hAnsi="Times New Roman" w:cs="Times New Roman"/>
        </w:rPr>
        <w:br/>
      </w:r>
      <w:r>
        <w:rPr>
          <w:rFonts w:ascii="Times New Roman" w:hAnsi="Times New Roman" w:cs="Times New Roman"/>
        </w:rPr>
        <w:br/>
        <w:t xml:space="preserve">These divergent prey‑specific challenges influenced overall feeding </w:t>
      </w:r>
      <w:proofErr w:type="spellStart"/>
      <w:r>
        <w:rPr>
          <w:rFonts w:ascii="Times New Roman" w:hAnsi="Times New Roman" w:cs="Times New Roman"/>
        </w:rPr>
        <w:t>behaviour</w:t>
      </w:r>
      <w:proofErr w:type="spellEnd"/>
      <w:r>
        <w:rPr>
          <w:rFonts w:ascii="Times New Roman" w:hAnsi="Times New Roman" w:cs="Times New Roman"/>
        </w:rPr>
        <w:t xml:space="preserve">. While tilapia promoted efficient energy intake with minimal mechanical stress, catfish posed a trade‑off: they provided substantial biomass but at the cost of increased handling effort and occasional physical trauma. Such </w:t>
      </w:r>
      <w:proofErr w:type="spellStart"/>
      <w:r>
        <w:rPr>
          <w:rFonts w:ascii="Times New Roman" w:hAnsi="Times New Roman" w:cs="Times New Roman"/>
        </w:rPr>
        <w:t>behavioural</w:t>
      </w:r>
      <w:proofErr w:type="spellEnd"/>
      <w:r>
        <w:rPr>
          <w:rFonts w:ascii="Times New Roman" w:hAnsi="Times New Roman" w:cs="Times New Roman"/>
        </w:rPr>
        <w:t xml:space="preserve"> plasticity underscores the Mugger’s ability to adapt its hunting tactics to exploit varying prey types, yet also hints at potential sub‑lethal fitness consequences in habitats dominated by hard‑to‑handle invasive species.</w:t>
      </w:r>
    </w:p>
    <w:p w14:paraId="45CF33FA" w14:textId="77777777" w:rsidR="007059FC" w:rsidRDefault="00B13C43">
      <w:pPr>
        <w:pStyle w:val="Heading3"/>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3.3 Growth Rates</w:t>
      </w:r>
    </w:p>
    <w:p w14:paraId="2FB1DCA8" w14:textId="27BCAE96" w:rsidR="007059FC" w:rsidRDefault="00B13C43" w:rsidP="001200C0">
      <w:pPr>
        <w:spacing w:line="360" w:lineRule="auto"/>
        <w:jc w:val="both"/>
        <w:rPr>
          <w:rFonts w:ascii="Times New Roman" w:hAnsi="Times New Roman" w:cs="Times New Roman"/>
        </w:rPr>
      </w:pPr>
      <w:r>
        <w:rPr>
          <w:rFonts w:ascii="Times New Roman" w:hAnsi="Times New Roman" w:cs="Times New Roman"/>
        </w:rPr>
        <w:t>Growth assessments revealed significant divergence between diet groups. Juveniles feeding primarily on tilapia‑dominated diets showed accelerated early growth, achieving a mean weight gain of 1.2 kg over the first six months of monitoring. This rapid early growth likely reflects the high caloric density and easy digestibility of tilapia, combined with reduced energy expenditure during prey capture.</w:t>
      </w:r>
      <w:r>
        <w:rPr>
          <w:rFonts w:ascii="Times New Roman" w:hAnsi="Times New Roman" w:cs="Times New Roman"/>
        </w:rPr>
        <w:br/>
      </w:r>
      <w:r>
        <w:rPr>
          <w:rFonts w:ascii="Times New Roman" w:hAnsi="Times New Roman" w:cs="Times New Roman"/>
        </w:rPr>
        <w:br/>
      </w:r>
      <w:commentRangeStart w:id="21"/>
      <w:r>
        <w:rPr>
          <w:rFonts w:ascii="Times New Roman" w:hAnsi="Times New Roman" w:cs="Times New Roman"/>
        </w:rPr>
        <w:t xml:space="preserve">However, growth in the tilapia group plateaued after approximately 12 months, suggesting a potential nutritional limitation associated with prolonged mono‑dominant feeding. In contrast, individuals receiving mixed diets that included native carps and amphibians exhibited slower but steadier growth trajectories across the same period, </w:t>
      </w:r>
      <w:r>
        <w:rPr>
          <w:rFonts w:ascii="Times New Roman" w:hAnsi="Times New Roman" w:cs="Times New Roman"/>
        </w:rPr>
        <w:lastRenderedPageBreak/>
        <w:t>indicating more balanced nutrient assimilation.</w:t>
      </w:r>
      <w:r>
        <w:rPr>
          <w:rFonts w:ascii="Times New Roman" w:hAnsi="Times New Roman" w:cs="Times New Roman"/>
        </w:rPr>
        <w:br/>
      </w:r>
      <w:r>
        <w:rPr>
          <w:rFonts w:ascii="Times New Roman" w:hAnsi="Times New Roman" w:cs="Times New Roman"/>
        </w:rPr>
        <w:br/>
        <w:t>Growth curves plotted for the two diet groups (Fig. 1) highlighted these patterns clearly. The tilapia‑fed group displayed a steeper initial slope followed by a flattening trend, whereas the mixed‑diet group maintained a more gradual, sustained increase in body mass. Statistical comparison of monthly growth increments indicated significant differences (p &lt; 0.05) between the groups during the first half of the study period, but non‑significant differences in the latter months as the growth of tilapia‑fed individuals levelled off.</w:t>
      </w:r>
      <w:commentRangeEnd w:id="21"/>
      <w:r w:rsidR="00ED5CD7">
        <w:rPr>
          <w:rStyle w:val="CommentReference"/>
        </w:rPr>
        <w:commentReference w:id="21"/>
      </w:r>
    </w:p>
    <w:p w14:paraId="556AD559" w14:textId="1B2AB8AF" w:rsidR="007059FC" w:rsidRDefault="001200C0">
      <w:pPr>
        <w:pStyle w:val="BodyText"/>
        <w:spacing w:line="360" w:lineRule="auto"/>
        <w:jc w:val="both"/>
        <w:rPr>
          <w:rFonts w:ascii="Times New Roman" w:hAnsi="Times New Roman" w:cs="Times New Roman"/>
        </w:rPr>
      </w:pPr>
      <w:r>
        <w:rPr>
          <w:rFonts w:ascii="Times New Roman" w:hAnsi="Times New Roman" w:cs="Times New Roman"/>
          <w:noProof/>
        </w:rPr>
        <w:drawing>
          <wp:anchor distT="0" distB="0" distL="0" distR="0" simplePos="0" relativeHeight="251659264" behindDoc="0" locked="0" layoutInCell="1" allowOverlap="1" wp14:anchorId="4D187D94" wp14:editId="3AC41CBC">
            <wp:simplePos x="0" y="0"/>
            <wp:positionH relativeFrom="page">
              <wp:posOffset>1318260</wp:posOffset>
            </wp:positionH>
            <wp:positionV relativeFrom="page">
              <wp:posOffset>3514725</wp:posOffset>
            </wp:positionV>
            <wp:extent cx="5029200" cy="3020060"/>
            <wp:effectExtent l="0" t="0" r="0" b="8890"/>
            <wp:wrapNone/>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11" cstate="print"/>
                    <a:srcRect/>
                    <a:stretch>
                      <a:fillRect/>
                    </a:stretch>
                  </pic:blipFill>
                  <pic:spPr>
                    <a:xfrm>
                      <a:off x="0" y="0"/>
                      <a:ext cx="5029200" cy="3020060"/>
                    </a:xfrm>
                    <a:prstGeom prst="rect">
                      <a:avLst/>
                    </a:prstGeom>
                  </pic:spPr>
                </pic:pic>
              </a:graphicData>
            </a:graphic>
          </wp:anchor>
        </w:drawing>
      </w:r>
    </w:p>
    <w:p w14:paraId="03593F82" w14:textId="558FA34D" w:rsidR="001200C0" w:rsidRDefault="001200C0">
      <w:pPr>
        <w:pStyle w:val="BodyText"/>
        <w:spacing w:line="360" w:lineRule="auto"/>
        <w:jc w:val="both"/>
        <w:rPr>
          <w:rFonts w:ascii="Times New Roman" w:hAnsi="Times New Roman" w:cs="Times New Roman"/>
        </w:rPr>
      </w:pPr>
    </w:p>
    <w:p w14:paraId="43A66807" w14:textId="24FFDDA6" w:rsidR="001200C0" w:rsidRDefault="001200C0">
      <w:pPr>
        <w:pStyle w:val="BodyText"/>
        <w:spacing w:line="360" w:lineRule="auto"/>
        <w:jc w:val="both"/>
        <w:rPr>
          <w:rFonts w:ascii="Times New Roman" w:hAnsi="Times New Roman" w:cs="Times New Roman"/>
        </w:rPr>
      </w:pPr>
    </w:p>
    <w:p w14:paraId="0DD30D43" w14:textId="2E4E00D9" w:rsidR="001200C0" w:rsidRDefault="001200C0">
      <w:pPr>
        <w:pStyle w:val="BodyText"/>
        <w:spacing w:line="360" w:lineRule="auto"/>
        <w:jc w:val="both"/>
        <w:rPr>
          <w:rFonts w:ascii="Times New Roman" w:hAnsi="Times New Roman" w:cs="Times New Roman"/>
        </w:rPr>
      </w:pPr>
    </w:p>
    <w:p w14:paraId="323AF10C" w14:textId="5C3FEB17" w:rsidR="001200C0" w:rsidRDefault="001200C0">
      <w:pPr>
        <w:pStyle w:val="BodyText"/>
        <w:spacing w:line="360" w:lineRule="auto"/>
        <w:jc w:val="both"/>
        <w:rPr>
          <w:rFonts w:ascii="Times New Roman" w:hAnsi="Times New Roman" w:cs="Times New Roman"/>
        </w:rPr>
      </w:pPr>
    </w:p>
    <w:p w14:paraId="41B94AAF" w14:textId="77777777" w:rsidR="001200C0" w:rsidRDefault="001200C0">
      <w:pPr>
        <w:pStyle w:val="BodyText"/>
        <w:spacing w:line="360" w:lineRule="auto"/>
        <w:jc w:val="both"/>
        <w:rPr>
          <w:rFonts w:ascii="Times New Roman" w:hAnsi="Times New Roman" w:cs="Times New Roman"/>
        </w:rPr>
      </w:pPr>
    </w:p>
    <w:p w14:paraId="68895573" w14:textId="77777777" w:rsidR="001200C0" w:rsidRDefault="001200C0">
      <w:pPr>
        <w:pStyle w:val="BodyText"/>
        <w:spacing w:line="360" w:lineRule="auto"/>
        <w:jc w:val="both"/>
        <w:rPr>
          <w:rFonts w:ascii="Times New Roman" w:hAnsi="Times New Roman" w:cs="Times New Roman"/>
        </w:rPr>
      </w:pPr>
    </w:p>
    <w:p w14:paraId="63209F73" w14:textId="77777777" w:rsidR="001200C0" w:rsidRDefault="001200C0">
      <w:pPr>
        <w:pStyle w:val="BodyText"/>
        <w:spacing w:line="360" w:lineRule="auto"/>
        <w:jc w:val="both"/>
        <w:rPr>
          <w:rFonts w:ascii="Times New Roman" w:hAnsi="Times New Roman" w:cs="Times New Roman"/>
        </w:rPr>
      </w:pPr>
    </w:p>
    <w:p w14:paraId="7C9F3879" w14:textId="77777777" w:rsidR="001200C0" w:rsidRDefault="001200C0">
      <w:pPr>
        <w:pStyle w:val="BodyText"/>
        <w:spacing w:line="360" w:lineRule="auto"/>
        <w:jc w:val="both"/>
        <w:rPr>
          <w:rFonts w:ascii="Times New Roman" w:hAnsi="Times New Roman" w:cs="Times New Roman"/>
        </w:rPr>
      </w:pPr>
    </w:p>
    <w:p w14:paraId="7E8799A2"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b/>
          <w:bCs/>
        </w:rPr>
        <w:t>Figure 1. Average monthly growth rates (body mass, kg) of juvenile and sub-adult crocodiles under invasive-dominated and mixed diets (n = 30).</w:t>
      </w:r>
    </w:p>
    <w:p w14:paraId="331DE80B" w14:textId="77777777" w:rsidR="007059FC" w:rsidRDefault="00B13C43">
      <w:pPr>
        <w:pStyle w:val="Heading3"/>
        <w:spacing w:line="360" w:lineRule="auto"/>
        <w:jc w:val="both"/>
        <w:rPr>
          <w:rFonts w:ascii="Times New Roman" w:hAnsi="Times New Roman" w:cs="Times New Roman"/>
          <w:b/>
          <w:bCs/>
          <w:color w:val="auto"/>
          <w:sz w:val="24"/>
          <w:szCs w:val="24"/>
        </w:rPr>
      </w:pPr>
      <w:bookmarkStart w:id="22" w:name="health-outcomes"/>
      <w:bookmarkEnd w:id="20"/>
      <w:r>
        <w:rPr>
          <w:rFonts w:ascii="Times New Roman" w:hAnsi="Times New Roman" w:cs="Times New Roman"/>
          <w:b/>
          <w:bCs/>
          <w:color w:val="auto"/>
          <w:sz w:val="24"/>
          <w:szCs w:val="24"/>
        </w:rPr>
        <w:t>3.4 Health Outcomes</w:t>
      </w:r>
    </w:p>
    <w:p w14:paraId="1D5BC225" w14:textId="77777777" w:rsidR="007059FC" w:rsidRDefault="00B13C43">
      <w:pPr>
        <w:spacing w:line="360" w:lineRule="auto"/>
        <w:jc w:val="both"/>
        <w:rPr>
          <w:rFonts w:ascii="Times New Roman" w:hAnsi="Times New Roman" w:cs="Times New Roman"/>
        </w:rPr>
      </w:pPr>
      <w:bookmarkStart w:id="23" w:name="discussion"/>
      <w:bookmarkEnd w:id="11"/>
      <w:bookmarkEnd w:id="22"/>
      <w:r>
        <w:rPr>
          <w:rFonts w:ascii="Times New Roman" w:hAnsi="Times New Roman" w:cs="Times New Roman"/>
        </w:rPr>
        <w:t>Examination of health parameters revealed diet‑associated differences in body condition and overall well‑being. Crocodiles maintained on invasive‑dominated diets, especially those heavily reliant on tilapia, displayed increased subcutaneous fat deposition, often evident as conspicuous ventral bulges. Despite higher fat reserves, these individuals exhibited comparatively reduced muscle tone, particularly along the caudal musculature, which is vital for efficient swimming and prey capture.</w:t>
      </w:r>
      <w:r>
        <w:rPr>
          <w:rFonts w:ascii="Times New Roman" w:hAnsi="Times New Roman" w:cs="Times New Roman"/>
        </w:rPr>
        <w:br/>
      </w:r>
      <w:r>
        <w:rPr>
          <w:rFonts w:ascii="Times New Roman" w:hAnsi="Times New Roman" w:cs="Times New Roman"/>
        </w:rPr>
        <w:br/>
        <w:t xml:space="preserve">Animals that consumed significant proportions of African catfish frequently presented </w:t>
      </w:r>
      <w:r>
        <w:rPr>
          <w:rFonts w:ascii="Times New Roman" w:hAnsi="Times New Roman" w:cs="Times New Roman"/>
        </w:rPr>
        <w:lastRenderedPageBreak/>
        <w:t>with transient gastrointestinal issues, including mild mucosal abrasions and occasional impaction‑like symptoms, presumably linked to the ingestion of the catfish’s rigid spines. These conditions were generally non‑fatal but contributed to lower clinical condition scores relative to their mixed‑diet counterparts.</w:t>
      </w:r>
      <w:r>
        <w:rPr>
          <w:rFonts w:ascii="Times New Roman" w:hAnsi="Times New Roman" w:cs="Times New Roman"/>
        </w:rPr>
        <w:br/>
      </w:r>
      <w:r>
        <w:rPr>
          <w:rFonts w:ascii="Times New Roman" w:hAnsi="Times New Roman" w:cs="Times New Roman"/>
        </w:rPr>
        <w:br/>
        <w:t>Body condition scoring corroborated these findings, with invasive‑fed groups averaging lower scores on a five‑point scale compared to mixed‑diet individuals. Additionally, veterinary inspections occasionally detected localized oral lesions in catfish‑predominant feeders, further underscoring the sub‑lethal health costs of consuming certain invasive prey.</w:t>
      </w:r>
      <w:r>
        <w:rPr>
          <w:rFonts w:ascii="Times New Roman" w:hAnsi="Times New Roman" w:cs="Times New Roman"/>
        </w:rPr>
        <w:br/>
      </w:r>
      <w:r>
        <w:rPr>
          <w:rFonts w:ascii="Times New Roman" w:hAnsi="Times New Roman" w:cs="Times New Roman"/>
        </w:rPr>
        <w:br/>
        <w:t>Collectively, these health outcomes indicate that while invasive‑dominated diets may offer immediate energetic advantages through rapid weight gain, they also carry physiological drawbacks that could affect long‑term fitness, predatory performance, and survival prospects.</w:t>
      </w:r>
    </w:p>
    <w:p w14:paraId="6433B83E" w14:textId="77777777" w:rsidR="007059FC" w:rsidRDefault="00B13C43">
      <w:pPr>
        <w:pStyle w:val="NormalWeb"/>
        <w:spacing w:line="360" w:lineRule="auto"/>
        <w:jc w:val="both"/>
      </w:pPr>
      <w:r>
        <w:rPr>
          <w:b/>
          <w:bCs/>
        </w:rPr>
        <w:t xml:space="preserve">4. </w:t>
      </w:r>
      <w:proofErr w:type="spellStart"/>
      <w:r>
        <w:rPr>
          <w:b/>
          <w:bCs/>
        </w:rPr>
        <w:t>Discussion</w:t>
      </w:r>
      <w:r>
        <w:t>This</w:t>
      </w:r>
      <w:proofErr w:type="spellEnd"/>
      <w:r>
        <w:t xml:space="preserve"> study provides compelling empirical evidence that the proliferation of invasive prey species has significantly reshaped the feeding ecology, growth dynamics, and health outcomes of </w:t>
      </w:r>
      <w:r>
        <w:rPr>
          <w:rStyle w:val="Emphasis"/>
        </w:rPr>
        <w:t>Crocodylus palustris</w:t>
      </w:r>
      <w:r>
        <w:t xml:space="preserve"> at the Crocodile Breeding Centre (CBC). The findings demonstrate that the Mugger crocodile’s inherent opportunistic feeding </w:t>
      </w:r>
      <w:proofErr w:type="spellStart"/>
      <w:r>
        <w:t>behaviour</w:t>
      </w:r>
      <w:proofErr w:type="spellEnd"/>
      <w:r>
        <w:t xml:space="preserve"> has led to a pronounced dietary shift toward non-native fishes—primarily Nile tilapia (</w:t>
      </w:r>
      <w:r>
        <w:rPr>
          <w:rStyle w:val="Emphasis"/>
        </w:rPr>
        <w:t>Oreochromis niloticus</w:t>
      </w:r>
      <w:r>
        <w:t>) and African catfish (</w:t>
      </w:r>
      <w:r>
        <w:rPr>
          <w:rStyle w:val="Emphasis"/>
        </w:rPr>
        <w:t xml:space="preserve">Clarias </w:t>
      </w:r>
      <w:proofErr w:type="spellStart"/>
      <w:r>
        <w:rPr>
          <w:rStyle w:val="Emphasis"/>
        </w:rPr>
        <w:t>gariepinus</w:t>
      </w:r>
      <w:proofErr w:type="spellEnd"/>
      <w:r>
        <w:t>). While this shift underscores the species’ adaptability, it simultaneously raises important ecological and conservation concerns regarding nutritional balance, growth quality, and long-term survival prospects.</w:t>
      </w:r>
    </w:p>
    <w:p w14:paraId="2F300235"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4.1 Ecological Implications of Invasive Prey Dominance</w:t>
      </w:r>
    </w:p>
    <w:p w14:paraId="5FD1835E" w14:textId="77777777" w:rsidR="007059FC" w:rsidRDefault="00B13C43">
      <w:pPr>
        <w:pStyle w:val="NormalWeb"/>
        <w:spacing w:line="360" w:lineRule="auto"/>
        <w:jc w:val="both"/>
      </w:pPr>
      <w:r>
        <w:t xml:space="preserve">The overwhelming presence of tilapia in the crocodile diet—comprising more than one-third of all recorded prey items—can be attributed to the fish’s extraordinary reproductive capacity, schooling </w:t>
      </w:r>
      <w:proofErr w:type="spellStart"/>
      <w:r>
        <w:t>behaviour</w:t>
      </w:r>
      <w:proofErr w:type="spellEnd"/>
      <w:r>
        <w:t xml:space="preserve">, and ability to thrive in disturbed aquatic environments. Such traits enable tilapia populations to reach high densities even in confined semi-natural enclosures, offering crocodiles an abundant and easily accessible food source. This scenario mirrors global patterns where invasive fishes, </w:t>
      </w:r>
      <w:r>
        <w:lastRenderedPageBreak/>
        <w:t>once established, often become staple prey for native predators, as highlighted by García-Berthou (2007) in Mediterranean freshwater systems.</w:t>
      </w:r>
    </w:p>
    <w:p w14:paraId="03A99E5E" w14:textId="77777777" w:rsidR="007059FC" w:rsidRDefault="00B13C43">
      <w:pPr>
        <w:pStyle w:val="NormalWeb"/>
        <w:spacing w:line="360" w:lineRule="auto"/>
        <w:jc w:val="both"/>
      </w:pPr>
      <w:r>
        <w:t xml:space="preserve">From an ecological perspective, the shift toward tilapia consumption may initially appear advantageous because it provides a stable and predictable energy supply for crocodiles, especially juveniles with high metabolic demands. However, this dietary dependence has broader consequences. First, the preferential feeding on tilapia may reduce predation pressure on native fish species such as </w:t>
      </w:r>
      <w:proofErr w:type="spellStart"/>
      <w:r>
        <w:rPr>
          <w:rStyle w:val="Emphasis"/>
        </w:rPr>
        <w:t>Labeo</w:t>
      </w:r>
      <w:proofErr w:type="spellEnd"/>
      <w:r>
        <w:rPr>
          <w:rStyle w:val="Emphasis"/>
        </w:rPr>
        <w:t xml:space="preserve"> </w:t>
      </w:r>
      <w:proofErr w:type="spellStart"/>
      <w:r>
        <w:rPr>
          <w:rStyle w:val="Emphasis"/>
        </w:rPr>
        <w:t>rohita</w:t>
      </w:r>
      <w:proofErr w:type="spellEnd"/>
      <w:r>
        <w:t xml:space="preserve"> and </w:t>
      </w:r>
      <w:proofErr w:type="spellStart"/>
      <w:r>
        <w:rPr>
          <w:rStyle w:val="Emphasis"/>
        </w:rPr>
        <w:t>Catla</w:t>
      </w:r>
      <w:proofErr w:type="spellEnd"/>
      <w:r>
        <w:rPr>
          <w:rStyle w:val="Emphasis"/>
        </w:rPr>
        <w:t xml:space="preserve"> </w:t>
      </w:r>
      <w:proofErr w:type="spellStart"/>
      <w:r>
        <w:rPr>
          <w:rStyle w:val="Emphasis"/>
        </w:rPr>
        <w:t>catla</w:t>
      </w:r>
      <w:proofErr w:type="spellEnd"/>
      <w:r>
        <w:t>, potentially allowing these natives to recover locally but also altering the natural predator–prey balance historically maintained in these habitats. Second, the overwhelming dominance of one or two invasive prey species can diminish dietary diversity, exposing crocodiles to nutritional imbalances that may not be immediately apparent in gross body-mass measurements.</w:t>
      </w:r>
    </w:p>
    <w:p w14:paraId="1D2D413C"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4.2 Nutritional Trade-offs and Health Concerns</w:t>
      </w:r>
    </w:p>
    <w:p w14:paraId="6C2C6067" w14:textId="77777777" w:rsidR="007059FC" w:rsidRDefault="00B13C43">
      <w:pPr>
        <w:pStyle w:val="NormalWeb"/>
        <w:spacing w:line="360" w:lineRule="auto"/>
        <w:jc w:val="both"/>
      </w:pPr>
      <w:r>
        <w:t>Although tilapia is rich in easily digestible protein and supports rapid weight gain, its limited micronutrient diversity raises concerns for long-term health and tissue development. Several studies of piscivorous reptiles and waterbirds have indicated that diets dominated by non-native fish often lack certain essential fatty acids, vitamins, and minerals crucial for optimal muscle formation, immune function, and reproductive health (</w:t>
      </w:r>
      <w:proofErr w:type="spellStart"/>
      <w:r>
        <w:t>Cucherousset</w:t>
      </w:r>
      <w:proofErr w:type="spellEnd"/>
      <w:r>
        <w:t xml:space="preserve"> et al., 2012). Our observation of increased fat deposition but reduced muscle tone in the tilapia-dominated group supports this view, suggesting a skewed energy allocation that </w:t>
      </w:r>
      <w:proofErr w:type="spellStart"/>
      <w:r>
        <w:t>favours</w:t>
      </w:r>
      <w:proofErr w:type="spellEnd"/>
      <w:r>
        <w:t xml:space="preserve"> storage rather than structural growth.</w:t>
      </w:r>
    </w:p>
    <w:p w14:paraId="7D7B45CD" w14:textId="77777777" w:rsidR="007059FC" w:rsidRDefault="00B13C43">
      <w:pPr>
        <w:pStyle w:val="NormalWeb"/>
        <w:spacing w:line="360" w:lineRule="auto"/>
        <w:jc w:val="both"/>
      </w:pPr>
      <w:r>
        <w:t xml:space="preserve">The role of African catfish adds a paradoxical dimension. Catfish possess high caloric value and substantial protein content, potentially offering a rich resource to top predators. Nevertheless, their robust pectoral spines and thick integument introduce mechanical feeding challenges. As documented in this study, crocodiles often required prolonged handling time to subdue and ingest catfish, leading to elevated energy expenditure and occasional ingestion-related injuries, such as superficial oral lesions and transient gastrointestinal abrasions. This duality—high energy yield offset by physical handling costs—highlights the complex ways in which invasive prey can influence predator fitness beyond simple caloric </w:t>
      </w:r>
      <w:commentRangeStart w:id="24"/>
      <w:r>
        <w:t>considerations</w:t>
      </w:r>
      <w:commentRangeEnd w:id="24"/>
      <w:r w:rsidR="00ED5CD7">
        <w:rPr>
          <w:rStyle w:val="CommentReference"/>
          <w:rFonts w:ascii="Aptos" w:eastAsia="Aptos" w:hAnsi="Aptos" w:cs="SimSun"/>
          <w:lang w:eastAsia="en-US"/>
        </w:rPr>
        <w:commentReference w:id="24"/>
      </w:r>
      <w:r>
        <w:t>.</w:t>
      </w:r>
    </w:p>
    <w:p w14:paraId="7D31C95F" w14:textId="77777777" w:rsidR="007059FC" w:rsidRDefault="00B13C43">
      <w:pPr>
        <w:pStyle w:val="NormalWeb"/>
        <w:spacing w:line="360" w:lineRule="auto"/>
        <w:jc w:val="both"/>
      </w:pPr>
      <w:r>
        <w:lastRenderedPageBreak/>
        <w:t xml:space="preserve">Such findings echo the observations of Paolucci et al. (2013), who reported that invasive species can act as both resource subsidies and physiological stressors for native predators. The present results reinforce the need to consider not just prey abundance but also prey morphology, </w:t>
      </w:r>
      <w:proofErr w:type="spellStart"/>
      <w:r>
        <w:t>behaviour</w:t>
      </w:r>
      <w:proofErr w:type="spellEnd"/>
      <w:r>
        <w:t>, and nutritional composition when evaluating the impacts of invasive species on trophic interactions.</w:t>
      </w:r>
    </w:p>
    <w:p w14:paraId="7A07441C"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4.3 Growth Dynamics: Short-term Gains vs. Long-term Costs</w:t>
      </w:r>
    </w:p>
    <w:p w14:paraId="03CCD718" w14:textId="77777777" w:rsidR="007059FC" w:rsidRDefault="00B13C43">
      <w:pPr>
        <w:pStyle w:val="NormalWeb"/>
        <w:spacing w:line="360" w:lineRule="auto"/>
        <w:jc w:val="both"/>
      </w:pPr>
      <w:r>
        <w:t>The growth data further reveal critical trade-offs. Juvenile crocodiles on tilapia-dominated diets exhibited markedly accelerated early growth, achieving mean weight gains exceeding 1.2 kg within six months—an advantage that can be ecologically meaningful by enhancing juvenile survival in the wild, where size often correlates with predation resistance. However, the plateau observed after 12 months suggests that such initial gains are not sustained over longer periods, likely due to the nutritional constraints of a monotonous diet. By contrast, individuals maintained on mixed diets of native carps, amphibians, and invasive fishes showed slower but steadier growth trajectories, reflecting more balanced nutrient assimilation and skeletal–muscular development.</w:t>
      </w:r>
    </w:p>
    <w:p w14:paraId="64645D01" w14:textId="77777777" w:rsidR="007059FC" w:rsidRDefault="00B13C43">
      <w:pPr>
        <w:pStyle w:val="NormalWeb"/>
        <w:spacing w:line="360" w:lineRule="auto"/>
        <w:jc w:val="both"/>
      </w:pPr>
      <w:r>
        <w:t>These findings align with growth models in reptilian physiology, where consistent nutrient quality often outweighs sheer caloric intake for sustaining long-term somatic development. The implications for conservation are profound: while rapid early growth may appear beneficial within captive-breeding contexts, failure to achieve sustained, proportional growth could reduce post-release fitness, affecting survival, foraging competence, and reproductive success once individuals are reintroduced into natural ecosystems.</w:t>
      </w:r>
    </w:p>
    <w:p w14:paraId="7950CC6C"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4.4 Implications for Conservation Breeding and Management</w:t>
      </w:r>
    </w:p>
    <w:p w14:paraId="2BBF3C01" w14:textId="77777777" w:rsidR="007059FC" w:rsidRDefault="00B13C43">
      <w:pPr>
        <w:pStyle w:val="NormalWeb"/>
        <w:spacing w:line="360" w:lineRule="auto"/>
        <w:jc w:val="both"/>
      </w:pPr>
      <w:r>
        <w:t>For conservation facilities like CBC, the dependence on invasive prey as a primary food source presents a managerial dilemma. On the one hand, tilapia and catfish are inexpensive, locally abundant, and easy to procure, offering practical benefits for large-scale feeding operations. On the other hand, as our findings suggest, this convenience may come at the cost of compromised body condition, increased susceptibility to injuries, and potential long-term deficits in adaptability and survival.</w:t>
      </w:r>
    </w:p>
    <w:p w14:paraId="626DB413" w14:textId="77777777" w:rsidR="007059FC" w:rsidRDefault="00B13C43">
      <w:pPr>
        <w:pStyle w:val="NormalWeb"/>
        <w:spacing w:line="360" w:lineRule="auto"/>
        <w:jc w:val="both"/>
      </w:pPr>
      <w:r>
        <w:lastRenderedPageBreak/>
        <w:t xml:space="preserve">Reintroduction </w:t>
      </w:r>
      <w:proofErr w:type="spellStart"/>
      <w:r>
        <w:t>programmes</w:t>
      </w:r>
      <w:proofErr w:type="spellEnd"/>
      <w:r>
        <w:t xml:space="preserve"> depend on producing robust individuals capable of thriving in more complex wild environments where prey capture requires strong musculature, efficient locomotion, and diverse digestive adaptability. If captive crocodiles develop skewed body composition—excess fat but reduced muscle tone—they may be at a disadvantage in natural rivers and wetlands, where they must hunt more agile native prey under variable environmental pressures.</w:t>
      </w:r>
    </w:p>
    <w:p w14:paraId="25A22235" w14:textId="77777777" w:rsidR="007059FC" w:rsidRDefault="00B13C43">
      <w:pPr>
        <w:pStyle w:val="NormalWeb"/>
        <w:spacing w:line="360" w:lineRule="auto"/>
        <w:jc w:val="both"/>
      </w:pPr>
      <w:r>
        <w:t>Therefore, husbandry practices should aim to diversify crocodile diets by incorporating a wider range of native or nutritionally balanced prey items. Periodic supplementation with amphibians, crustaceans, or nutrient-enriched formulated feeds could help mitigate the dietary monotony associated with invasive prey dominance. Additionally, further research into micronutrient profiles of different prey species could guide the formulation of feeding regimes that better mimic natural nutritional spectra.</w:t>
      </w:r>
    </w:p>
    <w:p w14:paraId="580714E8"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4.5 Broader Conservation and Policy Perspectives</w:t>
      </w:r>
    </w:p>
    <w:p w14:paraId="22B9F754" w14:textId="77777777" w:rsidR="007059FC" w:rsidRDefault="00B13C43">
      <w:pPr>
        <w:pStyle w:val="NormalWeb"/>
        <w:spacing w:line="360" w:lineRule="auto"/>
        <w:jc w:val="both"/>
      </w:pPr>
      <w:r>
        <w:t xml:space="preserve">Beyond individual health, the interaction between invasive prey and native predators highlights broader ecological and policy challenges. The spread of invasive fishes such as tilapia and African catfish in South Asian wetlands is often linked to aquaculture escapes and inadequate biosecurity measures. These invasives not only compete with native fish fauna but also reshape predator–prey networks in ways that can affect entire wetland ecosystems. Conservation </w:t>
      </w:r>
      <w:proofErr w:type="spellStart"/>
      <w:r>
        <w:t>centres</w:t>
      </w:r>
      <w:proofErr w:type="spellEnd"/>
      <w:r>
        <w:t xml:space="preserve"> like CBC inadvertently become microcosms of these altered ecosystems, reflecting the urgent need for integrated management strategies that address invasive species control alongside captive-breeding initiatives.</w:t>
      </w:r>
    </w:p>
    <w:p w14:paraId="53520C55" w14:textId="77777777" w:rsidR="007059FC" w:rsidRDefault="00B13C43">
      <w:pPr>
        <w:pStyle w:val="NormalWeb"/>
        <w:spacing w:line="360" w:lineRule="auto"/>
        <w:jc w:val="both"/>
      </w:pPr>
      <w:r>
        <w:t xml:space="preserve">In the context of the Mugger crocodile—a species listed as Vulnerable under the IUCN Red List—maintaining ecological authenticity in captive habitats is crucial. The present study underscores that conservation success cannot be measured solely by survival rates in captivity but must also account for the quality of growth, health, and </w:t>
      </w:r>
      <w:proofErr w:type="spellStart"/>
      <w:r>
        <w:t>behavioural</w:t>
      </w:r>
      <w:proofErr w:type="spellEnd"/>
      <w:r>
        <w:t xml:space="preserve"> competence required for successful reintroduction and long-term population viability.</w:t>
      </w:r>
    </w:p>
    <w:p w14:paraId="0DB00946" w14:textId="407CBA72" w:rsidR="007059FC" w:rsidRDefault="004D15CC">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5 Conclusion </w:t>
      </w:r>
    </w:p>
    <w:p w14:paraId="10CB7431" w14:textId="0C098873" w:rsidR="007059FC" w:rsidRDefault="00B13C43" w:rsidP="004D15CC">
      <w:pPr>
        <w:pStyle w:val="NormalWeb"/>
        <w:spacing w:line="360" w:lineRule="auto"/>
        <w:jc w:val="both"/>
      </w:pPr>
      <w:r>
        <w:lastRenderedPageBreak/>
        <w:t xml:space="preserve">In summary, this research demonstrates that while invasive prey species may provide short-term energetic benefits and operational convenience in captive settings, they introduce a spectrum of hidden costs—nutritional imbalances, mechanical feeding hazards, and altered growth patterns—that may undermine the long-term conservation objectives for </w:t>
      </w:r>
      <w:r>
        <w:rPr>
          <w:rStyle w:val="Emphasis"/>
        </w:rPr>
        <w:t>Crocodylus palustris</w:t>
      </w:r>
      <w:r>
        <w:t xml:space="preserve">. Addressing these challenges requires a holistic approach that balances resource availability with the biological needs of the species, integrates ecological understanding with practical husbandry, and acknowledges the far-reaching consequences of invasive species on predator health and ecosystem </w:t>
      </w:r>
      <w:proofErr w:type="spellStart"/>
      <w:r>
        <w:t>function.</w:t>
      </w:r>
      <w:bookmarkStart w:id="25" w:name="conclusion"/>
      <w:bookmarkEnd w:id="23"/>
      <w:r>
        <w:t>Invasive</w:t>
      </w:r>
      <w:proofErr w:type="spellEnd"/>
      <w:r>
        <w:t xml:space="preserve"> prey species significantly influence the feeding ecology and growth trajectories of Marsh Muggers at CBC, Bohr Saidan. While they provide abundant food resources, their nutritional limitations and associated risks necessitate management interventions. Incorporating native prey or nutritionally balanced supplemental feeding regimes could mitigate these impacts and ensure robust crocodile populations for reintroduction.</w:t>
      </w:r>
    </w:p>
    <w:p w14:paraId="68352AB4" w14:textId="77777777" w:rsidR="007059FC" w:rsidRDefault="00B13C43">
      <w:pPr>
        <w:pStyle w:val="Heading2"/>
        <w:spacing w:line="360" w:lineRule="auto"/>
        <w:jc w:val="both"/>
      </w:pPr>
      <w:bookmarkStart w:id="26" w:name="references"/>
      <w:bookmarkEnd w:id="25"/>
      <w:r>
        <w:rPr>
          <w:rFonts w:ascii="Times New Roman" w:hAnsi="Times New Roman" w:cs="Times New Roman"/>
          <w:b/>
          <w:bCs/>
          <w:color w:val="auto"/>
          <w:sz w:val="24"/>
          <w:szCs w:val="24"/>
        </w:rPr>
        <w:t>References</w:t>
      </w:r>
    </w:p>
    <w:p w14:paraId="5AB4305A" w14:textId="77777777" w:rsidR="007059FC" w:rsidRDefault="00B13C43">
      <w:pPr>
        <w:pStyle w:val="NormalWeb"/>
        <w:numPr>
          <w:ilvl w:val="0"/>
          <w:numId w:val="3"/>
        </w:numPr>
        <w:spacing w:line="360" w:lineRule="auto"/>
        <w:jc w:val="both"/>
      </w:pPr>
      <w:r>
        <w:t>Brien, M. L., Webb, G. J. W., Lang, J. W., &amp; Manolis, S. C. (2013). Morphometric growth in captive-reared saltwater crocodiles (</w:t>
      </w:r>
      <w:r>
        <w:rPr>
          <w:rStyle w:val="Emphasis"/>
        </w:rPr>
        <w:t>Crocodylus porosus</w:t>
      </w:r>
      <w:r>
        <w:t xml:space="preserve">). </w:t>
      </w:r>
      <w:r>
        <w:rPr>
          <w:rStyle w:val="Emphasis"/>
        </w:rPr>
        <w:t>Aquaculture, 400–401</w:t>
      </w:r>
      <w:r>
        <w:t>, 85–91.</w:t>
      </w:r>
    </w:p>
    <w:p w14:paraId="4DAFDB4A" w14:textId="77777777" w:rsidR="007059FC" w:rsidRDefault="00B13C43">
      <w:pPr>
        <w:pStyle w:val="NormalWeb"/>
        <w:numPr>
          <w:ilvl w:val="0"/>
          <w:numId w:val="3"/>
        </w:numPr>
        <w:spacing w:line="360" w:lineRule="auto"/>
        <w:jc w:val="both"/>
      </w:pPr>
      <w:r>
        <w:t xml:space="preserve">Canonico, G. C., Arthington, A., McCrary, J. K., &amp; Thieme, M. L. (2005). The effects of introduced tilapias on native biodiversity. </w:t>
      </w:r>
      <w:r>
        <w:rPr>
          <w:rStyle w:val="Emphasis"/>
        </w:rPr>
        <w:t>Aquatic Conservation: Marine and Freshwater Ecosystems, 15</w:t>
      </w:r>
      <w:r>
        <w:t>(5), 463–483.</w:t>
      </w:r>
    </w:p>
    <w:p w14:paraId="6E7C839E" w14:textId="77777777" w:rsidR="007059FC" w:rsidRDefault="00B13C43">
      <w:pPr>
        <w:pStyle w:val="NormalWeb"/>
        <w:numPr>
          <w:ilvl w:val="0"/>
          <w:numId w:val="3"/>
        </w:numPr>
        <w:spacing w:line="360" w:lineRule="auto"/>
        <w:jc w:val="both"/>
      </w:pPr>
      <w:r>
        <w:t xml:space="preserve">Carlsson, N. O. L., Jeschke, J. M., Holmqvist, N., &amp; Kindberg, J. (2009). Long-term data on invaders: When the fox is away, the mink will play. </w:t>
      </w:r>
      <w:r>
        <w:rPr>
          <w:rStyle w:val="Emphasis"/>
        </w:rPr>
        <w:t>Biological Invasions, 12</w:t>
      </w:r>
      <w:r>
        <w:t>(2), 231–241.</w:t>
      </w:r>
    </w:p>
    <w:p w14:paraId="39D22728" w14:textId="77777777" w:rsidR="007059FC" w:rsidRDefault="00B13C43">
      <w:pPr>
        <w:pStyle w:val="NormalWeb"/>
        <w:numPr>
          <w:ilvl w:val="0"/>
          <w:numId w:val="3"/>
        </w:numPr>
        <w:spacing w:line="360" w:lineRule="auto"/>
        <w:jc w:val="both"/>
      </w:pPr>
      <w:proofErr w:type="spellStart"/>
      <w:r>
        <w:t>Cucherousset</w:t>
      </w:r>
      <w:proofErr w:type="spellEnd"/>
      <w:r>
        <w:t xml:space="preserve">, J., </w:t>
      </w:r>
      <w:proofErr w:type="spellStart"/>
      <w:r>
        <w:t>Aymes</w:t>
      </w:r>
      <w:proofErr w:type="spellEnd"/>
      <w:r>
        <w:t xml:space="preserve">, J. C., </w:t>
      </w:r>
      <w:proofErr w:type="spellStart"/>
      <w:r>
        <w:t>Santoul</w:t>
      </w:r>
      <w:proofErr w:type="spellEnd"/>
      <w:r>
        <w:t xml:space="preserve">, F., &amp; Roussel, J. M. (2012). Diet partitioning in a native/invasive fish pair: The role of ontogeny. </w:t>
      </w:r>
      <w:r>
        <w:rPr>
          <w:rStyle w:val="Emphasis"/>
        </w:rPr>
        <w:t>Ecology of Freshwater Fish, 21</w:t>
      </w:r>
      <w:r>
        <w:t>(4), 450–459.</w:t>
      </w:r>
    </w:p>
    <w:p w14:paraId="4E34EC97" w14:textId="77777777" w:rsidR="007059FC" w:rsidRDefault="00B13C43">
      <w:pPr>
        <w:pStyle w:val="NormalWeb"/>
        <w:numPr>
          <w:ilvl w:val="0"/>
          <w:numId w:val="3"/>
        </w:numPr>
        <w:spacing w:line="360" w:lineRule="auto"/>
        <w:jc w:val="both"/>
      </w:pPr>
      <w:proofErr w:type="spellStart"/>
      <w:r>
        <w:t>Cucherousset</w:t>
      </w:r>
      <w:proofErr w:type="spellEnd"/>
      <w:r>
        <w:t xml:space="preserve">, J., Olden, J. D., &amp; others. (2012). Ecological impacts of non-native freshwater fishes. </w:t>
      </w:r>
      <w:r>
        <w:rPr>
          <w:rStyle w:val="Emphasis"/>
        </w:rPr>
        <w:t>Fisheries, 37</w:t>
      </w:r>
      <w:r>
        <w:t>(9), 495–505.</w:t>
      </w:r>
    </w:p>
    <w:p w14:paraId="5F654C7F" w14:textId="77777777" w:rsidR="007059FC" w:rsidRDefault="00B13C43">
      <w:pPr>
        <w:pStyle w:val="NormalWeb"/>
        <w:numPr>
          <w:ilvl w:val="0"/>
          <w:numId w:val="3"/>
        </w:numPr>
        <w:spacing w:line="360" w:lineRule="auto"/>
        <w:jc w:val="both"/>
      </w:pPr>
      <w:r>
        <w:t xml:space="preserve">Dash, M. C., &amp; Kar, C. S. (1990). Status, conservation and management of crocodiles in Orissa, India. </w:t>
      </w:r>
      <w:r>
        <w:rPr>
          <w:rStyle w:val="Emphasis"/>
        </w:rPr>
        <w:t>Biological Conservation, 52</w:t>
      </w:r>
      <w:r>
        <w:t>(1), 21–35.</w:t>
      </w:r>
    </w:p>
    <w:p w14:paraId="4C3496B4" w14:textId="77777777" w:rsidR="007059FC" w:rsidRDefault="00B13C43">
      <w:pPr>
        <w:pStyle w:val="NormalWeb"/>
        <w:numPr>
          <w:ilvl w:val="0"/>
          <w:numId w:val="3"/>
        </w:numPr>
        <w:spacing w:line="360" w:lineRule="auto"/>
        <w:jc w:val="both"/>
      </w:pPr>
      <w:r>
        <w:lastRenderedPageBreak/>
        <w:t>Elsey, R. M., &amp; Trosclair, P. L. (2016). Effects of diet composition on growth and condition of juvenile alligators (</w:t>
      </w:r>
      <w:r>
        <w:rPr>
          <w:rStyle w:val="Emphasis"/>
        </w:rPr>
        <w:t>Alligator mississippiensis</w:t>
      </w:r>
      <w:r>
        <w:t xml:space="preserve">). </w:t>
      </w:r>
      <w:r>
        <w:rPr>
          <w:rStyle w:val="Emphasis"/>
        </w:rPr>
        <w:t>Southeastern Naturalist, 15</w:t>
      </w:r>
      <w:r>
        <w:t>(1), 12–24.</w:t>
      </w:r>
    </w:p>
    <w:p w14:paraId="188646D1" w14:textId="77777777" w:rsidR="007059FC" w:rsidRDefault="00B13C43">
      <w:pPr>
        <w:pStyle w:val="NormalWeb"/>
        <w:numPr>
          <w:ilvl w:val="0"/>
          <w:numId w:val="3"/>
        </w:numPr>
        <w:spacing w:line="360" w:lineRule="auto"/>
        <w:jc w:val="both"/>
      </w:pPr>
      <w:r>
        <w:t xml:space="preserve">García-Berthou, E. (2007). The characteristics of invasive fishes: What has been learned so far? </w:t>
      </w:r>
      <w:r>
        <w:rPr>
          <w:rStyle w:val="Emphasis"/>
        </w:rPr>
        <w:t>Journal of Fish Biology, 71</w:t>
      </w:r>
      <w:r>
        <w:t>(S1), 33–55.</w:t>
      </w:r>
    </w:p>
    <w:p w14:paraId="72578814" w14:textId="77777777" w:rsidR="007059FC" w:rsidRDefault="00B13C43">
      <w:pPr>
        <w:pStyle w:val="NormalWeb"/>
        <w:numPr>
          <w:ilvl w:val="0"/>
          <w:numId w:val="3"/>
        </w:numPr>
        <w:spacing w:line="360" w:lineRule="auto"/>
        <w:jc w:val="both"/>
      </w:pPr>
      <w:r>
        <w:t xml:space="preserve">Grigg, G. C., &amp; Kirshner, D. (2015). </w:t>
      </w:r>
      <w:r>
        <w:rPr>
          <w:rStyle w:val="Emphasis"/>
        </w:rPr>
        <w:t xml:space="preserve">Biology and evolution of </w:t>
      </w:r>
      <w:proofErr w:type="spellStart"/>
      <w:r>
        <w:rPr>
          <w:rStyle w:val="Emphasis"/>
        </w:rPr>
        <w:t>crocodylians</w:t>
      </w:r>
      <w:proofErr w:type="spellEnd"/>
      <w:r>
        <w:t>. CSIRO Publishing.</w:t>
      </w:r>
    </w:p>
    <w:p w14:paraId="230C6466" w14:textId="77777777" w:rsidR="007059FC" w:rsidRDefault="00B13C43">
      <w:pPr>
        <w:pStyle w:val="NormalWeb"/>
        <w:numPr>
          <w:ilvl w:val="0"/>
          <w:numId w:val="3"/>
        </w:numPr>
        <w:spacing w:line="360" w:lineRule="auto"/>
        <w:jc w:val="both"/>
      </w:pPr>
      <w:r>
        <w:t xml:space="preserve">Hyslop, E. J. (1980). Stomach contents analysis—a review of methods and their application. </w:t>
      </w:r>
      <w:r>
        <w:rPr>
          <w:rStyle w:val="Emphasis"/>
        </w:rPr>
        <w:t>Journal of Fish Biology, 17</w:t>
      </w:r>
      <w:r>
        <w:t>(4), 411–429.</w:t>
      </w:r>
    </w:p>
    <w:p w14:paraId="2D745DB8" w14:textId="77777777" w:rsidR="007059FC" w:rsidRDefault="00B13C43">
      <w:pPr>
        <w:pStyle w:val="NormalWeb"/>
        <w:numPr>
          <w:ilvl w:val="0"/>
          <w:numId w:val="3"/>
        </w:numPr>
        <w:spacing w:line="360" w:lineRule="auto"/>
        <w:jc w:val="both"/>
      </w:pPr>
      <w:r>
        <w:t xml:space="preserve">Jayaram, K. C. (2010). </w:t>
      </w:r>
      <w:r>
        <w:rPr>
          <w:rStyle w:val="Emphasis"/>
        </w:rPr>
        <w:t>The freshwater fishes of the Indian region</w:t>
      </w:r>
      <w:r>
        <w:t>. Narendra Publishing House.</w:t>
      </w:r>
    </w:p>
    <w:p w14:paraId="643C2C51" w14:textId="77777777" w:rsidR="007059FC" w:rsidRDefault="00B13C43">
      <w:pPr>
        <w:pStyle w:val="NormalWeb"/>
        <w:numPr>
          <w:ilvl w:val="0"/>
          <w:numId w:val="3"/>
        </w:numPr>
        <w:spacing w:line="360" w:lineRule="auto"/>
        <w:jc w:val="both"/>
      </w:pPr>
      <w:r>
        <w:t xml:space="preserve">Lowe, S., Browne, M., Boudjelas, S., &amp; De </w:t>
      </w:r>
      <w:proofErr w:type="spellStart"/>
      <w:r>
        <w:t>Poorter</w:t>
      </w:r>
      <w:proofErr w:type="spellEnd"/>
      <w:r>
        <w:t xml:space="preserve">, M. (2000). </w:t>
      </w:r>
      <w:r>
        <w:rPr>
          <w:rStyle w:val="Emphasis"/>
        </w:rPr>
        <w:t>100 of the world’s worst invasive alien species</w:t>
      </w:r>
      <w:r>
        <w:t>. IUCN/SSC Invasive Species Specialist Group.</w:t>
      </w:r>
    </w:p>
    <w:p w14:paraId="737CFC69" w14:textId="77777777" w:rsidR="007059FC" w:rsidRDefault="00B13C43">
      <w:pPr>
        <w:pStyle w:val="NormalWeb"/>
        <w:numPr>
          <w:ilvl w:val="0"/>
          <w:numId w:val="3"/>
        </w:numPr>
        <w:spacing w:line="360" w:lineRule="auto"/>
        <w:jc w:val="both"/>
      </w:pPr>
      <w:r>
        <w:t xml:space="preserve">Paolucci, E. M., MacIsaac, H. J., &amp; Ricciardi, A. (2013). Origin matters: Alien consumers inflict greater damage on prey populations than native consumers. </w:t>
      </w:r>
      <w:r>
        <w:rPr>
          <w:rStyle w:val="Emphasis"/>
        </w:rPr>
        <w:t>Diversity and Distributions, 19</w:t>
      </w:r>
      <w:r>
        <w:t>(8), 988–995.</w:t>
      </w:r>
    </w:p>
    <w:p w14:paraId="1CEC31F2" w14:textId="77777777" w:rsidR="007059FC" w:rsidRDefault="00B13C43">
      <w:pPr>
        <w:pStyle w:val="NormalWeb"/>
        <w:numPr>
          <w:ilvl w:val="0"/>
          <w:numId w:val="3"/>
        </w:numPr>
        <w:spacing w:line="360" w:lineRule="auto"/>
        <w:jc w:val="both"/>
      </w:pPr>
      <w:r>
        <w:t xml:space="preserve">Pandav, B., Choudhury, B. C., &amp; Kar, S. K. (1997). Human interference and its impact on the ecology of crocodiles in Odisha. </w:t>
      </w:r>
      <w:r>
        <w:rPr>
          <w:rStyle w:val="Emphasis"/>
        </w:rPr>
        <w:t>Journal of the Bombay Natural History Society, 94</w:t>
      </w:r>
      <w:r>
        <w:t>, 502–511.</w:t>
      </w:r>
    </w:p>
    <w:p w14:paraId="2C44D6AD" w14:textId="77777777" w:rsidR="007059FC" w:rsidRDefault="00B13C43">
      <w:pPr>
        <w:pStyle w:val="NormalWeb"/>
        <w:numPr>
          <w:ilvl w:val="0"/>
          <w:numId w:val="3"/>
        </w:numPr>
        <w:spacing w:line="360" w:lineRule="auto"/>
        <w:jc w:val="both"/>
      </w:pPr>
      <w:r>
        <w:t xml:space="preserve">Ricciardi, A., &amp; MacIsaac, H. J. (2011). Impacts of biological invasions on freshwater ecosystems. </w:t>
      </w:r>
      <w:r>
        <w:rPr>
          <w:rStyle w:val="Emphasis"/>
        </w:rPr>
        <w:t>Biodiversity and Conservation, 20</w:t>
      </w:r>
      <w:r>
        <w:t>(7), 1417–1431.</w:t>
      </w:r>
    </w:p>
    <w:p w14:paraId="67EC6271" w14:textId="77777777" w:rsidR="007059FC" w:rsidRDefault="00B13C43">
      <w:pPr>
        <w:pStyle w:val="NormalWeb"/>
        <w:numPr>
          <w:ilvl w:val="0"/>
          <w:numId w:val="3"/>
        </w:numPr>
        <w:spacing w:line="360" w:lineRule="auto"/>
        <w:jc w:val="both"/>
      </w:pPr>
      <w:r>
        <w:t xml:space="preserve">Singh, A. K., &amp; Lakra, W. S. (2011). Risk and benefit assessment of alien fish species of the aquaculture and aquarium trade into India. </w:t>
      </w:r>
      <w:r>
        <w:rPr>
          <w:rStyle w:val="Emphasis"/>
        </w:rPr>
        <w:t>Reviews in Aquaculture, 3</w:t>
      </w:r>
      <w:r>
        <w:t>(1), 3–18.</w:t>
      </w:r>
    </w:p>
    <w:p w14:paraId="728980B5" w14:textId="77777777" w:rsidR="007059FC" w:rsidRDefault="00B13C43">
      <w:pPr>
        <w:pStyle w:val="NormalWeb"/>
        <w:numPr>
          <w:ilvl w:val="0"/>
          <w:numId w:val="3"/>
        </w:numPr>
        <w:spacing w:line="360" w:lineRule="auto"/>
        <w:jc w:val="both"/>
      </w:pPr>
      <w:r>
        <w:t xml:space="preserve">Tripathy, B., Kar, S. K., &amp; Choudhury, B. C. (2018). Telemetry studies on habitat use by Mugger crocodiles in Odisha. </w:t>
      </w:r>
      <w:r>
        <w:rPr>
          <w:rStyle w:val="Emphasis"/>
        </w:rPr>
        <w:t>Herpetological Journal, 28</w:t>
      </w:r>
      <w:r>
        <w:t>, 123–131.</w:t>
      </w:r>
    </w:p>
    <w:p w14:paraId="201BA308" w14:textId="77777777" w:rsidR="007059FC" w:rsidRDefault="00B13C43">
      <w:pPr>
        <w:pStyle w:val="NormalWeb"/>
        <w:numPr>
          <w:ilvl w:val="0"/>
          <w:numId w:val="3"/>
        </w:numPr>
        <w:spacing w:line="360" w:lineRule="auto"/>
        <w:jc w:val="both"/>
      </w:pPr>
      <w:proofErr w:type="spellStart"/>
      <w:r>
        <w:t>Vitule</w:t>
      </w:r>
      <w:proofErr w:type="spellEnd"/>
      <w:r>
        <w:t xml:space="preserve">, J. R. S., Freire, C. A., &amp; </w:t>
      </w:r>
      <w:proofErr w:type="spellStart"/>
      <w:r>
        <w:t>Simberloff</w:t>
      </w:r>
      <w:proofErr w:type="spellEnd"/>
      <w:r>
        <w:t xml:space="preserve">, D. (2009). Introduction of non-native freshwater fish can cause ecosystem collapse. </w:t>
      </w:r>
      <w:r>
        <w:rPr>
          <w:rStyle w:val="Emphasis"/>
        </w:rPr>
        <w:t>Biological Invasions, 11</w:t>
      </w:r>
      <w:r>
        <w:t>(9), 1895–1908.</w:t>
      </w:r>
    </w:p>
    <w:p w14:paraId="5F4A265F" w14:textId="77777777" w:rsidR="007059FC" w:rsidRDefault="00B13C43">
      <w:pPr>
        <w:pStyle w:val="NormalWeb"/>
        <w:numPr>
          <w:ilvl w:val="0"/>
          <w:numId w:val="3"/>
        </w:numPr>
        <w:spacing w:line="360" w:lineRule="auto"/>
        <w:jc w:val="both"/>
      </w:pPr>
      <w:r>
        <w:t xml:space="preserve">Webb, G. J. W., Manolis, S. C., &amp; Buckworth, R. (1987). </w:t>
      </w:r>
      <w:r>
        <w:rPr>
          <w:rStyle w:val="Emphasis"/>
        </w:rPr>
        <w:t>Crocodylus johnstoni</w:t>
      </w:r>
      <w:r>
        <w:t xml:space="preserve"> and </w:t>
      </w:r>
      <w:r>
        <w:rPr>
          <w:rStyle w:val="Emphasis"/>
        </w:rPr>
        <w:t>C. porosus</w:t>
      </w:r>
      <w:r>
        <w:t xml:space="preserve">: Growth patterns, sexual dimorphism and the influence of climate. </w:t>
      </w:r>
      <w:r>
        <w:rPr>
          <w:rStyle w:val="Emphasis"/>
        </w:rPr>
        <w:t>Australian Wildlife Research, 14</w:t>
      </w:r>
      <w:r>
        <w:t>(4), 423–437.</w:t>
      </w:r>
    </w:p>
    <w:p w14:paraId="3AAEFAC1" w14:textId="77777777" w:rsidR="007059FC" w:rsidRDefault="00B13C43">
      <w:pPr>
        <w:pStyle w:val="NormalWeb"/>
        <w:numPr>
          <w:ilvl w:val="0"/>
          <w:numId w:val="3"/>
        </w:numPr>
        <w:spacing w:line="360" w:lineRule="auto"/>
        <w:jc w:val="both"/>
      </w:pPr>
      <w:r>
        <w:lastRenderedPageBreak/>
        <w:t xml:space="preserve">Whitaker, R., &amp; Andrews, H. V. (2003). </w:t>
      </w:r>
      <w:r>
        <w:rPr>
          <w:rStyle w:val="Emphasis"/>
        </w:rPr>
        <w:t>Crocodiles: Status survey and conservation action plan</w:t>
      </w:r>
      <w:r>
        <w:t>. IUCN-SSC Crocodile Specialist Group.</w:t>
      </w:r>
    </w:p>
    <w:p w14:paraId="65D69BB2" w14:textId="77777777" w:rsidR="007059FC" w:rsidRDefault="00B13C43">
      <w:pPr>
        <w:pStyle w:val="NormalWeb"/>
        <w:numPr>
          <w:ilvl w:val="0"/>
          <w:numId w:val="3"/>
        </w:numPr>
        <w:spacing w:line="360" w:lineRule="auto"/>
        <w:jc w:val="both"/>
      </w:pPr>
      <w:r>
        <w:t xml:space="preserve">Whitfield, A. K., Panfili, J., &amp; Durand, J. D. (2007). Biological invasion of the world by </w:t>
      </w:r>
      <w:r>
        <w:rPr>
          <w:rStyle w:val="Emphasis"/>
        </w:rPr>
        <w:t xml:space="preserve">Oreochromis </w:t>
      </w:r>
      <w:proofErr w:type="spellStart"/>
      <w:r>
        <w:rPr>
          <w:rStyle w:val="Emphasis"/>
        </w:rPr>
        <w:t>mossambicus</w:t>
      </w:r>
      <w:proofErr w:type="spellEnd"/>
      <w:r>
        <w:t xml:space="preserve">: Significance for aquatic ecosystems. </w:t>
      </w:r>
      <w:proofErr w:type="spellStart"/>
      <w:r>
        <w:rPr>
          <w:rStyle w:val="Emphasis"/>
        </w:rPr>
        <w:t>Hydrobiologia</w:t>
      </w:r>
      <w:proofErr w:type="spellEnd"/>
      <w:r>
        <w:rPr>
          <w:rStyle w:val="Emphasis"/>
        </w:rPr>
        <w:t>, 590</w:t>
      </w:r>
      <w:r>
        <w:t>, 215–222.</w:t>
      </w:r>
      <w:bookmarkEnd w:id="0"/>
      <w:bookmarkEnd w:id="26"/>
    </w:p>
    <w:sectPr w:rsidR="007059F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eepak Phashi" w:date="2025-09-30T11:12:00Z" w:initials="DP">
    <w:p w14:paraId="345B3ACF" w14:textId="7D12C354" w:rsidR="00B13B23" w:rsidRDefault="00B13B23">
      <w:pPr>
        <w:pStyle w:val="CommentText"/>
      </w:pPr>
      <w:r>
        <w:rPr>
          <w:rStyle w:val="CommentReference"/>
        </w:rPr>
        <w:annotationRef/>
      </w:r>
      <w:r>
        <w:t>The mentioned keywords are in title avoid such keywords which are mentioned in the title</w:t>
      </w:r>
    </w:p>
  </w:comment>
  <w:comment w:id="4" w:author="Deepak Phashi" w:date="2025-09-30T11:20:00Z" w:initials="DP">
    <w:p w14:paraId="7562AB10" w14:textId="37147A1C" w:rsidR="000B0276" w:rsidRDefault="000B0276">
      <w:pPr>
        <w:pStyle w:val="CommentText"/>
      </w:pPr>
      <w:r>
        <w:rPr>
          <w:rStyle w:val="CommentReference"/>
        </w:rPr>
        <w:annotationRef/>
      </w:r>
      <w:r>
        <w:t xml:space="preserve">The introduction needs to be improvised </w:t>
      </w:r>
    </w:p>
    <w:p w14:paraId="1FEEFF71" w14:textId="77777777" w:rsidR="000B0276" w:rsidRDefault="000B0276">
      <w:pPr>
        <w:pStyle w:val="CommentText"/>
      </w:pPr>
      <w:r>
        <w:t>CBC breeding center detail is missing</w:t>
      </w:r>
    </w:p>
    <w:p w14:paraId="7CE1E64E" w14:textId="2A2F3C76" w:rsidR="000B0276" w:rsidRDefault="000B0276">
      <w:pPr>
        <w:pStyle w:val="CommentText"/>
      </w:pPr>
      <w:r>
        <w:t>addition of few previous works related to topic</w:t>
      </w:r>
    </w:p>
  </w:comment>
  <w:comment w:id="5" w:author="Deepak Phashi" w:date="2025-09-30T11:15:00Z" w:initials="DP">
    <w:p w14:paraId="53DC7AC1" w14:textId="2CFE616C" w:rsidR="00B13B23" w:rsidRDefault="00B13B23">
      <w:pPr>
        <w:pStyle w:val="CommentText"/>
      </w:pPr>
      <w:r>
        <w:rPr>
          <w:rStyle w:val="CommentReference"/>
        </w:rPr>
        <w:annotationRef/>
      </w:r>
      <w:r>
        <w:t>et al should be italic</w:t>
      </w:r>
    </w:p>
  </w:comment>
  <w:comment w:id="10" w:author="Deepak Phashi" w:date="2025-09-30T11:32:00Z" w:initials="DP">
    <w:p w14:paraId="712F54A1" w14:textId="2C7DF63E" w:rsidR="00E632D9" w:rsidRDefault="00E632D9">
      <w:pPr>
        <w:pStyle w:val="CommentText"/>
      </w:pPr>
      <w:r>
        <w:rPr>
          <w:rStyle w:val="CommentReference"/>
        </w:rPr>
        <w:annotationRef/>
      </w:r>
      <w:r>
        <w:t>mention version</w:t>
      </w:r>
    </w:p>
  </w:comment>
  <w:comment w:id="12" w:author="Deepak Phashi" w:date="2025-09-30T11:34:00Z" w:initials="DP">
    <w:p w14:paraId="0B98D6DC" w14:textId="0E9E7A3A" w:rsidR="00E632D9" w:rsidRDefault="00E632D9">
      <w:pPr>
        <w:pStyle w:val="CommentText"/>
      </w:pPr>
      <w:r>
        <w:rPr>
          <w:rStyle w:val="CommentReference"/>
        </w:rPr>
        <w:annotationRef/>
      </w:r>
      <w:r>
        <w:t>not necessary</w:t>
      </w:r>
    </w:p>
  </w:comment>
  <w:comment w:id="13" w:author="Deepak Phashi" w:date="2025-09-30T11:36:00Z" w:initials="DP">
    <w:p w14:paraId="239FEB4F" w14:textId="582F7758" w:rsidR="00275321" w:rsidRDefault="00E632D9">
      <w:pPr>
        <w:pStyle w:val="CommentText"/>
      </w:pPr>
      <w:r>
        <w:rPr>
          <w:rStyle w:val="CommentReference"/>
        </w:rPr>
        <w:annotationRef/>
      </w:r>
      <w:r>
        <w:t xml:space="preserve">repeated </w:t>
      </w:r>
      <w:r w:rsidR="00275321">
        <w:t xml:space="preserve">from data collection </w:t>
      </w:r>
    </w:p>
    <w:p w14:paraId="70C3B4D2" w14:textId="3684E708" w:rsidR="00E632D9" w:rsidRDefault="00275321">
      <w:pPr>
        <w:pStyle w:val="CommentText"/>
      </w:pPr>
      <w:r>
        <w:t>avoid repeated sentences</w:t>
      </w:r>
    </w:p>
  </w:comment>
  <w:comment w:id="15" w:author="Deepak Phashi" w:date="2025-09-30T11:40:00Z" w:initials="DP">
    <w:p w14:paraId="26E08B90" w14:textId="3E8DC3E2" w:rsidR="00275321" w:rsidRDefault="00275321">
      <w:pPr>
        <w:pStyle w:val="CommentText"/>
      </w:pPr>
      <w:r>
        <w:rPr>
          <w:rStyle w:val="CommentReference"/>
        </w:rPr>
        <w:annotationRef/>
      </w:r>
      <w:r>
        <w:t>italic</w:t>
      </w:r>
    </w:p>
  </w:comment>
  <w:comment w:id="16" w:author="Deepak Phashi" w:date="2025-09-30T11:47:00Z" w:initials="DP">
    <w:p w14:paraId="2813BCF4" w14:textId="1BA9C5EF" w:rsidR="001200C0" w:rsidRDefault="001200C0">
      <w:pPr>
        <w:pStyle w:val="CommentText"/>
      </w:pPr>
      <w:r>
        <w:rPr>
          <w:rStyle w:val="CommentReference"/>
        </w:rPr>
        <w:annotationRef/>
      </w:r>
      <w:r>
        <w:t>how was the abundance of native and invasive carps in the center because this reflects the feeding</w:t>
      </w:r>
    </w:p>
  </w:comment>
  <w:comment w:id="17" w:author="Deepak Phashi" w:date="2025-09-30T11:40:00Z" w:initials="DP">
    <w:p w14:paraId="5FA07E74" w14:textId="3C861522" w:rsidR="00275321" w:rsidRDefault="00275321">
      <w:pPr>
        <w:pStyle w:val="CommentText"/>
      </w:pPr>
      <w:r>
        <w:rPr>
          <w:rStyle w:val="CommentReference"/>
        </w:rPr>
        <w:annotationRef/>
      </w:r>
      <w:r>
        <w:t>italic</w:t>
      </w:r>
    </w:p>
  </w:comment>
  <w:comment w:id="18" w:author="Deepak Phashi" w:date="2025-09-30T11:41:00Z" w:initials="DP">
    <w:p w14:paraId="7EE59669" w14:textId="717A4A22" w:rsidR="00275321" w:rsidRDefault="00275321">
      <w:pPr>
        <w:pStyle w:val="CommentText"/>
      </w:pPr>
      <w:r>
        <w:rPr>
          <w:rStyle w:val="CommentReference"/>
        </w:rPr>
        <w:annotationRef/>
      </w:r>
      <w:r>
        <w:t>italic</w:t>
      </w:r>
    </w:p>
  </w:comment>
  <w:comment w:id="21" w:author="Deepak Phashi" w:date="2025-09-30T12:26:00Z" w:initials="DP">
    <w:p w14:paraId="5E2614CD" w14:textId="26927386" w:rsidR="00ED5CD7" w:rsidRDefault="00ED5CD7">
      <w:pPr>
        <w:pStyle w:val="CommentText"/>
      </w:pPr>
      <w:r>
        <w:rPr>
          <w:rStyle w:val="CommentReference"/>
        </w:rPr>
        <w:annotationRef/>
      </w:r>
      <w:r>
        <w:t>what biological or nutritional factors explain the rapid early growth in crocodiles</w:t>
      </w:r>
      <w:r w:rsidR="00476A5D">
        <w:t xml:space="preserve"> with respect to invasive and mixed carps nutrition</w:t>
      </w:r>
    </w:p>
  </w:comment>
  <w:comment w:id="24" w:author="Deepak Phashi" w:date="2025-09-30T12:18:00Z" w:initials="DP">
    <w:p w14:paraId="10C53AC9" w14:textId="66D30C9F" w:rsidR="00ED5CD7" w:rsidRDefault="00ED5CD7">
      <w:pPr>
        <w:pStyle w:val="CommentText"/>
      </w:pPr>
      <w:r>
        <w:rPr>
          <w:rStyle w:val="CommentReference"/>
        </w:rPr>
        <w:annotationRef/>
      </w:r>
      <w:r w:rsidRPr="00ED5CD7">
        <w:t xml:space="preserve">In what ways </w:t>
      </w:r>
      <w:r w:rsidR="005510AD">
        <w:t>the</w:t>
      </w:r>
      <w:r w:rsidRPr="00ED5CD7">
        <w:t xml:space="preserve"> physical defenses of African catfish, such as pectoral spines and thick integument, alter the dynamics of prey consumption for crocodiles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B3ACF" w15:done="0"/>
  <w15:commentEx w15:paraId="7CE1E64E" w15:done="0"/>
  <w15:commentEx w15:paraId="53DC7AC1" w15:done="0"/>
  <w15:commentEx w15:paraId="712F54A1" w15:done="0"/>
  <w15:commentEx w15:paraId="0B98D6DC" w15:done="0"/>
  <w15:commentEx w15:paraId="70C3B4D2" w15:done="0"/>
  <w15:commentEx w15:paraId="26E08B90" w15:done="0"/>
  <w15:commentEx w15:paraId="2813BCF4" w15:done="0"/>
  <w15:commentEx w15:paraId="5FA07E74" w15:done="0"/>
  <w15:commentEx w15:paraId="7EE59669" w15:done="0"/>
  <w15:commentEx w15:paraId="5E2614CD" w15:done="0"/>
  <w15:commentEx w15:paraId="10C53A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62B50" w16cex:dateUtc="2025-09-30T05:42:00Z"/>
  <w16cex:commentExtensible w16cex:durableId="64D4F4C1" w16cex:dateUtc="2025-09-30T05:50:00Z"/>
  <w16cex:commentExtensible w16cex:durableId="3F40FFE2" w16cex:dateUtc="2025-09-30T05:45:00Z"/>
  <w16cex:commentExtensible w16cex:durableId="52726E67" w16cex:dateUtc="2025-09-30T06:02:00Z"/>
  <w16cex:commentExtensible w16cex:durableId="5C7C5D7B" w16cex:dateUtc="2025-09-30T06:04:00Z"/>
  <w16cex:commentExtensible w16cex:durableId="1B8301A7" w16cex:dateUtc="2025-09-30T06:06:00Z"/>
  <w16cex:commentExtensible w16cex:durableId="17CCF887" w16cex:dateUtc="2025-09-30T06:10:00Z"/>
  <w16cex:commentExtensible w16cex:durableId="14F665FB" w16cex:dateUtc="2025-09-30T06:17:00Z"/>
  <w16cex:commentExtensible w16cex:durableId="58126FCE" w16cex:dateUtc="2025-09-30T06:10:00Z"/>
  <w16cex:commentExtensible w16cex:durableId="5874EFB6" w16cex:dateUtc="2025-09-30T06:11:00Z"/>
  <w16cex:commentExtensible w16cex:durableId="64213E6F" w16cex:dateUtc="2025-09-30T06:56:00Z"/>
  <w16cex:commentExtensible w16cex:durableId="5C111A06" w16cex:dateUtc="2025-09-30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B3ACF" w16cid:durableId="09D62B50"/>
  <w16cid:commentId w16cid:paraId="7CE1E64E" w16cid:durableId="64D4F4C1"/>
  <w16cid:commentId w16cid:paraId="53DC7AC1" w16cid:durableId="3F40FFE2"/>
  <w16cid:commentId w16cid:paraId="712F54A1" w16cid:durableId="52726E67"/>
  <w16cid:commentId w16cid:paraId="0B98D6DC" w16cid:durableId="5C7C5D7B"/>
  <w16cid:commentId w16cid:paraId="70C3B4D2" w16cid:durableId="1B8301A7"/>
  <w16cid:commentId w16cid:paraId="26E08B90" w16cid:durableId="17CCF887"/>
  <w16cid:commentId w16cid:paraId="2813BCF4" w16cid:durableId="14F665FB"/>
  <w16cid:commentId w16cid:paraId="5FA07E74" w16cid:durableId="58126FCE"/>
  <w16cid:commentId w16cid:paraId="7EE59669" w16cid:durableId="5874EFB6"/>
  <w16cid:commentId w16cid:paraId="5E2614CD" w16cid:durableId="64213E6F"/>
  <w16cid:commentId w16cid:paraId="10C53AC9" w16cid:durableId="5C111A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6328" w14:textId="77777777" w:rsidR="0020048E" w:rsidRDefault="0020048E">
      <w:pPr>
        <w:spacing w:after="0"/>
      </w:pPr>
      <w:r>
        <w:separator/>
      </w:r>
    </w:p>
  </w:endnote>
  <w:endnote w:type="continuationSeparator" w:id="0">
    <w:p w14:paraId="284FDE03" w14:textId="77777777" w:rsidR="0020048E" w:rsidRDefault="002004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77AB" w14:textId="77777777" w:rsidR="00570C98" w:rsidRDefault="0057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3629" w14:textId="77777777" w:rsidR="00570C98" w:rsidRDefault="00570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804D" w14:textId="77777777" w:rsidR="00570C98" w:rsidRDefault="0057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C492" w14:textId="77777777" w:rsidR="0020048E" w:rsidRDefault="0020048E">
      <w:pPr>
        <w:spacing w:after="0"/>
      </w:pPr>
      <w:r>
        <w:separator/>
      </w:r>
    </w:p>
  </w:footnote>
  <w:footnote w:type="continuationSeparator" w:id="0">
    <w:p w14:paraId="6C408A71" w14:textId="77777777" w:rsidR="0020048E" w:rsidRDefault="002004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2581" w14:textId="661BF06E" w:rsidR="00570C98" w:rsidRDefault="00000000">
    <w:pPr>
      <w:pStyle w:val="Header"/>
    </w:pPr>
    <w:r>
      <w:rPr>
        <w:noProof/>
      </w:rPr>
      <w:pict w14:anchorId="1A345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19860"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F9D6" w14:textId="13471D1B" w:rsidR="00570C98" w:rsidRDefault="00000000">
    <w:pPr>
      <w:pStyle w:val="Header"/>
    </w:pPr>
    <w:r>
      <w:rPr>
        <w:noProof/>
      </w:rPr>
      <w:pict w14:anchorId="12424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19861"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5B2B" w14:textId="6C6C5C6E" w:rsidR="00570C98" w:rsidRDefault="00000000">
    <w:pPr>
      <w:pStyle w:val="Header"/>
    </w:pPr>
    <w:r>
      <w:rPr>
        <w:noProof/>
      </w:rPr>
      <w:pict w14:anchorId="74BC0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19859"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4668C7"/>
    <w:multiLevelType w:val="singleLevel"/>
    <w:tmpl w:val="F74668C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C970B31"/>
    <w:multiLevelType w:val="singleLevel"/>
    <w:tmpl w:val="FC970B31"/>
    <w:lvl w:ilvl="0">
      <w:start w:val="3"/>
      <w:numFmt w:val="decimal"/>
      <w:suff w:val="space"/>
      <w:lvlText w:val="%1."/>
      <w:lvlJc w:val="left"/>
    </w:lvl>
  </w:abstractNum>
  <w:abstractNum w:abstractNumId="2" w15:restartNumberingAfterBreak="0">
    <w:nsid w:val="00000001"/>
    <w:multiLevelType w:val="multilevel"/>
    <w:tmpl w:val="0000000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66163486">
    <w:abstractNumId w:val="2"/>
  </w:num>
  <w:num w:numId="2" w16cid:durableId="1118723392">
    <w:abstractNumId w:val="1"/>
  </w:num>
  <w:num w:numId="3" w16cid:durableId="17221728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pak Phashi">
    <w15:presenceInfo w15:providerId="Windows Live" w15:userId="b770241e7f4899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noPunctuationKerning/>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9FC"/>
    <w:rsid w:val="000B0276"/>
    <w:rsid w:val="000D52F9"/>
    <w:rsid w:val="001200C0"/>
    <w:rsid w:val="0020048E"/>
    <w:rsid w:val="00202F8A"/>
    <w:rsid w:val="00223320"/>
    <w:rsid w:val="00275321"/>
    <w:rsid w:val="00401A02"/>
    <w:rsid w:val="00476A5D"/>
    <w:rsid w:val="004D15CC"/>
    <w:rsid w:val="005510AD"/>
    <w:rsid w:val="00570C98"/>
    <w:rsid w:val="006740F3"/>
    <w:rsid w:val="007059FC"/>
    <w:rsid w:val="0088393A"/>
    <w:rsid w:val="008906EB"/>
    <w:rsid w:val="00952EF4"/>
    <w:rsid w:val="00B13B23"/>
    <w:rsid w:val="00B13C43"/>
    <w:rsid w:val="00B170D6"/>
    <w:rsid w:val="00C91FA7"/>
    <w:rsid w:val="00D11C2B"/>
    <w:rsid w:val="00E632D9"/>
    <w:rsid w:val="00EB0816"/>
    <w:rsid w:val="00ED5CD7"/>
    <w:rsid w:val="00F81793"/>
    <w:rsid w:val="0C5603C3"/>
    <w:rsid w:val="0DE00553"/>
    <w:rsid w:val="16276CCA"/>
    <w:rsid w:val="1BE13EBF"/>
    <w:rsid w:val="232C7E18"/>
    <w:rsid w:val="27577D0F"/>
    <w:rsid w:val="33211969"/>
    <w:rsid w:val="4271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0CDF1"/>
  <w15:docId w15:val="{057B7932-A5A5-4C29-A76B-B6B2ABBC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Body Text" w:qFormat="1"/>
    <w:lsdException w:name="Subtitle" w:uiPriority="11" w:qFormat="1"/>
    <w:lsdException w:name="Date" w:qFormat="1"/>
    <w:lsdException w:name="Block Text" w:uiPriority="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Aptos" w:eastAsia="Aptos" w:hAnsi="Aptos" w:cs="SimSun"/>
      <w:sz w:val="24"/>
      <w:szCs w:val="24"/>
      <w:lang w:val="en-US" w:eastAsia="en-US"/>
    </w:rPr>
  </w:style>
  <w:style w:type="paragraph" w:styleId="Heading1">
    <w:name w:val="heading 1"/>
    <w:basedOn w:val="Normal"/>
    <w:next w:val="BodyText"/>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BodyText"/>
    <w:link w:val="Heading2Char"/>
    <w:uiPriority w:val="9"/>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BodyText"/>
    <w:link w:val="Heading3Char"/>
    <w:uiPriority w:val="9"/>
    <w:qFormat/>
    <w:pPr>
      <w:keepNext/>
      <w:keepLines/>
      <w:spacing w:before="160" w:after="80"/>
      <w:outlineLvl w:val="2"/>
    </w:pPr>
    <w:rPr>
      <w:rFonts w:eastAsia="SimSun"/>
      <w:color w:val="0F4761"/>
      <w:sz w:val="28"/>
      <w:szCs w:val="28"/>
    </w:rPr>
  </w:style>
  <w:style w:type="paragraph" w:styleId="Heading4">
    <w:name w:val="heading 4"/>
    <w:basedOn w:val="Normal"/>
    <w:next w:val="BodyText"/>
    <w:link w:val="Heading4Char"/>
    <w:uiPriority w:val="9"/>
    <w:qFormat/>
    <w:pPr>
      <w:keepNext/>
      <w:keepLines/>
      <w:spacing w:before="80" w:after="40"/>
      <w:outlineLvl w:val="3"/>
    </w:pPr>
    <w:rPr>
      <w:rFonts w:eastAsia="SimSun"/>
      <w:i/>
      <w:iCs/>
      <w:color w:val="0F4761"/>
    </w:rPr>
  </w:style>
  <w:style w:type="paragraph" w:styleId="Heading5">
    <w:name w:val="heading 5"/>
    <w:basedOn w:val="Normal"/>
    <w:next w:val="BodyText"/>
    <w:link w:val="Heading5Char"/>
    <w:uiPriority w:val="9"/>
    <w:qFormat/>
    <w:pPr>
      <w:keepNext/>
      <w:keepLines/>
      <w:spacing w:before="80" w:after="40"/>
      <w:outlineLvl w:val="4"/>
    </w:pPr>
    <w:rPr>
      <w:rFonts w:eastAsia="SimSun"/>
      <w:color w:val="0F4761"/>
    </w:rPr>
  </w:style>
  <w:style w:type="paragraph" w:styleId="Heading6">
    <w:name w:val="heading 6"/>
    <w:basedOn w:val="Normal"/>
    <w:next w:val="BodyText"/>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BodyText"/>
    <w:link w:val="Heading7Char"/>
    <w:uiPriority w:val="9"/>
    <w:qFormat/>
    <w:pPr>
      <w:keepNext/>
      <w:keepLines/>
      <w:spacing w:before="40" w:after="0"/>
      <w:outlineLvl w:val="6"/>
    </w:pPr>
    <w:rPr>
      <w:rFonts w:eastAsia="SimSun"/>
      <w:color w:val="595959"/>
    </w:rPr>
  </w:style>
  <w:style w:type="paragraph" w:styleId="Heading8">
    <w:name w:val="heading 8"/>
    <w:basedOn w:val="Normal"/>
    <w:next w:val="BodyText"/>
    <w:link w:val="Heading8Char"/>
    <w:uiPriority w:val="9"/>
    <w:qFormat/>
    <w:pPr>
      <w:keepNext/>
      <w:keepLines/>
      <w:spacing w:after="0"/>
      <w:outlineLvl w:val="7"/>
    </w:pPr>
    <w:rPr>
      <w:rFonts w:eastAsia="SimSun"/>
      <w:i/>
      <w:iCs/>
      <w:color w:val="272727"/>
    </w:rPr>
  </w:style>
  <w:style w:type="paragraph" w:styleId="Heading9">
    <w:name w:val="heading 9"/>
    <w:basedOn w:val="Normal"/>
    <w:next w:val="BodyText"/>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styleId="BlockText">
    <w:name w:val="Block Text"/>
    <w:basedOn w:val="BodyText"/>
    <w:next w:val="BodyText"/>
    <w:uiPriority w:val="9"/>
    <w:qFormat/>
    <w:pPr>
      <w:spacing w:before="100" w:after="100"/>
      <w:ind w:left="480" w:right="480"/>
    </w:pPr>
  </w:style>
  <w:style w:type="paragraph" w:styleId="Date">
    <w:name w:val="Date"/>
    <w:next w:val="BodyText"/>
    <w:qFormat/>
    <w:pPr>
      <w:keepNext/>
      <w:keepLines/>
      <w:spacing w:after="200"/>
      <w:jc w:val="center"/>
    </w:pPr>
    <w:rPr>
      <w:rFonts w:ascii="Aptos" w:eastAsia="Aptos" w:hAnsi="Aptos" w:cs="SimSun"/>
      <w:sz w:val="24"/>
      <w:szCs w:val="24"/>
      <w:lang w:val="en-US" w:eastAsia="en-US"/>
    </w:rPr>
  </w:style>
  <w:style w:type="character" w:styleId="Emphasis">
    <w:name w:val="Emphasis"/>
    <w:basedOn w:val="DefaultParagraphFont"/>
    <w:qFormat/>
    <w:rPr>
      <w:i/>
      <w:iCs/>
    </w:rPr>
  </w:style>
  <w:style w:type="character" w:styleId="Hyperlink">
    <w:name w:val="Hyperlink"/>
    <w:basedOn w:val="DefaultParagraphFont"/>
    <w:qFormat/>
    <w:rPr>
      <w:color w:val="4F81BD"/>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Subtitle">
    <w:name w:val="Subtitle"/>
    <w:basedOn w:val="Title"/>
    <w:next w:val="BodyText"/>
    <w:link w:val="SubtitleChar"/>
    <w:uiPriority w:val="11"/>
    <w:qFormat/>
    <w:pPr>
      <w:numPr>
        <w:ilvl w:val="1"/>
      </w:numPr>
    </w:pPr>
    <w:rPr>
      <w:spacing w:val="15"/>
      <w:sz w:val="28"/>
      <w:szCs w:val="28"/>
    </w:rPr>
  </w:style>
  <w:style w:type="paragraph" w:styleId="Title">
    <w:name w:val="Title"/>
    <w:basedOn w:val="Normal"/>
    <w:next w:val="BodyText"/>
    <w:link w:val="TitleChar"/>
    <w:uiPriority w:val="10"/>
    <w:qFormat/>
    <w:pPr>
      <w:spacing w:after="80"/>
      <w:contextualSpacing/>
      <w:jc w:val="center"/>
    </w:pPr>
    <w:rPr>
      <w:rFonts w:ascii="Aptos Display" w:eastAsia="SimSun" w:hAnsi="Aptos Display"/>
      <w:spacing w:val="-10"/>
      <w:kern w:val="28"/>
      <w:sz w:val="56"/>
      <w:szCs w:val="56"/>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qFormat/>
    <w:rPr>
      <w:rFonts w:ascii="Aptos Display" w:eastAsia="SimSun" w:hAnsi="Aptos Display"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customStyle="1" w:styleId="Author">
    <w:name w:val="Author"/>
    <w:next w:val="BodyText"/>
    <w:qFormat/>
    <w:pPr>
      <w:keepNext/>
      <w:keepLines/>
      <w:spacing w:after="200"/>
      <w:jc w:val="center"/>
    </w:pPr>
    <w:rPr>
      <w:rFonts w:ascii="Aptos" w:eastAsia="Aptos" w:hAnsi="Aptos" w:cs="SimSun"/>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qFormat/>
    <w:rPr>
      <w:rFonts w:eastAsia="SimSun" w:cs="SimSun"/>
      <w:color w:val="0F4761"/>
      <w:sz w:val="28"/>
      <w:szCs w:val="28"/>
    </w:rPr>
  </w:style>
  <w:style w:type="character" w:customStyle="1" w:styleId="Heading4Char">
    <w:name w:val="Heading 4 Char"/>
    <w:basedOn w:val="DefaultParagraphFont"/>
    <w:link w:val="Heading4"/>
    <w:uiPriority w:val="9"/>
    <w:qFormat/>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paragraph" w:customStyle="1" w:styleId="FootnoteText1">
    <w:name w:val="Footnote Text1"/>
    <w:basedOn w:val="Normal"/>
    <w:uiPriority w:val="9"/>
    <w:qFormat/>
  </w:style>
  <w:style w:type="paragraph" w:customStyle="1" w:styleId="FootnoteBlockText">
    <w:name w:val="Footnote Block Text"/>
    <w:basedOn w:val="FootnoteText1"/>
    <w:next w:val="FootnoteText1"/>
    <w:uiPriority w:val="9"/>
    <w:qFormat/>
    <w:pPr>
      <w:spacing w:before="100" w:after="100"/>
      <w:ind w:left="480" w:right="480"/>
    </w:pPr>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style>
  <w:style w:type="paragraph" w:customStyle="1" w:styleId="Caption1">
    <w:name w:val="Caption1"/>
    <w:basedOn w:val="Normal"/>
    <w:qFormat/>
    <w:pPr>
      <w:spacing w:after="120"/>
    </w:pPr>
    <w:rPr>
      <w:i/>
    </w:rPr>
  </w:style>
  <w:style w:type="paragraph" w:customStyle="1" w:styleId="TableCaption">
    <w:name w:val="Table Caption"/>
    <w:basedOn w:val="Caption1"/>
    <w:qFormat/>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1">
    <w:name w:val="TOC Heading1"/>
    <w:basedOn w:val="Heading1"/>
    <w:next w:val="BodyText"/>
    <w:uiPriority w:val="39"/>
    <w:qFormat/>
    <w:pPr>
      <w:spacing w:before="240" w:line="259" w:lineRule="auto"/>
      <w:outlineLvl w:val="9"/>
    </w:pPr>
    <w:rPr>
      <w:color w:val="365F9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C91FA7"/>
    <w:rPr>
      <w:color w:val="605E5C"/>
      <w:shd w:val="clear" w:color="auto" w:fill="E1DFDD"/>
    </w:rPr>
  </w:style>
  <w:style w:type="paragraph" w:styleId="Header">
    <w:name w:val="header"/>
    <w:basedOn w:val="Normal"/>
    <w:link w:val="HeaderChar"/>
    <w:rsid w:val="00570C98"/>
    <w:pPr>
      <w:tabs>
        <w:tab w:val="center" w:pos="4680"/>
        <w:tab w:val="right" w:pos="9360"/>
      </w:tabs>
      <w:spacing w:after="0"/>
    </w:pPr>
  </w:style>
  <w:style w:type="character" w:customStyle="1" w:styleId="HeaderChar">
    <w:name w:val="Header Char"/>
    <w:basedOn w:val="DefaultParagraphFont"/>
    <w:link w:val="Header"/>
    <w:rsid w:val="00570C98"/>
    <w:rPr>
      <w:rFonts w:ascii="Aptos" w:eastAsia="Aptos" w:hAnsi="Aptos" w:cs="SimSun"/>
      <w:sz w:val="24"/>
      <w:szCs w:val="24"/>
      <w:lang w:val="en-US" w:eastAsia="en-US"/>
    </w:rPr>
  </w:style>
  <w:style w:type="paragraph" w:styleId="Footer">
    <w:name w:val="footer"/>
    <w:basedOn w:val="Normal"/>
    <w:link w:val="FooterChar"/>
    <w:rsid w:val="00570C98"/>
    <w:pPr>
      <w:tabs>
        <w:tab w:val="center" w:pos="4680"/>
        <w:tab w:val="right" w:pos="9360"/>
      </w:tabs>
      <w:spacing w:after="0"/>
    </w:pPr>
  </w:style>
  <w:style w:type="character" w:customStyle="1" w:styleId="FooterChar">
    <w:name w:val="Footer Char"/>
    <w:basedOn w:val="DefaultParagraphFont"/>
    <w:link w:val="Footer"/>
    <w:rsid w:val="00570C98"/>
    <w:rPr>
      <w:rFonts w:ascii="Aptos" w:eastAsia="Aptos" w:hAnsi="Aptos" w:cs="SimSun"/>
      <w:sz w:val="24"/>
      <w:szCs w:val="24"/>
      <w:lang w:val="en-US" w:eastAsia="en-US"/>
    </w:rPr>
  </w:style>
  <w:style w:type="character" w:styleId="CommentReference">
    <w:name w:val="annotation reference"/>
    <w:basedOn w:val="DefaultParagraphFont"/>
    <w:rsid w:val="00B13B23"/>
    <w:rPr>
      <w:sz w:val="16"/>
      <w:szCs w:val="16"/>
    </w:rPr>
  </w:style>
  <w:style w:type="paragraph" w:styleId="CommentText">
    <w:name w:val="annotation text"/>
    <w:basedOn w:val="Normal"/>
    <w:link w:val="CommentTextChar"/>
    <w:rsid w:val="00B13B23"/>
    <w:rPr>
      <w:sz w:val="20"/>
      <w:szCs w:val="20"/>
    </w:rPr>
  </w:style>
  <w:style w:type="character" w:customStyle="1" w:styleId="CommentTextChar">
    <w:name w:val="Comment Text Char"/>
    <w:basedOn w:val="DefaultParagraphFont"/>
    <w:link w:val="CommentText"/>
    <w:rsid w:val="00B13B23"/>
    <w:rPr>
      <w:rFonts w:ascii="Aptos" w:eastAsia="Aptos" w:hAnsi="Aptos" w:cs="SimSun"/>
      <w:lang w:val="en-US" w:eastAsia="en-US"/>
    </w:rPr>
  </w:style>
  <w:style w:type="paragraph" w:styleId="CommentSubject">
    <w:name w:val="annotation subject"/>
    <w:basedOn w:val="CommentText"/>
    <w:next w:val="CommentText"/>
    <w:link w:val="CommentSubjectChar"/>
    <w:rsid w:val="00B13B23"/>
    <w:rPr>
      <w:b/>
      <w:bCs/>
    </w:rPr>
  </w:style>
  <w:style w:type="character" w:customStyle="1" w:styleId="CommentSubjectChar">
    <w:name w:val="Comment Subject Char"/>
    <w:basedOn w:val="CommentTextChar"/>
    <w:link w:val="CommentSubject"/>
    <w:rsid w:val="00B13B23"/>
    <w:rPr>
      <w:rFonts w:ascii="Aptos" w:eastAsia="Aptos" w:hAnsi="Aptos" w:cs="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13</Pages>
  <Words>3697</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Deepak Phashi</cp:lastModifiedBy>
  <cp:revision>34</cp:revision>
  <dcterms:created xsi:type="dcterms:W3CDTF">2025-09-24T17:08:00Z</dcterms:created>
  <dcterms:modified xsi:type="dcterms:W3CDTF">2025-09-30T07:05:00Z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885C8F6012974F6EAB3B6D305607A5C1_13</vt:lpwstr>
  </property>
  <property fmtid="{D5CDD505-2E9C-101B-9397-08002B2CF9AE}" pid="3" name="KSOProductBuildVer">
    <vt:lpwstr>1033-12.2.0.22549</vt:lpwstr>
  </property>
</Properties>
</file>