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D74E" w14:textId="77777777" w:rsidR="00F20CC4" w:rsidRPr="00F17B2D" w:rsidRDefault="00575555" w:rsidP="00F20CC4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B2D">
        <w:rPr>
          <w:rFonts w:ascii="Times New Roman" w:hAnsi="Times New Roman" w:cs="Times New Roman"/>
          <w:b/>
          <w:bCs/>
          <w:sz w:val="28"/>
          <w:szCs w:val="28"/>
        </w:rPr>
        <w:t>Discerning</w:t>
      </w:r>
      <w:r w:rsidR="00F17B2D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B2D">
        <w:rPr>
          <w:rFonts w:ascii="Times New Roman" w:hAnsi="Times New Roman" w:cs="Times New Roman"/>
          <w:b/>
          <w:bCs/>
          <w:sz w:val="28"/>
          <w:szCs w:val="28"/>
        </w:rPr>
        <w:t>pigeonpea</w:t>
      </w:r>
      <w:proofErr w:type="spellEnd"/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20CC4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Cajanus</w:t>
      </w:r>
      <w:proofErr w:type="spellEnd"/>
      <w:r w:rsidR="00F17B2D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20CC4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cajan</w:t>
      </w:r>
      <w:proofErr w:type="spellEnd"/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(L.) </w:t>
      </w:r>
      <w:proofErr w:type="spellStart"/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>Millsp</w:t>
      </w:r>
      <w:proofErr w:type="spellEnd"/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7B2D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>enotypes</w:t>
      </w:r>
      <w:r w:rsidR="00F17B2D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B2D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their </w:t>
      </w:r>
      <w:r w:rsidRPr="00F17B2D">
        <w:rPr>
          <w:rFonts w:ascii="Times New Roman" w:hAnsi="Times New Roman" w:cs="Times New Roman"/>
          <w:b/>
          <w:bCs/>
          <w:sz w:val="28"/>
          <w:szCs w:val="28"/>
        </w:rPr>
        <w:t>resistance</w:t>
      </w:r>
      <w:r w:rsidR="00F17B2D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 xml:space="preserve">against pod borer, </w:t>
      </w:r>
      <w:r w:rsidR="00F20CC4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="00E26ED8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elicoverpa</w:t>
      </w:r>
      <w:r w:rsidR="00F17B2D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20CC4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armigera</w:t>
      </w:r>
      <w:r w:rsidR="00F17B2D" w:rsidRPr="00F17B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20CC4" w:rsidRPr="00F17B2D">
        <w:rPr>
          <w:rFonts w:ascii="Times New Roman" w:hAnsi="Times New Roman" w:cs="Times New Roman"/>
          <w:b/>
          <w:bCs/>
          <w:sz w:val="28"/>
          <w:szCs w:val="28"/>
        </w:rPr>
        <w:t>(Hubner)</w:t>
      </w:r>
    </w:p>
    <w:p w14:paraId="5D4DE391" w14:textId="65D582DC" w:rsidR="00343DF8" w:rsidRPr="00D93607" w:rsidRDefault="00343DF8" w:rsidP="00DE4A0F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A578292" w14:textId="77777777" w:rsidR="009B2858" w:rsidRDefault="00DE4A0F" w:rsidP="009B2858">
      <w:pPr>
        <w:tabs>
          <w:tab w:val="left" w:pos="294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="009B2858">
        <w:rPr>
          <w:rFonts w:ascii="Times New Roman" w:hAnsi="Times New Roman" w:cs="Times New Roman"/>
          <w:b/>
          <w:bCs/>
          <w:sz w:val="28"/>
          <w:szCs w:val="24"/>
        </w:rPr>
        <w:t>ABSTRACT</w:t>
      </w:r>
    </w:p>
    <w:p w14:paraId="5A38CD51" w14:textId="77777777" w:rsidR="009F2C97" w:rsidRPr="00423675" w:rsidRDefault="00776DF0" w:rsidP="009F2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DE" w:rsidRPr="008C4EE9">
        <w:rPr>
          <w:rFonts w:ascii="Times New Roman" w:hAnsi="Times New Roman" w:cs="Times New Roman"/>
          <w:sz w:val="24"/>
          <w:szCs w:val="24"/>
        </w:rPr>
        <w:t>An</w:t>
      </w:r>
      <w:r w:rsidR="00F17B2D">
        <w:rPr>
          <w:rFonts w:ascii="Times New Roman" w:hAnsi="Times New Roman" w:cs="Times New Roman"/>
          <w:sz w:val="24"/>
          <w:szCs w:val="24"/>
        </w:rPr>
        <w:t xml:space="preserve"> </w:t>
      </w:r>
      <w:r w:rsidR="00E916D2" w:rsidRPr="008C4EE9">
        <w:rPr>
          <w:rFonts w:ascii="Times New Roman" w:hAnsi="Times New Roman" w:cs="Times New Roman"/>
          <w:sz w:val="24"/>
          <w:szCs w:val="24"/>
        </w:rPr>
        <w:t>experiment was conducted</w:t>
      </w:r>
      <w:r w:rsidR="00752D91">
        <w:rPr>
          <w:rFonts w:ascii="Times New Roman" w:hAnsi="Times New Roman" w:cs="Times New Roman"/>
          <w:sz w:val="24"/>
          <w:szCs w:val="24"/>
        </w:rPr>
        <w:t xml:space="preserve"> during </w:t>
      </w:r>
      <w:r w:rsidR="00752D91" w:rsidRPr="00752D91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="00752D91">
        <w:rPr>
          <w:rFonts w:ascii="Times New Roman" w:hAnsi="Times New Roman" w:cs="Times New Roman"/>
          <w:sz w:val="24"/>
          <w:szCs w:val="24"/>
        </w:rPr>
        <w:t xml:space="preserve"> 2023-24 and 2024-25</w:t>
      </w:r>
      <w:r w:rsidR="00E916D2" w:rsidRPr="008C4EE9">
        <w:rPr>
          <w:rFonts w:ascii="Times New Roman" w:hAnsi="Times New Roman" w:cs="Times New Roman"/>
          <w:sz w:val="24"/>
          <w:szCs w:val="24"/>
        </w:rPr>
        <w:t xml:space="preserve"> to </w:t>
      </w:r>
      <w:r w:rsidR="00936ADA" w:rsidRPr="008C4EE9">
        <w:rPr>
          <w:rFonts w:ascii="Times New Roman" w:hAnsi="Times New Roman" w:cs="Times New Roman"/>
          <w:sz w:val="24"/>
          <w:szCs w:val="24"/>
        </w:rPr>
        <w:t xml:space="preserve">screen </w:t>
      </w:r>
      <w:r w:rsidR="00752D91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752D91">
        <w:rPr>
          <w:rFonts w:ascii="Times New Roman" w:hAnsi="Times New Roman" w:cs="Times New Roman"/>
          <w:sz w:val="24"/>
          <w:szCs w:val="24"/>
        </w:rPr>
        <w:t>p</w:t>
      </w:r>
      <w:r w:rsidR="00936ADA" w:rsidRPr="008C4EE9">
        <w:rPr>
          <w:rFonts w:ascii="Times New Roman" w:hAnsi="Times New Roman" w:cs="Times New Roman"/>
          <w:sz w:val="24"/>
          <w:szCs w:val="24"/>
        </w:rPr>
        <w:t>igeonpea</w:t>
      </w:r>
      <w:proofErr w:type="spellEnd"/>
      <w:r w:rsidR="00936ADA" w:rsidRPr="008C4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ADA" w:rsidRPr="008C4EE9">
        <w:rPr>
          <w:rFonts w:ascii="Times New Roman" w:hAnsi="Times New Roman" w:cs="Times New Roman"/>
          <w:i/>
          <w:iCs/>
          <w:sz w:val="24"/>
          <w:szCs w:val="24"/>
        </w:rPr>
        <w:t>Cajanus</w:t>
      </w:r>
      <w:proofErr w:type="spellEnd"/>
      <w:r w:rsidR="00F17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6ADA" w:rsidRPr="008C4EE9">
        <w:rPr>
          <w:rFonts w:ascii="Times New Roman" w:hAnsi="Times New Roman" w:cs="Times New Roman"/>
          <w:i/>
          <w:iCs/>
          <w:sz w:val="24"/>
          <w:szCs w:val="24"/>
        </w:rPr>
        <w:t>cajan</w:t>
      </w:r>
      <w:proofErr w:type="spellEnd"/>
      <w:r w:rsidR="00752D91">
        <w:rPr>
          <w:rFonts w:ascii="Times New Roman" w:hAnsi="Times New Roman" w:cs="Times New Roman"/>
          <w:sz w:val="24"/>
          <w:szCs w:val="24"/>
        </w:rPr>
        <w:t xml:space="preserve"> (L.)</w:t>
      </w:r>
      <w:r w:rsidR="00936ADA" w:rsidRPr="008C4EE9">
        <w:rPr>
          <w:rFonts w:ascii="Times New Roman" w:hAnsi="Times New Roman" w:cs="Times New Roman"/>
          <w:sz w:val="24"/>
          <w:szCs w:val="24"/>
        </w:rPr>
        <w:t xml:space="preserve"> genotypes in relation to their </w:t>
      </w:r>
      <w:r w:rsidR="00752D91">
        <w:rPr>
          <w:rFonts w:ascii="Times New Roman" w:hAnsi="Times New Roman" w:cs="Times New Roman"/>
          <w:sz w:val="24"/>
          <w:szCs w:val="24"/>
        </w:rPr>
        <w:t>resistance</w:t>
      </w:r>
      <w:r w:rsidR="00936ADA" w:rsidRPr="008C4EE9">
        <w:rPr>
          <w:rFonts w:ascii="Times New Roman" w:hAnsi="Times New Roman" w:cs="Times New Roman"/>
          <w:sz w:val="24"/>
          <w:szCs w:val="24"/>
        </w:rPr>
        <w:t xml:space="preserve"> against pod borer, </w:t>
      </w:r>
      <w:r w:rsidR="00936ADA" w:rsidRPr="008C4EE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52D91">
        <w:rPr>
          <w:rFonts w:ascii="Times New Roman" w:hAnsi="Times New Roman" w:cs="Times New Roman"/>
          <w:i/>
          <w:iCs/>
          <w:sz w:val="24"/>
          <w:szCs w:val="24"/>
        </w:rPr>
        <w:t>elicoverpa</w:t>
      </w:r>
      <w:r w:rsidR="00F17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6ADA" w:rsidRPr="008C4EE9">
        <w:rPr>
          <w:rFonts w:ascii="Times New Roman" w:hAnsi="Times New Roman" w:cs="Times New Roman"/>
          <w:i/>
          <w:iCs/>
          <w:sz w:val="24"/>
          <w:szCs w:val="24"/>
        </w:rPr>
        <w:t>armigera</w:t>
      </w:r>
      <w:r w:rsidR="00752D91">
        <w:rPr>
          <w:rFonts w:ascii="Times New Roman" w:hAnsi="Times New Roman" w:cs="Times New Roman"/>
          <w:sz w:val="24"/>
          <w:szCs w:val="24"/>
        </w:rPr>
        <w:t xml:space="preserve">. </w:t>
      </w:r>
      <w:r w:rsidR="008D589F">
        <w:rPr>
          <w:rFonts w:ascii="Times New Roman" w:hAnsi="Times New Roman" w:cs="Times New Roman"/>
          <w:sz w:val="24"/>
          <w:szCs w:val="24"/>
        </w:rPr>
        <w:t>P</w:t>
      </w:r>
      <w:r w:rsidR="009F2C97">
        <w:rPr>
          <w:rFonts w:ascii="Times New Roman" w:hAnsi="Times New Roman" w:cs="Times New Roman"/>
          <w:sz w:val="24"/>
          <w:szCs w:val="24"/>
        </w:rPr>
        <w:t xml:space="preserve">od damage ranged from </w:t>
      </w:r>
      <w:r w:rsidR="009F2C97" w:rsidRPr="009F2C97">
        <w:rPr>
          <w:rFonts w:ascii="Times New Roman" w:hAnsi="Times New Roman" w:cs="Times New Roman"/>
          <w:sz w:val="24"/>
          <w:szCs w:val="24"/>
        </w:rPr>
        <w:t>1.25%</w:t>
      </w:r>
      <w:bookmarkStart w:id="0" w:name="_GoBack"/>
      <w:bookmarkEnd w:id="0"/>
      <w:r w:rsidR="009F2C97" w:rsidRPr="009F2C97">
        <w:rPr>
          <w:rFonts w:ascii="Times New Roman" w:hAnsi="Times New Roman" w:cs="Times New Roman"/>
          <w:sz w:val="24"/>
          <w:szCs w:val="24"/>
        </w:rPr>
        <w:t xml:space="preserve"> to 48.00%</w:t>
      </w:r>
      <w:r w:rsidR="008D589F">
        <w:rPr>
          <w:rFonts w:ascii="Times New Roman" w:hAnsi="Times New Roman" w:cs="Times New Roman"/>
          <w:sz w:val="24"/>
          <w:szCs w:val="24"/>
        </w:rPr>
        <w:t xml:space="preserve"> across the </w:t>
      </w:r>
      <w:proofErr w:type="spellStart"/>
      <w:proofErr w:type="gramStart"/>
      <w:r w:rsidR="008D589F">
        <w:rPr>
          <w:rFonts w:ascii="Times New Roman" w:hAnsi="Times New Roman" w:cs="Times New Roman"/>
          <w:sz w:val="24"/>
          <w:szCs w:val="24"/>
        </w:rPr>
        <w:t>genotypes</w:t>
      </w:r>
      <w:r w:rsidR="009F2C97" w:rsidRPr="009F2C97">
        <w:rPr>
          <w:rFonts w:ascii="Times New Roman" w:hAnsi="Times New Roman" w:cs="Times New Roman"/>
          <w:sz w:val="24"/>
          <w:szCs w:val="24"/>
        </w:rPr>
        <w:t>.The</w:t>
      </w:r>
      <w:proofErr w:type="spellEnd"/>
      <w:proofErr w:type="gramEnd"/>
      <w:r w:rsidR="009F2C97" w:rsidRPr="009F2C97">
        <w:rPr>
          <w:rFonts w:ascii="Times New Roman" w:hAnsi="Times New Roman" w:cs="Times New Roman"/>
          <w:sz w:val="24"/>
          <w:szCs w:val="24"/>
        </w:rPr>
        <w:t xml:space="preserve"> minimum pod damage was recorded in the genotype ICP 8146-1(1.25%), while it was highest in ICP 1535-1 (48.00%). Fifteen genotypes </w:t>
      </w:r>
      <w:proofErr w:type="spellStart"/>
      <w:r w:rsidR="009F2C97" w:rsidRPr="009F2C97">
        <w:rPr>
          <w:rFonts w:ascii="Times New Roman" w:hAnsi="Times New Roman" w:cs="Times New Roman"/>
          <w:sz w:val="24"/>
          <w:szCs w:val="24"/>
        </w:rPr>
        <w:t>including</w:t>
      </w:r>
      <w:r w:rsidR="009F2C97" w:rsidRPr="00423675">
        <w:rPr>
          <w:rFonts w:ascii="Times New Roman" w:hAnsi="Times New Roman" w:cs="Times New Roman"/>
          <w:sz w:val="24"/>
          <w:szCs w:val="24"/>
        </w:rPr>
        <w:t>ICP</w:t>
      </w:r>
      <w:proofErr w:type="spellEnd"/>
      <w:r w:rsidR="009F2C97" w:rsidRPr="00423675">
        <w:rPr>
          <w:rFonts w:ascii="Times New Roman" w:hAnsi="Times New Roman" w:cs="Times New Roman"/>
          <w:sz w:val="24"/>
          <w:szCs w:val="24"/>
        </w:rPr>
        <w:t xml:space="preserve"> 7076-1, ICP 13906-1, ICP 10559-1, ICP 7426-7, ICP 9049-1, ICP 9891-1, ICP 11259-1, ICPL 20201-1, ICP 7314-1, ICP 4715-1, ICP 939-1, ICP</w:t>
      </w:r>
      <w:r w:rsidR="009F2C97">
        <w:rPr>
          <w:rFonts w:ascii="Times New Roman" w:hAnsi="Times New Roman" w:cs="Times New Roman"/>
          <w:sz w:val="24"/>
          <w:szCs w:val="24"/>
        </w:rPr>
        <w:t xml:space="preserve"> 4266-1, ICP 16674-1, ICP 655-1 and</w:t>
      </w:r>
      <w:r w:rsidR="009F2C97" w:rsidRPr="00423675">
        <w:rPr>
          <w:rFonts w:ascii="Times New Roman" w:hAnsi="Times New Roman" w:cs="Times New Roman"/>
          <w:sz w:val="24"/>
          <w:szCs w:val="24"/>
        </w:rPr>
        <w:t xml:space="preserve"> ICP 8146-1</w:t>
      </w:r>
      <w:r w:rsidR="009F2C97" w:rsidRPr="009F2C97">
        <w:rPr>
          <w:rFonts w:ascii="Times New Roman" w:hAnsi="Times New Roman" w:cs="Times New Roman"/>
          <w:sz w:val="24"/>
          <w:szCs w:val="24"/>
        </w:rPr>
        <w:t>1were categorized resistant (R) with 3.75 to 4.75% pod damage (PSR scale of ‘2’)</w:t>
      </w:r>
      <w:r w:rsidR="009F2C97">
        <w:rPr>
          <w:rFonts w:ascii="Times New Roman" w:hAnsi="Times New Roman" w:cs="Times New Roman"/>
          <w:sz w:val="24"/>
          <w:szCs w:val="24"/>
        </w:rPr>
        <w:t xml:space="preserve">. </w:t>
      </w:r>
      <w:r w:rsidR="009F2C97" w:rsidRPr="009F2C97">
        <w:rPr>
          <w:rFonts w:ascii="Times New Roman" w:hAnsi="Times New Roman" w:cs="Times New Roman"/>
          <w:sz w:val="24"/>
          <w:szCs w:val="24"/>
        </w:rPr>
        <w:t xml:space="preserve">The minimum grain damage was recorded in the genotype ICP 9045-1(1.80%) whereas, highest damage (%) was recorded in </w:t>
      </w:r>
      <w:r w:rsidR="00E14101">
        <w:rPr>
          <w:rFonts w:ascii="Times New Roman" w:hAnsi="Times New Roman" w:cs="Times New Roman"/>
          <w:sz w:val="24"/>
          <w:szCs w:val="24"/>
        </w:rPr>
        <w:t xml:space="preserve">the </w:t>
      </w:r>
      <w:r w:rsidR="009F2C97" w:rsidRPr="009F2C97">
        <w:rPr>
          <w:rFonts w:ascii="Times New Roman" w:hAnsi="Times New Roman" w:cs="Times New Roman"/>
          <w:sz w:val="24"/>
          <w:szCs w:val="24"/>
        </w:rPr>
        <w:t>genotype ICP 4029-1, (20.00), followed by ICP 13244-1 (18.87) and ICP 5863-1 (18.71).</w:t>
      </w:r>
      <w:r w:rsidR="009F2C97">
        <w:rPr>
          <w:rFonts w:ascii="Times New Roman" w:hAnsi="Times New Roman" w:cs="Times New Roman"/>
          <w:sz w:val="24"/>
          <w:szCs w:val="24"/>
        </w:rPr>
        <w:t xml:space="preserve"> G</w:t>
      </w:r>
      <w:r w:rsidR="009F2C97" w:rsidRPr="009F2C97">
        <w:rPr>
          <w:rFonts w:ascii="Times New Roman" w:hAnsi="Times New Roman" w:cs="Times New Roman"/>
          <w:sz w:val="24"/>
          <w:szCs w:val="24"/>
        </w:rPr>
        <w:t>enotypes ICP 12515-1(5538.42 kg/ha), ICP 6815-1(4139.62 kg/ha), ICP 9049-1(4005.54 kg/ha), ICP 15185-1(3821.49 kg/ha) and ICP16264-1(3268.92 kg/ha) showed superior performance in yield, along with several other promising entries in comparison to standard check: NA-1, Asha, and IPA-203.</w:t>
      </w:r>
    </w:p>
    <w:p w14:paraId="502971B2" w14:textId="77777777" w:rsidR="00C44F61" w:rsidRDefault="009B2858" w:rsidP="009B2858">
      <w:pPr>
        <w:spacing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373D3D">
        <w:rPr>
          <w:rFonts w:ascii="Times New Roman" w:hAnsi="Times New Roman" w:cs="Times New Roman"/>
          <w:b/>
          <w:bCs/>
          <w:sz w:val="24"/>
          <w:szCs w:val="22"/>
        </w:rPr>
        <w:t>Key Word:</w:t>
      </w:r>
      <w:r w:rsidR="00F17B2D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E14101">
        <w:rPr>
          <w:rFonts w:ascii="Times New Roman" w:hAnsi="Times New Roman" w:cs="Times New Roman"/>
          <w:sz w:val="24"/>
          <w:szCs w:val="22"/>
        </w:rPr>
        <w:t xml:space="preserve">Grain damage, Pest Susceptibility Rating, Pod damage, Susceptibility, </w:t>
      </w:r>
      <w:r w:rsidR="00DC67B3">
        <w:rPr>
          <w:rFonts w:ascii="Times New Roman" w:hAnsi="Times New Roman" w:cs="Times New Roman"/>
          <w:sz w:val="24"/>
          <w:szCs w:val="22"/>
        </w:rPr>
        <w:t xml:space="preserve">Variation, </w:t>
      </w:r>
      <w:r w:rsidR="00E14101">
        <w:rPr>
          <w:rFonts w:ascii="Times New Roman" w:hAnsi="Times New Roman" w:cs="Times New Roman"/>
          <w:sz w:val="24"/>
          <w:szCs w:val="22"/>
        </w:rPr>
        <w:t>Yield</w:t>
      </w:r>
    </w:p>
    <w:p w14:paraId="60FB8843" w14:textId="77777777" w:rsidR="009B2858" w:rsidRPr="007D5AF1" w:rsidRDefault="009B2858" w:rsidP="009B28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7D5AF1">
        <w:rPr>
          <w:rFonts w:ascii="Times New Roman" w:hAnsi="Times New Roman" w:cs="Times New Roman"/>
          <w:b/>
          <w:bCs/>
          <w:sz w:val="28"/>
          <w:szCs w:val="24"/>
        </w:rPr>
        <w:t>Introduction</w:t>
      </w:r>
    </w:p>
    <w:p w14:paraId="2CA760EF" w14:textId="77777777" w:rsidR="007D5AF1" w:rsidRPr="00C13C17" w:rsidRDefault="00FB288F" w:rsidP="004A05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B02" w:rsidRPr="00C10B02">
        <w:rPr>
          <w:rFonts w:ascii="Times New Roman" w:hAnsi="Times New Roman" w:cs="Times New Roman"/>
          <w:sz w:val="24"/>
          <w:szCs w:val="24"/>
        </w:rPr>
        <w:t xml:space="preserve">Pulses are vital for human health and nutrition. They are rich sources of plant-based protein, dietary </w:t>
      </w:r>
      <w:proofErr w:type="spellStart"/>
      <w:r w:rsidR="00C10B02" w:rsidRPr="00C10B02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="00C10B02" w:rsidRPr="00C10B02">
        <w:rPr>
          <w:rFonts w:ascii="Times New Roman" w:hAnsi="Times New Roman" w:cs="Times New Roman"/>
          <w:sz w:val="24"/>
          <w:szCs w:val="24"/>
        </w:rPr>
        <w:t>, vitamins, and essential minerals such as iron, zinc, and folate.</w:t>
      </w:r>
      <w:r w:rsidR="00F17B2D">
        <w:rPr>
          <w:rFonts w:ascii="Times New Roman" w:hAnsi="Times New Roman" w:cs="Times New Roman"/>
          <w:sz w:val="24"/>
          <w:szCs w:val="24"/>
        </w:rPr>
        <w:t xml:space="preserve"> </w:t>
      </w:r>
      <w:r w:rsidR="00C10B02" w:rsidRPr="00260FB6">
        <w:rPr>
          <w:rFonts w:ascii="Times New Roman" w:hAnsi="Times New Roman" w:cs="Times New Roman"/>
          <w:sz w:val="24"/>
          <w:szCs w:val="24"/>
        </w:rPr>
        <w:t xml:space="preserve">Beyond nutrition, pulses are affordable and accessible, making them a cornerstone of food security worldwide. </w:t>
      </w:r>
      <w:r w:rsidR="00C10B02">
        <w:rPr>
          <w:rFonts w:ascii="Times New Roman" w:hAnsi="Times New Roman" w:cs="Times New Roman"/>
          <w:sz w:val="24"/>
          <w:szCs w:val="24"/>
        </w:rPr>
        <w:t>These</w:t>
      </w:r>
      <w:r w:rsidR="00C10B02" w:rsidRPr="00C10B02">
        <w:rPr>
          <w:rFonts w:ascii="Times New Roman" w:hAnsi="Times New Roman" w:cs="Times New Roman"/>
          <w:sz w:val="24"/>
          <w:szCs w:val="24"/>
        </w:rPr>
        <w:t xml:space="preserve"> crops are highly important for agricultural sustainability. They fix atmospheric nitrogen (N) through symbiosis with rhizobia, reducing the need for synthetic N fertilizers and thereby lowering both input costs and environmental pollution.</w:t>
      </w:r>
      <w:r w:rsidR="00C10B02">
        <w:rPr>
          <w:rFonts w:ascii="Times New Roman" w:hAnsi="Times New Roman" w:cs="Times New Roman"/>
          <w:sz w:val="24"/>
          <w:szCs w:val="24"/>
        </w:rPr>
        <w:t xml:space="preserve"> Among pulses, </w:t>
      </w:r>
      <w:proofErr w:type="spellStart"/>
      <w:r w:rsidR="00C10B02">
        <w:rPr>
          <w:rFonts w:ascii="Times New Roman" w:hAnsi="Times New Roman" w:cs="Times New Roman"/>
          <w:sz w:val="24"/>
          <w:szCs w:val="24"/>
        </w:rPr>
        <w:t>p</w:t>
      </w:r>
      <w:r w:rsidR="009B2858" w:rsidRPr="00C13C17">
        <w:rPr>
          <w:rFonts w:ascii="Times New Roman" w:hAnsi="Times New Roman" w:cs="Times New Roman"/>
          <w:sz w:val="24"/>
          <w:szCs w:val="24"/>
        </w:rPr>
        <w:t>igeonpea</w:t>
      </w:r>
      <w:proofErr w:type="spellEnd"/>
      <w:r w:rsidR="00C10B02">
        <w:rPr>
          <w:rFonts w:ascii="Times New Roman" w:hAnsi="Times New Roman" w:cs="Times New Roman"/>
          <w:sz w:val="24"/>
          <w:szCs w:val="24"/>
        </w:rPr>
        <w:t>,</w:t>
      </w:r>
      <w:r w:rsidR="00F17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858" w:rsidRPr="00C13C17">
        <w:rPr>
          <w:rStyle w:val="Emphasis"/>
          <w:rFonts w:ascii="Times New Roman" w:hAnsi="Times New Roman" w:cs="Times New Roman"/>
          <w:sz w:val="24"/>
          <w:szCs w:val="24"/>
        </w:rPr>
        <w:t>Cajanus</w:t>
      </w:r>
      <w:proofErr w:type="spellEnd"/>
      <w:r w:rsidR="00F17B2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858" w:rsidRPr="00C13C17">
        <w:rPr>
          <w:rStyle w:val="Emphasis"/>
          <w:rFonts w:ascii="Times New Roman" w:hAnsi="Times New Roman" w:cs="Times New Roman"/>
          <w:sz w:val="24"/>
          <w:szCs w:val="24"/>
        </w:rPr>
        <w:t>cajan</w:t>
      </w:r>
      <w:proofErr w:type="spellEnd"/>
      <w:r w:rsidR="009B2858" w:rsidRPr="00C13C17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="009B2858" w:rsidRPr="00C13C17">
        <w:rPr>
          <w:rFonts w:ascii="Times New Roman" w:hAnsi="Times New Roman" w:cs="Times New Roman"/>
          <w:sz w:val="24"/>
          <w:szCs w:val="24"/>
        </w:rPr>
        <w:t>Millsp</w:t>
      </w:r>
      <w:proofErr w:type="spellEnd"/>
      <w:r w:rsidR="009B2858" w:rsidRPr="00C13C17">
        <w:rPr>
          <w:rFonts w:ascii="Times New Roman" w:hAnsi="Times New Roman" w:cs="Times New Roman"/>
          <w:sz w:val="24"/>
          <w:szCs w:val="24"/>
        </w:rPr>
        <w:t>.</w:t>
      </w:r>
      <w:r w:rsidR="00C10B02">
        <w:rPr>
          <w:rFonts w:ascii="Times New Roman" w:hAnsi="Times New Roman" w:cs="Times New Roman"/>
          <w:sz w:val="24"/>
          <w:szCs w:val="24"/>
        </w:rPr>
        <w:t>,</w:t>
      </w:r>
      <w:r w:rsidR="00F17B2D">
        <w:rPr>
          <w:rFonts w:ascii="Times New Roman" w:hAnsi="Times New Roman" w:cs="Times New Roman"/>
          <w:sz w:val="24"/>
          <w:szCs w:val="24"/>
        </w:rPr>
        <w:t xml:space="preserve"> </w:t>
      </w:r>
      <w:r w:rsidR="009B2858" w:rsidRPr="00C13C17">
        <w:rPr>
          <w:rFonts w:ascii="Times New Roman" w:hAnsi="Times New Roman" w:cs="Times New Roman"/>
          <w:sz w:val="24"/>
          <w:szCs w:val="24"/>
        </w:rPr>
        <w:t xml:space="preserve">is an important legume crop widely grown in tropical and subtropical regions. </w:t>
      </w:r>
      <w:r w:rsidR="008D589F" w:rsidRPr="008D589F">
        <w:rPr>
          <w:rFonts w:ascii="Times New Roman" w:hAnsi="Times New Roman" w:cs="Times New Roman"/>
          <w:sz w:val="24"/>
          <w:szCs w:val="24"/>
        </w:rPr>
        <w:t xml:space="preserve">It is popularly known as </w:t>
      </w:r>
      <w:proofErr w:type="spellStart"/>
      <w:r w:rsidR="008D589F" w:rsidRPr="008D589F">
        <w:rPr>
          <w:rFonts w:ascii="Times New Roman" w:hAnsi="Times New Roman" w:cs="Times New Roman"/>
          <w:i/>
          <w:iCs/>
          <w:sz w:val="24"/>
          <w:szCs w:val="24"/>
        </w:rPr>
        <w:t>Arhar</w:t>
      </w:r>
      <w:proofErr w:type="spellEnd"/>
      <w:r w:rsidR="008D589F" w:rsidRPr="008D589F">
        <w:rPr>
          <w:rFonts w:ascii="Times New Roman" w:hAnsi="Times New Roman" w:cs="Times New Roman"/>
          <w:sz w:val="24"/>
          <w:szCs w:val="24"/>
        </w:rPr>
        <w:t xml:space="preserve"> in Hindi and Red gram in English, </w:t>
      </w:r>
      <w:proofErr w:type="spellStart"/>
      <w:r w:rsidR="008D589F" w:rsidRPr="008D589F">
        <w:rPr>
          <w:rFonts w:ascii="Times New Roman" w:hAnsi="Times New Roman" w:cs="Times New Roman"/>
          <w:i/>
          <w:iCs/>
          <w:sz w:val="24"/>
          <w:szCs w:val="24"/>
        </w:rPr>
        <w:t>Adhaki</w:t>
      </w:r>
      <w:proofErr w:type="spellEnd"/>
      <w:r w:rsidR="008D589F" w:rsidRPr="008D58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D589F" w:rsidRPr="003658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Tuvarika</w:t>
      </w:r>
      <w:proofErr w:type="spellEnd"/>
      <w:r w:rsidR="008D589F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in Sanskrit. </w:t>
      </w:r>
      <w:r w:rsidR="009B2858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In India, it is the second most grown pulse crop next to </w:t>
      </w:r>
      <w:r w:rsidR="00973DB3" w:rsidRPr="003658FC">
        <w:rPr>
          <w:rFonts w:ascii="Times New Roman" w:hAnsi="Times New Roman" w:cs="Times New Roman"/>
          <w:color w:val="000000"/>
          <w:sz w:val="24"/>
          <w:szCs w:val="24"/>
        </w:rPr>
        <w:lastRenderedPageBreak/>
        <w:t>Bengal gram</w:t>
      </w:r>
      <w:r w:rsidR="009B2858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and is generally sown in </w:t>
      </w:r>
      <w:r w:rsidR="009B2858" w:rsidRPr="003658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Kharif</w:t>
      </w:r>
      <w:r w:rsidR="009B2858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season (</w:t>
      </w:r>
      <w:r w:rsidR="009B2858" w:rsidRPr="0036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Nene </w:t>
      </w:r>
      <w:r w:rsidR="009B2858" w:rsidRPr="003658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et al</w:t>
      </w:r>
      <w:r w:rsidR="009B2858" w:rsidRPr="0036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1990</w:t>
      </w:r>
      <w:proofErr w:type="gramStart"/>
      <w:r w:rsidR="009B2858" w:rsidRPr="003658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5638A" w:rsidRPr="003658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>Among</w:t>
      </w:r>
      <w:proofErr w:type="gramEnd"/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the total pulses grown in India, </w:t>
      </w:r>
      <w:proofErr w:type="spellStart"/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>pigeonpea</w:t>
      </w:r>
      <w:proofErr w:type="spellEnd"/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occupies </w:t>
      </w:r>
      <w:r w:rsidR="00C10B02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almost </w:t>
      </w:r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>16% share</w:t>
      </w:r>
      <w:r w:rsidR="00C10B02" w:rsidRPr="00365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each in area as well as in productivity (</w:t>
      </w:r>
      <w:r w:rsidR="009D3CFF" w:rsidRPr="0036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Chandra </w:t>
      </w:r>
      <w:r w:rsidR="009D3CFF" w:rsidRPr="003658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et al</w:t>
      </w:r>
      <w:r w:rsidR="009D3CFF" w:rsidRPr="0036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2025</w:t>
      </w:r>
      <w:r w:rsidR="009D3CFF" w:rsidRPr="003658FC">
        <w:rPr>
          <w:rFonts w:ascii="Times New Roman" w:hAnsi="Times New Roman" w:cs="Times New Roman"/>
          <w:color w:val="000000"/>
          <w:sz w:val="24"/>
          <w:szCs w:val="24"/>
        </w:rPr>
        <w:t>). The crop</w:t>
      </w:r>
      <w:r w:rsidR="00F1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515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is attacked by a diverse suite of insect pests, especially </w:t>
      </w:r>
      <w:r w:rsidR="00C13C17" w:rsidRPr="003658FC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4A0515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flowering, </w:t>
      </w:r>
      <w:r w:rsidR="00C10B02" w:rsidRPr="003658FC">
        <w:rPr>
          <w:rFonts w:ascii="Times New Roman" w:hAnsi="Times New Roman" w:cs="Times New Roman"/>
          <w:color w:val="000000"/>
          <w:sz w:val="24"/>
          <w:szCs w:val="24"/>
        </w:rPr>
        <w:t>pod filling</w:t>
      </w:r>
      <w:r w:rsidR="00F1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515" w:rsidRPr="003658FC">
        <w:rPr>
          <w:rFonts w:ascii="Times New Roman" w:hAnsi="Times New Roman" w:cs="Times New Roman"/>
          <w:color w:val="000000"/>
          <w:sz w:val="24"/>
          <w:szCs w:val="24"/>
        </w:rPr>
        <w:t>and seed stages, which together can severely reduce yield</w:t>
      </w:r>
      <w:r w:rsidR="00C13C17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 up to 39% to 45%</w:t>
      </w:r>
      <w:r w:rsidR="004A0515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3C17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Among these, </w:t>
      </w:r>
      <w:r w:rsidR="00C10B02" w:rsidRPr="003658FC">
        <w:rPr>
          <w:rFonts w:ascii="Times New Roman" w:hAnsi="Times New Roman" w:cs="Times New Roman"/>
          <w:color w:val="000000"/>
          <w:sz w:val="24"/>
          <w:szCs w:val="24"/>
        </w:rPr>
        <w:t xml:space="preserve">the pod borer, </w:t>
      </w:r>
      <w:r w:rsidR="00C13C17" w:rsidRPr="003658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Helicoverpa</w:t>
      </w:r>
      <w:r w:rsidR="00EC18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3C17" w:rsidRPr="00C13C17">
        <w:rPr>
          <w:rFonts w:ascii="Times New Roman" w:hAnsi="Times New Roman" w:cs="Times New Roman"/>
          <w:i/>
          <w:iCs/>
          <w:sz w:val="24"/>
          <w:szCs w:val="24"/>
        </w:rPr>
        <w:t>armigera</w:t>
      </w:r>
      <w:r w:rsidR="00C13C17" w:rsidRPr="00C13C17">
        <w:rPr>
          <w:rFonts w:ascii="Times New Roman" w:hAnsi="Times New Roman" w:cs="Times New Roman"/>
          <w:sz w:val="24"/>
          <w:szCs w:val="24"/>
        </w:rPr>
        <w:t xml:space="preserve"> (Hubner), is one of the most serious pests of </w:t>
      </w:r>
      <w:proofErr w:type="spellStart"/>
      <w:r w:rsidR="00C13C17" w:rsidRPr="00C13C17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C13C17" w:rsidRPr="00C13C17">
        <w:rPr>
          <w:rFonts w:ascii="Times New Roman" w:hAnsi="Times New Roman" w:cs="Times New Roman"/>
          <w:sz w:val="24"/>
          <w:szCs w:val="24"/>
        </w:rPr>
        <w:t>. The larvae attack flowers, buds and pods, causing direct damage and reducing seed set (</w:t>
      </w:r>
      <w:r w:rsidR="00C13C17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Karrem</w:t>
      </w:r>
      <w:r w:rsidR="00EC18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13C17" w:rsidRPr="00BF24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et al</w:t>
      </w:r>
      <w:r w:rsidR="00C13C17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 2025</w:t>
      </w:r>
      <w:r w:rsidR="00C13C17" w:rsidRPr="00C13C17">
        <w:rPr>
          <w:rFonts w:ascii="Times New Roman" w:hAnsi="Times New Roman" w:cs="Times New Roman"/>
          <w:sz w:val="24"/>
          <w:szCs w:val="24"/>
        </w:rPr>
        <w:t xml:space="preserve">). </w:t>
      </w:r>
      <w:r w:rsidR="00FE2914" w:rsidRPr="00C13C17">
        <w:rPr>
          <w:rFonts w:ascii="Times New Roman" w:hAnsi="Times New Roman" w:cs="Times New Roman"/>
          <w:sz w:val="24"/>
          <w:szCs w:val="24"/>
        </w:rPr>
        <w:t xml:space="preserve">A single larva can damage </w:t>
      </w:r>
      <w:r w:rsidR="004360B5">
        <w:rPr>
          <w:rFonts w:ascii="Times New Roman" w:hAnsi="Times New Roman" w:cs="Times New Roman"/>
          <w:sz w:val="24"/>
          <w:szCs w:val="24"/>
        </w:rPr>
        <w:t>multiple pods</w:t>
      </w:r>
      <w:r w:rsidR="00FE2914" w:rsidRPr="00C13C17">
        <w:rPr>
          <w:rFonts w:ascii="Times New Roman" w:hAnsi="Times New Roman" w:cs="Times New Roman"/>
          <w:sz w:val="24"/>
          <w:szCs w:val="24"/>
        </w:rPr>
        <w:t xml:space="preserve"> in its life </w:t>
      </w:r>
      <w:proofErr w:type="gramStart"/>
      <w:r w:rsidR="00FE2914" w:rsidRPr="00C13C17">
        <w:rPr>
          <w:rFonts w:ascii="Times New Roman" w:hAnsi="Times New Roman" w:cs="Times New Roman"/>
          <w:sz w:val="24"/>
          <w:szCs w:val="24"/>
        </w:rPr>
        <w:t>time</w:t>
      </w:r>
      <w:r w:rsidR="004360B5" w:rsidRPr="00D154A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4360B5" w:rsidRPr="00D154A8">
        <w:rPr>
          <w:rFonts w:ascii="Times New Roman" w:hAnsi="Times New Roman" w:cs="Times New Roman"/>
          <w:b/>
          <w:bCs/>
          <w:sz w:val="24"/>
          <w:szCs w:val="24"/>
        </w:rPr>
        <w:t xml:space="preserve">Ganguly </w:t>
      </w:r>
      <w:r w:rsidR="004360B5" w:rsidRPr="00D15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4F25C3" w:rsidRPr="00D154A8">
        <w:rPr>
          <w:rFonts w:ascii="Times New Roman" w:hAnsi="Times New Roman" w:cs="Times New Roman"/>
          <w:b/>
          <w:bCs/>
          <w:sz w:val="24"/>
          <w:szCs w:val="24"/>
        </w:rPr>
        <w:t>., 2022</w:t>
      </w:r>
      <w:r w:rsidR="004360B5" w:rsidRPr="00D154A8">
        <w:rPr>
          <w:rFonts w:ascii="Times New Roman" w:hAnsi="Times New Roman" w:cs="Times New Roman"/>
          <w:b/>
          <w:bCs/>
          <w:sz w:val="24"/>
          <w:szCs w:val="24"/>
        </w:rPr>
        <w:t xml:space="preserve">; Mishra </w:t>
      </w:r>
      <w:r w:rsidR="004360B5" w:rsidRPr="00D15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al.,</w:t>
      </w:r>
      <w:r w:rsidR="004360B5" w:rsidRPr="00D154A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4360B5" w:rsidRPr="00C44F61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="00FE2914" w:rsidRPr="00C13C17">
        <w:rPr>
          <w:rFonts w:ascii="Times New Roman" w:hAnsi="Times New Roman" w:cs="Times New Roman"/>
          <w:sz w:val="24"/>
          <w:szCs w:val="24"/>
        </w:rPr>
        <w:t xml:space="preserve">. </w:t>
      </w:r>
      <w:r w:rsidR="00212068" w:rsidRPr="00C13C17">
        <w:rPr>
          <w:rFonts w:ascii="Times New Roman" w:hAnsi="Times New Roman" w:cs="Times New Roman"/>
          <w:sz w:val="24"/>
          <w:szCs w:val="24"/>
        </w:rPr>
        <w:t>It feeds on tender shoots and young seeds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4360B5">
        <w:rPr>
          <w:rFonts w:ascii="Times New Roman" w:hAnsi="Times New Roman" w:cs="Times New Roman"/>
          <w:sz w:val="24"/>
          <w:szCs w:val="24"/>
        </w:rPr>
        <w:t>making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7D5AF1" w:rsidRPr="00C13C17">
        <w:rPr>
          <w:rFonts w:ascii="Times New Roman" w:hAnsi="Times New Roman" w:cs="Times New Roman"/>
          <w:sz w:val="24"/>
          <w:szCs w:val="24"/>
        </w:rPr>
        <w:t xml:space="preserve">circular </w:t>
      </w:r>
      <w:r w:rsidR="00FE2914" w:rsidRPr="00C13C17">
        <w:rPr>
          <w:rFonts w:ascii="Times New Roman" w:hAnsi="Times New Roman" w:cs="Times New Roman"/>
          <w:sz w:val="24"/>
          <w:szCs w:val="24"/>
        </w:rPr>
        <w:t>holes</w:t>
      </w:r>
      <w:r w:rsidR="004360B5">
        <w:rPr>
          <w:rFonts w:ascii="Times New Roman" w:hAnsi="Times New Roman" w:cs="Times New Roman"/>
          <w:sz w:val="24"/>
          <w:szCs w:val="24"/>
        </w:rPr>
        <w:t xml:space="preserve">. While feeding, half of its body remains outside, a key characteristic feature of the </w:t>
      </w:r>
      <w:proofErr w:type="spellStart"/>
      <w:proofErr w:type="gramStart"/>
      <w:r w:rsidR="004360B5">
        <w:rPr>
          <w:rFonts w:ascii="Times New Roman" w:hAnsi="Times New Roman" w:cs="Times New Roman"/>
          <w:sz w:val="24"/>
          <w:szCs w:val="24"/>
        </w:rPr>
        <w:t>larvae.I</w:t>
      </w:r>
      <w:r w:rsidR="00C13C17" w:rsidRPr="00C13C17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C13C17" w:rsidRPr="00C13C17">
        <w:rPr>
          <w:rFonts w:ascii="Times New Roman" w:hAnsi="Times New Roman" w:cs="Times New Roman"/>
          <w:sz w:val="24"/>
          <w:szCs w:val="24"/>
        </w:rPr>
        <w:t xml:space="preserve"> severe cases it can cause damage </w:t>
      </w:r>
      <w:r w:rsidR="00F82F31" w:rsidRPr="00C13C17">
        <w:rPr>
          <w:rFonts w:ascii="Times New Roman" w:hAnsi="Times New Roman" w:cs="Times New Roman"/>
          <w:sz w:val="24"/>
          <w:szCs w:val="24"/>
        </w:rPr>
        <w:t>up to</w:t>
      </w:r>
      <w:r w:rsidR="00C13C17" w:rsidRPr="00C13C17">
        <w:rPr>
          <w:rFonts w:ascii="Times New Roman" w:hAnsi="Times New Roman" w:cs="Times New Roman"/>
          <w:sz w:val="24"/>
          <w:szCs w:val="24"/>
        </w:rPr>
        <w:t xml:space="preserve"> 40 to </w:t>
      </w:r>
      <w:r w:rsidR="00C44F61" w:rsidRPr="00C13C17">
        <w:rPr>
          <w:rFonts w:ascii="Times New Roman" w:hAnsi="Times New Roman" w:cs="Times New Roman"/>
          <w:sz w:val="24"/>
          <w:szCs w:val="24"/>
        </w:rPr>
        <w:t>45 %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FE2914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(Ojha</w:t>
      </w:r>
      <w:r w:rsidR="00EC18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2914" w:rsidRPr="00BF24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et al</w:t>
      </w:r>
      <w:r w:rsidR="00FE2914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 2017)</w:t>
      </w:r>
      <w:r w:rsidR="00FE2914" w:rsidRPr="00BF24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1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>Relying harshly on chemical insecticides is not desirable from pollination and other ecological view</w:t>
      </w:r>
      <w:r w:rsidR="00EC1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>point (</w:t>
      </w:r>
      <w:r w:rsidR="00995923" w:rsidRPr="009959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Chandra </w:t>
      </w:r>
      <w:r w:rsidR="00995923" w:rsidRPr="005679D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et al</w:t>
      </w:r>
      <w:r w:rsidR="00995923" w:rsidRPr="009959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 2022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>), and call</w:t>
      </w:r>
      <w:r w:rsidR="006758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6758AE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>Host Plant Resistance</w:t>
      </w:r>
      <w:r w:rsidR="006758AE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order to minimize </w:t>
      </w:r>
      <w:r w:rsidR="006758AE">
        <w:rPr>
          <w:rFonts w:ascii="Times New Roman" w:hAnsi="Times New Roman" w:cs="Times New Roman"/>
          <w:color w:val="000000" w:themeColor="text1"/>
          <w:sz w:val="24"/>
          <w:szCs w:val="24"/>
        </w:rPr>
        <w:t>pod borer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incidences. </w:t>
      </w:r>
      <w:proofErr w:type="spellStart"/>
      <w:r w:rsidR="008647BC">
        <w:rPr>
          <w:rFonts w:ascii="Times New Roman" w:hAnsi="Times New Roman" w:cs="Times New Roman"/>
          <w:color w:val="000000" w:themeColor="text1"/>
          <w:sz w:val="24"/>
          <w:szCs w:val="24"/>
        </w:rPr>
        <w:t>Pigeonpea</w:t>
      </w:r>
      <w:proofErr w:type="spellEnd"/>
      <w:r w:rsidR="0086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varying degree of susceptibility to the pod borer, </w:t>
      </w:r>
      <w:r w:rsidR="00973DB3" w:rsidRPr="00973DB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H. </w:t>
      </w:r>
      <w:proofErr w:type="spellStart"/>
      <w:r w:rsidR="00973DB3" w:rsidRPr="00973DB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armigera</w:t>
      </w:r>
      <w:proofErr w:type="spellEnd"/>
      <w:r w:rsidR="00EC186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647BC" w:rsidRPr="00D154A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8647BC" w:rsidRPr="00D154A8">
        <w:rPr>
          <w:rFonts w:ascii="Times New Roman" w:hAnsi="Times New Roman" w:cs="Times New Roman"/>
          <w:b/>
          <w:bCs/>
          <w:sz w:val="24"/>
          <w:szCs w:val="24"/>
        </w:rPr>
        <w:t>Sujayanand</w:t>
      </w:r>
      <w:proofErr w:type="spellEnd"/>
      <w:r w:rsidR="00EC1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7BC" w:rsidRPr="00D15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8647BC" w:rsidRPr="00D154A8">
        <w:rPr>
          <w:rFonts w:ascii="Times New Roman" w:hAnsi="Times New Roman" w:cs="Times New Roman"/>
          <w:b/>
          <w:bCs/>
          <w:sz w:val="24"/>
          <w:szCs w:val="24"/>
        </w:rPr>
        <w:t>., 2025)</w:t>
      </w:r>
      <w:r w:rsidR="008647BC" w:rsidRPr="00D154A8">
        <w:rPr>
          <w:rFonts w:ascii="Times New Roman" w:hAnsi="Times New Roman" w:cs="Times New Roman"/>
          <w:sz w:val="24"/>
          <w:szCs w:val="24"/>
        </w:rPr>
        <w:t>,</w:t>
      </w:r>
      <w:r w:rsidR="00864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considering which the present study has been undertaken.</w:t>
      </w:r>
    </w:p>
    <w:p w14:paraId="2C3E8E90" w14:textId="77777777" w:rsidR="00212068" w:rsidRPr="00156F9C" w:rsidRDefault="007D5AF1" w:rsidP="009B285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5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Materials and Methods</w:t>
      </w:r>
      <w:r w:rsidR="00281B7F" w:rsidRPr="0015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</w:p>
    <w:p w14:paraId="76EFE6B4" w14:textId="77777777" w:rsidR="00643E58" w:rsidRPr="00BF2464" w:rsidRDefault="00A266ED" w:rsidP="00643E58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1D5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experiment </w:t>
      </w:r>
      <w:r w:rsidR="00DE5488">
        <w:rPr>
          <w:rFonts w:ascii="Times New Roman" w:hAnsi="Times New Roman" w:cs="Times New Roman"/>
          <w:sz w:val="24"/>
          <w:szCs w:val="24"/>
        </w:rPr>
        <w:t xml:space="preserve">was conducted during </w:t>
      </w:r>
      <w:r w:rsidR="00DE5488" w:rsidRPr="00DE5488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="00DE5488">
        <w:rPr>
          <w:rFonts w:ascii="Times New Roman" w:hAnsi="Times New Roman" w:cs="Times New Roman"/>
          <w:sz w:val="24"/>
          <w:szCs w:val="24"/>
        </w:rPr>
        <w:t xml:space="preserve"> 2023-24 and </w:t>
      </w:r>
      <w:r w:rsidR="001D5684" w:rsidRPr="001D5684">
        <w:rPr>
          <w:rFonts w:ascii="Times New Roman" w:hAnsi="Times New Roman" w:cs="Times New Roman"/>
          <w:sz w:val="24"/>
          <w:szCs w:val="24"/>
        </w:rPr>
        <w:t>2024-</w:t>
      </w:r>
      <w:r w:rsidR="00DE5488">
        <w:rPr>
          <w:rFonts w:ascii="Times New Roman" w:hAnsi="Times New Roman" w:cs="Times New Roman"/>
          <w:sz w:val="24"/>
          <w:szCs w:val="24"/>
        </w:rPr>
        <w:t xml:space="preserve">25 </w:t>
      </w:r>
      <w:r w:rsidRPr="001D5684">
        <w:rPr>
          <w:rFonts w:ascii="Times New Roman" w:hAnsi="Times New Roman" w:cs="Times New Roman"/>
          <w:sz w:val="24"/>
          <w:szCs w:val="24"/>
        </w:rPr>
        <w:t>at</w:t>
      </w:r>
      <w:r w:rsidR="00DE5488">
        <w:rPr>
          <w:rFonts w:ascii="Times New Roman" w:hAnsi="Times New Roman" w:cs="Times New Roman"/>
          <w:sz w:val="24"/>
          <w:szCs w:val="24"/>
        </w:rPr>
        <w:t xml:space="preserve"> New Research Farm of ICAR-Indian Institute Pulses Research</w:t>
      </w:r>
      <w:r w:rsidRPr="001D5684">
        <w:rPr>
          <w:rFonts w:ascii="Times New Roman" w:hAnsi="Times New Roman" w:cs="Times New Roman"/>
          <w:sz w:val="24"/>
          <w:szCs w:val="24"/>
        </w:rPr>
        <w:t xml:space="preserve">, </w:t>
      </w:r>
      <w:r w:rsidR="00DE5488">
        <w:rPr>
          <w:rFonts w:ascii="Times New Roman" w:hAnsi="Times New Roman" w:cs="Times New Roman"/>
          <w:sz w:val="24"/>
          <w:szCs w:val="24"/>
        </w:rPr>
        <w:t xml:space="preserve">Kanpur. </w:t>
      </w:r>
      <w:r w:rsidR="000B6D6E">
        <w:rPr>
          <w:rFonts w:ascii="Times New Roman" w:hAnsi="Times New Roman" w:cs="Times New Roman"/>
          <w:sz w:val="24"/>
          <w:szCs w:val="24"/>
        </w:rPr>
        <w:t xml:space="preserve">A panel </w:t>
      </w:r>
      <w:r w:rsidR="00C26C64">
        <w:rPr>
          <w:rFonts w:ascii="Times New Roman" w:hAnsi="Times New Roman" w:cs="Times New Roman"/>
          <w:sz w:val="24"/>
          <w:szCs w:val="24"/>
        </w:rPr>
        <w:t xml:space="preserve">of </w:t>
      </w:r>
      <w:r w:rsidR="00DE5488">
        <w:rPr>
          <w:rFonts w:ascii="Times New Roman" w:hAnsi="Times New Roman" w:cs="Times New Roman"/>
          <w:sz w:val="24"/>
          <w:szCs w:val="24"/>
        </w:rPr>
        <w:t>100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A26" w:rsidRPr="001D5684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A60A26" w:rsidRPr="001D5684">
        <w:rPr>
          <w:rFonts w:ascii="Times New Roman" w:hAnsi="Times New Roman" w:cs="Times New Roman"/>
          <w:sz w:val="24"/>
          <w:szCs w:val="24"/>
        </w:rPr>
        <w:t xml:space="preserve"> genoty</w:t>
      </w:r>
      <w:r w:rsidR="00036218">
        <w:rPr>
          <w:rFonts w:ascii="Times New Roman" w:hAnsi="Times New Roman" w:cs="Times New Roman"/>
          <w:sz w:val="24"/>
          <w:szCs w:val="24"/>
        </w:rPr>
        <w:t>pes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C26C64">
        <w:rPr>
          <w:rFonts w:ascii="Times New Roman" w:hAnsi="Times New Roman" w:cs="Times New Roman"/>
          <w:sz w:val="24"/>
          <w:szCs w:val="24"/>
        </w:rPr>
        <w:t>was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805D91" w:rsidRPr="001D5684">
        <w:rPr>
          <w:rFonts w:ascii="Times New Roman" w:hAnsi="Times New Roman" w:cs="Times New Roman"/>
          <w:sz w:val="24"/>
          <w:szCs w:val="24"/>
        </w:rPr>
        <w:t>evaluated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643E58" w:rsidRPr="001D5684">
        <w:rPr>
          <w:rFonts w:ascii="Times New Roman" w:hAnsi="Times New Roman" w:cs="Times New Roman"/>
          <w:sz w:val="24"/>
          <w:szCs w:val="24"/>
        </w:rPr>
        <w:t xml:space="preserve">in relation to infestation levels against </w:t>
      </w:r>
      <w:r w:rsidR="00643E58" w:rsidRPr="001D5684">
        <w:rPr>
          <w:rFonts w:ascii="Times New Roman" w:hAnsi="Times New Roman" w:cs="Times New Roman"/>
          <w:i/>
          <w:iCs/>
          <w:sz w:val="24"/>
          <w:szCs w:val="24"/>
        </w:rPr>
        <w:t>H. armigera</w:t>
      </w:r>
      <w:r w:rsidR="00EC1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0B4" w:rsidRPr="001D5684">
        <w:rPr>
          <w:rFonts w:ascii="Times New Roman" w:hAnsi="Times New Roman" w:cs="Times New Roman"/>
          <w:sz w:val="24"/>
          <w:szCs w:val="24"/>
        </w:rPr>
        <w:t>under</w:t>
      </w:r>
      <w:r w:rsidR="00DE5488">
        <w:rPr>
          <w:rFonts w:ascii="Times New Roman" w:hAnsi="Times New Roman" w:cs="Times New Roman"/>
          <w:sz w:val="24"/>
          <w:szCs w:val="24"/>
        </w:rPr>
        <w:t xml:space="preserve"> field</w:t>
      </w:r>
      <w:r w:rsidR="004F10B4" w:rsidRPr="001D5684">
        <w:rPr>
          <w:rFonts w:ascii="Times New Roman" w:hAnsi="Times New Roman" w:cs="Times New Roman"/>
          <w:sz w:val="24"/>
          <w:szCs w:val="24"/>
        </w:rPr>
        <w:t xml:space="preserve"> conditions i</w:t>
      </w:r>
      <w:r w:rsidR="00A60A26" w:rsidRPr="001D5684">
        <w:rPr>
          <w:rFonts w:ascii="Times New Roman" w:hAnsi="Times New Roman" w:cs="Times New Roman"/>
          <w:sz w:val="24"/>
          <w:szCs w:val="24"/>
        </w:rPr>
        <w:t xml:space="preserve">n </w:t>
      </w:r>
      <w:r w:rsidR="00643E58" w:rsidRPr="001D5684">
        <w:rPr>
          <w:rFonts w:ascii="Times New Roman" w:hAnsi="Times New Roman" w:cs="Times New Roman"/>
          <w:sz w:val="24"/>
          <w:szCs w:val="24"/>
        </w:rPr>
        <w:t>an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DE5488">
        <w:rPr>
          <w:rFonts w:ascii="Times New Roman" w:hAnsi="Times New Roman" w:cs="Times New Roman"/>
          <w:sz w:val="24"/>
          <w:szCs w:val="24"/>
        </w:rPr>
        <w:t xml:space="preserve">Augmented Bock Design </w:t>
      </w:r>
      <w:r w:rsidR="00643E58">
        <w:rPr>
          <w:rFonts w:ascii="Times New Roman" w:hAnsi="Times New Roman" w:cs="Times New Roman"/>
          <w:sz w:val="24"/>
          <w:szCs w:val="24"/>
        </w:rPr>
        <w:t>with 2</w:t>
      </w:r>
      <w:r w:rsidR="004F10B4" w:rsidRPr="001D5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10B4" w:rsidRPr="001D5684">
        <w:rPr>
          <w:rFonts w:ascii="Times New Roman" w:hAnsi="Times New Roman" w:cs="Times New Roman"/>
          <w:sz w:val="24"/>
          <w:szCs w:val="24"/>
        </w:rPr>
        <w:t>replications.</w:t>
      </w:r>
      <w:r w:rsidR="00643E58" w:rsidRPr="00643E58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643E58" w:rsidRPr="00643E58">
        <w:rPr>
          <w:rFonts w:ascii="Times New Roman" w:hAnsi="Times New Roman" w:cs="Times New Roman"/>
          <w:sz w:val="24"/>
          <w:szCs w:val="24"/>
        </w:rPr>
        <w:t xml:space="preserve"> observations were recorded </w:t>
      </w:r>
      <w:r w:rsidR="00C26C64">
        <w:rPr>
          <w:rFonts w:ascii="Times New Roman" w:hAnsi="Times New Roman" w:cs="Times New Roman"/>
          <w:sz w:val="24"/>
          <w:szCs w:val="24"/>
        </w:rPr>
        <w:t>on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 pod damage</w:t>
      </w:r>
      <w:r w:rsidR="00C26C64">
        <w:rPr>
          <w:rFonts w:ascii="Times New Roman" w:hAnsi="Times New Roman" w:cs="Times New Roman"/>
          <w:sz w:val="24"/>
          <w:szCs w:val="24"/>
        </w:rPr>
        <w:t>, expressed in percentage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. Damaged pods due to pod borer were separated based on the nature of damage from 100 randomly collected pods from 5 plants of each genotype at the time of harvest. The pods </w:t>
      </w:r>
      <w:proofErr w:type="spellStart"/>
      <w:r w:rsidR="00C26C64">
        <w:rPr>
          <w:rFonts w:ascii="Times New Roman" w:hAnsi="Times New Roman" w:cs="Times New Roman"/>
          <w:sz w:val="24"/>
          <w:szCs w:val="24"/>
        </w:rPr>
        <w:t>were</w:t>
      </w:r>
      <w:r w:rsidR="00643E58" w:rsidRPr="00643E58">
        <w:rPr>
          <w:rFonts w:ascii="Times New Roman" w:hAnsi="Times New Roman" w:cs="Times New Roman"/>
          <w:sz w:val="24"/>
          <w:szCs w:val="24"/>
        </w:rPr>
        <w:t>sorted</w:t>
      </w:r>
      <w:proofErr w:type="spellEnd"/>
      <w:r w:rsidR="00643E58" w:rsidRPr="00643E58">
        <w:rPr>
          <w:rFonts w:ascii="Times New Roman" w:hAnsi="Times New Roman" w:cs="Times New Roman"/>
          <w:sz w:val="24"/>
          <w:szCs w:val="24"/>
        </w:rPr>
        <w:t xml:space="preserve"> out into two </w:t>
      </w:r>
      <w:proofErr w:type="spellStart"/>
      <w:proofErr w:type="gramStart"/>
      <w:r w:rsidR="00643E58" w:rsidRPr="00643E58">
        <w:rPr>
          <w:rFonts w:ascii="Times New Roman" w:hAnsi="Times New Roman" w:cs="Times New Roman"/>
          <w:sz w:val="24"/>
          <w:szCs w:val="24"/>
        </w:rPr>
        <w:t>groups</w:t>
      </w:r>
      <w:r w:rsidR="00C26C64">
        <w:rPr>
          <w:rFonts w:ascii="Times New Roman" w:hAnsi="Times New Roman" w:cs="Times New Roman"/>
          <w:sz w:val="24"/>
          <w:szCs w:val="24"/>
        </w:rPr>
        <w:t>;</w:t>
      </w:r>
      <w:r w:rsidR="00643E58" w:rsidRPr="00643E58">
        <w:rPr>
          <w:rFonts w:ascii="Times New Roman" w:hAnsi="Times New Roman" w:cs="Times New Roman"/>
          <w:sz w:val="24"/>
          <w:szCs w:val="24"/>
        </w:rPr>
        <w:t>damage</w:t>
      </w:r>
      <w:r w:rsidR="00301CF9">
        <w:rPr>
          <w:rFonts w:ascii="Times New Roman" w:hAnsi="Times New Roman" w:cs="Times New Roman"/>
          <w:sz w:val="24"/>
          <w:szCs w:val="24"/>
        </w:rPr>
        <w:t>d</w:t>
      </w:r>
      <w:proofErr w:type="spellEnd"/>
      <w:proofErr w:type="gramEnd"/>
      <w:r w:rsidR="00301CF9">
        <w:rPr>
          <w:rFonts w:ascii="Times New Roman" w:hAnsi="Times New Roman" w:cs="Times New Roman"/>
          <w:sz w:val="24"/>
          <w:szCs w:val="24"/>
        </w:rPr>
        <w:t xml:space="preserve"> </w:t>
      </w:r>
      <w:r w:rsidR="00C44F61">
        <w:rPr>
          <w:rFonts w:ascii="Times New Roman" w:hAnsi="Times New Roman" w:cs="Times New Roman"/>
          <w:sz w:val="24"/>
          <w:szCs w:val="24"/>
        </w:rPr>
        <w:t>pods (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caused by </w:t>
      </w:r>
      <w:r w:rsidR="00643E58" w:rsidRPr="00643E58">
        <w:rPr>
          <w:rFonts w:ascii="Times New Roman" w:hAnsi="Times New Roman" w:cs="Times New Roman"/>
          <w:i/>
          <w:iCs/>
          <w:sz w:val="24"/>
          <w:szCs w:val="24"/>
        </w:rPr>
        <w:t>H. armigera</w:t>
      </w:r>
      <w:r w:rsidR="00301CF9">
        <w:rPr>
          <w:rFonts w:ascii="Times New Roman" w:hAnsi="Times New Roman" w:cs="Times New Roman"/>
          <w:sz w:val="24"/>
          <w:szCs w:val="24"/>
        </w:rPr>
        <w:t>)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 and the healthy pod</w:t>
      </w:r>
      <w:r w:rsidR="00301CF9">
        <w:rPr>
          <w:rFonts w:ascii="Times New Roman" w:hAnsi="Times New Roman" w:cs="Times New Roman"/>
          <w:sz w:val="24"/>
          <w:szCs w:val="24"/>
        </w:rPr>
        <w:t>s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. Per cent pod damage was calculated by the formula given below: The pods damaged by </w:t>
      </w:r>
      <w:r w:rsidR="00301CF9">
        <w:rPr>
          <w:rFonts w:ascii="Times New Roman" w:hAnsi="Times New Roman" w:cs="Times New Roman"/>
          <w:sz w:val="24"/>
          <w:szCs w:val="24"/>
        </w:rPr>
        <w:t xml:space="preserve">the 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gram pod borer </w:t>
      </w:r>
      <w:r w:rsidR="00301CF9">
        <w:rPr>
          <w:rFonts w:ascii="Times New Roman" w:hAnsi="Times New Roman" w:cs="Times New Roman"/>
          <w:sz w:val="24"/>
          <w:szCs w:val="24"/>
        </w:rPr>
        <w:t xml:space="preserve">had </w:t>
      </w:r>
      <w:r w:rsidR="00643E58" w:rsidRPr="00643E58">
        <w:rPr>
          <w:rFonts w:ascii="Times New Roman" w:hAnsi="Times New Roman" w:cs="Times New Roman"/>
          <w:sz w:val="24"/>
          <w:szCs w:val="24"/>
        </w:rPr>
        <w:t xml:space="preserve">characteristic big holes with irregular edges </w:t>
      </w:r>
      <w:r w:rsidR="00643E58" w:rsidRPr="00643E58">
        <w:rPr>
          <w:rFonts w:ascii="Times New Roman" w:hAnsi="Times New Roman" w:cs="Times New Roman"/>
          <w:color w:val="1F497D" w:themeColor="text2"/>
          <w:sz w:val="24"/>
          <w:szCs w:val="24"/>
        </w:rPr>
        <w:t>(</w:t>
      </w:r>
      <w:r w:rsidR="00643E58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Sharma, 1998</w:t>
      </w:r>
      <w:r w:rsidR="00C44F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  <w:r w:rsidR="00EC18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4F61" w:rsidRPr="00D154A8">
        <w:rPr>
          <w:rFonts w:ascii="Times New Roman" w:hAnsi="Times New Roman" w:cs="Times New Roman"/>
          <w:b/>
          <w:bCs/>
          <w:sz w:val="24"/>
          <w:szCs w:val="24"/>
        </w:rPr>
        <w:t>Mishra</w:t>
      </w:r>
      <w:r w:rsidR="00C91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CF9" w:rsidRPr="00D15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al.,</w:t>
      </w:r>
      <w:r w:rsidR="00301CF9" w:rsidRPr="00D154A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643E58" w:rsidRPr="00D154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43E58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C7270AA" w14:textId="77777777" w:rsidR="00643E58" w:rsidRPr="008C4EE9" w:rsidRDefault="00EC1868" w:rsidP="008C4EE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43E58" w:rsidRPr="008C4EE9">
        <w:rPr>
          <w:rFonts w:ascii="Times New Roman" w:hAnsi="Times New Roman" w:cs="Times New Roman"/>
          <w:sz w:val="24"/>
          <w:szCs w:val="24"/>
        </w:rPr>
        <w:t>Per cent pod damage =</w:t>
      </w:r>
      <m:oMath>
        <m:f>
          <m:fPr>
            <m:ctrlPr>
              <w:rPr>
                <w:rFonts w:ascii="Cambria Math" w:hAnsi="Times New Roman" w:cs="Times New Roman"/>
                <w:bCs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Number of damaged pods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Total number of pods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×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</w:p>
    <w:p w14:paraId="7D590B89" w14:textId="77777777" w:rsidR="00643E58" w:rsidRPr="008C4EE9" w:rsidRDefault="00643E58" w:rsidP="008C4EE9">
      <w:pPr>
        <w:pStyle w:val="ListParagraph"/>
        <w:numPr>
          <w:ilvl w:val="0"/>
          <w:numId w:val="5"/>
        </w:numPr>
        <w:spacing w:before="120" w:after="240" w:line="360" w:lineRule="auto"/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8C4EE9">
        <w:rPr>
          <w:rFonts w:ascii="Times New Roman" w:hAnsi="Times New Roman" w:cs="Times New Roman"/>
          <w:sz w:val="24"/>
          <w:szCs w:val="24"/>
        </w:rPr>
        <w:t>Total number of pods: Filled/ unfilled pod with seed.</w:t>
      </w:r>
    </w:p>
    <w:p w14:paraId="5C1C889E" w14:textId="77777777" w:rsidR="008C4EE9" w:rsidRPr="008C4EE9" w:rsidRDefault="00C44F61" w:rsidP="008C4EE9">
      <w:pPr>
        <w:pStyle w:val="ListParagraph"/>
        <w:spacing w:before="12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2A5F">
        <w:rPr>
          <w:rFonts w:ascii="Times New Roman" w:hAnsi="Times New Roman" w:cs="Times New Roman"/>
          <w:sz w:val="24"/>
          <w:szCs w:val="24"/>
        </w:rPr>
        <w:t>Further, t</w:t>
      </w:r>
      <w:r w:rsidR="00301CF9">
        <w:rPr>
          <w:rFonts w:ascii="Times New Roman" w:hAnsi="Times New Roman" w:cs="Times New Roman"/>
          <w:sz w:val="24"/>
          <w:szCs w:val="24"/>
        </w:rPr>
        <w:t>he pods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301CF9">
        <w:rPr>
          <w:rFonts w:ascii="Times New Roman" w:hAnsi="Times New Roman" w:cs="Times New Roman"/>
          <w:sz w:val="24"/>
          <w:szCs w:val="24"/>
        </w:rPr>
        <w:t xml:space="preserve">were </w:t>
      </w:r>
      <w:r w:rsidR="00643E58" w:rsidRPr="008C4EE9">
        <w:rPr>
          <w:rFonts w:ascii="Times New Roman" w:hAnsi="Times New Roman" w:cs="Times New Roman"/>
          <w:sz w:val="24"/>
          <w:szCs w:val="24"/>
        </w:rPr>
        <w:t xml:space="preserve">split open to </w:t>
      </w:r>
      <w:r w:rsidR="00301CF9">
        <w:rPr>
          <w:rFonts w:ascii="Times New Roman" w:hAnsi="Times New Roman" w:cs="Times New Roman"/>
          <w:sz w:val="24"/>
          <w:szCs w:val="24"/>
        </w:rPr>
        <w:t>weigh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301CF9">
        <w:rPr>
          <w:rFonts w:ascii="Times New Roman" w:hAnsi="Times New Roman" w:cs="Times New Roman"/>
          <w:sz w:val="24"/>
          <w:szCs w:val="24"/>
        </w:rPr>
        <w:t xml:space="preserve">the </w:t>
      </w:r>
      <w:r w:rsidR="00643E58" w:rsidRPr="008C4EE9">
        <w:rPr>
          <w:rFonts w:ascii="Times New Roman" w:hAnsi="Times New Roman" w:cs="Times New Roman"/>
          <w:sz w:val="24"/>
          <w:szCs w:val="24"/>
        </w:rPr>
        <w:t>healthy and damaged seeds and the per cent seed damage was calculated (</w:t>
      </w:r>
      <w:proofErr w:type="spellStart"/>
      <w:r w:rsidR="00643E58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Gangwar</w:t>
      </w:r>
      <w:proofErr w:type="spellEnd"/>
      <w:r w:rsidR="00EC18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3E58" w:rsidRPr="00BF24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et al., </w:t>
      </w:r>
      <w:r w:rsidR="00643E58"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2009</w:t>
      </w:r>
      <w:r w:rsidR="00643E58" w:rsidRPr="008C4EE9">
        <w:rPr>
          <w:rFonts w:ascii="Times New Roman" w:hAnsi="Times New Roman" w:cs="Times New Roman"/>
          <w:color w:val="1F497D" w:themeColor="text2"/>
          <w:sz w:val="24"/>
          <w:szCs w:val="24"/>
        </w:rPr>
        <w:t>)</w:t>
      </w:r>
      <w:r w:rsidR="00643E58" w:rsidRPr="008C4EE9">
        <w:rPr>
          <w:rFonts w:ascii="Times New Roman" w:hAnsi="Times New Roman" w:cs="Times New Roman"/>
          <w:sz w:val="24"/>
          <w:szCs w:val="24"/>
        </w:rPr>
        <w:t>.</w:t>
      </w:r>
    </w:p>
    <w:p w14:paraId="4DB20D5C" w14:textId="77777777" w:rsidR="00643E58" w:rsidRPr="00C44F61" w:rsidRDefault="00643E58" w:rsidP="008C4EE9">
      <w:pPr>
        <w:pStyle w:val="ListParagraph"/>
        <w:spacing w:before="12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Per cent seed damage =</m:t>
          </m:r>
          <m:f>
            <m:fPr>
              <m:ctrlPr>
                <w:rPr>
                  <w:rFonts w:ascii="Cambria Math" w:hAnsi="Times New Roman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Weight of damage seed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Total weight of seed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100</m:t>
          </m:r>
        </m:oMath>
      </m:oMathPara>
    </w:p>
    <w:p w14:paraId="42B754D8" w14:textId="77777777" w:rsidR="008C4EE9" w:rsidRPr="008C4EE9" w:rsidRDefault="00C44F61" w:rsidP="008C4EE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C4EE9" w:rsidRPr="008C4EE9">
        <w:rPr>
          <w:rFonts w:ascii="Times New Roman" w:hAnsi="Times New Roman" w:cs="Times New Roman"/>
          <w:sz w:val="24"/>
          <w:szCs w:val="24"/>
        </w:rPr>
        <w:t xml:space="preserve">The weight of grain was taken for each genotype and the total yield per plot </w:t>
      </w:r>
      <w:r w:rsidR="00BB2A5F">
        <w:rPr>
          <w:rFonts w:ascii="Times New Roman" w:hAnsi="Times New Roman" w:cs="Times New Roman"/>
          <w:sz w:val="24"/>
          <w:szCs w:val="24"/>
        </w:rPr>
        <w:t>was calculated</w:t>
      </w:r>
      <w:r w:rsidR="008C4EE9" w:rsidRPr="008C4EE9">
        <w:rPr>
          <w:rFonts w:ascii="Times New Roman" w:hAnsi="Times New Roman" w:cs="Times New Roman"/>
          <w:sz w:val="24"/>
          <w:szCs w:val="24"/>
        </w:rPr>
        <w:t xml:space="preserve"> in kg/ha.</w:t>
      </w:r>
    </w:p>
    <w:p w14:paraId="0E3EB4D1" w14:textId="77777777" w:rsidR="008C4EE9" w:rsidRPr="008C4EE9" w:rsidRDefault="00EC1868" w:rsidP="008C4EE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1094">
        <w:rPr>
          <w:rFonts w:ascii="Times New Roman" w:hAnsi="Times New Roman" w:cs="Times New Roman"/>
          <w:sz w:val="24"/>
          <w:szCs w:val="24"/>
        </w:rPr>
        <w:t xml:space="preserve"> </w:t>
      </w:r>
      <w:r w:rsidR="008C4EE9" w:rsidRPr="008C4EE9">
        <w:rPr>
          <w:rFonts w:ascii="Times New Roman" w:hAnsi="Times New Roman" w:cs="Times New Roman"/>
          <w:sz w:val="24"/>
          <w:szCs w:val="24"/>
        </w:rPr>
        <w:t>Grain yield (kg/ha) =</w:t>
      </w:r>
      <m:oMath>
        <m:f>
          <m:f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Weight of grain yield in kg/plot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Plot area in m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10000</m:t>
        </m:r>
      </m:oMath>
    </w:p>
    <w:p w14:paraId="16AB814E" w14:textId="77777777" w:rsidR="008C4EE9" w:rsidRPr="008C4EE9" w:rsidRDefault="008C4EE9" w:rsidP="008C4EE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EE9">
        <w:rPr>
          <w:rFonts w:ascii="Times New Roman" w:hAnsi="Times New Roman" w:cs="Times New Roman"/>
          <w:b/>
          <w:bCs/>
          <w:sz w:val="24"/>
          <w:szCs w:val="24"/>
        </w:rPr>
        <w:t>Statistical analysis:</w:t>
      </w:r>
    </w:p>
    <w:p w14:paraId="4C8C5CD6" w14:textId="77777777" w:rsidR="008C4EE9" w:rsidRDefault="008C4EE9" w:rsidP="008D589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4EE9">
        <w:rPr>
          <w:rFonts w:ascii="Times New Roman" w:hAnsi="Times New Roman" w:cs="Times New Roman"/>
          <w:sz w:val="24"/>
          <w:szCs w:val="24"/>
        </w:rPr>
        <w:t xml:space="preserve">The obtained data </w:t>
      </w:r>
      <w:r w:rsidR="00BB2A5F">
        <w:rPr>
          <w:rFonts w:ascii="Times New Roman" w:hAnsi="Times New Roman" w:cs="Times New Roman"/>
          <w:sz w:val="24"/>
          <w:szCs w:val="24"/>
        </w:rPr>
        <w:t xml:space="preserve">(per cent) </w:t>
      </w:r>
      <w:r w:rsidRPr="008C4EE9">
        <w:rPr>
          <w:rFonts w:ascii="Times New Roman" w:hAnsi="Times New Roman" w:cs="Times New Roman"/>
          <w:sz w:val="24"/>
          <w:szCs w:val="24"/>
        </w:rPr>
        <w:t xml:space="preserve">were </w:t>
      </w:r>
      <w:r w:rsidR="00BB2A5F">
        <w:rPr>
          <w:rFonts w:ascii="Times New Roman" w:hAnsi="Times New Roman" w:cs="Times New Roman"/>
          <w:sz w:val="24"/>
          <w:szCs w:val="24"/>
        </w:rPr>
        <w:t>subjected to statistical analysis</w:t>
      </w:r>
      <w:r w:rsidRPr="008C4EE9">
        <w:rPr>
          <w:rFonts w:ascii="Times New Roman" w:hAnsi="Times New Roman" w:cs="Times New Roman"/>
          <w:sz w:val="24"/>
          <w:szCs w:val="24"/>
        </w:rPr>
        <w:t xml:space="preserve"> after using appropriate </w:t>
      </w:r>
      <w:r w:rsidR="00BB2A5F" w:rsidRPr="00BB2A5F">
        <w:rPr>
          <w:rFonts w:ascii="Times New Roman" w:hAnsi="Times New Roman" w:cs="Times New Roman"/>
          <w:sz w:val="24"/>
          <w:szCs w:val="24"/>
        </w:rPr>
        <w:t>arcsine transformation Sin-1 (√x /100)</w:t>
      </w:r>
      <w:r w:rsidR="00BB2A5F">
        <w:rPr>
          <w:rFonts w:ascii="Times New Roman" w:hAnsi="Times New Roman" w:cs="Times New Roman"/>
          <w:sz w:val="24"/>
          <w:szCs w:val="24"/>
        </w:rPr>
        <w:t>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A5F">
        <w:rPr>
          <w:rFonts w:ascii="Times New Roman" w:hAnsi="Times New Roman" w:cs="Times New Roman"/>
          <w:sz w:val="24"/>
          <w:szCs w:val="24"/>
        </w:rPr>
        <w:t>Datawere</w:t>
      </w:r>
      <w:proofErr w:type="spellEnd"/>
      <w:r w:rsidRPr="008C4EE9">
        <w:rPr>
          <w:rFonts w:ascii="Times New Roman" w:hAnsi="Times New Roman" w:cs="Times New Roman"/>
          <w:sz w:val="24"/>
          <w:szCs w:val="24"/>
        </w:rPr>
        <w:t xml:space="preserve"> analyzed by the method of analysis of variance </w:t>
      </w:r>
      <w:r w:rsidR="00BB2A5F">
        <w:rPr>
          <w:rFonts w:ascii="Times New Roman" w:hAnsi="Times New Roman" w:cs="Times New Roman"/>
          <w:sz w:val="24"/>
          <w:szCs w:val="24"/>
        </w:rPr>
        <w:t xml:space="preserve">(ANOVA) as </w:t>
      </w:r>
      <w:r w:rsidRPr="008C4EE9">
        <w:rPr>
          <w:rFonts w:ascii="Times New Roman" w:hAnsi="Times New Roman" w:cs="Times New Roman"/>
          <w:sz w:val="24"/>
          <w:szCs w:val="24"/>
        </w:rPr>
        <w:t xml:space="preserve">described by </w:t>
      </w:r>
      <w:r w:rsidRPr="00BF24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Gomez and Gomez (1984)</w:t>
      </w:r>
      <w:r w:rsidR="00EC18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4EE9">
        <w:rPr>
          <w:rFonts w:ascii="Times New Roman" w:hAnsi="Times New Roman" w:cs="Times New Roman"/>
          <w:sz w:val="24"/>
          <w:szCs w:val="24"/>
        </w:rPr>
        <w:t xml:space="preserve">at 5 per cent level of significance using R </w:t>
      </w:r>
      <w:proofErr w:type="spellStart"/>
      <w:r w:rsidRPr="008C4EE9">
        <w:rPr>
          <w:rFonts w:ascii="Times New Roman" w:hAnsi="Times New Roman" w:cs="Times New Roman"/>
          <w:sz w:val="24"/>
          <w:szCs w:val="24"/>
        </w:rPr>
        <w:t>program</w:t>
      </w:r>
      <w:r w:rsidR="00BB2A5F">
        <w:rPr>
          <w:rFonts w:ascii="Times New Roman" w:hAnsi="Times New Roman" w:cs="Times New Roman"/>
          <w:sz w:val="24"/>
          <w:szCs w:val="24"/>
        </w:rPr>
        <w:t>m</w:t>
      </w:r>
      <w:r w:rsidRPr="008C4E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C4EE9">
        <w:rPr>
          <w:rFonts w:ascii="Times New Roman" w:hAnsi="Times New Roman" w:cs="Times New Roman"/>
          <w:sz w:val="24"/>
          <w:szCs w:val="24"/>
        </w:rPr>
        <w:t xml:space="preserve"> (version 4.5.0).</w:t>
      </w:r>
    </w:p>
    <w:p w14:paraId="3FD24CDE" w14:textId="77777777" w:rsidR="001C63DA" w:rsidRPr="001C63DA" w:rsidRDefault="001C63DA" w:rsidP="001C63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63DA">
        <w:rPr>
          <w:rFonts w:ascii="Times New Roman" w:hAnsi="Times New Roman" w:cs="Times New Roman"/>
          <w:b/>
          <w:bCs/>
          <w:sz w:val="24"/>
          <w:szCs w:val="24"/>
        </w:rPr>
        <w:t xml:space="preserve">Estimation of pest susceptibility/resistance for </w:t>
      </w:r>
      <w:proofErr w:type="spellStart"/>
      <w:r w:rsidRPr="001C63DA">
        <w:rPr>
          <w:rFonts w:ascii="Times New Roman" w:hAnsi="Times New Roman" w:cs="Times New Roman"/>
          <w:b/>
          <w:bCs/>
          <w:sz w:val="24"/>
          <w:szCs w:val="24"/>
        </w:rPr>
        <w:t>pigeonpea</w:t>
      </w:r>
      <w:proofErr w:type="spellEnd"/>
      <w:r w:rsidRPr="001C63DA">
        <w:rPr>
          <w:rFonts w:ascii="Times New Roman" w:hAnsi="Times New Roman" w:cs="Times New Roman"/>
          <w:b/>
          <w:bCs/>
          <w:sz w:val="24"/>
          <w:szCs w:val="24"/>
        </w:rPr>
        <w:t xml:space="preserve"> genotypes:</w:t>
      </w:r>
    </w:p>
    <w:p w14:paraId="01DBB34C" w14:textId="77777777" w:rsidR="001C63DA" w:rsidRPr="001C63DA" w:rsidRDefault="001C63DA" w:rsidP="00BB1A1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DA">
        <w:rPr>
          <w:rFonts w:ascii="Times New Roman" w:hAnsi="Times New Roman" w:cs="Times New Roman"/>
          <w:sz w:val="24"/>
          <w:szCs w:val="24"/>
        </w:rPr>
        <w:tab/>
      </w:r>
      <w:r w:rsidR="00751269">
        <w:rPr>
          <w:rFonts w:ascii="Times New Roman" w:hAnsi="Times New Roman" w:cs="Times New Roman"/>
          <w:sz w:val="24"/>
          <w:szCs w:val="24"/>
        </w:rPr>
        <w:t>T</w:t>
      </w:r>
      <w:r w:rsidR="00751269" w:rsidRPr="001C63DA">
        <w:rPr>
          <w:rFonts w:ascii="Times New Roman" w:hAnsi="Times New Roman" w:cs="Times New Roman"/>
          <w:sz w:val="24"/>
          <w:szCs w:val="24"/>
        </w:rPr>
        <w:t xml:space="preserve">he </w:t>
      </w:r>
      <w:r w:rsidRPr="001C63DA">
        <w:rPr>
          <w:rFonts w:ascii="Times New Roman" w:hAnsi="Times New Roman" w:cs="Times New Roman"/>
          <w:sz w:val="24"/>
          <w:szCs w:val="24"/>
        </w:rPr>
        <w:t xml:space="preserve">pest susceptibility (%) of genotypes </w:t>
      </w:r>
      <w:r w:rsidR="00751269">
        <w:rPr>
          <w:rFonts w:ascii="Times New Roman" w:hAnsi="Times New Roman" w:cs="Times New Roman"/>
          <w:sz w:val="24"/>
          <w:szCs w:val="24"/>
        </w:rPr>
        <w:t xml:space="preserve">were </w:t>
      </w:r>
      <w:r w:rsidRPr="001C63DA">
        <w:rPr>
          <w:rFonts w:ascii="Times New Roman" w:hAnsi="Times New Roman" w:cs="Times New Roman"/>
          <w:sz w:val="24"/>
          <w:szCs w:val="24"/>
        </w:rPr>
        <w:t xml:space="preserve">calculated by </w:t>
      </w:r>
      <w:r w:rsidR="00751269">
        <w:rPr>
          <w:rFonts w:ascii="Times New Roman" w:hAnsi="Times New Roman" w:cs="Times New Roman"/>
          <w:sz w:val="24"/>
          <w:szCs w:val="24"/>
        </w:rPr>
        <w:t xml:space="preserve">the </w:t>
      </w:r>
      <w:r w:rsidR="00BB1A1A">
        <w:rPr>
          <w:rFonts w:ascii="Times New Roman" w:hAnsi="Times New Roman" w:cs="Times New Roman"/>
          <w:sz w:val="24"/>
          <w:szCs w:val="24"/>
        </w:rPr>
        <w:t xml:space="preserve">following formula and </w:t>
      </w:r>
      <w:r w:rsidRPr="001C63DA">
        <w:rPr>
          <w:rFonts w:ascii="Times New Roman" w:hAnsi="Times New Roman" w:cs="Times New Roman"/>
          <w:sz w:val="24"/>
          <w:szCs w:val="24"/>
        </w:rPr>
        <w:t xml:space="preserve">then </w:t>
      </w:r>
      <w:r w:rsidR="00751269">
        <w:rPr>
          <w:rFonts w:ascii="Times New Roman" w:hAnsi="Times New Roman" w:cs="Times New Roman"/>
          <w:sz w:val="24"/>
          <w:szCs w:val="24"/>
        </w:rPr>
        <w:t>categorized</w:t>
      </w:r>
      <w:r w:rsidR="00BB1A1A">
        <w:rPr>
          <w:rFonts w:ascii="Times New Roman" w:hAnsi="Times New Roman" w:cs="Times New Roman"/>
          <w:sz w:val="24"/>
          <w:szCs w:val="24"/>
        </w:rPr>
        <w:t xml:space="preserve"> in</w:t>
      </w:r>
      <w:r w:rsidR="00BB1A1A" w:rsidRPr="00BB1A1A">
        <w:rPr>
          <w:rFonts w:ascii="Times New Roman" w:hAnsi="Times New Roman" w:cs="Times New Roman"/>
          <w:sz w:val="24"/>
          <w:szCs w:val="24"/>
        </w:rPr>
        <w:t xml:space="preserve">to 1 to 9 </w:t>
      </w:r>
      <w:r w:rsidR="00BB1A1A">
        <w:rPr>
          <w:rFonts w:ascii="Times New Roman" w:hAnsi="Times New Roman" w:cs="Times New Roman"/>
          <w:sz w:val="24"/>
          <w:szCs w:val="24"/>
        </w:rPr>
        <w:t xml:space="preserve">pest susceptibility </w:t>
      </w:r>
      <w:r w:rsidR="00BB1A1A" w:rsidRPr="00BB1A1A">
        <w:rPr>
          <w:rFonts w:ascii="Times New Roman" w:hAnsi="Times New Roman" w:cs="Times New Roman"/>
          <w:sz w:val="24"/>
          <w:szCs w:val="24"/>
        </w:rPr>
        <w:t xml:space="preserve">rating scale </w:t>
      </w:r>
      <w:r w:rsidR="0095405E">
        <w:rPr>
          <w:rFonts w:ascii="Times New Roman" w:hAnsi="Times New Roman" w:cs="Times New Roman"/>
          <w:sz w:val="24"/>
          <w:szCs w:val="24"/>
        </w:rPr>
        <w:t xml:space="preserve">(Table 1) </w:t>
      </w:r>
      <w:r w:rsidR="00BB1A1A" w:rsidRPr="00BB1A1A">
        <w:rPr>
          <w:rFonts w:ascii="Times New Roman" w:hAnsi="Times New Roman" w:cs="Times New Roman"/>
          <w:sz w:val="24"/>
          <w:szCs w:val="24"/>
        </w:rPr>
        <w:t>as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BB1A1A" w:rsidRPr="00BB1A1A">
        <w:rPr>
          <w:rFonts w:ascii="Times New Roman" w:hAnsi="Times New Roman" w:cs="Times New Roman"/>
          <w:sz w:val="24"/>
          <w:szCs w:val="24"/>
        </w:rPr>
        <w:t xml:space="preserve">given by </w:t>
      </w:r>
      <w:r w:rsidR="00BB1A1A" w:rsidRPr="00BB1A1A">
        <w:rPr>
          <w:rFonts w:ascii="Times New Roman" w:hAnsi="Times New Roman" w:cs="Times New Roman"/>
          <w:b/>
          <w:bCs/>
          <w:sz w:val="24"/>
          <w:szCs w:val="24"/>
        </w:rPr>
        <w:t>Abbott (1925)</w:t>
      </w:r>
      <w:r w:rsidR="009540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7A2B7F" w14:textId="77777777" w:rsidR="001C63DA" w:rsidRPr="001C63DA" w:rsidRDefault="001C63DA" w:rsidP="001C63D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3DA">
        <w:rPr>
          <w:rFonts w:ascii="Times New Roman" w:hAnsi="Times New Roman" w:cs="Times New Roman"/>
          <w:bCs/>
          <w:sz w:val="24"/>
          <w:szCs w:val="24"/>
        </w:rPr>
        <w:t>Pest susceptibility</w:t>
      </w:r>
      <w:r w:rsidR="00751269">
        <w:rPr>
          <w:rFonts w:ascii="Times New Roman" w:hAnsi="Times New Roman" w:cs="Times New Roman"/>
          <w:bCs/>
          <w:sz w:val="24"/>
          <w:szCs w:val="24"/>
        </w:rPr>
        <w:t xml:space="preserve"> (%</w:t>
      </w:r>
      <w:r w:rsidR="00BB1A1A">
        <w:rPr>
          <w:rFonts w:ascii="Times New Roman" w:hAnsi="Times New Roman" w:cs="Times New Roman"/>
          <w:bCs/>
          <w:sz w:val="24"/>
          <w:szCs w:val="24"/>
        </w:rPr>
        <w:t>)</w:t>
      </w:r>
      <w:r w:rsidR="00BB1A1A" w:rsidRPr="001C63DA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%P.D of check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% P.D in Test cultivar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%  P.D of check 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100</m:t>
        </m:r>
      </m:oMath>
    </w:p>
    <w:p w14:paraId="3DE38C84" w14:textId="77777777" w:rsidR="008C4EE9" w:rsidRDefault="001C63DA" w:rsidP="001C63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P.D</w:t>
      </w:r>
      <w:r w:rsidR="009540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= Pod </w:t>
      </w:r>
      <w:r w:rsidRPr="001C63DA">
        <w:rPr>
          <w:rFonts w:ascii="Times New Roman" w:hAnsi="Times New Roman" w:cs="Times New Roman"/>
          <w:sz w:val="24"/>
          <w:szCs w:val="24"/>
        </w:rPr>
        <w:t>damage.</w:t>
      </w:r>
    </w:p>
    <w:p w14:paraId="5D928B94" w14:textId="77777777" w:rsidR="001C63DA" w:rsidRPr="0095405E" w:rsidRDefault="001C63DA" w:rsidP="001C63DA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05E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E75B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51269" w:rsidRPr="0095405E">
        <w:rPr>
          <w:rFonts w:ascii="Times New Roman" w:hAnsi="Times New Roman" w:cs="Times New Roman"/>
          <w:b/>
          <w:bCs/>
          <w:sz w:val="24"/>
          <w:szCs w:val="24"/>
        </w:rPr>
        <w:t xml:space="preserve">Percent susceptibility and their corresponding </w:t>
      </w:r>
      <w:r w:rsidRPr="0095405E">
        <w:rPr>
          <w:rFonts w:ascii="Times New Roman" w:hAnsi="Times New Roman" w:cs="Times New Roman"/>
          <w:b/>
          <w:bCs/>
          <w:sz w:val="24"/>
          <w:szCs w:val="24"/>
        </w:rPr>
        <w:t xml:space="preserve">Pest susceptibility </w:t>
      </w:r>
      <w:r w:rsidR="00BB1A1A" w:rsidRPr="0095405E">
        <w:rPr>
          <w:rFonts w:ascii="Times New Roman" w:hAnsi="Times New Roman" w:cs="Times New Roman"/>
          <w:b/>
          <w:bCs/>
          <w:sz w:val="24"/>
          <w:szCs w:val="24"/>
        </w:rPr>
        <w:t>rating (</w:t>
      </w:r>
      <w:r w:rsidR="00751269" w:rsidRPr="0095405E">
        <w:rPr>
          <w:rFonts w:ascii="Times New Roman" w:hAnsi="Times New Roman" w:cs="Times New Roman"/>
          <w:b/>
          <w:bCs/>
          <w:sz w:val="24"/>
          <w:szCs w:val="24"/>
        </w:rPr>
        <w:t>PSR) and resistance category</w:t>
      </w:r>
      <w:r w:rsidR="00BB1A1A" w:rsidRPr="009540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0"/>
        <w:gridCol w:w="3054"/>
        <w:gridCol w:w="3089"/>
      </w:tblGrid>
      <w:tr w:rsidR="001C63DA" w:rsidRPr="001C63DA" w14:paraId="08C94C25" w14:textId="77777777" w:rsidTr="00554FB0">
        <w:tc>
          <w:tcPr>
            <w:tcW w:w="5000" w:type="pct"/>
            <w:gridSpan w:val="3"/>
          </w:tcPr>
          <w:p w14:paraId="5A018E9F" w14:textId="77777777" w:rsidR="001C63DA" w:rsidRPr="001C63DA" w:rsidRDefault="001C63DA" w:rsidP="00881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Susceptibility rating (1 to 9 scale)</w:t>
            </w:r>
          </w:p>
        </w:tc>
      </w:tr>
      <w:tr w:rsidR="001C63DA" w:rsidRPr="001C63DA" w14:paraId="6AB75D7D" w14:textId="77777777" w:rsidTr="00554FB0">
        <w:tc>
          <w:tcPr>
            <w:tcW w:w="1677" w:type="pct"/>
          </w:tcPr>
          <w:p w14:paraId="2D7AEDE0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Susceptibility (%)</w:t>
            </w:r>
          </w:p>
        </w:tc>
        <w:tc>
          <w:tcPr>
            <w:tcW w:w="1652" w:type="pct"/>
          </w:tcPr>
          <w:p w14:paraId="60047A52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PSR</w:t>
            </w:r>
          </w:p>
        </w:tc>
        <w:tc>
          <w:tcPr>
            <w:tcW w:w="1670" w:type="pct"/>
          </w:tcPr>
          <w:p w14:paraId="26D594BA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1C63DA" w:rsidRPr="001C63DA" w14:paraId="45908D3A" w14:textId="77777777" w:rsidTr="00554FB0">
        <w:tc>
          <w:tcPr>
            <w:tcW w:w="1677" w:type="pct"/>
          </w:tcPr>
          <w:p w14:paraId="178A6DE9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pct"/>
          </w:tcPr>
          <w:p w14:paraId="34A753E5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pct"/>
          </w:tcPr>
          <w:p w14:paraId="124A4047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Highly Resistant</w:t>
            </w:r>
          </w:p>
        </w:tc>
      </w:tr>
      <w:tr w:rsidR="001C63DA" w:rsidRPr="001C63DA" w14:paraId="232BD596" w14:textId="77777777" w:rsidTr="00554FB0">
        <w:tc>
          <w:tcPr>
            <w:tcW w:w="1677" w:type="pct"/>
          </w:tcPr>
          <w:p w14:paraId="5586D511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75 to 99.9</w:t>
            </w:r>
          </w:p>
        </w:tc>
        <w:tc>
          <w:tcPr>
            <w:tcW w:w="1652" w:type="pct"/>
          </w:tcPr>
          <w:p w14:paraId="30A8D5B4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pct"/>
          </w:tcPr>
          <w:p w14:paraId="581B1CC7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</w:p>
        </w:tc>
      </w:tr>
      <w:tr w:rsidR="001C63DA" w:rsidRPr="001C63DA" w14:paraId="5EF8D5E9" w14:textId="77777777" w:rsidTr="00554FB0">
        <w:tc>
          <w:tcPr>
            <w:tcW w:w="1677" w:type="pct"/>
          </w:tcPr>
          <w:p w14:paraId="63ADA66B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50 to 74.9</w:t>
            </w:r>
          </w:p>
        </w:tc>
        <w:tc>
          <w:tcPr>
            <w:tcW w:w="1652" w:type="pct"/>
          </w:tcPr>
          <w:p w14:paraId="17D6494A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pct"/>
          </w:tcPr>
          <w:p w14:paraId="12C65D60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Moderately Resistant</w:t>
            </w:r>
          </w:p>
        </w:tc>
      </w:tr>
      <w:tr w:rsidR="001C63DA" w:rsidRPr="001C63DA" w14:paraId="1075DCAF" w14:textId="77777777" w:rsidTr="00554FB0">
        <w:tc>
          <w:tcPr>
            <w:tcW w:w="1677" w:type="pct"/>
          </w:tcPr>
          <w:p w14:paraId="0B3321AA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25 to 49.9</w:t>
            </w:r>
          </w:p>
        </w:tc>
        <w:tc>
          <w:tcPr>
            <w:tcW w:w="1652" w:type="pct"/>
          </w:tcPr>
          <w:p w14:paraId="439F3E50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</w:tcPr>
          <w:p w14:paraId="4F266ECF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Moderately Resistant</w:t>
            </w:r>
          </w:p>
        </w:tc>
      </w:tr>
      <w:tr w:rsidR="001C63DA" w:rsidRPr="001C63DA" w14:paraId="33941180" w14:textId="77777777" w:rsidTr="00554FB0">
        <w:tc>
          <w:tcPr>
            <w:tcW w:w="1677" w:type="pct"/>
          </w:tcPr>
          <w:p w14:paraId="149FE51E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10 to 24.9</w:t>
            </w:r>
          </w:p>
        </w:tc>
        <w:tc>
          <w:tcPr>
            <w:tcW w:w="1652" w:type="pct"/>
          </w:tcPr>
          <w:p w14:paraId="55256492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pct"/>
          </w:tcPr>
          <w:p w14:paraId="1690297B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Moderately Susceptible</w:t>
            </w:r>
          </w:p>
        </w:tc>
      </w:tr>
      <w:tr w:rsidR="001C63DA" w:rsidRPr="001C63DA" w14:paraId="2F63BF18" w14:textId="77777777" w:rsidTr="00554FB0">
        <w:tc>
          <w:tcPr>
            <w:tcW w:w="1677" w:type="pct"/>
          </w:tcPr>
          <w:p w14:paraId="52702FB8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-10 to 9.9</w:t>
            </w:r>
          </w:p>
        </w:tc>
        <w:tc>
          <w:tcPr>
            <w:tcW w:w="1652" w:type="pct"/>
          </w:tcPr>
          <w:p w14:paraId="34E385FA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pct"/>
          </w:tcPr>
          <w:p w14:paraId="1797A363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Moderately Susceptible</w:t>
            </w:r>
          </w:p>
        </w:tc>
      </w:tr>
      <w:tr w:rsidR="001C63DA" w:rsidRPr="001C63DA" w14:paraId="5A82BD4F" w14:textId="77777777" w:rsidTr="00554FB0">
        <w:tc>
          <w:tcPr>
            <w:tcW w:w="1677" w:type="pct"/>
          </w:tcPr>
          <w:p w14:paraId="20A6C30D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-25 to -9.9</w:t>
            </w:r>
          </w:p>
        </w:tc>
        <w:tc>
          <w:tcPr>
            <w:tcW w:w="1652" w:type="pct"/>
          </w:tcPr>
          <w:p w14:paraId="3895A091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pct"/>
          </w:tcPr>
          <w:p w14:paraId="5F3DA228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</w:tr>
      <w:tr w:rsidR="001C63DA" w:rsidRPr="001C63DA" w14:paraId="45E6FB21" w14:textId="77777777" w:rsidTr="00554FB0">
        <w:tc>
          <w:tcPr>
            <w:tcW w:w="1677" w:type="pct"/>
          </w:tcPr>
          <w:p w14:paraId="64A5654D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-50 to -24.9</w:t>
            </w:r>
          </w:p>
        </w:tc>
        <w:tc>
          <w:tcPr>
            <w:tcW w:w="1652" w:type="pct"/>
          </w:tcPr>
          <w:p w14:paraId="382C2080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pct"/>
          </w:tcPr>
          <w:p w14:paraId="0FE7AD10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Highly Susceptible</w:t>
            </w:r>
          </w:p>
        </w:tc>
      </w:tr>
      <w:tr w:rsidR="001C63DA" w:rsidRPr="001C63DA" w14:paraId="09BF28A8" w14:textId="77777777" w:rsidTr="00554FB0">
        <w:tc>
          <w:tcPr>
            <w:tcW w:w="1677" w:type="pct"/>
          </w:tcPr>
          <w:p w14:paraId="493D034B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-50 or less</w:t>
            </w:r>
          </w:p>
        </w:tc>
        <w:tc>
          <w:tcPr>
            <w:tcW w:w="1652" w:type="pct"/>
          </w:tcPr>
          <w:p w14:paraId="44B43A13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pct"/>
          </w:tcPr>
          <w:p w14:paraId="5124BEF9" w14:textId="77777777" w:rsidR="001C63DA" w:rsidRPr="001C63DA" w:rsidRDefault="001C63DA" w:rsidP="008819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DA">
              <w:rPr>
                <w:rFonts w:ascii="Times New Roman" w:hAnsi="Times New Roman" w:cs="Times New Roman"/>
                <w:sz w:val="24"/>
                <w:szCs w:val="24"/>
              </w:rPr>
              <w:t>Highly Susceptible</w:t>
            </w:r>
          </w:p>
        </w:tc>
      </w:tr>
    </w:tbl>
    <w:p w14:paraId="0587727A" w14:textId="77777777" w:rsidR="0070496E" w:rsidRDefault="00CF50FD" w:rsidP="001C63DA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0FD">
        <w:rPr>
          <w:rFonts w:ascii="Times New Roman" w:hAnsi="Times New Roman" w:cs="Times New Roman"/>
          <w:b/>
          <w:bCs/>
          <w:sz w:val="24"/>
          <w:szCs w:val="24"/>
        </w:rPr>
        <w:t>Result and 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3F63B3" w14:textId="77777777" w:rsidR="00E318B7" w:rsidRPr="0095405E" w:rsidRDefault="00E318B7" w:rsidP="00E318B7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5405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Performance</w:t>
      </w:r>
      <w:r w:rsidRPr="0095405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5405E">
        <w:rPr>
          <w:rFonts w:ascii="Times New Roman" w:hAnsi="Times New Roman" w:cs="Times New Roman"/>
          <w:b/>
          <w:sz w:val="24"/>
          <w:szCs w:val="24"/>
        </w:rPr>
        <w:t>pigeonpea</w:t>
      </w:r>
      <w:proofErr w:type="spellEnd"/>
      <w:r w:rsidR="00EC1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05E">
        <w:rPr>
          <w:rFonts w:ascii="Times New Roman" w:hAnsi="Times New Roman" w:cs="Times New Roman"/>
          <w:b/>
          <w:sz w:val="24"/>
          <w:szCs w:val="24"/>
        </w:rPr>
        <w:t xml:space="preserve">genotypes against </w:t>
      </w:r>
      <w:r w:rsidRPr="0095405E">
        <w:rPr>
          <w:rFonts w:ascii="Times New Roman" w:hAnsi="Times New Roman" w:cs="Times New Roman"/>
          <w:b/>
          <w:i/>
          <w:sz w:val="24"/>
          <w:szCs w:val="24"/>
        </w:rPr>
        <w:t>H. armigera</w:t>
      </w:r>
      <w:r w:rsidR="00EC18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405E">
        <w:rPr>
          <w:rFonts w:ascii="Times New Roman" w:hAnsi="Times New Roman" w:cs="Times New Roman"/>
          <w:b/>
          <w:sz w:val="24"/>
          <w:szCs w:val="24"/>
        </w:rPr>
        <w:t xml:space="preserve">during </w:t>
      </w:r>
      <w:r w:rsidRPr="0095405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Kharif, </w:t>
      </w:r>
      <w:r w:rsidRPr="0095405E">
        <w:rPr>
          <w:rFonts w:ascii="Times New Roman" w:hAnsi="Times New Roman" w:cs="Times New Roman"/>
          <w:b/>
          <w:bCs/>
          <w:spacing w:val="-4"/>
          <w:sz w:val="24"/>
          <w:szCs w:val="24"/>
        </w:rPr>
        <w:t>2023-24:</w:t>
      </w:r>
    </w:p>
    <w:p w14:paraId="72E09866" w14:textId="77777777" w:rsidR="00E318B7" w:rsidRDefault="00E318B7" w:rsidP="00E318B7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210BF">
        <w:rPr>
          <w:rFonts w:ascii="Times New Roman" w:hAnsi="Times New Roman" w:cs="Times New Roman"/>
          <w:b/>
          <w:sz w:val="28"/>
          <w:szCs w:val="24"/>
        </w:rPr>
        <w:tab/>
      </w:r>
      <w:r w:rsidRPr="00E318B7">
        <w:rPr>
          <w:rFonts w:ascii="Times New Roman" w:hAnsi="Times New Roman" w:cs="Times New Roman"/>
          <w:sz w:val="24"/>
          <w:szCs w:val="24"/>
        </w:rPr>
        <w:t xml:space="preserve">During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Pr="00E318B7">
        <w:rPr>
          <w:rFonts w:ascii="Times New Roman" w:hAnsi="Times New Roman" w:cs="Times New Roman"/>
          <w:sz w:val="24"/>
          <w:szCs w:val="24"/>
        </w:rPr>
        <w:t xml:space="preserve"> 2023–24, pod </w:t>
      </w:r>
      <w:proofErr w:type="spellStart"/>
      <w:r w:rsidR="0073555D">
        <w:rPr>
          <w:rFonts w:ascii="Times New Roman" w:hAnsi="Times New Roman" w:cs="Times New Roman"/>
          <w:sz w:val="24"/>
          <w:szCs w:val="24"/>
        </w:rPr>
        <w:t>damage</w:t>
      </w:r>
      <w:r w:rsidRPr="00E318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318B7">
        <w:rPr>
          <w:rFonts w:ascii="Times New Roman" w:hAnsi="Times New Roman" w:cs="Times New Roman"/>
          <w:sz w:val="24"/>
          <w:szCs w:val="24"/>
        </w:rPr>
        <w:t xml:space="preserve">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H. armigera</w:t>
      </w:r>
      <w:r w:rsidRPr="00E318B7">
        <w:rPr>
          <w:rFonts w:ascii="Times New Roman" w:hAnsi="Times New Roman" w:cs="Times New Roman"/>
          <w:sz w:val="24"/>
          <w:szCs w:val="24"/>
        </w:rPr>
        <w:t xml:space="preserve"> in various genotypes ranged from 0.00% to 47.50% under natural </w:t>
      </w:r>
      <w:r w:rsidR="0073555D">
        <w:rPr>
          <w:rFonts w:ascii="Times New Roman" w:hAnsi="Times New Roman" w:cs="Times New Roman"/>
          <w:sz w:val="24"/>
          <w:szCs w:val="24"/>
        </w:rPr>
        <w:t>infestation</w:t>
      </w:r>
      <w:r w:rsidRPr="00E318B7">
        <w:rPr>
          <w:rFonts w:ascii="Times New Roman" w:hAnsi="Times New Roman" w:cs="Times New Roman"/>
          <w:sz w:val="24"/>
          <w:szCs w:val="24"/>
        </w:rPr>
        <w:t xml:space="preserve">. </w:t>
      </w:r>
      <w:r w:rsidR="00F35908" w:rsidRPr="00F35908">
        <w:rPr>
          <w:rFonts w:ascii="Times New Roman" w:hAnsi="Times New Roman" w:cs="Times New Roman"/>
          <w:sz w:val="24"/>
          <w:szCs w:val="24"/>
        </w:rPr>
        <w:t>Most of the genotypes recorded per cent pod damage ranging from 0 to 20%</w:t>
      </w:r>
      <w:r w:rsidR="00F35908">
        <w:rPr>
          <w:rFonts w:ascii="Times New Roman" w:hAnsi="Times New Roman" w:cs="Times New Roman"/>
          <w:sz w:val="24"/>
          <w:szCs w:val="24"/>
        </w:rPr>
        <w:t xml:space="preserve"> (Fig. 1). </w:t>
      </w:r>
      <w:r w:rsidRPr="00E318B7">
        <w:rPr>
          <w:rFonts w:ascii="Times New Roman" w:hAnsi="Times New Roman" w:cs="Times New Roman"/>
          <w:sz w:val="24"/>
          <w:szCs w:val="24"/>
        </w:rPr>
        <w:t xml:space="preserve">No pod damage </w:t>
      </w:r>
      <w:r w:rsidR="0073555D">
        <w:rPr>
          <w:rFonts w:ascii="Times New Roman" w:hAnsi="Times New Roman" w:cs="Times New Roman"/>
          <w:sz w:val="24"/>
          <w:szCs w:val="24"/>
        </w:rPr>
        <w:t>was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Pr="00E318B7">
        <w:rPr>
          <w:rFonts w:ascii="Times New Roman" w:hAnsi="Times New Roman" w:cs="Times New Roman"/>
          <w:sz w:val="24"/>
          <w:szCs w:val="24"/>
        </w:rPr>
        <w:t xml:space="preserve">recorded in 3 genotypes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E318B7">
        <w:rPr>
          <w:rFonts w:ascii="Times New Roman" w:hAnsi="Times New Roman" w:cs="Times New Roman"/>
          <w:sz w:val="24"/>
          <w:szCs w:val="24"/>
        </w:rPr>
        <w:t xml:space="preserve"> ICP 16674-1, ICP 60-1, and ICP 8146-1 and minimum pod damage was observed in </w:t>
      </w:r>
      <w:r w:rsidR="0073555D">
        <w:rPr>
          <w:rFonts w:ascii="Times New Roman" w:hAnsi="Times New Roman" w:cs="Times New Roman"/>
          <w:sz w:val="24"/>
          <w:szCs w:val="24"/>
        </w:rPr>
        <w:t xml:space="preserve">the </w:t>
      </w:r>
      <w:r w:rsidRPr="00E318B7">
        <w:rPr>
          <w:rFonts w:ascii="Times New Roman" w:hAnsi="Times New Roman" w:cs="Times New Roman"/>
          <w:sz w:val="24"/>
          <w:szCs w:val="24"/>
        </w:rPr>
        <w:t xml:space="preserve">genotypes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E318B7">
        <w:rPr>
          <w:rFonts w:ascii="Times New Roman" w:hAnsi="Times New Roman" w:cs="Times New Roman"/>
          <w:sz w:val="24"/>
          <w:szCs w:val="24"/>
        </w:rPr>
        <w:t xml:space="preserve"> ICP 939-1 (0.50%)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73555D">
        <w:rPr>
          <w:rFonts w:ascii="Times New Roman" w:hAnsi="Times New Roman" w:cs="Times New Roman"/>
          <w:sz w:val="24"/>
          <w:szCs w:val="24"/>
        </w:rPr>
        <w:t xml:space="preserve">and </w:t>
      </w:r>
      <w:r w:rsidRPr="00E318B7">
        <w:rPr>
          <w:rFonts w:ascii="Times New Roman" w:hAnsi="Times New Roman" w:cs="Times New Roman"/>
          <w:sz w:val="24"/>
          <w:szCs w:val="24"/>
        </w:rPr>
        <w:t>ICP 11281-1(0.50%)</w:t>
      </w:r>
      <w:r w:rsidR="0073555D">
        <w:rPr>
          <w:rFonts w:ascii="Times New Roman" w:hAnsi="Times New Roman" w:cs="Times New Roman"/>
          <w:sz w:val="24"/>
          <w:szCs w:val="24"/>
        </w:rPr>
        <w:t>,</w:t>
      </w:r>
      <w:r w:rsidRPr="00E318B7">
        <w:rPr>
          <w:rFonts w:ascii="Times New Roman" w:hAnsi="Times New Roman" w:cs="Times New Roman"/>
          <w:sz w:val="24"/>
          <w:szCs w:val="24"/>
        </w:rPr>
        <w:t xml:space="preserve"> whereas, maximum </w:t>
      </w:r>
      <w:r w:rsidR="0073555D">
        <w:rPr>
          <w:rFonts w:ascii="Times New Roman" w:hAnsi="Times New Roman" w:cs="Times New Roman"/>
          <w:sz w:val="24"/>
          <w:szCs w:val="24"/>
        </w:rPr>
        <w:t xml:space="preserve">was </w:t>
      </w:r>
      <w:r w:rsidRPr="00E318B7">
        <w:rPr>
          <w:rFonts w:ascii="Times New Roman" w:hAnsi="Times New Roman" w:cs="Times New Roman"/>
          <w:sz w:val="24"/>
          <w:szCs w:val="24"/>
        </w:rPr>
        <w:t>in ICP 7803-1(47.50%) followed by ICP 1535-1 (42.50%)</w:t>
      </w:r>
      <w:r w:rsidR="0073555D">
        <w:rPr>
          <w:rFonts w:ascii="Times New Roman" w:hAnsi="Times New Roman" w:cs="Times New Roman"/>
          <w:sz w:val="24"/>
          <w:szCs w:val="24"/>
        </w:rPr>
        <w:t>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73555D">
        <w:rPr>
          <w:rFonts w:ascii="Times New Roman" w:hAnsi="Times New Roman" w:cs="Times New Roman"/>
          <w:sz w:val="24"/>
          <w:szCs w:val="24"/>
        </w:rPr>
        <w:t xml:space="preserve">Pod damages in </w:t>
      </w:r>
      <w:r w:rsidRPr="00E318B7">
        <w:rPr>
          <w:rFonts w:ascii="Times New Roman" w:hAnsi="Times New Roman" w:cs="Times New Roman"/>
          <w:sz w:val="24"/>
          <w:szCs w:val="24"/>
        </w:rPr>
        <w:t xml:space="preserve">check genotypes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E318B7">
        <w:rPr>
          <w:rFonts w:ascii="Times New Roman" w:hAnsi="Times New Roman" w:cs="Times New Roman"/>
          <w:sz w:val="24"/>
          <w:szCs w:val="24"/>
        </w:rPr>
        <w:t xml:space="preserve"> NA-1, Asha, and IPA-203, were 9.50%, 17.50%, and 5.50%</w:t>
      </w:r>
      <w:r w:rsidR="0073555D">
        <w:rPr>
          <w:rFonts w:ascii="Times New Roman" w:hAnsi="Times New Roman" w:cs="Times New Roman"/>
          <w:sz w:val="24"/>
          <w:szCs w:val="24"/>
        </w:rPr>
        <w:t xml:space="preserve">, </w:t>
      </w:r>
      <w:r w:rsidR="00BB1A1A">
        <w:rPr>
          <w:rFonts w:ascii="Times New Roman" w:hAnsi="Times New Roman" w:cs="Times New Roman"/>
          <w:sz w:val="24"/>
          <w:szCs w:val="24"/>
        </w:rPr>
        <w:t>respectively</w:t>
      </w:r>
      <w:r w:rsidRPr="00E318B7">
        <w:rPr>
          <w:rFonts w:ascii="Times New Roman" w:hAnsi="Times New Roman" w:cs="Times New Roman"/>
          <w:sz w:val="24"/>
          <w:szCs w:val="24"/>
        </w:rPr>
        <w:t>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Pr="00E318B7">
        <w:rPr>
          <w:rFonts w:ascii="Times New Roman" w:hAnsi="Times New Roman" w:cs="Times New Roman"/>
          <w:sz w:val="24"/>
          <w:szCs w:val="24"/>
        </w:rPr>
        <w:t xml:space="preserve">In relation to pest susceptibility </w:t>
      </w:r>
      <w:r w:rsidR="0073555D">
        <w:rPr>
          <w:rFonts w:ascii="Times New Roman" w:hAnsi="Times New Roman" w:cs="Times New Roman"/>
          <w:sz w:val="24"/>
          <w:szCs w:val="24"/>
        </w:rPr>
        <w:t xml:space="preserve">per cent, </w:t>
      </w:r>
      <w:r w:rsidRPr="00E318B7">
        <w:rPr>
          <w:rFonts w:ascii="Times New Roman" w:hAnsi="Times New Roman" w:cs="Times New Roman"/>
          <w:sz w:val="24"/>
          <w:szCs w:val="24"/>
        </w:rPr>
        <w:t xml:space="preserve">three genotypes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E318B7">
        <w:rPr>
          <w:rFonts w:ascii="Times New Roman" w:hAnsi="Times New Roman" w:cs="Times New Roman"/>
          <w:sz w:val="24"/>
          <w:szCs w:val="24"/>
        </w:rPr>
        <w:t xml:space="preserve"> ICP 16674-1, ICP 60-1, and ICP 8146-1 were categorized </w:t>
      </w:r>
      <w:r w:rsidR="0073555D">
        <w:rPr>
          <w:rFonts w:ascii="Times New Roman" w:hAnsi="Times New Roman" w:cs="Times New Roman"/>
          <w:sz w:val="24"/>
          <w:szCs w:val="24"/>
        </w:rPr>
        <w:t xml:space="preserve">as </w:t>
      </w:r>
      <w:r w:rsidRPr="00E318B7">
        <w:rPr>
          <w:rFonts w:ascii="Times New Roman" w:hAnsi="Times New Roman" w:cs="Times New Roman"/>
          <w:sz w:val="24"/>
          <w:szCs w:val="24"/>
        </w:rPr>
        <w:t>highly resistant (HR) with PSR scale of ‘1’(0.00% pod damage) whereas, 17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Pr="00E318B7">
        <w:rPr>
          <w:rFonts w:ascii="Times New Roman" w:hAnsi="Times New Roman" w:cs="Times New Roman"/>
          <w:sz w:val="24"/>
          <w:szCs w:val="24"/>
        </w:rPr>
        <w:t xml:space="preserve">genotypes </w:t>
      </w:r>
      <w:r w:rsidRPr="00E318B7">
        <w:rPr>
          <w:rFonts w:ascii="Times New Roman" w:hAnsi="Times New Roman" w:cs="Times New Roman"/>
          <w:i/>
          <w:iCs/>
          <w:sz w:val="24"/>
          <w:szCs w:val="24"/>
        </w:rPr>
        <w:t xml:space="preserve">viz., </w:t>
      </w:r>
      <w:r w:rsidRPr="00E318B7">
        <w:rPr>
          <w:rFonts w:ascii="Times New Roman" w:hAnsi="Times New Roman" w:cs="Times New Roman"/>
          <w:sz w:val="24"/>
          <w:szCs w:val="24"/>
        </w:rPr>
        <w:t xml:space="preserve">ICP 4307-1, ICP 8618-1, ICP 10276-1, ICP 4029-1, ICP 14120-1, ICP 8242-1, ICP 3451-1, ICP 1279-1, ICP 16264-1, ICP 10531-1, ICPL 20092-1, ICP 9236-1, ICP 14722-1, ICP 8921-1, ICP 9577-1, ICP 1535-1, and ICP 7803-1 were categorized </w:t>
      </w:r>
      <w:r w:rsidR="0073555D">
        <w:rPr>
          <w:rFonts w:ascii="Times New Roman" w:hAnsi="Times New Roman" w:cs="Times New Roman"/>
          <w:sz w:val="24"/>
          <w:szCs w:val="24"/>
        </w:rPr>
        <w:t xml:space="preserve">into </w:t>
      </w:r>
      <w:r w:rsidRPr="00E318B7">
        <w:rPr>
          <w:rFonts w:ascii="Times New Roman" w:hAnsi="Times New Roman" w:cs="Times New Roman"/>
          <w:sz w:val="24"/>
          <w:szCs w:val="24"/>
        </w:rPr>
        <w:t>highly susceptible (HS) with PSR scale of ‘8 to 9’(22.50 to 47.50% pod damage).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AE5403">
        <w:rPr>
          <w:rFonts w:ascii="Times New Roman" w:hAnsi="Times New Roman" w:cs="Times New Roman"/>
          <w:sz w:val="24"/>
          <w:szCs w:val="24"/>
        </w:rPr>
        <w:t xml:space="preserve">However, maximum numbers of the genotypes were recorded with PSR </w:t>
      </w:r>
      <w:r w:rsidR="00F06897">
        <w:rPr>
          <w:rFonts w:ascii="Times New Roman" w:hAnsi="Times New Roman" w:cs="Times New Roman"/>
          <w:sz w:val="24"/>
          <w:szCs w:val="24"/>
        </w:rPr>
        <w:t>‘</w:t>
      </w:r>
      <w:r w:rsidR="00AE5403">
        <w:rPr>
          <w:rFonts w:ascii="Times New Roman" w:hAnsi="Times New Roman" w:cs="Times New Roman"/>
          <w:sz w:val="24"/>
          <w:szCs w:val="24"/>
        </w:rPr>
        <w:t>3</w:t>
      </w:r>
      <w:r w:rsidR="00F06897">
        <w:rPr>
          <w:rFonts w:ascii="Times New Roman" w:hAnsi="Times New Roman" w:cs="Times New Roman"/>
          <w:sz w:val="24"/>
          <w:szCs w:val="24"/>
        </w:rPr>
        <w:t>’ (Moderately Resistant)</w:t>
      </w:r>
      <w:r w:rsidR="00AE5403">
        <w:rPr>
          <w:rFonts w:ascii="Times New Roman" w:hAnsi="Times New Roman" w:cs="Times New Roman"/>
          <w:sz w:val="24"/>
          <w:szCs w:val="24"/>
        </w:rPr>
        <w:t xml:space="preserve"> (Fig 2). </w:t>
      </w:r>
      <w:r w:rsidR="001F372A">
        <w:rPr>
          <w:rFonts w:ascii="Times New Roman" w:hAnsi="Times New Roman" w:cs="Times New Roman"/>
          <w:sz w:val="24"/>
          <w:szCs w:val="24"/>
        </w:rPr>
        <w:t xml:space="preserve">Significant variations were also observed in case of grain damage across genotypes (Fig 1). </w:t>
      </w:r>
      <w:r w:rsidR="003A67D7" w:rsidRPr="003A67D7">
        <w:rPr>
          <w:rFonts w:ascii="Times New Roman" w:hAnsi="Times New Roman" w:cs="Times New Roman"/>
          <w:sz w:val="24"/>
          <w:szCs w:val="24"/>
        </w:rPr>
        <w:t xml:space="preserve">The minimum grain damage was recorded in genotype ICP 9045(1.00%) which was found at par with ICP68151 (5.55%) whereas, the maximum </w:t>
      </w:r>
      <w:r w:rsidR="0073555D">
        <w:rPr>
          <w:rFonts w:ascii="Times New Roman" w:hAnsi="Times New Roman" w:cs="Times New Roman"/>
          <w:sz w:val="24"/>
          <w:szCs w:val="24"/>
        </w:rPr>
        <w:t xml:space="preserve">was </w:t>
      </w:r>
      <w:r w:rsidR="003A67D7" w:rsidRPr="003A67D7">
        <w:rPr>
          <w:rFonts w:ascii="Times New Roman" w:hAnsi="Times New Roman" w:cs="Times New Roman"/>
          <w:sz w:val="24"/>
          <w:szCs w:val="24"/>
        </w:rPr>
        <w:t>in genotype ICP 4029-1 with 21.41 per cent followed by ICP 7314-1(18.01%).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3A67D7" w:rsidRPr="001F372A">
        <w:rPr>
          <w:rFonts w:ascii="Times New Roman" w:hAnsi="Times New Roman" w:cs="Times New Roman"/>
          <w:sz w:val="24"/>
          <w:szCs w:val="24"/>
        </w:rPr>
        <w:t>Significant differences were observed in the grain yield of different genotypes ranging from 71.11 kg/ha in the genotype ICP 7076-1 to 5066.62 kg/ha in ICP 12515-1.</w:t>
      </w:r>
      <w:r w:rsidR="003A67D7" w:rsidRPr="003A67D7">
        <w:rPr>
          <w:rFonts w:ascii="Times New Roman" w:hAnsi="Times New Roman" w:cs="Times New Roman"/>
          <w:sz w:val="24"/>
          <w:szCs w:val="22"/>
        </w:rPr>
        <w:tab/>
      </w:r>
    </w:p>
    <w:p w14:paraId="2D43811C" w14:textId="77777777" w:rsidR="003A67D7" w:rsidRPr="0095405E" w:rsidRDefault="003A67D7" w:rsidP="003A67D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5405E">
        <w:rPr>
          <w:rFonts w:ascii="Times New Roman" w:hAnsi="Times New Roman" w:cs="Times New Roman"/>
          <w:b/>
          <w:bCs/>
          <w:sz w:val="24"/>
          <w:szCs w:val="24"/>
        </w:rPr>
        <w:t>Performance</w:t>
      </w:r>
      <w:r w:rsidRPr="0095405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5405E">
        <w:rPr>
          <w:rFonts w:ascii="Times New Roman" w:hAnsi="Times New Roman" w:cs="Times New Roman"/>
          <w:b/>
          <w:sz w:val="24"/>
          <w:szCs w:val="24"/>
        </w:rPr>
        <w:t>pigeonpea</w:t>
      </w:r>
      <w:proofErr w:type="spellEnd"/>
      <w:r w:rsidRPr="0095405E">
        <w:rPr>
          <w:rFonts w:ascii="Times New Roman" w:hAnsi="Times New Roman" w:cs="Times New Roman"/>
          <w:b/>
          <w:sz w:val="24"/>
          <w:szCs w:val="24"/>
        </w:rPr>
        <w:t xml:space="preserve"> genotypes against </w:t>
      </w:r>
      <w:r w:rsidRPr="0095405E">
        <w:rPr>
          <w:rFonts w:ascii="Times New Roman" w:hAnsi="Times New Roman" w:cs="Times New Roman"/>
          <w:b/>
          <w:i/>
          <w:sz w:val="24"/>
          <w:szCs w:val="24"/>
        </w:rPr>
        <w:t>H. armigera</w:t>
      </w:r>
      <w:r w:rsidR="00EC18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405E">
        <w:rPr>
          <w:rFonts w:ascii="Times New Roman" w:hAnsi="Times New Roman" w:cs="Times New Roman"/>
          <w:b/>
          <w:sz w:val="24"/>
          <w:szCs w:val="24"/>
        </w:rPr>
        <w:t xml:space="preserve">during </w:t>
      </w:r>
      <w:r w:rsidRPr="0095405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Kharif, </w:t>
      </w:r>
      <w:r w:rsidRPr="0095405E">
        <w:rPr>
          <w:rFonts w:ascii="Times New Roman" w:hAnsi="Times New Roman" w:cs="Times New Roman"/>
          <w:b/>
          <w:bCs/>
          <w:spacing w:val="-4"/>
          <w:sz w:val="24"/>
          <w:szCs w:val="24"/>
        </w:rPr>
        <w:t>2024-25:</w:t>
      </w:r>
    </w:p>
    <w:p w14:paraId="11BCD2FC" w14:textId="77777777" w:rsidR="003A67D7" w:rsidRDefault="003A67D7" w:rsidP="003A67D7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7D7">
        <w:rPr>
          <w:rFonts w:ascii="Times New Roman" w:hAnsi="Times New Roman" w:cs="Times New Roman"/>
          <w:sz w:val="24"/>
          <w:szCs w:val="24"/>
        </w:rPr>
        <w:t xml:space="preserve">The per cent pod damage during the </w:t>
      </w:r>
      <w:r w:rsidRPr="003A67D7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Pr="003A67D7">
        <w:rPr>
          <w:rFonts w:ascii="Times New Roman" w:hAnsi="Times New Roman" w:cs="Times New Roman"/>
          <w:sz w:val="24"/>
          <w:szCs w:val="24"/>
        </w:rPr>
        <w:t xml:space="preserve"> 2024–25 varied significantly among the test genotypes, which ranged from 1.00% to 53.50%. </w:t>
      </w:r>
      <w:r w:rsidR="001F372A">
        <w:rPr>
          <w:rFonts w:ascii="Times New Roman" w:hAnsi="Times New Roman" w:cs="Times New Roman"/>
          <w:sz w:val="24"/>
          <w:szCs w:val="24"/>
        </w:rPr>
        <w:t xml:space="preserve">Most of the genotypes recorded per cent pod damage between 0 to 20% (Fig 1). </w:t>
      </w:r>
      <w:r w:rsidRPr="003A67D7">
        <w:rPr>
          <w:rFonts w:ascii="Times New Roman" w:hAnsi="Times New Roman" w:cs="Times New Roman"/>
          <w:sz w:val="24"/>
          <w:szCs w:val="24"/>
        </w:rPr>
        <w:t>The minimum pod damage was recorded in the genotype ICP 4715-1 (1.00%),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Pr="003A67D7">
        <w:rPr>
          <w:rFonts w:ascii="Times New Roman" w:hAnsi="Times New Roman" w:cs="Times New Roman"/>
          <w:sz w:val="24"/>
          <w:szCs w:val="24"/>
        </w:rPr>
        <w:t xml:space="preserve">which was found at par with </w:t>
      </w:r>
      <w:r w:rsidRPr="003A67D7">
        <w:rPr>
          <w:rFonts w:ascii="Times New Roman" w:eastAsia="Times New Roman" w:hAnsi="Times New Roman" w:cs="Times New Roman"/>
          <w:color w:val="000000"/>
          <w:sz w:val="24"/>
          <w:szCs w:val="24"/>
        </w:rPr>
        <w:t>ICP 1071-1 (1.5%)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67D7">
        <w:rPr>
          <w:rFonts w:ascii="Times New Roman" w:hAnsi="Times New Roman" w:cs="Times New Roman"/>
          <w:sz w:val="24"/>
          <w:szCs w:val="24"/>
        </w:rPr>
        <w:t xml:space="preserve">Maximum </w:t>
      </w:r>
      <w:r w:rsidR="00D17FB6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="00D17FB6">
        <w:rPr>
          <w:rFonts w:ascii="Times New Roman" w:hAnsi="Times New Roman" w:cs="Times New Roman"/>
          <w:sz w:val="24"/>
          <w:szCs w:val="24"/>
        </w:rPr>
        <w:t>damage</w:t>
      </w:r>
      <w:r w:rsidRPr="003A67D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A67D7">
        <w:rPr>
          <w:rFonts w:ascii="Times New Roman" w:hAnsi="Times New Roman" w:cs="Times New Roman"/>
          <w:sz w:val="24"/>
          <w:szCs w:val="24"/>
        </w:rPr>
        <w:t xml:space="preserve"> recorded in ICP 1535-1(53.50%) followed by ICP 7803-1(</w:t>
      </w:r>
      <w:r w:rsidRPr="003A67D7">
        <w:rPr>
          <w:rFonts w:ascii="Times New Roman" w:eastAsia="Times New Roman" w:hAnsi="Times New Roman" w:cs="Times New Roman"/>
          <w:color w:val="000000"/>
          <w:sz w:val="24"/>
          <w:szCs w:val="24"/>
        </w:rPr>
        <w:t>43.50%) and ICP 14722-1(42.00%)</w:t>
      </w:r>
      <w:r w:rsidR="00D17F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FB6">
        <w:rPr>
          <w:rFonts w:ascii="Times New Roman" w:hAnsi="Times New Roman" w:cs="Times New Roman"/>
          <w:sz w:val="24"/>
          <w:szCs w:val="24"/>
        </w:rPr>
        <w:t>Pod damages in</w:t>
      </w:r>
      <w:r w:rsidRPr="003A67D7">
        <w:rPr>
          <w:rFonts w:ascii="Times New Roman" w:hAnsi="Times New Roman" w:cs="Times New Roman"/>
          <w:sz w:val="24"/>
          <w:szCs w:val="24"/>
        </w:rPr>
        <w:t xml:space="preserve"> check genotypes </w:t>
      </w:r>
      <w:r w:rsidRPr="003A67D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3A67D7">
        <w:rPr>
          <w:rFonts w:ascii="Times New Roman" w:hAnsi="Times New Roman" w:cs="Times New Roman"/>
          <w:sz w:val="24"/>
          <w:szCs w:val="24"/>
        </w:rPr>
        <w:t xml:space="preserve"> NA-1, Asha, and IPA-203, were 7.00%, 22.25%, and 6.13%, respectively.</w:t>
      </w:r>
      <w:r w:rsidR="00EC1868">
        <w:rPr>
          <w:rFonts w:ascii="Times New Roman" w:hAnsi="Times New Roman" w:cs="Times New Roman"/>
          <w:sz w:val="24"/>
          <w:szCs w:val="24"/>
        </w:rPr>
        <w:t xml:space="preserve"> </w:t>
      </w:r>
      <w:r w:rsidR="00ED3ED5">
        <w:rPr>
          <w:rFonts w:ascii="Times New Roman" w:hAnsi="Times New Roman" w:cs="Times New Roman"/>
          <w:sz w:val="24"/>
          <w:szCs w:val="24"/>
        </w:rPr>
        <w:t xml:space="preserve">On the basis </w:t>
      </w:r>
      <w:proofErr w:type="spellStart"/>
      <w:r w:rsidR="00ED3ED5">
        <w:rPr>
          <w:rFonts w:ascii="Times New Roman" w:hAnsi="Times New Roman" w:cs="Times New Roman"/>
          <w:sz w:val="24"/>
          <w:szCs w:val="24"/>
        </w:rPr>
        <w:t>ofper</w:t>
      </w:r>
      <w:proofErr w:type="spellEnd"/>
      <w:r w:rsidR="00ED3ED5">
        <w:rPr>
          <w:rFonts w:ascii="Times New Roman" w:hAnsi="Times New Roman" w:cs="Times New Roman"/>
          <w:sz w:val="24"/>
          <w:szCs w:val="24"/>
        </w:rPr>
        <w:t xml:space="preserve"> cent </w:t>
      </w:r>
      <w:r w:rsidRPr="003A67D7">
        <w:rPr>
          <w:rFonts w:ascii="Times New Roman" w:hAnsi="Times New Roman" w:cs="Times New Roman"/>
          <w:sz w:val="24"/>
          <w:szCs w:val="24"/>
        </w:rPr>
        <w:t xml:space="preserve">pest susceptibility, twenty six genotypes </w:t>
      </w:r>
      <w:r w:rsidRPr="003A67D7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3A67D7">
        <w:rPr>
          <w:rFonts w:ascii="Times New Roman" w:hAnsi="Times New Roman" w:cs="Times New Roman"/>
          <w:sz w:val="24"/>
          <w:szCs w:val="24"/>
        </w:rPr>
        <w:t xml:space="preserve"> ICP 4715-1, ICP 9049-1, ICPL 20201-1, ICP 939-1, ICP 8146-1, ICP</w:t>
      </w:r>
      <w:r w:rsidR="00BB1A1A">
        <w:rPr>
          <w:rFonts w:ascii="Times New Roman" w:hAnsi="Times New Roman" w:cs="Times New Roman"/>
          <w:sz w:val="24"/>
          <w:szCs w:val="24"/>
        </w:rPr>
        <w:t xml:space="preserve"> 9891-1, ICP 7896-1, ICP 7028-1</w:t>
      </w:r>
      <w:r w:rsidRPr="003A67D7">
        <w:rPr>
          <w:rFonts w:ascii="Times New Roman" w:hAnsi="Times New Roman" w:cs="Times New Roman"/>
          <w:sz w:val="24"/>
          <w:szCs w:val="24"/>
        </w:rPr>
        <w:t xml:space="preserve">, ICP 16674-1, ICP 4903-1, ICP 7426-7, ICP 10613-1, ICP 7076-1, ICP 11259-1, ICP 6990-1, ICP 8211-1, ICP 9252-1, ICP 11230-1, ICP 13906-1, ICP </w:t>
      </w:r>
      <w:r w:rsidRPr="003A67D7">
        <w:rPr>
          <w:rFonts w:ascii="Times New Roman" w:hAnsi="Times New Roman" w:cs="Times New Roman"/>
          <w:sz w:val="24"/>
          <w:szCs w:val="24"/>
        </w:rPr>
        <w:lastRenderedPageBreak/>
        <w:t xml:space="preserve">13304-1, ICP 4266-1, ICP 655-1, ICP 9045-1, ICP 11833-1, ICP 6359-1, and ICP 10503-1were categorized as resistant (R) with PSR scale of ‘2’(1.00 to 5.50% pod damage) whereas, ten genotypes </w:t>
      </w:r>
      <w:r w:rsidRPr="003A67D7">
        <w:rPr>
          <w:rFonts w:ascii="Times New Roman" w:hAnsi="Times New Roman" w:cs="Times New Roman"/>
          <w:i/>
          <w:iCs/>
          <w:sz w:val="24"/>
          <w:szCs w:val="24"/>
        </w:rPr>
        <w:t xml:space="preserve">viz., </w:t>
      </w:r>
      <w:r w:rsidRPr="003A67D7">
        <w:rPr>
          <w:rFonts w:ascii="Times New Roman" w:hAnsi="Times New Roman" w:cs="Times New Roman"/>
          <w:sz w:val="24"/>
          <w:szCs w:val="24"/>
        </w:rPr>
        <w:t>ICP 9577-1, ICP 4307-1, ICP 14120-1, ICP 14294-1, ICP 10531-1, ICP 3451-1, ICP 8921-1, ICP 14722-1, ICP 7803-1and ICP 1535-1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Pr="003A67D7">
        <w:rPr>
          <w:rFonts w:ascii="Times New Roman" w:hAnsi="Times New Roman" w:cs="Times New Roman"/>
          <w:sz w:val="24"/>
          <w:szCs w:val="24"/>
        </w:rPr>
        <w:t xml:space="preserve">were categorized </w:t>
      </w:r>
      <w:r w:rsidR="00E31D9C">
        <w:rPr>
          <w:rFonts w:ascii="Times New Roman" w:hAnsi="Times New Roman" w:cs="Times New Roman"/>
          <w:sz w:val="24"/>
          <w:szCs w:val="24"/>
        </w:rPr>
        <w:t xml:space="preserve">as </w:t>
      </w:r>
      <w:r w:rsidRPr="003A67D7">
        <w:rPr>
          <w:rFonts w:ascii="Times New Roman" w:hAnsi="Times New Roman" w:cs="Times New Roman"/>
          <w:sz w:val="24"/>
          <w:szCs w:val="24"/>
        </w:rPr>
        <w:t>highly susceptible (HS) with PSR scale of ‘8 to 9’(30.00 to 53.50% pod damage).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D70C74">
        <w:rPr>
          <w:rFonts w:ascii="Times New Roman" w:hAnsi="Times New Roman" w:cs="Times New Roman"/>
          <w:sz w:val="24"/>
          <w:szCs w:val="24"/>
        </w:rPr>
        <w:t>Most of the genotypes were ob</w:t>
      </w:r>
      <w:r w:rsidR="00FE1688">
        <w:rPr>
          <w:rFonts w:ascii="Times New Roman" w:hAnsi="Times New Roman" w:cs="Times New Roman"/>
          <w:sz w:val="24"/>
          <w:szCs w:val="24"/>
        </w:rPr>
        <w:t xml:space="preserve">served with PSR ‘2’, ‘3’ and ‘4’ (Fig. 2). </w:t>
      </w:r>
      <w:r w:rsidRPr="00470BC9">
        <w:rPr>
          <w:rFonts w:ascii="Times New Roman" w:hAnsi="Times New Roman" w:cs="Times New Roman"/>
          <w:sz w:val="24"/>
          <w:szCs w:val="24"/>
        </w:rPr>
        <w:t xml:space="preserve">The minimum grain damage was recorded in genotype </w:t>
      </w:r>
      <w:r w:rsidRPr="00470BC9">
        <w:rPr>
          <w:rFonts w:ascii="Times New Roman" w:hAnsi="Times New Roman" w:cs="Times New Roman"/>
          <w:i/>
          <w:iCs/>
          <w:sz w:val="24"/>
          <w:szCs w:val="24"/>
        </w:rPr>
        <w:t xml:space="preserve">viz., </w:t>
      </w:r>
      <w:r w:rsidRPr="00470BC9">
        <w:rPr>
          <w:rFonts w:ascii="Times New Roman" w:hAnsi="Times New Roman" w:cs="Times New Roman"/>
          <w:sz w:val="24"/>
          <w:szCs w:val="24"/>
        </w:rPr>
        <w:t xml:space="preserve">ICP 9577-1(1.95%) </w:t>
      </w:r>
      <w:r w:rsidR="00470BC9" w:rsidRPr="00470BC9">
        <w:rPr>
          <w:rFonts w:ascii="Times New Roman" w:hAnsi="Times New Roman" w:cs="Times New Roman"/>
          <w:sz w:val="24"/>
          <w:szCs w:val="24"/>
        </w:rPr>
        <w:t xml:space="preserve">followed by ICP 16674-1(2.24%) and ICP 6992-1(2.29%) whereas, maximum </w:t>
      </w:r>
      <w:r w:rsidR="00E31D9C">
        <w:rPr>
          <w:rFonts w:ascii="Times New Roman" w:hAnsi="Times New Roman" w:cs="Times New Roman"/>
          <w:sz w:val="24"/>
          <w:szCs w:val="24"/>
        </w:rPr>
        <w:t xml:space="preserve">was recorded </w:t>
      </w:r>
      <w:r w:rsidR="00470BC9" w:rsidRPr="00470BC9">
        <w:rPr>
          <w:rFonts w:ascii="Times New Roman" w:hAnsi="Times New Roman" w:cs="Times New Roman"/>
          <w:sz w:val="24"/>
          <w:szCs w:val="24"/>
        </w:rPr>
        <w:t xml:space="preserve">in </w:t>
      </w:r>
      <w:r w:rsidRPr="00470BC9">
        <w:rPr>
          <w:rFonts w:ascii="Times New Roman" w:hAnsi="Times New Roman" w:cs="Times New Roman"/>
          <w:sz w:val="24"/>
          <w:szCs w:val="24"/>
        </w:rPr>
        <w:t>ICP 13244-1(19.97%)</w:t>
      </w:r>
      <w:r w:rsidR="00470BC9" w:rsidRPr="00470BC9">
        <w:rPr>
          <w:rFonts w:ascii="Times New Roman" w:hAnsi="Times New Roman" w:cs="Times New Roman"/>
          <w:sz w:val="24"/>
          <w:szCs w:val="24"/>
        </w:rPr>
        <w:t>.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470BC9" w:rsidRPr="00470BC9">
        <w:rPr>
          <w:rFonts w:ascii="Times New Roman" w:hAnsi="Times New Roman" w:cs="Times New Roman"/>
          <w:sz w:val="24"/>
          <w:szCs w:val="24"/>
        </w:rPr>
        <w:t>Significant differences were observed in the grain yield among the different genotypes</w:t>
      </w:r>
      <w:r w:rsidR="00EC534E">
        <w:rPr>
          <w:rFonts w:ascii="Times New Roman" w:hAnsi="Times New Roman" w:cs="Times New Roman"/>
          <w:sz w:val="24"/>
          <w:szCs w:val="24"/>
        </w:rPr>
        <w:t xml:space="preserve"> (Fig. 2)</w:t>
      </w:r>
      <w:r w:rsidR="00470BC9" w:rsidRPr="00470BC9">
        <w:rPr>
          <w:rFonts w:ascii="Times New Roman" w:hAnsi="Times New Roman" w:cs="Times New Roman"/>
          <w:sz w:val="24"/>
          <w:szCs w:val="24"/>
        </w:rPr>
        <w:t>, which ranged from 98.23kg/ha in the genotype ICP 7076-1</w:t>
      </w:r>
      <w:r w:rsidR="003067D4">
        <w:rPr>
          <w:rFonts w:ascii="Times New Roman" w:hAnsi="Times New Roman" w:cs="Times New Roman"/>
          <w:sz w:val="24"/>
          <w:szCs w:val="24"/>
        </w:rPr>
        <w:t xml:space="preserve"> to 5066.62 kg/ha in ICP 12515-1.</w:t>
      </w:r>
    </w:p>
    <w:p w14:paraId="13F6CFC9" w14:textId="77777777" w:rsidR="00470BC9" w:rsidRPr="00F8744D" w:rsidRDefault="00F13E4D" w:rsidP="003A67D7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8744D">
        <w:rPr>
          <w:rFonts w:ascii="Times New Roman" w:hAnsi="Times New Roman" w:cs="Times New Roman"/>
          <w:b/>
          <w:bCs/>
          <w:sz w:val="24"/>
          <w:szCs w:val="24"/>
        </w:rPr>
        <w:t>Overall performance</w:t>
      </w:r>
      <w:r w:rsidR="00F67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BC9" w:rsidRPr="00F8744D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470BC9" w:rsidRPr="00F8744D">
        <w:rPr>
          <w:rFonts w:ascii="Times New Roman" w:hAnsi="Times New Roman" w:cs="Times New Roman"/>
          <w:b/>
          <w:sz w:val="24"/>
          <w:szCs w:val="24"/>
        </w:rPr>
        <w:t>pigeonpea</w:t>
      </w:r>
      <w:proofErr w:type="spellEnd"/>
      <w:r w:rsidR="00470BC9" w:rsidRPr="00F8744D">
        <w:rPr>
          <w:rFonts w:ascii="Times New Roman" w:hAnsi="Times New Roman" w:cs="Times New Roman"/>
          <w:b/>
          <w:sz w:val="24"/>
          <w:szCs w:val="24"/>
        </w:rPr>
        <w:t xml:space="preserve"> genotypes against </w:t>
      </w:r>
      <w:r w:rsidR="00470BC9" w:rsidRPr="00F8744D">
        <w:rPr>
          <w:rFonts w:ascii="Times New Roman" w:hAnsi="Times New Roman" w:cs="Times New Roman"/>
          <w:b/>
          <w:i/>
          <w:sz w:val="24"/>
          <w:szCs w:val="24"/>
        </w:rPr>
        <w:t>H. armigera</w:t>
      </w:r>
      <w:r w:rsidR="00F674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744D">
        <w:rPr>
          <w:rFonts w:ascii="Times New Roman" w:hAnsi="Times New Roman" w:cs="Times New Roman"/>
          <w:b/>
          <w:iCs/>
          <w:spacing w:val="-2"/>
          <w:sz w:val="24"/>
          <w:szCs w:val="24"/>
        </w:rPr>
        <w:t>(</w:t>
      </w:r>
      <w:r w:rsidR="00470BC9" w:rsidRPr="00F8744D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pooled </w:t>
      </w:r>
      <w:r w:rsidRPr="00F8744D">
        <w:rPr>
          <w:rFonts w:ascii="Times New Roman" w:hAnsi="Times New Roman" w:cs="Times New Roman"/>
          <w:b/>
          <w:iCs/>
          <w:spacing w:val="-2"/>
          <w:sz w:val="24"/>
          <w:szCs w:val="24"/>
        </w:rPr>
        <w:t>data-</w:t>
      </w:r>
      <w:r w:rsidR="00470BC9" w:rsidRPr="00F8744D">
        <w:rPr>
          <w:rFonts w:ascii="Times New Roman" w:hAnsi="Times New Roman" w:cs="Times New Roman"/>
          <w:b/>
          <w:iCs/>
          <w:spacing w:val="-2"/>
          <w:sz w:val="24"/>
          <w:szCs w:val="24"/>
        </w:rPr>
        <w:t>2023-24 and</w:t>
      </w:r>
      <w:r w:rsidR="00F674C1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="00470BC9" w:rsidRPr="00F8744D">
        <w:rPr>
          <w:rFonts w:ascii="Times New Roman" w:hAnsi="Times New Roman" w:cs="Times New Roman"/>
          <w:b/>
          <w:bCs/>
          <w:spacing w:val="-4"/>
          <w:sz w:val="24"/>
          <w:szCs w:val="24"/>
        </w:rPr>
        <w:t>2024-25</w:t>
      </w:r>
      <w:r w:rsidRPr="00F8744D">
        <w:rPr>
          <w:rFonts w:ascii="Times New Roman" w:hAnsi="Times New Roman" w:cs="Times New Roman"/>
          <w:b/>
          <w:bCs/>
          <w:spacing w:val="-4"/>
          <w:sz w:val="24"/>
          <w:szCs w:val="24"/>
        </w:rPr>
        <w:t>)</w:t>
      </w:r>
      <w:r w:rsidR="00470BC9" w:rsidRPr="00F8744D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14:paraId="7E8E1B5F" w14:textId="77777777" w:rsidR="00470BC9" w:rsidRDefault="00470BC9" w:rsidP="00470B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6D6E">
        <w:rPr>
          <w:rFonts w:ascii="Times New Roman" w:hAnsi="Times New Roman" w:cs="Times New Roman"/>
          <w:sz w:val="24"/>
          <w:szCs w:val="24"/>
        </w:rPr>
        <w:t>The per cent of pod damage</w:t>
      </w:r>
      <w:r w:rsidR="00FB242A">
        <w:rPr>
          <w:rFonts w:ascii="Times New Roman" w:hAnsi="Times New Roman" w:cs="Times New Roman"/>
          <w:sz w:val="24"/>
          <w:szCs w:val="24"/>
        </w:rPr>
        <w:t>,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FB242A">
        <w:rPr>
          <w:rFonts w:ascii="Times New Roman" w:hAnsi="Times New Roman" w:cs="Times New Roman"/>
          <w:sz w:val="24"/>
          <w:szCs w:val="24"/>
        </w:rPr>
        <w:t>as per the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Pr="000B6D6E">
        <w:rPr>
          <w:rFonts w:ascii="Times New Roman" w:hAnsi="Times New Roman" w:cs="Times New Roman"/>
          <w:sz w:val="24"/>
          <w:szCs w:val="24"/>
        </w:rPr>
        <w:t xml:space="preserve">pooled </w:t>
      </w:r>
      <w:r w:rsidR="00FB242A">
        <w:rPr>
          <w:rFonts w:ascii="Times New Roman" w:hAnsi="Times New Roman" w:cs="Times New Roman"/>
          <w:sz w:val="24"/>
          <w:szCs w:val="24"/>
        </w:rPr>
        <w:t xml:space="preserve">data of </w:t>
      </w:r>
      <w:r w:rsidRPr="000B6D6E">
        <w:rPr>
          <w:rFonts w:ascii="Times New Roman" w:hAnsi="Times New Roman" w:cs="Times New Roman"/>
          <w:sz w:val="24"/>
          <w:szCs w:val="24"/>
        </w:rPr>
        <w:t>2023-24 and 2024–25</w:t>
      </w:r>
      <w:r w:rsidR="00FB242A">
        <w:rPr>
          <w:rFonts w:ascii="Times New Roman" w:hAnsi="Times New Roman" w:cs="Times New Roman"/>
          <w:sz w:val="24"/>
          <w:szCs w:val="24"/>
        </w:rPr>
        <w:t>,</w:t>
      </w:r>
      <w:r w:rsidRPr="000B6D6E">
        <w:rPr>
          <w:rFonts w:ascii="Times New Roman" w:hAnsi="Times New Roman" w:cs="Times New Roman"/>
          <w:sz w:val="24"/>
          <w:szCs w:val="24"/>
        </w:rPr>
        <w:t xml:space="preserve"> varied significantly among the test </w:t>
      </w:r>
      <w:proofErr w:type="spellStart"/>
      <w:r w:rsidRPr="000B6D6E">
        <w:rPr>
          <w:rFonts w:ascii="Times New Roman" w:hAnsi="Times New Roman" w:cs="Times New Roman"/>
          <w:sz w:val="24"/>
          <w:szCs w:val="24"/>
        </w:rPr>
        <w:t>genotypes</w:t>
      </w:r>
      <w:r w:rsidR="00FB242A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0B6D6E">
        <w:rPr>
          <w:rFonts w:ascii="Times New Roman" w:hAnsi="Times New Roman" w:cs="Times New Roman"/>
          <w:sz w:val="24"/>
          <w:szCs w:val="24"/>
        </w:rPr>
        <w:t xml:space="preserve"> from 1.25% to 48.00%. The minimum pod damage was recorded in the genotype ICP 8146-1(1.25%</w:t>
      </w:r>
      <w:proofErr w:type="gramStart"/>
      <w:r w:rsidRPr="000B6D6E">
        <w:rPr>
          <w:rFonts w:ascii="Times New Roman" w:hAnsi="Times New Roman" w:cs="Times New Roman"/>
          <w:sz w:val="24"/>
          <w:szCs w:val="24"/>
        </w:rPr>
        <w:t>),which</w:t>
      </w:r>
      <w:proofErr w:type="gramEnd"/>
      <w:r w:rsidRPr="000B6D6E">
        <w:rPr>
          <w:rFonts w:ascii="Times New Roman" w:hAnsi="Times New Roman" w:cs="Times New Roman"/>
          <w:sz w:val="24"/>
          <w:szCs w:val="24"/>
        </w:rPr>
        <w:t xml:space="preserve"> was found at par with </w:t>
      </w:r>
      <w:r w:rsidRPr="000B6D6E">
        <w:rPr>
          <w:rFonts w:ascii="Times New Roman" w:eastAsia="Times New Roman" w:hAnsi="Times New Roman" w:cs="Times New Roman"/>
          <w:color w:val="000000"/>
          <w:sz w:val="24"/>
          <w:szCs w:val="24"/>
        </w:rPr>
        <w:t>ICP 10654-1(9.00%)</w:t>
      </w:r>
      <w:r w:rsidRPr="000B6D6E">
        <w:rPr>
          <w:rFonts w:ascii="Times New Roman" w:hAnsi="Times New Roman" w:cs="Times New Roman"/>
          <w:sz w:val="24"/>
          <w:szCs w:val="24"/>
        </w:rPr>
        <w:t xml:space="preserve"> whereas, maximum </w:t>
      </w:r>
      <w:r w:rsidR="00FB242A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="00FB242A">
        <w:rPr>
          <w:rFonts w:ascii="Times New Roman" w:hAnsi="Times New Roman" w:cs="Times New Roman"/>
          <w:sz w:val="24"/>
          <w:szCs w:val="24"/>
        </w:rPr>
        <w:t>damage</w:t>
      </w:r>
      <w:r w:rsidRPr="000B6D6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B6D6E">
        <w:rPr>
          <w:rFonts w:ascii="Times New Roman" w:hAnsi="Times New Roman" w:cs="Times New Roman"/>
          <w:sz w:val="24"/>
          <w:szCs w:val="24"/>
        </w:rPr>
        <w:t xml:space="preserve"> recorded in ICP 1535-1 (48.00%) followed by ICP 7803-1(</w:t>
      </w:r>
      <w:r w:rsidRPr="000B6D6E">
        <w:rPr>
          <w:rFonts w:ascii="Times New Roman" w:eastAsia="Times New Roman" w:hAnsi="Times New Roman" w:cs="Times New Roman"/>
          <w:color w:val="000000"/>
          <w:sz w:val="24"/>
          <w:szCs w:val="24"/>
        </w:rPr>
        <w:t>45.50%) and ICP 14722-1(40.75%)</w:t>
      </w:r>
      <w:r w:rsidR="00006D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6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6DCE">
        <w:rPr>
          <w:rFonts w:ascii="Times New Roman" w:hAnsi="Times New Roman" w:cs="Times New Roman"/>
          <w:sz w:val="24"/>
          <w:szCs w:val="24"/>
        </w:rPr>
        <w:t>Per cent pod damage in</w:t>
      </w:r>
      <w:r w:rsidRPr="000B6D6E">
        <w:rPr>
          <w:rFonts w:ascii="Times New Roman" w:hAnsi="Times New Roman" w:cs="Times New Roman"/>
          <w:sz w:val="24"/>
          <w:szCs w:val="24"/>
        </w:rPr>
        <w:t xml:space="preserve"> check genotypes </w:t>
      </w:r>
      <w:r w:rsidRPr="000B6D6E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0B6D6E">
        <w:rPr>
          <w:rFonts w:ascii="Times New Roman" w:hAnsi="Times New Roman" w:cs="Times New Roman"/>
          <w:sz w:val="24"/>
          <w:szCs w:val="24"/>
        </w:rPr>
        <w:t xml:space="preserve"> NA-1, Asha, and IPA-203, were 8.25%, 19.88%, and 5.81%</w:t>
      </w:r>
      <w:r w:rsidR="00006DCE">
        <w:rPr>
          <w:rFonts w:ascii="Times New Roman" w:hAnsi="Times New Roman" w:cs="Times New Roman"/>
          <w:sz w:val="24"/>
          <w:szCs w:val="24"/>
        </w:rPr>
        <w:t>, respectively</w:t>
      </w:r>
      <w:r w:rsidRPr="000B6D6E">
        <w:rPr>
          <w:rFonts w:ascii="Times New Roman" w:hAnsi="Times New Roman" w:cs="Times New Roman"/>
          <w:sz w:val="24"/>
          <w:szCs w:val="24"/>
        </w:rPr>
        <w:t xml:space="preserve">. </w:t>
      </w:r>
      <w:r w:rsidR="00E27253">
        <w:rPr>
          <w:rFonts w:ascii="Times New Roman" w:hAnsi="Times New Roman" w:cs="Times New Roman"/>
          <w:sz w:val="24"/>
          <w:szCs w:val="24"/>
        </w:rPr>
        <w:t xml:space="preserve">Pod damage, in both the years, observed positive correlations between them (Fig. 3). </w:t>
      </w:r>
      <w:r w:rsidR="00006DCE">
        <w:rPr>
          <w:rFonts w:ascii="Times New Roman" w:hAnsi="Times New Roman" w:cs="Times New Roman"/>
          <w:sz w:val="24"/>
          <w:szCs w:val="24"/>
        </w:rPr>
        <w:t>As per the per cent</w:t>
      </w:r>
      <w:r w:rsidRPr="000B6D6E">
        <w:rPr>
          <w:rFonts w:ascii="Times New Roman" w:hAnsi="Times New Roman" w:cs="Times New Roman"/>
          <w:sz w:val="24"/>
          <w:szCs w:val="24"/>
        </w:rPr>
        <w:t xml:space="preserve"> pest susceptibility, fifteen genotypes </w:t>
      </w:r>
      <w:r w:rsidRPr="000B6D6E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0B6D6E">
        <w:rPr>
          <w:rFonts w:ascii="Times New Roman" w:hAnsi="Times New Roman" w:cs="Times New Roman"/>
          <w:sz w:val="24"/>
          <w:szCs w:val="24"/>
        </w:rPr>
        <w:t xml:space="preserve"> ICP 7076-1, ICP 13906-1, ICP 10559-1, ICP 7426-7, ICP 9049-1, ICP 9891-1, ICP 11259-1, ICPL 20201-1, ICP 7314-1, ICP 4715-1, ICP 939-1, ICP 4266-1, ICP 16674-1, ICP 655-1 and ICP 8146-1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Pr="000B6D6E">
        <w:rPr>
          <w:rFonts w:ascii="Times New Roman" w:hAnsi="Times New Roman" w:cs="Times New Roman"/>
          <w:sz w:val="24"/>
          <w:szCs w:val="24"/>
        </w:rPr>
        <w:t xml:space="preserve">were categorized </w:t>
      </w:r>
      <w:r w:rsidR="00006DCE">
        <w:rPr>
          <w:rFonts w:ascii="Times New Roman" w:hAnsi="Times New Roman" w:cs="Times New Roman"/>
          <w:sz w:val="24"/>
          <w:szCs w:val="24"/>
        </w:rPr>
        <w:t xml:space="preserve">as </w:t>
      </w:r>
      <w:r w:rsidRPr="000B6D6E">
        <w:rPr>
          <w:rFonts w:ascii="Times New Roman" w:hAnsi="Times New Roman" w:cs="Times New Roman"/>
          <w:sz w:val="24"/>
          <w:szCs w:val="24"/>
        </w:rPr>
        <w:t xml:space="preserve">resistant (R) with PSR scale of ‘2’(3.75 to 4.75% pod damage) whereas, thirteen genotypes viz., ICP 16264-1, ICPL 20092-1, ICP 4307-1, ICP 14294-1, ICP 14120-1, ICP 9236-1, ICP 14722-1, ICP 1535-1, ICP 9577-1, ICP 3451-1, ICP 10531-1, ICP 7803-1 and ICP 8921-1were categorized </w:t>
      </w:r>
      <w:r w:rsidR="00006DCE">
        <w:rPr>
          <w:rFonts w:ascii="Times New Roman" w:hAnsi="Times New Roman" w:cs="Times New Roman"/>
          <w:sz w:val="24"/>
          <w:szCs w:val="24"/>
        </w:rPr>
        <w:t xml:space="preserve">as </w:t>
      </w:r>
      <w:r w:rsidRPr="000B6D6E">
        <w:rPr>
          <w:rFonts w:ascii="Times New Roman" w:hAnsi="Times New Roman" w:cs="Times New Roman"/>
          <w:sz w:val="24"/>
          <w:szCs w:val="24"/>
        </w:rPr>
        <w:t>highly susceptible (HS) with PSR scale of ‘8 to 9’ (26.00 to 48.00% pod damage)</w:t>
      </w:r>
      <w:r w:rsidR="00F8553A">
        <w:rPr>
          <w:rFonts w:ascii="Times New Roman" w:hAnsi="Times New Roman" w:cs="Times New Roman"/>
          <w:sz w:val="24"/>
          <w:szCs w:val="24"/>
        </w:rPr>
        <w:t>(Table 2)</w:t>
      </w:r>
      <w:r w:rsidR="00CE1473" w:rsidRPr="00F8744D">
        <w:rPr>
          <w:rFonts w:ascii="Times New Roman" w:hAnsi="Times New Roman" w:cs="Times New Roman"/>
          <w:sz w:val="24"/>
          <w:szCs w:val="24"/>
        </w:rPr>
        <w:t>.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E27253">
        <w:rPr>
          <w:rFonts w:ascii="Times New Roman" w:hAnsi="Times New Roman" w:cs="Times New Roman"/>
          <w:sz w:val="24"/>
          <w:szCs w:val="24"/>
        </w:rPr>
        <w:t xml:space="preserve">PSR of both the years showed positive associations between them (Fig. 3). </w:t>
      </w:r>
      <w:r w:rsidR="000E0548">
        <w:rPr>
          <w:rFonts w:ascii="Times New Roman" w:hAnsi="Times New Roman" w:cs="Times New Roman"/>
          <w:sz w:val="24"/>
          <w:szCs w:val="24"/>
        </w:rPr>
        <w:t xml:space="preserve">Strong positive correlation was </w:t>
      </w:r>
      <w:r w:rsidR="00E27253">
        <w:rPr>
          <w:rFonts w:ascii="Times New Roman" w:hAnsi="Times New Roman" w:cs="Times New Roman"/>
          <w:sz w:val="24"/>
          <w:szCs w:val="24"/>
        </w:rPr>
        <w:t xml:space="preserve">also </w:t>
      </w:r>
      <w:r w:rsidR="000E0548">
        <w:rPr>
          <w:rFonts w:ascii="Times New Roman" w:hAnsi="Times New Roman" w:cs="Times New Roman"/>
          <w:sz w:val="24"/>
          <w:szCs w:val="24"/>
        </w:rPr>
        <w:t>observed between pod damage and pest susceptibility ranking in both the year</w:t>
      </w:r>
      <w:r w:rsidR="00E27253">
        <w:rPr>
          <w:rFonts w:ascii="Times New Roman" w:hAnsi="Times New Roman" w:cs="Times New Roman"/>
          <w:sz w:val="24"/>
          <w:szCs w:val="24"/>
        </w:rPr>
        <w:t>s</w:t>
      </w:r>
      <w:r w:rsidR="000E0548">
        <w:rPr>
          <w:rFonts w:ascii="Times New Roman" w:hAnsi="Times New Roman" w:cs="Times New Roman"/>
          <w:sz w:val="24"/>
          <w:szCs w:val="24"/>
        </w:rPr>
        <w:t xml:space="preserve"> (Fig. 3). </w:t>
      </w:r>
      <w:r w:rsidRPr="000B6D6E">
        <w:rPr>
          <w:rFonts w:ascii="Times New Roman" w:hAnsi="Times New Roman" w:cs="Times New Roman"/>
          <w:sz w:val="24"/>
          <w:szCs w:val="24"/>
        </w:rPr>
        <w:t xml:space="preserve">The minimum grain damage was recorded in the genotype ICP 9045-1(1.80%) followed by ICP 9577-1 (2.70%) whereas maximum damage (%) </w:t>
      </w:r>
      <w:r w:rsidR="00006DCE">
        <w:rPr>
          <w:rFonts w:ascii="Times New Roman" w:hAnsi="Times New Roman" w:cs="Times New Roman"/>
          <w:sz w:val="24"/>
          <w:szCs w:val="24"/>
        </w:rPr>
        <w:t xml:space="preserve">was observed </w:t>
      </w:r>
      <w:r w:rsidRPr="000B6D6E">
        <w:rPr>
          <w:rFonts w:ascii="Times New Roman" w:hAnsi="Times New Roman" w:cs="Times New Roman"/>
          <w:sz w:val="24"/>
          <w:szCs w:val="24"/>
        </w:rPr>
        <w:t xml:space="preserve">in </w:t>
      </w:r>
      <w:r w:rsidR="00006DCE">
        <w:rPr>
          <w:rFonts w:ascii="Times New Roman" w:hAnsi="Times New Roman" w:cs="Times New Roman"/>
          <w:sz w:val="24"/>
          <w:szCs w:val="24"/>
        </w:rPr>
        <w:t xml:space="preserve">the </w:t>
      </w:r>
      <w:r w:rsidRPr="000B6D6E">
        <w:rPr>
          <w:rFonts w:ascii="Times New Roman" w:hAnsi="Times New Roman" w:cs="Times New Roman"/>
          <w:sz w:val="24"/>
          <w:szCs w:val="24"/>
        </w:rPr>
        <w:t xml:space="preserve">genotype ICP 4029-1, (20.00), followed by ICP 13244-1 (18.87) </w:t>
      </w:r>
      <w:r w:rsidR="00006DCE">
        <w:rPr>
          <w:rFonts w:ascii="Times New Roman" w:hAnsi="Times New Roman" w:cs="Times New Roman"/>
          <w:sz w:val="24"/>
          <w:szCs w:val="24"/>
        </w:rPr>
        <w:t xml:space="preserve">which </w:t>
      </w:r>
      <w:r w:rsidRPr="000B6D6E">
        <w:rPr>
          <w:rFonts w:ascii="Times New Roman" w:hAnsi="Times New Roman" w:cs="Times New Roman"/>
          <w:sz w:val="24"/>
          <w:szCs w:val="24"/>
        </w:rPr>
        <w:t>were at par with ICP 14147-1(15.54</w:t>
      </w:r>
      <w:proofErr w:type="gramStart"/>
      <w:r w:rsidRPr="000B6D6E">
        <w:rPr>
          <w:rFonts w:ascii="Times New Roman" w:hAnsi="Times New Roman" w:cs="Times New Roman"/>
          <w:sz w:val="24"/>
          <w:szCs w:val="24"/>
        </w:rPr>
        <w:t>).</w:t>
      </w:r>
      <w:r w:rsidR="00500DBA">
        <w:rPr>
          <w:rFonts w:ascii="Times New Roman" w:hAnsi="Times New Roman" w:cs="Times New Roman"/>
          <w:sz w:val="24"/>
          <w:szCs w:val="24"/>
        </w:rPr>
        <w:t>T</w:t>
      </w:r>
      <w:r w:rsidR="00B30B97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="00B30B97">
        <w:rPr>
          <w:rFonts w:ascii="Times New Roman" w:hAnsi="Times New Roman" w:cs="Times New Roman"/>
          <w:sz w:val="24"/>
          <w:szCs w:val="24"/>
        </w:rPr>
        <w:t xml:space="preserve"> were positive correlation between the </w:t>
      </w:r>
      <w:r w:rsidR="00500DBA">
        <w:rPr>
          <w:rFonts w:ascii="Times New Roman" w:hAnsi="Times New Roman" w:cs="Times New Roman"/>
          <w:sz w:val="24"/>
          <w:szCs w:val="24"/>
        </w:rPr>
        <w:t>grain damage recorded</w:t>
      </w:r>
      <w:r w:rsidR="00B30B97">
        <w:rPr>
          <w:rFonts w:ascii="Times New Roman" w:hAnsi="Times New Roman" w:cs="Times New Roman"/>
          <w:sz w:val="24"/>
          <w:szCs w:val="24"/>
        </w:rPr>
        <w:t xml:space="preserve"> in both the years (Fig. 3). </w:t>
      </w:r>
      <w:r w:rsidR="000B6D6E" w:rsidRPr="000B6D6E">
        <w:rPr>
          <w:rFonts w:ascii="Times New Roman" w:hAnsi="Times New Roman" w:cs="Times New Roman"/>
          <w:sz w:val="24"/>
          <w:szCs w:val="24"/>
        </w:rPr>
        <w:t xml:space="preserve">Significant differences were observed in the grain yield </w:t>
      </w:r>
      <w:r w:rsidR="000B6D6E" w:rsidRPr="000B6D6E">
        <w:rPr>
          <w:rFonts w:ascii="Times New Roman" w:hAnsi="Times New Roman" w:cs="Times New Roman"/>
          <w:sz w:val="24"/>
          <w:szCs w:val="24"/>
        </w:rPr>
        <w:lastRenderedPageBreak/>
        <w:t>among the different genotypes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006DCE">
        <w:rPr>
          <w:rFonts w:ascii="Times New Roman" w:hAnsi="Times New Roman" w:cs="Times New Roman"/>
          <w:sz w:val="24"/>
          <w:szCs w:val="24"/>
        </w:rPr>
        <w:t>ranging</w:t>
      </w:r>
      <w:r w:rsidR="000B6D6E" w:rsidRPr="000B6D6E">
        <w:rPr>
          <w:rFonts w:ascii="Times New Roman" w:hAnsi="Times New Roman" w:cs="Times New Roman"/>
          <w:sz w:val="24"/>
          <w:szCs w:val="24"/>
        </w:rPr>
        <w:t xml:space="preserve"> from </w:t>
      </w:r>
      <w:r w:rsidR="00A0560D" w:rsidRPr="00A0560D">
        <w:rPr>
          <w:rFonts w:ascii="Times New Roman" w:hAnsi="Times New Roman" w:cs="Times New Roman"/>
          <w:sz w:val="24"/>
          <w:szCs w:val="24"/>
        </w:rPr>
        <w:t>90.56kg/ha in the genotype ICP 7076-1 to 5538.42 kg/ha in ICP 12515-1</w:t>
      </w:r>
      <w:r w:rsidR="003067D4">
        <w:rPr>
          <w:rFonts w:ascii="Times New Roman" w:hAnsi="Times New Roman" w:cs="Times New Roman"/>
          <w:sz w:val="24"/>
          <w:szCs w:val="24"/>
        </w:rPr>
        <w:t>.</w:t>
      </w:r>
    </w:p>
    <w:p w14:paraId="2CBD050C" w14:textId="77777777" w:rsidR="007A581D" w:rsidRDefault="003067D4" w:rsidP="007A58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In relation to pod damage, the results </w:t>
      </w:r>
      <w:proofErr w:type="gramStart"/>
      <w:r w:rsidR="007A581D" w:rsidRPr="007A581D">
        <w:rPr>
          <w:rFonts w:ascii="Times New Roman" w:hAnsi="Times New Roman" w:cs="Times New Roman"/>
          <w:sz w:val="24"/>
          <w:szCs w:val="24"/>
        </w:rPr>
        <w:t>are in agreement</w:t>
      </w:r>
      <w:proofErr w:type="gramEnd"/>
      <w:r w:rsidR="007A581D" w:rsidRPr="007A581D">
        <w:rPr>
          <w:rFonts w:ascii="Times New Roman" w:hAnsi="Times New Roman" w:cs="Times New Roman"/>
          <w:sz w:val="24"/>
          <w:szCs w:val="24"/>
        </w:rPr>
        <w:t xml:space="preserve"> with the findings of 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 xml:space="preserve">Kumar </w:t>
      </w:r>
      <w:r w:rsidR="007A581D" w:rsidRPr="007A58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>., (2017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) who, screened 35 genotypes of </w:t>
      </w:r>
      <w:proofErr w:type="spellStart"/>
      <w:r w:rsidR="007A581D" w:rsidRPr="007A581D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7A581D" w:rsidRPr="007A581D">
        <w:rPr>
          <w:rFonts w:ascii="Times New Roman" w:hAnsi="Times New Roman" w:cs="Times New Roman"/>
          <w:sz w:val="24"/>
          <w:szCs w:val="24"/>
        </w:rPr>
        <w:t xml:space="preserve"> against </w:t>
      </w:r>
      <w:r w:rsidR="007A581D" w:rsidRPr="007A581D">
        <w:rPr>
          <w:rStyle w:val="Emphasis"/>
          <w:rFonts w:ascii="Times New Roman" w:hAnsi="Times New Roman" w:cs="Times New Roman"/>
          <w:sz w:val="24"/>
          <w:szCs w:val="24"/>
        </w:rPr>
        <w:t>H. armigera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in Uttar Pradesh, India and found the per cent pod damage ranging from 0.60%to 48.20%. Similar finding</w:t>
      </w:r>
      <w:r w:rsidR="00F8744D">
        <w:rPr>
          <w:rFonts w:ascii="Times New Roman" w:hAnsi="Times New Roman" w:cs="Times New Roman"/>
          <w:sz w:val="24"/>
          <w:szCs w:val="24"/>
        </w:rPr>
        <w:t>s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were reported by 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 xml:space="preserve">Rathod </w:t>
      </w:r>
      <w:r w:rsidR="007A581D" w:rsidRPr="007A58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al.,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 xml:space="preserve"> (2014)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who, screened ten genotypes of </w:t>
      </w:r>
      <w:proofErr w:type="spellStart"/>
      <w:r w:rsidR="007A581D" w:rsidRPr="007A581D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7A581D" w:rsidRPr="007A581D">
        <w:rPr>
          <w:rFonts w:ascii="Times New Roman" w:hAnsi="Times New Roman" w:cs="Times New Roman"/>
          <w:sz w:val="24"/>
          <w:szCs w:val="24"/>
        </w:rPr>
        <w:t xml:space="preserve"> for their resistance/tolerance against pod-borer under natural infestation in pesticides free open field. The BSMR 853 recorded lowest percent pod damage due to pod borer (4.59%) whereas, ICPL 87119 recorded highest per cent pod damage (46.56%). 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 xml:space="preserve">Banu </w:t>
      </w:r>
      <w:r w:rsidR="007A581D" w:rsidRPr="007A58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al.,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 xml:space="preserve"> (2007)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, screened 17 </w:t>
      </w:r>
      <w:proofErr w:type="spellStart"/>
      <w:r w:rsidR="007A581D" w:rsidRPr="007A581D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7A581D" w:rsidRPr="007A581D">
        <w:rPr>
          <w:rFonts w:ascii="Times New Roman" w:hAnsi="Times New Roman" w:cs="Times New Roman"/>
          <w:sz w:val="24"/>
          <w:szCs w:val="24"/>
        </w:rPr>
        <w:t xml:space="preserve"> lines with ‘Asha’ as check against </w:t>
      </w:r>
      <w:r w:rsidR="007A581D" w:rsidRPr="007A581D">
        <w:rPr>
          <w:rFonts w:ascii="Times New Roman" w:hAnsi="Times New Roman" w:cs="Times New Roman"/>
          <w:i/>
          <w:iCs/>
          <w:sz w:val="24"/>
          <w:szCs w:val="24"/>
        </w:rPr>
        <w:t>H. armigera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and recorded per</w:t>
      </w:r>
      <w:r w:rsidR="00F674C1">
        <w:rPr>
          <w:rFonts w:ascii="Times New Roman" w:hAnsi="Times New Roman" w:cs="Times New Roman"/>
          <w:sz w:val="24"/>
          <w:szCs w:val="24"/>
        </w:rPr>
        <w:t xml:space="preserve"> </w:t>
      </w:r>
      <w:r w:rsidR="007A581D" w:rsidRPr="007A581D">
        <w:rPr>
          <w:rFonts w:ascii="Times New Roman" w:hAnsi="Times New Roman" w:cs="Times New Roman"/>
          <w:sz w:val="24"/>
          <w:szCs w:val="24"/>
        </w:rPr>
        <w:t>cent pod damage ranging from 2.70</w:t>
      </w:r>
      <w:r w:rsidR="00296384" w:rsidRPr="007A581D">
        <w:rPr>
          <w:rFonts w:ascii="Times New Roman" w:hAnsi="Times New Roman" w:cs="Times New Roman"/>
          <w:sz w:val="24"/>
          <w:szCs w:val="24"/>
        </w:rPr>
        <w:t>% to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47.40%. Similarly, </w:t>
      </w:r>
      <w:r w:rsidR="007A581D" w:rsidRPr="007A581D">
        <w:rPr>
          <w:rFonts w:ascii="Times New Roman" w:hAnsi="Times New Roman" w:cs="Times New Roman"/>
          <w:b/>
          <w:bCs/>
          <w:sz w:val="24"/>
          <w:szCs w:val="24"/>
        </w:rPr>
        <w:t>Srivastava and Mohapatra (2003)</w:t>
      </w:r>
      <w:r w:rsidR="007A581D" w:rsidRPr="007A581D">
        <w:rPr>
          <w:rFonts w:ascii="Times New Roman" w:hAnsi="Times New Roman" w:cs="Times New Roman"/>
          <w:sz w:val="24"/>
          <w:szCs w:val="24"/>
        </w:rPr>
        <w:t xml:space="preserve"> reported that the damage extent of pods by pod borer, </w:t>
      </w:r>
      <w:r w:rsidR="007A581D" w:rsidRPr="007A581D">
        <w:rPr>
          <w:rFonts w:ascii="Times New Roman" w:hAnsi="Times New Roman" w:cs="Times New Roman"/>
          <w:i/>
          <w:iCs/>
          <w:sz w:val="24"/>
          <w:szCs w:val="24"/>
        </w:rPr>
        <w:t xml:space="preserve">H. armigera </w:t>
      </w:r>
      <w:r w:rsidR="007A581D" w:rsidRPr="007A581D">
        <w:rPr>
          <w:rFonts w:ascii="Times New Roman" w:hAnsi="Times New Roman" w:cs="Times New Roman"/>
          <w:sz w:val="24"/>
          <w:szCs w:val="24"/>
        </w:rPr>
        <w:t>varies from 1.0 to o 53.1 per cent.</w:t>
      </w:r>
    </w:p>
    <w:p w14:paraId="6A7768CF" w14:textId="77777777" w:rsidR="00296384" w:rsidRPr="00296384" w:rsidRDefault="00296384" w:rsidP="007A581D">
      <w:pPr>
        <w:spacing w:after="120"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384">
        <w:rPr>
          <w:rFonts w:ascii="Times New Roman" w:hAnsi="Times New Roman" w:cs="Times New Roman"/>
          <w:sz w:val="24"/>
          <w:szCs w:val="24"/>
        </w:rPr>
        <w:t xml:space="preserve">In relation to pest susceptibility, the results are closely related to </w:t>
      </w:r>
      <w:r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Sai </w:t>
      </w:r>
      <w:r w:rsidRPr="00296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0757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296384">
        <w:rPr>
          <w:rFonts w:ascii="Times New Roman" w:hAnsi="Times New Roman" w:cs="Times New Roman"/>
          <w:b/>
          <w:bCs/>
          <w:sz w:val="24"/>
          <w:szCs w:val="24"/>
        </w:rPr>
        <w:t>(2019)</w:t>
      </w:r>
      <w:r w:rsidRPr="00296384">
        <w:rPr>
          <w:rFonts w:ascii="Times New Roman" w:hAnsi="Times New Roman" w:cs="Times New Roman"/>
          <w:sz w:val="24"/>
          <w:szCs w:val="24"/>
        </w:rPr>
        <w:t xml:space="preserve">, who categorized (based on percent pod damage and grain damage) five genotypes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296384">
        <w:rPr>
          <w:rFonts w:ascii="Times New Roman" w:hAnsi="Times New Roman" w:cs="Times New Roman"/>
          <w:sz w:val="24"/>
          <w:szCs w:val="24"/>
        </w:rPr>
        <w:t xml:space="preserve"> LRG 30, LRG 41, ICPL 87119, ICP 8863 and BSMR 853 as highly resistant (HR) with PSR scale of ‘1’(0.00% pod damage) and nine genotypes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296384">
        <w:rPr>
          <w:rFonts w:ascii="Times New Roman" w:hAnsi="Times New Roman" w:cs="Times New Roman"/>
          <w:sz w:val="24"/>
          <w:szCs w:val="24"/>
        </w:rPr>
        <w:t xml:space="preserve"> TDRG 33, </w:t>
      </w:r>
      <w:proofErr w:type="spellStart"/>
      <w:r w:rsidRPr="00296384">
        <w:rPr>
          <w:rFonts w:ascii="Times New Roman" w:hAnsi="Times New Roman" w:cs="Times New Roman"/>
          <w:sz w:val="24"/>
          <w:szCs w:val="24"/>
        </w:rPr>
        <w:t>Guliyal</w:t>
      </w:r>
      <w:proofErr w:type="spellEnd"/>
      <w:r w:rsidRPr="00296384">
        <w:rPr>
          <w:rFonts w:ascii="Times New Roman" w:hAnsi="Times New Roman" w:cs="Times New Roman"/>
          <w:sz w:val="24"/>
          <w:szCs w:val="24"/>
        </w:rPr>
        <w:t xml:space="preserve"> local, WRP 1, CO 6, LRG134, RVSA 9, SKNP 224, ICPL 4503 and WRG 79 as highly susceptible (HS) against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H. armigera</w:t>
      </w:r>
      <w:r w:rsidRPr="00296384">
        <w:rPr>
          <w:rFonts w:ascii="Times New Roman" w:hAnsi="Times New Roman" w:cs="Times New Roman"/>
          <w:sz w:val="24"/>
          <w:szCs w:val="24"/>
        </w:rPr>
        <w:t xml:space="preserve"> with PSR scale of ‘8’(up to 45.00% pod damage)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6384">
        <w:rPr>
          <w:rFonts w:ascii="Times New Roman" w:hAnsi="Times New Roman" w:cs="Times New Roman"/>
          <w:sz w:val="24"/>
          <w:szCs w:val="24"/>
        </w:rPr>
        <w:t xml:space="preserve"> The results are in accordance with </w:t>
      </w:r>
      <w:r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Divyasree </w:t>
      </w:r>
      <w:r w:rsidRPr="00296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al.,</w:t>
      </w:r>
      <w:r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 (2020)</w:t>
      </w:r>
      <w:r w:rsidRPr="00296384">
        <w:rPr>
          <w:rFonts w:ascii="Times New Roman" w:hAnsi="Times New Roman" w:cs="Times New Roman"/>
          <w:sz w:val="24"/>
          <w:szCs w:val="24"/>
        </w:rPr>
        <w:t xml:space="preserve">, who screened twenty genotypes against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 xml:space="preserve">H. </w:t>
      </w:r>
      <w:proofErr w:type="spellStart"/>
      <w:r w:rsidRPr="00296384">
        <w:rPr>
          <w:rFonts w:ascii="Times New Roman" w:hAnsi="Times New Roman" w:cs="Times New Roman"/>
          <w:i/>
          <w:iCs/>
          <w:sz w:val="24"/>
          <w:szCs w:val="24"/>
        </w:rPr>
        <w:t>armigera</w:t>
      </w:r>
      <w:proofErr w:type="spellEnd"/>
      <w:r w:rsidRPr="002963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638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96384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Pr="00296384">
        <w:rPr>
          <w:rFonts w:ascii="Times New Roman" w:hAnsi="Times New Roman" w:cs="Times New Roman"/>
          <w:sz w:val="24"/>
          <w:szCs w:val="24"/>
        </w:rPr>
        <w:t xml:space="preserve"> and categorized 5 genotypes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viz.,</w:t>
      </w:r>
      <w:r w:rsidRPr="00296384">
        <w:rPr>
          <w:rFonts w:ascii="Times New Roman" w:hAnsi="Times New Roman" w:cs="Times New Roman"/>
          <w:sz w:val="24"/>
          <w:szCs w:val="24"/>
        </w:rPr>
        <w:t xml:space="preserve"> CO 6, TRG 38, BRG 2, BRG 10-4, and CRG 2010-01as resistant (R) with PSR scale of ‘2</w:t>
      </w:r>
      <w:proofErr w:type="gramStart"/>
      <w:r w:rsidRPr="00296384">
        <w:rPr>
          <w:rFonts w:ascii="Times New Roman" w:hAnsi="Times New Roman" w:cs="Times New Roman"/>
          <w:sz w:val="24"/>
          <w:szCs w:val="24"/>
        </w:rPr>
        <w:t>’(</w:t>
      </w:r>
      <w:proofErr w:type="gramEnd"/>
      <w:r w:rsidRPr="00296384">
        <w:rPr>
          <w:rFonts w:ascii="Times New Roman" w:hAnsi="Times New Roman" w:cs="Times New Roman"/>
          <w:sz w:val="24"/>
          <w:szCs w:val="24"/>
        </w:rPr>
        <w:t xml:space="preserve">2.80 to 5.00% pod damage). Close findings were also reported by </w:t>
      </w:r>
      <w:r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Kavitha and Vijayaraghavan (2017) </w:t>
      </w:r>
      <w:r w:rsidRPr="00296384">
        <w:rPr>
          <w:rFonts w:ascii="Times New Roman" w:hAnsi="Times New Roman" w:cs="Times New Roman"/>
          <w:sz w:val="24"/>
          <w:szCs w:val="24"/>
        </w:rPr>
        <w:t xml:space="preserve">who, screened 145 entries to identify the sources of resistance in </w:t>
      </w:r>
      <w:proofErr w:type="spellStart"/>
      <w:r w:rsidRPr="00296384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Pr="00296384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 xml:space="preserve">H. armigera </w:t>
      </w:r>
      <w:r w:rsidRPr="00296384">
        <w:rPr>
          <w:rFonts w:ascii="Times New Roman" w:hAnsi="Times New Roman" w:cs="Times New Roman"/>
          <w:sz w:val="24"/>
          <w:szCs w:val="24"/>
        </w:rPr>
        <w:t xml:space="preserve">and reported nine entries </w:t>
      </w:r>
      <w:r w:rsidRPr="00296384">
        <w:rPr>
          <w:rFonts w:ascii="Times New Roman" w:hAnsi="Times New Roman" w:cs="Times New Roman"/>
          <w:i/>
          <w:iCs/>
          <w:sz w:val="24"/>
          <w:szCs w:val="24"/>
        </w:rPr>
        <w:t>i.e.,</w:t>
      </w:r>
      <w:r w:rsidRPr="00296384">
        <w:rPr>
          <w:rFonts w:ascii="Times New Roman" w:hAnsi="Times New Roman" w:cs="Times New Roman"/>
          <w:sz w:val="24"/>
          <w:szCs w:val="24"/>
        </w:rPr>
        <w:t xml:space="preserve"> ICP 11007, H 23, BAHAR, DA 322, GR 28, ICP 491</w:t>
      </w:r>
      <w:r w:rsidR="00F8553A">
        <w:rPr>
          <w:rFonts w:ascii="Times New Roman" w:hAnsi="Times New Roman" w:cs="Times New Roman"/>
          <w:sz w:val="24"/>
          <w:szCs w:val="24"/>
        </w:rPr>
        <w:t>14, ICP 11957, SMR 1693158, BRG 10-</w:t>
      </w:r>
      <w:r w:rsidRPr="00296384">
        <w:rPr>
          <w:rFonts w:ascii="Times New Roman" w:hAnsi="Times New Roman" w:cs="Times New Roman"/>
          <w:sz w:val="24"/>
          <w:szCs w:val="24"/>
        </w:rPr>
        <w:t>02 as promising as those were exhibiting stable resistant(R) with PSR scale of ‘2’.</w:t>
      </w:r>
    </w:p>
    <w:p w14:paraId="01FCCA09" w14:textId="77777777" w:rsidR="00296384" w:rsidRDefault="003067D4" w:rsidP="002963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760B">
        <w:rPr>
          <w:rFonts w:ascii="Times New Roman" w:hAnsi="Times New Roman" w:cs="Times New Roman"/>
          <w:sz w:val="24"/>
          <w:szCs w:val="24"/>
        </w:rPr>
        <w:t xml:space="preserve">As far as the </w:t>
      </w:r>
      <w:r w:rsidRPr="007D0658">
        <w:rPr>
          <w:rFonts w:ascii="Times New Roman" w:hAnsi="Times New Roman" w:cs="Times New Roman"/>
          <w:sz w:val="24"/>
          <w:szCs w:val="24"/>
        </w:rPr>
        <w:t xml:space="preserve">grain damage and yield performance </w:t>
      </w:r>
      <w:r w:rsidR="0054760B">
        <w:rPr>
          <w:rFonts w:ascii="Times New Roman" w:hAnsi="Times New Roman" w:cs="Times New Roman"/>
          <w:sz w:val="24"/>
          <w:szCs w:val="24"/>
        </w:rPr>
        <w:t xml:space="preserve">are concerned, </w:t>
      </w:r>
      <w:r w:rsidR="00296384" w:rsidRPr="00296384">
        <w:rPr>
          <w:rFonts w:ascii="Times New Roman" w:hAnsi="Times New Roman" w:cs="Times New Roman"/>
          <w:sz w:val="24"/>
          <w:szCs w:val="24"/>
        </w:rPr>
        <w:t>our results are similar with that the finding</w:t>
      </w:r>
      <w:r w:rsidR="00075742">
        <w:rPr>
          <w:rFonts w:ascii="Times New Roman" w:hAnsi="Times New Roman" w:cs="Times New Roman"/>
          <w:sz w:val="24"/>
          <w:szCs w:val="24"/>
        </w:rPr>
        <w:t>s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 of 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Gupta </w:t>
      </w:r>
      <w:proofErr w:type="gramStart"/>
      <w:r w:rsidR="00296384" w:rsidRPr="00296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>2018)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, who screened twenty-five </w:t>
      </w:r>
      <w:proofErr w:type="spellStart"/>
      <w:r w:rsidR="00296384" w:rsidRPr="00296384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296384" w:rsidRPr="00296384">
        <w:rPr>
          <w:rFonts w:ascii="Times New Roman" w:hAnsi="Times New Roman" w:cs="Times New Roman"/>
          <w:sz w:val="24"/>
          <w:szCs w:val="24"/>
        </w:rPr>
        <w:t xml:space="preserve"> genotypes against the pod borer and reported a minimum grain damage of 2.23% and a maximum grain damage of 26.72%. The results </w:t>
      </w:r>
      <w:proofErr w:type="gramStart"/>
      <w:r w:rsidR="00296384" w:rsidRPr="00296384">
        <w:rPr>
          <w:rFonts w:ascii="Times New Roman" w:hAnsi="Times New Roman" w:cs="Times New Roman"/>
          <w:sz w:val="24"/>
          <w:szCs w:val="24"/>
        </w:rPr>
        <w:t>are in agreement</w:t>
      </w:r>
      <w:proofErr w:type="gramEnd"/>
      <w:r w:rsidR="00296384" w:rsidRPr="00296384">
        <w:rPr>
          <w:rFonts w:ascii="Times New Roman" w:hAnsi="Times New Roman" w:cs="Times New Roman"/>
          <w:sz w:val="24"/>
          <w:szCs w:val="24"/>
        </w:rPr>
        <w:t xml:space="preserve"> with the finding</w:t>
      </w:r>
      <w:r w:rsidR="00075742">
        <w:rPr>
          <w:rFonts w:ascii="Times New Roman" w:hAnsi="Times New Roman" w:cs="Times New Roman"/>
          <w:sz w:val="24"/>
          <w:szCs w:val="24"/>
        </w:rPr>
        <w:t>s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 of 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>Kooner and Cheema (2006)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, who reported the grain damage due to </w:t>
      </w:r>
      <w:r w:rsidR="00296384" w:rsidRPr="00296384">
        <w:rPr>
          <w:rFonts w:ascii="Times New Roman" w:hAnsi="Times New Roman" w:cs="Times New Roman"/>
          <w:i/>
          <w:iCs/>
          <w:sz w:val="24"/>
          <w:szCs w:val="24"/>
        </w:rPr>
        <w:t xml:space="preserve">H. </w:t>
      </w:r>
      <w:proofErr w:type="spellStart"/>
      <w:r w:rsidR="00296384" w:rsidRPr="00296384">
        <w:rPr>
          <w:rFonts w:ascii="Times New Roman" w:hAnsi="Times New Roman" w:cs="Times New Roman"/>
          <w:i/>
          <w:iCs/>
          <w:sz w:val="24"/>
          <w:szCs w:val="24"/>
        </w:rPr>
        <w:t>armigera</w:t>
      </w:r>
      <w:r w:rsidR="00296384" w:rsidRPr="0029638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6384" w:rsidRPr="00296384">
        <w:rPr>
          <w:rFonts w:ascii="Times New Roman" w:hAnsi="Times New Roman" w:cs="Times New Roman"/>
          <w:sz w:val="24"/>
          <w:szCs w:val="24"/>
        </w:rPr>
        <w:t xml:space="preserve"> the range of 10.21% to 20.21% among different genotypes. Similar results were also obtained by 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>Chauhan and Dahiya (1993)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, who reported grain damage due to pod borer in the range of </w:t>
      </w:r>
      <w:r w:rsidR="00296384" w:rsidRPr="00296384">
        <w:rPr>
          <w:rFonts w:ascii="Times New Roman" w:hAnsi="Times New Roman" w:cs="Times New Roman"/>
          <w:sz w:val="24"/>
          <w:szCs w:val="24"/>
        </w:rPr>
        <w:lastRenderedPageBreak/>
        <w:t xml:space="preserve">5.00% to 26.3% among different genotypes. </w:t>
      </w:r>
      <w:r w:rsidR="00075742">
        <w:rPr>
          <w:rFonts w:ascii="Times New Roman" w:hAnsi="Times New Roman" w:cs="Times New Roman"/>
          <w:sz w:val="24"/>
          <w:szCs w:val="24"/>
        </w:rPr>
        <w:t>I</w:t>
      </w:r>
      <w:r w:rsidR="00296384" w:rsidRPr="00296384">
        <w:rPr>
          <w:rFonts w:ascii="Times New Roman" w:hAnsi="Times New Roman" w:cs="Times New Roman"/>
          <w:sz w:val="24"/>
          <w:szCs w:val="24"/>
        </w:rPr>
        <w:t>n yield</w:t>
      </w:r>
      <w:r w:rsidR="00075742">
        <w:rPr>
          <w:rFonts w:ascii="Times New Roman" w:hAnsi="Times New Roman" w:cs="Times New Roman"/>
          <w:sz w:val="24"/>
          <w:szCs w:val="24"/>
        </w:rPr>
        <w:t>,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 the results are agreement with the finding</w:t>
      </w:r>
      <w:r w:rsidR="00075742">
        <w:rPr>
          <w:rFonts w:ascii="Times New Roman" w:hAnsi="Times New Roman" w:cs="Times New Roman"/>
          <w:sz w:val="24"/>
          <w:szCs w:val="24"/>
        </w:rPr>
        <w:t>s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 of 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Chakravarthy </w:t>
      </w:r>
      <w:r w:rsidR="00296384" w:rsidRPr="00296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 (2016)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, who screened ten genotypes of </w:t>
      </w:r>
      <w:proofErr w:type="spellStart"/>
      <w:r w:rsidR="00296384" w:rsidRPr="00296384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="00296384" w:rsidRPr="00296384">
        <w:rPr>
          <w:rFonts w:ascii="Times New Roman" w:hAnsi="Times New Roman" w:cs="Times New Roman"/>
          <w:sz w:val="24"/>
          <w:szCs w:val="24"/>
        </w:rPr>
        <w:t xml:space="preserve"> under field conditions during 2013-14.</w:t>
      </w:r>
      <w:r w:rsidR="00F8553A">
        <w:rPr>
          <w:rFonts w:ascii="Times New Roman" w:hAnsi="Times New Roman" w:cs="Times New Roman"/>
          <w:sz w:val="24"/>
          <w:szCs w:val="24"/>
        </w:rPr>
        <w:t xml:space="preserve"> </w:t>
      </w:r>
      <w:r w:rsidR="00296384" w:rsidRPr="00296384">
        <w:rPr>
          <w:rFonts w:ascii="Times New Roman" w:hAnsi="Times New Roman" w:cs="Times New Roman"/>
          <w:sz w:val="24"/>
          <w:szCs w:val="24"/>
        </w:rPr>
        <w:t xml:space="preserve">They reported highest grain yield of 5108.78 kg/ha from PUSA 2012-1 which differed significantly from other genotypes however, the lowest grain yield of 68.56 kg/ha was obtained from AL 1747, followed by Manak (71.72 kg/ha). The results are in accordance with 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Sreekanth </w:t>
      </w:r>
      <w:r w:rsidR="00296384" w:rsidRPr="00296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="00296384" w:rsidRPr="00296384">
        <w:rPr>
          <w:rFonts w:ascii="Times New Roman" w:hAnsi="Times New Roman" w:cs="Times New Roman"/>
          <w:b/>
          <w:bCs/>
          <w:sz w:val="24"/>
          <w:szCs w:val="24"/>
        </w:rPr>
        <w:t xml:space="preserve"> (2017), </w:t>
      </w:r>
      <w:r w:rsidR="00296384" w:rsidRPr="00296384">
        <w:rPr>
          <w:rFonts w:ascii="Times New Roman" w:hAnsi="Times New Roman" w:cs="Times New Roman"/>
          <w:sz w:val="24"/>
          <w:szCs w:val="24"/>
        </w:rPr>
        <w:t>who reported highest grain yield of 5760.78 kg/ha in WRP-1 which was significantly different from other genotypes.</w:t>
      </w:r>
    </w:p>
    <w:p w14:paraId="59DF5FE9" w14:textId="77777777" w:rsidR="00F35908" w:rsidRDefault="00F35908" w:rsidP="002963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F40AA" w14:textId="77777777" w:rsidR="00F35908" w:rsidRDefault="00F35908" w:rsidP="002963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0B47D" w14:textId="77777777" w:rsidR="00F35908" w:rsidRDefault="00F35908" w:rsidP="002963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90D7B" w14:textId="77777777" w:rsidR="00F35908" w:rsidRDefault="00F35908" w:rsidP="00F35908">
      <w:r w:rsidRPr="007C22D2">
        <w:rPr>
          <w:noProof/>
        </w:rPr>
        <w:drawing>
          <wp:inline distT="0" distB="0" distL="0" distR="0" wp14:anchorId="52A63796" wp14:editId="4DAF5B05">
            <wp:extent cx="2770496" cy="206928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4239" cy="20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2D2">
        <w:rPr>
          <w:noProof/>
        </w:rPr>
        <w:drawing>
          <wp:inline distT="0" distB="0" distL="0" distR="0" wp14:anchorId="5B43AD60" wp14:editId="4E5F1E8E">
            <wp:extent cx="2771076" cy="207445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4601" cy="208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FB15" w14:textId="77777777" w:rsidR="00F35908" w:rsidRDefault="00F35908" w:rsidP="00F35908">
      <w:r>
        <w:rPr>
          <w:noProof/>
        </w:rPr>
        <w:drawing>
          <wp:inline distT="0" distB="0" distL="0" distR="0" wp14:anchorId="32240FE5" wp14:editId="2C8283A8">
            <wp:extent cx="2867599" cy="222238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484" cy="22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01981A" wp14:editId="2634EFA5">
            <wp:extent cx="2781300" cy="21014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154" cy="210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2009"/>
        <w:gridCol w:w="550"/>
        <w:gridCol w:w="643"/>
        <w:gridCol w:w="648"/>
        <w:gridCol w:w="550"/>
        <w:gridCol w:w="793"/>
        <w:gridCol w:w="643"/>
        <w:gridCol w:w="643"/>
        <w:gridCol w:w="856"/>
        <w:gridCol w:w="959"/>
        <w:gridCol w:w="752"/>
      </w:tblGrid>
      <w:tr w:rsidR="00F35908" w:rsidRPr="003E6C7D" w14:paraId="25843EF6" w14:textId="77777777" w:rsidTr="00C256D8">
        <w:trPr>
          <w:trHeight w:val="255"/>
        </w:trPr>
        <w:tc>
          <w:tcPr>
            <w:tcW w:w="0" w:type="auto"/>
            <w:shd w:val="clear" w:color="auto" w:fill="E5DFEC" w:themeFill="accent4" w:themeFillTint="33"/>
          </w:tcPr>
          <w:p w14:paraId="60CB0E79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68F71A7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6AC001C7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63111D5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22A04C1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7A94810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E279003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ECC973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E6C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49D2B1F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Kurtosis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3020A0D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Skewness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70486CD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CI95%</w:t>
            </w:r>
          </w:p>
        </w:tc>
      </w:tr>
      <w:tr w:rsidR="00F35908" w:rsidRPr="003E6C7D" w14:paraId="5F649F71" w14:textId="77777777" w:rsidTr="00C256D8">
        <w:trPr>
          <w:trHeight w:val="255"/>
        </w:trPr>
        <w:tc>
          <w:tcPr>
            <w:tcW w:w="0" w:type="auto"/>
          </w:tcPr>
          <w:p w14:paraId="5D70288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Pod damage (%) Y-I</w:t>
            </w:r>
          </w:p>
        </w:tc>
        <w:tc>
          <w:tcPr>
            <w:tcW w:w="0" w:type="auto"/>
            <w:noWrap/>
            <w:hideMark/>
          </w:tcPr>
          <w:p w14:paraId="32CF8F9F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5FC592A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47.50</w:t>
            </w:r>
          </w:p>
        </w:tc>
        <w:tc>
          <w:tcPr>
            <w:tcW w:w="0" w:type="auto"/>
            <w:noWrap/>
            <w:hideMark/>
          </w:tcPr>
          <w:p w14:paraId="39985DA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12.90</w:t>
            </w:r>
          </w:p>
        </w:tc>
        <w:tc>
          <w:tcPr>
            <w:tcW w:w="0" w:type="auto"/>
            <w:noWrap/>
            <w:hideMark/>
          </w:tcPr>
          <w:p w14:paraId="254E6820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0" w:type="auto"/>
            <w:noWrap/>
            <w:hideMark/>
          </w:tcPr>
          <w:p w14:paraId="4BFD68E5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9.50</w:t>
            </w:r>
          </w:p>
        </w:tc>
        <w:tc>
          <w:tcPr>
            <w:tcW w:w="0" w:type="auto"/>
          </w:tcPr>
          <w:p w14:paraId="53ADE7C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9.80</w:t>
            </w:r>
          </w:p>
        </w:tc>
        <w:tc>
          <w:tcPr>
            <w:tcW w:w="0" w:type="auto"/>
          </w:tcPr>
          <w:p w14:paraId="51A21EF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96.1</w:t>
            </w:r>
          </w:p>
        </w:tc>
        <w:tc>
          <w:tcPr>
            <w:tcW w:w="0" w:type="auto"/>
          </w:tcPr>
          <w:p w14:paraId="538B3A8E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0" w:type="auto"/>
          </w:tcPr>
          <w:p w14:paraId="1F523C58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0" w:type="auto"/>
          </w:tcPr>
          <w:p w14:paraId="30E1BEE2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1.92</w:t>
            </w:r>
          </w:p>
        </w:tc>
      </w:tr>
      <w:tr w:rsidR="00F35908" w:rsidRPr="003E6C7D" w14:paraId="25D8E6C1" w14:textId="77777777" w:rsidTr="00C256D8">
        <w:trPr>
          <w:trHeight w:val="255"/>
        </w:trPr>
        <w:tc>
          <w:tcPr>
            <w:tcW w:w="0" w:type="auto"/>
          </w:tcPr>
          <w:p w14:paraId="3245ACD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Grain Damage (%) Y-I</w:t>
            </w:r>
          </w:p>
        </w:tc>
        <w:tc>
          <w:tcPr>
            <w:tcW w:w="0" w:type="auto"/>
            <w:noWrap/>
            <w:hideMark/>
          </w:tcPr>
          <w:p w14:paraId="36054299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  <w:hideMark/>
          </w:tcPr>
          <w:p w14:paraId="02D8B6C9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21.41</w:t>
            </w:r>
          </w:p>
        </w:tc>
        <w:tc>
          <w:tcPr>
            <w:tcW w:w="0" w:type="auto"/>
            <w:noWrap/>
            <w:hideMark/>
          </w:tcPr>
          <w:p w14:paraId="4EE8F045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8.62</w:t>
            </w:r>
          </w:p>
        </w:tc>
        <w:tc>
          <w:tcPr>
            <w:tcW w:w="0" w:type="auto"/>
            <w:noWrap/>
            <w:hideMark/>
          </w:tcPr>
          <w:p w14:paraId="59566A33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0" w:type="auto"/>
            <w:noWrap/>
            <w:hideMark/>
          </w:tcPr>
          <w:p w14:paraId="6334FCEB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0" w:type="auto"/>
          </w:tcPr>
          <w:p w14:paraId="02D7ADC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0" w:type="auto"/>
          </w:tcPr>
          <w:p w14:paraId="273235B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0" w:type="auto"/>
          </w:tcPr>
          <w:p w14:paraId="4C43441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0" w:type="auto"/>
          </w:tcPr>
          <w:p w14:paraId="4B98D178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0" w:type="auto"/>
          </w:tcPr>
          <w:p w14:paraId="40A8C6A1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</w:tr>
      <w:tr w:rsidR="00F35908" w:rsidRPr="003E6C7D" w14:paraId="33A9DF2D" w14:textId="77777777" w:rsidTr="00C256D8">
        <w:trPr>
          <w:trHeight w:val="255"/>
        </w:trPr>
        <w:tc>
          <w:tcPr>
            <w:tcW w:w="0" w:type="auto"/>
          </w:tcPr>
          <w:p w14:paraId="0D1952E8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Pod damage (%) Y-II</w:t>
            </w:r>
          </w:p>
        </w:tc>
        <w:tc>
          <w:tcPr>
            <w:tcW w:w="0" w:type="auto"/>
            <w:noWrap/>
            <w:hideMark/>
          </w:tcPr>
          <w:p w14:paraId="1F8E4B20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  <w:hideMark/>
          </w:tcPr>
          <w:p w14:paraId="30E4D0F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53.50</w:t>
            </w:r>
          </w:p>
        </w:tc>
        <w:tc>
          <w:tcPr>
            <w:tcW w:w="0" w:type="auto"/>
            <w:noWrap/>
            <w:hideMark/>
          </w:tcPr>
          <w:p w14:paraId="55321C87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0" w:type="auto"/>
            <w:noWrap/>
            <w:hideMark/>
          </w:tcPr>
          <w:p w14:paraId="7E7D3DBB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0" w:type="auto"/>
            <w:noWrap/>
            <w:hideMark/>
          </w:tcPr>
          <w:p w14:paraId="25B63535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0" w:type="auto"/>
          </w:tcPr>
          <w:p w14:paraId="5A23F8E9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10.36</w:t>
            </w:r>
          </w:p>
        </w:tc>
        <w:tc>
          <w:tcPr>
            <w:tcW w:w="0" w:type="auto"/>
          </w:tcPr>
          <w:p w14:paraId="3110E780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107.4</w:t>
            </w:r>
          </w:p>
        </w:tc>
        <w:tc>
          <w:tcPr>
            <w:tcW w:w="0" w:type="auto"/>
          </w:tcPr>
          <w:p w14:paraId="708DDFB5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0" w:type="auto"/>
          </w:tcPr>
          <w:p w14:paraId="0DCC042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1.67</w:t>
            </w:r>
          </w:p>
        </w:tc>
        <w:tc>
          <w:tcPr>
            <w:tcW w:w="0" w:type="auto"/>
          </w:tcPr>
          <w:p w14:paraId="66C877D4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</w:tr>
      <w:tr w:rsidR="00F35908" w:rsidRPr="003E6C7D" w14:paraId="3C5BDBE4" w14:textId="77777777" w:rsidTr="00C256D8">
        <w:trPr>
          <w:trHeight w:val="255"/>
        </w:trPr>
        <w:tc>
          <w:tcPr>
            <w:tcW w:w="0" w:type="auto"/>
          </w:tcPr>
          <w:p w14:paraId="16E38F0D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Grain Damage (%) Y-II</w:t>
            </w:r>
          </w:p>
        </w:tc>
        <w:tc>
          <w:tcPr>
            <w:tcW w:w="0" w:type="auto"/>
            <w:noWrap/>
            <w:hideMark/>
          </w:tcPr>
          <w:p w14:paraId="32F3A710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1.95</w:t>
            </w:r>
          </w:p>
        </w:tc>
        <w:tc>
          <w:tcPr>
            <w:tcW w:w="0" w:type="auto"/>
            <w:noWrap/>
            <w:hideMark/>
          </w:tcPr>
          <w:p w14:paraId="485CD346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19.97</w:t>
            </w:r>
          </w:p>
        </w:tc>
        <w:tc>
          <w:tcPr>
            <w:tcW w:w="0" w:type="auto"/>
            <w:noWrap/>
            <w:hideMark/>
          </w:tcPr>
          <w:p w14:paraId="2C2202B1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0" w:type="auto"/>
            <w:noWrap/>
            <w:hideMark/>
          </w:tcPr>
          <w:p w14:paraId="2FCE071C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0" w:type="auto"/>
            <w:noWrap/>
            <w:hideMark/>
          </w:tcPr>
          <w:p w14:paraId="0DF3899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7.15</w:t>
            </w:r>
          </w:p>
        </w:tc>
        <w:tc>
          <w:tcPr>
            <w:tcW w:w="0" w:type="auto"/>
          </w:tcPr>
          <w:p w14:paraId="52F296E9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0" w:type="auto"/>
          </w:tcPr>
          <w:p w14:paraId="3F944ACD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0" w:type="auto"/>
          </w:tcPr>
          <w:p w14:paraId="3706725D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0" w:type="auto"/>
          </w:tcPr>
          <w:p w14:paraId="0D5E361A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0" w:type="auto"/>
          </w:tcPr>
          <w:p w14:paraId="724E2E87" w14:textId="77777777" w:rsidR="00F35908" w:rsidRPr="003E6C7D" w:rsidRDefault="00F35908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C7D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</w:tr>
    </w:tbl>
    <w:p w14:paraId="2B0F9491" w14:textId="77777777" w:rsidR="001F372A" w:rsidRDefault="00F35908" w:rsidP="00F359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5908">
        <w:rPr>
          <w:rFonts w:ascii="Times New Roman" w:hAnsi="Times New Roman" w:cs="Times New Roman"/>
          <w:sz w:val="24"/>
          <w:szCs w:val="24"/>
        </w:rPr>
        <w:lastRenderedPageBreak/>
        <w:t xml:space="preserve">Fig. 1. Histogram depicting the variation in per cent pod and grain damage (left: 2023-24; right: 2024-25) inflicted by </w:t>
      </w:r>
      <w:r w:rsidRPr="00F35908">
        <w:rPr>
          <w:rStyle w:val="Emphasis"/>
          <w:rFonts w:ascii="Times New Roman" w:hAnsi="Times New Roman" w:cs="Times New Roman"/>
          <w:sz w:val="24"/>
          <w:szCs w:val="24"/>
        </w:rPr>
        <w:t>H. armigera</w:t>
      </w:r>
      <w:r w:rsidRPr="00F35908">
        <w:rPr>
          <w:rFonts w:ascii="Times New Roman" w:hAnsi="Times New Roman" w:cs="Times New Roman"/>
          <w:sz w:val="24"/>
          <w:szCs w:val="24"/>
        </w:rPr>
        <w:t xml:space="preserve"> across genotypes (n = 103), with corresponding descriptive statistics.</w:t>
      </w:r>
    </w:p>
    <w:p w14:paraId="0FC3573F" w14:textId="77777777" w:rsidR="001F372A" w:rsidRDefault="001F3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F6B3D3" w14:textId="77777777" w:rsidR="001F372A" w:rsidRDefault="001F372A" w:rsidP="001F372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7DA4A62" wp14:editId="6C646957">
            <wp:extent cx="2743200" cy="20427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76" cy="204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2A2358" wp14:editId="629AC0CE">
            <wp:extent cx="2784451" cy="2057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357" cy="206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7860" w14:textId="77777777" w:rsidR="001F372A" w:rsidRDefault="001F372A" w:rsidP="001F372A">
      <w:pPr>
        <w:rPr>
          <w:noProof/>
        </w:rPr>
      </w:pPr>
      <w:r>
        <w:rPr>
          <w:noProof/>
        </w:rPr>
        <w:drawing>
          <wp:inline distT="0" distB="0" distL="0" distR="0" wp14:anchorId="65E396DE" wp14:editId="671FC266">
            <wp:extent cx="2759103" cy="19879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591" cy="199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71B7A5" wp14:editId="4D9F00B2">
            <wp:extent cx="2895600" cy="2048266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4105" cy="205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1510"/>
        <w:gridCol w:w="563"/>
        <w:gridCol w:w="627"/>
        <w:gridCol w:w="682"/>
        <w:gridCol w:w="578"/>
        <w:gridCol w:w="834"/>
        <w:gridCol w:w="627"/>
        <w:gridCol w:w="921"/>
        <w:gridCol w:w="900"/>
        <w:gridCol w:w="1008"/>
        <w:gridCol w:w="790"/>
      </w:tblGrid>
      <w:tr w:rsidR="001F372A" w:rsidRPr="00147682" w14:paraId="21ED3AD0" w14:textId="77777777" w:rsidTr="00C256D8">
        <w:trPr>
          <w:trHeight w:val="254"/>
        </w:trPr>
        <w:tc>
          <w:tcPr>
            <w:tcW w:w="0" w:type="auto"/>
            <w:shd w:val="clear" w:color="auto" w:fill="E5DFEC" w:themeFill="accent4" w:themeFillTint="33"/>
          </w:tcPr>
          <w:p w14:paraId="2EDFC2B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593E6130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492365C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6E052A82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573CB08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hideMark/>
          </w:tcPr>
          <w:p w14:paraId="4E4D8CF4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102538E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7F0565C3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4768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0D1DD43E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Kurtosis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4C63FF4D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Skewness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3461054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CI95%</w:t>
            </w:r>
          </w:p>
        </w:tc>
      </w:tr>
      <w:tr w:rsidR="001F372A" w:rsidRPr="00147682" w14:paraId="4B6583EF" w14:textId="77777777" w:rsidTr="00C256D8">
        <w:trPr>
          <w:trHeight w:val="254"/>
        </w:trPr>
        <w:tc>
          <w:tcPr>
            <w:tcW w:w="0" w:type="auto"/>
          </w:tcPr>
          <w:p w14:paraId="24F5FE4D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PSR Y-I</w:t>
            </w:r>
          </w:p>
        </w:tc>
        <w:tc>
          <w:tcPr>
            <w:tcW w:w="0" w:type="auto"/>
            <w:noWrap/>
            <w:hideMark/>
          </w:tcPr>
          <w:p w14:paraId="0C29A76B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hideMark/>
          </w:tcPr>
          <w:p w14:paraId="35086660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noWrap/>
            <w:hideMark/>
          </w:tcPr>
          <w:p w14:paraId="1E4C34B0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0" w:type="auto"/>
            <w:noWrap/>
            <w:hideMark/>
          </w:tcPr>
          <w:p w14:paraId="6C8E062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noWrap/>
            <w:hideMark/>
          </w:tcPr>
          <w:p w14:paraId="1F8FB5B4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</w:tcPr>
          <w:p w14:paraId="673A8DA2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0" w:type="auto"/>
          </w:tcPr>
          <w:p w14:paraId="4C58787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0" w:type="auto"/>
          </w:tcPr>
          <w:p w14:paraId="791317D1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-0.61</w:t>
            </w:r>
          </w:p>
        </w:tc>
        <w:tc>
          <w:tcPr>
            <w:tcW w:w="0" w:type="auto"/>
          </w:tcPr>
          <w:p w14:paraId="6C85A6E8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</w:tcPr>
          <w:p w14:paraId="5E610765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</w:tr>
      <w:tr w:rsidR="001F372A" w:rsidRPr="00147682" w14:paraId="02B72D08" w14:textId="77777777" w:rsidTr="00C256D8">
        <w:trPr>
          <w:trHeight w:val="254"/>
        </w:trPr>
        <w:tc>
          <w:tcPr>
            <w:tcW w:w="0" w:type="auto"/>
          </w:tcPr>
          <w:p w14:paraId="1083444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PSR Y-II</w:t>
            </w:r>
          </w:p>
        </w:tc>
        <w:tc>
          <w:tcPr>
            <w:tcW w:w="0" w:type="auto"/>
            <w:noWrap/>
            <w:hideMark/>
          </w:tcPr>
          <w:p w14:paraId="16DF83E8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hideMark/>
          </w:tcPr>
          <w:p w14:paraId="17D41787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noWrap/>
            <w:hideMark/>
          </w:tcPr>
          <w:p w14:paraId="3E974B05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0" w:type="auto"/>
            <w:noWrap/>
            <w:hideMark/>
          </w:tcPr>
          <w:p w14:paraId="4D25C267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0" w:type="auto"/>
            <w:noWrap/>
            <w:hideMark/>
          </w:tcPr>
          <w:p w14:paraId="3C9FBD1D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</w:tcPr>
          <w:p w14:paraId="5726D741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0" w:type="auto"/>
          </w:tcPr>
          <w:p w14:paraId="081CAAA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0" w:type="auto"/>
          </w:tcPr>
          <w:p w14:paraId="4ECBEB43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0" w:type="auto"/>
          </w:tcPr>
          <w:p w14:paraId="000D4954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0" w:type="auto"/>
          </w:tcPr>
          <w:p w14:paraId="18C2C2C8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</w:tr>
      <w:tr w:rsidR="001F372A" w:rsidRPr="00147682" w14:paraId="1D8632E6" w14:textId="77777777" w:rsidTr="00C256D8">
        <w:trPr>
          <w:trHeight w:val="254"/>
        </w:trPr>
        <w:tc>
          <w:tcPr>
            <w:tcW w:w="0" w:type="auto"/>
          </w:tcPr>
          <w:p w14:paraId="484739C8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Grain yield Y-I</w:t>
            </w:r>
          </w:p>
        </w:tc>
        <w:tc>
          <w:tcPr>
            <w:tcW w:w="0" w:type="auto"/>
            <w:noWrap/>
            <w:hideMark/>
          </w:tcPr>
          <w:p w14:paraId="6F8085F1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09F567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5067</w:t>
            </w:r>
          </w:p>
        </w:tc>
        <w:tc>
          <w:tcPr>
            <w:tcW w:w="0" w:type="auto"/>
            <w:noWrap/>
            <w:hideMark/>
          </w:tcPr>
          <w:p w14:paraId="6BC55DC2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0" w:type="auto"/>
            <w:noWrap/>
            <w:hideMark/>
          </w:tcPr>
          <w:p w14:paraId="0DAADAB5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6E9515B6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0" w:type="auto"/>
          </w:tcPr>
          <w:p w14:paraId="686EDDA7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0" w:type="auto"/>
          </w:tcPr>
          <w:p w14:paraId="003A374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960471</w:t>
            </w:r>
          </w:p>
        </w:tc>
        <w:tc>
          <w:tcPr>
            <w:tcW w:w="0" w:type="auto"/>
          </w:tcPr>
          <w:p w14:paraId="54681A1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</w:tcPr>
          <w:p w14:paraId="38BE39D4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</w:tcPr>
          <w:p w14:paraId="74BD4ED5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</w:tr>
      <w:tr w:rsidR="001F372A" w:rsidRPr="00147682" w14:paraId="07F48B7D" w14:textId="77777777" w:rsidTr="00C256D8">
        <w:trPr>
          <w:trHeight w:val="254"/>
        </w:trPr>
        <w:tc>
          <w:tcPr>
            <w:tcW w:w="0" w:type="auto"/>
          </w:tcPr>
          <w:p w14:paraId="405B5C39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sz w:val="18"/>
                <w:szCs w:val="18"/>
              </w:rPr>
              <w:t>Grain yield Y-II</w:t>
            </w:r>
          </w:p>
        </w:tc>
        <w:tc>
          <w:tcPr>
            <w:tcW w:w="0" w:type="auto"/>
            <w:noWrap/>
            <w:hideMark/>
          </w:tcPr>
          <w:p w14:paraId="0BEDD92B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3EB0EDA9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6010</w:t>
            </w:r>
          </w:p>
        </w:tc>
        <w:tc>
          <w:tcPr>
            <w:tcW w:w="0" w:type="auto"/>
            <w:noWrap/>
            <w:hideMark/>
          </w:tcPr>
          <w:p w14:paraId="249A3839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0" w:type="auto"/>
            <w:noWrap/>
            <w:hideMark/>
          </w:tcPr>
          <w:p w14:paraId="4B6BB5A7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7E24A46D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0" w:type="auto"/>
          </w:tcPr>
          <w:p w14:paraId="5EC4E4DA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</w:tcPr>
          <w:p w14:paraId="428C77C1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1039970</w:t>
            </w:r>
          </w:p>
        </w:tc>
        <w:tc>
          <w:tcPr>
            <w:tcW w:w="0" w:type="auto"/>
          </w:tcPr>
          <w:p w14:paraId="21DB0AE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0" w:type="auto"/>
          </w:tcPr>
          <w:p w14:paraId="6B3EB11C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</w:tcPr>
          <w:p w14:paraId="5F1D73E9" w14:textId="77777777" w:rsidR="001F372A" w:rsidRPr="00147682" w:rsidRDefault="001F372A" w:rsidP="00C25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</w:tr>
    </w:tbl>
    <w:p w14:paraId="4B97E5B8" w14:textId="77777777" w:rsidR="00F35908" w:rsidRPr="001F372A" w:rsidRDefault="001F372A" w:rsidP="001F372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 xml:space="preserve">Fig. 2. Histogram depicting the variation in pest susceptibility rank (PSR) and grain </w:t>
      </w:r>
      <w:r w:rsidR="00F06897" w:rsidRPr="001F372A">
        <w:rPr>
          <w:rFonts w:ascii="Times New Roman" w:hAnsi="Times New Roman" w:cs="Times New Roman"/>
          <w:sz w:val="24"/>
          <w:szCs w:val="24"/>
        </w:rPr>
        <w:t>yield across</w:t>
      </w:r>
      <w:r w:rsidRPr="001F372A">
        <w:rPr>
          <w:rFonts w:ascii="Times New Roman" w:hAnsi="Times New Roman" w:cs="Times New Roman"/>
          <w:sz w:val="24"/>
          <w:szCs w:val="24"/>
        </w:rPr>
        <w:t xml:space="preserve"> genotypes (n = 103), </w:t>
      </w:r>
      <w:r w:rsidR="00F06897">
        <w:rPr>
          <w:rFonts w:ascii="Times New Roman" w:hAnsi="Times New Roman" w:cs="Times New Roman"/>
          <w:sz w:val="24"/>
          <w:szCs w:val="24"/>
        </w:rPr>
        <w:t xml:space="preserve">(left 2023-24; right 2024-25) </w:t>
      </w:r>
      <w:r w:rsidRPr="001F372A">
        <w:rPr>
          <w:rFonts w:ascii="Times New Roman" w:hAnsi="Times New Roman" w:cs="Times New Roman"/>
          <w:sz w:val="24"/>
          <w:szCs w:val="24"/>
        </w:rPr>
        <w:t>with corresponding descriptive statistics.</w:t>
      </w:r>
    </w:p>
    <w:p w14:paraId="1D549D3C" w14:textId="77777777" w:rsidR="00F35908" w:rsidRPr="00296384" w:rsidRDefault="00F35908" w:rsidP="002963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0D505" w14:textId="77777777" w:rsidR="00881931" w:rsidRDefault="00881931" w:rsidP="0029638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912EE" w14:textId="77777777" w:rsidR="00881931" w:rsidRDefault="00881931" w:rsidP="00881931">
      <w:pPr>
        <w:tabs>
          <w:tab w:val="left" w:pos="123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826CE" w14:textId="77777777" w:rsidR="00881931" w:rsidRDefault="00881931" w:rsidP="00881931">
      <w:pPr>
        <w:tabs>
          <w:tab w:val="left" w:pos="123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5675A" w14:textId="77777777" w:rsidR="00881931" w:rsidRDefault="00881931" w:rsidP="00881931">
      <w:pPr>
        <w:tabs>
          <w:tab w:val="left" w:pos="123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881931" w:rsidSect="007043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20AE295" w14:textId="77777777" w:rsidR="00423675" w:rsidRPr="00423675" w:rsidRDefault="00423675" w:rsidP="00423675">
      <w:pPr>
        <w:rPr>
          <w:rFonts w:ascii="Times New Roman" w:hAnsi="Times New Roman" w:cs="Times New Roman"/>
          <w:sz w:val="24"/>
          <w:szCs w:val="22"/>
        </w:rPr>
      </w:pPr>
    </w:p>
    <w:p w14:paraId="46A31D69" w14:textId="77777777" w:rsidR="000E0548" w:rsidRDefault="000E0548" w:rsidP="000E0548">
      <w:r>
        <w:rPr>
          <w:noProof/>
        </w:rPr>
        <w:drawing>
          <wp:inline distT="0" distB="0" distL="0" distR="0" wp14:anchorId="67EA78A4" wp14:editId="29230C76">
            <wp:extent cx="2670338" cy="264837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274" cy="266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A1DF63" wp14:editId="1D03AE9C">
            <wp:extent cx="2668530" cy="268877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923" cy="269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C1038" w14:textId="77777777" w:rsidR="000E0548" w:rsidRDefault="000E0548" w:rsidP="000E0548">
      <w:r>
        <w:rPr>
          <w:noProof/>
        </w:rPr>
        <w:drawing>
          <wp:inline distT="0" distB="0" distL="0" distR="0" wp14:anchorId="314E61C0" wp14:editId="2708DCBE">
            <wp:extent cx="1898005" cy="1788795"/>
            <wp:effectExtent l="0" t="0" r="762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8928" cy="17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91E45" wp14:editId="6ADB0E36">
            <wp:extent cx="1792139" cy="16856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1795" cy="17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D22F4" wp14:editId="22F2D5DD">
            <wp:extent cx="1949450" cy="1767598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82257" cy="17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34B2" w14:textId="77777777" w:rsidR="000E0548" w:rsidRPr="000E0548" w:rsidRDefault="000E0548" w:rsidP="000E05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8">
        <w:rPr>
          <w:rFonts w:ascii="Times New Roman" w:hAnsi="Times New Roman" w:cs="Times New Roman"/>
          <w:sz w:val="24"/>
          <w:szCs w:val="24"/>
        </w:rPr>
        <w:t xml:space="preserve">Fig. 3. Correlation matrix plot among the variables; pod damage (PD), grain damage (GD), pest susceptibility rank (PSR) and grain yield (GY) for the year 1 (upper left) and year 2 (upper right). Co-associations of a variables within the year 1 and 2 (lower left, middle &amp; right). </w:t>
      </w:r>
    </w:p>
    <w:p w14:paraId="67AD7058" w14:textId="77777777" w:rsidR="0035686B" w:rsidRDefault="0035686B" w:rsidP="005E6E12">
      <w:pPr>
        <w:rPr>
          <w:rFonts w:ascii="Times New Roman" w:hAnsi="Times New Roman" w:cs="Times New Roman"/>
          <w:sz w:val="24"/>
          <w:szCs w:val="22"/>
        </w:rPr>
        <w:sectPr w:rsidR="0035686B" w:rsidSect="00881931">
          <w:pgSz w:w="12240" w:h="15840"/>
          <w:pgMar w:top="1152" w:right="1440" w:bottom="1152" w:left="1800" w:header="720" w:footer="720" w:gutter="0"/>
          <w:cols w:space="720"/>
          <w:docGrid w:linePitch="360"/>
        </w:sectPr>
      </w:pPr>
    </w:p>
    <w:p w14:paraId="03BBDE74" w14:textId="77777777" w:rsidR="00423675" w:rsidRDefault="00E75B30" w:rsidP="0035686B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lastRenderedPageBreak/>
        <w:t>Table 2</w:t>
      </w:r>
      <w:r w:rsidR="00423675" w:rsidRPr="00423675">
        <w:rPr>
          <w:rFonts w:ascii="Times New Roman" w:hAnsi="Times New Roman" w:cs="Times New Roman"/>
          <w:b/>
          <w:bCs/>
          <w:sz w:val="24"/>
          <w:szCs w:val="22"/>
        </w:rPr>
        <w:t xml:space="preserve">: </w:t>
      </w:r>
      <w:r w:rsidR="00000AFF">
        <w:rPr>
          <w:rFonts w:ascii="Times New Roman" w:hAnsi="Times New Roman" w:cs="Times New Roman"/>
          <w:b/>
          <w:bCs/>
          <w:sz w:val="24"/>
          <w:szCs w:val="22"/>
        </w:rPr>
        <w:t xml:space="preserve">Categorization of </w:t>
      </w:r>
      <w:proofErr w:type="spellStart"/>
      <w:r w:rsidR="00000AFF">
        <w:rPr>
          <w:rFonts w:ascii="Times New Roman" w:hAnsi="Times New Roman" w:cs="Times New Roman"/>
          <w:b/>
          <w:bCs/>
          <w:sz w:val="24"/>
          <w:szCs w:val="22"/>
        </w:rPr>
        <w:t>pigeonpea</w:t>
      </w:r>
      <w:proofErr w:type="spellEnd"/>
      <w:r w:rsidR="00000AFF">
        <w:rPr>
          <w:rFonts w:ascii="Times New Roman" w:hAnsi="Times New Roman" w:cs="Times New Roman"/>
          <w:b/>
          <w:bCs/>
          <w:sz w:val="24"/>
          <w:szCs w:val="22"/>
        </w:rPr>
        <w:t xml:space="preserve"> genotypes on the basis of degree of susceptibility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0428FF">
        <w:rPr>
          <w:rFonts w:ascii="Times New Roman" w:hAnsi="Times New Roman" w:cs="Times New Roman"/>
          <w:b/>
          <w:bCs/>
          <w:sz w:val="24"/>
          <w:szCs w:val="22"/>
        </w:rPr>
        <w:t xml:space="preserve">as per the </w:t>
      </w:r>
      <w:r w:rsidR="0035686B">
        <w:rPr>
          <w:rFonts w:ascii="Times New Roman" w:hAnsi="Times New Roman" w:cs="Times New Roman"/>
          <w:b/>
          <w:bCs/>
          <w:sz w:val="24"/>
          <w:szCs w:val="22"/>
        </w:rPr>
        <w:t>pooled data of</w:t>
      </w:r>
      <w:r w:rsidR="00000AFF">
        <w:rPr>
          <w:rFonts w:ascii="Times New Roman" w:hAnsi="Times New Roman" w:cs="Times New Roman"/>
          <w:b/>
          <w:bCs/>
          <w:sz w:val="24"/>
          <w:szCs w:val="22"/>
        </w:rPr>
        <w:t xml:space="preserve"> 2023-24 and 2024-25</w:t>
      </w:r>
      <w:r>
        <w:rPr>
          <w:rFonts w:ascii="Times New Roman" w:hAnsi="Times New Roman" w:cs="Times New Roman"/>
          <w:b/>
          <w:bCs/>
          <w:sz w:val="24"/>
          <w:szCs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"/>
        <w:gridCol w:w="1752"/>
        <w:gridCol w:w="6805"/>
      </w:tblGrid>
      <w:tr w:rsidR="0035686B" w:rsidRPr="00423675" w14:paraId="66F4AD21" w14:textId="77777777" w:rsidTr="006527DC">
        <w:tc>
          <w:tcPr>
            <w:tcW w:w="532" w:type="pct"/>
          </w:tcPr>
          <w:p w14:paraId="5951ACA1" w14:textId="77777777" w:rsidR="0035686B" w:rsidRPr="00423675" w:rsidRDefault="0035686B" w:rsidP="0035686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D50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915" w:type="pct"/>
          </w:tcPr>
          <w:p w14:paraId="2D5887F0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53" w:type="pct"/>
          </w:tcPr>
          <w:p w14:paraId="3863C7C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Genotypes</w:t>
            </w:r>
          </w:p>
        </w:tc>
      </w:tr>
      <w:tr w:rsidR="0035686B" w:rsidRPr="00423675" w14:paraId="5F4B3ABF" w14:textId="77777777" w:rsidTr="006527DC">
        <w:tc>
          <w:tcPr>
            <w:tcW w:w="532" w:type="pct"/>
          </w:tcPr>
          <w:p w14:paraId="53A2CAE4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" w:type="pct"/>
          </w:tcPr>
          <w:p w14:paraId="274E68FE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Highly Resistant</w:t>
            </w:r>
          </w:p>
        </w:tc>
        <w:tc>
          <w:tcPr>
            <w:tcW w:w="3553" w:type="pct"/>
          </w:tcPr>
          <w:p w14:paraId="061E9BCA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86B" w:rsidRPr="00423675" w14:paraId="0A3FC000" w14:textId="77777777" w:rsidTr="006527DC">
        <w:tc>
          <w:tcPr>
            <w:tcW w:w="532" w:type="pct"/>
          </w:tcPr>
          <w:p w14:paraId="64198B39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F01BE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AF6A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43B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5" w:type="pct"/>
          </w:tcPr>
          <w:p w14:paraId="14734F0D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71B4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C0E9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F2A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</w:p>
        </w:tc>
        <w:tc>
          <w:tcPr>
            <w:tcW w:w="3553" w:type="pct"/>
          </w:tcPr>
          <w:p w14:paraId="5CBE43E6" w14:textId="77777777" w:rsidR="0035686B" w:rsidRPr="00423675" w:rsidRDefault="0035686B" w:rsidP="0035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ICP 7076-1, ICP 13906-1, ICP 10559-1, ICP 7426-7, ICP 9049-1, ICP 9891-1, ICP 11259-1, ICPL 20201-1, ICP 7314-1, ICP 4715-1, ICP 939-1, ICP 4266-1, ICP 16674-1, ICP 655-1, ICP 8146-1</w:t>
            </w:r>
          </w:p>
        </w:tc>
      </w:tr>
      <w:tr w:rsidR="0035686B" w:rsidRPr="00423675" w14:paraId="05DFCC68" w14:textId="77777777" w:rsidTr="006527DC">
        <w:tc>
          <w:tcPr>
            <w:tcW w:w="532" w:type="pct"/>
          </w:tcPr>
          <w:p w14:paraId="4AB573A0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21A0B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01D71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66D63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F5A0A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DDFAD6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5" w:type="pct"/>
          </w:tcPr>
          <w:p w14:paraId="11ECCF58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1027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6FF4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9790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96AC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2D4C7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Moderately Resistant</w:t>
            </w:r>
          </w:p>
        </w:tc>
        <w:tc>
          <w:tcPr>
            <w:tcW w:w="3553" w:type="pct"/>
          </w:tcPr>
          <w:p w14:paraId="72998066" w14:textId="77777777" w:rsidR="0035686B" w:rsidRPr="00423675" w:rsidRDefault="0035686B" w:rsidP="0035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ICP 5863-1, ICP 12680-1, ICP 9252-1, ICP 11230-1, ICP 12142-1, ICP 6668-1, ICP 13571-1, ICP 15493-1, ICP 10654-1, ICP 13304-1, ICP 7028-1, ICP 6990-1, ICP 11281-1, ICP 8700-1, ICP 10613-1, ICP 6049-1, ICP 9045-1, ICP 11833-1, ICP 10508-1, ICP 10094-1, ICP 11321-1, ICP 7896-1, ICP 8860-6, ICP 6359-1, ICP 4903-1, ICP 7-1, ICP 8211-1, ICP 1071-1, ICP 60-1, ICP 10503-1, ICP 11320-1, ICP 14147-1, ICP 7035-51, ICP 15185-1, ICP 9691-1, ICP 14209-7, ICP 6815-1, ICP 16440-1, ICP 9062-1, ICP 8776-1, ICP 14524-1, ICP 8144-1, ICP 6845-1, ICPL 20205-1, ICP 12105-1, ICP 13998-1, ICP 8194-1, ICP 15382-1, ICP 13244-1, ICP 8949-1, ICP 12123-1, ICP 11406-1, ICP 11969-1, ICP 6869-1, ICP 13431-1, ICP 6128-1, ICP 995-1, ICP 8152-1, ICP 6992-1</w:t>
            </w:r>
          </w:p>
        </w:tc>
      </w:tr>
      <w:tr w:rsidR="0035686B" w:rsidRPr="00423675" w14:paraId="334B1916" w14:textId="77777777" w:rsidTr="006527DC">
        <w:tc>
          <w:tcPr>
            <w:tcW w:w="532" w:type="pct"/>
          </w:tcPr>
          <w:p w14:paraId="75B1754A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D8AF9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5" w:type="pct"/>
          </w:tcPr>
          <w:p w14:paraId="3AF94C4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D149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Moderately Susceptible</w:t>
            </w:r>
          </w:p>
        </w:tc>
        <w:tc>
          <w:tcPr>
            <w:tcW w:w="3553" w:type="pct"/>
          </w:tcPr>
          <w:p w14:paraId="1999908C" w14:textId="77777777" w:rsidR="0035686B" w:rsidRPr="00423675" w:rsidRDefault="0035686B" w:rsidP="0035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ICP 8384-1, ICP 4213-1, ICP 7507-1, ICP 2405-1, ICP 14545-1, ICP 4317-1, ICP 12515-1, ICP 8266-1, ICP 1279-1, ICP 10276-1, ICP 4029-1</w:t>
            </w:r>
          </w:p>
        </w:tc>
      </w:tr>
      <w:tr w:rsidR="0035686B" w:rsidRPr="00423675" w14:paraId="70EEE3A3" w14:textId="77777777" w:rsidTr="006527DC">
        <w:tc>
          <w:tcPr>
            <w:tcW w:w="532" w:type="pct"/>
          </w:tcPr>
          <w:p w14:paraId="630E2CBE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5" w:type="pct"/>
          </w:tcPr>
          <w:p w14:paraId="31D7675D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3553" w:type="pct"/>
          </w:tcPr>
          <w:p w14:paraId="2FA53BAB" w14:textId="77777777" w:rsidR="0035686B" w:rsidRPr="0035686B" w:rsidRDefault="0035686B" w:rsidP="0035686B">
            <w:pPr>
              <w:spacing w:line="360" w:lineRule="auto"/>
              <w:rPr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ICP 8618-1, ICP 8242-1</w:t>
            </w:r>
          </w:p>
        </w:tc>
      </w:tr>
      <w:tr w:rsidR="0035686B" w:rsidRPr="00423675" w14:paraId="16F38A62" w14:textId="77777777" w:rsidTr="006527DC">
        <w:tc>
          <w:tcPr>
            <w:tcW w:w="532" w:type="pct"/>
          </w:tcPr>
          <w:p w14:paraId="179FE039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B5DC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99E1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5" w:type="pct"/>
          </w:tcPr>
          <w:p w14:paraId="34862860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CA56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0875" w14:textId="77777777" w:rsidR="0035686B" w:rsidRPr="00423675" w:rsidRDefault="0035686B" w:rsidP="00356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Highly Susceptible</w:t>
            </w:r>
          </w:p>
        </w:tc>
        <w:tc>
          <w:tcPr>
            <w:tcW w:w="3553" w:type="pct"/>
          </w:tcPr>
          <w:p w14:paraId="3613215C" w14:textId="77777777" w:rsidR="0035686B" w:rsidRPr="00423675" w:rsidRDefault="0035686B" w:rsidP="00356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 xml:space="preserve">ICP 16264-1, ICPL 20092-1, ICP 4307-1, ICP 14294-1, ICP 14120-1, ICP 9236-1, ICP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14722-1, ICP 1535-1, ICP 9577-1</w:t>
            </w:r>
            <w:r w:rsidRPr="00423675">
              <w:rPr>
                <w:rFonts w:ascii="Times New Roman" w:hAnsi="Times New Roman" w:cs="Times New Roman"/>
                <w:sz w:val="24"/>
                <w:szCs w:val="24"/>
              </w:rPr>
              <w:t>, ICP 3451-1, ICP 10531-1, ICP 7803-1, ICP 8921-1</w:t>
            </w:r>
          </w:p>
        </w:tc>
      </w:tr>
    </w:tbl>
    <w:p w14:paraId="1810A1C7" w14:textId="77777777" w:rsidR="002A0EBF" w:rsidRDefault="002A0EBF" w:rsidP="00C650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511B1068" w14:textId="77777777" w:rsidR="004A0515" w:rsidRDefault="00C65013" w:rsidP="00C650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435302">
        <w:rPr>
          <w:rFonts w:ascii="Times New Roman" w:hAnsi="Times New Roman" w:cs="Times New Roman"/>
          <w:b/>
          <w:bCs/>
          <w:sz w:val="24"/>
          <w:szCs w:val="22"/>
        </w:rPr>
        <w:lastRenderedPageBreak/>
        <w:t xml:space="preserve">Conclusion: </w:t>
      </w:r>
    </w:p>
    <w:p w14:paraId="165139B4" w14:textId="77777777" w:rsidR="00C65013" w:rsidRPr="005E6E12" w:rsidRDefault="00BF2464" w:rsidP="00C650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6C3A7C" w:rsidRPr="006C3A7C">
        <w:rPr>
          <w:rFonts w:ascii="Times New Roman" w:hAnsi="Times New Roman" w:cs="Times New Roman"/>
          <w:sz w:val="24"/>
          <w:szCs w:val="22"/>
        </w:rPr>
        <w:t>Above studies clearly indicates that</w:t>
      </w:r>
      <w:r w:rsidR="00833D8A">
        <w:rPr>
          <w:rFonts w:ascii="Times New Roman" w:hAnsi="Times New Roman" w:cs="Times New Roman"/>
          <w:sz w:val="24"/>
          <w:szCs w:val="22"/>
        </w:rPr>
        <w:t xml:space="preserve"> f</w:t>
      </w:r>
      <w:r w:rsidR="00833D8A" w:rsidRPr="00833D8A">
        <w:rPr>
          <w:rFonts w:ascii="Times New Roman" w:hAnsi="Times New Roman" w:cs="Times New Roman"/>
          <w:sz w:val="24"/>
          <w:szCs w:val="24"/>
        </w:rPr>
        <w:t>ifteen genotypes including ICP 7076-1and ICP 8146-1were categorized resistant (R) with 3.75 to 4.75% pod damage (PSR scale of ‘2’)</w:t>
      </w:r>
      <w:r w:rsidR="00C65013" w:rsidRPr="00833D8A">
        <w:rPr>
          <w:rFonts w:ascii="Times New Roman" w:hAnsi="Times New Roman" w:cs="Times New Roman"/>
          <w:sz w:val="24"/>
          <w:szCs w:val="24"/>
        </w:rPr>
        <w:t xml:space="preserve">. </w:t>
      </w:r>
      <w:r w:rsidR="005E6E12" w:rsidRPr="005E6E12">
        <w:rPr>
          <w:rFonts w:ascii="Times New Roman" w:hAnsi="Times New Roman" w:cs="Times New Roman"/>
          <w:sz w:val="24"/>
          <w:szCs w:val="24"/>
        </w:rPr>
        <w:t>The minimum grain damage was recorded in the genotype ICP 9045-1(1.80%) whereas, highest damage (%) was recorded in genotype ICP 4029-1 (20.00)</w:t>
      </w:r>
      <w:r w:rsidR="005E6E12">
        <w:rPr>
          <w:rFonts w:ascii="Times New Roman" w:hAnsi="Times New Roman" w:cs="Times New Roman"/>
          <w:sz w:val="24"/>
          <w:szCs w:val="24"/>
        </w:rPr>
        <w:t xml:space="preserve">. </w:t>
      </w:r>
      <w:r w:rsidR="005E6E12" w:rsidRPr="005E6E12">
        <w:rPr>
          <w:rFonts w:ascii="Times New Roman" w:hAnsi="Times New Roman" w:cs="Times New Roman"/>
          <w:sz w:val="24"/>
          <w:szCs w:val="24"/>
        </w:rPr>
        <w:t xml:space="preserve">Genotypes ICP 12515-1(5538.42 kg/ha), ICP 6815-1(4139.62 kg/ha), ICP 9049-1(4005.54 kg/ha), ICP 15185-1(3821.49 kg/ha) and ICP16264-1(3268.92 kg/ha) showed </w:t>
      </w:r>
      <w:r w:rsidR="00B47460">
        <w:rPr>
          <w:rFonts w:ascii="Times New Roman" w:hAnsi="Times New Roman" w:cs="Times New Roman"/>
          <w:sz w:val="24"/>
          <w:szCs w:val="24"/>
        </w:rPr>
        <w:t>better</w:t>
      </w:r>
      <w:r w:rsidR="00E75B30">
        <w:rPr>
          <w:rFonts w:ascii="Times New Roman" w:hAnsi="Times New Roman" w:cs="Times New Roman"/>
          <w:sz w:val="24"/>
          <w:szCs w:val="24"/>
        </w:rPr>
        <w:t xml:space="preserve"> </w:t>
      </w:r>
      <w:r w:rsidR="005E6E12" w:rsidRPr="005E6E12">
        <w:rPr>
          <w:rFonts w:ascii="Times New Roman" w:hAnsi="Times New Roman" w:cs="Times New Roman"/>
          <w:sz w:val="24"/>
          <w:szCs w:val="24"/>
        </w:rPr>
        <w:t>performance in yield, along with several other promising entries in comparison to standard check: NA-1, Asha, and IPA-203</w:t>
      </w:r>
      <w:r w:rsidR="00B47460">
        <w:rPr>
          <w:rFonts w:ascii="Times New Roman" w:hAnsi="Times New Roman" w:cs="Times New Roman"/>
          <w:sz w:val="24"/>
          <w:szCs w:val="24"/>
        </w:rPr>
        <w:t>.</w:t>
      </w:r>
    </w:p>
    <w:p w14:paraId="1EF7F1B0" w14:textId="77777777" w:rsidR="00C65013" w:rsidRPr="006B3002" w:rsidRDefault="00C65013" w:rsidP="00C65013">
      <w:pPr>
        <w:tabs>
          <w:tab w:val="left" w:pos="3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B300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8FFC25C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sz w:val="24"/>
          <w:szCs w:val="24"/>
        </w:rPr>
        <w:t xml:space="preserve">Abbott, W. S. (1925). A method of computing the effectiveness of an </w:t>
      </w:r>
      <w:r w:rsidR="00C91094" w:rsidRPr="009F2C97">
        <w:rPr>
          <w:rFonts w:ascii="Times New Roman" w:hAnsi="Times New Roman" w:cs="Times New Roman"/>
          <w:sz w:val="24"/>
          <w:szCs w:val="24"/>
        </w:rPr>
        <w:t>insecticide.</w:t>
      </w:r>
      <w:r w:rsidR="00C91094" w:rsidRPr="009F2C97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682" w:rsidRPr="009F2C97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14768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47682" w:rsidRPr="009F2C97">
        <w:rPr>
          <w:rFonts w:ascii="Times New Roman" w:hAnsi="Times New Roman" w:cs="Times New Roman"/>
          <w:i/>
          <w:iCs/>
          <w:sz w:val="24"/>
          <w:szCs w:val="24"/>
        </w:rPr>
        <w:t>conomic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 xml:space="preserve"> Entomology,</w:t>
      </w:r>
      <w:r w:rsidRPr="009F2C97">
        <w:rPr>
          <w:rFonts w:ascii="Times New Roman" w:hAnsi="Times New Roman" w:cs="Times New Roman"/>
          <w:sz w:val="24"/>
          <w:szCs w:val="24"/>
        </w:rPr>
        <w:t xml:space="preserve"> 18(2), 265-267.</w:t>
      </w:r>
    </w:p>
    <w:p w14:paraId="76CFF998" w14:textId="77777777" w:rsidR="005A320D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Banu, M. R., Muthiah, A. R., &amp; Ashok, S. (2007). Field screening and evaluation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genotypes against pod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borer (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Helicoverpa</w:t>
      </w:r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armigera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Pakistan Journal of Biological Sciences: PJBS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1149-1150.</w:t>
      </w:r>
    </w:p>
    <w:p w14:paraId="23A72293" w14:textId="77777777" w:rsidR="005A320D" w:rsidRDefault="005A320D" w:rsidP="00296384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Chakravarty, S., Bera, T., Agnihotri, M., &amp; Jaba, J. (2016). Screening of short duration </w:t>
      </w:r>
      <w:proofErr w:type="spellStart"/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proofErr w:type="spellStart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Cajanus</w:t>
      </w:r>
      <w:proofErr w:type="spellEnd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</w:t>
      </w:r>
      <w:proofErr w:type="spellEnd"/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(L.) </w:t>
      </w:r>
      <w:proofErr w:type="spellStart"/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Millsp</w:t>
      </w:r>
      <w:proofErr w:type="spellEnd"/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.] genotypes against major insect pests. </w:t>
      </w:r>
      <w:r w:rsidRPr="00C201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Pure and Applied Microbiology</w:t>
      </w:r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01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201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3009-3016.</w:t>
      </w:r>
    </w:p>
    <w:p w14:paraId="5DE619AC" w14:textId="77777777" w:rsidR="001C46D1" w:rsidRDefault="001C46D1" w:rsidP="00296384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Chandra, A., </w:t>
      </w:r>
      <w:proofErr w:type="spellStart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Sujayanand</w:t>
      </w:r>
      <w:proofErr w:type="spellEnd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G.K., </w:t>
      </w:r>
      <w:proofErr w:type="spellStart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Revanasidda</w:t>
      </w:r>
      <w:proofErr w:type="spellEnd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Bandi</w:t>
      </w:r>
      <w:proofErr w:type="spellEnd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S.M., Angami, T., </w:t>
      </w:r>
      <w:proofErr w:type="spellStart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Kanwat</w:t>
      </w:r>
      <w:proofErr w:type="spellEnd"/>
      <w:r w:rsidRPr="001C4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(2022). Insect Pollinators and Hybrid Seed Production: Relevance to Climate Change and Sustainability. In: Bohra, A., Parihar, A.K., Naik SJ, S., Chandra, A. (eds) Plant Male Sterility Systems for Accelerating Crop Improvement. Springer, Singapore. </w:t>
      </w:r>
      <w:hyperlink r:id="rId27" w:tgtFrame="_blank" w:history="1">
        <w:r w:rsidRPr="001C46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https://doi.org/10.1007/978-981-19-3808-5_12</w:t>
        </w:r>
      </w:hyperlink>
    </w:p>
    <w:p w14:paraId="5F73C522" w14:textId="77777777" w:rsidR="00853CCD" w:rsidRPr="00853CCD" w:rsidRDefault="00853CCD" w:rsidP="00853CC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3C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Chandra A, Gupta DS, Kumar Y, Tiwari TN, Patel DP, Katiyar PK, Sah U and Dixit GP</w:t>
      </w:r>
      <w:r w:rsidR="002A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53C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Outreach </w:t>
      </w:r>
      <w:proofErr w:type="spellStart"/>
      <w:r w:rsidRPr="00853C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Programmes</w:t>
      </w:r>
      <w:proofErr w:type="spellEnd"/>
      <w:r w:rsidRPr="00853C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IIPR</w:t>
      </w:r>
      <w:r w:rsidR="00B66F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53C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ICAR-Indian Institute of Pulses Research.</w:t>
      </w:r>
      <w:r w:rsidR="002A0E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Sep 2025.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ISBN</w:t>
      </w:r>
      <w:r w:rsidR="009959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995923" w:rsidRPr="009959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978-93-343-8399-7</w:t>
      </w:r>
      <w:r w:rsidR="009959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75E8789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Chauhan, R., &amp;Dahiya, B. (1993</w:t>
      </w:r>
      <w:proofErr w:type="gram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).Response</w:t>
      </w:r>
      <w:proofErr w:type="gram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some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genotypes to pod borer,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Helicoverpa</w:t>
      </w:r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armigera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pod fly,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Melanagromyza</w:t>
      </w:r>
      <w:proofErr w:type="spellEnd"/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obtusa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Haryana.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Plant Protection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172-172.</w:t>
      </w:r>
    </w:p>
    <w:p w14:paraId="008278FA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Divyasree, C., Sreekanth, M., Chiranjeevi, C., &amp;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Adinarayana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(2020</w:t>
      </w:r>
      <w:proofErr w:type="gram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).Field</w:t>
      </w:r>
      <w:proofErr w:type="gram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screening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genotypes to pod borer,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Helicoverpa</w:t>
      </w:r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armigera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 J Fauna Biol Stud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18-22</w:t>
      </w:r>
    </w:p>
    <w:p w14:paraId="2867B902" w14:textId="77777777" w:rsidR="005A320D" w:rsidRPr="004F25C3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Ganguly, S., Chaudhuri, R. K., &amp; Chakraborti, D. (2022). Genetic Improvement of </w:t>
      </w:r>
      <w:proofErr w:type="spellStart"/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Cajanus</w:t>
      </w:r>
      <w:proofErr w:type="spellEnd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</w:t>
      </w:r>
      <w:proofErr w:type="spellEnd"/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(L.) </w:t>
      </w:r>
      <w:proofErr w:type="spellStart"/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Millsp</w:t>
      </w:r>
      <w:proofErr w:type="spellEnd"/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.) for Insect Resistance: Strategies and Achievements. </w:t>
      </w:r>
      <w:r w:rsidRPr="004F25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Genetic Methods and Tools for Managing Crop Pests</w:t>
      </w:r>
      <w:r w:rsidRPr="004F25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579-596.</w:t>
      </w:r>
    </w:p>
    <w:p w14:paraId="2E313F52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C97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L. K., Bajpai, G. C.,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Kerkhi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>, S. A., &amp;Sachan, S. K. (2009).</w:t>
      </w:r>
      <w:r w:rsidR="00C91094">
        <w:rPr>
          <w:rFonts w:ascii="Times New Roman" w:hAnsi="Times New Roman" w:cs="Times New Roman"/>
          <w:sz w:val="24"/>
          <w:szCs w:val="24"/>
        </w:rPr>
        <w:t xml:space="preserve"> </w:t>
      </w:r>
      <w:r w:rsidRPr="009F2C97">
        <w:rPr>
          <w:rFonts w:ascii="Times New Roman" w:hAnsi="Times New Roman" w:cs="Times New Roman"/>
          <w:sz w:val="24"/>
          <w:szCs w:val="24"/>
        </w:rPr>
        <w:t xml:space="preserve">Pod borer susceptibility reaction in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interspesific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 hybrids of </w:t>
      </w:r>
      <w:proofErr w:type="spellStart"/>
      <w:proofErr w:type="gramStart"/>
      <w:r w:rsidRPr="009F2C97">
        <w:rPr>
          <w:rFonts w:ascii="Times New Roman" w:hAnsi="Times New Roman" w:cs="Times New Roman"/>
          <w:sz w:val="24"/>
          <w:szCs w:val="24"/>
        </w:rPr>
        <w:t>pigeonpea.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Indian</w:t>
      </w:r>
      <w:proofErr w:type="spellEnd"/>
      <w:proofErr w:type="gramEnd"/>
      <w:r w:rsidRPr="009F2C97">
        <w:rPr>
          <w:rFonts w:ascii="Times New Roman" w:hAnsi="Times New Roman" w:cs="Times New Roman"/>
          <w:i/>
          <w:iCs/>
          <w:sz w:val="24"/>
          <w:szCs w:val="24"/>
        </w:rPr>
        <w:t xml:space="preserve"> Journal of Genetics and Plant Breeding</w:t>
      </w:r>
      <w:r w:rsidRPr="009F2C97">
        <w:rPr>
          <w:rFonts w:ascii="Times New Roman" w:hAnsi="Times New Roman" w:cs="Times New Roman"/>
          <w:sz w:val="24"/>
          <w:szCs w:val="24"/>
        </w:rPr>
        <w:t>, 69(01): 58-61.</w:t>
      </w:r>
    </w:p>
    <w:p w14:paraId="3256F79B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sz w:val="24"/>
          <w:szCs w:val="24"/>
        </w:rPr>
        <w:t>Gomez, K. A. (1984). Statistical procedures for agricultural research. John NewYork: Wiley and Sons.</w:t>
      </w:r>
    </w:p>
    <w:p w14:paraId="4D65CA17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S., Rana, N., &amp;Bhagat, J. (2018</w:t>
      </w:r>
      <w:proofErr w:type="gram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).Screening</w:t>
      </w:r>
      <w:proofErr w:type="gram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germplasms against the pod borer complex over a period of two years under field conditions.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J.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Pharmacogn</w:t>
      </w:r>
      <w:proofErr w:type="spellEnd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Phytochem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2402-2405.</w:t>
      </w:r>
    </w:p>
    <w:p w14:paraId="5506AF34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sz w:val="24"/>
          <w:szCs w:val="24"/>
        </w:rPr>
        <w:lastRenderedPageBreak/>
        <w:t xml:space="preserve">Karrem, A and Haveri, R V and Yogendra, K and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Prabhuraj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A and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Hanchinal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S and Kalyan, A and Mishra, S P and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Laxuman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C and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Jaba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J (2025) Understanding resistance mechanisms in crop wild relatives (CWRs) of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C97">
        <w:rPr>
          <w:rFonts w:ascii="Times New Roman" w:hAnsi="Times New Roman" w:cs="Times New Roman"/>
          <w:i/>
          <w:iCs/>
          <w:sz w:val="24"/>
          <w:szCs w:val="24"/>
        </w:rPr>
        <w:t>Cajanus</w:t>
      </w:r>
      <w:proofErr w:type="spellEnd"/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sz w:val="24"/>
          <w:szCs w:val="24"/>
        </w:rPr>
        <w:t>cajan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 L.) against pod borer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Helicoverpa</w:t>
      </w:r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armigera</w:t>
      </w:r>
      <w:r w:rsidRPr="009F2C97">
        <w:rPr>
          <w:rFonts w:ascii="Times New Roman" w:hAnsi="Times New Roman" w:cs="Times New Roman"/>
          <w:sz w:val="24"/>
          <w:szCs w:val="24"/>
        </w:rPr>
        <w:t xml:space="preserve"> (Hub.).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Genetic Resources and Crop Evolution</w:t>
      </w:r>
      <w:r w:rsidRPr="009F2C97">
        <w:rPr>
          <w:rFonts w:ascii="Times New Roman" w:hAnsi="Times New Roman" w:cs="Times New Roman"/>
          <w:sz w:val="24"/>
          <w:szCs w:val="24"/>
        </w:rPr>
        <w:t>. pp. 1-21. ISSN 0925-9864</w:t>
      </w:r>
    </w:p>
    <w:p w14:paraId="7C7C5420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Kavitha, Z., &amp;Vijayaraghavan, C. (2017). Screening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genotypes against webbing caterpillar [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Maruca</w:t>
      </w:r>
      <w:proofErr w:type="spellEnd"/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vitrata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(Geyer)] and gram pod borer [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Helicoverpa</w:t>
      </w:r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armigera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(Hubner)].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Current Microbiology and Applied Science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3899-3907.</w:t>
      </w:r>
    </w:p>
    <w:p w14:paraId="48B44197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Kooner, B. S., &amp;Cheema, H. K. (2006</w:t>
      </w:r>
      <w:proofErr w:type="gram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).Evaluation</w:t>
      </w:r>
      <w:proofErr w:type="gram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genotypes for resistance to pod borer complex.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Crop Science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(1-2), 194-196.</w:t>
      </w:r>
    </w:p>
    <w:p w14:paraId="46452256" w14:textId="77777777" w:rsidR="005A320D" w:rsidRDefault="005A320D" w:rsidP="00BF2464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Kumar, A., &amp;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Nath, P. (2017</w:t>
      </w:r>
      <w:proofErr w:type="gram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).Pest</w:t>
      </w:r>
      <w:proofErr w:type="gram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complex and their population dynamics on an early variety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UPAS-120 at Varanasi.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Entomology (India)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65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(4).</w:t>
      </w:r>
    </w:p>
    <w:p w14:paraId="654306F8" w14:textId="77777777" w:rsidR="005A320D" w:rsidRPr="00F240D9" w:rsidRDefault="005A320D" w:rsidP="004F25C3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Mishra, V., </w:t>
      </w:r>
      <w:r w:rsidRPr="00F24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Chugh, V., Purwar, S., &amp; Singh, A. K. (2025). Plant Protease Inhibitors Towards Modulating Resistance Response to Insect-Pests in Legumes. In </w:t>
      </w:r>
      <w:r w:rsidRPr="00F240D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Integrated Improvement of Food Legumes</w:t>
      </w:r>
      <w:r w:rsidRPr="00F240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77-99). Cham: Springer Nature Switzerland.</w:t>
      </w:r>
    </w:p>
    <w:p w14:paraId="576F4E1B" w14:textId="77777777" w:rsidR="005A320D" w:rsidRDefault="005A320D" w:rsidP="00BF2464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sz w:val="24"/>
          <w:szCs w:val="24"/>
        </w:rPr>
        <w:t xml:space="preserve">Nene YL, Susan DH and Sheila VK. 1990. The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. C.A.B. International Wallingford for ICRISAT,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Patancheru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India.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Pp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>. 490.</w:t>
      </w:r>
    </w:p>
    <w:p w14:paraId="64143EDE" w14:textId="77777777" w:rsidR="005A320D" w:rsidRPr="00BF2464" w:rsidRDefault="005A320D" w:rsidP="00BF2464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sz w:val="24"/>
          <w:szCs w:val="24"/>
        </w:rPr>
        <w:t xml:space="preserve">Ojha, P. K., Kumari, R., Chaudhary, R. S., &amp;Pandey, N. K. (2017). Incremental cost-benefit ratio of certain bio-pesticides against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Helicoverpa</w:t>
      </w:r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sz w:val="24"/>
          <w:szCs w:val="24"/>
        </w:rPr>
        <w:t>armigera</w:t>
      </w:r>
      <w:proofErr w:type="spellEnd"/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094" w:rsidRPr="00C910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1094">
        <w:rPr>
          <w:rFonts w:ascii="Times New Roman" w:hAnsi="Times New Roman" w:cs="Times New Roman"/>
          <w:sz w:val="24"/>
          <w:szCs w:val="24"/>
        </w:rPr>
        <w:t>Hubner</w:t>
      </w:r>
      <w:proofErr w:type="spellEnd"/>
      <w:r w:rsidR="00C91094" w:rsidRPr="00C91094">
        <w:rPr>
          <w:rFonts w:ascii="Times New Roman" w:hAnsi="Times New Roman" w:cs="Times New Roman"/>
          <w:sz w:val="24"/>
          <w:szCs w:val="24"/>
        </w:rPr>
        <w:t>)</w:t>
      </w:r>
      <w:r w:rsidRPr="009F2C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Noctuidae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: Lepidoptera) in chickpea.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Legume Research-An International Journal</w:t>
      </w:r>
      <w:r w:rsidRPr="009F2C97">
        <w:rPr>
          <w:rFonts w:ascii="Times New Roman" w:hAnsi="Times New Roman" w:cs="Times New Roman"/>
          <w:sz w:val="24"/>
          <w:szCs w:val="24"/>
        </w:rPr>
        <w:t>, 42(1), 119-126.</w:t>
      </w:r>
    </w:p>
    <w:p w14:paraId="77BCBB6A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Rathod, N. P., Vala, G. S.,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Dudhat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S., &amp;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Kachhadiya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M. (2014).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Screening of different varieties of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against pod borer complex.</w:t>
      </w:r>
    </w:p>
    <w:p w14:paraId="1E6EB983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sz w:val="24"/>
          <w:szCs w:val="24"/>
        </w:rPr>
        <w:t xml:space="preserve">Sai Y, Sreekanth M, Kumar Sairam DV, Kumar Manoj V. Evaluation of medium duration </w:t>
      </w:r>
      <w:proofErr w:type="spellStart"/>
      <w:r w:rsidRPr="009F2C97"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 genotypes against pod borers.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Journal of Entomology and Zoology Studies</w:t>
      </w:r>
      <w:r w:rsidRPr="009F2C97">
        <w:rPr>
          <w:rFonts w:ascii="Times New Roman" w:hAnsi="Times New Roman" w:cs="Times New Roman"/>
          <w:sz w:val="24"/>
          <w:szCs w:val="24"/>
        </w:rPr>
        <w:t>. 2019; 7(4):1404-1410.</w:t>
      </w:r>
    </w:p>
    <w:p w14:paraId="18CF8E90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sz w:val="24"/>
          <w:szCs w:val="24"/>
        </w:rPr>
        <w:t xml:space="preserve">Sharma, H. C. (1998). Bionomics, host plant resistance, and management of the legume pod borer, </w:t>
      </w:r>
      <w:proofErr w:type="spellStart"/>
      <w:r w:rsidRPr="009F2C97">
        <w:rPr>
          <w:rFonts w:ascii="Times New Roman" w:hAnsi="Times New Roman" w:cs="Times New Roman"/>
          <w:i/>
          <w:iCs/>
          <w:sz w:val="24"/>
          <w:szCs w:val="24"/>
        </w:rPr>
        <w:t>Maruca</w:t>
      </w:r>
      <w:proofErr w:type="spellEnd"/>
      <w:r w:rsidR="00C910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sz w:val="24"/>
          <w:szCs w:val="24"/>
        </w:rPr>
        <w:t>vitrata</w:t>
      </w:r>
      <w:proofErr w:type="spellEnd"/>
      <w:r w:rsidRPr="009F2C97">
        <w:rPr>
          <w:rFonts w:ascii="Times New Roman" w:hAnsi="Times New Roman" w:cs="Times New Roman"/>
          <w:sz w:val="24"/>
          <w:szCs w:val="24"/>
        </w:rPr>
        <w:t xml:space="preserve">-a review. </w:t>
      </w:r>
      <w:r w:rsidRPr="009F2C97">
        <w:rPr>
          <w:rFonts w:ascii="Times New Roman" w:hAnsi="Times New Roman" w:cs="Times New Roman"/>
          <w:i/>
          <w:iCs/>
          <w:sz w:val="24"/>
          <w:szCs w:val="24"/>
        </w:rPr>
        <w:t>Crop protection</w:t>
      </w:r>
      <w:r w:rsidRPr="009F2C97">
        <w:rPr>
          <w:rFonts w:ascii="Times New Roman" w:hAnsi="Times New Roman" w:cs="Times New Roman"/>
          <w:sz w:val="24"/>
          <w:szCs w:val="24"/>
        </w:rPr>
        <w:t>, 17(5), 373-386</w:t>
      </w:r>
      <w:r w:rsidR="00C91094">
        <w:rPr>
          <w:rFonts w:ascii="Times New Roman" w:hAnsi="Times New Roman" w:cs="Times New Roman"/>
          <w:sz w:val="24"/>
          <w:szCs w:val="24"/>
        </w:rPr>
        <w:t>.</w:t>
      </w:r>
    </w:p>
    <w:p w14:paraId="6D9CF816" w14:textId="77777777" w:rsidR="005A320D" w:rsidRPr="009F2C97" w:rsidRDefault="005A320D" w:rsidP="00837DAD">
      <w:pPr>
        <w:spacing w:line="480" w:lineRule="auto"/>
        <w:ind w:left="720" w:hanging="720"/>
        <w:jc w:val="both"/>
        <w:rPr>
          <w:rFonts w:ascii="Times New Roman" w:eastAsia="MingLiU_MSCS-ExtB" w:hAnsi="Times New Roman" w:cs="Times New Roman"/>
          <w:sz w:val="24"/>
          <w:szCs w:val="24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Sreekanth, M., Rajamani, S., &amp;Ramana, M. V. (2017). Screening of some promising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Cajanus</w:t>
      </w:r>
      <w:proofErr w:type="spellEnd"/>
      <w:r w:rsidR="00C910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cajan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(L.) </w:t>
      </w:r>
      <w:proofErr w:type="spellStart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millsp</w:t>
      </w:r>
      <w:proofErr w:type="spellEnd"/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.) genotypes against major insect pests.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Biology Research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94-96.</w:t>
      </w:r>
    </w:p>
    <w:p w14:paraId="39E652A9" w14:textId="77777777" w:rsidR="005A320D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Srivastava, C. P., &amp;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Mohapatra, S. D. (2003). Efficacy and Economic of Insecticides along</w:t>
      </w:r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NSKE against </w:t>
      </w:r>
      <w:proofErr w:type="spellStart"/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pigeonpea</w:t>
      </w:r>
      <w:proofErr w:type="spellEnd"/>
      <w:r w:rsidR="00C91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 fly and Pod borer.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Annals of Plant Protection Sciences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2C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9F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143-145.</w:t>
      </w:r>
    </w:p>
    <w:p w14:paraId="53FE022C" w14:textId="77777777" w:rsidR="004F25C3" w:rsidRPr="009E0CB9" w:rsidRDefault="005A320D" w:rsidP="00837DA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Sujayanand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K., Dubey, S. Datta D, Naik S, Tewari K, Chandra A, Devi R, Govindasamy, P. and Dixit G. P. (2025). Identification of pod borer resistant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pigeonpea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an introgression breeding with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Cajanus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scarabaeoides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accompanied by integrated screening. </w:t>
      </w:r>
      <w:r>
        <w:rPr>
          <w:rFonts w:ascii="Times New Roman" w:hAnsi="Times New Roman" w:cs="Times New Roman"/>
          <w:i/>
          <w:iCs/>
          <w:sz w:val="24"/>
          <w:szCs w:val="24"/>
        </w:rPr>
        <w:t>Arthropod-Plant Interactions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(5), </w:t>
      </w:r>
      <w:hyperlink r:id="rId2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https://doi.org/10.1007/s11829-025-10178-6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4F25C3" w:rsidRPr="009E0CB9" w:rsidSect="0035686B"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E4BE" w14:textId="77777777" w:rsidR="000E750C" w:rsidRDefault="000E750C" w:rsidP="00CF1B17">
      <w:pPr>
        <w:spacing w:after="0" w:line="240" w:lineRule="auto"/>
      </w:pPr>
      <w:r>
        <w:separator/>
      </w:r>
    </w:p>
  </w:endnote>
  <w:endnote w:type="continuationSeparator" w:id="0">
    <w:p w14:paraId="1F57D2D7" w14:textId="77777777" w:rsidR="000E750C" w:rsidRDefault="000E750C" w:rsidP="00CF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MSCS-ExtB"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4340" w14:textId="77777777" w:rsidR="00A64AD5" w:rsidRDefault="00A64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814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5E37D857" w14:textId="77777777" w:rsidR="00C44F61" w:rsidRDefault="00F91DB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16FD2">
          <w:rPr>
            <w:rFonts w:ascii="Times New Roman" w:hAnsi="Times New Roman" w:cs="Times New Roman"/>
          </w:rPr>
          <w:fldChar w:fldCharType="begin"/>
        </w:r>
        <w:r w:rsidR="00C44F61" w:rsidRPr="00116FD2">
          <w:rPr>
            <w:rFonts w:ascii="Times New Roman" w:hAnsi="Times New Roman" w:cs="Times New Roman"/>
          </w:rPr>
          <w:instrText xml:space="preserve"> PAGE   \* MERGEFORMAT </w:instrText>
        </w:r>
        <w:r w:rsidRPr="00116FD2">
          <w:rPr>
            <w:rFonts w:ascii="Times New Roman" w:hAnsi="Times New Roman" w:cs="Times New Roman"/>
          </w:rPr>
          <w:fldChar w:fldCharType="separate"/>
        </w:r>
        <w:r w:rsidR="009E0CB9">
          <w:rPr>
            <w:rFonts w:ascii="Times New Roman" w:hAnsi="Times New Roman" w:cs="Times New Roman"/>
            <w:noProof/>
          </w:rPr>
          <w:t>15</w:t>
        </w:r>
        <w:r w:rsidRPr="00116FD2">
          <w:rPr>
            <w:rFonts w:ascii="Times New Roman" w:hAnsi="Times New Roman" w:cs="Times New Roman"/>
          </w:rPr>
          <w:fldChar w:fldCharType="end"/>
        </w:r>
        <w:r w:rsidR="00C44F61" w:rsidRPr="00116FD2">
          <w:rPr>
            <w:rFonts w:ascii="Times New Roman" w:hAnsi="Times New Roman" w:cs="Times New Roman"/>
          </w:rPr>
          <w:t xml:space="preserve"> | </w:t>
        </w:r>
        <w:r w:rsidR="00C44F61" w:rsidRPr="00116FD2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1F7361BE" w14:textId="77777777" w:rsidR="00C44F61" w:rsidRDefault="00C44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0FFA" w14:textId="77777777" w:rsidR="00A64AD5" w:rsidRDefault="00A6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0FE9" w14:textId="77777777" w:rsidR="000E750C" w:rsidRDefault="000E750C" w:rsidP="00CF1B17">
      <w:pPr>
        <w:spacing w:after="0" w:line="240" w:lineRule="auto"/>
      </w:pPr>
      <w:r>
        <w:separator/>
      </w:r>
    </w:p>
  </w:footnote>
  <w:footnote w:type="continuationSeparator" w:id="0">
    <w:p w14:paraId="2D9F66C8" w14:textId="77777777" w:rsidR="000E750C" w:rsidRDefault="000E750C" w:rsidP="00CF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CA72" w14:textId="2F866869" w:rsidR="00A64AD5" w:rsidRDefault="00A64AD5">
    <w:pPr>
      <w:pStyle w:val="Header"/>
    </w:pPr>
    <w:r>
      <w:rPr>
        <w:noProof/>
      </w:rPr>
      <w:pict w14:anchorId="0C764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942735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77B0" w14:textId="7D364FAF" w:rsidR="00A64AD5" w:rsidRDefault="00A64AD5">
    <w:pPr>
      <w:pStyle w:val="Header"/>
    </w:pPr>
    <w:r>
      <w:rPr>
        <w:noProof/>
      </w:rPr>
      <w:pict w14:anchorId="4E1E5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942736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E0B4" w14:textId="4749B167" w:rsidR="00A64AD5" w:rsidRDefault="00A64AD5">
    <w:pPr>
      <w:pStyle w:val="Header"/>
    </w:pPr>
    <w:r>
      <w:rPr>
        <w:noProof/>
      </w:rPr>
      <w:pict w14:anchorId="671FBA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942734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3360"/>
    <w:multiLevelType w:val="hybridMultilevel"/>
    <w:tmpl w:val="77A8D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B4B"/>
    <w:multiLevelType w:val="hybridMultilevel"/>
    <w:tmpl w:val="8F5C3192"/>
    <w:lvl w:ilvl="0" w:tplc="04090011">
      <w:start w:val="1"/>
      <w:numFmt w:val="decimal"/>
      <w:lvlText w:val="%1)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CDC60EB"/>
    <w:multiLevelType w:val="hybridMultilevel"/>
    <w:tmpl w:val="835A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FEA"/>
    <w:multiLevelType w:val="hybridMultilevel"/>
    <w:tmpl w:val="0226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342E"/>
    <w:multiLevelType w:val="hybridMultilevel"/>
    <w:tmpl w:val="DB42FFEA"/>
    <w:lvl w:ilvl="0" w:tplc="5246DA18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348C"/>
    <w:multiLevelType w:val="hybridMultilevel"/>
    <w:tmpl w:val="1D767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028C"/>
    <w:multiLevelType w:val="hybridMultilevel"/>
    <w:tmpl w:val="CD189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E26D32"/>
    <w:multiLevelType w:val="hybridMultilevel"/>
    <w:tmpl w:val="E6E0D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64E84"/>
    <w:multiLevelType w:val="hybridMultilevel"/>
    <w:tmpl w:val="A3AA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366A"/>
    <w:multiLevelType w:val="hybridMultilevel"/>
    <w:tmpl w:val="65108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3F6B"/>
    <w:multiLevelType w:val="hybridMultilevel"/>
    <w:tmpl w:val="608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A5765"/>
    <w:multiLevelType w:val="hybridMultilevel"/>
    <w:tmpl w:val="0E1C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BE9"/>
    <w:multiLevelType w:val="hybridMultilevel"/>
    <w:tmpl w:val="B57CF092"/>
    <w:lvl w:ilvl="0" w:tplc="31447D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6339A"/>
    <w:multiLevelType w:val="hybridMultilevel"/>
    <w:tmpl w:val="727C8CDC"/>
    <w:lvl w:ilvl="0" w:tplc="B594950C">
      <w:start w:val="3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412169E"/>
    <w:multiLevelType w:val="hybridMultilevel"/>
    <w:tmpl w:val="E6E0D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725F2"/>
    <w:multiLevelType w:val="hybridMultilevel"/>
    <w:tmpl w:val="CD189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FB69F5"/>
    <w:multiLevelType w:val="hybridMultilevel"/>
    <w:tmpl w:val="8F5C3192"/>
    <w:lvl w:ilvl="0" w:tplc="04090011">
      <w:start w:val="1"/>
      <w:numFmt w:val="decimal"/>
      <w:lvlText w:val="%1)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3"/>
  </w:num>
  <w:num w:numId="9">
    <w:abstractNumId w:val="16"/>
  </w:num>
  <w:num w:numId="10">
    <w:abstractNumId w:val="1"/>
  </w:num>
  <w:num w:numId="11">
    <w:abstractNumId w:val="2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4C"/>
    <w:rsid w:val="00000AFF"/>
    <w:rsid w:val="00003C1D"/>
    <w:rsid w:val="00004082"/>
    <w:rsid w:val="00005FCC"/>
    <w:rsid w:val="00006DCE"/>
    <w:rsid w:val="00011262"/>
    <w:rsid w:val="00017ABD"/>
    <w:rsid w:val="0002057A"/>
    <w:rsid w:val="0002377F"/>
    <w:rsid w:val="000238BE"/>
    <w:rsid w:val="00036218"/>
    <w:rsid w:val="000428FF"/>
    <w:rsid w:val="000566F9"/>
    <w:rsid w:val="00057D81"/>
    <w:rsid w:val="00061756"/>
    <w:rsid w:val="00066E28"/>
    <w:rsid w:val="000718FB"/>
    <w:rsid w:val="00075742"/>
    <w:rsid w:val="000927DA"/>
    <w:rsid w:val="000A1FA3"/>
    <w:rsid w:val="000A30E1"/>
    <w:rsid w:val="000A5612"/>
    <w:rsid w:val="000A6857"/>
    <w:rsid w:val="000A79BE"/>
    <w:rsid w:val="000B0195"/>
    <w:rsid w:val="000B03DC"/>
    <w:rsid w:val="000B18A3"/>
    <w:rsid w:val="000B5388"/>
    <w:rsid w:val="000B6D6E"/>
    <w:rsid w:val="000C39E3"/>
    <w:rsid w:val="000D544E"/>
    <w:rsid w:val="000E0548"/>
    <w:rsid w:val="000E750C"/>
    <w:rsid w:val="000F738E"/>
    <w:rsid w:val="001067DA"/>
    <w:rsid w:val="001110E3"/>
    <w:rsid w:val="001123C8"/>
    <w:rsid w:val="00116FD2"/>
    <w:rsid w:val="001217A8"/>
    <w:rsid w:val="00133BBE"/>
    <w:rsid w:val="00134ED1"/>
    <w:rsid w:val="00147682"/>
    <w:rsid w:val="00156F9C"/>
    <w:rsid w:val="001650AF"/>
    <w:rsid w:val="00181155"/>
    <w:rsid w:val="001942CB"/>
    <w:rsid w:val="001963BB"/>
    <w:rsid w:val="001A0AF0"/>
    <w:rsid w:val="001B0CDB"/>
    <w:rsid w:val="001B2861"/>
    <w:rsid w:val="001B2984"/>
    <w:rsid w:val="001B494D"/>
    <w:rsid w:val="001B7A1A"/>
    <w:rsid w:val="001B7A79"/>
    <w:rsid w:val="001C258A"/>
    <w:rsid w:val="001C3BE5"/>
    <w:rsid w:val="001C46D1"/>
    <w:rsid w:val="001C63DA"/>
    <w:rsid w:val="001D536B"/>
    <w:rsid w:val="001D5684"/>
    <w:rsid w:val="001D68AB"/>
    <w:rsid w:val="001E1248"/>
    <w:rsid w:val="001E4278"/>
    <w:rsid w:val="001F1BBC"/>
    <w:rsid w:val="001F372A"/>
    <w:rsid w:val="001F7E4A"/>
    <w:rsid w:val="00202249"/>
    <w:rsid w:val="00212068"/>
    <w:rsid w:val="00215D24"/>
    <w:rsid w:val="00216F6F"/>
    <w:rsid w:val="00221F5C"/>
    <w:rsid w:val="00221F6A"/>
    <w:rsid w:val="0022638B"/>
    <w:rsid w:val="00237EEC"/>
    <w:rsid w:val="00240586"/>
    <w:rsid w:val="00254A37"/>
    <w:rsid w:val="00256E98"/>
    <w:rsid w:val="002577C7"/>
    <w:rsid w:val="00261F62"/>
    <w:rsid w:val="0026758D"/>
    <w:rsid w:val="002676A5"/>
    <w:rsid w:val="00276856"/>
    <w:rsid w:val="00280B4C"/>
    <w:rsid w:val="00281B7F"/>
    <w:rsid w:val="00296384"/>
    <w:rsid w:val="002A0EBF"/>
    <w:rsid w:val="002A293A"/>
    <w:rsid w:val="002B07AB"/>
    <w:rsid w:val="002B6485"/>
    <w:rsid w:val="002B6B80"/>
    <w:rsid w:val="002C571D"/>
    <w:rsid w:val="002D4DF4"/>
    <w:rsid w:val="002E00A3"/>
    <w:rsid w:val="002F701C"/>
    <w:rsid w:val="00300EFF"/>
    <w:rsid w:val="00301CF9"/>
    <w:rsid w:val="003067D4"/>
    <w:rsid w:val="00321135"/>
    <w:rsid w:val="00321153"/>
    <w:rsid w:val="003406D7"/>
    <w:rsid w:val="00343DF8"/>
    <w:rsid w:val="00345060"/>
    <w:rsid w:val="00355857"/>
    <w:rsid w:val="0035686B"/>
    <w:rsid w:val="00357D2F"/>
    <w:rsid w:val="003658FC"/>
    <w:rsid w:val="00365CEF"/>
    <w:rsid w:val="00366431"/>
    <w:rsid w:val="00373D3D"/>
    <w:rsid w:val="003A627B"/>
    <w:rsid w:val="003A67D7"/>
    <w:rsid w:val="003B1360"/>
    <w:rsid w:val="003B3CFB"/>
    <w:rsid w:val="003C0E2A"/>
    <w:rsid w:val="003C20FB"/>
    <w:rsid w:val="003D1A30"/>
    <w:rsid w:val="003D69C2"/>
    <w:rsid w:val="003E438B"/>
    <w:rsid w:val="003E6954"/>
    <w:rsid w:val="003E6C7D"/>
    <w:rsid w:val="003F3EEF"/>
    <w:rsid w:val="003F4EE8"/>
    <w:rsid w:val="003F6EF3"/>
    <w:rsid w:val="00403EFF"/>
    <w:rsid w:val="004063F8"/>
    <w:rsid w:val="00412091"/>
    <w:rsid w:val="00416605"/>
    <w:rsid w:val="00416ADB"/>
    <w:rsid w:val="00423675"/>
    <w:rsid w:val="00435302"/>
    <w:rsid w:val="004357F4"/>
    <w:rsid w:val="004360B5"/>
    <w:rsid w:val="0045638A"/>
    <w:rsid w:val="004564D1"/>
    <w:rsid w:val="00460475"/>
    <w:rsid w:val="00463F25"/>
    <w:rsid w:val="004706A6"/>
    <w:rsid w:val="00470BC9"/>
    <w:rsid w:val="004721F9"/>
    <w:rsid w:val="00484A16"/>
    <w:rsid w:val="00487831"/>
    <w:rsid w:val="00487848"/>
    <w:rsid w:val="004901B0"/>
    <w:rsid w:val="004A0515"/>
    <w:rsid w:val="004A52A7"/>
    <w:rsid w:val="004A5738"/>
    <w:rsid w:val="004B2B6D"/>
    <w:rsid w:val="004B3B00"/>
    <w:rsid w:val="004B6C01"/>
    <w:rsid w:val="004C293E"/>
    <w:rsid w:val="004D2615"/>
    <w:rsid w:val="004D76A2"/>
    <w:rsid w:val="004E3F23"/>
    <w:rsid w:val="004F10B4"/>
    <w:rsid w:val="004F1758"/>
    <w:rsid w:val="004F25C3"/>
    <w:rsid w:val="00500DBA"/>
    <w:rsid w:val="005054A3"/>
    <w:rsid w:val="00514BE2"/>
    <w:rsid w:val="00516743"/>
    <w:rsid w:val="0052497E"/>
    <w:rsid w:val="00525131"/>
    <w:rsid w:val="00532965"/>
    <w:rsid w:val="00533A27"/>
    <w:rsid w:val="00534BA5"/>
    <w:rsid w:val="0054574C"/>
    <w:rsid w:val="0054760B"/>
    <w:rsid w:val="00554FB0"/>
    <w:rsid w:val="00564C26"/>
    <w:rsid w:val="00567676"/>
    <w:rsid w:val="005679DE"/>
    <w:rsid w:val="0057547C"/>
    <w:rsid w:val="00575555"/>
    <w:rsid w:val="00575EB4"/>
    <w:rsid w:val="00576D75"/>
    <w:rsid w:val="00586B09"/>
    <w:rsid w:val="0059028F"/>
    <w:rsid w:val="0059410F"/>
    <w:rsid w:val="00594304"/>
    <w:rsid w:val="0059475A"/>
    <w:rsid w:val="005A320D"/>
    <w:rsid w:val="005B4894"/>
    <w:rsid w:val="005D43EB"/>
    <w:rsid w:val="005E40A3"/>
    <w:rsid w:val="005E4D17"/>
    <w:rsid w:val="005E6E12"/>
    <w:rsid w:val="006172B4"/>
    <w:rsid w:val="00622BFA"/>
    <w:rsid w:val="006262B4"/>
    <w:rsid w:val="00634C68"/>
    <w:rsid w:val="00637A95"/>
    <w:rsid w:val="00643E58"/>
    <w:rsid w:val="00645EB0"/>
    <w:rsid w:val="0065152D"/>
    <w:rsid w:val="006527DC"/>
    <w:rsid w:val="00652D5C"/>
    <w:rsid w:val="00671B83"/>
    <w:rsid w:val="006758AE"/>
    <w:rsid w:val="00686304"/>
    <w:rsid w:val="006A1A89"/>
    <w:rsid w:val="006A235C"/>
    <w:rsid w:val="006A5A6E"/>
    <w:rsid w:val="006A6190"/>
    <w:rsid w:val="006B3002"/>
    <w:rsid w:val="006B3435"/>
    <w:rsid w:val="006B4CDD"/>
    <w:rsid w:val="006C0F76"/>
    <w:rsid w:val="006C1731"/>
    <w:rsid w:val="006C3A7C"/>
    <w:rsid w:val="006C3B1F"/>
    <w:rsid w:val="006C51BD"/>
    <w:rsid w:val="006D0462"/>
    <w:rsid w:val="006D23AF"/>
    <w:rsid w:val="006D36C6"/>
    <w:rsid w:val="006E749E"/>
    <w:rsid w:val="006F215D"/>
    <w:rsid w:val="006F674F"/>
    <w:rsid w:val="00702BDE"/>
    <w:rsid w:val="007043C0"/>
    <w:rsid w:val="0070496E"/>
    <w:rsid w:val="00712087"/>
    <w:rsid w:val="00716626"/>
    <w:rsid w:val="00721B8B"/>
    <w:rsid w:val="00732A44"/>
    <w:rsid w:val="0073555D"/>
    <w:rsid w:val="00751269"/>
    <w:rsid w:val="0075254D"/>
    <w:rsid w:val="00752D91"/>
    <w:rsid w:val="00763455"/>
    <w:rsid w:val="00764BFC"/>
    <w:rsid w:val="00765924"/>
    <w:rsid w:val="007663D3"/>
    <w:rsid w:val="00776DF0"/>
    <w:rsid w:val="0077799A"/>
    <w:rsid w:val="00785A19"/>
    <w:rsid w:val="00790775"/>
    <w:rsid w:val="00791244"/>
    <w:rsid w:val="00793433"/>
    <w:rsid w:val="007937B5"/>
    <w:rsid w:val="0079614F"/>
    <w:rsid w:val="00796374"/>
    <w:rsid w:val="007A02F1"/>
    <w:rsid w:val="007A3677"/>
    <w:rsid w:val="007A581D"/>
    <w:rsid w:val="007B0A8D"/>
    <w:rsid w:val="007B20AB"/>
    <w:rsid w:val="007B3F3E"/>
    <w:rsid w:val="007B4A8A"/>
    <w:rsid w:val="007C106F"/>
    <w:rsid w:val="007D0658"/>
    <w:rsid w:val="007D590A"/>
    <w:rsid w:val="007D5AF1"/>
    <w:rsid w:val="007E096A"/>
    <w:rsid w:val="007E2905"/>
    <w:rsid w:val="007F0C54"/>
    <w:rsid w:val="007F2343"/>
    <w:rsid w:val="007F5D4D"/>
    <w:rsid w:val="007F6B8F"/>
    <w:rsid w:val="0080365B"/>
    <w:rsid w:val="00805D91"/>
    <w:rsid w:val="0081363A"/>
    <w:rsid w:val="00817E2B"/>
    <w:rsid w:val="00832FBB"/>
    <w:rsid w:val="00832FBE"/>
    <w:rsid w:val="00833D8A"/>
    <w:rsid w:val="00837DAD"/>
    <w:rsid w:val="008415E1"/>
    <w:rsid w:val="00844011"/>
    <w:rsid w:val="0084464B"/>
    <w:rsid w:val="00845ADD"/>
    <w:rsid w:val="00847A38"/>
    <w:rsid w:val="00853CCD"/>
    <w:rsid w:val="008647BC"/>
    <w:rsid w:val="00881931"/>
    <w:rsid w:val="008821A2"/>
    <w:rsid w:val="008825AF"/>
    <w:rsid w:val="008850A5"/>
    <w:rsid w:val="008850C2"/>
    <w:rsid w:val="008A231A"/>
    <w:rsid w:val="008B34EE"/>
    <w:rsid w:val="008C4EE9"/>
    <w:rsid w:val="008C5FA1"/>
    <w:rsid w:val="008D1A3B"/>
    <w:rsid w:val="008D589F"/>
    <w:rsid w:val="008D6C49"/>
    <w:rsid w:val="008E21E3"/>
    <w:rsid w:val="008E3E06"/>
    <w:rsid w:val="008F0B65"/>
    <w:rsid w:val="008F5874"/>
    <w:rsid w:val="00904673"/>
    <w:rsid w:val="00906A60"/>
    <w:rsid w:val="009101EB"/>
    <w:rsid w:val="00916208"/>
    <w:rsid w:val="009174BC"/>
    <w:rsid w:val="00920582"/>
    <w:rsid w:val="00922747"/>
    <w:rsid w:val="00923FCF"/>
    <w:rsid w:val="009339CD"/>
    <w:rsid w:val="00934EFB"/>
    <w:rsid w:val="00936ADA"/>
    <w:rsid w:val="00942CDB"/>
    <w:rsid w:val="0094312C"/>
    <w:rsid w:val="00951C8D"/>
    <w:rsid w:val="0095405E"/>
    <w:rsid w:val="00954442"/>
    <w:rsid w:val="00956909"/>
    <w:rsid w:val="00956A42"/>
    <w:rsid w:val="00957FA7"/>
    <w:rsid w:val="0096085E"/>
    <w:rsid w:val="009700D2"/>
    <w:rsid w:val="00970EDD"/>
    <w:rsid w:val="009732DF"/>
    <w:rsid w:val="00973DB3"/>
    <w:rsid w:val="00973F89"/>
    <w:rsid w:val="00980BC4"/>
    <w:rsid w:val="00981D0B"/>
    <w:rsid w:val="00984FD5"/>
    <w:rsid w:val="00985B86"/>
    <w:rsid w:val="00987EBE"/>
    <w:rsid w:val="00991ED0"/>
    <w:rsid w:val="009930C9"/>
    <w:rsid w:val="00995923"/>
    <w:rsid w:val="00995E81"/>
    <w:rsid w:val="0099650D"/>
    <w:rsid w:val="009A09A0"/>
    <w:rsid w:val="009A312B"/>
    <w:rsid w:val="009A7467"/>
    <w:rsid w:val="009A7F7B"/>
    <w:rsid w:val="009B2858"/>
    <w:rsid w:val="009D3CFF"/>
    <w:rsid w:val="009E0CB9"/>
    <w:rsid w:val="009E1141"/>
    <w:rsid w:val="009E5805"/>
    <w:rsid w:val="009F0FC2"/>
    <w:rsid w:val="009F2C97"/>
    <w:rsid w:val="00A0560D"/>
    <w:rsid w:val="00A073F0"/>
    <w:rsid w:val="00A1003C"/>
    <w:rsid w:val="00A23D35"/>
    <w:rsid w:val="00A266ED"/>
    <w:rsid w:val="00A53397"/>
    <w:rsid w:val="00A60A26"/>
    <w:rsid w:val="00A60D4C"/>
    <w:rsid w:val="00A64AD5"/>
    <w:rsid w:val="00A6773B"/>
    <w:rsid w:val="00A67B5A"/>
    <w:rsid w:val="00A73CC0"/>
    <w:rsid w:val="00A85FBA"/>
    <w:rsid w:val="00A9062F"/>
    <w:rsid w:val="00AA156C"/>
    <w:rsid w:val="00AA255A"/>
    <w:rsid w:val="00AA3098"/>
    <w:rsid w:val="00AB32AC"/>
    <w:rsid w:val="00AB7946"/>
    <w:rsid w:val="00AD07A0"/>
    <w:rsid w:val="00AD4C1F"/>
    <w:rsid w:val="00AD502A"/>
    <w:rsid w:val="00AE5403"/>
    <w:rsid w:val="00AE7351"/>
    <w:rsid w:val="00AF5BC0"/>
    <w:rsid w:val="00B17D55"/>
    <w:rsid w:val="00B222FE"/>
    <w:rsid w:val="00B30B97"/>
    <w:rsid w:val="00B329E1"/>
    <w:rsid w:val="00B47460"/>
    <w:rsid w:val="00B477BF"/>
    <w:rsid w:val="00B47C0A"/>
    <w:rsid w:val="00B50EA1"/>
    <w:rsid w:val="00B51806"/>
    <w:rsid w:val="00B51A72"/>
    <w:rsid w:val="00B55F0E"/>
    <w:rsid w:val="00B600E9"/>
    <w:rsid w:val="00B60FE6"/>
    <w:rsid w:val="00B66F79"/>
    <w:rsid w:val="00B73337"/>
    <w:rsid w:val="00B76868"/>
    <w:rsid w:val="00B82EA4"/>
    <w:rsid w:val="00BA0ADB"/>
    <w:rsid w:val="00BB1A1A"/>
    <w:rsid w:val="00BB2A5F"/>
    <w:rsid w:val="00BB2C9D"/>
    <w:rsid w:val="00BB7C93"/>
    <w:rsid w:val="00BC0413"/>
    <w:rsid w:val="00BC1008"/>
    <w:rsid w:val="00BC5214"/>
    <w:rsid w:val="00BD3AA3"/>
    <w:rsid w:val="00BD6A88"/>
    <w:rsid w:val="00BE169D"/>
    <w:rsid w:val="00BE7805"/>
    <w:rsid w:val="00BF1E21"/>
    <w:rsid w:val="00BF2464"/>
    <w:rsid w:val="00BF267A"/>
    <w:rsid w:val="00BF37AA"/>
    <w:rsid w:val="00BF3A16"/>
    <w:rsid w:val="00BF70E1"/>
    <w:rsid w:val="00C00B5E"/>
    <w:rsid w:val="00C01D9B"/>
    <w:rsid w:val="00C02D2E"/>
    <w:rsid w:val="00C10B02"/>
    <w:rsid w:val="00C1122A"/>
    <w:rsid w:val="00C13C17"/>
    <w:rsid w:val="00C26532"/>
    <w:rsid w:val="00C26C64"/>
    <w:rsid w:val="00C33A0F"/>
    <w:rsid w:val="00C35414"/>
    <w:rsid w:val="00C44F61"/>
    <w:rsid w:val="00C46A68"/>
    <w:rsid w:val="00C553C6"/>
    <w:rsid w:val="00C565ED"/>
    <w:rsid w:val="00C60A83"/>
    <w:rsid w:val="00C6176C"/>
    <w:rsid w:val="00C65013"/>
    <w:rsid w:val="00C8170B"/>
    <w:rsid w:val="00C91094"/>
    <w:rsid w:val="00C91F4D"/>
    <w:rsid w:val="00C95EBD"/>
    <w:rsid w:val="00C97F87"/>
    <w:rsid w:val="00CB204E"/>
    <w:rsid w:val="00CC31EC"/>
    <w:rsid w:val="00CC7F99"/>
    <w:rsid w:val="00CD1443"/>
    <w:rsid w:val="00CD5729"/>
    <w:rsid w:val="00CE1473"/>
    <w:rsid w:val="00CE53D6"/>
    <w:rsid w:val="00CF04DC"/>
    <w:rsid w:val="00CF1B17"/>
    <w:rsid w:val="00CF50FD"/>
    <w:rsid w:val="00D14814"/>
    <w:rsid w:val="00D154A8"/>
    <w:rsid w:val="00D17FB6"/>
    <w:rsid w:val="00D23B4C"/>
    <w:rsid w:val="00D3130D"/>
    <w:rsid w:val="00D328EB"/>
    <w:rsid w:val="00D3538F"/>
    <w:rsid w:val="00D507C1"/>
    <w:rsid w:val="00D576CC"/>
    <w:rsid w:val="00D61934"/>
    <w:rsid w:val="00D70C74"/>
    <w:rsid w:val="00D82822"/>
    <w:rsid w:val="00D83886"/>
    <w:rsid w:val="00DA2473"/>
    <w:rsid w:val="00DA35A4"/>
    <w:rsid w:val="00DB0C5D"/>
    <w:rsid w:val="00DB71F6"/>
    <w:rsid w:val="00DB7A58"/>
    <w:rsid w:val="00DC47EA"/>
    <w:rsid w:val="00DC67B3"/>
    <w:rsid w:val="00DD363B"/>
    <w:rsid w:val="00DE02FE"/>
    <w:rsid w:val="00DE0CCA"/>
    <w:rsid w:val="00DE4A0F"/>
    <w:rsid w:val="00DE5488"/>
    <w:rsid w:val="00DE6A85"/>
    <w:rsid w:val="00DF008B"/>
    <w:rsid w:val="00DF24AE"/>
    <w:rsid w:val="00DF2A87"/>
    <w:rsid w:val="00DF5B0E"/>
    <w:rsid w:val="00E01E6D"/>
    <w:rsid w:val="00E118C1"/>
    <w:rsid w:val="00E134EC"/>
    <w:rsid w:val="00E13CB8"/>
    <w:rsid w:val="00E14101"/>
    <w:rsid w:val="00E14A80"/>
    <w:rsid w:val="00E24151"/>
    <w:rsid w:val="00E245B4"/>
    <w:rsid w:val="00E26ED8"/>
    <w:rsid w:val="00E27253"/>
    <w:rsid w:val="00E318B7"/>
    <w:rsid w:val="00E31D9C"/>
    <w:rsid w:val="00E345BF"/>
    <w:rsid w:val="00E40D9B"/>
    <w:rsid w:val="00E56DDE"/>
    <w:rsid w:val="00E63E32"/>
    <w:rsid w:val="00E67AD2"/>
    <w:rsid w:val="00E71D21"/>
    <w:rsid w:val="00E75B30"/>
    <w:rsid w:val="00E8231E"/>
    <w:rsid w:val="00E8496D"/>
    <w:rsid w:val="00E879DE"/>
    <w:rsid w:val="00E87F0B"/>
    <w:rsid w:val="00E90E15"/>
    <w:rsid w:val="00E916D2"/>
    <w:rsid w:val="00E93116"/>
    <w:rsid w:val="00EA0B4D"/>
    <w:rsid w:val="00EA6427"/>
    <w:rsid w:val="00EC10A1"/>
    <w:rsid w:val="00EC1868"/>
    <w:rsid w:val="00EC1BBC"/>
    <w:rsid w:val="00EC534E"/>
    <w:rsid w:val="00ED3ED5"/>
    <w:rsid w:val="00EE2496"/>
    <w:rsid w:val="00EF7D11"/>
    <w:rsid w:val="00F00F16"/>
    <w:rsid w:val="00F01B4E"/>
    <w:rsid w:val="00F06897"/>
    <w:rsid w:val="00F1042B"/>
    <w:rsid w:val="00F13E4D"/>
    <w:rsid w:val="00F17B2D"/>
    <w:rsid w:val="00F206A8"/>
    <w:rsid w:val="00F20CC4"/>
    <w:rsid w:val="00F21792"/>
    <w:rsid w:val="00F23678"/>
    <w:rsid w:val="00F240D4"/>
    <w:rsid w:val="00F240D9"/>
    <w:rsid w:val="00F32B6D"/>
    <w:rsid w:val="00F35908"/>
    <w:rsid w:val="00F3703E"/>
    <w:rsid w:val="00F408D9"/>
    <w:rsid w:val="00F41A3B"/>
    <w:rsid w:val="00F44853"/>
    <w:rsid w:val="00F465A5"/>
    <w:rsid w:val="00F5598A"/>
    <w:rsid w:val="00F577EE"/>
    <w:rsid w:val="00F61E6C"/>
    <w:rsid w:val="00F62363"/>
    <w:rsid w:val="00F63827"/>
    <w:rsid w:val="00F656C6"/>
    <w:rsid w:val="00F674C1"/>
    <w:rsid w:val="00F71092"/>
    <w:rsid w:val="00F71698"/>
    <w:rsid w:val="00F72CDD"/>
    <w:rsid w:val="00F749BD"/>
    <w:rsid w:val="00F82F31"/>
    <w:rsid w:val="00F8553A"/>
    <w:rsid w:val="00F85F17"/>
    <w:rsid w:val="00F86A69"/>
    <w:rsid w:val="00F8744D"/>
    <w:rsid w:val="00F91DBA"/>
    <w:rsid w:val="00FA0348"/>
    <w:rsid w:val="00FA2F77"/>
    <w:rsid w:val="00FB0371"/>
    <w:rsid w:val="00FB242A"/>
    <w:rsid w:val="00FB288F"/>
    <w:rsid w:val="00FB2EF1"/>
    <w:rsid w:val="00FB504D"/>
    <w:rsid w:val="00FC49E8"/>
    <w:rsid w:val="00FC7A71"/>
    <w:rsid w:val="00FE0BED"/>
    <w:rsid w:val="00FE1688"/>
    <w:rsid w:val="00FE2914"/>
    <w:rsid w:val="00FE5249"/>
    <w:rsid w:val="00FF2289"/>
    <w:rsid w:val="00FF2479"/>
    <w:rsid w:val="00FF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537FC4"/>
  <w15:docId w15:val="{25B99B7F-A073-42BF-9399-D6F64850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B2858"/>
    <w:rPr>
      <w:i/>
      <w:iCs/>
    </w:rPr>
  </w:style>
  <w:style w:type="paragraph" w:styleId="ListParagraph">
    <w:name w:val="List Paragraph"/>
    <w:basedOn w:val="Normal"/>
    <w:uiPriority w:val="34"/>
    <w:qFormat/>
    <w:rsid w:val="00763455"/>
    <w:pPr>
      <w:spacing w:before="100"/>
      <w:ind w:left="720"/>
      <w:contextualSpacing/>
    </w:pPr>
    <w:rPr>
      <w:rFonts w:eastAsiaTheme="minorEastAsia"/>
      <w:sz w:val="20"/>
      <w:lang w:bidi="ar-SA"/>
    </w:rPr>
  </w:style>
  <w:style w:type="table" w:styleId="TableGrid">
    <w:name w:val="Table Grid"/>
    <w:basedOn w:val="TableNormal"/>
    <w:uiPriority w:val="39"/>
    <w:rsid w:val="00071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C1B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0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00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CF1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B17"/>
  </w:style>
  <w:style w:type="paragraph" w:styleId="Footer">
    <w:name w:val="footer"/>
    <w:basedOn w:val="Normal"/>
    <w:link w:val="FooterChar"/>
    <w:uiPriority w:val="99"/>
    <w:unhideWhenUsed/>
    <w:rsid w:val="00CF1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17"/>
  </w:style>
  <w:style w:type="character" w:styleId="Hyperlink">
    <w:name w:val="Hyperlink"/>
    <w:basedOn w:val="DefaultParagraphFont"/>
    <w:uiPriority w:val="99"/>
    <w:unhideWhenUsed/>
    <w:rsid w:val="000B18A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14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14A8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9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7DA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7DA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7DA"/>
    <w:rPr>
      <w:b/>
      <w:bCs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DF2A87"/>
    <w:pPr>
      <w:widowControl w:val="0"/>
      <w:autoSpaceDE w:val="0"/>
      <w:autoSpaceDN w:val="0"/>
      <w:spacing w:after="0" w:line="240" w:lineRule="auto"/>
      <w:ind w:right="-15"/>
      <w:jc w:val="right"/>
    </w:pPr>
    <w:rPr>
      <w:rFonts w:ascii="Segoe UI" w:eastAsia="Segoe UI" w:hAnsi="Segoe UI" w:cs="Segoe UI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28" Type="http://schemas.openxmlformats.org/officeDocument/2006/relationships/hyperlink" Target="https://doi.org/10.1007/s11829-025-10178-6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hyperlink" Target="https://doi.org/10.1007/978-981-19-3808-5_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2166-C4FC-406D-BF0E-07834E9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15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SDI 1180</cp:lastModifiedBy>
  <cp:revision>156</cp:revision>
  <cp:lastPrinted>2025-10-05T18:12:00Z</cp:lastPrinted>
  <dcterms:created xsi:type="dcterms:W3CDTF">2025-10-04T07:54:00Z</dcterms:created>
  <dcterms:modified xsi:type="dcterms:W3CDTF">2025-11-03T08:25:00Z</dcterms:modified>
</cp:coreProperties>
</file>