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4FA03" w14:textId="77777777" w:rsidR="00136FEC" w:rsidRPr="00E629C1" w:rsidRDefault="00136FEC" w:rsidP="00136FEC">
      <w:pPr>
        <w:jc w:val="center"/>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Evaluating</w:t>
      </w:r>
      <w:r w:rsidRPr="00E629C1">
        <w:rPr>
          <w:rFonts w:ascii="Times New Roman" w:eastAsia="Calibri" w:hAnsi="Times New Roman" w:cs="Times New Roman"/>
          <w:b/>
          <w:bCs/>
          <w:kern w:val="2"/>
          <w:sz w:val="24"/>
          <w:szCs w:val="24"/>
          <w14:ligatures w14:val="standardContextual"/>
        </w:rPr>
        <w:t xml:space="preserve"> the Antioxidant Potential of Fenugreek Leaves Extract in Mitigating Sodium Fluoride-Induced Oxidative Stress in Sheep Red Blood Cells: An In-Vitro Study</w:t>
      </w:r>
    </w:p>
    <w:p w14:paraId="57197017" w14:textId="77777777" w:rsidR="00790E1C" w:rsidRDefault="00790E1C" w:rsidP="00136FEC">
      <w:pPr>
        <w:spacing w:after="160" w:line="259" w:lineRule="auto"/>
        <w:jc w:val="both"/>
        <w:rPr>
          <w:rFonts w:ascii="Times New Roman" w:eastAsia="Calibri" w:hAnsi="Times New Roman" w:cs="Times New Roman"/>
          <w:b/>
          <w:bCs/>
          <w:kern w:val="2"/>
          <w:sz w:val="24"/>
          <w:szCs w:val="24"/>
          <w14:ligatures w14:val="standardContextual"/>
        </w:rPr>
      </w:pPr>
    </w:p>
    <w:p w14:paraId="79E65D74" w14:textId="269FAF6B" w:rsidR="00136FEC" w:rsidRPr="00E629C1" w:rsidRDefault="00136FEC" w:rsidP="00136FEC">
      <w:pPr>
        <w:spacing w:after="16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Abstract</w:t>
      </w:r>
    </w:p>
    <w:p w14:paraId="159C2AF9" w14:textId="77777777" w:rsidR="00136FEC"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A20C0F">
        <w:rPr>
          <w:rFonts w:ascii="Times New Roman" w:eastAsia="Calibri" w:hAnsi="Times New Roman" w:cs="Times New Roman"/>
          <w:kern w:val="2"/>
          <w:sz w:val="24"/>
          <w:szCs w:val="24"/>
          <w14:ligatures w14:val="standardContextual"/>
        </w:rPr>
        <w:t xml:space="preserve">Oxidative stress is a critical pathological mechanism implicated in the progression of various disease conditions, primarily due to the excessive production of reactive oxygen species (ROS) that overwhelm the body's antioxidant </w:t>
      </w:r>
      <w:proofErr w:type="spellStart"/>
      <w:r w:rsidRPr="00A20C0F">
        <w:rPr>
          <w:rFonts w:ascii="Times New Roman" w:eastAsia="Calibri" w:hAnsi="Times New Roman" w:cs="Times New Roman"/>
          <w:kern w:val="2"/>
          <w:sz w:val="24"/>
          <w:szCs w:val="24"/>
          <w14:ligatures w14:val="standardContextual"/>
        </w:rPr>
        <w:t>defenses</w:t>
      </w:r>
      <w:proofErr w:type="spellEnd"/>
      <w:r w:rsidRPr="00A20C0F">
        <w:rPr>
          <w:rFonts w:ascii="Times New Roman" w:eastAsia="Calibri" w:hAnsi="Times New Roman" w:cs="Times New Roman"/>
          <w:kern w:val="2"/>
          <w:sz w:val="24"/>
          <w:szCs w:val="24"/>
          <w14:ligatures w14:val="standardContextual"/>
        </w:rPr>
        <w:t>. Among the different cell types affected, erythrocytes are particularly vulnerable to oxidative damage because of their high polyunsaturated fatty acid content and continuous exposure to oxygen. This makes them a key target for oxidative injury, which can compromise membrane integrity and reduce cell lifespan. Natural antioxidants have gained considerable attention for their potential to mitigate oxidative stress. Fenugreek (</w:t>
      </w:r>
      <w:r w:rsidRPr="001D0472">
        <w:rPr>
          <w:rFonts w:ascii="Times New Roman" w:eastAsia="Calibri" w:hAnsi="Times New Roman" w:cs="Times New Roman"/>
          <w:i/>
          <w:kern w:val="2"/>
          <w:sz w:val="24"/>
          <w:szCs w:val="24"/>
          <w14:ligatures w14:val="standardContextual"/>
        </w:rPr>
        <w:t xml:space="preserve">Trigonella </w:t>
      </w:r>
      <w:proofErr w:type="spellStart"/>
      <w:r w:rsidRPr="001D0472">
        <w:rPr>
          <w:rFonts w:ascii="Times New Roman" w:eastAsia="Calibri" w:hAnsi="Times New Roman" w:cs="Times New Roman"/>
          <w:i/>
          <w:kern w:val="2"/>
          <w:sz w:val="24"/>
          <w:szCs w:val="24"/>
          <w14:ligatures w14:val="standardContextual"/>
        </w:rPr>
        <w:t>foenum</w:t>
      </w:r>
      <w:proofErr w:type="spellEnd"/>
      <w:r w:rsidRPr="001D0472">
        <w:rPr>
          <w:rFonts w:ascii="Times New Roman" w:eastAsia="Calibri" w:hAnsi="Times New Roman" w:cs="Times New Roman"/>
          <w:i/>
          <w:kern w:val="2"/>
          <w:sz w:val="24"/>
          <w:szCs w:val="24"/>
          <w14:ligatures w14:val="standardContextual"/>
        </w:rPr>
        <w:t>-graecum</w:t>
      </w:r>
      <w:r w:rsidRPr="00A20C0F">
        <w:rPr>
          <w:rFonts w:ascii="Times New Roman" w:eastAsia="Calibri" w:hAnsi="Times New Roman" w:cs="Times New Roman"/>
          <w:kern w:val="2"/>
          <w:sz w:val="24"/>
          <w:szCs w:val="24"/>
          <w14:ligatures w14:val="standardContextual"/>
        </w:rPr>
        <w:t>), in particular, is recognized for its strong antioxidant properties, attributed to its rich composition of carotenoids, polyphenolic acids, and flavonoids. These bioactive compounds can effectively scavenge free radicals, thereby protecting erythrocytes from oxidative insult.</w:t>
      </w:r>
      <w:r>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 xml:space="preserve">The present study </w:t>
      </w:r>
      <w:r>
        <w:rPr>
          <w:rFonts w:ascii="Times New Roman" w:eastAsia="Calibri" w:hAnsi="Times New Roman" w:cs="Times New Roman"/>
          <w:kern w:val="2"/>
          <w:sz w:val="24"/>
          <w:szCs w:val="24"/>
          <w14:ligatures w14:val="standardContextual"/>
        </w:rPr>
        <w:t>was to explore</w:t>
      </w:r>
      <w:r w:rsidRPr="00E629C1">
        <w:rPr>
          <w:rFonts w:ascii="Times New Roman" w:eastAsia="Calibri" w:hAnsi="Times New Roman" w:cs="Times New Roman"/>
          <w:kern w:val="2"/>
          <w:sz w:val="24"/>
          <w:szCs w:val="24"/>
          <w14:ligatures w14:val="standardContextual"/>
        </w:rPr>
        <w:t xml:space="preserve"> the antioxidant efficacy of Fenugreek in counteracting sodium fluoride-induced oxidative stress within sheep red blood cells (RBCs). The inherent vulnerability of RBCs to oxidative stress is attributed to the elevated presence of polyunsaturated fatty acids within their membranes. By subjecting red blood cells to 24-hour incubation with sodium fluoride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oxidative stress was effectively induced. Our protective strategies involved the utilization of ascorbic acid and Fenugreek extract. Notably, alterations in the levels of SOD, GSH, and MDA were utilized as indicators of oxidative stress severity. Both ascorbic acid and Fenugreek extract exhibited the capacity to restore the proportions of SOD, GSH, and MDA to levels parallel to the normal state. This resounding outcome underscored the potential of these treatments to mitigate the oxidative stress triggered by sodium fluoride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in erythrocytes. In conclusion, the pronounced antioxidant properties of both ascorbic acid and Fenugreek offer a promising avenue for alleviating the oxidative stress inflicted on erythrocytes by sodium fluoride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This study further accentuates the significant role of Fenugreek as a potential natural remedy against oxidative damage, particularly in the context of sodium fluoride-induced stress within red blood cells.</w:t>
      </w:r>
    </w:p>
    <w:p w14:paraId="09CCF4C4" w14:textId="76E66D02" w:rsidR="00971F63" w:rsidRPr="00E629C1" w:rsidRDefault="00971F63"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971F63">
        <w:rPr>
          <w:rFonts w:ascii="Times New Roman" w:eastAsia="Calibri" w:hAnsi="Times New Roman" w:cs="Times New Roman"/>
          <w:kern w:val="2"/>
          <w:sz w:val="24"/>
          <w:szCs w:val="24"/>
          <w14:ligatures w14:val="standardContextual"/>
        </w:rPr>
        <w:t>Keywords</w:t>
      </w:r>
      <w:r>
        <w:rPr>
          <w:rFonts w:ascii="Times New Roman" w:eastAsia="Calibri" w:hAnsi="Times New Roman" w:cs="Times New Roman"/>
          <w:kern w:val="2"/>
          <w:sz w:val="24"/>
          <w:szCs w:val="24"/>
          <w14:ligatures w14:val="standardContextual"/>
        </w:rPr>
        <w:t>;</w:t>
      </w:r>
      <w:r w:rsidRPr="00971F63">
        <w:t xml:space="preserve"> </w:t>
      </w:r>
      <w:r w:rsidRPr="00971F63">
        <w:rPr>
          <w:rFonts w:ascii="Times New Roman" w:eastAsia="Calibri" w:hAnsi="Times New Roman" w:cs="Times New Roman"/>
          <w:kern w:val="2"/>
          <w:sz w:val="24"/>
          <w:szCs w:val="24"/>
          <w14:ligatures w14:val="standardContextual"/>
        </w:rPr>
        <w:t>Antioxidant Potential</w:t>
      </w:r>
      <w:r>
        <w:rPr>
          <w:rFonts w:ascii="Times New Roman" w:eastAsia="Calibri" w:hAnsi="Times New Roman" w:cs="Times New Roman"/>
          <w:kern w:val="2"/>
          <w:sz w:val="24"/>
          <w:szCs w:val="24"/>
          <w14:ligatures w14:val="standardContextual"/>
        </w:rPr>
        <w:t>,</w:t>
      </w:r>
      <w:r w:rsidRPr="00971F63">
        <w:t xml:space="preserve"> </w:t>
      </w:r>
      <w:r w:rsidRPr="00971F63">
        <w:rPr>
          <w:rFonts w:ascii="Times New Roman" w:eastAsia="Calibri" w:hAnsi="Times New Roman" w:cs="Times New Roman"/>
          <w:kern w:val="2"/>
          <w:sz w:val="24"/>
          <w:szCs w:val="24"/>
          <w14:ligatures w14:val="standardContextual"/>
        </w:rPr>
        <w:t>Fenugreek</w:t>
      </w:r>
      <w:r>
        <w:rPr>
          <w:rFonts w:ascii="Times New Roman" w:eastAsia="Calibri" w:hAnsi="Times New Roman" w:cs="Times New Roman"/>
          <w:kern w:val="2"/>
          <w:sz w:val="24"/>
          <w:szCs w:val="24"/>
          <w14:ligatures w14:val="standardContextual"/>
        </w:rPr>
        <w:t>,</w:t>
      </w:r>
      <w:r w:rsidRPr="00971F63">
        <w:t xml:space="preserve"> </w:t>
      </w:r>
      <w:r w:rsidRPr="00971F63">
        <w:rPr>
          <w:rFonts w:ascii="Times New Roman" w:eastAsia="Calibri" w:hAnsi="Times New Roman" w:cs="Times New Roman"/>
          <w:kern w:val="2"/>
          <w:sz w:val="24"/>
          <w:szCs w:val="24"/>
          <w14:ligatures w14:val="standardContextual"/>
        </w:rPr>
        <w:t>Oxidative Stress</w:t>
      </w:r>
      <w:r>
        <w:rPr>
          <w:rFonts w:ascii="Times New Roman" w:eastAsia="Calibri" w:hAnsi="Times New Roman" w:cs="Times New Roman"/>
          <w:kern w:val="2"/>
          <w:sz w:val="24"/>
          <w:szCs w:val="24"/>
          <w14:ligatures w14:val="standardContextual"/>
        </w:rPr>
        <w:t>,</w:t>
      </w:r>
      <w:r w:rsidRPr="00971F63">
        <w:t xml:space="preserve"> </w:t>
      </w:r>
      <w:r w:rsidRPr="00971F63">
        <w:rPr>
          <w:rFonts w:ascii="Times New Roman" w:eastAsia="Calibri" w:hAnsi="Times New Roman" w:cs="Times New Roman"/>
          <w:kern w:val="2"/>
          <w:sz w:val="24"/>
          <w:szCs w:val="24"/>
          <w14:ligatures w14:val="standardContextual"/>
        </w:rPr>
        <w:t>blood cells</w:t>
      </w:r>
    </w:p>
    <w:p w14:paraId="23294170" w14:textId="77777777" w:rsidR="00136FEC" w:rsidRPr="00E629C1" w:rsidRDefault="00136FEC" w:rsidP="00136FEC">
      <w:pPr>
        <w:spacing w:after="16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Introduction</w:t>
      </w:r>
    </w:p>
    <w:p w14:paraId="00C03B43" w14:textId="165494C1"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8429B6">
        <w:rPr>
          <w:rFonts w:ascii="Times New Roman" w:eastAsia="Calibri" w:hAnsi="Times New Roman" w:cs="Times New Roman"/>
          <w:kern w:val="2"/>
          <w:sz w:val="24"/>
          <w:szCs w:val="24"/>
          <w14:ligatures w14:val="standardContextual"/>
        </w:rPr>
        <w:t>Plants have played a fundamental role in human health since ancient times, with the earliest records of their medicinal use dating back over 5,000 years</w:t>
      </w:r>
      <w:r>
        <w:rPr>
          <w:rFonts w:ascii="Times New Roman" w:eastAsia="Calibri" w:hAnsi="Times New Roman" w:cs="Times New Roman"/>
          <w:kern w:val="2"/>
          <w:sz w:val="24"/>
          <w:szCs w:val="24"/>
          <w14:ligatures w14:val="standardContextual"/>
        </w:rPr>
        <w:t>-</w:t>
      </w:r>
      <w:r w:rsidRPr="008429B6">
        <w:rPr>
          <w:rFonts w:ascii="Times New Roman" w:eastAsia="Calibri" w:hAnsi="Times New Roman" w:cs="Times New Roman"/>
          <w:kern w:val="2"/>
          <w:sz w:val="24"/>
          <w:szCs w:val="24"/>
          <w14:ligatures w14:val="standardContextual"/>
        </w:rPr>
        <w:t>as evidenced by a Sumerian clay tablet discovered in Nagpur. Ancient civilizations, including those of Mesopotamia, Egypt, Greece and the Islamic world, documented extensive knowledge of medicinal plants and employed them to treat a wide range of ailments. In contemporary society, there has been a notable resurgence in the use of herbal remedies, reflecting a global “return to nature” movement. This renewed interest highlights the enduring relevance of plant-based medicines in modern healthcare, driven by their accessibility, perceived safety, and therapeutic potential</w:t>
      </w:r>
      <w:r w:rsidRPr="00E629C1">
        <w:rPr>
          <w:rFonts w:ascii="Times New Roman" w:eastAsia="Calibri" w:hAnsi="Times New Roman" w:cs="Times New Roman"/>
          <w:kern w:val="2"/>
          <w:sz w:val="24"/>
          <w:szCs w:val="24"/>
          <w14:ligatures w14:val="standardContextual"/>
        </w:rPr>
        <w:t xml:space="preserve"> </w:t>
      </w:r>
      <w:r w:rsidR="00791A3F">
        <w:rPr>
          <w:rFonts w:ascii="Times New Roman" w:eastAsia="Calibri" w:hAnsi="Times New Roman" w:cs="Times New Roman"/>
          <w:kern w:val="2"/>
          <w:sz w:val="24"/>
          <w:szCs w:val="24"/>
          <w14:ligatures w14:val="standardContextual"/>
        </w:rPr>
        <w:t>(</w:t>
      </w:r>
      <w:proofErr w:type="spellStart"/>
      <w:r w:rsidR="00791A3F" w:rsidRPr="00791A3F">
        <w:rPr>
          <w:rFonts w:ascii="Times New Roman" w:eastAsia="Calibri" w:hAnsi="Times New Roman" w:cs="Times New Roman"/>
          <w:kern w:val="2"/>
          <w:sz w:val="24"/>
          <w:szCs w:val="24"/>
          <w14:ligatures w14:val="standardContextual"/>
        </w:rPr>
        <w:t>Petrovska</w:t>
      </w:r>
      <w:proofErr w:type="spellEnd"/>
      <w:r w:rsidR="00791A3F">
        <w:rPr>
          <w:rFonts w:ascii="Times New Roman" w:eastAsia="Calibri" w:hAnsi="Times New Roman" w:cs="Times New Roman"/>
          <w:kern w:val="2"/>
          <w:sz w:val="24"/>
          <w:szCs w:val="24"/>
          <w14:ligatures w14:val="standardContextual"/>
        </w:rPr>
        <w:t>, 2012)</w:t>
      </w:r>
    </w:p>
    <w:p w14:paraId="69AE1716" w14:textId="78239CE7"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8429B6">
        <w:rPr>
          <w:rFonts w:ascii="Times New Roman" w:eastAsia="Calibri" w:hAnsi="Times New Roman" w:cs="Times New Roman"/>
          <w:kern w:val="2"/>
          <w:sz w:val="24"/>
          <w:szCs w:val="24"/>
          <w14:ligatures w14:val="standardContextual"/>
        </w:rPr>
        <w:lastRenderedPageBreak/>
        <w:t>Oxidative stress is a physiological condition that arises when there is an imbalance between the production of reactive oxygen species (ROS) and the body's ability to neutralize and eliminate these harmful molecules</w:t>
      </w:r>
      <w:r w:rsidR="00791A3F">
        <w:rPr>
          <w:rFonts w:ascii="Times New Roman" w:eastAsia="Calibri" w:hAnsi="Times New Roman" w:cs="Times New Roman"/>
          <w:kern w:val="2"/>
          <w:sz w:val="24"/>
          <w:szCs w:val="24"/>
          <w14:ligatures w14:val="standardContextual"/>
        </w:rPr>
        <w:t xml:space="preserve"> (</w:t>
      </w:r>
      <w:r w:rsidR="00791A3F" w:rsidRPr="00791A3F">
        <w:rPr>
          <w:rFonts w:ascii="Times New Roman" w:eastAsia="Calibri" w:hAnsi="Times New Roman" w:cs="Times New Roman"/>
          <w:kern w:val="2"/>
          <w:sz w:val="24"/>
          <w:szCs w:val="24"/>
          <w14:ligatures w14:val="standardContextual"/>
        </w:rPr>
        <w:t>Pizzino</w:t>
      </w:r>
      <w:r w:rsidR="00791A3F">
        <w:rPr>
          <w:rFonts w:ascii="Times New Roman" w:eastAsia="Calibri" w:hAnsi="Times New Roman" w:cs="Times New Roman"/>
          <w:kern w:val="2"/>
          <w:sz w:val="24"/>
          <w:szCs w:val="24"/>
          <w14:ligatures w14:val="standardContextual"/>
        </w:rPr>
        <w:t xml:space="preserve"> et al., 2017)</w:t>
      </w:r>
      <w:r w:rsidRPr="00E629C1">
        <w:rPr>
          <w:rFonts w:ascii="Times New Roman" w:eastAsia="Calibri" w:hAnsi="Times New Roman" w:cs="Times New Roman"/>
          <w:kern w:val="2"/>
          <w:sz w:val="24"/>
          <w:szCs w:val="24"/>
          <w14:ligatures w14:val="standardContextual"/>
        </w:rPr>
        <w:t xml:space="preserve">. </w:t>
      </w:r>
      <w:r w:rsidRPr="008429B6">
        <w:rPr>
          <w:rFonts w:ascii="Times New Roman" w:eastAsia="Calibri" w:hAnsi="Times New Roman" w:cs="Times New Roman"/>
          <w:kern w:val="2"/>
          <w:sz w:val="24"/>
          <w:szCs w:val="24"/>
          <w14:ligatures w14:val="standardContextual"/>
        </w:rPr>
        <w:t xml:space="preserve">Reactive oxygen species (ROS) are highly reactive oxygen-containing molecules, including free </w:t>
      </w:r>
      <w:proofErr w:type="gramStart"/>
      <w:r w:rsidRPr="008429B6">
        <w:rPr>
          <w:rFonts w:ascii="Times New Roman" w:eastAsia="Calibri" w:hAnsi="Times New Roman" w:cs="Times New Roman"/>
          <w:kern w:val="2"/>
          <w:sz w:val="24"/>
          <w:szCs w:val="24"/>
          <w14:ligatures w14:val="standardContextual"/>
        </w:rPr>
        <w:t>radicals</w:t>
      </w:r>
      <w:proofErr w:type="gramEnd"/>
      <w:r>
        <w:rPr>
          <w:rFonts w:ascii="Times New Roman" w:eastAsia="Calibri" w:hAnsi="Times New Roman" w:cs="Times New Roman"/>
          <w:kern w:val="2"/>
          <w:sz w:val="24"/>
          <w:szCs w:val="24"/>
          <w14:ligatures w14:val="standardContextual"/>
        </w:rPr>
        <w:t xml:space="preserve"> </w:t>
      </w:r>
      <w:r w:rsidRPr="008429B6">
        <w:rPr>
          <w:rFonts w:ascii="Times New Roman" w:eastAsia="Calibri" w:hAnsi="Times New Roman" w:cs="Times New Roman"/>
          <w:kern w:val="2"/>
          <w:sz w:val="24"/>
          <w:szCs w:val="24"/>
          <w14:ligatures w14:val="standardContextual"/>
        </w:rPr>
        <w:t>molecules with unpaired electrons</w:t>
      </w:r>
      <w:r>
        <w:rPr>
          <w:rFonts w:ascii="Times New Roman" w:eastAsia="Calibri" w:hAnsi="Times New Roman" w:cs="Times New Roman"/>
          <w:kern w:val="2"/>
          <w:sz w:val="24"/>
          <w:szCs w:val="24"/>
          <w14:ligatures w14:val="standardContextual"/>
        </w:rPr>
        <w:t xml:space="preserve"> </w:t>
      </w:r>
      <w:r w:rsidRPr="008429B6">
        <w:rPr>
          <w:rFonts w:ascii="Times New Roman" w:eastAsia="Calibri" w:hAnsi="Times New Roman" w:cs="Times New Roman"/>
          <w:kern w:val="2"/>
          <w:sz w:val="24"/>
          <w:szCs w:val="24"/>
          <w14:ligatures w14:val="standardContextual"/>
        </w:rPr>
        <w:t>and certain peroxides. They are naturally produced as byproducts of various cellular processes, such as metabolism, immune responses and energy production</w:t>
      </w:r>
      <w:r w:rsidR="000956DC">
        <w:rPr>
          <w:rFonts w:ascii="Times New Roman" w:eastAsia="Calibri" w:hAnsi="Times New Roman" w:cs="Times New Roman"/>
          <w:kern w:val="2"/>
          <w:sz w:val="24"/>
          <w:szCs w:val="24"/>
          <w14:ligatures w14:val="standardContextual"/>
        </w:rPr>
        <w:t xml:space="preserve"> (</w:t>
      </w:r>
      <w:r w:rsidR="000956DC" w:rsidRPr="000956DC">
        <w:rPr>
          <w:rFonts w:ascii="Times New Roman" w:eastAsia="Calibri" w:hAnsi="Times New Roman" w:cs="Times New Roman"/>
          <w:kern w:val="2"/>
          <w:sz w:val="24"/>
          <w:szCs w:val="24"/>
          <w14:ligatures w14:val="standardContextual"/>
        </w:rPr>
        <w:t>Lovelock</w:t>
      </w:r>
      <w:r w:rsidR="000956DC">
        <w:rPr>
          <w:rFonts w:ascii="Times New Roman" w:eastAsia="Calibri" w:hAnsi="Times New Roman" w:cs="Times New Roman"/>
          <w:kern w:val="2"/>
          <w:sz w:val="24"/>
          <w:szCs w:val="24"/>
          <w14:ligatures w14:val="standardContextual"/>
        </w:rPr>
        <w:t xml:space="preserve"> 2022)</w:t>
      </w:r>
      <w:r w:rsidRPr="00E629C1">
        <w:rPr>
          <w:rFonts w:ascii="Times New Roman" w:eastAsia="Calibri" w:hAnsi="Times New Roman" w:cs="Times New Roman"/>
          <w:kern w:val="2"/>
          <w:sz w:val="24"/>
          <w:szCs w:val="24"/>
          <w14:ligatures w14:val="standardContextual"/>
        </w:rPr>
        <w:t xml:space="preserve">. </w:t>
      </w:r>
      <w:r w:rsidRPr="008429B6">
        <w:rPr>
          <w:rFonts w:ascii="Times New Roman" w:eastAsia="Calibri" w:hAnsi="Times New Roman" w:cs="Times New Roman"/>
          <w:kern w:val="2"/>
          <w:sz w:val="24"/>
          <w:szCs w:val="24"/>
          <w14:ligatures w14:val="standardContextual"/>
        </w:rPr>
        <w:t xml:space="preserve">However, when ROS production exceeds the capacity of the body's antioxidant </w:t>
      </w:r>
      <w:proofErr w:type="spellStart"/>
      <w:r w:rsidRPr="008429B6">
        <w:rPr>
          <w:rFonts w:ascii="Times New Roman" w:eastAsia="Calibri" w:hAnsi="Times New Roman" w:cs="Times New Roman"/>
          <w:kern w:val="2"/>
          <w:sz w:val="24"/>
          <w:szCs w:val="24"/>
          <w14:ligatures w14:val="standardContextual"/>
        </w:rPr>
        <w:t>defenses</w:t>
      </w:r>
      <w:proofErr w:type="spellEnd"/>
      <w:r w:rsidRPr="008429B6">
        <w:rPr>
          <w:rFonts w:ascii="Times New Roman" w:eastAsia="Calibri" w:hAnsi="Times New Roman" w:cs="Times New Roman"/>
          <w:kern w:val="2"/>
          <w:sz w:val="24"/>
          <w:szCs w:val="24"/>
          <w14:ligatures w14:val="standardContextual"/>
        </w:rPr>
        <w:t>, oxidative stress can occur. This state can damage cellular components such as proteins, lipids and DNA, contributing to the onset and progression of various diseases</w:t>
      </w:r>
      <w:r w:rsidR="000956DC">
        <w:rPr>
          <w:rFonts w:ascii="Times New Roman" w:eastAsia="Calibri" w:hAnsi="Times New Roman" w:cs="Times New Roman"/>
          <w:kern w:val="2"/>
          <w:sz w:val="24"/>
          <w:szCs w:val="24"/>
          <w14:ligatures w14:val="standardContextual"/>
        </w:rPr>
        <w:t xml:space="preserve"> (</w:t>
      </w:r>
      <w:r w:rsidR="000956DC" w:rsidRPr="000956DC">
        <w:rPr>
          <w:rFonts w:ascii="Times New Roman" w:eastAsia="Calibri" w:hAnsi="Times New Roman" w:cs="Times New Roman"/>
          <w:kern w:val="2"/>
          <w:sz w:val="24"/>
          <w:szCs w:val="24"/>
          <w14:ligatures w14:val="standardContextual"/>
        </w:rPr>
        <w:t>Wang</w:t>
      </w:r>
      <w:r w:rsidR="000956DC">
        <w:rPr>
          <w:rFonts w:ascii="Times New Roman" w:eastAsia="Calibri" w:hAnsi="Times New Roman" w:cs="Times New Roman"/>
          <w:kern w:val="2"/>
          <w:sz w:val="24"/>
          <w:szCs w:val="24"/>
          <w14:ligatures w14:val="standardContextual"/>
        </w:rPr>
        <w:t xml:space="preserve"> et al., 2021)</w:t>
      </w:r>
      <w:r w:rsidRPr="00E629C1">
        <w:rPr>
          <w:rFonts w:ascii="Times New Roman" w:eastAsia="Calibri" w:hAnsi="Times New Roman" w:cs="Times New Roman"/>
          <w:kern w:val="2"/>
          <w:sz w:val="24"/>
          <w:szCs w:val="24"/>
          <w14:ligatures w14:val="standardContextual"/>
        </w:rPr>
        <w:t>.</w:t>
      </w:r>
    </w:p>
    <w:p w14:paraId="56B8851A" w14:textId="61DF2166"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4004A7">
        <w:rPr>
          <w:rFonts w:ascii="Times New Roman" w:eastAsia="Calibri" w:hAnsi="Times New Roman" w:cs="Times New Roman"/>
          <w:kern w:val="2"/>
          <w:sz w:val="24"/>
          <w:szCs w:val="24"/>
          <w14:ligatures w14:val="standardContextual"/>
        </w:rPr>
        <w:t>Sodium fluoride (</w:t>
      </w:r>
      <w:proofErr w:type="spellStart"/>
      <w:r w:rsidRPr="004004A7">
        <w:rPr>
          <w:rFonts w:ascii="Times New Roman" w:eastAsia="Calibri" w:hAnsi="Times New Roman" w:cs="Times New Roman"/>
          <w:kern w:val="2"/>
          <w:sz w:val="24"/>
          <w:szCs w:val="24"/>
          <w14:ligatures w14:val="standardContextual"/>
        </w:rPr>
        <w:t>NaF</w:t>
      </w:r>
      <w:proofErr w:type="spellEnd"/>
      <w:r w:rsidRPr="004004A7">
        <w:rPr>
          <w:rFonts w:ascii="Times New Roman" w:eastAsia="Calibri" w:hAnsi="Times New Roman" w:cs="Times New Roman"/>
          <w:kern w:val="2"/>
          <w:sz w:val="24"/>
          <w:szCs w:val="24"/>
          <w14:ligatures w14:val="standardContextual"/>
        </w:rPr>
        <w:t>) is a chemical compound that has been extensively studied for its potential to induce oxidative stress in various biological systems</w:t>
      </w:r>
      <w:r w:rsidR="000956DC">
        <w:rPr>
          <w:rFonts w:ascii="Times New Roman" w:eastAsia="Calibri" w:hAnsi="Times New Roman" w:cs="Times New Roman"/>
          <w:kern w:val="2"/>
          <w:sz w:val="24"/>
          <w:szCs w:val="24"/>
          <w14:ligatures w14:val="standardContextual"/>
        </w:rPr>
        <w:t xml:space="preserve"> (Meera et al., 2022)</w:t>
      </w:r>
      <w:r w:rsidRPr="00E629C1">
        <w:rPr>
          <w:rFonts w:ascii="Times New Roman" w:eastAsia="Calibri" w:hAnsi="Times New Roman" w:cs="Times New Roman"/>
          <w:kern w:val="2"/>
          <w:sz w:val="24"/>
          <w:szCs w:val="24"/>
          <w14:ligatures w14:val="standardContextual"/>
        </w:rPr>
        <w:t xml:space="preserve">. </w:t>
      </w:r>
      <w:r w:rsidRPr="004004A7">
        <w:rPr>
          <w:rFonts w:ascii="Times New Roman" w:eastAsia="Calibri" w:hAnsi="Times New Roman" w:cs="Times New Roman"/>
          <w:kern w:val="2"/>
          <w:sz w:val="24"/>
          <w:szCs w:val="24"/>
          <w14:ligatures w14:val="standardContextual"/>
        </w:rPr>
        <w:t>Exposure to elevated levels of sodium fluoride can stimulate the generation of reactive oxygen species (ROS), such as superoxide radicals and hydrogen peroxide, within cells and tissues</w:t>
      </w:r>
      <w:r w:rsidR="00E85D01">
        <w:rPr>
          <w:rFonts w:ascii="Times New Roman" w:eastAsia="Calibri" w:hAnsi="Times New Roman" w:cs="Times New Roman"/>
          <w:kern w:val="2"/>
          <w:sz w:val="24"/>
          <w:szCs w:val="24"/>
          <w14:ligatures w14:val="standardContextual"/>
        </w:rPr>
        <w:t xml:space="preserve"> (Sharma et al., 2023)</w:t>
      </w:r>
      <w:r w:rsidRPr="00E629C1">
        <w:rPr>
          <w:rFonts w:ascii="Times New Roman" w:eastAsia="Calibri" w:hAnsi="Times New Roman" w:cs="Times New Roman"/>
          <w:kern w:val="2"/>
          <w:sz w:val="24"/>
          <w:szCs w:val="24"/>
          <w14:ligatures w14:val="standardContextual"/>
        </w:rPr>
        <w:t xml:space="preserve">. </w:t>
      </w:r>
      <w:r w:rsidRPr="004004A7">
        <w:rPr>
          <w:rFonts w:ascii="Times New Roman" w:eastAsia="Calibri" w:hAnsi="Times New Roman" w:cs="Times New Roman"/>
          <w:kern w:val="2"/>
          <w:sz w:val="24"/>
          <w:szCs w:val="24"/>
          <w14:ligatures w14:val="standardContextual"/>
        </w:rPr>
        <w:t>High levels of sodium fluoride, particularly in occupational or environmental exposures, have been associated with oxidative stress-induced damage in various tissues and organs, including the brain, liver, kidneys, and bones</w:t>
      </w:r>
      <w:r w:rsidR="00E85D01">
        <w:rPr>
          <w:rFonts w:ascii="Times New Roman" w:eastAsia="Calibri" w:hAnsi="Times New Roman" w:cs="Times New Roman"/>
          <w:kern w:val="2"/>
          <w:sz w:val="24"/>
          <w:szCs w:val="24"/>
          <w14:ligatures w14:val="standardContextual"/>
        </w:rPr>
        <w:t xml:space="preserve"> (</w:t>
      </w:r>
      <w:proofErr w:type="spellStart"/>
      <w:r w:rsidR="00E85D01">
        <w:rPr>
          <w:rFonts w:ascii="Times New Roman" w:eastAsia="Calibri" w:hAnsi="Times New Roman" w:cs="Times New Roman"/>
          <w:kern w:val="2"/>
          <w:sz w:val="24"/>
          <w:szCs w:val="24"/>
          <w14:ligatures w14:val="standardContextual"/>
        </w:rPr>
        <w:t>Kirmit</w:t>
      </w:r>
      <w:proofErr w:type="spellEnd"/>
      <w:r w:rsidR="00E85D01">
        <w:rPr>
          <w:rFonts w:ascii="Times New Roman" w:eastAsia="Calibri" w:hAnsi="Times New Roman" w:cs="Times New Roman"/>
          <w:kern w:val="2"/>
          <w:sz w:val="24"/>
          <w:szCs w:val="24"/>
          <w14:ligatures w14:val="standardContextual"/>
        </w:rPr>
        <w:t xml:space="preserve"> et al., 2020)</w:t>
      </w:r>
      <w:r w:rsidRPr="00E629C1">
        <w:rPr>
          <w:rFonts w:ascii="Times New Roman" w:eastAsia="Calibri" w:hAnsi="Times New Roman" w:cs="Times New Roman"/>
          <w:kern w:val="2"/>
          <w:sz w:val="24"/>
          <w:szCs w:val="24"/>
          <w14:ligatures w14:val="standardContextual"/>
        </w:rPr>
        <w:t>.</w:t>
      </w:r>
      <w:r>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Several proposed pathways have been studied, but the mechanism by which sodium fluoride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xml:space="preserve">) might induce oxidative stress is complex and not fully understood </w:t>
      </w:r>
      <w:r w:rsidR="00E85D01">
        <w:rPr>
          <w:rFonts w:ascii="Times New Roman" w:eastAsia="Calibri" w:hAnsi="Times New Roman" w:cs="Times New Roman"/>
          <w:kern w:val="2"/>
          <w:sz w:val="24"/>
          <w:szCs w:val="24"/>
          <w14:ligatures w14:val="standardContextual"/>
        </w:rPr>
        <w:t>(Babu et al., 2022)</w:t>
      </w:r>
      <w:r w:rsidRPr="00E629C1">
        <w:rPr>
          <w:rFonts w:ascii="Times New Roman" w:eastAsia="Calibri" w:hAnsi="Times New Roman" w:cs="Times New Roman"/>
          <w:kern w:val="2"/>
          <w:sz w:val="24"/>
          <w:szCs w:val="24"/>
          <w14:ligatures w14:val="standardContextual"/>
        </w:rPr>
        <w:t>.</w:t>
      </w:r>
      <w:r w:rsidR="00E85D01">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Within cells, sodium fluoride can elevate the production of reactive oxygen species (ROS), which are highly reactive oxygen-containing molecules. While these molecules participate in regular cellular processes, an excess of ROS can inflict harm upon cellular components like lipids, proteins and DNA</w:t>
      </w:r>
      <w:r w:rsidR="00E85D01">
        <w:rPr>
          <w:rFonts w:ascii="Times New Roman" w:eastAsia="Calibri" w:hAnsi="Times New Roman" w:cs="Times New Roman"/>
          <w:kern w:val="2"/>
          <w:sz w:val="24"/>
          <w:szCs w:val="24"/>
          <w14:ligatures w14:val="standardContextual"/>
        </w:rPr>
        <w:t xml:space="preserve"> (Li et al., 2021)</w:t>
      </w:r>
      <w:r w:rsidRPr="00E629C1">
        <w:rPr>
          <w:rFonts w:ascii="Times New Roman" w:eastAsia="Calibri" w:hAnsi="Times New Roman" w:cs="Times New Roman"/>
          <w:kern w:val="2"/>
          <w:sz w:val="24"/>
          <w:szCs w:val="24"/>
          <w14:ligatures w14:val="standardContextual"/>
        </w:rPr>
        <w:t>. Certain investigations propose that sodium fluoride has the potential to interfere with the functioning of mitochondria, which are the cellular structures accountable for energy production. If the operation of mitochondria is compromised, it may result in an upsurge in the generation of ROS, subsequently adding to oxidative stress</w:t>
      </w:r>
      <w:proofErr w:type="gramStart"/>
      <w:r>
        <w:rPr>
          <w:rFonts w:ascii="Times New Roman" w:eastAsia="Calibri" w:hAnsi="Times New Roman" w:cs="Times New Roman"/>
          <w:kern w:val="2"/>
          <w:sz w:val="24"/>
          <w:szCs w:val="24"/>
          <w14:ligatures w14:val="standardContextual"/>
        </w:rPr>
        <w:t xml:space="preserve"> </w:t>
      </w:r>
      <w:r w:rsidR="00D43098">
        <w:rPr>
          <w:rFonts w:ascii="Times New Roman" w:eastAsia="Calibri" w:hAnsi="Times New Roman" w:cs="Times New Roman"/>
          <w:kern w:val="2"/>
          <w:sz w:val="24"/>
          <w:szCs w:val="24"/>
          <w14:ligatures w14:val="standardContextual"/>
        </w:rPr>
        <w:t xml:space="preserve">  </w:t>
      </w:r>
      <w:r w:rsidR="00AE3C8E">
        <w:rPr>
          <w:rFonts w:ascii="Times New Roman" w:eastAsia="Calibri" w:hAnsi="Times New Roman" w:cs="Times New Roman"/>
          <w:kern w:val="2"/>
          <w:sz w:val="24"/>
          <w:szCs w:val="24"/>
          <w14:ligatures w14:val="standardContextual"/>
        </w:rPr>
        <w:t>(</w:t>
      </w:r>
      <w:proofErr w:type="gramEnd"/>
      <w:r w:rsidR="00AE3C8E">
        <w:rPr>
          <w:rFonts w:ascii="Times New Roman" w:eastAsia="Calibri" w:hAnsi="Times New Roman" w:cs="Times New Roman"/>
          <w:kern w:val="2"/>
          <w:sz w:val="24"/>
          <w:szCs w:val="24"/>
          <w14:ligatures w14:val="standardContextual"/>
        </w:rPr>
        <w:t>Zhang et al., 2023)</w:t>
      </w:r>
      <w:r w:rsidRPr="00E629C1">
        <w:rPr>
          <w:rFonts w:ascii="Times New Roman" w:eastAsia="Calibri" w:hAnsi="Times New Roman" w:cs="Times New Roman"/>
          <w:kern w:val="2"/>
          <w:sz w:val="24"/>
          <w:szCs w:val="24"/>
          <w14:ligatures w14:val="standardContextual"/>
        </w:rPr>
        <w:t>. There is a possibility that sodium fluoride could hinder specific antioxidant enzymes responsible for counteracting ROS. For instance, there have been reports of fluoride inhibiting enzymes such as superoxide dismutase (SOD) and glutathione peroxidase (</w:t>
      </w:r>
      <w:proofErr w:type="spellStart"/>
      <w:r w:rsidRPr="00E629C1">
        <w:rPr>
          <w:rFonts w:ascii="Times New Roman" w:eastAsia="Calibri" w:hAnsi="Times New Roman" w:cs="Times New Roman"/>
          <w:kern w:val="2"/>
          <w:sz w:val="24"/>
          <w:szCs w:val="24"/>
          <w14:ligatures w14:val="standardContextual"/>
        </w:rPr>
        <w:t>GPx</w:t>
      </w:r>
      <w:proofErr w:type="spellEnd"/>
      <w:r w:rsidRPr="00E629C1">
        <w:rPr>
          <w:rFonts w:ascii="Times New Roman" w:eastAsia="Calibri" w:hAnsi="Times New Roman" w:cs="Times New Roman"/>
          <w:kern w:val="2"/>
          <w:sz w:val="24"/>
          <w:szCs w:val="24"/>
          <w14:ligatures w14:val="standardContextual"/>
        </w:rPr>
        <w:t>), both of which hold vital functions in the removal of ROS</w:t>
      </w:r>
      <w:r w:rsidR="00AE3C8E">
        <w:rPr>
          <w:rFonts w:ascii="Times New Roman" w:eastAsia="Calibri" w:hAnsi="Times New Roman" w:cs="Times New Roman"/>
          <w:kern w:val="2"/>
          <w:sz w:val="24"/>
          <w:szCs w:val="24"/>
          <w14:ligatures w14:val="standardContextual"/>
        </w:rPr>
        <w:t xml:space="preserve"> (</w:t>
      </w:r>
      <w:r w:rsidR="00AE3C8E" w:rsidRPr="00AE3C8E">
        <w:rPr>
          <w:rFonts w:ascii="Times New Roman" w:eastAsia="Calibri" w:hAnsi="Times New Roman" w:cs="Times New Roman"/>
          <w:kern w:val="2"/>
          <w:sz w:val="24"/>
          <w:szCs w:val="24"/>
          <w14:ligatures w14:val="standardContextual"/>
        </w:rPr>
        <w:t>Tkachenko</w:t>
      </w:r>
      <w:r w:rsidR="00AE3C8E">
        <w:rPr>
          <w:rFonts w:ascii="Times New Roman" w:eastAsia="Calibri" w:hAnsi="Times New Roman" w:cs="Times New Roman"/>
          <w:kern w:val="2"/>
          <w:sz w:val="24"/>
          <w:szCs w:val="24"/>
          <w14:ligatures w14:val="standardContextual"/>
        </w:rPr>
        <w:t xml:space="preserve"> et al., 2022)</w:t>
      </w:r>
      <w:r w:rsidRPr="00E629C1">
        <w:rPr>
          <w:rFonts w:ascii="Times New Roman" w:eastAsia="Calibri" w:hAnsi="Times New Roman" w:cs="Times New Roman"/>
          <w:kern w:val="2"/>
          <w:sz w:val="24"/>
          <w:szCs w:val="24"/>
          <w14:ligatures w14:val="standardContextual"/>
        </w:rPr>
        <w:t>.</w:t>
      </w:r>
      <w:r w:rsidR="00AE3C8E">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Persistently being exposed to sodium fluoride over time could potentially encourage inflammation in specific tissues. Inflammation is commonly linked with heightened production of ROS, as immune cells generate these molecules to counteract pathogens. Nevertheless, prolonged inflammation has the potential to give rise to oxidative stress and harm to tissues</w:t>
      </w:r>
      <w:r w:rsidR="00AE3C8E">
        <w:rPr>
          <w:rFonts w:ascii="Times New Roman" w:eastAsia="Calibri" w:hAnsi="Times New Roman" w:cs="Times New Roman"/>
          <w:kern w:val="2"/>
          <w:sz w:val="24"/>
          <w:szCs w:val="24"/>
          <w14:ligatures w14:val="standardContextual"/>
        </w:rPr>
        <w:t xml:space="preserve"> (Ouyang et al., 2021)</w:t>
      </w:r>
      <w:r w:rsidRPr="00E629C1">
        <w:rPr>
          <w:rFonts w:ascii="Times New Roman" w:eastAsia="Calibri" w:hAnsi="Times New Roman" w:cs="Times New Roman"/>
          <w:kern w:val="2"/>
          <w:sz w:val="24"/>
          <w:szCs w:val="24"/>
          <w14:ligatures w14:val="standardContextual"/>
        </w:rPr>
        <w:t>.</w:t>
      </w:r>
      <w:r w:rsidR="00624307">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Exposure to sodium fluoride has been linked to DNA damage in diverse types of cells. DNA damage is a frequent outcome of oxidative stress, and it holds the potential to cause mutations, which might contribute to the emergence of various health concerns</w:t>
      </w:r>
      <w:r w:rsidR="00AE3C8E">
        <w:rPr>
          <w:rFonts w:ascii="Times New Roman" w:eastAsia="Calibri" w:hAnsi="Times New Roman" w:cs="Times New Roman"/>
          <w:kern w:val="2"/>
          <w:sz w:val="24"/>
          <w:szCs w:val="24"/>
          <w14:ligatures w14:val="standardContextual"/>
        </w:rPr>
        <w:t xml:space="preserve"> (Chaithra et al., 2020)</w:t>
      </w:r>
      <w:r w:rsidRPr="00E629C1">
        <w:rPr>
          <w:rFonts w:ascii="Times New Roman" w:eastAsia="Calibri" w:hAnsi="Times New Roman" w:cs="Times New Roman"/>
          <w:kern w:val="2"/>
          <w:sz w:val="24"/>
          <w:szCs w:val="24"/>
          <w14:ligatures w14:val="standardContextual"/>
        </w:rPr>
        <w:t xml:space="preserve">. </w:t>
      </w:r>
    </w:p>
    <w:p w14:paraId="7FD72124" w14:textId="51AC4FBF"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kern w:val="2"/>
          <w:sz w:val="24"/>
          <w:szCs w:val="24"/>
          <w14:ligatures w14:val="standardContextual"/>
        </w:rPr>
        <w:t>Fenugreek (</w:t>
      </w:r>
      <w:r w:rsidRPr="00E629C1">
        <w:rPr>
          <w:rFonts w:ascii="Times New Roman" w:eastAsia="Calibri" w:hAnsi="Times New Roman" w:cs="Times New Roman"/>
          <w:i/>
          <w:kern w:val="2"/>
          <w:sz w:val="24"/>
          <w:szCs w:val="24"/>
          <w14:ligatures w14:val="standardContextual"/>
        </w:rPr>
        <w:t xml:space="preserve">Trigonella </w:t>
      </w:r>
      <w:proofErr w:type="spellStart"/>
      <w:r w:rsidRPr="00E629C1">
        <w:rPr>
          <w:rFonts w:ascii="Times New Roman" w:eastAsia="Calibri" w:hAnsi="Times New Roman" w:cs="Times New Roman"/>
          <w:i/>
          <w:kern w:val="2"/>
          <w:sz w:val="24"/>
          <w:szCs w:val="24"/>
          <w14:ligatures w14:val="standardContextual"/>
        </w:rPr>
        <w:t>foenum</w:t>
      </w:r>
      <w:proofErr w:type="spellEnd"/>
      <w:r w:rsidRPr="00E629C1">
        <w:rPr>
          <w:rFonts w:ascii="Times New Roman" w:eastAsia="Calibri" w:hAnsi="Times New Roman" w:cs="Times New Roman"/>
          <w:i/>
          <w:kern w:val="2"/>
          <w:sz w:val="24"/>
          <w:szCs w:val="24"/>
          <w14:ligatures w14:val="standardContextual"/>
        </w:rPr>
        <w:t>-graecum</w:t>
      </w:r>
      <w:r w:rsidRPr="00E629C1">
        <w:rPr>
          <w:rFonts w:ascii="Times New Roman" w:eastAsia="Calibri" w:hAnsi="Times New Roman" w:cs="Times New Roman"/>
          <w:kern w:val="2"/>
          <w:sz w:val="24"/>
          <w:szCs w:val="24"/>
          <w14:ligatures w14:val="standardContextual"/>
        </w:rPr>
        <w:t>) is an annual herb that belongs to the Fabaceae family. It is native to the Mediterranean region, Asia, and parts of Africa. The plant is cultivated for its edible seeds and leaves, both of which have been used for culinary, medicinal, and cosmetic purposes for centuries</w:t>
      </w:r>
      <w:r w:rsidR="00AE3C8E">
        <w:rPr>
          <w:rFonts w:ascii="Times New Roman" w:eastAsia="Calibri" w:hAnsi="Times New Roman" w:cs="Times New Roman"/>
          <w:kern w:val="2"/>
          <w:sz w:val="24"/>
          <w:szCs w:val="24"/>
          <w14:ligatures w14:val="standardContextual"/>
        </w:rPr>
        <w:t xml:space="preserve"> (</w:t>
      </w:r>
      <w:proofErr w:type="spellStart"/>
      <w:r w:rsidR="00AE3C8E" w:rsidRPr="00AE3C8E">
        <w:rPr>
          <w:rFonts w:ascii="Times New Roman" w:eastAsia="Calibri" w:hAnsi="Times New Roman" w:cs="Times New Roman"/>
          <w:kern w:val="2"/>
          <w:sz w:val="24"/>
          <w:szCs w:val="24"/>
          <w14:ligatures w14:val="standardContextual"/>
        </w:rPr>
        <w:t>Camlica</w:t>
      </w:r>
      <w:proofErr w:type="spellEnd"/>
      <w:r w:rsidR="00AE3C8E">
        <w:rPr>
          <w:rFonts w:ascii="Times New Roman" w:eastAsia="Calibri" w:hAnsi="Times New Roman" w:cs="Times New Roman"/>
          <w:kern w:val="2"/>
          <w:sz w:val="24"/>
          <w:szCs w:val="24"/>
          <w14:ligatures w14:val="standardContextual"/>
        </w:rPr>
        <w:t xml:space="preserve"> </w:t>
      </w:r>
      <w:r w:rsidR="00AE3C8E" w:rsidRPr="00AE3C8E">
        <w:rPr>
          <w:rFonts w:ascii="Times New Roman" w:eastAsia="Calibri" w:hAnsi="Times New Roman" w:cs="Times New Roman"/>
          <w:kern w:val="2"/>
          <w:sz w:val="24"/>
          <w:szCs w:val="24"/>
          <w14:ligatures w14:val="standardContextual"/>
        </w:rPr>
        <w:t>and Yaldiz</w:t>
      </w:r>
      <w:r w:rsidR="00AE3C8E">
        <w:rPr>
          <w:rFonts w:ascii="Times New Roman" w:eastAsia="Calibri" w:hAnsi="Times New Roman" w:cs="Times New Roman"/>
          <w:kern w:val="2"/>
          <w:sz w:val="24"/>
          <w:szCs w:val="24"/>
          <w14:ligatures w14:val="standardContextual"/>
        </w:rPr>
        <w:t xml:space="preserve">, </w:t>
      </w:r>
      <w:r w:rsidR="00AE3C8E" w:rsidRPr="00AE3C8E">
        <w:rPr>
          <w:rFonts w:ascii="Times New Roman" w:eastAsia="Calibri" w:hAnsi="Times New Roman" w:cs="Times New Roman"/>
          <w:kern w:val="2"/>
          <w:sz w:val="24"/>
          <w:szCs w:val="24"/>
          <w14:ligatures w14:val="standardContextual"/>
        </w:rPr>
        <w:t>2021</w:t>
      </w:r>
      <w:r w:rsidR="00AE3C8E">
        <w:rPr>
          <w:rFonts w:ascii="Times New Roman" w:eastAsia="Calibri" w:hAnsi="Times New Roman" w:cs="Times New Roman"/>
          <w:kern w:val="2"/>
          <w:sz w:val="24"/>
          <w:szCs w:val="24"/>
          <w14:ligatures w14:val="standardContextual"/>
        </w:rPr>
        <w:t>)</w:t>
      </w:r>
      <w:r w:rsidRPr="00E629C1">
        <w:rPr>
          <w:rFonts w:ascii="Times New Roman" w:eastAsia="Calibri" w:hAnsi="Times New Roman" w:cs="Times New Roman"/>
          <w:kern w:val="2"/>
          <w:sz w:val="24"/>
          <w:szCs w:val="24"/>
          <w14:ligatures w14:val="standardContextual"/>
        </w:rPr>
        <w:t>.</w:t>
      </w:r>
      <w:r w:rsidR="00624307">
        <w:rPr>
          <w:rFonts w:ascii="Times New Roman" w:eastAsia="Calibri" w:hAnsi="Times New Roman" w:cs="Times New Roman"/>
          <w:kern w:val="2"/>
          <w:sz w:val="24"/>
          <w:szCs w:val="24"/>
          <w14:ligatures w14:val="standardContextual"/>
        </w:rPr>
        <w:t xml:space="preserve"> </w:t>
      </w:r>
      <w:r w:rsidRPr="00E629C1">
        <w:rPr>
          <w:rFonts w:ascii="Times New Roman" w:eastAsia="Calibri" w:hAnsi="Times New Roman" w:cs="Times New Roman"/>
          <w:kern w:val="2"/>
          <w:sz w:val="24"/>
          <w:szCs w:val="24"/>
          <w14:ligatures w14:val="standardContextual"/>
        </w:rPr>
        <w:t>Fenugreek boasts an extensive legacy within traditional medical systems like Ayurveda, Traditional Chinese Medicine, and Middle Eastern healing practices. Its historical applications encompass aiding digestion, enhancing appetite, and even addressing conditions like diabetes</w:t>
      </w:r>
      <w:r w:rsidR="00645E77">
        <w:rPr>
          <w:rFonts w:ascii="Times New Roman" w:eastAsia="Calibri" w:hAnsi="Times New Roman" w:cs="Times New Roman"/>
          <w:kern w:val="2"/>
          <w:sz w:val="24"/>
          <w:szCs w:val="24"/>
          <w14:ligatures w14:val="standardContextual"/>
        </w:rPr>
        <w:t xml:space="preserve"> (Karmakar et al., 2022)</w:t>
      </w:r>
      <w:r w:rsidRPr="00E629C1">
        <w:rPr>
          <w:rFonts w:ascii="Times New Roman" w:eastAsia="Calibri" w:hAnsi="Times New Roman" w:cs="Times New Roman"/>
          <w:kern w:val="2"/>
          <w:sz w:val="24"/>
          <w:szCs w:val="24"/>
          <w14:ligatures w14:val="standardContextual"/>
        </w:rPr>
        <w:t xml:space="preserve">. Due </w:t>
      </w:r>
      <w:r w:rsidRPr="00E629C1">
        <w:rPr>
          <w:rFonts w:ascii="Times New Roman" w:eastAsia="Calibri" w:hAnsi="Times New Roman" w:cs="Times New Roman"/>
          <w:kern w:val="2"/>
          <w:sz w:val="24"/>
          <w:szCs w:val="24"/>
          <w14:ligatures w14:val="standardContextual"/>
        </w:rPr>
        <w:lastRenderedPageBreak/>
        <w:t>to its abundant fibre content, fenugreek seeds have been the subject of research examining their potential to effectively reduce blood sugar levels and improve insulin sensitivity</w:t>
      </w:r>
      <w:r w:rsidR="00645E77">
        <w:rPr>
          <w:rFonts w:ascii="Times New Roman" w:eastAsia="Calibri" w:hAnsi="Times New Roman" w:cs="Times New Roman"/>
          <w:kern w:val="2"/>
          <w:sz w:val="24"/>
          <w:szCs w:val="24"/>
          <w14:ligatures w14:val="standardContextual"/>
        </w:rPr>
        <w:t xml:space="preserve"> (Syed et al., 2020)</w:t>
      </w:r>
      <w:r w:rsidRPr="00E629C1">
        <w:rPr>
          <w:rFonts w:ascii="Times New Roman" w:eastAsia="Calibri" w:hAnsi="Times New Roman" w:cs="Times New Roman"/>
          <w:kern w:val="2"/>
          <w:sz w:val="24"/>
          <w:szCs w:val="24"/>
          <w14:ligatures w14:val="standardContextual"/>
        </w:rPr>
        <w:t xml:space="preserve">. </w:t>
      </w:r>
    </w:p>
    <w:p w14:paraId="7B1F5517" w14:textId="77777777" w:rsidR="00136FEC" w:rsidRPr="00E629C1" w:rsidRDefault="00136FEC" w:rsidP="00136FEC">
      <w:pPr>
        <w:spacing w:after="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Materials and Methods:</w:t>
      </w:r>
    </w:p>
    <w:p w14:paraId="7C104CA9" w14:textId="77777777" w:rsidR="00136FEC" w:rsidRPr="00E629C1" w:rsidRDefault="00136FEC" w:rsidP="00136FEC">
      <w:pPr>
        <w:spacing w:after="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Fenugreek leaves Extract for Oxidative stress:</w:t>
      </w:r>
    </w:p>
    <w:p w14:paraId="1859F299" w14:textId="77777777" w:rsidR="00136FEC" w:rsidRPr="00E629C1" w:rsidRDefault="00136FEC" w:rsidP="00136FEC">
      <w:pPr>
        <w:spacing w:after="0" w:line="259" w:lineRule="auto"/>
        <w:ind w:firstLine="720"/>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kern w:val="2"/>
          <w:sz w:val="24"/>
          <w:szCs w:val="24"/>
          <w14:ligatures w14:val="standardContextual"/>
        </w:rPr>
        <w:t>Fenugreek leaves were harvested and air-dried in the shade, followed by pulverization into a fine powder and storage in an airtight container. To extract the compounds, 10 grams of the powder were dissolved in 100 ml of acetone and subjected to 48 hours of extraction using a Soxhlet apparatus. The filtrate was obtained using Whatman Filter Paper No. 1 and subsequently evaporated. The resulting extract was prepared by dissolving it in DMSO at a concentration of 100 mg/ml.</w:t>
      </w:r>
      <w:r w:rsidRPr="00E629C1">
        <w:rPr>
          <w:rFonts w:ascii="Times New Roman" w:eastAsia="Calibri" w:hAnsi="Times New Roman" w:cs="Times New Roman"/>
          <w:kern w:val="2"/>
          <w:sz w:val="24"/>
          <w:szCs w:val="24"/>
          <w:lang w:val="en-US"/>
          <w14:ligatures w14:val="standardContextual"/>
        </w:rPr>
        <w:t xml:space="preserve"> (Fig-1)</w:t>
      </w:r>
    </w:p>
    <w:p w14:paraId="4DBC8D28" w14:textId="77777777" w:rsidR="00136FEC" w:rsidRPr="00E629C1" w:rsidRDefault="00136FEC" w:rsidP="00136FEC">
      <w:pPr>
        <w:autoSpaceDE w:val="0"/>
        <w:autoSpaceDN w:val="0"/>
        <w:adjustRightInd w:val="0"/>
        <w:spacing w:after="0" w:line="259" w:lineRule="auto"/>
        <w:jc w:val="both"/>
        <w:rPr>
          <w:rFonts w:ascii="Times New Roman" w:eastAsia="Calibri" w:hAnsi="Times New Roman" w:cs="Times New Roman"/>
          <w:b/>
          <w:bCs/>
          <w:kern w:val="2"/>
          <w:sz w:val="24"/>
          <w:szCs w:val="24"/>
          <w:lang w:val="en-US"/>
          <w14:ligatures w14:val="standardContextual"/>
        </w:rPr>
      </w:pPr>
      <w:r w:rsidRPr="00E629C1">
        <w:rPr>
          <w:rFonts w:ascii="Times New Roman" w:eastAsia="Calibri" w:hAnsi="Times New Roman" w:cs="Times New Roman"/>
          <w:b/>
          <w:bCs/>
          <w:kern w:val="2"/>
          <w:sz w:val="24"/>
          <w:szCs w:val="24"/>
          <w:lang w:val="en-US"/>
          <w14:ligatures w14:val="standardContextual"/>
        </w:rPr>
        <w:t>Preparation of 10% RBC suspension:</w:t>
      </w:r>
    </w:p>
    <w:p w14:paraId="55800C80" w14:textId="77777777" w:rsidR="00136FEC" w:rsidRPr="00E629C1" w:rsidRDefault="00136FEC" w:rsidP="00136FEC">
      <w:pPr>
        <w:spacing w:after="160" w:line="259" w:lineRule="auto"/>
        <w:ind w:firstLine="720"/>
        <w:jc w:val="both"/>
        <w:rPr>
          <w:rFonts w:ascii="Times New Roman" w:eastAsia="Calibri" w:hAnsi="Times New Roman" w:cs="Times New Roman"/>
          <w:kern w:val="2"/>
          <w:sz w:val="24"/>
          <w:szCs w:val="24"/>
          <w:lang w:val="en-US"/>
          <w14:ligatures w14:val="standardContextual"/>
        </w:rPr>
      </w:pPr>
      <w:r w:rsidRPr="00E629C1">
        <w:rPr>
          <w:rFonts w:ascii="Times New Roman" w:eastAsia="Calibri" w:hAnsi="Times New Roman" w:cs="Times New Roman"/>
          <w:kern w:val="2"/>
          <w:sz w:val="24"/>
          <w:szCs w:val="24"/>
          <w14:ligatures w14:val="standardContextual"/>
        </w:rPr>
        <w:t xml:space="preserve">Two millilitres of blood are collected from the sheep's jugular vein and transferred into an EDTA vial. The collected blood is then centrifuged at 1100 rpm for 12 minutes at a temperature of 5°C. The resulting plasma is subjected to washing with PBS, repeating the process three to four times until a clear supernatant is achieved. To create a 10% RBC solution, a mixture of 200 </w:t>
      </w:r>
      <w:proofErr w:type="spellStart"/>
      <w:r w:rsidRPr="00E629C1">
        <w:rPr>
          <w:rFonts w:ascii="Times New Roman" w:eastAsia="Calibri" w:hAnsi="Times New Roman" w:cs="Times New Roman"/>
          <w:kern w:val="2"/>
          <w:sz w:val="24"/>
          <w:szCs w:val="24"/>
          <w14:ligatures w14:val="standardContextual"/>
        </w:rPr>
        <w:t>μl</w:t>
      </w:r>
      <w:proofErr w:type="spellEnd"/>
      <w:r w:rsidRPr="00E629C1">
        <w:rPr>
          <w:rFonts w:ascii="Times New Roman" w:eastAsia="Calibri" w:hAnsi="Times New Roman" w:cs="Times New Roman"/>
          <w:kern w:val="2"/>
          <w:sz w:val="24"/>
          <w:szCs w:val="24"/>
          <w14:ligatures w14:val="standardContextual"/>
        </w:rPr>
        <w:t xml:space="preserve"> of RBC pellet and 1800 </w:t>
      </w:r>
      <w:proofErr w:type="spellStart"/>
      <w:r w:rsidRPr="00E629C1">
        <w:rPr>
          <w:rFonts w:ascii="Times New Roman" w:eastAsia="Calibri" w:hAnsi="Times New Roman" w:cs="Times New Roman"/>
          <w:kern w:val="2"/>
          <w:sz w:val="24"/>
          <w:szCs w:val="24"/>
          <w14:ligatures w14:val="standardContextual"/>
        </w:rPr>
        <w:t>μl</w:t>
      </w:r>
      <w:proofErr w:type="spellEnd"/>
      <w:r w:rsidRPr="00E629C1">
        <w:rPr>
          <w:rFonts w:ascii="Times New Roman" w:eastAsia="Calibri" w:hAnsi="Times New Roman" w:cs="Times New Roman"/>
          <w:kern w:val="2"/>
          <w:sz w:val="24"/>
          <w:szCs w:val="24"/>
          <w14:ligatures w14:val="standardContextual"/>
        </w:rPr>
        <w:t xml:space="preserve"> of cold PBS is prepared and this solution is stored at -20°C for future use.</w:t>
      </w:r>
      <w:r w:rsidRPr="00E629C1">
        <w:rPr>
          <w:rFonts w:ascii="Times New Roman" w:eastAsia="Calibri" w:hAnsi="Times New Roman" w:cs="Times New Roman"/>
          <w:kern w:val="2"/>
          <w:sz w:val="24"/>
          <w:szCs w:val="24"/>
          <w:lang w:val="en-US"/>
          <w14:ligatures w14:val="standardContextual"/>
        </w:rPr>
        <w:t xml:space="preserve"> (Fig-1)</w:t>
      </w:r>
    </w:p>
    <w:p w14:paraId="2C6C6397" w14:textId="77777777" w:rsidR="00136FEC" w:rsidRPr="00E629C1" w:rsidRDefault="00136FEC" w:rsidP="00136FEC">
      <w:pPr>
        <w:spacing w:after="160" w:line="259" w:lineRule="auto"/>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noProof/>
          <w:kern w:val="2"/>
          <w:sz w:val="24"/>
          <w:szCs w:val="24"/>
          <w:lang w:eastAsia="en-IN"/>
          <w14:ligatures w14:val="standardContextual"/>
        </w:rPr>
        <w:drawing>
          <wp:inline distT="0" distB="0" distL="0" distR="0" wp14:anchorId="577EA4AA" wp14:editId="307FECFE">
            <wp:extent cx="5250180" cy="33033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59512" name=""/>
                    <pic:cNvPicPr/>
                  </pic:nvPicPr>
                  <pic:blipFill>
                    <a:blip r:embed="rId6"/>
                    <a:stretch>
                      <a:fillRect/>
                    </a:stretch>
                  </pic:blipFill>
                  <pic:spPr>
                    <a:xfrm>
                      <a:off x="0" y="0"/>
                      <a:ext cx="5261126" cy="3310207"/>
                    </a:xfrm>
                    <a:prstGeom prst="rect">
                      <a:avLst/>
                    </a:prstGeom>
                  </pic:spPr>
                </pic:pic>
              </a:graphicData>
            </a:graphic>
          </wp:inline>
        </w:drawing>
      </w:r>
    </w:p>
    <w:p w14:paraId="55357092" w14:textId="77777777" w:rsidR="00136FEC" w:rsidRPr="00E629C1" w:rsidRDefault="00136FEC" w:rsidP="00136FEC">
      <w:pPr>
        <w:spacing w:after="160" w:line="259" w:lineRule="auto"/>
        <w:jc w:val="both"/>
        <w:rPr>
          <w:rFonts w:ascii="Times New Roman" w:eastAsia="Calibri" w:hAnsi="Times New Roman" w:cs="Times New Roman"/>
          <w:kern w:val="2"/>
          <w:sz w:val="24"/>
          <w:szCs w:val="24"/>
          <w14:ligatures w14:val="standardContextual"/>
        </w:rPr>
      </w:pPr>
    </w:p>
    <w:p w14:paraId="7E2C6D46" w14:textId="77777777" w:rsidR="00136FEC" w:rsidRPr="00E629C1" w:rsidRDefault="00136FEC" w:rsidP="00136FEC">
      <w:pPr>
        <w:autoSpaceDE w:val="0"/>
        <w:autoSpaceDN w:val="0"/>
        <w:adjustRightInd w:val="0"/>
        <w:spacing w:after="0" w:line="259" w:lineRule="auto"/>
        <w:jc w:val="both"/>
        <w:rPr>
          <w:rFonts w:ascii="Times New Roman" w:eastAsia="Times New Roman" w:hAnsi="Times New Roman" w:cs="Times New Roman"/>
          <w:b/>
          <w:bCs/>
          <w:kern w:val="24"/>
          <w:sz w:val="24"/>
          <w:szCs w:val="24"/>
          <w:lang w:val="en-US"/>
          <w14:ligatures w14:val="standardContextual"/>
        </w:rPr>
      </w:pPr>
      <w:r w:rsidRPr="00E629C1">
        <w:rPr>
          <w:rFonts w:ascii="Times New Roman" w:eastAsia="Times New Roman" w:hAnsi="Times New Roman" w:cs="Times New Roman"/>
          <w:b/>
          <w:bCs/>
          <w:kern w:val="24"/>
          <w:sz w:val="24"/>
          <w:szCs w:val="24"/>
          <w:lang w:val="en-US"/>
          <w14:ligatures w14:val="standardContextual"/>
        </w:rPr>
        <w:t>Figure :1 Pictorial representation of fenugreek extract and 10% RBC suspension</w:t>
      </w:r>
    </w:p>
    <w:p w14:paraId="09690746" w14:textId="77777777" w:rsidR="00136FEC" w:rsidRPr="00E629C1" w:rsidRDefault="00136FEC" w:rsidP="00136FEC">
      <w:pPr>
        <w:autoSpaceDE w:val="0"/>
        <w:autoSpaceDN w:val="0"/>
        <w:adjustRightInd w:val="0"/>
        <w:spacing w:after="0" w:line="259" w:lineRule="auto"/>
        <w:jc w:val="both"/>
        <w:rPr>
          <w:rFonts w:ascii="Times New Roman" w:eastAsia="Calibri" w:hAnsi="Times New Roman" w:cs="Times New Roman"/>
          <w:kern w:val="2"/>
          <w:sz w:val="24"/>
          <w:szCs w:val="24"/>
          <w14:ligatures w14:val="standardContextual"/>
        </w:rPr>
      </w:pPr>
      <w:r w:rsidRPr="00E629C1">
        <w:rPr>
          <w:rFonts w:ascii="Times New Roman" w:eastAsia="Times New Roman" w:hAnsi="Times New Roman" w:cs="Times New Roman"/>
          <w:b/>
          <w:bCs/>
          <w:kern w:val="24"/>
          <w:sz w:val="24"/>
          <w:szCs w:val="24"/>
          <w:lang w:val="en-US"/>
          <w14:ligatures w14:val="standardContextual"/>
        </w:rPr>
        <w:t xml:space="preserve">Induction of oxidative stress: </w:t>
      </w:r>
      <w:r w:rsidRPr="00E629C1">
        <w:rPr>
          <w:rFonts w:ascii="Times New Roman" w:eastAsia="Calibri" w:hAnsi="Times New Roman" w:cs="Times New Roman"/>
          <w:kern w:val="2"/>
          <w:sz w:val="24"/>
          <w:szCs w:val="24"/>
          <w14:ligatures w14:val="standardContextual"/>
        </w:rPr>
        <w:t>The 10% RBC suspension was divided into distinct sets and exposed to varying concentrations of Sodium Fluoride, Ascorbic acid, and Fenugreek leaf extract. Subsequently, the mixtures were incubated on an orbital shaker for 24 hours following the experimental design.</w:t>
      </w:r>
    </w:p>
    <w:p w14:paraId="1D48D130" w14:textId="77777777" w:rsidR="00136FEC" w:rsidRPr="00E629C1" w:rsidRDefault="00136FEC" w:rsidP="00136FEC">
      <w:pPr>
        <w:spacing w:after="160" w:line="259" w:lineRule="auto"/>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 xml:space="preserve">Antioxidant enzymes: </w:t>
      </w:r>
      <w:r w:rsidRPr="00E629C1">
        <w:rPr>
          <w:rFonts w:ascii="Times New Roman" w:eastAsia="Calibri" w:hAnsi="Times New Roman" w:cs="Times New Roman"/>
          <w:kern w:val="2"/>
          <w:sz w:val="24"/>
          <w:szCs w:val="24"/>
          <w14:ligatures w14:val="standardContextual"/>
        </w:rPr>
        <w:t>The study involved the analysis of TBARS, protein concentration, GSH levels, and SOD activity.</w:t>
      </w:r>
    </w:p>
    <w:p w14:paraId="0D8DE03A" w14:textId="77777777" w:rsidR="00136FEC" w:rsidRPr="00E629C1" w:rsidRDefault="00136FEC" w:rsidP="00136FEC">
      <w:pPr>
        <w:autoSpaceDE w:val="0"/>
        <w:autoSpaceDN w:val="0"/>
        <w:adjustRightInd w:val="0"/>
        <w:spacing w:after="0" w:line="259" w:lineRule="auto"/>
        <w:jc w:val="both"/>
        <w:rPr>
          <w:rFonts w:ascii="Times New Roman" w:eastAsia="Times New Roman" w:hAnsi="Times New Roman" w:cs="Times New Roman"/>
          <w:b/>
          <w:bCs/>
          <w:kern w:val="24"/>
          <w:sz w:val="24"/>
          <w:szCs w:val="24"/>
          <w:lang w:val="en-US"/>
          <w14:ligatures w14:val="standardContextual"/>
        </w:rPr>
      </w:pPr>
      <w:r w:rsidRPr="00E629C1">
        <w:rPr>
          <w:rFonts w:ascii="Times New Roman" w:eastAsia="Times New Roman" w:hAnsi="Times New Roman" w:cs="Times New Roman"/>
          <w:b/>
          <w:bCs/>
          <w:kern w:val="24"/>
          <w:sz w:val="24"/>
          <w:szCs w:val="24"/>
          <w:lang w:val="en-US"/>
          <w14:ligatures w14:val="standardContextual"/>
        </w:rPr>
        <w:lastRenderedPageBreak/>
        <w:t>Table-1 Experimental Design</w:t>
      </w:r>
    </w:p>
    <w:tbl>
      <w:tblPr>
        <w:tblStyle w:val="TableGrid"/>
        <w:tblW w:w="5807" w:type="dxa"/>
        <w:tblLook w:val="04A0" w:firstRow="1" w:lastRow="0" w:firstColumn="1" w:lastColumn="0" w:noHBand="0" w:noVBand="1"/>
      </w:tblPr>
      <w:tblGrid>
        <w:gridCol w:w="892"/>
        <w:gridCol w:w="4915"/>
      </w:tblGrid>
      <w:tr w:rsidR="00136FEC" w:rsidRPr="00E629C1" w14:paraId="57BEFBE6" w14:textId="77777777" w:rsidTr="00E7046D">
        <w:tc>
          <w:tcPr>
            <w:tcW w:w="0" w:type="auto"/>
          </w:tcPr>
          <w:p w14:paraId="16DFD6FB" w14:textId="77777777" w:rsidR="00136FEC" w:rsidRPr="00E629C1" w:rsidRDefault="00136FEC" w:rsidP="00E7046D">
            <w:pPr>
              <w:autoSpaceDE w:val="0"/>
              <w:autoSpaceDN w:val="0"/>
              <w:adjustRightInd w:val="0"/>
              <w:jc w:val="both"/>
              <w:rPr>
                <w:rFonts w:ascii="Times New Roman" w:eastAsia="Times New Roman" w:hAnsi="Times New Roman" w:cs="Times New Roman"/>
                <w:b/>
                <w:bCs/>
                <w:kern w:val="24"/>
                <w:sz w:val="24"/>
                <w:szCs w:val="24"/>
                <w:lang w:val="en-US"/>
              </w:rPr>
            </w:pPr>
            <w:r w:rsidRPr="00E629C1">
              <w:rPr>
                <w:rFonts w:ascii="Times New Roman" w:eastAsia="Times New Roman" w:hAnsi="Times New Roman" w:cs="Times New Roman"/>
                <w:b/>
                <w:bCs/>
                <w:kern w:val="24"/>
                <w:sz w:val="24"/>
                <w:szCs w:val="24"/>
                <w:lang w:val="en-US"/>
              </w:rPr>
              <w:t>Group</w:t>
            </w:r>
          </w:p>
        </w:tc>
        <w:tc>
          <w:tcPr>
            <w:tcW w:w="4915" w:type="dxa"/>
          </w:tcPr>
          <w:p w14:paraId="244720B8" w14:textId="77777777" w:rsidR="00136FEC" w:rsidRPr="00E629C1" w:rsidRDefault="00136FEC" w:rsidP="00E7046D">
            <w:pPr>
              <w:autoSpaceDE w:val="0"/>
              <w:autoSpaceDN w:val="0"/>
              <w:adjustRightInd w:val="0"/>
              <w:jc w:val="both"/>
              <w:rPr>
                <w:rFonts w:ascii="Times New Roman" w:eastAsia="Times New Roman" w:hAnsi="Times New Roman" w:cs="Times New Roman"/>
                <w:b/>
                <w:bCs/>
                <w:kern w:val="24"/>
                <w:sz w:val="24"/>
                <w:szCs w:val="24"/>
                <w:lang w:val="en-US"/>
              </w:rPr>
            </w:pPr>
            <w:r w:rsidRPr="00E629C1">
              <w:rPr>
                <w:rFonts w:ascii="Times New Roman" w:eastAsia="Times New Roman" w:hAnsi="Times New Roman" w:cs="Times New Roman"/>
                <w:b/>
                <w:bCs/>
                <w:kern w:val="24"/>
                <w:sz w:val="24"/>
                <w:szCs w:val="24"/>
                <w:lang w:val="en-US"/>
              </w:rPr>
              <w:t xml:space="preserve">Treatment </w:t>
            </w:r>
          </w:p>
        </w:tc>
      </w:tr>
      <w:tr w:rsidR="00136FEC" w:rsidRPr="00E629C1" w14:paraId="1448059A" w14:textId="77777777" w:rsidTr="00E7046D">
        <w:tc>
          <w:tcPr>
            <w:tcW w:w="0" w:type="auto"/>
          </w:tcPr>
          <w:p w14:paraId="54D28437"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I</w:t>
            </w:r>
          </w:p>
        </w:tc>
        <w:tc>
          <w:tcPr>
            <w:tcW w:w="4915" w:type="dxa"/>
          </w:tcPr>
          <w:p w14:paraId="2B270DC5"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RBC control (no treatment)</w:t>
            </w:r>
          </w:p>
        </w:tc>
      </w:tr>
      <w:tr w:rsidR="00136FEC" w:rsidRPr="00E629C1" w14:paraId="508C52BD" w14:textId="77777777" w:rsidTr="00E7046D">
        <w:tc>
          <w:tcPr>
            <w:tcW w:w="0" w:type="auto"/>
          </w:tcPr>
          <w:p w14:paraId="2A0B9FEA"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II</w:t>
            </w:r>
          </w:p>
        </w:tc>
        <w:tc>
          <w:tcPr>
            <w:tcW w:w="4915" w:type="dxa"/>
          </w:tcPr>
          <w:p w14:paraId="1B02ABFA"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 xml:space="preserve">RBC + </w:t>
            </w:r>
            <w:proofErr w:type="spellStart"/>
            <w:r w:rsidRPr="00E629C1">
              <w:rPr>
                <w:rFonts w:ascii="Times New Roman" w:eastAsia="Times New Roman" w:hAnsi="Times New Roman" w:cs="Times New Roman"/>
                <w:kern w:val="24"/>
                <w:sz w:val="24"/>
                <w:szCs w:val="24"/>
                <w:lang w:val="en-US"/>
              </w:rPr>
              <w:t>NaF</w:t>
            </w:r>
            <w:proofErr w:type="spellEnd"/>
            <w:r w:rsidRPr="00E629C1">
              <w:rPr>
                <w:rFonts w:ascii="Times New Roman" w:eastAsia="Times New Roman" w:hAnsi="Times New Roman" w:cs="Times New Roman"/>
                <w:kern w:val="24"/>
                <w:sz w:val="24"/>
                <w:szCs w:val="24"/>
                <w:lang w:val="en-US"/>
              </w:rPr>
              <w:t xml:space="preserve"> (50μM)</w:t>
            </w:r>
          </w:p>
        </w:tc>
      </w:tr>
      <w:tr w:rsidR="00136FEC" w:rsidRPr="00E629C1" w14:paraId="1B6183A3" w14:textId="77777777" w:rsidTr="00E7046D">
        <w:tc>
          <w:tcPr>
            <w:tcW w:w="0" w:type="auto"/>
          </w:tcPr>
          <w:p w14:paraId="324EE9FD"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III</w:t>
            </w:r>
          </w:p>
        </w:tc>
        <w:tc>
          <w:tcPr>
            <w:tcW w:w="4915" w:type="dxa"/>
          </w:tcPr>
          <w:p w14:paraId="187353C6"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 xml:space="preserve">RBC + </w:t>
            </w:r>
            <w:proofErr w:type="spellStart"/>
            <w:r w:rsidRPr="00E629C1">
              <w:rPr>
                <w:rFonts w:ascii="Times New Roman" w:eastAsia="Times New Roman" w:hAnsi="Times New Roman" w:cs="Times New Roman"/>
                <w:kern w:val="24"/>
                <w:sz w:val="24"/>
                <w:szCs w:val="24"/>
                <w:lang w:val="en-US"/>
              </w:rPr>
              <w:t>NaF</w:t>
            </w:r>
            <w:proofErr w:type="spellEnd"/>
            <w:r w:rsidRPr="00E629C1">
              <w:rPr>
                <w:rFonts w:ascii="Times New Roman" w:eastAsia="Times New Roman" w:hAnsi="Times New Roman" w:cs="Times New Roman"/>
                <w:kern w:val="24"/>
                <w:sz w:val="24"/>
                <w:szCs w:val="24"/>
                <w:lang w:val="en-US"/>
              </w:rPr>
              <w:t xml:space="preserve"> (50μM) +Ascorbic acid (100μg)</w:t>
            </w:r>
          </w:p>
        </w:tc>
      </w:tr>
      <w:tr w:rsidR="00136FEC" w:rsidRPr="00E629C1" w14:paraId="3DC68421" w14:textId="77777777" w:rsidTr="00E7046D">
        <w:tc>
          <w:tcPr>
            <w:tcW w:w="0" w:type="auto"/>
          </w:tcPr>
          <w:p w14:paraId="0703BA3E"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IV</w:t>
            </w:r>
          </w:p>
        </w:tc>
        <w:tc>
          <w:tcPr>
            <w:tcW w:w="4915" w:type="dxa"/>
          </w:tcPr>
          <w:p w14:paraId="350C8E94" w14:textId="77777777" w:rsidR="00136FEC" w:rsidRPr="00E629C1" w:rsidRDefault="00136FEC" w:rsidP="00E7046D">
            <w:pPr>
              <w:autoSpaceDE w:val="0"/>
              <w:autoSpaceDN w:val="0"/>
              <w:adjustRightInd w:val="0"/>
              <w:jc w:val="both"/>
              <w:rPr>
                <w:rFonts w:ascii="Times New Roman" w:eastAsia="Times New Roman" w:hAnsi="Times New Roman" w:cs="Times New Roman"/>
                <w:kern w:val="24"/>
                <w:sz w:val="24"/>
                <w:szCs w:val="24"/>
                <w:lang w:val="en-US"/>
              </w:rPr>
            </w:pPr>
            <w:r w:rsidRPr="00E629C1">
              <w:rPr>
                <w:rFonts w:ascii="Times New Roman" w:eastAsia="Times New Roman" w:hAnsi="Times New Roman" w:cs="Times New Roman"/>
                <w:kern w:val="24"/>
                <w:sz w:val="24"/>
                <w:szCs w:val="24"/>
                <w:lang w:val="en-US"/>
              </w:rPr>
              <w:t xml:space="preserve">RBC + </w:t>
            </w:r>
            <w:proofErr w:type="spellStart"/>
            <w:r w:rsidRPr="00E629C1">
              <w:rPr>
                <w:rFonts w:ascii="Times New Roman" w:eastAsia="Times New Roman" w:hAnsi="Times New Roman" w:cs="Times New Roman"/>
                <w:kern w:val="24"/>
                <w:sz w:val="24"/>
                <w:szCs w:val="24"/>
                <w:lang w:val="en-US"/>
              </w:rPr>
              <w:t>NaF</w:t>
            </w:r>
            <w:proofErr w:type="spellEnd"/>
            <w:r w:rsidRPr="00E629C1">
              <w:rPr>
                <w:rFonts w:ascii="Times New Roman" w:eastAsia="Times New Roman" w:hAnsi="Times New Roman" w:cs="Times New Roman"/>
                <w:kern w:val="24"/>
                <w:sz w:val="24"/>
                <w:szCs w:val="24"/>
                <w:lang w:val="en-US"/>
              </w:rPr>
              <w:t xml:space="preserve"> (50μM) + Fenugreek (100μg)</w:t>
            </w:r>
          </w:p>
        </w:tc>
      </w:tr>
    </w:tbl>
    <w:p w14:paraId="03C7C0F5" w14:textId="77777777" w:rsidR="00136FEC" w:rsidRPr="00E629C1" w:rsidRDefault="00136FEC" w:rsidP="00136FEC">
      <w:pPr>
        <w:spacing w:after="160" w:line="259" w:lineRule="auto"/>
        <w:jc w:val="both"/>
        <w:rPr>
          <w:rFonts w:ascii="Times New Roman" w:eastAsia="Calibri" w:hAnsi="Times New Roman" w:cs="Times New Roman"/>
          <w:kern w:val="2"/>
          <w:sz w:val="24"/>
          <w:szCs w:val="24"/>
          <w14:ligatures w14:val="standardContextual"/>
        </w:rPr>
      </w:pPr>
    </w:p>
    <w:p w14:paraId="214217C0" w14:textId="77777777" w:rsidR="00136FEC" w:rsidRPr="00373DA3" w:rsidRDefault="00136FEC" w:rsidP="00136FEC">
      <w:pPr>
        <w:spacing w:after="160" w:line="259" w:lineRule="auto"/>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b/>
          <w:bCs/>
          <w:kern w:val="2"/>
          <w:sz w:val="24"/>
          <w:szCs w:val="24"/>
          <w:shd w:val="clear" w:color="auto" w:fill="FFFFFF"/>
          <w14:ligatures w14:val="standardContextual"/>
        </w:rPr>
        <w:t xml:space="preserve">Statistical analysis: </w:t>
      </w:r>
      <w:r w:rsidRPr="00E629C1">
        <w:rPr>
          <w:rFonts w:ascii="Times New Roman" w:eastAsia="Calibri" w:hAnsi="Times New Roman" w:cs="Times New Roman"/>
          <w:kern w:val="2"/>
          <w:sz w:val="24"/>
          <w:szCs w:val="24"/>
          <w14:ligatures w14:val="standardContextual"/>
        </w:rPr>
        <w:t xml:space="preserve">The experimental outcomes were presented as mean ± SE values. Statistical analysis was conducted using Graph Pad Prism Software version 5.0, involving a one-way analysis of variance followed by Tukey's multiple comparison test. Significance of the findings was determined at a threshold of p&lt;0.05. </w:t>
      </w:r>
    </w:p>
    <w:p w14:paraId="7F95E2AF" w14:textId="77777777" w:rsidR="00136FEC" w:rsidRPr="00E629C1" w:rsidRDefault="00136FEC" w:rsidP="00136FEC">
      <w:pPr>
        <w:spacing w:after="16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Results:</w:t>
      </w:r>
    </w:p>
    <w:p w14:paraId="34264DC9" w14:textId="77777777"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kern w:val="2"/>
          <w:sz w:val="24"/>
          <w:szCs w:val="24"/>
          <w14:ligatures w14:val="standardContextual"/>
        </w:rPr>
        <w:t>In toxic group II, the total protein decreased to 6.63±0.70 from the control group value of 9.67±0.45. Notably, tested groups III and IV exhibited considerable reductions in total protein levels, measuring 6.92±0.59 and 7.42±0.68, respectively. The SOD activity (U/mg protein) and GSH activity (</w:t>
      </w:r>
      <w:proofErr w:type="spellStart"/>
      <w:r w:rsidRPr="00E629C1">
        <w:rPr>
          <w:rFonts w:ascii="Times New Roman" w:eastAsia="Calibri" w:hAnsi="Times New Roman" w:cs="Times New Roman"/>
          <w:kern w:val="2"/>
          <w:sz w:val="24"/>
          <w:szCs w:val="24"/>
          <w14:ligatures w14:val="standardContextual"/>
        </w:rPr>
        <w:t>μg</w:t>
      </w:r>
      <w:proofErr w:type="spellEnd"/>
      <w:r w:rsidRPr="00E629C1">
        <w:rPr>
          <w:rFonts w:ascii="Times New Roman" w:eastAsia="Calibri" w:hAnsi="Times New Roman" w:cs="Times New Roman"/>
          <w:kern w:val="2"/>
          <w:sz w:val="24"/>
          <w:szCs w:val="24"/>
          <w14:ligatures w14:val="standardContextual"/>
        </w:rPr>
        <w:t xml:space="preserve">/mg protein) exhibited a significant reduction (p&lt;0.01) in Group 2, which was treated with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xml:space="preserve">, compared to Group 1 (RBC). The GSH levels in RBCs treated with 50µM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xml:space="preserve"> were measured at 85.86±5.5 µg GSH/mg of protein, when compared with RBC group 114.4±8.0, while treatment with Fenugreek resulted in an increase to 131.5±9.2 µg GSH/mg of protein. Notably, Group III, treated with ascorbic acid, also displayed non-significant GSH levels at 104.7±5.09 µg GSH/mg of protein. In the control group and toxic group, SOD levels were recorded as 9.62±1.1 SOD units/mg protein and 6.9±0.7 SOD units/mg protein, respectively. However, treatment with Fenugreek significantly elevated SOD levels to 15.45</w:t>
      </w:r>
      <w:bookmarkStart w:id="0" w:name="OLE_LINK1"/>
      <w:r w:rsidRPr="00E629C1">
        <w:rPr>
          <w:rFonts w:ascii="Times New Roman" w:eastAsia="Calibri" w:hAnsi="Times New Roman" w:cs="Times New Roman"/>
          <w:kern w:val="2"/>
          <w:sz w:val="24"/>
          <w:szCs w:val="24"/>
          <w14:ligatures w14:val="standardContextual"/>
        </w:rPr>
        <w:t xml:space="preserve">±1.7 </w:t>
      </w:r>
      <w:bookmarkEnd w:id="0"/>
      <w:r w:rsidRPr="00E629C1">
        <w:rPr>
          <w:rFonts w:ascii="Times New Roman" w:eastAsia="Calibri" w:hAnsi="Times New Roman" w:cs="Times New Roman"/>
          <w:kern w:val="2"/>
          <w:sz w:val="24"/>
          <w:szCs w:val="24"/>
          <w14:ligatures w14:val="standardContextual"/>
        </w:rPr>
        <w:t xml:space="preserve">SOD units/mg protein, indicating a pronounced protective effect. The plant extract exhibited significant normalization of SOD levels, demonstrating protective properties. Interestingly, there were no substantial differences in values between Groups IV and III with a value of 16.96±1.4.  In Group 2 treated with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the TBARS activity (</w:t>
      </w:r>
      <w:proofErr w:type="spellStart"/>
      <w:r w:rsidRPr="00E629C1">
        <w:rPr>
          <w:rFonts w:ascii="Times New Roman" w:eastAsia="Calibri" w:hAnsi="Times New Roman" w:cs="Times New Roman"/>
          <w:kern w:val="2"/>
          <w:sz w:val="24"/>
          <w:szCs w:val="24"/>
          <w14:ligatures w14:val="standardContextual"/>
        </w:rPr>
        <w:t>nM</w:t>
      </w:r>
      <w:proofErr w:type="spellEnd"/>
      <w:r w:rsidRPr="00E629C1">
        <w:rPr>
          <w:rFonts w:ascii="Times New Roman" w:eastAsia="Calibri" w:hAnsi="Times New Roman" w:cs="Times New Roman"/>
          <w:kern w:val="2"/>
          <w:sz w:val="24"/>
          <w:szCs w:val="24"/>
          <w14:ligatures w14:val="standardContextual"/>
        </w:rPr>
        <w:t>/mg protein) notably increased to 613.0±4.08, exhibiting a significant surge (p&lt;0.001) compared to Group 1 (432.2±3.07) which consisted of RBCs. Conversely, treatment with Fenugreek (Group IV) and ascorbic acid (Group III) led to significant decreases in TBARS levels (p&lt;0.001 and p&lt;0.01, respectively), with values measured at 498.1±2.09 and 508.1±4.75.</w:t>
      </w:r>
    </w:p>
    <w:p w14:paraId="3C82D563" w14:textId="77777777" w:rsidR="00136FEC" w:rsidRPr="00E629C1" w:rsidRDefault="00C66D9C" w:rsidP="00136FEC">
      <w:pPr>
        <w:spacing w:after="160" w:line="259" w:lineRule="auto"/>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noProof/>
          <w:kern w:val="2"/>
          <w:sz w:val="24"/>
          <w:szCs w:val="24"/>
          <w14:ligatures w14:val="standardContextual"/>
        </w:rPr>
        <w:object w:dxaOrig="10998" w:dyaOrig="9128" w14:anchorId="27846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75pt" o:ole="">
            <v:imagedata r:id="rId7" o:title=""/>
          </v:shape>
          <o:OLEObject Type="Embed" ProgID="Prism5.Document" ShapeID="_x0000_i1025" DrawAspect="Content" ObjectID="_1822037421" r:id="rId8"/>
        </w:object>
      </w:r>
    </w:p>
    <w:p w14:paraId="024107BE" w14:textId="77777777" w:rsidR="00136FEC" w:rsidRPr="00E629C1" w:rsidRDefault="00136FEC" w:rsidP="00136FEC">
      <w:pPr>
        <w:spacing w:after="160" w:line="259" w:lineRule="auto"/>
        <w:jc w:val="both"/>
        <w:rPr>
          <w:rFonts w:ascii="Times New Roman" w:eastAsia="Calibri" w:hAnsi="Times New Roman" w:cs="Times New Roman"/>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Figure:</w:t>
      </w:r>
      <w:r>
        <w:rPr>
          <w:rFonts w:ascii="Times New Roman" w:eastAsia="Calibri" w:hAnsi="Times New Roman" w:cs="Times New Roman"/>
          <w:b/>
          <w:bCs/>
          <w:kern w:val="2"/>
          <w:sz w:val="24"/>
          <w:szCs w:val="24"/>
          <w14:ligatures w14:val="standardContextual"/>
        </w:rPr>
        <w:t xml:space="preserve"> </w:t>
      </w:r>
      <w:r w:rsidRPr="00E629C1">
        <w:rPr>
          <w:rFonts w:ascii="Times New Roman" w:eastAsia="Calibri" w:hAnsi="Times New Roman" w:cs="Times New Roman"/>
          <w:b/>
          <w:bCs/>
          <w:kern w:val="2"/>
          <w:sz w:val="24"/>
          <w:szCs w:val="24"/>
          <w14:ligatures w14:val="standardContextual"/>
        </w:rPr>
        <w:t xml:space="preserve">2 </w:t>
      </w:r>
      <w:r w:rsidRPr="00E629C1">
        <w:rPr>
          <w:rFonts w:ascii="Times New Roman" w:eastAsia="Calibri" w:hAnsi="Times New Roman" w:cs="Times New Roman"/>
          <w:kern w:val="2"/>
          <w:sz w:val="24"/>
          <w:szCs w:val="24"/>
          <w14:ligatures w14:val="standardContextual"/>
        </w:rPr>
        <w:t xml:space="preserve">Graphical </w:t>
      </w:r>
      <w:proofErr w:type="gramStart"/>
      <w:r w:rsidRPr="00E629C1">
        <w:rPr>
          <w:rFonts w:ascii="Times New Roman" w:eastAsia="Calibri" w:hAnsi="Times New Roman" w:cs="Times New Roman"/>
          <w:kern w:val="2"/>
          <w:sz w:val="24"/>
          <w:szCs w:val="24"/>
          <w14:ligatures w14:val="standardContextual"/>
        </w:rPr>
        <w:t>representation</w:t>
      </w:r>
      <w:proofErr w:type="gramEnd"/>
      <w:r w:rsidRPr="00E629C1">
        <w:rPr>
          <w:rFonts w:ascii="Times New Roman" w:eastAsia="Calibri" w:hAnsi="Times New Roman" w:cs="Times New Roman"/>
          <w:kern w:val="2"/>
          <w:sz w:val="24"/>
          <w:szCs w:val="24"/>
          <w14:ligatures w14:val="standardContextual"/>
        </w:rPr>
        <w:t xml:space="preserve"> of Total protein, SOD, GSH and MDA.</w:t>
      </w:r>
    </w:p>
    <w:p w14:paraId="13D2B029" w14:textId="77777777" w:rsidR="00136FEC" w:rsidRPr="00E629C1" w:rsidRDefault="00136FEC" w:rsidP="00136FEC">
      <w:pPr>
        <w:spacing w:after="16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Discussion</w:t>
      </w:r>
    </w:p>
    <w:p w14:paraId="14BCC7DA" w14:textId="21AEF57C"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AA1E36">
        <w:rPr>
          <w:rFonts w:ascii="Times New Roman" w:eastAsia="Calibri" w:hAnsi="Times New Roman" w:cs="Times New Roman"/>
          <w:kern w:val="2"/>
          <w:sz w:val="24"/>
          <w:szCs w:val="24"/>
          <w14:ligatures w14:val="standardContextual"/>
        </w:rPr>
        <w:t>Flavonoids and phenolic compounds, found in various parts of plants, act as natural antioxidants by scavenging free radicals. Their antioxidant properties stem from their reducing power and metal-chelating abilities. The concentration of these compounds is influenced by environmental conditions, genetic factors, and seasonal changes. Diets rich in flavonoid-containing plant foods are associated with a reduced risk of chronic diseases such as coronary heart disease and dementia</w:t>
      </w:r>
      <w:r w:rsidR="00645E77">
        <w:rPr>
          <w:rFonts w:ascii="Times New Roman" w:eastAsia="Calibri" w:hAnsi="Times New Roman" w:cs="Times New Roman"/>
          <w:kern w:val="2"/>
          <w:sz w:val="24"/>
          <w:szCs w:val="24"/>
          <w14:ligatures w14:val="standardContextual"/>
        </w:rPr>
        <w:t xml:space="preserve"> (Fang et al., 2013)</w:t>
      </w:r>
      <w:r w:rsidRPr="00E629C1">
        <w:rPr>
          <w:rFonts w:ascii="Times New Roman" w:eastAsia="Calibri" w:hAnsi="Times New Roman" w:cs="Times New Roman"/>
          <w:kern w:val="2"/>
          <w:sz w:val="24"/>
          <w:szCs w:val="24"/>
          <w14:ligatures w14:val="standardContextual"/>
        </w:rPr>
        <w:t>.</w:t>
      </w:r>
      <w:r w:rsidRPr="00AA1E36">
        <w:rPr>
          <w:rFonts w:ascii="Times New Roman" w:eastAsia="Calibri" w:hAnsi="Times New Roman" w:cs="Times New Roman"/>
          <w:kern w:val="2"/>
          <w:sz w:val="24"/>
          <w:szCs w:val="24"/>
          <w14:ligatures w14:val="standardContextual"/>
        </w:rPr>
        <w:t xml:space="preserve"> Oxidative stress, as noted in various studies, arises from an imbalance between the production of reactive oxygen species (ROS) and the body’s antioxidant </w:t>
      </w:r>
      <w:proofErr w:type="spellStart"/>
      <w:r w:rsidRPr="00AA1E36">
        <w:rPr>
          <w:rFonts w:ascii="Times New Roman" w:eastAsia="Calibri" w:hAnsi="Times New Roman" w:cs="Times New Roman"/>
          <w:kern w:val="2"/>
          <w:sz w:val="24"/>
          <w:szCs w:val="24"/>
          <w14:ligatures w14:val="standardContextual"/>
        </w:rPr>
        <w:t>defenses</w:t>
      </w:r>
      <w:proofErr w:type="spellEnd"/>
      <w:r w:rsidRPr="00AA1E36">
        <w:rPr>
          <w:rFonts w:ascii="Times New Roman" w:eastAsia="Calibri" w:hAnsi="Times New Roman" w:cs="Times New Roman"/>
          <w:kern w:val="2"/>
          <w:sz w:val="24"/>
          <w:szCs w:val="24"/>
          <w14:ligatures w14:val="standardContextual"/>
        </w:rPr>
        <w:t xml:space="preserve">. This disruption in redox balance </w:t>
      </w:r>
      <w:proofErr w:type="spellStart"/>
      <w:r w:rsidRPr="00AA1E36">
        <w:rPr>
          <w:rFonts w:ascii="Times New Roman" w:eastAsia="Calibri" w:hAnsi="Times New Roman" w:cs="Times New Roman"/>
          <w:kern w:val="2"/>
          <w:sz w:val="24"/>
          <w:szCs w:val="24"/>
          <w14:ligatures w14:val="standardContextual"/>
        </w:rPr>
        <w:t>favors</w:t>
      </w:r>
      <w:proofErr w:type="spellEnd"/>
      <w:r w:rsidRPr="00AA1E36">
        <w:rPr>
          <w:rFonts w:ascii="Times New Roman" w:eastAsia="Calibri" w:hAnsi="Times New Roman" w:cs="Times New Roman"/>
          <w:kern w:val="2"/>
          <w:sz w:val="24"/>
          <w:szCs w:val="24"/>
          <w14:ligatures w14:val="standardContextual"/>
        </w:rPr>
        <w:t xml:space="preserve"> pro-oxidants, potentially leading to cellular damage</w:t>
      </w:r>
      <w:r w:rsidR="00645E77">
        <w:rPr>
          <w:rFonts w:ascii="Times New Roman" w:eastAsia="Calibri" w:hAnsi="Times New Roman" w:cs="Times New Roman"/>
          <w:kern w:val="2"/>
          <w:sz w:val="24"/>
          <w:szCs w:val="24"/>
          <w14:ligatures w14:val="standardContextual"/>
        </w:rPr>
        <w:t xml:space="preserve"> (Kapoor et al., 2019)</w:t>
      </w:r>
      <w:r w:rsidRPr="00E629C1">
        <w:rPr>
          <w:rFonts w:ascii="Times New Roman" w:eastAsia="Calibri" w:hAnsi="Times New Roman" w:cs="Times New Roman"/>
          <w:kern w:val="2"/>
          <w:sz w:val="24"/>
          <w:szCs w:val="24"/>
          <w14:ligatures w14:val="standardContextual"/>
        </w:rPr>
        <w:t xml:space="preserve">. </w:t>
      </w:r>
      <w:r w:rsidRPr="00AA1E36">
        <w:rPr>
          <w:rFonts w:ascii="Times New Roman" w:eastAsia="Calibri" w:hAnsi="Times New Roman" w:cs="Times New Roman"/>
          <w:kern w:val="2"/>
          <w:sz w:val="24"/>
          <w:szCs w:val="24"/>
          <w14:ligatures w14:val="standardContextual"/>
        </w:rPr>
        <w:t>The deliberate induction of oxidative stress in red blood cells (RBCs) using sodium fluoride (</w:t>
      </w:r>
      <w:proofErr w:type="spellStart"/>
      <w:r w:rsidRPr="00AA1E36">
        <w:rPr>
          <w:rFonts w:ascii="Times New Roman" w:eastAsia="Calibri" w:hAnsi="Times New Roman" w:cs="Times New Roman"/>
          <w:kern w:val="2"/>
          <w:sz w:val="24"/>
          <w:szCs w:val="24"/>
          <w14:ligatures w14:val="standardContextual"/>
        </w:rPr>
        <w:t>NaF</w:t>
      </w:r>
      <w:proofErr w:type="spellEnd"/>
      <w:r w:rsidRPr="00AA1E36">
        <w:rPr>
          <w:rFonts w:ascii="Times New Roman" w:eastAsia="Calibri" w:hAnsi="Times New Roman" w:cs="Times New Roman"/>
          <w:kern w:val="2"/>
          <w:sz w:val="24"/>
          <w:szCs w:val="24"/>
          <w14:ligatures w14:val="standardContextual"/>
        </w:rPr>
        <w:t xml:space="preserve">) as a stressor provided valuable insights into cellular responses to elevated reactive oxygen species (ROS). This study successfully replicated the established oxidative stress model in RBCs, highlighting the cellular dynamics influenced by </w:t>
      </w:r>
      <w:proofErr w:type="spellStart"/>
      <w:r w:rsidRPr="00AA1E36">
        <w:rPr>
          <w:rFonts w:ascii="Times New Roman" w:eastAsia="Calibri" w:hAnsi="Times New Roman" w:cs="Times New Roman"/>
          <w:kern w:val="2"/>
          <w:sz w:val="24"/>
          <w:szCs w:val="24"/>
          <w14:ligatures w14:val="standardContextual"/>
        </w:rPr>
        <w:t>NaF</w:t>
      </w:r>
      <w:proofErr w:type="spellEnd"/>
      <w:r w:rsidRPr="00AA1E36">
        <w:rPr>
          <w:rFonts w:ascii="Times New Roman" w:eastAsia="Calibri" w:hAnsi="Times New Roman" w:cs="Times New Roman"/>
          <w:kern w:val="2"/>
          <w:sz w:val="24"/>
          <w:szCs w:val="24"/>
          <w14:ligatures w14:val="standardContextual"/>
        </w:rPr>
        <w:t xml:space="preserve">-induced ROS </w:t>
      </w:r>
      <w:proofErr w:type="gramStart"/>
      <w:r w:rsidRPr="00AA1E36">
        <w:rPr>
          <w:rFonts w:ascii="Times New Roman" w:eastAsia="Calibri" w:hAnsi="Times New Roman" w:cs="Times New Roman"/>
          <w:kern w:val="2"/>
          <w:sz w:val="24"/>
          <w:szCs w:val="24"/>
          <w14:ligatures w14:val="standardContextual"/>
        </w:rPr>
        <w:t>generation</w:t>
      </w:r>
      <w:r w:rsidR="00645E77">
        <w:rPr>
          <w:rFonts w:ascii="Times New Roman" w:eastAsia="Calibri" w:hAnsi="Times New Roman" w:cs="Times New Roman"/>
          <w:kern w:val="2"/>
          <w:sz w:val="24"/>
          <w:szCs w:val="24"/>
          <w14:ligatures w14:val="standardContextual"/>
        </w:rPr>
        <w:t xml:space="preserve"> </w:t>
      </w:r>
      <w:r w:rsidR="001C6BFF">
        <w:rPr>
          <w:rFonts w:ascii="Times New Roman" w:eastAsia="Calibri" w:hAnsi="Times New Roman" w:cs="Times New Roman"/>
          <w:kern w:val="2"/>
          <w:sz w:val="24"/>
          <w:szCs w:val="24"/>
          <w14:ligatures w14:val="standardContextual"/>
        </w:rPr>
        <w:t xml:space="preserve"> (</w:t>
      </w:r>
      <w:proofErr w:type="gramEnd"/>
      <w:r w:rsidR="001C6BFF" w:rsidRPr="001C6BFF">
        <w:rPr>
          <w:rFonts w:ascii="Times New Roman" w:eastAsia="Calibri" w:hAnsi="Times New Roman" w:cs="Times New Roman"/>
          <w:kern w:val="2"/>
          <w:sz w:val="24"/>
          <w:szCs w:val="24"/>
          <w14:ligatures w14:val="standardContextual"/>
        </w:rPr>
        <w:t>Al-</w:t>
      </w:r>
      <w:proofErr w:type="spellStart"/>
      <w:proofErr w:type="gramStart"/>
      <w:r w:rsidR="001C6BFF" w:rsidRPr="001C6BFF">
        <w:rPr>
          <w:rFonts w:ascii="Times New Roman" w:eastAsia="Calibri" w:hAnsi="Times New Roman" w:cs="Times New Roman"/>
          <w:kern w:val="2"/>
          <w:sz w:val="24"/>
          <w:szCs w:val="24"/>
          <w14:ligatures w14:val="standardContextual"/>
        </w:rPr>
        <w:t>safei</w:t>
      </w:r>
      <w:proofErr w:type="spellEnd"/>
      <w:r w:rsidR="001C6BFF">
        <w:rPr>
          <w:rFonts w:ascii="Times New Roman" w:eastAsia="Calibri" w:hAnsi="Times New Roman" w:cs="Times New Roman"/>
          <w:kern w:val="2"/>
          <w:sz w:val="24"/>
          <w:szCs w:val="24"/>
          <w14:ligatures w14:val="standardContextual"/>
        </w:rPr>
        <w:t xml:space="preserve"> </w:t>
      </w:r>
      <w:r w:rsidR="001C6BFF" w:rsidRPr="001C6BFF">
        <w:rPr>
          <w:rFonts w:ascii="Times New Roman" w:eastAsia="Calibri" w:hAnsi="Times New Roman" w:cs="Times New Roman"/>
          <w:kern w:val="2"/>
          <w:sz w:val="24"/>
          <w:szCs w:val="24"/>
          <w14:ligatures w14:val="standardContextual"/>
        </w:rPr>
        <w:t xml:space="preserve"> and</w:t>
      </w:r>
      <w:proofErr w:type="gramEnd"/>
      <w:r w:rsidR="001C6BFF" w:rsidRPr="001C6BFF">
        <w:rPr>
          <w:rFonts w:ascii="Times New Roman" w:eastAsia="Calibri" w:hAnsi="Times New Roman" w:cs="Times New Roman"/>
          <w:kern w:val="2"/>
          <w:sz w:val="24"/>
          <w:szCs w:val="24"/>
          <w14:ligatures w14:val="standardContextual"/>
        </w:rPr>
        <w:t xml:space="preserve"> Al-</w:t>
      </w:r>
      <w:proofErr w:type="spellStart"/>
      <w:r w:rsidR="001C6BFF" w:rsidRPr="001C6BFF">
        <w:rPr>
          <w:rFonts w:ascii="Times New Roman" w:eastAsia="Calibri" w:hAnsi="Times New Roman" w:cs="Times New Roman"/>
          <w:kern w:val="2"/>
          <w:sz w:val="24"/>
          <w:szCs w:val="24"/>
          <w14:ligatures w14:val="standardContextual"/>
        </w:rPr>
        <w:t>Mashhadane</w:t>
      </w:r>
      <w:proofErr w:type="spellEnd"/>
      <w:r w:rsidR="001C6BFF" w:rsidRPr="001C6BFF">
        <w:rPr>
          <w:rFonts w:ascii="Times New Roman" w:eastAsia="Calibri" w:hAnsi="Times New Roman" w:cs="Times New Roman"/>
          <w:kern w:val="2"/>
          <w:sz w:val="24"/>
          <w:szCs w:val="24"/>
          <w14:ligatures w14:val="standardContextual"/>
        </w:rPr>
        <w:t>, 2021</w:t>
      </w:r>
      <w:proofErr w:type="gramStart"/>
      <w:r w:rsidR="001C6BFF">
        <w:rPr>
          <w:rFonts w:ascii="Times New Roman" w:eastAsia="Calibri" w:hAnsi="Times New Roman" w:cs="Times New Roman"/>
          <w:kern w:val="2"/>
          <w:sz w:val="24"/>
          <w:szCs w:val="24"/>
          <w14:ligatures w14:val="standardContextual"/>
        </w:rPr>
        <w:t>)</w:t>
      </w:r>
      <w:r w:rsidRPr="00E629C1">
        <w:rPr>
          <w:rFonts w:ascii="Times New Roman" w:eastAsia="Calibri" w:hAnsi="Times New Roman" w:cs="Times New Roman"/>
          <w:kern w:val="2"/>
          <w:sz w:val="24"/>
          <w:szCs w:val="24"/>
          <w14:ligatures w14:val="standardContextual"/>
        </w:rPr>
        <w:t>.Upon</w:t>
      </w:r>
      <w:proofErr w:type="gramEnd"/>
      <w:r w:rsidRPr="00E629C1">
        <w:rPr>
          <w:rFonts w:ascii="Times New Roman" w:eastAsia="Calibri" w:hAnsi="Times New Roman" w:cs="Times New Roman"/>
          <w:kern w:val="2"/>
          <w:sz w:val="24"/>
          <w:szCs w:val="24"/>
          <w14:ligatures w14:val="standardContextual"/>
        </w:rPr>
        <w:t xml:space="preserve"> utilizing </w:t>
      </w:r>
      <w:proofErr w:type="spellStart"/>
      <w:r w:rsidRPr="00E629C1">
        <w:rPr>
          <w:rFonts w:ascii="Times New Roman" w:eastAsia="Calibri" w:hAnsi="Times New Roman" w:cs="Times New Roman"/>
          <w:kern w:val="2"/>
          <w:sz w:val="24"/>
          <w:szCs w:val="24"/>
          <w14:ligatures w14:val="standardContextual"/>
        </w:rPr>
        <w:t>NaF</w:t>
      </w:r>
      <w:proofErr w:type="spellEnd"/>
      <w:r w:rsidRPr="00E629C1">
        <w:rPr>
          <w:rFonts w:ascii="Times New Roman" w:eastAsia="Calibri" w:hAnsi="Times New Roman" w:cs="Times New Roman"/>
          <w:kern w:val="2"/>
          <w:sz w:val="24"/>
          <w:szCs w:val="24"/>
          <w14:ligatures w14:val="standardContextual"/>
        </w:rPr>
        <w:t xml:space="preserve"> as an inducer of oxidative stress, a sequential series of cellular processes indicative of oxidative harm unfolded. </w:t>
      </w:r>
      <w:r w:rsidRPr="00AA1E36">
        <w:rPr>
          <w:rFonts w:ascii="Times New Roman" w:eastAsia="Calibri" w:hAnsi="Times New Roman" w:cs="Times New Roman"/>
          <w:kern w:val="2"/>
          <w:sz w:val="24"/>
          <w:szCs w:val="24"/>
          <w14:ligatures w14:val="standardContextual"/>
        </w:rPr>
        <w:t>The marked increase in reactive oxygen species (ROS) within RBCs confirmed sodium fluoride’s (</w:t>
      </w:r>
      <w:proofErr w:type="spellStart"/>
      <w:r w:rsidRPr="00AA1E36">
        <w:rPr>
          <w:rFonts w:ascii="Times New Roman" w:eastAsia="Calibri" w:hAnsi="Times New Roman" w:cs="Times New Roman"/>
          <w:kern w:val="2"/>
          <w:sz w:val="24"/>
          <w:szCs w:val="24"/>
          <w14:ligatures w14:val="standardContextual"/>
        </w:rPr>
        <w:t>NaF</w:t>
      </w:r>
      <w:proofErr w:type="spellEnd"/>
      <w:r w:rsidRPr="00AA1E36">
        <w:rPr>
          <w:rFonts w:ascii="Times New Roman" w:eastAsia="Calibri" w:hAnsi="Times New Roman" w:cs="Times New Roman"/>
          <w:kern w:val="2"/>
          <w:sz w:val="24"/>
          <w:szCs w:val="24"/>
          <w14:ligatures w14:val="standardContextual"/>
        </w:rPr>
        <w:t>) capacity to induce free radical generation and highlighted the extent of its oxidative impact.</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Following the buildup of ROS, lipid peroxidation </w:t>
      </w:r>
      <w:r w:rsidRPr="001D0472">
        <w:rPr>
          <w:rFonts w:ascii="Times New Roman" w:eastAsia="Calibri" w:hAnsi="Times New Roman" w:cs="Times New Roman"/>
          <w:kern w:val="2"/>
          <w:sz w:val="24"/>
          <w:szCs w:val="24"/>
          <w14:ligatures w14:val="standardContextual"/>
        </w:rPr>
        <w:lastRenderedPageBreak/>
        <w:t>of the RBC membrane was observed, underscoring the damaging potential of ROS accumulation</w:t>
      </w:r>
      <w:r>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an effect well-documented in existing scientific literature</w:t>
      </w:r>
      <w:r w:rsidR="001C6BFF">
        <w:rPr>
          <w:rFonts w:ascii="Times New Roman" w:eastAsia="Calibri" w:hAnsi="Times New Roman" w:cs="Times New Roman"/>
          <w:kern w:val="2"/>
          <w:sz w:val="24"/>
          <w:szCs w:val="24"/>
          <w14:ligatures w14:val="standardContextual"/>
        </w:rPr>
        <w:t xml:space="preserve"> (</w:t>
      </w:r>
      <w:proofErr w:type="spellStart"/>
      <w:r w:rsidR="001C6BFF">
        <w:rPr>
          <w:rFonts w:ascii="Times New Roman" w:eastAsia="Calibri" w:hAnsi="Times New Roman" w:cs="Times New Roman"/>
          <w:kern w:val="2"/>
          <w:sz w:val="24"/>
          <w:szCs w:val="24"/>
          <w14:ligatures w14:val="standardContextual"/>
        </w:rPr>
        <w:t>Calari</w:t>
      </w:r>
      <w:proofErr w:type="spellEnd"/>
      <w:r w:rsidR="001C6BFF">
        <w:rPr>
          <w:rFonts w:ascii="Times New Roman" w:eastAsia="Calibri" w:hAnsi="Times New Roman" w:cs="Times New Roman"/>
          <w:kern w:val="2"/>
          <w:sz w:val="24"/>
          <w:szCs w:val="24"/>
          <w14:ligatures w14:val="standardContextual"/>
        </w:rPr>
        <w:t xml:space="preserve"> et al., 2021)</w:t>
      </w:r>
    </w:p>
    <w:p w14:paraId="294BAE18" w14:textId="6BA3F46F"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1D0472">
        <w:rPr>
          <w:rFonts w:ascii="Times New Roman" w:eastAsia="Calibri" w:hAnsi="Times New Roman" w:cs="Times New Roman"/>
          <w:kern w:val="2"/>
          <w:sz w:val="24"/>
          <w:szCs w:val="24"/>
          <w14:ligatures w14:val="standardContextual"/>
        </w:rPr>
        <w:t>Ultimately, the degradation of lipids leading to malondialdehyde (MDA) formation serves as a definitive indicator of increased lipid peroxidation</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This aligns with the observed decline in intracellular glutathione levels and the subsequent reduction in superoxide dismutase (SOD) activity during the period of oxidative stress</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An elevated level of malondialdehyde (MDA) serves as a reliable biomarker of oxidative stress. In this study, the </w:t>
      </w:r>
      <w:proofErr w:type="spellStart"/>
      <w:r w:rsidRPr="001D0472">
        <w:rPr>
          <w:rFonts w:ascii="Times New Roman" w:eastAsia="Calibri" w:hAnsi="Times New Roman" w:cs="Times New Roman"/>
          <w:kern w:val="2"/>
          <w:sz w:val="24"/>
          <w:szCs w:val="24"/>
          <w14:ligatures w14:val="standardContextual"/>
        </w:rPr>
        <w:t>NaF</w:t>
      </w:r>
      <w:proofErr w:type="spellEnd"/>
      <w:r w:rsidRPr="001D0472">
        <w:rPr>
          <w:rFonts w:ascii="Times New Roman" w:eastAsia="Calibri" w:hAnsi="Times New Roman" w:cs="Times New Roman"/>
          <w:kern w:val="2"/>
          <w:sz w:val="24"/>
          <w:szCs w:val="24"/>
          <w14:ligatures w14:val="standardContextual"/>
        </w:rPr>
        <w:t>-treated group exhibited a significant increase in MDA levels, while notable reductions were observed in the groups treated with ascorbic acid and fenugreek</w:t>
      </w:r>
      <w:r w:rsidRPr="00E629C1">
        <w:rPr>
          <w:rFonts w:ascii="Times New Roman" w:eastAsia="Calibri" w:hAnsi="Times New Roman" w:cs="Times New Roman"/>
          <w:kern w:val="2"/>
          <w:sz w:val="24"/>
          <w:szCs w:val="24"/>
          <w14:ligatures w14:val="standardContextual"/>
        </w:rPr>
        <w:t xml:space="preserve"> </w:t>
      </w:r>
      <w:r w:rsidR="001C6BFF">
        <w:rPr>
          <w:rFonts w:ascii="Times New Roman" w:eastAsia="Calibri" w:hAnsi="Times New Roman" w:cs="Times New Roman"/>
          <w:kern w:val="2"/>
          <w:sz w:val="24"/>
          <w:szCs w:val="24"/>
          <w14:ligatures w14:val="standardContextual"/>
        </w:rPr>
        <w:t>(</w:t>
      </w:r>
      <w:proofErr w:type="spellStart"/>
      <w:r w:rsidR="001C6BFF" w:rsidRPr="001C6BFF">
        <w:rPr>
          <w:rFonts w:ascii="Times New Roman" w:eastAsia="Calibri" w:hAnsi="Times New Roman" w:cs="Times New Roman"/>
          <w:kern w:val="2"/>
          <w:sz w:val="24"/>
          <w:szCs w:val="24"/>
          <w14:ligatures w14:val="standardContextual"/>
        </w:rPr>
        <w:t>Tsikas</w:t>
      </w:r>
      <w:proofErr w:type="spellEnd"/>
      <w:r w:rsidR="001C6BFF" w:rsidRPr="001C6BFF">
        <w:rPr>
          <w:rFonts w:ascii="Times New Roman" w:eastAsia="Calibri" w:hAnsi="Times New Roman" w:cs="Times New Roman"/>
          <w:kern w:val="2"/>
          <w:sz w:val="24"/>
          <w:szCs w:val="24"/>
          <w14:ligatures w14:val="standardContextual"/>
        </w:rPr>
        <w:t xml:space="preserve"> and </w:t>
      </w:r>
      <w:proofErr w:type="spellStart"/>
      <w:r w:rsidR="001C6BFF" w:rsidRPr="001C6BFF">
        <w:rPr>
          <w:rFonts w:ascii="Times New Roman" w:eastAsia="Calibri" w:hAnsi="Times New Roman" w:cs="Times New Roman"/>
          <w:kern w:val="2"/>
          <w:sz w:val="24"/>
          <w:szCs w:val="24"/>
          <w14:ligatures w14:val="standardContextual"/>
        </w:rPr>
        <w:t>Mikuteit</w:t>
      </w:r>
      <w:proofErr w:type="spellEnd"/>
      <w:r w:rsidR="001C6BFF" w:rsidRPr="001C6BFF">
        <w:rPr>
          <w:rFonts w:ascii="Times New Roman" w:eastAsia="Calibri" w:hAnsi="Times New Roman" w:cs="Times New Roman"/>
          <w:kern w:val="2"/>
          <w:sz w:val="24"/>
          <w:szCs w:val="24"/>
          <w14:ligatures w14:val="standardContextual"/>
        </w:rPr>
        <w:t>, 2022</w:t>
      </w:r>
      <w:r w:rsidR="001C6BFF">
        <w:rPr>
          <w:rFonts w:ascii="Times New Roman" w:eastAsia="Calibri" w:hAnsi="Times New Roman" w:cs="Times New Roman"/>
          <w:kern w:val="2"/>
          <w:sz w:val="24"/>
          <w:szCs w:val="24"/>
          <w14:ligatures w14:val="standardContextual"/>
        </w:rPr>
        <w:t>)</w:t>
      </w:r>
      <w:r w:rsidRPr="00E629C1">
        <w:rPr>
          <w:rFonts w:ascii="Times New Roman" w:eastAsia="Calibri" w:hAnsi="Times New Roman" w:cs="Times New Roman"/>
          <w:kern w:val="2"/>
          <w:sz w:val="24"/>
          <w:szCs w:val="24"/>
          <w14:ligatures w14:val="standardContextual"/>
        </w:rPr>
        <w:t>.</w:t>
      </w:r>
    </w:p>
    <w:p w14:paraId="7C0F2877" w14:textId="0CF18956" w:rsidR="00136FEC" w:rsidRPr="00E629C1" w:rsidRDefault="00136FEC" w:rsidP="00136FEC">
      <w:pPr>
        <w:spacing w:after="160" w:line="259" w:lineRule="auto"/>
        <w:ind w:firstLine="720"/>
        <w:jc w:val="both"/>
        <w:rPr>
          <w:rFonts w:ascii="Times New Roman" w:eastAsia="Calibri" w:hAnsi="Times New Roman" w:cs="Times New Roman"/>
          <w:kern w:val="2"/>
          <w:sz w:val="24"/>
          <w:szCs w:val="24"/>
          <w14:ligatures w14:val="standardContextual"/>
        </w:rPr>
      </w:pPr>
      <w:r w:rsidRPr="001D0472">
        <w:rPr>
          <w:rFonts w:ascii="Times New Roman" w:eastAsia="Calibri" w:hAnsi="Times New Roman" w:cs="Times New Roman"/>
          <w:kern w:val="2"/>
          <w:sz w:val="24"/>
          <w:szCs w:val="24"/>
          <w14:ligatures w14:val="standardContextual"/>
        </w:rPr>
        <w:t xml:space="preserve">In response to the oxidative challenge induced by </w:t>
      </w:r>
      <w:proofErr w:type="spellStart"/>
      <w:r w:rsidRPr="001D0472">
        <w:rPr>
          <w:rFonts w:ascii="Times New Roman" w:eastAsia="Calibri" w:hAnsi="Times New Roman" w:cs="Times New Roman"/>
          <w:kern w:val="2"/>
          <w:sz w:val="24"/>
          <w:szCs w:val="24"/>
          <w14:ligatures w14:val="standardContextual"/>
        </w:rPr>
        <w:t>NaF</w:t>
      </w:r>
      <w:proofErr w:type="spellEnd"/>
      <w:r w:rsidRPr="001D0472">
        <w:rPr>
          <w:rFonts w:ascii="Times New Roman" w:eastAsia="Calibri" w:hAnsi="Times New Roman" w:cs="Times New Roman"/>
          <w:kern w:val="2"/>
          <w:sz w:val="24"/>
          <w:szCs w:val="24"/>
          <w14:ligatures w14:val="standardContextual"/>
        </w:rPr>
        <w:t xml:space="preserve">, red blood cells (RBCs) demonstrated an upregulation of their intrinsic antioxidant </w:t>
      </w:r>
      <w:proofErr w:type="spellStart"/>
      <w:r w:rsidRPr="001D0472">
        <w:rPr>
          <w:rFonts w:ascii="Times New Roman" w:eastAsia="Calibri" w:hAnsi="Times New Roman" w:cs="Times New Roman"/>
          <w:kern w:val="2"/>
          <w:sz w:val="24"/>
          <w:szCs w:val="24"/>
          <w14:ligatures w14:val="standardContextual"/>
        </w:rPr>
        <w:t>defense</w:t>
      </w:r>
      <w:proofErr w:type="spellEnd"/>
      <w:r w:rsidRPr="001D0472">
        <w:rPr>
          <w:rFonts w:ascii="Times New Roman" w:eastAsia="Calibri" w:hAnsi="Times New Roman" w:cs="Times New Roman"/>
          <w:kern w:val="2"/>
          <w:sz w:val="24"/>
          <w:szCs w:val="24"/>
          <w14:ligatures w14:val="standardContextual"/>
        </w:rPr>
        <w:t xml:space="preserve"> mechanisms. Key enzymes such as superoxide dismutase (SOD) and glutathione peroxidase showed increased activity, contributing to the effective scavenging of reactive oxygen species (ROS). This adaptive response reflects the cellular strategy to mitigate oxidative damage</w:t>
      </w:r>
      <w:r w:rsidR="001C6BFF">
        <w:rPr>
          <w:rFonts w:ascii="Times New Roman" w:eastAsia="Calibri" w:hAnsi="Times New Roman" w:cs="Times New Roman"/>
          <w:kern w:val="2"/>
          <w:sz w:val="24"/>
          <w:szCs w:val="24"/>
          <w14:ligatures w14:val="standardContextual"/>
        </w:rPr>
        <w:t xml:space="preserve"> (</w:t>
      </w:r>
      <w:proofErr w:type="gramStart"/>
      <w:r w:rsidR="00F330C7" w:rsidRPr="00F330C7">
        <w:rPr>
          <w:rFonts w:ascii="Times New Roman" w:eastAsia="Calibri" w:hAnsi="Times New Roman" w:cs="Times New Roman"/>
          <w:kern w:val="2"/>
          <w:sz w:val="24"/>
          <w:szCs w:val="24"/>
          <w14:ligatures w14:val="standardContextual"/>
        </w:rPr>
        <w:t>Prasad</w:t>
      </w:r>
      <w:r w:rsidR="00F330C7">
        <w:rPr>
          <w:rFonts w:ascii="Times New Roman" w:eastAsia="Calibri" w:hAnsi="Times New Roman" w:cs="Times New Roman"/>
          <w:kern w:val="2"/>
          <w:sz w:val="24"/>
          <w:szCs w:val="24"/>
          <w14:ligatures w14:val="standardContextual"/>
        </w:rPr>
        <w:t xml:space="preserve"> </w:t>
      </w:r>
      <w:r w:rsidR="00F330C7" w:rsidRPr="00F330C7">
        <w:rPr>
          <w:rFonts w:ascii="Times New Roman" w:eastAsia="Calibri" w:hAnsi="Times New Roman" w:cs="Times New Roman"/>
          <w:kern w:val="2"/>
          <w:sz w:val="24"/>
          <w:szCs w:val="24"/>
          <w14:ligatures w14:val="standardContextual"/>
        </w:rPr>
        <w:t xml:space="preserve"> and</w:t>
      </w:r>
      <w:proofErr w:type="gramEnd"/>
      <w:r w:rsidR="00F330C7" w:rsidRPr="00F330C7">
        <w:rPr>
          <w:rFonts w:ascii="Times New Roman" w:eastAsia="Calibri" w:hAnsi="Times New Roman" w:cs="Times New Roman"/>
          <w:kern w:val="2"/>
          <w:sz w:val="24"/>
          <w:szCs w:val="24"/>
          <w14:ligatures w14:val="standardContextual"/>
        </w:rPr>
        <w:t xml:space="preserve"> Prasad., 2019</w:t>
      </w:r>
      <w:r w:rsidR="00F330C7">
        <w:rPr>
          <w:rFonts w:ascii="Times New Roman" w:eastAsia="Calibri" w:hAnsi="Times New Roman" w:cs="Times New Roman"/>
          <w:kern w:val="2"/>
          <w:sz w:val="24"/>
          <w:szCs w:val="24"/>
          <w14:ligatures w14:val="standardContextual"/>
        </w:rPr>
        <w:t>)</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It is crucial to maintain a delicate balance between reactive oxygen species (ROS) production and the activation of antioxidant </w:t>
      </w:r>
      <w:proofErr w:type="spellStart"/>
      <w:r w:rsidRPr="001D0472">
        <w:rPr>
          <w:rFonts w:ascii="Times New Roman" w:eastAsia="Calibri" w:hAnsi="Times New Roman" w:cs="Times New Roman"/>
          <w:kern w:val="2"/>
          <w:sz w:val="24"/>
          <w:szCs w:val="24"/>
          <w14:ligatures w14:val="standardContextual"/>
        </w:rPr>
        <w:t>defense</w:t>
      </w:r>
      <w:proofErr w:type="spellEnd"/>
      <w:r w:rsidRPr="001D0472">
        <w:rPr>
          <w:rFonts w:ascii="Times New Roman" w:eastAsia="Calibri" w:hAnsi="Times New Roman" w:cs="Times New Roman"/>
          <w:kern w:val="2"/>
          <w:sz w:val="24"/>
          <w:szCs w:val="24"/>
          <w14:ligatures w14:val="standardContextual"/>
        </w:rPr>
        <w:t xml:space="preserve"> mechanisms. This equilibrium is essential to prevent the antioxidant system from becoming overwhelmed, which could lead to detrimental cellular effects. The extract is notably rich in antioxidant enzymes, particularly glutathione (GSH), a key molecule in neutralizing free radicals and preserving cellular integrity. As a central component of the cellular antioxidant </w:t>
      </w:r>
      <w:proofErr w:type="spellStart"/>
      <w:r w:rsidRPr="001D0472">
        <w:rPr>
          <w:rFonts w:ascii="Times New Roman" w:eastAsia="Calibri" w:hAnsi="Times New Roman" w:cs="Times New Roman"/>
          <w:kern w:val="2"/>
          <w:sz w:val="24"/>
          <w:szCs w:val="24"/>
          <w14:ligatures w14:val="standardContextual"/>
        </w:rPr>
        <w:t>defense</w:t>
      </w:r>
      <w:proofErr w:type="spellEnd"/>
      <w:r w:rsidRPr="001D0472">
        <w:rPr>
          <w:rFonts w:ascii="Times New Roman" w:eastAsia="Calibri" w:hAnsi="Times New Roman" w:cs="Times New Roman"/>
          <w:kern w:val="2"/>
          <w:sz w:val="24"/>
          <w:szCs w:val="24"/>
          <w14:ligatures w14:val="standardContextual"/>
        </w:rPr>
        <w:t>, GSH exerts its effect by readily donating a hydrogen atom to stabilize free radicals</w:t>
      </w:r>
      <w:r w:rsidR="007F6879">
        <w:rPr>
          <w:rFonts w:ascii="Times New Roman" w:eastAsia="Calibri" w:hAnsi="Times New Roman" w:cs="Times New Roman"/>
          <w:kern w:val="2"/>
          <w:sz w:val="24"/>
          <w:szCs w:val="24"/>
          <w14:ligatures w14:val="standardContextual"/>
        </w:rPr>
        <w:t xml:space="preserve"> </w:t>
      </w:r>
      <w:r w:rsidR="007F6879" w:rsidRPr="007F6879">
        <w:rPr>
          <w:rFonts w:ascii="Times New Roman" w:eastAsia="Calibri" w:hAnsi="Times New Roman" w:cs="Times New Roman"/>
          <w:kern w:val="2"/>
          <w:sz w:val="24"/>
          <w:szCs w:val="24"/>
          <w:highlight w:val="yellow"/>
          <w14:ligatures w14:val="standardContextual"/>
        </w:rPr>
        <w:t>(Ansari et al., 2025)</w:t>
      </w:r>
      <w:r w:rsidRPr="007F6879">
        <w:rPr>
          <w:rFonts w:ascii="Times New Roman" w:eastAsia="Calibri" w:hAnsi="Times New Roman" w:cs="Times New Roman"/>
          <w:kern w:val="2"/>
          <w:sz w:val="24"/>
          <w:szCs w:val="24"/>
          <w:highlight w:val="yellow"/>
          <w14:ligatures w14:val="standardContextual"/>
        </w:rPr>
        <w:t>.</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Furthermore, superoxide dismutase (SOD) protects cells by </w:t>
      </w:r>
      <w:proofErr w:type="spellStart"/>
      <w:r w:rsidRPr="001D0472">
        <w:rPr>
          <w:rFonts w:ascii="Times New Roman" w:eastAsia="Calibri" w:hAnsi="Times New Roman" w:cs="Times New Roman"/>
          <w:kern w:val="2"/>
          <w:sz w:val="24"/>
          <w:szCs w:val="24"/>
          <w14:ligatures w14:val="standardContextual"/>
        </w:rPr>
        <w:t>catalyzing</w:t>
      </w:r>
      <w:proofErr w:type="spellEnd"/>
      <w:r w:rsidRPr="001D0472">
        <w:rPr>
          <w:rFonts w:ascii="Times New Roman" w:eastAsia="Calibri" w:hAnsi="Times New Roman" w:cs="Times New Roman"/>
          <w:kern w:val="2"/>
          <w:sz w:val="24"/>
          <w:szCs w:val="24"/>
          <w14:ligatures w14:val="standardContextual"/>
        </w:rPr>
        <w:t xml:space="preserve"> the dismutation of superoxide anion radicals into molecular oxygen (O₂) and hydrogen peroxide (H₂O₂)</w:t>
      </w:r>
      <w:r w:rsidRPr="00E629C1">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Notably, the </w:t>
      </w:r>
      <w:proofErr w:type="spellStart"/>
      <w:r w:rsidRPr="001D0472">
        <w:rPr>
          <w:rFonts w:ascii="Times New Roman" w:eastAsia="Calibri" w:hAnsi="Times New Roman" w:cs="Times New Roman"/>
          <w:kern w:val="2"/>
          <w:sz w:val="24"/>
          <w:szCs w:val="24"/>
          <w14:ligatures w14:val="standardContextual"/>
        </w:rPr>
        <w:t>NaF</w:t>
      </w:r>
      <w:proofErr w:type="spellEnd"/>
      <w:r w:rsidRPr="001D0472">
        <w:rPr>
          <w:rFonts w:ascii="Times New Roman" w:eastAsia="Calibri" w:hAnsi="Times New Roman" w:cs="Times New Roman"/>
          <w:kern w:val="2"/>
          <w:sz w:val="24"/>
          <w:szCs w:val="24"/>
          <w14:ligatures w14:val="standardContextual"/>
        </w:rPr>
        <w:t xml:space="preserve">-exposed group exhibited a significant reduction in GSH levels, which was effectively reversed by fenugreek treatment. Under normal physiological conditions, the enzymatic activity of SOD and the non-enzymatic function of GSH work synergistically to restore redox balance disrupted by oxidative stress </w:t>
      </w:r>
      <w:r w:rsidR="00F330C7">
        <w:rPr>
          <w:rFonts w:ascii="Times New Roman" w:eastAsia="Calibri" w:hAnsi="Times New Roman" w:cs="Times New Roman"/>
          <w:kern w:val="2"/>
          <w:sz w:val="24"/>
          <w:szCs w:val="24"/>
          <w14:ligatures w14:val="standardContextual"/>
        </w:rPr>
        <w:t>(</w:t>
      </w:r>
      <w:r w:rsidR="00F330C7" w:rsidRPr="00F330C7">
        <w:rPr>
          <w:rFonts w:ascii="Times New Roman" w:eastAsia="Calibri" w:hAnsi="Times New Roman" w:cs="Times New Roman"/>
          <w:kern w:val="2"/>
          <w:sz w:val="24"/>
          <w:szCs w:val="24"/>
          <w14:ligatures w14:val="standardContextual"/>
        </w:rPr>
        <w:t>Akhlaghi, N. and Najafpour-Darzi, G., 2021</w:t>
      </w:r>
      <w:proofErr w:type="gramStart"/>
      <w:r w:rsidR="00F330C7">
        <w:rPr>
          <w:rFonts w:ascii="Times New Roman" w:eastAsia="Calibri" w:hAnsi="Times New Roman" w:cs="Times New Roman"/>
          <w:kern w:val="2"/>
          <w:sz w:val="24"/>
          <w:szCs w:val="24"/>
          <w14:ligatures w14:val="standardContextual"/>
        </w:rPr>
        <w:t>).</w:t>
      </w:r>
      <w:r w:rsidRPr="001D0472">
        <w:rPr>
          <w:rFonts w:ascii="Times New Roman" w:eastAsia="Calibri" w:hAnsi="Times New Roman" w:cs="Times New Roman"/>
          <w:kern w:val="2"/>
          <w:sz w:val="24"/>
          <w:szCs w:val="24"/>
          <w14:ligatures w14:val="standardContextual"/>
        </w:rPr>
        <w:t>The</w:t>
      </w:r>
      <w:proofErr w:type="gramEnd"/>
      <w:r w:rsidRPr="001D0472">
        <w:rPr>
          <w:rFonts w:ascii="Times New Roman" w:eastAsia="Calibri" w:hAnsi="Times New Roman" w:cs="Times New Roman"/>
          <w:kern w:val="2"/>
          <w:sz w:val="24"/>
          <w:szCs w:val="24"/>
          <w14:ligatures w14:val="standardContextual"/>
        </w:rPr>
        <w:t xml:space="preserve"> results of this study revealed a significant increase in malondialdehyde (MDA) levels, accompanied by a marked depletion of both glutathione (GSH) and superoxide dismutase (SOD) activity in the </w:t>
      </w:r>
      <w:proofErr w:type="spellStart"/>
      <w:r w:rsidRPr="001D0472">
        <w:rPr>
          <w:rFonts w:ascii="Times New Roman" w:eastAsia="Calibri" w:hAnsi="Times New Roman" w:cs="Times New Roman"/>
          <w:kern w:val="2"/>
          <w:sz w:val="24"/>
          <w:szCs w:val="24"/>
          <w14:ligatures w14:val="standardContextual"/>
        </w:rPr>
        <w:t>NaF</w:t>
      </w:r>
      <w:proofErr w:type="spellEnd"/>
      <w:r w:rsidRPr="001D0472">
        <w:rPr>
          <w:rFonts w:ascii="Times New Roman" w:eastAsia="Calibri" w:hAnsi="Times New Roman" w:cs="Times New Roman"/>
          <w:kern w:val="2"/>
          <w:sz w:val="24"/>
          <w:szCs w:val="24"/>
          <w14:ligatures w14:val="standardContextual"/>
        </w:rPr>
        <w:t>-exposed group</w:t>
      </w:r>
      <w:r w:rsidR="006373D9">
        <w:rPr>
          <w:rFonts w:ascii="Times New Roman" w:eastAsia="Calibri" w:hAnsi="Times New Roman" w:cs="Times New Roman"/>
          <w:kern w:val="2"/>
          <w:sz w:val="24"/>
          <w:szCs w:val="24"/>
          <w14:ligatures w14:val="standardContextual"/>
        </w:rPr>
        <w:t xml:space="preserve">. </w:t>
      </w:r>
      <w:r w:rsidRPr="001D0472">
        <w:rPr>
          <w:rFonts w:ascii="Times New Roman" w:eastAsia="Calibri" w:hAnsi="Times New Roman" w:cs="Times New Roman"/>
          <w:kern w:val="2"/>
          <w:sz w:val="24"/>
          <w:szCs w:val="24"/>
          <w14:ligatures w14:val="standardContextual"/>
        </w:rPr>
        <w:t xml:space="preserve">However, a significant reversal of these effects was observed in the fenugreek-treated group. These findings align closely with those reported </w:t>
      </w:r>
      <w:r w:rsidR="00067EAD" w:rsidRPr="00067EAD">
        <w:rPr>
          <w:rFonts w:ascii="Times New Roman" w:eastAsia="Calibri" w:hAnsi="Times New Roman" w:cs="Times New Roman"/>
          <w:kern w:val="2"/>
          <w:sz w:val="24"/>
          <w:szCs w:val="24"/>
          <w:highlight w:val="yellow"/>
          <w14:ligatures w14:val="standardContextual"/>
        </w:rPr>
        <w:t>by (Hanuman et al., 2024)</w:t>
      </w:r>
    </w:p>
    <w:p w14:paraId="6C9067EC" w14:textId="77777777" w:rsidR="00136FEC" w:rsidRPr="00E629C1" w:rsidRDefault="00136FEC" w:rsidP="00136FEC">
      <w:pPr>
        <w:spacing w:after="160" w:line="259" w:lineRule="auto"/>
        <w:jc w:val="both"/>
        <w:rPr>
          <w:rFonts w:ascii="Times New Roman" w:eastAsia="Calibri" w:hAnsi="Times New Roman" w:cs="Times New Roman"/>
          <w:b/>
          <w:bCs/>
          <w:kern w:val="2"/>
          <w:sz w:val="24"/>
          <w:szCs w:val="24"/>
          <w14:ligatures w14:val="standardContextual"/>
        </w:rPr>
      </w:pPr>
      <w:r w:rsidRPr="00E629C1">
        <w:rPr>
          <w:rFonts w:ascii="Times New Roman" w:eastAsia="Calibri" w:hAnsi="Times New Roman" w:cs="Times New Roman"/>
          <w:b/>
          <w:bCs/>
          <w:kern w:val="2"/>
          <w:sz w:val="24"/>
          <w:szCs w:val="24"/>
          <w14:ligatures w14:val="standardContextual"/>
        </w:rPr>
        <w:t>Conclusion</w:t>
      </w:r>
    </w:p>
    <w:p w14:paraId="36613E3F" w14:textId="0D001A09" w:rsidR="00FF1ACE" w:rsidRDefault="00136FEC" w:rsidP="002B5561">
      <w:pPr>
        <w:spacing w:after="160" w:line="259" w:lineRule="auto"/>
        <w:jc w:val="both"/>
        <w:rPr>
          <w:rFonts w:ascii="Times New Roman" w:eastAsia="Calibri" w:hAnsi="Times New Roman" w:cs="Times New Roman"/>
          <w:kern w:val="2"/>
          <w:sz w:val="24"/>
          <w:szCs w:val="24"/>
          <w14:ligatures w14:val="standardContextual"/>
        </w:rPr>
      </w:pPr>
      <w:r w:rsidRPr="00DD7986">
        <w:rPr>
          <w:rFonts w:ascii="Times New Roman" w:eastAsia="Calibri" w:hAnsi="Times New Roman" w:cs="Times New Roman"/>
          <w:kern w:val="2"/>
          <w:sz w:val="24"/>
          <w:szCs w:val="24"/>
          <w14:ligatures w14:val="standardContextual"/>
        </w:rPr>
        <w:t>Phytochemicals are increasingly recognized for their unique therapeutic properties and diverse applications in promoting human and animal well-being. This study highlights the antioxidant potential of Fenugreek leaf extracts in vitro, demonstrating their ability to inhibit free radical generation</w:t>
      </w:r>
      <w:r w:rsidRPr="00067EAD">
        <w:rPr>
          <w:rFonts w:ascii="Times New Roman" w:eastAsia="Calibri" w:hAnsi="Times New Roman" w:cs="Times New Roman"/>
          <w:kern w:val="2"/>
          <w:sz w:val="24"/>
          <w:szCs w:val="24"/>
          <w:highlight w:val="yellow"/>
          <w14:ligatures w14:val="standardContextual"/>
        </w:rPr>
        <w:t>. The extracts exhibited significant free radical scavenging activity, particularly the a</w:t>
      </w:r>
      <w:r w:rsidR="00067EAD" w:rsidRPr="00067EAD">
        <w:rPr>
          <w:rFonts w:ascii="Times New Roman" w:eastAsia="Calibri" w:hAnsi="Times New Roman" w:cs="Times New Roman"/>
          <w:kern w:val="2"/>
          <w:sz w:val="24"/>
          <w:szCs w:val="24"/>
          <w:highlight w:val="yellow"/>
          <w14:ligatures w14:val="standardContextual"/>
        </w:rPr>
        <w:t xml:space="preserve">cetone </w:t>
      </w:r>
      <w:r w:rsidRPr="00067EAD">
        <w:rPr>
          <w:rFonts w:ascii="Times New Roman" w:eastAsia="Calibri" w:hAnsi="Times New Roman" w:cs="Times New Roman"/>
          <w:kern w:val="2"/>
          <w:sz w:val="24"/>
          <w:szCs w:val="24"/>
          <w:highlight w:val="yellow"/>
          <w14:ligatures w14:val="standardContextual"/>
        </w:rPr>
        <w:t xml:space="preserve">extract, which showed the highest efficacy in neutralizing stable free radicals. The antioxidant effects are largely attributed to the presence of phenolic compounds, especially abundant in </w:t>
      </w:r>
      <w:proofErr w:type="gramStart"/>
      <w:r w:rsidRPr="00067EAD">
        <w:rPr>
          <w:rFonts w:ascii="Times New Roman" w:eastAsia="Calibri" w:hAnsi="Times New Roman" w:cs="Times New Roman"/>
          <w:kern w:val="2"/>
          <w:sz w:val="24"/>
          <w:szCs w:val="24"/>
          <w:highlight w:val="yellow"/>
          <w14:ligatures w14:val="standardContextual"/>
        </w:rPr>
        <w:t>the  extract</w:t>
      </w:r>
      <w:proofErr w:type="gramEnd"/>
      <w:r w:rsidRPr="00067EAD">
        <w:rPr>
          <w:rFonts w:ascii="Times New Roman" w:eastAsia="Calibri" w:hAnsi="Times New Roman" w:cs="Times New Roman"/>
          <w:kern w:val="2"/>
          <w:sz w:val="24"/>
          <w:szCs w:val="24"/>
          <w:highlight w:val="yellow"/>
          <w14:ligatures w14:val="standardContextual"/>
        </w:rPr>
        <w:t>, providing protection against oxidative stress.</w:t>
      </w:r>
      <w:r w:rsidRPr="00DD7986">
        <w:rPr>
          <w:rFonts w:ascii="Times New Roman" w:eastAsia="Calibri" w:hAnsi="Times New Roman" w:cs="Times New Roman"/>
          <w:kern w:val="2"/>
          <w:sz w:val="24"/>
          <w:szCs w:val="24"/>
          <w14:ligatures w14:val="standardContextual"/>
        </w:rPr>
        <w:t xml:space="preserve"> These findings position Fenugreek as a promising therapeutic agent for various </w:t>
      </w:r>
      <w:proofErr w:type="spellStart"/>
      <w:proofErr w:type="gramStart"/>
      <w:r w:rsidRPr="00DD7986">
        <w:rPr>
          <w:rFonts w:ascii="Times New Roman" w:eastAsia="Calibri" w:hAnsi="Times New Roman" w:cs="Times New Roman"/>
          <w:kern w:val="2"/>
          <w:sz w:val="24"/>
          <w:szCs w:val="24"/>
          <w14:ligatures w14:val="standardContextual"/>
        </w:rPr>
        <w:t>ailments.Our</w:t>
      </w:r>
      <w:proofErr w:type="spellEnd"/>
      <w:proofErr w:type="gramEnd"/>
      <w:r w:rsidRPr="00DD7986">
        <w:rPr>
          <w:rFonts w:ascii="Times New Roman" w:eastAsia="Calibri" w:hAnsi="Times New Roman" w:cs="Times New Roman"/>
          <w:kern w:val="2"/>
          <w:sz w:val="24"/>
          <w:szCs w:val="24"/>
          <w14:ligatures w14:val="standardContextual"/>
        </w:rPr>
        <w:t xml:space="preserve"> research successfully replicated the induction of oxidative stress in red blood cells (RBCs) through sodium fluoride (</w:t>
      </w:r>
      <w:proofErr w:type="spellStart"/>
      <w:r w:rsidRPr="00DD7986">
        <w:rPr>
          <w:rFonts w:ascii="Times New Roman" w:eastAsia="Calibri" w:hAnsi="Times New Roman" w:cs="Times New Roman"/>
          <w:kern w:val="2"/>
          <w:sz w:val="24"/>
          <w:szCs w:val="24"/>
          <w14:ligatures w14:val="standardContextual"/>
        </w:rPr>
        <w:t>NaF</w:t>
      </w:r>
      <w:proofErr w:type="spellEnd"/>
      <w:r w:rsidRPr="00DD7986">
        <w:rPr>
          <w:rFonts w:ascii="Times New Roman" w:eastAsia="Calibri" w:hAnsi="Times New Roman" w:cs="Times New Roman"/>
          <w:kern w:val="2"/>
          <w:sz w:val="24"/>
          <w:szCs w:val="24"/>
          <w14:ligatures w14:val="standardContextual"/>
        </w:rPr>
        <w:t xml:space="preserve">) exposure, confirming its oxidative damaging effects. However, numerous opportunities remain for further investigation. A deeper exploration of the complex signalling pathways triggered by </w:t>
      </w:r>
      <w:proofErr w:type="spellStart"/>
      <w:r w:rsidRPr="00DD7986">
        <w:rPr>
          <w:rFonts w:ascii="Times New Roman" w:eastAsia="Calibri" w:hAnsi="Times New Roman" w:cs="Times New Roman"/>
          <w:kern w:val="2"/>
          <w:sz w:val="24"/>
          <w:szCs w:val="24"/>
          <w14:ligatures w14:val="standardContextual"/>
        </w:rPr>
        <w:t>NaF</w:t>
      </w:r>
      <w:proofErr w:type="spellEnd"/>
      <w:r w:rsidRPr="00DD7986">
        <w:rPr>
          <w:rFonts w:ascii="Times New Roman" w:eastAsia="Calibri" w:hAnsi="Times New Roman" w:cs="Times New Roman"/>
          <w:kern w:val="2"/>
          <w:sz w:val="24"/>
          <w:szCs w:val="24"/>
          <w14:ligatures w14:val="standardContextual"/>
        </w:rPr>
        <w:t xml:space="preserve">-induced oxidative stress could substantially advance our understanding of the </w:t>
      </w:r>
      <w:r w:rsidRPr="00DD7986">
        <w:rPr>
          <w:rFonts w:ascii="Times New Roman" w:eastAsia="Calibri" w:hAnsi="Times New Roman" w:cs="Times New Roman"/>
          <w:kern w:val="2"/>
          <w:sz w:val="24"/>
          <w:szCs w:val="24"/>
          <w14:ligatures w14:val="standardContextual"/>
        </w:rPr>
        <w:lastRenderedPageBreak/>
        <w:t>cellular mechanisms and responses involved.</w:t>
      </w:r>
      <w:r>
        <w:rPr>
          <w:rFonts w:ascii="Times New Roman" w:eastAsia="Calibri" w:hAnsi="Times New Roman" w:cs="Times New Roman"/>
          <w:kern w:val="2"/>
          <w:sz w:val="24"/>
          <w:szCs w:val="24"/>
          <w14:ligatures w14:val="standardContextual"/>
        </w:rPr>
        <w:t xml:space="preserve"> </w:t>
      </w:r>
      <w:r w:rsidRPr="00DD7986">
        <w:rPr>
          <w:rFonts w:ascii="Times New Roman" w:eastAsia="Calibri" w:hAnsi="Times New Roman" w:cs="Times New Roman"/>
          <w:kern w:val="2"/>
          <w:sz w:val="24"/>
          <w:szCs w:val="24"/>
          <w14:ligatures w14:val="standardContextual"/>
        </w:rPr>
        <w:t xml:space="preserve">In summary, this study not only sheds light on the oxidative stress induced in RBCs by sodium fluoride but also underscores the significant protective effect of Fenugreek extract (100 </w:t>
      </w:r>
      <w:proofErr w:type="spellStart"/>
      <w:r w:rsidRPr="00DD7986">
        <w:rPr>
          <w:rFonts w:ascii="Times New Roman" w:eastAsia="Calibri" w:hAnsi="Times New Roman" w:cs="Times New Roman"/>
          <w:kern w:val="2"/>
          <w:sz w:val="24"/>
          <w:szCs w:val="24"/>
          <w14:ligatures w14:val="standardContextual"/>
        </w:rPr>
        <w:t>μg</w:t>
      </w:r>
      <w:proofErr w:type="spellEnd"/>
      <w:r w:rsidRPr="00DD7986">
        <w:rPr>
          <w:rFonts w:ascii="Times New Roman" w:eastAsia="Calibri" w:hAnsi="Times New Roman" w:cs="Times New Roman"/>
          <w:kern w:val="2"/>
          <w:sz w:val="24"/>
          <w:szCs w:val="24"/>
          <w14:ligatures w14:val="standardContextual"/>
        </w:rPr>
        <w:t>) again</w:t>
      </w:r>
      <w:r>
        <w:rPr>
          <w:rFonts w:ascii="Times New Roman" w:eastAsia="Calibri" w:hAnsi="Times New Roman" w:cs="Times New Roman"/>
          <w:kern w:val="2"/>
          <w:sz w:val="24"/>
          <w:szCs w:val="24"/>
          <w14:ligatures w14:val="standardContextual"/>
        </w:rPr>
        <w:t xml:space="preserve">st </w:t>
      </w:r>
      <w:proofErr w:type="spellStart"/>
      <w:r>
        <w:rPr>
          <w:rFonts w:ascii="Times New Roman" w:eastAsia="Calibri" w:hAnsi="Times New Roman" w:cs="Times New Roman"/>
          <w:kern w:val="2"/>
          <w:sz w:val="24"/>
          <w:szCs w:val="24"/>
          <w14:ligatures w14:val="standardContextual"/>
        </w:rPr>
        <w:t>NaF</w:t>
      </w:r>
      <w:proofErr w:type="spellEnd"/>
      <w:r>
        <w:rPr>
          <w:rFonts w:ascii="Times New Roman" w:eastAsia="Calibri" w:hAnsi="Times New Roman" w:cs="Times New Roman"/>
          <w:kern w:val="2"/>
          <w:sz w:val="24"/>
          <w:szCs w:val="24"/>
          <w14:ligatures w14:val="standardContextual"/>
        </w:rPr>
        <w:t xml:space="preserve">-induced </w:t>
      </w:r>
      <w:r w:rsidR="00C66D9C">
        <w:rPr>
          <w:rFonts w:ascii="Times New Roman" w:eastAsia="Calibri" w:hAnsi="Times New Roman" w:cs="Times New Roman"/>
          <w:kern w:val="2"/>
          <w:sz w:val="24"/>
          <w:szCs w:val="24"/>
          <w14:ligatures w14:val="standardContextual"/>
        </w:rPr>
        <w:t xml:space="preserve">oxidative damage. </w:t>
      </w:r>
    </w:p>
    <w:p w14:paraId="713B09DF" w14:textId="00F6A6C7" w:rsidR="00590833" w:rsidRDefault="00590833" w:rsidP="002B5561">
      <w:pPr>
        <w:spacing w:after="160" w:line="259" w:lineRule="auto"/>
        <w:jc w:val="both"/>
        <w:rPr>
          <w:rFonts w:ascii="Times New Roman" w:eastAsia="Calibri" w:hAnsi="Times New Roman" w:cs="Times New Roman"/>
          <w:kern w:val="2"/>
          <w:sz w:val="24"/>
          <w:szCs w:val="24"/>
          <w14:ligatures w14:val="standardContextual"/>
        </w:rPr>
      </w:pPr>
    </w:p>
    <w:p w14:paraId="7D0144B4" w14:textId="77777777" w:rsidR="00590833" w:rsidRPr="00FE7640" w:rsidRDefault="00590833" w:rsidP="00590833">
      <w:pPr>
        <w:rPr>
          <w:rFonts w:ascii="Calibri" w:eastAsia="Calibri" w:hAnsi="Calibri" w:cs="Times New Roman"/>
          <w:kern w:val="2"/>
          <w:highlight w:val="yellow"/>
          <w:lang w:val="en-US"/>
        </w:rPr>
      </w:pPr>
      <w:bookmarkStart w:id="1" w:name="_Hlk211264278"/>
      <w:r w:rsidRPr="00FE7640">
        <w:rPr>
          <w:rFonts w:ascii="Calibri" w:eastAsia="Calibri" w:hAnsi="Calibri" w:cs="Times New Roman"/>
          <w:kern w:val="2"/>
          <w:highlight w:val="yellow"/>
          <w:lang w:val="en-US"/>
        </w:rPr>
        <w:t>Disclaimer (Artificial intelligence)</w:t>
      </w:r>
    </w:p>
    <w:p w14:paraId="34B5A085" w14:textId="77777777" w:rsidR="00590833" w:rsidRPr="00FE7640" w:rsidRDefault="00590833" w:rsidP="00590833">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Option 1: </w:t>
      </w:r>
    </w:p>
    <w:p w14:paraId="5F641E73" w14:textId="7A291759" w:rsidR="00FF1ACE" w:rsidRPr="00067EAD" w:rsidRDefault="00590833" w:rsidP="00067EAD">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 xml:space="preserve">Author(s) hereby </w:t>
      </w:r>
      <w:proofErr w:type="gramStart"/>
      <w:r w:rsidRPr="00FE7640">
        <w:rPr>
          <w:rFonts w:ascii="Calibri" w:eastAsia="Calibri" w:hAnsi="Calibri" w:cs="Times New Roman"/>
          <w:kern w:val="2"/>
          <w:highlight w:val="yellow"/>
          <w:lang w:val="en-US"/>
        </w:rPr>
        <w:t>declare</w:t>
      </w:r>
      <w:proofErr w:type="gramEnd"/>
      <w:r w:rsidRPr="00FE7640">
        <w:rPr>
          <w:rFonts w:ascii="Calibri" w:eastAsia="Calibri" w:hAnsi="Calibri" w:cs="Times New Roman"/>
          <w:kern w:val="2"/>
          <w:highlight w:val="yellow"/>
          <w:lang w:val="en-US"/>
        </w:rPr>
        <w:t xml:space="preserve"> that NO generative AI technologies such as Large Language Models (ChatGPT, COPILOT, etc.) and text-to-image generators have been used during the writing or editing of this manuscript. </w:t>
      </w:r>
      <w:bookmarkEnd w:id="1"/>
    </w:p>
    <w:p w14:paraId="0526A34B" w14:textId="6BABE15F" w:rsidR="00FF1ACE" w:rsidRPr="00FF1ACE" w:rsidRDefault="00FF1ACE" w:rsidP="00136FEC">
      <w:pPr>
        <w:spacing w:after="160" w:line="259" w:lineRule="auto"/>
        <w:jc w:val="both"/>
        <w:rPr>
          <w:rFonts w:ascii="Times New Roman" w:eastAsia="Calibri" w:hAnsi="Times New Roman" w:cs="Times New Roman"/>
          <w:b/>
          <w:bCs/>
          <w:kern w:val="2"/>
          <w:sz w:val="24"/>
          <w:szCs w:val="24"/>
          <w14:ligatures w14:val="standardContextual"/>
        </w:rPr>
      </w:pPr>
      <w:r w:rsidRPr="00FF1ACE">
        <w:rPr>
          <w:rFonts w:ascii="Times New Roman" w:eastAsia="Calibri" w:hAnsi="Times New Roman" w:cs="Times New Roman"/>
          <w:b/>
          <w:bCs/>
          <w:kern w:val="2"/>
          <w:sz w:val="24"/>
          <w:szCs w:val="24"/>
          <w14:ligatures w14:val="standardContextual"/>
        </w:rPr>
        <w:t>References:</w:t>
      </w:r>
    </w:p>
    <w:p w14:paraId="487A3DA0" w14:textId="314FD212" w:rsidR="00791A3F" w:rsidRDefault="00791A3F" w:rsidP="00136FEC">
      <w:pPr>
        <w:spacing w:after="160" w:line="259" w:lineRule="auto"/>
        <w:jc w:val="both"/>
        <w:rPr>
          <w:rFonts w:ascii="Times New Roman" w:eastAsia="Calibri" w:hAnsi="Times New Roman" w:cs="Times New Roman"/>
          <w:kern w:val="2"/>
          <w:sz w:val="24"/>
          <w:szCs w:val="24"/>
          <w14:ligatures w14:val="standardContextual"/>
        </w:rPr>
      </w:pPr>
      <w:proofErr w:type="spellStart"/>
      <w:r w:rsidRPr="00791A3F">
        <w:rPr>
          <w:rFonts w:ascii="Times New Roman" w:eastAsia="Calibri" w:hAnsi="Times New Roman" w:cs="Times New Roman"/>
          <w:kern w:val="2"/>
          <w:sz w:val="24"/>
          <w:szCs w:val="24"/>
          <w14:ligatures w14:val="standardContextual"/>
        </w:rPr>
        <w:t>Petrovska</w:t>
      </w:r>
      <w:proofErr w:type="spellEnd"/>
      <w:r w:rsidRPr="00791A3F">
        <w:rPr>
          <w:rFonts w:ascii="Times New Roman" w:eastAsia="Calibri" w:hAnsi="Times New Roman" w:cs="Times New Roman"/>
          <w:kern w:val="2"/>
          <w:sz w:val="24"/>
          <w:szCs w:val="24"/>
          <w14:ligatures w14:val="standardContextual"/>
        </w:rPr>
        <w:t xml:space="preserve">, B.B. </w:t>
      </w:r>
      <w:r w:rsidR="004E44FC">
        <w:rPr>
          <w:rFonts w:ascii="Times New Roman" w:eastAsia="Calibri" w:hAnsi="Times New Roman" w:cs="Times New Roman"/>
          <w:kern w:val="2"/>
          <w:sz w:val="24"/>
          <w:szCs w:val="24"/>
          <w14:ligatures w14:val="standardContextual"/>
        </w:rPr>
        <w:t>(</w:t>
      </w:r>
      <w:r w:rsidRPr="00791A3F">
        <w:rPr>
          <w:rFonts w:ascii="Times New Roman" w:eastAsia="Calibri" w:hAnsi="Times New Roman" w:cs="Times New Roman"/>
          <w:kern w:val="2"/>
          <w:sz w:val="24"/>
          <w:szCs w:val="24"/>
          <w14:ligatures w14:val="standardContextual"/>
        </w:rPr>
        <w:t>2012</w:t>
      </w:r>
      <w:r w:rsidR="004E44FC">
        <w:rPr>
          <w:rFonts w:ascii="Times New Roman" w:eastAsia="Calibri" w:hAnsi="Times New Roman" w:cs="Times New Roman"/>
          <w:kern w:val="2"/>
          <w:sz w:val="24"/>
          <w:szCs w:val="24"/>
          <w14:ligatures w14:val="standardContextual"/>
        </w:rPr>
        <w:t>)</w:t>
      </w:r>
      <w:r w:rsidRPr="00791A3F">
        <w:rPr>
          <w:rFonts w:ascii="Times New Roman" w:eastAsia="Calibri" w:hAnsi="Times New Roman" w:cs="Times New Roman"/>
          <w:kern w:val="2"/>
          <w:sz w:val="24"/>
          <w:szCs w:val="24"/>
          <w14:ligatures w14:val="standardContextual"/>
        </w:rPr>
        <w:t>. Historical review of medicinal plants’ usage. </w:t>
      </w:r>
      <w:r w:rsidRPr="00791A3F">
        <w:rPr>
          <w:rFonts w:ascii="Times New Roman" w:eastAsia="Calibri" w:hAnsi="Times New Roman" w:cs="Times New Roman"/>
          <w:i/>
          <w:iCs/>
          <w:kern w:val="2"/>
          <w:sz w:val="24"/>
          <w:szCs w:val="24"/>
          <w14:ligatures w14:val="standardContextual"/>
        </w:rPr>
        <w:t>Pharmacognosy reviews</w:t>
      </w:r>
      <w:r w:rsidRPr="00791A3F">
        <w:rPr>
          <w:rFonts w:ascii="Times New Roman" w:eastAsia="Calibri" w:hAnsi="Times New Roman" w:cs="Times New Roman"/>
          <w:kern w:val="2"/>
          <w:sz w:val="24"/>
          <w:szCs w:val="24"/>
          <w14:ligatures w14:val="standardContextual"/>
        </w:rPr>
        <w:t>, </w:t>
      </w:r>
      <w:r w:rsidRPr="00791A3F">
        <w:rPr>
          <w:rFonts w:ascii="Times New Roman" w:eastAsia="Calibri" w:hAnsi="Times New Roman" w:cs="Times New Roman"/>
          <w:i/>
          <w:iCs/>
          <w:kern w:val="2"/>
          <w:sz w:val="24"/>
          <w:szCs w:val="24"/>
          <w14:ligatures w14:val="standardContextual"/>
        </w:rPr>
        <w:t>6</w:t>
      </w:r>
      <w:r w:rsidRPr="00791A3F">
        <w:rPr>
          <w:rFonts w:ascii="Times New Roman" w:eastAsia="Calibri" w:hAnsi="Times New Roman" w:cs="Times New Roman"/>
          <w:kern w:val="2"/>
          <w:sz w:val="24"/>
          <w:szCs w:val="24"/>
          <w14:ligatures w14:val="standardContextual"/>
        </w:rPr>
        <w:t>(11), p.1.</w:t>
      </w:r>
    </w:p>
    <w:p w14:paraId="122EB4B6" w14:textId="5CF0D507" w:rsidR="00791A3F" w:rsidRDefault="00791A3F" w:rsidP="00136FEC">
      <w:pPr>
        <w:spacing w:after="160" w:line="259" w:lineRule="auto"/>
        <w:jc w:val="both"/>
        <w:rPr>
          <w:rFonts w:ascii="Times New Roman" w:eastAsia="Calibri" w:hAnsi="Times New Roman" w:cs="Times New Roman"/>
          <w:kern w:val="2"/>
          <w:sz w:val="24"/>
          <w:szCs w:val="24"/>
          <w14:ligatures w14:val="standardContextual"/>
        </w:rPr>
      </w:pPr>
      <w:r w:rsidRPr="00791A3F">
        <w:rPr>
          <w:rFonts w:ascii="Times New Roman" w:eastAsia="Calibri" w:hAnsi="Times New Roman" w:cs="Times New Roman"/>
          <w:kern w:val="2"/>
          <w:sz w:val="24"/>
          <w:szCs w:val="24"/>
          <w14:ligatures w14:val="standardContextual"/>
        </w:rPr>
        <w:t>Pizzino, G., Irrera, N., Cucinotta, M., Pallio, G., Mannino, F., Arcoraci, V., Squadrito, F., Altavilla, D. and Bitto, A.</w:t>
      </w:r>
      <w:r w:rsidR="004E44FC">
        <w:rPr>
          <w:rFonts w:ascii="Times New Roman" w:eastAsia="Calibri" w:hAnsi="Times New Roman" w:cs="Times New Roman"/>
          <w:kern w:val="2"/>
          <w:sz w:val="24"/>
          <w:szCs w:val="24"/>
          <w14:ligatures w14:val="standardContextual"/>
        </w:rPr>
        <w:t xml:space="preserve"> (</w:t>
      </w:r>
      <w:r w:rsidRPr="00791A3F">
        <w:rPr>
          <w:rFonts w:ascii="Times New Roman" w:eastAsia="Calibri" w:hAnsi="Times New Roman" w:cs="Times New Roman"/>
          <w:kern w:val="2"/>
          <w:sz w:val="24"/>
          <w:szCs w:val="24"/>
          <w14:ligatures w14:val="standardContextual"/>
        </w:rPr>
        <w:t>2017</w:t>
      </w:r>
      <w:r w:rsidR="004E44FC">
        <w:rPr>
          <w:rFonts w:ascii="Times New Roman" w:eastAsia="Calibri" w:hAnsi="Times New Roman" w:cs="Times New Roman"/>
          <w:kern w:val="2"/>
          <w:sz w:val="24"/>
          <w:szCs w:val="24"/>
          <w14:ligatures w14:val="standardContextual"/>
        </w:rPr>
        <w:t>)</w:t>
      </w:r>
      <w:r w:rsidRPr="00791A3F">
        <w:rPr>
          <w:rFonts w:ascii="Times New Roman" w:eastAsia="Calibri" w:hAnsi="Times New Roman" w:cs="Times New Roman"/>
          <w:kern w:val="2"/>
          <w:sz w:val="24"/>
          <w:szCs w:val="24"/>
          <w14:ligatures w14:val="standardContextual"/>
        </w:rPr>
        <w:t>. Oxidative stress: harms and benefits for human health. </w:t>
      </w:r>
      <w:r w:rsidRPr="00791A3F">
        <w:rPr>
          <w:rFonts w:ascii="Times New Roman" w:eastAsia="Calibri" w:hAnsi="Times New Roman" w:cs="Times New Roman"/>
          <w:i/>
          <w:iCs/>
          <w:kern w:val="2"/>
          <w:sz w:val="24"/>
          <w:szCs w:val="24"/>
          <w14:ligatures w14:val="standardContextual"/>
        </w:rPr>
        <w:t>Oxidative medicine and cellular longevity</w:t>
      </w:r>
      <w:r w:rsidRPr="00791A3F">
        <w:rPr>
          <w:rFonts w:ascii="Times New Roman" w:eastAsia="Calibri" w:hAnsi="Times New Roman" w:cs="Times New Roman"/>
          <w:kern w:val="2"/>
          <w:sz w:val="24"/>
          <w:szCs w:val="24"/>
          <w14:ligatures w14:val="standardContextual"/>
        </w:rPr>
        <w:t>, </w:t>
      </w:r>
      <w:r w:rsidRPr="00791A3F">
        <w:rPr>
          <w:rFonts w:ascii="Times New Roman" w:eastAsia="Calibri" w:hAnsi="Times New Roman" w:cs="Times New Roman"/>
          <w:i/>
          <w:iCs/>
          <w:kern w:val="2"/>
          <w:sz w:val="24"/>
          <w:szCs w:val="24"/>
          <w14:ligatures w14:val="standardContextual"/>
        </w:rPr>
        <w:t>2017</w:t>
      </w:r>
      <w:r w:rsidRPr="00791A3F">
        <w:rPr>
          <w:rFonts w:ascii="Times New Roman" w:eastAsia="Calibri" w:hAnsi="Times New Roman" w:cs="Times New Roman"/>
          <w:kern w:val="2"/>
          <w:sz w:val="24"/>
          <w:szCs w:val="24"/>
          <w14:ligatures w14:val="standardContextual"/>
        </w:rPr>
        <w:t>(1), p.8416763.</w:t>
      </w:r>
    </w:p>
    <w:p w14:paraId="49B225F2" w14:textId="1F918691" w:rsidR="000956DC" w:rsidRDefault="000956DC" w:rsidP="00136FEC">
      <w:pPr>
        <w:spacing w:after="160" w:line="259" w:lineRule="auto"/>
        <w:jc w:val="both"/>
        <w:rPr>
          <w:rFonts w:ascii="Times New Roman" w:eastAsia="Calibri" w:hAnsi="Times New Roman" w:cs="Times New Roman"/>
          <w:kern w:val="2"/>
          <w:sz w:val="24"/>
          <w:szCs w:val="24"/>
          <w14:ligatures w14:val="standardContextual"/>
        </w:rPr>
      </w:pPr>
      <w:r w:rsidRPr="000956DC">
        <w:rPr>
          <w:rFonts w:ascii="Times New Roman" w:eastAsia="Calibri" w:hAnsi="Times New Roman" w:cs="Times New Roman"/>
          <w:kern w:val="2"/>
          <w:sz w:val="24"/>
          <w:szCs w:val="24"/>
          <w14:ligatures w14:val="standardContextual"/>
        </w:rPr>
        <w:t>Lovelock, A.</w:t>
      </w:r>
      <w:r w:rsidR="004E44FC">
        <w:rPr>
          <w:rFonts w:ascii="Times New Roman" w:eastAsia="Calibri" w:hAnsi="Times New Roman" w:cs="Times New Roman"/>
          <w:kern w:val="2"/>
          <w:sz w:val="24"/>
          <w:szCs w:val="24"/>
          <w14:ligatures w14:val="standardContextual"/>
        </w:rPr>
        <w:t xml:space="preserve"> (</w:t>
      </w:r>
      <w:r w:rsidRPr="000956DC">
        <w:rPr>
          <w:rFonts w:ascii="Times New Roman" w:eastAsia="Calibri" w:hAnsi="Times New Roman" w:cs="Times New Roman"/>
          <w:kern w:val="2"/>
          <w:sz w:val="24"/>
          <w:szCs w:val="24"/>
          <w14:ligatures w14:val="standardContextual"/>
        </w:rPr>
        <w:t>2022</w:t>
      </w:r>
      <w:r w:rsidR="004E44FC">
        <w:rPr>
          <w:rFonts w:ascii="Times New Roman" w:eastAsia="Calibri" w:hAnsi="Times New Roman" w:cs="Times New Roman"/>
          <w:kern w:val="2"/>
          <w:sz w:val="24"/>
          <w:szCs w:val="24"/>
          <w14:ligatures w14:val="standardContextual"/>
        </w:rPr>
        <w:t>)</w:t>
      </w:r>
      <w:r w:rsidRPr="000956DC">
        <w:rPr>
          <w:rFonts w:ascii="Times New Roman" w:eastAsia="Calibri" w:hAnsi="Times New Roman" w:cs="Times New Roman"/>
          <w:kern w:val="2"/>
          <w:sz w:val="24"/>
          <w:szCs w:val="24"/>
          <w14:ligatures w14:val="standardContextual"/>
        </w:rPr>
        <w:t>. </w:t>
      </w:r>
      <w:r w:rsidRPr="000956DC">
        <w:rPr>
          <w:rFonts w:ascii="Times New Roman" w:eastAsia="Calibri" w:hAnsi="Times New Roman" w:cs="Times New Roman"/>
          <w:i/>
          <w:iCs/>
          <w:kern w:val="2"/>
          <w:sz w:val="24"/>
          <w:szCs w:val="24"/>
          <w14:ligatures w14:val="standardContextual"/>
        </w:rPr>
        <w:t>Preparation and evaluation of modular probes of reductive stress</w:t>
      </w:r>
      <w:r w:rsidRPr="000956DC">
        <w:rPr>
          <w:rFonts w:ascii="Times New Roman" w:eastAsia="Calibri" w:hAnsi="Times New Roman" w:cs="Times New Roman"/>
          <w:kern w:val="2"/>
          <w:sz w:val="24"/>
          <w:szCs w:val="24"/>
          <w14:ligatures w14:val="standardContextual"/>
        </w:rPr>
        <w:t> (Doctoral dissertation, University of Oxford).</w:t>
      </w:r>
    </w:p>
    <w:p w14:paraId="61B6B69E" w14:textId="6587E7D6" w:rsidR="000956DC" w:rsidRDefault="000956DC" w:rsidP="00136FEC">
      <w:pPr>
        <w:spacing w:after="160" w:line="259" w:lineRule="auto"/>
        <w:jc w:val="both"/>
        <w:rPr>
          <w:rFonts w:ascii="Times New Roman" w:eastAsia="Calibri" w:hAnsi="Times New Roman" w:cs="Times New Roman"/>
          <w:kern w:val="2"/>
          <w:sz w:val="24"/>
          <w:szCs w:val="24"/>
          <w14:ligatures w14:val="standardContextual"/>
        </w:rPr>
      </w:pPr>
      <w:r w:rsidRPr="000956DC">
        <w:rPr>
          <w:rFonts w:ascii="Times New Roman" w:eastAsia="Calibri" w:hAnsi="Times New Roman" w:cs="Times New Roman"/>
          <w:kern w:val="2"/>
          <w:sz w:val="24"/>
          <w:szCs w:val="24"/>
          <w14:ligatures w14:val="standardContextual"/>
        </w:rPr>
        <w:t>Wang, L., Tang, J., Wang, L., Tan, F., Song, H., Zhou, J. and Li, F.</w:t>
      </w:r>
      <w:r w:rsidR="004E44FC">
        <w:rPr>
          <w:rFonts w:ascii="Times New Roman" w:eastAsia="Calibri" w:hAnsi="Times New Roman" w:cs="Times New Roman"/>
          <w:kern w:val="2"/>
          <w:sz w:val="24"/>
          <w:szCs w:val="24"/>
          <w14:ligatures w14:val="standardContextual"/>
        </w:rPr>
        <w:t xml:space="preserve"> (</w:t>
      </w:r>
      <w:r w:rsidRPr="000956DC">
        <w:rPr>
          <w:rFonts w:ascii="Times New Roman" w:eastAsia="Calibri" w:hAnsi="Times New Roman" w:cs="Times New Roman"/>
          <w:kern w:val="2"/>
          <w:sz w:val="24"/>
          <w:szCs w:val="24"/>
          <w14:ligatures w14:val="standardContextual"/>
        </w:rPr>
        <w:t>2021</w:t>
      </w:r>
      <w:r w:rsidR="004E44FC">
        <w:rPr>
          <w:rFonts w:ascii="Times New Roman" w:eastAsia="Calibri" w:hAnsi="Times New Roman" w:cs="Times New Roman"/>
          <w:kern w:val="2"/>
          <w:sz w:val="24"/>
          <w:szCs w:val="24"/>
          <w14:ligatures w14:val="standardContextual"/>
        </w:rPr>
        <w:t>)</w:t>
      </w:r>
      <w:r w:rsidRPr="000956DC">
        <w:rPr>
          <w:rFonts w:ascii="Times New Roman" w:eastAsia="Calibri" w:hAnsi="Times New Roman" w:cs="Times New Roman"/>
          <w:kern w:val="2"/>
          <w:sz w:val="24"/>
          <w:szCs w:val="24"/>
          <w14:ligatures w14:val="standardContextual"/>
        </w:rPr>
        <w:t>. Oxidative stress in oocyte aging and female reproduction. </w:t>
      </w:r>
      <w:r w:rsidRPr="000956DC">
        <w:rPr>
          <w:rFonts w:ascii="Times New Roman" w:eastAsia="Calibri" w:hAnsi="Times New Roman" w:cs="Times New Roman"/>
          <w:i/>
          <w:iCs/>
          <w:kern w:val="2"/>
          <w:sz w:val="24"/>
          <w:szCs w:val="24"/>
          <w14:ligatures w14:val="standardContextual"/>
        </w:rPr>
        <w:t>Journal of cellular physiology</w:t>
      </w:r>
      <w:r w:rsidRPr="000956DC">
        <w:rPr>
          <w:rFonts w:ascii="Times New Roman" w:eastAsia="Calibri" w:hAnsi="Times New Roman" w:cs="Times New Roman"/>
          <w:kern w:val="2"/>
          <w:sz w:val="24"/>
          <w:szCs w:val="24"/>
          <w14:ligatures w14:val="standardContextual"/>
        </w:rPr>
        <w:t>, </w:t>
      </w:r>
      <w:r w:rsidRPr="000956DC">
        <w:rPr>
          <w:rFonts w:ascii="Times New Roman" w:eastAsia="Calibri" w:hAnsi="Times New Roman" w:cs="Times New Roman"/>
          <w:i/>
          <w:iCs/>
          <w:kern w:val="2"/>
          <w:sz w:val="24"/>
          <w:szCs w:val="24"/>
          <w14:ligatures w14:val="standardContextual"/>
        </w:rPr>
        <w:t>236</w:t>
      </w:r>
      <w:r w:rsidRPr="000956DC">
        <w:rPr>
          <w:rFonts w:ascii="Times New Roman" w:eastAsia="Calibri" w:hAnsi="Times New Roman" w:cs="Times New Roman"/>
          <w:kern w:val="2"/>
          <w:sz w:val="24"/>
          <w:szCs w:val="24"/>
          <w14:ligatures w14:val="standardContextual"/>
        </w:rPr>
        <w:t>(12), pp.7966-7983.</w:t>
      </w:r>
    </w:p>
    <w:p w14:paraId="6BD1C1B0" w14:textId="346D4635" w:rsidR="000956DC" w:rsidRDefault="000956DC" w:rsidP="00136FEC">
      <w:pPr>
        <w:spacing w:after="160" w:line="259" w:lineRule="auto"/>
        <w:jc w:val="both"/>
        <w:rPr>
          <w:rFonts w:ascii="Times New Roman" w:eastAsia="Calibri" w:hAnsi="Times New Roman" w:cs="Times New Roman"/>
          <w:kern w:val="2"/>
          <w:sz w:val="24"/>
          <w:szCs w:val="24"/>
          <w14:ligatures w14:val="standardContextual"/>
        </w:rPr>
      </w:pPr>
      <w:r w:rsidRPr="000956DC">
        <w:rPr>
          <w:rFonts w:ascii="Times New Roman" w:eastAsia="Calibri" w:hAnsi="Times New Roman" w:cs="Times New Roman"/>
          <w:kern w:val="2"/>
          <w:sz w:val="24"/>
          <w:szCs w:val="24"/>
          <w14:ligatures w14:val="standardContextual"/>
        </w:rPr>
        <w:t xml:space="preserve">Meera, N., Divya, M.K., Silpa, P., </w:t>
      </w:r>
      <w:proofErr w:type="spellStart"/>
      <w:r w:rsidRPr="000956DC">
        <w:rPr>
          <w:rFonts w:ascii="Times New Roman" w:eastAsia="Calibri" w:hAnsi="Times New Roman" w:cs="Times New Roman"/>
          <w:kern w:val="2"/>
          <w:sz w:val="24"/>
          <w:szCs w:val="24"/>
          <w14:ligatures w14:val="standardContextual"/>
        </w:rPr>
        <w:t>Pareeth</w:t>
      </w:r>
      <w:proofErr w:type="spellEnd"/>
      <w:r w:rsidRPr="000956DC">
        <w:rPr>
          <w:rFonts w:ascii="Times New Roman" w:eastAsia="Calibri" w:hAnsi="Times New Roman" w:cs="Times New Roman"/>
          <w:kern w:val="2"/>
          <w:sz w:val="24"/>
          <w:szCs w:val="24"/>
          <w14:ligatures w14:val="standardContextual"/>
        </w:rPr>
        <w:t xml:space="preserve">, C.M., </w:t>
      </w:r>
      <w:proofErr w:type="spellStart"/>
      <w:r w:rsidRPr="000956DC">
        <w:rPr>
          <w:rFonts w:ascii="Times New Roman" w:eastAsia="Calibri" w:hAnsi="Times New Roman" w:cs="Times New Roman"/>
          <w:kern w:val="2"/>
          <w:sz w:val="24"/>
          <w:szCs w:val="24"/>
          <w14:ligatures w14:val="standardContextual"/>
        </w:rPr>
        <w:t>Raghavamenon</w:t>
      </w:r>
      <w:proofErr w:type="spellEnd"/>
      <w:r w:rsidRPr="000956DC">
        <w:rPr>
          <w:rFonts w:ascii="Times New Roman" w:eastAsia="Calibri" w:hAnsi="Times New Roman" w:cs="Times New Roman"/>
          <w:kern w:val="2"/>
          <w:sz w:val="24"/>
          <w:szCs w:val="24"/>
          <w14:ligatures w14:val="standardContextual"/>
        </w:rPr>
        <w:t>, A.C. and Babu, T.D.</w:t>
      </w:r>
      <w:r w:rsidR="004E44FC">
        <w:rPr>
          <w:rFonts w:ascii="Times New Roman" w:eastAsia="Calibri" w:hAnsi="Times New Roman" w:cs="Times New Roman"/>
          <w:kern w:val="2"/>
          <w:sz w:val="24"/>
          <w:szCs w:val="24"/>
          <w14:ligatures w14:val="standardContextual"/>
        </w:rPr>
        <w:t xml:space="preserve"> (</w:t>
      </w:r>
      <w:r w:rsidRPr="000956DC">
        <w:rPr>
          <w:rFonts w:ascii="Times New Roman" w:eastAsia="Calibri" w:hAnsi="Times New Roman" w:cs="Times New Roman"/>
          <w:kern w:val="2"/>
          <w:sz w:val="24"/>
          <w:szCs w:val="24"/>
          <w14:ligatures w14:val="standardContextual"/>
        </w:rPr>
        <w:t>2022</w:t>
      </w:r>
      <w:r w:rsidR="004E44FC">
        <w:rPr>
          <w:rFonts w:ascii="Times New Roman" w:eastAsia="Calibri" w:hAnsi="Times New Roman" w:cs="Times New Roman"/>
          <w:kern w:val="2"/>
          <w:sz w:val="24"/>
          <w:szCs w:val="24"/>
          <w14:ligatures w14:val="standardContextual"/>
        </w:rPr>
        <w:t>)</w:t>
      </w:r>
      <w:r w:rsidRPr="000956DC">
        <w:rPr>
          <w:rFonts w:ascii="Times New Roman" w:eastAsia="Calibri" w:hAnsi="Times New Roman" w:cs="Times New Roman"/>
          <w:kern w:val="2"/>
          <w:sz w:val="24"/>
          <w:szCs w:val="24"/>
          <w14:ligatures w14:val="standardContextual"/>
        </w:rPr>
        <w:t xml:space="preserve">. Amelioration of sodium fluoride induced oxidative stress by </w:t>
      </w:r>
      <w:proofErr w:type="spellStart"/>
      <w:r w:rsidRPr="000956DC">
        <w:rPr>
          <w:rFonts w:ascii="Times New Roman" w:eastAsia="Calibri" w:hAnsi="Times New Roman" w:cs="Times New Roman"/>
          <w:kern w:val="2"/>
          <w:sz w:val="24"/>
          <w:szCs w:val="24"/>
          <w14:ligatures w14:val="standardContextual"/>
        </w:rPr>
        <w:t>Cynometra</w:t>
      </w:r>
      <w:proofErr w:type="spellEnd"/>
      <w:r w:rsidRPr="000956DC">
        <w:rPr>
          <w:rFonts w:ascii="Times New Roman" w:eastAsia="Calibri" w:hAnsi="Times New Roman" w:cs="Times New Roman"/>
          <w:kern w:val="2"/>
          <w:sz w:val="24"/>
          <w:szCs w:val="24"/>
          <w14:ligatures w14:val="standardContextual"/>
        </w:rPr>
        <w:t xml:space="preserve"> </w:t>
      </w:r>
      <w:proofErr w:type="spellStart"/>
      <w:r w:rsidRPr="000956DC">
        <w:rPr>
          <w:rFonts w:ascii="Times New Roman" w:eastAsia="Calibri" w:hAnsi="Times New Roman" w:cs="Times New Roman"/>
          <w:kern w:val="2"/>
          <w:sz w:val="24"/>
          <w:szCs w:val="24"/>
          <w14:ligatures w14:val="standardContextual"/>
        </w:rPr>
        <w:t>travancorica</w:t>
      </w:r>
      <w:proofErr w:type="spellEnd"/>
      <w:r w:rsidRPr="000956DC">
        <w:rPr>
          <w:rFonts w:ascii="Times New Roman" w:eastAsia="Calibri" w:hAnsi="Times New Roman" w:cs="Times New Roman"/>
          <w:kern w:val="2"/>
          <w:sz w:val="24"/>
          <w:szCs w:val="24"/>
          <w14:ligatures w14:val="standardContextual"/>
        </w:rPr>
        <w:t xml:space="preserve"> </w:t>
      </w:r>
      <w:proofErr w:type="spellStart"/>
      <w:r w:rsidRPr="000956DC">
        <w:rPr>
          <w:rFonts w:ascii="Times New Roman" w:eastAsia="Calibri" w:hAnsi="Times New Roman" w:cs="Times New Roman"/>
          <w:kern w:val="2"/>
          <w:sz w:val="24"/>
          <w:szCs w:val="24"/>
          <w14:ligatures w14:val="standardContextual"/>
        </w:rPr>
        <w:t>Bedd</w:t>
      </w:r>
      <w:proofErr w:type="spellEnd"/>
      <w:r w:rsidRPr="000956DC">
        <w:rPr>
          <w:rFonts w:ascii="Times New Roman" w:eastAsia="Calibri" w:hAnsi="Times New Roman" w:cs="Times New Roman"/>
          <w:kern w:val="2"/>
          <w:sz w:val="24"/>
          <w:szCs w:val="24"/>
          <w14:ligatures w14:val="standardContextual"/>
        </w:rPr>
        <w:t xml:space="preserve"> in mice. </w:t>
      </w:r>
      <w:r w:rsidRPr="000956DC">
        <w:rPr>
          <w:rFonts w:ascii="Times New Roman" w:eastAsia="Calibri" w:hAnsi="Times New Roman" w:cs="Times New Roman"/>
          <w:i/>
          <w:iCs/>
          <w:kern w:val="2"/>
          <w:sz w:val="24"/>
          <w:szCs w:val="24"/>
          <w14:ligatures w14:val="standardContextual"/>
        </w:rPr>
        <w:t>Journal of Complementary and Integrative Medicine</w:t>
      </w:r>
      <w:r w:rsidRPr="000956DC">
        <w:rPr>
          <w:rFonts w:ascii="Times New Roman" w:eastAsia="Calibri" w:hAnsi="Times New Roman" w:cs="Times New Roman"/>
          <w:kern w:val="2"/>
          <w:sz w:val="24"/>
          <w:szCs w:val="24"/>
          <w14:ligatures w14:val="standardContextual"/>
        </w:rPr>
        <w:t>, </w:t>
      </w:r>
      <w:r w:rsidRPr="000956DC">
        <w:rPr>
          <w:rFonts w:ascii="Times New Roman" w:eastAsia="Calibri" w:hAnsi="Times New Roman" w:cs="Times New Roman"/>
          <w:i/>
          <w:iCs/>
          <w:kern w:val="2"/>
          <w:sz w:val="24"/>
          <w:szCs w:val="24"/>
          <w14:ligatures w14:val="standardContextual"/>
        </w:rPr>
        <w:t>19</w:t>
      </w:r>
      <w:r w:rsidRPr="000956DC">
        <w:rPr>
          <w:rFonts w:ascii="Times New Roman" w:eastAsia="Calibri" w:hAnsi="Times New Roman" w:cs="Times New Roman"/>
          <w:kern w:val="2"/>
          <w:sz w:val="24"/>
          <w:szCs w:val="24"/>
          <w14:ligatures w14:val="standardContextual"/>
        </w:rPr>
        <w:t>(2), pp.243-249.</w:t>
      </w:r>
    </w:p>
    <w:p w14:paraId="7633FB9F" w14:textId="1AB1BEED" w:rsidR="00E85D01" w:rsidRDefault="00E85D01" w:rsidP="00136FEC">
      <w:pPr>
        <w:spacing w:after="160" w:line="259" w:lineRule="auto"/>
        <w:jc w:val="both"/>
        <w:rPr>
          <w:rFonts w:ascii="Times New Roman" w:eastAsia="Calibri" w:hAnsi="Times New Roman" w:cs="Times New Roman"/>
          <w:kern w:val="2"/>
          <w:sz w:val="24"/>
          <w:szCs w:val="24"/>
          <w14:ligatures w14:val="standardContextual"/>
        </w:rPr>
      </w:pPr>
      <w:r w:rsidRPr="00E85D01">
        <w:rPr>
          <w:rFonts w:ascii="Times New Roman" w:eastAsia="Calibri" w:hAnsi="Times New Roman" w:cs="Times New Roman"/>
          <w:kern w:val="2"/>
          <w:sz w:val="24"/>
          <w:szCs w:val="24"/>
          <w14:ligatures w14:val="standardContextual"/>
        </w:rPr>
        <w:t>Sharma, P., Verma, P.K., Sood, S., Singh, M. and Verma, D.</w:t>
      </w:r>
      <w:r w:rsidR="004E44FC">
        <w:rPr>
          <w:rFonts w:ascii="Times New Roman" w:eastAsia="Calibri" w:hAnsi="Times New Roman" w:cs="Times New Roman"/>
          <w:kern w:val="2"/>
          <w:sz w:val="24"/>
          <w:szCs w:val="24"/>
          <w14:ligatures w14:val="standardContextual"/>
        </w:rPr>
        <w:t xml:space="preserve"> (</w:t>
      </w:r>
      <w:r w:rsidRPr="00E85D01">
        <w:rPr>
          <w:rFonts w:ascii="Times New Roman" w:eastAsia="Calibri" w:hAnsi="Times New Roman" w:cs="Times New Roman"/>
          <w:kern w:val="2"/>
          <w:sz w:val="24"/>
          <w:szCs w:val="24"/>
          <w14:ligatures w14:val="standardContextual"/>
        </w:rPr>
        <w:t>2023</w:t>
      </w:r>
      <w:r w:rsidR="004E44FC">
        <w:rPr>
          <w:rFonts w:ascii="Times New Roman" w:eastAsia="Calibri" w:hAnsi="Times New Roman" w:cs="Times New Roman"/>
          <w:kern w:val="2"/>
          <w:sz w:val="24"/>
          <w:szCs w:val="24"/>
          <w14:ligatures w14:val="standardContextual"/>
        </w:rPr>
        <w:t>)</w:t>
      </w:r>
      <w:r w:rsidRPr="00E85D01">
        <w:rPr>
          <w:rFonts w:ascii="Times New Roman" w:eastAsia="Calibri" w:hAnsi="Times New Roman" w:cs="Times New Roman"/>
          <w:kern w:val="2"/>
          <w:sz w:val="24"/>
          <w:szCs w:val="24"/>
          <w14:ligatures w14:val="standardContextual"/>
        </w:rPr>
        <w:t xml:space="preserve">. Impact of chronic sodium fluoride toxicity on antioxidant capacity, biochemical parameters, and histomorphology in cardiac, hepatic, and renal tissues of </w:t>
      </w:r>
      <w:proofErr w:type="spellStart"/>
      <w:r w:rsidRPr="00E85D01">
        <w:rPr>
          <w:rFonts w:ascii="Times New Roman" w:eastAsia="Calibri" w:hAnsi="Times New Roman" w:cs="Times New Roman"/>
          <w:kern w:val="2"/>
          <w:sz w:val="24"/>
          <w:szCs w:val="24"/>
          <w14:ligatures w14:val="standardContextual"/>
        </w:rPr>
        <w:t>wistar</w:t>
      </w:r>
      <w:proofErr w:type="spellEnd"/>
      <w:r w:rsidRPr="00E85D01">
        <w:rPr>
          <w:rFonts w:ascii="Times New Roman" w:eastAsia="Calibri" w:hAnsi="Times New Roman" w:cs="Times New Roman"/>
          <w:kern w:val="2"/>
          <w:sz w:val="24"/>
          <w:szCs w:val="24"/>
          <w14:ligatures w14:val="standardContextual"/>
        </w:rPr>
        <w:t xml:space="preserve"> rats. </w:t>
      </w:r>
      <w:r w:rsidRPr="00E85D01">
        <w:rPr>
          <w:rFonts w:ascii="Times New Roman" w:eastAsia="Calibri" w:hAnsi="Times New Roman" w:cs="Times New Roman"/>
          <w:i/>
          <w:iCs/>
          <w:kern w:val="2"/>
          <w:sz w:val="24"/>
          <w:szCs w:val="24"/>
          <w14:ligatures w14:val="standardContextual"/>
        </w:rPr>
        <w:t>Biological Trace Element Research</w:t>
      </w:r>
      <w:r w:rsidRPr="00E85D01">
        <w:rPr>
          <w:rFonts w:ascii="Times New Roman" w:eastAsia="Calibri" w:hAnsi="Times New Roman" w:cs="Times New Roman"/>
          <w:kern w:val="2"/>
          <w:sz w:val="24"/>
          <w:szCs w:val="24"/>
          <w14:ligatures w14:val="standardContextual"/>
        </w:rPr>
        <w:t>, </w:t>
      </w:r>
      <w:r w:rsidRPr="00E85D01">
        <w:rPr>
          <w:rFonts w:ascii="Times New Roman" w:eastAsia="Calibri" w:hAnsi="Times New Roman" w:cs="Times New Roman"/>
          <w:i/>
          <w:iCs/>
          <w:kern w:val="2"/>
          <w:sz w:val="24"/>
          <w:szCs w:val="24"/>
          <w14:ligatures w14:val="standardContextual"/>
        </w:rPr>
        <w:t>201</w:t>
      </w:r>
      <w:r w:rsidRPr="00E85D01">
        <w:rPr>
          <w:rFonts w:ascii="Times New Roman" w:eastAsia="Calibri" w:hAnsi="Times New Roman" w:cs="Times New Roman"/>
          <w:kern w:val="2"/>
          <w:sz w:val="24"/>
          <w:szCs w:val="24"/>
          <w14:ligatures w14:val="standardContextual"/>
        </w:rPr>
        <w:t>(1), pp.229-241.</w:t>
      </w:r>
    </w:p>
    <w:p w14:paraId="7043828C" w14:textId="5594766E" w:rsidR="00E85D01" w:rsidRDefault="00E85D01" w:rsidP="00136FEC">
      <w:pPr>
        <w:spacing w:after="160" w:line="259" w:lineRule="auto"/>
        <w:jc w:val="both"/>
        <w:rPr>
          <w:rFonts w:ascii="Times New Roman" w:eastAsia="Calibri" w:hAnsi="Times New Roman" w:cs="Times New Roman"/>
          <w:kern w:val="2"/>
          <w:sz w:val="24"/>
          <w:szCs w:val="24"/>
          <w14:ligatures w14:val="standardContextual"/>
        </w:rPr>
      </w:pPr>
      <w:proofErr w:type="spellStart"/>
      <w:r w:rsidRPr="00E85D01">
        <w:rPr>
          <w:rFonts w:ascii="Times New Roman" w:eastAsia="Calibri" w:hAnsi="Times New Roman" w:cs="Times New Roman"/>
          <w:kern w:val="2"/>
          <w:sz w:val="24"/>
          <w:szCs w:val="24"/>
          <w14:ligatures w14:val="standardContextual"/>
        </w:rPr>
        <w:t>Kirmit</w:t>
      </w:r>
      <w:proofErr w:type="spellEnd"/>
      <w:r w:rsidRPr="00E85D01">
        <w:rPr>
          <w:rFonts w:ascii="Times New Roman" w:eastAsia="Calibri" w:hAnsi="Times New Roman" w:cs="Times New Roman"/>
          <w:kern w:val="2"/>
          <w:sz w:val="24"/>
          <w:szCs w:val="24"/>
          <w14:ligatures w14:val="standardContextual"/>
        </w:rPr>
        <w:t xml:space="preserve">, A., </w:t>
      </w:r>
      <w:proofErr w:type="spellStart"/>
      <w:r w:rsidRPr="00E85D01">
        <w:rPr>
          <w:rFonts w:ascii="Times New Roman" w:eastAsia="Calibri" w:hAnsi="Times New Roman" w:cs="Times New Roman"/>
          <w:kern w:val="2"/>
          <w:sz w:val="24"/>
          <w:szCs w:val="24"/>
          <w14:ligatures w14:val="standardContextual"/>
        </w:rPr>
        <w:t>Yeşilnacar</w:t>
      </w:r>
      <w:proofErr w:type="spellEnd"/>
      <w:r w:rsidRPr="00E85D01">
        <w:rPr>
          <w:rFonts w:ascii="Times New Roman" w:eastAsia="Calibri" w:hAnsi="Times New Roman" w:cs="Times New Roman"/>
          <w:kern w:val="2"/>
          <w:sz w:val="24"/>
          <w:szCs w:val="24"/>
          <w14:ligatures w14:val="standardContextual"/>
        </w:rPr>
        <w:t>, M.</w:t>
      </w:r>
      <w:r w:rsidR="004E44FC">
        <w:rPr>
          <w:rFonts w:ascii="Times New Roman" w:eastAsia="Calibri" w:hAnsi="Times New Roman" w:cs="Times New Roman"/>
          <w:kern w:val="2"/>
          <w:sz w:val="24"/>
          <w:szCs w:val="24"/>
          <w14:ligatures w14:val="standardContextual"/>
        </w:rPr>
        <w:t>I</w:t>
      </w:r>
      <w:r w:rsidRPr="00E85D01">
        <w:rPr>
          <w:rFonts w:ascii="Times New Roman" w:eastAsia="Calibri" w:hAnsi="Times New Roman" w:cs="Times New Roman"/>
          <w:kern w:val="2"/>
          <w:sz w:val="24"/>
          <w:szCs w:val="24"/>
          <w14:ligatures w14:val="standardContextual"/>
        </w:rPr>
        <w:t xml:space="preserve">., </w:t>
      </w:r>
      <w:proofErr w:type="spellStart"/>
      <w:r w:rsidRPr="00E85D01">
        <w:rPr>
          <w:rFonts w:ascii="Times New Roman" w:eastAsia="Calibri" w:hAnsi="Times New Roman" w:cs="Times New Roman"/>
          <w:kern w:val="2"/>
          <w:sz w:val="24"/>
          <w:szCs w:val="24"/>
          <w14:ligatures w14:val="standardContextual"/>
        </w:rPr>
        <w:t>Çalışır</w:t>
      </w:r>
      <w:proofErr w:type="spellEnd"/>
      <w:r w:rsidRPr="00E85D01">
        <w:rPr>
          <w:rFonts w:ascii="Times New Roman" w:eastAsia="Calibri" w:hAnsi="Times New Roman" w:cs="Times New Roman"/>
          <w:kern w:val="2"/>
          <w:sz w:val="24"/>
          <w:szCs w:val="24"/>
          <w14:ligatures w14:val="standardContextual"/>
        </w:rPr>
        <w:t xml:space="preserve">, M., Bayhan, </w:t>
      </w:r>
      <w:r w:rsidR="004E44FC">
        <w:rPr>
          <w:rFonts w:ascii="Times New Roman" w:eastAsia="Calibri" w:hAnsi="Times New Roman" w:cs="Times New Roman"/>
          <w:kern w:val="2"/>
          <w:sz w:val="24"/>
          <w:szCs w:val="24"/>
          <w14:ligatures w14:val="standardContextual"/>
        </w:rPr>
        <w:t>I</w:t>
      </w:r>
      <w:r w:rsidRPr="00E85D01">
        <w:rPr>
          <w:rFonts w:ascii="Times New Roman" w:eastAsia="Calibri" w:hAnsi="Times New Roman" w:cs="Times New Roman"/>
          <w:kern w:val="2"/>
          <w:sz w:val="24"/>
          <w:szCs w:val="24"/>
          <w14:ligatures w14:val="standardContextual"/>
        </w:rPr>
        <w:t xml:space="preserve">. and </w:t>
      </w:r>
      <w:r w:rsidR="004E44FC">
        <w:rPr>
          <w:rFonts w:ascii="Times New Roman" w:eastAsia="Calibri" w:hAnsi="Times New Roman" w:cs="Times New Roman"/>
          <w:kern w:val="2"/>
          <w:sz w:val="24"/>
          <w:szCs w:val="24"/>
          <w14:ligatures w14:val="standardContextual"/>
        </w:rPr>
        <w:t>C</w:t>
      </w:r>
      <w:r w:rsidRPr="00E85D01">
        <w:rPr>
          <w:rFonts w:ascii="Times New Roman" w:eastAsia="Calibri" w:hAnsi="Times New Roman" w:cs="Times New Roman"/>
          <w:kern w:val="2"/>
          <w:sz w:val="24"/>
          <w:szCs w:val="24"/>
          <w14:ligatures w14:val="standardContextual"/>
        </w:rPr>
        <w:t>elik, H.</w:t>
      </w:r>
      <w:r w:rsidR="004E44FC">
        <w:rPr>
          <w:rFonts w:ascii="Times New Roman" w:eastAsia="Calibri" w:hAnsi="Times New Roman" w:cs="Times New Roman"/>
          <w:kern w:val="2"/>
          <w:sz w:val="24"/>
          <w:szCs w:val="24"/>
          <w14:ligatures w14:val="standardContextual"/>
        </w:rPr>
        <w:t xml:space="preserve"> (</w:t>
      </w:r>
      <w:r w:rsidRPr="00E85D01">
        <w:rPr>
          <w:rFonts w:ascii="Times New Roman" w:eastAsia="Calibri" w:hAnsi="Times New Roman" w:cs="Times New Roman"/>
          <w:kern w:val="2"/>
          <w:sz w:val="24"/>
          <w:szCs w:val="24"/>
          <w14:ligatures w14:val="standardContextual"/>
        </w:rPr>
        <w:t>2020</w:t>
      </w:r>
      <w:r w:rsidR="004E44FC">
        <w:rPr>
          <w:rFonts w:ascii="Times New Roman" w:eastAsia="Calibri" w:hAnsi="Times New Roman" w:cs="Times New Roman"/>
          <w:kern w:val="2"/>
          <w:sz w:val="24"/>
          <w:szCs w:val="24"/>
          <w14:ligatures w14:val="standardContextual"/>
        </w:rPr>
        <w:t>)</w:t>
      </w:r>
      <w:r w:rsidRPr="00E85D01">
        <w:rPr>
          <w:rFonts w:ascii="Times New Roman" w:eastAsia="Calibri" w:hAnsi="Times New Roman" w:cs="Times New Roman"/>
          <w:kern w:val="2"/>
          <w:sz w:val="24"/>
          <w:szCs w:val="24"/>
          <w14:ligatures w14:val="standardContextual"/>
        </w:rPr>
        <w:t>. Oxidative stress, DNA damage and apoptosis levels in those who use borderline high level fluoride content drinking water. </w:t>
      </w:r>
      <w:r w:rsidRPr="00E85D01">
        <w:rPr>
          <w:rFonts w:ascii="Times New Roman" w:eastAsia="Calibri" w:hAnsi="Times New Roman" w:cs="Times New Roman"/>
          <w:i/>
          <w:iCs/>
          <w:kern w:val="2"/>
          <w:sz w:val="24"/>
          <w:szCs w:val="24"/>
          <w14:ligatures w14:val="standardContextual"/>
        </w:rPr>
        <w:t>Journal of Contemporary Medicine</w:t>
      </w:r>
      <w:r w:rsidRPr="00E85D01">
        <w:rPr>
          <w:rFonts w:ascii="Times New Roman" w:eastAsia="Calibri" w:hAnsi="Times New Roman" w:cs="Times New Roman"/>
          <w:kern w:val="2"/>
          <w:sz w:val="24"/>
          <w:szCs w:val="24"/>
          <w14:ligatures w14:val="standardContextual"/>
        </w:rPr>
        <w:t>, </w:t>
      </w:r>
      <w:r w:rsidRPr="00E85D01">
        <w:rPr>
          <w:rFonts w:ascii="Times New Roman" w:eastAsia="Calibri" w:hAnsi="Times New Roman" w:cs="Times New Roman"/>
          <w:i/>
          <w:iCs/>
          <w:kern w:val="2"/>
          <w:sz w:val="24"/>
          <w:szCs w:val="24"/>
          <w14:ligatures w14:val="standardContextual"/>
        </w:rPr>
        <w:t>10</w:t>
      </w:r>
      <w:r w:rsidRPr="00E85D01">
        <w:rPr>
          <w:rFonts w:ascii="Times New Roman" w:eastAsia="Calibri" w:hAnsi="Times New Roman" w:cs="Times New Roman"/>
          <w:kern w:val="2"/>
          <w:sz w:val="24"/>
          <w:szCs w:val="24"/>
          <w14:ligatures w14:val="standardContextual"/>
        </w:rPr>
        <w:t>(1), pp.45-50.</w:t>
      </w:r>
    </w:p>
    <w:p w14:paraId="6DCAC2BC" w14:textId="4F4921C1" w:rsidR="00E85D01" w:rsidRDefault="00E85D01" w:rsidP="00136FEC">
      <w:pPr>
        <w:spacing w:after="160" w:line="259" w:lineRule="auto"/>
        <w:jc w:val="both"/>
        <w:rPr>
          <w:rFonts w:ascii="Times New Roman" w:eastAsia="Calibri" w:hAnsi="Times New Roman" w:cs="Times New Roman"/>
          <w:kern w:val="2"/>
          <w:sz w:val="24"/>
          <w:szCs w:val="24"/>
          <w14:ligatures w14:val="standardContextual"/>
        </w:rPr>
      </w:pPr>
      <w:r w:rsidRPr="00E85D01">
        <w:rPr>
          <w:rFonts w:ascii="Times New Roman" w:eastAsia="Calibri" w:hAnsi="Times New Roman" w:cs="Times New Roman"/>
          <w:kern w:val="2"/>
          <w:sz w:val="24"/>
          <w:szCs w:val="24"/>
          <w14:ligatures w14:val="standardContextual"/>
        </w:rPr>
        <w:t xml:space="preserve">Babu, S., Manoharan, S., </w:t>
      </w:r>
      <w:proofErr w:type="spellStart"/>
      <w:r w:rsidRPr="00E85D01">
        <w:rPr>
          <w:rFonts w:ascii="Times New Roman" w:eastAsia="Calibri" w:hAnsi="Times New Roman" w:cs="Times New Roman"/>
          <w:kern w:val="2"/>
          <w:sz w:val="24"/>
          <w:szCs w:val="24"/>
          <w14:ligatures w14:val="standardContextual"/>
        </w:rPr>
        <w:t>Ottappilakkil</w:t>
      </w:r>
      <w:proofErr w:type="spellEnd"/>
      <w:r w:rsidRPr="00E85D01">
        <w:rPr>
          <w:rFonts w:ascii="Times New Roman" w:eastAsia="Calibri" w:hAnsi="Times New Roman" w:cs="Times New Roman"/>
          <w:kern w:val="2"/>
          <w:sz w:val="24"/>
          <w:szCs w:val="24"/>
          <w14:ligatures w14:val="standardContextual"/>
        </w:rPr>
        <w:t>, H. and Perumal, E.</w:t>
      </w:r>
      <w:r w:rsidR="004E44FC">
        <w:rPr>
          <w:rFonts w:ascii="Times New Roman" w:eastAsia="Calibri" w:hAnsi="Times New Roman" w:cs="Times New Roman"/>
          <w:kern w:val="2"/>
          <w:sz w:val="24"/>
          <w:szCs w:val="24"/>
          <w14:ligatures w14:val="standardContextual"/>
        </w:rPr>
        <w:t xml:space="preserve"> (</w:t>
      </w:r>
      <w:r w:rsidRPr="00E85D01">
        <w:rPr>
          <w:rFonts w:ascii="Times New Roman" w:eastAsia="Calibri" w:hAnsi="Times New Roman" w:cs="Times New Roman"/>
          <w:kern w:val="2"/>
          <w:sz w:val="24"/>
          <w:szCs w:val="24"/>
          <w14:ligatures w14:val="standardContextual"/>
        </w:rPr>
        <w:t>2022</w:t>
      </w:r>
      <w:r w:rsidR="004E44FC">
        <w:rPr>
          <w:rFonts w:ascii="Times New Roman" w:eastAsia="Calibri" w:hAnsi="Times New Roman" w:cs="Times New Roman"/>
          <w:kern w:val="2"/>
          <w:sz w:val="24"/>
          <w:szCs w:val="24"/>
          <w14:ligatures w14:val="standardContextual"/>
        </w:rPr>
        <w:t>)</w:t>
      </w:r>
      <w:r w:rsidRPr="00E85D01">
        <w:rPr>
          <w:rFonts w:ascii="Times New Roman" w:eastAsia="Calibri" w:hAnsi="Times New Roman" w:cs="Times New Roman"/>
          <w:kern w:val="2"/>
          <w:sz w:val="24"/>
          <w:szCs w:val="24"/>
          <w14:ligatures w14:val="standardContextual"/>
        </w:rPr>
        <w:t xml:space="preserve">. Role of oxidative stress-mediated cell death and </w:t>
      </w:r>
      <w:proofErr w:type="spellStart"/>
      <w:r w:rsidRPr="00E85D01">
        <w:rPr>
          <w:rFonts w:ascii="Times New Roman" w:eastAsia="Calibri" w:hAnsi="Times New Roman" w:cs="Times New Roman"/>
          <w:kern w:val="2"/>
          <w:sz w:val="24"/>
          <w:szCs w:val="24"/>
          <w14:ligatures w14:val="standardContextual"/>
        </w:rPr>
        <w:t>signaling</w:t>
      </w:r>
      <w:proofErr w:type="spellEnd"/>
      <w:r w:rsidRPr="00E85D01">
        <w:rPr>
          <w:rFonts w:ascii="Times New Roman" w:eastAsia="Calibri" w:hAnsi="Times New Roman" w:cs="Times New Roman"/>
          <w:kern w:val="2"/>
          <w:sz w:val="24"/>
          <w:szCs w:val="24"/>
          <w14:ligatures w14:val="standardContextual"/>
        </w:rPr>
        <w:t xml:space="preserve"> pathways in experimental fluorosis. </w:t>
      </w:r>
      <w:proofErr w:type="spellStart"/>
      <w:r w:rsidRPr="00E85D01">
        <w:rPr>
          <w:rFonts w:ascii="Times New Roman" w:eastAsia="Calibri" w:hAnsi="Times New Roman" w:cs="Times New Roman"/>
          <w:i/>
          <w:iCs/>
          <w:kern w:val="2"/>
          <w:sz w:val="24"/>
          <w:szCs w:val="24"/>
          <w14:ligatures w14:val="standardContextual"/>
        </w:rPr>
        <w:t>Chemico</w:t>
      </w:r>
      <w:proofErr w:type="spellEnd"/>
      <w:r w:rsidRPr="00E85D01">
        <w:rPr>
          <w:rFonts w:ascii="Times New Roman" w:eastAsia="Calibri" w:hAnsi="Times New Roman" w:cs="Times New Roman"/>
          <w:i/>
          <w:iCs/>
          <w:kern w:val="2"/>
          <w:sz w:val="24"/>
          <w:szCs w:val="24"/>
          <w14:ligatures w14:val="standardContextual"/>
        </w:rPr>
        <w:t>-Biological Interactions</w:t>
      </w:r>
      <w:r w:rsidRPr="00E85D01">
        <w:rPr>
          <w:rFonts w:ascii="Times New Roman" w:eastAsia="Calibri" w:hAnsi="Times New Roman" w:cs="Times New Roman"/>
          <w:kern w:val="2"/>
          <w:sz w:val="24"/>
          <w:szCs w:val="24"/>
          <w14:ligatures w14:val="standardContextual"/>
        </w:rPr>
        <w:t>, </w:t>
      </w:r>
      <w:r w:rsidRPr="00E85D01">
        <w:rPr>
          <w:rFonts w:ascii="Times New Roman" w:eastAsia="Calibri" w:hAnsi="Times New Roman" w:cs="Times New Roman"/>
          <w:i/>
          <w:iCs/>
          <w:kern w:val="2"/>
          <w:sz w:val="24"/>
          <w:szCs w:val="24"/>
          <w14:ligatures w14:val="standardContextual"/>
        </w:rPr>
        <w:t>365</w:t>
      </w:r>
      <w:r w:rsidRPr="00E85D01">
        <w:rPr>
          <w:rFonts w:ascii="Times New Roman" w:eastAsia="Calibri" w:hAnsi="Times New Roman" w:cs="Times New Roman"/>
          <w:kern w:val="2"/>
          <w:sz w:val="24"/>
          <w:szCs w:val="24"/>
          <w14:ligatures w14:val="standardContextual"/>
        </w:rPr>
        <w:t>, p.110106.</w:t>
      </w:r>
    </w:p>
    <w:p w14:paraId="1F93C94E" w14:textId="648B0E54" w:rsidR="00E85D01" w:rsidRDefault="00E85D01" w:rsidP="00136FEC">
      <w:pPr>
        <w:spacing w:after="160" w:line="259" w:lineRule="auto"/>
        <w:jc w:val="both"/>
        <w:rPr>
          <w:rFonts w:ascii="Times New Roman" w:eastAsia="Calibri" w:hAnsi="Times New Roman" w:cs="Times New Roman"/>
          <w:kern w:val="2"/>
          <w:sz w:val="24"/>
          <w:szCs w:val="24"/>
          <w14:ligatures w14:val="standardContextual"/>
        </w:rPr>
      </w:pPr>
      <w:r w:rsidRPr="00E85D01">
        <w:rPr>
          <w:rFonts w:ascii="Times New Roman" w:eastAsia="Calibri" w:hAnsi="Times New Roman" w:cs="Times New Roman"/>
          <w:kern w:val="2"/>
          <w:sz w:val="24"/>
          <w:szCs w:val="24"/>
          <w14:ligatures w14:val="standardContextual"/>
        </w:rPr>
        <w:t>Li, F., Li, J., Wang, P.H., Yang, N., Huang, J., Ou, J., Xu, T., Zhao, X., Liu, T., Huang, X. and Wang, Q.</w:t>
      </w:r>
      <w:r w:rsidR="004E44FC">
        <w:rPr>
          <w:rFonts w:ascii="Times New Roman" w:eastAsia="Calibri" w:hAnsi="Times New Roman" w:cs="Times New Roman"/>
          <w:kern w:val="2"/>
          <w:sz w:val="24"/>
          <w:szCs w:val="24"/>
          <w14:ligatures w14:val="standardContextual"/>
        </w:rPr>
        <w:t xml:space="preserve"> (</w:t>
      </w:r>
      <w:r w:rsidRPr="00E85D01">
        <w:rPr>
          <w:rFonts w:ascii="Times New Roman" w:eastAsia="Calibri" w:hAnsi="Times New Roman" w:cs="Times New Roman"/>
          <w:kern w:val="2"/>
          <w:sz w:val="24"/>
          <w:szCs w:val="24"/>
          <w14:ligatures w14:val="standardContextual"/>
        </w:rPr>
        <w:t>2021</w:t>
      </w:r>
      <w:r w:rsidR="004E44FC">
        <w:rPr>
          <w:rFonts w:ascii="Times New Roman" w:eastAsia="Calibri" w:hAnsi="Times New Roman" w:cs="Times New Roman"/>
          <w:kern w:val="2"/>
          <w:sz w:val="24"/>
          <w:szCs w:val="24"/>
          <w14:ligatures w14:val="standardContextual"/>
        </w:rPr>
        <w:t>)</w:t>
      </w:r>
      <w:r w:rsidRPr="00E85D01">
        <w:rPr>
          <w:rFonts w:ascii="Times New Roman" w:eastAsia="Calibri" w:hAnsi="Times New Roman" w:cs="Times New Roman"/>
          <w:kern w:val="2"/>
          <w:sz w:val="24"/>
          <w:szCs w:val="24"/>
          <w14:ligatures w14:val="standardContextual"/>
        </w:rPr>
        <w:t xml:space="preserve">. SARS-CoV-2 spike promotes inflammation and apoptosis through autophagy by ROS-suppressed PI3K/AKT/mTOR </w:t>
      </w:r>
      <w:proofErr w:type="spellStart"/>
      <w:r w:rsidRPr="00E85D01">
        <w:rPr>
          <w:rFonts w:ascii="Times New Roman" w:eastAsia="Calibri" w:hAnsi="Times New Roman" w:cs="Times New Roman"/>
          <w:kern w:val="2"/>
          <w:sz w:val="24"/>
          <w:szCs w:val="24"/>
          <w14:ligatures w14:val="standardContextual"/>
        </w:rPr>
        <w:t>signaling</w:t>
      </w:r>
      <w:proofErr w:type="spellEnd"/>
      <w:r w:rsidRPr="00E85D01">
        <w:rPr>
          <w:rFonts w:ascii="Times New Roman" w:eastAsia="Calibri" w:hAnsi="Times New Roman" w:cs="Times New Roman"/>
          <w:kern w:val="2"/>
          <w:sz w:val="24"/>
          <w:szCs w:val="24"/>
          <w14:ligatures w14:val="standardContextual"/>
        </w:rPr>
        <w:t>. </w:t>
      </w:r>
      <w:proofErr w:type="spellStart"/>
      <w:r w:rsidRPr="00E85D01">
        <w:rPr>
          <w:rFonts w:ascii="Times New Roman" w:eastAsia="Calibri" w:hAnsi="Times New Roman" w:cs="Times New Roman"/>
          <w:i/>
          <w:iCs/>
          <w:kern w:val="2"/>
          <w:sz w:val="24"/>
          <w:szCs w:val="24"/>
          <w14:ligatures w14:val="standardContextual"/>
        </w:rPr>
        <w:t>Biochimica</w:t>
      </w:r>
      <w:proofErr w:type="spellEnd"/>
      <w:r w:rsidRPr="00E85D01">
        <w:rPr>
          <w:rFonts w:ascii="Times New Roman" w:eastAsia="Calibri" w:hAnsi="Times New Roman" w:cs="Times New Roman"/>
          <w:i/>
          <w:iCs/>
          <w:kern w:val="2"/>
          <w:sz w:val="24"/>
          <w:szCs w:val="24"/>
          <w14:ligatures w14:val="standardContextual"/>
        </w:rPr>
        <w:t xml:space="preserve"> et </w:t>
      </w:r>
      <w:proofErr w:type="spellStart"/>
      <w:r w:rsidRPr="00E85D01">
        <w:rPr>
          <w:rFonts w:ascii="Times New Roman" w:eastAsia="Calibri" w:hAnsi="Times New Roman" w:cs="Times New Roman"/>
          <w:i/>
          <w:iCs/>
          <w:kern w:val="2"/>
          <w:sz w:val="24"/>
          <w:szCs w:val="24"/>
          <w14:ligatures w14:val="standardContextual"/>
        </w:rPr>
        <w:t>Biophysica</w:t>
      </w:r>
      <w:proofErr w:type="spellEnd"/>
      <w:r w:rsidRPr="00E85D01">
        <w:rPr>
          <w:rFonts w:ascii="Times New Roman" w:eastAsia="Calibri" w:hAnsi="Times New Roman" w:cs="Times New Roman"/>
          <w:i/>
          <w:iCs/>
          <w:kern w:val="2"/>
          <w:sz w:val="24"/>
          <w:szCs w:val="24"/>
          <w14:ligatures w14:val="standardContextual"/>
        </w:rPr>
        <w:t xml:space="preserve"> Acta (BBA)-Molecular Basis of Disease</w:t>
      </w:r>
      <w:r w:rsidRPr="00E85D01">
        <w:rPr>
          <w:rFonts w:ascii="Times New Roman" w:eastAsia="Calibri" w:hAnsi="Times New Roman" w:cs="Times New Roman"/>
          <w:kern w:val="2"/>
          <w:sz w:val="24"/>
          <w:szCs w:val="24"/>
          <w14:ligatures w14:val="standardContextual"/>
        </w:rPr>
        <w:t>, </w:t>
      </w:r>
      <w:r w:rsidRPr="00E85D01">
        <w:rPr>
          <w:rFonts w:ascii="Times New Roman" w:eastAsia="Calibri" w:hAnsi="Times New Roman" w:cs="Times New Roman"/>
          <w:i/>
          <w:iCs/>
          <w:kern w:val="2"/>
          <w:sz w:val="24"/>
          <w:szCs w:val="24"/>
          <w14:ligatures w14:val="standardContextual"/>
        </w:rPr>
        <w:t>1867</w:t>
      </w:r>
      <w:r w:rsidRPr="00E85D01">
        <w:rPr>
          <w:rFonts w:ascii="Times New Roman" w:eastAsia="Calibri" w:hAnsi="Times New Roman" w:cs="Times New Roman"/>
          <w:kern w:val="2"/>
          <w:sz w:val="24"/>
          <w:szCs w:val="24"/>
          <w14:ligatures w14:val="standardContextual"/>
        </w:rPr>
        <w:t>(12), p.166260.</w:t>
      </w:r>
    </w:p>
    <w:p w14:paraId="75AF15AC" w14:textId="7FF80728" w:rsidR="00AE3C8E" w:rsidRDefault="00AE3C8E" w:rsidP="00136FEC">
      <w:pPr>
        <w:spacing w:after="160" w:line="259" w:lineRule="auto"/>
        <w:jc w:val="both"/>
        <w:rPr>
          <w:rFonts w:ascii="Times New Roman" w:eastAsia="Calibri" w:hAnsi="Times New Roman" w:cs="Times New Roman"/>
          <w:kern w:val="2"/>
          <w:sz w:val="24"/>
          <w:szCs w:val="24"/>
          <w14:ligatures w14:val="standardContextual"/>
        </w:rPr>
      </w:pPr>
      <w:r w:rsidRPr="00AE3C8E">
        <w:rPr>
          <w:rFonts w:ascii="Times New Roman" w:eastAsia="Calibri" w:hAnsi="Times New Roman" w:cs="Times New Roman"/>
          <w:kern w:val="2"/>
          <w:sz w:val="24"/>
          <w:szCs w:val="24"/>
          <w14:ligatures w14:val="standardContextual"/>
        </w:rPr>
        <w:lastRenderedPageBreak/>
        <w:t>Zhang, Y., Dong, F., Wang, Z., Xu, B., Zhang, T., Wang, Q. and Lin, Q.</w:t>
      </w:r>
      <w:r w:rsidR="004E44FC">
        <w:rPr>
          <w:rFonts w:ascii="Times New Roman" w:eastAsia="Calibri" w:hAnsi="Times New Roman" w:cs="Times New Roman"/>
          <w:kern w:val="2"/>
          <w:sz w:val="24"/>
          <w:szCs w:val="24"/>
          <w14:ligatures w14:val="standardContextual"/>
        </w:rPr>
        <w:t xml:space="preserve"> (</w:t>
      </w:r>
      <w:r w:rsidRPr="00AE3C8E">
        <w:rPr>
          <w:rFonts w:ascii="Times New Roman" w:eastAsia="Calibri" w:hAnsi="Times New Roman" w:cs="Times New Roman"/>
          <w:kern w:val="2"/>
          <w:sz w:val="24"/>
          <w:szCs w:val="24"/>
          <w14:ligatures w14:val="standardContextual"/>
        </w:rPr>
        <w:t>2023</w:t>
      </w:r>
      <w:r w:rsidR="004E44FC">
        <w:rPr>
          <w:rFonts w:ascii="Times New Roman" w:eastAsia="Calibri" w:hAnsi="Times New Roman" w:cs="Times New Roman"/>
          <w:kern w:val="2"/>
          <w:sz w:val="24"/>
          <w:szCs w:val="24"/>
          <w14:ligatures w14:val="standardContextual"/>
        </w:rPr>
        <w:t>)</w:t>
      </w:r>
      <w:r w:rsidRPr="00AE3C8E">
        <w:rPr>
          <w:rFonts w:ascii="Times New Roman" w:eastAsia="Calibri" w:hAnsi="Times New Roman" w:cs="Times New Roman"/>
          <w:kern w:val="2"/>
          <w:sz w:val="24"/>
          <w:szCs w:val="24"/>
          <w14:ligatures w14:val="standardContextual"/>
        </w:rPr>
        <w:t>. Fluoride exposure provokes mitochondria-mediated apoptosis and increases mitophagy in osteocytes via increasing ROS production. </w:t>
      </w:r>
      <w:r w:rsidRPr="00AE3C8E">
        <w:rPr>
          <w:rFonts w:ascii="Times New Roman" w:eastAsia="Calibri" w:hAnsi="Times New Roman" w:cs="Times New Roman"/>
          <w:i/>
          <w:iCs/>
          <w:kern w:val="2"/>
          <w:sz w:val="24"/>
          <w:szCs w:val="24"/>
          <w14:ligatures w14:val="standardContextual"/>
        </w:rPr>
        <w:t>Biological Trace Element Research</w:t>
      </w:r>
      <w:r w:rsidRPr="00AE3C8E">
        <w:rPr>
          <w:rFonts w:ascii="Times New Roman" w:eastAsia="Calibri" w:hAnsi="Times New Roman" w:cs="Times New Roman"/>
          <w:kern w:val="2"/>
          <w:sz w:val="24"/>
          <w:szCs w:val="24"/>
          <w14:ligatures w14:val="standardContextual"/>
        </w:rPr>
        <w:t>, </w:t>
      </w:r>
      <w:r w:rsidRPr="00AE3C8E">
        <w:rPr>
          <w:rFonts w:ascii="Times New Roman" w:eastAsia="Calibri" w:hAnsi="Times New Roman" w:cs="Times New Roman"/>
          <w:i/>
          <w:iCs/>
          <w:kern w:val="2"/>
          <w:sz w:val="24"/>
          <w:szCs w:val="24"/>
          <w14:ligatures w14:val="standardContextual"/>
        </w:rPr>
        <w:t>201</w:t>
      </w:r>
      <w:r w:rsidRPr="00AE3C8E">
        <w:rPr>
          <w:rFonts w:ascii="Times New Roman" w:eastAsia="Calibri" w:hAnsi="Times New Roman" w:cs="Times New Roman"/>
          <w:kern w:val="2"/>
          <w:sz w:val="24"/>
          <w:szCs w:val="24"/>
          <w14:ligatures w14:val="standardContextual"/>
        </w:rPr>
        <w:t>(8), pp.3994-4007.</w:t>
      </w:r>
    </w:p>
    <w:p w14:paraId="6E1EF4A6" w14:textId="7B734C77" w:rsidR="00AE3C8E" w:rsidRDefault="00AE3C8E" w:rsidP="00136FEC">
      <w:pPr>
        <w:spacing w:after="160" w:line="259" w:lineRule="auto"/>
        <w:jc w:val="both"/>
        <w:rPr>
          <w:rFonts w:ascii="Times New Roman" w:eastAsia="Calibri" w:hAnsi="Times New Roman" w:cs="Times New Roman"/>
          <w:kern w:val="2"/>
          <w:sz w:val="24"/>
          <w:szCs w:val="24"/>
          <w14:ligatures w14:val="standardContextual"/>
        </w:rPr>
      </w:pPr>
      <w:r w:rsidRPr="00AE3C8E">
        <w:rPr>
          <w:rFonts w:ascii="Times New Roman" w:eastAsia="Calibri" w:hAnsi="Times New Roman" w:cs="Times New Roman"/>
          <w:kern w:val="2"/>
          <w:sz w:val="24"/>
          <w:szCs w:val="24"/>
          <w14:ligatures w14:val="standardContextual"/>
        </w:rPr>
        <w:t xml:space="preserve">Tkachenko, H., </w:t>
      </w:r>
      <w:proofErr w:type="spellStart"/>
      <w:r w:rsidRPr="00AE3C8E">
        <w:rPr>
          <w:rFonts w:ascii="Times New Roman" w:eastAsia="Calibri" w:hAnsi="Times New Roman" w:cs="Times New Roman"/>
          <w:kern w:val="2"/>
          <w:sz w:val="24"/>
          <w:szCs w:val="24"/>
          <w14:ligatures w14:val="standardContextual"/>
        </w:rPr>
        <w:t>Kurhaluk</w:t>
      </w:r>
      <w:proofErr w:type="spellEnd"/>
      <w:r w:rsidRPr="00AE3C8E">
        <w:rPr>
          <w:rFonts w:ascii="Times New Roman" w:eastAsia="Calibri" w:hAnsi="Times New Roman" w:cs="Times New Roman"/>
          <w:kern w:val="2"/>
          <w:sz w:val="24"/>
          <w:szCs w:val="24"/>
          <w14:ligatures w14:val="standardContextual"/>
        </w:rPr>
        <w:t xml:space="preserve">, N., Hasiuk, O., </w:t>
      </w:r>
      <w:proofErr w:type="spellStart"/>
      <w:r w:rsidRPr="00AE3C8E">
        <w:rPr>
          <w:rFonts w:ascii="Times New Roman" w:eastAsia="Calibri" w:hAnsi="Times New Roman" w:cs="Times New Roman"/>
          <w:kern w:val="2"/>
          <w:sz w:val="24"/>
          <w:szCs w:val="24"/>
          <w14:ligatures w14:val="standardContextual"/>
        </w:rPr>
        <w:t>Beschasnyi</w:t>
      </w:r>
      <w:proofErr w:type="spellEnd"/>
      <w:r w:rsidRPr="00AE3C8E">
        <w:rPr>
          <w:rFonts w:ascii="Times New Roman" w:eastAsia="Calibri" w:hAnsi="Times New Roman" w:cs="Times New Roman"/>
          <w:kern w:val="2"/>
          <w:sz w:val="24"/>
          <w:szCs w:val="24"/>
          <w14:ligatures w14:val="standardContextual"/>
        </w:rPr>
        <w:t xml:space="preserve">, S., </w:t>
      </w:r>
      <w:proofErr w:type="spellStart"/>
      <w:r w:rsidRPr="00AE3C8E">
        <w:rPr>
          <w:rFonts w:ascii="Times New Roman" w:eastAsia="Calibri" w:hAnsi="Times New Roman" w:cs="Times New Roman"/>
          <w:kern w:val="2"/>
          <w:sz w:val="24"/>
          <w:szCs w:val="24"/>
          <w14:ligatures w14:val="standardContextual"/>
        </w:rPr>
        <w:t>Buyun</w:t>
      </w:r>
      <w:proofErr w:type="spellEnd"/>
      <w:r w:rsidRPr="00AE3C8E">
        <w:rPr>
          <w:rFonts w:ascii="Times New Roman" w:eastAsia="Calibri" w:hAnsi="Times New Roman" w:cs="Times New Roman"/>
          <w:kern w:val="2"/>
          <w:sz w:val="24"/>
          <w:szCs w:val="24"/>
          <w14:ligatures w14:val="standardContextual"/>
        </w:rPr>
        <w:t xml:space="preserve">, L., </w:t>
      </w:r>
      <w:proofErr w:type="spellStart"/>
      <w:r w:rsidRPr="00AE3C8E">
        <w:rPr>
          <w:rFonts w:ascii="Times New Roman" w:eastAsia="Calibri" w:hAnsi="Times New Roman" w:cs="Times New Roman"/>
          <w:kern w:val="2"/>
          <w:sz w:val="24"/>
          <w:szCs w:val="24"/>
          <w14:ligatures w14:val="standardContextual"/>
        </w:rPr>
        <w:t>Honcharenko</w:t>
      </w:r>
      <w:proofErr w:type="spellEnd"/>
      <w:r w:rsidRPr="00AE3C8E">
        <w:rPr>
          <w:rFonts w:ascii="Times New Roman" w:eastAsia="Calibri" w:hAnsi="Times New Roman" w:cs="Times New Roman"/>
          <w:kern w:val="2"/>
          <w:sz w:val="24"/>
          <w:szCs w:val="24"/>
          <w14:ligatures w14:val="standardContextual"/>
        </w:rPr>
        <w:t xml:space="preserve">, V. and </w:t>
      </w:r>
      <w:proofErr w:type="spellStart"/>
      <w:r w:rsidRPr="00AE3C8E">
        <w:rPr>
          <w:rFonts w:ascii="Times New Roman" w:eastAsia="Calibri" w:hAnsi="Times New Roman" w:cs="Times New Roman"/>
          <w:kern w:val="2"/>
          <w:sz w:val="24"/>
          <w:szCs w:val="24"/>
          <w14:ligatures w14:val="standardContextual"/>
        </w:rPr>
        <w:t>Prokopiv</w:t>
      </w:r>
      <w:proofErr w:type="spellEnd"/>
      <w:r w:rsidRPr="00AE3C8E">
        <w:rPr>
          <w:rFonts w:ascii="Times New Roman" w:eastAsia="Calibri" w:hAnsi="Times New Roman" w:cs="Times New Roman"/>
          <w:kern w:val="2"/>
          <w:sz w:val="24"/>
          <w:szCs w:val="24"/>
          <w14:ligatures w14:val="standardContextual"/>
        </w:rPr>
        <w:t>, A.</w:t>
      </w:r>
      <w:r w:rsidR="002B74B1">
        <w:rPr>
          <w:rFonts w:ascii="Times New Roman" w:eastAsia="Calibri" w:hAnsi="Times New Roman" w:cs="Times New Roman"/>
          <w:kern w:val="2"/>
          <w:sz w:val="24"/>
          <w:szCs w:val="24"/>
          <w14:ligatures w14:val="standardContextual"/>
        </w:rPr>
        <w:t xml:space="preserve"> (</w:t>
      </w:r>
      <w:r w:rsidRPr="00AE3C8E">
        <w:rPr>
          <w:rFonts w:ascii="Times New Roman" w:eastAsia="Calibri" w:hAnsi="Times New Roman" w:cs="Times New Roman"/>
          <w:kern w:val="2"/>
          <w:sz w:val="24"/>
          <w:szCs w:val="24"/>
          <w14:ligatures w14:val="standardContextual"/>
        </w:rPr>
        <w:t>2022</w:t>
      </w:r>
      <w:r w:rsidR="002B74B1">
        <w:rPr>
          <w:rFonts w:ascii="Times New Roman" w:eastAsia="Calibri" w:hAnsi="Times New Roman" w:cs="Times New Roman"/>
          <w:kern w:val="2"/>
          <w:sz w:val="24"/>
          <w:szCs w:val="24"/>
          <w14:ligatures w14:val="standardContextual"/>
        </w:rPr>
        <w:t>)</w:t>
      </w:r>
      <w:r w:rsidRPr="00AE3C8E">
        <w:rPr>
          <w:rFonts w:ascii="Times New Roman" w:eastAsia="Calibri" w:hAnsi="Times New Roman" w:cs="Times New Roman"/>
          <w:kern w:val="2"/>
          <w:sz w:val="24"/>
          <w:szCs w:val="24"/>
          <w14:ligatures w14:val="standardContextual"/>
        </w:rPr>
        <w:t xml:space="preserve">. </w:t>
      </w:r>
      <w:r w:rsidR="004E44FC" w:rsidRPr="00AE3C8E">
        <w:rPr>
          <w:rFonts w:ascii="Times New Roman" w:eastAsia="Calibri" w:hAnsi="Times New Roman" w:cs="Times New Roman"/>
          <w:kern w:val="2"/>
          <w:sz w:val="24"/>
          <w:szCs w:val="24"/>
          <w14:ligatures w14:val="standardContextual"/>
        </w:rPr>
        <w:t xml:space="preserve">In Vitro Antioxidant Response </w:t>
      </w:r>
      <w:r w:rsidR="004E44FC">
        <w:rPr>
          <w:rFonts w:ascii="Times New Roman" w:eastAsia="Calibri" w:hAnsi="Times New Roman" w:cs="Times New Roman"/>
          <w:kern w:val="2"/>
          <w:sz w:val="24"/>
          <w:szCs w:val="24"/>
          <w14:ligatures w14:val="standardContextual"/>
        </w:rPr>
        <w:t>o</w:t>
      </w:r>
      <w:r w:rsidR="004E44FC" w:rsidRPr="00AE3C8E">
        <w:rPr>
          <w:rFonts w:ascii="Times New Roman" w:eastAsia="Calibri" w:hAnsi="Times New Roman" w:cs="Times New Roman"/>
          <w:kern w:val="2"/>
          <w:sz w:val="24"/>
          <w:szCs w:val="24"/>
          <w14:ligatures w14:val="standardContextual"/>
        </w:rPr>
        <w:t xml:space="preserve">f The Equine Blood Treated </w:t>
      </w:r>
      <w:r w:rsidR="002B74B1">
        <w:rPr>
          <w:rFonts w:ascii="Times New Roman" w:eastAsia="Calibri" w:hAnsi="Times New Roman" w:cs="Times New Roman"/>
          <w:kern w:val="2"/>
          <w:sz w:val="24"/>
          <w:szCs w:val="24"/>
          <w14:ligatures w14:val="standardContextual"/>
        </w:rPr>
        <w:t>b</w:t>
      </w:r>
      <w:r w:rsidR="004E44FC" w:rsidRPr="00AE3C8E">
        <w:rPr>
          <w:rFonts w:ascii="Times New Roman" w:eastAsia="Calibri" w:hAnsi="Times New Roman" w:cs="Times New Roman"/>
          <w:kern w:val="2"/>
          <w:sz w:val="24"/>
          <w:szCs w:val="24"/>
          <w14:ligatures w14:val="standardContextual"/>
        </w:rPr>
        <w:t xml:space="preserve">y Extract Derived </w:t>
      </w:r>
      <w:r w:rsidR="002B74B1" w:rsidRPr="00AE3C8E">
        <w:rPr>
          <w:rFonts w:ascii="Times New Roman" w:eastAsia="Calibri" w:hAnsi="Times New Roman" w:cs="Times New Roman"/>
          <w:kern w:val="2"/>
          <w:sz w:val="24"/>
          <w:szCs w:val="24"/>
          <w14:ligatures w14:val="standardContextual"/>
        </w:rPr>
        <w:t>from</w:t>
      </w:r>
      <w:r w:rsidR="004E44FC" w:rsidRPr="00AE3C8E">
        <w:rPr>
          <w:rFonts w:ascii="Times New Roman" w:eastAsia="Calibri" w:hAnsi="Times New Roman" w:cs="Times New Roman"/>
          <w:kern w:val="2"/>
          <w:sz w:val="24"/>
          <w:szCs w:val="24"/>
          <w14:ligatures w14:val="standardContextual"/>
        </w:rPr>
        <w:t xml:space="preserve"> Leaves </w:t>
      </w:r>
      <w:r w:rsidR="002B74B1" w:rsidRPr="00AE3C8E">
        <w:rPr>
          <w:rFonts w:ascii="Times New Roman" w:eastAsia="Calibri" w:hAnsi="Times New Roman" w:cs="Times New Roman"/>
          <w:kern w:val="2"/>
          <w:sz w:val="24"/>
          <w:szCs w:val="24"/>
          <w14:ligatures w14:val="standardContextual"/>
        </w:rPr>
        <w:t>of</w:t>
      </w:r>
      <w:r w:rsidR="004E44FC" w:rsidRPr="00AE3C8E">
        <w:rPr>
          <w:rFonts w:ascii="Times New Roman" w:eastAsia="Calibri" w:hAnsi="Times New Roman" w:cs="Times New Roman"/>
          <w:kern w:val="2"/>
          <w:sz w:val="24"/>
          <w:szCs w:val="24"/>
          <w14:ligatures w14:val="standardContextual"/>
        </w:rPr>
        <w:t xml:space="preserve"> Ficus </w:t>
      </w:r>
      <w:proofErr w:type="spellStart"/>
      <w:r w:rsidR="004E44FC" w:rsidRPr="00AE3C8E">
        <w:rPr>
          <w:rFonts w:ascii="Times New Roman" w:eastAsia="Calibri" w:hAnsi="Times New Roman" w:cs="Times New Roman"/>
          <w:kern w:val="2"/>
          <w:sz w:val="24"/>
          <w:szCs w:val="24"/>
          <w14:ligatures w14:val="standardContextual"/>
        </w:rPr>
        <w:t>Deltoidea</w:t>
      </w:r>
      <w:proofErr w:type="spellEnd"/>
      <w:r w:rsidR="004E44FC" w:rsidRPr="00AE3C8E">
        <w:rPr>
          <w:rFonts w:ascii="Times New Roman" w:eastAsia="Calibri" w:hAnsi="Times New Roman" w:cs="Times New Roman"/>
          <w:kern w:val="2"/>
          <w:sz w:val="24"/>
          <w:szCs w:val="24"/>
          <w14:ligatures w14:val="standardContextual"/>
        </w:rPr>
        <w:t xml:space="preserve"> Jack (</w:t>
      </w:r>
      <w:proofErr w:type="spellStart"/>
      <w:r w:rsidR="004E44FC" w:rsidRPr="00AE3C8E">
        <w:rPr>
          <w:rFonts w:ascii="Times New Roman" w:eastAsia="Calibri" w:hAnsi="Times New Roman" w:cs="Times New Roman"/>
          <w:kern w:val="2"/>
          <w:sz w:val="24"/>
          <w:szCs w:val="24"/>
          <w14:ligatures w14:val="standardContextual"/>
        </w:rPr>
        <w:t>Moraceae</w:t>
      </w:r>
      <w:proofErr w:type="spellEnd"/>
      <w:r w:rsidR="004E44FC" w:rsidRPr="00AE3C8E">
        <w:rPr>
          <w:rFonts w:ascii="Times New Roman" w:eastAsia="Calibri" w:hAnsi="Times New Roman" w:cs="Times New Roman"/>
          <w:kern w:val="2"/>
          <w:sz w:val="24"/>
          <w:szCs w:val="24"/>
          <w14:ligatures w14:val="standardContextual"/>
        </w:rPr>
        <w:t xml:space="preserve">).  </w:t>
      </w:r>
      <w:r w:rsidRPr="00AE3C8E">
        <w:rPr>
          <w:rFonts w:ascii="Times New Roman" w:eastAsia="Calibri" w:hAnsi="Times New Roman" w:cs="Times New Roman"/>
          <w:kern w:val="2"/>
          <w:sz w:val="24"/>
          <w:szCs w:val="24"/>
          <w14:ligatures w14:val="standardContextual"/>
        </w:rPr>
        <w:t>(33), pp.60-71.</w:t>
      </w:r>
    </w:p>
    <w:p w14:paraId="76A41549" w14:textId="0D6E4AC7" w:rsidR="00AE3C8E" w:rsidRDefault="00AE3C8E" w:rsidP="00136FEC">
      <w:pPr>
        <w:spacing w:after="160" w:line="259" w:lineRule="auto"/>
        <w:jc w:val="both"/>
        <w:rPr>
          <w:rFonts w:ascii="Times New Roman" w:eastAsia="Calibri" w:hAnsi="Times New Roman" w:cs="Times New Roman"/>
          <w:kern w:val="2"/>
          <w:sz w:val="24"/>
          <w:szCs w:val="24"/>
          <w14:ligatures w14:val="standardContextual"/>
        </w:rPr>
      </w:pPr>
      <w:r w:rsidRPr="00AE3C8E">
        <w:rPr>
          <w:rFonts w:ascii="Times New Roman" w:eastAsia="Calibri" w:hAnsi="Times New Roman" w:cs="Times New Roman"/>
          <w:kern w:val="2"/>
          <w:sz w:val="24"/>
          <w:szCs w:val="24"/>
          <w14:ligatures w14:val="standardContextual"/>
        </w:rPr>
        <w:t>Ouyang, Z., Yang, B., Yi, J., Zhu, S., Lu, S., Liu, Y., Li, Y., Li, Y., Mehmood, K., Hussain, R. and Ijaz, M.</w:t>
      </w:r>
      <w:r w:rsidR="002B74B1">
        <w:rPr>
          <w:rFonts w:ascii="Times New Roman" w:eastAsia="Calibri" w:hAnsi="Times New Roman" w:cs="Times New Roman"/>
          <w:kern w:val="2"/>
          <w:sz w:val="24"/>
          <w:szCs w:val="24"/>
          <w14:ligatures w14:val="standardContextual"/>
        </w:rPr>
        <w:t xml:space="preserve"> (</w:t>
      </w:r>
      <w:r w:rsidRPr="00AE3C8E">
        <w:rPr>
          <w:rFonts w:ascii="Times New Roman" w:eastAsia="Calibri" w:hAnsi="Times New Roman" w:cs="Times New Roman"/>
          <w:kern w:val="2"/>
          <w:sz w:val="24"/>
          <w:szCs w:val="24"/>
          <w14:ligatures w14:val="standardContextual"/>
        </w:rPr>
        <w:t>2021</w:t>
      </w:r>
      <w:r w:rsidR="002B74B1">
        <w:rPr>
          <w:rFonts w:ascii="Times New Roman" w:eastAsia="Calibri" w:hAnsi="Times New Roman" w:cs="Times New Roman"/>
          <w:kern w:val="2"/>
          <w:sz w:val="24"/>
          <w:szCs w:val="24"/>
          <w14:ligatures w14:val="standardContextual"/>
        </w:rPr>
        <w:t>)</w:t>
      </w:r>
      <w:r w:rsidRPr="00AE3C8E">
        <w:rPr>
          <w:rFonts w:ascii="Times New Roman" w:eastAsia="Calibri" w:hAnsi="Times New Roman" w:cs="Times New Roman"/>
          <w:kern w:val="2"/>
          <w:sz w:val="24"/>
          <w:szCs w:val="24"/>
          <w14:ligatures w14:val="standardContextual"/>
        </w:rPr>
        <w:t xml:space="preserve">. Exposure to Fluoride induces apoptosis in liver of ducks by regulating </w:t>
      </w:r>
      <w:proofErr w:type="spellStart"/>
      <w:r w:rsidRPr="00AE3C8E">
        <w:rPr>
          <w:rFonts w:ascii="Times New Roman" w:eastAsia="Calibri" w:hAnsi="Times New Roman" w:cs="Times New Roman"/>
          <w:kern w:val="2"/>
          <w:sz w:val="24"/>
          <w:szCs w:val="24"/>
          <w14:ligatures w14:val="standardContextual"/>
        </w:rPr>
        <w:t>Cyt</w:t>
      </w:r>
      <w:proofErr w:type="spellEnd"/>
      <w:r w:rsidRPr="00AE3C8E">
        <w:rPr>
          <w:rFonts w:ascii="Times New Roman" w:eastAsia="Calibri" w:hAnsi="Times New Roman" w:cs="Times New Roman"/>
          <w:kern w:val="2"/>
          <w:sz w:val="24"/>
          <w:szCs w:val="24"/>
          <w14:ligatures w14:val="standardContextual"/>
        </w:rPr>
        <w:t xml:space="preserve">-C/Caspase 3/9 </w:t>
      </w:r>
      <w:proofErr w:type="spellStart"/>
      <w:r w:rsidRPr="00AE3C8E">
        <w:rPr>
          <w:rFonts w:ascii="Times New Roman" w:eastAsia="Calibri" w:hAnsi="Times New Roman" w:cs="Times New Roman"/>
          <w:kern w:val="2"/>
          <w:sz w:val="24"/>
          <w:szCs w:val="24"/>
          <w14:ligatures w14:val="standardContextual"/>
        </w:rPr>
        <w:t>signaling</w:t>
      </w:r>
      <w:proofErr w:type="spellEnd"/>
      <w:r w:rsidRPr="00AE3C8E">
        <w:rPr>
          <w:rFonts w:ascii="Times New Roman" w:eastAsia="Calibri" w:hAnsi="Times New Roman" w:cs="Times New Roman"/>
          <w:kern w:val="2"/>
          <w:sz w:val="24"/>
          <w:szCs w:val="24"/>
          <w14:ligatures w14:val="standardContextual"/>
        </w:rPr>
        <w:t xml:space="preserve"> pathway. </w:t>
      </w:r>
      <w:r w:rsidRPr="00AE3C8E">
        <w:rPr>
          <w:rFonts w:ascii="Times New Roman" w:eastAsia="Calibri" w:hAnsi="Times New Roman" w:cs="Times New Roman"/>
          <w:i/>
          <w:iCs/>
          <w:kern w:val="2"/>
          <w:sz w:val="24"/>
          <w:szCs w:val="24"/>
          <w14:ligatures w14:val="standardContextual"/>
        </w:rPr>
        <w:t>Ecotoxicology and Environmental Safety</w:t>
      </w:r>
      <w:r w:rsidRPr="00AE3C8E">
        <w:rPr>
          <w:rFonts w:ascii="Times New Roman" w:eastAsia="Calibri" w:hAnsi="Times New Roman" w:cs="Times New Roman"/>
          <w:kern w:val="2"/>
          <w:sz w:val="24"/>
          <w:szCs w:val="24"/>
          <w14:ligatures w14:val="standardContextual"/>
        </w:rPr>
        <w:t>, </w:t>
      </w:r>
      <w:r w:rsidRPr="00AE3C8E">
        <w:rPr>
          <w:rFonts w:ascii="Times New Roman" w:eastAsia="Calibri" w:hAnsi="Times New Roman" w:cs="Times New Roman"/>
          <w:i/>
          <w:iCs/>
          <w:kern w:val="2"/>
          <w:sz w:val="24"/>
          <w:szCs w:val="24"/>
          <w14:ligatures w14:val="standardContextual"/>
        </w:rPr>
        <w:t>224</w:t>
      </w:r>
      <w:r w:rsidRPr="00AE3C8E">
        <w:rPr>
          <w:rFonts w:ascii="Times New Roman" w:eastAsia="Calibri" w:hAnsi="Times New Roman" w:cs="Times New Roman"/>
          <w:kern w:val="2"/>
          <w:sz w:val="24"/>
          <w:szCs w:val="24"/>
          <w14:ligatures w14:val="standardContextual"/>
        </w:rPr>
        <w:t>, p.112662.</w:t>
      </w:r>
    </w:p>
    <w:p w14:paraId="342C7DAB" w14:textId="1715BCCA" w:rsidR="00AE3C8E" w:rsidRDefault="00AE3C8E" w:rsidP="00136FEC">
      <w:pPr>
        <w:spacing w:after="160" w:line="259" w:lineRule="auto"/>
        <w:jc w:val="both"/>
        <w:rPr>
          <w:rFonts w:ascii="Times New Roman" w:eastAsia="Calibri" w:hAnsi="Times New Roman" w:cs="Times New Roman"/>
          <w:kern w:val="2"/>
          <w:sz w:val="24"/>
          <w:szCs w:val="24"/>
          <w14:ligatures w14:val="standardContextual"/>
        </w:rPr>
      </w:pPr>
      <w:r w:rsidRPr="00AE3C8E">
        <w:rPr>
          <w:rFonts w:ascii="Times New Roman" w:eastAsia="Calibri" w:hAnsi="Times New Roman" w:cs="Times New Roman"/>
          <w:kern w:val="2"/>
          <w:sz w:val="24"/>
          <w:szCs w:val="24"/>
          <w14:ligatures w14:val="standardContextual"/>
        </w:rPr>
        <w:t xml:space="preserve">Chaithra, B., Sarjan, H.N. and </w:t>
      </w:r>
      <w:proofErr w:type="spellStart"/>
      <w:r w:rsidRPr="00AE3C8E">
        <w:rPr>
          <w:rFonts w:ascii="Times New Roman" w:eastAsia="Calibri" w:hAnsi="Times New Roman" w:cs="Times New Roman"/>
          <w:kern w:val="2"/>
          <w:sz w:val="24"/>
          <w:szCs w:val="24"/>
          <w14:ligatures w14:val="standardContextual"/>
        </w:rPr>
        <w:t>Shivabasavaiah</w:t>
      </w:r>
      <w:proofErr w:type="spellEnd"/>
      <w:r w:rsidR="002B74B1">
        <w:rPr>
          <w:rFonts w:ascii="Times New Roman" w:eastAsia="Calibri" w:hAnsi="Times New Roman" w:cs="Times New Roman"/>
          <w:kern w:val="2"/>
          <w:sz w:val="24"/>
          <w:szCs w:val="24"/>
          <w14:ligatures w14:val="standardContextual"/>
        </w:rPr>
        <w:t>. (</w:t>
      </w:r>
      <w:r w:rsidRPr="00AE3C8E">
        <w:rPr>
          <w:rFonts w:ascii="Times New Roman" w:eastAsia="Calibri" w:hAnsi="Times New Roman" w:cs="Times New Roman"/>
          <w:kern w:val="2"/>
          <w:sz w:val="24"/>
          <w:szCs w:val="24"/>
          <w14:ligatures w14:val="standardContextual"/>
        </w:rPr>
        <w:t>2020</w:t>
      </w:r>
      <w:r w:rsidR="002B74B1">
        <w:rPr>
          <w:rFonts w:ascii="Times New Roman" w:eastAsia="Calibri" w:hAnsi="Times New Roman" w:cs="Times New Roman"/>
          <w:kern w:val="2"/>
          <w:sz w:val="24"/>
          <w:szCs w:val="24"/>
          <w14:ligatures w14:val="standardContextual"/>
        </w:rPr>
        <w:t>)</w:t>
      </w:r>
      <w:r w:rsidRPr="00AE3C8E">
        <w:rPr>
          <w:rFonts w:ascii="Times New Roman" w:eastAsia="Calibri" w:hAnsi="Times New Roman" w:cs="Times New Roman"/>
          <w:kern w:val="2"/>
          <w:sz w:val="24"/>
          <w:szCs w:val="24"/>
          <w14:ligatures w14:val="standardContextual"/>
        </w:rPr>
        <w:t>. A comparative analysis of fluoride-contaminated groundwater and sodium fluoride-induced reproductive toxicity and its reversibility in male rats. </w:t>
      </w:r>
      <w:r w:rsidRPr="00AE3C8E">
        <w:rPr>
          <w:rFonts w:ascii="Times New Roman" w:eastAsia="Calibri" w:hAnsi="Times New Roman" w:cs="Times New Roman"/>
          <w:i/>
          <w:iCs/>
          <w:kern w:val="2"/>
          <w:sz w:val="24"/>
          <w:szCs w:val="24"/>
          <w14:ligatures w14:val="standardContextual"/>
        </w:rPr>
        <w:t>Biological Trace Element Research</w:t>
      </w:r>
      <w:r w:rsidRPr="00AE3C8E">
        <w:rPr>
          <w:rFonts w:ascii="Times New Roman" w:eastAsia="Calibri" w:hAnsi="Times New Roman" w:cs="Times New Roman"/>
          <w:kern w:val="2"/>
          <w:sz w:val="24"/>
          <w:szCs w:val="24"/>
          <w14:ligatures w14:val="standardContextual"/>
        </w:rPr>
        <w:t>, </w:t>
      </w:r>
      <w:r w:rsidRPr="00AE3C8E">
        <w:rPr>
          <w:rFonts w:ascii="Times New Roman" w:eastAsia="Calibri" w:hAnsi="Times New Roman" w:cs="Times New Roman"/>
          <w:i/>
          <w:iCs/>
          <w:kern w:val="2"/>
          <w:sz w:val="24"/>
          <w:szCs w:val="24"/>
          <w14:ligatures w14:val="standardContextual"/>
        </w:rPr>
        <w:t>197</w:t>
      </w:r>
      <w:r w:rsidRPr="00AE3C8E">
        <w:rPr>
          <w:rFonts w:ascii="Times New Roman" w:eastAsia="Calibri" w:hAnsi="Times New Roman" w:cs="Times New Roman"/>
          <w:kern w:val="2"/>
          <w:sz w:val="24"/>
          <w:szCs w:val="24"/>
          <w14:ligatures w14:val="standardContextual"/>
        </w:rPr>
        <w:t>(2), pp.507-521.</w:t>
      </w:r>
    </w:p>
    <w:p w14:paraId="6268BCE3" w14:textId="616D0350" w:rsidR="00AE3C8E" w:rsidRDefault="00AE3C8E" w:rsidP="00136FEC">
      <w:pPr>
        <w:spacing w:after="160" w:line="259" w:lineRule="auto"/>
        <w:jc w:val="both"/>
        <w:rPr>
          <w:rFonts w:ascii="Times New Roman" w:eastAsia="Calibri" w:hAnsi="Times New Roman" w:cs="Times New Roman"/>
          <w:kern w:val="2"/>
          <w:sz w:val="24"/>
          <w:szCs w:val="24"/>
          <w14:ligatures w14:val="standardContextual"/>
        </w:rPr>
      </w:pPr>
      <w:proofErr w:type="spellStart"/>
      <w:r w:rsidRPr="00AE3C8E">
        <w:rPr>
          <w:rFonts w:ascii="Times New Roman" w:eastAsia="Calibri" w:hAnsi="Times New Roman" w:cs="Times New Roman"/>
          <w:kern w:val="2"/>
          <w:sz w:val="24"/>
          <w:szCs w:val="24"/>
          <w14:ligatures w14:val="standardContextual"/>
        </w:rPr>
        <w:t>Camlica</w:t>
      </w:r>
      <w:proofErr w:type="spellEnd"/>
      <w:r w:rsidRPr="00AE3C8E">
        <w:rPr>
          <w:rFonts w:ascii="Times New Roman" w:eastAsia="Calibri" w:hAnsi="Times New Roman" w:cs="Times New Roman"/>
          <w:kern w:val="2"/>
          <w:sz w:val="24"/>
          <w:szCs w:val="24"/>
          <w14:ligatures w14:val="standardContextual"/>
        </w:rPr>
        <w:t>, M. and Yaldiz, G.</w:t>
      </w:r>
      <w:r w:rsidR="002B74B1">
        <w:rPr>
          <w:rFonts w:ascii="Times New Roman" w:eastAsia="Calibri" w:hAnsi="Times New Roman" w:cs="Times New Roman"/>
          <w:kern w:val="2"/>
          <w:sz w:val="24"/>
          <w:szCs w:val="24"/>
          <w14:ligatures w14:val="standardContextual"/>
        </w:rPr>
        <w:t xml:space="preserve"> (</w:t>
      </w:r>
      <w:r w:rsidRPr="00AE3C8E">
        <w:rPr>
          <w:rFonts w:ascii="Times New Roman" w:eastAsia="Calibri" w:hAnsi="Times New Roman" w:cs="Times New Roman"/>
          <w:kern w:val="2"/>
          <w:sz w:val="24"/>
          <w:szCs w:val="24"/>
          <w14:ligatures w14:val="standardContextual"/>
        </w:rPr>
        <w:t>2021</w:t>
      </w:r>
      <w:r w:rsidR="002B74B1">
        <w:rPr>
          <w:rFonts w:ascii="Times New Roman" w:eastAsia="Calibri" w:hAnsi="Times New Roman" w:cs="Times New Roman"/>
          <w:kern w:val="2"/>
          <w:sz w:val="24"/>
          <w:szCs w:val="24"/>
          <w14:ligatures w14:val="standardContextual"/>
        </w:rPr>
        <w:t>)</w:t>
      </w:r>
      <w:r w:rsidRPr="00AE3C8E">
        <w:rPr>
          <w:rFonts w:ascii="Times New Roman" w:eastAsia="Calibri" w:hAnsi="Times New Roman" w:cs="Times New Roman"/>
          <w:kern w:val="2"/>
          <w:sz w:val="24"/>
          <w:szCs w:val="24"/>
          <w14:ligatures w14:val="standardContextual"/>
        </w:rPr>
        <w:t xml:space="preserve">. Employing modern technologies in the cultivation and production of fenugreek (Trigonella </w:t>
      </w:r>
      <w:proofErr w:type="spellStart"/>
      <w:r w:rsidRPr="00AE3C8E">
        <w:rPr>
          <w:rFonts w:ascii="Times New Roman" w:eastAsia="Calibri" w:hAnsi="Times New Roman" w:cs="Times New Roman"/>
          <w:kern w:val="2"/>
          <w:sz w:val="24"/>
          <w:szCs w:val="24"/>
          <w14:ligatures w14:val="standardContextual"/>
        </w:rPr>
        <w:t>foenum</w:t>
      </w:r>
      <w:proofErr w:type="spellEnd"/>
      <w:r w:rsidRPr="00AE3C8E">
        <w:rPr>
          <w:rFonts w:ascii="Times New Roman" w:eastAsia="Calibri" w:hAnsi="Times New Roman" w:cs="Times New Roman"/>
          <w:kern w:val="2"/>
          <w:sz w:val="24"/>
          <w:szCs w:val="24"/>
          <w14:ligatures w14:val="standardContextual"/>
        </w:rPr>
        <w:t>-graecum L.). In </w:t>
      </w:r>
      <w:r w:rsidRPr="00AE3C8E">
        <w:rPr>
          <w:rFonts w:ascii="Times New Roman" w:eastAsia="Calibri" w:hAnsi="Times New Roman" w:cs="Times New Roman"/>
          <w:i/>
          <w:iCs/>
          <w:kern w:val="2"/>
          <w:sz w:val="24"/>
          <w:szCs w:val="24"/>
          <w14:ligatures w14:val="standardContextual"/>
        </w:rPr>
        <w:t>Fenugreek: Biology and applications</w:t>
      </w:r>
      <w:r w:rsidRPr="00AE3C8E">
        <w:rPr>
          <w:rFonts w:ascii="Times New Roman" w:eastAsia="Calibri" w:hAnsi="Times New Roman" w:cs="Times New Roman"/>
          <w:kern w:val="2"/>
          <w:sz w:val="24"/>
          <w:szCs w:val="24"/>
          <w14:ligatures w14:val="standardContextual"/>
        </w:rPr>
        <w:t> (pp. 31-62). Singapore: Springer Singapore.</w:t>
      </w:r>
    </w:p>
    <w:p w14:paraId="716AE877" w14:textId="20AC35F8" w:rsidR="00645E77" w:rsidRDefault="00645E77" w:rsidP="00136FEC">
      <w:pPr>
        <w:spacing w:after="160" w:line="259" w:lineRule="auto"/>
        <w:jc w:val="both"/>
        <w:rPr>
          <w:rFonts w:ascii="Times New Roman" w:eastAsia="Calibri" w:hAnsi="Times New Roman" w:cs="Times New Roman"/>
          <w:kern w:val="2"/>
          <w:sz w:val="24"/>
          <w:szCs w:val="24"/>
          <w14:ligatures w14:val="standardContextual"/>
        </w:rPr>
      </w:pPr>
      <w:r w:rsidRPr="00645E77">
        <w:rPr>
          <w:rFonts w:ascii="Times New Roman" w:eastAsia="Calibri" w:hAnsi="Times New Roman" w:cs="Times New Roman"/>
          <w:kern w:val="2"/>
          <w:sz w:val="24"/>
          <w:szCs w:val="24"/>
          <w14:ligatures w14:val="standardContextual"/>
        </w:rPr>
        <w:t xml:space="preserve">Karmakar, M., Jana, D., Manna, T., Banik, A., Raul, P., </w:t>
      </w:r>
      <w:proofErr w:type="spellStart"/>
      <w:r w:rsidRPr="00645E77">
        <w:rPr>
          <w:rFonts w:ascii="Times New Roman" w:eastAsia="Calibri" w:hAnsi="Times New Roman" w:cs="Times New Roman"/>
          <w:kern w:val="2"/>
          <w:sz w:val="24"/>
          <w:szCs w:val="24"/>
          <w14:ligatures w14:val="standardContextual"/>
        </w:rPr>
        <w:t>Guchhait</w:t>
      </w:r>
      <w:proofErr w:type="spellEnd"/>
      <w:r w:rsidRPr="00645E77">
        <w:rPr>
          <w:rFonts w:ascii="Times New Roman" w:eastAsia="Calibri" w:hAnsi="Times New Roman" w:cs="Times New Roman"/>
          <w:kern w:val="2"/>
          <w:sz w:val="24"/>
          <w:szCs w:val="24"/>
          <w14:ligatures w14:val="standardContextual"/>
        </w:rPr>
        <w:t>, K.C., Mondal, K.C., Panda, A.K. and Ghosh, C.</w:t>
      </w:r>
      <w:r w:rsidR="002B74B1">
        <w:rPr>
          <w:rFonts w:ascii="Times New Roman" w:eastAsia="Calibri" w:hAnsi="Times New Roman" w:cs="Times New Roman"/>
          <w:kern w:val="2"/>
          <w:sz w:val="24"/>
          <w:szCs w:val="24"/>
          <w14:ligatures w14:val="standardContextual"/>
        </w:rPr>
        <w:t xml:space="preserve"> (</w:t>
      </w:r>
      <w:r w:rsidRPr="00645E77">
        <w:rPr>
          <w:rFonts w:ascii="Times New Roman" w:eastAsia="Calibri" w:hAnsi="Times New Roman" w:cs="Times New Roman"/>
          <w:kern w:val="2"/>
          <w:sz w:val="24"/>
          <w:szCs w:val="24"/>
          <w14:ligatures w14:val="standardContextual"/>
        </w:rPr>
        <w:t>2022</w:t>
      </w:r>
      <w:r w:rsidR="002B74B1">
        <w:rPr>
          <w:rFonts w:ascii="Times New Roman" w:eastAsia="Calibri" w:hAnsi="Times New Roman" w:cs="Times New Roman"/>
          <w:kern w:val="2"/>
          <w:sz w:val="24"/>
          <w:szCs w:val="24"/>
          <w14:ligatures w14:val="standardContextual"/>
        </w:rPr>
        <w:t>)</w:t>
      </w:r>
      <w:r w:rsidRPr="00645E77">
        <w:rPr>
          <w:rFonts w:ascii="Times New Roman" w:eastAsia="Calibri" w:hAnsi="Times New Roman" w:cs="Times New Roman"/>
          <w:kern w:val="2"/>
          <w:sz w:val="24"/>
          <w:szCs w:val="24"/>
          <w14:ligatures w14:val="standardContextual"/>
        </w:rPr>
        <w:t>. Immunostimulant properties of some commonly used Indian spices and herbs with special reference to region-specific cuisines. </w:t>
      </w:r>
      <w:r w:rsidRPr="00645E77">
        <w:rPr>
          <w:rFonts w:ascii="Times New Roman" w:eastAsia="Calibri" w:hAnsi="Times New Roman" w:cs="Times New Roman"/>
          <w:i/>
          <w:iCs/>
          <w:kern w:val="2"/>
          <w:sz w:val="24"/>
          <w:szCs w:val="24"/>
          <w14:ligatures w14:val="standardContextual"/>
        </w:rPr>
        <w:t xml:space="preserve">Plants and </w:t>
      </w:r>
      <w:proofErr w:type="spellStart"/>
      <w:r w:rsidRPr="00645E77">
        <w:rPr>
          <w:rFonts w:ascii="Times New Roman" w:eastAsia="Calibri" w:hAnsi="Times New Roman" w:cs="Times New Roman"/>
          <w:i/>
          <w:iCs/>
          <w:kern w:val="2"/>
          <w:sz w:val="24"/>
          <w:szCs w:val="24"/>
          <w14:ligatures w14:val="standardContextual"/>
        </w:rPr>
        <w:t>Phytomolecules</w:t>
      </w:r>
      <w:proofErr w:type="spellEnd"/>
      <w:r w:rsidRPr="00645E77">
        <w:rPr>
          <w:rFonts w:ascii="Times New Roman" w:eastAsia="Calibri" w:hAnsi="Times New Roman" w:cs="Times New Roman"/>
          <w:i/>
          <w:iCs/>
          <w:kern w:val="2"/>
          <w:sz w:val="24"/>
          <w:szCs w:val="24"/>
          <w14:ligatures w14:val="standardContextual"/>
        </w:rPr>
        <w:t xml:space="preserve"> for Immunomodulation: Recent Trends and Advances</w:t>
      </w:r>
      <w:r w:rsidRPr="00645E77">
        <w:rPr>
          <w:rFonts w:ascii="Times New Roman" w:eastAsia="Calibri" w:hAnsi="Times New Roman" w:cs="Times New Roman"/>
          <w:kern w:val="2"/>
          <w:sz w:val="24"/>
          <w:szCs w:val="24"/>
          <w14:ligatures w14:val="standardContextual"/>
        </w:rPr>
        <w:t>, pp.191-249.</w:t>
      </w:r>
    </w:p>
    <w:p w14:paraId="61D177E0" w14:textId="1D1647EE" w:rsidR="00645E77" w:rsidRDefault="00645E77" w:rsidP="00136FEC">
      <w:pPr>
        <w:spacing w:after="160" w:line="259" w:lineRule="auto"/>
        <w:jc w:val="both"/>
        <w:rPr>
          <w:rFonts w:ascii="Times New Roman" w:eastAsia="Calibri" w:hAnsi="Times New Roman" w:cs="Times New Roman"/>
          <w:kern w:val="2"/>
          <w:sz w:val="24"/>
          <w:szCs w:val="24"/>
          <w14:ligatures w14:val="standardContextual"/>
        </w:rPr>
      </w:pPr>
      <w:r w:rsidRPr="00645E77">
        <w:rPr>
          <w:rFonts w:ascii="Times New Roman" w:eastAsia="Calibri" w:hAnsi="Times New Roman" w:cs="Times New Roman"/>
          <w:kern w:val="2"/>
          <w:sz w:val="24"/>
          <w:szCs w:val="24"/>
          <w14:ligatures w14:val="standardContextual"/>
        </w:rPr>
        <w:t>Syed, Q.A., Rashid, Z., Ahmad, M.H., Shukat, R., Ishaq, A., Muhammad, N. and Rahman, H.U.U.</w:t>
      </w:r>
      <w:r w:rsidR="002B74B1">
        <w:rPr>
          <w:rFonts w:ascii="Times New Roman" w:eastAsia="Calibri" w:hAnsi="Times New Roman" w:cs="Times New Roman"/>
          <w:kern w:val="2"/>
          <w:sz w:val="24"/>
          <w:szCs w:val="24"/>
          <w14:ligatures w14:val="standardContextual"/>
        </w:rPr>
        <w:t xml:space="preserve"> (</w:t>
      </w:r>
      <w:r w:rsidRPr="00645E77">
        <w:rPr>
          <w:rFonts w:ascii="Times New Roman" w:eastAsia="Calibri" w:hAnsi="Times New Roman" w:cs="Times New Roman"/>
          <w:kern w:val="2"/>
          <w:sz w:val="24"/>
          <w:szCs w:val="24"/>
          <w14:ligatures w14:val="standardContextual"/>
        </w:rPr>
        <w:t>2020</w:t>
      </w:r>
      <w:r w:rsidR="002B74B1">
        <w:rPr>
          <w:rFonts w:ascii="Times New Roman" w:eastAsia="Calibri" w:hAnsi="Times New Roman" w:cs="Times New Roman"/>
          <w:kern w:val="2"/>
          <w:sz w:val="24"/>
          <w:szCs w:val="24"/>
          <w14:ligatures w14:val="standardContextual"/>
        </w:rPr>
        <w:t>)</w:t>
      </w:r>
      <w:r w:rsidRPr="00645E77">
        <w:rPr>
          <w:rFonts w:ascii="Times New Roman" w:eastAsia="Calibri" w:hAnsi="Times New Roman" w:cs="Times New Roman"/>
          <w:kern w:val="2"/>
          <w:sz w:val="24"/>
          <w:szCs w:val="24"/>
          <w14:ligatures w14:val="standardContextual"/>
        </w:rPr>
        <w:t xml:space="preserve">. Nutritional and therapeutic properties of fenugreek (Trigonella </w:t>
      </w:r>
      <w:proofErr w:type="spellStart"/>
      <w:r w:rsidRPr="00645E77">
        <w:rPr>
          <w:rFonts w:ascii="Times New Roman" w:eastAsia="Calibri" w:hAnsi="Times New Roman" w:cs="Times New Roman"/>
          <w:kern w:val="2"/>
          <w:sz w:val="24"/>
          <w:szCs w:val="24"/>
          <w14:ligatures w14:val="standardContextual"/>
        </w:rPr>
        <w:t>foenum</w:t>
      </w:r>
      <w:proofErr w:type="spellEnd"/>
      <w:r w:rsidRPr="00645E77">
        <w:rPr>
          <w:rFonts w:ascii="Times New Roman" w:eastAsia="Calibri" w:hAnsi="Times New Roman" w:cs="Times New Roman"/>
          <w:kern w:val="2"/>
          <w:sz w:val="24"/>
          <w:szCs w:val="24"/>
          <w14:ligatures w14:val="standardContextual"/>
        </w:rPr>
        <w:t>-graecum): a review. </w:t>
      </w:r>
      <w:r w:rsidRPr="00645E77">
        <w:rPr>
          <w:rFonts w:ascii="Times New Roman" w:eastAsia="Calibri" w:hAnsi="Times New Roman" w:cs="Times New Roman"/>
          <w:i/>
          <w:iCs/>
          <w:kern w:val="2"/>
          <w:sz w:val="24"/>
          <w:szCs w:val="24"/>
          <w14:ligatures w14:val="standardContextual"/>
        </w:rPr>
        <w:t>International Journal of Food Properties</w:t>
      </w:r>
      <w:r w:rsidRPr="00645E77">
        <w:rPr>
          <w:rFonts w:ascii="Times New Roman" w:eastAsia="Calibri" w:hAnsi="Times New Roman" w:cs="Times New Roman"/>
          <w:kern w:val="2"/>
          <w:sz w:val="24"/>
          <w:szCs w:val="24"/>
          <w14:ligatures w14:val="standardContextual"/>
        </w:rPr>
        <w:t>, </w:t>
      </w:r>
      <w:r w:rsidRPr="00645E77">
        <w:rPr>
          <w:rFonts w:ascii="Times New Roman" w:eastAsia="Calibri" w:hAnsi="Times New Roman" w:cs="Times New Roman"/>
          <w:i/>
          <w:iCs/>
          <w:kern w:val="2"/>
          <w:sz w:val="24"/>
          <w:szCs w:val="24"/>
          <w14:ligatures w14:val="standardContextual"/>
        </w:rPr>
        <w:t>23</w:t>
      </w:r>
      <w:r w:rsidRPr="00645E77">
        <w:rPr>
          <w:rFonts w:ascii="Times New Roman" w:eastAsia="Calibri" w:hAnsi="Times New Roman" w:cs="Times New Roman"/>
          <w:kern w:val="2"/>
          <w:sz w:val="24"/>
          <w:szCs w:val="24"/>
          <w14:ligatures w14:val="standardContextual"/>
        </w:rPr>
        <w:t>(1), pp.1777-1791.</w:t>
      </w:r>
    </w:p>
    <w:p w14:paraId="6D176374" w14:textId="36851FCD" w:rsidR="00645E77" w:rsidRDefault="00645E77" w:rsidP="00136FEC">
      <w:pPr>
        <w:spacing w:after="160" w:line="259" w:lineRule="auto"/>
        <w:jc w:val="both"/>
        <w:rPr>
          <w:rFonts w:ascii="Times New Roman" w:eastAsia="Calibri" w:hAnsi="Times New Roman" w:cs="Times New Roman"/>
          <w:kern w:val="2"/>
          <w:sz w:val="24"/>
          <w:szCs w:val="24"/>
          <w14:ligatures w14:val="standardContextual"/>
        </w:rPr>
      </w:pPr>
      <w:r w:rsidRPr="00645E77">
        <w:rPr>
          <w:rFonts w:ascii="Times New Roman" w:eastAsia="Calibri" w:hAnsi="Times New Roman" w:cs="Times New Roman"/>
          <w:kern w:val="2"/>
          <w:sz w:val="24"/>
          <w:szCs w:val="24"/>
          <w14:ligatures w14:val="standardContextual"/>
        </w:rPr>
        <w:t>Fang, F., Tang, K. and Huang, W.D.</w:t>
      </w:r>
      <w:r w:rsidR="002B74B1">
        <w:rPr>
          <w:rFonts w:ascii="Times New Roman" w:eastAsia="Calibri" w:hAnsi="Times New Roman" w:cs="Times New Roman"/>
          <w:kern w:val="2"/>
          <w:sz w:val="24"/>
          <w:szCs w:val="24"/>
          <w14:ligatures w14:val="standardContextual"/>
        </w:rPr>
        <w:t xml:space="preserve"> (</w:t>
      </w:r>
      <w:r w:rsidRPr="00645E77">
        <w:rPr>
          <w:rFonts w:ascii="Times New Roman" w:eastAsia="Calibri" w:hAnsi="Times New Roman" w:cs="Times New Roman"/>
          <w:kern w:val="2"/>
          <w:sz w:val="24"/>
          <w:szCs w:val="24"/>
          <w14:ligatures w14:val="standardContextual"/>
        </w:rPr>
        <w:t>2013</w:t>
      </w:r>
      <w:r w:rsidR="002B74B1">
        <w:rPr>
          <w:rFonts w:ascii="Times New Roman" w:eastAsia="Calibri" w:hAnsi="Times New Roman" w:cs="Times New Roman"/>
          <w:kern w:val="2"/>
          <w:sz w:val="24"/>
          <w:szCs w:val="24"/>
          <w14:ligatures w14:val="standardContextual"/>
        </w:rPr>
        <w:t>)</w:t>
      </w:r>
      <w:r w:rsidRPr="00645E77">
        <w:rPr>
          <w:rFonts w:ascii="Times New Roman" w:eastAsia="Calibri" w:hAnsi="Times New Roman" w:cs="Times New Roman"/>
          <w:kern w:val="2"/>
          <w:sz w:val="24"/>
          <w:szCs w:val="24"/>
          <w14:ligatures w14:val="standardContextual"/>
        </w:rPr>
        <w:t xml:space="preserve">. Changes of </w:t>
      </w:r>
      <w:proofErr w:type="spellStart"/>
      <w:r w:rsidRPr="00645E77">
        <w:rPr>
          <w:rFonts w:ascii="Times New Roman" w:eastAsia="Calibri" w:hAnsi="Times New Roman" w:cs="Times New Roman"/>
          <w:kern w:val="2"/>
          <w:sz w:val="24"/>
          <w:szCs w:val="24"/>
          <w14:ligatures w14:val="standardContextual"/>
        </w:rPr>
        <w:t>flavonol</w:t>
      </w:r>
      <w:proofErr w:type="spellEnd"/>
      <w:r w:rsidRPr="00645E77">
        <w:rPr>
          <w:rFonts w:ascii="Times New Roman" w:eastAsia="Calibri" w:hAnsi="Times New Roman" w:cs="Times New Roman"/>
          <w:kern w:val="2"/>
          <w:sz w:val="24"/>
          <w:szCs w:val="24"/>
          <w14:ligatures w14:val="standardContextual"/>
        </w:rPr>
        <w:t xml:space="preserve"> synthase and </w:t>
      </w:r>
      <w:proofErr w:type="spellStart"/>
      <w:r w:rsidRPr="00645E77">
        <w:rPr>
          <w:rFonts w:ascii="Times New Roman" w:eastAsia="Calibri" w:hAnsi="Times New Roman" w:cs="Times New Roman"/>
          <w:kern w:val="2"/>
          <w:sz w:val="24"/>
          <w:szCs w:val="24"/>
          <w14:ligatures w14:val="standardContextual"/>
        </w:rPr>
        <w:t>flavonol</w:t>
      </w:r>
      <w:proofErr w:type="spellEnd"/>
      <w:r w:rsidRPr="00645E77">
        <w:rPr>
          <w:rFonts w:ascii="Times New Roman" w:eastAsia="Calibri" w:hAnsi="Times New Roman" w:cs="Times New Roman"/>
          <w:kern w:val="2"/>
          <w:sz w:val="24"/>
          <w:szCs w:val="24"/>
          <w14:ligatures w14:val="standardContextual"/>
        </w:rPr>
        <w:t xml:space="preserve"> contents during grape berry development. </w:t>
      </w:r>
      <w:r w:rsidRPr="00645E77">
        <w:rPr>
          <w:rFonts w:ascii="Times New Roman" w:eastAsia="Calibri" w:hAnsi="Times New Roman" w:cs="Times New Roman"/>
          <w:i/>
          <w:iCs/>
          <w:kern w:val="2"/>
          <w:sz w:val="24"/>
          <w:szCs w:val="24"/>
          <w14:ligatures w14:val="standardContextual"/>
        </w:rPr>
        <w:t>European Food Research and Technology</w:t>
      </w:r>
      <w:r w:rsidRPr="00645E77">
        <w:rPr>
          <w:rFonts w:ascii="Times New Roman" w:eastAsia="Calibri" w:hAnsi="Times New Roman" w:cs="Times New Roman"/>
          <w:kern w:val="2"/>
          <w:sz w:val="24"/>
          <w:szCs w:val="24"/>
          <w14:ligatures w14:val="standardContextual"/>
        </w:rPr>
        <w:t>, </w:t>
      </w:r>
      <w:r w:rsidRPr="00645E77">
        <w:rPr>
          <w:rFonts w:ascii="Times New Roman" w:eastAsia="Calibri" w:hAnsi="Times New Roman" w:cs="Times New Roman"/>
          <w:i/>
          <w:iCs/>
          <w:kern w:val="2"/>
          <w:sz w:val="24"/>
          <w:szCs w:val="24"/>
          <w14:ligatures w14:val="standardContextual"/>
        </w:rPr>
        <w:t>237</w:t>
      </w:r>
      <w:r w:rsidRPr="00645E77">
        <w:rPr>
          <w:rFonts w:ascii="Times New Roman" w:eastAsia="Calibri" w:hAnsi="Times New Roman" w:cs="Times New Roman"/>
          <w:kern w:val="2"/>
          <w:sz w:val="24"/>
          <w:szCs w:val="24"/>
          <w14:ligatures w14:val="standardContextual"/>
        </w:rPr>
        <w:t>(4), pp.529-540.</w:t>
      </w:r>
    </w:p>
    <w:p w14:paraId="0863599C" w14:textId="459D53FF" w:rsidR="00645E77" w:rsidRDefault="00645E77" w:rsidP="00136FEC">
      <w:pPr>
        <w:spacing w:after="160" w:line="259" w:lineRule="auto"/>
        <w:jc w:val="both"/>
        <w:rPr>
          <w:rFonts w:ascii="Times New Roman" w:eastAsia="Calibri" w:hAnsi="Times New Roman" w:cs="Times New Roman"/>
          <w:kern w:val="2"/>
          <w:sz w:val="24"/>
          <w:szCs w:val="24"/>
          <w14:ligatures w14:val="standardContextual"/>
        </w:rPr>
      </w:pPr>
      <w:r w:rsidRPr="00645E77">
        <w:rPr>
          <w:rFonts w:ascii="Times New Roman" w:eastAsia="Calibri" w:hAnsi="Times New Roman" w:cs="Times New Roman"/>
          <w:kern w:val="2"/>
          <w:sz w:val="24"/>
          <w:szCs w:val="24"/>
          <w14:ligatures w14:val="standardContextual"/>
        </w:rPr>
        <w:t>Kapoor, D., Singh, S., Kumar, V., Romero, R., Prasad, R. and Singh, J.</w:t>
      </w:r>
      <w:r w:rsidR="002B74B1">
        <w:rPr>
          <w:rFonts w:ascii="Times New Roman" w:eastAsia="Calibri" w:hAnsi="Times New Roman" w:cs="Times New Roman"/>
          <w:kern w:val="2"/>
          <w:sz w:val="24"/>
          <w:szCs w:val="24"/>
          <w14:ligatures w14:val="standardContextual"/>
        </w:rPr>
        <w:t xml:space="preserve"> (</w:t>
      </w:r>
      <w:r w:rsidRPr="00645E77">
        <w:rPr>
          <w:rFonts w:ascii="Times New Roman" w:eastAsia="Calibri" w:hAnsi="Times New Roman" w:cs="Times New Roman"/>
          <w:kern w:val="2"/>
          <w:sz w:val="24"/>
          <w:szCs w:val="24"/>
          <w14:ligatures w14:val="standardContextual"/>
        </w:rPr>
        <w:t>2019</w:t>
      </w:r>
      <w:r w:rsidR="002B74B1">
        <w:rPr>
          <w:rFonts w:ascii="Times New Roman" w:eastAsia="Calibri" w:hAnsi="Times New Roman" w:cs="Times New Roman"/>
          <w:kern w:val="2"/>
          <w:sz w:val="24"/>
          <w:szCs w:val="24"/>
          <w14:ligatures w14:val="standardContextual"/>
        </w:rPr>
        <w:t>)</w:t>
      </w:r>
      <w:r w:rsidRPr="00645E77">
        <w:rPr>
          <w:rFonts w:ascii="Times New Roman" w:eastAsia="Calibri" w:hAnsi="Times New Roman" w:cs="Times New Roman"/>
          <w:kern w:val="2"/>
          <w:sz w:val="24"/>
          <w:szCs w:val="24"/>
          <w14:ligatures w14:val="standardContextual"/>
        </w:rPr>
        <w:t>. Antioxidant enzymes regulation in plants in reference to reactive oxygen species (ROS) and reactive nitrogen species (RNS). </w:t>
      </w:r>
      <w:r w:rsidRPr="00645E77">
        <w:rPr>
          <w:rFonts w:ascii="Times New Roman" w:eastAsia="Calibri" w:hAnsi="Times New Roman" w:cs="Times New Roman"/>
          <w:i/>
          <w:iCs/>
          <w:kern w:val="2"/>
          <w:sz w:val="24"/>
          <w:szCs w:val="24"/>
          <w14:ligatures w14:val="standardContextual"/>
        </w:rPr>
        <w:t>Plant gene</w:t>
      </w:r>
      <w:r w:rsidRPr="00645E77">
        <w:rPr>
          <w:rFonts w:ascii="Times New Roman" w:eastAsia="Calibri" w:hAnsi="Times New Roman" w:cs="Times New Roman"/>
          <w:kern w:val="2"/>
          <w:sz w:val="24"/>
          <w:szCs w:val="24"/>
          <w14:ligatures w14:val="standardContextual"/>
        </w:rPr>
        <w:t>, </w:t>
      </w:r>
      <w:r w:rsidRPr="00645E77">
        <w:rPr>
          <w:rFonts w:ascii="Times New Roman" w:eastAsia="Calibri" w:hAnsi="Times New Roman" w:cs="Times New Roman"/>
          <w:i/>
          <w:iCs/>
          <w:kern w:val="2"/>
          <w:sz w:val="24"/>
          <w:szCs w:val="24"/>
          <w14:ligatures w14:val="standardContextual"/>
        </w:rPr>
        <w:t>19</w:t>
      </w:r>
      <w:r w:rsidRPr="00645E77">
        <w:rPr>
          <w:rFonts w:ascii="Times New Roman" w:eastAsia="Calibri" w:hAnsi="Times New Roman" w:cs="Times New Roman"/>
          <w:kern w:val="2"/>
          <w:sz w:val="24"/>
          <w:szCs w:val="24"/>
          <w14:ligatures w14:val="standardContextual"/>
        </w:rPr>
        <w:t>, p.100182.</w:t>
      </w:r>
    </w:p>
    <w:p w14:paraId="30E373D6" w14:textId="6289E7A3" w:rsidR="001C6BFF" w:rsidRDefault="001C6BFF" w:rsidP="00136FEC">
      <w:pPr>
        <w:spacing w:after="160" w:line="259" w:lineRule="auto"/>
        <w:jc w:val="both"/>
        <w:rPr>
          <w:rFonts w:ascii="Times New Roman" w:eastAsia="Calibri" w:hAnsi="Times New Roman" w:cs="Times New Roman"/>
          <w:kern w:val="2"/>
          <w:sz w:val="24"/>
          <w:szCs w:val="24"/>
          <w14:ligatures w14:val="standardContextual"/>
        </w:rPr>
      </w:pPr>
      <w:r w:rsidRPr="001C6BFF">
        <w:rPr>
          <w:rFonts w:ascii="Times New Roman" w:eastAsia="Calibri" w:hAnsi="Times New Roman" w:cs="Times New Roman"/>
          <w:kern w:val="2"/>
          <w:sz w:val="24"/>
          <w:szCs w:val="24"/>
          <w14:ligatures w14:val="standardContextual"/>
        </w:rPr>
        <w:t>Al-</w:t>
      </w:r>
      <w:proofErr w:type="spellStart"/>
      <w:r w:rsidRPr="001C6BFF">
        <w:rPr>
          <w:rFonts w:ascii="Times New Roman" w:eastAsia="Calibri" w:hAnsi="Times New Roman" w:cs="Times New Roman"/>
          <w:kern w:val="2"/>
          <w:sz w:val="24"/>
          <w:szCs w:val="24"/>
          <w14:ligatures w14:val="standardContextual"/>
        </w:rPr>
        <w:t>safei</w:t>
      </w:r>
      <w:proofErr w:type="spellEnd"/>
      <w:r w:rsidRPr="001C6BFF">
        <w:rPr>
          <w:rFonts w:ascii="Times New Roman" w:eastAsia="Calibri" w:hAnsi="Times New Roman" w:cs="Times New Roman"/>
          <w:kern w:val="2"/>
          <w:sz w:val="24"/>
          <w:szCs w:val="24"/>
          <w14:ligatures w14:val="standardContextual"/>
        </w:rPr>
        <w:t>, A.N. and Al-</w:t>
      </w:r>
      <w:proofErr w:type="spellStart"/>
      <w:r w:rsidRPr="001C6BFF">
        <w:rPr>
          <w:rFonts w:ascii="Times New Roman" w:eastAsia="Calibri" w:hAnsi="Times New Roman" w:cs="Times New Roman"/>
          <w:kern w:val="2"/>
          <w:sz w:val="24"/>
          <w:szCs w:val="24"/>
          <w14:ligatures w14:val="standardContextual"/>
        </w:rPr>
        <w:t>Mashhadane</w:t>
      </w:r>
      <w:proofErr w:type="spellEnd"/>
      <w:r w:rsidRPr="001C6BFF">
        <w:rPr>
          <w:rFonts w:ascii="Times New Roman" w:eastAsia="Calibri" w:hAnsi="Times New Roman" w:cs="Times New Roman"/>
          <w:kern w:val="2"/>
          <w:sz w:val="24"/>
          <w:szCs w:val="24"/>
          <w14:ligatures w14:val="standardContextual"/>
        </w:rPr>
        <w:t>, F.A.</w:t>
      </w:r>
      <w:r w:rsidR="002B74B1">
        <w:rPr>
          <w:rFonts w:ascii="Times New Roman" w:eastAsia="Calibri" w:hAnsi="Times New Roman" w:cs="Times New Roman"/>
          <w:kern w:val="2"/>
          <w:sz w:val="24"/>
          <w:szCs w:val="24"/>
          <w14:ligatures w14:val="standardContextual"/>
        </w:rPr>
        <w:t xml:space="preserve"> (</w:t>
      </w:r>
      <w:r w:rsidRPr="001C6BFF">
        <w:rPr>
          <w:rFonts w:ascii="Times New Roman" w:eastAsia="Calibri" w:hAnsi="Times New Roman" w:cs="Times New Roman"/>
          <w:kern w:val="2"/>
          <w:sz w:val="24"/>
          <w:szCs w:val="24"/>
          <w14:ligatures w14:val="standardContextual"/>
        </w:rPr>
        <w:t>2021</w:t>
      </w:r>
      <w:r w:rsidR="002B74B1">
        <w:rPr>
          <w:rFonts w:ascii="Times New Roman" w:eastAsia="Calibri" w:hAnsi="Times New Roman" w:cs="Times New Roman"/>
          <w:kern w:val="2"/>
          <w:sz w:val="24"/>
          <w:szCs w:val="24"/>
          <w14:ligatures w14:val="standardContextual"/>
        </w:rPr>
        <w:t>)</w:t>
      </w:r>
      <w:r w:rsidRPr="001C6BFF">
        <w:rPr>
          <w:rFonts w:ascii="Times New Roman" w:eastAsia="Calibri" w:hAnsi="Times New Roman" w:cs="Times New Roman"/>
          <w:kern w:val="2"/>
          <w:sz w:val="24"/>
          <w:szCs w:val="24"/>
          <w14:ligatures w14:val="standardContextual"/>
        </w:rPr>
        <w:t>. Effects of sodium fluoride on liver and kidney in rabbits. </w:t>
      </w:r>
      <w:r w:rsidRPr="001C6BFF">
        <w:rPr>
          <w:rFonts w:ascii="Times New Roman" w:eastAsia="Calibri" w:hAnsi="Times New Roman" w:cs="Times New Roman"/>
          <w:i/>
          <w:iCs/>
          <w:kern w:val="2"/>
          <w:sz w:val="24"/>
          <w:szCs w:val="24"/>
          <w14:ligatures w14:val="standardContextual"/>
        </w:rPr>
        <w:t>Egyptian Journal of Chemistry</w:t>
      </w:r>
      <w:r w:rsidRPr="001C6BFF">
        <w:rPr>
          <w:rFonts w:ascii="Times New Roman" w:eastAsia="Calibri" w:hAnsi="Times New Roman" w:cs="Times New Roman"/>
          <w:kern w:val="2"/>
          <w:sz w:val="24"/>
          <w:szCs w:val="24"/>
          <w14:ligatures w14:val="standardContextual"/>
        </w:rPr>
        <w:t>, </w:t>
      </w:r>
      <w:r w:rsidRPr="001C6BFF">
        <w:rPr>
          <w:rFonts w:ascii="Times New Roman" w:eastAsia="Calibri" w:hAnsi="Times New Roman" w:cs="Times New Roman"/>
          <w:i/>
          <w:iCs/>
          <w:kern w:val="2"/>
          <w:sz w:val="24"/>
          <w:szCs w:val="24"/>
          <w14:ligatures w14:val="standardContextual"/>
        </w:rPr>
        <w:t>64</w:t>
      </w:r>
      <w:r w:rsidRPr="001C6BFF">
        <w:rPr>
          <w:rFonts w:ascii="Times New Roman" w:eastAsia="Calibri" w:hAnsi="Times New Roman" w:cs="Times New Roman"/>
          <w:kern w:val="2"/>
          <w:sz w:val="24"/>
          <w:szCs w:val="24"/>
          <w14:ligatures w14:val="standardContextual"/>
        </w:rPr>
        <w:t>(10), pp.5521-5528.</w:t>
      </w:r>
    </w:p>
    <w:p w14:paraId="00D7970F" w14:textId="0BF43776" w:rsidR="001C6BFF" w:rsidRDefault="001C6BFF" w:rsidP="00136FEC">
      <w:pPr>
        <w:spacing w:after="160" w:line="259" w:lineRule="auto"/>
        <w:jc w:val="both"/>
        <w:rPr>
          <w:rFonts w:ascii="Times New Roman" w:eastAsia="Calibri" w:hAnsi="Times New Roman" w:cs="Times New Roman"/>
          <w:kern w:val="2"/>
          <w:sz w:val="24"/>
          <w:szCs w:val="24"/>
          <w14:ligatures w14:val="standardContextual"/>
        </w:rPr>
      </w:pPr>
      <w:r w:rsidRPr="001C6BFF">
        <w:rPr>
          <w:rFonts w:ascii="Times New Roman" w:eastAsia="Calibri" w:hAnsi="Times New Roman" w:cs="Times New Roman"/>
          <w:kern w:val="2"/>
          <w:sz w:val="24"/>
          <w:szCs w:val="24"/>
          <w14:ligatures w14:val="standardContextual"/>
        </w:rPr>
        <w:t xml:space="preserve">Caliri, A.W., Tommasi, S. and </w:t>
      </w:r>
      <w:proofErr w:type="spellStart"/>
      <w:r w:rsidRPr="001C6BFF">
        <w:rPr>
          <w:rFonts w:ascii="Times New Roman" w:eastAsia="Calibri" w:hAnsi="Times New Roman" w:cs="Times New Roman"/>
          <w:kern w:val="2"/>
          <w:sz w:val="24"/>
          <w:szCs w:val="24"/>
          <w14:ligatures w14:val="standardContextual"/>
        </w:rPr>
        <w:t>Besaratinia</w:t>
      </w:r>
      <w:proofErr w:type="spellEnd"/>
      <w:r w:rsidRPr="001C6BFF">
        <w:rPr>
          <w:rFonts w:ascii="Times New Roman" w:eastAsia="Calibri" w:hAnsi="Times New Roman" w:cs="Times New Roman"/>
          <w:kern w:val="2"/>
          <w:sz w:val="24"/>
          <w:szCs w:val="24"/>
          <w14:ligatures w14:val="standardContextual"/>
        </w:rPr>
        <w:t>, A.</w:t>
      </w:r>
      <w:r w:rsidR="002B74B1">
        <w:rPr>
          <w:rFonts w:ascii="Times New Roman" w:eastAsia="Calibri" w:hAnsi="Times New Roman" w:cs="Times New Roman"/>
          <w:kern w:val="2"/>
          <w:sz w:val="24"/>
          <w:szCs w:val="24"/>
          <w14:ligatures w14:val="standardContextual"/>
        </w:rPr>
        <w:t xml:space="preserve"> (</w:t>
      </w:r>
      <w:r w:rsidRPr="001C6BFF">
        <w:rPr>
          <w:rFonts w:ascii="Times New Roman" w:eastAsia="Calibri" w:hAnsi="Times New Roman" w:cs="Times New Roman"/>
          <w:kern w:val="2"/>
          <w:sz w:val="24"/>
          <w:szCs w:val="24"/>
          <w14:ligatures w14:val="standardContextual"/>
        </w:rPr>
        <w:t>2021</w:t>
      </w:r>
      <w:r w:rsidR="002B74B1">
        <w:rPr>
          <w:rFonts w:ascii="Times New Roman" w:eastAsia="Calibri" w:hAnsi="Times New Roman" w:cs="Times New Roman"/>
          <w:kern w:val="2"/>
          <w:sz w:val="24"/>
          <w:szCs w:val="24"/>
          <w14:ligatures w14:val="standardContextual"/>
        </w:rPr>
        <w:t>)</w:t>
      </w:r>
      <w:r w:rsidRPr="001C6BFF">
        <w:rPr>
          <w:rFonts w:ascii="Times New Roman" w:eastAsia="Calibri" w:hAnsi="Times New Roman" w:cs="Times New Roman"/>
          <w:kern w:val="2"/>
          <w:sz w:val="24"/>
          <w:szCs w:val="24"/>
          <w14:ligatures w14:val="standardContextual"/>
        </w:rPr>
        <w:t>. Relationships among smoking, oxidative stress, inflammation, macromolecular damage, and cancer. </w:t>
      </w:r>
      <w:r w:rsidRPr="001C6BFF">
        <w:rPr>
          <w:rFonts w:ascii="Times New Roman" w:eastAsia="Calibri" w:hAnsi="Times New Roman" w:cs="Times New Roman"/>
          <w:i/>
          <w:iCs/>
          <w:kern w:val="2"/>
          <w:sz w:val="24"/>
          <w:szCs w:val="24"/>
          <w14:ligatures w14:val="standardContextual"/>
        </w:rPr>
        <w:t>Mutation Research/Reviews in Mutation Research</w:t>
      </w:r>
      <w:r w:rsidRPr="001C6BFF">
        <w:rPr>
          <w:rFonts w:ascii="Times New Roman" w:eastAsia="Calibri" w:hAnsi="Times New Roman" w:cs="Times New Roman"/>
          <w:kern w:val="2"/>
          <w:sz w:val="24"/>
          <w:szCs w:val="24"/>
          <w14:ligatures w14:val="standardContextual"/>
        </w:rPr>
        <w:t>, </w:t>
      </w:r>
      <w:r w:rsidRPr="001C6BFF">
        <w:rPr>
          <w:rFonts w:ascii="Times New Roman" w:eastAsia="Calibri" w:hAnsi="Times New Roman" w:cs="Times New Roman"/>
          <w:i/>
          <w:iCs/>
          <w:kern w:val="2"/>
          <w:sz w:val="24"/>
          <w:szCs w:val="24"/>
          <w14:ligatures w14:val="standardContextual"/>
        </w:rPr>
        <w:t>787</w:t>
      </w:r>
      <w:r w:rsidRPr="001C6BFF">
        <w:rPr>
          <w:rFonts w:ascii="Times New Roman" w:eastAsia="Calibri" w:hAnsi="Times New Roman" w:cs="Times New Roman"/>
          <w:kern w:val="2"/>
          <w:sz w:val="24"/>
          <w:szCs w:val="24"/>
          <w14:ligatures w14:val="standardContextual"/>
        </w:rPr>
        <w:t>, p.108365.</w:t>
      </w:r>
    </w:p>
    <w:p w14:paraId="4460EB53" w14:textId="791D48C5" w:rsidR="001C6BFF" w:rsidRDefault="001C6BFF" w:rsidP="00136FEC">
      <w:pPr>
        <w:spacing w:after="160" w:line="259" w:lineRule="auto"/>
        <w:jc w:val="both"/>
        <w:rPr>
          <w:rFonts w:ascii="Times New Roman" w:eastAsia="Calibri" w:hAnsi="Times New Roman" w:cs="Times New Roman"/>
          <w:kern w:val="2"/>
          <w:sz w:val="24"/>
          <w:szCs w:val="24"/>
          <w14:ligatures w14:val="standardContextual"/>
        </w:rPr>
      </w:pPr>
      <w:proofErr w:type="spellStart"/>
      <w:r w:rsidRPr="001C6BFF">
        <w:rPr>
          <w:rFonts w:ascii="Times New Roman" w:eastAsia="Calibri" w:hAnsi="Times New Roman" w:cs="Times New Roman"/>
          <w:kern w:val="2"/>
          <w:sz w:val="24"/>
          <w:szCs w:val="24"/>
          <w14:ligatures w14:val="standardContextual"/>
        </w:rPr>
        <w:t>Tsikas</w:t>
      </w:r>
      <w:proofErr w:type="spellEnd"/>
      <w:r w:rsidRPr="001C6BFF">
        <w:rPr>
          <w:rFonts w:ascii="Times New Roman" w:eastAsia="Calibri" w:hAnsi="Times New Roman" w:cs="Times New Roman"/>
          <w:kern w:val="2"/>
          <w:sz w:val="24"/>
          <w:szCs w:val="24"/>
          <w14:ligatures w14:val="standardContextual"/>
        </w:rPr>
        <w:t xml:space="preserve">, D. and </w:t>
      </w:r>
      <w:proofErr w:type="spellStart"/>
      <w:r w:rsidRPr="001C6BFF">
        <w:rPr>
          <w:rFonts w:ascii="Times New Roman" w:eastAsia="Calibri" w:hAnsi="Times New Roman" w:cs="Times New Roman"/>
          <w:kern w:val="2"/>
          <w:sz w:val="24"/>
          <w:szCs w:val="24"/>
          <w14:ligatures w14:val="standardContextual"/>
        </w:rPr>
        <w:t>Mikuteit</w:t>
      </w:r>
      <w:proofErr w:type="spellEnd"/>
      <w:r w:rsidRPr="001C6BFF">
        <w:rPr>
          <w:rFonts w:ascii="Times New Roman" w:eastAsia="Calibri" w:hAnsi="Times New Roman" w:cs="Times New Roman"/>
          <w:kern w:val="2"/>
          <w:sz w:val="24"/>
          <w:szCs w:val="24"/>
          <w14:ligatures w14:val="standardContextual"/>
        </w:rPr>
        <w:t>, M.</w:t>
      </w:r>
      <w:r w:rsidR="002B74B1">
        <w:rPr>
          <w:rFonts w:ascii="Times New Roman" w:eastAsia="Calibri" w:hAnsi="Times New Roman" w:cs="Times New Roman"/>
          <w:kern w:val="2"/>
          <w:sz w:val="24"/>
          <w:szCs w:val="24"/>
          <w14:ligatures w14:val="standardContextual"/>
        </w:rPr>
        <w:t xml:space="preserve"> (</w:t>
      </w:r>
      <w:r w:rsidRPr="001C6BFF">
        <w:rPr>
          <w:rFonts w:ascii="Times New Roman" w:eastAsia="Calibri" w:hAnsi="Times New Roman" w:cs="Times New Roman"/>
          <w:kern w:val="2"/>
          <w:sz w:val="24"/>
          <w:szCs w:val="24"/>
          <w14:ligatures w14:val="standardContextual"/>
        </w:rPr>
        <w:t>2022</w:t>
      </w:r>
      <w:r w:rsidR="002B74B1">
        <w:rPr>
          <w:rFonts w:ascii="Times New Roman" w:eastAsia="Calibri" w:hAnsi="Times New Roman" w:cs="Times New Roman"/>
          <w:kern w:val="2"/>
          <w:sz w:val="24"/>
          <w:szCs w:val="24"/>
          <w14:ligatures w14:val="standardContextual"/>
        </w:rPr>
        <w:t>)</w:t>
      </w:r>
      <w:r w:rsidRPr="001C6BFF">
        <w:rPr>
          <w:rFonts w:ascii="Times New Roman" w:eastAsia="Calibri" w:hAnsi="Times New Roman" w:cs="Times New Roman"/>
          <w:kern w:val="2"/>
          <w:sz w:val="24"/>
          <w:szCs w:val="24"/>
          <w14:ligatures w14:val="standardContextual"/>
        </w:rPr>
        <w:t>. N-Acetyl-L-cysteine in human rheumatoid arthritis and its effects on nitric oxide (NO) and malondialdehyde (MDA): analytical and clinical considerations. </w:t>
      </w:r>
      <w:r w:rsidRPr="001C6BFF">
        <w:rPr>
          <w:rFonts w:ascii="Times New Roman" w:eastAsia="Calibri" w:hAnsi="Times New Roman" w:cs="Times New Roman"/>
          <w:i/>
          <w:iCs/>
          <w:kern w:val="2"/>
          <w:sz w:val="24"/>
          <w:szCs w:val="24"/>
          <w14:ligatures w14:val="standardContextual"/>
        </w:rPr>
        <w:t>Amino Acids</w:t>
      </w:r>
      <w:r w:rsidRPr="001C6BFF">
        <w:rPr>
          <w:rFonts w:ascii="Times New Roman" w:eastAsia="Calibri" w:hAnsi="Times New Roman" w:cs="Times New Roman"/>
          <w:kern w:val="2"/>
          <w:sz w:val="24"/>
          <w:szCs w:val="24"/>
          <w14:ligatures w14:val="standardContextual"/>
        </w:rPr>
        <w:t>, </w:t>
      </w:r>
      <w:r w:rsidRPr="001C6BFF">
        <w:rPr>
          <w:rFonts w:ascii="Times New Roman" w:eastAsia="Calibri" w:hAnsi="Times New Roman" w:cs="Times New Roman"/>
          <w:i/>
          <w:iCs/>
          <w:kern w:val="2"/>
          <w:sz w:val="24"/>
          <w:szCs w:val="24"/>
          <w14:ligatures w14:val="standardContextual"/>
        </w:rPr>
        <w:t>54</w:t>
      </w:r>
      <w:r w:rsidRPr="001C6BFF">
        <w:rPr>
          <w:rFonts w:ascii="Times New Roman" w:eastAsia="Calibri" w:hAnsi="Times New Roman" w:cs="Times New Roman"/>
          <w:kern w:val="2"/>
          <w:sz w:val="24"/>
          <w:szCs w:val="24"/>
          <w14:ligatures w14:val="standardContextual"/>
        </w:rPr>
        <w:t>(9), pp.1251-1260.</w:t>
      </w:r>
    </w:p>
    <w:p w14:paraId="2C3AC3BD" w14:textId="176AC2B1" w:rsidR="00F330C7" w:rsidRDefault="00F330C7" w:rsidP="00136FEC">
      <w:pPr>
        <w:spacing w:after="160" w:line="259" w:lineRule="auto"/>
        <w:jc w:val="both"/>
        <w:rPr>
          <w:rFonts w:ascii="Times New Roman" w:eastAsia="Calibri" w:hAnsi="Times New Roman" w:cs="Times New Roman"/>
          <w:kern w:val="2"/>
          <w:sz w:val="24"/>
          <w:szCs w:val="24"/>
          <w14:ligatures w14:val="standardContextual"/>
        </w:rPr>
      </w:pPr>
      <w:r w:rsidRPr="00F330C7">
        <w:rPr>
          <w:rFonts w:ascii="Times New Roman" w:eastAsia="Calibri" w:hAnsi="Times New Roman" w:cs="Times New Roman"/>
          <w:kern w:val="2"/>
          <w:sz w:val="24"/>
          <w:szCs w:val="24"/>
          <w14:ligatures w14:val="standardContextual"/>
        </w:rPr>
        <w:t>Prasad, R. and Prasad, S.B.</w:t>
      </w:r>
      <w:r w:rsidR="002B74B1">
        <w:rPr>
          <w:rFonts w:ascii="Times New Roman" w:eastAsia="Calibri" w:hAnsi="Times New Roman" w:cs="Times New Roman"/>
          <w:kern w:val="2"/>
          <w:sz w:val="24"/>
          <w:szCs w:val="24"/>
          <w14:ligatures w14:val="standardContextual"/>
        </w:rPr>
        <w:t xml:space="preserve"> (</w:t>
      </w:r>
      <w:r w:rsidRPr="00F330C7">
        <w:rPr>
          <w:rFonts w:ascii="Times New Roman" w:eastAsia="Calibri" w:hAnsi="Times New Roman" w:cs="Times New Roman"/>
          <w:kern w:val="2"/>
          <w:sz w:val="24"/>
          <w:szCs w:val="24"/>
          <w14:ligatures w14:val="standardContextual"/>
        </w:rPr>
        <w:t>2019</w:t>
      </w:r>
      <w:r w:rsidR="002B74B1">
        <w:rPr>
          <w:rFonts w:ascii="Times New Roman" w:eastAsia="Calibri" w:hAnsi="Times New Roman" w:cs="Times New Roman"/>
          <w:kern w:val="2"/>
          <w:sz w:val="24"/>
          <w:szCs w:val="24"/>
          <w14:ligatures w14:val="standardContextual"/>
        </w:rPr>
        <w:t>)</w:t>
      </w:r>
      <w:r w:rsidRPr="00F330C7">
        <w:rPr>
          <w:rFonts w:ascii="Times New Roman" w:eastAsia="Calibri" w:hAnsi="Times New Roman" w:cs="Times New Roman"/>
          <w:kern w:val="2"/>
          <w:sz w:val="24"/>
          <w:szCs w:val="24"/>
          <w14:ligatures w14:val="standardContextual"/>
        </w:rPr>
        <w:t>. A review on the chemistry and biological properties of Rutin, a promising nutraceutical agent. </w:t>
      </w:r>
      <w:r w:rsidRPr="00F330C7">
        <w:rPr>
          <w:rFonts w:ascii="Times New Roman" w:eastAsia="Calibri" w:hAnsi="Times New Roman" w:cs="Times New Roman"/>
          <w:i/>
          <w:iCs/>
          <w:kern w:val="2"/>
          <w:sz w:val="24"/>
          <w:szCs w:val="24"/>
          <w14:ligatures w14:val="standardContextual"/>
        </w:rPr>
        <w:t xml:space="preserve">Asian J. Pharm. </w:t>
      </w:r>
      <w:proofErr w:type="spellStart"/>
      <w:r w:rsidRPr="00F330C7">
        <w:rPr>
          <w:rFonts w:ascii="Times New Roman" w:eastAsia="Calibri" w:hAnsi="Times New Roman" w:cs="Times New Roman"/>
          <w:i/>
          <w:iCs/>
          <w:kern w:val="2"/>
          <w:sz w:val="24"/>
          <w:szCs w:val="24"/>
          <w14:ligatures w14:val="standardContextual"/>
        </w:rPr>
        <w:t>Pharmacol</w:t>
      </w:r>
      <w:proofErr w:type="spellEnd"/>
      <w:r w:rsidRPr="00F330C7">
        <w:rPr>
          <w:rFonts w:ascii="Times New Roman" w:eastAsia="Calibri" w:hAnsi="Times New Roman" w:cs="Times New Roman"/>
          <w:kern w:val="2"/>
          <w:sz w:val="24"/>
          <w:szCs w:val="24"/>
          <w14:ligatures w14:val="standardContextual"/>
        </w:rPr>
        <w:t>, </w:t>
      </w:r>
      <w:r w:rsidRPr="00F330C7">
        <w:rPr>
          <w:rFonts w:ascii="Times New Roman" w:eastAsia="Calibri" w:hAnsi="Times New Roman" w:cs="Times New Roman"/>
          <w:i/>
          <w:iCs/>
          <w:kern w:val="2"/>
          <w:sz w:val="24"/>
          <w:szCs w:val="24"/>
          <w14:ligatures w14:val="standardContextual"/>
        </w:rPr>
        <w:t>5</w:t>
      </w:r>
      <w:r w:rsidRPr="00F330C7">
        <w:rPr>
          <w:rFonts w:ascii="Times New Roman" w:eastAsia="Calibri" w:hAnsi="Times New Roman" w:cs="Times New Roman"/>
          <w:kern w:val="2"/>
          <w:sz w:val="24"/>
          <w:szCs w:val="24"/>
          <w14:ligatures w14:val="standardContextual"/>
        </w:rPr>
        <w:t>(1), pp.1-20.</w:t>
      </w:r>
    </w:p>
    <w:p w14:paraId="652CF6F6" w14:textId="6377F871" w:rsidR="007F6879" w:rsidRDefault="007F6879" w:rsidP="00136FEC">
      <w:pPr>
        <w:spacing w:after="160" w:line="259" w:lineRule="auto"/>
        <w:jc w:val="both"/>
        <w:rPr>
          <w:rFonts w:ascii="Times New Roman" w:eastAsia="Calibri" w:hAnsi="Times New Roman" w:cs="Times New Roman"/>
          <w:kern w:val="2"/>
          <w:sz w:val="24"/>
          <w:szCs w:val="24"/>
          <w14:ligatures w14:val="standardContextual"/>
        </w:rPr>
      </w:pPr>
      <w:r w:rsidRPr="007F6879">
        <w:rPr>
          <w:rFonts w:ascii="Times New Roman" w:eastAsia="Calibri" w:hAnsi="Times New Roman" w:cs="Times New Roman"/>
          <w:kern w:val="2"/>
          <w:sz w:val="24"/>
          <w:szCs w:val="24"/>
          <w:highlight w:val="yellow"/>
          <w14:ligatures w14:val="standardContextual"/>
        </w:rPr>
        <w:lastRenderedPageBreak/>
        <w:t xml:space="preserve">Ansari, W.A., Srivastava, K., Nasibullah, M. and Khan, </w:t>
      </w:r>
      <w:proofErr w:type="gramStart"/>
      <w:r w:rsidRPr="007F6879">
        <w:rPr>
          <w:rFonts w:ascii="Times New Roman" w:eastAsia="Calibri" w:hAnsi="Times New Roman" w:cs="Times New Roman"/>
          <w:kern w:val="2"/>
          <w:sz w:val="24"/>
          <w:szCs w:val="24"/>
          <w:highlight w:val="yellow"/>
          <w14:ligatures w14:val="standardContextual"/>
        </w:rPr>
        <w:t>M.F.(</w:t>
      </w:r>
      <w:proofErr w:type="gramEnd"/>
      <w:r w:rsidRPr="007F6879">
        <w:rPr>
          <w:rFonts w:ascii="Times New Roman" w:eastAsia="Calibri" w:hAnsi="Times New Roman" w:cs="Times New Roman"/>
          <w:kern w:val="2"/>
          <w:sz w:val="24"/>
          <w:szCs w:val="24"/>
          <w:highlight w:val="yellow"/>
          <w14:ligatures w14:val="standardContextual"/>
        </w:rPr>
        <w:t>2025). Reactive oxygen species (ROS): sources, generation, disease pathophysiology, and antioxidants. </w:t>
      </w:r>
      <w:r w:rsidRPr="007F6879">
        <w:rPr>
          <w:rFonts w:ascii="Times New Roman" w:eastAsia="Calibri" w:hAnsi="Times New Roman" w:cs="Times New Roman"/>
          <w:i/>
          <w:iCs/>
          <w:kern w:val="2"/>
          <w:sz w:val="24"/>
          <w:szCs w:val="24"/>
          <w:highlight w:val="yellow"/>
          <w14:ligatures w14:val="standardContextual"/>
        </w:rPr>
        <w:t>Discover Chemistry</w:t>
      </w:r>
      <w:r w:rsidRPr="007F6879">
        <w:rPr>
          <w:rFonts w:ascii="Times New Roman" w:eastAsia="Calibri" w:hAnsi="Times New Roman" w:cs="Times New Roman"/>
          <w:kern w:val="2"/>
          <w:sz w:val="24"/>
          <w:szCs w:val="24"/>
          <w:highlight w:val="yellow"/>
          <w14:ligatures w14:val="standardContextual"/>
        </w:rPr>
        <w:t>, </w:t>
      </w:r>
      <w:r w:rsidRPr="007F6879">
        <w:rPr>
          <w:rFonts w:ascii="Times New Roman" w:eastAsia="Calibri" w:hAnsi="Times New Roman" w:cs="Times New Roman"/>
          <w:i/>
          <w:iCs/>
          <w:kern w:val="2"/>
          <w:sz w:val="24"/>
          <w:szCs w:val="24"/>
          <w:highlight w:val="yellow"/>
          <w14:ligatures w14:val="standardContextual"/>
        </w:rPr>
        <w:t>2</w:t>
      </w:r>
      <w:r w:rsidRPr="007F6879">
        <w:rPr>
          <w:rFonts w:ascii="Times New Roman" w:eastAsia="Calibri" w:hAnsi="Times New Roman" w:cs="Times New Roman"/>
          <w:kern w:val="2"/>
          <w:sz w:val="24"/>
          <w:szCs w:val="24"/>
          <w:highlight w:val="yellow"/>
          <w14:ligatures w14:val="standardContextual"/>
        </w:rPr>
        <w:t>(1), p.191.</w:t>
      </w:r>
    </w:p>
    <w:p w14:paraId="581698F5" w14:textId="7C385F16" w:rsidR="00F330C7" w:rsidRDefault="00F330C7" w:rsidP="00136FEC">
      <w:pPr>
        <w:spacing w:after="160" w:line="259" w:lineRule="auto"/>
        <w:jc w:val="both"/>
        <w:rPr>
          <w:rFonts w:ascii="Times New Roman" w:eastAsia="Calibri" w:hAnsi="Times New Roman" w:cs="Times New Roman"/>
          <w:kern w:val="2"/>
          <w:sz w:val="24"/>
          <w:szCs w:val="24"/>
          <w14:ligatures w14:val="standardContextual"/>
        </w:rPr>
      </w:pPr>
      <w:r w:rsidRPr="00F330C7">
        <w:rPr>
          <w:rFonts w:ascii="Times New Roman" w:eastAsia="Calibri" w:hAnsi="Times New Roman" w:cs="Times New Roman"/>
          <w:kern w:val="2"/>
          <w:sz w:val="24"/>
          <w:szCs w:val="24"/>
          <w14:ligatures w14:val="standardContextual"/>
        </w:rPr>
        <w:t>Akhlaghi, N. and Najafpour-Darzi, G.</w:t>
      </w:r>
      <w:r w:rsidR="002B74B1">
        <w:rPr>
          <w:rFonts w:ascii="Times New Roman" w:eastAsia="Calibri" w:hAnsi="Times New Roman" w:cs="Times New Roman"/>
          <w:kern w:val="2"/>
          <w:sz w:val="24"/>
          <w:szCs w:val="24"/>
          <w14:ligatures w14:val="standardContextual"/>
        </w:rPr>
        <w:t xml:space="preserve"> (</w:t>
      </w:r>
      <w:r w:rsidRPr="00F330C7">
        <w:rPr>
          <w:rFonts w:ascii="Times New Roman" w:eastAsia="Calibri" w:hAnsi="Times New Roman" w:cs="Times New Roman"/>
          <w:kern w:val="2"/>
          <w:sz w:val="24"/>
          <w:szCs w:val="24"/>
          <w14:ligatures w14:val="standardContextual"/>
        </w:rPr>
        <w:t>2021</w:t>
      </w:r>
      <w:r w:rsidR="002B74B1">
        <w:rPr>
          <w:rFonts w:ascii="Times New Roman" w:eastAsia="Calibri" w:hAnsi="Times New Roman" w:cs="Times New Roman"/>
          <w:kern w:val="2"/>
          <w:sz w:val="24"/>
          <w:szCs w:val="24"/>
          <w14:ligatures w14:val="standardContextual"/>
        </w:rPr>
        <w:t>)</w:t>
      </w:r>
      <w:r w:rsidRPr="00F330C7">
        <w:rPr>
          <w:rFonts w:ascii="Times New Roman" w:eastAsia="Calibri" w:hAnsi="Times New Roman" w:cs="Times New Roman"/>
          <w:kern w:val="2"/>
          <w:sz w:val="24"/>
          <w:szCs w:val="24"/>
          <w14:ligatures w14:val="standardContextual"/>
        </w:rPr>
        <w:t xml:space="preserve">. Phytochemical analysis, antioxidant activity, and pancreatic lipase inhibitory effect of ethanolic extract of Trigonella </w:t>
      </w:r>
      <w:proofErr w:type="spellStart"/>
      <w:r w:rsidRPr="00F330C7">
        <w:rPr>
          <w:rFonts w:ascii="Times New Roman" w:eastAsia="Calibri" w:hAnsi="Times New Roman" w:cs="Times New Roman"/>
          <w:kern w:val="2"/>
          <w:sz w:val="24"/>
          <w:szCs w:val="24"/>
          <w14:ligatures w14:val="standardContextual"/>
        </w:rPr>
        <w:t>foenumgraceum</w:t>
      </w:r>
      <w:proofErr w:type="spellEnd"/>
      <w:r w:rsidRPr="00F330C7">
        <w:rPr>
          <w:rFonts w:ascii="Times New Roman" w:eastAsia="Calibri" w:hAnsi="Times New Roman" w:cs="Times New Roman"/>
          <w:kern w:val="2"/>
          <w:sz w:val="24"/>
          <w:szCs w:val="24"/>
          <w14:ligatures w14:val="standardContextual"/>
        </w:rPr>
        <w:t xml:space="preserve"> L. leaves. </w:t>
      </w:r>
      <w:r w:rsidRPr="00F330C7">
        <w:rPr>
          <w:rFonts w:ascii="Times New Roman" w:eastAsia="Calibri" w:hAnsi="Times New Roman" w:cs="Times New Roman"/>
          <w:i/>
          <w:iCs/>
          <w:kern w:val="2"/>
          <w:sz w:val="24"/>
          <w:szCs w:val="24"/>
          <w14:ligatures w14:val="standardContextual"/>
        </w:rPr>
        <w:t>Biocatalysis and Agricultural Biotechnology</w:t>
      </w:r>
      <w:r w:rsidRPr="00F330C7">
        <w:rPr>
          <w:rFonts w:ascii="Times New Roman" w:eastAsia="Calibri" w:hAnsi="Times New Roman" w:cs="Times New Roman"/>
          <w:kern w:val="2"/>
          <w:sz w:val="24"/>
          <w:szCs w:val="24"/>
          <w14:ligatures w14:val="standardContextual"/>
        </w:rPr>
        <w:t>, </w:t>
      </w:r>
      <w:r w:rsidRPr="00F330C7">
        <w:rPr>
          <w:rFonts w:ascii="Times New Roman" w:eastAsia="Calibri" w:hAnsi="Times New Roman" w:cs="Times New Roman"/>
          <w:i/>
          <w:iCs/>
          <w:kern w:val="2"/>
          <w:sz w:val="24"/>
          <w:szCs w:val="24"/>
          <w14:ligatures w14:val="standardContextual"/>
        </w:rPr>
        <w:t>32</w:t>
      </w:r>
      <w:r w:rsidRPr="00F330C7">
        <w:rPr>
          <w:rFonts w:ascii="Times New Roman" w:eastAsia="Calibri" w:hAnsi="Times New Roman" w:cs="Times New Roman"/>
          <w:kern w:val="2"/>
          <w:sz w:val="24"/>
          <w:szCs w:val="24"/>
          <w14:ligatures w14:val="standardContextual"/>
        </w:rPr>
        <w:t>, p.101961.</w:t>
      </w:r>
    </w:p>
    <w:p w14:paraId="14E39C1E" w14:textId="0B120B27" w:rsidR="00067EAD" w:rsidRDefault="00067EAD" w:rsidP="00136FEC">
      <w:pPr>
        <w:spacing w:after="160" w:line="259" w:lineRule="auto"/>
        <w:jc w:val="both"/>
        <w:rPr>
          <w:rFonts w:ascii="Times New Roman" w:eastAsia="Calibri" w:hAnsi="Times New Roman" w:cs="Times New Roman"/>
          <w:kern w:val="2"/>
          <w:sz w:val="24"/>
          <w:szCs w:val="24"/>
          <w14:ligatures w14:val="standardContextual"/>
        </w:rPr>
      </w:pPr>
      <w:r w:rsidRPr="00067EAD">
        <w:rPr>
          <w:rFonts w:ascii="Times New Roman" w:eastAsia="Calibri" w:hAnsi="Times New Roman" w:cs="Times New Roman"/>
          <w:kern w:val="2"/>
          <w:sz w:val="24"/>
          <w:szCs w:val="24"/>
          <w:highlight w:val="yellow"/>
          <w14:ligatures w14:val="standardContextual"/>
        </w:rPr>
        <w:t xml:space="preserve">Hanuman, D.D.V., Rao, K.V., Nagarjuna, G., Mounika, K., Debbarma, B., </w:t>
      </w:r>
      <w:proofErr w:type="spellStart"/>
      <w:r w:rsidRPr="00067EAD">
        <w:rPr>
          <w:rFonts w:ascii="Times New Roman" w:eastAsia="Calibri" w:hAnsi="Times New Roman" w:cs="Times New Roman"/>
          <w:kern w:val="2"/>
          <w:sz w:val="24"/>
          <w:szCs w:val="24"/>
          <w:highlight w:val="yellow"/>
          <w14:ligatures w14:val="standardContextual"/>
        </w:rPr>
        <w:t>Sravathi</w:t>
      </w:r>
      <w:proofErr w:type="spellEnd"/>
      <w:r w:rsidRPr="00067EAD">
        <w:rPr>
          <w:rFonts w:ascii="Times New Roman" w:eastAsia="Calibri" w:hAnsi="Times New Roman" w:cs="Times New Roman"/>
          <w:kern w:val="2"/>
          <w:sz w:val="24"/>
          <w:szCs w:val="24"/>
          <w:highlight w:val="yellow"/>
          <w14:ligatures w14:val="standardContextual"/>
        </w:rPr>
        <w:t xml:space="preserve">, V., Venkatesh, V., Sravani, P., Rao, M.A. and Kiran, A.V. (2024). Antioxidant Effect of Lemongrass (Cymbopogon </w:t>
      </w:r>
      <w:proofErr w:type="spellStart"/>
      <w:r w:rsidRPr="00067EAD">
        <w:rPr>
          <w:rFonts w:ascii="Times New Roman" w:eastAsia="Calibri" w:hAnsi="Times New Roman" w:cs="Times New Roman"/>
          <w:kern w:val="2"/>
          <w:sz w:val="24"/>
          <w:szCs w:val="24"/>
          <w:highlight w:val="yellow"/>
          <w14:ligatures w14:val="standardContextual"/>
        </w:rPr>
        <w:t>citratus</w:t>
      </w:r>
      <w:proofErr w:type="spellEnd"/>
      <w:r w:rsidRPr="00067EAD">
        <w:rPr>
          <w:rFonts w:ascii="Times New Roman" w:eastAsia="Calibri" w:hAnsi="Times New Roman" w:cs="Times New Roman"/>
          <w:kern w:val="2"/>
          <w:sz w:val="24"/>
          <w:szCs w:val="24"/>
          <w:highlight w:val="yellow"/>
          <w14:ligatures w14:val="standardContextual"/>
        </w:rPr>
        <w:t>) Extract on Paraquat-Induced Oxidative Stress in Sheep Red Blood Cells Using In-vitro Phytochemical Analysis. </w:t>
      </w:r>
      <w:r w:rsidRPr="00067EAD">
        <w:rPr>
          <w:rFonts w:ascii="Times New Roman" w:eastAsia="Calibri" w:hAnsi="Times New Roman" w:cs="Times New Roman"/>
          <w:i/>
          <w:iCs/>
          <w:kern w:val="2"/>
          <w:sz w:val="24"/>
          <w:szCs w:val="24"/>
          <w:highlight w:val="yellow"/>
          <w14:ligatures w14:val="standardContextual"/>
        </w:rPr>
        <w:t>Journal of Advances in Biology &amp; Biotechnology</w:t>
      </w:r>
      <w:r w:rsidRPr="00067EAD">
        <w:rPr>
          <w:rFonts w:ascii="Times New Roman" w:eastAsia="Calibri" w:hAnsi="Times New Roman" w:cs="Times New Roman"/>
          <w:kern w:val="2"/>
          <w:sz w:val="24"/>
          <w:szCs w:val="24"/>
          <w:highlight w:val="yellow"/>
          <w14:ligatures w14:val="standardContextual"/>
        </w:rPr>
        <w:t>, </w:t>
      </w:r>
      <w:r w:rsidRPr="00067EAD">
        <w:rPr>
          <w:rFonts w:ascii="Times New Roman" w:eastAsia="Calibri" w:hAnsi="Times New Roman" w:cs="Times New Roman"/>
          <w:i/>
          <w:iCs/>
          <w:kern w:val="2"/>
          <w:sz w:val="24"/>
          <w:szCs w:val="24"/>
          <w:highlight w:val="yellow"/>
          <w14:ligatures w14:val="standardContextual"/>
        </w:rPr>
        <w:t>27</w:t>
      </w:r>
      <w:r w:rsidRPr="00067EAD">
        <w:rPr>
          <w:rFonts w:ascii="Times New Roman" w:eastAsia="Calibri" w:hAnsi="Times New Roman" w:cs="Times New Roman"/>
          <w:kern w:val="2"/>
          <w:sz w:val="24"/>
          <w:szCs w:val="24"/>
          <w:highlight w:val="yellow"/>
          <w14:ligatures w14:val="standardContextual"/>
        </w:rPr>
        <w:t>(5), pp.730-738.</w:t>
      </w:r>
    </w:p>
    <w:p w14:paraId="461FA67D" w14:textId="77777777" w:rsidR="00D829A0" w:rsidRDefault="00D829A0"/>
    <w:sectPr w:rsidR="00D829A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9090" w14:textId="77777777" w:rsidR="002213AD" w:rsidRDefault="002213AD" w:rsidP="00790E1C">
      <w:pPr>
        <w:spacing w:after="0" w:line="240" w:lineRule="auto"/>
      </w:pPr>
      <w:r>
        <w:separator/>
      </w:r>
    </w:p>
  </w:endnote>
  <w:endnote w:type="continuationSeparator" w:id="0">
    <w:p w14:paraId="6D754C5B" w14:textId="77777777" w:rsidR="002213AD" w:rsidRDefault="002213AD" w:rsidP="00790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B912" w14:textId="77777777" w:rsidR="00790E1C" w:rsidRDefault="00790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6A59" w14:textId="77777777" w:rsidR="00790E1C" w:rsidRDefault="00790E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74A4B" w14:textId="77777777" w:rsidR="00790E1C" w:rsidRDefault="00790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9C7F" w14:textId="77777777" w:rsidR="002213AD" w:rsidRDefault="002213AD" w:rsidP="00790E1C">
      <w:pPr>
        <w:spacing w:after="0" w:line="240" w:lineRule="auto"/>
      </w:pPr>
      <w:r>
        <w:separator/>
      </w:r>
    </w:p>
  </w:footnote>
  <w:footnote w:type="continuationSeparator" w:id="0">
    <w:p w14:paraId="01337F50" w14:textId="77777777" w:rsidR="002213AD" w:rsidRDefault="002213AD" w:rsidP="00790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09B6" w14:textId="73E27E1B" w:rsidR="00790E1C" w:rsidRDefault="00000000">
    <w:pPr>
      <w:pStyle w:val="Header"/>
    </w:pPr>
    <w:r>
      <w:rPr>
        <w:noProof/>
      </w:rPr>
      <w:pict w14:anchorId="70D69A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281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2018" w14:textId="0D1AD3C7" w:rsidR="00790E1C" w:rsidRDefault="00000000">
    <w:pPr>
      <w:pStyle w:val="Header"/>
    </w:pPr>
    <w:r>
      <w:rPr>
        <w:noProof/>
      </w:rPr>
      <w:pict w14:anchorId="19989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281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9B6B" w14:textId="59F808BF" w:rsidR="00790E1C" w:rsidRDefault="00000000">
    <w:pPr>
      <w:pStyle w:val="Header"/>
    </w:pPr>
    <w:r>
      <w:rPr>
        <w:noProof/>
      </w:rPr>
      <w:pict w14:anchorId="4C224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4281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83"/>
    <w:rsid w:val="00007CA5"/>
    <w:rsid w:val="00067EAD"/>
    <w:rsid w:val="000956DC"/>
    <w:rsid w:val="000B4D81"/>
    <w:rsid w:val="00136FEC"/>
    <w:rsid w:val="00167BDA"/>
    <w:rsid w:val="001C6BFF"/>
    <w:rsid w:val="002213AD"/>
    <w:rsid w:val="002831C3"/>
    <w:rsid w:val="002B5561"/>
    <w:rsid w:val="002B74B1"/>
    <w:rsid w:val="002E41A1"/>
    <w:rsid w:val="00426D83"/>
    <w:rsid w:val="00477A3E"/>
    <w:rsid w:val="00493B5D"/>
    <w:rsid w:val="004E44FC"/>
    <w:rsid w:val="005221B6"/>
    <w:rsid w:val="00590833"/>
    <w:rsid w:val="006008D5"/>
    <w:rsid w:val="00621226"/>
    <w:rsid w:val="00624307"/>
    <w:rsid w:val="006373D9"/>
    <w:rsid w:val="00645E77"/>
    <w:rsid w:val="006B2BE2"/>
    <w:rsid w:val="006C03DB"/>
    <w:rsid w:val="00756574"/>
    <w:rsid w:val="00790E1C"/>
    <w:rsid w:val="00791A3F"/>
    <w:rsid w:val="007F6879"/>
    <w:rsid w:val="00842D57"/>
    <w:rsid w:val="008E31A1"/>
    <w:rsid w:val="00971F63"/>
    <w:rsid w:val="00A24736"/>
    <w:rsid w:val="00AB1B67"/>
    <w:rsid w:val="00AE3C8E"/>
    <w:rsid w:val="00BF4BC6"/>
    <w:rsid w:val="00C66D9C"/>
    <w:rsid w:val="00C80664"/>
    <w:rsid w:val="00D03316"/>
    <w:rsid w:val="00D43098"/>
    <w:rsid w:val="00D829A0"/>
    <w:rsid w:val="00DB7059"/>
    <w:rsid w:val="00E85D01"/>
    <w:rsid w:val="00ED40FA"/>
    <w:rsid w:val="00EF7ECF"/>
    <w:rsid w:val="00F330C7"/>
    <w:rsid w:val="00FF1A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A2C0D"/>
  <w15:chartTrackingRefBased/>
  <w15:docId w15:val="{4091E846-2064-41D8-83CF-5C1B29CB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FEC"/>
    <w:pPr>
      <w:spacing w:after="200" w:line="276" w:lineRule="auto"/>
    </w:pPr>
    <w:rPr>
      <w:kern w:val="0"/>
      <w14:ligatures w14:val="none"/>
    </w:rPr>
  </w:style>
  <w:style w:type="paragraph" w:styleId="Heading1">
    <w:name w:val="heading 1"/>
    <w:basedOn w:val="Normal"/>
    <w:next w:val="Normal"/>
    <w:link w:val="Heading1Char"/>
    <w:uiPriority w:val="9"/>
    <w:qFormat/>
    <w:rsid w:val="00426D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6D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6D83"/>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6D83"/>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26D8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26D83"/>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26D83"/>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26D83"/>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26D83"/>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D83"/>
    <w:rPr>
      <w:rFonts w:eastAsiaTheme="majorEastAsia" w:cstheme="majorBidi"/>
      <w:color w:val="272727" w:themeColor="text1" w:themeTint="D8"/>
    </w:rPr>
  </w:style>
  <w:style w:type="paragraph" w:styleId="Title">
    <w:name w:val="Title"/>
    <w:basedOn w:val="Normal"/>
    <w:next w:val="Normal"/>
    <w:link w:val="TitleChar"/>
    <w:uiPriority w:val="10"/>
    <w:qFormat/>
    <w:rsid w:val="00426D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6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D83"/>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6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D83"/>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26D83"/>
    <w:rPr>
      <w:i/>
      <w:iCs/>
      <w:color w:val="404040" w:themeColor="text1" w:themeTint="BF"/>
    </w:rPr>
  </w:style>
  <w:style w:type="paragraph" w:styleId="ListParagraph">
    <w:name w:val="List Paragraph"/>
    <w:basedOn w:val="Normal"/>
    <w:uiPriority w:val="34"/>
    <w:qFormat/>
    <w:rsid w:val="00426D83"/>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426D83"/>
    <w:rPr>
      <w:i/>
      <w:iCs/>
      <w:color w:val="2F5496" w:themeColor="accent1" w:themeShade="BF"/>
    </w:rPr>
  </w:style>
  <w:style w:type="paragraph" w:styleId="IntenseQuote">
    <w:name w:val="Intense Quote"/>
    <w:basedOn w:val="Normal"/>
    <w:next w:val="Normal"/>
    <w:link w:val="IntenseQuoteChar"/>
    <w:uiPriority w:val="30"/>
    <w:qFormat/>
    <w:rsid w:val="00426D8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26D83"/>
    <w:rPr>
      <w:i/>
      <w:iCs/>
      <w:color w:val="2F5496" w:themeColor="accent1" w:themeShade="BF"/>
    </w:rPr>
  </w:style>
  <w:style w:type="character" w:styleId="IntenseReference">
    <w:name w:val="Intense Reference"/>
    <w:basedOn w:val="DefaultParagraphFont"/>
    <w:uiPriority w:val="32"/>
    <w:qFormat/>
    <w:rsid w:val="00426D83"/>
    <w:rPr>
      <w:b/>
      <w:bCs/>
      <w:smallCaps/>
      <w:color w:val="2F5496" w:themeColor="accent1" w:themeShade="BF"/>
      <w:spacing w:val="5"/>
    </w:rPr>
  </w:style>
  <w:style w:type="table" w:styleId="TableGrid">
    <w:name w:val="Table Grid"/>
    <w:basedOn w:val="TableNormal"/>
    <w:uiPriority w:val="39"/>
    <w:rsid w:val="0013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knHead">
    <w:name w:val="Ackn Head"/>
    <w:basedOn w:val="Normal"/>
    <w:rsid w:val="00FF1ACE"/>
    <w:pPr>
      <w:keepNext/>
      <w:spacing w:after="240" w:line="240" w:lineRule="auto"/>
    </w:pPr>
    <w:rPr>
      <w:rFonts w:ascii="Helvetica" w:eastAsia="Times New Roman" w:hAnsi="Helvetica" w:cs="Times New Roman"/>
      <w:b/>
      <w:caps/>
      <w:szCs w:val="20"/>
      <w:lang w:val="en-US"/>
    </w:rPr>
  </w:style>
  <w:style w:type="paragraph" w:customStyle="1" w:styleId="ReferHead">
    <w:name w:val="Refer Head"/>
    <w:basedOn w:val="Normal"/>
    <w:rsid w:val="00FF1ACE"/>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790E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1C"/>
    <w:rPr>
      <w:kern w:val="0"/>
      <w14:ligatures w14:val="none"/>
    </w:rPr>
  </w:style>
  <w:style w:type="paragraph" w:styleId="Footer">
    <w:name w:val="footer"/>
    <w:basedOn w:val="Normal"/>
    <w:link w:val="FooterChar"/>
    <w:uiPriority w:val="99"/>
    <w:unhideWhenUsed/>
    <w:rsid w:val="00790E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1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3476</Words>
  <Characters>19815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 V Hanuman</dc:creator>
  <cp:keywords/>
  <dc:description/>
  <cp:lastModifiedBy>Editor GP 005</cp:lastModifiedBy>
  <cp:revision>8</cp:revision>
  <cp:lastPrinted>2025-10-09T09:19:00Z</cp:lastPrinted>
  <dcterms:created xsi:type="dcterms:W3CDTF">2025-10-09T05:10:00Z</dcterms:created>
  <dcterms:modified xsi:type="dcterms:W3CDTF">2025-10-15T07:14:00Z</dcterms:modified>
</cp:coreProperties>
</file>