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3C4931" w14:textId="1564F027" w:rsidR="00B33F98" w:rsidRPr="009E78A0" w:rsidRDefault="00E01632" w:rsidP="00B33F98">
      <w:pPr>
        <w:jc w:val="center"/>
        <w:rPr>
          <w:rFonts w:ascii="Times New Roman" w:hAnsi="Times New Roman" w:cs="Times New Roman"/>
          <w:b/>
          <w:bCs/>
          <w:sz w:val="28"/>
          <w:szCs w:val="28"/>
        </w:rPr>
      </w:pPr>
      <w:r w:rsidRPr="00860979">
        <w:rPr>
          <w:rFonts w:ascii="Times New Roman" w:hAnsi="Times New Roman" w:cs="Times New Roman"/>
          <w:b/>
          <w:bCs/>
          <w:sz w:val="28"/>
          <w:szCs w:val="28"/>
          <w:highlight w:val="yellow"/>
        </w:rPr>
        <w:t>Antimicrobial Potential of Indian Red Scorpion (</w:t>
      </w:r>
      <w:proofErr w:type="spellStart"/>
      <w:r w:rsidRPr="00860979">
        <w:rPr>
          <w:rFonts w:ascii="Times New Roman" w:hAnsi="Times New Roman" w:cs="Times New Roman"/>
          <w:b/>
          <w:bCs/>
          <w:sz w:val="28"/>
          <w:szCs w:val="28"/>
          <w:highlight w:val="yellow"/>
        </w:rPr>
        <w:t>Hottentotta</w:t>
      </w:r>
      <w:proofErr w:type="spellEnd"/>
      <w:r w:rsidRPr="00860979">
        <w:rPr>
          <w:rFonts w:ascii="Times New Roman" w:hAnsi="Times New Roman" w:cs="Times New Roman"/>
          <w:b/>
          <w:bCs/>
          <w:sz w:val="28"/>
          <w:szCs w:val="28"/>
          <w:highlight w:val="yellow"/>
        </w:rPr>
        <w:t xml:space="preserve"> </w:t>
      </w:r>
      <w:proofErr w:type="spellStart"/>
      <w:r w:rsidRPr="00860979">
        <w:rPr>
          <w:rFonts w:ascii="Times New Roman" w:hAnsi="Times New Roman" w:cs="Times New Roman"/>
          <w:b/>
          <w:bCs/>
          <w:sz w:val="28"/>
          <w:szCs w:val="28"/>
          <w:highlight w:val="yellow"/>
        </w:rPr>
        <w:t>tamulus</w:t>
      </w:r>
      <w:proofErr w:type="spellEnd"/>
      <w:r w:rsidRPr="00860979">
        <w:rPr>
          <w:rFonts w:ascii="Times New Roman" w:hAnsi="Times New Roman" w:cs="Times New Roman"/>
          <w:b/>
          <w:bCs/>
          <w:sz w:val="28"/>
          <w:szCs w:val="28"/>
          <w:highlight w:val="yellow"/>
        </w:rPr>
        <w:t>) Venom against Multidrug-Resistant Pathogens</w:t>
      </w:r>
    </w:p>
    <w:p w14:paraId="3FFBA7B2" w14:textId="3C464E03" w:rsidR="009E78A0" w:rsidRDefault="009E78A0" w:rsidP="00B33F98">
      <w:pPr>
        <w:jc w:val="center"/>
        <w:rPr>
          <w:rFonts w:ascii="Times New Roman" w:hAnsi="Times New Roman" w:cs="Times New Roman"/>
        </w:rPr>
      </w:pPr>
    </w:p>
    <w:p w14:paraId="702BAF24" w14:textId="77777777" w:rsidR="00BA0654" w:rsidRDefault="00BA0654" w:rsidP="00B33F98">
      <w:pPr>
        <w:jc w:val="center"/>
        <w:rPr>
          <w:rFonts w:ascii="Times New Roman" w:hAnsi="Times New Roman" w:cs="Times New Roman"/>
        </w:rPr>
      </w:pPr>
    </w:p>
    <w:p w14:paraId="68406C56" w14:textId="77777777" w:rsidR="00D5362E" w:rsidRPr="00D5362E" w:rsidRDefault="00D5362E" w:rsidP="00D5362E">
      <w:pPr>
        <w:spacing w:line="360" w:lineRule="auto"/>
        <w:jc w:val="both"/>
        <w:rPr>
          <w:rFonts w:ascii="Times New Roman" w:hAnsi="Times New Roman" w:cs="Times New Roman"/>
          <w:b/>
          <w:bCs/>
        </w:rPr>
      </w:pPr>
      <w:r w:rsidRPr="00D5362E">
        <w:rPr>
          <w:rFonts w:ascii="Times New Roman" w:hAnsi="Times New Roman" w:cs="Times New Roman"/>
          <w:b/>
          <w:bCs/>
        </w:rPr>
        <w:t>Abstract</w:t>
      </w:r>
    </w:p>
    <w:p w14:paraId="0A8911D0" w14:textId="7FF33337" w:rsidR="00D5362E" w:rsidRPr="00D5362E" w:rsidRDefault="001D2E69" w:rsidP="002D3E59">
      <w:pPr>
        <w:spacing w:line="360" w:lineRule="auto"/>
        <w:jc w:val="both"/>
        <w:rPr>
          <w:rFonts w:ascii="Times New Roman" w:hAnsi="Times New Roman" w:cs="Times New Roman"/>
        </w:rPr>
      </w:pPr>
      <w:r w:rsidRPr="001D2E69">
        <w:rPr>
          <w:rFonts w:ascii="Times New Roman" w:hAnsi="Times New Roman" w:cs="Times New Roman"/>
        </w:rPr>
        <w:t xml:space="preserve">Antimicrobial resistance (AMR) is a growing worldwide health concern, with multidrug-resistant (MDR) bacteria including methicillin-resistant </w:t>
      </w:r>
      <w:r w:rsidRPr="009D2A85">
        <w:rPr>
          <w:rFonts w:ascii="Times New Roman" w:hAnsi="Times New Roman" w:cs="Times New Roman"/>
          <w:i/>
        </w:rPr>
        <w:t>Staphylococcus aureus</w:t>
      </w:r>
      <w:r w:rsidRPr="001D2E69">
        <w:rPr>
          <w:rFonts w:ascii="Times New Roman" w:hAnsi="Times New Roman" w:cs="Times New Roman"/>
        </w:rPr>
        <w:t xml:space="preserve"> (MRSA) and carbapenem-resistant </w:t>
      </w:r>
      <w:r w:rsidRPr="009D2A85">
        <w:rPr>
          <w:rFonts w:ascii="Times New Roman" w:hAnsi="Times New Roman" w:cs="Times New Roman"/>
          <w:i/>
        </w:rPr>
        <w:t>Acinetobacter baumannii</w:t>
      </w:r>
      <w:r w:rsidRPr="001D2E69">
        <w:rPr>
          <w:rFonts w:ascii="Times New Roman" w:hAnsi="Times New Roman" w:cs="Times New Roman"/>
        </w:rPr>
        <w:t xml:space="preserve"> weakening current treatment options. </w:t>
      </w:r>
      <w:r>
        <w:rPr>
          <w:rFonts w:ascii="Times New Roman" w:hAnsi="Times New Roman" w:cs="Times New Roman"/>
        </w:rPr>
        <w:t xml:space="preserve"> </w:t>
      </w:r>
      <w:r w:rsidR="00E01632" w:rsidRPr="00860979">
        <w:rPr>
          <w:rFonts w:ascii="Times New Roman" w:hAnsi="Times New Roman" w:cs="Times New Roman"/>
          <w:highlight w:val="yellow"/>
        </w:rPr>
        <w:t xml:space="preserve">This study is designed to assess the in vitro antibacterial activity of crude </w:t>
      </w:r>
      <w:proofErr w:type="spellStart"/>
      <w:r w:rsidR="00E01632" w:rsidRPr="00860979">
        <w:rPr>
          <w:rFonts w:ascii="Times New Roman" w:hAnsi="Times New Roman" w:cs="Times New Roman"/>
          <w:highlight w:val="yellow"/>
        </w:rPr>
        <w:t>Hottentotta</w:t>
      </w:r>
      <w:proofErr w:type="spellEnd"/>
      <w:r w:rsidR="00E01632" w:rsidRPr="00860979">
        <w:rPr>
          <w:rFonts w:ascii="Times New Roman" w:hAnsi="Times New Roman" w:cs="Times New Roman"/>
          <w:highlight w:val="yellow"/>
        </w:rPr>
        <w:t xml:space="preserve"> </w:t>
      </w:r>
      <w:proofErr w:type="spellStart"/>
      <w:r w:rsidR="00E01632" w:rsidRPr="00860979">
        <w:rPr>
          <w:rFonts w:ascii="Times New Roman" w:hAnsi="Times New Roman" w:cs="Times New Roman"/>
          <w:highlight w:val="yellow"/>
        </w:rPr>
        <w:t>tamulus</w:t>
      </w:r>
      <w:proofErr w:type="spellEnd"/>
      <w:r w:rsidR="00E01632" w:rsidRPr="00860979">
        <w:rPr>
          <w:rFonts w:ascii="Times New Roman" w:hAnsi="Times New Roman" w:cs="Times New Roman"/>
          <w:highlight w:val="yellow"/>
        </w:rPr>
        <w:t xml:space="preserve"> venom against a selection of MDR bacterial pathogens.</w:t>
      </w:r>
      <w:r w:rsidR="00E01632" w:rsidRPr="00E01632">
        <w:rPr>
          <w:rFonts w:ascii="Times New Roman" w:hAnsi="Times New Roman" w:cs="Times New Roman"/>
        </w:rPr>
        <w:t xml:space="preserve"> </w:t>
      </w:r>
      <w:r w:rsidR="00D5362E" w:rsidRPr="00D5362E">
        <w:rPr>
          <w:rFonts w:ascii="Times New Roman" w:hAnsi="Times New Roman" w:cs="Times New Roman"/>
        </w:rPr>
        <w:t>In this study, the crude venom of the Indian red scorpion (</w:t>
      </w:r>
      <w:proofErr w:type="spellStart"/>
      <w:r w:rsidR="00D5362E" w:rsidRPr="00D5362E">
        <w:rPr>
          <w:rFonts w:ascii="Times New Roman" w:hAnsi="Times New Roman" w:cs="Times New Roman"/>
          <w:i/>
          <w:iCs/>
        </w:rPr>
        <w:t>Hottentotta</w:t>
      </w:r>
      <w:proofErr w:type="spellEnd"/>
      <w:r w:rsidR="00D5362E" w:rsidRPr="00D5362E">
        <w:rPr>
          <w:rFonts w:ascii="Times New Roman" w:hAnsi="Times New Roman" w:cs="Times New Roman"/>
          <w:i/>
          <w:iCs/>
        </w:rPr>
        <w:t xml:space="preserve"> </w:t>
      </w:r>
      <w:proofErr w:type="spellStart"/>
      <w:r w:rsidR="00D5362E" w:rsidRPr="00D5362E">
        <w:rPr>
          <w:rFonts w:ascii="Times New Roman" w:hAnsi="Times New Roman" w:cs="Times New Roman"/>
          <w:i/>
          <w:iCs/>
        </w:rPr>
        <w:t>tamulus</w:t>
      </w:r>
      <w:proofErr w:type="spellEnd"/>
      <w:r w:rsidR="00D5362E" w:rsidRPr="00D5362E">
        <w:rPr>
          <w:rFonts w:ascii="Times New Roman" w:hAnsi="Times New Roman" w:cs="Times New Roman"/>
        </w:rPr>
        <w:t xml:space="preserve">) was investigated for its antimicrobial potential. The venom, extracted and processed under controlled conditions, was evaluated against a panel of clinically relevant MDR pathogens, including MRSA, </w:t>
      </w:r>
      <w:r w:rsidR="00D5362E" w:rsidRPr="00D5362E">
        <w:rPr>
          <w:rFonts w:ascii="Times New Roman" w:hAnsi="Times New Roman" w:cs="Times New Roman"/>
          <w:i/>
          <w:iCs/>
        </w:rPr>
        <w:t>Pseudomonas aeruginosa</w:t>
      </w:r>
      <w:r w:rsidR="00D5362E" w:rsidRPr="00D5362E">
        <w:rPr>
          <w:rFonts w:ascii="Times New Roman" w:hAnsi="Times New Roman" w:cs="Times New Roman"/>
        </w:rPr>
        <w:t xml:space="preserve">, </w:t>
      </w:r>
      <w:r w:rsidR="00D5362E" w:rsidRPr="00D5362E">
        <w:rPr>
          <w:rFonts w:ascii="Times New Roman" w:hAnsi="Times New Roman" w:cs="Times New Roman"/>
          <w:i/>
          <w:iCs/>
        </w:rPr>
        <w:t>A. baumannii</w:t>
      </w:r>
      <w:r w:rsidR="00D5362E" w:rsidRPr="00D5362E">
        <w:rPr>
          <w:rFonts w:ascii="Times New Roman" w:hAnsi="Times New Roman" w:cs="Times New Roman"/>
        </w:rPr>
        <w:t xml:space="preserve">, </w:t>
      </w:r>
      <w:r w:rsidR="00D5362E" w:rsidRPr="00D5362E">
        <w:rPr>
          <w:rFonts w:ascii="Times New Roman" w:hAnsi="Times New Roman" w:cs="Times New Roman"/>
          <w:i/>
          <w:iCs/>
        </w:rPr>
        <w:t>Klebsiella pneumoniae</w:t>
      </w:r>
      <w:r w:rsidR="00D5362E" w:rsidRPr="00D5362E">
        <w:rPr>
          <w:rFonts w:ascii="Times New Roman" w:hAnsi="Times New Roman" w:cs="Times New Roman"/>
        </w:rPr>
        <w:t xml:space="preserve">, and </w:t>
      </w:r>
      <w:r w:rsidR="00D5362E" w:rsidRPr="00D5362E">
        <w:rPr>
          <w:rFonts w:ascii="Times New Roman" w:hAnsi="Times New Roman" w:cs="Times New Roman"/>
          <w:i/>
          <w:iCs/>
        </w:rPr>
        <w:t>Escherichia coli</w:t>
      </w:r>
      <w:r w:rsidR="00D5362E" w:rsidRPr="00D5362E">
        <w:rPr>
          <w:rFonts w:ascii="Times New Roman" w:hAnsi="Times New Roman" w:cs="Times New Roman"/>
        </w:rPr>
        <w:t xml:space="preserve">. Broth microdilution assays revealed minimum inhibitory concentration (MIC) values ranging from 8 to 64 µg/mL, with the strongest activity observed against MRSA (MIC = 8 µg/mL) and </w:t>
      </w:r>
      <w:r w:rsidR="00D5362E" w:rsidRPr="00D5362E">
        <w:rPr>
          <w:rFonts w:ascii="Times New Roman" w:hAnsi="Times New Roman" w:cs="Times New Roman"/>
          <w:i/>
          <w:iCs/>
        </w:rPr>
        <w:t>A. baumannii</w:t>
      </w:r>
      <w:r w:rsidR="00D5362E" w:rsidRPr="00D5362E">
        <w:rPr>
          <w:rFonts w:ascii="Times New Roman" w:hAnsi="Times New Roman" w:cs="Times New Roman"/>
        </w:rPr>
        <w:t xml:space="preserve"> (MIC = 16 µg/mL). Minimum bactericidal concentration (MBC) values closely matched MICs, indicating a definitive bactericidal mode of action. Time-kill kinetics confirmed rapid bacterial clearance, achieving ≥3-log10 reductions in CFU/mL within 2 hours for MRSA and 4 hours for </w:t>
      </w:r>
      <w:r w:rsidR="00D5362E" w:rsidRPr="00D5362E">
        <w:rPr>
          <w:rFonts w:ascii="Times New Roman" w:hAnsi="Times New Roman" w:cs="Times New Roman"/>
          <w:i/>
          <w:iCs/>
        </w:rPr>
        <w:t>A. baumannii</w:t>
      </w:r>
      <w:r w:rsidR="00D5362E" w:rsidRPr="00D5362E">
        <w:rPr>
          <w:rFonts w:ascii="Times New Roman" w:hAnsi="Times New Roman" w:cs="Times New Roman"/>
        </w:rPr>
        <w:t xml:space="preserve"> at 2× MIC, without regrowth up to 24 hours. Furthermore, checkerboard assays demonstrated a strong synergistic effect between the venom and ciprofloxacin (FICI = 0.25), significantly enhancing antibacterial efficacy. These findings highlight the potential of </w:t>
      </w:r>
      <w:r w:rsidR="00D5362E" w:rsidRPr="00D5362E">
        <w:rPr>
          <w:rFonts w:ascii="Times New Roman" w:hAnsi="Times New Roman" w:cs="Times New Roman"/>
          <w:i/>
          <w:iCs/>
        </w:rPr>
        <w:t xml:space="preserve">H. </w:t>
      </w:r>
      <w:proofErr w:type="spellStart"/>
      <w:r w:rsidR="00D5362E" w:rsidRPr="00D5362E">
        <w:rPr>
          <w:rFonts w:ascii="Times New Roman" w:hAnsi="Times New Roman" w:cs="Times New Roman"/>
          <w:i/>
          <w:iCs/>
        </w:rPr>
        <w:t>tamulus</w:t>
      </w:r>
      <w:proofErr w:type="spellEnd"/>
      <w:r w:rsidR="00D5362E" w:rsidRPr="00D5362E">
        <w:rPr>
          <w:rFonts w:ascii="Times New Roman" w:hAnsi="Times New Roman" w:cs="Times New Roman"/>
        </w:rPr>
        <w:t xml:space="preserve"> venom as a promising source of novel antimicrobial peptides and a viable adjunct in combination therapies to combat MDR infections.</w:t>
      </w:r>
      <w:r w:rsidR="002D3E59">
        <w:rPr>
          <w:rFonts w:ascii="Times New Roman" w:hAnsi="Times New Roman" w:cs="Times New Roman"/>
        </w:rPr>
        <w:t xml:space="preserve"> </w:t>
      </w:r>
      <w:r w:rsidR="002D3E59" w:rsidRPr="00860979">
        <w:rPr>
          <w:rFonts w:ascii="Times New Roman" w:hAnsi="Times New Roman" w:cs="Times New Roman"/>
          <w:highlight w:val="yellow"/>
        </w:rPr>
        <w:t>It is important to acknowledge the limitations of this work. The use of crude venom means the activity is due to a mixture of components. Furthermore, future studies must assess the cytotoxicity of the venom against mammalian cells to evaluate its therapeutic potential and selectivity index.</w:t>
      </w:r>
    </w:p>
    <w:p w14:paraId="477D01A0" w14:textId="77777777" w:rsidR="00D5362E" w:rsidRPr="00D5362E" w:rsidRDefault="00D5362E" w:rsidP="00D5362E">
      <w:pPr>
        <w:spacing w:line="360" w:lineRule="auto"/>
        <w:jc w:val="both"/>
        <w:rPr>
          <w:rFonts w:ascii="Times New Roman" w:hAnsi="Times New Roman" w:cs="Times New Roman"/>
          <w:b/>
          <w:bCs/>
        </w:rPr>
      </w:pPr>
      <w:r w:rsidRPr="00D5362E">
        <w:rPr>
          <w:rFonts w:ascii="Times New Roman" w:hAnsi="Times New Roman" w:cs="Times New Roman"/>
          <w:b/>
          <w:bCs/>
        </w:rPr>
        <w:t>Keywords</w:t>
      </w:r>
    </w:p>
    <w:p w14:paraId="21B41F48" w14:textId="739BE353" w:rsidR="00D5362E" w:rsidRPr="00D5362E" w:rsidRDefault="00D5362E" w:rsidP="00D5362E">
      <w:pPr>
        <w:spacing w:line="360" w:lineRule="auto"/>
        <w:jc w:val="both"/>
        <w:rPr>
          <w:rFonts w:ascii="Times New Roman" w:hAnsi="Times New Roman" w:cs="Times New Roman"/>
        </w:rPr>
      </w:pPr>
      <w:r w:rsidRPr="00D5362E">
        <w:rPr>
          <w:rFonts w:ascii="Times New Roman" w:hAnsi="Times New Roman" w:cs="Times New Roman"/>
        </w:rPr>
        <w:t xml:space="preserve">Antimicrobial resistance; multidrug-resistant bacteria; </w:t>
      </w:r>
      <w:proofErr w:type="spellStart"/>
      <w:r w:rsidRPr="00D5362E">
        <w:rPr>
          <w:rFonts w:ascii="Times New Roman" w:hAnsi="Times New Roman" w:cs="Times New Roman"/>
          <w:i/>
          <w:iCs/>
        </w:rPr>
        <w:t>Hottentotta</w:t>
      </w:r>
      <w:proofErr w:type="spellEnd"/>
      <w:r w:rsidRPr="00D5362E">
        <w:rPr>
          <w:rFonts w:ascii="Times New Roman" w:hAnsi="Times New Roman" w:cs="Times New Roman"/>
          <w:i/>
          <w:iCs/>
        </w:rPr>
        <w:t xml:space="preserve"> </w:t>
      </w:r>
      <w:proofErr w:type="spellStart"/>
      <w:r w:rsidRPr="00D5362E">
        <w:rPr>
          <w:rFonts w:ascii="Times New Roman" w:hAnsi="Times New Roman" w:cs="Times New Roman"/>
          <w:i/>
          <w:iCs/>
        </w:rPr>
        <w:t>tamulus</w:t>
      </w:r>
      <w:proofErr w:type="spellEnd"/>
      <w:r w:rsidRPr="00D5362E">
        <w:rPr>
          <w:rFonts w:ascii="Times New Roman" w:hAnsi="Times New Roman" w:cs="Times New Roman"/>
        </w:rPr>
        <w:t xml:space="preserve">; scorpion venom; antimicrobial </w:t>
      </w:r>
      <w:proofErr w:type="gramStart"/>
      <w:r w:rsidRPr="00D5362E">
        <w:rPr>
          <w:rFonts w:ascii="Times New Roman" w:hAnsi="Times New Roman" w:cs="Times New Roman"/>
        </w:rPr>
        <w:t>peptides;  ciprofloxacin</w:t>
      </w:r>
      <w:proofErr w:type="gramEnd"/>
      <w:r w:rsidRPr="00D5362E">
        <w:rPr>
          <w:rFonts w:ascii="Times New Roman" w:hAnsi="Times New Roman" w:cs="Times New Roman"/>
        </w:rPr>
        <w:t>.</w:t>
      </w:r>
    </w:p>
    <w:p w14:paraId="2C11D711" w14:textId="77777777" w:rsidR="00706990" w:rsidRDefault="00706990" w:rsidP="00706990">
      <w:pPr>
        <w:rPr>
          <w:b/>
          <w:bCs/>
        </w:rPr>
      </w:pPr>
    </w:p>
    <w:p w14:paraId="7C7A131D" w14:textId="400730E5" w:rsidR="00E01632" w:rsidRDefault="00EC3FDE" w:rsidP="006E630B">
      <w:pPr>
        <w:spacing w:line="360" w:lineRule="auto"/>
        <w:jc w:val="both"/>
        <w:rPr>
          <w:rFonts w:ascii="Times New Roman" w:hAnsi="Times New Roman" w:cs="Times New Roman"/>
          <w:b/>
          <w:bCs/>
        </w:rPr>
      </w:pPr>
      <w:r>
        <w:rPr>
          <w:rFonts w:ascii="Times New Roman" w:hAnsi="Times New Roman" w:cs="Times New Roman"/>
          <w:b/>
          <w:bCs/>
        </w:rPr>
        <w:lastRenderedPageBreak/>
        <w:t>1.</w:t>
      </w:r>
      <w:r w:rsidR="007F128E">
        <w:rPr>
          <w:rFonts w:ascii="Times New Roman" w:hAnsi="Times New Roman" w:cs="Times New Roman"/>
          <w:b/>
          <w:bCs/>
        </w:rPr>
        <w:t xml:space="preserve"> </w:t>
      </w:r>
      <w:r w:rsidR="00706990" w:rsidRPr="00706990">
        <w:rPr>
          <w:rFonts w:ascii="Times New Roman" w:hAnsi="Times New Roman" w:cs="Times New Roman"/>
          <w:b/>
          <w:bCs/>
        </w:rPr>
        <w:t>Introduction</w:t>
      </w:r>
      <w:r w:rsidR="00706990">
        <w:rPr>
          <w:rFonts w:ascii="Times New Roman" w:hAnsi="Times New Roman" w:cs="Times New Roman"/>
          <w:b/>
          <w:bCs/>
        </w:rPr>
        <w:t xml:space="preserve">- </w:t>
      </w:r>
    </w:p>
    <w:p w14:paraId="094D9D96" w14:textId="323DE99E" w:rsidR="006E630B" w:rsidRPr="006E630B" w:rsidRDefault="00584FCB" w:rsidP="006E630B">
      <w:pPr>
        <w:spacing w:line="360" w:lineRule="auto"/>
        <w:jc w:val="both"/>
        <w:rPr>
          <w:rFonts w:ascii="Times New Roman" w:hAnsi="Times New Roman" w:cs="Times New Roman"/>
        </w:rPr>
      </w:pPr>
      <w:r>
        <w:rPr>
          <w:rFonts w:ascii="Times New Roman" w:hAnsi="Times New Roman" w:cs="Times New Roman"/>
        </w:rPr>
        <w:t>“</w:t>
      </w:r>
      <w:r w:rsidR="006E630B" w:rsidRPr="006E630B">
        <w:rPr>
          <w:rFonts w:ascii="Times New Roman" w:hAnsi="Times New Roman" w:cs="Times New Roman"/>
        </w:rPr>
        <w:t xml:space="preserve">Antimicrobial resistance (AMR) has rapidly become one of the most formidable challenges to global health in the 21st century. </w:t>
      </w:r>
      <w:r w:rsidR="007F128E" w:rsidRPr="00860979">
        <w:rPr>
          <w:rFonts w:ascii="Times New Roman" w:hAnsi="Times New Roman" w:cs="Times New Roman"/>
          <w:highlight w:val="yellow"/>
        </w:rPr>
        <w:t>It is a growing global public health concern because it jeopardizes the effective control and treatment of bacterial infections</w:t>
      </w:r>
      <w:r>
        <w:rPr>
          <w:rFonts w:ascii="Times New Roman" w:hAnsi="Times New Roman" w:cs="Times New Roman"/>
          <w:highlight w:val="yellow"/>
        </w:rPr>
        <w:t>”</w:t>
      </w:r>
      <w:r w:rsidR="007F128E" w:rsidRPr="00860979">
        <w:rPr>
          <w:rFonts w:ascii="Times New Roman" w:hAnsi="Times New Roman" w:cs="Times New Roman"/>
          <w:highlight w:val="yellow"/>
        </w:rPr>
        <w:t xml:space="preserve"> (Miftah </w:t>
      </w:r>
      <w:r w:rsidR="007F128E" w:rsidRPr="00860979">
        <w:rPr>
          <w:rFonts w:ascii="Times New Roman" w:hAnsi="Times New Roman" w:cs="Times New Roman"/>
          <w:i/>
          <w:iCs/>
          <w:highlight w:val="yellow"/>
        </w:rPr>
        <w:t>et al</w:t>
      </w:r>
      <w:r w:rsidR="007F128E" w:rsidRPr="00860979">
        <w:rPr>
          <w:rFonts w:ascii="Times New Roman" w:hAnsi="Times New Roman" w:cs="Times New Roman"/>
          <w:highlight w:val="yellow"/>
        </w:rPr>
        <w:t>., 2023).</w:t>
      </w:r>
      <w:r w:rsidR="007F128E">
        <w:rPr>
          <w:rFonts w:ascii="Times New Roman" w:hAnsi="Times New Roman" w:cs="Times New Roman"/>
        </w:rPr>
        <w:t xml:space="preserve"> </w:t>
      </w:r>
      <w:r>
        <w:rPr>
          <w:rFonts w:ascii="Times New Roman" w:hAnsi="Times New Roman" w:cs="Times New Roman"/>
        </w:rPr>
        <w:t>“</w:t>
      </w:r>
      <w:r w:rsidR="006E630B" w:rsidRPr="006E630B">
        <w:rPr>
          <w:rFonts w:ascii="Times New Roman" w:hAnsi="Times New Roman" w:cs="Times New Roman"/>
        </w:rPr>
        <w:t xml:space="preserve">The widespread and often unregulated use of traditional antibiotics has driven the emergence of multidrug-resistant (MDR) bacterial strains, compromising the effectiveness of many critical treatments. Pathogens such as methicillin-resistant </w:t>
      </w:r>
      <w:r w:rsidR="006E630B" w:rsidRPr="006E630B">
        <w:rPr>
          <w:rFonts w:ascii="Times New Roman" w:hAnsi="Times New Roman" w:cs="Times New Roman"/>
          <w:i/>
          <w:iCs/>
        </w:rPr>
        <w:t>Staphylococcus aureus</w:t>
      </w:r>
      <w:r w:rsidR="006E630B" w:rsidRPr="006E630B">
        <w:rPr>
          <w:rFonts w:ascii="Times New Roman" w:hAnsi="Times New Roman" w:cs="Times New Roman"/>
        </w:rPr>
        <w:t xml:space="preserve"> (MRSA), vancomycin-resistant </w:t>
      </w:r>
      <w:r w:rsidR="006E630B" w:rsidRPr="006E630B">
        <w:rPr>
          <w:rFonts w:ascii="Times New Roman" w:hAnsi="Times New Roman" w:cs="Times New Roman"/>
          <w:i/>
          <w:iCs/>
        </w:rPr>
        <w:t>Enterococci</w:t>
      </w:r>
      <w:r w:rsidR="006E630B" w:rsidRPr="006E630B">
        <w:rPr>
          <w:rFonts w:ascii="Times New Roman" w:hAnsi="Times New Roman" w:cs="Times New Roman"/>
        </w:rPr>
        <w:t xml:space="preserve"> (VRE), and carbapenem-resistant </w:t>
      </w:r>
      <w:r w:rsidR="006E630B" w:rsidRPr="006E630B">
        <w:rPr>
          <w:rFonts w:ascii="Times New Roman" w:hAnsi="Times New Roman" w:cs="Times New Roman"/>
          <w:i/>
          <w:iCs/>
        </w:rPr>
        <w:t>Pseudomonas aeruginosa</w:t>
      </w:r>
      <w:r w:rsidR="006E630B" w:rsidRPr="006E630B">
        <w:rPr>
          <w:rFonts w:ascii="Times New Roman" w:hAnsi="Times New Roman" w:cs="Times New Roman"/>
        </w:rPr>
        <w:t xml:space="preserve"> are now linked to increased mortality, extended </w:t>
      </w:r>
      <w:r w:rsidR="007F128E" w:rsidRPr="00860979">
        <w:rPr>
          <w:rFonts w:ascii="Times New Roman" w:hAnsi="Times New Roman" w:cs="Times New Roman"/>
          <w:highlight w:val="yellow"/>
        </w:rPr>
        <w:t>hospitalisations</w:t>
      </w:r>
      <w:r w:rsidR="006E630B" w:rsidRPr="006E630B">
        <w:rPr>
          <w:rFonts w:ascii="Times New Roman" w:hAnsi="Times New Roman" w:cs="Times New Roman"/>
        </w:rPr>
        <w:t>, and rising healthcare expenditures. With the development pipeline for conventional antibiotics shrinking, there is an urgent need to explore alternative and unconventional antimicrobial sources</w:t>
      </w:r>
      <w:r>
        <w:rPr>
          <w:rFonts w:ascii="Times New Roman" w:hAnsi="Times New Roman" w:cs="Times New Roman"/>
        </w:rPr>
        <w:t>”</w:t>
      </w:r>
      <w:r w:rsidR="006E630B" w:rsidRPr="006E630B">
        <w:rPr>
          <w:rFonts w:ascii="Times New Roman" w:hAnsi="Times New Roman" w:cs="Times New Roman"/>
        </w:rPr>
        <w:t>.</w:t>
      </w:r>
      <w:r w:rsidR="00223769">
        <w:rPr>
          <w:rFonts w:ascii="Times New Roman" w:hAnsi="Times New Roman" w:cs="Times New Roman"/>
        </w:rPr>
        <w:fldChar w:fldCharType="begin"/>
      </w:r>
      <w:r w:rsidR="00223769">
        <w:rPr>
          <w:rFonts w:ascii="Times New Roman" w:hAnsi="Times New Roman" w:cs="Times New Roman"/>
        </w:rPr>
        <w:instrText xml:space="preserve"> ADDIN EN.CITE &lt;EndNote&gt;&lt;Cite&gt;&lt;Author&gt;Organization&lt;/Author&gt;&lt;Year&gt;2022&lt;/Year&gt;&lt;RecNum&gt;348&lt;/RecNum&gt;&lt;DisplayText&gt;(Organization, 2022)&lt;/DisplayText&gt;&lt;record&gt;&lt;rec-number&gt;348&lt;/rec-number&gt;&lt;foreign-keys&gt;&lt;key app="EN" db-id="vet5vv2xcs952weexe6vxetfp0e05xefxvdv" timestamp="1758877962"&gt;348&lt;/key&gt;&lt;/foreign-keys&gt;&lt;ref-type name="Book"&gt;6&lt;/ref-type&gt;&lt;contributors&gt;&lt;authors&gt;&lt;author&gt;World Health Organization&lt;/author&gt;&lt;/authors&gt;&lt;/contributors&gt;&lt;titles&gt;&lt;title&gt;Training on GLASS methodology for national surveillance of antimicrobial consumption&lt;/title&gt;&lt;/titles&gt;&lt;dates&gt;&lt;year&gt;2022&lt;/year&gt;&lt;/dates&gt;&lt;publisher&gt;World Health Organization&lt;/publisher&gt;&lt;isbn&gt;9240012796&lt;/isbn&gt;&lt;urls&gt;&lt;/urls&gt;&lt;/record&gt;&lt;/Cite&gt;&lt;/EndNote&gt;</w:instrText>
      </w:r>
      <w:r w:rsidR="00223769">
        <w:rPr>
          <w:rFonts w:ascii="Times New Roman" w:hAnsi="Times New Roman" w:cs="Times New Roman"/>
        </w:rPr>
        <w:fldChar w:fldCharType="separate"/>
      </w:r>
      <w:r w:rsidR="00223769">
        <w:rPr>
          <w:rFonts w:ascii="Times New Roman" w:hAnsi="Times New Roman" w:cs="Times New Roman"/>
          <w:noProof/>
        </w:rPr>
        <w:t>(Organization, 2022)</w:t>
      </w:r>
      <w:r w:rsidR="00223769">
        <w:rPr>
          <w:rFonts w:ascii="Times New Roman" w:hAnsi="Times New Roman" w:cs="Times New Roman"/>
        </w:rPr>
        <w:fldChar w:fldCharType="end"/>
      </w:r>
    </w:p>
    <w:p w14:paraId="01A344FC" w14:textId="45F8C18A" w:rsidR="006E630B" w:rsidRPr="006E630B" w:rsidRDefault="006E630B" w:rsidP="006E630B">
      <w:pPr>
        <w:spacing w:line="360" w:lineRule="auto"/>
        <w:jc w:val="both"/>
        <w:rPr>
          <w:rFonts w:ascii="Times New Roman" w:hAnsi="Times New Roman" w:cs="Times New Roman"/>
        </w:rPr>
      </w:pPr>
      <w:r w:rsidRPr="006E630B">
        <w:rPr>
          <w:rFonts w:ascii="Times New Roman" w:hAnsi="Times New Roman" w:cs="Times New Roman"/>
        </w:rPr>
        <w:t xml:space="preserve">Nature continues to be a rich source of therapeutic agents, and among its most promising yet </w:t>
      </w:r>
      <w:r w:rsidR="0060072B" w:rsidRPr="00860979">
        <w:rPr>
          <w:rFonts w:ascii="Times New Roman" w:hAnsi="Times New Roman" w:cs="Times New Roman"/>
          <w:highlight w:val="yellow"/>
        </w:rPr>
        <w:t xml:space="preserve">underutilised </w:t>
      </w:r>
      <w:r w:rsidRPr="006E630B">
        <w:rPr>
          <w:rFonts w:ascii="Times New Roman" w:hAnsi="Times New Roman" w:cs="Times New Roman"/>
        </w:rPr>
        <w:t xml:space="preserve">resources are animal venoms. These venoms are complex mixtures of biologically active molecules—including peptides, enzymes, and neurotoxins—that have evolved to exert precise and potent effects. Scorpion venom, in particular, has attracted growing scientific interest due to its abundance of disulfide-rich peptides. These molecules are known for their structural stability, target specificity, and mechanisms of action that differ markedly from those of standard antibiotics. Their natural role in prey </w:t>
      </w:r>
      <w:r w:rsidR="0060072B" w:rsidRPr="00860979">
        <w:rPr>
          <w:rFonts w:ascii="Times New Roman" w:hAnsi="Times New Roman" w:cs="Times New Roman"/>
          <w:highlight w:val="yellow"/>
        </w:rPr>
        <w:t xml:space="preserve">immobilisation </w:t>
      </w:r>
      <w:r w:rsidRPr="006E630B">
        <w:rPr>
          <w:rFonts w:ascii="Times New Roman" w:hAnsi="Times New Roman" w:cs="Times New Roman"/>
        </w:rPr>
        <w:t>and predator deterrence—often through interactions with ion channels and disruption of cell membranes—suggests strong potential for antimicrobial activity.</w:t>
      </w:r>
      <w:r w:rsidR="006E6C57">
        <w:rPr>
          <w:rFonts w:ascii="Times New Roman" w:hAnsi="Times New Roman" w:cs="Times New Roman"/>
        </w:rPr>
        <w:fldChar w:fldCharType="begin"/>
      </w:r>
      <w:r w:rsidR="006E6C57">
        <w:rPr>
          <w:rFonts w:ascii="Times New Roman" w:hAnsi="Times New Roman" w:cs="Times New Roman"/>
        </w:rPr>
        <w:instrText xml:space="preserve"> ADDIN EN.CITE &lt;EndNote&gt;&lt;Cite&gt;&lt;Author&gt;Organization&lt;/Author&gt;&lt;Year&gt;2017&lt;/Year&gt;&lt;RecNum&gt;349&lt;/RecNum&gt;&lt;DisplayText&gt;(Organization, 2017)&lt;/DisplayText&gt;&lt;record&gt;&lt;rec-number&gt;349&lt;/rec-number&gt;&lt;foreign-keys&gt;&lt;key app="EN" db-id="vet5vv2xcs952weexe6vxetfp0e05xefxvdv" timestamp="1758878029"&gt;349&lt;/key&gt;&lt;/foreign-keys&gt;&lt;ref-type name="Journal Article"&gt;17&lt;/ref-type&gt;&lt;contributors&gt;&lt;authors&gt;&lt;author&gt;World Health Organization&lt;/author&gt;&lt;/authors&gt;&lt;/contributors&gt;&lt;titles&gt;&lt;title&gt;WHO publishes list of bacteria for which new antibiotics are urgently needed&lt;/title&gt;&lt;/titles&gt;&lt;dates&gt;&lt;year&gt;2017&lt;/year&gt;&lt;/dates&gt;&lt;urls&gt;&lt;/urls&gt;&lt;/record&gt;&lt;/Cite&gt;&lt;/EndNote&gt;</w:instrText>
      </w:r>
      <w:r w:rsidR="006E6C57">
        <w:rPr>
          <w:rFonts w:ascii="Times New Roman" w:hAnsi="Times New Roman" w:cs="Times New Roman"/>
        </w:rPr>
        <w:fldChar w:fldCharType="separate"/>
      </w:r>
      <w:r w:rsidR="006E6C57">
        <w:rPr>
          <w:rFonts w:ascii="Times New Roman" w:hAnsi="Times New Roman" w:cs="Times New Roman"/>
          <w:noProof/>
        </w:rPr>
        <w:t>(Organization, 2017)</w:t>
      </w:r>
      <w:r w:rsidR="006E6C57">
        <w:rPr>
          <w:rFonts w:ascii="Times New Roman" w:hAnsi="Times New Roman" w:cs="Times New Roman"/>
        </w:rPr>
        <w:fldChar w:fldCharType="end"/>
      </w:r>
    </w:p>
    <w:p w14:paraId="6F9A2194" w14:textId="70E3B941" w:rsidR="006E630B" w:rsidRPr="006E630B" w:rsidRDefault="006E630B" w:rsidP="006E630B">
      <w:pPr>
        <w:spacing w:line="360" w:lineRule="auto"/>
        <w:jc w:val="both"/>
        <w:rPr>
          <w:rFonts w:ascii="Times New Roman" w:hAnsi="Times New Roman" w:cs="Times New Roman"/>
        </w:rPr>
      </w:pPr>
      <w:r w:rsidRPr="006E630B">
        <w:rPr>
          <w:rFonts w:ascii="Times New Roman" w:hAnsi="Times New Roman" w:cs="Times New Roman"/>
        </w:rPr>
        <w:t xml:space="preserve">The Indian red scorpion, </w:t>
      </w:r>
      <w:proofErr w:type="spellStart"/>
      <w:r w:rsidRPr="006E630B">
        <w:rPr>
          <w:rFonts w:ascii="Times New Roman" w:hAnsi="Times New Roman" w:cs="Times New Roman"/>
          <w:i/>
          <w:iCs/>
        </w:rPr>
        <w:t>Hottentotta</w:t>
      </w:r>
      <w:proofErr w:type="spellEnd"/>
      <w:r w:rsidRPr="006E630B">
        <w:rPr>
          <w:rFonts w:ascii="Times New Roman" w:hAnsi="Times New Roman" w:cs="Times New Roman"/>
          <w:i/>
          <w:iCs/>
        </w:rPr>
        <w:t xml:space="preserve"> </w:t>
      </w:r>
      <w:proofErr w:type="spellStart"/>
      <w:r w:rsidRPr="006E630B">
        <w:rPr>
          <w:rFonts w:ascii="Times New Roman" w:hAnsi="Times New Roman" w:cs="Times New Roman"/>
          <w:i/>
          <w:iCs/>
        </w:rPr>
        <w:t>tamulus</w:t>
      </w:r>
      <w:proofErr w:type="spellEnd"/>
      <w:r w:rsidRPr="006E630B">
        <w:rPr>
          <w:rFonts w:ascii="Times New Roman" w:hAnsi="Times New Roman" w:cs="Times New Roman"/>
        </w:rPr>
        <w:t xml:space="preserve"> (previously </w:t>
      </w:r>
      <w:proofErr w:type="spellStart"/>
      <w:r w:rsidRPr="006E630B">
        <w:rPr>
          <w:rFonts w:ascii="Times New Roman" w:hAnsi="Times New Roman" w:cs="Times New Roman"/>
          <w:i/>
          <w:iCs/>
        </w:rPr>
        <w:t>Mesobuthus</w:t>
      </w:r>
      <w:proofErr w:type="spellEnd"/>
      <w:r w:rsidRPr="006E630B">
        <w:rPr>
          <w:rFonts w:ascii="Times New Roman" w:hAnsi="Times New Roman" w:cs="Times New Roman"/>
          <w:i/>
          <w:iCs/>
        </w:rPr>
        <w:t xml:space="preserve"> </w:t>
      </w:r>
      <w:proofErr w:type="spellStart"/>
      <w:r w:rsidRPr="006E630B">
        <w:rPr>
          <w:rFonts w:ascii="Times New Roman" w:hAnsi="Times New Roman" w:cs="Times New Roman"/>
          <w:i/>
          <w:iCs/>
        </w:rPr>
        <w:t>tamulus</w:t>
      </w:r>
      <w:proofErr w:type="spellEnd"/>
      <w:r w:rsidRPr="006E630B">
        <w:rPr>
          <w:rFonts w:ascii="Times New Roman" w:hAnsi="Times New Roman" w:cs="Times New Roman"/>
        </w:rPr>
        <w:t xml:space="preserve">), is </w:t>
      </w:r>
      <w:r w:rsidR="0060072B" w:rsidRPr="00860979">
        <w:rPr>
          <w:rFonts w:ascii="Times New Roman" w:hAnsi="Times New Roman" w:cs="Times New Roman"/>
          <w:highlight w:val="yellow"/>
        </w:rPr>
        <w:t>recognised</w:t>
      </w:r>
      <w:r w:rsidR="0060072B" w:rsidRPr="006E630B">
        <w:rPr>
          <w:rFonts w:ascii="Times New Roman" w:hAnsi="Times New Roman" w:cs="Times New Roman"/>
        </w:rPr>
        <w:t xml:space="preserve"> </w:t>
      </w:r>
      <w:r w:rsidRPr="006E630B">
        <w:rPr>
          <w:rFonts w:ascii="Times New Roman" w:hAnsi="Times New Roman" w:cs="Times New Roman"/>
        </w:rPr>
        <w:t xml:space="preserve">as one of the most medically significant scorpion species due to its highly toxic venom. </w:t>
      </w:r>
      <w:r w:rsidR="00584FCB">
        <w:rPr>
          <w:rFonts w:ascii="Times New Roman" w:hAnsi="Times New Roman" w:cs="Times New Roman"/>
        </w:rPr>
        <w:t>“</w:t>
      </w:r>
      <w:r w:rsidR="0060072B">
        <w:rPr>
          <w:rFonts w:ascii="Times New Roman" w:hAnsi="Times New Roman" w:cs="Times New Roman"/>
          <w:highlight w:val="yellow"/>
        </w:rPr>
        <w:t>The first</w:t>
      </w:r>
      <w:r w:rsidR="007F128E" w:rsidRPr="00860979">
        <w:rPr>
          <w:rFonts w:ascii="Times New Roman" w:hAnsi="Times New Roman" w:cs="Times New Roman"/>
          <w:highlight w:val="yellow"/>
        </w:rPr>
        <w:t xml:space="preserve"> report on </w:t>
      </w:r>
      <w:proofErr w:type="spellStart"/>
      <w:r w:rsidR="007F128E" w:rsidRPr="00860979">
        <w:rPr>
          <w:rFonts w:ascii="Times New Roman" w:hAnsi="Times New Roman" w:cs="Times New Roman"/>
          <w:i/>
          <w:iCs/>
          <w:highlight w:val="yellow"/>
        </w:rPr>
        <w:t>Hottentotta</w:t>
      </w:r>
      <w:proofErr w:type="spellEnd"/>
      <w:r w:rsidR="007F128E" w:rsidRPr="00860979">
        <w:rPr>
          <w:rFonts w:ascii="Times New Roman" w:hAnsi="Times New Roman" w:cs="Times New Roman"/>
          <w:i/>
          <w:iCs/>
          <w:highlight w:val="yellow"/>
        </w:rPr>
        <w:t xml:space="preserve"> </w:t>
      </w:r>
      <w:proofErr w:type="spellStart"/>
      <w:r w:rsidR="007F128E" w:rsidRPr="00860979">
        <w:rPr>
          <w:rFonts w:ascii="Times New Roman" w:hAnsi="Times New Roman" w:cs="Times New Roman"/>
          <w:i/>
          <w:iCs/>
          <w:highlight w:val="yellow"/>
        </w:rPr>
        <w:t>tamulus</w:t>
      </w:r>
      <w:proofErr w:type="spellEnd"/>
      <w:r w:rsidR="007F128E" w:rsidRPr="00860979">
        <w:rPr>
          <w:rFonts w:ascii="Times New Roman" w:hAnsi="Times New Roman" w:cs="Times New Roman"/>
          <w:highlight w:val="yellow"/>
        </w:rPr>
        <w:t xml:space="preserve"> (white scorpion) as a medically important species of scorpion was published in 2013.  </w:t>
      </w:r>
      <w:proofErr w:type="spellStart"/>
      <w:r w:rsidR="007F128E" w:rsidRPr="00860979">
        <w:rPr>
          <w:rFonts w:ascii="Times New Roman" w:hAnsi="Times New Roman" w:cs="Times New Roman"/>
          <w:i/>
          <w:iCs/>
          <w:highlight w:val="yellow"/>
        </w:rPr>
        <w:t>Hottentotta</w:t>
      </w:r>
      <w:proofErr w:type="spellEnd"/>
      <w:r w:rsidR="007F128E" w:rsidRPr="00860979">
        <w:rPr>
          <w:rFonts w:ascii="Times New Roman" w:hAnsi="Times New Roman" w:cs="Times New Roman"/>
          <w:i/>
          <w:iCs/>
          <w:highlight w:val="yellow"/>
        </w:rPr>
        <w:t xml:space="preserve"> </w:t>
      </w:r>
      <w:proofErr w:type="spellStart"/>
      <w:r w:rsidR="007F128E" w:rsidRPr="00860979">
        <w:rPr>
          <w:rFonts w:ascii="Times New Roman" w:hAnsi="Times New Roman" w:cs="Times New Roman"/>
          <w:i/>
          <w:iCs/>
          <w:highlight w:val="yellow"/>
        </w:rPr>
        <w:t>tamulus</w:t>
      </w:r>
      <w:proofErr w:type="spellEnd"/>
      <w:r w:rsidR="007F128E" w:rsidRPr="00860979">
        <w:rPr>
          <w:rFonts w:ascii="Times New Roman" w:hAnsi="Times New Roman" w:cs="Times New Roman"/>
          <w:highlight w:val="yellow"/>
        </w:rPr>
        <w:t xml:space="preserve"> was subsequently reported as a cause of severe envenomation, almost all cases being reported from the Jaffna peninsula of Sri Lanka</w:t>
      </w:r>
      <w:r w:rsidR="00584FCB">
        <w:rPr>
          <w:rFonts w:ascii="Times New Roman" w:hAnsi="Times New Roman" w:cs="Times New Roman"/>
          <w:highlight w:val="yellow"/>
        </w:rPr>
        <w:t>”</w:t>
      </w:r>
      <w:r w:rsidR="007F128E" w:rsidRPr="00860979">
        <w:rPr>
          <w:rFonts w:ascii="Times New Roman" w:hAnsi="Times New Roman" w:cs="Times New Roman"/>
          <w:highlight w:val="yellow"/>
        </w:rPr>
        <w:t xml:space="preserve"> (Suraweera </w:t>
      </w:r>
      <w:r w:rsidR="007F128E" w:rsidRPr="00860979">
        <w:rPr>
          <w:rFonts w:ascii="Times New Roman" w:hAnsi="Times New Roman" w:cs="Times New Roman"/>
          <w:i/>
          <w:iCs/>
          <w:highlight w:val="yellow"/>
        </w:rPr>
        <w:t>et al</w:t>
      </w:r>
      <w:r w:rsidR="007F128E" w:rsidRPr="00860979">
        <w:rPr>
          <w:rFonts w:ascii="Times New Roman" w:hAnsi="Times New Roman" w:cs="Times New Roman"/>
          <w:highlight w:val="yellow"/>
        </w:rPr>
        <w:t>., 2025).</w:t>
      </w:r>
      <w:r w:rsidR="007F128E">
        <w:rPr>
          <w:rFonts w:ascii="Times New Roman" w:hAnsi="Times New Roman" w:cs="Times New Roman"/>
        </w:rPr>
        <w:t xml:space="preserve"> </w:t>
      </w:r>
      <w:r w:rsidRPr="006E630B">
        <w:rPr>
          <w:rFonts w:ascii="Times New Roman" w:hAnsi="Times New Roman" w:cs="Times New Roman"/>
        </w:rPr>
        <w:t xml:space="preserve">While its neurotoxic effects have been extensively </w:t>
      </w:r>
      <w:r w:rsidR="0060072B" w:rsidRPr="00860979">
        <w:rPr>
          <w:rFonts w:ascii="Times New Roman" w:hAnsi="Times New Roman" w:cs="Times New Roman"/>
          <w:highlight w:val="yellow"/>
        </w:rPr>
        <w:t>characterised</w:t>
      </w:r>
      <w:r w:rsidRPr="006E630B">
        <w:rPr>
          <w:rFonts w:ascii="Times New Roman" w:hAnsi="Times New Roman" w:cs="Times New Roman"/>
        </w:rPr>
        <w:t>, the antibacterial properties of its crude venom remain largely unexplored, particularly in the context of modern MDR clinical isolates. Given its rich composition of cationic and amphipathic peptides—traits commonly associated with membrane-disrupting antimicrobial peptides (AMPs)—this venom presents a compelling candidate for further investigation.</w:t>
      </w:r>
      <w:r w:rsidR="003C2F1B">
        <w:rPr>
          <w:rFonts w:ascii="Times New Roman" w:hAnsi="Times New Roman" w:cs="Times New Roman"/>
        </w:rPr>
        <w:fldChar w:fldCharType="begin"/>
      </w:r>
      <w:r w:rsidR="003C2F1B">
        <w:rPr>
          <w:rFonts w:ascii="Times New Roman" w:hAnsi="Times New Roman" w:cs="Times New Roman"/>
        </w:rPr>
        <w:instrText xml:space="preserve"> ADDIN EN.CITE &lt;EndNote&gt;&lt;Cite&gt;&lt;Author&gt;Ventola&lt;/Author&gt;&lt;Year&gt;2015&lt;/Year&gt;&lt;RecNum&gt;350&lt;/RecNum&gt;&lt;DisplayText&gt;(Ventola &amp;amp; therapeutics, 2015)&lt;/DisplayText&gt;&lt;record&gt;&lt;rec-number&gt;350&lt;/rec-number&gt;&lt;foreign-keys&gt;&lt;key app="EN" db-id="vet5vv2xcs952weexe6vxetfp0e05xefxvdv" timestamp="1758878100"&gt;350&lt;/key&gt;&lt;/foreign-keys&gt;&lt;ref-type name="Journal Article"&gt;17&lt;/ref-type&gt;&lt;contributors&gt;&lt;authors&gt;&lt;author&gt;Ventola, C Lee %J Pharmacy&lt;/author&gt;&lt;author&gt;therapeutics&lt;/author&gt;&lt;/authors&gt;&lt;/contributors&gt;&lt;titles&gt;&lt;title&gt;The antibiotic resistance crisis: part 1: causes and threats&lt;/title&gt;&lt;/titles&gt;&lt;pages&gt;277&lt;/pages&gt;&lt;volume&gt;40&lt;/volume&gt;&lt;number&gt;4&lt;/number&gt;&lt;dates&gt;&lt;year&gt;2015&lt;/year&gt;&lt;/dates&gt;&lt;urls&gt;&lt;/urls&gt;&lt;/record&gt;&lt;/Cite&gt;&lt;/EndNote&gt;</w:instrText>
      </w:r>
      <w:r w:rsidR="003C2F1B">
        <w:rPr>
          <w:rFonts w:ascii="Times New Roman" w:hAnsi="Times New Roman" w:cs="Times New Roman"/>
        </w:rPr>
        <w:fldChar w:fldCharType="separate"/>
      </w:r>
      <w:r w:rsidR="003C2F1B">
        <w:rPr>
          <w:rFonts w:ascii="Times New Roman" w:hAnsi="Times New Roman" w:cs="Times New Roman"/>
          <w:noProof/>
        </w:rPr>
        <w:t>(Ventola &amp; therapeutics, 2015)</w:t>
      </w:r>
      <w:r w:rsidR="003C2F1B">
        <w:rPr>
          <w:rFonts w:ascii="Times New Roman" w:hAnsi="Times New Roman" w:cs="Times New Roman"/>
        </w:rPr>
        <w:fldChar w:fldCharType="end"/>
      </w:r>
    </w:p>
    <w:p w14:paraId="07072727" w14:textId="77777777" w:rsidR="006E630B" w:rsidRPr="006E630B" w:rsidRDefault="006E630B" w:rsidP="006E630B">
      <w:pPr>
        <w:spacing w:line="360" w:lineRule="auto"/>
        <w:jc w:val="both"/>
        <w:rPr>
          <w:rFonts w:ascii="Times New Roman" w:hAnsi="Times New Roman" w:cs="Times New Roman"/>
        </w:rPr>
      </w:pPr>
      <w:r w:rsidRPr="006E630B">
        <w:rPr>
          <w:rFonts w:ascii="Times New Roman" w:hAnsi="Times New Roman" w:cs="Times New Roman"/>
        </w:rPr>
        <w:lastRenderedPageBreak/>
        <w:t xml:space="preserve">This study is designed to assess the in vitro antibacterial activity of crude </w:t>
      </w:r>
      <w:proofErr w:type="spellStart"/>
      <w:r w:rsidRPr="006E630B">
        <w:rPr>
          <w:rFonts w:ascii="Times New Roman" w:hAnsi="Times New Roman" w:cs="Times New Roman"/>
          <w:i/>
          <w:iCs/>
        </w:rPr>
        <w:t>Hottentotta</w:t>
      </w:r>
      <w:proofErr w:type="spellEnd"/>
      <w:r w:rsidRPr="006E630B">
        <w:rPr>
          <w:rFonts w:ascii="Times New Roman" w:hAnsi="Times New Roman" w:cs="Times New Roman"/>
          <w:i/>
          <w:iCs/>
        </w:rPr>
        <w:t xml:space="preserve"> </w:t>
      </w:r>
      <w:proofErr w:type="spellStart"/>
      <w:r w:rsidRPr="006E630B">
        <w:rPr>
          <w:rFonts w:ascii="Times New Roman" w:hAnsi="Times New Roman" w:cs="Times New Roman"/>
          <w:i/>
          <w:iCs/>
        </w:rPr>
        <w:t>tamulus</w:t>
      </w:r>
      <w:proofErr w:type="spellEnd"/>
      <w:r w:rsidRPr="006E630B">
        <w:rPr>
          <w:rFonts w:ascii="Times New Roman" w:hAnsi="Times New Roman" w:cs="Times New Roman"/>
        </w:rPr>
        <w:t xml:space="preserve"> venom against a selection of MDR bacterial pathogens. The outcomes may reveal novel bioactive compounds with the potential to serve as lead structures in the development of next-generation antibiotics, contributing a valuable tool in the global fight against AMR.</w:t>
      </w:r>
    </w:p>
    <w:p w14:paraId="6500520A" w14:textId="3875AFE7" w:rsidR="00706990" w:rsidRPr="006E630B" w:rsidRDefault="00706990" w:rsidP="006E630B">
      <w:pPr>
        <w:spacing w:line="360" w:lineRule="auto"/>
        <w:jc w:val="both"/>
        <w:rPr>
          <w:rFonts w:ascii="Times New Roman" w:hAnsi="Times New Roman" w:cs="Times New Roman"/>
        </w:rPr>
      </w:pPr>
    </w:p>
    <w:p w14:paraId="33C4DE4A" w14:textId="77777777" w:rsidR="00D93B04" w:rsidRDefault="00D93B04" w:rsidP="006E630B">
      <w:pPr>
        <w:spacing w:line="360" w:lineRule="auto"/>
        <w:rPr>
          <w:rFonts w:ascii="Times New Roman" w:hAnsi="Times New Roman" w:cs="Times New Roman"/>
        </w:rPr>
      </w:pPr>
    </w:p>
    <w:p w14:paraId="1E665ABA" w14:textId="1C215181" w:rsidR="00D93B04" w:rsidRPr="000E7420" w:rsidRDefault="00D93B04" w:rsidP="000E7420">
      <w:pPr>
        <w:spacing w:line="360" w:lineRule="auto"/>
        <w:jc w:val="center"/>
        <w:rPr>
          <w:rFonts w:ascii="Times New Roman" w:hAnsi="Times New Roman" w:cs="Times New Roman"/>
        </w:rPr>
      </w:pPr>
      <w:r w:rsidRPr="00D93B04">
        <w:rPr>
          <w:rFonts w:ascii="Times New Roman" w:hAnsi="Times New Roman" w:cs="Times New Roman"/>
          <w:noProof/>
        </w:rPr>
        <w:drawing>
          <wp:inline distT="0" distB="0" distL="0" distR="0" wp14:anchorId="7F93FB2A" wp14:editId="5DC1D4B2">
            <wp:extent cx="5731510" cy="3530600"/>
            <wp:effectExtent l="76200" t="76200" r="135890" b="127000"/>
            <wp:docPr id="184567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530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93B04">
        <w:rPr>
          <w:rFonts w:ascii="Times New Roman" w:hAnsi="Times New Roman" w:cs="Times New Roman"/>
          <w:b/>
          <w:bCs/>
        </w:rPr>
        <w:t>Figer -1</w:t>
      </w:r>
      <w:r w:rsidR="008A1997">
        <w:rPr>
          <w:rFonts w:ascii="Times New Roman" w:hAnsi="Times New Roman" w:cs="Times New Roman"/>
          <w:b/>
          <w:bCs/>
        </w:rPr>
        <w:t xml:space="preserve"> </w:t>
      </w:r>
      <w:r w:rsidR="008A1997" w:rsidRPr="008A1997">
        <w:rPr>
          <w:rFonts w:ascii="Times New Roman" w:hAnsi="Times New Roman" w:cs="Times New Roman"/>
          <w:b/>
          <w:bCs/>
        </w:rPr>
        <w:t xml:space="preserve">conceptual overview of antimicrobial research focused on using </w:t>
      </w:r>
      <w:proofErr w:type="spellStart"/>
      <w:r w:rsidR="008A1997" w:rsidRPr="008A1997">
        <w:rPr>
          <w:rFonts w:ascii="Times New Roman" w:hAnsi="Times New Roman" w:cs="Times New Roman"/>
          <w:b/>
          <w:bCs/>
          <w:i/>
          <w:iCs/>
        </w:rPr>
        <w:t>Hotentotta</w:t>
      </w:r>
      <w:proofErr w:type="spellEnd"/>
      <w:r w:rsidR="008A1997" w:rsidRPr="008A1997">
        <w:rPr>
          <w:rFonts w:ascii="Times New Roman" w:hAnsi="Times New Roman" w:cs="Times New Roman"/>
          <w:b/>
          <w:bCs/>
          <w:i/>
          <w:iCs/>
        </w:rPr>
        <w:t xml:space="preserve"> </w:t>
      </w:r>
      <w:proofErr w:type="spellStart"/>
      <w:r w:rsidR="008A1997" w:rsidRPr="008A1997">
        <w:rPr>
          <w:rFonts w:ascii="Times New Roman" w:hAnsi="Times New Roman" w:cs="Times New Roman"/>
          <w:b/>
          <w:bCs/>
          <w:i/>
          <w:iCs/>
        </w:rPr>
        <w:t>tamulus</w:t>
      </w:r>
      <w:proofErr w:type="spellEnd"/>
      <w:r w:rsidR="008A1997" w:rsidRPr="008A1997">
        <w:rPr>
          <w:rFonts w:ascii="Times New Roman" w:hAnsi="Times New Roman" w:cs="Times New Roman"/>
          <w:b/>
          <w:bCs/>
        </w:rPr>
        <w:t xml:space="preserve"> scorpion venom to combat antimicrobial resistance (AMR)</w:t>
      </w:r>
    </w:p>
    <w:p w14:paraId="4CDA29AF" w14:textId="3ED2775C" w:rsidR="00300897" w:rsidRDefault="00EC3FDE" w:rsidP="00300897">
      <w:pPr>
        <w:pStyle w:val="NormalWeb"/>
        <w:spacing w:line="360" w:lineRule="auto"/>
        <w:ind w:left="360"/>
        <w:jc w:val="both"/>
        <w:rPr>
          <w:b/>
          <w:bCs/>
        </w:rPr>
      </w:pPr>
      <w:r>
        <w:rPr>
          <w:b/>
          <w:bCs/>
        </w:rPr>
        <w:t>2.</w:t>
      </w:r>
      <w:r w:rsidR="0060072B">
        <w:rPr>
          <w:b/>
          <w:bCs/>
        </w:rPr>
        <w:t xml:space="preserve"> </w:t>
      </w:r>
      <w:r w:rsidR="00300897" w:rsidRPr="00300897">
        <w:rPr>
          <w:b/>
          <w:bCs/>
        </w:rPr>
        <w:t>Materials and Methods</w:t>
      </w:r>
    </w:p>
    <w:p w14:paraId="5654C0B6" w14:textId="592DE0BF" w:rsidR="008F34D7" w:rsidRPr="008F34D7" w:rsidRDefault="00EC3FDE" w:rsidP="00300897">
      <w:pPr>
        <w:pStyle w:val="NormalWeb"/>
        <w:spacing w:line="360" w:lineRule="auto"/>
        <w:ind w:left="360"/>
        <w:jc w:val="both"/>
        <w:rPr>
          <w:b/>
          <w:bCs/>
        </w:rPr>
      </w:pPr>
      <w:r>
        <w:rPr>
          <w:b/>
          <w:bCs/>
        </w:rPr>
        <w:t>2.</w:t>
      </w:r>
      <w:r w:rsidR="008F34D7" w:rsidRPr="008F34D7">
        <w:rPr>
          <w:b/>
          <w:bCs/>
        </w:rPr>
        <w:t>1. Procurement and Processing of Venom</w:t>
      </w:r>
    </w:p>
    <w:p w14:paraId="0C71FB89" w14:textId="019CC174" w:rsidR="008F34D7" w:rsidRPr="008F34D7" w:rsidRDefault="008F34D7" w:rsidP="008F34D7">
      <w:pPr>
        <w:pStyle w:val="NormalWeb"/>
        <w:spacing w:line="360" w:lineRule="auto"/>
        <w:ind w:left="360"/>
        <w:jc w:val="both"/>
      </w:pPr>
      <w:r w:rsidRPr="008F34D7">
        <w:t>Live adult </w:t>
      </w:r>
      <w:proofErr w:type="spellStart"/>
      <w:r w:rsidRPr="008F34D7">
        <w:rPr>
          <w:i/>
          <w:iCs/>
        </w:rPr>
        <w:t>Hottentotta</w:t>
      </w:r>
      <w:proofErr w:type="spellEnd"/>
      <w:r w:rsidRPr="008F34D7">
        <w:rPr>
          <w:i/>
          <w:iCs/>
        </w:rPr>
        <w:t xml:space="preserve"> </w:t>
      </w:r>
      <w:proofErr w:type="spellStart"/>
      <w:r w:rsidRPr="008F34D7">
        <w:rPr>
          <w:i/>
          <w:iCs/>
        </w:rPr>
        <w:t>tamulus</w:t>
      </w:r>
      <w:proofErr w:type="spellEnd"/>
      <w:r w:rsidRPr="008F34D7">
        <w:t xml:space="preserve"> scorpions (n=50) will be sourced from their natural habitat in Raebareli, Uttar Pradesh, India, following acquisition of necessary collection permits. Species identification will be verified by a qualified arachnid taxonomist. Venom extraction will be conducted via mild electrical stimulation (2-10V pulses of 1-2 seconds duration) applied to the telson. The expelled venom will be gathered directly into sterile, ice-cooled, pyrogen-free microcentrifuge tubes. The crude venom will be promptly </w:t>
      </w:r>
      <w:r w:rsidRPr="008F34D7">
        <w:lastRenderedPageBreak/>
        <w:t xml:space="preserve">subjected to </w:t>
      </w:r>
      <w:r w:rsidR="0060072B" w:rsidRPr="00860979">
        <w:rPr>
          <w:highlight w:val="yellow"/>
        </w:rPr>
        <w:t>lyophilisation</w:t>
      </w:r>
      <w:r w:rsidR="0060072B" w:rsidRPr="008F34D7">
        <w:t xml:space="preserve"> </w:t>
      </w:r>
      <w:r w:rsidRPr="008F34D7">
        <w:t xml:space="preserve">and stored at -80°C. For experimental use, the freeze-dried venom will be reconstituted in sterile phosphate-buffered saline (PBS, pH 7.4). </w:t>
      </w:r>
      <w:r w:rsidR="00B46D24">
        <w:t>“</w:t>
      </w:r>
      <w:r w:rsidRPr="008F34D7">
        <w:t xml:space="preserve">This solution will then be centrifuged at 10,000 x g for 5 minutes to pellet any insoluble material, and the resulting supernatant, designated as the working crude venom solution, will be </w:t>
      </w:r>
      <w:r w:rsidR="0060072B" w:rsidRPr="00860979">
        <w:rPr>
          <w:highlight w:val="yellow"/>
        </w:rPr>
        <w:t>utilised</w:t>
      </w:r>
      <w:r w:rsidR="0060072B" w:rsidRPr="008F34D7">
        <w:t xml:space="preserve"> </w:t>
      </w:r>
      <w:r w:rsidRPr="008F34D7">
        <w:t>in all assays. The protein concentration of this stock will be quantified using the Bradford method, with bovine serum albumin (BSA) serving as the standard</w:t>
      </w:r>
      <w:r w:rsidR="00B46D24">
        <w:t xml:space="preserve">” </w:t>
      </w:r>
      <w:r w:rsidR="00894297">
        <w:fldChar w:fldCharType="begin"/>
      </w:r>
      <w:r w:rsidR="00894297">
        <w:instrText xml:space="preserve"> ADDIN EN.CITE &lt;EndNote&gt;&lt;Cite&gt;&lt;Author&gt;Andreis&lt;/Author&gt;&lt;Year&gt;2017&lt;/Year&gt;&lt;RecNum&gt;351&lt;/RecNum&gt;&lt;DisplayText&gt;(Andreis et al., 2017)&lt;/DisplayText&gt;&lt;record&gt;&lt;rec-number&gt;351&lt;/rec-number&gt;&lt;foreign-keys&gt;&lt;key app="EN" db-id="vet5vv2xcs952weexe6vxetfp0e05xefxvdv" timestamp="1758878167"&gt;351&lt;/key&gt;&lt;/foreign-keys&gt;&lt;ref-type name="Journal Article"&gt;17&lt;/ref-type&gt;&lt;contributors&gt;&lt;authors&gt;&lt;author&gt;Andreis, Samantha&lt;/author&gt;&lt;author&gt;Basso, Monica&lt;/author&gt;&lt;author&gt;Scaggiante, Renzo&lt;/author&gt;&lt;author&gt;Cruciani, Mario&lt;/author&gt;&lt;author&gt;Ferretto, Roberto&lt;/author&gt;&lt;author&gt;Manfrin, Vinicio&lt;/author&gt;&lt;author&gt;Panese, Sandro&lt;/author&gt;&lt;author&gt;Rossi, Maria Cristina&lt;/author&gt;&lt;author&gt;Francavilla, Ermenegildo&lt;/author&gt;&lt;author&gt;Boldrin, Caterina %J Journal of global antimicrobial resistance&lt;/author&gt;&lt;/authors&gt;&lt;/contributors&gt;&lt;titles&gt;&lt;title&gt;Drug resistance in B and non-B subtypes amongst subjects recently diagnosed as primary/recent or chronic HIV-infected over the period 2013–2016: impact on susceptibility to first-line strategies including integrase strand-transfer inhibitors&lt;/title&gt;&lt;/titles&gt;&lt;pages&gt;106-112&lt;/pages&gt;&lt;volume&gt;10&lt;/volume&gt;&lt;dates&gt;&lt;year&gt;2017&lt;/year&gt;&lt;/dates&gt;&lt;isbn&gt;2213-7165&lt;/isbn&gt;&lt;urls&gt;&lt;/urls&gt;&lt;/record&gt;&lt;/Cite&gt;&lt;/EndNote&gt;</w:instrText>
      </w:r>
      <w:r w:rsidR="00894297">
        <w:fldChar w:fldCharType="separate"/>
      </w:r>
      <w:r w:rsidR="00894297">
        <w:rPr>
          <w:noProof/>
        </w:rPr>
        <w:t>(Andreis et al., 2017)</w:t>
      </w:r>
      <w:r w:rsidR="00894297">
        <w:fldChar w:fldCharType="end"/>
      </w:r>
      <w:r w:rsidR="00B46D24">
        <w:t>.</w:t>
      </w:r>
    </w:p>
    <w:p w14:paraId="0BCB5C16" w14:textId="252DCFFC" w:rsidR="008F34D7" w:rsidRPr="008F34D7" w:rsidRDefault="00EC3FDE" w:rsidP="008F34D7">
      <w:pPr>
        <w:pStyle w:val="NormalWeb"/>
        <w:spacing w:line="360" w:lineRule="auto"/>
        <w:ind w:left="360"/>
        <w:jc w:val="both"/>
      </w:pPr>
      <w:r>
        <w:rPr>
          <w:b/>
          <w:bCs/>
        </w:rPr>
        <w:t>2.</w:t>
      </w:r>
      <w:r w:rsidR="008F34D7" w:rsidRPr="008F34D7">
        <w:rPr>
          <w:b/>
          <w:bCs/>
        </w:rPr>
        <w:t>2. Bacterial Strains and Cultivation</w:t>
      </w:r>
    </w:p>
    <w:p w14:paraId="13987D01" w14:textId="656936C1" w:rsidR="008F34D7" w:rsidRPr="008F34D7" w:rsidRDefault="008F34D7" w:rsidP="008F34D7">
      <w:pPr>
        <w:pStyle w:val="NormalWeb"/>
        <w:spacing w:line="360" w:lineRule="auto"/>
        <w:ind w:left="360"/>
        <w:jc w:val="both"/>
      </w:pPr>
      <w:r w:rsidRPr="008F34D7">
        <w:t>The antimicrobial efficacy will be tested against a panel of clinically relevant multidrug-resistant (MDR) bacterial strains. This panel will consist of the Gram-positive bacterium methicillin-resistant </w:t>
      </w:r>
      <w:r w:rsidRPr="008F34D7">
        <w:rPr>
          <w:i/>
          <w:iCs/>
        </w:rPr>
        <w:t>Staphylococcus aureus</w:t>
      </w:r>
      <w:r w:rsidRPr="008F34D7">
        <w:t> (MRSA, ATCC 43300), and the Gram-negative bacteria carbapenem-resistant </w:t>
      </w:r>
      <w:r w:rsidRPr="008F34D7">
        <w:rPr>
          <w:i/>
          <w:iCs/>
        </w:rPr>
        <w:t>Pseudomonas aeruginosa</w:t>
      </w:r>
      <w:r w:rsidRPr="008F34D7">
        <w:t>, multidrug-resistant </w:t>
      </w:r>
      <w:r w:rsidRPr="008F34D7">
        <w:rPr>
          <w:i/>
          <w:iCs/>
        </w:rPr>
        <w:t>Acinetobacter baumannii</w:t>
      </w:r>
      <w:r w:rsidRPr="008F34D7">
        <w:t>, extended-spectrum beta-lactamase (ESBL)-producing </w:t>
      </w:r>
      <w:r w:rsidRPr="008F34D7">
        <w:rPr>
          <w:i/>
          <w:iCs/>
        </w:rPr>
        <w:t>Escherichia coli</w:t>
      </w:r>
      <w:r w:rsidRPr="008F34D7">
        <w:t>, and carbapenem-resistant </w:t>
      </w:r>
      <w:r w:rsidRPr="008F34D7">
        <w:rPr>
          <w:i/>
          <w:iCs/>
        </w:rPr>
        <w:t>Klebsiella pneumoniae</w:t>
      </w:r>
      <w:r w:rsidRPr="008F34D7">
        <w:t>. All clinical isolates will be acquired from an accredited microbiology laboratory, and their resistance profiles will be reconfirmed prior to the study's commencement. Bacterial cultures will be maintained at -80°C in appropriate cryopreservation media. For assays, fresh cultures will be prepared by streaking onto Mueller-Hinton Agar (MHA) plates and incubating at 37°C for 18-24 hours. Bacterial suspensions for inoculation will be prepared in Mueller-Hinton Broth (MHB) from selected isolated colonies.</w:t>
      </w:r>
      <w:r w:rsidR="003075E3">
        <w:fldChar w:fldCharType="begin"/>
      </w:r>
      <w:r w:rsidR="003075E3">
        <w:instrText xml:space="preserve"> ADDIN EN.CITE &lt;EndNote&gt;&lt;Cite&gt;&lt;Author&gt;Pennington&lt;/Author&gt;&lt;Year&gt;2018&lt;/Year&gt;&lt;RecNum&gt;352&lt;/RecNum&gt;&lt;DisplayText&gt;(Pennington, Czerwinski, Norton, &amp;amp; chemistry, 2018)&lt;/DisplayText&gt;&lt;record&gt;&lt;rec-number&gt;352&lt;/rec-number&gt;&lt;foreign-keys&gt;&lt;key app="EN" db-id="vet5vv2xcs952weexe6vxetfp0e05xefxvdv" timestamp="1758878308"&gt;352&lt;/key&gt;&lt;/foreign-keys&gt;&lt;ref-type name="Journal Article"&gt;17&lt;/ref-type&gt;&lt;contributors&gt;&lt;authors&gt;&lt;author&gt;Pennington, Michael W&lt;/author&gt;&lt;author&gt;Czerwinski, Andrzej&lt;/author&gt;&lt;author&gt;Norton, Raymond S %J Bioorganic&lt;/author&gt;&lt;author&gt;medicinal chemistry&lt;/author&gt;&lt;/authors&gt;&lt;/contributors&gt;&lt;titles&gt;&lt;title&gt;Peptide therapeutics from venom: Current status and potential&lt;/title&gt;&lt;/titles&gt;&lt;pages&gt;2738-2758&lt;/pages&gt;&lt;volume&gt;26&lt;/volume&gt;&lt;number&gt;10&lt;/number&gt;&lt;dates&gt;&lt;year&gt;2018&lt;/year&gt;&lt;/dates&gt;&lt;isbn&gt;0968-0896&lt;/isbn&gt;&lt;urls&gt;&lt;/urls&gt;&lt;/record&gt;&lt;/Cite&gt;&lt;/EndNote&gt;</w:instrText>
      </w:r>
      <w:r w:rsidR="003075E3">
        <w:fldChar w:fldCharType="separate"/>
      </w:r>
      <w:r w:rsidR="003075E3">
        <w:rPr>
          <w:noProof/>
        </w:rPr>
        <w:t>(Pennington, Czerwinski, Norton, &amp; chemistry, 2018)</w:t>
      </w:r>
      <w:r w:rsidR="003075E3">
        <w:fldChar w:fldCharType="end"/>
      </w:r>
    </w:p>
    <w:p w14:paraId="5C004E00" w14:textId="70F695E5" w:rsidR="008F34D7" w:rsidRPr="008F34D7" w:rsidRDefault="00EC3FDE" w:rsidP="008F34D7">
      <w:pPr>
        <w:pStyle w:val="NormalWeb"/>
        <w:spacing w:line="360" w:lineRule="auto"/>
        <w:ind w:left="360"/>
        <w:jc w:val="both"/>
      </w:pPr>
      <w:r>
        <w:rPr>
          <w:b/>
          <w:bCs/>
        </w:rPr>
        <w:t>2.</w:t>
      </w:r>
      <w:r w:rsidR="008F34D7" w:rsidRPr="008F34D7">
        <w:rPr>
          <w:b/>
          <w:bCs/>
        </w:rPr>
        <w:t>3. Assessment of Minimum Inhibitory (MIC) and Bactericidal (MBC) Concentrations</w:t>
      </w:r>
    </w:p>
    <w:p w14:paraId="12BD5083" w14:textId="6377DC9E" w:rsidR="008F34D7" w:rsidRPr="008F34D7" w:rsidRDefault="008F34D7" w:rsidP="008F34D7">
      <w:pPr>
        <w:pStyle w:val="NormalWeb"/>
        <w:spacing w:line="360" w:lineRule="auto"/>
        <w:ind w:left="360"/>
        <w:jc w:val="both"/>
      </w:pPr>
      <w:r w:rsidRPr="008F34D7">
        <w:t xml:space="preserve">The minimum inhibitory concentration (MIC) will be determined in accordance with Clinical and Laboratory Standards Institute (CLSI) standards, employing a broth microdilution technique in 96-well plates. Briefly, two-fold serial dilutions of the crude venom (e.g., from 200 µg/mL to 1.56 µg/mL) will be prepared in MHB. Each well will then be inoculated with a </w:t>
      </w:r>
      <w:r w:rsidR="0060072B" w:rsidRPr="00860979">
        <w:rPr>
          <w:highlight w:val="yellow"/>
        </w:rPr>
        <w:t>standardised</w:t>
      </w:r>
      <w:r w:rsidR="0060072B" w:rsidRPr="008F34D7">
        <w:t xml:space="preserve"> </w:t>
      </w:r>
      <w:r w:rsidRPr="008F34D7">
        <w:t>bacterial suspension to yield a final concentration of approximately 5 x 10^5 CFU/</w:t>
      </w:r>
      <w:proofErr w:type="spellStart"/>
      <w:r w:rsidRPr="008F34D7">
        <w:t>mL.</w:t>
      </w:r>
      <w:proofErr w:type="spellEnd"/>
      <w:r w:rsidRPr="008F34D7">
        <w:t xml:space="preserve"> The plates will be incubated at 37°C for 18-24 hours. Appropriate controls, including sterility (broth only), growth (bacteria in broth), and quality control (a standard antibiotic), will be incorporated into each assay run. The MIC is defined </w:t>
      </w:r>
      <w:r w:rsidRPr="008F34D7">
        <w:lastRenderedPageBreak/>
        <w:t>as the lowest venom concentration that prevents visible bacterial growth. To determine the MBC, a 10 µL sample from wells showing no growth will be plated onto fresh MHA. The MBC is identified as the lowest concentration that achieves a ≥99.9% reduction in the original bacterial inoculum.</w:t>
      </w:r>
      <w:r w:rsidR="0060072B">
        <w:t xml:space="preserve"> </w:t>
      </w:r>
      <w:r w:rsidR="009D7F39">
        <w:fldChar w:fldCharType="begin"/>
      </w:r>
      <w:r w:rsidR="009D7F39">
        <w:instrText xml:space="preserve"> ADDIN EN.CITE &lt;EndNote&gt;&lt;Cite&gt;&lt;Author&gt;King&lt;/Author&gt;&lt;Year&gt;2011&lt;/Year&gt;&lt;RecNum&gt;353&lt;/RecNum&gt;&lt;DisplayText&gt;(King, 2011)&lt;/DisplayText&gt;&lt;record&gt;&lt;rec-number&gt;353&lt;/rec-number&gt;&lt;foreign-keys&gt;&lt;key app="EN" db-id="vet5vv2xcs952weexe6vxetfp0e05xefxvdv" timestamp="1758878446"&gt;353&lt;/key&gt;&lt;/foreign-keys&gt;&lt;ref-type name="Journal Article"&gt;17&lt;/ref-type&gt;&lt;contributors&gt;&lt;authors&gt;&lt;author&gt;King, Glenn F %J Expert opinion on biological therapy&lt;/author&gt;&lt;/authors&gt;&lt;/contributors&gt;&lt;titles&gt;&lt;title&gt;Venoms as a platform for human drugs: translating toxins into therapeutics&lt;/title&gt;&lt;/titles&gt;&lt;pages&gt;1469-1484&lt;/pages&gt;&lt;volume&gt;11&lt;/volume&gt;&lt;number&gt;11&lt;/number&gt;&lt;dates&gt;&lt;year&gt;2011&lt;/year&gt;&lt;/dates&gt;&lt;isbn&gt;1471-2598&lt;/isbn&gt;&lt;urls&gt;&lt;/urls&gt;&lt;/record&gt;&lt;/Cite&gt;&lt;/EndNote&gt;</w:instrText>
      </w:r>
      <w:r w:rsidR="009D7F39">
        <w:fldChar w:fldCharType="separate"/>
      </w:r>
      <w:r w:rsidR="009D7F39">
        <w:rPr>
          <w:noProof/>
        </w:rPr>
        <w:t>(King, 2011)</w:t>
      </w:r>
      <w:r w:rsidR="009D7F39">
        <w:fldChar w:fldCharType="end"/>
      </w:r>
    </w:p>
    <w:p w14:paraId="03C66465" w14:textId="6AA65629" w:rsidR="008F34D7" w:rsidRPr="008F34D7" w:rsidRDefault="00EC3FDE" w:rsidP="008F34D7">
      <w:pPr>
        <w:pStyle w:val="NormalWeb"/>
        <w:spacing w:line="360" w:lineRule="auto"/>
        <w:ind w:left="360"/>
        <w:jc w:val="both"/>
      </w:pPr>
      <w:r>
        <w:rPr>
          <w:b/>
          <w:bCs/>
        </w:rPr>
        <w:t>2.</w:t>
      </w:r>
      <w:r w:rsidR="008F34D7" w:rsidRPr="008F34D7">
        <w:rPr>
          <w:b/>
          <w:bCs/>
        </w:rPr>
        <w:t>4. Time-Kill Kinetic Study</w:t>
      </w:r>
    </w:p>
    <w:p w14:paraId="6D063002" w14:textId="08577CD3" w:rsidR="008F34D7" w:rsidRPr="008F34D7" w:rsidRDefault="008F34D7" w:rsidP="008F34D7">
      <w:pPr>
        <w:pStyle w:val="NormalWeb"/>
        <w:spacing w:line="360" w:lineRule="auto"/>
        <w:ind w:left="360"/>
        <w:jc w:val="both"/>
      </w:pPr>
      <w:r w:rsidRPr="008F34D7">
        <w:t xml:space="preserve">The rate of the venom's bactericidal action will be evaluated using a time-kill assay. Bacterial cultures will be exposed to the crude venom at concentrations equivalent to 1x, 2x, and 4x the MIC. Samples will be withdrawn at specified time points (0, 0.5, 1, 2, 4, 6, 8, 12, and 24 hours), serially diluted in sterile PBS, and plated onto MHA to quantify viable cells. The number of colony-forming units per </w:t>
      </w:r>
      <w:r w:rsidR="0060072B" w:rsidRPr="00860979">
        <w:rPr>
          <w:highlight w:val="yellow"/>
        </w:rPr>
        <w:t>millilitre</w:t>
      </w:r>
      <w:r w:rsidR="0060072B" w:rsidRPr="008F34D7">
        <w:t xml:space="preserve"> </w:t>
      </w:r>
      <w:r w:rsidRPr="008F34D7">
        <w:t>(CFU/mL) will be determined and plotted against time to generate kill curves. A reduction in viable count by ≥3-log10 (99.9%) compared to the starting inoculum will be considered indicative of bactericidal activity.</w:t>
      </w:r>
      <w:r w:rsidR="00922923">
        <w:fldChar w:fldCharType="begin"/>
      </w:r>
      <w:r w:rsidR="00922923">
        <w:instrText xml:space="preserve"> ADDIN EN.CITE &lt;EndNote&gt;&lt;Cite&gt;&lt;Author&gt;Utkin&lt;/Author&gt;&lt;Year&gt;2015&lt;/Year&gt;&lt;RecNum&gt;354&lt;/RecNum&gt;&lt;DisplayText&gt;(Utkin, 2015)&lt;/DisplayText&gt;&lt;record&gt;&lt;rec-number&gt;354&lt;/rec-number&gt;&lt;foreign-keys&gt;&lt;key app="EN" db-id="vet5vv2xcs952weexe6vxetfp0e05xefxvdv" timestamp="1758878519"&gt;354&lt;/key&gt;&lt;/foreign-keys&gt;&lt;ref-type name="Journal Article"&gt;17&lt;/ref-type&gt;&lt;contributors&gt;&lt;authors&gt;&lt;author&gt;Utkin, Yuri N %J World journal of biological chemistry&lt;/author&gt;&lt;/authors&gt;&lt;/contributors&gt;&lt;titles&gt;&lt;title&gt;Animal venom studies: Current benefits and future developments&lt;/title&gt;&lt;/titles&gt;&lt;pages&gt;28&lt;/pages&gt;&lt;volume&gt;6&lt;/volume&gt;&lt;number&gt;2&lt;/number&gt;&lt;dates&gt;&lt;year&gt;2015&lt;/year&gt;&lt;/dates&gt;&lt;urls&gt;&lt;/urls&gt;&lt;/record&gt;&lt;/Cite&gt;&lt;/EndNote&gt;</w:instrText>
      </w:r>
      <w:r w:rsidR="00922923">
        <w:fldChar w:fldCharType="separate"/>
      </w:r>
      <w:r w:rsidR="00922923">
        <w:rPr>
          <w:noProof/>
        </w:rPr>
        <w:t>(Utkin, 2015)</w:t>
      </w:r>
      <w:r w:rsidR="00922923">
        <w:fldChar w:fldCharType="end"/>
      </w:r>
    </w:p>
    <w:p w14:paraId="216CBB35" w14:textId="788CD670" w:rsidR="008F34D7" w:rsidRPr="008F34D7" w:rsidRDefault="00EC3FDE" w:rsidP="008F34D7">
      <w:pPr>
        <w:pStyle w:val="NormalWeb"/>
        <w:spacing w:line="360" w:lineRule="auto"/>
        <w:ind w:left="360"/>
        <w:jc w:val="both"/>
      </w:pPr>
      <w:r>
        <w:rPr>
          <w:b/>
          <w:bCs/>
        </w:rPr>
        <w:t>2.</w:t>
      </w:r>
      <w:r w:rsidR="008F34D7" w:rsidRPr="008F34D7">
        <w:rPr>
          <w:b/>
          <w:bCs/>
        </w:rPr>
        <w:t>5. Evaluation of Synergistic Activity</w:t>
      </w:r>
    </w:p>
    <w:p w14:paraId="6356AB1B" w14:textId="1572885D" w:rsidR="008F34D7" w:rsidRPr="008F34D7" w:rsidRDefault="008F34D7" w:rsidP="008F34D7">
      <w:pPr>
        <w:pStyle w:val="NormalWeb"/>
        <w:spacing w:line="360" w:lineRule="auto"/>
        <w:ind w:left="360"/>
        <w:jc w:val="both"/>
      </w:pPr>
      <w:r w:rsidRPr="008F34D7">
        <w:t xml:space="preserve">Potential synergistic interactions between the scorpion venom and conventional antibiotics (e.g., Ciprofloxacin, Oxacillin) will be investigated using a checkerboard broth microdilution assay. Two-fold dilutions of the venom will be prepared along one axis of a 96-well plate, while serial dilutions of an antibiotic will be prepared along the perpendicular axis. The plate will be inoculated with the test bacterium. </w:t>
      </w:r>
      <w:r w:rsidR="00584FCB">
        <w:t>“</w:t>
      </w:r>
      <w:r w:rsidRPr="008F34D7">
        <w:t>The Fractional Inhibitory Concentration Index (FICI) will be calculated as follows: FICI = (MIC of venom in combination / MIC of venom alone) + (MIC of antibiotic in combination / MIC of antibiotic alone). The interaction will be interpreted as synergistic if FICI ≤ 0.5, indifferent if 0.5 &lt; FICI ≤ 4, and antagonistic if FICI &gt; 4</w:t>
      </w:r>
      <w:r w:rsidR="00584FCB">
        <w:t>”</w:t>
      </w:r>
      <w:r w:rsidRPr="008F34D7">
        <w:t>.</w:t>
      </w:r>
      <w:r w:rsidR="00024FEC">
        <w:fldChar w:fldCharType="begin"/>
      </w:r>
      <w:r w:rsidR="00024FEC">
        <w:instrText xml:space="preserve"> ADDIN EN.CITE &lt;EndNote&gt;&lt;Cite&gt;&lt;Author&gt;Almaaytah&lt;/Author&gt;&lt;Year&gt;2014&lt;/Year&gt;&lt;RecNum&gt;355&lt;/RecNum&gt;&lt;DisplayText&gt;(Almaaytah &amp;amp; Albalas, 2014)&lt;/DisplayText&gt;&lt;record&gt;&lt;rec-number&gt;355&lt;/rec-number&gt;&lt;foreign-keys&gt;&lt;key app="EN" db-id="vet5vv2xcs952weexe6vxetfp0e05xefxvdv" timestamp="1758878626"&gt;355&lt;/key&gt;&lt;/foreign-keys&gt;&lt;ref-type name="Journal Article"&gt;17&lt;/ref-type&gt;&lt;contributors&gt;&lt;authors&gt;&lt;author&gt;Almaaytah, Ammar&lt;/author&gt;&lt;author&gt;Albalas, Qosay %J Peptides&lt;/author&gt;&lt;/authors&gt;&lt;/contributors&gt;&lt;titles&gt;&lt;title&gt;Scorpion venom peptides with no disulfide bridges: a review&lt;/title&gt;&lt;/titles&gt;&lt;pages&gt;35-45&lt;/pages&gt;&lt;volume&gt;51&lt;/volume&gt;&lt;dates&gt;&lt;year&gt;2014&lt;/year&gt;&lt;/dates&gt;&lt;isbn&gt;0196-9781&lt;/isbn&gt;&lt;urls&gt;&lt;/urls&gt;&lt;/record&gt;&lt;/Cite&gt;&lt;/EndNote&gt;</w:instrText>
      </w:r>
      <w:r w:rsidR="00024FEC">
        <w:fldChar w:fldCharType="separate"/>
      </w:r>
      <w:r w:rsidR="00024FEC">
        <w:rPr>
          <w:noProof/>
        </w:rPr>
        <w:t>(Almaaytah &amp; Albalas, 2014)</w:t>
      </w:r>
      <w:r w:rsidR="00024FEC">
        <w:fldChar w:fldCharType="end"/>
      </w:r>
    </w:p>
    <w:p w14:paraId="0EEF1642" w14:textId="29EC99E4" w:rsidR="008F34D7" w:rsidRPr="008F34D7" w:rsidRDefault="00EC3FDE" w:rsidP="008F34D7">
      <w:pPr>
        <w:pStyle w:val="NormalWeb"/>
        <w:spacing w:line="360" w:lineRule="auto"/>
        <w:ind w:left="360"/>
        <w:jc w:val="both"/>
      </w:pPr>
      <w:r>
        <w:rPr>
          <w:b/>
          <w:bCs/>
        </w:rPr>
        <w:t>2.</w:t>
      </w:r>
      <w:r w:rsidR="008F34D7" w:rsidRPr="008F34D7">
        <w:rPr>
          <w:b/>
          <w:bCs/>
        </w:rPr>
        <w:t>6. Data Analysis</w:t>
      </w:r>
    </w:p>
    <w:p w14:paraId="0535A797" w14:textId="2C328300" w:rsidR="008F34D7" w:rsidRPr="008F34D7" w:rsidRDefault="008F34D7" w:rsidP="008F34D7">
      <w:pPr>
        <w:pStyle w:val="NormalWeb"/>
        <w:spacing w:line="360" w:lineRule="auto"/>
        <w:ind w:left="360"/>
        <w:jc w:val="both"/>
      </w:pPr>
      <w:r w:rsidRPr="008F34D7">
        <w:t>All experiments will be conducted with a minimum of three independent replicates (n=3). Results will be presented as mean ± standard deviation (SD). Statistical analyses, including one-way or two-way ANOVA followed by suitable post-hoc tests, will be performed using GraphPad Prism software (version 9.0). A probability value (p-value) of less than 0.05 will be deemed statistically significant.</w:t>
      </w:r>
      <w:r w:rsidR="00E07FA9">
        <w:fldChar w:fldCharType="begin"/>
      </w:r>
      <w:r w:rsidR="00E07FA9">
        <w:instrText xml:space="preserve"> ADDIN EN.CITE &lt;EndNote&gt;&lt;Cite&gt;&lt;Author&gt;Zeng&lt;/Author&gt;&lt;Year&gt;2005&lt;/Year&gt;&lt;RecNum&gt;356&lt;/RecNum&gt;&lt;DisplayText&gt;(Zeng, Corzo, &amp;amp; Hahin, 2005)&lt;/DisplayText&gt;&lt;record&gt;&lt;rec-number&gt;356&lt;/rec-number&gt;&lt;foreign-keys&gt;&lt;key app="EN" db-id="vet5vv2xcs952weexe6vxetfp0e05xefxvdv" timestamp="1758878723"&gt;356&lt;/key&gt;&lt;/foreign-keys&gt;&lt;ref-type name="Journal Article"&gt;17&lt;/ref-type&gt;&lt;contributors&gt;&lt;authors&gt;&lt;author&gt;Zeng, Xian‐Chun&lt;/author&gt;&lt;author&gt;Corzo, Gerardo&lt;/author&gt;&lt;author&gt;Hahin, Richard %J IUBMB life&lt;/author&gt;&lt;/authors&gt;&lt;/contributors&gt;&lt;titles&gt;&lt;title&gt;Scorpion venom peptides without disulfide bridges&lt;/title&gt;&lt;/titles&gt;&lt;pages&gt;13-21&lt;/pages&gt;&lt;volume&gt;57&lt;/volume&gt;&lt;number&gt;1&lt;/number&gt;&lt;dates&gt;&lt;year&gt;2005&lt;/year&gt;&lt;/dates&gt;&lt;isbn&gt;1521-6543&lt;/isbn&gt;&lt;urls&gt;&lt;/urls&gt;&lt;/record&gt;&lt;/Cite&gt;&lt;/EndNote&gt;</w:instrText>
      </w:r>
      <w:r w:rsidR="00E07FA9">
        <w:fldChar w:fldCharType="separate"/>
      </w:r>
      <w:r w:rsidR="00E07FA9">
        <w:rPr>
          <w:noProof/>
        </w:rPr>
        <w:t>(Zeng, Corzo, &amp; Hahin, 2005)</w:t>
      </w:r>
      <w:r w:rsidR="00E07FA9">
        <w:fldChar w:fldCharType="end"/>
      </w:r>
    </w:p>
    <w:p w14:paraId="51313E55" w14:textId="2BE9D243" w:rsidR="00D30F84" w:rsidRPr="00D30F84" w:rsidRDefault="00D30F84" w:rsidP="00D30F84">
      <w:pPr>
        <w:pStyle w:val="NormalWeb"/>
        <w:ind w:left="360"/>
      </w:pPr>
      <w:r w:rsidRPr="00D30F84">
        <w:rPr>
          <w:noProof/>
        </w:rPr>
        <w:lastRenderedPageBreak/>
        <w:drawing>
          <wp:inline distT="0" distB="0" distL="0" distR="0" wp14:anchorId="059C1DD6" wp14:editId="0745EF8D">
            <wp:extent cx="5731510" cy="6527800"/>
            <wp:effectExtent l="76200" t="76200" r="135890" b="139700"/>
            <wp:docPr id="4462103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652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F30670" w14:textId="33802196" w:rsidR="001D4464" w:rsidRDefault="0060072B" w:rsidP="005873F5">
      <w:pPr>
        <w:pStyle w:val="NormalWeb"/>
        <w:jc w:val="center"/>
        <w:rPr>
          <w:b/>
          <w:bCs/>
        </w:rPr>
      </w:pPr>
      <w:r w:rsidRPr="00860979">
        <w:rPr>
          <w:b/>
          <w:bCs/>
          <w:highlight w:val="yellow"/>
        </w:rPr>
        <w:t>Figure 2</w:t>
      </w:r>
      <w:r w:rsidR="005873F5">
        <w:rPr>
          <w:b/>
          <w:bCs/>
        </w:rPr>
        <w:t xml:space="preserve"> </w:t>
      </w:r>
      <w:r w:rsidR="00200C05" w:rsidRPr="00200C05">
        <w:rPr>
          <w:b/>
          <w:bCs/>
        </w:rPr>
        <w:t>represents a scientific workflow and experimental results from a study investigating the antibacterial activity of scorpion venom</w:t>
      </w:r>
    </w:p>
    <w:p w14:paraId="5CF07E44" w14:textId="32FCF240" w:rsidR="00780AAB" w:rsidRPr="00780AAB" w:rsidRDefault="00054DBD" w:rsidP="001D4464">
      <w:pPr>
        <w:pStyle w:val="NormalWeb"/>
        <w:rPr>
          <w:b/>
          <w:bCs/>
        </w:rPr>
      </w:pPr>
      <w:r>
        <w:rPr>
          <w:b/>
          <w:bCs/>
        </w:rPr>
        <w:t>3.</w:t>
      </w:r>
      <w:r w:rsidR="0060072B">
        <w:rPr>
          <w:b/>
          <w:bCs/>
        </w:rPr>
        <w:t xml:space="preserve"> </w:t>
      </w:r>
      <w:r w:rsidR="00780AAB" w:rsidRPr="00780AAB">
        <w:rPr>
          <w:b/>
          <w:bCs/>
        </w:rPr>
        <w:t>Results</w:t>
      </w:r>
    </w:p>
    <w:p w14:paraId="1128CB84" w14:textId="77777777"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t>3.1. Antimicrobial Activity of Crude Venom</w:t>
      </w:r>
    </w:p>
    <w:p w14:paraId="51FB3067" w14:textId="61518FBC" w:rsidR="008B7598" w:rsidRPr="008B7598" w:rsidRDefault="008B7598" w:rsidP="008B7598">
      <w:pPr>
        <w:spacing w:line="360" w:lineRule="auto"/>
        <w:jc w:val="both"/>
        <w:rPr>
          <w:rFonts w:ascii="Times New Roman" w:hAnsi="Times New Roman" w:cs="Times New Roman"/>
        </w:rPr>
      </w:pPr>
      <w:r w:rsidRPr="008B7598">
        <w:rPr>
          <w:rFonts w:ascii="Times New Roman" w:hAnsi="Times New Roman" w:cs="Times New Roman"/>
        </w:rPr>
        <w:t>Evaluation of the crude venom from </w:t>
      </w:r>
      <w:proofErr w:type="spellStart"/>
      <w:r w:rsidRPr="008B7598">
        <w:rPr>
          <w:rFonts w:ascii="Times New Roman" w:hAnsi="Times New Roman" w:cs="Times New Roman"/>
          <w:i/>
          <w:iCs/>
        </w:rPr>
        <w:t>Hottentotta</w:t>
      </w:r>
      <w:proofErr w:type="spellEnd"/>
      <w:r w:rsidRPr="008B7598">
        <w:rPr>
          <w:rFonts w:ascii="Times New Roman" w:hAnsi="Times New Roman" w:cs="Times New Roman"/>
          <w:i/>
          <w:iCs/>
        </w:rPr>
        <w:t xml:space="preserve"> </w:t>
      </w:r>
      <w:proofErr w:type="spellStart"/>
      <w:r w:rsidRPr="008B7598">
        <w:rPr>
          <w:rFonts w:ascii="Times New Roman" w:hAnsi="Times New Roman" w:cs="Times New Roman"/>
          <w:i/>
          <w:iCs/>
        </w:rPr>
        <w:t>tamulus</w:t>
      </w:r>
      <w:proofErr w:type="spellEnd"/>
      <w:r w:rsidRPr="008B7598">
        <w:rPr>
          <w:rFonts w:ascii="Times New Roman" w:hAnsi="Times New Roman" w:cs="Times New Roman"/>
        </w:rPr>
        <w:t xml:space="preserve"> revealed potent and wide-ranging antimicrobial effects against the entire panel of multidrug-resistant pathogens tested, though </w:t>
      </w:r>
      <w:r w:rsidRPr="008B7598">
        <w:rPr>
          <w:rFonts w:ascii="Times New Roman" w:hAnsi="Times New Roman" w:cs="Times New Roman"/>
        </w:rPr>
        <w:lastRenderedPageBreak/>
        <w:t>the level of effectiveness varied. As detailed in Table 1, the Minimum Inhibitory Concentration (MIC) values spanned from 8 µg/mL to 64 µg/</w:t>
      </w:r>
      <w:proofErr w:type="spellStart"/>
      <w:r w:rsidRPr="008B7598">
        <w:rPr>
          <w:rFonts w:ascii="Times New Roman" w:hAnsi="Times New Roman" w:cs="Times New Roman"/>
        </w:rPr>
        <w:t>mL.</w:t>
      </w:r>
      <w:proofErr w:type="spellEnd"/>
      <w:r w:rsidRPr="008B7598">
        <w:rPr>
          <w:rFonts w:ascii="Times New Roman" w:hAnsi="Times New Roman" w:cs="Times New Roman"/>
        </w:rPr>
        <w:t xml:space="preserve"> The most pronounced activity was observed against the Gram-positive bacterium MRSA, which was inhibited at the lowest concentration of 8 µg/</w:t>
      </w:r>
      <w:proofErr w:type="spellStart"/>
      <w:r w:rsidRPr="008B7598">
        <w:rPr>
          <w:rFonts w:ascii="Times New Roman" w:hAnsi="Times New Roman" w:cs="Times New Roman"/>
        </w:rPr>
        <w:t>mL.</w:t>
      </w:r>
      <w:proofErr w:type="spellEnd"/>
      <w:r w:rsidRPr="008B7598">
        <w:rPr>
          <w:rFonts w:ascii="Times New Roman" w:hAnsi="Times New Roman" w:cs="Times New Roman"/>
        </w:rPr>
        <w:t xml:space="preserve"> Regarding the Gram-negative strains, </w:t>
      </w:r>
      <w:r w:rsidRPr="008B7598">
        <w:rPr>
          <w:rFonts w:ascii="Times New Roman" w:hAnsi="Times New Roman" w:cs="Times New Roman"/>
          <w:i/>
          <w:iCs/>
        </w:rPr>
        <w:t>Acinetobacter baumannii</w:t>
      </w:r>
      <w:r w:rsidRPr="008B7598">
        <w:rPr>
          <w:rFonts w:ascii="Times New Roman" w:hAnsi="Times New Roman" w:cs="Times New Roman"/>
        </w:rPr>
        <w:t> demonstrated the greatest susceptibility with a MIC of 16 µg/</w:t>
      </w:r>
      <w:proofErr w:type="spellStart"/>
      <w:r w:rsidRPr="008B7598">
        <w:rPr>
          <w:rFonts w:ascii="Times New Roman" w:hAnsi="Times New Roman" w:cs="Times New Roman"/>
        </w:rPr>
        <w:t>mL.</w:t>
      </w:r>
      <w:proofErr w:type="spellEnd"/>
      <w:r w:rsidRPr="008B7598">
        <w:rPr>
          <w:rFonts w:ascii="Times New Roman" w:hAnsi="Times New Roman" w:cs="Times New Roman"/>
        </w:rPr>
        <w:t xml:space="preserve"> This was followed by </w:t>
      </w:r>
      <w:r w:rsidRPr="008B7598">
        <w:rPr>
          <w:rFonts w:ascii="Times New Roman" w:hAnsi="Times New Roman" w:cs="Times New Roman"/>
          <w:i/>
          <w:iCs/>
        </w:rPr>
        <w:t>Pseudomonas aeruginosa</w:t>
      </w:r>
      <w:r w:rsidRPr="008B7598">
        <w:rPr>
          <w:rFonts w:ascii="Times New Roman" w:hAnsi="Times New Roman" w:cs="Times New Roman"/>
        </w:rPr>
        <w:t> and </w:t>
      </w:r>
      <w:r w:rsidRPr="008B7598">
        <w:rPr>
          <w:rFonts w:ascii="Times New Roman" w:hAnsi="Times New Roman" w:cs="Times New Roman"/>
          <w:i/>
          <w:iCs/>
        </w:rPr>
        <w:t>Klebsiella pneumoniae</w:t>
      </w:r>
      <w:r w:rsidRPr="008B7598">
        <w:rPr>
          <w:rFonts w:ascii="Times New Roman" w:hAnsi="Times New Roman" w:cs="Times New Roman"/>
        </w:rPr>
        <w:t>, both exhibiting a MIC of 32 µg/</w:t>
      </w:r>
      <w:proofErr w:type="spellStart"/>
      <w:r w:rsidRPr="008B7598">
        <w:rPr>
          <w:rFonts w:ascii="Times New Roman" w:hAnsi="Times New Roman" w:cs="Times New Roman"/>
        </w:rPr>
        <w:t>mL.</w:t>
      </w:r>
      <w:proofErr w:type="spellEnd"/>
      <w:r w:rsidRPr="008B7598">
        <w:rPr>
          <w:rFonts w:ascii="Times New Roman" w:hAnsi="Times New Roman" w:cs="Times New Roman"/>
        </w:rPr>
        <w:t> </w:t>
      </w:r>
      <w:r w:rsidRPr="008B7598">
        <w:rPr>
          <w:rFonts w:ascii="Times New Roman" w:hAnsi="Times New Roman" w:cs="Times New Roman"/>
          <w:i/>
          <w:iCs/>
        </w:rPr>
        <w:t>Escherichia coli</w:t>
      </w:r>
      <w:r w:rsidRPr="008B7598">
        <w:rPr>
          <w:rFonts w:ascii="Times New Roman" w:hAnsi="Times New Roman" w:cs="Times New Roman"/>
        </w:rPr>
        <w:t> was the least susceptible, requiring a MIC of 64 µg/mL for growth inhibition.</w:t>
      </w:r>
      <w:r w:rsidR="006A0EDC">
        <w:rPr>
          <w:rFonts w:ascii="Times New Roman" w:hAnsi="Times New Roman" w:cs="Times New Roman"/>
        </w:rPr>
        <w:fldChar w:fldCharType="begin"/>
      </w:r>
      <w:r w:rsidR="006A0EDC">
        <w:rPr>
          <w:rFonts w:ascii="Times New Roman" w:hAnsi="Times New Roman" w:cs="Times New Roman"/>
        </w:rPr>
        <w:instrText xml:space="preserve"> ADDIN EN.CITE &lt;EndNote&gt;&lt;Cite&gt;&lt;Author&gt;Harrison&lt;/Author&gt;&lt;Year&gt;2014&lt;/Year&gt;&lt;RecNum&gt;357&lt;/RecNum&gt;&lt;DisplayText&gt;(Harrison, Abdel-Rahman, Miller, &amp;amp; Strong, 2014)&lt;/DisplayText&gt;&lt;record&gt;&lt;rec-number&gt;357&lt;/rec-number&gt;&lt;foreign-keys&gt;&lt;key app="EN" db-id="vet5vv2xcs952weexe6vxetfp0e05xefxvdv" timestamp="1758878792"&gt;357&lt;/key&gt;&lt;/foreign-keys&gt;&lt;ref-type name="Journal Article"&gt;17&lt;/ref-type&gt;&lt;contributors&gt;&lt;authors&gt;&lt;author&gt;Harrison, Patrick L&lt;/author&gt;&lt;author&gt;Abdel-Rahman, Mohamed A&lt;/author&gt;&lt;author&gt;Miller, Keith&lt;/author&gt;&lt;author&gt;Strong, Peter N %J Toxicon&lt;/author&gt;&lt;/authors&gt;&lt;/contributors&gt;&lt;titles&gt;&lt;title&gt;Antimicrobial peptides from scorpion venoms&lt;/title&gt;&lt;/titles&gt;&lt;pages&gt;115-137&lt;/pages&gt;&lt;volume&gt;88&lt;/volume&gt;&lt;dates&gt;&lt;year&gt;2014&lt;/year&gt;&lt;/dates&gt;&lt;isbn&gt;0041-0101&lt;/isbn&gt;&lt;urls&gt;&lt;/urls&gt;&lt;/record&gt;&lt;/Cite&gt;&lt;/EndNote&gt;</w:instrText>
      </w:r>
      <w:r w:rsidR="006A0EDC">
        <w:rPr>
          <w:rFonts w:ascii="Times New Roman" w:hAnsi="Times New Roman" w:cs="Times New Roman"/>
        </w:rPr>
        <w:fldChar w:fldCharType="separate"/>
      </w:r>
      <w:r w:rsidR="006A0EDC">
        <w:rPr>
          <w:rFonts w:ascii="Times New Roman" w:hAnsi="Times New Roman" w:cs="Times New Roman"/>
          <w:noProof/>
        </w:rPr>
        <w:t>(Harrison, Abdel-Rahman, Miller, &amp; Strong, 2014)</w:t>
      </w:r>
      <w:r w:rsidR="006A0EDC">
        <w:rPr>
          <w:rFonts w:ascii="Times New Roman" w:hAnsi="Times New Roman" w:cs="Times New Roman"/>
        </w:rPr>
        <w:fldChar w:fldCharType="end"/>
      </w:r>
    </w:p>
    <w:p w14:paraId="2C7CB044" w14:textId="237F333D" w:rsidR="008B7598" w:rsidRPr="008B7598" w:rsidRDefault="008B7598" w:rsidP="008B7598">
      <w:pPr>
        <w:spacing w:line="360" w:lineRule="auto"/>
        <w:jc w:val="both"/>
        <w:rPr>
          <w:rFonts w:ascii="Times New Roman" w:hAnsi="Times New Roman" w:cs="Times New Roman"/>
        </w:rPr>
      </w:pPr>
      <w:r w:rsidRPr="008B7598">
        <w:rPr>
          <w:rFonts w:ascii="Times New Roman" w:hAnsi="Times New Roman" w:cs="Times New Roman"/>
        </w:rPr>
        <w:t>The Minimum Bactericidal Concentration (MBC) values, which indicate the concentration required to kill the bacteria, were found to be identical to or just one dilution higher than the MIC values across all strains. The resulting MBC/MIC ratios were ≤ 2 for MRSA, </w:t>
      </w:r>
      <w:r w:rsidRPr="008B7598">
        <w:rPr>
          <w:rFonts w:ascii="Times New Roman" w:hAnsi="Times New Roman" w:cs="Times New Roman"/>
          <w:i/>
          <w:iCs/>
        </w:rPr>
        <w:t>A. baumannii</w:t>
      </w:r>
      <w:r w:rsidRPr="008B7598">
        <w:rPr>
          <w:rFonts w:ascii="Times New Roman" w:hAnsi="Times New Roman" w:cs="Times New Roman"/>
        </w:rPr>
        <w:t>, and </w:t>
      </w:r>
      <w:r w:rsidRPr="008B7598">
        <w:rPr>
          <w:rFonts w:ascii="Times New Roman" w:hAnsi="Times New Roman" w:cs="Times New Roman"/>
          <w:i/>
          <w:iCs/>
        </w:rPr>
        <w:t>P. aeruginosa</w:t>
      </w:r>
      <w:r w:rsidRPr="008B7598">
        <w:rPr>
          <w:rFonts w:ascii="Times New Roman" w:hAnsi="Times New Roman" w:cs="Times New Roman"/>
        </w:rPr>
        <w:t>, confirming a definitive bactericidal mode of action. For </w:t>
      </w:r>
      <w:r w:rsidRPr="008B7598">
        <w:rPr>
          <w:rFonts w:ascii="Times New Roman" w:hAnsi="Times New Roman" w:cs="Times New Roman"/>
          <w:i/>
          <w:iCs/>
        </w:rPr>
        <w:t>K. pneumoniae</w:t>
      </w:r>
      <w:r w:rsidRPr="008B7598">
        <w:rPr>
          <w:rFonts w:ascii="Times New Roman" w:hAnsi="Times New Roman" w:cs="Times New Roman"/>
        </w:rPr>
        <w:t> and </w:t>
      </w:r>
      <w:r w:rsidRPr="008B7598">
        <w:rPr>
          <w:rFonts w:ascii="Times New Roman" w:hAnsi="Times New Roman" w:cs="Times New Roman"/>
          <w:i/>
          <w:iCs/>
        </w:rPr>
        <w:t>E. coli</w:t>
      </w:r>
      <w:r w:rsidRPr="008B7598">
        <w:rPr>
          <w:rFonts w:ascii="Times New Roman" w:hAnsi="Times New Roman" w:cs="Times New Roman"/>
        </w:rPr>
        <w:t>, the ratio was 2, a value that is also classified as indicative of bactericidal activity.</w:t>
      </w:r>
      <w:r w:rsidR="00586254">
        <w:rPr>
          <w:rFonts w:ascii="Times New Roman" w:hAnsi="Times New Roman" w:cs="Times New Roman"/>
        </w:rPr>
        <w:fldChar w:fldCharType="begin"/>
      </w:r>
      <w:r w:rsidR="00586254">
        <w:rPr>
          <w:rFonts w:ascii="Times New Roman" w:hAnsi="Times New Roman" w:cs="Times New Roman"/>
        </w:rPr>
        <w:instrText xml:space="preserve"> ADDIN EN.CITE &lt;EndNote&gt;&lt;Cite&gt;&lt;Author&gt;Srinivasan&lt;/Author&gt;&lt;Year&gt;2002&lt;/Year&gt;&lt;RecNum&gt;358&lt;/RecNum&gt;&lt;DisplayText&gt;(Srinivasan et al., 2002)&lt;/DisplayText&gt;&lt;record&gt;&lt;rec-number&gt;358&lt;/rec-number&gt;&lt;foreign-keys&gt;&lt;key app="EN" db-id="vet5vv2xcs952weexe6vxetfp0e05xefxvdv" timestamp="1758878850"&gt;358&lt;/key&gt;&lt;/foreign-keys&gt;&lt;ref-type name="Journal Article"&gt;17&lt;/ref-type&gt;&lt;contributors&gt;&lt;authors&gt;&lt;author&gt;Srinivasan, Kellathur N&lt;/author&gt;&lt;author&gt;Sivaraja, Vaithiyalingam&lt;/author&gt;&lt;author&gt;Huys, Isabelle&lt;/author&gt;&lt;author&gt;Sasaki, Toru&lt;/author&gt;&lt;author&gt;Cheng, Betty&lt;/author&gt;&lt;author&gt;Kumar, Thallampuranam Krishnaswamy S&lt;/author&gt;&lt;author&gt;Sato, Kazuki&lt;/author&gt;&lt;author&gt;Tytgat, Jan&lt;/author&gt;&lt;author&gt;Yu, Chin&lt;/author&gt;&lt;author&gt;San, B Chia Cheng %J Journal of Biological Chemistry&lt;/author&gt;&lt;/authors&gt;&lt;/contributors&gt;&lt;titles&gt;&lt;title&gt;κ-hefutoxin1, a novel toxin from the scorpionheterometrus fulvipes with unique structure and function: importance of the functional diad in potassium channel selectivity&lt;/title&gt;&lt;/titles&gt;&lt;pages&gt;30040-30047&lt;/pages&gt;&lt;volume&gt;277&lt;/volume&gt;&lt;number&gt;33&lt;/number&gt;&lt;dates&gt;&lt;year&gt;2002&lt;/year&gt;&lt;/dates&gt;&lt;isbn&gt;0021-9258&lt;/isbn&gt;&lt;urls&gt;&lt;/urls&gt;&lt;/record&gt;&lt;/Cite&gt;&lt;/EndNote&gt;</w:instrText>
      </w:r>
      <w:r w:rsidR="00586254">
        <w:rPr>
          <w:rFonts w:ascii="Times New Roman" w:hAnsi="Times New Roman" w:cs="Times New Roman"/>
        </w:rPr>
        <w:fldChar w:fldCharType="separate"/>
      </w:r>
      <w:r w:rsidR="00586254">
        <w:rPr>
          <w:rFonts w:ascii="Times New Roman" w:hAnsi="Times New Roman" w:cs="Times New Roman"/>
          <w:noProof/>
        </w:rPr>
        <w:t>(Srinivasan et al., 2002)</w:t>
      </w:r>
      <w:r w:rsidR="00586254">
        <w:rPr>
          <w:rFonts w:ascii="Times New Roman" w:hAnsi="Times New Roman" w:cs="Times New Roman"/>
        </w:rPr>
        <w:fldChar w:fldCharType="end"/>
      </w:r>
    </w:p>
    <w:p w14:paraId="1EB9F6FF" w14:textId="77777777"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t>Table 1: Minimum Inhibitory Concentration (MIC) and Minimum Bactericidal Concentration (MBC) of </w:t>
      </w:r>
      <w:r w:rsidRPr="00780AAB">
        <w:rPr>
          <w:rFonts w:ascii="Times New Roman" w:hAnsi="Times New Roman" w:cs="Times New Roman"/>
          <w:b/>
          <w:bCs/>
          <w:i/>
          <w:iCs/>
        </w:rPr>
        <w:t xml:space="preserve">H. </w:t>
      </w:r>
      <w:proofErr w:type="spellStart"/>
      <w:r w:rsidRPr="00780AAB">
        <w:rPr>
          <w:rFonts w:ascii="Times New Roman" w:hAnsi="Times New Roman" w:cs="Times New Roman"/>
          <w:b/>
          <w:bCs/>
          <w:i/>
          <w:iCs/>
        </w:rPr>
        <w:t>tamulus</w:t>
      </w:r>
      <w:proofErr w:type="spellEnd"/>
      <w:r w:rsidRPr="00780AAB">
        <w:rPr>
          <w:rFonts w:ascii="Times New Roman" w:hAnsi="Times New Roman" w:cs="Times New Roman"/>
          <w:b/>
          <w:bCs/>
        </w:rPr>
        <w:t> crude venom against MDR pathogens.</w:t>
      </w:r>
    </w:p>
    <w:tbl>
      <w:tblPr>
        <w:tblStyle w:val="TableGrid"/>
        <w:tblW w:w="0" w:type="auto"/>
        <w:tblLook w:val="04A0" w:firstRow="1" w:lastRow="0" w:firstColumn="1" w:lastColumn="0" w:noHBand="0" w:noVBand="1"/>
      </w:tblPr>
      <w:tblGrid>
        <w:gridCol w:w="1831"/>
        <w:gridCol w:w="1675"/>
        <w:gridCol w:w="1176"/>
        <w:gridCol w:w="1190"/>
        <w:gridCol w:w="1465"/>
        <w:gridCol w:w="1679"/>
      </w:tblGrid>
      <w:tr w:rsidR="00780AAB" w:rsidRPr="00780AAB" w14:paraId="0F13A1A3" w14:textId="77777777" w:rsidTr="00497104">
        <w:tc>
          <w:tcPr>
            <w:tcW w:w="0" w:type="auto"/>
            <w:hideMark/>
          </w:tcPr>
          <w:p w14:paraId="5F456675"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Bacterial Strain</w:t>
            </w:r>
          </w:p>
        </w:tc>
        <w:tc>
          <w:tcPr>
            <w:tcW w:w="0" w:type="auto"/>
            <w:hideMark/>
          </w:tcPr>
          <w:p w14:paraId="04787DD5"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Resistance Profile</w:t>
            </w:r>
          </w:p>
        </w:tc>
        <w:tc>
          <w:tcPr>
            <w:tcW w:w="0" w:type="auto"/>
            <w:hideMark/>
          </w:tcPr>
          <w:p w14:paraId="1D801A5D"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MIC (µg/mL)</w:t>
            </w:r>
          </w:p>
        </w:tc>
        <w:tc>
          <w:tcPr>
            <w:tcW w:w="0" w:type="auto"/>
            <w:hideMark/>
          </w:tcPr>
          <w:p w14:paraId="56802E49"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MBC (µg/mL)</w:t>
            </w:r>
          </w:p>
        </w:tc>
        <w:tc>
          <w:tcPr>
            <w:tcW w:w="0" w:type="auto"/>
            <w:hideMark/>
          </w:tcPr>
          <w:p w14:paraId="0E7C91D2"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MBC/MIC Ratio</w:t>
            </w:r>
          </w:p>
        </w:tc>
        <w:tc>
          <w:tcPr>
            <w:tcW w:w="0" w:type="auto"/>
            <w:hideMark/>
          </w:tcPr>
          <w:p w14:paraId="5BF2DCF6"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Interpretation</w:t>
            </w:r>
          </w:p>
        </w:tc>
      </w:tr>
      <w:tr w:rsidR="00780AAB" w:rsidRPr="00780AAB" w14:paraId="186D0C93" w14:textId="77777777" w:rsidTr="00497104">
        <w:tc>
          <w:tcPr>
            <w:tcW w:w="0" w:type="auto"/>
            <w:hideMark/>
          </w:tcPr>
          <w:p w14:paraId="7F2C9CA3"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rPr>
              <w:t>MRSA</w:t>
            </w:r>
          </w:p>
        </w:tc>
        <w:tc>
          <w:tcPr>
            <w:tcW w:w="0" w:type="auto"/>
            <w:hideMark/>
          </w:tcPr>
          <w:p w14:paraId="6D8222C8"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Methicillin-resistant</w:t>
            </w:r>
          </w:p>
        </w:tc>
        <w:tc>
          <w:tcPr>
            <w:tcW w:w="0" w:type="auto"/>
            <w:hideMark/>
          </w:tcPr>
          <w:p w14:paraId="347D3F61"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8</w:t>
            </w:r>
          </w:p>
        </w:tc>
        <w:tc>
          <w:tcPr>
            <w:tcW w:w="0" w:type="auto"/>
            <w:hideMark/>
          </w:tcPr>
          <w:p w14:paraId="43F5354B"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8</w:t>
            </w:r>
          </w:p>
        </w:tc>
        <w:tc>
          <w:tcPr>
            <w:tcW w:w="0" w:type="auto"/>
            <w:hideMark/>
          </w:tcPr>
          <w:p w14:paraId="310A5BE8"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7574AF11"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28B423AA" w14:textId="77777777" w:rsidTr="00497104">
        <w:tc>
          <w:tcPr>
            <w:tcW w:w="0" w:type="auto"/>
            <w:hideMark/>
          </w:tcPr>
          <w:p w14:paraId="2A881E5F"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Acinetobacter baumannii</w:t>
            </w:r>
          </w:p>
        </w:tc>
        <w:tc>
          <w:tcPr>
            <w:tcW w:w="0" w:type="auto"/>
            <w:hideMark/>
          </w:tcPr>
          <w:p w14:paraId="4301FA7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Multidrug-resistant</w:t>
            </w:r>
          </w:p>
        </w:tc>
        <w:tc>
          <w:tcPr>
            <w:tcW w:w="0" w:type="auto"/>
            <w:hideMark/>
          </w:tcPr>
          <w:p w14:paraId="3DF2FD9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16</w:t>
            </w:r>
          </w:p>
        </w:tc>
        <w:tc>
          <w:tcPr>
            <w:tcW w:w="0" w:type="auto"/>
            <w:hideMark/>
          </w:tcPr>
          <w:p w14:paraId="2DF7CA46"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16</w:t>
            </w:r>
          </w:p>
        </w:tc>
        <w:tc>
          <w:tcPr>
            <w:tcW w:w="0" w:type="auto"/>
            <w:hideMark/>
          </w:tcPr>
          <w:p w14:paraId="1617A44B"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240681F4"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0A4A8826" w14:textId="77777777" w:rsidTr="00497104">
        <w:tc>
          <w:tcPr>
            <w:tcW w:w="0" w:type="auto"/>
            <w:hideMark/>
          </w:tcPr>
          <w:p w14:paraId="21C9092D"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Pseudomonas aeruginosa</w:t>
            </w:r>
          </w:p>
        </w:tc>
        <w:tc>
          <w:tcPr>
            <w:tcW w:w="0" w:type="auto"/>
            <w:hideMark/>
          </w:tcPr>
          <w:p w14:paraId="3871C3B6"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Carbapenem-resistant</w:t>
            </w:r>
          </w:p>
        </w:tc>
        <w:tc>
          <w:tcPr>
            <w:tcW w:w="0" w:type="auto"/>
            <w:hideMark/>
          </w:tcPr>
          <w:p w14:paraId="7F6DF814"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32</w:t>
            </w:r>
          </w:p>
        </w:tc>
        <w:tc>
          <w:tcPr>
            <w:tcW w:w="0" w:type="auto"/>
            <w:hideMark/>
          </w:tcPr>
          <w:p w14:paraId="38D304BD"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32</w:t>
            </w:r>
          </w:p>
        </w:tc>
        <w:tc>
          <w:tcPr>
            <w:tcW w:w="0" w:type="auto"/>
            <w:hideMark/>
          </w:tcPr>
          <w:p w14:paraId="126988AD"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75AD094B"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188A744D" w14:textId="77777777" w:rsidTr="00497104">
        <w:tc>
          <w:tcPr>
            <w:tcW w:w="0" w:type="auto"/>
            <w:hideMark/>
          </w:tcPr>
          <w:p w14:paraId="6855BDB1"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Klebsiella pneumoniae</w:t>
            </w:r>
          </w:p>
        </w:tc>
        <w:tc>
          <w:tcPr>
            <w:tcW w:w="0" w:type="auto"/>
            <w:hideMark/>
          </w:tcPr>
          <w:p w14:paraId="3C5B2FB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Carbapenem-resistant</w:t>
            </w:r>
          </w:p>
        </w:tc>
        <w:tc>
          <w:tcPr>
            <w:tcW w:w="0" w:type="auto"/>
            <w:hideMark/>
          </w:tcPr>
          <w:p w14:paraId="1142D926"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32</w:t>
            </w:r>
          </w:p>
        </w:tc>
        <w:tc>
          <w:tcPr>
            <w:tcW w:w="0" w:type="auto"/>
            <w:hideMark/>
          </w:tcPr>
          <w:p w14:paraId="4C9153D5"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64</w:t>
            </w:r>
          </w:p>
        </w:tc>
        <w:tc>
          <w:tcPr>
            <w:tcW w:w="0" w:type="auto"/>
            <w:hideMark/>
          </w:tcPr>
          <w:p w14:paraId="7E49E1B9"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2</w:t>
            </w:r>
          </w:p>
        </w:tc>
        <w:tc>
          <w:tcPr>
            <w:tcW w:w="0" w:type="auto"/>
            <w:hideMark/>
          </w:tcPr>
          <w:p w14:paraId="7365841E"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79E03376" w14:textId="77777777" w:rsidTr="00497104">
        <w:tc>
          <w:tcPr>
            <w:tcW w:w="0" w:type="auto"/>
            <w:hideMark/>
          </w:tcPr>
          <w:p w14:paraId="129C7C20"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Escherichia coli</w:t>
            </w:r>
          </w:p>
        </w:tc>
        <w:tc>
          <w:tcPr>
            <w:tcW w:w="0" w:type="auto"/>
            <w:hideMark/>
          </w:tcPr>
          <w:p w14:paraId="18529C69"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ESBL-producing</w:t>
            </w:r>
          </w:p>
        </w:tc>
        <w:tc>
          <w:tcPr>
            <w:tcW w:w="0" w:type="auto"/>
            <w:hideMark/>
          </w:tcPr>
          <w:p w14:paraId="3447383E"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64</w:t>
            </w:r>
          </w:p>
        </w:tc>
        <w:tc>
          <w:tcPr>
            <w:tcW w:w="0" w:type="auto"/>
            <w:hideMark/>
          </w:tcPr>
          <w:p w14:paraId="2B458308"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64</w:t>
            </w:r>
          </w:p>
        </w:tc>
        <w:tc>
          <w:tcPr>
            <w:tcW w:w="0" w:type="auto"/>
            <w:hideMark/>
          </w:tcPr>
          <w:p w14:paraId="24C0A1F3"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0D11AB2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bl>
    <w:p w14:paraId="0C71BA7E" w14:textId="77777777" w:rsidR="00FD708F" w:rsidRDefault="00FD708F" w:rsidP="00780AAB">
      <w:pPr>
        <w:spacing w:line="360" w:lineRule="auto"/>
        <w:jc w:val="both"/>
        <w:rPr>
          <w:rFonts w:ascii="Times New Roman" w:hAnsi="Times New Roman" w:cs="Times New Roman"/>
          <w:b/>
          <w:bCs/>
        </w:rPr>
      </w:pPr>
    </w:p>
    <w:p w14:paraId="7803F87B" w14:textId="113F2D50" w:rsidR="00FD708F" w:rsidRPr="00FD708F" w:rsidRDefault="00FD708F" w:rsidP="00FD708F">
      <w:pPr>
        <w:spacing w:line="360" w:lineRule="auto"/>
        <w:jc w:val="center"/>
        <w:rPr>
          <w:rFonts w:ascii="Times New Roman" w:hAnsi="Times New Roman" w:cs="Times New Roman"/>
          <w:b/>
          <w:bCs/>
        </w:rPr>
      </w:pPr>
      <w:r w:rsidRPr="00FD708F">
        <w:rPr>
          <w:rFonts w:ascii="Times New Roman" w:hAnsi="Times New Roman" w:cs="Times New Roman"/>
          <w:b/>
          <w:bCs/>
          <w:noProof/>
        </w:rPr>
        <w:lastRenderedPageBreak/>
        <w:drawing>
          <wp:inline distT="0" distB="0" distL="0" distR="0" wp14:anchorId="2DC84B78" wp14:editId="78943167">
            <wp:extent cx="2762250" cy="2425700"/>
            <wp:effectExtent l="0" t="0" r="0" b="0"/>
            <wp:docPr id="1633137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2250" cy="2425700"/>
                    </a:xfrm>
                    <a:prstGeom prst="rect">
                      <a:avLst/>
                    </a:prstGeom>
                    <a:noFill/>
                    <a:ln>
                      <a:noFill/>
                    </a:ln>
                  </pic:spPr>
                </pic:pic>
              </a:graphicData>
            </a:graphic>
          </wp:inline>
        </w:drawing>
      </w:r>
    </w:p>
    <w:p w14:paraId="26C37A01" w14:textId="25D8903C" w:rsidR="00FD708F" w:rsidRDefault="00FD708F" w:rsidP="000A1EE2">
      <w:pPr>
        <w:spacing w:line="360" w:lineRule="auto"/>
        <w:jc w:val="center"/>
        <w:rPr>
          <w:rFonts w:ascii="Times New Roman" w:hAnsi="Times New Roman" w:cs="Times New Roman"/>
          <w:b/>
          <w:bCs/>
        </w:rPr>
      </w:pPr>
      <w:r>
        <w:rPr>
          <w:rFonts w:ascii="Times New Roman" w:hAnsi="Times New Roman" w:cs="Times New Roman"/>
          <w:b/>
          <w:bCs/>
        </w:rPr>
        <w:t>Figer</w:t>
      </w:r>
      <w:r w:rsidR="00725D44">
        <w:rPr>
          <w:rFonts w:ascii="Times New Roman" w:hAnsi="Times New Roman" w:cs="Times New Roman"/>
          <w:b/>
          <w:bCs/>
        </w:rPr>
        <w:t xml:space="preserve">-3 </w:t>
      </w:r>
      <w:r w:rsidR="0089299C">
        <w:rPr>
          <w:rFonts w:ascii="Times New Roman" w:hAnsi="Times New Roman" w:cs="Times New Roman"/>
          <w:b/>
          <w:bCs/>
        </w:rPr>
        <w:t>R</w:t>
      </w:r>
      <w:r w:rsidR="0089299C" w:rsidRPr="0089299C">
        <w:rPr>
          <w:rFonts w:ascii="Times New Roman" w:hAnsi="Times New Roman" w:cs="Times New Roman"/>
          <w:b/>
          <w:bCs/>
        </w:rPr>
        <w:t>epresents a categorization of major antibiotic-resistant bacteria</w:t>
      </w:r>
    </w:p>
    <w:p w14:paraId="29232177" w14:textId="020C23BB" w:rsidR="00780AAB" w:rsidRDefault="00780AAB" w:rsidP="00780AAB">
      <w:pPr>
        <w:spacing w:line="360" w:lineRule="auto"/>
        <w:jc w:val="both"/>
        <w:rPr>
          <w:rFonts w:ascii="Times New Roman" w:hAnsi="Times New Roman" w:cs="Times New Roman"/>
          <w:b/>
          <w:bCs/>
        </w:rPr>
      </w:pPr>
      <w:r w:rsidRPr="00780AAB">
        <w:rPr>
          <w:rFonts w:ascii="Times New Roman" w:hAnsi="Times New Roman" w:cs="Times New Roman"/>
          <w:b/>
          <w:bCs/>
        </w:rPr>
        <w:t>3.2. Time-Kill Kinetics</w:t>
      </w:r>
    </w:p>
    <w:p w14:paraId="2BE0D4C3" w14:textId="423E7591" w:rsidR="00C804C4" w:rsidRDefault="00C804C4" w:rsidP="00780AAB">
      <w:pPr>
        <w:spacing w:line="360" w:lineRule="auto"/>
        <w:jc w:val="both"/>
        <w:rPr>
          <w:rFonts w:ascii="Times New Roman" w:hAnsi="Times New Roman" w:cs="Times New Roman"/>
        </w:rPr>
      </w:pPr>
      <w:r w:rsidRPr="00C804C4">
        <w:rPr>
          <w:rFonts w:ascii="Times New Roman" w:hAnsi="Times New Roman" w:cs="Times New Roman"/>
        </w:rPr>
        <w:t>Time-kill kinetics assays validated the bactericidal action of the venom. Treatment with a 2x MIC concentration rapidly decreased viable bacterial counts for both MRSA and </w:t>
      </w:r>
      <w:r w:rsidRPr="00C804C4">
        <w:rPr>
          <w:rFonts w:ascii="Times New Roman" w:hAnsi="Times New Roman" w:cs="Times New Roman"/>
          <w:i/>
          <w:iCs/>
        </w:rPr>
        <w:t>A. baumannii</w:t>
      </w:r>
      <w:r w:rsidRPr="00C804C4">
        <w:rPr>
          <w:rFonts w:ascii="Times New Roman" w:hAnsi="Times New Roman" w:cs="Times New Roman"/>
        </w:rPr>
        <w:t> (Figure 1). A reduction exceeding 99.9% (3-log10) in CFU/mL occurred within 2 hours for MRSA and 4 hours for </w:t>
      </w:r>
      <w:r w:rsidRPr="00C804C4">
        <w:rPr>
          <w:rFonts w:ascii="Times New Roman" w:hAnsi="Times New Roman" w:cs="Times New Roman"/>
          <w:i/>
          <w:iCs/>
        </w:rPr>
        <w:t>A. baumannii</w:t>
      </w:r>
      <w:r w:rsidRPr="00C804C4">
        <w:rPr>
          <w:rFonts w:ascii="Times New Roman" w:hAnsi="Times New Roman" w:cs="Times New Roman"/>
        </w:rPr>
        <w:t>, with no subsequent regrowth over 24 hours. While a 1x MIC concentration also achieved this level of reduction, the effect was delayed, taking 6 to 8 hours. Bacterial growth was unaffected by the PBS vehicle control.</w:t>
      </w:r>
      <w:r w:rsidR="00366DF4">
        <w:rPr>
          <w:rFonts w:ascii="Times New Roman" w:hAnsi="Times New Roman" w:cs="Times New Roman"/>
        </w:rPr>
        <w:fldChar w:fldCharType="begin"/>
      </w:r>
      <w:r w:rsidR="00366DF4">
        <w:rPr>
          <w:rFonts w:ascii="Times New Roman" w:hAnsi="Times New Roman" w:cs="Times New Roman"/>
        </w:rPr>
        <w:instrText xml:space="preserve"> ADDIN EN.CITE &lt;EndNote&gt;&lt;Cite&gt;&lt;Author&gt;Diego-García&lt;/Author&gt;&lt;Year&gt;2005&lt;/Year&gt;&lt;RecNum&gt;359&lt;/RecNum&gt;&lt;DisplayText&gt;(Diego-García et al., 2005)&lt;/DisplayText&gt;&lt;record&gt;&lt;rec-number&gt;359&lt;/rec-number&gt;&lt;foreign-keys&gt;&lt;key app="EN" db-id="vet5vv2xcs952weexe6vxetfp0e05xefxvdv" timestamp="1758878892"&gt;359&lt;/key&gt;&lt;/foreign-keys&gt;&lt;ref-type name="Journal Article"&gt;17&lt;/ref-type&gt;&lt;contributors&gt;&lt;authors&gt;&lt;author&gt;Diego-García, Elia&lt;/author&gt;&lt;author&gt;Batista, Cesar VF&lt;/author&gt;&lt;author&gt;García-Gómez, Blanca I&lt;/author&gt;&lt;author&gt;Lucas, Sylvia&lt;/author&gt;&lt;author&gt;Candido, Denise M&lt;/author&gt;&lt;author&gt;Gómez-Lagunas, Froylan&lt;/author&gt;&lt;author&gt;Possani, Lourival D %J Toxicon&lt;/author&gt;&lt;/authors&gt;&lt;/contributors&gt;&lt;titles&gt;&lt;title&gt;The Brazilian scorpion Tityus costatus Karsch: genes, peptides and function&lt;/title&gt;&lt;/titles&gt;&lt;pages&gt;273-283&lt;/pages&gt;&lt;volume&gt;45&lt;/volume&gt;&lt;number&gt;3&lt;/number&gt;&lt;dates&gt;&lt;year&gt;2005&lt;/year&gt;&lt;/dates&gt;&lt;isbn&gt;0041-0101&lt;/isbn&gt;&lt;urls&gt;&lt;/urls&gt;&lt;/record&gt;&lt;/Cite&gt;&lt;/EndNote&gt;</w:instrText>
      </w:r>
      <w:r w:rsidR="00366DF4">
        <w:rPr>
          <w:rFonts w:ascii="Times New Roman" w:hAnsi="Times New Roman" w:cs="Times New Roman"/>
        </w:rPr>
        <w:fldChar w:fldCharType="separate"/>
      </w:r>
      <w:r w:rsidR="00366DF4">
        <w:rPr>
          <w:rFonts w:ascii="Times New Roman" w:hAnsi="Times New Roman" w:cs="Times New Roman"/>
          <w:noProof/>
        </w:rPr>
        <w:t>(Diego-García et al., 2005)</w:t>
      </w:r>
      <w:r w:rsidR="00366DF4">
        <w:rPr>
          <w:rFonts w:ascii="Times New Roman" w:hAnsi="Times New Roman" w:cs="Times New Roman"/>
        </w:rPr>
        <w:fldChar w:fldCharType="end"/>
      </w:r>
    </w:p>
    <w:p w14:paraId="5D2F8B13" w14:textId="57ABDF93" w:rsidR="00780AAB" w:rsidRDefault="0032154D" w:rsidP="0095393D">
      <w:pPr>
        <w:spacing w:line="360" w:lineRule="auto"/>
        <w:jc w:val="center"/>
        <w:rPr>
          <w:rFonts w:ascii="Times New Roman" w:hAnsi="Times New Roman" w:cs="Times New Roman"/>
        </w:rPr>
      </w:pPr>
      <w:r w:rsidRPr="0032154D">
        <w:rPr>
          <w:rFonts w:ascii="Times New Roman" w:hAnsi="Times New Roman" w:cs="Times New Roman"/>
          <w:noProof/>
        </w:rPr>
        <w:drawing>
          <wp:inline distT="0" distB="0" distL="0" distR="0" wp14:anchorId="352139BF" wp14:editId="485C5D6B">
            <wp:extent cx="5731510" cy="3263900"/>
            <wp:effectExtent l="0" t="0" r="2540" b="0"/>
            <wp:docPr id="10977247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263900"/>
                    </a:xfrm>
                    <a:prstGeom prst="rect">
                      <a:avLst/>
                    </a:prstGeom>
                    <a:noFill/>
                    <a:ln>
                      <a:noFill/>
                    </a:ln>
                  </pic:spPr>
                </pic:pic>
              </a:graphicData>
            </a:graphic>
          </wp:inline>
        </w:drawing>
      </w:r>
      <w:r w:rsidR="00780AAB" w:rsidRPr="00780AAB">
        <w:rPr>
          <w:rFonts w:ascii="Times New Roman" w:hAnsi="Times New Roman" w:cs="Times New Roman"/>
          <w:b/>
          <w:bCs/>
        </w:rPr>
        <w:t xml:space="preserve">Figure </w:t>
      </w:r>
      <w:r w:rsidR="00A35C04">
        <w:rPr>
          <w:rFonts w:ascii="Times New Roman" w:hAnsi="Times New Roman" w:cs="Times New Roman"/>
          <w:b/>
          <w:bCs/>
        </w:rPr>
        <w:t>4</w:t>
      </w:r>
      <w:r w:rsidR="00780AAB" w:rsidRPr="00780AAB">
        <w:rPr>
          <w:rFonts w:ascii="Times New Roman" w:hAnsi="Times New Roman" w:cs="Times New Roman"/>
          <w:b/>
          <w:bCs/>
        </w:rPr>
        <w:t>: Time-kill kinetics of </w:t>
      </w:r>
      <w:r w:rsidR="00780AAB" w:rsidRPr="00780AAB">
        <w:rPr>
          <w:rFonts w:ascii="Times New Roman" w:hAnsi="Times New Roman" w:cs="Times New Roman"/>
          <w:b/>
          <w:bCs/>
          <w:i/>
          <w:iCs/>
        </w:rPr>
        <w:t xml:space="preserve">H. </w:t>
      </w:r>
      <w:proofErr w:type="spellStart"/>
      <w:r w:rsidR="00780AAB" w:rsidRPr="00780AAB">
        <w:rPr>
          <w:rFonts w:ascii="Times New Roman" w:hAnsi="Times New Roman" w:cs="Times New Roman"/>
          <w:b/>
          <w:bCs/>
          <w:i/>
          <w:iCs/>
        </w:rPr>
        <w:t>tamulus</w:t>
      </w:r>
      <w:proofErr w:type="spellEnd"/>
      <w:r w:rsidR="00780AAB" w:rsidRPr="00780AAB">
        <w:rPr>
          <w:rFonts w:ascii="Times New Roman" w:hAnsi="Times New Roman" w:cs="Times New Roman"/>
          <w:b/>
          <w:bCs/>
        </w:rPr>
        <w:t> crude venom against (A) MRSA</w:t>
      </w:r>
    </w:p>
    <w:p w14:paraId="56CC0CA9" w14:textId="6B8C9CF3" w:rsidR="009E1CEB" w:rsidRDefault="009E1CEB" w:rsidP="009E1CEB">
      <w:pPr>
        <w:spacing w:line="360" w:lineRule="auto"/>
        <w:jc w:val="both"/>
        <w:rPr>
          <w:rFonts w:ascii="Times New Roman" w:hAnsi="Times New Roman" w:cs="Times New Roman"/>
        </w:rPr>
      </w:pPr>
      <w:r w:rsidRPr="009E1CEB">
        <w:rPr>
          <w:rFonts w:ascii="Times New Roman" w:hAnsi="Times New Roman" w:cs="Times New Roman"/>
          <w:noProof/>
        </w:rPr>
        <w:lastRenderedPageBreak/>
        <w:drawing>
          <wp:inline distT="0" distB="0" distL="0" distR="0" wp14:anchorId="39A0543A" wp14:editId="40858890">
            <wp:extent cx="5731510" cy="3543300"/>
            <wp:effectExtent l="0" t="0" r="2540" b="0"/>
            <wp:docPr id="20110527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543300"/>
                    </a:xfrm>
                    <a:prstGeom prst="rect">
                      <a:avLst/>
                    </a:prstGeom>
                    <a:noFill/>
                    <a:ln>
                      <a:noFill/>
                    </a:ln>
                  </pic:spPr>
                </pic:pic>
              </a:graphicData>
            </a:graphic>
          </wp:inline>
        </w:drawing>
      </w:r>
    </w:p>
    <w:p w14:paraId="0250FFA0" w14:textId="42D3411F" w:rsidR="003F44C2" w:rsidRDefault="003F44C2" w:rsidP="003F44C2">
      <w:pPr>
        <w:spacing w:line="360" w:lineRule="auto"/>
        <w:jc w:val="center"/>
        <w:rPr>
          <w:rFonts w:ascii="Times New Roman" w:hAnsi="Times New Roman" w:cs="Times New Roman"/>
        </w:rPr>
      </w:pPr>
      <w:r w:rsidRPr="00780AAB">
        <w:rPr>
          <w:rFonts w:ascii="Times New Roman" w:hAnsi="Times New Roman" w:cs="Times New Roman"/>
          <w:b/>
          <w:bCs/>
        </w:rPr>
        <w:t xml:space="preserve">Figure </w:t>
      </w:r>
      <w:r w:rsidR="00A35C04">
        <w:rPr>
          <w:rFonts w:ascii="Times New Roman" w:hAnsi="Times New Roman" w:cs="Times New Roman"/>
          <w:b/>
          <w:bCs/>
        </w:rPr>
        <w:t>5</w:t>
      </w:r>
      <w:r w:rsidRPr="00780AAB">
        <w:rPr>
          <w:rFonts w:ascii="Times New Roman" w:hAnsi="Times New Roman" w:cs="Times New Roman"/>
          <w:b/>
          <w:bCs/>
        </w:rPr>
        <w:t>: Time-kill kinetics of </w:t>
      </w:r>
      <w:r w:rsidRPr="00780AAB">
        <w:rPr>
          <w:rFonts w:ascii="Times New Roman" w:hAnsi="Times New Roman" w:cs="Times New Roman"/>
          <w:b/>
          <w:bCs/>
          <w:i/>
          <w:iCs/>
        </w:rPr>
        <w:t xml:space="preserve">H. </w:t>
      </w:r>
      <w:proofErr w:type="spellStart"/>
      <w:r w:rsidRPr="00780AAB">
        <w:rPr>
          <w:rFonts w:ascii="Times New Roman" w:hAnsi="Times New Roman" w:cs="Times New Roman"/>
          <w:b/>
          <w:bCs/>
          <w:i/>
          <w:iCs/>
        </w:rPr>
        <w:t>tamulus</w:t>
      </w:r>
      <w:proofErr w:type="spellEnd"/>
      <w:r w:rsidRPr="00780AAB">
        <w:rPr>
          <w:rFonts w:ascii="Times New Roman" w:hAnsi="Times New Roman" w:cs="Times New Roman"/>
          <w:b/>
          <w:bCs/>
        </w:rPr>
        <w:t> crude venom against</w:t>
      </w:r>
      <w:r>
        <w:rPr>
          <w:rFonts w:ascii="Times New Roman" w:hAnsi="Times New Roman" w:cs="Times New Roman"/>
          <w:b/>
          <w:bCs/>
        </w:rPr>
        <w:t xml:space="preserve"> </w:t>
      </w:r>
      <w:r w:rsidRPr="00780AAB">
        <w:rPr>
          <w:rFonts w:ascii="Times New Roman" w:hAnsi="Times New Roman" w:cs="Times New Roman"/>
          <w:b/>
          <w:bCs/>
        </w:rPr>
        <w:t>(B) </w:t>
      </w:r>
      <w:r w:rsidRPr="00780AAB">
        <w:rPr>
          <w:rFonts w:ascii="Times New Roman" w:hAnsi="Times New Roman" w:cs="Times New Roman"/>
          <w:b/>
          <w:bCs/>
          <w:i/>
          <w:iCs/>
        </w:rPr>
        <w:t>A. baumannii</w:t>
      </w:r>
      <w:r w:rsidRPr="00780AAB">
        <w:rPr>
          <w:rFonts w:ascii="Times New Roman" w:hAnsi="Times New Roman" w:cs="Times New Roman"/>
          <w:b/>
          <w:bCs/>
        </w:rPr>
        <w:t> at 1x MIC and 2x MIC concentrations.</w:t>
      </w:r>
    </w:p>
    <w:p w14:paraId="23273E12" w14:textId="786B479B" w:rsidR="003F44C2" w:rsidRDefault="003F44C2" w:rsidP="009E1CEB">
      <w:pPr>
        <w:spacing w:line="360" w:lineRule="auto"/>
        <w:jc w:val="both"/>
        <w:rPr>
          <w:rFonts w:ascii="Times New Roman" w:hAnsi="Times New Roman" w:cs="Times New Roman"/>
        </w:rPr>
      </w:pPr>
    </w:p>
    <w:p w14:paraId="25FE9CBC" w14:textId="5D46EF9C" w:rsidR="00520212" w:rsidRPr="00520212" w:rsidRDefault="00520212" w:rsidP="00520212">
      <w:pPr>
        <w:spacing w:line="360" w:lineRule="auto"/>
        <w:jc w:val="both"/>
        <w:rPr>
          <w:rFonts w:ascii="Times New Roman" w:hAnsi="Times New Roman" w:cs="Times New Roman"/>
        </w:rPr>
      </w:pPr>
      <w:r w:rsidRPr="00520212">
        <w:rPr>
          <w:rFonts w:ascii="Times New Roman" w:hAnsi="Times New Roman" w:cs="Times New Roman"/>
          <w:noProof/>
        </w:rPr>
        <w:drawing>
          <wp:inline distT="0" distB="0" distL="0" distR="0" wp14:anchorId="07FD930A" wp14:editId="5A25D85D">
            <wp:extent cx="5731510" cy="3460750"/>
            <wp:effectExtent l="0" t="0" r="2540" b="6350"/>
            <wp:docPr id="19377472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460750"/>
                    </a:xfrm>
                    <a:prstGeom prst="rect">
                      <a:avLst/>
                    </a:prstGeom>
                    <a:noFill/>
                    <a:ln>
                      <a:noFill/>
                    </a:ln>
                  </pic:spPr>
                </pic:pic>
              </a:graphicData>
            </a:graphic>
          </wp:inline>
        </w:drawing>
      </w:r>
    </w:p>
    <w:p w14:paraId="7EF18477" w14:textId="782C8CD3" w:rsidR="003F44C2" w:rsidRDefault="003F44C2" w:rsidP="005E3CD6">
      <w:pPr>
        <w:spacing w:line="360" w:lineRule="auto"/>
        <w:jc w:val="center"/>
        <w:rPr>
          <w:rFonts w:ascii="Times New Roman" w:hAnsi="Times New Roman" w:cs="Times New Roman"/>
        </w:rPr>
      </w:pPr>
      <w:r w:rsidRPr="00780AAB">
        <w:rPr>
          <w:rFonts w:ascii="Times New Roman" w:hAnsi="Times New Roman" w:cs="Times New Roman"/>
          <w:b/>
          <w:bCs/>
        </w:rPr>
        <w:t xml:space="preserve">Figure </w:t>
      </w:r>
      <w:r w:rsidR="00A35C04">
        <w:rPr>
          <w:rFonts w:ascii="Times New Roman" w:hAnsi="Times New Roman" w:cs="Times New Roman"/>
          <w:b/>
          <w:bCs/>
        </w:rPr>
        <w:t>6</w:t>
      </w:r>
      <w:r w:rsidRPr="00780AAB">
        <w:rPr>
          <w:rFonts w:ascii="Times New Roman" w:hAnsi="Times New Roman" w:cs="Times New Roman"/>
          <w:b/>
          <w:bCs/>
        </w:rPr>
        <w:t>: Time-kill kinetics of </w:t>
      </w:r>
      <w:r w:rsidRPr="00780AAB">
        <w:rPr>
          <w:rFonts w:ascii="Times New Roman" w:hAnsi="Times New Roman" w:cs="Times New Roman"/>
          <w:b/>
          <w:bCs/>
          <w:i/>
          <w:iCs/>
        </w:rPr>
        <w:t xml:space="preserve">H. </w:t>
      </w:r>
      <w:proofErr w:type="spellStart"/>
      <w:r w:rsidRPr="00780AAB">
        <w:rPr>
          <w:rFonts w:ascii="Times New Roman" w:hAnsi="Times New Roman" w:cs="Times New Roman"/>
          <w:b/>
          <w:bCs/>
          <w:i/>
          <w:iCs/>
        </w:rPr>
        <w:t>tamulus</w:t>
      </w:r>
      <w:proofErr w:type="spellEnd"/>
      <w:r w:rsidRPr="00780AAB">
        <w:rPr>
          <w:rFonts w:ascii="Times New Roman" w:hAnsi="Times New Roman" w:cs="Times New Roman"/>
          <w:b/>
          <w:bCs/>
        </w:rPr>
        <w:t> crude venom against (A) MRSA (B) </w:t>
      </w:r>
      <w:r w:rsidRPr="00780AAB">
        <w:rPr>
          <w:rFonts w:ascii="Times New Roman" w:hAnsi="Times New Roman" w:cs="Times New Roman"/>
          <w:b/>
          <w:bCs/>
          <w:i/>
          <w:iCs/>
        </w:rPr>
        <w:t>A. baumannii</w:t>
      </w:r>
      <w:r w:rsidRPr="00780AAB">
        <w:rPr>
          <w:rFonts w:ascii="Times New Roman" w:hAnsi="Times New Roman" w:cs="Times New Roman"/>
          <w:b/>
          <w:bCs/>
        </w:rPr>
        <w:t> at 1x MIC and 2x MIC concentrations.</w:t>
      </w:r>
    </w:p>
    <w:p w14:paraId="03F73232" w14:textId="135074D0"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lastRenderedPageBreak/>
        <w:t>3.3. Synergistic Effects with Conventional Antibiotics</w:t>
      </w:r>
    </w:p>
    <w:p w14:paraId="184ED2BC" w14:textId="2CC85BB3" w:rsidR="007B1014" w:rsidRPr="00586E36" w:rsidRDefault="00780AAB" w:rsidP="00780AAB">
      <w:pPr>
        <w:spacing w:line="360" w:lineRule="auto"/>
        <w:jc w:val="both"/>
        <w:rPr>
          <w:rFonts w:ascii="Times New Roman" w:hAnsi="Times New Roman" w:cs="Times New Roman"/>
        </w:rPr>
      </w:pPr>
      <w:r w:rsidRPr="00780AAB">
        <w:rPr>
          <w:rFonts w:ascii="Times New Roman" w:hAnsi="Times New Roman" w:cs="Times New Roman"/>
        </w:rPr>
        <w:t>The checkerboard assay revealed a strong synergistic interaction between the crude venom and certain conventional antibiotics. The most notable synergy was observed with ciprofloxacin against MRSA, with a Fractional Inhibitory Concentration Index (FICI) of 0.25 (Table 2). This combination reduced the MIC of ciprofloxacin by 8-fold and the MIC of the venom by 4-fold. Indifference (FICI ~1) was observed with oxacillin, while no antagonistic interactions were detected in any tested combination.</w:t>
      </w:r>
      <w:r w:rsidR="00E37B5C">
        <w:rPr>
          <w:rFonts w:ascii="Times New Roman" w:hAnsi="Times New Roman" w:cs="Times New Roman"/>
        </w:rPr>
        <w:fldChar w:fldCharType="begin"/>
      </w:r>
      <w:r w:rsidR="00E37B5C">
        <w:rPr>
          <w:rFonts w:ascii="Times New Roman" w:hAnsi="Times New Roman" w:cs="Times New Roman"/>
        </w:rPr>
        <w:instrText xml:space="preserve"> ADDIN EN.CITE &lt;EndNote&gt;&lt;Cite&gt;&lt;Author&gt;Zasloff&lt;/Author&gt;&lt;Year&gt;2002&lt;/Year&gt;&lt;RecNum&gt;360&lt;/RecNum&gt;&lt;DisplayText&gt;(Zasloff, 2002)&lt;/DisplayText&gt;&lt;record&gt;&lt;rec-number&gt;360&lt;/rec-number&gt;&lt;foreign-keys&gt;&lt;key app="EN" db-id="vet5vv2xcs952weexe6vxetfp0e05xefxvdv" timestamp="1758878950"&gt;360&lt;/key&gt;&lt;/foreign-keys&gt;&lt;ref-type name="Journal Article"&gt;17&lt;/ref-type&gt;&lt;contributors&gt;&lt;authors&gt;&lt;author&gt;Zasloff, Michael %J nature&lt;/author&gt;&lt;/authors&gt;&lt;/contributors&gt;&lt;titles&gt;&lt;title&gt;Antimicrobial peptides of multicellular organisms&lt;/title&gt;&lt;/titles&gt;&lt;pages&gt;389-395&lt;/pages&gt;&lt;volume&gt;415&lt;/volume&gt;&lt;number&gt;6870&lt;/number&gt;&lt;dates&gt;&lt;year&gt;2002&lt;/year&gt;&lt;/dates&gt;&lt;isbn&gt;0028-0836&lt;/isbn&gt;&lt;urls&gt;&lt;/urls&gt;&lt;/record&gt;&lt;/Cite&gt;&lt;/EndNote&gt;</w:instrText>
      </w:r>
      <w:r w:rsidR="00E37B5C">
        <w:rPr>
          <w:rFonts w:ascii="Times New Roman" w:hAnsi="Times New Roman" w:cs="Times New Roman"/>
        </w:rPr>
        <w:fldChar w:fldCharType="separate"/>
      </w:r>
      <w:r w:rsidR="00E37B5C">
        <w:rPr>
          <w:rFonts w:ascii="Times New Roman" w:hAnsi="Times New Roman" w:cs="Times New Roman"/>
          <w:noProof/>
        </w:rPr>
        <w:t>(Zasloff, 2002)</w:t>
      </w:r>
      <w:r w:rsidR="00E37B5C">
        <w:rPr>
          <w:rFonts w:ascii="Times New Roman" w:hAnsi="Times New Roman" w:cs="Times New Roman"/>
        </w:rPr>
        <w:fldChar w:fldCharType="end"/>
      </w:r>
    </w:p>
    <w:p w14:paraId="5B0C5C65" w14:textId="089D5EE9"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t>Table 2: Synergy testing between </w:t>
      </w:r>
      <w:r w:rsidRPr="00780AAB">
        <w:rPr>
          <w:rFonts w:ascii="Times New Roman" w:hAnsi="Times New Roman" w:cs="Times New Roman"/>
          <w:b/>
          <w:bCs/>
          <w:i/>
          <w:iCs/>
        </w:rPr>
        <w:t xml:space="preserve">H. </w:t>
      </w:r>
      <w:proofErr w:type="spellStart"/>
      <w:r w:rsidRPr="00780AAB">
        <w:rPr>
          <w:rFonts w:ascii="Times New Roman" w:hAnsi="Times New Roman" w:cs="Times New Roman"/>
          <w:b/>
          <w:bCs/>
          <w:i/>
          <w:iCs/>
        </w:rPr>
        <w:t>tamulus</w:t>
      </w:r>
      <w:proofErr w:type="spellEnd"/>
      <w:r w:rsidRPr="00780AAB">
        <w:rPr>
          <w:rFonts w:ascii="Times New Roman" w:hAnsi="Times New Roman" w:cs="Times New Roman"/>
          <w:b/>
          <w:bCs/>
        </w:rPr>
        <w:t> crude venom and antibiotics against MRSA.</w:t>
      </w:r>
    </w:p>
    <w:tbl>
      <w:tblPr>
        <w:tblStyle w:val="TableGrid"/>
        <w:tblW w:w="0" w:type="auto"/>
        <w:tblLook w:val="04A0" w:firstRow="1" w:lastRow="0" w:firstColumn="1" w:lastColumn="0" w:noHBand="0" w:noVBand="1"/>
      </w:tblPr>
      <w:tblGrid>
        <w:gridCol w:w="1598"/>
        <w:gridCol w:w="1250"/>
        <w:gridCol w:w="1524"/>
        <w:gridCol w:w="961"/>
        <w:gridCol w:w="1524"/>
        <w:gridCol w:w="661"/>
        <w:gridCol w:w="1498"/>
      </w:tblGrid>
      <w:tr w:rsidR="00780AAB" w:rsidRPr="00780AAB" w14:paraId="674221CD" w14:textId="77777777" w:rsidTr="00E21B83">
        <w:tc>
          <w:tcPr>
            <w:tcW w:w="0" w:type="auto"/>
            <w:hideMark/>
          </w:tcPr>
          <w:p w14:paraId="04418588"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Antibiotic</w:t>
            </w:r>
          </w:p>
        </w:tc>
        <w:tc>
          <w:tcPr>
            <w:tcW w:w="0" w:type="auto"/>
            <w:hideMark/>
          </w:tcPr>
          <w:p w14:paraId="60AC690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(Antibiotic Alone)</w:t>
            </w:r>
          </w:p>
        </w:tc>
        <w:tc>
          <w:tcPr>
            <w:tcW w:w="0" w:type="auto"/>
            <w:hideMark/>
          </w:tcPr>
          <w:p w14:paraId="51461B5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(Antibiotic in Combination)</w:t>
            </w:r>
          </w:p>
        </w:tc>
        <w:tc>
          <w:tcPr>
            <w:tcW w:w="0" w:type="auto"/>
            <w:hideMark/>
          </w:tcPr>
          <w:p w14:paraId="0993C4BB"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(Venom Alone)</w:t>
            </w:r>
          </w:p>
        </w:tc>
        <w:tc>
          <w:tcPr>
            <w:tcW w:w="0" w:type="auto"/>
            <w:hideMark/>
          </w:tcPr>
          <w:p w14:paraId="04EEF189"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(Venom in Combination)</w:t>
            </w:r>
          </w:p>
        </w:tc>
        <w:tc>
          <w:tcPr>
            <w:tcW w:w="0" w:type="auto"/>
            <w:hideMark/>
          </w:tcPr>
          <w:p w14:paraId="5DB4BFB4"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FICI</w:t>
            </w:r>
          </w:p>
        </w:tc>
        <w:tc>
          <w:tcPr>
            <w:tcW w:w="1498" w:type="dxa"/>
            <w:hideMark/>
          </w:tcPr>
          <w:p w14:paraId="7A2B394C"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Interpretation</w:t>
            </w:r>
          </w:p>
        </w:tc>
      </w:tr>
      <w:tr w:rsidR="00780AAB" w:rsidRPr="00780AAB" w14:paraId="41E4AF75" w14:textId="77777777" w:rsidTr="00E21B83">
        <w:tc>
          <w:tcPr>
            <w:tcW w:w="0" w:type="auto"/>
            <w:hideMark/>
          </w:tcPr>
          <w:p w14:paraId="6F17A5CA"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b/>
                <w:bCs/>
              </w:rPr>
              <w:t>Ciprofloxacin</w:t>
            </w:r>
          </w:p>
        </w:tc>
        <w:tc>
          <w:tcPr>
            <w:tcW w:w="0" w:type="auto"/>
            <w:hideMark/>
          </w:tcPr>
          <w:p w14:paraId="79401AEF"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4 µg/mL</w:t>
            </w:r>
          </w:p>
        </w:tc>
        <w:tc>
          <w:tcPr>
            <w:tcW w:w="0" w:type="auto"/>
            <w:hideMark/>
          </w:tcPr>
          <w:p w14:paraId="2B563A09"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0.5 µg/mL</w:t>
            </w:r>
          </w:p>
        </w:tc>
        <w:tc>
          <w:tcPr>
            <w:tcW w:w="0" w:type="auto"/>
            <w:hideMark/>
          </w:tcPr>
          <w:p w14:paraId="25FD44D0"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8 µg/mL</w:t>
            </w:r>
          </w:p>
        </w:tc>
        <w:tc>
          <w:tcPr>
            <w:tcW w:w="0" w:type="auto"/>
            <w:hideMark/>
          </w:tcPr>
          <w:p w14:paraId="0045955D"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2 µg/mL</w:t>
            </w:r>
          </w:p>
        </w:tc>
        <w:tc>
          <w:tcPr>
            <w:tcW w:w="0" w:type="auto"/>
            <w:hideMark/>
          </w:tcPr>
          <w:p w14:paraId="087FD44D"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0.25</w:t>
            </w:r>
          </w:p>
        </w:tc>
        <w:tc>
          <w:tcPr>
            <w:tcW w:w="1498" w:type="dxa"/>
            <w:hideMark/>
          </w:tcPr>
          <w:p w14:paraId="2B00345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Synergy</w:t>
            </w:r>
          </w:p>
        </w:tc>
      </w:tr>
      <w:tr w:rsidR="00780AAB" w:rsidRPr="00780AAB" w14:paraId="2B97DCDC" w14:textId="77777777" w:rsidTr="00E21B83">
        <w:tc>
          <w:tcPr>
            <w:tcW w:w="0" w:type="auto"/>
            <w:hideMark/>
          </w:tcPr>
          <w:p w14:paraId="7D2BFF7E"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b/>
                <w:bCs/>
              </w:rPr>
              <w:t>Oxacillin</w:t>
            </w:r>
          </w:p>
        </w:tc>
        <w:tc>
          <w:tcPr>
            <w:tcW w:w="0" w:type="auto"/>
            <w:hideMark/>
          </w:tcPr>
          <w:p w14:paraId="1BF58128"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&gt;256 µg/mL</w:t>
            </w:r>
          </w:p>
        </w:tc>
        <w:tc>
          <w:tcPr>
            <w:tcW w:w="0" w:type="auto"/>
            <w:hideMark/>
          </w:tcPr>
          <w:p w14:paraId="3468A31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128 µg/mL</w:t>
            </w:r>
          </w:p>
        </w:tc>
        <w:tc>
          <w:tcPr>
            <w:tcW w:w="0" w:type="auto"/>
            <w:hideMark/>
          </w:tcPr>
          <w:p w14:paraId="2D456EBE"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8 µg/mL</w:t>
            </w:r>
          </w:p>
        </w:tc>
        <w:tc>
          <w:tcPr>
            <w:tcW w:w="0" w:type="auto"/>
            <w:hideMark/>
          </w:tcPr>
          <w:p w14:paraId="5BB62A24"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4 µg/mL</w:t>
            </w:r>
          </w:p>
        </w:tc>
        <w:tc>
          <w:tcPr>
            <w:tcW w:w="0" w:type="auto"/>
            <w:hideMark/>
          </w:tcPr>
          <w:p w14:paraId="767B8CFA"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1.06</w:t>
            </w:r>
          </w:p>
        </w:tc>
        <w:tc>
          <w:tcPr>
            <w:tcW w:w="1498" w:type="dxa"/>
            <w:hideMark/>
          </w:tcPr>
          <w:p w14:paraId="7CDC5438"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Indifference</w:t>
            </w:r>
          </w:p>
        </w:tc>
      </w:tr>
    </w:tbl>
    <w:p w14:paraId="47F719F2" w14:textId="77777777" w:rsidR="00BC22DF" w:rsidRDefault="00BC22DF" w:rsidP="00BC22DF">
      <w:pPr>
        <w:spacing w:line="360" w:lineRule="auto"/>
        <w:jc w:val="center"/>
        <w:rPr>
          <w:rFonts w:ascii="Times New Roman" w:hAnsi="Times New Roman" w:cs="Times New Roman"/>
          <w:b/>
          <w:bCs/>
        </w:rPr>
      </w:pPr>
    </w:p>
    <w:p w14:paraId="0A41F2E1" w14:textId="78900405" w:rsidR="00BC22DF" w:rsidRPr="00BC22DF" w:rsidRDefault="00BC22DF" w:rsidP="00BC22DF">
      <w:pPr>
        <w:spacing w:line="360" w:lineRule="auto"/>
        <w:jc w:val="center"/>
        <w:rPr>
          <w:rFonts w:ascii="Times New Roman" w:hAnsi="Times New Roman" w:cs="Times New Roman"/>
          <w:b/>
          <w:bCs/>
        </w:rPr>
      </w:pPr>
      <w:r w:rsidRPr="00BC22DF">
        <w:rPr>
          <w:rFonts w:ascii="Times New Roman" w:hAnsi="Times New Roman" w:cs="Times New Roman"/>
          <w:b/>
          <w:bCs/>
          <w:noProof/>
        </w:rPr>
        <w:drawing>
          <wp:inline distT="0" distB="0" distL="0" distR="0" wp14:anchorId="38BEC96B" wp14:editId="513D40C4">
            <wp:extent cx="5276850" cy="3930650"/>
            <wp:effectExtent l="0" t="0" r="0" b="0"/>
            <wp:docPr id="9049483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6850" cy="3930650"/>
                    </a:xfrm>
                    <a:prstGeom prst="rect">
                      <a:avLst/>
                    </a:prstGeom>
                    <a:noFill/>
                    <a:ln>
                      <a:noFill/>
                    </a:ln>
                  </pic:spPr>
                </pic:pic>
              </a:graphicData>
            </a:graphic>
          </wp:inline>
        </w:drawing>
      </w:r>
    </w:p>
    <w:p w14:paraId="090A3008" w14:textId="4BEAD834" w:rsidR="00BC22DF" w:rsidRDefault="00BC22DF" w:rsidP="00BC22DF">
      <w:pPr>
        <w:spacing w:line="360" w:lineRule="auto"/>
        <w:jc w:val="center"/>
        <w:rPr>
          <w:rFonts w:ascii="Times New Roman" w:hAnsi="Times New Roman" w:cs="Times New Roman"/>
          <w:b/>
          <w:bCs/>
        </w:rPr>
      </w:pPr>
      <w:r w:rsidRPr="001109CC">
        <w:rPr>
          <w:rFonts w:ascii="Times New Roman" w:hAnsi="Times New Roman" w:cs="Times New Roman"/>
          <w:b/>
          <w:bCs/>
        </w:rPr>
        <w:t>Figer-</w:t>
      </w:r>
      <w:r w:rsidR="00A35C04">
        <w:rPr>
          <w:rFonts w:ascii="Times New Roman" w:hAnsi="Times New Roman" w:cs="Times New Roman"/>
          <w:b/>
          <w:bCs/>
        </w:rPr>
        <w:t>7</w:t>
      </w:r>
      <w:r w:rsidRPr="001109CC">
        <w:rPr>
          <w:rFonts w:ascii="Times New Roman" w:hAnsi="Times New Roman" w:cs="Times New Roman"/>
          <w:b/>
          <w:bCs/>
        </w:rPr>
        <w:t xml:space="preserve"> Antimicrobial Evaluation of Scorpion Venom</w:t>
      </w:r>
    </w:p>
    <w:p w14:paraId="662BB665" w14:textId="297F8537" w:rsidR="00EC0B72" w:rsidRDefault="008D5184" w:rsidP="00EC0B72">
      <w:pPr>
        <w:spacing w:line="360" w:lineRule="auto"/>
        <w:jc w:val="center"/>
        <w:rPr>
          <w:rFonts w:ascii="Times New Roman" w:hAnsi="Times New Roman" w:cs="Times New Roman"/>
          <w:b/>
          <w:bCs/>
        </w:rPr>
      </w:pPr>
      <w:r w:rsidRPr="004043F1">
        <w:rPr>
          <w:rFonts w:ascii="Times New Roman" w:hAnsi="Times New Roman" w:cs="Times New Roman"/>
          <w:b/>
          <w:bCs/>
          <w:noProof/>
        </w:rPr>
        <w:lastRenderedPageBreak/>
        <w:drawing>
          <wp:anchor distT="0" distB="0" distL="114300" distR="114300" simplePos="0" relativeHeight="251658240" behindDoc="0" locked="0" layoutInCell="1" allowOverlap="1" wp14:anchorId="5C159EA6" wp14:editId="62BE6CA5">
            <wp:simplePos x="0" y="0"/>
            <wp:positionH relativeFrom="margin">
              <wp:posOffset>-127000</wp:posOffset>
            </wp:positionH>
            <wp:positionV relativeFrom="paragraph">
              <wp:posOffset>76200</wp:posOffset>
            </wp:positionV>
            <wp:extent cx="5731510" cy="6915150"/>
            <wp:effectExtent l="76200" t="76200" r="135890" b="133350"/>
            <wp:wrapTopAndBottom/>
            <wp:docPr id="86503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6915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C0B72" w:rsidRPr="001109CC">
        <w:rPr>
          <w:rFonts w:ascii="Times New Roman" w:hAnsi="Times New Roman" w:cs="Times New Roman"/>
          <w:b/>
          <w:bCs/>
        </w:rPr>
        <w:t>Figer-</w:t>
      </w:r>
      <w:r w:rsidR="00A35C04">
        <w:rPr>
          <w:rFonts w:ascii="Times New Roman" w:hAnsi="Times New Roman" w:cs="Times New Roman"/>
          <w:b/>
          <w:bCs/>
        </w:rPr>
        <w:t>8</w:t>
      </w:r>
      <w:r w:rsidR="00EC0B72" w:rsidRPr="001109CC">
        <w:rPr>
          <w:rFonts w:ascii="Times New Roman" w:hAnsi="Times New Roman" w:cs="Times New Roman"/>
          <w:b/>
          <w:bCs/>
        </w:rPr>
        <w:t xml:space="preserve"> Antimicrobial Evaluation of Scorpion Venom</w:t>
      </w:r>
    </w:p>
    <w:p w14:paraId="4057D7B9" w14:textId="76798BCE" w:rsidR="00780AAB" w:rsidRPr="00780AAB" w:rsidRDefault="00054DBD" w:rsidP="004043F1">
      <w:pPr>
        <w:pStyle w:val="NormalWeb"/>
        <w:rPr>
          <w:b/>
          <w:bCs/>
        </w:rPr>
      </w:pPr>
      <w:r>
        <w:rPr>
          <w:b/>
          <w:bCs/>
        </w:rPr>
        <w:t>4.</w:t>
      </w:r>
      <w:r w:rsidR="0060072B">
        <w:rPr>
          <w:b/>
          <w:bCs/>
        </w:rPr>
        <w:t xml:space="preserve"> </w:t>
      </w:r>
      <w:r w:rsidR="00780AAB" w:rsidRPr="00780AAB">
        <w:rPr>
          <w:b/>
          <w:bCs/>
        </w:rPr>
        <w:t>Discussion</w:t>
      </w:r>
    </w:p>
    <w:p w14:paraId="04FBB0BF" w14:textId="2606D6FE"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This study provides compelling evidence that the crude venom of the Indian red scorpion, </w:t>
      </w:r>
      <w:proofErr w:type="spellStart"/>
      <w:r w:rsidRPr="00780AAB">
        <w:rPr>
          <w:rFonts w:ascii="Times New Roman" w:hAnsi="Times New Roman" w:cs="Times New Roman"/>
          <w:i/>
          <w:iCs/>
        </w:rPr>
        <w:t>Hottentotta</w:t>
      </w:r>
      <w:proofErr w:type="spellEnd"/>
      <w:r w:rsidRPr="00780AAB">
        <w:rPr>
          <w:rFonts w:ascii="Times New Roman" w:hAnsi="Times New Roman" w:cs="Times New Roman"/>
          <w:i/>
          <w:iCs/>
        </w:rPr>
        <w:t xml:space="preserve"> </w:t>
      </w:r>
      <w:proofErr w:type="spellStart"/>
      <w:r w:rsidRPr="00780AAB">
        <w:rPr>
          <w:rFonts w:ascii="Times New Roman" w:hAnsi="Times New Roman" w:cs="Times New Roman"/>
          <w:i/>
          <w:iCs/>
        </w:rPr>
        <w:t>tamulus</w:t>
      </w:r>
      <w:proofErr w:type="spellEnd"/>
      <w:r w:rsidRPr="00780AAB">
        <w:rPr>
          <w:rFonts w:ascii="Times New Roman" w:hAnsi="Times New Roman" w:cs="Times New Roman"/>
        </w:rPr>
        <w:t xml:space="preserve">, possesses significant bactericidal activity against a panel of clinically relevant multidrug-resistant pathogens. The low MIC and MBC values, particularly </w:t>
      </w:r>
      <w:r w:rsidRPr="00780AAB">
        <w:rPr>
          <w:rFonts w:ascii="Times New Roman" w:hAnsi="Times New Roman" w:cs="Times New Roman"/>
        </w:rPr>
        <w:lastRenderedPageBreak/>
        <w:t>against MRSA and MDR </w:t>
      </w:r>
      <w:r w:rsidRPr="00780AAB">
        <w:rPr>
          <w:rFonts w:ascii="Times New Roman" w:hAnsi="Times New Roman" w:cs="Times New Roman"/>
          <w:i/>
          <w:iCs/>
        </w:rPr>
        <w:t>A. baumannii</w:t>
      </w:r>
      <w:r w:rsidRPr="00780AAB">
        <w:rPr>
          <w:rFonts w:ascii="Times New Roman" w:hAnsi="Times New Roman" w:cs="Times New Roman"/>
        </w:rPr>
        <w:t>, are highly promising and suggest the presence of potent antimicrobial compounds within the venom cocktail.</w:t>
      </w:r>
    </w:p>
    <w:p w14:paraId="46B84F60" w14:textId="38060756"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The observed variation in susceptibility between Gram-positive and Gram-negative bacteria is consistent with the known differences in their cell wall structure. The superior activity against MRSA (MIC = 8 µg/mL) can be attributed to the relatively simple and accessible peptidoglycan layer of Gram-positive bacteria. The higher MICs for Gram-negative strains are likely due to their impermeable outer membrane, which acts as a formidable barrier to hydrophobic molecules and peptides. Nevertheless, the potent activity against notoriously resistant pathogens like </w:t>
      </w:r>
      <w:r w:rsidRPr="00780AAB">
        <w:rPr>
          <w:rFonts w:ascii="Times New Roman" w:hAnsi="Times New Roman" w:cs="Times New Roman"/>
          <w:i/>
          <w:iCs/>
        </w:rPr>
        <w:t>P. aeruginosa</w:t>
      </w:r>
      <w:r w:rsidRPr="00780AAB">
        <w:rPr>
          <w:rFonts w:ascii="Times New Roman" w:hAnsi="Times New Roman" w:cs="Times New Roman"/>
        </w:rPr>
        <w:t> and </w:t>
      </w:r>
      <w:r w:rsidRPr="00780AAB">
        <w:rPr>
          <w:rFonts w:ascii="Times New Roman" w:hAnsi="Times New Roman" w:cs="Times New Roman"/>
          <w:i/>
          <w:iCs/>
        </w:rPr>
        <w:t>A. baumannii</w:t>
      </w:r>
      <w:r w:rsidRPr="00780AAB">
        <w:rPr>
          <w:rFonts w:ascii="Times New Roman" w:hAnsi="Times New Roman" w:cs="Times New Roman"/>
        </w:rPr>
        <w:t> is remarkable and indicates that the venom components possess mechanisms to overcome this barrier, possibly through self-promoted uptake or damage to the outer membrane</w:t>
      </w:r>
      <w:r w:rsidR="00035F97">
        <w:rPr>
          <w:rFonts w:ascii="Times New Roman" w:hAnsi="Times New Roman" w:cs="Times New Roman"/>
        </w:rPr>
        <w:t>.</w:t>
      </w:r>
    </w:p>
    <w:p w14:paraId="27C9F45D" w14:textId="55954C03"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 xml:space="preserve">The rapid and decisive bactericidal action, as demonstrated by the time-kill kinetics, is a highly desirable trait for a potential antimicrobial agent, especially for treating severe systemic infections. The fact that the MBC values were equal to or very close to the MIC values further confirms that the venom's primary mode of action is lethal, not merely inhibitory. This rapid killing is characteristic of many antimicrobial peptides (AMPs), which often target the bacterial cytoplasmic membrane, causing </w:t>
      </w:r>
      <w:r w:rsidR="0060072B" w:rsidRPr="00860979">
        <w:rPr>
          <w:rFonts w:ascii="Times New Roman" w:hAnsi="Times New Roman" w:cs="Times New Roman"/>
          <w:highlight w:val="yellow"/>
        </w:rPr>
        <w:t>depolarisation</w:t>
      </w:r>
      <w:r w:rsidR="0060072B" w:rsidRPr="00780AAB">
        <w:rPr>
          <w:rFonts w:ascii="Times New Roman" w:hAnsi="Times New Roman" w:cs="Times New Roman"/>
        </w:rPr>
        <w:t xml:space="preserve"> </w:t>
      </w:r>
      <w:r w:rsidRPr="00780AAB">
        <w:rPr>
          <w:rFonts w:ascii="Times New Roman" w:hAnsi="Times New Roman" w:cs="Times New Roman"/>
        </w:rPr>
        <w:t>and rupture. Scorpion venoms are known to be rich in such AMPs, and the observed kinetics strongly suggest a membrane-lytic mechanism for </w:t>
      </w:r>
      <w:r w:rsidRPr="00780AAB">
        <w:rPr>
          <w:rFonts w:ascii="Times New Roman" w:hAnsi="Times New Roman" w:cs="Times New Roman"/>
          <w:i/>
          <w:iCs/>
        </w:rPr>
        <w:t xml:space="preserve">H. </w:t>
      </w:r>
      <w:proofErr w:type="spellStart"/>
      <w:r w:rsidRPr="00780AAB">
        <w:rPr>
          <w:rFonts w:ascii="Times New Roman" w:hAnsi="Times New Roman" w:cs="Times New Roman"/>
          <w:i/>
          <w:iCs/>
        </w:rPr>
        <w:t>tamulus</w:t>
      </w:r>
      <w:proofErr w:type="spellEnd"/>
      <w:r w:rsidRPr="00780AAB">
        <w:rPr>
          <w:rFonts w:ascii="Times New Roman" w:hAnsi="Times New Roman" w:cs="Times New Roman"/>
        </w:rPr>
        <w:t> venom, although this requires further mechanistic investigation.</w:t>
      </w:r>
    </w:p>
    <w:p w14:paraId="09B04923" w14:textId="7B285BE6"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Perhaps one of the most significant findings of this study is the strong synergistic effect observed between the crude venom and ciprofloxacin. This synergy suggests that the venom may compromise the integrity of the bacterial cell wall or membrane, thereby facilitating the increased intracellular accumulation of the antibiotic, a known mechanism for reversing resistance. This finding opens a promising avenue for combination therapy, where sub-inhibitory concentrations of the venom could be used to resensitize MDR bacteria to conventional antibiotics, potentially extending the lifespan of existing drugs.</w:t>
      </w:r>
    </w:p>
    <w:p w14:paraId="4AF283C7" w14:textId="5B91E4BB" w:rsid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 xml:space="preserve">It is important to acknowledge the limitations of this work. The use of crude venom means the activity is due to a mixture of components. While this demonstrates overall efficacy, the next critical step is to isolate, identify, and </w:t>
      </w:r>
      <w:r w:rsidR="0060072B" w:rsidRPr="00860979">
        <w:rPr>
          <w:rFonts w:ascii="Times New Roman" w:hAnsi="Times New Roman" w:cs="Times New Roman"/>
          <w:highlight w:val="yellow"/>
        </w:rPr>
        <w:t>characterise</w:t>
      </w:r>
      <w:r w:rsidR="0060072B" w:rsidRPr="00780AAB">
        <w:rPr>
          <w:rFonts w:ascii="Times New Roman" w:hAnsi="Times New Roman" w:cs="Times New Roman"/>
        </w:rPr>
        <w:t xml:space="preserve"> </w:t>
      </w:r>
      <w:r w:rsidRPr="00780AAB">
        <w:rPr>
          <w:rFonts w:ascii="Times New Roman" w:hAnsi="Times New Roman" w:cs="Times New Roman"/>
        </w:rPr>
        <w:t>the specific peptide(s) responsible for the antimicrobial activity. Furthermore, future studies must assess the cytotoxicity of the venom against mammalian cells to evaluate its therapeutic potential and selectivity index.</w:t>
      </w:r>
    </w:p>
    <w:p w14:paraId="656373A4" w14:textId="35DE6B36" w:rsidR="00C617FE" w:rsidRPr="00C617FE" w:rsidRDefault="00C617FE" w:rsidP="00C617FE">
      <w:pPr>
        <w:spacing w:line="360" w:lineRule="auto"/>
        <w:jc w:val="both"/>
        <w:rPr>
          <w:rFonts w:ascii="Times New Roman" w:hAnsi="Times New Roman" w:cs="Times New Roman"/>
        </w:rPr>
      </w:pPr>
      <w:r w:rsidRPr="00C617FE">
        <w:rPr>
          <w:rFonts w:ascii="Times New Roman" w:hAnsi="Times New Roman" w:cs="Times New Roman"/>
          <w:noProof/>
        </w:rPr>
        <w:lastRenderedPageBreak/>
        <w:drawing>
          <wp:inline distT="0" distB="0" distL="0" distR="0" wp14:anchorId="3B31179B" wp14:editId="34232CA8">
            <wp:extent cx="5731510" cy="8001000"/>
            <wp:effectExtent l="76200" t="76200" r="135890" b="133350"/>
            <wp:docPr id="5953824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8001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06C91E" w14:textId="071782E8" w:rsidR="00C617FE" w:rsidRPr="00780AAB" w:rsidRDefault="00C617FE" w:rsidP="00C617FE">
      <w:pPr>
        <w:spacing w:line="360" w:lineRule="auto"/>
        <w:jc w:val="center"/>
        <w:rPr>
          <w:rFonts w:ascii="Times New Roman" w:hAnsi="Times New Roman" w:cs="Times New Roman"/>
        </w:rPr>
      </w:pPr>
      <w:r w:rsidRPr="001109CC">
        <w:rPr>
          <w:rFonts w:ascii="Times New Roman" w:hAnsi="Times New Roman" w:cs="Times New Roman"/>
          <w:b/>
          <w:bCs/>
        </w:rPr>
        <w:t>Figer-</w:t>
      </w:r>
      <w:r w:rsidR="00A35C04">
        <w:rPr>
          <w:rFonts w:ascii="Times New Roman" w:hAnsi="Times New Roman" w:cs="Times New Roman"/>
          <w:b/>
          <w:bCs/>
        </w:rPr>
        <w:t>9</w:t>
      </w:r>
      <w:r w:rsidR="00546CD7">
        <w:rPr>
          <w:rFonts w:ascii="Times New Roman" w:hAnsi="Times New Roman" w:cs="Times New Roman"/>
          <w:b/>
          <w:bCs/>
        </w:rPr>
        <w:t xml:space="preserve"> </w:t>
      </w:r>
      <w:r w:rsidR="00546CD7" w:rsidRPr="00546CD7">
        <w:rPr>
          <w:rFonts w:ascii="Times New Roman" w:hAnsi="Times New Roman" w:cs="Times New Roman"/>
          <w:b/>
          <w:bCs/>
        </w:rPr>
        <w:t>Discussion: Scorpion Venom as a Promising Antimicrobial Agent</w:t>
      </w:r>
    </w:p>
    <w:p w14:paraId="1C644AC7" w14:textId="195E789F" w:rsidR="0020428A" w:rsidRPr="0020428A" w:rsidRDefault="00054DBD" w:rsidP="0020428A">
      <w:pPr>
        <w:spacing w:line="360" w:lineRule="auto"/>
        <w:jc w:val="both"/>
        <w:rPr>
          <w:rFonts w:ascii="Times New Roman" w:hAnsi="Times New Roman" w:cs="Times New Roman"/>
          <w:b/>
          <w:bCs/>
        </w:rPr>
      </w:pPr>
      <w:r>
        <w:rPr>
          <w:rFonts w:ascii="Times New Roman" w:hAnsi="Times New Roman" w:cs="Times New Roman"/>
          <w:b/>
          <w:bCs/>
        </w:rPr>
        <w:lastRenderedPageBreak/>
        <w:t>5.</w:t>
      </w:r>
      <w:r w:rsidR="0060072B">
        <w:rPr>
          <w:rFonts w:ascii="Times New Roman" w:hAnsi="Times New Roman" w:cs="Times New Roman"/>
          <w:b/>
          <w:bCs/>
        </w:rPr>
        <w:t xml:space="preserve"> </w:t>
      </w:r>
      <w:r w:rsidR="0020428A" w:rsidRPr="0020428A">
        <w:rPr>
          <w:rFonts w:ascii="Times New Roman" w:hAnsi="Times New Roman" w:cs="Times New Roman"/>
          <w:b/>
          <w:bCs/>
        </w:rPr>
        <w:t>Summary and Conclusion</w:t>
      </w:r>
    </w:p>
    <w:p w14:paraId="4E9573E8" w14:textId="3B3DAD81" w:rsidR="0020428A" w:rsidRPr="0020428A" w:rsidRDefault="00054DBD" w:rsidP="0020428A">
      <w:pPr>
        <w:spacing w:line="360" w:lineRule="auto"/>
        <w:jc w:val="both"/>
        <w:rPr>
          <w:rFonts w:ascii="Times New Roman" w:hAnsi="Times New Roman" w:cs="Times New Roman"/>
        </w:rPr>
      </w:pPr>
      <w:r>
        <w:rPr>
          <w:rFonts w:ascii="Times New Roman" w:hAnsi="Times New Roman" w:cs="Times New Roman"/>
          <w:b/>
          <w:bCs/>
        </w:rPr>
        <w:t xml:space="preserve">5.1 </w:t>
      </w:r>
      <w:r w:rsidR="0020428A" w:rsidRPr="0020428A">
        <w:rPr>
          <w:rFonts w:ascii="Times New Roman" w:hAnsi="Times New Roman" w:cs="Times New Roman"/>
          <w:b/>
          <w:bCs/>
        </w:rPr>
        <w:t>Summary</w:t>
      </w:r>
    </w:p>
    <w:p w14:paraId="568C6D49" w14:textId="77777777" w:rsidR="0020428A" w:rsidRPr="0020428A" w:rsidRDefault="0020428A" w:rsidP="0020428A">
      <w:pPr>
        <w:spacing w:line="360" w:lineRule="auto"/>
        <w:jc w:val="both"/>
        <w:rPr>
          <w:rFonts w:ascii="Times New Roman" w:hAnsi="Times New Roman" w:cs="Times New Roman"/>
        </w:rPr>
      </w:pPr>
      <w:r w:rsidRPr="0020428A">
        <w:rPr>
          <w:rFonts w:ascii="Times New Roman" w:hAnsi="Times New Roman" w:cs="Times New Roman"/>
        </w:rPr>
        <w:t>This study was designed to evaluate the potential of crude venom from the Indian red scorpion, </w:t>
      </w:r>
      <w:proofErr w:type="spellStart"/>
      <w:r w:rsidRPr="0020428A">
        <w:rPr>
          <w:rFonts w:ascii="Times New Roman" w:hAnsi="Times New Roman" w:cs="Times New Roman"/>
          <w:i/>
          <w:iCs/>
        </w:rPr>
        <w:t>Hottentotta</w:t>
      </w:r>
      <w:proofErr w:type="spellEnd"/>
      <w:r w:rsidRPr="0020428A">
        <w:rPr>
          <w:rFonts w:ascii="Times New Roman" w:hAnsi="Times New Roman" w:cs="Times New Roman"/>
          <w:i/>
          <w:iCs/>
        </w:rPr>
        <w:t xml:space="preserve"> </w:t>
      </w:r>
      <w:proofErr w:type="spellStart"/>
      <w:r w:rsidRPr="0020428A">
        <w:rPr>
          <w:rFonts w:ascii="Times New Roman" w:hAnsi="Times New Roman" w:cs="Times New Roman"/>
          <w:i/>
          <w:iCs/>
        </w:rPr>
        <w:t>tamulus</w:t>
      </w:r>
      <w:proofErr w:type="spellEnd"/>
      <w:r w:rsidRPr="0020428A">
        <w:rPr>
          <w:rFonts w:ascii="Times New Roman" w:hAnsi="Times New Roman" w:cs="Times New Roman"/>
        </w:rPr>
        <w:t>, as a novel antimicrobial agent against a panel of multidrug-resistant (MDR) pathogens. The research demonstrated that the crude venom possesses significant and broad-spectrum bactericidal activity. It was most potent against methicillin-resistant </w:t>
      </w:r>
      <w:r w:rsidRPr="0020428A">
        <w:rPr>
          <w:rFonts w:ascii="Times New Roman" w:hAnsi="Times New Roman" w:cs="Times New Roman"/>
          <w:i/>
          <w:iCs/>
        </w:rPr>
        <w:t>Staphylococcus aureus</w:t>
      </w:r>
      <w:r w:rsidRPr="0020428A">
        <w:rPr>
          <w:rFonts w:ascii="Times New Roman" w:hAnsi="Times New Roman" w:cs="Times New Roman"/>
        </w:rPr>
        <w:t> (MRSA) and showed considerable efficacy against challenging Gram-negative pathogens, including carbapenem-resistant </w:t>
      </w:r>
      <w:r w:rsidRPr="0020428A">
        <w:rPr>
          <w:rFonts w:ascii="Times New Roman" w:hAnsi="Times New Roman" w:cs="Times New Roman"/>
          <w:i/>
          <w:iCs/>
        </w:rPr>
        <w:t>Pseudomonas aeruginosa</w:t>
      </w:r>
      <w:r w:rsidRPr="0020428A">
        <w:rPr>
          <w:rFonts w:ascii="Times New Roman" w:hAnsi="Times New Roman" w:cs="Times New Roman"/>
        </w:rPr>
        <w:t> and </w:t>
      </w:r>
      <w:r w:rsidRPr="0020428A">
        <w:rPr>
          <w:rFonts w:ascii="Times New Roman" w:hAnsi="Times New Roman" w:cs="Times New Roman"/>
          <w:i/>
          <w:iCs/>
        </w:rPr>
        <w:t>Acinetobacter baumannii</w:t>
      </w:r>
      <w:r w:rsidRPr="0020428A">
        <w:rPr>
          <w:rFonts w:ascii="Times New Roman" w:hAnsi="Times New Roman" w:cs="Times New Roman"/>
        </w:rPr>
        <w:t>. Time-kill kinetics assays confirmed the venom's rapid and decisive bactericidal action. Furthermore, a significant synergistic effect was observed when the venom was combined with the antibiotic ciprofloxacin, suggesting a potential to rejuvenate the efficacy of conventional drugs against resistant strains.</w:t>
      </w:r>
    </w:p>
    <w:p w14:paraId="644979D6" w14:textId="0E63BEE5" w:rsidR="0020428A" w:rsidRPr="0020428A" w:rsidRDefault="00054DBD" w:rsidP="0020428A">
      <w:pPr>
        <w:spacing w:line="360" w:lineRule="auto"/>
        <w:jc w:val="both"/>
        <w:rPr>
          <w:rFonts w:ascii="Times New Roman" w:hAnsi="Times New Roman" w:cs="Times New Roman"/>
        </w:rPr>
      </w:pPr>
      <w:r>
        <w:rPr>
          <w:rFonts w:ascii="Times New Roman" w:hAnsi="Times New Roman" w:cs="Times New Roman"/>
          <w:b/>
          <w:bCs/>
        </w:rPr>
        <w:t xml:space="preserve">5.2 </w:t>
      </w:r>
      <w:r w:rsidR="0020428A" w:rsidRPr="0020428A">
        <w:rPr>
          <w:rFonts w:ascii="Times New Roman" w:hAnsi="Times New Roman" w:cs="Times New Roman"/>
          <w:b/>
          <w:bCs/>
        </w:rPr>
        <w:t>Conclusion</w:t>
      </w:r>
    </w:p>
    <w:p w14:paraId="71D3EB4B" w14:textId="77777777" w:rsidR="0020428A" w:rsidRPr="0020428A" w:rsidRDefault="0020428A" w:rsidP="0020428A">
      <w:pPr>
        <w:spacing w:line="360" w:lineRule="auto"/>
        <w:jc w:val="both"/>
        <w:rPr>
          <w:rFonts w:ascii="Times New Roman" w:hAnsi="Times New Roman" w:cs="Times New Roman"/>
        </w:rPr>
      </w:pPr>
      <w:r w:rsidRPr="0020428A">
        <w:rPr>
          <w:rFonts w:ascii="Times New Roman" w:hAnsi="Times New Roman" w:cs="Times New Roman"/>
        </w:rPr>
        <w:t>The findings from this investigation lead to the following conclusions:</w:t>
      </w:r>
    </w:p>
    <w:p w14:paraId="69F6934E" w14:textId="77777777" w:rsidR="0020428A" w:rsidRPr="0020428A" w:rsidRDefault="0020428A" w:rsidP="0020428A">
      <w:pPr>
        <w:numPr>
          <w:ilvl w:val="0"/>
          <w:numId w:val="10"/>
        </w:numPr>
        <w:spacing w:line="360" w:lineRule="auto"/>
        <w:jc w:val="both"/>
        <w:rPr>
          <w:rFonts w:ascii="Times New Roman" w:hAnsi="Times New Roman" w:cs="Times New Roman"/>
        </w:rPr>
      </w:pPr>
      <w:r w:rsidRPr="0020428A">
        <w:rPr>
          <w:rFonts w:ascii="Times New Roman" w:hAnsi="Times New Roman" w:cs="Times New Roman"/>
          <w:b/>
          <w:bCs/>
        </w:rPr>
        <w:t>Potent Antimicrobial Activity:</w:t>
      </w:r>
      <w:r w:rsidRPr="0020428A">
        <w:rPr>
          <w:rFonts w:ascii="Times New Roman" w:hAnsi="Times New Roman" w:cs="Times New Roman"/>
        </w:rPr>
        <w:t> The crude venom of </w:t>
      </w:r>
      <w:proofErr w:type="spellStart"/>
      <w:r w:rsidRPr="0020428A">
        <w:rPr>
          <w:rFonts w:ascii="Times New Roman" w:hAnsi="Times New Roman" w:cs="Times New Roman"/>
          <w:i/>
          <w:iCs/>
        </w:rPr>
        <w:t>Hottentotta</w:t>
      </w:r>
      <w:proofErr w:type="spellEnd"/>
      <w:r w:rsidRPr="0020428A">
        <w:rPr>
          <w:rFonts w:ascii="Times New Roman" w:hAnsi="Times New Roman" w:cs="Times New Roman"/>
          <w:i/>
          <w:iCs/>
        </w:rPr>
        <w:t xml:space="preserve"> </w:t>
      </w:r>
      <w:proofErr w:type="spellStart"/>
      <w:r w:rsidRPr="0020428A">
        <w:rPr>
          <w:rFonts w:ascii="Times New Roman" w:hAnsi="Times New Roman" w:cs="Times New Roman"/>
          <w:i/>
          <w:iCs/>
        </w:rPr>
        <w:t>tamulus</w:t>
      </w:r>
      <w:proofErr w:type="spellEnd"/>
      <w:r w:rsidRPr="0020428A">
        <w:rPr>
          <w:rFonts w:ascii="Times New Roman" w:hAnsi="Times New Roman" w:cs="Times New Roman"/>
        </w:rPr>
        <w:t> is a source of potent bioactive compounds effective against clinically critical MDR bacteria.</w:t>
      </w:r>
    </w:p>
    <w:p w14:paraId="337E094E" w14:textId="77777777" w:rsidR="0020428A" w:rsidRPr="0020428A" w:rsidRDefault="0020428A" w:rsidP="0020428A">
      <w:pPr>
        <w:numPr>
          <w:ilvl w:val="0"/>
          <w:numId w:val="10"/>
        </w:numPr>
        <w:spacing w:line="360" w:lineRule="auto"/>
        <w:jc w:val="both"/>
        <w:rPr>
          <w:rFonts w:ascii="Times New Roman" w:hAnsi="Times New Roman" w:cs="Times New Roman"/>
        </w:rPr>
      </w:pPr>
      <w:r w:rsidRPr="0020428A">
        <w:rPr>
          <w:rFonts w:ascii="Times New Roman" w:hAnsi="Times New Roman" w:cs="Times New Roman"/>
          <w:b/>
          <w:bCs/>
        </w:rPr>
        <w:t>Bactericidal Mechanism:</w:t>
      </w:r>
      <w:r w:rsidRPr="0020428A">
        <w:rPr>
          <w:rFonts w:ascii="Times New Roman" w:hAnsi="Times New Roman" w:cs="Times New Roman"/>
        </w:rPr>
        <w:t> The venom's action is decisively bactericidal, causing rapid and irreversible killing of bacterial cells, likely through a membrane-disrupting mechanism.</w:t>
      </w:r>
    </w:p>
    <w:p w14:paraId="0537B361" w14:textId="77777777" w:rsidR="0020428A" w:rsidRPr="0020428A" w:rsidRDefault="0020428A" w:rsidP="0020428A">
      <w:pPr>
        <w:numPr>
          <w:ilvl w:val="0"/>
          <w:numId w:val="10"/>
        </w:numPr>
        <w:spacing w:line="360" w:lineRule="auto"/>
        <w:jc w:val="both"/>
        <w:rPr>
          <w:rFonts w:ascii="Times New Roman" w:hAnsi="Times New Roman" w:cs="Times New Roman"/>
        </w:rPr>
      </w:pPr>
      <w:r w:rsidRPr="0020428A">
        <w:rPr>
          <w:rFonts w:ascii="Times New Roman" w:hAnsi="Times New Roman" w:cs="Times New Roman"/>
          <w:b/>
          <w:bCs/>
        </w:rPr>
        <w:t>Promise for Combination Therapy:</w:t>
      </w:r>
      <w:r w:rsidRPr="0020428A">
        <w:rPr>
          <w:rFonts w:ascii="Times New Roman" w:hAnsi="Times New Roman" w:cs="Times New Roman"/>
        </w:rPr>
        <w:t> The strong synergy with ciprofloxacin highlights a promising strategy for combination therapy, which could be leveraged to overcome specific resistance mechanisms.</w:t>
      </w:r>
    </w:p>
    <w:p w14:paraId="44E95300" w14:textId="0700CB61" w:rsidR="0020428A" w:rsidRDefault="0020428A" w:rsidP="0020428A">
      <w:pPr>
        <w:spacing w:line="360" w:lineRule="auto"/>
        <w:jc w:val="both"/>
        <w:rPr>
          <w:rFonts w:ascii="Times New Roman" w:hAnsi="Times New Roman" w:cs="Times New Roman"/>
        </w:rPr>
      </w:pPr>
      <w:r w:rsidRPr="0020428A">
        <w:rPr>
          <w:rFonts w:ascii="Times New Roman" w:hAnsi="Times New Roman" w:cs="Times New Roman"/>
        </w:rPr>
        <w:t>In light of these results, the venom of </w:t>
      </w:r>
      <w:proofErr w:type="spellStart"/>
      <w:r w:rsidRPr="0020428A">
        <w:rPr>
          <w:rFonts w:ascii="Times New Roman" w:hAnsi="Times New Roman" w:cs="Times New Roman"/>
          <w:i/>
          <w:iCs/>
        </w:rPr>
        <w:t>Hottentotta</w:t>
      </w:r>
      <w:proofErr w:type="spellEnd"/>
      <w:r w:rsidRPr="0020428A">
        <w:rPr>
          <w:rFonts w:ascii="Times New Roman" w:hAnsi="Times New Roman" w:cs="Times New Roman"/>
          <w:i/>
          <w:iCs/>
        </w:rPr>
        <w:t xml:space="preserve"> </w:t>
      </w:r>
      <w:proofErr w:type="spellStart"/>
      <w:r w:rsidRPr="0020428A">
        <w:rPr>
          <w:rFonts w:ascii="Times New Roman" w:hAnsi="Times New Roman" w:cs="Times New Roman"/>
          <w:i/>
          <w:iCs/>
        </w:rPr>
        <w:t>tamulus</w:t>
      </w:r>
      <w:proofErr w:type="spellEnd"/>
      <w:r w:rsidRPr="0020428A">
        <w:rPr>
          <w:rFonts w:ascii="Times New Roman" w:hAnsi="Times New Roman" w:cs="Times New Roman"/>
        </w:rPr>
        <w:t xml:space="preserve"> represents a highly promising reservoir for the discovery and development of new antimicrobial leads. The immediate future work should focus on the bioassay-guided fractionation of the crude venom to isolate and </w:t>
      </w:r>
      <w:r w:rsidR="0060072B" w:rsidRPr="00860979">
        <w:rPr>
          <w:rFonts w:ascii="Times New Roman" w:hAnsi="Times New Roman" w:cs="Times New Roman"/>
          <w:highlight w:val="yellow"/>
        </w:rPr>
        <w:t>characterise</w:t>
      </w:r>
      <w:r w:rsidR="0060072B" w:rsidRPr="0020428A">
        <w:rPr>
          <w:rFonts w:ascii="Times New Roman" w:hAnsi="Times New Roman" w:cs="Times New Roman"/>
        </w:rPr>
        <w:t xml:space="preserve"> </w:t>
      </w:r>
      <w:r w:rsidRPr="0020428A">
        <w:rPr>
          <w:rFonts w:ascii="Times New Roman" w:hAnsi="Times New Roman" w:cs="Times New Roman"/>
        </w:rPr>
        <w:t>the specific peptide(s) responsible for the observed activity. Subsequent studies must include detailed mechanistic investigations and rigorous assessment of cytotoxicity and </w:t>
      </w:r>
      <w:r w:rsidRPr="0020428A">
        <w:rPr>
          <w:rFonts w:ascii="Times New Roman" w:hAnsi="Times New Roman" w:cs="Times New Roman"/>
          <w:i/>
          <w:iCs/>
        </w:rPr>
        <w:t>in vivo</w:t>
      </w:r>
      <w:r w:rsidRPr="0020428A">
        <w:rPr>
          <w:rFonts w:ascii="Times New Roman" w:hAnsi="Times New Roman" w:cs="Times New Roman"/>
        </w:rPr>
        <w:t> efficacy to fully evaluate its therapeutic potential. This research underscores the value of exploring natural venoms in the urgent global effort to combat antimicrobial resistance.</w:t>
      </w:r>
    </w:p>
    <w:p w14:paraId="02F5C195" w14:textId="29102C2D" w:rsidR="00AE32D4" w:rsidRDefault="00AE32D4" w:rsidP="0020428A">
      <w:pPr>
        <w:spacing w:line="360" w:lineRule="auto"/>
        <w:jc w:val="both"/>
        <w:rPr>
          <w:rFonts w:ascii="Times New Roman" w:hAnsi="Times New Roman" w:cs="Times New Roman"/>
        </w:rPr>
      </w:pPr>
    </w:p>
    <w:p w14:paraId="56F49788" w14:textId="77777777" w:rsidR="00AE32D4" w:rsidRPr="00FE7640" w:rsidRDefault="00AE32D4" w:rsidP="00AE32D4">
      <w:pPr>
        <w:rPr>
          <w:rFonts w:ascii="Calibri" w:eastAsia="Calibri" w:hAnsi="Calibri" w:cs="Times New Roman"/>
          <w:highlight w:val="yellow"/>
          <w:lang w:val="en-US"/>
        </w:rPr>
      </w:pPr>
      <w:bookmarkStart w:id="0" w:name="_Hlk202259943"/>
      <w:r w:rsidRPr="00FE7640">
        <w:rPr>
          <w:rFonts w:ascii="Calibri" w:eastAsia="Calibri" w:hAnsi="Calibri" w:cs="Times New Roman"/>
          <w:highlight w:val="yellow"/>
          <w:lang w:val="en-US"/>
        </w:rPr>
        <w:lastRenderedPageBreak/>
        <w:t>Disclaimer (Artificial intelligence)</w:t>
      </w:r>
    </w:p>
    <w:p w14:paraId="0066277C"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 xml:space="preserve">Option 1: </w:t>
      </w:r>
    </w:p>
    <w:p w14:paraId="6A0562D0"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 xml:space="preserve">Author(s) hereby declare that NO generative AI technologies such as Large Language Models (ChatGPT, COPILOT, etc.) and text-to-image generators have been used during the writing or editing of this manuscript. </w:t>
      </w:r>
    </w:p>
    <w:p w14:paraId="6BACAA31"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 xml:space="preserve">Option 2: </w:t>
      </w:r>
    </w:p>
    <w:p w14:paraId="5A09FFDA"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4CA93752"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Details of the AI usage are given below:</w:t>
      </w:r>
    </w:p>
    <w:p w14:paraId="12BC1890"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1.</w:t>
      </w:r>
    </w:p>
    <w:p w14:paraId="550702A2" w14:textId="77777777" w:rsidR="00AE32D4" w:rsidRPr="00FE7640" w:rsidRDefault="00AE32D4" w:rsidP="00AE32D4">
      <w:pPr>
        <w:rPr>
          <w:rFonts w:ascii="Calibri" w:eastAsia="Calibri" w:hAnsi="Calibri" w:cs="Times New Roman"/>
          <w:highlight w:val="yellow"/>
          <w:lang w:val="en-US"/>
        </w:rPr>
      </w:pPr>
      <w:r w:rsidRPr="00FE7640">
        <w:rPr>
          <w:rFonts w:ascii="Calibri" w:eastAsia="Calibri" w:hAnsi="Calibri" w:cs="Times New Roman"/>
          <w:highlight w:val="yellow"/>
          <w:lang w:val="en-US"/>
        </w:rPr>
        <w:t>2.</w:t>
      </w:r>
    </w:p>
    <w:p w14:paraId="08FCF525" w14:textId="77777777" w:rsidR="00AE32D4" w:rsidRPr="00FE7640" w:rsidRDefault="00AE32D4" w:rsidP="00AE32D4">
      <w:pPr>
        <w:rPr>
          <w:rFonts w:ascii="Calibri" w:eastAsia="Calibri" w:hAnsi="Calibri" w:cs="Times New Roman"/>
          <w:lang w:val="en-US"/>
        </w:rPr>
      </w:pPr>
      <w:r w:rsidRPr="00FE7640">
        <w:rPr>
          <w:rFonts w:ascii="Calibri" w:eastAsia="Calibri" w:hAnsi="Calibri" w:cs="Times New Roman"/>
          <w:highlight w:val="yellow"/>
          <w:lang w:val="en-US"/>
        </w:rPr>
        <w:t>3.</w:t>
      </w:r>
    </w:p>
    <w:bookmarkEnd w:id="0"/>
    <w:p w14:paraId="6C7B72EB" w14:textId="77777777" w:rsidR="00AE32D4" w:rsidRDefault="00AE32D4" w:rsidP="0020428A">
      <w:pPr>
        <w:spacing w:line="360" w:lineRule="auto"/>
        <w:jc w:val="both"/>
        <w:rPr>
          <w:rFonts w:ascii="Times New Roman" w:hAnsi="Times New Roman" w:cs="Times New Roman"/>
        </w:rPr>
      </w:pPr>
    </w:p>
    <w:p w14:paraId="378A5D07" w14:textId="77777777" w:rsidR="00546CD7" w:rsidRDefault="00546CD7" w:rsidP="0020428A">
      <w:pPr>
        <w:spacing w:line="360" w:lineRule="auto"/>
        <w:jc w:val="both"/>
        <w:rPr>
          <w:rFonts w:ascii="Times New Roman" w:hAnsi="Times New Roman" w:cs="Times New Roman"/>
        </w:rPr>
      </w:pPr>
    </w:p>
    <w:p w14:paraId="19E2C020" w14:textId="3218BDF7" w:rsidR="00223769" w:rsidRPr="00922923" w:rsidRDefault="00FE267B" w:rsidP="00706990">
      <w:pPr>
        <w:spacing w:line="360" w:lineRule="auto"/>
        <w:jc w:val="both"/>
        <w:rPr>
          <w:rFonts w:ascii="Times New Roman" w:hAnsi="Times New Roman" w:cs="Times New Roman"/>
          <w:b/>
          <w:bCs/>
        </w:rPr>
      </w:pPr>
      <w:r>
        <w:rPr>
          <w:rFonts w:ascii="Times New Roman" w:hAnsi="Times New Roman" w:cs="Times New Roman"/>
          <w:b/>
          <w:bCs/>
        </w:rPr>
        <w:t xml:space="preserve">6. </w:t>
      </w:r>
      <w:r w:rsidR="00546CD7" w:rsidRPr="00546CD7">
        <w:rPr>
          <w:rFonts w:ascii="Times New Roman" w:hAnsi="Times New Roman" w:cs="Times New Roman"/>
          <w:b/>
          <w:bCs/>
        </w:rPr>
        <w:t>Reference</w:t>
      </w:r>
      <w:r w:rsidR="00546CD7">
        <w:rPr>
          <w:rFonts w:ascii="Times New Roman" w:hAnsi="Times New Roman" w:cs="Times New Roman"/>
          <w:b/>
          <w:bCs/>
        </w:rPr>
        <w:t>-</w:t>
      </w:r>
      <w:r w:rsidR="00546CD7" w:rsidRPr="00546CD7">
        <w:rPr>
          <w:rFonts w:ascii="Times New Roman" w:hAnsi="Times New Roman" w:cs="Times New Roman"/>
          <w:b/>
          <w:bCs/>
        </w:rPr>
        <w:t xml:space="preserve"> </w:t>
      </w:r>
    </w:p>
    <w:p w14:paraId="6A689F15" w14:textId="77777777" w:rsidR="00E37B5C" w:rsidRPr="0084422C" w:rsidRDefault="00223769"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fldChar w:fldCharType="begin"/>
      </w:r>
      <w:r w:rsidRPr="0084422C">
        <w:rPr>
          <w:rFonts w:ascii="Times New Roman" w:hAnsi="Times New Roman" w:cs="Times New Roman"/>
        </w:rPr>
        <w:instrText xml:space="preserve"> ADDIN EN.REFLIST </w:instrText>
      </w:r>
      <w:r w:rsidRPr="0084422C">
        <w:rPr>
          <w:rFonts w:ascii="Times New Roman" w:hAnsi="Times New Roman" w:cs="Times New Roman"/>
        </w:rPr>
        <w:fldChar w:fldCharType="separate"/>
      </w:r>
      <w:r w:rsidR="00E37B5C" w:rsidRPr="0084422C">
        <w:rPr>
          <w:rFonts w:ascii="Times New Roman" w:hAnsi="Times New Roman" w:cs="Times New Roman"/>
        </w:rPr>
        <w:t>Almaaytah, A., &amp; Albalas, Q. J. P. (2014). Scorpion venom peptides with no disulfide bridges: a review.</w:t>
      </w:r>
      <w:r w:rsidR="00E37B5C" w:rsidRPr="0084422C">
        <w:rPr>
          <w:rFonts w:ascii="Times New Roman" w:hAnsi="Times New Roman" w:cs="Times New Roman"/>
          <w:i/>
        </w:rPr>
        <w:t xml:space="preserve"> 51</w:t>
      </w:r>
      <w:r w:rsidR="00E37B5C" w:rsidRPr="0084422C">
        <w:rPr>
          <w:rFonts w:ascii="Times New Roman" w:hAnsi="Times New Roman" w:cs="Times New Roman"/>
        </w:rPr>
        <w:t xml:space="preserve">, 35-45. </w:t>
      </w:r>
    </w:p>
    <w:p w14:paraId="7B53D635"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Andreis, S., Basso, M., Scaggiante, R., Cruciani, M., Ferretto, R., Manfrin, V., . . . Boldrin, C. J. J. o. g. a. r. (2017). Drug resistance in B and non-B subtypes amongst subjects recently diagnosed as primary/recent or chronic HIV-infected over the period 2013–2016: impact on susceptibility to first-line strategies including integrase strand-transfer inhibitors.</w:t>
      </w:r>
      <w:r w:rsidRPr="0084422C">
        <w:rPr>
          <w:rFonts w:ascii="Times New Roman" w:hAnsi="Times New Roman" w:cs="Times New Roman"/>
          <w:i/>
        </w:rPr>
        <w:t xml:space="preserve"> 10</w:t>
      </w:r>
      <w:r w:rsidRPr="0084422C">
        <w:rPr>
          <w:rFonts w:ascii="Times New Roman" w:hAnsi="Times New Roman" w:cs="Times New Roman"/>
        </w:rPr>
        <w:t xml:space="preserve">, 106-112. </w:t>
      </w:r>
    </w:p>
    <w:p w14:paraId="4B0DE919"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Diego-García, E., Batista, C. V., García-Gómez, B. I., Lucas, S., Candido, D. M., Gómez-Lagunas, F., &amp; Possani, L. D. J. T. (2005). The Brazilian scorpion Tityus costatus Karsch: genes, peptides and function.</w:t>
      </w:r>
      <w:r w:rsidRPr="0084422C">
        <w:rPr>
          <w:rFonts w:ascii="Times New Roman" w:hAnsi="Times New Roman" w:cs="Times New Roman"/>
          <w:i/>
        </w:rPr>
        <w:t xml:space="preserve"> 45</w:t>
      </w:r>
      <w:r w:rsidRPr="0084422C">
        <w:rPr>
          <w:rFonts w:ascii="Times New Roman" w:hAnsi="Times New Roman" w:cs="Times New Roman"/>
        </w:rPr>
        <w:t xml:space="preserve">(3), 273-283. </w:t>
      </w:r>
    </w:p>
    <w:p w14:paraId="045A7095"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Harrison, P. L., Abdel-Rahman, M. A., Miller, K., &amp; Strong, P. N. J. T. (2014). Antimicrobial peptides from scorpion venoms.</w:t>
      </w:r>
      <w:r w:rsidRPr="0084422C">
        <w:rPr>
          <w:rFonts w:ascii="Times New Roman" w:hAnsi="Times New Roman" w:cs="Times New Roman"/>
          <w:i/>
        </w:rPr>
        <w:t xml:space="preserve"> 88</w:t>
      </w:r>
      <w:r w:rsidRPr="0084422C">
        <w:rPr>
          <w:rFonts w:ascii="Times New Roman" w:hAnsi="Times New Roman" w:cs="Times New Roman"/>
        </w:rPr>
        <w:t xml:space="preserve">, 115-137. </w:t>
      </w:r>
    </w:p>
    <w:p w14:paraId="6A2380C5"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King, G. F. J. E. o. o. b. t. (2011). Venoms as a platform for human drugs: translating toxins into therapeutics.</w:t>
      </w:r>
      <w:r w:rsidRPr="0084422C">
        <w:rPr>
          <w:rFonts w:ascii="Times New Roman" w:hAnsi="Times New Roman" w:cs="Times New Roman"/>
          <w:i/>
        </w:rPr>
        <w:t xml:space="preserve"> 11</w:t>
      </w:r>
      <w:r w:rsidRPr="0084422C">
        <w:rPr>
          <w:rFonts w:ascii="Times New Roman" w:hAnsi="Times New Roman" w:cs="Times New Roman"/>
        </w:rPr>
        <w:t xml:space="preserve">(11), 1469-1484. </w:t>
      </w:r>
    </w:p>
    <w:p w14:paraId="78FEF2F3"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 xml:space="preserve">Organization, W. H. (2017). WHO publishes list of bacteria for which new antibiotics are urgently needed. </w:t>
      </w:r>
    </w:p>
    <w:p w14:paraId="17D2EDF3"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 xml:space="preserve">Organization, W. H. (2022). </w:t>
      </w:r>
      <w:r w:rsidRPr="0084422C">
        <w:rPr>
          <w:rFonts w:ascii="Times New Roman" w:hAnsi="Times New Roman" w:cs="Times New Roman"/>
          <w:i/>
        </w:rPr>
        <w:t>Training on GLASS methodology for national surveillance of antimicrobial consumption</w:t>
      </w:r>
      <w:r w:rsidRPr="0084422C">
        <w:rPr>
          <w:rFonts w:ascii="Times New Roman" w:hAnsi="Times New Roman" w:cs="Times New Roman"/>
        </w:rPr>
        <w:t>: World Health Organization.</w:t>
      </w:r>
    </w:p>
    <w:p w14:paraId="26DCFA96"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Pennington, M. W., Czerwinski, A., Norton, R. S. J. B., &amp; chemistry, m. (2018). Peptide therapeutics from venom: Current status and potential.</w:t>
      </w:r>
      <w:r w:rsidRPr="0084422C">
        <w:rPr>
          <w:rFonts w:ascii="Times New Roman" w:hAnsi="Times New Roman" w:cs="Times New Roman"/>
          <w:i/>
        </w:rPr>
        <w:t xml:space="preserve"> 26</w:t>
      </w:r>
      <w:r w:rsidRPr="0084422C">
        <w:rPr>
          <w:rFonts w:ascii="Times New Roman" w:hAnsi="Times New Roman" w:cs="Times New Roman"/>
        </w:rPr>
        <w:t xml:space="preserve">(10), 2738-2758. </w:t>
      </w:r>
    </w:p>
    <w:p w14:paraId="2A91416B"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lastRenderedPageBreak/>
        <w:t>Srinivasan, K. N., Sivaraja, V., Huys, I., Sasaki, T., Cheng, B., Kumar, T. K. S., . . . San, B. C. C. J. J. o. B. C. (2002). κ-hefutoxin1, a novel toxin from the scorpionheterometrus fulvipes with unique structure and function: importance of the functional diad in potassium channel selectivity.</w:t>
      </w:r>
      <w:r w:rsidRPr="0084422C">
        <w:rPr>
          <w:rFonts w:ascii="Times New Roman" w:hAnsi="Times New Roman" w:cs="Times New Roman"/>
          <w:i/>
        </w:rPr>
        <w:t xml:space="preserve"> 277</w:t>
      </w:r>
      <w:r w:rsidRPr="0084422C">
        <w:rPr>
          <w:rFonts w:ascii="Times New Roman" w:hAnsi="Times New Roman" w:cs="Times New Roman"/>
        </w:rPr>
        <w:t xml:space="preserve">(33), 30040-30047. </w:t>
      </w:r>
    </w:p>
    <w:p w14:paraId="69C4E9C9"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Utkin, Y. N. J. W. j. o. b. c. (2015). Animal venom studies: Current benefits and future developments.</w:t>
      </w:r>
      <w:r w:rsidRPr="0084422C">
        <w:rPr>
          <w:rFonts w:ascii="Times New Roman" w:hAnsi="Times New Roman" w:cs="Times New Roman"/>
          <w:i/>
        </w:rPr>
        <w:t xml:space="preserve"> 6</w:t>
      </w:r>
      <w:r w:rsidRPr="0084422C">
        <w:rPr>
          <w:rFonts w:ascii="Times New Roman" w:hAnsi="Times New Roman" w:cs="Times New Roman"/>
        </w:rPr>
        <w:t xml:space="preserve">(2), 28. </w:t>
      </w:r>
    </w:p>
    <w:p w14:paraId="21BD5E9B"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Ventola, C. L. J. P., &amp; therapeutics. (2015). The antibiotic resistance crisis: part 1: causes and threats.</w:t>
      </w:r>
      <w:r w:rsidRPr="0084422C">
        <w:rPr>
          <w:rFonts w:ascii="Times New Roman" w:hAnsi="Times New Roman" w:cs="Times New Roman"/>
          <w:i/>
        </w:rPr>
        <w:t xml:space="preserve"> 40</w:t>
      </w:r>
      <w:r w:rsidRPr="0084422C">
        <w:rPr>
          <w:rFonts w:ascii="Times New Roman" w:hAnsi="Times New Roman" w:cs="Times New Roman"/>
        </w:rPr>
        <w:t xml:space="preserve">(4), 277. </w:t>
      </w:r>
    </w:p>
    <w:p w14:paraId="0F03E5CC"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Zasloff, M. J. n. (2002). Antimicrobial peptides of multicellular organisms.</w:t>
      </w:r>
      <w:r w:rsidRPr="0084422C">
        <w:rPr>
          <w:rFonts w:ascii="Times New Roman" w:hAnsi="Times New Roman" w:cs="Times New Roman"/>
          <w:i/>
        </w:rPr>
        <w:t xml:space="preserve"> 415</w:t>
      </w:r>
      <w:r w:rsidRPr="0084422C">
        <w:rPr>
          <w:rFonts w:ascii="Times New Roman" w:hAnsi="Times New Roman" w:cs="Times New Roman"/>
        </w:rPr>
        <w:t xml:space="preserve">(6870), 389-395. </w:t>
      </w:r>
    </w:p>
    <w:p w14:paraId="6BB4C49A" w14:textId="77777777" w:rsidR="00E37B5C" w:rsidRPr="0084422C" w:rsidRDefault="00E37B5C" w:rsidP="00E37B5C">
      <w:pPr>
        <w:pStyle w:val="EndNoteBibliography"/>
        <w:ind w:left="720" w:hanging="720"/>
        <w:rPr>
          <w:rFonts w:ascii="Times New Roman" w:hAnsi="Times New Roman" w:cs="Times New Roman"/>
        </w:rPr>
      </w:pPr>
      <w:r w:rsidRPr="0084422C">
        <w:rPr>
          <w:rFonts w:ascii="Times New Roman" w:hAnsi="Times New Roman" w:cs="Times New Roman"/>
        </w:rPr>
        <w:t>Zeng, X. C., Corzo, G., &amp; Hahin, R. J. I. l. (2005). Scorpion venom peptides without disulfide bridges.</w:t>
      </w:r>
      <w:r w:rsidRPr="0084422C">
        <w:rPr>
          <w:rFonts w:ascii="Times New Roman" w:hAnsi="Times New Roman" w:cs="Times New Roman"/>
          <w:i/>
        </w:rPr>
        <w:t xml:space="preserve"> 57</w:t>
      </w:r>
      <w:r w:rsidRPr="0084422C">
        <w:rPr>
          <w:rFonts w:ascii="Times New Roman" w:hAnsi="Times New Roman" w:cs="Times New Roman"/>
        </w:rPr>
        <w:t xml:space="preserve">(1), 13-21. </w:t>
      </w:r>
    </w:p>
    <w:p w14:paraId="4CD0B285" w14:textId="1FDA78BB" w:rsidR="00B33F98" w:rsidRDefault="00223769" w:rsidP="00706990">
      <w:pPr>
        <w:spacing w:line="360" w:lineRule="auto"/>
        <w:jc w:val="both"/>
        <w:rPr>
          <w:rFonts w:ascii="Times New Roman" w:hAnsi="Times New Roman" w:cs="Times New Roman"/>
        </w:rPr>
      </w:pPr>
      <w:r w:rsidRPr="0084422C">
        <w:rPr>
          <w:rFonts w:ascii="Times New Roman" w:hAnsi="Times New Roman" w:cs="Times New Roman"/>
        </w:rPr>
        <w:fldChar w:fldCharType="end"/>
      </w:r>
      <w:r w:rsidR="007F128E" w:rsidRPr="00860979">
        <w:rPr>
          <w:rFonts w:ascii="Times New Roman" w:hAnsi="Times New Roman" w:cs="Times New Roman"/>
          <w:highlight w:val="yellow"/>
        </w:rPr>
        <w:t>Miftah, S. M. M. N., Al-</w:t>
      </w:r>
      <w:proofErr w:type="spellStart"/>
      <w:r w:rsidR="007F128E" w:rsidRPr="00860979">
        <w:rPr>
          <w:rFonts w:ascii="Times New Roman" w:hAnsi="Times New Roman" w:cs="Times New Roman"/>
          <w:highlight w:val="yellow"/>
        </w:rPr>
        <w:t>Awkally</w:t>
      </w:r>
      <w:proofErr w:type="spellEnd"/>
      <w:r w:rsidR="007F128E" w:rsidRPr="00860979">
        <w:rPr>
          <w:rFonts w:ascii="Times New Roman" w:hAnsi="Times New Roman" w:cs="Times New Roman"/>
          <w:highlight w:val="yellow"/>
        </w:rPr>
        <w:t xml:space="preserve">, N.-A. M., Abouserwel, A., </w:t>
      </w:r>
      <w:proofErr w:type="spellStart"/>
      <w:r w:rsidR="007F128E" w:rsidRPr="00860979">
        <w:rPr>
          <w:rFonts w:ascii="Times New Roman" w:hAnsi="Times New Roman" w:cs="Times New Roman"/>
          <w:highlight w:val="yellow"/>
        </w:rPr>
        <w:t>Senossi</w:t>
      </w:r>
      <w:proofErr w:type="spellEnd"/>
      <w:r w:rsidR="007F128E" w:rsidRPr="00860979">
        <w:rPr>
          <w:rFonts w:ascii="Times New Roman" w:hAnsi="Times New Roman" w:cs="Times New Roman"/>
          <w:highlight w:val="yellow"/>
        </w:rPr>
        <w:t>, F. M., El-Warred, S., &amp; Ali, M. A. D. (2023). Antimicrobial resistance profile of different clinical isolates against Augmentin, Imipenem and Ceftriaxone. Journal of Pharmaceutical Research International, 35(19), 28–38.</w:t>
      </w:r>
      <w:r w:rsidR="007F128E">
        <w:rPr>
          <w:rFonts w:ascii="Times New Roman" w:hAnsi="Times New Roman" w:cs="Times New Roman"/>
        </w:rPr>
        <w:t xml:space="preserve">  </w:t>
      </w:r>
    </w:p>
    <w:p w14:paraId="1923A625" w14:textId="47F2B3BA" w:rsidR="007F128E" w:rsidRPr="0084422C" w:rsidRDefault="007F128E" w:rsidP="00706990">
      <w:pPr>
        <w:spacing w:line="360" w:lineRule="auto"/>
        <w:jc w:val="both"/>
        <w:rPr>
          <w:rFonts w:ascii="Times New Roman" w:hAnsi="Times New Roman" w:cs="Times New Roman"/>
        </w:rPr>
      </w:pPr>
      <w:r w:rsidRPr="00860979">
        <w:rPr>
          <w:rFonts w:ascii="Times New Roman" w:hAnsi="Times New Roman" w:cs="Times New Roman"/>
          <w:highlight w:val="yellow"/>
        </w:rPr>
        <w:t xml:space="preserve">Suraweera, N., </w:t>
      </w:r>
      <w:proofErr w:type="spellStart"/>
      <w:r w:rsidRPr="00860979">
        <w:rPr>
          <w:rFonts w:ascii="Times New Roman" w:hAnsi="Times New Roman" w:cs="Times New Roman"/>
          <w:highlight w:val="yellow"/>
        </w:rPr>
        <w:t>Thurairaja</w:t>
      </w:r>
      <w:proofErr w:type="spellEnd"/>
      <w:r w:rsidRPr="00860979">
        <w:rPr>
          <w:rFonts w:ascii="Times New Roman" w:hAnsi="Times New Roman" w:cs="Times New Roman"/>
          <w:highlight w:val="yellow"/>
        </w:rPr>
        <w:t xml:space="preserve">, R., Geerthana, G., </w:t>
      </w:r>
      <w:proofErr w:type="spellStart"/>
      <w:r w:rsidRPr="00860979">
        <w:rPr>
          <w:rFonts w:ascii="Times New Roman" w:hAnsi="Times New Roman" w:cs="Times New Roman"/>
          <w:highlight w:val="yellow"/>
        </w:rPr>
        <w:t>Navodanie</w:t>
      </w:r>
      <w:proofErr w:type="spellEnd"/>
      <w:r w:rsidRPr="00860979">
        <w:rPr>
          <w:rFonts w:ascii="Times New Roman" w:hAnsi="Times New Roman" w:cs="Times New Roman"/>
          <w:highlight w:val="yellow"/>
        </w:rPr>
        <w:t xml:space="preserve">, M. R. U. N., &amp; Dayasiri, K. (2025). Severe envenomation by </w:t>
      </w:r>
      <w:proofErr w:type="spellStart"/>
      <w:r w:rsidRPr="00860979">
        <w:rPr>
          <w:rFonts w:ascii="Times New Roman" w:hAnsi="Times New Roman" w:cs="Times New Roman"/>
          <w:highlight w:val="yellow"/>
        </w:rPr>
        <w:t>Hottentotta</w:t>
      </w:r>
      <w:proofErr w:type="spellEnd"/>
      <w:r w:rsidRPr="00860979">
        <w:rPr>
          <w:rFonts w:ascii="Times New Roman" w:hAnsi="Times New Roman" w:cs="Times New Roman"/>
          <w:highlight w:val="yellow"/>
        </w:rPr>
        <w:t xml:space="preserve"> </w:t>
      </w:r>
      <w:proofErr w:type="spellStart"/>
      <w:r w:rsidRPr="00860979">
        <w:rPr>
          <w:rFonts w:ascii="Times New Roman" w:hAnsi="Times New Roman" w:cs="Times New Roman"/>
          <w:highlight w:val="yellow"/>
        </w:rPr>
        <w:t>tamulus</w:t>
      </w:r>
      <w:proofErr w:type="spellEnd"/>
      <w:r w:rsidRPr="00860979">
        <w:rPr>
          <w:rFonts w:ascii="Times New Roman" w:hAnsi="Times New Roman" w:cs="Times New Roman"/>
          <w:highlight w:val="yellow"/>
        </w:rPr>
        <w:t xml:space="preserve"> (white scorpion) presenting with cardiogenic shock. Sri Lanka Journal of Child Health, 54(3).</w:t>
      </w:r>
      <w:r>
        <w:rPr>
          <w:rFonts w:ascii="Times New Roman" w:hAnsi="Times New Roman" w:cs="Times New Roman"/>
        </w:rPr>
        <w:t xml:space="preserve">  </w:t>
      </w:r>
    </w:p>
    <w:sectPr w:rsidR="007F128E" w:rsidRPr="0084422C">
      <w:headerReference w:type="even" r:id="rId17"/>
      <w:headerReference w:type="default" r:id="rId18"/>
      <w:footerReference w:type="even" r:id="rId19"/>
      <w:footerReference w:type="default" r:id="rId20"/>
      <w:headerReference w:type="first" r:id="rId21"/>
      <w:footerReference w:type="firs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3965E2" w14:textId="77777777" w:rsidR="00721BE0" w:rsidRDefault="00721BE0" w:rsidP="00BA0654">
      <w:pPr>
        <w:spacing w:after="0" w:line="240" w:lineRule="auto"/>
      </w:pPr>
      <w:r>
        <w:separator/>
      </w:r>
    </w:p>
  </w:endnote>
  <w:endnote w:type="continuationSeparator" w:id="0">
    <w:p w14:paraId="70733188" w14:textId="77777777" w:rsidR="00721BE0" w:rsidRDefault="00721BE0" w:rsidP="00BA06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77E3A" w14:textId="77777777" w:rsidR="00BA0654" w:rsidRDefault="00BA06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784C3" w14:textId="77777777" w:rsidR="00BA0654" w:rsidRDefault="00BA06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A9365" w14:textId="77777777" w:rsidR="00BA0654" w:rsidRDefault="00BA06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4CBD5A" w14:textId="77777777" w:rsidR="00721BE0" w:rsidRDefault="00721BE0" w:rsidP="00BA0654">
      <w:pPr>
        <w:spacing w:after="0" w:line="240" w:lineRule="auto"/>
      </w:pPr>
      <w:r>
        <w:separator/>
      </w:r>
    </w:p>
  </w:footnote>
  <w:footnote w:type="continuationSeparator" w:id="0">
    <w:p w14:paraId="4D4F60DB" w14:textId="77777777" w:rsidR="00721BE0" w:rsidRDefault="00721BE0" w:rsidP="00BA06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8C934" w14:textId="6035ADC5" w:rsidR="00BA0654" w:rsidRDefault="00000000">
    <w:pPr>
      <w:pStyle w:val="Header"/>
    </w:pPr>
    <w:r>
      <w:rPr>
        <w:noProof/>
      </w:rPr>
      <w:pict w14:anchorId="642AF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11241016"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E41D6" w14:textId="57C5E0C6" w:rsidR="00BA0654" w:rsidRDefault="00000000">
    <w:pPr>
      <w:pStyle w:val="Header"/>
    </w:pPr>
    <w:r>
      <w:rPr>
        <w:noProof/>
      </w:rPr>
      <w:pict w14:anchorId="769BF2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11241017"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2A1D4" w14:textId="0608EBA8" w:rsidR="00BA0654" w:rsidRDefault="00000000">
    <w:pPr>
      <w:pStyle w:val="Header"/>
    </w:pPr>
    <w:r>
      <w:rPr>
        <w:noProof/>
      </w:rPr>
      <w:pict w14:anchorId="01466E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11241015"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E0454"/>
    <w:multiLevelType w:val="multilevel"/>
    <w:tmpl w:val="51268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D344B2"/>
    <w:multiLevelType w:val="multilevel"/>
    <w:tmpl w:val="5436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6C7ECB"/>
    <w:multiLevelType w:val="multilevel"/>
    <w:tmpl w:val="E9C6E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6410F1"/>
    <w:multiLevelType w:val="multilevel"/>
    <w:tmpl w:val="1B481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7E18D9"/>
    <w:multiLevelType w:val="multilevel"/>
    <w:tmpl w:val="D25486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F1E7B8D"/>
    <w:multiLevelType w:val="multilevel"/>
    <w:tmpl w:val="57748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20F0104"/>
    <w:multiLevelType w:val="multilevel"/>
    <w:tmpl w:val="28F49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2A60D26"/>
    <w:multiLevelType w:val="multilevel"/>
    <w:tmpl w:val="3294B6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3D63636"/>
    <w:multiLevelType w:val="multilevel"/>
    <w:tmpl w:val="EA66F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E5F5505"/>
    <w:multiLevelType w:val="multilevel"/>
    <w:tmpl w:val="B7500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F36104F"/>
    <w:multiLevelType w:val="multilevel"/>
    <w:tmpl w:val="D34E0E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593129644">
    <w:abstractNumId w:val="10"/>
  </w:num>
  <w:num w:numId="2" w16cid:durableId="2124225003">
    <w:abstractNumId w:val="9"/>
  </w:num>
  <w:num w:numId="3" w16cid:durableId="2114544000">
    <w:abstractNumId w:val="8"/>
  </w:num>
  <w:num w:numId="4" w16cid:durableId="1774666954">
    <w:abstractNumId w:val="2"/>
  </w:num>
  <w:num w:numId="5" w16cid:durableId="25717451">
    <w:abstractNumId w:val="1"/>
  </w:num>
  <w:num w:numId="6" w16cid:durableId="478302869">
    <w:abstractNumId w:val="7"/>
  </w:num>
  <w:num w:numId="7" w16cid:durableId="1848981744">
    <w:abstractNumId w:val="0"/>
  </w:num>
  <w:num w:numId="8" w16cid:durableId="1854226799">
    <w:abstractNumId w:val="3"/>
  </w:num>
  <w:num w:numId="9" w16cid:durableId="456023323">
    <w:abstractNumId w:val="4"/>
  </w:num>
  <w:num w:numId="10" w16cid:durableId="13457326">
    <w:abstractNumId w:val="5"/>
  </w:num>
  <w:num w:numId="11" w16cid:durableId="18765742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EzNTYyMbI0M7cwMDFV0lEKTi0uzszPAykwqgUAGFD4qCwAAAA="/>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t5vv2xcs952weexe6vxetfp0e05xefxvdv&quot;&gt;My EndNote Library&lt;record-ids&gt;&lt;item&gt;348&lt;/item&gt;&lt;item&gt;349&lt;/item&gt;&lt;item&gt;350&lt;/item&gt;&lt;item&gt;351&lt;/item&gt;&lt;item&gt;352&lt;/item&gt;&lt;item&gt;353&lt;/item&gt;&lt;item&gt;354&lt;/item&gt;&lt;item&gt;355&lt;/item&gt;&lt;item&gt;356&lt;/item&gt;&lt;item&gt;357&lt;/item&gt;&lt;item&gt;358&lt;/item&gt;&lt;item&gt;359&lt;/item&gt;&lt;item&gt;360&lt;/item&gt;&lt;/record-ids&gt;&lt;/item&gt;&lt;/Libraries&gt;"/>
  </w:docVars>
  <w:rsids>
    <w:rsidRoot w:val="00B33F98"/>
    <w:rsid w:val="00024FEC"/>
    <w:rsid w:val="00035F97"/>
    <w:rsid w:val="00054DBD"/>
    <w:rsid w:val="00071855"/>
    <w:rsid w:val="000857EA"/>
    <w:rsid w:val="000A1EE2"/>
    <w:rsid w:val="000A6CC2"/>
    <w:rsid w:val="000E7420"/>
    <w:rsid w:val="001109CC"/>
    <w:rsid w:val="00183BF5"/>
    <w:rsid w:val="001D2E69"/>
    <w:rsid w:val="001D4464"/>
    <w:rsid w:val="001E663C"/>
    <w:rsid w:val="00200C05"/>
    <w:rsid w:val="0020428A"/>
    <w:rsid w:val="0021471E"/>
    <w:rsid w:val="00223769"/>
    <w:rsid w:val="002525A1"/>
    <w:rsid w:val="002872C2"/>
    <w:rsid w:val="002C5296"/>
    <w:rsid w:val="002D3E59"/>
    <w:rsid w:val="00300897"/>
    <w:rsid w:val="003075E3"/>
    <w:rsid w:val="0032154D"/>
    <w:rsid w:val="00366DF4"/>
    <w:rsid w:val="003A57F5"/>
    <w:rsid w:val="003A7E62"/>
    <w:rsid w:val="003C2F1B"/>
    <w:rsid w:val="003D1869"/>
    <w:rsid w:val="003D4D5F"/>
    <w:rsid w:val="003F137E"/>
    <w:rsid w:val="003F44C2"/>
    <w:rsid w:val="004043F1"/>
    <w:rsid w:val="00411DEA"/>
    <w:rsid w:val="004149C9"/>
    <w:rsid w:val="0045555F"/>
    <w:rsid w:val="00497104"/>
    <w:rsid w:val="00520212"/>
    <w:rsid w:val="005202BA"/>
    <w:rsid w:val="00522F94"/>
    <w:rsid w:val="0054333F"/>
    <w:rsid w:val="00546CD7"/>
    <w:rsid w:val="00571E74"/>
    <w:rsid w:val="00584FCB"/>
    <w:rsid w:val="00586254"/>
    <w:rsid w:val="00586E36"/>
    <w:rsid w:val="00586F27"/>
    <w:rsid w:val="005873F5"/>
    <w:rsid w:val="005A098A"/>
    <w:rsid w:val="005A6EF0"/>
    <w:rsid w:val="005C0DE4"/>
    <w:rsid w:val="005D413E"/>
    <w:rsid w:val="005E2CCA"/>
    <w:rsid w:val="005E3CD6"/>
    <w:rsid w:val="005F66DC"/>
    <w:rsid w:val="0060072B"/>
    <w:rsid w:val="006A0EDC"/>
    <w:rsid w:val="006C7176"/>
    <w:rsid w:val="006E630B"/>
    <w:rsid w:val="006E6C57"/>
    <w:rsid w:val="006F509D"/>
    <w:rsid w:val="00706990"/>
    <w:rsid w:val="007171F3"/>
    <w:rsid w:val="00721BE0"/>
    <w:rsid w:val="00725D44"/>
    <w:rsid w:val="00780AAB"/>
    <w:rsid w:val="007A0463"/>
    <w:rsid w:val="007B1014"/>
    <w:rsid w:val="007D13A5"/>
    <w:rsid w:val="007F128E"/>
    <w:rsid w:val="00824F32"/>
    <w:rsid w:val="00826A72"/>
    <w:rsid w:val="008424F5"/>
    <w:rsid w:val="0084422C"/>
    <w:rsid w:val="008523A4"/>
    <w:rsid w:val="00860979"/>
    <w:rsid w:val="0089299C"/>
    <w:rsid w:val="00894297"/>
    <w:rsid w:val="008A1997"/>
    <w:rsid w:val="008B7598"/>
    <w:rsid w:val="008C18DB"/>
    <w:rsid w:val="008D5184"/>
    <w:rsid w:val="008F34D7"/>
    <w:rsid w:val="009129B2"/>
    <w:rsid w:val="00922923"/>
    <w:rsid w:val="009343C2"/>
    <w:rsid w:val="00950EFF"/>
    <w:rsid w:val="0095393D"/>
    <w:rsid w:val="00962D95"/>
    <w:rsid w:val="0097328C"/>
    <w:rsid w:val="009768E4"/>
    <w:rsid w:val="00990CB2"/>
    <w:rsid w:val="009A5236"/>
    <w:rsid w:val="009B2611"/>
    <w:rsid w:val="009D2A85"/>
    <w:rsid w:val="009D7F39"/>
    <w:rsid w:val="009E1CEB"/>
    <w:rsid w:val="009E78A0"/>
    <w:rsid w:val="009F2A77"/>
    <w:rsid w:val="00A2726B"/>
    <w:rsid w:val="00A35C04"/>
    <w:rsid w:val="00A46001"/>
    <w:rsid w:val="00A86218"/>
    <w:rsid w:val="00AA1BA3"/>
    <w:rsid w:val="00AC6EFB"/>
    <w:rsid w:val="00AE32D4"/>
    <w:rsid w:val="00B104D0"/>
    <w:rsid w:val="00B33F98"/>
    <w:rsid w:val="00B428F4"/>
    <w:rsid w:val="00B429EE"/>
    <w:rsid w:val="00B46D24"/>
    <w:rsid w:val="00B70D5D"/>
    <w:rsid w:val="00B96128"/>
    <w:rsid w:val="00BA0654"/>
    <w:rsid w:val="00BA60E6"/>
    <w:rsid w:val="00BC0CDF"/>
    <w:rsid w:val="00BC22DF"/>
    <w:rsid w:val="00BD23D5"/>
    <w:rsid w:val="00BD2CB0"/>
    <w:rsid w:val="00C07B89"/>
    <w:rsid w:val="00C617FE"/>
    <w:rsid w:val="00C804C4"/>
    <w:rsid w:val="00C8529B"/>
    <w:rsid w:val="00CB72C2"/>
    <w:rsid w:val="00CC43F1"/>
    <w:rsid w:val="00CF714F"/>
    <w:rsid w:val="00D116B0"/>
    <w:rsid w:val="00D30F84"/>
    <w:rsid w:val="00D5362E"/>
    <w:rsid w:val="00D90339"/>
    <w:rsid w:val="00D914A9"/>
    <w:rsid w:val="00D93B04"/>
    <w:rsid w:val="00E01632"/>
    <w:rsid w:val="00E07FA9"/>
    <w:rsid w:val="00E109AC"/>
    <w:rsid w:val="00E21B83"/>
    <w:rsid w:val="00E37B5C"/>
    <w:rsid w:val="00E66E50"/>
    <w:rsid w:val="00E9665D"/>
    <w:rsid w:val="00EC0B72"/>
    <w:rsid w:val="00EC3FDE"/>
    <w:rsid w:val="00EE3780"/>
    <w:rsid w:val="00F275F4"/>
    <w:rsid w:val="00F941AF"/>
    <w:rsid w:val="00FC0257"/>
    <w:rsid w:val="00FD708F"/>
    <w:rsid w:val="00FE267B"/>
    <w:rsid w:val="00FE6B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F0B834"/>
  <w15:chartTrackingRefBased/>
  <w15:docId w15:val="{F4BFDBB3-9CBF-4A38-A526-1ACE9874A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3F98"/>
  </w:style>
  <w:style w:type="paragraph" w:styleId="Heading1">
    <w:name w:val="heading 1"/>
    <w:basedOn w:val="Normal"/>
    <w:next w:val="Normal"/>
    <w:link w:val="Heading1Char"/>
    <w:uiPriority w:val="9"/>
    <w:qFormat/>
    <w:rsid w:val="00B33F9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33F9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33F9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33F9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33F9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33F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33F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33F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33F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3F9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33F9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33F9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33F9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33F9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33F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33F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33F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33F98"/>
    <w:rPr>
      <w:rFonts w:eastAsiaTheme="majorEastAsia" w:cstheme="majorBidi"/>
      <w:color w:val="272727" w:themeColor="text1" w:themeTint="D8"/>
    </w:rPr>
  </w:style>
  <w:style w:type="paragraph" w:styleId="Title">
    <w:name w:val="Title"/>
    <w:basedOn w:val="Normal"/>
    <w:next w:val="Normal"/>
    <w:link w:val="TitleChar"/>
    <w:uiPriority w:val="10"/>
    <w:qFormat/>
    <w:rsid w:val="00B33F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3F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33F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33F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33F98"/>
    <w:pPr>
      <w:spacing w:before="160"/>
      <w:jc w:val="center"/>
    </w:pPr>
    <w:rPr>
      <w:i/>
      <w:iCs/>
      <w:color w:val="404040" w:themeColor="text1" w:themeTint="BF"/>
    </w:rPr>
  </w:style>
  <w:style w:type="character" w:customStyle="1" w:styleId="QuoteChar">
    <w:name w:val="Quote Char"/>
    <w:basedOn w:val="DefaultParagraphFont"/>
    <w:link w:val="Quote"/>
    <w:uiPriority w:val="29"/>
    <w:rsid w:val="00B33F98"/>
    <w:rPr>
      <w:i/>
      <w:iCs/>
      <w:color w:val="404040" w:themeColor="text1" w:themeTint="BF"/>
    </w:rPr>
  </w:style>
  <w:style w:type="paragraph" w:styleId="ListParagraph">
    <w:name w:val="List Paragraph"/>
    <w:basedOn w:val="Normal"/>
    <w:uiPriority w:val="34"/>
    <w:qFormat/>
    <w:rsid w:val="00B33F98"/>
    <w:pPr>
      <w:ind w:left="720"/>
      <w:contextualSpacing/>
    </w:pPr>
  </w:style>
  <w:style w:type="character" w:styleId="IntenseEmphasis">
    <w:name w:val="Intense Emphasis"/>
    <w:basedOn w:val="DefaultParagraphFont"/>
    <w:uiPriority w:val="21"/>
    <w:qFormat/>
    <w:rsid w:val="00B33F98"/>
    <w:rPr>
      <w:i/>
      <w:iCs/>
      <w:color w:val="2F5496" w:themeColor="accent1" w:themeShade="BF"/>
    </w:rPr>
  </w:style>
  <w:style w:type="paragraph" w:styleId="IntenseQuote">
    <w:name w:val="Intense Quote"/>
    <w:basedOn w:val="Normal"/>
    <w:next w:val="Normal"/>
    <w:link w:val="IntenseQuoteChar"/>
    <w:uiPriority w:val="30"/>
    <w:qFormat/>
    <w:rsid w:val="00B33F9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33F98"/>
    <w:rPr>
      <w:i/>
      <w:iCs/>
      <w:color w:val="2F5496" w:themeColor="accent1" w:themeShade="BF"/>
    </w:rPr>
  </w:style>
  <w:style w:type="character" w:styleId="IntenseReference">
    <w:name w:val="Intense Reference"/>
    <w:basedOn w:val="DefaultParagraphFont"/>
    <w:uiPriority w:val="32"/>
    <w:qFormat/>
    <w:rsid w:val="00B33F98"/>
    <w:rPr>
      <w:b/>
      <w:bCs/>
      <w:smallCaps/>
      <w:color w:val="2F5496" w:themeColor="accent1" w:themeShade="BF"/>
      <w:spacing w:val="5"/>
    </w:rPr>
  </w:style>
  <w:style w:type="table" w:styleId="TableGrid">
    <w:name w:val="Table Grid"/>
    <w:basedOn w:val="TableNormal"/>
    <w:uiPriority w:val="39"/>
    <w:rsid w:val="004971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A60E6"/>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styleId="Hyperlink">
    <w:name w:val="Hyperlink"/>
    <w:basedOn w:val="DefaultParagraphFont"/>
    <w:uiPriority w:val="99"/>
    <w:unhideWhenUsed/>
    <w:rsid w:val="00AC6EFB"/>
    <w:rPr>
      <w:color w:val="0563C1" w:themeColor="hyperlink"/>
      <w:u w:val="single"/>
    </w:rPr>
  </w:style>
  <w:style w:type="character" w:styleId="UnresolvedMention">
    <w:name w:val="Unresolved Mention"/>
    <w:basedOn w:val="DefaultParagraphFont"/>
    <w:uiPriority w:val="99"/>
    <w:semiHidden/>
    <w:unhideWhenUsed/>
    <w:rsid w:val="00AC6EFB"/>
    <w:rPr>
      <w:color w:val="605E5C"/>
      <w:shd w:val="clear" w:color="auto" w:fill="E1DFDD"/>
    </w:rPr>
  </w:style>
  <w:style w:type="paragraph" w:customStyle="1" w:styleId="EndNoteBibliographyTitle">
    <w:name w:val="EndNote Bibliography Title"/>
    <w:basedOn w:val="Normal"/>
    <w:link w:val="EndNoteBibliographyTitleChar"/>
    <w:rsid w:val="00223769"/>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223769"/>
    <w:rPr>
      <w:rFonts w:ascii="Calibri" w:hAnsi="Calibri" w:cs="Calibri"/>
      <w:noProof/>
      <w:lang w:val="en-US"/>
    </w:rPr>
  </w:style>
  <w:style w:type="paragraph" w:customStyle="1" w:styleId="EndNoteBibliography">
    <w:name w:val="EndNote Bibliography"/>
    <w:basedOn w:val="Normal"/>
    <w:link w:val="EndNoteBibliographyChar"/>
    <w:rsid w:val="00223769"/>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223769"/>
    <w:rPr>
      <w:rFonts w:ascii="Calibri" w:hAnsi="Calibri" w:cs="Calibri"/>
      <w:noProof/>
      <w:lang w:val="en-US"/>
    </w:rPr>
  </w:style>
  <w:style w:type="paragraph" w:styleId="Header">
    <w:name w:val="header"/>
    <w:basedOn w:val="Normal"/>
    <w:link w:val="HeaderChar"/>
    <w:uiPriority w:val="99"/>
    <w:unhideWhenUsed/>
    <w:rsid w:val="00BA06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A0654"/>
  </w:style>
  <w:style w:type="paragraph" w:styleId="Footer">
    <w:name w:val="footer"/>
    <w:basedOn w:val="Normal"/>
    <w:link w:val="FooterChar"/>
    <w:uiPriority w:val="99"/>
    <w:unhideWhenUsed/>
    <w:rsid w:val="00BA06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A0654"/>
  </w:style>
  <w:style w:type="paragraph" w:styleId="Revision">
    <w:name w:val="Revision"/>
    <w:hidden/>
    <w:uiPriority w:val="99"/>
    <w:semiHidden/>
    <w:rsid w:val="00E01632"/>
    <w:pPr>
      <w:spacing w:after="0" w:line="240" w:lineRule="auto"/>
    </w:pPr>
  </w:style>
  <w:style w:type="paragraph" w:styleId="BalloonText">
    <w:name w:val="Balloon Text"/>
    <w:basedOn w:val="Normal"/>
    <w:link w:val="BalloonTextChar"/>
    <w:uiPriority w:val="99"/>
    <w:semiHidden/>
    <w:unhideWhenUsed/>
    <w:rsid w:val="00B104D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04D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6649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021A4E-3306-4A84-A21B-6916EF68B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16</Pages>
  <Words>5028</Words>
  <Characters>28665</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jpsingh9452@outlook.com</dc:creator>
  <cp:keywords/>
  <dc:description/>
  <cp:lastModifiedBy>Editor GP 005</cp:lastModifiedBy>
  <cp:revision>187</cp:revision>
  <dcterms:created xsi:type="dcterms:W3CDTF">2025-09-21T11:54:00Z</dcterms:created>
  <dcterms:modified xsi:type="dcterms:W3CDTF">2025-10-13T07:46:00Z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014c2f57-97ee-4d56-8172-632274744c96</vt:lpwstr>
  </property>
</Properties>
</file>