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E237A" w14:textId="1AB4AB45" w:rsidR="006D5EB2" w:rsidRDefault="00B12F39">
      <w:pPr>
        <w:pStyle w:val="NormalWeb"/>
      </w:pPr>
      <w:r>
        <w:t xml:space="preserve"> </w:t>
      </w:r>
    </w:p>
    <w:p w14:paraId="0051AFA1" w14:textId="0FA53892" w:rsidR="00C2747B" w:rsidRPr="006D5EB2" w:rsidRDefault="00797819" w:rsidP="006D5EB2">
      <w:pPr>
        <w:pStyle w:val="NormalWeb"/>
        <w:rPr>
          <w:b/>
          <w:bCs/>
        </w:rPr>
      </w:pPr>
      <w:r>
        <w:rPr>
          <w:rStyle w:val="Strong"/>
        </w:rPr>
        <w:t>Multidimensional Evaluation of Underground Water Quality in R</w:t>
      </w:r>
      <w:r w:rsidR="003F5D88">
        <w:rPr>
          <w:rStyle w:val="Strong"/>
        </w:rPr>
        <w:t>oo</w:t>
      </w:r>
      <w:r>
        <w:rPr>
          <w:rStyle w:val="Strong"/>
        </w:rPr>
        <w:t>ma, Kanpur (U.P.): A Physico-Chemical and Microbiological Approach</w:t>
      </w:r>
    </w:p>
    <w:p w14:paraId="58CB5F52" w14:textId="49832A2D" w:rsidR="00C2747B" w:rsidRPr="004F47B3" w:rsidRDefault="004F47B3">
      <w:pPr>
        <w:pStyle w:val="Heading3"/>
        <w:rPr>
          <w:rFonts w:ascii="Arial" w:eastAsia="Times New Roman" w:hAnsi="Arial" w:cs="Arial"/>
          <w:color w:val="000000"/>
          <w:lang w:bidi="hi-IN"/>
        </w:rPr>
      </w:pPr>
      <w:r w:rsidRPr="004F47B3">
        <w:rPr>
          <w:rStyle w:val="Strong"/>
          <w:rFonts w:ascii="Arial" w:eastAsia="Times New Roman" w:hAnsi="Arial" w:cs="Arial"/>
          <w:b/>
          <w:bCs/>
          <w:color w:val="000000"/>
          <w:lang w:bidi="hi-IN"/>
        </w:rPr>
        <w:t>ABSTRACT</w:t>
      </w:r>
    </w:p>
    <w:p w14:paraId="0D14B099" w14:textId="4C32EEEE" w:rsidR="00C2747B" w:rsidRDefault="00797819">
      <w:pPr>
        <w:pStyle w:val="NormalWeb"/>
      </w:pPr>
      <w:r w:rsidRPr="004F47B3">
        <w:rPr>
          <w:rFonts w:ascii="Arial" w:hAnsi="Arial" w:cs="Arial"/>
          <w:sz w:val="22"/>
          <w:szCs w:val="22"/>
        </w:rPr>
        <w:t>This study aims to assess the underground water quality of R</w:t>
      </w:r>
      <w:r w:rsidR="00F949E9" w:rsidRPr="004F47B3">
        <w:rPr>
          <w:rFonts w:ascii="Arial" w:hAnsi="Arial" w:cs="Arial"/>
          <w:sz w:val="22"/>
          <w:szCs w:val="22"/>
        </w:rPr>
        <w:t>oo</w:t>
      </w:r>
      <w:r w:rsidRPr="004F47B3">
        <w:rPr>
          <w:rFonts w:ascii="Arial" w:hAnsi="Arial" w:cs="Arial"/>
          <w:sz w:val="22"/>
          <w:szCs w:val="22"/>
        </w:rPr>
        <w:t>ma, an industrial and semi-urban area in Kanpur, Uttar Pradesh. With</w:t>
      </w:r>
      <w:r w:rsidR="00091310">
        <w:rPr>
          <w:rFonts w:ascii="Arial" w:hAnsi="Arial" w:cs="Arial"/>
          <w:sz w:val="22"/>
          <w:szCs w:val="22"/>
        </w:rPr>
        <w:t xml:space="preserve"> the</w:t>
      </w:r>
      <w:r w:rsidRPr="004F47B3">
        <w:rPr>
          <w:rFonts w:ascii="Arial" w:hAnsi="Arial" w:cs="Arial"/>
          <w:sz w:val="22"/>
          <w:szCs w:val="22"/>
        </w:rPr>
        <w:t xml:space="preserve"> growing urbanization and industrial activities, concerns about groundwater pollution have increased. The research focuses on key physical and chemical para</w:t>
      </w:r>
      <w:r w:rsidR="003E5CF5">
        <w:rPr>
          <w:rFonts w:ascii="Arial" w:hAnsi="Arial" w:cs="Arial"/>
          <w:sz w:val="22"/>
          <w:szCs w:val="22"/>
        </w:rPr>
        <w:t>meters</w:t>
      </w:r>
      <w:r w:rsidR="003249C8">
        <w:rPr>
          <w:rFonts w:ascii="Arial" w:hAnsi="Arial" w:cs="Arial"/>
          <w:sz w:val="22"/>
          <w:szCs w:val="22"/>
        </w:rPr>
        <w:t>,</w:t>
      </w:r>
      <w:r w:rsidR="003E5CF5">
        <w:rPr>
          <w:rFonts w:ascii="Arial" w:hAnsi="Arial" w:cs="Arial"/>
          <w:sz w:val="22"/>
          <w:szCs w:val="22"/>
        </w:rPr>
        <w:t xml:space="preserve"> including</w:t>
      </w:r>
      <w:r w:rsidRPr="004F47B3">
        <w:rPr>
          <w:rFonts w:ascii="Arial" w:hAnsi="Arial" w:cs="Arial"/>
          <w:sz w:val="22"/>
          <w:szCs w:val="22"/>
        </w:rPr>
        <w:t xml:space="preserve"> pH, alkalinity, </w:t>
      </w:r>
      <w:r w:rsidR="00D05528" w:rsidRPr="004F47B3">
        <w:rPr>
          <w:rFonts w:ascii="Arial" w:hAnsi="Arial" w:cs="Arial"/>
          <w:sz w:val="22"/>
          <w:szCs w:val="22"/>
        </w:rPr>
        <w:t xml:space="preserve">total </w:t>
      </w:r>
      <w:r w:rsidRPr="004F47B3">
        <w:rPr>
          <w:rFonts w:ascii="Arial" w:hAnsi="Arial" w:cs="Arial"/>
          <w:sz w:val="22"/>
          <w:szCs w:val="22"/>
        </w:rPr>
        <w:t>hardness, fluoride, iron, and arsenic</w:t>
      </w:r>
      <w:r w:rsidR="003249C8">
        <w:rPr>
          <w:rFonts w:ascii="Arial" w:hAnsi="Arial" w:cs="Arial"/>
          <w:sz w:val="22"/>
          <w:szCs w:val="22"/>
        </w:rPr>
        <w:t>,</w:t>
      </w:r>
      <w:r w:rsidRPr="004F47B3">
        <w:rPr>
          <w:rFonts w:ascii="Arial" w:hAnsi="Arial" w:cs="Arial"/>
          <w:sz w:val="22"/>
          <w:szCs w:val="22"/>
        </w:rPr>
        <w:t xml:space="preserve"> to understand the current status of water quality. Biological indicators were also considered to provide a more complete picture of water safety. Samples were collected from various han</w:t>
      </w:r>
      <w:r w:rsidR="00E4003C">
        <w:rPr>
          <w:rFonts w:ascii="Arial" w:hAnsi="Arial" w:cs="Arial"/>
          <w:sz w:val="22"/>
          <w:szCs w:val="22"/>
        </w:rPr>
        <w:t xml:space="preserve">d pumps, submersibles, </w:t>
      </w:r>
      <w:r w:rsidRPr="004F47B3">
        <w:rPr>
          <w:rFonts w:ascii="Arial" w:hAnsi="Arial" w:cs="Arial"/>
          <w:sz w:val="22"/>
          <w:szCs w:val="22"/>
        </w:rPr>
        <w:t>and bore</w:t>
      </w:r>
      <w:r w:rsidR="00B35143">
        <w:rPr>
          <w:rFonts w:ascii="Arial" w:hAnsi="Arial" w:cs="Arial"/>
          <w:sz w:val="22"/>
          <w:szCs w:val="22"/>
        </w:rPr>
        <w:t xml:space="preserve"> </w:t>
      </w:r>
      <w:r w:rsidRPr="004F47B3">
        <w:rPr>
          <w:rFonts w:ascii="Arial" w:hAnsi="Arial" w:cs="Arial"/>
          <w:sz w:val="22"/>
          <w:szCs w:val="22"/>
        </w:rPr>
        <w:t xml:space="preserve">wells across the area. Laboratory analysis revealed that while some parameters were within permissible limits, </w:t>
      </w:r>
      <w:r w:rsidR="00540CB2">
        <w:rPr>
          <w:rFonts w:ascii="Arial" w:hAnsi="Arial" w:cs="Arial"/>
          <w:sz w:val="22"/>
          <w:szCs w:val="22"/>
        </w:rPr>
        <w:t>others—especially potassium, magnesium, Total hardness</w:t>
      </w:r>
      <w:r w:rsidRPr="004F47B3">
        <w:rPr>
          <w:rFonts w:ascii="Arial" w:hAnsi="Arial" w:cs="Arial"/>
          <w:sz w:val="22"/>
          <w:szCs w:val="22"/>
        </w:rPr>
        <w:t>, and arsenic—exceeded safe levels</w:t>
      </w:r>
      <w:r w:rsidR="0043279B">
        <w:rPr>
          <w:rFonts w:ascii="Arial" w:hAnsi="Arial" w:cs="Arial"/>
          <w:sz w:val="22"/>
          <w:szCs w:val="22"/>
        </w:rPr>
        <w:t xml:space="preserve"> in most of the months</w:t>
      </w:r>
      <w:r w:rsidRPr="004F47B3">
        <w:rPr>
          <w:rFonts w:ascii="Arial" w:hAnsi="Arial" w:cs="Arial"/>
          <w:sz w:val="22"/>
          <w:szCs w:val="22"/>
        </w:rPr>
        <w:t xml:space="preserve"> recommended by the BIS and WHO. </w:t>
      </w:r>
      <w:r w:rsidR="005745A1">
        <w:rPr>
          <w:rFonts w:ascii="Arial" w:hAnsi="Arial" w:cs="Arial"/>
          <w:sz w:val="22"/>
          <w:szCs w:val="22"/>
        </w:rPr>
        <w:t xml:space="preserve">As well as the presence of microbes in terms of Total bacterial count and total Yeast count also indicated the health hazards among human beings. </w:t>
      </w:r>
      <w:r w:rsidRPr="004F47B3">
        <w:rPr>
          <w:rFonts w:ascii="Arial" w:hAnsi="Arial" w:cs="Arial"/>
          <w:sz w:val="22"/>
          <w:szCs w:val="22"/>
        </w:rPr>
        <w:t>The findings suggest a potential risk to public health and the urgent need for regular monitoring and treatment of groundwater in the region</w:t>
      </w:r>
      <w:r>
        <w:t>.</w:t>
      </w:r>
    </w:p>
    <w:p w14:paraId="6DC79D58" w14:textId="1B0F1838" w:rsidR="00C2747B" w:rsidRPr="000C11DF" w:rsidRDefault="00214E8A" w:rsidP="000C11DF">
      <w:pPr>
        <w:pStyle w:val="NormalWeb"/>
        <w:jc w:val="both"/>
        <w:rPr>
          <w:rFonts w:ascii="Arial" w:hAnsi="Arial" w:cs="Arial"/>
          <w:i/>
          <w:iCs/>
          <w:sz w:val="20"/>
          <w:szCs w:val="20"/>
        </w:rPr>
      </w:pPr>
      <w:r>
        <w:rPr>
          <w:rFonts w:ascii="Arial" w:hAnsi="Arial" w:cs="Arial"/>
          <w:i/>
          <w:iCs/>
          <w:sz w:val="20"/>
          <w:szCs w:val="20"/>
        </w:rPr>
        <w:t xml:space="preserve">Keywords- </w:t>
      </w:r>
      <w:r w:rsidR="006535A0" w:rsidRPr="00E96B0F">
        <w:rPr>
          <w:rFonts w:ascii="Arial" w:hAnsi="Arial" w:cs="Arial"/>
          <w:i/>
          <w:iCs/>
          <w:sz w:val="20"/>
          <w:szCs w:val="20"/>
        </w:rPr>
        <w:t xml:space="preserve"> </w:t>
      </w:r>
      <w:r w:rsidR="00ED467E" w:rsidRPr="00E96B0F">
        <w:rPr>
          <w:rFonts w:ascii="Arial" w:hAnsi="Arial" w:cs="Arial"/>
          <w:i/>
          <w:iCs/>
          <w:sz w:val="20"/>
          <w:szCs w:val="20"/>
        </w:rPr>
        <w:t xml:space="preserve">Physico-chemical </w:t>
      </w:r>
      <w:r w:rsidR="009D0A48" w:rsidRPr="00E96B0F">
        <w:rPr>
          <w:rFonts w:ascii="Arial" w:hAnsi="Arial" w:cs="Arial"/>
          <w:i/>
          <w:iCs/>
          <w:sz w:val="20"/>
          <w:szCs w:val="20"/>
        </w:rPr>
        <w:t>P</w:t>
      </w:r>
      <w:r w:rsidR="00ED467E" w:rsidRPr="00E96B0F">
        <w:rPr>
          <w:rFonts w:ascii="Arial" w:hAnsi="Arial" w:cs="Arial"/>
          <w:i/>
          <w:iCs/>
          <w:sz w:val="20"/>
          <w:szCs w:val="20"/>
        </w:rPr>
        <w:t>arameters</w:t>
      </w:r>
      <w:r w:rsidR="00D6332A" w:rsidRPr="00E96B0F">
        <w:rPr>
          <w:rFonts w:ascii="Arial" w:hAnsi="Arial" w:cs="Arial"/>
          <w:i/>
          <w:iCs/>
          <w:sz w:val="20"/>
          <w:szCs w:val="20"/>
        </w:rPr>
        <w:t>,</w:t>
      </w:r>
      <w:r w:rsidR="006535A0" w:rsidRPr="00E96B0F">
        <w:rPr>
          <w:rFonts w:ascii="Arial" w:hAnsi="Arial" w:cs="Arial"/>
          <w:i/>
          <w:iCs/>
          <w:sz w:val="20"/>
          <w:szCs w:val="20"/>
        </w:rPr>
        <w:t xml:space="preserve"> </w:t>
      </w:r>
      <w:r w:rsidR="00ED467E" w:rsidRPr="00E96B0F">
        <w:rPr>
          <w:rFonts w:ascii="Arial" w:hAnsi="Arial" w:cs="Arial"/>
          <w:i/>
          <w:iCs/>
          <w:sz w:val="20"/>
          <w:szCs w:val="20"/>
        </w:rPr>
        <w:t>Microbiological analysis</w:t>
      </w:r>
      <w:r w:rsidR="00D6332A" w:rsidRPr="00E96B0F">
        <w:rPr>
          <w:rFonts w:ascii="Arial" w:hAnsi="Arial" w:cs="Arial"/>
          <w:i/>
          <w:iCs/>
          <w:sz w:val="20"/>
          <w:szCs w:val="20"/>
        </w:rPr>
        <w:t>,</w:t>
      </w:r>
      <w:r w:rsidR="00ED467E" w:rsidRPr="00E96B0F">
        <w:rPr>
          <w:rFonts w:ascii="Arial" w:hAnsi="Arial" w:cs="Arial"/>
          <w:i/>
          <w:iCs/>
          <w:sz w:val="20"/>
          <w:szCs w:val="20"/>
        </w:rPr>
        <w:t xml:space="preserve"> Industrial and semi-urban areas</w:t>
      </w:r>
      <w:r w:rsidR="00BD2BFB" w:rsidRPr="00E96B0F">
        <w:rPr>
          <w:rFonts w:ascii="Arial" w:hAnsi="Arial" w:cs="Arial"/>
          <w:i/>
          <w:iCs/>
          <w:sz w:val="20"/>
          <w:szCs w:val="20"/>
        </w:rPr>
        <w:t>,</w:t>
      </w:r>
      <w:r w:rsidR="006535A0" w:rsidRPr="00E96B0F">
        <w:rPr>
          <w:rFonts w:ascii="Arial" w:hAnsi="Arial" w:cs="Arial"/>
          <w:i/>
          <w:iCs/>
          <w:sz w:val="20"/>
          <w:szCs w:val="20"/>
        </w:rPr>
        <w:t xml:space="preserve"> </w:t>
      </w:r>
      <w:r w:rsidR="00ED467E" w:rsidRPr="00E96B0F">
        <w:rPr>
          <w:rFonts w:ascii="Arial" w:hAnsi="Arial" w:cs="Arial"/>
          <w:i/>
          <w:iCs/>
          <w:sz w:val="20"/>
          <w:szCs w:val="20"/>
        </w:rPr>
        <w:t>Water quality assessment</w:t>
      </w:r>
      <w:r w:rsidR="00C30C81">
        <w:rPr>
          <w:rFonts w:ascii="Arial" w:hAnsi="Arial" w:cs="Arial"/>
          <w:i/>
          <w:iCs/>
          <w:sz w:val="20"/>
          <w:szCs w:val="20"/>
        </w:rPr>
        <w:t xml:space="preserve"> for drinking</w:t>
      </w:r>
      <w:r w:rsidR="00A70FDF" w:rsidRPr="00E96B0F">
        <w:rPr>
          <w:rFonts w:ascii="Arial" w:hAnsi="Arial" w:cs="Arial"/>
          <w:i/>
          <w:iCs/>
          <w:sz w:val="20"/>
          <w:szCs w:val="20"/>
        </w:rPr>
        <w:t>,</w:t>
      </w:r>
      <w:r w:rsidR="00ED467E" w:rsidRPr="00E96B0F">
        <w:rPr>
          <w:rFonts w:ascii="Arial" w:hAnsi="Arial" w:cs="Arial"/>
          <w:i/>
          <w:iCs/>
          <w:sz w:val="20"/>
          <w:szCs w:val="20"/>
        </w:rPr>
        <w:t xml:space="preserve"> </w:t>
      </w:r>
      <w:r w:rsidR="003C72C8" w:rsidRPr="00E96B0F">
        <w:rPr>
          <w:rFonts w:ascii="Arial" w:hAnsi="Arial" w:cs="Arial"/>
          <w:i/>
          <w:iCs/>
          <w:sz w:val="20"/>
          <w:szCs w:val="20"/>
        </w:rPr>
        <w:t>p</w:t>
      </w:r>
      <w:r w:rsidR="00ED467E" w:rsidRPr="00E96B0F">
        <w:rPr>
          <w:rFonts w:ascii="Arial" w:hAnsi="Arial" w:cs="Arial"/>
          <w:i/>
          <w:iCs/>
          <w:sz w:val="20"/>
          <w:szCs w:val="20"/>
        </w:rPr>
        <w:t>ublic health risks</w:t>
      </w:r>
      <w:r w:rsidR="00992622">
        <w:rPr>
          <w:rFonts w:ascii="Arial" w:hAnsi="Arial" w:cs="Arial"/>
          <w:i/>
          <w:iCs/>
          <w:sz w:val="20"/>
          <w:szCs w:val="20"/>
        </w:rPr>
        <w:t xml:space="preserve"> </w:t>
      </w:r>
      <w:r w:rsidR="00F80381" w:rsidRPr="00E96B0F">
        <w:rPr>
          <w:rFonts w:ascii="Arial" w:hAnsi="Arial" w:cs="Arial"/>
          <w:i/>
          <w:iCs/>
          <w:sz w:val="20"/>
          <w:szCs w:val="20"/>
        </w:rPr>
        <w:t>etc.</w:t>
      </w:r>
    </w:p>
    <w:p w14:paraId="4B5DB208" w14:textId="30400F94" w:rsidR="00BD5B8B" w:rsidRDefault="00BF119B" w:rsidP="00BD5B8B">
      <w:pPr>
        <w:pStyle w:val="Heading3"/>
        <w:numPr>
          <w:ilvl w:val="0"/>
          <w:numId w:val="17"/>
        </w:numPr>
        <w:jc w:val="both"/>
        <w:rPr>
          <w:rFonts w:ascii="Arial" w:hAnsi="Arial" w:cs="Arial"/>
          <w:color w:val="000000"/>
        </w:rPr>
      </w:pPr>
      <w:r w:rsidRPr="00BF119B">
        <w:rPr>
          <w:rFonts w:ascii="Arial" w:hAnsi="Arial" w:cs="Arial"/>
          <w:color w:val="000000"/>
        </w:rPr>
        <w:t>INTRODUCTION</w:t>
      </w:r>
    </w:p>
    <w:p w14:paraId="5477B366" w14:textId="77777777" w:rsidR="00CF21F2" w:rsidRDefault="00797819" w:rsidP="0049379A">
      <w:pPr>
        <w:rPr>
          <w:rFonts w:ascii="Arial" w:hAnsi="Arial" w:cs="Arial"/>
          <w:sz w:val="20"/>
          <w:szCs w:val="20"/>
        </w:rPr>
      </w:pPr>
      <w:r w:rsidRPr="000D6939">
        <w:rPr>
          <w:rFonts w:ascii="Arial" w:hAnsi="Arial" w:cs="Arial"/>
          <w:sz w:val="20"/>
          <w:szCs w:val="20"/>
        </w:rPr>
        <w:t xml:space="preserve">Groundwater is one of the most critical natural resources for sustaining life, agriculture, and industry in India. In urban and semi-urban regions like </w:t>
      </w:r>
      <w:r w:rsidR="00663D3D" w:rsidRPr="000D6939">
        <w:rPr>
          <w:rFonts w:ascii="Arial" w:hAnsi="Arial" w:cs="Arial"/>
          <w:sz w:val="20"/>
          <w:szCs w:val="20"/>
        </w:rPr>
        <w:t>Rooma</w:t>
      </w:r>
      <w:r w:rsidRPr="000D6939">
        <w:rPr>
          <w:rFonts w:ascii="Arial" w:hAnsi="Arial" w:cs="Arial"/>
          <w:sz w:val="20"/>
          <w:szCs w:val="20"/>
        </w:rPr>
        <w:t xml:space="preserve"> in Kanpur district, groundwater is the principal source of drinking and domestic use due to the lack of </w:t>
      </w:r>
      <w:r w:rsidR="003249C8" w:rsidRPr="000D6939">
        <w:rPr>
          <w:rFonts w:ascii="Arial" w:hAnsi="Arial" w:cs="Arial"/>
          <w:sz w:val="20"/>
          <w:szCs w:val="20"/>
        </w:rPr>
        <w:t xml:space="preserve">a </w:t>
      </w:r>
      <w:r w:rsidRPr="000D6939">
        <w:rPr>
          <w:rFonts w:ascii="Arial" w:hAnsi="Arial" w:cs="Arial"/>
          <w:sz w:val="20"/>
          <w:szCs w:val="20"/>
        </w:rPr>
        <w:t>continuous piped water supply (</w:t>
      </w:r>
      <w:r w:rsidR="00663638" w:rsidRPr="000D6939">
        <w:rPr>
          <w:rFonts w:ascii="Arial" w:hAnsi="Arial" w:cs="Arial"/>
          <w:color w:val="222222"/>
          <w:sz w:val="20"/>
          <w:szCs w:val="20"/>
          <w:shd w:val="clear" w:color="auto" w:fill="FFFFFF"/>
        </w:rPr>
        <w:t>Singh et al., 2024</w:t>
      </w:r>
      <w:r w:rsidRPr="000D6939">
        <w:rPr>
          <w:rFonts w:ascii="Arial" w:hAnsi="Arial" w:cs="Arial"/>
          <w:sz w:val="20"/>
          <w:szCs w:val="20"/>
        </w:rPr>
        <w:t>; BIS, 2021). However, growing industrialization and unregulated waste disposal have raised serious concerns over gro</w:t>
      </w:r>
      <w:r w:rsidR="008339A5">
        <w:rPr>
          <w:rFonts w:ascii="Arial" w:hAnsi="Arial" w:cs="Arial"/>
          <w:sz w:val="20"/>
          <w:szCs w:val="20"/>
        </w:rPr>
        <w:t xml:space="preserve">undwater quality in such </w:t>
      </w:r>
      <w:r w:rsidR="008339A5" w:rsidRPr="00A810E6">
        <w:rPr>
          <w:rFonts w:ascii="Arial" w:hAnsi="Arial" w:cs="Arial"/>
          <w:sz w:val="20"/>
          <w:szCs w:val="20"/>
        </w:rPr>
        <w:t xml:space="preserve">areas </w:t>
      </w:r>
      <w:r w:rsidR="008339A5" w:rsidRPr="00A810E6">
        <w:rPr>
          <w:rFonts w:ascii="Arial" w:hAnsi="Arial" w:cs="Arial"/>
          <w:color w:val="222222"/>
          <w:sz w:val="20"/>
          <w:szCs w:val="20"/>
          <w:shd w:val="clear" w:color="auto" w:fill="FFFFFF"/>
        </w:rPr>
        <w:t>(Gupta &amp; Singh, 2023</w:t>
      </w:r>
      <w:r w:rsidR="008339A5">
        <w:rPr>
          <w:rFonts w:ascii="Arial" w:hAnsi="Arial" w:cs="Arial"/>
          <w:color w:val="222222"/>
          <w:shd w:val="clear" w:color="auto" w:fill="FFFFFF"/>
        </w:rPr>
        <w:t xml:space="preserve">; </w:t>
      </w:r>
      <w:r w:rsidR="006D023C" w:rsidRPr="000D6939">
        <w:rPr>
          <w:rFonts w:ascii="Arial" w:hAnsi="Arial" w:cs="Arial"/>
          <w:color w:val="222222"/>
          <w:sz w:val="20"/>
          <w:szCs w:val="20"/>
          <w:shd w:val="clear" w:color="auto" w:fill="FFFFFF"/>
        </w:rPr>
        <w:t>Yadav &amp; Yadav, 2025</w:t>
      </w:r>
      <w:r w:rsidRPr="000D6939">
        <w:rPr>
          <w:rFonts w:ascii="Arial" w:hAnsi="Arial" w:cs="Arial"/>
          <w:sz w:val="20"/>
          <w:szCs w:val="20"/>
        </w:rPr>
        <w:t>).</w:t>
      </w:r>
      <w:r w:rsidR="00E25699" w:rsidRPr="000D6939">
        <w:rPr>
          <w:rFonts w:ascii="Arial" w:hAnsi="Arial" w:cs="Arial"/>
          <w:sz w:val="20"/>
          <w:szCs w:val="20"/>
        </w:rPr>
        <w:t xml:space="preserve"> </w:t>
      </w:r>
    </w:p>
    <w:p w14:paraId="7EDD7162" w14:textId="77777777" w:rsidR="006D5EB2" w:rsidRDefault="00797819" w:rsidP="00BD6D1B">
      <w:pPr>
        <w:rPr>
          <w:rFonts w:ascii="Times New Roman" w:eastAsia="Times New Roman" w:hAnsi="Times New Roman" w:cs="Times New Roman"/>
          <w:sz w:val="20"/>
          <w:szCs w:val="20"/>
          <w:lang w:bidi="hi-IN"/>
        </w:rPr>
      </w:pPr>
      <w:r w:rsidRPr="000D6939">
        <w:rPr>
          <w:rFonts w:ascii="Arial" w:hAnsi="Arial" w:cs="Arial"/>
          <w:sz w:val="20"/>
          <w:szCs w:val="20"/>
        </w:rPr>
        <w:br/>
      </w:r>
      <w:r w:rsidR="00663D3D" w:rsidRPr="000D6939">
        <w:rPr>
          <w:rFonts w:ascii="Arial" w:hAnsi="Arial" w:cs="Arial"/>
          <w:sz w:val="20"/>
          <w:szCs w:val="20"/>
        </w:rPr>
        <w:t>Rooma</w:t>
      </w:r>
      <w:r w:rsidRPr="000D6939">
        <w:rPr>
          <w:rFonts w:ascii="Arial" w:hAnsi="Arial" w:cs="Arial"/>
          <w:sz w:val="20"/>
          <w:szCs w:val="20"/>
        </w:rPr>
        <w:t xml:space="preserve"> is a rapidly developing locality located on the southern periphery of Kanpur city. Over the past two decades, several small- and medium-scale industries, including leather processing, textile dyeing, plastic manufacturing, electroplating, and chemical units, have emerged in and around this region (</w:t>
      </w:r>
      <w:r w:rsidR="00040B26" w:rsidRPr="000D6939">
        <w:rPr>
          <w:rFonts w:ascii="Arial" w:hAnsi="Arial" w:cs="Arial"/>
          <w:color w:val="222222"/>
          <w:sz w:val="20"/>
          <w:szCs w:val="20"/>
          <w:shd w:val="clear" w:color="auto" w:fill="FFFFFF"/>
        </w:rPr>
        <w:t>Bishnoi &amp; Malik, 2008; Manna et al., 2024)</w:t>
      </w:r>
      <w:r w:rsidRPr="000D6939">
        <w:rPr>
          <w:rFonts w:ascii="Arial" w:hAnsi="Arial" w:cs="Arial"/>
          <w:sz w:val="20"/>
          <w:szCs w:val="20"/>
        </w:rPr>
        <w:t>. These units often release untreated or partially treated effluents directly into the surrounding environment, increasing the risk of groundwater contamination through percolation (</w:t>
      </w:r>
      <w:r w:rsidR="00707671" w:rsidRPr="000D6939">
        <w:rPr>
          <w:rFonts w:ascii="Arial" w:hAnsi="Arial" w:cs="Arial"/>
          <w:color w:val="222222"/>
          <w:sz w:val="20"/>
          <w:szCs w:val="20"/>
          <w:shd w:val="clear" w:color="auto" w:fill="FFFFFF"/>
        </w:rPr>
        <w:t xml:space="preserve">Ganiyu et al., 2018; </w:t>
      </w:r>
      <w:r w:rsidR="000E52E1" w:rsidRPr="000D6939">
        <w:rPr>
          <w:rFonts w:ascii="Arial" w:hAnsi="Arial" w:cs="Arial"/>
          <w:color w:val="222222"/>
          <w:sz w:val="20"/>
          <w:szCs w:val="20"/>
          <w:shd w:val="clear" w:color="auto" w:fill="FFFFFF"/>
        </w:rPr>
        <w:t>Chaturwedi et al., 2024</w:t>
      </w:r>
      <w:r w:rsidRPr="000D6939">
        <w:rPr>
          <w:rFonts w:ascii="Arial" w:hAnsi="Arial" w:cs="Arial"/>
          <w:sz w:val="20"/>
          <w:szCs w:val="20"/>
        </w:rPr>
        <w:t>).</w:t>
      </w:r>
      <w:r w:rsidR="0049379A" w:rsidRPr="000D6939">
        <w:rPr>
          <w:rFonts w:ascii="Arial" w:hAnsi="Arial" w:cs="Arial"/>
          <w:sz w:val="20"/>
          <w:szCs w:val="20"/>
        </w:rPr>
        <w:t xml:space="preserve"> </w:t>
      </w:r>
      <w:r w:rsidR="0049379A" w:rsidRPr="000D6939">
        <w:rPr>
          <w:rFonts w:ascii="Arial" w:hAnsi="Arial" w:cs="Arial"/>
          <w:color w:val="222222"/>
          <w:sz w:val="20"/>
          <w:szCs w:val="20"/>
          <w:shd w:val="clear" w:color="auto" w:fill="FFFFFF"/>
        </w:rPr>
        <w:t>Heavy metal contamination</w:t>
      </w:r>
      <w:r w:rsidR="008614A6">
        <w:rPr>
          <w:rFonts w:ascii="Arial" w:hAnsi="Arial" w:cs="Arial"/>
          <w:color w:val="222222"/>
          <w:sz w:val="20"/>
          <w:szCs w:val="20"/>
          <w:shd w:val="clear" w:color="auto" w:fill="FFFFFF"/>
        </w:rPr>
        <w:t xml:space="preserve"> and microbial contamination</w:t>
      </w:r>
      <w:r w:rsidR="0049379A" w:rsidRPr="000D6939">
        <w:rPr>
          <w:rFonts w:ascii="Arial" w:hAnsi="Arial" w:cs="Arial"/>
          <w:color w:val="222222"/>
          <w:sz w:val="20"/>
          <w:szCs w:val="20"/>
          <w:shd w:val="clear" w:color="auto" w:fill="FFFFFF"/>
        </w:rPr>
        <w:t xml:space="preserve"> in groundwater</w:t>
      </w:r>
      <w:r w:rsidR="006A5A00" w:rsidRPr="000D6939">
        <w:rPr>
          <w:rFonts w:ascii="Arial" w:hAnsi="Arial" w:cs="Arial"/>
          <w:color w:val="222222"/>
          <w:sz w:val="20"/>
          <w:szCs w:val="20"/>
          <w:shd w:val="clear" w:color="auto" w:fill="FFFFFF"/>
        </w:rPr>
        <w:t xml:space="preserve"> toxicity</w:t>
      </w:r>
      <w:r w:rsidR="0049379A" w:rsidRPr="000D6939">
        <w:rPr>
          <w:rFonts w:ascii="Arial" w:hAnsi="Arial" w:cs="Arial"/>
          <w:color w:val="222222"/>
          <w:sz w:val="20"/>
          <w:szCs w:val="20"/>
          <w:shd w:val="clear" w:color="auto" w:fill="FFFFFF"/>
        </w:rPr>
        <w:t xml:space="preserve"> has been reported</w:t>
      </w:r>
      <w:r w:rsidR="006A5A00" w:rsidRPr="000D6939">
        <w:rPr>
          <w:rFonts w:ascii="Arial" w:hAnsi="Arial" w:cs="Arial"/>
          <w:color w:val="222222"/>
          <w:sz w:val="20"/>
          <w:szCs w:val="20"/>
          <w:shd w:val="clear" w:color="auto" w:fill="FFFFFF"/>
        </w:rPr>
        <w:t xml:space="preserve"> which</w:t>
      </w:r>
      <w:r w:rsidR="0049379A" w:rsidRPr="000D6939">
        <w:rPr>
          <w:rFonts w:ascii="Arial" w:hAnsi="Arial" w:cs="Arial"/>
          <w:color w:val="222222"/>
          <w:sz w:val="20"/>
          <w:szCs w:val="20"/>
          <w:shd w:val="clear" w:color="auto" w:fill="FFFFFF"/>
        </w:rPr>
        <w:t xml:space="preserve"> indicating severe public health risks (Gupta et al., 2023</w:t>
      </w:r>
      <w:r w:rsidR="002D6A22" w:rsidRPr="000D6939">
        <w:rPr>
          <w:rFonts w:ascii="Arial" w:hAnsi="Arial" w:cs="Arial"/>
          <w:color w:val="222222"/>
          <w:sz w:val="20"/>
          <w:szCs w:val="20"/>
          <w:shd w:val="clear" w:color="auto" w:fill="FFFFFF"/>
        </w:rPr>
        <w:t>; Thakur et al., 2024</w:t>
      </w:r>
      <w:r w:rsidR="0049379A" w:rsidRPr="000D6939">
        <w:rPr>
          <w:rFonts w:ascii="Arial" w:hAnsi="Arial" w:cs="Arial"/>
          <w:color w:val="222222"/>
          <w:sz w:val="20"/>
          <w:szCs w:val="20"/>
          <w:shd w:val="clear" w:color="auto" w:fill="FFFFFF"/>
        </w:rPr>
        <w:t xml:space="preserve">). </w:t>
      </w:r>
      <w:r w:rsidR="0049379A" w:rsidRPr="000D6939">
        <w:rPr>
          <w:rFonts w:ascii="Times New Roman" w:eastAsia="Times New Roman" w:hAnsi="Times New Roman" w:cs="Times New Roman"/>
          <w:sz w:val="20"/>
          <w:szCs w:val="20"/>
          <w:lang w:bidi="hi-IN"/>
        </w:rPr>
        <w:t>Geochemical evaluations highlight arsenic contamination and propose treatment technologies tailored to groundwater conditions (Kanel et al., 2023).</w:t>
      </w:r>
    </w:p>
    <w:p w14:paraId="7E3974E2" w14:textId="2873D5CA" w:rsidR="00BD6D1B" w:rsidRDefault="00797819" w:rsidP="00BD6D1B">
      <w:pPr>
        <w:rPr>
          <w:rFonts w:ascii="Arial" w:hAnsi="Arial" w:cs="Arial"/>
          <w:sz w:val="20"/>
          <w:szCs w:val="20"/>
        </w:rPr>
      </w:pPr>
      <w:r w:rsidRPr="000D6939">
        <w:rPr>
          <w:rFonts w:ascii="Arial" w:hAnsi="Arial" w:cs="Arial"/>
          <w:sz w:val="20"/>
          <w:szCs w:val="20"/>
        </w:rPr>
        <w:br/>
        <w:t>The presence of toxic substances such as fluoride, iron, and arsenic, along with increased hardness, alkalinity, and microbial load, can severely degrade water quality and pose long-term health risks (</w:t>
      </w:r>
      <w:r w:rsidR="003346BB" w:rsidRPr="000D6939">
        <w:rPr>
          <w:rFonts w:ascii="Arial" w:hAnsi="Arial" w:cs="Arial"/>
          <w:color w:val="222222"/>
          <w:sz w:val="20"/>
          <w:szCs w:val="20"/>
          <w:shd w:val="clear" w:color="auto" w:fill="FFFFFF"/>
        </w:rPr>
        <w:t>Adimalla &amp; Venkatayogi, 2018</w:t>
      </w:r>
      <w:r w:rsidRPr="000D6939">
        <w:rPr>
          <w:rFonts w:ascii="Arial" w:hAnsi="Arial" w:cs="Arial"/>
          <w:sz w:val="20"/>
          <w:szCs w:val="20"/>
        </w:rPr>
        <w:t>;</w:t>
      </w:r>
      <w:r w:rsidR="003346BB" w:rsidRPr="000D6939">
        <w:rPr>
          <w:rFonts w:ascii="Arial" w:hAnsi="Arial" w:cs="Arial"/>
          <w:sz w:val="20"/>
          <w:szCs w:val="20"/>
        </w:rPr>
        <w:t xml:space="preserve"> </w:t>
      </w:r>
      <w:r w:rsidR="00630FA6" w:rsidRPr="000D6939">
        <w:rPr>
          <w:rFonts w:ascii="Arial" w:hAnsi="Arial" w:cs="Arial"/>
          <w:color w:val="222222"/>
          <w:sz w:val="20"/>
          <w:szCs w:val="20"/>
          <w:shd w:val="clear" w:color="auto" w:fill="FFFFFF"/>
        </w:rPr>
        <w:t xml:space="preserve">Mukhopadhyay et al., 2025; </w:t>
      </w:r>
      <w:r w:rsidR="003346BB" w:rsidRPr="000D6939">
        <w:rPr>
          <w:rFonts w:ascii="Arial" w:hAnsi="Arial" w:cs="Arial"/>
          <w:color w:val="222222"/>
          <w:sz w:val="20"/>
          <w:szCs w:val="20"/>
          <w:shd w:val="clear" w:color="auto" w:fill="FFFFFF"/>
        </w:rPr>
        <w:t>Kapoor et al., 2024)</w:t>
      </w:r>
      <w:r w:rsidRPr="000D6939">
        <w:rPr>
          <w:rFonts w:ascii="Arial" w:hAnsi="Arial" w:cs="Arial"/>
          <w:sz w:val="20"/>
          <w:szCs w:val="20"/>
        </w:rPr>
        <w:t xml:space="preserve">. </w:t>
      </w:r>
    </w:p>
    <w:p w14:paraId="6F688BBB" w14:textId="1D71A9D0" w:rsidR="0049379A" w:rsidRPr="000D6939" w:rsidRDefault="00797819" w:rsidP="00BD6D1B">
      <w:pPr>
        <w:rPr>
          <w:rFonts w:ascii="Arial" w:hAnsi="Arial" w:cs="Arial"/>
          <w:sz w:val="20"/>
          <w:szCs w:val="20"/>
        </w:rPr>
      </w:pPr>
      <w:r w:rsidRPr="000D6939">
        <w:rPr>
          <w:rFonts w:ascii="Arial" w:hAnsi="Arial" w:cs="Arial"/>
          <w:sz w:val="20"/>
          <w:szCs w:val="20"/>
        </w:rPr>
        <w:t>Studies have shown that prolonged consumption of water with high fluoride leads to dental and skeletal fluorosis, while arsenic is linked with skin disorders, can</w:t>
      </w:r>
      <w:r w:rsidR="00A90A34">
        <w:rPr>
          <w:rFonts w:ascii="Arial" w:hAnsi="Arial" w:cs="Arial"/>
          <w:sz w:val="20"/>
          <w:szCs w:val="20"/>
        </w:rPr>
        <w:t>cers, and neurological issues (</w:t>
      </w:r>
      <w:r w:rsidRPr="000D6939">
        <w:rPr>
          <w:rFonts w:ascii="Arial" w:hAnsi="Arial" w:cs="Arial"/>
          <w:sz w:val="20"/>
          <w:szCs w:val="20"/>
        </w:rPr>
        <w:t xml:space="preserve">WHO, 2022). </w:t>
      </w:r>
      <w:r w:rsidRPr="000D6939">
        <w:rPr>
          <w:rFonts w:ascii="Arial" w:hAnsi="Arial" w:cs="Arial"/>
          <w:sz w:val="20"/>
          <w:szCs w:val="20"/>
        </w:rPr>
        <w:lastRenderedPageBreak/>
        <w:t xml:space="preserve">Therefore, assessing the physical, chemical, and biological characteristics of groundwater in areas like </w:t>
      </w:r>
      <w:r w:rsidR="00663D3D" w:rsidRPr="000D6939">
        <w:rPr>
          <w:rFonts w:ascii="Arial" w:hAnsi="Arial" w:cs="Arial"/>
          <w:sz w:val="20"/>
          <w:szCs w:val="20"/>
        </w:rPr>
        <w:t>Rooma</w:t>
      </w:r>
      <w:r w:rsidRPr="000D6939">
        <w:rPr>
          <w:rFonts w:ascii="Arial" w:hAnsi="Arial" w:cs="Arial"/>
          <w:sz w:val="20"/>
          <w:szCs w:val="20"/>
        </w:rPr>
        <w:t xml:space="preserve"> is essential to understand the pollution levels and provide evidence-based recommendations for safe water use (</w:t>
      </w:r>
      <w:r w:rsidR="00ED0305" w:rsidRPr="000D6939">
        <w:rPr>
          <w:rFonts w:ascii="Arial" w:hAnsi="Arial" w:cs="Arial"/>
          <w:color w:val="222222"/>
          <w:sz w:val="20"/>
          <w:szCs w:val="20"/>
          <w:shd w:val="clear" w:color="auto" w:fill="FFFFFF"/>
        </w:rPr>
        <w:t>Shaji et al., 2024</w:t>
      </w:r>
      <w:r w:rsidRPr="000D6939">
        <w:rPr>
          <w:rFonts w:ascii="Arial" w:hAnsi="Arial" w:cs="Arial"/>
          <w:sz w:val="20"/>
          <w:szCs w:val="20"/>
        </w:rPr>
        <w:t>).</w:t>
      </w:r>
      <w:r w:rsidR="0049379A" w:rsidRPr="000D6939">
        <w:rPr>
          <w:rFonts w:ascii="Arial" w:hAnsi="Arial" w:cs="Arial"/>
          <w:sz w:val="20"/>
          <w:szCs w:val="20"/>
        </w:rPr>
        <w:t xml:space="preserve"> </w:t>
      </w:r>
    </w:p>
    <w:p w14:paraId="0C786281" w14:textId="77777777" w:rsidR="00B36449" w:rsidRDefault="0049379A" w:rsidP="00B36449">
      <w:pPr>
        <w:shd w:val="clear" w:color="auto" w:fill="FFFFFF"/>
        <w:rPr>
          <w:rFonts w:ascii="Arial" w:eastAsia="Times New Roman" w:hAnsi="Arial" w:cs="Arial"/>
          <w:color w:val="222222"/>
          <w:sz w:val="20"/>
          <w:szCs w:val="20"/>
          <w:lang w:bidi="hi-IN"/>
        </w:rPr>
      </w:pPr>
      <w:r w:rsidRPr="000D6939">
        <w:rPr>
          <w:rFonts w:ascii="Arial" w:eastAsia="Times New Roman" w:hAnsi="Arial" w:cs="Arial"/>
          <w:color w:val="222222"/>
          <w:sz w:val="20"/>
          <w:szCs w:val="20"/>
          <w:lang w:bidi="hi-IN"/>
        </w:rPr>
        <w:t>In Kanpur, groundwater vulnerability mapping using the DRASTIC model revealed zones of high susceptibility to pollution (Yadav &amp; Tripathi, 2021</w:t>
      </w:r>
      <w:r w:rsidR="00CF21F2" w:rsidRPr="000D6939">
        <w:rPr>
          <w:rFonts w:ascii="Arial" w:eastAsia="Times New Roman" w:hAnsi="Arial" w:cs="Arial"/>
          <w:color w:val="222222"/>
          <w:sz w:val="20"/>
          <w:szCs w:val="20"/>
          <w:lang w:bidi="hi-IN"/>
        </w:rPr>
        <w:t>).</w:t>
      </w:r>
      <w:r w:rsidR="00CF21F2" w:rsidRPr="0049379A">
        <w:rPr>
          <w:rFonts w:ascii="Arial" w:eastAsia="Times New Roman" w:hAnsi="Arial" w:cs="Arial"/>
          <w:color w:val="222222"/>
          <w:sz w:val="20"/>
          <w:szCs w:val="20"/>
          <w:lang w:bidi="hi-IN"/>
        </w:rPr>
        <w:t xml:space="preserve"> Regulatory</w:t>
      </w:r>
      <w:r w:rsidRPr="0049379A">
        <w:rPr>
          <w:rFonts w:ascii="Arial" w:eastAsia="Times New Roman" w:hAnsi="Arial" w:cs="Arial"/>
          <w:color w:val="222222"/>
          <w:sz w:val="20"/>
          <w:szCs w:val="20"/>
          <w:lang w:bidi="hi-IN"/>
        </w:rPr>
        <w:t xml:space="preserve"> standards, such as the National Primary Drinking Water Regulations, provide benchmarks for safe drinking water and act as a guideline for monitoring contamination (Environmental Protection Agency, 2021).</w:t>
      </w:r>
    </w:p>
    <w:p w14:paraId="7950A45F" w14:textId="37BAB180" w:rsidR="002B505E" w:rsidRPr="00782281" w:rsidRDefault="00782281" w:rsidP="00782281">
      <w:pPr>
        <w:shd w:val="clear" w:color="auto" w:fill="FFFFFF"/>
        <w:rPr>
          <w:b/>
          <w:bCs/>
        </w:rPr>
      </w:pPr>
      <w:r>
        <w:rPr>
          <w:rFonts w:ascii="Arial" w:hAnsi="Arial" w:cs="Arial"/>
          <w:b/>
          <w:bCs/>
          <w:color w:val="000000"/>
          <w:sz w:val="20"/>
          <w:szCs w:val="20"/>
        </w:rPr>
        <w:t xml:space="preserve">2. </w:t>
      </w:r>
      <w:r w:rsidR="00BF119B" w:rsidRPr="00782281">
        <w:rPr>
          <w:rFonts w:ascii="Arial" w:hAnsi="Arial" w:cs="Arial"/>
          <w:b/>
          <w:bCs/>
          <w:color w:val="000000"/>
          <w:sz w:val="20"/>
          <w:szCs w:val="20"/>
        </w:rPr>
        <w:t>METHODOLOGY</w:t>
      </w:r>
    </w:p>
    <w:p w14:paraId="5659208C" w14:textId="77777777" w:rsidR="00C2747B" w:rsidRPr="00DD1E00" w:rsidRDefault="00C2747B">
      <w:pPr>
        <w:framePr w:wrap="auto" w:vAnchor="page" w:hAnchor="page" w:x="1" w:y="15409"/>
        <w:rPr>
          <w:rFonts w:ascii="Arial" w:hAnsi="Arial" w:cs="Arial"/>
          <w:sz w:val="20"/>
          <w:szCs w:val="20"/>
          <w:lang w:val="en-IN"/>
        </w:rPr>
      </w:pPr>
    </w:p>
    <w:p w14:paraId="670DAB1A" w14:textId="4AEC8504" w:rsidR="00E44F6C" w:rsidRPr="00DD1E00" w:rsidRDefault="00797819">
      <w:pPr>
        <w:rPr>
          <w:rFonts w:ascii="Arial" w:hAnsi="Arial" w:cs="Arial"/>
          <w:sz w:val="20"/>
          <w:szCs w:val="20"/>
        </w:rPr>
      </w:pPr>
      <w:r w:rsidRPr="00DD1E00">
        <w:rPr>
          <w:rFonts w:ascii="Arial" w:hAnsi="Arial" w:cs="Arial"/>
          <w:sz w:val="20"/>
          <w:szCs w:val="20"/>
        </w:rPr>
        <w:t xml:space="preserve">This study was conducted in </w:t>
      </w:r>
      <w:r w:rsidR="00663D3D" w:rsidRPr="00DD1E00">
        <w:rPr>
          <w:rFonts w:ascii="Arial" w:hAnsi="Arial" w:cs="Arial"/>
          <w:sz w:val="20"/>
          <w:szCs w:val="20"/>
        </w:rPr>
        <w:t>Rooma</w:t>
      </w:r>
      <w:r w:rsidRPr="00DD1E00">
        <w:rPr>
          <w:rFonts w:ascii="Arial" w:hAnsi="Arial" w:cs="Arial"/>
          <w:sz w:val="20"/>
          <w:szCs w:val="20"/>
        </w:rPr>
        <w:t xml:space="preserve">, a semi-urban and rapidly industrializing locality located in the southern fringe of Kanpur city, Uttar Pradesh, India. Geographically, </w:t>
      </w:r>
      <w:r w:rsidR="00663D3D" w:rsidRPr="00DD1E00">
        <w:rPr>
          <w:rFonts w:ascii="Arial" w:hAnsi="Arial" w:cs="Arial"/>
          <w:sz w:val="20"/>
          <w:szCs w:val="20"/>
        </w:rPr>
        <w:t>Rooma</w:t>
      </w:r>
      <w:r w:rsidR="002B505E">
        <w:rPr>
          <w:rFonts w:ascii="Arial" w:hAnsi="Arial" w:cs="Arial"/>
          <w:sz w:val="20"/>
          <w:szCs w:val="20"/>
        </w:rPr>
        <w:t xml:space="preserve"> lies between latitude 26</w:t>
      </w:r>
      <w:r w:rsidR="002B505E">
        <w:rPr>
          <w:rFonts w:ascii="Arial" w:hAnsi="Arial" w:cs="Arial"/>
          <w:sz w:val="20"/>
          <w:szCs w:val="20"/>
          <w:vertAlign w:val="superscript"/>
        </w:rPr>
        <w:t xml:space="preserve">0 </w:t>
      </w:r>
      <w:r w:rsidR="002B505E">
        <w:rPr>
          <w:rFonts w:ascii="Arial" w:hAnsi="Arial" w:cs="Arial"/>
          <w:sz w:val="20"/>
          <w:szCs w:val="20"/>
        </w:rPr>
        <w:t>21</w:t>
      </w:r>
      <w:r w:rsidR="002B505E">
        <w:rPr>
          <w:rFonts w:ascii="Arial" w:hAnsi="Arial" w:cs="Arial"/>
          <w:sz w:val="20"/>
          <w:szCs w:val="20"/>
          <w:vertAlign w:val="superscript"/>
        </w:rPr>
        <w:t>‘</w:t>
      </w:r>
      <w:r w:rsidRPr="00DD1E00">
        <w:rPr>
          <w:rFonts w:ascii="Arial" w:hAnsi="Arial" w:cs="Arial"/>
          <w:sz w:val="20"/>
          <w:szCs w:val="20"/>
        </w:rPr>
        <w:t xml:space="preserve"> </w:t>
      </w:r>
      <w:r w:rsidR="002B505E">
        <w:rPr>
          <w:rFonts w:ascii="Arial" w:hAnsi="Arial" w:cs="Arial"/>
          <w:sz w:val="20"/>
          <w:szCs w:val="20"/>
        </w:rPr>
        <w:t xml:space="preserve">58“ N </w:t>
      </w:r>
      <w:r w:rsidRPr="00DD1E00">
        <w:rPr>
          <w:rFonts w:ascii="Arial" w:hAnsi="Arial" w:cs="Arial"/>
          <w:sz w:val="20"/>
          <w:szCs w:val="20"/>
        </w:rPr>
        <w:t>and longitude 80</w:t>
      </w:r>
      <w:r w:rsidR="002B505E">
        <w:rPr>
          <w:rFonts w:ascii="Arial" w:hAnsi="Arial" w:cs="Arial"/>
          <w:sz w:val="20"/>
          <w:szCs w:val="20"/>
          <w:vertAlign w:val="superscript"/>
        </w:rPr>
        <w:t>0</w:t>
      </w:r>
      <w:r w:rsidRPr="00DD1E00">
        <w:rPr>
          <w:rFonts w:ascii="Arial" w:hAnsi="Arial" w:cs="Arial"/>
          <w:sz w:val="20"/>
          <w:szCs w:val="20"/>
        </w:rPr>
        <w:t>.2</w:t>
      </w:r>
      <w:r w:rsidR="002B505E">
        <w:rPr>
          <w:rFonts w:ascii="Arial" w:hAnsi="Arial" w:cs="Arial"/>
          <w:sz w:val="20"/>
          <w:szCs w:val="20"/>
        </w:rPr>
        <w:t>5</w:t>
      </w:r>
      <w:r w:rsidR="002B505E">
        <w:rPr>
          <w:rFonts w:ascii="Arial" w:hAnsi="Arial" w:cs="Arial"/>
          <w:sz w:val="20"/>
          <w:szCs w:val="20"/>
          <w:vertAlign w:val="superscript"/>
        </w:rPr>
        <w:t>’</w:t>
      </w:r>
      <w:r w:rsidR="002B505E">
        <w:rPr>
          <w:rFonts w:ascii="Arial" w:hAnsi="Arial" w:cs="Arial"/>
          <w:sz w:val="20"/>
          <w:szCs w:val="20"/>
        </w:rPr>
        <w:t xml:space="preserve"> 25“ </w:t>
      </w:r>
      <w:r w:rsidR="002B505E">
        <w:rPr>
          <w:rFonts w:ascii="Arial" w:hAnsi="Arial" w:cs="Arial"/>
          <w:sz w:val="20"/>
          <w:szCs w:val="20"/>
          <w:vertAlign w:val="superscript"/>
        </w:rPr>
        <w:t>‘</w:t>
      </w:r>
      <w:r w:rsidRPr="00DD1E00">
        <w:rPr>
          <w:rFonts w:ascii="Arial" w:hAnsi="Arial" w:cs="Arial"/>
          <w:sz w:val="20"/>
          <w:szCs w:val="20"/>
        </w:rPr>
        <w:t>E, covering an area of approximately 6 to 8 square kilometers. The average elevation is around 125 meters above sea level, and the region falls under the alluvial p</w:t>
      </w:r>
      <w:r w:rsidR="00E44F6C" w:rsidRPr="00DD1E00">
        <w:rPr>
          <w:rFonts w:ascii="Arial" w:hAnsi="Arial" w:cs="Arial"/>
          <w:sz w:val="20"/>
          <w:szCs w:val="20"/>
        </w:rPr>
        <w:t>lains of the upper Ganga basin (Photograph 1).</w:t>
      </w:r>
    </w:p>
    <w:p w14:paraId="41D36B21" w14:textId="3394655C" w:rsidR="002C6548" w:rsidRPr="00DD1E00" w:rsidRDefault="00797819">
      <w:pPr>
        <w:rPr>
          <w:rFonts w:ascii="Arial" w:hAnsi="Arial" w:cs="Arial"/>
          <w:sz w:val="20"/>
          <w:szCs w:val="20"/>
        </w:rPr>
      </w:pPr>
      <w:r w:rsidRPr="00DD1E00">
        <w:rPr>
          <w:rFonts w:ascii="Arial" w:hAnsi="Arial" w:cs="Arial"/>
          <w:sz w:val="20"/>
          <w:szCs w:val="20"/>
        </w:rPr>
        <w:t xml:space="preserve">The area experiences a moderate climate with hot summers and mild </w:t>
      </w:r>
      <w:r w:rsidR="002B505E" w:rsidRPr="00DD1E00">
        <w:rPr>
          <w:rFonts w:ascii="Arial" w:hAnsi="Arial" w:cs="Arial"/>
          <w:sz w:val="20"/>
          <w:szCs w:val="20"/>
        </w:rPr>
        <w:t>winters. Over</w:t>
      </w:r>
      <w:r w:rsidRPr="00DD1E00">
        <w:rPr>
          <w:rFonts w:ascii="Arial" w:hAnsi="Arial" w:cs="Arial"/>
          <w:sz w:val="20"/>
          <w:szCs w:val="20"/>
        </w:rPr>
        <w:t xml:space="preserve"> the past two decades, </w:t>
      </w:r>
      <w:r w:rsidR="00663D3D" w:rsidRPr="00DD1E00">
        <w:rPr>
          <w:rFonts w:ascii="Arial" w:hAnsi="Arial" w:cs="Arial"/>
          <w:sz w:val="20"/>
          <w:szCs w:val="20"/>
        </w:rPr>
        <w:t>Rooma</w:t>
      </w:r>
      <w:r w:rsidRPr="00DD1E00">
        <w:rPr>
          <w:rFonts w:ascii="Arial" w:hAnsi="Arial" w:cs="Arial"/>
          <w:sz w:val="20"/>
          <w:szCs w:val="20"/>
        </w:rPr>
        <w:t xml:space="preserve"> has witnessed significant industrial expansion. The locality is home to various small and medium-scale industries, including leather tanning units, textile dyeing and printing factories, electroplating and metal processing industries, rubber, foam, and plastic molding units, and chemical-based manufacturing plants. These industries, often located close to residential areas, discharge waste into the environment, contributing to soil and groundwater contamination. The main source of water for residents is groundwat</w:t>
      </w:r>
      <w:r w:rsidR="000113EE">
        <w:rPr>
          <w:rFonts w:ascii="Arial" w:hAnsi="Arial" w:cs="Arial"/>
          <w:sz w:val="20"/>
          <w:szCs w:val="20"/>
        </w:rPr>
        <w:t>er, accessed through hand pumps, submersibles</w:t>
      </w:r>
      <w:r w:rsidR="00BD6D1B">
        <w:rPr>
          <w:rFonts w:ascii="Arial" w:hAnsi="Arial" w:cs="Arial"/>
          <w:sz w:val="20"/>
          <w:szCs w:val="20"/>
        </w:rPr>
        <w:t>,</w:t>
      </w:r>
      <w:r w:rsidR="000113EE">
        <w:rPr>
          <w:rFonts w:ascii="Arial" w:hAnsi="Arial" w:cs="Arial"/>
          <w:sz w:val="20"/>
          <w:szCs w:val="20"/>
        </w:rPr>
        <w:t xml:space="preserve"> </w:t>
      </w:r>
      <w:r w:rsidRPr="00DD1E00">
        <w:rPr>
          <w:rFonts w:ascii="Arial" w:hAnsi="Arial" w:cs="Arial"/>
          <w:sz w:val="20"/>
          <w:szCs w:val="20"/>
        </w:rPr>
        <w:t xml:space="preserve">and deep </w:t>
      </w:r>
      <w:r w:rsidR="003B6E59" w:rsidRPr="00DD1E00">
        <w:rPr>
          <w:rFonts w:ascii="Arial" w:hAnsi="Arial" w:cs="Arial"/>
          <w:sz w:val="20"/>
          <w:szCs w:val="20"/>
        </w:rPr>
        <w:t>bore wells</w:t>
      </w:r>
      <w:r w:rsidRPr="00DD1E00">
        <w:rPr>
          <w:rFonts w:ascii="Arial" w:hAnsi="Arial" w:cs="Arial"/>
          <w:sz w:val="20"/>
          <w:szCs w:val="20"/>
        </w:rPr>
        <w:t>. The groundwater depth varies between 25 and 45 meters, depending on the season and usage patterns (</w:t>
      </w:r>
      <w:r w:rsidR="004833CB">
        <w:rPr>
          <w:rFonts w:ascii="Arial" w:hAnsi="Arial" w:cs="Arial"/>
          <w:color w:val="222222"/>
          <w:shd w:val="clear" w:color="auto" w:fill="FFFFFF"/>
        </w:rPr>
        <w:t>Misra, 2013</w:t>
      </w:r>
      <w:r w:rsidRPr="00DD1E00">
        <w:rPr>
          <w:rFonts w:ascii="Arial" w:hAnsi="Arial" w:cs="Arial"/>
          <w:sz w:val="20"/>
          <w:szCs w:val="20"/>
        </w:rPr>
        <w:t xml:space="preserve">; </w:t>
      </w:r>
      <w:r w:rsidR="00A41DB1">
        <w:rPr>
          <w:rFonts w:ascii="Arial" w:hAnsi="Arial" w:cs="Arial"/>
          <w:color w:val="222222"/>
          <w:shd w:val="clear" w:color="auto" w:fill="FFFFFF"/>
        </w:rPr>
        <w:t>Fathi et al., 2021)</w:t>
      </w:r>
      <w:r w:rsidRPr="00DD1E00">
        <w:rPr>
          <w:rFonts w:ascii="Arial" w:hAnsi="Arial" w:cs="Arial"/>
          <w:sz w:val="20"/>
          <w:szCs w:val="20"/>
        </w:rPr>
        <w:t>.</w:t>
      </w:r>
    </w:p>
    <w:p w14:paraId="0B8B5B16" w14:textId="77777777" w:rsidR="002C6548" w:rsidRPr="00DD1E00" w:rsidRDefault="002C6548">
      <w:pPr>
        <w:rPr>
          <w:rFonts w:ascii="Arial" w:hAnsi="Arial" w:cs="Arial"/>
          <w:sz w:val="20"/>
          <w:szCs w:val="20"/>
        </w:rPr>
      </w:pPr>
      <w:r w:rsidRPr="00DD1E00">
        <w:rPr>
          <w:rFonts w:ascii="Arial" w:hAnsi="Arial" w:cs="Arial"/>
          <w:noProof/>
          <w:sz w:val="20"/>
          <w:szCs w:val="20"/>
          <w:lang w:bidi="hi-IN"/>
        </w:rPr>
        <w:drawing>
          <wp:inline distT="0" distB="0" distL="0" distR="0" wp14:anchorId="36763E19" wp14:editId="7904C506">
            <wp:extent cx="3724275" cy="2047875"/>
            <wp:effectExtent l="0" t="0" r="9525" b="9525"/>
            <wp:docPr id="1" name="Picture 1" descr="C:\Users\Saras\Downloads\Screenshot_20250916_123442_Ma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ras\Downloads\Screenshot_20250916_123442_Map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6892" cy="2049314"/>
                    </a:xfrm>
                    <a:prstGeom prst="rect">
                      <a:avLst/>
                    </a:prstGeom>
                    <a:noFill/>
                    <a:ln>
                      <a:noFill/>
                    </a:ln>
                  </pic:spPr>
                </pic:pic>
              </a:graphicData>
            </a:graphic>
          </wp:inline>
        </w:drawing>
      </w:r>
    </w:p>
    <w:p w14:paraId="65D0A8D3" w14:textId="28A03094" w:rsidR="00BD6D1B" w:rsidRDefault="002C6548">
      <w:pPr>
        <w:rPr>
          <w:rFonts w:ascii="Arial" w:hAnsi="Arial" w:cs="Arial"/>
          <w:sz w:val="20"/>
          <w:szCs w:val="20"/>
        </w:rPr>
      </w:pPr>
      <w:r w:rsidRPr="00DD1E00">
        <w:rPr>
          <w:rFonts w:ascii="Arial" w:hAnsi="Arial" w:cs="Arial"/>
          <w:sz w:val="20"/>
          <w:szCs w:val="20"/>
        </w:rPr>
        <w:t>P</w:t>
      </w:r>
      <w:r w:rsidR="009433E9">
        <w:rPr>
          <w:rFonts w:ascii="Arial" w:hAnsi="Arial" w:cs="Arial"/>
          <w:sz w:val="20"/>
          <w:szCs w:val="20"/>
        </w:rPr>
        <w:t>ic</w:t>
      </w:r>
      <w:r w:rsidRPr="00DD1E00">
        <w:rPr>
          <w:rFonts w:ascii="Arial" w:hAnsi="Arial" w:cs="Arial"/>
          <w:sz w:val="20"/>
          <w:szCs w:val="20"/>
        </w:rPr>
        <w:t xml:space="preserve"> 1- Satellite view of </w:t>
      </w:r>
      <w:r w:rsidR="00E44F6C" w:rsidRPr="00DD1E00">
        <w:rPr>
          <w:rFonts w:ascii="Arial" w:hAnsi="Arial" w:cs="Arial"/>
          <w:sz w:val="20"/>
          <w:szCs w:val="20"/>
        </w:rPr>
        <w:t xml:space="preserve">the </w:t>
      </w:r>
      <w:r w:rsidRPr="00DD1E00">
        <w:rPr>
          <w:rFonts w:ascii="Arial" w:hAnsi="Arial" w:cs="Arial"/>
          <w:sz w:val="20"/>
          <w:szCs w:val="20"/>
        </w:rPr>
        <w:t xml:space="preserve">site Rooma </w:t>
      </w:r>
      <w:r w:rsidR="00797819" w:rsidRPr="00DD1E00">
        <w:rPr>
          <w:rFonts w:ascii="Arial" w:hAnsi="Arial" w:cs="Arial"/>
          <w:sz w:val="20"/>
          <w:szCs w:val="20"/>
        </w:rPr>
        <w:br/>
      </w:r>
    </w:p>
    <w:p w14:paraId="7A8E8787" w14:textId="3E78B677" w:rsidR="00605FC2" w:rsidRDefault="00797819">
      <w:pPr>
        <w:rPr>
          <w:rFonts w:ascii="Arial" w:hAnsi="Arial" w:cs="Arial"/>
          <w:sz w:val="20"/>
          <w:szCs w:val="20"/>
        </w:rPr>
      </w:pPr>
      <w:r w:rsidRPr="00DD1E00">
        <w:rPr>
          <w:rFonts w:ascii="Arial" w:hAnsi="Arial" w:cs="Arial"/>
          <w:sz w:val="20"/>
          <w:szCs w:val="20"/>
        </w:rPr>
        <w:t xml:space="preserve">To evaluate the quality of groundwater in this area, </w:t>
      </w:r>
      <w:r w:rsidR="00DC50F3" w:rsidRPr="00DD1E00">
        <w:rPr>
          <w:rFonts w:ascii="Arial" w:hAnsi="Arial" w:cs="Arial"/>
          <w:sz w:val="20"/>
          <w:szCs w:val="20"/>
        </w:rPr>
        <w:t>w</w:t>
      </w:r>
      <w:r w:rsidRPr="00DD1E00">
        <w:rPr>
          <w:rFonts w:ascii="Arial" w:hAnsi="Arial" w:cs="Arial"/>
          <w:sz w:val="20"/>
          <w:szCs w:val="20"/>
        </w:rPr>
        <w:t>ater samples were collected</w:t>
      </w:r>
      <w:r w:rsidR="00BD6D1B">
        <w:rPr>
          <w:rFonts w:ascii="Arial" w:hAnsi="Arial" w:cs="Arial"/>
          <w:sz w:val="20"/>
          <w:szCs w:val="20"/>
        </w:rPr>
        <w:t xml:space="preserve"> randomly</w:t>
      </w:r>
      <w:r w:rsidRPr="00DD1E00">
        <w:rPr>
          <w:rFonts w:ascii="Arial" w:hAnsi="Arial" w:cs="Arial"/>
          <w:sz w:val="20"/>
          <w:szCs w:val="20"/>
        </w:rPr>
        <w:t xml:space="preserve"> from public hand pumps</w:t>
      </w:r>
      <w:r w:rsidR="00BD6D1B">
        <w:rPr>
          <w:rFonts w:ascii="Arial" w:hAnsi="Arial" w:cs="Arial"/>
          <w:sz w:val="20"/>
          <w:szCs w:val="20"/>
        </w:rPr>
        <w:t>, submersibles,</w:t>
      </w:r>
      <w:r w:rsidRPr="00DD1E00">
        <w:rPr>
          <w:rFonts w:ascii="Arial" w:hAnsi="Arial" w:cs="Arial"/>
          <w:sz w:val="20"/>
          <w:szCs w:val="20"/>
        </w:rPr>
        <w:t xml:space="preserve"> and private </w:t>
      </w:r>
      <w:r w:rsidR="00C21CDA" w:rsidRPr="00DD1E00">
        <w:rPr>
          <w:rFonts w:ascii="Arial" w:hAnsi="Arial" w:cs="Arial"/>
          <w:sz w:val="20"/>
          <w:szCs w:val="20"/>
        </w:rPr>
        <w:t>bore wells</w:t>
      </w:r>
      <w:r w:rsidRPr="00DD1E00">
        <w:rPr>
          <w:rFonts w:ascii="Arial" w:hAnsi="Arial" w:cs="Arial"/>
          <w:sz w:val="20"/>
          <w:szCs w:val="20"/>
        </w:rPr>
        <w:t xml:space="preserve"> </w:t>
      </w:r>
      <w:r w:rsidR="00D93CAA" w:rsidRPr="00DD1E00">
        <w:rPr>
          <w:rFonts w:ascii="Arial" w:hAnsi="Arial" w:cs="Arial"/>
          <w:sz w:val="20"/>
          <w:szCs w:val="20"/>
        </w:rPr>
        <w:t>monthly</w:t>
      </w:r>
      <w:r w:rsidR="00DC50F3" w:rsidRPr="00DD1E00">
        <w:rPr>
          <w:rFonts w:ascii="Arial" w:hAnsi="Arial" w:cs="Arial"/>
          <w:sz w:val="20"/>
          <w:szCs w:val="20"/>
        </w:rPr>
        <w:t xml:space="preserve"> from residential, industrial, and semi-rural zones</w:t>
      </w:r>
      <w:r w:rsidR="00940971">
        <w:rPr>
          <w:rFonts w:ascii="Arial" w:hAnsi="Arial" w:cs="Arial"/>
          <w:sz w:val="20"/>
          <w:szCs w:val="20"/>
        </w:rPr>
        <w:t xml:space="preserve">. </w:t>
      </w:r>
      <w:r w:rsidR="00940971" w:rsidRPr="00DD1E00">
        <w:rPr>
          <w:rFonts w:ascii="Arial" w:hAnsi="Arial" w:cs="Arial"/>
          <w:sz w:val="20"/>
          <w:szCs w:val="20"/>
        </w:rPr>
        <w:t>The collected samples were stored in pre-cleaned, sterilized polyethylene bottles and labeled accurately for laboratory testing</w:t>
      </w:r>
      <w:r w:rsidR="00940971">
        <w:rPr>
          <w:rFonts w:ascii="Arial" w:hAnsi="Arial" w:cs="Arial"/>
          <w:sz w:val="20"/>
          <w:szCs w:val="20"/>
        </w:rPr>
        <w:t xml:space="preserve"> for getting a</w:t>
      </w:r>
      <w:r w:rsidR="00D93CAA" w:rsidRPr="00DD1E00">
        <w:rPr>
          <w:rFonts w:ascii="Arial" w:hAnsi="Arial" w:cs="Arial"/>
          <w:sz w:val="20"/>
          <w:szCs w:val="20"/>
        </w:rPr>
        <w:t xml:space="preserve"> complete picture on variation in parameters</w:t>
      </w:r>
      <w:r w:rsidR="00982B9A">
        <w:rPr>
          <w:rFonts w:ascii="Arial" w:hAnsi="Arial" w:cs="Arial"/>
          <w:sz w:val="20"/>
          <w:szCs w:val="20"/>
        </w:rPr>
        <w:t>.</w:t>
      </w:r>
      <w:r w:rsidR="00605FC2">
        <w:rPr>
          <w:rFonts w:ascii="Arial" w:hAnsi="Arial" w:cs="Arial"/>
          <w:sz w:val="20"/>
          <w:szCs w:val="20"/>
        </w:rPr>
        <w:t xml:space="preserve"> </w:t>
      </w:r>
      <w:r w:rsidR="00605FC2" w:rsidRPr="00DD1E00">
        <w:rPr>
          <w:rFonts w:ascii="Arial" w:hAnsi="Arial" w:cs="Arial"/>
          <w:sz w:val="20"/>
          <w:szCs w:val="20"/>
        </w:rPr>
        <w:t>The analysis focused on key physical, chemical, and biological parameters, which are important indicators of groundwater quality.</w:t>
      </w:r>
      <w:r w:rsidR="00940971">
        <w:rPr>
          <w:rFonts w:ascii="Arial" w:hAnsi="Arial" w:cs="Arial"/>
          <w:sz w:val="20"/>
          <w:szCs w:val="20"/>
        </w:rPr>
        <w:t xml:space="preserve"> </w:t>
      </w:r>
      <w:r w:rsidR="00982B9A">
        <w:rPr>
          <w:rFonts w:ascii="Arial" w:hAnsi="Arial" w:cs="Arial"/>
          <w:sz w:val="20"/>
          <w:szCs w:val="20"/>
        </w:rPr>
        <w:t>D</w:t>
      </w:r>
      <w:r w:rsidR="00EF5892">
        <w:rPr>
          <w:rFonts w:ascii="Arial" w:hAnsi="Arial" w:cs="Arial"/>
          <w:sz w:val="20"/>
          <w:szCs w:val="20"/>
        </w:rPr>
        <w:t>uring</w:t>
      </w:r>
      <w:r w:rsidR="00475CD4" w:rsidRPr="00DD1E00">
        <w:rPr>
          <w:rFonts w:ascii="Arial" w:hAnsi="Arial" w:cs="Arial"/>
          <w:sz w:val="20"/>
          <w:szCs w:val="20"/>
        </w:rPr>
        <w:t xml:space="preserve"> </w:t>
      </w:r>
      <w:r w:rsidR="00E60B9E">
        <w:rPr>
          <w:rFonts w:ascii="Arial" w:hAnsi="Arial" w:cs="Arial"/>
          <w:sz w:val="20"/>
          <w:szCs w:val="20"/>
        </w:rPr>
        <w:t>post-monsoon</w:t>
      </w:r>
      <w:r w:rsidR="00475CD4" w:rsidRPr="00DD1E00">
        <w:rPr>
          <w:rFonts w:ascii="Arial" w:hAnsi="Arial" w:cs="Arial"/>
          <w:sz w:val="20"/>
          <w:szCs w:val="20"/>
        </w:rPr>
        <w:t xml:space="preserve"> season</w:t>
      </w:r>
      <w:r w:rsidR="00D5480F" w:rsidRPr="00DD1E00">
        <w:rPr>
          <w:rFonts w:ascii="Arial" w:hAnsi="Arial" w:cs="Arial"/>
          <w:sz w:val="20"/>
          <w:szCs w:val="20"/>
        </w:rPr>
        <w:t>, it</w:t>
      </w:r>
      <w:r w:rsidR="00475CD4" w:rsidRPr="00DD1E00">
        <w:rPr>
          <w:rFonts w:ascii="Arial" w:hAnsi="Arial" w:cs="Arial"/>
          <w:sz w:val="20"/>
          <w:szCs w:val="20"/>
        </w:rPr>
        <w:t xml:space="preserve"> </w:t>
      </w:r>
      <w:r w:rsidRPr="00DD1E00">
        <w:rPr>
          <w:rFonts w:ascii="Arial" w:hAnsi="Arial" w:cs="Arial"/>
          <w:sz w:val="20"/>
          <w:szCs w:val="20"/>
        </w:rPr>
        <w:t>reflects a relatively stabilized aquifer condition after natural recharge.</w:t>
      </w:r>
      <w:r w:rsidR="00D5480F" w:rsidRPr="00DD1E00">
        <w:rPr>
          <w:rFonts w:ascii="Arial" w:hAnsi="Arial" w:cs="Arial"/>
          <w:sz w:val="20"/>
          <w:szCs w:val="20"/>
        </w:rPr>
        <w:t xml:space="preserve"> </w:t>
      </w:r>
    </w:p>
    <w:p w14:paraId="565B54F5" w14:textId="1DD13B08" w:rsidR="001255AA" w:rsidRDefault="00D64271">
      <w:pPr>
        <w:rPr>
          <w:rFonts w:ascii="Arial" w:hAnsi="Arial" w:cs="Arial"/>
          <w:sz w:val="20"/>
          <w:szCs w:val="20"/>
        </w:rPr>
      </w:pPr>
      <w:r>
        <w:rPr>
          <w:rFonts w:ascii="Arial" w:hAnsi="Arial" w:cs="Arial"/>
          <w:sz w:val="20"/>
          <w:szCs w:val="20"/>
        </w:rPr>
        <w:lastRenderedPageBreak/>
        <w:t>The temperature</w:t>
      </w:r>
      <w:r w:rsidR="00E4067F" w:rsidRPr="00DD1E00">
        <w:rPr>
          <w:rFonts w:ascii="Arial" w:hAnsi="Arial" w:cs="Arial"/>
          <w:sz w:val="20"/>
          <w:szCs w:val="20"/>
        </w:rPr>
        <w:t xml:space="preserve"> </w:t>
      </w:r>
      <w:r w:rsidR="00605FC2">
        <w:rPr>
          <w:rFonts w:ascii="Arial" w:hAnsi="Arial" w:cs="Arial"/>
          <w:sz w:val="20"/>
          <w:szCs w:val="20"/>
        </w:rPr>
        <w:t xml:space="preserve">was measured by </w:t>
      </w:r>
      <w:r>
        <w:rPr>
          <w:rFonts w:ascii="Arial" w:hAnsi="Arial" w:cs="Arial"/>
          <w:sz w:val="20"/>
          <w:szCs w:val="20"/>
        </w:rPr>
        <w:t xml:space="preserve">a </w:t>
      </w:r>
      <w:r w:rsidR="00605FC2">
        <w:rPr>
          <w:rFonts w:ascii="Arial" w:hAnsi="Arial" w:cs="Arial"/>
          <w:sz w:val="20"/>
          <w:szCs w:val="20"/>
        </w:rPr>
        <w:t xml:space="preserve">calibrated </w:t>
      </w:r>
      <w:r w:rsidR="00605FC2" w:rsidRPr="00DD1E00">
        <w:rPr>
          <w:rFonts w:ascii="Arial" w:hAnsi="Arial" w:cs="Arial"/>
          <w:sz w:val="20"/>
          <w:szCs w:val="20"/>
        </w:rPr>
        <w:t xml:space="preserve">digital </w:t>
      </w:r>
      <w:r w:rsidR="00605FC2">
        <w:rPr>
          <w:rFonts w:ascii="Arial" w:hAnsi="Arial" w:cs="Arial"/>
          <w:sz w:val="20"/>
          <w:szCs w:val="20"/>
        </w:rPr>
        <w:t>thermometer.</w:t>
      </w:r>
      <w:r w:rsidR="00A51A52">
        <w:rPr>
          <w:rFonts w:ascii="Arial" w:hAnsi="Arial" w:cs="Arial"/>
          <w:sz w:val="20"/>
          <w:szCs w:val="20"/>
        </w:rPr>
        <w:t xml:space="preserve"> </w:t>
      </w:r>
      <w:r w:rsidR="00E4067F" w:rsidRPr="00DD1E00">
        <w:rPr>
          <w:rFonts w:ascii="Arial" w:hAnsi="Arial" w:cs="Arial"/>
          <w:sz w:val="20"/>
          <w:szCs w:val="20"/>
        </w:rPr>
        <w:t xml:space="preserve"> </w:t>
      </w:r>
      <w:r w:rsidR="000115D9" w:rsidRPr="00DD1E00">
        <w:rPr>
          <w:rFonts w:ascii="Arial" w:hAnsi="Arial" w:cs="Arial"/>
          <w:sz w:val="20"/>
          <w:szCs w:val="20"/>
        </w:rPr>
        <w:t>pH w</w:t>
      </w:r>
      <w:r w:rsidR="00605FC2">
        <w:rPr>
          <w:rFonts w:ascii="Arial" w:hAnsi="Arial" w:cs="Arial"/>
          <w:sz w:val="20"/>
          <w:szCs w:val="20"/>
        </w:rPr>
        <w:t xml:space="preserve">as </w:t>
      </w:r>
      <w:r>
        <w:rPr>
          <w:rFonts w:ascii="Arial" w:hAnsi="Arial" w:cs="Arial"/>
          <w:sz w:val="20"/>
          <w:szCs w:val="20"/>
        </w:rPr>
        <w:t xml:space="preserve">also </w:t>
      </w:r>
      <w:r w:rsidR="00605FC2">
        <w:rPr>
          <w:rFonts w:ascii="Arial" w:hAnsi="Arial" w:cs="Arial"/>
          <w:sz w:val="20"/>
          <w:szCs w:val="20"/>
        </w:rPr>
        <w:t>measured</w:t>
      </w:r>
      <w:r>
        <w:rPr>
          <w:rFonts w:ascii="Arial" w:hAnsi="Arial" w:cs="Arial"/>
          <w:sz w:val="20"/>
          <w:szCs w:val="20"/>
        </w:rPr>
        <w:t xml:space="preserve"> by</w:t>
      </w:r>
      <w:r w:rsidR="00605FC2">
        <w:rPr>
          <w:rFonts w:ascii="Arial" w:hAnsi="Arial" w:cs="Arial"/>
          <w:sz w:val="20"/>
          <w:szCs w:val="20"/>
        </w:rPr>
        <w:t xml:space="preserve"> using a calibrated </w:t>
      </w:r>
      <w:r w:rsidR="000115D9" w:rsidRPr="00DD1E00">
        <w:rPr>
          <w:rFonts w:ascii="Arial" w:hAnsi="Arial" w:cs="Arial"/>
          <w:sz w:val="20"/>
          <w:szCs w:val="20"/>
        </w:rPr>
        <w:t>digital</w:t>
      </w:r>
      <w:r w:rsidR="00A85925" w:rsidRPr="00DD1E00">
        <w:rPr>
          <w:rFonts w:ascii="Arial" w:hAnsi="Arial" w:cs="Arial"/>
          <w:sz w:val="20"/>
          <w:szCs w:val="20"/>
        </w:rPr>
        <w:t xml:space="preserve"> </w:t>
      </w:r>
      <w:r w:rsidR="00605FC2">
        <w:rPr>
          <w:rFonts w:ascii="Arial" w:hAnsi="Arial" w:cs="Arial"/>
          <w:sz w:val="20"/>
          <w:szCs w:val="20"/>
        </w:rPr>
        <w:t>meter to</w:t>
      </w:r>
      <w:r w:rsidR="000115D9" w:rsidRPr="00DD1E00">
        <w:rPr>
          <w:rFonts w:ascii="Arial" w:hAnsi="Arial" w:cs="Arial"/>
          <w:sz w:val="20"/>
          <w:szCs w:val="20"/>
        </w:rPr>
        <w:t xml:space="preserve"> assess the acidity or alkalinity of water. Acceptable limits </w:t>
      </w:r>
      <w:r w:rsidR="008677E1" w:rsidRPr="00DD1E00">
        <w:rPr>
          <w:rFonts w:ascii="Arial" w:hAnsi="Arial" w:cs="Arial"/>
          <w:sz w:val="20"/>
          <w:szCs w:val="20"/>
        </w:rPr>
        <w:t xml:space="preserve">for pH </w:t>
      </w:r>
      <w:r w:rsidR="000115D9" w:rsidRPr="00DD1E00">
        <w:rPr>
          <w:rFonts w:ascii="Arial" w:hAnsi="Arial" w:cs="Arial"/>
          <w:sz w:val="20"/>
          <w:szCs w:val="20"/>
        </w:rPr>
        <w:t>lie between 6.5 to 8.5 as per BIS (2021) and WHO (2022) guidelines.</w:t>
      </w:r>
    </w:p>
    <w:p w14:paraId="024D5CA0" w14:textId="4F1C8C27" w:rsidR="001255AA" w:rsidRDefault="001255AA" w:rsidP="00F85D42">
      <w:pPr>
        <w:shd w:val="clear" w:color="auto" w:fill="FFFFFF"/>
        <w:spacing w:after="0" w:line="240" w:lineRule="auto"/>
        <w:jc w:val="both"/>
        <w:rPr>
          <w:rFonts w:ascii="Arial" w:hAnsi="Arial" w:cs="Arial"/>
          <w:sz w:val="20"/>
          <w:szCs w:val="20"/>
        </w:rPr>
      </w:pPr>
      <w:r w:rsidRPr="00F31841">
        <w:rPr>
          <w:rFonts w:ascii="Arial" w:hAnsi="Arial" w:cs="Arial"/>
          <w:sz w:val="20"/>
          <w:szCs w:val="20"/>
          <w:lang w:val="en-IN"/>
        </w:rPr>
        <w:t>The APHA (2012) standard operating procedures will be used to the analysis of some chemical parameters</w:t>
      </w:r>
      <w:r w:rsidR="00EA3166" w:rsidRPr="00F31841">
        <w:rPr>
          <w:rFonts w:ascii="Arial" w:hAnsi="Arial" w:cs="Arial"/>
          <w:sz w:val="20"/>
          <w:szCs w:val="20"/>
          <w:lang w:val="en-IN"/>
        </w:rPr>
        <w:t xml:space="preserve"> by laboratory procedures</w:t>
      </w:r>
      <w:r w:rsidR="002141D3" w:rsidRPr="00F31841">
        <w:rPr>
          <w:rFonts w:ascii="Arial" w:hAnsi="Arial" w:cs="Arial"/>
          <w:sz w:val="20"/>
          <w:szCs w:val="20"/>
          <w:lang w:val="en-IN"/>
        </w:rPr>
        <w:t>,</w:t>
      </w:r>
      <w:r w:rsidR="00EA3166" w:rsidRPr="00F31841">
        <w:rPr>
          <w:rFonts w:ascii="Arial" w:hAnsi="Arial" w:cs="Arial"/>
          <w:sz w:val="20"/>
          <w:szCs w:val="20"/>
          <w:lang w:val="en-IN"/>
        </w:rPr>
        <w:t xml:space="preserve"> and few</w:t>
      </w:r>
      <w:r w:rsidRPr="00F31841">
        <w:rPr>
          <w:rFonts w:ascii="Arial" w:hAnsi="Arial" w:cs="Arial"/>
          <w:sz w:val="20"/>
          <w:szCs w:val="20"/>
          <w:lang w:val="en-IN"/>
        </w:rPr>
        <w:t xml:space="preserve"> parameters </w:t>
      </w:r>
      <w:r w:rsidR="002141D3" w:rsidRPr="00F31841">
        <w:rPr>
          <w:rFonts w:ascii="Arial" w:hAnsi="Arial" w:cs="Arial"/>
          <w:sz w:val="20"/>
          <w:szCs w:val="20"/>
          <w:lang w:val="en-IN"/>
        </w:rPr>
        <w:t xml:space="preserve">were </w:t>
      </w:r>
      <w:r w:rsidRPr="00F31841">
        <w:rPr>
          <w:rFonts w:ascii="Arial" w:hAnsi="Arial" w:cs="Arial"/>
          <w:sz w:val="20"/>
          <w:szCs w:val="20"/>
          <w:lang w:val="en-IN"/>
        </w:rPr>
        <w:t>ascertained using analytical</w:t>
      </w:r>
      <w:r w:rsidR="00782281" w:rsidRPr="00F31841">
        <w:rPr>
          <w:rFonts w:ascii="Arial" w:hAnsi="Arial" w:cs="Arial"/>
          <w:sz w:val="20"/>
          <w:szCs w:val="20"/>
          <w:lang w:val="en-IN"/>
        </w:rPr>
        <w:t xml:space="preserve"> testing</w:t>
      </w:r>
      <w:r w:rsidRPr="00F31841">
        <w:rPr>
          <w:rFonts w:ascii="Arial" w:hAnsi="Arial" w:cs="Arial"/>
          <w:sz w:val="20"/>
          <w:szCs w:val="20"/>
          <w:lang w:val="en-IN"/>
        </w:rPr>
        <w:t xml:space="preserve"> kits</w:t>
      </w:r>
      <w:r w:rsidR="00D5480F" w:rsidRPr="00F31841">
        <w:rPr>
          <w:rFonts w:ascii="Arial" w:hAnsi="Arial" w:cs="Arial"/>
          <w:sz w:val="20"/>
          <w:szCs w:val="20"/>
          <w:lang w:val="en-IN"/>
        </w:rPr>
        <w:t>.</w:t>
      </w:r>
      <w:r w:rsidR="004C70B9" w:rsidRPr="00F31841">
        <w:rPr>
          <w:rFonts w:ascii="Arial" w:hAnsi="Arial" w:cs="Arial"/>
          <w:sz w:val="20"/>
          <w:szCs w:val="20"/>
          <w:lang w:val="en-IN"/>
        </w:rPr>
        <w:t xml:space="preserve"> </w:t>
      </w:r>
      <w:r w:rsidR="00DD2C99" w:rsidRPr="00F31841">
        <w:rPr>
          <w:rFonts w:ascii="Arial" w:hAnsi="Arial" w:cs="Arial"/>
          <w:sz w:val="20"/>
          <w:szCs w:val="20"/>
          <w:lang w:val="en-IN"/>
        </w:rPr>
        <w:t>F</w:t>
      </w:r>
      <w:r w:rsidR="00D93CAA" w:rsidRPr="00F31841">
        <w:rPr>
          <w:rFonts w:ascii="Arial" w:hAnsi="Arial" w:cs="Arial"/>
          <w:sz w:val="20"/>
          <w:szCs w:val="20"/>
          <w:lang w:val="en-IN"/>
        </w:rPr>
        <w:t>or</w:t>
      </w:r>
      <w:r w:rsidRPr="00F31841">
        <w:rPr>
          <w:rFonts w:ascii="Arial" w:hAnsi="Arial" w:cs="Arial"/>
          <w:sz w:val="20"/>
          <w:szCs w:val="20"/>
          <w:lang w:val="en-IN"/>
        </w:rPr>
        <w:t xml:space="preserve"> several metrics, such as hardness, total alkalinity, free carbon dioxide, and chloride, </w:t>
      </w:r>
      <w:r w:rsidR="00264B21">
        <w:rPr>
          <w:rFonts w:ascii="Arial" w:hAnsi="Arial" w:cs="Arial"/>
          <w:sz w:val="20"/>
          <w:szCs w:val="20"/>
          <w:lang w:val="en-IN"/>
        </w:rPr>
        <w:t xml:space="preserve">the </w:t>
      </w:r>
      <w:r w:rsidRPr="00F31841">
        <w:rPr>
          <w:rFonts w:ascii="Arial" w:hAnsi="Arial" w:cs="Arial"/>
          <w:sz w:val="20"/>
          <w:szCs w:val="20"/>
          <w:lang w:val="en-IN"/>
        </w:rPr>
        <w:t>titration</w:t>
      </w:r>
      <w:r w:rsidR="00D64271" w:rsidRPr="00F31841">
        <w:rPr>
          <w:rFonts w:ascii="Arial" w:hAnsi="Arial" w:cs="Arial"/>
          <w:sz w:val="20"/>
          <w:szCs w:val="20"/>
          <w:lang w:val="en-IN"/>
        </w:rPr>
        <w:t xml:space="preserve"> method was</w:t>
      </w:r>
      <w:r w:rsidRPr="00F31841">
        <w:rPr>
          <w:rFonts w:ascii="Arial" w:hAnsi="Arial" w:cs="Arial"/>
          <w:sz w:val="20"/>
          <w:szCs w:val="20"/>
          <w:lang w:val="en-IN"/>
        </w:rPr>
        <w:t xml:space="preserve"> </w:t>
      </w:r>
      <w:r w:rsidR="00A95412" w:rsidRPr="00F31841">
        <w:rPr>
          <w:rFonts w:ascii="Arial" w:hAnsi="Arial" w:cs="Arial"/>
          <w:sz w:val="20"/>
          <w:szCs w:val="20"/>
          <w:lang w:val="en-IN"/>
        </w:rPr>
        <w:t xml:space="preserve">used for </w:t>
      </w:r>
      <w:r w:rsidR="00EF4FE8" w:rsidRPr="00F31841">
        <w:rPr>
          <w:rFonts w:ascii="Arial" w:hAnsi="Arial" w:cs="Arial"/>
          <w:sz w:val="20"/>
          <w:szCs w:val="20"/>
          <w:lang w:val="en-IN"/>
        </w:rPr>
        <w:t>analysis</w:t>
      </w:r>
      <w:r w:rsidRPr="00F31841">
        <w:rPr>
          <w:rFonts w:ascii="Arial" w:hAnsi="Arial" w:cs="Arial"/>
          <w:sz w:val="20"/>
          <w:szCs w:val="20"/>
          <w:lang w:val="en-IN"/>
        </w:rPr>
        <w:t>.</w:t>
      </w:r>
      <w:r w:rsidR="00F31841" w:rsidRPr="00F31841">
        <w:rPr>
          <w:rFonts w:ascii="Arial" w:hAnsi="Arial" w:cs="Arial"/>
          <w:sz w:val="20"/>
          <w:szCs w:val="20"/>
          <w:lang w:val="en-IN"/>
        </w:rPr>
        <w:t xml:space="preserve"> </w:t>
      </w:r>
      <w:r w:rsidR="00264B21">
        <w:rPr>
          <w:rFonts w:ascii="Arial" w:hAnsi="Arial" w:cs="Arial"/>
          <w:sz w:val="20"/>
          <w:szCs w:val="20"/>
        </w:rPr>
        <w:t>Few are from digital meter</w:t>
      </w:r>
      <w:r w:rsidR="00F31841" w:rsidRPr="00F31841">
        <w:rPr>
          <w:rFonts w:ascii="Arial" w:hAnsi="Arial" w:cs="Arial"/>
          <w:sz w:val="20"/>
          <w:szCs w:val="20"/>
        </w:rPr>
        <w:t xml:space="preserve"> as well as Analyzing kit</w:t>
      </w:r>
      <w:r w:rsidR="00F85D42">
        <w:rPr>
          <w:rFonts w:ascii="Arial" w:hAnsi="Arial" w:cs="Arial"/>
          <w:sz w:val="20"/>
          <w:szCs w:val="20"/>
        </w:rPr>
        <w:t>,</w:t>
      </w:r>
      <w:r w:rsidR="00F31841" w:rsidRPr="00F31841">
        <w:rPr>
          <w:rFonts w:ascii="Arial" w:hAnsi="Arial" w:cs="Arial"/>
          <w:sz w:val="20"/>
          <w:szCs w:val="20"/>
        </w:rPr>
        <w:t xml:space="preserve"> alike TDS by TDS Meter, Sul</w:t>
      </w:r>
      <w:r w:rsidR="00092011">
        <w:rPr>
          <w:rFonts w:ascii="Arial" w:hAnsi="Arial" w:cs="Arial"/>
          <w:sz w:val="20"/>
          <w:szCs w:val="20"/>
        </w:rPr>
        <w:t>ph</w:t>
      </w:r>
      <w:r w:rsidR="00F31841" w:rsidRPr="00F31841">
        <w:rPr>
          <w:rFonts w:ascii="Arial" w:hAnsi="Arial" w:cs="Arial"/>
          <w:sz w:val="20"/>
          <w:szCs w:val="20"/>
        </w:rPr>
        <w:t>ates, Potassium, Magnesium, Nitrate, Iron, Fluoride, Arsenic</w:t>
      </w:r>
      <w:r w:rsidR="00F93B52">
        <w:rPr>
          <w:rFonts w:ascii="Arial" w:hAnsi="Arial" w:cs="Arial"/>
          <w:sz w:val="20"/>
          <w:szCs w:val="20"/>
        </w:rPr>
        <w:t xml:space="preserve"> </w:t>
      </w:r>
      <w:r w:rsidR="00F31841" w:rsidRPr="00F31841">
        <w:rPr>
          <w:rFonts w:ascii="Arial" w:hAnsi="Arial" w:cs="Arial"/>
          <w:sz w:val="20"/>
          <w:szCs w:val="20"/>
        </w:rPr>
        <w:t>are also determined respectively.</w:t>
      </w:r>
    </w:p>
    <w:p w14:paraId="2561888B" w14:textId="77777777" w:rsidR="00F85D42" w:rsidRPr="00F85D42" w:rsidRDefault="00F85D42" w:rsidP="00F85D42">
      <w:pPr>
        <w:shd w:val="clear" w:color="auto" w:fill="FFFFFF"/>
        <w:spacing w:after="0" w:line="240" w:lineRule="auto"/>
        <w:jc w:val="both"/>
        <w:rPr>
          <w:rFonts w:ascii="Arial" w:hAnsi="Arial" w:cs="Arial"/>
          <w:sz w:val="20"/>
          <w:szCs w:val="20"/>
        </w:rPr>
      </w:pPr>
    </w:p>
    <w:p w14:paraId="2FC3CD64" w14:textId="77777777" w:rsidR="0083760D" w:rsidRPr="00DD1E00" w:rsidRDefault="0080210F" w:rsidP="0083760D">
      <w:pPr>
        <w:rPr>
          <w:rFonts w:ascii="Arial" w:hAnsi="Arial" w:cs="Arial"/>
          <w:sz w:val="20"/>
          <w:szCs w:val="20"/>
        </w:rPr>
      </w:pPr>
      <w:r w:rsidRPr="00F85D42">
        <w:rPr>
          <w:rFonts w:ascii="Arial" w:hAnsi="Arial" w:cs="Arial"/>
          <w:sz w:val="20"/>
          <w:szCs w:val="20"/>
        </w:rPr>
        <w:t xml:space="preserve">Microbiological analysis was performed using a BACTASLYDE(BS101) method to detect </w:t>
      </w:r>
      <w:r w:rsidR="0083760D">
        <w:rPr>
          <w:rFonts w:ascii="Arial" w:hAnsi="Arial" w:cs="Arial"/>
          <w:sz w:val="20"/>
          <w:szCs w:val="20"/>
        </w:rPr>
        <w:t xml:space="preserve">the </w:t>
      </w:r>
      <w:r w:rsidR="00F85D42" w:rsidRPr="00F85D42">
        <w:rPr>
          <w:rFonts w:ascii="Arial" w:hAnsi="Arial" w:cs="Arial"/>
          <w:sz w:val="20"/>
          <w:szCs w:val="20"/>
        </w:rPr>
        <w:t>Total bacter</w:t>
      </w:r>
      <w:r w:rsidR="0083760D">
        <w:rPr>
          <w:rFonts w:ascii="Arial" w:hAnsi="Arial" w:cs="Arial"/>
          <w:sz w:val="20"/>
          <w:szCs w:val="20"/>
        </w:rPr>
        <w:t xml:space="preserve">ial count and total Yeast count. </w:t>
      </w:r>
      <w:r w:rsidR="0083760D" w:rsidRPr="00DD1E00">
        <w:rPr>
          <w:rFonts w:ascii="Arial" w:hAnsi="Arial" w:cs="Arial"/>
          <w:sz w:val="20"/>
          <w:szCs w:val="20"/>
        </w:rPr>
        <w:t>All the values obtained were compared with permissible limits set by the Bureau of Indian Standards (IS 10500:2021) and the World Health Organization (2022). The data were analyzed to determine pollutant distribution and identify risk-prone zones.</w:t>
      </w:r>
    </w:p>
    <w:p w14:paraId="693A6A5D" w14:textId="0FEAD9BD" w:rsidR="00D16DD4" w:rsidRPr="00782281" w:rsidRDefault="00782281" w:rsidP="0083760D">
      <w:pPr>
        <w:rPr>
          <w:rFonts w:ascii="Arial" w:hAnsi="Arial" w:cs="Arial"/>
          <w:b/>
          <w:bCs/>
          <w:sz w:val="20"/>
          <w:szCs w:val="20"/>
        </w:rPr>
      </w:pPr>
      <w:r>
        <w:rPr>
          <w:rFonts w:ascii="Arial" w:hAnsi="Arial" w:cs="Arial"/>
          <w:b/>
          <w:bCs/>
          <w:sz w:val="20"/>
          <w:szCs w:val="20"/>
        </w:rPr>
        <w:t xml:space="preserve">3. </w:t>
      </w:r>
      <w:r w:rsidR="00D16DD4" w:rsidRPr="00782281">
        <w:rPr>
          <w:rFonts w:ascii="Arial" w:hAnsi="Arial" w:cs="Arial"/>
          <w:b/>
          <w:bCs/>
          <w:sz w:val="20"/>
          <w:szCs w:val="20"/>
        </w:rPr>
        <w:t>RESULTS AND DISCUSSION</w:t>
      </w:r>
    </w:p>
    <w:p w14:paraId="74F73542" w14:textId="206B8EB5" w:rsidR="005A38FF" w:rsidRPr="00DD1E00" w:rsidRDefault="00A86A1F" w:rsidP="0055374D">
      <w:pPr>
        <w:rPr>
          <w:rFonts w:ascii="Arial" w:hAnsi="Arial" w:cs="Arial"/>
          <w:sz w:val="20"/>
          <w:szCs w:val="20"/>
        </w:rPr>
      </w:pPr>
      <w:r w:rsidRPr="00DD1E00">
        <w:rPr>
          <w:rFonts w:ascii="Arial" w:hAnsi="Arial" w:cs="Arial"/>
          <w:sz w:val="20"/>
          <w:szCs w:val="20"/>
        </w:rPr>
        <w:t xml:space="preserve">The analysis of groundwater samples from Rooma, Kanpur provides a comprehensive picture of its </w:t>
      </w:r>
      <w:r w:rsidR="00A61D0C" w:rsidRPr="00DD1E00">
        <w:rPr>
          <w:rFonts w:ascii="Arial" w:hAnsi="Arial" w:cs="Arial"/>
          <w:sz w:val="20"/>
          <w:szCs w:val="20"/>
        </w:rPr>
        <w:t>P</w:t>
      </w:r>
      <w:r w:rsidRPr="00DD1E00">
        <w:rPr>
          <w:rFonts w:ascii="Arial" w:hAnsi="Arial" w:cs="Arial"/>
          <w:sz w:val="20"/>
          <w:szCs w:val="20"/>
        </w:rPr>
        <w:t xml:space="preserve">hysico-chemical and microbial quality. </w:t>
      </w:r>
      <w:r w:rsidR="00D16DD4" w:rsidRPr="00DD1E00">
        <w:rPr>
          <w:rFonts w:ascii="Arial" w:hAnsi="Arial" w:cs="Arial"/>
          <w:sz w:val="20"/>
          <w:szCs w:val="20"/>
        </w:rPr>
        <w:t xml:space="preserve">Physico-chemical parameters offer insights into the inorganic pollution load and long-term geochemical processes affecting groundwater. </w:t>
      </w:r>
      <w:r w:rsidRPr="00DD1E00">
        <w:rPr>
          <w:rFonts w:ascii="Arial" w:hAnsi="Arial" w:cs="Arial"/>
          <w:sz w:val="20"/>
          <w:szCs w:val="20"/>
        </w:rPr>
        <w:t xml:space="preserve">The finding </w:t>
      </w:r>
      <w:r w:rsidR="00A61D0C" w:rsidRPr="00DD1E00">
        <w:rPr>
          <w:rFonts w:ascii="Arial" w:hAnsi="Arial" w:cs="Arial"/>
          <w:sz w:val="20"/>
          <w:szCs w:val="20"/>
        </w:rPr>
        <w:t>h</w:t>
      </w:r>
      <w:r w:rsidRPr="00DD1E00">
        <w:rPr>
          <w:rFonts w:ascii="Arial" w:hAnsi="Arial" w:cs="Arial"/>
          <w:sz w:val="20"/>
          <w:szCs w:val="20"/>
        </w:rPr>
        <w:t>ighlight</w:t>
      </w:r>
      <w:r w:rsidR="00A61D0C" w:rsidRPr="00DD1E00">
        <w:rPr>
          <w:rFonts w:ascii="Arial" w:hAnsi="Arial" w:cs="Arial"/>
          <w:sz w:val="20"/>
          <w:szCs w:val="20"/>
        </w:rPr>
        <w:t>s</w:t>
      </w:r>
      <w:r w:rsidRPr="00DD1E00">
        <w:rPr>
          <w:rFonts w:ascii="Arial" w:hAnsi="Arial" w:cs="Arial"/>
          <w:sz w:val="20"/>
          <w:szCs w:val="20"/>
        </w:rPr>
        <w:t xml:space="preserve"> seasonal fluctuations as well as the influence of local industrial and domestic</w:t>
      </w:r>
      <w:r w:rsidR="005A38FF" w:rsidRPr="00DD1E00">
        <w:rPr>
          <w:rFonts w:ascii="Arial" w:hAnsi="Arial" w:cs="Arial"/>
          <w:sz w:val="20"/>
          <w:szCs w:val="20"/>
        </w:rPr>
        <w:t xml:space="preserve"> activities on water parameter</w:t>
      </w:r>
      <w:r w:rsidR="00C37982" w:rsidRPr="00DD1E00">
        <w:rPr>
          <w:rFonts w:ascii="Arial" w:hAnsi="Arial" w:cs="Arial"/>
          <w:sz w:val="20"/>
          <w:szCs w:val="20"/>
        </w:rPr>
        <w:t>s.</w:t>
      </w:r>
    </w:p>
    <w:p w14:paraId="3E915EE7" w14:textId="491FEA2D" w:rsidR="003277BE" w:rsidRPr="00DD1E00" w:rsidRDefault="007D6D30" w:rsidP="005A38FF">
      <w:pPr>
        <w:jc w:val="both"/>
        <w:rPr>
          <w:rFonts w:ascii="Arial" w:hAnsi="Arial" w:cs="Arial"/>
          <w:sz w:val="20"/>
          <w:szCs w:val="20"/>
        </w:rPr>
      </w:pPr>
      <w:r w:rsidRPr="00DD1E00">
        <w:rPr>
          <w:rFonts w:ascii="Arial" w:hAnsi="Arial" w:cs="Arial"/>
          <w:sz w:val="20"/>
          <w:szCs w:val="20"/>
        </w:rPr>
        <w:t>Table 1: Month wise water quality parameters monitoring data</w:t>
      </w:r>
      <w:r w:rsidR="001C11BE" w:rsidRPr="00DD1E00">
        <w:rPr>
          <w:rFonts w:ascii="Arial" w:hAnsi="Arial" w:cs="Arial"/>
          <w:sz w:val="20"/>
          <w:szCs w:val="20"/>
        </w:rPr>
        <w:t xml:space="preserve"> </w:t>
      </w:r>
      <w:r w:rsidR="00E623A0" w:rsidRPr="00DD1E00">
        <w:rPr>
          <w:rFonts w:ascii="Arial" w:hAnsi="Arial" w:cs="Arial"/>
          <w:sz w:val="20"/>
          <w:szCs w:val="20"/>
        </w:rPr>
        <w:t>(M</w:t>
      </w:r>
      <w:r w:rsidRPr="00DD1E00">
        <w:rPr>
          <w:rFonts w:ascii="Arial" w:hAnsi="Arial" w:cs="Arial"/>
          <w:sz w:val="20"/>
          <w:szCs w:val="20"/>
        </w:rPr>
        <w:t>ay2024-</w:t>
      </w:r>
      <w:r w:rsidR="00E623A0" w:rsidRPr="00DD1E00">
        <w:rPr>
          <w:rFonts w:ascii="Arial" w:hAnsi="Arial" w:cs="Arial"/>
          <w:sz w:val="20"/>
          <w:szCs w:val="20"/>
        </w:rPr>
        <w:t>A</w:t>
      </w:r>
      <w:r w:rsidRPr="00DD1E00">
        <w:rPr>
          <w:rFonts w:ascii="Arial" w:hAnsi="Arial" w:cs="Arial"/>
          <w:sz w:val="20"/>
          <w:szCs w:val="20"/>
        </w:rPr>
        <w:t>pril</w:t>
      </w:r>
      <w:r w:rsidR="00E6147D" w:rsidRPr="00DD1E00">
        <w:rPr>
          <w:rFonts w:ascii="Arial" w:hAnsi="Arial" w:cs="Arial"/>
          <w:sz w:val="20"/>
          <w:szCs w:val="20"/>
        </w:rPr>
        <w:t xml:space="preserve"> 20</w:t>
      </w:r>
      <w:r w:rsidR="00C37982" w:rsidRPr="00DD1E00">
        <w:rPr>
          <w:rFonts w:ascii="Arial" w:hAnsi="Arial" w:cs="Arial"/>
          <w:sz w:val="20"/>
          <w:szCs w:val="20"/>
        </w:rPr>
        <w:t>25)</w:t>
      </w:r>
    </w:p>
    <w:tbl>
      <w:tblPr>
        <w:tblStyle w:val="TableGrid"/>
        <w:tblpPr w:leftFromText="180" w:rightFromText="180" w:vertAnchor="text" w:horzAnchor="margin" w:tblpX="-758" w:tblpY="383"/>
        <w:tblW w:w="11174" w:type="dxa"/>
        <w:tblLayout w:type="fixed"/>
        <w:tblCellMar>
          <w:left w:w="57" w:type="dxa"/>
          <w:right w:w="57" w:type="dxa"/>
        </w:tblCellMar>
        <w:tblLook w:val="04A0" w:firstRow="1" w:lastRow="0" w:firstColumn="1" w:lastColumn="0" w:noHBand="0" w:noVBand="1"/>
      </w:tblPr>
      <w:tblGrid>
        <w:gridCol w:w="1255"/>
        <w:gridCol w:w="720"/>
        <w:gridCol w:w="720"/>
        <w:gridCol w:w="630"/>
        <w:gridCol w:w="810"/>
        <w:gridCol w:w="905"/>
        <w:gridCol w:w="900"/>
        <w:gridCol w:w="1170"/>
        <w:gridCol w:w="900"/>
        <w:gridCol w:w="900"/>
        <w:gridCol w:w="900"/>
        <w:gridCol w:w="720"/>
        <w:gridCol w:w="644"/>
      </w:tblGrid>
      <w:tr w:rsidR="00C7144D" w:rsidRPr="00DD1E00" w14:paraId="6F954C87" w14:textId="77777777" w:rsidTr="00E060BA">
        <w:trPr>
          <w:trHeight w:val="20"/>
        </w:trPr>
        <w:tc>
          <w:tcPr>
            <w:tcW w:w="1255" w:type="dxa"/>
            <w:tcBorders>
              <w:top w:val="single" w:sz="4" w:space="0" w:color="auto"/>
              <w:left w:val="single" w:sz="4" w:space="0" w:color="auto"/>
              <w:bottom w:val="single" w:sz="4" w:space="0" w:color="auto"/>
              <w:right w:val="single" w:sz="4" w:space="0" w:color="auto"/>
            </w:tcBorders>
            <w:hideMark/>
          </w:tcPr>
          <w:p w14:paraId="21C6DE6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 xml:space="preserve">Months/   Parameters       </w:t>
            </w:r>
          </w:p>
        </w:tc>
        <w:tc>
          <w:tcPr>
            <w:tcW w:w="720" w:type="dxa"/>
            <w:tcBorders>
              <w:top w:val="single" w:sz="4" w:space="0" w:color="auto"/>
              <w:left w:val="single" w:sz="4" w:space="0" w:color="auto"/>
              <w:bottom w:val="single" w:sz="4" w:space="0" w:color="auto"/>
              <w:right w:val="single" w:sz="4" w:space="0" w:color="auto"/>
            </w:tcBorders>
            <w:hideMark/>
          </w:tcPr>
          <w:p w14:paraId="654F260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May</w:t>
            </w:r>
          </w:p>
          <w:p w14:paraId="2872CA1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720" w:type="dxa"/>
            <w:tcBorders>
              <w:top w:val="single" w:sz="4" w:space="0" w:color="auto"/>
              <w:left w:val="single" w:sz="4" w:space="0" w:color="auto"/>
              <w:bottom w:val="single" w:sz="4" w:space="0" w:color="auto"/>
              <w:right w:val="single" w:sz="4" w:space="0" w:color="auto"/>
            </w:tcBorders>
            <w:hideMark/>
          </w:tcPr>
          <w:p w14:paraId="56C07FC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June</w:t>
            </w:r>
          </w:p>
          <w:p w14:paraId="31F27C1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630" w:type="dxa"/>
            <w:tcBorders>
              <w:top w:val="single" w:sz="4" w:space="0" w:color="auto"/>
              <w:left w:val="single" w:sz="4" w:space="0" w:color="auto"/>
              <w:bottom w:val="single" w:sz="4" w:space="0" w:color="auto"/>
              <w:right w:val="single" w:sz="4" w:space="0" w:color="auto"/>
            </w:tcBorders>
            <w:hideMark/>
          </w:tcPr>
          <w:p w14:paraId="3E902C5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July</w:t>
            </w:r>
          </w:p>
          <w:p w14:paraId="3C00F9B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810" w:type="dxa"/>
            <w:tcBorders>
              <w:top w:val="single" w:sz="4" w:space="0" w:color="auto"/>
              <w:left w:val="single" w:sz="4" w:space="0" w:color="auto"/>
              <w:bottom w:val="single" w:sz="4" w:space="0" w:color="auto"/>
              <w:right w:val="single" w:sz="4" w:space="0" w:color="auto"/>
            </w:tcBorders>
            <w:hideMark/>
          </w:tcPr>
          <w:p w14:paraId="0C78B69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August</w:t>
            </w:r>
          </w:p>
          <w:p w14:paraId="0E01F29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905" w:type="dxa"/>
            <w:tcBorders>
              <w:top w:val="single" w:sz="4" w:space="0" w:color="auto"/>
              <w:left w:val="single" w:sz="4" w:space="0" w:color="auto"/>
              <w:bottom w:val="single" w:sz="4" w:space="0" w:color="auto"/>
              <w:right w:val="single" w:sz="4" w:space="0" w:color="auto"/>
            </w:tcBorders>
            <w:hideMark/>
          </w:tcPr>
          <w:p w14:paraId="7BC51B2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September</w:t>
            </w:r>
          </w:p>
          <w:p w14:paraId="53AF376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900" w:type="dxa"/>
            <w:tcBorders>
              <w:top w:val="single" w:sz="4" w:space="0" w:color="auto"/>
              <w:left w:val="single" w:sz="4" w:space="0" w:color="auto"/>
              <w:bottom w:val="single" w:sz="4" w:space="0" w:color="auto"/>
              <w:right w:val="single" w:sz="4" w:space="0" w:color="auto"/>
            </w:tcBorders>
            <w:hideMark/>
          </w:tcPr>
          <w:p w14:paraId="03EE3A7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October</w:t>
            </w:r>
          </w:p>
          <w:p w14:paraId="654600A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1170" w:type="dxa"/>
            <w:tcBorders>
              <w:top w:val="single" w:sz="4" w:space="0" w:color="auto"/>
              <w:left w:val="single" w:sz="4" w:space="0" w:color="auto"/>
              <w:bottom w:val="single" w:sz="4" w:space="0" w:color="auto"/>
              <w:right w:val="single" w:sz="4" w:space="0" w:color="auto"/>
            </w:tcBorders>
            <w:hideMark/>
          </w:tcPr>
          <w:p w14:paraId="4995136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November</w:t>
            </w:r>
          </w:p>
          <w:p w14:paraId="77169B2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 xml:space="preserve"> 2024 </w:t>
            </w:r>
          </w:p>
        </w:tc>
        <w:tc>
          <w:tcPr>
            <w:tcW w:w="900" w:type="dxa"/>
            <w:tcBorders>
              <w:top w:val="single" w:sz="4" w:space="0" w:color="auto"/>
              <w:left w:val="single" w:sz="4" w:space="0" w:color="auto"/>
              <w:bottom w:val="single" w:sz="4" w:space="0" w:color="auto"/>
              <w:right w:val="single" w:sz="4" w:space="0" w:color="auto"/>
            </w:tcBorders>
            <w:hideMark/>
          </w:tcPr>
          <w:p w14:paraId="394C0D1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 xml:space="preserve">December </w:t>
            </w:r>
          </w:p>
          <w:p w14:paraId="359F6CB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900" w:type="dxa"/>
            <w:tcBorders>
              <w:top w:val="single" w:sz="4" w:space="0" w:color="auto"/>
              <w:left w:val="single" w:sz="4" w:space="0" w:color="auto"/>
              <w:bottom w:val="single" w:sz="4" w:space="0" w:color="auto"/>
              <w:right w:val="single" w:sz="4" w:space="0" w:color="auto"/>
            </w:tcBorders>
            <w:hideMark/>
          </w:tcPr>
          <w:p w14:paraId="401BAE1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January</w:t>
            </w:r>
          </w:p>
          <w:p w14:paraId="00F3300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2025</w:t>
            </w:r>
          </w:p>
        </w:tc>
        <w:tc>
          <w:tcPr>
            <w:tcW w:w="900" w:type="dxa"/>
            <w:tcBorders>
              <w:top w:val="single" w:sz="4" w:space="0" w:color="auto"/>
              <w:left w:val="single" w:sz="4" w:space="0" w:color="auto"/>
              <w:bottom w:val="single" w:sz="4" w:space="0" w:color="auto"/>
              <w:right w:val="single" w:sz="4" w:space="0" w:color="auto"/>
            </w:tcBorders>
            <w:hideMark/>
          </w:tcPr>
          <w:p w14:paraId="0C865DC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February</w:t>
            </w:r>
          </w:p>
          <w:p w14:paraId="19C9527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2025</w:t>
            </w:r>
          </w:p>
        </w:tc>
        <w:tc>
          <w:tcPr>
            <w:tcW w:w="720" w:type="dxa"/>
            <w:tcBorders>
              <w:top w:val="single" w:sz="4" w:space="0" w:color="auto"/>
              <w:left w:val="single" w:sz="4" w:space="0" w:color="auto"/>
              <w:bottom w:val="single" w:sz="4" w:space="0" w:color="auto"/>
              <w:right w:val="single" w:sz="4" w:space="0" w:color="auto"/>
            </w:tcBorders>
            <w:hideMark/>
          </w:tcPr>
          <w:p w14:paraId="5B6DB87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march</w:t>
            </w:r>
          </w:p>
          <w:p w14:paraId="1B4BBBB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 xml:space="preserve">2025 </w:t>
            </w:r>
          </w:p>
        </w:tc>
        <w:tc>
          <w:tcPr>
            <w:tcW w:w="644" w:type="dxa"/>
            <w:tcBorders>
              <w:top w:val="single" w:sz="4" w:space="0" w:color="auto"/>
              <w:left w:val="single" w:sz="4" w:space="0" w:color="auto"/>
              <w:bottom w:val="single" w:sz="4" w:space="0" w:color="auto"/>
              <w:right w:val="single" w:sz="4" w:space="0" w:color="auto"/>
            </w:tcBorders>
            <w:hideMark/>
          </w:tcPr>
          <w:p w14:paraId="436E0A7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April 2025</w:t>
            </w:r>
          </w:p>
        </w:tc>
      </w:tr>
      <w:tr w:rsidR="00C7144D" w:rsidRPr="00DD1E00" w14:paraId="5AE1A75F" w14:textId="77777777" w:rsidTr="00E060BA">
        <w:trPr>
          <w:trHeight w:val="366"/>
        </w:trPr>
        <w:tc>
          <w:tcPr>
            <w:tcW w:w="1255" w:type="dxa"/>
            <w:tcBorders>
              <w:top w:val="single" w:sz="4" w:space="0" w:color="auto"/>
              <w:left w:val="single" w:sz="4" w:space="0" w:color="auto"/>
              <w:bottom w:val="single" w:sz="4" w:space="0" w:color="auto"/>
              <w:right w:val="single" w:sz="4" w:space="0" w:color="auto"/>
            </w:tcBorders>
            <w:hideMark/>
          </w:tcPr>
          <w:p w14:paraId="4DA5BF31" w14:textId="780BAA02" w:rsidR="003277BE" w:rsidRPr="00DD1E00" w:rsidRDefault="00E43A13" w:rsidP="00E060BA">
            <w:pPr>
              <w:spacing w:after="200" w:line="276" w:lineRule="auto"/>
              <w:rPr>
                <w:rFonts w:ascii="Arial" w:hAnsi="Arial" w:cs="Arial"/>
                <w:sz w:val="20"/>
                <w:szCs w:val="20"/>
                <w:lang w:val="en-IN"/>
              </w:rPr>
            </w:pPr>
            <w:r>
              <w:rPr>
                <w:rFonts w:ascii="Arial" w:hAnsi="Arial" w:cs="Arial"/>
                <w:sz w:val="20"/>
                <w:szCs w:val="20"/>
                <w:lang w:val="en-IN"/>
              </w:rPr>
              <w:t>pH</w:t>
            </w:r>
          </w:p>
        </w:tc>
        <w:tc>
          <w:tcPr>
            <w:tcW w:w="720" w:type="dxa"/>
            <w:tcBorders>
              <w:top w:val="single" w:sz="4" w:space="0" w:color="auto"/>
              <w:left w:val="single" w:sz="4" w:space="0" w:color="auto"/>
              <w:bottom w:val="single" w:sz="4" w:space="0" w:color="auto"/>
              <w:right w:val="single" w:sz="4" w:space="0" w:color="auto"/>
            </w:tcBorders>
            <w:hideMark/>
          </w:tcPr>
          <w:p w14:paraId="6AA4A738"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7.2</w:t>
            </w:r>
          </w:p>
        </w:tc>
        <w:tc>
          <w:tcPr>
            <w:tcW w:w="720" w:type="dxa"/>
            <w:tcBorders>
              <w:top w:val="single" w:sz="4" w:space="0" w:color="auto"/>
              <w:left w:val="single" w:sz="4" w:space="0" w:color="auto"/>
              <w:bottom w:val="single" w:sz="4" w:space="0" w:color="auto"/>
              <w:right w:val="single" w:sz="4" w:space="0" w:color="auto"/>
            </w:tcBorders>
            <w:hideMark/>
          </w:tcPr>
          <w:p w14:paraId="49B0092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7.4</w:t>
            </w:r>
          </w:p>
        </w:tc>
        <w:tc>
          <w:tcPr>
            <w:tcW w:w="630" w:type="dxa"/>
            <w:tcBorders>
              <w:top w:val="single" w:sz="4" w:space="0" w:color="auto"/>
              <w:left w:val="single" w:sz="4" w:space="0" w:color="auto"/>
              <w:bottom w:val="single" w:sz="4" w:space="0" w:color="auto"/>
              <w:right w:val="single" w:sz="4" w:space="0" w:color="auto"/>
            </w:tcBorders>
            <w:hideMark/>
          </w:tcPr>
          <w:p w14:paraId="015CEA8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7.3</w:t>
            </w:r>
          </w:p>
        </w:tc>
        <w:tc>
          <w:tcPr>
            <w:tcW w:w="810" w:type="dxa"/>
            <w:tcBorders>
              <w:top w:val="single" w:sz="4" w:space="0" w:color="auto"/>
              <w:left w:val="single" w:sz="4" w:space="0" w:color="auto"/>
              <w:bottom w:val="single" w:sz="4" w:space="0" w:color="auto"/>
              <w:right w:val="single" w:sz="4" w:space="0" w:color="auto"/>
            </w:tcBorders>
            <w:hideMark/>
          </w:tcPr>
          <w:p w14:paraId="649DF51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8.4</w:t>
            </w:r>
          </w:p>
        </w:tc>
        <w:tc>
          <w:tcPr>
            <w:tcW w:w="905" w:type="dxa"/>
            <w:tcBorders>
              <w:top w:val="single" w:sz="4" w:space="0" w:color="auto"/>
              <w:left w:val="single" w:sz="4" w:space="0" w:color="auto"/>
              <w:bottom w:val="single" w:sz="4" w:space="0" w:color="auto"/>
              <w:right w:val="single" w:sz="4" w:space="0" w:color="auto"/>
            </w:tcBorders>
            <w:hideMark/>
          </w:tcPr>
          <w:p w14:paraId="1AD0481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7.9</w:t>
            </w:r>
          </w:p>
        </w:tc>
        <w:tc>
          <w:tcPr>
            <w:tcW w:w="900" w:type="dxa"/>
            <w:tcBorders>
              <w:top w:val="single" w:sz="4" w:space="0" w:color="auto"/>
              <w:left w:val="single" w:sz="4" w:space="0" w:color="auto"/>
              <w:bottom w:val="single" w:sz="4" w:space="0" w:color="auto"/>
              <w:right w:val="single" w:sz="4" w:space="0" w:color="auto"/>
            </w:tcBorders>
            <w:hideMark/>
          </w:tcPr>
          <w:p w14:paraId="436ADD1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7.8</w:t>
            </w:r>
          </w:p>
        </w:tc>
        <w:tc>
          <w:tcPr>
            <w:tcW w:w="1170" w:type="dxa"/>
            <w:tcBorders>
              <w:top w:val="single" w:sz="4" w:space="0" w:color="auto"/>
              <w:left w:val="single" w:sz="4" w:space="0" w:color="auto"/>
              <w:bottom w:val="single" w:sz="4" w:space="0" w:color="auto"/>
              <w:right w:val="single" w:sz="4" w:space="0" w:color="auto"/>
            </w:tcBorders>
            <w:hideMark/>
          </w:tcPr>
          <w:p w14:paraId="75B0BEC7"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9.5</w:t>
            </w:r>
          </w:p>
        </w:tc>
        <w:tc>
          <w:tcPr>
            <w:tcW w:w="900" w:type="dxa"/>
            <w:tcBorders>
              <w:top w:val="single" w:sz="4" w:space="0" w:color="auto"/>
              <w:left w:val="single" w:sz="4" w:space="0" w:color="auto"/>
              <w:bottom w:val="single" w:sz="4" w:space="0" w:color="auto"/>
              <w:right w:val="single" w:sz="4" w:space="0" w:color="auto"/>
            </w:tcBorders>
            <w:hideMark/>
          </w:tcPr>
          <w:p w14:paraId="1893C91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8.3</w:t>
            </w:r>
          </w:p>
        </w:tc>
        <w:tc>
          <w:tcPr>
            <w:tcW w:w="900" w:type="dxa"/>
            <w:tcBorders>
              <w:top w:val="single" w:sz="4" w:space="0" w:color="auto"/>
              <w:left w:val="single" w:sz="4" w:space="0" w:color="auto"/>
              <w:bottom w:val="single" w:sz="4" w:space="0" w:color="auto"/>
              <w:right w:val="single" w:sz="4" w:space="0" w:color="auto"/>
            </w:tcBorders>
            <w:hideMark/>
          </w:tcPr>
          <w:p w14:paraId="78952C8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8.5</w:t>
            </w:r>
          </w:p>
        </w:tc>
        <w:tc>
          <w:tcPr>
            <w:tcW w:w="900" w:type="dxa"/>
            <w:tcBorders>
              <w:top w:val="single" w:sz="4" w:space="0" w:color="auto"/>
              <w:left w:val="single" w:sz="4" w:space="0" w:color="auto"/>
              <w:bottom w:val="single" w:sz="4" w:space="0" w:color="auto"/>
              <w:right w:val="single" w:sz="4" w:space="0" w:color="auto"/>
            </w:tcBorders>
            <w:hideMark/>
          </w:tcPr>
          <w:p w14:paraId="0DD9F5F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8.36</w:t>
            </w:r>
          </w:p>
        </w:tc>
        <w:tc>
          <w:tcPr>
            <w:tcW w:w="720" w:type="dxa"/>
            <w:tcBorders>
              <w:top w:val="single" w:sz="4" w:space="0" w:color="auto"/>
              <w:left w:val="single" w:sz="4" w:space="0" w:color="auto"/>
              <w:bottom w:val="single" w:sz="4" w:space="0" w:color="auto"/>
              <w:right w:val="single" w:sz="4" w:space="0" w:color="auto"/>
            </w:tcBorders>
            <w:hideMark/>
          </w:tcPr>
          <w:p w14:paraId="7DBE8E3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8.03</w:t>
            </w:r>
          </w:p>
        </w:tc>
        <w:tc>
          <w:tcPr>
            <w:tcW w:w="644" w:type="dxa"/>
            <w:tcBorders>
              <w:top w:val="single" w:sz="4" w:space="0" w:color="auto"/>
              <w:left w:val="single" w:sz="4" w:space="0" w:color="auto"/>
              <w:bottom w:val="single" w:sz="4" w:space="0" w:color="auto"/>
              <w:right w:val="single" w:sz="4" w:space="0" w:color="auto"/>
            </w:tcBorders>
            <w:hideMark/>
          </w:tcPr>
          <w:p w14:paraId="1262299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8.5</w:t>
            </w:r>
          </w:p>
        </w:tc>
      </w:tr>
      <w:tr w:rsidR="00C7144D" w:rsidRPr="00DD1E00" w14:paraId="3860DB60"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1DDEBF7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TDS</w:t>
            </w:r>
          </w:p>
        </w:tc>
        <w:tc>
          <w:tcPr>
            <w:tcW w:w="720" w:type="dxa"/>
            <w:tcBorders>
              <w:top w:val="single" w:sz="4" w:space="0" w:color="auto"/>
              <w:left w:val="single" w:sz="4" w:space="0" w:color="auto"/>
              <w:bottom w:val="single" w:sz="4" w:space="0" w:color="auto"/>
              <w:right w:val="single" w:sz="4" w:space="0" w:color="auto"/>
            </w:tcBorders>
            <w:hideMark/>
          </w:tcPr>
          <w:p w14:paraId="05648E9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220</w:t>
            </w:r>
          </w:p>
        </w:tc>
        <w:tc>
          <w:tcPr>
            <w:tcW w:w="720" w:type="dxa"/>
            <w:tcBorders>
              <w:top w:val="single" w:sz="4" w:space="0" w:color="auto"/>
              <w:left w:val="single" w:sz="4" w:space="0" w:color="auto"/>
              <w:bottom w:val="single" w:sz="4" w:space="0" w:color="auto"/>
              <w:right w:val="single" w:sz="4" w:space="0" w:color="auto"/>
            </w:tcBorders>
            <w:hideMark/>
          </w:tcPr>
          <w:p w14:paraId="7DBF774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265</w:t>
            </w:r>
          </w:p>
        </w:tc>
        <w:tc>
          <w:tcPr>
            <w:tcW w:w="630" w:type="dxa"/>
            <w:tcBorders>
              <w:top w:val="single" w:sz="4" w:space="0" w:color="auto"/>
              <w:left w:val="single" w:sz="4" w:space="0" w:color="auto"/>
              <w:bottom w:val="single" w:sz="4" w:space="0" w:color="auto"/>
              <w:right w:val="single" w:sz="4" w:space="0" w:color="auto"/>
            </w:tcBorders>
            <w:hideMark/>
          </w:tcPr>
          <w:p w14:paraId="354F7D4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250</w:t>
            </w:r>
          </w:p>
        </w:tc>
        <w:tc>
          <w:tcPr>
            <w:tcW w:w="810" w:type="dxa"/>
            <w:tcBorders>
              <w:top w:val="single" w:sz="4" w:space="0" w:color="auto"/>
              <w:left w:val="single" w:sz="4" w:space="0" w:color="auto"/>
              <w:bottom w:val="single" w:sz="4" w:space="0" w:color="auto"/>
              <w:right w:val="single" w:sz="4" w:space="0" w:color="auto"/>
            </w:tcBorders>
            <w:hideMark/>
          </w:tcPr>
          <w:p w14:paraId="4586570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302</w:t>
            </w:r>
          </w:p>
        </w:tc>
        <w:tc>
          <w:tcPr>
            <w:tcW w:w="905" w:type="dxa"/>
            <w:tcBorders>
              <w:top w:val="single" w:sz="4" w:space="0" w:color="auto"/>
              <w:left w:val="single" w:sz="4" w:space="0" w:color="auto"/>
              <w:bottom w:val="single" w:sz="4" w:space="0" w:color="auto"/>
              <w:right w:val="single" w:sz="4" w:space="0" w:color="auto"/>
            </w:tcBorders>
            <w:hideMark/>
          </w:tcPr>
          <w:p w14:paraId="4DC5648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250</w:t>
            </w:r>
          </w:p>
        </w:tc>
        <w:tc>
          <w:tcPr>
            <w:tcW w:w="900" w:type="dxa"/>
            <w:tcBorders>
              <w:top w:val="single" w:sz="4" w:space="0" w:color="auto"/>
              <w:left w:val="single" w:sz="4" w:space="0" w:color="auto"/>
              <w:bottom w:val="single" w:sz="4" w:space="0" w:color="auto"/>
              <w:right w:val="single" w:sz="4" w:space="0" w:color="auto"/>
            </w:tcBorders>
            <w:hideMark/>
          </w:tcPr>
          <w:p w14:paraId="28AEB011"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170</w:t>
            </w:r>
          </w:p>
        </w:tc>
        <w:tc>
          <w:tcPr>
            <w:tcW w:w="1170" w:type="dxa"/>
            <w:tcBorders>
              <w:top w:val="single" w:sz="4" w:space="0" w:color="auto"/>
              <w:left w:val="single" w:sz="4" w:space="0" w:color="auto"/>
              <w:bottom w:val="single" w:sz="4" w:space="0" w:color="auto"/>
              <w:right w:val="single" w:sz="4" w:space="0" w:color="auto"/>
            </w:tcBorders>
            <w:hideMark/>
          </w:tcPr>
          <w:p w14:paraId="50A53CE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180</w:t>
            </w:r>
          </w:p>
        </w:tc>
        <w:tc>
          <w:tcPr>
            <w:tcW w:w="900" w:type="dxa"/>
            <w:tcBorders>
              <w:top w:val="single" w:sz="4" w:space="0" w:color="auto"/>
              <w:left w:val="single" w:sz="4" w:space="0" w:color="auto"/>
              <w:bottom w:val="single" w:sz="4" w:space="0" w:color="auto"/>
              <w:right w:val="single" w:sz="4" w:space="0" w:color="auto"/>
            </w:tcBorders>
            <w:hideMark/>
          </w:tcPr>
          <w:p w14:paraId="6E1EB47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250</w:t>
            </w:r>
          </w:p>
        </w:tc>
        <w:tc>
          <w:tcPr>
            <w:tcW w:w="900" w:type="dxa"/>
            <w:tcBorders>
              <w:top w:val="single" w:sz="4" w:space="0" w:color="auto"/>
              <w:left w:val="single" w:sz="4" w:space="0" w:color="auto"/>
              <w:bottom w:val="single" w:sz="4" w:space="0" w:color="auto"/>
              <w:right w:val="single" w:sz="4" w:space="0" w:color="auto"/>
            </w:tcBorders>
            <w:hideMark/>
          </w:tcPr>
          <w:p w14:paraId="2AFD78A5"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460</w:t>
            </w:r>
          </w:p>
        </w:tc>
        <w:tc>
          <w:tcPr>
            <w:tcW w:w="900" w:type="dxa"/>
            <w:tcBorders>
              <w:top w:val="single" w:sz="4" w:space="0" w:color="auto"/>
              <w:left w:val="single" w:sz="4" w:space="0" w:color="auto"/>
              <w:bottom w:val="single" w:sz="4" w:space="0" w:color="auto"/>
              <w:right w:val="single" w:sz="4" w:space="0" w:color="auto"/>
            </w:tcBorders>
            <w:hideMark/>
          </w:tcPr>
          <w:p w14:paraId="590A15E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436</w:t>
            </w:r>
          </w:p>
        </w:tc>
        <w:tc>
          <w:tcPr>
            <w:tcW w:w="720" w:type="dxa"/>
            <w:tcBorders>
              <w:top w:val="single" w:sz="4" w:space="0" w:color="auto"/>
              <w:left w:val="single" w:sz="4" w:space="0" w:color="auto"/>
              <w:bottom w:val="single" w:sz="4" w:space="0" w:color="auto"/>
              <w:right w:val="single" w:sz="4" w:space="0" w:color="auto"/>
            </w:tcBorders>
            <w:hideMark/>
          </w:tcPr>
          <w:p w14:paraId="72F70F1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225</w:t>
            </w:r>
          </w:p>
        </w:tc>
        <w:tc>
          <w:tcPr>
            <w:tcW w:w="644" w:type="dxa"/>
            <w:tcBorders>
              <w:top w:val="single" w:sz="4" w:space="0" w:color="auto"/>
              <w:left w:val="single" w:sz="4" w:space="0" w:color="auto"/>
              <w:bottom w:val="single" w:sz="4" w:space="0" w:color="auto"/>
              <w:right w:val="single" w:sz="4" w:space="0" w:color="auto"/>
            </w:tcBorders>
            <w:hideMark/>
          </w:tcPr>
          <w:p w14:paraId="0B0ACCD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250</w:t>
            </w:r>
          </w:p>
        </w:tc>
      </w:tr>
      <w:tr w:rsidR="00C7144D" w:rsidRPr="00DD1E00" w14:paraId="4A7EC7F2"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76CCBD1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Temp</w:t>
            </w:r>
          </w:p>
        </w:tc>
        <w:tc>
          <w:tcPr>
            <w:tcW w:w="720" w:type="dxa"/>
            <w:tcBorders>
              <w:top w:val="single" w:sz="4" w:space="0" w:color="auto"/>
              <w:left w:val="single" w:sz="4" w:space="0" w:color="auto"/>
              <w:bottom w:val="single" w:sz="4" w:space="0" w:color="auto"/>
              <w:right w:val="single" w:sz="4" w:space="0" w:color="auto"/>
            </w:tcBorders>
            <w:hideMark/>
          </w:tcPr>
          <w:p w14:paraId="277F765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c>
          <w:tcPr>
            <w:tcW w:w="720" w:type="dxa"/>
            <w:tcBorders>
              <w:top w:val="single" w:sz="4" w:space="0" w:color="auto"/>
              <w:left w:val="single" w:sz="4" w:space="0" w:color="auto"/>
              <w:bottom w:val="single" w:sz="4" w:space="0" w:color="auto"/>
              <w:right w:val="single" w:sz="4" w:space="0" w:color="auto"/>
            </w:tcBorders>
            <w:hideMark/>
          </w:tcPr>
          <w:p w14:paraId="5FECF1F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23</w:t>
            </w:r>
          </w:p>
        </w:tc>
        <w:tc>
          <w:tcPr>
            <w:tcW w:w="630" w:type="dxa"/>
            <w:tcBorders>
              <w:top w:val="single" w:sz="4" w:space="0" w:color="auto"/>
              <w:left w:val="single" w:sz="4" w:space="0" w:color="auto"/>
              <w:bottom w:val="single" w:sz="4" w:space="0" w:color="auto"/>
              <w:right w:val="single" w:sz="4" w:space="0" w:color="auto"/>
            </w:tcBorders>
            <w:hideMark/>
          </w:tcPr>
          <w:p w14:paraId="200AF68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810" w:type="dxa"/>
            <w:tcBorders>
              <w:top w:val="single" w:sz="4" w:space="0" w:color="auto"/>
              <w:left w:val="single" w:sz="4" w:space="0" w:color="auto"/>
              <w:bottom w:val="single" w:sz="4" w:space="0" w:color="auto"/>
              <w:right w:val="single" w:sz="4" w:space="0" w:color="auto"/>
            </w:tcBorders>
            <w:hideMark/>
          </w:tcPr>
          <w:p w14:paraId="5F9F9D0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23</w:t>
            </w:r>
          </w:p>
        </w:tc>
        <w:tc>
          <w:tcPr>
            <w:tcW w:w="905" w:type="dxa"/>
            <w:tcBorders>
              <w:top w:val="single" w:sz="4" w:space="0" w:color="auto"/>
              <w:left w:val="single" w:sz="4" w:space="0" w:color="auto"/>
              <w:bottom w:val="single" w:sz="4" w:space="0" w:color="auto"/>
              <w:right w:val="single" w:sz="4" w:space="0" w:color="auto"/>
            </w:tcBorders>
            <w:hideMark/>
          </w:tcPr>
          <w:p w14:paraId="09584AE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22</w:t>
            </w:r>
          </w:p>
        </w:tc>
        <w:tc>
          <w:tcPr>
            <w:tcW w:w="900" w:type="dxa"/>
            <w:tcBorders>
              <w:top w:val="single" w:sz="4" w:space="0" w:color="auto"/>
              <w:left w:val="single" w:sz="4" w:space="0" w:color="auto"/>
              <w:bottom w:val="single" w:sz="4" w:space="0" w:color="auto"/>
              <w:right w:val="single" w:sz="4" w:space="0" w:color="auto"/>
            </w:tcBorders>
            <w:hideMark/>
          </w:tcPr>
          <w:p w14:paraId="1B3D165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c>
          <w:tcPr>
            <w:tcW w:w="1170" w:type="dxa"/>
            <w:tcBorders>
              <w:top w:val="single" w:sz="4" w:space="0" w:color="auto"/>
              <w:left w:val="single" w:sz="4" w:space="0" w:color="auto"/>
              <w:bottom w:val="single" w:sz="4" w:space="0" w:color="auto"/>
              <w:right w:val="single" w:sz="4" w:space="0" w:color="auto"/>
            </w:tcBorders>
            <w:hideMark/>
          </w:tcPr>
          <w:p w14:paraId="118FE75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58AA001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23</w:t>
            </w:r>
          </w:p>
        </w:tc>
        <w:tc>
          <w:tcPr>
            <w:tcW w:w="900" w:type="dxa"/>
            <w:tcBorders>
              <w:top w:val="single" w:sz="4" w:space="0" w:color="auto"/>
              <w:left w:val="single" w:sz="4" w:space="0" w:color="auto"/>
              <w:bottom w:val="single" w:sz="4" w:space="0" w:color="auto"/>
              <w:right w:val="single" w:sz="4" w:space="0" w:color="auto"/>
            </w:tcBorders>
            <w:hideMark/>
          </w:tcPr>
          <w:p w14:paraId="0CD2614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c>
          <w:tcPr>
            <w:tcW w:w="900" w:type="dxa"/>
            <w:tcBorders>
              <w:top w:val="single" w:sz="4" w:space="0" w:color="auto"/>
              <w:left w:val="single" w:sz="4" w:space="0" w:color="auto"/>
              <w:bottom w:val="single" w:sz="4" w:space="0" w:color="auto"/>
              <w:right w:val="single" w:sz="4" w:space="0" w:color="auto"/>
            </w:tcBorders>
            <w:hideMark/>
          </w:tcPr>
          <w:p w14:paraId="7DE9A77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21</w:t>
            </w:r>
          </w:p>
        </w:tc>
        <w:tc>
          <w:tcPr>
            <w:tcW w:w="720" w:type="dxa"/>
            <w:tcBorders>
              <w:top w:val="single" w:sz="4" w:space="0" w:color="auto"/>
              <w:left w:val="single" w:sz="4" w:space="0" w:color="auto"/>
              <w:bottom w:val="single" w:sz="4" w:space="0" w:color="auto"/>
              <w:right w:val="single" w:sz="4" w:space="0" w:color="auto"/>
            </w:tcBorders>
            <w:hideMark/>
          </w:tcPr>
          <w:p w14:paraId="07CB856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644" w:type="dxa"/>
            <w:tcBorders>
              <w:top w:val="single" w:sz="4" w:space="0" w:color="auto"/>
              <w:left w:val="single" w:sz="4" w:space="0" w:color="auto"/>
              <w:bottom w:val="single" w:sz="4" w:space="0" w:color="auto"/>
              <w:right w:val="single" w:sz="4" w:space="0" w:color="auto"/>
            </w:tcBorders>
            <w:hideMark/>
          </w:tcPr>
          <w:p w14:paraId="25C9D1B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r>
      <w:tr w:rsidR="00C7144D" w:rsidRPr="00DD1E00" w14:paraId="3FB62929" w14:textId="77777777" w:rsidTr="00E060BA">
        <w:trPr>
          <w:trHeight w:val="702"/>
        </w:trPr>
        <w:tc>
          <w:tcPr>
            <w:tcW w:w="1255" w:type="dxa"/>
            <w:tcBorders>
              <w:top w:val="single" w:sz="4" w:space="0" w:color="auto"/>
              <w:left w:val="single" w:sz="4" w:space="0" w:color="auto"/>
              <w:bottom w:val="single" w:sz="4" w:space="0" w:color="auto"/>
              <w:right w:val="single" w:sz="4" w:space="0" w:color="auto"/>
            </w:tcBorders>
            <w:hideMark/>
          </w:tcPr>
          <w:p w14:paraId="7CC97BC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Total alkalinity</w:t>
            </w:r>
          </w:p>
        </w:tc>
        <w:tc>
          <w:tcPr>
            <w:tcW w:w="720" w:type="dxa"/>
            <w:tcBorders>
              <w:top w:val="single" w:sz="4" w:space="0" w:color="auto"/>
              <w:left w:val="single" w:sz="4" w:space="0" w:color="auto"/>
              <w:bottom w:val="single" w:sz="4" w:space="0" w:color="auto"/>
              <w:right w:val="single" w:sz="4" w:space="0" w:color="auto"/>
            </w:tcBorders>
            <w:hideMark/>
          </w:tcPr>
          <w:p w14:paraId="589EA4EF"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250</w:t>
            </w:r>
          </w:p>
        </w:tc>
        <w:tc>
          <w:tcPr>
            <w:tcW w:w="720" w:type="dxa"/>
            <w:tcBorders>
              <w:top w:val="single" w:sz="4" w:space="0" w:color="auto"/>
              <w:left w:val="single" w:sz="4" w:space="0" w:color="auto"/>
              <w:bottom w:val="single" w:sz="4" w:space="0" w:color="auto"/>
              <w:right w:val="single" w:sz="4" w:space="0" w:color="auto"/>
            </w:tcBorders>
            <w:hideMark/>
          </w:tcPr>
          <w:p w14:paraId="592A59A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630" w:type="dxa"/>
            <w:tcBorders>
              <w:top w:val="single" w:sz="4" w:space="0" w:color="auto"/>
              <w:left w:val="single" w:sz="4" w:space="0" w:color="auto"/>
              <w:bottom w:val="single" w:sz="4" w:space="0" w:color="auto"/>
              <w:right w:val="single" w:sz="4" w:space="0" w:color="auto"/>
            </w:tcBorders>
            <w:hideMark/>
          </w:tcPr>
          <w:p w14:paraId="48BDA2DF"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525</w:t>
            </w:r>
          </w:p>
        </w:tc>
        <w:tc>
          <w:tcPr>
            <w:tcW w:w="810" w:type="dxa"/>
            <w:tcBorders>
              <w:top w:val="single" w:sz="4" w:space="0" w:color="auto"/>
              <w:left w:val="single" w:sz="4" w:space="0" w:color="auto"/>
              <w:bottom w:val="single" w:sz="4" w:space="0" w:color="auto"/>
              <w:right w:val="single" w:sz="4" w:space="0" w:color="auto"/>
            </w:tcBorders>
            <w:hideMark/>
          </w:tcPr>
          <w:p w14:paraId="2E1E2AF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905" w:type="dxa"/>
            <w:tcBorders>
              <w:top w:val="single" w:sz="4" w:space="0" w:color="auto"/>
              <w:left w:val="single" w:sz="4" w:space="0" w:color="auto"/>
              <w:bottom w:val="single" w:sz="4" w:space="0" w:color="auto"/>
              <w:right w:val="single" w:sz="4" w:space="0" w:color="auto"/>
            </w:tcBorders>
            <w:hideMark/>
          </w:tcPr>
          <w:p w14:paraId="56640DEA"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250</w:t>
            </w:r>
          </w:p>
        </w:tc>
        <w:tc>
          <w:tcPr>
            <w:tcW w:w="900" w:type="dxa"/>
            <w:tcBorders>
              <w:top w:val="single" w:sz="4" w:space="0" w:color="auto"/>
              <w:left w:val="single" w:sz="4" w:space="0" w:color="auto"/>
              <w:bottom w:val="single" w:sz="4" w:space="0" w:color="auto"/>
              <w:right w:val="single" w:sz="4" w:space="0" w:color="auto"/>
            </w:tcBorders>
            <w:hideMark/>
          </w:tcPr>
          <w:p w14:paraId="5776BA5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300</w:t>
            </w:r>
          </w:p>
        </w:tc>
        <w:tc>
          <w:tcPr>
            <w:tcW w:w="1170" w:type="dxa"/>
            <w:tcBorders>
              <w:top w:val="single" w:sz="4" w:space="0" w:color="auto"/>
              <w:left w:val="single" w:sz="4" w:space="0" w:color="auto"/>
              <w:bottom w:val="single" w:sz="4" w:space="0" w:color="auto"/>
              <w:right w:val="single" w:sz="4" w:space="0" w:color="auto"/>
            </w:tcBorders>
            <w:hideMark/>
          </w:tcPr>
          <w:p w14:paraId="00D6E6B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400</w:t>
            </w:r>
          </w:p>
        </w:tc>
        <w:tc>
          <w:tcPr>
            <w:tcW w:w="900" w:type="dxa"/>
            <w:tcBorders>
              <w:top w:val="single" w:sz="4" w:space="0" w:color="auto"/>
              <w:left w:val="single" w:sz="4" w:space="0" w:color="auto"/>
              <w:bottom w:val="single" w:sz="4" w:space="0" w:color="auto"/>
              <w:right w:val="single" w:sz="4" w:space="0" w:color="auto"/>
            </w:tcBorders>
            <w:hideMark/>
          </w:tcPr>
          <w:p w14:paraId="4F5D7E7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400</w:t>
            </w:r>
          </w:p>
        </w:tc>
        <w:tc>
          <w:tcPr>
            <w:tcW w:w="900" w:type="dxa"/>
            <w:tcBorders>
              <w:top w:val="single" w:sz="4" w:space="0" w:color="auto"/>
              <w:left w:val="single" w:sz="4" w:space="0" w:color="auto"/>
              <w:bottom w:val="single" w:sz="4" w:space="0" w:color="auto"/>
              <w:right w:val="single" w:sz="4" w:space="0" w:color="auto"/>
            </w:tcBorders>
            <w:hideMark/>
          </w:tcPr>
          <w:p w14:paraId="50C8F3A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900" w:type="dxa"/>
            <w:tcBorders>
              <w:top w:val="single" w:sz="4" w:space="0" w:color="auto"/>
              <w:left w:val="single" w:sz="4" w:space="0" w:color="auto"/>
              <w:bottom w:val="single" w:sz="4" w:space="0" w:color="auto"/>
              <w:right w:val="single" w:sz="4" w:space="0" w:color="auto"/>
            </w:tcBorders>
            <w:hideMark/>
          </w:tcPr>
          <w:p w14:paraId="4838D00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720" w:type="dxa"/>
            <w:tcBorders>
              <w:top w:val="single" w:sz="4" w:space="0" w:color="auto"/>
              <w:left w:val="single" w:sz="4" w:space="0" w:color="auto"/>
              <w:bottom w:val="single" w:sz="4" w:space="0" w:color="auto"/>
              <w:right w:val="single" w:sz="4" w:space="0" w:color="auto"/>
            </w:tcBorders>
            <w:hideMark/>
          </w:tcPr>
          <w:p w14:paraId="4691350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644" w:type="dxa"/>
            <w:tcBorders>
              <w:top w:val="single" w:sz="4" w:space="0" w:color="auto"/>
              <w:left w:val="single" w:sz="4" w:space="0" w:color="auto"/>
              <w:bottom w:val="single" w:sz="4" w:space="0" w:color="auto"/>
              <w:right w:val="single" w:sz="4" w:space="0" w:color="auto"/>
            </w:tcBorders>
            <w:hideMark/>
          </w:tcPr>
          <w:p w14:paraId="4BACD00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r>
      <w:tr w:rsidR="00C7144D" w:rsidRPr="00DD1E00" w14:paraId="69A33194" w14:textId="77777777" w:rsidTr="00E060BA">
        <w:trPr>
          <w:trHeight w:val="719"/>
        </w:trPr>
        <w:tc>
          <w:tcPr>
            <w:tcW w:w="1255" w:type="dxa"/>
            <w:tcBorders>
              <w:top w:val="single" w:sz="4" w:space="0" w:color="auto"/>
              <w:left w:val="single" w:sz="4" w:space="0" w:color="auto"/>
              <w:bottom w:val="single" w:sz="4" w:space="0" w:color="auto"/>
              <w:right w:val="single" w:sz="4" w:space="0" w:color="auto"/>
            </w:tcBorders>
            <w:hideMark/>
          </w:tcPr>
          <w:p w14:paraId="4A55EAB4" w14:textId="10B39BA9" w:rsidR="003277BE" w:rsidRPr="00DD1E00" w:rsidRDefault="001560C8" w:rsidP="001560C8">
            <w:pPr>
              <w:spacing w:after="200" w:line="276" w:lineRule="auto"/>
              <w:rPr>
                <w:rFonts w:ascii="Arial" w:hAnsi="Arial" w:cs="Arial"/>
                <w:sz w:val="20"/>
                <w:szCs w:val="20"/>
                <w:lang w:val="en-IN"/>
              </w:rPr>
            </w:pPr>
            <w:r>
              <w:rPr>
                <w:rFonts w:ascii="Arial" w:hAnsi="Arial" w:cs="Arial"/>
                <w:sz w:val="20"/>
                <w:szCs w:val="20"/>
                <w:lang w:val="en-IN"/>
              </w:rPr>
              <w:t>Total Hard</w:t>
            </w:r>
            <w:r w:rsidR="003277BE" w:rsidRPr="00DD1E00">
              <w:rPr>
                <w:rFonts w:ascii="Arial" w:hAnsi="Arial" w:cs="Arial"/>
                <w:sz w:val="20"/>
                <w:szCs w:val="20"/>
                <w:lang w:val="en-IN"/>
              </w:rPr>
              <w:t>ness</w:t>
            </w:r>
          </w:p>
        </w:tc>
        <w:tc>
          <w:tcPr>
            <w:tcW w:w="720" w:type="dxa"/>
            <w:tcBorders>
              <w:top w:val="single" w:sz="4" w:space="0" w:color="auto"/>
              <w:left w:val="single" w:sz="4" w:space="0" w:color="auto"/>
              <w:bottom w:val="single" w:sz="4" w:space="0" w:color="auto"/>
              <w:right w:val="single" w:sz="4" w:space="0" w:color="auto"/>
            </w:tcBorders>
            <w:hideMark/>
          </w:tcPr>
          <w:p w14:paraId="5D19C8F1"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300</w:t>
            </w:r>
          </w:p>
        </w:tc>
        <w:tc>
          <w:tcPr>
            <w:tcW w:w="720" w:type="dxa"/>
            <w:tcBorders>
              <w:top w:val="single" w:sz="4" w:space="0" w:color="auto"/>
              <w:left w:val="single" w:sz="4" w:space="0" w:color="auto"/>
              <w:bottom w:val="single" w:sz="4" w:space="0" w:color="auto"/>
              <w:right w:val="single" w:sz="4" w:space="0" w:color="auto"/>
            </w:tcBorders>
            <w:hideMark/>
          </w:tcPr>
          <w:p w14:paraId="413E9F5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630" w:type="dxa"/>
            <w:tcBorders>
              <w:top w:val="single" w:sz="4" w:space="0" w:color="auto"/>
              <w:left w:val="single" w:sz="4" w:space="0" w:color="auto"/>
              <w:bottom w:val="single" w:sz="4" w:space="0" w:color="auto"/>
              <w:right w:val="single" w:sz="4" w:space="0" w:color="auto"/>
            </w:tcBorders>
            <w:hideMark/>
          </w:tcPr>
          <w:p w14:paraId="1A72B12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600</w:t>
            </w:r>
          </w:p>
        </w:tc>
        <w:tc>
          <w:tcPr>
            <w:tcW w:w="810" w:type="dxa"/>
            <w:tcBorders>
              <w:top w:val="single" w:sz="4" w:space="0" w:color="auto"/>
              <w:left w:val="single" w:sz="4" w:space="0" w:color="auto"/>
              <w:bottom w:val="single" w:sz="4" w:space="0" w:color="auto"/>
              <w:right w:val="single" w:sz="4" w:space="0" w:color="auto"/>
            </w:tcBorders>
            <w:hideMark/>
          </w:tcPr>
          <w:p w14:paraId="3D021C8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750</w:t>
            </w:r>
          </w:p>
        </w:tc>
        <w:tc>
          <w:tcPr>
            <w:tcW w:w="905" w:type="dxa"/>
            <w:tcBorders>
              <w:top w:val="single" w:sz="4" w:space="0" w:color="auto"/>
              <w:left w:val="single" w:sz="4" w:space="0" w:color="auto"/>
              <w:bottom w:val="single" w:sz="4" w:space="0" w:color="auto"/>
              <w:right w:val="single" w:sz="4" w:space="0" w:color="auto"/>
            </w:tcBorders>
            <w:hideMark/>
          </w:tcPr>
          <w:p w14:paraId="150C285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650</w:t>
            </w:r>
          </w:p>
        </w:tc>
        <w:tc>
          <w:tcPr>
            <w:tcW w:w="900" w:type="dxa"/>
            <w:tcBorders>
              <w:top w:val="single" w:sz="4" w:space="0" w:color="auto"/>
              <w:left w:val="single" w:sz="4" w:space="0" w:color="auto"/>
              <w:bottom w:val="single" w:sz="4" w:space="0" w:color="auto"/>
              <w:right w:val="single" w:sz="4" w:space="0" w:color="auto"/>
            </w:tcBorders>
            <w:hideMark/>
          </w:tcPr>
          <w:p w14:paraId="0E74D3F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550</w:t>
            </w:r>
          </w:p>
        </w:tc>
        <w:tc>
          <w:tcPr>
            <w:tcW w:w="1170" w:type="dxa"/>
            <w:tcBorders>
              <w:top w:val="single" w:sz="4" w:space="0" w:color="auto"/>
              <w:left w:val="single" w:sz="4" w:space="0" w:color="auto"/>
              <w:bottom w:val="single" w:sz="4" w:space="0" w:color="auto"/>
              <w:right w:val="single" w:sz="4" w:space="0" w:color="auto"/>
            </w:tcBorders>
            <w:hideMark/>
          </w:tcPr>
          <w:p w14:paraId="32F4B1A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750</w:t>
            </w:r>
          </w:p>
        </w:tc>
        <w:tc>
          <w:tcPr>
            <w:tcW w:w="900" w:type="dxa"/>
            <w:tcBorders>
              <w:top w:val="single" w:sz="4" w:space="0" w:color="auto"/>
              <w:left w:val="single" w:sz="4" w:space="0" w:color="auto"/>
              <w:bottom w:val="single" w:sz="4" w:space="0" w:color="auto"/>
              <w:right w:val="single" w:sz="4" w:space="0" w:color="auto"/>
            </w:tcBorders>
            <w:hideMark/>
          </w:tcPr>
          <w:p w14:paraId="705118D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500</w:t>
            </w:r>
          </w:p>
        </w:tc>
        <w:tc>
          <w:tcPr>
            <w:tcW w:w="900" w:type="dxa"/>
            <w:tcBorders>
              <w:top w:val="single" w:sz="4" w:space="0" w:color="auto"/>
              <w:left w:val="single" w:sz="4" w:space="0" w:color="auto"/>
              <w:bottom w:val="single" w:sz="4" w:space="0" w:color="auto"/>
              <w:right w:val="single" w:sz="4" w:space="0" w:color="auto"/>
            </w:tcBorders>
            <w:hideMark/>
          </w:tcPr>
          <w:p w14:paraId="72336FAF"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760</w:t>
            </w:r>
          </w:p>
        </w:tc>
        <w:tc>
          <w:tcPr>
            <w:tcW w:w="900" w:type="dxa"/>
            <w:tcBorders>
              <w:top w:val="single" w:sz="4" w:space="0" w:color="auto"/>
              <w:left w:val="single" w:sz="4" w:space="0" w:color="auto"/>
              <w:bottom w:val="single" w:sz="4" w:space="0" w:color="auto"/>
              <w:right w:val="single" w:sz="4" w:space="0" w:color="auto"/>
            </w:tcBorders>
            <w:hideMark/>
          </w:tcPr>
          <w:p w14:paraId="3A507C9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600</w:t>
            </w:r>
          </w:p>
        </w:tc>
        <w:tc>
          <w:tcPr>
            <w:tcW w:w="720" w:type="dxa"/>
            <w:tcBorders>
              <w:top w:val="single" w:sz="4" w:space="0" w:color="auto"/>
              <w:left w:val="single" w:sz="4" w:space="0" w:color="auto"/>
              <w:bottom w:val="single" w:sz="4" w:space="0" w:color="auto"/>
              <w:right w:val="single" w:sz="4" w:space="0" w:color="auto"/>
            </w:tcBorders>
            <w:hideMark/>
          </w:tcPr>
          <w:p w14:paraId="3CC89BF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450</w:t>
            </w:r>
          </w:p>
        </w:tc>
        <w:tc>
          <w:tcPr>
            <w:tcW w:w="644" w:type="dxa"/>
            <w:tcBorders>
              <w:top w:val="single" w:sz="4" w:space="0" w:color="auto"/>
              <w:left w:val="single" w:sz="4" w:space="0" w:color="auto"/>
              <w:bottom w:val="single" w:sz="4" w:space="0" w:color="auto"/>
              <w:right w:val="single" w:sz="4" w:space="0" w:color="auto"/>
            </w:tcBorders>
            <w:hideMark/>
          </w:tcPr>
          <w:p w14:paraId="7714879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400</w:t>
            </w:r>
          </w:p>
        </w:tc>
      </w:tr>
      <w:tr w:rsidR="00C7144D" w:rsidRPr="00DD1E00" w14:paraId="0129B44C"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34B1E6B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Chloride</w:t>
            </w:r>
          </w:p>
        </w:tc>
        <w:tc>
          <w:tcPr>
            <w:tcW w:w="720" w:type="dxa"/>
            <w:tcBorders>
              <w:top w:val="single" w:sz="4" w:space="0" w:color="auto"/>
              <w:left w:val="single" w:sz="4" w:space="0" w:color="auto"/>
              <w:bottom w:val="single" w:sz="4" w:space="0" w:color="auto"/>
              <w:right w:val="single" w:sz="4" w:space="0" w:color="auto"/>
            </w:tcBorders>
            <w:hideMark/>
          </w:tcPr>
          <w:p w14:paraId="27EDB0AF"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60</w:t>
            </w:r>
          </w:p>
        </w:tc>
        <w:tc>
          <w:tcPr>
            <w:tcW w:w="720" w:type="dxa"/>
            <w:tcBorders>
              <w:top w:val="single" w:sz="4" w:space="0" w:color="auto"/>
              <w:left w:val="single" w:sz="4" w:space="0" w:color="auto"/>
              <w:bottom w:val="single" w:sz="4" w:space="0" w:color="auto"/>
              <w:right w:val="single" w:sz="4" w:space="0" w:color="auto"/>
            </w:tcBorders>
            <w:hideMark/>
          </w:tcPr>
          <w:p w14:paraId="64A0031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80</w:t>
            </w:r>
          </w:p>
        </w:tc>
        <w:tc>
          <w:tcPr>
            <w:tcW w:w="630" w:type="dxa"/>
            <w:tcBorders>
              <w:top w:val="single" w:sz="4" w:space="0" w:color="auto"/>
              <w:left w:val="single" w:sz="4" w:space="0" w:color="auto"/>
              <w:bottom w:val="single" w:sz="4" w:space="0" w:color="auto"/>
              <w:right w:val="single" w:sz="4" w:space="0" w:color="auto"/>
            </w:tcBorders>
            <w:hideMark/>
          </w:tcPr>
          <w:p w14:paraId="69A44BB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100</w:t>
            </w:r>
          </w:p>
        </w:tc>
        <w:tc>
          <w:tcPr>
            <w:tcW w:w="810" w:type="dxa"/>
            <w:tcBorders>
              <w:top w:val="single" w:sz="4" w:space="0" w:color="auto"/>
              <w:left w:val="single" w:sz="4" w:space="0" w:color="auto"/>
              <w:bottom w:val="single" w:sz="4" w:space="0" w:color="auto"/>
              <w:right w:val="single" w:sz="4" w:space="0" w:color="auto"/>
            </w:tcBorders>
            <w:hideMark/>
          </w:tcPr>
          <w:p w14:paraId="5EF8D58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80</w:t>
            </w:r>
          </w:p>
        </w:tc>
        <w:tc>
          <w:tcPr>
            <w:tcW w:w="905" w:type="dxa"/>
            <w:tcBorders>
              <w:top w:val="single" w:sz="4" w:space="0" w:color="auto"/>
              <w:left w:val="single" w:sz="4" w:space="0" w:color="auto"/>
              <w:bottom w:val="single" w:sz="4" w:space="0" w:color="auto"/>
              <w:right w:val="single" w:sz="4" w:space="0" w:color="auto"/>
            </w:tcBorders>
            <w:hideMark/>
          </w:tcPr>
          <w:p w14:paraId="0B24DBDD"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160</w:t>
            </w:r>
          </w:p>
        </w:tc>
        <w:tc>
          <w:tcPr>
            <w:tcW w:w="900" w:type="dxa"/>
            <w:tcBorders>
              <w:top w:val="single" w:sz="4" w:space="0" w:color="auto"/>
              <w:left w:val="single" w:sz="4" w:space="0" w:color="auto"/>
              <w:bottom w:val="single" w:sz="4" w:space="0" w:color="auto"/>
              <w:right w:val="single" w:sz="4" w:space="0" w:color="auto"/>
            </w:tcBorders>
            <w:hideMark/>
          </w:tcPr>
          <w:p w14:paraId="201360C3"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60</w:t>
            </w:r>
          </w:p>
        </w:tc>
        <w:tc>
          <w:tcPr>
            <w:tcW w:w="1170" w:type="dxa"/>
            <w:tcBorders>
              <w:top w:val="single" w:sz="4" w:space="0" w:color="auto"/>
              <w:left w:val="single" w:sz="4" w:space="0" w:color="auto"/>
              <w:bottom w:val="single" w:sz="4" w:space="0" w:color="auto"/>
              <w:right w:val="single" w:sz="4" w:space="0" w:color="auto"/>
            </w:tcBorders>
            <w:hideMark/>
          </w:tcPr>
          <w:p w14:paraId="2273EA84"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160</w:t>
            </w:r>
          </w:p>
        </w:tc>
        <w:tc>
          <w:tcPr>
            <w:tcW w:w="900" w:type="dxa"/>
            <w:tcBorders>
              <w:top w:val="single" w:sz="4" w:space="0" w:color="auto"/>
              <w:left w:val="single" w:sz="4" w:space="0" w:color="auto"/>
              <w:bottom w:val="single" w:sz="4" w:space="0" w:color="auto"/>
              <w:right w:val="single" w:sz="4" w:space="0" w:color="auto"/>
            </w:tcBorders>
            <w:hideMark/>
          </w:tcPr>
          <w:p w14:paraId="53F87CFA"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60</w:t>
            </w:r>
          </w:p>
        </w:tc>
        <w:tc>
          <w:tcPr>
            <w:tcW w:w="900" w:type="dxa"/>
            <w:tcBorders>
              <w:top w:val="single" w:sz="4" w:space="0" w:color="auto"/>
              <w:left w:val="single" w:sz="4" w:space="0" w:color="auto"/>
              <w:bottom w:val="single" w:sz="4" w:space="0" w:color="auto"/>
              <w:right w:val="single" w:sz="4" w:space="0" w:color="auto"/>
            </w:tcBorders>
            <w:hideMark/>
          </w:tcPr>
          <w:p w14:paraId="7EDF776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80</w:t>
            </w:r>
          </w:p>
        </w:tc>
        <w:tc>
          <w:tcPr>
            <w:tcW w:w="900" w:type="dxa"/>
            <w:tcBorders>
              <w:top w:val="single" w:sz="4" w:space="0" w:color="auto"/>
              <w:left w:val="single" w:sz="4" w:space="0" w:color="auto"/>
              <w:bottom w:val="single" w:sz="4" w:space="0" w:color="auto"/>
              <w:right w:val="single" w:sz="4" w:space="0" w:color="auto"/>
            </w:tcBorders>
            <w:hideMark/>
          </w:tcPr>
          <w:p w14:paraId="5DF4C2E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100</w:t>
            </w:r>
          </w:p>
        </w:tc>
        <w:tc>
          <w:tcPr>
            <w:tcW w:w="720" w:type="dxa"/>
            <w:tcBorders>
              <w:top w:val="single" w:sz="4" w:space="0" w:color="auto"/>
              <w:left w:val="single" w:sz="4" w:space="0" w:color="auto"/>
              <w:bottom w:val="single" w:sz="4" w:space="0" w:color="auto"/>
              <w:right w:val="single" w:sz="4" w:space="0" w:color="auto"/>
            </w:tcBorders>
            <w:hideMark/>
          </w:tcPr>
          <w:p w14:paraId="11E5BD9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80</w:t>
            </w:r>
          </w:p>
        </w:tc>
        <w:tc>
          <w:tcPr>
            <w:tcW w:w="644" w:type="dxa"/>
            <w:tcBorders>
              <w:top w:val="single" w:sz="4" w:space="0" w:color="auto"/>
              <w:left w:val="single" w:sz="4" w:space="0" w:color="auto"/>
              <w:bottom w:val="single" w:sz="4" w:space="0" w:color="auto"/>
              <w:right w:val="single" w:sz="4" w:space="0" w:color="auto"/>
            </w:tcBorders>
            <w:hideMark/>
          </w:tcPr>
          <w:p w14:paraId="35A7CB29"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60</w:t>
            </w:r>
          </w:p>
        </w:tc>
      </w:tr>
      <w:tr w:rsidR="00C7144D" w:rsidRPr="00DD1E00" w14:paraId="2F69494C"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37F6774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Fluoride</w:t>
            </w:r>
          </w:p>
        </w:tc>
        <w:tc>
          <w:tcPr>
            <w:tcW w:w="720" w:type="dxa"/>
            <w:tcBorders>
              <w:top w:val="single" w:sz="4" w:space="0" w:color="auto"/>
              <w:left w:val="single" w:sz="4" w:space="0" w:color="auto"/>
              <w:bottom w:val="single" w:sz="4" w:space="0" w:color="auto"/>
              <w:right w:val="single" w:sz="4" w:space="0" w:color="auto"/>
            </w:tcBorders>
            <w:hideMark/>
          </w:tcPr>
          <w:p w14:paraId="054A334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0.5</w:t>
            </w:r>
          </w:p>
        </w:tc>
        <w:tc>
          <w:tcPr>
            <w:tcW w:w="720" w:type="dxa"/>
            <w:tcBorders>
              <w:top w:val="single" w:sz="4" w:space="0" w:color="auto"/>
              <w:left w:val="single" w:sz="4" w:space="0" w:color="auto"/>
              <w:bottom w:val="single" w:sz="4" w:space="0" w:color="auto"/>
              <w:right w:val="single" w:sz="4" w:space="0" w:color="auto"/>
            </w:tcBorders>
            <w:hideMark/>
          </w:tcPr>
          <w:p w14:paraId="0A9D6231"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0.2</w:t>
            </w:r>
          </w:p>
        </w:tc>
        <w:tc>
          <w:tcPr>
            <w:tcW w:w="630" w:type="dxa"/>
            <w:tcBorders>
              <w:top w:val="single" w:sz="4" w:space="0" w:color="auto"/>
              <w:left w:val="single" w:sz="4" w:space="0" w:color="auto"/>
              <w:bottom w:val="single" w:sz="4" w:space="0" w:color="auto"/>
              <w:right w:val="single" w:sz="4" w:space="0" w:color="auto"/>
            </w:tcBorders>
            <w:hideMark/>
          </w:tcPr>
          <w:p w14:paraId="52CCA4E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0.6</w:t>
            </w:r>
          </w:p>
        </w:tc>
        <w:tc>
          <w:tcPr>
            <w:tcW w:w="810" w:type="dxa"/>
            <w:tcBorders>
              <w:top w:val="single" w:sz="4" w:space="0" w:color="auto"/>
              <w:left w:val="single" w:sz="4" w:space="0" w:color="auto"/>
              <w:bottom w:val="single" w:sz="4" w:space="0" w:color="auto"/>
              <w:right w:val="single" w:sz="4" w:space="0" w:color="auto"/>
            </w:tcBorders>
            <w:hideMark/>
          </w:tcPr>
          <w:p w14:paraId="0FDF071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0.5</w:t>
            </w:r>
          </w:p>
        </w:tc>
        <w:tc>
          <w:tcPr>
            <w:tcW w:w="905" w:type="dxa"/>
            <w:tcBorders>
              <w:top w:val="single" w:sz="4" w:space="0" w:color="auto"/>
              <w:left w:val="single" w:sz="4" w:space="0" w:color="auto"/>
              <w:bottom w:val="single" w:sz="4" w:space="0" w:color="auto"/>
              <w:right w:val="single" w:sz="4" w:space="0" w:color="auto"/>
            </w:tcBorders>
            <w:hideMark/>
          </w:tcPr>
          <w:p w14:paraId="7A20AB2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0.3</w:t>
            </w:r>
          </w:p>
        </w:tc>
        <w:tc>
          <w:tcPr>
            <w:tcW w:w="900" w:type="dxa"/>
            <w:tcBorders>
              <w:top w:val="single" w:sz="4" w:space="0" w:color="auto"/>
              <w:left w:val="single" w:sz="4" w:space="0" w:color="auto"/>
              <w:bottom w:val="single" w:sz="4" w:space="0" w:color="auto"/>
              <w:right w:val="single" w:sz="4" w:space="0" w:color="auto"/>
            </w:tcBorders>
            <w:hideMark/>
          </w:tcPr>
          <w:p w14:paraId="52535CF9"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0.2</w:t>
            </w:r>
          </w:p>
        </w:tc>
        <w:tc>
          <w:tcPr>
            <w:tcW w:w="1170" w:type="dxa"/>
            <w:tcBorders>
              <w:top w:val="single" w:sz="4" w:space="0" w:color="auto"/>
              <w:left w:val="single" w:sz="4" w:space="0" w:color="auto"/>
              <w:bottom w:val="single" w:sz="4" w:space="0" w:color="auto"/>
              <w:right w:val="single" w:sz="4" w:space="0" w:color="auto"/>
            </w:tcBorders>
            <w:hideMark/>
          </w:tcPr>
          <w:p w14:paraId="632299E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0.5</w:t>
            </w:r>
          </w:p>
        </w:tc>
        <w:tc>
          <w:tcPr>
            <w:tcW w:w="900" w:type="dxa"/>
            <w:tcBorders>
              <w:top w:val="single" w:sz="4" w:space="0" w:color="auto"/>
              <w:left w:val="single" w:sz="4" w:space="0" w:color="auto"/>
              <w:bottom w:val="single" w:sz="4" w:space="0" w:color="auto"/>
              <w:right w:val="single" w:sz="4" w:space="0" w:color="auto"/>
            </w:tcBorders>
            <w:hideMark/>
          </w:tcPr>
          <w:p w14:paraId="4176AD13"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0.2</w:t>
            </w:r>
          </w:p>
        </w:tc>
        <w:tc>
          <w:tcPr>
            <w:tcW w:w="900" w:type="dxa"/>
            <w:tcBorders>
              <w:top w:val="single" w:sz="4" w:space="0" w:color="auto"/>
              <w:left w:val="single" w:sz="4" w:space="0" w:color="auto"/>
              <w:bottom w:val="single" w:sz="4" w:space="0" w:color="auto"/>
              <w:right w:val="single" w:sz="4" w:space="0" w:color="auto"/>
            </w:tcBorders>
            <w:hideMark/>
          </w:tcPr>
          <w:p w14:paraId="00DA854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0.3</w:t>
            </w:r>
          </w:p>
        </w:tc>
        <w:tc>
          <w:tcPr>
            <w:tcW w:w="900" w:type="dxa"/>
            <w:tcBorders>
              <w:top w:val="single" w:sz="4" w:space="0" w:color="auto"/>
              <w:left w:val="single" w:sz="4" w:space="0" w:color="auto"/>
              <w:bottom w:val="single" w:sz="4" w:space="0" w:color="auto"/>
              <w:right w:val="single" w:sz="4" w:space="0" w:color="auto"/>
            </w:tcBorders>
            <w:hideMark/>
          </w:tcPr>
          <w:p w14:paraId="5A3894D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0.6</w:t>
            </w:r>
          </w:p>
        </w:tc>
        <w:tc>
          <w:tcPr>
            <w:tcW w:w="720" w:type="dxa"/>
            <w:tcBorders>
              <w:top w:val="single" w:sz="4" w:space="0" w:color="auto"/>
              <w:left w:val="single" w:sz="4" w:space="0" w:color="auto"/>
              <w:bottom w:val="single" w:sz="4" w:space="0" w:color="auto"/>
              <w:right w:val="single" w:sz="4" w:space="0" w:color="auto"/>
            </w:tcBorders>
            <w:hideMark/>
          </w:tcPr>
          <w:p w14:paraId="47B1F875"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0.8</w:t>
            </w:r>
          </w:p>
        </w:tc>
        <w:tc>
          <w:tcPr>
            <w:tcW w:w="644" w:type="dxa"/>
            <w:tcBorders>
              <w:top w:val="single" w:sz="4" w:space="0" w:color="auto"/>
              <w:left w:val="single" w:sz="4" w:space="0" w:color="auto"/>
              <w:bottom w:val="single" w:sz="4" w:space="0" w:color="auto"/>
              <w:right w:val="single" w:sz="4" w:space="0" w:color="auto"/>
            </w:tcBorders>
            <w:hideMark/>
          </w:tcPr>
          <w:p w14:paraId="1195805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0.3</w:t>
            </w:r>
          </w:p>
        </w:tc>
      </w:tr>
      <w:tr w:rsidR="00C7144D" w:rsidRPr="00DD1E00" w14:paraId="42E477AC"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752DAB3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Nitrate</w:t>
            </w:r>
          </w:p>
        </w:tc>
        <w:tc>
          <w:tcPr>
            <w:tcW w:w="720" w:type="dxa"/>
            <w:tcBorders>
              <w:top w:val="single" w:sz="4" w:space="0" w:color="auto"/>
              <w:left w:val="single" w:sz="4" w:space="0" w:color="auto"/>
              <w:bottom w:val="single" w:sz="4" w:space="0" w:color="auto"/>
              <w:right w:val="single" w:sz="4" w:space="0" w:color="auto"/>
            </w:tcBorders>
            <w:hideMark/>
          </w:tcPr>
          <w:p w14:paraId="740E6F8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5.0</w:t>
            </w:r>
          </w:p>
        </w:tc>
        <w:tc>
          <w:tcPr>
            <w:tcW w:w="720" w:type="dxa"/>
            <w:tcBorders>
              <w:top w:val="single" w:sz="4" w:space="0" w:color="auto"/>
              <w:left w:val="single" w:sz="4" w:space="0" w:color="auto"/>
              <w:bottom w:val="single" w:sz="4" w:space="0" w:color="auto"/>
              <w:right w:val="single" w:sz="4" w:space="0" w:color="auto"/>
            </w:tcBorders>
            <w:hideMark/>
          </w:tcPr>
          <w:p w14:paraId="68D9E60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5.0</w:t>
            </w:r>
          </w:p>
        </w:tc>
        <w:tc>
          <w:tcPr>
            <w:tcW w:w="630" w:type="dxa"/>
            <w:tcBorders>
              <w:top w:val="single" w:sz="4" w:space="0" w:color="auto"/>
              <w:left w:val="single" w:sz="4" w:space="0" w:color="auto"/>
              <w:bottom w:val="single" w:sz="4" w:space="0" w:color="auto"/>
              <w:right w:val="single" w:sz="4" w:space="0" w:color="auto"/>
            </w:tcBorders>
            <w:hideMark/>
          </w:tcPr>
          <w:p w14:paraId="0A5BC111"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0.5</w:t>
            </w:r>
          </w:p>
        </w:tc>
        <w:tc>
          <w:tcPr>
            <w:tcW w:w="810" w:type="dxa"/>
            <w:tcBorders>
              <w:top w:val="single" w:sz="4" w:space="0" w:color="auto"/>
              <w:left w:val="single" w:sz="4" w:space="0" w:color="auto"/>
              <w:bottom w:val="single" w:sz="4" w:space="0" w:color="auto"/>
              <w:right w:val="single" w:sz="4" w:space="0" w:color="auto"/>
            </w:tcBorders>
            <w:hideMark/>
          </w:tcPr>
          <w:p w14:paraId="7D0A671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5" w:type="dxa"/>
            <w:tcBorders>
              <w:top w:val="single" w:sz="4" w:space="0" w:color="auto"/>
              <w:left w:val="single" w:sz="4" w:space="0" w:color="auto"/>
              <w:bottom w:val="single" w:sz="4" w:space="0" w:color="auto"/>
              <w:right w:val="single" w:sz="4" w:space="0" w:color="auto"/>
            </w:tcBorders>
            <w:hideMark/>
          </w:tcPr>
          <w:p w14:paraId="1320D25E"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0.5</w:t>
            </w:r>
          </w:p>
        </w:tc>
        <w:tc>
          <w:tcPr>
            <w:tcW w:w="900" w:type="dxa"/>
            <w:tcBorders>
              <w:top w:val="single" w:sz="4" w:space="0" w:color="auto"/>
              <w:left w:val="single" w:sz="4" w:space="0" w:color="auto"/>
              <w:bottom w:val="single" w:sz="4" w:space="0" w:color="auto"/>
              <w:right w:val="single" w:sz="4" w:space="0" w:color="auto"/>
            </w:tcBorders>
            <w:hideMark/>
          </w:tcPr>
          <w:p w14:paraId="6D3315D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1.5</w:t>
            </w:r>
          </w:p>
        </w:tc>
        <w:tc>
          <w:tcPr>
            <w:tcW w:w="1170" w:type="dxa"/>
            <w:tcBorders>
              <w:top w:val="single" w:sz="4" w:space="0" w:color="auto"/>
              <w:left w:val="single" w:sz="4" w:space="0" w:color="auto"/>
              <w:bottom w:val="single" w:sz="4" w:space="0" w:color="auto"/>
              <w:right w:val="single" w:sz="4" w:space="0" w:color="auto"/>
            </w:tcBorders>
            <w:hideMark/>
          </w:tcPr>
          <w:p w14:paraId="5BDAEEE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5.0</w:t>
            </w:r>
          </w:p>
        </w:tc>
        <w:tc>
          <w:tcPr>
            <w:tcW w:w="900" w:type="dxa"/>
            <w:tcBorders>
              <w:top w:val="single" w:sz="4" w:space="0" w:color="auto"/>
              <w:left w:val="single" w:sz="4" w:space="0" w:color="auto"/>
              <w:bottom w:val="single" w:sz="4" w:space="0" w:color="auto"/>
              <w:right w:val="single" w:sz="4" w:space="0" w:color="auto"/>
            </w:tcBorders>
            <w:hideMark/>
          </w:tcPr>
          <w:p w14:paraId="790C7E3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5.0</w:t>
            </w:r>
          </w:p>
        </w:tc>
        <w:tc>
          <w:tcPr>
            <w:tcW w:w="900" w:type="dxa"/>
            <w:tcBorders>
              <w:top w:val="single" w:sz="4" w:space="0" w:color="auto"/>
              <w:left w:val="single" w:sz="4" w:space="0" w:color="auto"/>
              <w:bottom w:val="single" w:sz="4" w:space="0" w:color="auto"/>
              <w:right w:val="single" w:sz="4" w:space="0" w:color="auto"/>
            </w:tcBorders>
            <w:hideMark/>
          </w:tcPr>
          <w:p w14:paraId="6F5303C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5EC5F18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720" w:type="dxa"/>
            <w:tcBorders>
              <w:top w:val="single" w:sz="4" w:space="0" w:color="auto"/>
              <w:left w:val="single" w:sz="4" w:space="0" w:color="auto"/>
              <w:bottom w:val="single" w:sz="4" w:space="0" w:color="auto"/>
              <w:right w:val="single" w:sz="4" w:space="0" w:color="auto"/>
            </w:tcBorders>
            <w:hideMark/>
          </w:tcPr>
          <w:p w14:paraId="6AD03723"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5.0</w:t>
            </w:r>
          </w:p>
        </w:tc>
        <w:tc>
          <w:tcPr>
            <w:tcW w:w="644" w:type="dxa"/>
            <w:tcBorders>
              <w:top w:val="single" w:sz="4" w:space="0" w:color="auto"/>
              <w:left w:val="single" w:sz="4" w:space="0" w:color="auto"/>
              <w:bottom w:val="single" w:sz="4" w:space="0" w:color="auto"/>
              <w:right w:val="single" w:sz="4" w:space="0" w:color="auto"/>
            </w:tcBorders>
            <w:hideMark/>
          </w:tcPr>
          <w:p w14:paraId="50E02B2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r>
      <w:tr w:rsidR="00C7144D" w:rsidRPr="00DD1E00" w14:paraId="6D55CDDF"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51CFC8A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Iron</w:t>
            </w:r>
          </w:p>
        </w:tc>
        <w:tc>
          <w:tcPr>
            <w:tcW w:w="720" w:type="dxa"/>
            <w:tcBorders>
              <w:top w:val="single" w:sz="4" w:space="0" w:color="auto"/>
              <w:left w:val="single" w:sz="4" w:space="0" w:color="auto"/>
              <w:bottom w:val="single" w:sz="4" w:space="0" w:color="auto"/>
              <w:right w:val="single" w:sz="4" w:space="0" w:color="auto"/>
            </w:tcBorders>
            <w:hideMark/>
          </w:tcPr>
          <w:p w14:paraId="2B52110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720" w:type="dxa"/>
            <w:tcBorders>
              <w:top w:val="single" w:sz="4" w:space="0" w:color="auto"/>
              <w:left w:val="single" w:sz="4" w:space="0" w:color="auto"/>
              <w:bottom w:val="single" w:sz="4" w:space="0" w:color="auto"/>
              <w:right w:val="single" w:sz="4" w:space="0" w:color="auto"/>
            </w:tcBorders>
            <w:hideMark/>
          </w:tcPr>
          <w:p w14:paraId="0664094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630" w:type="dxa"/>
            <w:tcBorders>
              <w:top w:val="single" w:sz="4" w:space="0" w:color="auto"/>
              <w:left w:val="single" w:sz="4" w:space="0" w:color="auto"/>
              <w:bottom w:val="single" w:sz="4" w:space="0" w:color="auto"/>
              <w:right w:val="single" w:sz="4" w:space="0" w:color="auto"/>
            </w:tcBorders>
            <w:hideMark/>
          </w:tcPr>
          <w:p w14:paraId="46C459B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810" w:type="dxa"/>
            <w:tcBorders>
              <w:top w:val="single" w:sz="4" w:space="0" w:color="auto"/>
              <w:left w:val="single" w:sz="4" w:space="0" w:color="auto"/>
              <w:bottom w:val="single" w:sz="4" w:space="0" w:color="auto"/>
              <w:right w:val="single" w:sz="4" w:space="0" w:color="auto"/>
            </w:tcBorders>
            <w:hideMark/>
          </w:tcPr>
          <w:p w14:paraId="75B3479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905" w:type="dxa"/>
            <w:tcBorders>
              <w:top w:val="single" w:sz="4" w:space="0" w:color="auto"/>
              <w:left w:val="single" w:sz="4" w:space="0" w:color="auto"/>
              <w:bottom w:val="single" w:sz="4" w:space="0" w:color="auto"/>
              <w:right w:val="single" w:sz="4" w:space="0" w:color="auto"/>
            </w:tcBorders>
            <w:hideMark/>
          </w:tcPr>
          <w:p w14:paraId="79CDE12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900" w:type="dxa"/>
            <w:tcBorders>
              <w:top w:val="single" w:sz="4" w:space="0" w:color="auto"/>
              <w:left w:val="single" w:sz="4" w:space="0" w:color="auto"/>
              <w:bottom w:val="single" w:sz="4" w:space="0" w:color="auto"/>
              <w:right w:val="single" w:sz="4" w:space="0" w:color="auto"/>
            </w:tcBorders>
            <w:hideMark/>
          </w:tcPr>
          <w:p w14:paraId="6A42FCF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1170" w:type="dxa"/>
            <w:tcBorders>
              <w:top w:val="single" w:sz="4" w:space="0" w:color="auto"/>
              <w:left w:val="single" w:sz="4" w:space="0" w:color="auto"/>
              <w:bottom w:val="single" w:sz="4" w:space="0" w:color="auto"/>
              <w:right w:val="single" w:sz="4" w:space="0" w:color="auto"/>
            </w:tcBorders>
            <w:hideMark/>
          </w:tcPr>
          <w:p w14:paraId="26EF764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900" w:type="dxa"/>
            <w:tcBorders>
              <w:top w:val="single" w:sz="4" w:space="0" w:color="auto"/>
              <w:left w:val="single" w:sz="4" w:space="0" w:color="auto"/>
              <w:bottom w:val="single" w:sz="4" w:space="0" w:color="auto"/>
              <w:right w:val="single" w:sz="4" w:space="0" w:color="auto"/>
            </w:tcBorders>
            <w:hideMark/>
          </w:tcPr>
          <w:p w14:paraId="4B9A81B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900" w:type="dxa"/>
            <w:tcBorders>
              <w:top w:val="single" w:sz="4" w:space="0" w:color="auto"/>
              <w:left w:val="single" w:sz="4" w:space="0" w:color="auto"/>
              <w:bottom w:val="single" w:sz="4" w:space="0" w:color="auto"/>
              <w:right w:val="single" w:sz="4" w:space="0" w:color="auto"/>
            </w:tcBorders>
            <w:hideMark/>
          </w:tcPr>
          <w:p w14:paraId="016F8BE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900" w:type="dxa"/>
            <w:tcBorders>
              <w:top w:val="single" w:sz="4" w:space="0" w:color="auto"/>
              <w:left w:val="single" w:sz="4" w:space="0" w:color="auto"/>
              <w:bottom w:val="single" w:sz="4" w:space="0" w:color="auto"/>
              <w:right w:val="single" w:sz="4" w:space="0" w:color="auto"/>
            </w:tcBorders>
            <w:hideMark/>
          </w:tcPr>
          <w:p w14:paraId="2F579DE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720" w:type="dxa"/>
            <w:tcBorders>
              <w:top w:val="single" w:sz="4" w:space="0" w:color="auto"/>
              <w:left w:val="single" w:sz="4" w:space="0" w:color="auto"/>
              <w:bottom w:val="single" w:sz="4" w:space="0" w:color="auto"/>
              <w:right w:val="single" w:sz="4" w:space="0" w:color="auto"/>
            </w:tcBorders>
            <w:hideMark/>
          </w:tcPr>
          <w:p w14:paraId="4F52419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644" w:type="dxa"/>
            <w:tcBorders>
              <w:top w:val="single" w:sz="4" w:space="0" w:color="auto"/>
              <w:left w:val="single" w:sz="4" w:space="0" w:color="auto"/>
              <w:bottom w:val="single" w:sz="4" w:space="0" w:color="auto"/>
              <w:right w:val="single" w:sz="4" w:space="0" w:color="auto"/>
            </w:tcBorders>
            <w:hideMark/>
          </w:tcPr>
          <w:p w14:paraId="21AC62C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r>
      <w:tr w:rsidR="00C7144D" w:rsidRPr="00DD1E00" w14:paraId="146DE9FF"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0FC7C79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Arsenic</w:t>
            </w:r>
          </w:p>
        </w:tc>
        <w:tc>
          <w:tcPr>
            <w:tcW w:w="720" w:type="dxa"/>
            <w:tcBorders>
              <w:top w:val="single" w:sz="4" w:space="0" w:color="auto"/>
              <w:left w:val="single" w:sz="4" w:space="0" w:color="auto"/>
              <w:bottom w:val="single" w:sz="4" w:space="0" w:color="auto"/>
              <w:right w:val="single" w:sz="4" w:space="0" w:color="auto"/>
            </w:tcBorders>
            <w:hideMark/>
          </w:tcPr>
          <w:p w14:paraId="7E40D52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720" w:type="dxa"/>
            <w:tcBorders>
              <w:top w:val="single" w:sz="4" w:space="0" w:color="auto"/>
              <w:left w:val="single" w:sz="4" w:space="0" w:color="auto"/>
              <w:bottom w:val="single" w:sz="4" w:space="0" w:color="auto"/>
              <w:right w:val="single" w:sz="4" w:space="0" w:color="auto"/>
            </w:tcBorders>
            <w:hideMark/>
          </w:tcPr>
          <w:p w14:paraId="183D34B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630" w:type="dxa"/>
            <w:tcBorders>
              <w:top w:val="single" w:sz="4" w:space="0" w:color="auto"/>
              <w:left w:val="single" w:sz="4" w:space="0" w:color="auto"/>
              <w:bottom w:val="single" w:sz="4" w:space="0" w:color="auto"/>
              <w:right w:val="single" w:sz="4" w:space="0" w:color="auto"/>
            </w:tcBorders>
            <w:hideMark/>
          </w:tcPr>
          <w:p w14:paraId="7F1B651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810" w:type="dxa"/>
            <w:tcBorders>
              <w:top w:val="single" w:sz="4" w:space="0" w:color="auto"/>
              <w:left w:val="single" w:sz="4" w:space="0" w:color="auto"/>
              <w:bottom w:val="single" w:sz="4" w:space="0" w:color="auto"/>
              <w:right w:val="single" w:sz="4" w:space="0" w:color="auto"/>
            </w:tcBorders>
            <w:hideMark/>
          </w:tcPr>
          <w:p w14:paraId="5902B1D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5" w:type="dxa"/>
            <w:tcBorders>
              <w:top w:val="single" w:sz="4" w:space="0" w:color="auto"/>
              <w:left w:val="single" w:sz="4" w:space="0" w:color="auto"/>
              <w:bottom w:val="single" w:sz="4" w:space="0" w:color="auto"/>
              <w:right w:val="single" w:sz="4" w:space="0" w:color="auto"/>
            </w:tcBorders>
            <w:hideMark/>
          </w:tcPr>
          <w:p w14:paraId="576DA12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23CD494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1170" w:type="dxa"/>
            <w:tcBorders>
              <w:top w:val="single" w:sz="4" w:space="0" w:color="auto"/>
              <w:left w:val="single" w:sz="4" w:space="0" w:color="auto"/>
              <w:bottom w:val="single" w:sz="4" w:space="0" w:color="auto"/>
              <w:right w:val="single" w:sz="4" w:space="0" w:color="auto"/>
            </w:tcBorders>
            <w:hideMark/>
          </w:tcPr>
          <w:p w14:paraId="15806A3B"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1.2</w:t>
            </w:r>
          </w:p>
        </w:tc>
        <w:tc>
          <w:tcPr>
            <w:tcW w:w="900" w:type="dxa"/>
            <w:tcBorders>
              <w:top w:val="single" w:sz="4" w:space="0" w:color="auto"/>
              <w:left w:val="single" w:sz="4" w:space="0" w:color="auto"/>
              <w:bottom w:val="single" w:sz="4" w:space="0" w:color="auto"/>
              <w:right w:val="single" w:sz="4" w:space="0" w:color="auto"/>
            </w:tcBorders>
            <w:hideMark/>
          </w:tcPr>
          <w:p w14:paraId="7A781992"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50</w:t>
            </w:r>
          </w:p>
        </w:tc>
        <w:tc>
          <w:tcPr>
            <w:tcW w:w="900" w:type="dxa"/>
            <w:tcBorders>
              <w:top w:val="single" w:sz="4" w:space="0" w:color="auto"/>
              <w:left w:val="single" w:sz="4" w:space="0" w:color="auto"/>
              <w:bottom w:val="single" w:sz="4" w:space="0" w:color="auto"/>
              <w:right w:val="single" w:sz="4" w:space="0" w:color="auto"/>
            </w:tcBorders>
            <w:hideMark/>
          </w:tcPr>
          <w:p w14:paraId="6C79E27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1AF19C6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720" w:type="dxa"/>
            <w:tcBorders>
              <w:top w:val="single" w:sz="4" w:space="0" w:color="auto"/>
              <w:left w:val="single" w:sz="4" w:space="0" w:color="auto"/>
              <w:bottom w:val="single" w:sz="4" w:space="0" w:color="auto"/>
              <w:right w:val="single" w:sz="4" w:space="0" w:color="auto"/>
            </w:tcBorders>
            <w:hideMark/>
          </w:tcPr>
          <w:p w14:paraId="420A565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644" w:type="dxa"/>
            <w:tcBorders>
              <w:top w:val="single" w:sz="4" w:space="0" w:color="auto"/>
              <w:left w:val="single" w:sz="4" w:space="0" w:color="auto"/>
              <w:bottom w:val="single" w:sz="4" w:space="0" w:color="auto"/>
              <w:right w:val="single" w:sz="4" w:space="0" w:color="auto"/>
            </w:tcBorders>
            <w:hideMark/>
          </w:tcPr>
          <w:p w14:paraId="21A00F0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r>
      <w:tr w:rsidR="00C7144D" w:rsidRPr="00DD1E00" w14:paraId="3B89BB4D"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57B69CA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lastRenderedPageBreak/>
              <w:t>Potassium</w:t>
            </w:r>
          </w:p>
        </w:tc>
        <w:tc>
          <w:tcPr>
            <w:tcW w:w="720" w:type="dxa"/>
            <w:tcBorders>
              <w:top w:val="single" w:sz="4" w:space="0" w:color="auto"/>
              <w:left w:val="single" w:sz="4" w:space="0" w:color="auto"/>
              <w:bottom w:val="single" w:sz="4" w:space="0" w:color="auto"/>
              <w:right w:val="single" w:sz="4" w:space="0" w:color="auto"/>
            </w:tcBorders>
            <w:hideMark/>
          </w:tcPr>
          <w:p w14:paraId="13A565C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17</w:t>
            </w:r>
          </w:p>
        </w:tc>
        <w:tc>
          <w:tcPr>
            <w:tcW w:w="720" w:type="dxa"/>
            <w:tcBorders>
              <w:top w:val="single" w:sz="4" w:space="0" w:color="auto"/>
              <w:left w:val="single" w:sz="4" w:space="0" w:color="auto"/>
              <w:bottom w:val="single" w:sz="4" w:space="0" w:color="auto"/>
              <w:right w:val="single" w:sz="4" w:space="0" w:color="auto"/>
            </w:tcBorders>
            <w:hideMark/>
          </w:tcPr>
          <w:p w14:paraId="4B3F31DA"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c>
          <w:tcPr>
            <w:tcW w:w="630" w:type="dxa"/>
            <w:tcBorders>
              <w:top w:val="single" w:sz="4" w:space="0" w:color="auto"/>
              <w:left w:val="single" w:sz="4" w:space="0" w:color="auto"/>
              <w:bottom w:val="single" w:sz="4" w:space="0" w:color="auto"/>
              <w:right w:val="single" w:sz="4" w:space="0" w:color="auto"/>
            </w:tcBorders>
            <w:hideMark/>
          </w:tcPr>
          <w:p w14:paraId="526863DE"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c>
          <w:tcPr>
            <w:tcW w:w="810" w:type="dxa"/>
            <w:tcBorders>
              <w:top w:val="single" w:sz="4" w:space="0" w:color="auto"/>
              <w:left w:val="single" w:sz="4" w:space="0" w:color="auto"/>
              <w:bottom w:val="single" w:sz="4" w:space="0" w:color="auto"/>
              <w:right w:val="single" w:sz="4" w:space="0" w:color="auto"/>
            </w:tcBorders>
            <w:hideMark/>
          </w:tcPr>
          <w:p w14:paraId="09CC162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17</w:t>
            </w:r>
          </w:p>
        </w:tc>
        <w:tc>
          <w:tcPr>
            <w:tcW w:w="905" w:type="dxa"/>
            <w:tcBorders>
              <w:top w:val="single" w:sz="4" w:space="0" w:color="auto"/>
              <w:left w:val="single" w:sz="4" w:space="0" w:color="auto"/>
              <w:bottom w:val="single" w:sz="4" w:space="0" w:color="auto"/>
              <w:right w:val="single" w:sz="4" w:space="0" w:color="auto"/>
            </w:tcBorders>
            <w:hideMark/>
          </w:tcPr>
          <w:p w14:paraId="757B0CEA"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18</w:t>
            </w:r>
          </w:p>
        </w:tc>
        <w:tc>
          <w:tcPr>
            <w:tcW w:w="900" w:type="dxa"/>
            <w:tcBorders>
              <w:top w:val="single" w:sz="4" w:space="0" w:color="auto"/>
              <w:left w:val="single" w:sz="4" w:space="0" w:color="auto"/>
              <w:bottom w:val="single" w:sz="4" w:space="0" w:color="auto"/>
              <w:right w:val="single" w:sz="4" w:space="0" w:color="auto"/>
            </w:tcBorders>
            <w:hideMark/>
          </w:tcPr>
          <w:p w14:paraId="0CAB6E0A"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c>
          <w:tcPr>
            <w:tcW w:w="1170" w:type="dxa"/>
            <w:tcBorders>
              <w:top w:val="single" w:sz="4" w:space="0" w:color="auto"/>
              <w:left w:val="single" w:sz="4" w:space="0" w:color="auto"/>
              <w:bottom w:val="single" w:sz="4" w:space="0" w:color="auto"/>
              <w:right w:val="single" w:sz="4" w:space="0" w:color="auto"/>
            </w:tcBorders>
            <w:hideMark/>
          </w:tcPr>
          <w:p w14:paraId="27A92105"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c>
          <w:tcPr>
            <w:tcW w:w="900" w:type="dxa"/>
            <w:tcBorders>
              <w:top w:val="single" w:sz="4" w:space="0" w:color="auto"/>
              <w:left w:val="single" w:sz="4" w:space="0" w:color="auto"/>
              <w:bottom w:val="single" w:sz="4" w:space="0" w:color="auto"/>
              <w:right w:val="single" w:sz="4" w:space="0" w:color="auto"/>
            </w:tcBorders>
            <w:hideMark/>
          </w:tcPr>
          <w:p w14:paraId="1E6476D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17</w:t>
            </w:r>
          </w:p>
        </w:tc>
        <w:tc>
          <w:tcPr>
            <w:tcW w:w="900" w:type="dxa"/>
            <w:tcBorders>
              <w:top w:val="single" w:sz="4" w:space="0" w:color="auto"/>
              <w:left w:val="single" w:sz="4" w:space="0" w:color="auto"/>
              <w:bottom w:val="single" w:sz="4" w:space="0" w:color="auto"/>
              <w:right w:val="single" w:sz="4" w:space="0" w:color="auto"/>
            </w:tcBorders>
            <w:hideMark/>
          </w:tcPr>
          <w:p w14:paraId="0F2ED3A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17</w:t>
            </w:r>
          </w:p>
        </w:tc>
        <w:tc>
          <w:tcPr>
            <w:tcW w:w="900" w:type="dxa"/>
            <w:tcBorders>
              <w:top w:val="single" w:sz="4" w:space="0" w:color="auto"/>
              <w:left w:val="single" w:sz="4" w:space="0" w:color="auto"/>
              <w:bottom w:val="single" w:sz="4" w:space="0" w:color="auto"/>
              <w:right w:val="single" w:sz="4" w:space="0" w:color="auto"/>
            </w:tcBorders>
            <w:hideMark/>
          </w:tcPr>
          <w:p w14:paraId="127B1340"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c>
          <w:tcPr>
            <w:tcW w:w="720" w:type="dxa"/>
            <w:tcBorders>
              <w:top w:val="single" w:sz="4" w:space="0" w:color="auto"/>
              <w:left w:val="single" w:sz="4" w:space="0" w:color="auto"/>
              <w:bottom w:val="single" w:sz="4" w:space="0" w:color="auto"/>
              <w:right w:val="single" w:sz="4" w:space="0" w:color="auto"/>
            </w:tcBorders>
            <w:hideMark/>
          </w:tcPr>
          <w:p w14:paraId="169E46B5"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18</w:t>
            </w:r>
          </w:p>
        </w:tc>
        <w:tc>
          <w:tcPr>
            <w:tcW w:w="644" w:type="dxa"/>
            <w:tcBorders>
              <w:top w:val="single" w:sz="4" w:space="0" w:color="auto"/>
              <w:left w:val="single" w:sz="4" w:space="0" w:color="auto"/>
              <w:bottom w:val="single" w:sz="4" w:space="0" w:color="auto"/>
              <w:right w:val="single" w:sz="4" w:space="0" w:color="auto"/>
            </w:tcBorders>
            <w:hideMark/>
          </w:tcPr>
          <w:p w14:paraId="510B5A08"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r>
      <w:tr w:rsidR="00C7144D" w:rsidRPr="00DD1E00" w14:paraId="038A4727"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2DE33D0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Magnesium</w:t>
            </w:r>
          </w:p>
        </w:tc>
        <w:tc>
          <w:tcPr>
            <w:tcW w:w="720" w:type="dxa"/>
            <w:tcBorders>
              <w:top w:val="single" w:sz="4" w:space="0" w:color="auto"/>
              <w:left w:val="single" w:sz="4" w:space="0" w:color="auto"/>
              <w:bottom w:val="single" w:sz="4" w:space="0" w:color="auto"/>
              <w:right w:val="single" w:sz="4" w:space="0" w:color="auto"/>
            </w:tcBorders>
            <w:hideMark/>
          </w:tcPr>
          <w:p w14:paraId="01A84CD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130</w:t>
            </w:r>
          </w:p>
        </w:tc>
        <w:tc>
          <w:tcPr>
            <w:tcW w:w="720" w:type="dxa"/>
            <w:tcBorders>
              <w:top w:val="single" w:sz="4" w:space="0" w:color="auto"/>
              <w:left w:val="single" w:sz="4" w:space="0" w:color="auto"/>
              <w:bottom w:val="single" w:sz="4" w:space="0" w:color="auto"/>
              <w:right w:val="single" w:sz="4" w:space="0" w:color="auto"/>
            </w:tcBorders>
            <w:hideMark/>
          </w:tcPr>
          <w:p w14:paraId="3099C40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125</w:t>
            </w:r>
          </w:p>
        </w:tc>
        <w:tc>
          <w:tcPr>
            <w:tcW w:w="630" w:type="dxa"/>
            <w:tcBorders>
              <w:top w:val="single" w:sz="4" w:space="0" w:color="auto"/>
              <w:left w:val="single" w:sz="4" w:space="0" w:color="auto"/>
              <w:bottom w:val="single" w:sz="4" w:space="0" w:color="auto"/>
              <w:right w:val="single" w:sz="4" w:space="0" w:color="auto"/>
            </w:tcBorders>
            <w:hideMark/>
          </w:tcPr>
          <w:p w14:paraId="16012EA9"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117</w:t>
            </w:r>
          </w:p>
        </w:tc>
        <w:tc>
          <w:tcPr>
            <w:tcW w:w="810" w:type="dxa"/>
            <w:tcBorders>
              <w:top w:val="single" w:sz="4" w:space="0" w:color="auto"/>
              <w:left w:val="single" w:sz="4" w:space="0" w:color="auto"/>
              <w:bottom w:val="single" w:sz="4" w:space="0" w:color="auto"/>
              <w:right w:val="single" w:sz="4" w:space="0" w:color="auto"/>
            </w:tcBorders>
            <w:hideMark/>
          </w:tcPr>
          <w:p w14:paraId="4667D5A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126</w:t>
            </w:r>
          </w:p>
        </w:tc>
        <w:tc>
          <w:tcPr>
            <w:tcW w:w="905" w:type="dxa"/>
            <w:tcBorders>
              <w:top w:val="single" w:sz="4" w:space="0" w:color="auto"/>
              <w:left w:val="single" w:sz="4" w:space="0" w:color="auto"/>
              <w:bottom w:val="single" w:sz="4" w:space="0" w:color="auto"/>
              <w:right w:val="single" w:sz="4" w:space="0" w:color="auto"/>
            </w:tcBorders>
            <w:hideMark/>
          </w:tcPr>
          <w:p w14:paraId="187B8DF2"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117</w:t>
            </w:r>
          </w:p>
        </w:tc>
        <w:tc>
          <w:tcPr>
            <w:tcW w:w="900" w:type="dxa"/>
            <w:tcBorders>
              <w:top w:val="single" w:sz="4" w:space="0" w:color="auto"/>
              <w:left w:val="single" w:sz="4" w:space="0" w:color="auto"/>
              <w:bottom w:val="single" w:sz="4" w:space="0" w:color="auto"/>
              <w:right w:val="single" w:sz="4" w:space="0" w:color="auto"/>
            </w:tcBorders>
            <w:hideMark/>
          </w:tcPr>
          <w:p w14:paraId="57012FD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125</w:t>
            </w:r>
          </w:p>
        </w:tc>
        <w:tc>
          <w:tcPr>
            <w:tcW w:w="1170" w:type="dxa"/>
            <w:tcBorders>
              <w:top w:val="single" w:sz="4" w:space="0" w:color="auto"/>
              <w:left w:val="single" w:sz="4" w:space="0" w:color="auto"/>
              <w:bottom w:val="single" w:sz="4" w:space="0" w:color="auto"/>
              <w:right w:val="single" w:sz="4" w:space="0" w:color="auto"/>
            </w:tcBorders>
            <w:hideMark/>
          </w:tcPr>
          <w:p w14:paraId="63961EE7"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134</w:t>
            </w:r>
          </w:p>
        </w:tc>
        <w:tc>
          <w:tcPr>
            <w:tcW w:w="900" w:type="dxa"/>
            <w:tcBorders>
              <w:top w:val="single" w:sz="4" w:space="0" w:color="auto"/>
              <w:left w:val="single" w:sz="4" w:space="0" w:color="auto"/>
              <w:bottom w:val="single" w:sz="4" w:space="0" w:color="auto"/>
              <w:right w:val="single" w:sz="4" w:space="0" w:color="auto"/>
            </w:tcBorders>
            <w:hideMark/>
          </w:tcPr>
          <w:p w14:paraId="112C7A2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125</w:t>
            </w:r>
          </w:p>
        </w:tc>
        <w:tc>
          <w:tcPr>
            <w:tcW w:w="900" w:type="dxa"/>
            <w:tcBorders>
              <w:top w:val="single" w:sz="4" w:space="0" w:color="auto"/>
              <w:left w:val="single" w:sz="4" w:space="0" w:color="auto"/>
              <w:bottom w:val="single" w:sz="4" w:space="0" w:color="auto"/>
              <w:right w:val="single" w:sz="4" w:space="0" w:color="auto"/>
            </w:tcBorders>
            <w:hideMark/>
          </w:tcPr>
          <w:p w14:paraId="72571C22"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117</w:t>
            </w:r>
          </w:p>
        </w:tc>
        <w:tc>
          <w:tcPr>
            <w:tcW w:w="900" w:type="dxa"/>
            <w:tcBorders>
              <w:top w:val="single" w:sz="4" w:space="0" w:color="auto"/>
              <w:left w:val="single" w:sz="4" w:space="0" w:color="auto"/>
              <w:bottom w:val="single" w:sz="4" w:space="0" w:color="auto"/>
              <w:right w:val="single" w:sz="4" w:space="0" w:color="auto"/>
            </w:tcBorders>
            <w:hideMark/>
          </w:tcPr>
          <w:p w14:paraId="12DF28C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127</w:t>
            </w:r>
          </w:p>
        </w:tc>
        <w:tc>
          <w:tcPr>
            <w:tcW w:w="720" w:type="dxa"/>
            <w:tcBorders>
              <w:top w:val="single" w:sz="4" w:space="0" w:color="auto"/>
              <w:left w:val="single" w:sz="4" w:space="0" w:color="auto"/>
              <w:bottom w:val="single" w:sz="4" w:space="0" w:color="auto"/>
              <w:right w:val="single" w:sz="4" w:space="0" w:color="auto"/>
            </w:tcBorders>
            <w:hideMark/>
          </w:tcPr>
          <w:p w14:paraId="162B5D3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122</w:t>
            </w:r>
          </w:p>
        </w:tc>
        <w:tc>
          <w:tcPr>
            <w:tcW w:w="644" w:type="dxa"/>
            <w:tcBorders>
              <w:top w:val="single" w:sz="4" w:space="0" w:color="auto"/>
              <w:left w:val="single" w:sz="4" w:space="0" w:color="auto"/>
              <w:bottom w:val="single" w:sz="4" w:space="0" w:color="auto"/>
              <w:right w:val="single" w:sz="4" w:space="0" w:color="auto"/>
            </w:tcBorders>
            <w:hideMark/>
          </w:tcPr>
          <w:p w14:paraId="18A4C0E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125</w:t>
            </w:r>
          </w:p>
        </w:tc>
      </w:tr>
      <w:tr w:rsidR="00C7144D" w:rsidRPr="00DD1E00" w14:paraId="6172B2D8"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6AD84AB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Sulphate</w:t>
            </w:r>
          </w:p>
        </w:tc>
        <w:tc>
          <w:tcPr>
            <w:tcW w:w="720" w:type="dxa"/>
            <w:tcBorders>
              <w:top w:val="single" w:sz="4" w:space="0" w:color="auto"/>
              <w:left w:val="single" w:sz="4" w:space="0" w:color="auto"/>
              <w:bottom w:val="single" w:sz="4" w:space="0" w:color="auto"/>
              <w:right w:val="single" w:sz="4" w:space="0" w:color="auto"/>
            </w:tcBorders>
            <w:hideMark/>
          </w:tcPr>
          <w:p w14:paraId="06B7BE2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27</w:t>
            </w:r>
          </w:p>
        </w:tc>
        <w:tc>
          <w:tcPr>
            <w:tcW w:w="720" w:type="dxa"/>
            <w:tcBorders>
              <w:top w:val="single" w:sz="4" w:space="0" w:color="auto"/>
              <w:left w:val="single" w:sz="4" w:space="0" w:color="auto"/>
              <w:bottom w:val="single" w:sz="4" w:space="0" w:color="auto"/>
              <w:right w:val="single" w:sz="4" w:space="0" w:color="auto"/>
            </w:tcBorders>
            <w:hideMark/>
          </w:tcPr>
          <w:p w14:paraId="5207A0E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28</w:t>
            </w:r>
          </w:p>
        </w:tc>
        <w:tc>
          <w:tcPr>
            <w:tcW w:w="630" w:type="dxa"/>
            <w:tcBorders>
              <w:top w:val="single" w:sz="4" w:space="0" w:color="auto"/>
              <w:left w:val="single" w:sz="4" w:space="0" w:color="auto"/>
              <w:bottom w:val="single" w:sz="4" w:space="0" w:color="auto"/>
              <w:right w:val="single" w:sz="4" w:space="0" w:color="auto"/>
            </w:tcBorders>
            <w:hideMark/>
          </w:tcPr>
          <w:p w14:paraId="09B3E47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810" w:type="dxa"/>
            <w:tcBorders>
              <w:top w:val="single" w:sz="4" w:space="0" w:color="auto"/>
              <w:left w:val="single" w:sz="4" w:space="0" w:color="auto"/>
              <w:bottom w:val="single" w:sz="4" w:space="0" w:color="auto"/>
              <w:right w:val="single" w:sz="4" w:space="0" w:color="auto"/>
            </w:tcBorders>
            <w:hideMark/>
          </w:tcPr>
          <w:p w14:paraId="555014A0"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20</w:t>
            </w:r>
          </w:p>
        </w:tc>
        <w:tc>
          <w:tcPr>
            <w:tcW w:w="905" w:type="dxa"/>
            <w:tcBorders>
              <w:top w:val="single" w:sz="4" w:space="0" w:color="auto"/>
              <w:left w:val="single" w:sz="4" w:space="0" w:color="auto"/>
              <w:bottom w:val="single" w:sz="4" w:space="0" w:color="auto"/>
              <w:right w:val="single" w:sz="4" w:space="0" w:color="auto"/>
            </w:tcBorders>
            <w:hideMark/>
          </w:tcPr>
          <w:p w14:paraId="7C3419D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75D00D2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1170" w:type="dxa"/>
            <w:tcBorders>
              <w:top w:val="single" w:sz="4" w:space="0" w:color="auto"/>
              <w:left w:val="single" w:sz="4" w:space="0" w:color="auto"/>
              <w:bottom w:val="single" w:sz="4" w:space="0" w:color="auto"/>
              <w:right w:val="single" w:sz="4" w:space="0" w:color="auto"/>
            </w:tcBorders>
            <w:hideMark/>
          </w:tcPr>
          <w:p w14:paraId="4996102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21</w:t>
            </w:r>
          </w:p>
        </w:tc>
        <w:tc>
          <w:tcPr>
            <w:tcW w:w="900" w:type="dxa"/>
            <w:tcBorders>
              <w:top w:val="single" w:sz="4" w:space="0" w:color="auto"/>
              <w:left w:val="single" w:sz="4" w:space="0" w:color="auto"/>
              <w:bottom w:val="single" w:sz="4" w:space="0" w:color="auto"/>
              <w:right w:val="single" w:sz="4" w:space="0" w:color="auto"/>
            </w:tcBorders>
            <w:hideMark/>
          </w:tcPr>
          <w:p w14:paraId="1CF6607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28</w:t>
            </w:r>
          </w:p>
        </w:tc>
        <w:tc>
          <w:tcPr>
            <w:tcW w:w="900" w:type="dxa"/>
            <w:tcBorders>
              <w:top w:val="single" w:sz="4" w:space="0" w:color="auto"/>
              <w:left w:val="single" w:sz="4" w:space="0" w:color="auto"/>
              <w:bottom w:val="single" w:sz="4" w:space="0" w:color="auto"/>
              <w:right w:val="single" w:sz="4" w:space="0" w:color="auto"/>
            </w:tcBorders>
            <w:hideMark/>
          </w:tcPr>
          <w:p w14:paraId="32DE925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27</w:t>
            </w:r>
          </w:p>
        </w:tc>
        <w:tc>
          <w:tcPr>
            <w:tcW w:w="900" w:type="dxa"/>
            <w:tcBorders>
              <w:top w:val="single" w:sz="4" w:space="0" w:color="auto"/>
              <w:left w:val="single" w:sz="4" w:space="0" w:color="auto"/>
              <w:bottom w:val="single" w:sz="4" w:space="0" w:color="auto"/>
              <w:right w:val="single" w:sz="4" w:space="0" w:color="auto"/>
            </w:tcBorders>
            <w:hideMark/>
          </w:tcPr>
          <w:p w14:paraId="1FA0CB6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720" w:type="dxa"/>
            <w:tcBorders>
              <w:top w:val="single" w:sz="4" w:space="0" w:color="auto"/>
              <w:left w:val="single" w:sz="4" w:space="0" w:color="auto"/>
              <w:bottom w:val="single" w:sz="4" w:space="0" w:color="auto"/>
              <w:right w:val="single" w:sz="4" w:space="0" w:color="auto"/>
            </w:tcBorders>
            <w:hideMark/>
          </w:tcPr>
          <w:p w14:paraId="76A8FACC"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55</w:t>
            </w:r>
          </w:p>
        </w:tc>
        <w:tc>
          <w:tcPr>
            <w:tcW w:w="644" w:type="dxa"/>
            <w:tcBorders>
              <w:top w:val="single" w:sz="4" w:space="0" w:color="auto"/>
              <w:left w:val="single" w:sz="4" w:space="0" w:color="auto"/>
              <w:bottom w:val="single" w:sz="4" w:space="0" w:color="auto"/>
              <w:right w:val="single" w:sz="4" w:space="0" w:color="auto"/>
            </w:tcBorders>
            <w:hideMark/>
          </w:tcPr>
          <w:p w14:paraId="4BAA5B0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r>
      <w:tr w:rsidR="00C7144D" w:rsidRPr="00DD1E00" w14:paraId="7F4E71AB" w14:textId="77777777" w:rsidTr="00E060BA">
        <w:trPr>
          <w:trHeight w:val="331"/>
        </w:trPr>
        <w:tc>
          <w:tcPr>
            <w:tcW w:w="1255" w:type="dxa"/>
            <w:tcBorders>
              <w:top w:val="single" w:sz="4" w:space="0" w:color="auto"/>
              <w:left w:val="single" w:sz="4" w:space="0" w:color="auto"/>
              <w:bottom w:val="single" w:sz="4" w:space="0" w:color="auto"/>
              <w:right w:val="single" w:sz="4" w:space="0" w:color="auto"/>
            </w:tcBorders>
            <w:hideMark/>
          </w:tcPr>
          <w:p w14:paraId="0843F51E"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sz w:val="20"/>
                <w:szCs w:val="20"/>
                <w:lang w:val="en-IN"/>
              </w:rPr>
              <w:t xml:space="preserve">Carbon dioxide </w:t>
            </w:r>
          </w:p>
        </w:tc>
        <w:tc>
          <w:tcPr>
            <w:tcW w:w="720" w:type="dxa"/>
            <w:tcBorders>
              <w:top w:val="single" w:sz="4" w:space="0" w:color="auto"/>
              <w:left w:val="single" w:sz="4" w:space="0" w:color="auto"/>
              <w:bottom w:val="single" w:sz="4" w:space="0" w:color="auto"/>
              <w:right w:val="single" w:sz="4" w:space="0" w:color="auto"/>
            </w:tcBorders>
            <w:hideMark/>
          </w:tcPr>
          <w:p w14:paraId="321F41E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c>
          <w:tcPr>
            <w:tcW w:w="720" w:type="dxa"/>
            <w:tcBorders>
              <w:top w:val="single" w:sz="4" w:space="0" w:color="auto"/>
              <w:left w:val="single" w:sz="4" w:space="0" w:color="auto"/>
              <w:bottom w:val="single" w:sz="4" w:space="0" w:color="auto"/>
              <w:right w:val="single" w:sz="4" w:space="0" w:color="auto"/>
            </w:tcBorders>
            <w:hideMark/>
          </w:tcPr>
          <w:p w14:paraId="74306274"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10</w:t>
            </w:r>
          </w:p>
        </w:tc>
        <w:tc>
          <w:tcPr>
            <w:tcW w:w="630" w:type="dxa"/>
            <w:tcBorders>
              <w:top w:val="single" w:sz="4" w:space="0" w:color="auto"/>
              <w:left w:val="single" w:sz="4" w:space="0" w:color="auto"/>
              <w:bottom w:val="single" w:sz="4" w:space="0" w:color="auto"/>
              <w:right w:val="single" w:sz="4" w:space="0" w:color="auto"/>
            </w:tcBorders>
            <w:hideMark/>
          </w:tcPr>
          <w:p w14:paraId="7F3E020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30</w:t>
            </w:r>
          </w:p>
        </w:tc>
        <w:tc>
          <w:tcPr>
            <w:tcW w:w="810" w:type="dxa"/>
            <w:tcBorders>
              <w:top w:val="single" w:sz="4" w:space="0" w:color="auto"/>
              <w:left w:val="single" w:sz="4" w:space="0" w:color="auto"/>
              <w:bottom w:val="single" w:sz="4" w:space="0" w:color="auto"/>
              <w:right w:val="single" w:sz="4" w:space="0" w:color="auto"/>
            </w:tcBorders>
            <w:hideMark/>
          </w:tcPr>
          <w:p w14:paraId="08E103E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5" w:type="dxa"/>
            <w:tcBorders>
              <w:top w:val="single" w:sz="4" w:space="0" w:color="auto"/>
              <w:left w:val="single" w:sz="4" w:space="0" w:color="auto"/>
              <w:bottom w:val="single" w:sz="4" w:space="0" w:color="auto"/>
              <w:right w:val="single" w:sz="4" w:space="0" w:color="auto"/>
            </w:tcBorders>
            <w:hideMark/>
          </w:tcPr>
          <w:p w14:paraId="3B5EF59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w:t>
            </w:r>
          </w:p>
        </w:tc>
        <w:tc>
          <w:tcPr>
            <w:tcW w:w="900" w:type="dxa"/>
            <w:tcBorders>
              <w:top w:val="single" w:sz="4" w:space="0" w:color="auto"/>
              <w:left w:val="single" w:sz="4" w:space="0" w:color="auto"/>
              <w:bottom w:val="single" w:sz="4" w:space="0" w:color="auto"/>
              <w:right w:val="single" w:sz="4" w:space="0" w:color="auto"/>
            </w:tcBorders>
            <w:hideMark/>
          </w:tcPr>
          <w:p w14:paraId="4501027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w:t>
            </w:r>
          </w:p>
        </w:tc>
        <w:tc>
          <w:tcPr>
            <w:tcW w:w="1170" w:type="dxa"/>
            <w:tcBorders>
              <w:top w:val="single" w:sz="4" w:space="0" w:color="auto"/>
              <w:left w:val="single" w:sz="4" w:space="0" w:color="auto"/>
              <w:bottom w:val="single" w:sz="4" w:space="0" w:color="auto"/>
              <w:right w:val="single" w:sz="4" w:space="0" w:color="auto"/>
            </w:tcBorders>
            <w:hideMark/>
          </w:tcPr>
          <w:p w14:paraId="52C964AE"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45</w:t>
            </w:r>
          </w:p>
        </w:tc>
        <w:tc>
          <w:tcPr>
            <w:tcW w:w="900" w:type="dxa"/>
            <w:tcBorders>
              <w:top w:val="single" w:sz="4" w:space="0" w:color="auto"/>
              <w:left w:val="single" w:sz="4" w:space="0" w:color="auto"/>
              <w:bottom w:val="single" w:sz="4" w:space="0" w:color="auto"/>
              <w:right w:val="single" w:sz="4" w:space="0" w:color="auto"/>
            </w:tcBorders>
            <w:hideMark/>
          </w:tcPr>
          <w:p w14:paraId="132836F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w:t>
            </w:r>
          </w:p>
        </w:tc>
        <w:tc>
          <w:tcPr>
            <w:tcW w:w="900" w:type="dxa"/>
            <w:tcBorders>
              <w:top w:val="single" w:sz="4" w:space="0" w:color="auto"/>
              <w:left w:val="single" w:sz="4" w:space="0" w:color="auto"/>
              <w:bottom w:val="single" w:sz="4" w:space="0" w:color="auto"/>
              <w:right w:val="single" w:sz="4" w:space="0" w:color="auto"/>
            </w:tcBorders>
            <w:hideMark/>
          </w:tcPr>
          <w:p w14:paraId="08D052D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3B0761D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c>
          <w:tcPr>
            <w:tcW w:w="720" w:type="dxa"/>
            <w:tcBorders>
              <w:top w:val="single" w:sz="4" w:space="0" w:color="auto"/>
              <w:left w:val="single" w:sz="4" w:space="0" w:color="auto"/>
              <w:bottom w:val="single" w:sz="4" w:space="0" w:color="auto"/>
              <w:right w:val="single" w:sz="4" w:space="0" w:color="auto"/>
            </w:tcBorders>
            <w:hideMark/>
          </w:tcPr>
          <w:p w14:paraId="25415D7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b/>
                <w:bCs/>
                <w:sz w:val="20"/>
                <w:szCs w:val="20"/>
                <w:lang w:val="en-IN"/>
              </w:rPr>
              <w:t>10</w:t>
            </w:r>
          </w:p>
        </w:tc>
        <w:tc>
          <w:tcPr>
            <w:tcW w:w="644" w:type="dxa"/>
            <w:tcBorders>
              <w:top w:val="single" w:sz="4" w:space="0" w:color="auto"/>
              <w:left w:val="single" w:sz="4" w:space="0" w:color="auto"/>
              <w:bottom w:val="single" w:sz="4" w:space="0" w:color="auto"/>
              <w:right w:val="single" w:sz="4" w:space="0" w:color="auto"/>
            </w:tcBorders>
            <w:hideMark/>
          </w:tcPr>
          <w:p w14:paraId="57AC127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r>
    </w:tbl>
    <w:p w14:paraId="1A253DF7" w14:textId="2F248D51" w:rsidR="003277BE" w:rsidRPr="00DD1E00" w:rsidRDefault="003277BE" w:rsidP="0055374D">
      <w:pPr>
        <w:rPr>
          <w:rFonts w:ascii="Arial" w:hAnsi="Arial" w:cs="Arial"/>
          <w:sz w:val="20"/>
          <w:szCs w:val="20"/>
        </w:rPr>
      </w:pPr>
    </w:p>
    <w:p w14:paraId="012F8567" w14:textId="77777777" w:rsidR="006D5EB2" w:rsidRDefault="006D5EB2" w:rsidP="00B16183">
      <w:pPr>
        <w:spacing w:after="160" w:line="259" w:lineRule="auto"/>
        <w:rPr>
          <w:rFonts w:ascii="Arial" w:hAnsi="Arial" w:cs="Arial"/>
          <w:sz w:val="20"/>
          <w:szCs w:val="20"/>
        </w:rPr>
      </w:pPr>
    </w:p>
    <w:p w14:paraId="1031FDA4" w14:textId="159A0FBA" w:rsidR="00426324" w:rsidRDefault="006D5EB2" w:rsidP="00B16183">
      <w:pPr>
        <w:spacing w:after="160" w:line="259" w:lineRule="auto"/>
        <w:rPr>
          <w:rFonts w:ascii="Arial" w:hAnsi="Arial" w:cs="Arial"/>
          <w:sz w:val="20"/>
          <w:szCs w:val="20"/>
        </w:rPr>
      </w:pPr>
      <w:r>
        <w:rPr>
          <w:noProof/>
          <w:lang w:bidi="hi-IN"/>
        </w:rPr>
        <w:drawing>
          <wp:anchor distT="0" distB="0" distL="114300" distR="114300" simplePos="0" relativeHeight="251669504" behindDoc="0" locked="0" layoutInCell="1" allowOverlap="1" wp14:anchorId="11A46307" wp14:editId="02623072">
            <wp:simplePos x="0" y="0"/>
            <wp:positionH relativeFrom="column">
              <wp:posOffset>504825</wp:posOffset>
            </wp:positionH>
            <wp:positionV relativeFrom="paragraph">
              <wp:posOffset>1493520</wp:posOffset>
            </wp:positionV>
            <wp:extent cx="3886200" cy="2105025"/>
            <wp:effectExtent l="0" t="0" r="0" b="9525"/>
            <wp:wrapSquare wrapText="bothSides"/>
            <wp:docPr id="542220940"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426324" w:rsidRPr="00DD1E00">
        <w:rPr>
          <w:rFonts w:ascii="Arial" w:hAnsi="Arial" w:cs="Arial"/>
          <w:sz w:val="20"/>
          <w:szCs w:val="20"/>
        </w:rPr>
        <w:t>pH Indicates acidity/alkalinity. Extreme pH alters taste, corrodes pipelines, and changes solubility of toxic metals. pH of water samples analyzed was ranged from 7.2 (May 2024) to 9.5 (November 2024). Common rage of pH is 7.3-8.5 for monthly water samples. Values beyond 8.5 in multiple months indicate alkaline water, possibly due to dissolution of carbonate-rich strata or industrial effluent discharge. Mostly values were within permissible BIS/WHO limits, but exceed only in November (BIS/WHO-6.5–8.5). Reflects total inorganic salts and organic matter. High TDS affects taste, scaling in pipes, and may indicate pollution. Likewise, TDS values vary from 170 (October) to 460(January), with most values between 220 and 302. Mostly values were within permissible BIS limits (500 mg/L). TDS increases post-monsoon suggest leaching of salts and industrial pollutants into the aquifer (Fig.1</w:t>
      </w:r>
      <w:r w:rsidR="00B16183">
        <w:rPr>
          <w:rFonts w:ascii="Arial" w:hAnsi="Arial" w:cs="Arial"/>
          <w:sz w:val="20"/>
          <w:szCs w:val="20"/>
        </w:rPr>
        <w:t>).</w:t>
      </w:r>
    </w:p>
    <w:p w14:paraId="525A1F25" w14:textId="77777777" w:rsidR="006D5EB2" w:rsidRDefault="006D5EB2" w:rsidP="00B16183">
      <w:pPr>
        <w:spacing w:after="160" w:line="259" w:lineRule="auto"/>
        <w:rPr>
          <w:rFonts w:ascii="Arial" w:hAnsi="Arial" w:cs="Arial"/>
          <w:sz w:val="20"/>
          <w:szCs w:val="20"/>
        </w:rPr>
      </w:pPr>
    </w:p>
    <w:p w14:paraId="609D823C" w14:textId="77777777" w:rsidR="006D5EB2" w:rsidRPr="00DD1E00" w:rsidRDefault="006D5EB2" w:rsidP="00B16183">
      <w:pPr>
        <w:spacing w:after="160" w:line="259" w:lineRule="auto"/>
        <w:rPr>
          <w:rFonts w:ascii="Arial" w:hAnsi="Arial" w:cs="Arial"/>
          <w:sz w:val="20"/>
          <w:szCs w:val="20"/>
        </w:rPr>
      </w:pPr>
    </w:p>
    <w:p w14:paraId="7AC80384" w14:textId="5E81A902" w:rsidR="00B16183" w:rsidRDefault="00B16183" w:rsidP="00B16183">
      <w:pPr>
        <w:spacing w:after="160" w:line="259" w:lineRule="auto"/>
        <w:rPr>
          <w:rFonts w:ascii="Arial" w:hAnsi="Arial" w:cs="Arial"/>
          <w:sz w:val="20"/>
          <w:szCs w:val="20"/>
        </w:rPr>
      </w:pPr>
    </w:p>
    <w:p w14:paraId="663BD9C2" w14:textId="52E77E80" w:rsidR="00B16183" w:rsidRDefault="00B16183" w:rsidP="00B16183">
      <w:pPr>
        <w:spacing w:after="160" w:line="259" w:lineRule="auto"/>
        <w:rPr>
          <w:rFonts w:ascii="Arial" w:hAnsi="Arial" w:cs="Arial"/>
          <w:sz w:val="20"/>
          <w:szCs w:val="20"/>
        </w:rPr>
      </w:pPr>
    </w:p>
    <w:p w14:paraId="211DDC97" w14:textId="64DFC9D0" w:rsidR="00B16183" w:rsidRDefault="00B16183" w:rsidP="00B16183">
      <w:pPr>
        <w:spacing w:after="160" w:line="259" w:lineRule="auto"/>
        <w:rPr>
          <w:rFonts w:ascii="Arial" w:hAnsi="Arial" w:cs="Arial"/>
          <w:sz w:val="20"/>
          <w:szCs w:val="20"/>
        </w:rPr>
      </w:pPr>
    </w:p>
    <w:p w14:paraId="6004018D" w14:textId="5217EC10" w:rsidR="00FD2AAA" w:rsidRPr="00DD1E00" w:rsidRDefault="00FD2AAA" w:rsidP="0055374D">
      <w:pPr>
        <w:rPr>
          <w:rFonts w:ascii="Arial" w:hAnsi="Arial" w:cs="Arial"/>
          <w:sz w:val="20"/>
          <w:szCs w:val="20"/>
        </w:rPr>
      </w:pPr>
    </w:p>
    <w:p w14:paraId="1B26117C" w14:textId="77777777" w:rsidR="00FD2AAA" w:rsidRPr="00DD1E00" w:rsidRDefault="00FD2AAA" w:rsidP="0055374D">
      <w:pPr>
        <w:rPr>
          <w:rFonts w:ascii="Arial" w:hAnsi="Arial" w:cs="Arial"/>
          <w:sz w:val="20"/>
          <w:szCs w:val="20"/>
        </w:rPr>
      </w:pPr>
    </w:p>
    <w:p w14:paraId="719AFA7D" w14:textId="26CD5543" w:rsidR="00B16183" w:rsidRDefault="00B16183" w:rsidP="0055374D">
      <w:pPr>
        <w:rPr>
          <w:rFonts w:ascii="Arial" w:hAnsi="Arial" w:cs="Arial"/>
          <w:sz w:val="20"/>
          <w:szCs w:val="20"/>
        </w:rPr>
      </w:pPr>
    </w:p>
    <w:p w14:paraId="2E4CAB7B" w14:textId="4E5B53BE" w:rsidR="006D5EB2" w:rsidRDefault="006D5EB2" w:rsidP="0055374D">
      <w:pPr>
        <w:rPr>
          <w:rFonts w:ascii="Arial" w:hAnsi="Arial" w:cs="Arial"/>
          <w:sz w:val="20"/>
          <w:szCs w:val="20"/>
        </w:rPr>
      </w:pPr>
    </w:p>
    <w:p w14:paraId="37744423" w14:textId="12DE0DFE" w:rsidR="00A61D0C" w:rsidRPr="00DD1E00" w:rsidRDefault="00014312" w:rsidP="00371914">
      <w:pPr>
        <w:spacing w:after="160" w:line="259" w:lineRule="auto"/>
        <w:rPr>
          <w:rFonts w:ascii="Arial" w:hAnsi="Arial" w:cs="Arial"/>
          <w:sz w:val="20"/>
          <w:szCs w:val="20"/>
        </w:rPr>
      </w:pPr>
      <w:r w:rsidRPr="00DD1E00">
        <w:rPr>
          <w:rFonts w:ascii="Arial" w:hAnsi="Arial" w:cs="Arial"/>
          <w:sz w:val="20"/>
          <w:szCs w:val="20"/>
        </w:rPr>
        <w:t>Fig.</w:t>
      </w:r>
      <w:r w:rsidR="00F77A44">
        <w:rPr>
          <w:rFonts w:ascii="Arial" w:hAnsi="Arial" w:cs="Arial"/>
          <w:sz w:val="20"/>
          <w:szCs w:val="20"/>
        </w:rPr>
        <w:t xml:space="preserve">1- Monthly Fluctuation in </w:t>
      </w:r>
      <w:r w:rsidR="00D94975" w:rsidRPr="00DD1E00">
        <w:rPr>
          <w:rFonts w:ascii="Arial" w:hAnsi="Arial" w:cs="Arial"/>
          <w:sz w:val="20"/>
          <w:szCs w:val="20"/>
        </w:rPr>
        <w:t>TDS and pH</w:t>
      </w:r>
    </w:p>
    <w:p w14:paraId="724AE06E" w14:textId="05900B22" w:rsidR="00585C35" w:rsidRPr="00DD1E00" w:rsidRDefault="008A4825" w:rsidP="00E31C45">
      <w:pPr>
        <w:spacing w:after="160" w:line="259" w:lineRule="auto"/>
        <w:rPr>
          <w:rFonts w:ascii="Arial" w:hAnsi="Arial" w:cs="Arial"/>
          <w:sz w:val="20"/>
          <w:szCs w:val="20"/>
        </w:rPr>
      </w:pPr>
      <w:r w:rsidRPr="00DD1E00">
        <w:rPr>
          <w:rFonts w:ascii="Arial" w:hAnsi="Arial" w:cs="Arial"/>
          <w:sz w:val="20"/>
          <w:szCs w:val="20"/>
        </w:rPr>
        <w:t xml:space="preserve">Temperature </w:t>
      </w:r>
      <w:r w:rsidR="00B50352" w:rsidRPr="00DD1E00">
        <w:rPr>
          <w:rFonts w:ascii="Arial" w:hAnsi="Arial" w:cs="Arial"/>
          <w:sz w:val="20"/>
          <w:szCs w:val="20"/>
        </w:rPr>
        <w:t>a</w:t>
      </w:r>
      <w:r w:rsidR="00BE59A3" w:rsidRPr="00DD1E00">
        <w:rPr>
          <w:rFonts w:ascii="Arial" w:hAnsi="Arial" w:cs="Arial"/>
          <w:sz w:val="20"/>
          <w:szCs w:val="20"/>
        </w:rPr>
        <w:t>ffects palatability, microbial growth, and solubility of gases/minerals. Warm water favors bac</w:t>
      </w:r>
      <w:r w:rsidRPr="00DD1E00">
        <w:rPr>
          <w:rFonts w:ascii="Arial" w:hAnsi="Arial" w:cs="Arial"/>
          <w:sz w:val="20"/>
          <w:szCs w:val="20"/>
        </w:rPr>
        <w:t>t</w:t>
      </w:r>
      <w:r w:rsidR="00BE59A3" w:rsidRPr="00DD1E00">
        <w:rPr>
          <w:rFonts w:ascii="Arial" w:hAnsi="Arial" w:cs="Arial"/>
          <w:sz w:val="20"/>
          <w:szCs w:val="20"/>
        </w:rPr>
        <w:t xml:space="preserve">erial </w:t>
      </w:r>
      <w:r w:rsidR="005F308E" w:rsidRPr="00DD1E00">
        <w:rPr>
          <w:rFonts w:ascii="Arial" w:hAnsi="Arial" w:cs="Arial"/>
          <w:sz w:val="20"/>
          <w:szCs w:val="20"/>
        </w:rPr>
        <w:t xml:space="preserve">contamination. </w:t>
      </w:r>
      <w:r w:rsidR="00B50352" w:rsidRPr="00DD1E00">
        <w:rPr>
          <w:rFonts w:ascii="Arial" w:hAnsi="Arial" w:cs="Arial"/>
          <w:sz w:val="20"/>
          <w:szCs w:val="20"/>
        </w:rPr>
        <w:t xml:space="preserve">It </w:t>
      </w:r>
      <w:r w:rsidR="002F3D54" w:rsidRPr="00DD1E00">
        <w:rPr>
          <w:rFonts w:ascii="Arial" w:hAnsi="Arial" w:cs="Arial"/>
          <w:sz w:val="20"/>
          <w:szCs w:val="20"/>
        </w:rPr>
        <w:t>ranges from 20 to 25 degrees Celsius.</w:t>
      </w:r>
      <w:r w:rsidR="00C838DD" w:rsidRPr="00DD1E00">
        <w:rPr>
          <w:rFonts w:ascii="Arial" w:hAnsi="Arial" w:cs="Arial"/>
          <w:sz w:val="20"/>
          <w:szCs w:val="20"/>
        </w:rPr>
        <w:t xml:space="preserve"> </w:t>
      </w:r>
      <w:r w:rsidR="005F308E" w:rsidRPr="00DD1E00">
        <w:rPr>
          <w:rFonts w:ascii="Arial" w:hAnsi="Arial" w:cs="Arial"/>
          <w:sz w:val="20"/>
          <w:szCs w:val="20"/>
        </w:rPr>
        <w:t xml:space="preserve">Generally, warmer in </w:t>
      </w:r>
      <w:r w:rsidR="00D4456F" w:rsidRPr="00DD1E00">
        <w:rPr>
          <w:rFonts w:ascii="Arial" w:hAnsi="Arial" w:cs="Arial"/>
          <w:sz w:val="20"/>
          <w:szCs w:val="20"/>
        </w:rPr>
        <w:t>Monsoon</w:t>
      </w:r>
      <w:r w:rsidR="005F308E" w:rsidRPr="00DD1E00">
        <w:rPr>
          <w:rFonts w:ascii="Arial" w:hAnsi="Arial" w:cs="Arial"/>
          <w:sz w:val="20"/>
          <w:szCs w:val="20"/>
        </w:rPr>
        <w:t xml:space="preserve"> and Spring. There</w:t>
      </w:r>
      <w:r w:rsidR="00973FA8" w:rsidRPr="00DD1E00">
        <w:rPr>
          <w:rFonts w:ascii="Arial" w:hAnsi="Arial" w:cs="Arial"/>
          <w:sz w:val="20"/>
          <w:szCs w:val="20"/>
        </w:rPr>
        <w:t xml:space="preserve"> was no significant role of temperature in evaluation of water quality directly.</w:t>
      </w:r>
      <w:r w:rsidR="00051A6B" w:rsidRPr="00DD1E00">
        <w:rPr>
          <w:rFonts w:ascii="Arial" w:hAnsi="Arial" w:cs="Arial"/>
          <w:sz w:val="20"/>
          <w:szCs w:val="20"/>
        </w:rPr>
        <w:t xml:space="preserve"> </w:t>
      </w:r>
      <w:r w:rsidR="00EB0A1A" w:rsidRPr="00DD1E00">
        <w:rPr>
          <w:rFonts w:ascii="Arial" w:hAnsi="Arial" w:cs="Arial"/>
          <w:sz w:val="20"/>
          <w:szCs w:val="20"/>
        </w:rPr>
        <w:t xml:space="preserve">There is </w:t>
      </w:r>
      <w:r w:rsidR="00854724" w:rsidRPr="00DD1E00">
        <w:rPr>
          <w:rFonts w:ascii="Arial" w:hAnsi="Arial" w:cs="Arial"/>
          <w:sz w:val="20"/>
          <w:szCs w:val="20"/>
        </w:rPr>
        <w:t>no strict limit for this.</w:t>
      </w:r>
      <w:r w:rsidR="003412A3" w:rsidRPr="00DD1E00">
        <w:rPr>
          <w:rFonts w:ascii="Arial" w:hAnsi="Arial" w:cs="Arial"/>
          <w:sz w:val="20"/>
          <w:szCs w:val="20"/>
        </w:rPr>
        <w:t xml:space="preserve"> </w:t>
      </w:r>
      <w:r w:rsidR="00531108" w:rsidRPr="00DD1E00">
        <w:rPr>
          <w:rFonts w:ascii="Arial" w:hAnsi="Arial" w:cs="Arial"/>
          <w:sz w:val="20"/>
          <w:szCs w:val="20"/>
        </w:rPr>
        <w:t>Total a</w:t>
      </w:r>
      <w:r w:rsidR="00E31C45" w:rsidRPr="00DD1E00">
        <w:rPr>
          <w:rFonts w:ascii="Arial" w:hAnsi="Arial" w:cs="Arial"/>
          <w:sz w:val="20"/>
          <w:szCs w:val="20"/>
        </w:rPr>
        <w:t>lka</w:t>
      </w:r>
      <w:r w:rsidR="00BA0EB3" w:rsidRPr="00DD1E00">
        <w:rPr>
          <w:rFonts w:ascii="Arial" w:hAnsi="Arial" w:cs="Arial"/>
          <w:sz w:val="20"/>
          <w:szCs w:val="20"/>
        </w:rPr>
        <w:t>li</w:t>
      </w:r>
      <w:r w:rsidR="00E31C45" w:rsidRPr="00DD1E00">
        <w:rPr>
          <w:rFonts w:ascii="Arial" w:hAnsi="Arial" w:cs="Arial"/>
          <w:sz w:val="20"/>
          <w:szCs w:val="20"/>
        </w:rPr>
        <w:t>nity sh</w:t>
      </w:r>
      <w:r w:rsidR="00024444" w:rsidRPr="00DD1E00">
        <w:rPr>
          <w:rFonts w:ascii="Arial" w:hAnsi="Arial" w:cs="Arial"/>
          <w:sz w:val="20"/>
          <w:szCs w:val="20"/>
        </w:rPr>
        <w:t>ows buffering capacity due to carbonates/bicarbonates. High alkalinity can affect solubility and toxicity of pollutants.</w:t>
      </w:r>
      <w:r w:rsidR="00E31C45" w:rsidRPr="00DD1E00">
        <w:rPr>
          <w:rFonts w:ascii="Arial" w:hAnsi="Arial" w:cs="Arial"/>
          <w:sz w:val="20"/>
          <w:szCs w:val="20"/>
        </w:rPr>
        <w:t xml:space="preserve"> </w:t>
      </w:r>
      <w:r w:rsidR="00B50352" w:rsidRPr="00DD1E00">
        <w:rPr>
          <w:rFonts w:ascii="Arial" w:hAnsi="Arial" w:cs="Arial"/>
          <w:sz w:val="20"/>
          <w:szCs w:val="20"/>
        </w:rPr>
        <w:t>It</w:t>
      </w:r>
      <w:r w:rsidR="00525061" w:rsidRPr="00DD1E00">
        <w:rPr>
          <w:rFonts w:ascii="Arial" w:hAnsi="Arial" w:cs="Arial"/>
          <w:sz w:val="20"/>
          <w:szCs w:val="20"/>
        </w:rPr>
        <w:t>’</w:t>
      </w:r>
      <w:r w:rsidR="00B50352" w:rsidRPr="00DD1E00">
        <w:rPr>
          <w:rFonts w:ascii="Arial" w:hAnsi="Arial" w:cs="Arial"/>
          <w:sz w:val="20"/>
          <w:szCs w:val="20"/>
        </w:rPr>
        <w:t>s</w:t>
      </w:r>
      <w:r w:rsidR="002F3D54" w:rsidRPr="00DD1E00">
        <w:rPr>
          <w:rFonts w:ascii="Arial" w:hAnsi="Arial" w:cs="Arial"/>
          <w:sz w:val="20"/>
          <w:szCs w:val="20"/>
        </w:rPr>
        <w:t xml:space="preserve"> values range from 250 to 525, with most values between 250 and 400.</w:t>
      </w:r>
      <w:r w:rsidR="00973FA8" w:rsidRPr="00DD1E00">
        <w:rPr>
          <w:rFonts w:ascii="Arial" w:hAnsi="Arial" w:cs="Arial"/>
          <w:sz w:val="20"/>
          <w:szCs w:val="20"/>
        </w:rPr>
        <w:t xml:space="preserve"> Total alkalinity also crossed 500 mg/L (July 2024), supporting the observation of alkaline water chemistry</w:t>
      </w:r>
      <w:r w:rsidR="00051A6B" w:rsidRPr="00DD1E00">
        <w:rPr>
          <w:rFonts w:ascii="Arial" w:hAnsi="Arial" w:cs="Arial"/>
          <w:sz w:val="20"/>
          <w:szCs w:val="20"/>
        </w:rPr>
        <w:t xml:space="preserve">. </w:t>
      </w:r>
      <w:r w:rsidR="00973FA8" w:rsidRPr="00DD1E00">
        <w:rPr>
          <w:rFonts w:ascii="Arial" w:hAnsi="Arial" w:cs="Arial"/>
          <w:sz w:val="20"/>
          <w:szCs w:val="20"/>
        </w:rPr>
        <w:t>Alkalinity, although not toxic, can alter the solubility and toxicity of other compounds like ammonia, metals, and arsenic (Singh &amp; Srivastava, 2023)</w:t>
      </w:r>
      <w:r w:rsidR="00577DCD" w:rsidRPr="00DD1E00">
        <w:rPr>
          <w:rFonts w:ascii="Arial" w:hAnsi="Arial" w:cs="Arial"/>
          <w:sz w:val="20"/>
          <w:szCs w:val="20"/>
        </w:rPr>
        <w:t xml:space="preserve">, </w:t>
      </w:r>
      <w:r w:rsidR="00A85925" w:rsidRPr="00DD1E00">
        <w:rPr>
          <w:rFonts w:ascii="Arial" w:hAnsi="Arial" w:cs="Arial"/>
          <w:sz w:val="20"/>
          <w:szCs w:val="20"/>
        </w:rPr>
        <w:t xml:space="preserve">Mostly values were within permissible BIS limits (200-600 mg/L) </w:t>
      </w:r>
      <w:r w:rsidR="00577DCD" w:rsidRPr="00DD1E00">
        <w:rPr>
          <w:rFonts w:ascii="Arial" w:hAnsi="Arial" w:cs="Arial"/>
          <w:sz w:val="20"/>
          <w:szCs w:val="20"/>
        </w:rPr>
        <w:t>(</w:t>
      </w:r>
      <w:r w:rsidR="00014312" w:rsidRPr="00DD1E00">
        <w:rPr>
          <w:rFonts w:ascii="Arial" w:hAnsi="Arial" w:cs="Arial"/>
          <w:sz w:val="20"/>
          <w:szCs w:val="20"/>
        </w:rPr>
        <w:t>Fig.</w:t>
      </w:r>
      <w:r w:rsidR="00786BCB" w:rsidRPr="00DD1E00">
        <w:rPr>
          <w:rFonts w:ascii="Arial" w:hAnsi="Arial" w:cs="Arial"/>
          <w:sz w:val="20"/>
          <w:szCs w:val="20"/>
        </w:rPr>
        <w:t>2</w:t>
      </w:r>
      <w:r w:rsidR="00577DCD" w:rsidRPr="00DD1E00">
        <w:rPr>
          <w:rFonts w:ascii="Arial" w:hAnsi="Arial" w:cs="Arial"/>
          <w:sz w:val="20"/>
          <w:szCs w:val="20"/>
        </w:rPr>
        <w:t>).</w:t>
      </w:r>
    </w:p>
    <w:p w14:paraId="04F39B21" w14:textId="77777777" w:rsidR="0071636E" w:rsidRPr="00DD1E00" w:rsidRDefault="00EC4D5F" w:rsidP="00506224">
      <w:pPr>
        <w:rPr>
          <w:rFonts w:ascii="Arial" w:hAnsi="Arial" w:cs="Arial"/>
          <w:sz w:val="20"/>
          <w:szCs w:val="20"/>
        </w:rPr>
      </w:pPr>
      <w:r w:rsidRPr="00DD1E00">
        <w:rPr>
          <w:rFonts w:ascii="Arial" w:hAnsi="Arial" w:cs="Arial"/>
          <w:noProof/>
          <w:sz w:val="20"/>
          <w:szCs w:val="20"/>
          <w:lang w:bidi="hi-IN"/>
        </w:rPr>
        <w:lastRenderedPageBreak/>
        <w:drawing>
          <wp:inline distT="0" distB="0" distL="0" distR="0" wp14:anchorId="291593A8" wp14:editId="69F5DE05">
            <wp:extent cx="3600450" cy="2333625"/>
            <wp:effectExtent l="0" t="0" r="0" b="9525"/>
            <wp:docPr id="1502572394" name="Chart 1">
              <a:extLst xmlns:a="http://schemas.openxmlformats.org/drawingml/2006/main">
                <a:ext uri="{FF2B5EF4-FFF2-40B4-BE49-F238E27FC236}">
                  <a16:creationId xmlns:a16="http://schemas.microsoft.com/office/drawing/2014/main" id="{9256D15C-5B79-4B94-8C75-6B0E3DB541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57FCCC0" w14:textId="38814128" w:rsidR="00426324" w:rsidRPr="00DD1E00" w:rsidRDefault="0071636E" w:rsidP="00B11A98">
      <w:pPr>
        <w:rPr>
          <w:rFonts w:ascii="Arial" w:hAnsi="Arial" w:cs="Arial"/>
          <w:sz w:val="20"/>
          <w:szCs w:val="20"/>
        </w:rPr>
      </w:pPr>
      <w:r w:rsidRPr="00DD1E00">
        <w:rPr>
          <w:rFonts w:ascii="Arial" w:hAnsi="Arial" w:cs="Arial"/>
          <w:sz w:val="20"/>
          <w:szCs w:val="20"/>
        </w:rPr>
        <w:t>Fig</w:t>
      </w:r>
      <w:r w:rsidR="00506224" w:rsidRPr="00DD1E00">
        <w:rPr>
          <w:rFonts w:ascii="Arial" w:hAnsi="Arial" w:cs="Arial"/>
          <w:sz w:val="20"/>
          <w:szCs w:val="20"/>
        </w:rPr>
        <w:t>.2 -Monthly Fluctuation</w:t>
      </w:r>
      <w:r w:rsidR="00266E77">
        <w:rPr>
          <w:rFonts w:ascii="Arial" w:hAnsi="Arial" w:cs="Arial"/>
          <w:sz w:val="20"/>
          <w:szCs w:val="20"/>
        </w:rPr>
        <w:t xml:space="preserve"> </w:t>
      </w:r>
      <w:r w:rsidR="00B87565">
        <w:rPr>
          <w:rFonts w:ascii="Arial" w:hAnsi="Arial" w:cs="Arial"/>
          <w:sz w:val="20"/>
          <w:szCs w:val="20"/>
        </w:rPr>
        <w:t xml:space="preserve">in </w:t>
      </w:r>
      <w:r w:rsidR="00B87565" w:rsidRPr="00DD1E00">
        <w:rPr>
          <w:rFonts w:ascii="Arial" w:hAnsi="Arial" w:cs="Arial"/>
          <w:sz w:val="20"/>
          <w:szCs w:val="20"/>
        </w:rPr>
        <w:t>Temperature</w:t>
      </w:r>
      <w:r w:rsidR="00506224" w:rsidRPr="00DD1E00">
        <w:rPr>
          <w:rFonts w:ascii="Arial" w:hAnsi="Arial" w:cs="Arial"/>
          <w:sz w:val="20"/>
          <w:szCs w:val="20"/>
        </w:rPr>
        <w:t xml:space="preserve"> and Total Alkalinity</w:t>
      </w:r>
    </w:p>
    <w:p w14:paraId="1459B124" w14:textId="77777777" w:rsidR="00426324" w:rsidRPr="00DD1E00" w:rsidRDefault="00426324" w:rsidP="00C0670B">
      <w:pPr>
        <w:spacing w:after="160" w:line="259" w:lineRule="auto"/>
        <w:rPr>
          <w:rFonts w:ascii="Arial" w:hAnsi="Arial" w:cs="Arial"/>
          <w:sz w:val="20"/>
          <w:szCs w:val="20"/>
        </w:rPr>
      </w:pPr>
    </w:p>
    <w:p w14:paraId="32404DB3" w14:textId="183507FA" w:rsidR="002F3D54" w:rsidRPr="00DD1E00" w:rsidRDefault="0026143A" w:rsidP="00C0670B">
      <w:pPr>
        <w:spacing w:after="160" w:line="259" w:lineRule="auto"/>
        <w:rPr>
          <w:rFonts w:ascii="Arial" w:hAnsi="Arial" w:cs="Arial"/>
          <w:sz w:val="20"/>
          <w:szCs w:val="20"/>
        </w:rPr>
      </w:pPr>
      <w:r w:rsidRPr="00DD1E00">
        <w:rPr>
          <w:rFonts w:ascii="Arial" w:hAnsi="Arial" w:cs="Arial"/>
          <w:sz w:val="20"/>
          <w:szCs w:val="20"/>
        </w:rPr>
        <w:t>Total hardness</w:t>
      </w:r>
      <w:r w:rsidR="00C0670B" w:rsidRPr="00DD1E00">
        <w:rPr>
          <w:rFonts w:ascii="Arial" w:hAnsi="Arial" w:cs="Arial"/>
          <w:sz w:val="20"/>
          <w:szCs w:val="20"/>
        </w:rPr>
        <w:t xml:space="preserve"> caused by</w:t>
      </w:r>
      <w:r w:rsidR="008E5ABA" w:rsidRPr="00DD1E00">
        <w:rPr>
          <w:rFonts w:ascii="Arial" w:hAnsi="Arial" w:cs="Arial"/>
          <w:sz w:val="20"/>
          <w:szCs w:val="20"/>
        </w:rPr>
        <w:t xml:space="preserve"> calcium and magnesium salts. Hard water causes kidney stone risk, poor soap lathering, and scaling in household use</w:t>
      </w:r>
      <w:r w:rsidR="000342E7" w:rsidRPr="00DD1E00">
        <w:rPr>
          <w:rFonts w:ascii="Arial" w:hAnsi="Arial" w:cs="Arial"/>
          <w:sz w:val="20"/>
          <w:szCs w:val="20"/>
        </w:rPr>
        <w:t xml:space="preserve"> (Tyagi &amp; Bansal, 2021)</w:t>
      </w:r>
      <w:r w:rsidR="008E5ABA" w:rsidRPr="00DD1E00">
        <w:rPr>
          <w:rFonts w:ascii="Arial" w:hAnsi="Arial" w:cs="Arial"/>
          <w:sz w:val="20"/>
          <w:szCs w:val="20"/>
        </w:rPr>
        <w:t>.</w:t>
      </w:r>
      <w:r w:rsidR="00C0670B" w:rsidRPr="00DD1E00">
        <w:rPr>
          <w:rFonts w:ascii="Arial" w:hAnsi="Arial" w:cs="Arial"/>
          <w:sz w:val="20"/>
          <w:szCs w:val="20"/>
        </w:rPr>
        <w:t xml:space="preserve"> Its</w:t>
      </w:r>
      <w:r w:rsidR="00051A6B" w:rsidRPr="00DD1E00">
        <w:rPr>
          <w:rFonts w:ascii="Arial" w:hAnsi="Arial" w:cs="Arial"/>
          <w:sz w:val="20"/>
          <w:szCs w:val="20"/>
        </w:rPr>
        <w:t xml:space="preserve"> values vary from 300 to 760, with most values between 350 and 650. </w:t>
      </w:r>
      <w:r w:rsidR="00973FA8" w:rsidRPr="00DD1E00">
        <w:rPr>
          <w:rFonts w:ascii="Arial" w:hAnsi="Arial" w:cs="Arial"/>
          <w:sz w:val="20"/>
          <w:szCs w:val="20"/>
        </w:rPr>
        <w:t>Hardness peaked at 760 mg/L (January 2025), much above the BIS safe limit (</w:t>
      </w:r>
      <w:r w:rsidR="00A85925" w:rsidRPr="00DD1E00">
        <w:rPr>
          <w:rFonts w:ascii="Arial" w:hAnsi="Arial" w:cs="Arial"/>
          <w:sz w:val="20"/>
          <w:szCs w:val="20"/>
        </w:rPr>
        <w:t>3</w:t>
      </w:r>
      <w:r w:rsidR="00973FA8" w:rsidRPr="00DD1E00">
        <w:rPr>
          <w:rFonts w:ascii="Arial" w:hAnsi="Arial" w:cs="Arial"/>
          <w:sz w:val="20"/>
          <w:szCs w:val="20"/>
        </w:rPr>
        <w:t xml:space="preserve">00-600 mg/L), indicating high calcium and magnesium </w:t>
      </w:r>
      <w:r w:rsidR="00853317" w:rsidRPr="00DD1E00">
        <w:rPr>
          <w:rFonts w:ascii="Arial" w:hAnsi="Arial" w:cs="Arial"/>
          <w:sz w:val="20"/>
          <w:szCs w:val="20"/>
        </w:rPr>
        <w:t>content.</w:t>
      </w:r>
      <w:r w:rsidR="00F71CB4" w:rsidRPr="00DD1E00">
        <w:rPr>
          <w:rFonts w:ascii="Arial" w:hAnsi="Arial" w:cs="Arial"/>
          <w:sz w:val="20"/>
          <w:szCs w:val="20"/>
        </w:rPr>
        <w:t xml:space="preserve"> Chloride i</w:t>
      </w:r>
      <w:r w:rsidR="00B96D70" w:rsidRPr="00DD1E00">
        <w:rPr>
          <w:rFonts w:ascii="Arial" w:hAnsi="Arial" w:cs="Arial"/>
          <w:sz w:val="20"/>
          <w:szCs w:val="20"/>
        </w:rPr>
        <w:t>ndicates mineral content; excess often linked with sewage/industrial discharge. High levels cause salty taste and corrosion.</w:t>
      </w:r>
      <w:r w:rsidR="00F71CB4" w:rsidRPr="00DD1E00">
        <w:rPr>
          <w:rFonts w:ascii="Arial" w:hAnsi="Arial" w:cs="Arial"/>
          <w:sz w:val="20"/>
          <w:szCs w:val="20"/>
        </w:rPr>
        <w:t xml:space="preserve"> Chloride values range from 60 to 160, with most values between 60 and 100</w:t>
      </w:r>
      <w:r w:rsidR="00AF35D9" w:rsidRPr="00DD1E00">
        <w:rPr>
          <w:rFonts w:ascii="Arial" w:hAnsi="Arial" w:cs="Arial"/>
          <w:sz w:val="20"/>
          <w:szCs w:val="20"/>
        </w:rPr>
        <w:t xml:space="preserve">. </w:t>
      </w:r>
      <w:r w:rsidR="007D31CD" w:rsidRPr="00DD1E00">
        <w:rPr>
          <w:rFonts w:ascii="Arial" w:hAnsi="Arial" w:cs="Arial"/>
          <w:sz w:val="20"/>
          <w:szCs w:val="20"/>
        </w:rPr>
        <w:t xml:space="preserve">Its peak values found in </w:t>
      </w:r>
      <w:r w:rsidR="00AF35D9" w:rsidRPr="00DD1E00">
        <w:rPr>
          <w:rFonts w:ascii="Arial" w:hAnsi="Arial" w:cs="Arial"/>
          <w:sz w:val="20"/>
          <w:szCs w:val="20"/>
        </w:rPr>
        <w:t>Post-monsoon &amp; winter (Sep–Nov).</w:t>
      </w:r>
      <w:r w:rsidR="007D31CD" w:rsidRPr="00DD1E00">
        <w:rPr>
          <w:rFonts w:ascii="Arial" w:hAnsi="Arial" w:cs="Arial"/>
          <w:sz w:val="20"/>
          <w:szCs w:val="20"/>
        </w:rPr>
        <w:t xml:space="preserve"> </w:t>
      </w:r>
      <w:r w:rsidR="00B96D70" w:rsidRPr="00DD1E00">
        <w:rPr>
          <w:rFonts w:ascii="Arial" w:hAnsi="Arial" w:cs="Arial"/>
          <w:sz w:val="20"/>
          <w:szCs w:val="20"/>
        </w:rPr>
        <w:t>Safe limit</w:t>
      </w:r>
      <w:r w:rsidR="00EE42A9" w:rsidRPr="00DD1E00">
        <w:rPr>
          <w:rFonts w:ascii="Arial" w:hAnsi="Arial" w:cs="Arial"/>
          <w:sz w:val="20"/>
          <w:szCs w:val="20"/>
        </w:rPr>
        <w:t>,</w:t>
      </w:r>
      <w:r w:rsidR="00B96D70" w:rsidRPr="00DD1E00">
        <w:rPr>
          <w:rFonts w:ascii="Arial" w:hAnsi="Arial" w:cs="Arial"/>
          <w:sz w:val="20"/>
          <w:szCs w:val="20"/>
        </w:rPr>
        <w:t>250 mg/L (desirable), 1000 mg/L</w:t>
      </w:r>
      <w:r w:rsidR="00B96D70" w:rsidRPr="00DD1E00">
        <w:rPr>
          <w:rFonts w:ascii="Arial" w:hAnsi="Arial" w:cs="Arial"/>
          <w:b/>
          <w:bCs/>
          <w:sz w:val="20"/>
          <w:szCs w:val="20"/>
        </w:rPr>
        <w:t xml:space="preserve"> </w:t>
      </w:r>
      <w:r w:rsidR="00B96D70" w:rsidRPr="00DD1E00">
        <w:rPr>
          <w:rFonts w:ascii="Arial" w:hAnsi="Arial" w:cs="Arial"/>
          <w:sz w:val="20"/>
          <w:szCs w:val="20"/>
        </w:rPr>
        <w:t>(permissible)</w:t>
      </w:r>
      <w:r w:rsidR="0071636E" w:rsidRPr="00DD1E00">
        <w:rPr>
          <w:rFonts w:ascii="Arial" w:hAnsi="Arial" w:cs="Arial"/>
          <w:sz w:val="20"/>
          <w:szCs w:val="20"/>
        </w:rPr>
        <w:t>(Fig.</w:t>
      </w:r>
      <w:r w:rsidR="00150782" w:rsidRPr="00DD1E00">
        <w:rPr>
          <w:rFonts w:ascii="Arial" w:hAnsi="Arial" w:cs="Arial"/>
          <w:sz w:val="20"/>
          <w:szCs w:val="20"/>
        </w:rPr>
        <w:t>3)</w:t>
      </w:r>
      <w:r w:rsidR="002F3D54" w:rsidRPr="00DD1E00">
        <w:rPr>
          <w:rFonts w:ascii="Arial" w:hAnsi="Arial" w:cs="Arial"/>
          <w:sz w:val="20"/>
          <w:szCs w:val="20"/>
        </w:rPr>
        <w:t xml:space="preserve">. </w:t>
      </w:r>
    </w:p>
    <w:p w14:paraId="008809BE" w14:textId="127B90C0" w:rsidR="00B621A0" w:rsidRPr="00DD1E00" w:rsidRDefault="00F53E0B" w:rsidP="002F3D54">
      <w:pPr>
        <w:rPr>
          <w:rFonts w:ascii="Arial" w:hAnsi="Arial" w:cs="Arial"/>
          <w:sz w:val="20"/>
          <w:szCs w:val="20"/>
        </w:rPr>
      </w:pPr>
      <w:r w:rsidRPr="00DD1E00">
        <w:rPr>
          <w:rFonts w:ascii="Arial" w:hAnsi="Arial" w:cs="Arial"/>
          <w:noProof/>
          <w:sz w:val="20"/>
          <w:szCs w:val="20"/>
          <w:lang w:bidi="hi-IN"/>
        </w:rPr>
        <w:drawing>
          <wp:anchor distT="0" distB="0" distL="114300" distR="114300" simplePos="0" relativeHeight="251660288" behindDoc="0" locked="0" layoutInCell="1" allowOverlap="1" wp14:anchorId="3C65529E" wp14:editId="546BBE8F">
            <wp:simplePos x="0" y="0"/>
            <wp:positionH relativeFrom="column">
              <wp:posOffset>0</wp:posOffset>
            </wp:positionH>
            <wp:positionV relativeFrom="paragraph">
              <wp:posOffset>297180</wp:posOffset>
            </wp:positionV>
            <wp:extent cx="3768725" cy="2207895"/>
            <wp:effectExtent l="0" t="0" r="3175" b="1905"/>
            <wp:wrapSquare wrapText="bothSides"/>
            <wp:docPr id="994285533"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67FFBFBE" w14:textId="2F029E31" w:rsidR="0056243C" w:rsidRPr="00DD1E00" w:rsidRDefault="0056243C" w:rsidP="002F3D54">
      <w:pPr>
        <w:rPr>
          <w:rFonts w:ascii="Arial" w:hAnsi="Arial" w:cs="Arial"/>
          <w:sz w:val="20"/>
          <w:szCs w:val="20"/>
        </w:rPr>
      </w:pPr>
    </w:p>
    <w:p w14:paraId="1829230D" w14:textId="77777777" w:rsidR="0056243C" w:rsidRPr="00DD1E00" w:rsidRDefault="0056243C" w:rsidP="0056243C">
      <w:pPr>
        <w:rPr>
          <w:rFonts w:ascii="Arial" w:hAnsi="Arial" w:cs="Arial"/>
          <w:sz w:val="20"/>
          <w:szCs w:val="20"/>
        </w:rPr>
      </w:pPr>
    </w:p>
    <w:p w14:paraId="0F56A8E7" w14:textId="77777777" w:rsidR="0056243C" w:rsidRPr="00DD1E00" w:rsidRDefault="0056243C" w:rsidP="0056243C">
      <w:pPr>
        <w:rPr>
          <w:rFonts w:ascii="Arial" w:hAnsi="Arial" w:cs="Arial"/>
          <w:sz w:val="20"/>
          <w:szCs w:val="20"/>
        </w:rPr>
      </w:pPr>
    </w:p>
    <w:p w14:paraId="5EA94642" w14:textId="77777777" w:rsidR="0056243C" w:rsidRPr="00DD1E00" w:rsidRDefault="0056243C" w:rsidP="0056243C">
      <w:pPr>
        <w:ind w:firstLine="720"/>
        <w:rPr>
          <w:rFonts w:ascii="Arial" w:hAnsi="Arial" w:cs="Arial"/>
          <w:sz w:val="20"/>
          <w:szCs w:val="20"/>
        </w:rPr>
      </w:pPr>
    </w:p>
    <w:p w14:paraId="68AA17FB" w14:textId="77777777" w:rsidR="00B621A0" w:rsidRPr="00DD1E00" w:rsidRDefault="0056243C" w:rsidP="007D6D30">
      <w:pPr>
        <w:rPr>
          <w:rFonts w:ascii="Arial" w:hAnsi="Arial" w:cs="Arial"/>
          <w:sz w:val="20"/>
          <w:szCs w:val="20"/>
        </w:rPr>
      </w:pPr>
      <w:r w:rsidRPr="00DD1E00">
        <w:rPr>
          <w:rFonts w:ascii="Arial" w:hAnsi="Arial" w:cs="Arial"/>
          <w:sz w:val="20"/>
          <w:szCs w:val="20"/>
        </w:rPr>
        <w:br w:type="textWrapping" w:clear="all"/>
      </w:r>
    </w:p>
    <w:p w14:paraId="4CC1473C" w14:textId="18EA8BD3" w:rsidR="000C11DF" w:rsidRPr="00DD1E00" w:rsidRDefault="0071636E" w:rsidP="007D6D30">
      <w:pPr>
        <w:rPr>
          <w:rFonts w:ascii="Arial" w:hAnsi="Arial" w:cs="Arial"/>
          <w:sz w:val="20"/>
          <w:szCs w:val="20"/>
        </w:rPr>
      </w:pPr>
      <w:r w:rsidRPr="00DD1E00">
        <w:rPr>
          <w:rFonts w:ascii="Arial" w:hAnsi="Arial" w:cs="Arial"/>
          <w:sz w:val="20"/>
          <w:szCs w:val="20"/>
        </w:rPr>
        <w:t>Fig</w:t>
      </w:r>
      <w:r w:rsidR="00F77A44">
        <w:rPr>
          <w:rFonts w:ascii="Arial" w:hAnsi="Arial" w:cs="Arial"/>
          <w:sz w:val="20"/>
          <w:szCs w:val="20"/>
        </w:rPr>
        <w:t xml:space="preserve">.3-Monthly Fluctuation </w:t>
      </w:r>
      <w:r w:rsidR="00791F65">
        <w:rPr>
          <w:rFonts w:ascii="Arial" w:hAnsi="Arial" w:cs="Arial"/>
          <w:sz w:val="20"/>
          <w:szCs w:val="20"/>
        </w:rPr>
        <w:t>in</w:t>
      </w:r>
      <w:r w:rsidR="00791F65" w:rsidRPr="00DD1E00">
        <w:rPr>
          <w:rFonts w:ascii="Arial" w:hAnsi="Arial" w:cs="Arial"/>
          <w:sz w:val="20"/>
          <w:szCs w:val="20"/>
        </w:rPr>
        <w:t xml:space="preserve"> Total</w:t>
      </w:r>
      <w:r w:rsidR="00853317" w:rsidRPr="00DD1E00">
        <w:rPr>
          <w:rFonts w:ascii="Arial" w:hAnsi="Arial" w:cs="Arial"/>
          <w:sz w:val="20"/>
          <w:szCs w:val="20"/>
        </w:rPr>
        <w:t xml:space="preserve"> Hardness and Chloride.</w:t>
      </w:r>
    </w:p>
    <w:p w14:paraId="45348CBA" w14:textId="77777777" w:rsidR="00BF1F6D" w:rsidRPr="00DD1E00" w:rsidRDefault="00A13656" w:rsidP="002F3D54">
      <w:pPr>
        <w:rPr>
          <w:rFonts w:ascii="Arial" w:hAnsi="Arial" w:cs="Arial"/>
          <w:sz w:val="20"/>
          <w:szCs w:val="20"/>
        </w:rPr>
      </w:pPr>
      <w:r w:rsidRPr="00DD1E00">
        <w:rPr>
          <w:rFonts w:ascii="Arial" w:hAnsi="Arial" w:cs="Arial"/>
          <w:sz w:val="20"/>
          <w:szCs w:val="20"/>
        </w:rPr>
        <w:t xml:space="preserve">Fluoride is essential in trace amounts for maintaining dental health, but excessive intake can lead to adverse health effects, including dental fluorosis and skeletal fluorosis, highlighting the importance of optimal fluoride levels. </w:t>
      </w:r>
      <w:r w:rsidR="002F3D54" w:rsidRPr="00DD1E00">
        <w:rPr>
          <w:rFonts w:ascii="Arial" w:hAnsi="Arial" w:cs="Arial"/>
          <w:sz w:val="20"/>
          <w:szCs w:val="20"/>
        </w:rPr>
        <w:t>Fluoride values vary from 0.2 to 0.8, with most values between 0.2 and 0.6.</w:t>
      </w:r>
      <w:r w:rsidR="007D6D30" w:rsidRPr="00DD1E00">
        <w:rPr>
          <w:rFonts w:ascii="Arial" w:hAnsi="Arial" w:cs="Arial"/>
          <w:sz w:val="20"/>
          <w:szCs w:val="20"/>
        </w:rPr>
        <w:t xml:space="preserve"> levels were moderate (0.2–0.8 mg/L), mostly within safe ranges, but occasional spikes (March 2025: 0.8 mg/L) Fluoride require monitoring.</w:t>
      </w:r>
      <w:r w:rsidR="00C838DD" w:rsidRPr="00DD1E00">
        <w:rPr>
          <w:rFonts w:ascii="Arial" w:hAnsi="Arial" w:cs="Arial"/>
          <w:sz w:val="20"/>
          <w:szCs w:val="20"/>
        </w:rPr>
        <w:t xml:space="preserve"> </w:t>
      </w:r>
    </w:p>
    <w:p w14:paraId="36AECC21" w14:textId="2128E8C0" w:rsidR="00D93CAA" w:rsidRPr="00DD1E00" w:rsidRDefault="00B41F8D" w:rsidP="002F3D54">
      <w:pPr>
        <w:rPr>
          <w:rFonts w:ascii="Arial" w:hAnsi="Arial" w:cs="Arial"/>
          <w:sz w:val="20"/>
          <w:szCs w:val="20"/>
        </w:rPr>
      </w:pPr>
      <w:r w:rsidRPr="00DD1E00">
        <w:rPr>
          <w:rFonts w:ascii="Arial" w:hAnsi="Arial" w:cs="Arial"/>
          <w:sz w:val="20"/>
          <w:szCs w:val="20"/>
        </w:rPr>
        <w:lastRenderedPageBreak/>
        <w:t>Nitrate</w:t>
      </w:r>
      <w:r w:rsidR="007C1677">
        <w:rPr>
          <w:rFonts w:ascii="Arial" w:hAnsi="Arial" w:cs="Arial"/>
          <w:sz w:val="20"/>
          <w:szCs w:val="20"/>
        </w:rPr>
        <w:t xml:space="preserve"> reached in ground </w:t>
      </w:r>
      <w:r w:rsidR="001F2D37">
        <w:rPr>
          <w:rFonts w:ascii="Arial" w:hAnsi="Arial" w:cs="Arial"/>
          <w:sz w:val="20"/>
          <w:szCs w:val="20"/>
        </w:rPr>
        <w:t>water from</w:t>
      </w:r>
      <w:r w:rsidR="004E2F16">
        <w:rPr>
          <w:rFonts w:ascii="Arial" w:hAnsi="Arial" w:cs="Arial"/>
          <w:sz w:val="20"/>
          <w:szCs w:val="20"/>
        </w:rPr>
        <w:t xml:space="preserve"> </w:t>
      </w:r>
      <w:r w:rsidRPr="00DD1E00">
        <w:rPr>
          <w:rFonts w:ascii="Arial" w:hAnsi="Arial" w:cs="Arial"/>
          <w:sz w:val="20"/>
          <w:szCs w:val="20"/>
        </w:rPr>
        <w:t>fertilizers, sewage, and leaching</w:t>
      </w:r>
      <w:r w:rsidR="0097578E">
        <w:rPr>
          <w:rFonts w:ascii="Arial" w:hAnsi="Arial" w:cs="Arial"/>
          <w:sz w:val="20"/>
          <w:szCs w:val="20"/>
        </w:rPr>
        <w:t xml:space="preserve"> by many natural and manmade practices</w:t>
      </w:r>
      <w:r w:rsidRPr="00DD1E00">
        <w:rPr>
          <w:rFonts w:ascii="Arial" w:hAnsi="Arial" w:cs="Arial"/>
          <w:sz w:val="20"/>
          <w:szCs w:val="20"/>
        </w:rPr>
        <w:t xml:space="preserve">. High nitrate causes “blue baby syndrome” (methemoglobinemia) in infants </w:t>
      </w:r>
      <w:r w:rsidR="002F3D54" w:rsidRPr="00DD1E00">
        <w:rPr>
          <w:rFonts w:ascii="Arial" w:hAnsi="Arial" w:cs="Arial"/>
          <w:sz w:val="20"/>
          <w:szCs w:val="20"/>
        </w:rPr>
        <w:t>Nitrate values range from 0.5 to 5.0, with most values between 0.5 and 2.5</w:t>
      </w:r>
      <w:r w:rsidR="00BE5B02" w:rsidRPr="00DD1E00">
        <w:rPr>
          <w:rFonts w:ascii="Arial" w:hAnsi="Arial" w:cs="Arial"/>
          <w:sz w:val="20"/>
          <w:szCs w:val="20"/>
        </w:rPr>
        <w:t xml:space="preserve"> Nitrate levels, ranging from 0.5 to 5.0 mg/L with common values below 2.5 mg/L and seasonal peaks during monsoon and spring (May, June, November, and March), are considered safe according to BIS/WHO guidelines, as they fall well below the permissible limit of 45 mg/L</w:t>
      </w:r>
      <w:r w:rsidR="0056243C" w:rsidRPr="00DD1E00">
        <w:rPr>
          <w:rFonts w:ascii="Arial" w:hAnsi="Arial" w:cs="Arial"/>
          <w:sz w:val="20"/>
          <w:szCs w:val="20"/>
        </w:rPr>
        <w:t xml:space="preserve"> (</w:t>
      </w:r>
      <w:r w:rsidR="0071636E" w:rsidRPr="00DD1E00">
        <w:rPr>
          <w:rFonts w:ascii="Arial" w:hAnsi="Arial" w:cs="Arial"/>
          <w:sz w:val="20"/>
          <w:szCs w:val="20"/>
        </w:rPr>
        <w:t>Fig.</w:t>
      </w:r>
      <w:r w:rsidR="0056243C" w:rsidRPr="00DD1E00">
        <w:rPr>
          <w:rFonts w:ascii="Arial" w:hAnsi="Arial" w:cs="Arial"/>
          <w:sz w:val="20"/>
          <w:szCs w:val="20"/>
        </w:rPr>
        <w:t>4).</w:t>
      </w:r>
    </w:p>
    <w:p w14:paraId="118B208B" w14:textId="48E86977" w:rsidR="000735E6" w:rsidRPr="00DD1E00" w:rsidRDefault="000735E6" w:rsidP="000735E6">
      <w:pPr>
        <w:rPr>
          <w:rFonts w:ascii="Arial" w:hAnsi="Arial" w:cs="Arial"/>
          <w:sz w:val="20"/>
          <w:szCs w:val="20"/>
        </w:rPr>
      </w:pPr>
      <w:r w:rsidRPr="00DD1E00">
        <w:rPr>
          <w:rFonts w:ascii="Arial" w:hAnsi="Arial" w:cs="Arial"/>
          <w:noProof/>
          <w:sz w:val="20"/>
          <w:szCs w:val="20"/>
          <w:lang w:bidi="hi-IN"/>
        </w:rPr>
        <w:drawing>
          <wp:inline distT="0" distB="0" distL="0" distR="0" wp14:anchorId="72A4A835" wp14:editId="08B3CDA6">
            <wp:extent cx="3784821" cy="2219960"/>
            <wp:effectExtent l="0" t="0" r="6350" b="8890"/>
            <wp:docPr id="1507655881"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16C232E" w14:textId="607D212E" w:rsidR="000735E6" w:rsidRPr="00DD1E00" w:rsidRDefault="0071636E" w:rsidP="000735E6">
      <w:pPr>
        <w:rPr>
          <w:rFonts w:ascii="Arial" w:hAnsi="Arial" w:cs="Arial"/>
          <w:sz w:val="20"/>
          <w:szCs w:val="20"/>
        </w:rPr>
      </w:pPr>
      <w:r w:rsidRPr="00DD1E00">
        <w:rPr>
          <w:rFonts w:ascii="Arial" w:hAnsi="Arial" w:cs="Arial"/>
          <w:sz w:val="20"/>
          <w:szCs w:val="20"/>
        </w:rPr>
        <w:t>Fig</w:t>
      </w:r>
      <w:r w:rsidR="000735E6" w:rsidRPr="00DD1E00">
        <w:rPr>
          <w:rFonts w:ascii="Arial" w:hAnsi="Arial" w:cs="Arial"/>
          <w:sz w:val="20"/>
          <w:szCs w:val="20"/>
        </w:rPr>
        <w:t>.4- Monthly Fluctuati</w:t>
      </w:r>
      <w:r w:rsidR="001F3C7B">
        <w:rPr>
          <w:rFonts w:ascii="Arial" w:hAnsi="Arial" w:cs="Arial"/>
          <w:sz w:val="20"/>
          <w:szCs w:val="20"/>
        </w:rPr>
        <w:t xml:space="preserve">on in </w:t>
      </w:r>
      <w:r w:rsidR="000735E6" w:rsidRPr="00DD1E00">
        <w:rPr>
          <w:rFonts w:ascii="Arial" w:hAnsi="Arial" w:cs="Arial"/>
          <w:sz w:val="20"/>
          <w:szCs w:val="20"/>
        </w:rPr>
        <w:t>Fluoride and Nitrate</w:t>
      </w:r>
    </w:p>
    <w:p w14:paraId="69F9BDCF" w14:textId="79333D8B" w:rsidR="008736F1" w:rsidRPr="00DD1E00" w:rsidRDefault="00B11A98" w:rsidP="002F3D54">
      <w:pPr>
        <w:rPr>
          <w:rFonts w:ascii="Arial" w:hAnsi="Arial" w:cs="Arial"/>
          <w:sz w:val="20"/>
          <w:szCs w:val="20"/>
        </w:rPr>
      </w:pPr>
      <w:r w:rsidRPr="00DD1E00">
        <w:rPr>
          <w:rFonts w:ascii="Arial" w:hAnsi="Arial" w:cs="Arial"/>
          <w:sz w:val="20"/>
          <w:szCs w:val="20"/>
        </w:rPr>
        <w:t xml:space="preserve">Iron was consistently absent (0 mg/L) throughout the study, suggestion-bearing strata or corroded pipelines </w:t>
      </w:r>
      <w:r w:rsidR="00A6337F" w:rsidRPr="00DD1E00">
        <w:rPr>
          <w:rFonts w:ascii="Arial" w:hAnsi="Arial" w:cs="Arial"/>
          <w:sz w:val="20"/>
          <w:szCs w:val="20"/>
        </w:rPr>
        <w:t>A toxic metalloid. Long-term exposure linked to cancers, skin lesions, and neurological disorders.</w:t>
      </w:r>
      <w:r w:rsidR="00452498" w:rsidRPr="00DD1E00">
        <w:rPr>
          <w:rFonts w:ascii="Arial" w:hAnsi="Arial" w:cs="Arial"/>
          <w:sz w:val="20"/>
          <w:szCs w:val="20"/>
        </w:rPr>
        <w:t xml:space="preserve"> </w:t>
      </w:r>
      <w:r w:rsidR="008736F1" w:rsidRPr="00DD1E00">
        <w:rPr>
          <w:rFonts w:ascii="Arial" w:hAnsi="Arial" w:cs="Arial"/>
          <w:sz w:val="20"/>
          <w:szCs w:val="20"/>
        </w:rPr>
        <w:t>Arsenic remained persistently high (25–50 µg/L), with November 2024 peaking at 50 µg/L, which exceeds both BIS (10 µg/L) and WHO (10 µg/L) limits. Arsenic values range from 1.2 to 50</w:t>
      </w:r>
      <w:r w:rsidR="001E6B9F">
        <w:rPr>
          <w:rFonts w:ascii="Arial" w:hAnsi="Arial" w:cs="Arial"/>
          <w:sz w:val="20"/>
          <w:szCs w:val="20"/>
        </w:rPr>
        <w:t xml:space="preserve"> (ppm)</w:t>
      </w:r>
      <w:r w:rsidR="008736F1" w:rsidRPr="00DD1E00">
        <w:rPr>
          <w:rFonts w:ascii="Arial" w:hAnsi="Arial" w:cs="Arial"/>
          <w:sz w:val="20"/>
          <w:szCs w:val="20"/>
        </w:rPr>
        <w:t xml:space="preserve">, with most values at 25. </w:t>
      </w:r>
      <w:r w:rsidR="006C5350" w:rsidRPr="00DD1E00">
        <w:rPr>
          <w:rFonts w:ascii="Arial" w:hAnsi="Arial" w:cs="Arial"/>
          <w:sz w:val="20"/>
          <w:szCs w:val="20"/>
        </w:rPr>
        <w:t>Chronic arsenic exposure is a serious public health hazard associated with cancers, skin lesion</w:t>
      </w:r>
      <w:r w:rsidR="00707671">
        <w:rPr>
          <w:rFonts w:ascii="Arial" w:hAnsi="Arial" w:cs="Arial"/>
          <w:sz w:val="20"/>
          <w:szCs w:val="20"/>
        </w:rPr>
        <w:t>s, and neurological dysfunction</w:t>
      </w:r>
      <w:r w:rsidR="0071636E" w:rsidRPr="00DD1E00">
        <w:rPr>
          <w:rFonts w:ascii="Arial" w:hAnsi="Arial" w:cs="Arial"/>
          <w:sz w:val="20"/>
          <w:szCs w:val="20"/>
        </w:rPr>
        <w:t>(Fig.5)</w:t>
      </w:r>
      <w:r w:rsidR="00DD5570" w:rsidRPr="00DD1E00">
        <w:rPr>
          <w:rFonts w:ascii="Arial" w:hAnsi="Arial" w:cs="Arial"/>
          <w:sz w:val="20"/>
          <w:szCs w:val="20"/>
        </w:rPr>
        <w:t>.</w:t>
      </w:r>
    </w:p>
    <w:p w14:paraId="182C3CFC" w14:textId="742C54C7" w:rsidR="008736F1" w:rsidRPr="00DD1E00" w:rsidRDefault="008736F1" w:rsidP="002F3D54">
      <w:pPr>
        <w:rPr>
          <w:rFonts w:ascii="Arial" w:hAnsi="Arial" w:cs="Arial"/>
          <w:sz w:val="20"/>
          <w:szCs w:val="20"/>
        </w:rPr>
      </w:pPr>
      <w:r w:rsidRPr="00DD1E00">
        <w:rPr>
          <w:rFonts w:ascii="Arial" w:hAnsi="Arial" w:cs="Arial"/>
          <w:noProof/>
          <w:sz w:val="20"/>
          <w:szCs w:val="20"/>
          <w:lang w:bidi="hi-IN"/>
        </w:rPr>
        <w:drawing>
          <wp:inline distT="0" distB="0" distL="0" distR="0" wp14:anchorId="63BD5033" wp14:editId="28ED786A">
            <wp:extent cx="3657600" cy="2132965"/>
            <wp:effectExtent l="0" t="0" r="0" b="635"/>
            <wp:docPr id="1401550635"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4D35E1E" w14:textId="1B660B0F" w:rsidR="008F0DB3" w:rsidRPr="00DD1E00" w:rsidRDefault="0071636E" w:rsidP="002F3D54">
      <w:pPr>
        <w:rPr>
          <w:rFonts w:ascii="Arial" w:hAnsi="Arial" w:cs="Arial"/>
          <w:sz w:val="20"/>
          <w:szCs w:val="20"/>
        </w:rPr>
      </w:pPr>
      <w:r w:rsidRPr="00DD1E00">
        <w:rPr>
          <w:rFonts w:ascii="Arial" w:hAnsi="Arial" w:cs="Arial"/>
          <w:sz w:val="20"/>
          <w:szCs w:val="20"/>
        </w:rPr>
        <w:t>Fig</w:t>
      </w:r>
      <w:r w:rsidR="008736F1" w:rsidRPr="00DD1E00">
        <w:rPr>
          <w:rFonts w:ascii="Arial" w:hAnsi="Arial" w:cs="Arial"/>
          <w:sz w:val="20"/>
          <w:szCs w:val="20"/>
        </w:rPr>
        <w:t>.5- Monthly Fluctuation</w:t>
      </w:r>
      <w:r w:rsidR="001F3C7B">
        <w:rPr>
          <w:rFonts w:ascii="Arial" w:hAnsi="Arial" w:cs="Arial"/>
          <w:sz w:val="20"/>
          <w:szCs w:val="20"/>
        </w:rPr>
        <w:t xml:space="preserve"> in </w:t>
      </w:r>
      <w:r w:rsidR="008736F1" w:rsidRPr="00DD1E00">
        <w:rPr>
          <w:rFonts w:ascii="Arial" w:hAnsi="Arial" w:cs="Arial"/>
          <w:sz w:val="20"/>
          <w:szCs w:val="20"/>
        </w:rPr>
        <w:t>Iron and Arsenic</w:t>
      </w:r>
    </w:p>
    <w:p w14:paraId="38BAA770" w14:textId="77777777" w:rsidR="00BB0477" w:rsidRDefault="00636962" w:rsidP="008F0DB3">
      <w:pPr>
        <w:rPr>
          <w:rFonts w:ascii="Arial" w:hAnsi="Arial" w:cs="Arial"/>
          <w:sz w:val="20"/>
          <w:szCs w:val="20"/>
        </w:rPr>
      </w:pPr>
      <w:r w:rsidRPr="00DD1E00">
        <w:rPr>
          <w:rFonts w:ascii="Arial" w:hAnsi="Arial" w:cs="Arial"/>
          <w:sz w:val="20"/>
          <w:szCs w:val="20"/>
        </w:rPr>
        <w:t>A natural mineral. Normally harmless, but very high levels may affect individuals with kidney/cardiac problems.</w:t>
      </w:r>
      <w:r w:rsidR="007E2022" w:rsidRPr="00DD1E00">
        <w:rPr>
          <w:rFonts w:ascii="Arial" w:hAnsi="Arial" w:cs="Arial"/>
          <w:sz w:val="20"/>
          <w:szCs w:val="20"/>
        </w:rPr>
        <w:t xml:space="preserve"> </w:t>
      </w:r>
      <w:r w:rsidR="002F3D54" w:rsidRPr="00DD1E00">
        <w:rPr>
          <w:rFonts w:ascii="Arial" w:hAnsi="Arial" w:cs="Arial"/>
          <w:sz w:val="20"/>
          <w:szCs w:val="20"/>
        </w:rPr>
        <w:t>Potassium values vary from 15 to 18</w:t>
      </w:r>
      <w:r w:rsidR="00DB3347" w:rsidRPr="00DD1E00">
        <w:rPr>
          <w:rFonts w:ascii="Arial" w:hAnsi="Arial" w:cs="Arial"/>
          <w:sz w:val="20"/>
          <w:szCs w:val="20"/>
        </w:rPr>
        <w:t xml:space="preserve"> mg/L</w:t>
      </w:r>
      <w:r w:rsidR="002F3D54" w:rsidRPr="00DD1E00">
        <w:rPr>
          <w:rFonts w:ascii="Arial" w:hAnsi="Arial" w:cs="Arial"/>
          <w:sz w:val="20"/>
          <w:szCs w:val="20"/>
        </w:rPr>
        <w:t xml:space="preserve">, with most values between 15 and </w:t>
      </w:r>
      <w:r w:rsidR="008F0DB3" w:rsidRPr="00DD1E00">
        <w:rPr>
          <w:rFonts w:ascii="Arial" w:hAnsi="Arial" w:cs="Arial"/>
          <w:sz w:val="20"/>
          <w:szCs w:val="20"/>
        </w:rPr>
        <w:t xml:space="preserve">17. Slight rise in Sep &amp; January may affect kidney patients if in excess, and according to BIS/WHO guidelines, there's no strict limit making it acceptable. </w:t>
      </w:r>
    </w:p>
    <w:p w14:paraId="600F9BE7" w14:textId="77777777" w:rsidR="00406006" w:rsidRDefault="008F0DB3" w:rsidP="00936142">
      <w:pPr>
        <w:rPr>
          <w:rFonts w:ascii="Arial" w:hAnsi="Arial" w:cs="Arial"/>
          <w:sz w:val="20"/>
          <w:szCs w:val="20"/>
        </w:rPr>
      </w:pPr>
      <w:r w:rsidRPr="00DD1E00">
        <w:rPr>
          <w:rFonts w:ascii="Arial" w:hAnsi="Arial" w:cs="Arial"/>
          <w:sz w:val="20"/>
          <w:szCs w:val="20"/>
        </w:rPr>
        <w:lastRenderedPageBreak/>
        <w:t>Elevated concentrations of this essential nutrient can paradoxically contribute to increased water hardness, gastrointestinal disturbances characterized by laxative effects, and the formation of scales, underscoring the complex relationship between nutrient levels and water quality dynamics. It is with a range of 117–134 mg/L and a common range of 125–130 mg/L, exhibits a peak concentration in November (134 mg/L), and according to BIS guidelines, the levels are slightly high, exceeding the desirable limit of 30–100 mg/L but within the permissible limit of 200 mg/L (Fig.6).</w:t>
      </w:r>
    </w:p>
    <w:p w14:paraId="5D099526" w14:textId="08CDF3D3" w:rsidR="008F0DB3" w:rsidRPr="00DD1E00" w:rsidRDefault="008F0DB3" w:rsidP="00936142">
      <w:pPr>
        <w:rPr>
          <w:rFonts w:ascii="Arial" w:hAnsi="Arial" w:cs="Arial"/>
          <w:sz w:val="20"/>
          <w:szCs w:val="20"/>
        </w:rPr>
      </w:pPr>
      <w:r w:rsidRPr="00DD1E00">
        <w:rPr>
          <w:rFonts w:ascii="Arial" w:hAnsi="Arial" w:cs="Arial"/>
          <w:noProof/>
          <w:sz w:val="20"/>
          <w:szCs w:val="20"/>
          <w:lang w:bidi="hi-IN"/>
        </w:rPr>
        <w:drawing>
          <wp:anchor distT="0" distB="0" distL="114300" distR="114300" simplePos="0" relativeHeight="251667456" behindDoc="0" locked="0" layoutInCell="1" allowOverlap="1" wp14:anchorId="7EC8680E" wp14:editId="278D688A">
            <wp:simplePos x="0" y="0"/>
            <wp:positionH relativeFrom="column">
              <wp:posOffset>0</wp:posOffset>
            </wp:positionH>
            <wp:positionV relativeFrom="paragraph">
              <wp:posOffset>311785</wp:posOffset>
            </wp:positionV>
            <wp:extent cx="3760470" cy="2448560"/>
            <wp:effectExtent l="0" t="0" r="11430" b="8890"/>
            <wp:wrapTopAndBottom/>
            <wp:docPr id="1247933642"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1E641666" w14:textId="77777777" w:rsidR="008F0DB3" w:rsidRPr="00DD1E00" w:rsidRDefault="008F0DB3" w:rsidP="00936142">
      <w:pPr>
        <w:rPr>
          <w:rFonts w:ascii="Arial" w:hAnsi="Arial" w:cs="Arial"/>
          <w:sz w:val="20"/>
          <w:szCs w:val="20"/>
        </w:rPr>
      </w:pPr>
    </w:p>
    <w:p w14:paraId="762B2849" w14:textId="7DF5FF1C" w:rsidR="005A38FF" w:rsidRPr="00DD1E00" w:rsidRDefault="001F3C7B" w:rsidP="00936142">
      <w:pPr>
        <w:rPr>
          <w:rFonts w:ascii="Arial" w:hAnsi="Arial" w:cs="Arial"/>
          <w:sz w:val="20"/>
          <w:szCs w:val="20"/>
        </w:rPr>
      </w:pPr>
      <w:r>
        <w:rPr>
          <w:rFonts w:ascii="Arial" w:hAnsi="Arial" w:cs="Arial"/>
          <w:sz w:val="20"/>
          <w:szCs w:val="20"/>
        </w:rPr>
        <w:t xml:space="preserve">Fig.6- Monthly Fluctuation in </w:t>
      </w:r>
      <w:r w:rsidR="005A38FF" w:rsidRPr="00DD1E00">
        <w:rPr>
          <w:rFonts w:ascii="Arial" w:hAnsi="Arial" w:cs="Arial"/>
          <w:sz w:val="20"/>
          <w:szCs w:val="20"/>
        </w:rPr>
        <w:t>Potassium and Magnesium.</w:t>
      </w:r>
    </w:p>
    <w:p w14:paraId="050EE774" w14:textId="5C3EC83B" w:rsidR="00851574" w:rsidRPr="00DD1E00" w:rsidRDefault="007C0E6F" w:rsidP="00C838DD">
      <w:pPr>
        <w:rPr>
          <w:rFonts w:ascii="Arial" w:hAnsi="Arial" w:cs="Arial"/>
          <w:sz w:val="20"/>
          <w:szCs w:val="20"/>
        </w:rPr>
      </w:pPr>
      <w:r w:rsidRPr="00DD1E00">
        <w:rPr>
          <w:rFonts w:ascii="Arial" w:hAnsi="Arial" w:cs="Arial"/>
          <w:sz w:val="20"/>
          <w:szCs w:val="20"/>
        </w:rPr>
        <w:t xml:space="preserve">Sulphate concentrations exceeding permissible limits can lead to a bitter taste in water, promote corrosion of infrastructure, and cause gastrointestinal issues, including laxative effects such as diarrhea, thereby impacting both water quality and public health. </w:t>
      </w:r>
      <w:r w:rsidR="003F7E28" w:rsidRPr="00DD1E00">
        <w:rPr>
          <w:rFonts w:ascii="Arial" w:hAnsi="Arial" w:cs="Arial"/>
          <w:sz w:val="20"/>
          <w:szCs w:val="20"/>
        </w:rPr>
        <w:t>Sulphate levels in the water range from 20 to 55 mg/L, typically between 25-28 mg/L, with a peak of 55 mg/L in March, and are considered safe according to BIS standards, as they fall well below the desirable limit of 200 mg/L and the permissible limit of 400 mg/L, posing no risk of bitter taste or laxative effects.</w:t>
      </w:r>
      <w:r w:rsidR="00D13230" w:rsidRPr="00DD1E00">
        <w:rPr>
          <w:rFonts w:ascii="Arial" w:hAnsi="Arial" w:cs="Arial"/>
          <w:sz w:val="20"/>
          <w:szCs w:val="20"/>
        </w:rPr>
        <w:t xml:space="preserve">) </w:t>
      </w:r>
      <w:r w:rsidR="00C838DD" w:rsidRPr="00DD1E00">
        <w:rPr>
          <w:rFonts w:ascii="Arial" w:hAnsi="Arial" w:cs="Arial"/>
          <w:sz w:val="20"/>
          <w:szCs w:val="20"/>
        </w:rPr>
        <w:t xml:space="preserve">Carbon dioxide </w:t>
      </w:r>
      <w:r w:rsidR="00676086" w:rsidRPr="00DD1E00">
        <w:rPr>
          <w:rFonts w:ascii="Arial" w:hAnsi="Arial" w:cs="Arial"/>
          <w:sz w:val="20"/>
          <w:szCs w:val="20"/>
        </w:rPr>
        <w:t xml:space="preserve">is </w:t>
      </w:r>
      <w:r w:rsidR="00E405D5" w:rsidRPr="00DD1E00">
        <w:rPr>
          <w:rFonts w:ascii="Arial" w:hAnsi="Arial" w:cs="Arial"/>
          <w:sz w:val="20"/>
          <w:szCs w:val="20"/>
        </w:rPr>
        <w:t>a dissolved gas</w:t>
      </w:r>
      <w:r w:rsidR="00676086" w:rsidRPr="00DD1E00">
        <w:rPr>
          <w:rFonts w:ascii="Arial" w:hAnsi="Arial" w:cs="Arial"/>
          <w:sz w:val="20"/>
          <w:szCs w:val="20"/>
        </w:rPr>
        <w:t xml:space="preserve"> indicates a potential impact on water chemistry, as high levels can lower pH, increase corrosiveness, and alter aquatic chemistry, thereby affecting the overall water quality and ecosystem balance.</w:t>
      </w:r>
      <w:r w:rsidR="000F1820" w:rsidRPr="00DD1E00">
        <w:rPr>
          <w:rFonts w:ascii="Arial" w:hAnsi="Arial" w:cs="Arial"/>
          <w:sz w:val="20"/>
          <w:szCs w:val="20"/>
        </w:rPr>
        <w:t xml:space="preserve"> its </w:t>
      </w:r>
      <w:r w:rsidR="00C838DD" w:rsidRPr="00DD1E00">
        <w:rPr>
          <w:rFonts w:ascii="Arial" w:hAnsi="Arial" w:cs="Arial"/>
          <w:sz w:val="20"/>
          <w:szCs w:val="20"/>
        </w:rPr>
        <w:t>values vary from 10 to 45.</w:t>
      </w:r>
      <w:r w:rsidR="00D13230" w:rsidRPr="00DD1E00">
        <w:rPr>
          <w:rFonts w:ascii="Arial" w:hAnsi="Arial" w:cs="Arial"/>
          <w:sz w:val="20"/>
          <w:szCs w:val="20"/>
        </w:rPr>
        <w:t xml:space="preserve"> mostly range 25 to 35 mg/L,</w:t>
      </w:r>
      <w:r w:rsidR="00716BD3" w:rsidRPr="00DD1E00">
        <w:rPr>
          <w:rFonts w:ascii="Arial" w:hAnsi="Arial" w:cs="Arial"/>
          <w:sz w:val="20"/>
          <w:szCs w:val="20"/>
        </w:rPr>
        <w:t xml:space="preserve"> with higher concentrations observed post-monsoon in November, and are considered acceptable as per BIS/WHO guidelines, which do not specify a f</w:t>
      </w:r>
      <w:r w:rsidR="00FD2AAA" w:rsidRPr="00DD1E00">
        <w:rPr>
          <w:rFonts w:ascii="Arial" w:hAnsi="Arial" w:cs="Arial"/>
          <w:sz w:val="20"/>
          <w:szCs w:val="20"/>
        </w:rPr>
        <w:t>ixed limit for these parameters</w:t>
      </w:r>
      <w:r w:rsidR="00480B16" w:rsidRPr="00DD1E00">
        <w:rPr>
          <w:rFonts w:ascii="Arial" w:hAnsi="Arial" w:cs="Arial"/>
          <w:sz w:val="20"/>
          <w:szCs w:val="20"/>
        </w:rPr>
        <w:t xml:space="preserve"> (</w:t>
      </w:r>
      <w:r w:rsidR="00AE340C" w:rsidRPr="00DD1E00">
        <w:rPr>
          <w:rFonts w:ascii="Arial" w:hAnsi="Arial" w:cs="Arial"/>
          <w:sz w:val="20"/>
          <w:szCs w:val="20"/>
        </w:rPr>
        <w:t>Fig No.7)</w:t>
      </w:r>
      <w:r w:rsidR="00FD2AAA" w:rsidRPr="00DD1E00">
        <w:rPr>
          <w:rFonts w:ascii="Arial" w:hAnsi="Arial" w:cs="Arial"/>
          <w:sz w:val="20"/>
          <w:szCs w:val="20"/>
        </w:rPr>
        <w:t>.</w:t>
      </w:r>
      <w:r w:rsidR="00DD1E00">
        <w:rPr>
          <w:rFonts w:ascii="Arial" w:hAnsi="Arial" w:cs="Arial"/>
          <w:sz w:val="20"/>
          <w:szCs w:val="20"/>
        </w:rPr>
        <w:t xml:space="preserve"> </w:t>
      </w:r>
    </w:p>
    <w:p w14:paraId="78F3957C" w14:textId="4555B91F" w:rsidR="00D13230" w:rsidRPr="00DD1E00" w:rsidRDefault="003277BE" w:rsidP="00C838DD">
      <w:pPr>
        <w:rPr>
          <w:rFonts w:ascii="Arial" w:hAnsi="Arial" w:cs="Arial"/>
          <w:sz w:val="20"/>
          <w:szCs w:val="20"/>
        </w:rPr>
      </w:pPr>
      <w:r w:rsidRPr="00DD1E00">
        <w:rPr>
          <w:rFonts w:ascii="Arial" w:hAnsi="Arial" w:cs="Arial"/>
          <w:noProof/>
          <w:sz w:val="20"/>
          <w:szCs w:val="20"/>
          <w:lang w:bidi="hi-IN"/>
        </w:rPr>
        <w:lastRenderedPageBreak/>
        <w:drawing>
          <wp:anchor distT="0" distB="0" distL="114300" distR="114300" simplePos="0" relativeHeight="251658240" behindDoc="0" locked="0" layoutInCell="1" allowOverlap="1" wp14:anchorId="52BD24AA" wp14:editId="5905CBDE">
            <wp:simplePos x="0" y="0"/>
            <wp:positionH relativeFrom="column">
              <wp:posOffset>0</wp:posOffset>
            </wp:positionH>
            <wp:positionV relativeFrom="paragraph">
              <wp:posOffset>0</wp:posOffset>
            </wp:positionV>
            <wp:extent cx="3919855" cy="2252980"/>
            <wp:effectExtent l="0" t="0" r="4445" b="13970"/>
            <wp:wrapSquare wrapText="bothSides"/>
            <wp:docPr id="688550124"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475D5B52" w14:textId="77777777" w:rsidR="000643FA" w:rsidRPr="00DD1E00" w:rsidRDefault="000643FA" w:rsidP="00C838DD">
      <w:pPr>
        <w:rPr>
          <w:rFonts w:ascii="Arial" w:hAnsi="Arial" w:cs="Arial"/>
          <w:sz w:val="20"/>
          <w:szCs w:val="20"/>
        </w:rPr>
      </w:pPr>
    </w:p>
    <w:p w14:paraId="06700D9F" w14:textId="77777777" w:rsidR="000643FA" w:rsidRPr="00DD1E00" w:rsidRDefault="000643FA" w:rsidP="00C838DD">
      <w:pPr>
        <w:rPr>
          <w:rFonts w:ascii="Arial" w:hAnsi="Arial" w:cs="Arial"/>
          <w:sz w:val="20"/>
          <w:szCs w:val="20"/>
        </w:rPr>
      </w:pPr>
    </w:p>
    <w:p w14:paraId="60C9B55F" w14:textId="77777777" w:rsidR="000643FA" w:rsidRPr="00DD1E00" w:rsidRDefault="000643FA" w:rsidP="00C838DD">
      <w:pPr>
        <w:rPr>
          <w:rFonts w:ascii="Arial" w:hAnsi="Arial" w:cs="Arial"/>
          <w:sz w:val="20"/>
          <w:szCs w:val="20"/>
        </w:rPr>
      </w:pPr>
    </w:p>
    <w:p w14:paraId="6D5AC7AF" w14:textId="77777777" w:rsidR="000643FA" w:rsidRPr="00DD1E00" w:rsidRDefault="000643FA" w:rsidP="00C838DD">
      <w:pPr>
        <w:rPr>
          <w:rFonts w:ascii="Arial" w:hAnsi="Arial" w:cs="Arial"/>
          <w:sz w:val="20"/>
          <w:szCs w:val="20"/>
        </w:rPr>
      </w:pPr>
    </w:p>
    <w:p w14:paraId="22B8D325" w14:textId="77777777" w:rsidR="000643FA" w:rsidRPr="00DD1E00" w:rsidRDefault="000643FA" w:rsidP="00C838DD">
      <w:pPr>
        <w:rPr>
          <w:rFonts w:ascii="Arial" w:hAnsi="Arial" w:cs="Arial"/>
          <w:sz w:val="20"/>
          <w:szCs w:val="20"/>
        </w:rPr>
      </w:pPr>
    </w:p>
    <w:p w14:paraId="4E86A4E4" w14:textId="77777777" w:rsidR="000643FA" w:rsidRPr="00DD1E00" w:rsidRDefault="000643FA" w:rsidP="00C838DD">
      <w:pPr>
        <w:rPr>
          <w:rFonts w:ascii="Arial" w:hAnsi="Arial" w:cs="Arial"/>
          <w:sz w:val="20"/>
          <w:szCs w:val="20"/>
        </w:rPr>
      </w:pPr>
    </w:p>
    <w:p w14:paraId="5FAF1486" w14:textId="77777777" w:rsidR="000643FA" w:rsidRPr="00DD1E00" w:rsidRDefault="000643FA" w:rsidP="00C838DD">
      <w:pPr>
        <w:rPr>
          <w:rFonts w:ascii="Arial" w:hAnsi="Arial" w:cs="Arial"/>
          <w:noProof/>
          <w:sz w:val="20"/>
          <w:szCs w:val="20"/>
        </w:rPr>
      </w:pPr>
    </w:p>
    <w:p w14:paraId="3BB9BE3D" w14:textId="1CE7CA1E" w:rsidR="00851574" w:rsidRPr="00DD1E00" w:rsidRDefault="000C6BDC">
      <w:pPr>
        <w:rPr>
          <w:rFonts w:ascii="Arial" w:hAnsi="Arial" w:cs="Arial"/>
          <w:noProof/>
          <w:sz w:val="20"/>
          <w:szCs w:val="20"/>
        </w:rPr>
      </w:pPr>
      <w:r>
        <w:rPr>
          <w:rFonts w:ascii="Arial" w:hAnsi="Arial" w:cs="Arial"/>
          <w:noProof/>
          <w:sz w:val="20"/>
          <w:szCs w:val="20"/>
        </w:rPr>
        <w:t xml:space="preserve">Fig 7 </w:t>
      </w:r>
      <w:r w:rsidR="001F3C7B">
        <w:rPr>
          <w:rFonts w:ascii="Arial" w:hAnsi="Arial" w:cs="Arial"/>
          <w:noProof/>
          <w:sz w:val="20"/>
          <w:szCs w:val="20"/>
        </w:rPr>
        <w:t xml:space="preserve"> -Monthly </w:t>
      </w:r>
      <w:r w:rsidR="004E2F16">
        <w:rPr>
          <w:rFonts w:ascii="Arial" w:hAnsi="Arial" w:cs="Arial"/>
          <w:noProof/>
          <w:sz w:val="20"/>
          <w:szCs w:val="20"/>
        </w:rPr>
        <w:t>Fluctuation</w:t>
      </w:r>
      <w:r w:rsidR="001F3C7B">
        <w:rPr>
          <w:rFonts w:ascii="Arial" w:hAnsi="Arial" w:cs="Arial"/>
          <w:noProof/>
          <w:sz w:val="20"/>
          <w:szCs w:val="20"/>
        </w:rPr>
        <w:t xml:space="preserve"> in </w:t>
      </w:r>
      <w:r w:rsidR="003277BE" w:rsidRPr="00DD1E00">
        <w:rPr>
          <w:rFonts w:ascii="Arial" w:hAnsi="Arial" w:cs="Arial"/>
          <w:noProof/>
          <w:sz w:val="20"/>
          <w:szCs w:val="20"/>
        </w:rPr>
        <w:t xml:space="preserve">Sulphate and </w:t>
      </w:r>
      <w:r w:rsidR="004E2F16">
        <w:rPr>
          <w:rFonts w:ascii="Arial" w:hAnsi="Arial" w:cs="Arial"/>
          <w:noProof/>
          <w:sz w:val="20"/>
          <w:szCs w:val="20"/>
        </w:rPr>
        <w:t>Carbon dioxide</w:t>
      </w:r>
    </w:p>
    <w:p w14:paraId="27711FEA" w14:textId="001E8035" w:rsidR="00BA698F" w:rsidRPr="00DD1E00" w:rsidRDefault="00BA698F" w:rsidP="00E7644C">
      <w:pPr>
        <w:spacing w:after="160" w:line="259" w:lineRule="auto"/>
        <w:rPr>
          <w:rFonts w:ascii="Arial" w:hAnsi="Arial" w:cs="Arial"/>
          <w:noProof/>
          <w:sz w:val="20"/>
          <w:szCs w:val="20"/>
        </w:rPr>
      </w:pPr>
      <w:r w:rsidRPr="00DD1E00">
        <w:rPr>
          <w:rFonts w:ascii="Arial" w:hAnsi="Arial" w:cs="Arial"/>
          <w:sz w:val="20"/>
          <w:szCs w:val="20"/>
        </w:rPr>
        <w:t>Microbial contamination is one of the most critical indicators of drinking water safety. The presence of bacteria (especially coliforms), yeasts, and other microorganisms directly threatens public health. Unlike chemical contaminants that usually cause long-term effects, microbes can cause immediate illnesses such as diarrhea, cholera, dysentery, typhoid, and gastrointestinal infections. WHO recommends zero coliform bacteria in 100 ml of drinking water, as even a small presence can be unsafe for</w:t>
      </w:r>
      <w:r w:rsidR="00E57DCD" w:rsidRPr="00DD1E00">
        <w:rPr>
          <w:rFonts w:ascii="Arial" w:hAnsi="Arial" w:cs="Arial"/>
          <w:sz w:val="20"/>
          <w:szCs w:val="20"/>
        </w:rPr>
        <w:t xml:space="preserve"> mankind</w:t>
      </w:r>
      <w:r w:rsidRPr="00DD1E00">
        <w:rPr>
          <w:rFonts w:ascii="Arial" w:hAnsi="Arial" w:cs="Arial"/>
          <w:sz w:val="20"/>
          <w:szCs w:val="20"/>
        </w:rPr>
        <w:t>.</w:t>
      </w:r>
    </w:p>
    <w:p w14:paraId="0C6D49DF" w14:textId="20130367" w:rsidR="00C515B9" w:rsidRPr="00DD1E00" w:rsidRDefault="00E7644C">
      <w:pPr>
        <w:rPr>
          <w:rFonts w:ascii="Arial" w:hAnsi="Arial" w:cs="Arial"/>
          <w:noProof/>
          <w:sz w:val="20"/>
          <w:szCs w:val="20"/>
        </w:rPr>
      </w:pPr>
      <w:r>
        <w:rPr>
          <w:rFonts w:ascii="Arial" w:hAnsi="Arial" w:cs="Arial"/>
          <w:sz w:val="20"/>
          <w:szCs w:val="20"/>
        </w:rPr>
        <w:t>Table 2: Microbial</w:t>
      </w:r>
      <w:r w:rsidR="0021700B" w:rsidRPr="00DD1E00">
        <w:rPr>
          <w:rFonts w:ascii="Arial" w:hAnsi="Arial" w:cs="Arial"/>
          <w:sz w:val="20"/>
          <w:szCs w:val="20"/>
        </w:rPr>
        <w:t xml:space="preserve"> contamination level in water samples.</w:t>
      </w:r>
    </w:p>
    <w:tbl>
      <w:tblPr>
        <w:tblStyle w:val="TableGrid"/>
        <w:tblpPr w:leftFromText="180" w:rightFromText="180" w:vertAnchor="text" w:tblpY="1"/>
        <w:tblOverlap w:val="never"/>
        <w:tblW w:w="0" w:type="auto"/>
        <w:tblLook w:val="04A0" w:firstRow="1" w:lastRow="0" w:firstColumn="1" w:lastColumn="0" w:noHBand="0" w:noVBand="1"/>
      </w:tblPr>
      <w:tblGrid>
        <w:gridCol w:w="2239"/>
        <w:gridCol w:w="2346"/>
        <w:gridCol w:w="2610"/>
        <w:gridCol w:w="1890"/>
      </w:tblGrid>
      <w:tr w:rsidR="00C2747B" w:rsidRPr="00DD1E00" w14:paraId="5627EC8A" w14:textId="77777777" w:rsidTr="000A683D">
        <w:trPr>
          <w:trHeight w:val="805"/>
        </w:trPr>
        <w:tc>
          <w:tcPr>
            <w:tcW w:w="2239" w:type="dxa"/>
            <w:hideMark/>
          </w:tcPr>
          <w:p w14:paraId="7BC1D494"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Month (2024-2025)</w:t>
            </w:r>
          </w:p>
        </w:tc>
        <w:tc>
          <w:tcPr>
            <w:tcW w:w="2346" w:type="dxa"/>
            <w:hideMark/>
          </w:tcPr>
          <w:p w14:paraId="56053497" w14:textId="258F4AD5"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Tot</w:t>
            </w:r>
            <w:r w:rsidR="007444E5" w:rsidRPr="00DD1E00">
              <w:rPr>
                <w:rFonts w:ascii="Arial" w:hAnsi="Arial" w:cs="Arial"/>
                <w:sz w:val="20"/>
                <w:szCs w:val="20"/>
                <w:lang w:val="en-IN"/>
              </w:rPr>
              <w:t>a</w:t>
            </w:r>
            <w:r w:rsidRPr="00DD1E00">
              <w:rPr>
                <w:rFonts w:ascii="Arial" w:hAnsi="Arial" w:cs="Arial"/>
                <w:sz w:val="20"/>
                <w:szCs w:val="20"/>
                <w:lang w:val="en-IN"/>
              </w:rPr>
              <w:t>l yeast count/ml</w:t>
            </w:r>
          </w:p>
        </w:tc>
        <w:tc>
          <w:tcPr>
            <w:tcW w:w="2610" w:type="dxa"/>
            <w:hideMark/>
          </w:tcPr>
          <w:p w14:paraId="20BF643E" w14:textId="3FE099BF"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 xml:space="preserve">Total </w:t>
            </w:r>
            <w:r w:rsidR="00322C0A" w:rsidRPr="00DD1E00">
              <w:rPr>
                <w:rFonts w:ascii="Arial" w:hAnsi="Arial" w:cs="Arial"/>
                <w:sz w:val="20"/>
                <w:szCs w:val="20"/>
                <w:lang w:val="en-IN"/>
              </w:rPr>
              <w:t>B</w:t>
            </w:r>
            <w:r w:rsidRPr="00DD1E00">
              <w:rPr>
                <w:rFonts w:ascii="Arial" w:hAnsi="Arial" w:cs="Arial"/>
                <w:sz w:val="20"/>
                <w:szCs w:val="20"/>
                <w:lang w:val="en-IN"/>
              </w:rPr>
              <w:t>acterial count /ml</w:t>
            </w:r>
          </w:p>
        </w:tc>
        <w:tc>
          <w:tcPr>
            <w:tcW w:w="1890" w:type="dxa"/>
            <w:hideMark/>
          </w:tcPr>
          <w:p w14:paraId="69755AC3"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Time</w:t>
            </w:r>
          </w:p>
        </w:tc>
      </w:tr>
      <w:tr w:rsidR="00C2747B" w:rsidRPr="00DD1E00" w14:paraId="2563DC52" w14:textId="77777777" w:rsidTr="000A683D">
        <w:trPr>
          <w:trHeight w:val="482"/>
        </w:trPr>
        <w:tc>
          <w:tcPr>
            <w:tcW w:w="2239" w:type="dxa"/>
            <w:hideMark/>
          </w:tcPr>
          <w:p w14:paraId="54AA5415"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May2024</w:t>
            </w:r>
          </w:p>
        </w:tc>
        <w:tc>
          <w:tcPr>
            <w:tcW w:w="2346" w:type="dxa"/>
            <w:hideMark/>
          </w:tcPr>
          <w:p w14:paraId="25687D53" w14:textId="32BE05B7" w:rsidR="00C2747B" w:rsidRPr="00DD1E00" w:rsidRDefault="00C838DD"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610" w:type="dxa"/>
            <w:hideMark/>
          </w:tcPr>
          <w:p w14:paraId="349CAEDF" w14:textId="68E85AA8" w:rsidR="00C2747B" w:rsidRPr="00DD1E00" w:rsidRDefault="00C838DD"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1890" w:type="dxa"/>
            <w:hideMark/>
          </w:tcPr>
          <w:p w14:paraId="79ED730E" w14:textId="2D7E009F" w:rsidR="002A283D"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w:t>
            </w:r>
            <w:r w:rsidR="00D734CE" w:rsidRPr="00DD1E00">
              <w:rPr>
                <w:rFonts w:ascii="Arial" w:hAnsi="Arial" w:cs="Arial"/>
                <w:sz w:val="20"/>
                <w:szCs w:val="20"/>
                <w:lang w:val="en-IN"/>
              </w:rPr>
              <w:t>rs</w:t>
            </w:r>
          </w:p>
        </w:tc>
      </w:tr>
      <w:tr w:rsidR="00C2747B" w:rsidRPr="00DD1E00" w14:paraId="161B8FC5" w14:textId="77777777" w:rsidTr="000A683D">
        <w:trPr>
          <w:trHeight w:val="496"/>
        </w:trPr>
        <w:tc>
          <w:tcPr>
            <w:tcW w:w="2239" w:type="dxa"/>
            <w:hideMark/>
          </w:tcPr>
          <w:p w14:paraId="0307EF6A"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June2024</w:t>
            </w:r>
          </w:p>
        </w:tc>
        <w:tc>
          <w:tcPr>
            <w:tcW w:w="2346" w:type="dxa"/>
            <w:hideMark/>
          </w:tcPr>
          <w:p w14:paraId="62785CC5"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610" w:type="dxa"/>
            <w:hideMark/>
          </w:tcPr>
          <w:p w14:paraId="3E8BD24D"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1890" w:type="dxa"/>
            <w:hideMark/>
          </w:tcPr>
          <w:p w14:paraId="150FB190"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0EB18949" w14:textId="77777777" w:rsidTr="000A683D">
        <w:trPr>
          <w:trHeight w:val="496"/>
        </w:trPr>
        <w:tc>
          <w:tcPr>
            <w:tcW w:w="2239" w:type="dxa"/>
            <w:hideMark/>
          </w:tcPr>
          <w:p w14:paraId="3A6743B8"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July2024</w:t>
            </w:r>
          </w:p>
        </w:tc>
        <w:tc>
          <w:tcPr>
            <w:tcW w:w="2346" w:type="dxa"/>
            <w:hideMark/>
          </w:tcPr>
          <w:p w14:paraId="269DCACE"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610" w:type="dxa"/>
            <w:hideMark/>
          </w:tcPr>
          <w:p w14:paraId="0E79F5F7" w14:textId="77777777" w:rsidR="00C2747B" w:rsidRPr="00DD1E00" w:rsidRDefault="00797819" w:rsidP="006B366E">
            <w:pPr>
              <w:spacing w:after="200" w:line="276" w:lineRule="auto"/>
              <w:rPr>
                <w:rFonts w:ascii="Arial" w:hAnsi="Arial" w:cs="Arial"/>
                <w:b/>
                <w:bCs/>
                <w:sz w:val="20"/>
                <w:szCs w:val="20"/>
                <w:lang w:val="en-IN"/>
              </w:rPr>
            </w:pPr>
            <w:r w:rsidRPr="00DD1E00">
              <w:rPr>
                <w:rFonts w:ascii="Arial" w:hAnsi="Arial" w:cs="Arial"/>
                <w:b/>
                <w:bCs/>
                <w:sz w:val="20"/>
                <w:szCs w:val="20"/>
                <w:lang w:val="en-IN"/>
              </w:rPr>
              <w:t xml:space="preserve"> 10</w:t>
            </w:r>
            <w:r w:rsidRPr="00DD1E00">
              <w:rPr>
                <w:rFonts w:ascii="Arial" w:hAnsi="Arial" w:cs="Arial"/>
                <w:b/>
                <w:bCs/>
                <w:sz w:val="20"/>
                <w:szCs w:val="20"/>
                <w:vertAlign w:val="superscript"/>
                <w:lang w:val="en-IN"/>
              </w:rPr>
              <w:t>2</w:t>
            </w:r>
          </w:p>
        </w:tc>
        <w:tc>
          <w:tcPr>
            <w:tcW w:w="1890" w:type="dxa"/>
            <w:hideMark/>
          </w:tcPr>
          <w:p w14:paraId="77DDAFE3"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1E4F9BA6" w14:textId="77777777" w:rsidTr="000A683D">
        <w:trPr>
          <w:trHeight w:val="482"/>
        </w:trPr>
        <w:tc>
          <w:tcPr>
            <w:tcW w:w="2239" w:type="dxa"/>
            <w:hideMark/>
          </w:tcPr>
          <w:p w14:paraId="4BEC65B3"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August2024</w:t>
            </w:r>
          </w:p>
        </w:tc>
        <w:tc>
          <w:tcPr>
            <w:tcW w:w="2346" w:type="dxa"/>
            <w:hideMark/>
          </w:tcPr>
          <w:p w14:paraId="47065600"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2610" w:type="dxa"/>
            <w:hideMark/>
          </w:tcPr>
          <w:p w14:paraId="591E0CE6" w14:textId="77777777" w:rsidR="00C2747B" w:rsidRPr="00DD1E00" w:rsidRDefault="00797819" w:rsidP="006B366E">
            <w:pPr>
              <w:spacing w:after="200" w:line="276" w:lineRule="auto"/>
              <w:rPr>
                <w:rFonts w:ascii="Arial" w:hAnsi="Arial" w:cs="Arial"/>
                <w:b/>
                <w:bCs/>
                <w:sz w:val="20"/>
                <w:szCs w:val="20"/>
                <w:vertAlign w:val="superscript"/>
                <w:lang w:val="en-IN"/>
              </w:rPr>
            </w:pPr>
            <w:r w:rsidRPr="00DD1E00">
              <w:rPr>
                <w:rFonts w:ascii="Arial" w:hAnsi="Arial" w:cs="Arial"/>
                <w:b/>
                <w:bCs/>
                <w:sz w:val="20"/>
                <w:szCs w:val="20"/>
                <w:lang w:val="en-IN"/>
              </w:rPr>
              <w:t>10</w:t>
            </w:r>
            <w:r w:rsidRPr="00DD1E00">
              <w:rPr>
                <w:rFonts w:ascii="Arial" w:hAnsi="Arial" w:cs="Arial"/>
                <w:b/>
                <w:bCs/>
                <w:sz w:val="20"/>
                <w:szCs w:val="20"/>
                <w:vertAlign w:val="superscript"/>
                <w:lang w:val="en-IN"/>
              </w:rPr>
              <w:t>3</w:t>
            </w:r>
          </w:p>
        </w:tc>
        <w:tc>
          <w:tcPr>
            <w:tcW w:w="1890" w:type="dxa"/>
            <w:hideMark/>
          </w:tcPr>
          <w:p w14:paraId="70E1B7A8"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04F3B3A4" w14:textId="77777777" w:rsidTr="000A683D">
        <w:trPr>
          <w:trHeight w:val="496"/>
        </w:trPr>
        <w:tc>
          <w:tcPr>
            <w:tcW w:w="2239" w:type="dxa"/>
            <w:hideMark/>
          </w:tcPr>
          <w:p w14:paraId="6F12ED45"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September2024</w:t>
            </w:r>
          </w:p>
        </w:tc>
        <w:tc>
          <w:tcPr>
            <w:tcW w:w="2346" w:type="dxa"/>
            <w:hideMark/>
          </w:tcPr>
          <w:p w14:paraId="44255239"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610" w:type="dxa"/>
            <w:hideMark/>
          </w:tcPr>
          <w:p w14:paraId="66D02C99" w14:textId="0713CFD7" w:rsidR="00C2747B" w:rsidRPr="00DD1E00" w:rsidRDefault="0037166B" w:rsidP="006B366E">
            <w:pPr>
              <w:spacing w:after="200" w:line="276" w:lineRule="auto"/>
              <w:rPr>
                <w:rFonts w:ascii="Arial" w:hAnsi="Arial" w:cs="Arial"/>
                <w:sz w:val="20"/>
                <w:szCs w:val="20"/>
                <w:vertAlign w:val="superscript"/>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1890" w:type="dxa"/>
            <w:hideMark/>
          </w:tcPr>
          <w:p w14:paraId="5B4BC5E4"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19C9A2E4" w14:textId="77777777" w:rsidTr="000A683D">
        <w:trPr>
          <w:trHeight w:val="496"/>
        </w:trPr>
        <w:tc>
          <w:tcPr>
            <w:tcW w:w="2239" w:type="dxa"/>
            <w:hideMark/>
          </w:tcPr>
          <w:p w14:paraId="143F5F11"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October2024</w:t>
            </w:r>
          </w:p>
        </w:tc>
        <w:tc>
          <w:tcPr>
            <w:tcW w:w="2346" w:type="dxa"/>
            <w:hideMark/>
          </w:tcPr>
          <w:p w14:paraId="5E2EC366"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610" w:type="dxa"/>
            <w:hideMark/>
          </w:tcPr>
          <w:p w14:paraId="430B110C" w14:textId="04B3F6E8" w:rsidR="00C2747B" w:rsidRPr="00DD1E00" w:rsidRDefault="0037166B"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1890" w:type="dxa"/>
            <w:hideMark/>
          </w:tcPr>
          <w:p w14:paraId="1A99CFE7"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7662F14C" w14:textId="77777777" w:rsidTr="000A683D">
        <w:trPr>
          <w:trHeight w:val="482"/>
        </w:trPr>
        <w:tc>
          <w:tcPr>
            <w:tcW w:w="2239" w:type="dxa"/>
            <w:hideMark/>
          </w:tcPr>
          <w:p w14:paraId="677AD3BA"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Novmber2024</w:t>
            </w:r>
          </w:p>
        </w:tc>
        <w:tc>
          <w:tcPr>
            <w:tcW w:w="2346" w:type="dxa"/>
            <w:hideMark/>
          </w:tcPr>
          <w:p w14:paraId="6E196AAC"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2610" w:type="dxa"/>
            <w:hideMark/>
          </w:tcPr>
          <w:p w14:paraId="601E3C19"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1890" w:type="dxa"/>
            <w:hideMark/>
          </w:tcPr>
          <w:p w14:paraId="02F46F6A"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4A29E72A" w14:textId="77777777" w:rsidTr="000A683D">
        <w:trPr>
          <w:trHeight w:val="496"/>
        </w:trPr>
        <w:tc>
          <w:tcPr>
            <w:tcW w:w="2239" w:type="dxa"/>
            <w:hideMark/>
          </w:tcPr>
          <w:p w14:paraId="4CCFEEDE"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December2024</w:t>
            </w:r>
          </w:p>
        </w:tc>
        <w:tc>
          <w:tcPr>
            <w:tcW w:w="2346" w:type="dxa"/>
            <w:hideMark/>
          </w:tcPr>
          <w:p w14:paraId="600B8799"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2610" w:type="dxa"/>
            <w:hideMark/>
          </w:tcPr>
          <w:p w14:paraId="355DE754"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1890" w:type="dxa"/>
            <w:hideMark/>
          </w:tcPr>
          <w:p w14:paraId="6E8046D2"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7EA739CF" w14:textId="77777777" w:rsidTr="000A683D">
        <w:trPr>
          <w:trHeight w:val="496"/>
        </w:trPr>
        <w:tc>
          <w:tcPr>
            <w:tcW w:w="2239" w:type="dxa"/>
            <w:hideMark/>
          </w:tcPr>
          <w:p w14:paraId="44962048"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January2025</w:t>
            </w:r>
          </w:p>
        </w:tc>
        <w:tc>
          <w:tcPr>
            <w:tcW w:w="2346" w:type="dxa"/>
            <w:hideMark/>
          </w:tcPr>
          <w:p w14:paraId="4E6144D2"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2610" w:type="dxa"/>
            <w:hideMark/>
          </w:tcPr>
          <w:p w14:paraId="0499FDE4"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1890" w:type="dxa"/>
            <w:hideMark/>
          </w:tcPr>
          <w:p w14:paraId="22ADBFE3"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4983D955" w14:textId="77777777" w:rsidTr="000A683D">
        <w:trPr>
          <w:trHeight w:val="482"/>
        </w:trPr>
        <w:tc>
          <w:tcPr>
            <w:tcW w:w="2239" w:type="dxa"/>
            <w:hideMark/>
          </w:tcPr>
          <w:p w14:paraId="7061ABF0"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February2025</w:t>
            </w:r>
          </w:p>
        </w:tc>
        <w:tc>
          <w:tcPr>
            <w:tcW w:w="2346" w:type="dxa"/>
            <w:hideMark/>
          </w:tcPr>
          <w:p w14:paraId="6E0E0C0C"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610" w:type="dxa"/>
            <w:hideMark/>
          </w:tcPr>
          <w:p w14:paraId="2BF11DEC"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 xml:space="preserve"> &lt;10</w:t>
            </w:r>
            <w:r w:rsidRPr="00DD1E00">
              <w:rPr>
                <w:rFonts w:ascii="Arial" w:hAnsi="Arial" w:cs="Arial"/>
                <w:sz w:val="20"/>
                <w:szCs w:val="20"/>
                <w:vertAlign w:val="superscript"/>
                <w:lang w:val="en-IN"/>
              </w:rPr>
              <w:t>2</w:t>
            </w:r>
          </w:p>
        </w:tc>
        <w:tc>
          <w:tcPr>
            <w:tcW w:w="1890" w:type="dxa"/>
            <w:hideMark/>
          </w:tcPr>
          <w:p w14:paraId="5C15C06C"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109FC64C" w14:textId="77777777" w:rsidTr="000A683D">
        <w:trPr>
          <w:trHeight w:val="496"/>
        </w:trPr>
        <w:tc>
          <w:tcPr>
            <w:tcW w:w="2239" w:type="dxa"/>
            <w:hideMark/>
          </w:tcPr>
          <w:p w14:paraId="62357382"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March2025</w:t>
            </w:r>
          </w:p>
        </w:tc>
        <w:tc>
          <w:tcPr>
            <w:tcW w:w="2346" w:type="dxa"/>
            <w:hideMark/>
          </w:tcPr>
          <w:p w14:paraId="379D3611"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2610" w:type="dxa"/>
            <w:hideMark/>
          </w:tcPr>
          <w:p w14:paraId="252FFCF9"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1890" w:type="dxa"/>
            <w:hideMark/>
          </w:tcPr>
          <w:p w14:paraId="3D08AB48"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4E5C3EF6" w14:textId="77777777" w:rsidTr="000A683D">
        <w:trPr>
          <w:trHeight w:val="482"/>
        </w:trPr>
        <w:tc>
          <w:tcPr>
            <w:tcW w:w="2239" w:type="dxa"/>
            <w:hideMark/>
          </w:tcPr>
          <w:p w14:paraId="5C86FC9E"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April2025</w:t>
            </w:r>
          </w:p>
        </w:tc>
        <w:tc>
          <w:tcPr>
            <w:tcW w:w="2346" w:type="dxa"/>
            <w:hideMark/>
          </w:tcPr>
          <w:p w14:paraId="41961D47" w14:textId="77777777" w:rsidR="00C2747B" w:rsidRPr="00DD1E00" w:rsidRDefault="00797819" w:rsidP="00D16DD4">
            <w:pPr>
              <w:spacing w:after="200" w:line="276" w:lineRule="auto"/>
              <w:jc w:val="both"/>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610" w:type="dxa"/>
            <w:hideMark/>
          </w:tcPr>
          <w:p w14:paraId="36EE0B81"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1890" w:type="dxa"/>
            <w:hideMark/>
          </w:tcPr>
          <w:p w14:paraId="653C1E1E"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bl>
    <w:p w14:paraId="642C5A1D" w14:textId="42FC530E" w:rsidR="000A5E90" w:rsidRPr="00DD1E00" w:rsidRDefault="006F2CAE">
      <w:pPr>
        <w:rPr>
          <w:rFonts w:ascii="Arial" w:hAnsi="Arial" w:cs="Arial"/>
          <w:sz w:val="20"/>
          <w:szCs w:val="20"/>
        </w:rPr>
      </w:pPr>
      <w:r w:rsidRPr="00DD1E00">
        <w:rPr>
          <w:rFonts w:ascii="Arial" w:hAnsi="Arial" w:cs="Arial"/>
          <w:sz w:val="20"/>
          <w:szCs w:val="20"/>
        </w:rPr>
        <w:lastRenderedPageBreak/>
        <w:t>M</w:t>
      </w:r>
      <w:r w:rsidR="001932E5" w:rsidRPr="00DD1E00">
        <w:rPr>
          <w:rFonts w:ascii="Arial" w:hAnsi="Arial" w:cs="Arial"/>
          <w:sz w:val="20"/>
          <w:szCs w:val="20"/>
        </w:rPr>
        <w:t>icrobial contamination levels in water samples over a year, from</w:t>
      </w:r>
      <w:r w:rsidR="007366B4" w:rsidRPr="00DD1E00">
        <w:rPr>
          <w:rFonts w:ascii="Arial" w:hAnsi="Arial" w:cs="Arial"/>
          <w:sz w:val="20"/>
          <w:szCs w:val="20"/>
        </w:rPr>
        <w:t xml:space="preserve"> </w:t>
      </w:r>
      <w:r w:rsidR="0083554E" w:rsidRPr="00DD1E00">
        <w:rPr>
          <w:rFonts w:ascii="Arial" w:hAnsi="Arial" w:cs="Arial"/>
          <w:sz w:val="20"/>
          <w:szCs w:val="20"/>
        </w:rPr>
        <w:t>(</w:t>
      </w:r>
      <w:r w:rsidR="001932E5" w:rsidRPr="00DD1E00">
        <w:rPr>
          <w:rFonts w:ascii="Arial" w:hAnsi="Arial" w:cs="Arial"/>
          <w:sz w:val="20"/>
          <w:szCs w:val="20"/>
        </w:rPr>
        <w:t>May2024 to April 2025</w:t>
      </w:r>
      <w:r w:rsidR="0083554E" w:rsidRPr="00DD1E00">
        <w:rPr>
          <w:rFonts w:ascii="Arial" w:hAnsi="Arial" w:cs="Arial"/>
          <w:sz w:val="20"/>
          <w:szCs w:val="20"/>
        </w:rPr>
        <w:t>)</w:t>
      </w:r>
      <w:r w:rsidR="00C017C5" w:rsidRPr="00DD1E00">
        <w:rPr>
          <w:rFonts w:ascii="Arial" w:hAnsi="Arial" w:cs="Arial"/>
          <w:sz w:val="20"/>
          <w:szCs w:val="20"/>
        </w:rPr>
        <w:t xml:space="preserve"> showed in terms of </w:t>
      </w:r>
      <w:r w:rsidR="000C3A48" w:rsidRPr="00DD1E00">
        <w:rPr>
          <w:rFonts w:ascii="Arial" w:hAnsi="Arial" w:cs="Arial"/>
          <w:sz w:val="20"/>
          <w:szCs w:val="20"/>
        </w:rPr>
        <w:t>t</w:t>
      </w:r>
      <w:r w:rsidR="00C017C5" w:rsidRPr="00DD1E00">
        <w:rPr>
          <w:rFonts w:ascii="Arial" w:hAnsi="Arial" w:cs="Arial"/>
          <w:sz w:val="20"/>
          <w:szCs w:val="20"/>
        </w:rPr>
        <w:t xml:space="preserve">otal yeast count and </w:t>
      </w:r>
      <w:r w:rsidR="000C3A48" w:rsidRPr="00DD1E00">
        <w:rPr>
          <w:rFonts w:ascii="Arial" w:hAnsi="Arial" w:cs="Arial"/>
          <w:sz w:val="20"/>
          <w:szCs w:val="20"/>
        </w:rPr>
        <w:t>t</w:t>
      </w:r>
      <w:r w:rsidR="00C017C5" w:rsidRPr="00DD1E00">
        <w:rPr>
          <w:rFonts w:ascii="Arial" w:hAnsi="Arial" w:cs="Arial"/>
          <w:sz w:val="20"/>
          <w:szCs w:val="20"/>
        </w:rPr>
        <w:t>otal Bacterial count</w:t>
      </w:r>
      <w:r w:rsidR="005E532D" w:rsidRPr="00DD1E00">
        <w:rPr>
          <w:rFonts w:ascii="Arial" w:hAnsi="Arial" w:cs="Arial"/>
          <w:sz w:val="20"/>
          <w:szCs w:val="20"/>
        </w:rPr>
        <w:t>.</w:t>
      </w:r>
      <w:r w:rsidR="001932E5" w:rsidRPr="00DD1E00">
        <w:rPr>
          <w:rFonts w:ascii="Arial" w:hAnsi="Arial" w:cs="Arial"/>
          <w:sz w:val="20"/>
          <w:szCs w:val="20"/>
        </w:rPr>
        <w:t xml:space="preserve"> The total yeast count per milliliter remains consistently below </w:t>
      </w:r>
      <w:r w:rsidR="004C5D5E" w:rsidRPr="00DD1E00">
        <w:rPr>
          <w:rFonts w:ascii="Arial" w:hAnsi="Arial" w:cs="Arial"/>
          <w:sz w:val="20"/>
          <w:szCs w:val="20"/>
        </w:rPr>
        <w:t>&lt;</w:t>
      </w:r>
      <w:r w:rsidR="001932E5" w:rsidRPr="00DD1E00">
        <w:rPr>
          <w:rFonts w:ascii="Arial" w:hAnsi="Arial" w:cs="Arial"/>
          <w:sz w:val="20"/>
          <w:szCs w:val="20"/>
        </w:rPr>
        <w:t>10</w:t>
      </w:r>
      <w:r w:rsidR="004C5D5E" w:rsidRPr="00DD1E00">
        <w:rPr>
          <w:rFonts w:ascii="Arial" w:hAnsi="Arial" w:cs="Arial"/>
          <w:sz w:val="20"/>
          <w:szCs w:val="20"/>
          <w:vertAlign w:val="superscript"/>
        </w:rPr>
        <w:t>2</w:t>
      </w:r>
      <w:r w:rsidR="001932E5" w:rsidRPr="00DD1E00">
        <w:rPr>
          <w:rFonts w:ascii="Arial" w:hAnsi="Arial" w:cs="Arial"/>
          <w:sz w:val="20"/>
          <w:szCs w:val="20"/>
        </w:rPr>
        <w:t xml:space="preserve"> throughout the year</w:t>
      </w:r>
      <w:r w:rsidR="00AF704A" w:rsidRPr="00DD1E00">
        <w:rPr>
          <w:rFonts w:ascii="Arial" w:hAnsi="Arial" w:cs="Arial"/>
          <w:sz w:val="20"/>
          <w:szCs w:val="20"/>
        </w:rPr>
        <w:t>,</w:t>
      </w:r>
      <w:r w:rsidR="00FD28B2" w:rsidRPr="00DD1E00">
        <w:rPr>
          <w:rFonts w:ascii="Arial" w:hAnsi="Arial" w:cs="Arial"/>
          <w:sz w:val="20"/>
          <w:szCs w:val="20"/>
        </w:rPr>
        <w:t xml:space="preserve"> Yeasts are generally non-pathogenic, but their persistent presence in groundwater may point towards Organic matter contamination, possibly from decomposing waste or industrial sludge. Biofilm development within hand-pump infrastructure due to irregular cleaning.</w:t>
      </w:r>
      <w:r w:rsidR="000A5E90" w:rsidRPr="00DD1E00">
        <w:rPr>
          <w:rFonts w:ascii="Arial" w:hAnsi="Arial" w:cs="Arial"/>
          <w:sz w:val="20"/>
          <w:szCs w:val="20"/>
        </w:rPr>
        <w:t xml:space="preserve"> </w:t>
      </w:r>
      <w:r w:rsidR="00FD28B2" w:rsidRPr="00DD1E00">
        <w:rPr>
          <w:rFonts w:ascii="Arial" w:hAnsi="Arial" w:cs="Arial"/>
          <w:sz w:val="20"/>
          <w:szCs w:val="20"/>
        </w:rPr>
        <w:t>Persistent low-level yeast detection necessitates regular disinfection of water extraction points and infrastructure to prevent biofilm-associated infections.</w:t>
      </w:r>
    </w:p>
    <w:p w14:paraId="5A05575F" w14:textId="41B4081B" w:rsidR="00B30F0A" w:rsidRPr="00DD1E00" w:rsidRDefault="000A5E90" w:rsidP="00B30F0A">
      <w:pPr>
        <w:rPr>
          <w:rFonts w:ascii="Arial" w:hAnsi="Arial" w:cs="Arial"/>
          <w:sz w:val="20"/>
          <w:szCs w:val="20"/>
        </w:rPr>
      </w:pPr>
      <w:r w:rsidRPr="00DD1E00">
        <w:rPr>
          <w:rFonts w:ascii="Arial" w:hAnsi="Arial" w:cs="Arial"/>
          <w:sz w:val="20"/>
          <w:szCs w:val="20"/>
        </w:rPr>
        <w:t xml:space="preserve">Likewise, </w:t>
      </w:r>
      <w:r w:rsidR="001932E5" w:rsidRPr="00DD1E00">
        <w:rPr>
          <w:rFonts w:ascii="Arial" w:hAnsi="Arial" w:cs="Arial"/>
          <w:sz w:val="20"/>
          <w:szCs w:val="20"/>
        </w:rPr>
        <w:t xml:space="preserve">total bacterial count per milliliter is also generally below </w:t>
      </w:r>
      <w:r w:rsidR="001B609D" w:rsidRPr="00DD1E00">
        <w:rPr>
          <w:rFonts w:ascii="Arial" w:hAnsi="Arial" w:cs="Arial"/>
          <w:sz w:val="20"/>
          <w:szCs w:val="20"/>
        </w:rPr>
        <w:t>&lt;</w:t>
      </w:r>
      <w:r w:rsidR="001932E5" w:rsidRPr="00DD1E00">
        <w:rPr>
          <w:rFonts w:ascii="Arial" w:hAnsi="Arial" w:cs="Arial"/>
          <w:sz w:val="20"/>
          <w:szCs w:val="20"/>
        </w:rPr>
        <w:t>10</w:t>
      </w:r>
      <w:r w:rsidR="004C5D5E" w:rsidRPr="00DD1E00">
        <w:rPr>
          <w:rFonts w:ascii="Arial" w:hAnsi="Arial" w:cs="Arial"/>
          <w:sz w:val="20"/>
          <w:szCs w:val="20"/>
          <w:vertAlign w:val="superscript"/>
        </w:rPr>
        <w:t>2</w:t>
      </w:r>
      <w:r w:rsidR="001932E5" w:rsidRPr="00DD1E00">
        <w:rPr>
          <w:rFonts w:ascii="Arial" w:hAnsi="Arial" w:cs="Arial"/>
          <w:sz w:val="20"/>
          <w:szCs w:val="20"/>
        </w:rPr>
        <w:t xml:space="preserve">, except for July and August 2024, where it reaches </w:t>
      </w:r>
      <w:r w:rsidR="00582D49" w:rsidRPr="00DD1E00">
        <w:rPr>
          <w:rFonts w:ascii="Arial" w:hAnsi="Arial" w:cs="Arial"/>
          <w:sz w:val="20"/>
          <w:szCs w:val="20"/>
        </w:rPr>
        <w:t>&lt;</w:t>
      </w:r>
      <w:r w:rsidR="001932E5" w:rsidRPr="00DD1E00">
        <w:rPr>
          <w:rFonts w:ascii="Arial" w:hAnsi="Arial" w:cs="Arial"/>
          <w:sz w:val="20"/>
          <w:szCs w:val="20"/>
        </w:rPr>
        <w:t>10</w:t>
      </w:r>
      <w:r w:rsidR="00582D49" w:rsidRPr="00DD1E00">
        <w:rPr>
          <w:rFonts w:ascii="Arial" w:hAnsi="Arial" w:cs="Arial"/>
          <w:sz w:val="20"/>
          <w:szCs w:val="20"/>
          <w:vertAlign w:val="superscript"/>
        </w:rPr>
        <w:t>2</w:t>
      </w:r>
      <w:r w:rsidR="001932E5" w:rsidRPr="00DD1E00">
        <w:rPr>
          <w:rFonts w:ascii="Arial" w:hAnsi="Arial" w:cs="Arial"/>
          <w:sz w:val="20"/>
          <w:szCs w:val="20"/>
        </w:rPr>
        <w:t xml:space="preserve"> and </w:t>
      </w:r>
      <w:r w:rsidR="001B609D" w:rsidRPr="00DD1E00">
        <w:rPr>
          <w:rFonts w:ascii="Arial" w:hAnsi="Arial" w:cs="Arial"/>
          <w:sz w:val="20"/>
          <w:szCs w:val="20"/>
        </w:rPr>
        <w:t>&lt;</w:t>
      </w:r>
      <w:r w:rsidR="001932E5" w:rsidRPr="00DD1E00">
        <w:rPr>
          <w:rFonts w:ascii="Arial" w:hAnsi="Arial" w:cs="Arial"/>
          <w:sz w:val="20"/>
          <w:szCs w:val="20"/>
        </w:rPr>
        <w:t>10</w:t>
      </w:r>
      <w:r w:rsidR="001B609D" w:rsidRPr="00DD1E00">
        <w:rPr>
          <w:rFonts w:ascii="Arial" w:hAnsi="Arial" w:cs="Arial"/>
          <w:sz w:val="20"/>
          <w:szCs w:val="20"/>
          <w:vertAlign w:val="superscript"/>
        </w:rPr>
        <w:t>3</w:t>
      </w:r>
      <w:r w:rsidR="001932E5" w:rsidRPr="00DD1E00">
        <w:rPr>
          <w:rFonts w:ascii="Arial" w:hAnsi="Arial" w:cs="Arial"/>
          <w:sz w:val="20"/>
          <w:szCs w:val="20"/>
        </w:rPr>
        <w:t>, respectively</w:t>
      </w:r>
      <w:r w:rsidR="00F42132" w:rsidRPr="00DD1E00">
        <w:rPr>
          <w:rFonts w:ascii="Arial" w:hAnsi="Arial" w:cs="Arial"/>
          <w:sz w:val="20"/>
          <w:szCs w:val="20"/>
        </w:rPr>
        <w:t xml:space="preserve"> </w:t>
      </w:r>
      <w:r w:rsidR="005E2F57" w:rsidRPr="00DD1E00">
        <w:rPr>
          <w:rFonts w:ascii="Arial" w:hAnsi="Arial" w:cs="Arial"/>
          <w:sz w:val="20"/>
          <w:szCs w:val="20"/>
        </w:rPr>
        <w:t>t</w:t>
      </w:r>
      <w:r w:rsidR="00FC7AFF" w:rsidRPr="00DD1E00">
        <w:rPr>
          <w:rFonts w:ascii="Arial" w:hAnsi="Arial" w:cs="Arial"/>
          <w:sz w:val="20"/>
          <w:szCs w:val="20"/>
        </w:rPr>
        <w:t>ime</w:t>
      </w:r>
      <w:r w:rsidR="00F42132" w:rsidRPr="00DD1E00">
        <w:rPr>
          <w:rFonts w:ascii="Arial" w:hAnsi="Arial" w:cs="Arial"/>
          <w:sz w:val="20"/>
          <w:szCs w:val="20"/>
        </w:rPr>
        <w:t xml:space="preserve"> measurement</w:t>
      </w:r>
      <w:r w:rsidR="00203328" w:rsidRPr="00DD1E00">
        <w:rPr>
          <w:rFonts w:ascii="Arial" w:hAnsi="Arial" w:cs="Arial"/>
          <w:sz w:val="20"/>
          <w:szCs w:val="20"/>
        </w:rPr>
        <w:t xml:space="preserve"> </w:t>
      </w:r>
      <w:r w:rsidR="00F42132" w:rsidRPr="00DD1E00">
        <w:rPr>
          <w:rFonts w:ascii="Arial" w:hAnsi="Arial" w:cs="Arial"/>
          <w:sz w:val="20"/>
          <w:szCs w:val="20"/>
        </w:rPr>
        <w:t xml:space="preserve">taken within 24 </w:t>
      </w:r>
      <w:r w:rsidR="00451529" w:rsidRPr="00DD1E00">
        <w:rPr>
          <w:rFonts w:ascii="Arial" w:hAnsi="Arial" w:cs="Arial"/>
          <w:sz w:val="20"/>
          <w:szCs w:val="20"/>
        </w:rPr>
        <w:t>hours,</w:t>
      </w:r>
      <w:r w:rsidR="00140036" w:rsidRPr="00DD1E00">
        <w:rPr>
          <w:rFonts w:ascii="Arial" w:hAnsi="Arial" w:cs="Arial"/>
          <w:sz w:val="20"/>
          <w:szCs w:val="20"/>
        </w:rPr>
        <w:t xml:space="preserve"> </w:t>
      </w:r>
      <w:r w:rsidR="00451529" w:rsidRPr="00DD1E00">
        <w:rPr>
          <w:rFonts w:ascii="Arial" w:hAnsi="Arial" w:cs="Arial"/>
          <w:sz w:val="20"/>
          <w:szCs w:val="20"/>
        </w:rPr>
        <w:t>indicating a stand</w:t>
      </w:r>
      <w:r w:rsidR="007F5F98" w:rsidRPr="00DD1E00">
        <w:rPr>
          <w:rFonts w:ascii="Arial" w:hAnsi="Arial" w:cs="Arial"/>
          <w:sz w:val="20"/>
          <w:szCs w:val="20"/>
        </w:rPr>
        <w:t>ardized testing protoc</w:t>
      </w:r>
      <w:r w:rsidR="00140036" w:rsidRPr="00DD1E00">
        <w:rPr>
          <w:rFonts w:ascii="Arial" w:hAnsi="Arial" w:cs="Arial"/>
          <w:sz w:val="20"/>
          <w:szCs w:val="20"/>
        </w:rPr>
        <w:t>ol.</w:t>
      </w:r>
      <w:r w:rsidR="005265E4" w:rsidRPr="00DD1E00">
        <w:rPr>
          <w:rFonts w:ascii="Arial" w:hAnsi="Arial" w:cs="Arial"/>
          <w:sz w:val="20"/>
          <w:szCs w:val="20"/>
        </w:rPr>
        <w:t xml:space="preserve"> </w:t>
      </w:r>
      <w:r w:rsidR="00B30F0A" w:rsidRPr="00DD1E00">
        <w:rPr>
          <w:rFonts w:ascii="Arial" w:hAnsi="Arial" w:cs="Arial"/>
          <w:sz w:val="20"/>
          <w:szCs w:val="20"/>
        </w:rPr>
        <w:t>This fluctuation may be attributed to</w:t>
      </w:r>
      <w:r w:rsidR="005E2F57" w:rsidRPr="00DD1E00">
        <w:rPr>
          <w:rFonts w:ascii="Arial" w:hAnsi="Arial" w:cs="Arial"/>
          <w:sz w:val="20"/>
          <w:szCs w:val="20"/>
        </w:rPr>
        <w:t xml:space="preserve"> m</w:t>
      </w:r>
      <w:r w:rsidR="00B30F0A" w:rsidRPr="00DD1E00">
        <w:rPr>
          <w:rFonts w:ascii="Arial" w:hAnsi="Arial" w:cs="Arial"/>
          <w:sz w:val="20"/>
          <w:szCs w:val="20"/>
        </w:rPr>
        <w:t>onsoonal runoff and leaching of surface contaminants into shallow aquifers.</w:t>
      </w:r>
      <w:r w:rsidR="00077C0D" w:rsidRPr="00DD1E00">
        <w:rPr>
          <w:rFonts w:ascii="Arial" w:hAnsi="Arial" w:cs="Arial"/>
          <w:sz w:val="20"/>
          <w:szCs w:val="20"/>
        </w:rPr>
        <w:t xml:space="preserve"> Sometimes, o</w:t>
      </w:r>
      <w:r w:rsidR="00B30F0A" w:rsidRPr="00DD1E00">
        <w:rPr>
          <w:rFonts w:ascii="Arial" w:hAnsi="Arial" w:cs="Arial"/>
          <w:sz w:val="20"/>
          <w:szCs w:val="20"/>
        </w:rPr>
        <w:t>verflow or seepage from improperly constructed septic tanks, common in semi-urban zones.</w:t>
      </w:r>
      <w:r w:rsidR="009D590E" w:rsidRPr="00DD1E00">
        <w:rPr>
          <w:rFonts w:ascii="Arial" w:hAnsi="Arial" w:cs="Arial"/>
          <w:sz w:val="20"/>
          <w:szCs w:val="20"/>
        </w:rPr>
        <w:t xml:space="preserve"> </w:t>
      </w:r>
      <w:r w:rsidR="00B30F0A" w:rsidRPr="00DD1E00">
        <w:rPr>
          <w:rFonts w:ascii="Arial" w:hAnsi="Arial" w:cs="Arial"/>
          <w:sz w:val="20"/>
          <w:szCs w:val="20"/>
        </w:rPr>
        <w:t>Increased anthropogenic activity and poor waste management during wet seasons</w:t>
      </w:r>
      <w:r w:rsidR="009D590E" w:rsidRPr="00DD1E00">
        <w:rPr>
          <w:rFonts w:ascii="Arial" w:hAnsi="Arial" w:cs="Arial"/>
          <w:sz w:val="20"/>
          <w:szCs w:val="20"/>
        </w:rPr>
        <w:t xml:space="preserve"> also</w:t>
      </w:r>
      <w:r w:rsidR="00CA05B0" w:rsidRPr="00DD1E00">
        <w:rPr>
          <w:rFonts w:ascii="Arial" w:hAnsi="Arial" w:cs="Arial"/>
          <w:sz w:val="20"/>
          <w:szCs w:val="20"/>
        </w:rPr>
        <w:t xml:space="preserve"> responsible for contamination</w:t>
      </w:r>
      <w:r w:rsidR="00B30F0A" w:rsidRPr="00DD1E00">
        <w:rPr>
          <w:rFonts w:ascii="Arial" w:hAnsi="Arial" w:cs="Arial"/>
          <w:sz w:val="20"/>
          <w:szCs w:val="20"/>
        </w:rPr>
        <w:t>.</w:t>
      </w:r>
      <w:r w:rsidR="00002CD9" w:rsidRPr="00DD1E00">
        <w:rPr>
          <w:rFonts w:ascii="Arial" w:hAnsi="Arial" w:cs="Arial"/>
          <w:sz w:val="20"/>
          <w:szCs w:val="20"/>
        </w:rPr>
        <w:t xml:space="preserve"> </w:t>
      </w:r>
      <w:r w:rsidR="00B30F0A" w:rsidRPr="00DD1E00">
        <w:rPr>
          <w:rFonts w:ascii="Arial" w:hAnsi="Arial" w:cs="Arial"/>
          <w:sz w:val="20"/>
          <w:szCs w:val="20"/>
        </w:rPr>
        <w:t>According to WHO (2022) guidelines, zero coliform or pathogenic bacterial presence is desirable in drinking water. Although the bacterial levels were generally low, the observed seasonal peaks reflect a moderate microbial threat, especially for immunocompromised individuals.</w:t>
      </w:r>
    </w:p>
    <w:p w14:paraId="4387E904" w14:textId="1E47B08D" w:rsidR="00432A78" w:rsidRPr="00DD1E00" w:rsidRDefault="005265E4" w:rsidP="0085440C">
      <w:pPr>
        <w:rPr>
          <w:rFonts w:ascii="Arial" w:hAnsi="Arial" w:cs="Arial"/>
          <w:sz w:val="20"/>
          <w:szCs w:val="20"/>
        </w:rPr>
      </w:pPr>
      <w:r w:rsidRPr="00DD1E00">
        <w:rPr>
          <w:rFonts w:ascii="Arial" w:hAnsi="Arial" w:cs="Arial"/>
          <w:sz w:val="20"/>
          <w:szCs w:val="20"/>
        </w:rPr>
        <w:t xml:space="preserve">Generally, </w:t>
      </w:r>
      <w:r w:rsidR="003D1B4F" w:rsidRPr="00DD1E00">
        <w:rPr>
          <w:rFonts w:ascii="Arial" w:hAnsi="Arial" w:cs="Arial"/>
          <w:sz w:val="20"/>
          <w:szCs w:val="20"/>
        </w:rPr>
        <w:t>post-monsoon</w:t>
      </w:r>
      <w:r w:rsidR="00432A78" w:rsidRPr="00DD1E00">
        <w:rPr>
          <w:rFonts w:ascii="Arial" w:hAnsi="Arial" w:cs="Arial"/>
          <w:sz w:val="20"/>
          <w:szCs w:val="20"/>
        </w:rPr>
        <w:t xml:space="preserve"> months (August–October 2024) showed increased microbial counts, TDS, and alkalinity, suggesting percolation from industrial and surface runoff sources</w:t>
      </w:r>
      <w:r w:rsidR="006346A4" w:rsidRPr="00DD1E00">
        <w:rPr>
          <w:rFonts w:ascii="Arial" w:hAnsi="Arial" w:cs="Arial"/>
          <w:sz w:val="20"/>
          <w:szCs w:val="20"/>
        </w:rPr>
        <w:t xml:space="preserve"> and </w:t>
      </w:r>
      <w:r w:rsidR="00432A78" w:rsidRPr="00DD1E00">
        <w:rPr>
          <w:rFonts w:ascii="Arial" w:hAnsi="Arial" w:cs="Arial"/>
          <w:sz w:val="20"/>
          <w:szCs w:val="20"/>
        </w:rPr>
        <w:t xml:space="preserve">Winter months recorded peak </w:t>
      </w:r>
      <w:r w:rsidR="006346A4" w:rsidRPr="00DD1E00">
        <w:rPr>
          <w:rFonts w:ascii="Arial" w:hAnsi="Arial" w:cs="Arial"/>
          <w:sz w:val="20"/>
          <w:szCs w:val="20"/>
        </w:rPr>
        <w:t xml:space="preserve">values of </w:t>
      </w:r>
      <w:r w:rsidR="00432A78" w:rsidRPr="00DD1E00">
        <w:rPr>
          <w:rFonts w:ascii="Arial" w:hAnsi="Arial" w:cs="Arial"/>
          <w:sz w:val="20"/>
          <w:szCs w:val="20"/>
        </w:rPr>
        <w:t>hardness and arsenic, which may be linked to low groundwater recharge and increased concentration of dissolved salts.</w:t>
      </w:r>
    </w:p>
    <w:p w14:paraId="052FCFBF" w14:textId="5E4CD4CC" w:rsidR="00AC545C" w:rsidRPr="00DD1E00" w:rsidRDefault="00BB0477" w:rsidP="00851574">
      <w:pPr>
        <w:divId w:val="1956717318"/>
        <w:rPr>
          <w:rFonts w:ascii="Arial" w:hAnsi="Arial" w:cs="Arial"/>
          <w:b/>
          <w:bCs/>
          <w:sz w:val="20"/>
          <w:szCs w:val="20"/>
        </w:rPr>
      </w:pPr>
      <w:r w:rsidRPr="00DD1E00">
        <w:rPr>
          <w:rFonts w:ascii="Arial" w:hAnsi="Arial" w:cs="Arial"/>
          <w:b/>
          <w:bCs/>
          <w:sz w:val="20"/>
          <w:szCs w:val="20"/>
        </w:rPr>
        <w:t>CONCLUSION</w:t>
      </w:r>
    </w:p>
    <w:p w14:paraId="16417F92" w14:textId="4D9C89A1" w:rsidR="00AC545C" w:rsidRPr="006A0AD9" w:rsidRDefault="00AC545C" w:rsidP="004D2647">
      <w:pPr>
        <w:divId w:val="1956717318"/>
        <w:rPr>
          <w:rFonts w:ascii="Arial" w:eastAsiaTheme="minorEastAsia" w:hAnsi="Arial" w:cs="Arial"/>
          <w:color w:val="000000" w:themeColor="text1"/>
          <w:sz w:val="20"/>
          <w:szCs w:val="20"/>
        </w:rPr>
      </w:pPr>
      <w:r w:rsidRPr="006A0AD9">
        <w:rPr>
          <w:rFonts w:ascii="Arial" w:hAnsi="Arial" w:cs="Arial"/>
          <w:color w:val="000000" w:themeColor="text1"/>
          <w:sz w:val="20"/>
          <w:szCs w:val="20"/>
        </w:rPr>
        <w:t xml:space="preserve">The findings of this study reveal a complex and concerning picture of groundwater quality in the </w:t>
      </w:r>
      <w:r w:rsidR="00663D3D" w:rsidRPr="006A0AD9">
        <w:rPr>
          <w:rFonts w:ascii="Arial" w:hAnsi="Arial" w:cs="Arial"/>
          <w:color w:val="000000" w:themeColor="text1"/>
          <w:sz w:val="20"/>
          <w:szCs w:val="20"/>
        </w:rPr>
        <w:t>Rooma</w:t>
      </w:r>
      <w:r w:rsidRPr="006A0AD9">
        <w:rPr>
          <w:rFonts w:ascii="Arial" w:hAnsi="Arial" w:cs="Arial"/>
          <w:color w:val="000000" w:themeColor="text1"/>
          <w:sz w:val="20"/>
          <w:szCs w:val="20"/>
        </w:rPr>
        <w:t xml:space="preserve"> area of Kanpur. While some </w:t>
      </w:r>
      <w:r w:rsidR="00684CC7" w:rsidRPr="006A0AD9">
        <w:rPr>
          <w:rFonts w:ascii="Arial" w:hAnsi="Arial" w:cs="Arial"/>
          <w:color w:val="000000" w:themeColor="text1"/>
          <w:sz w:val="20"/>
          <w:szCs w:val="20"/>
        </w:rPr>
        <w:t>P</w:t>
      </w:r>
      <w:r w:rsidRPr="006A0AD9">
        <w:rPr>
          <w:rFonts w:ascii="Arial" w:hAnsi="Arial" w:cs="Arial"/>
          <w:color w:val="000000" w:themeColor="text1"/>
          <w:sz w:val="20"/>
          <w:szCs w:val="20"/>
        </w:rPr>
        <w:t>hysico-chemical parameters</w:t>
      </w:r>
      <w:r w:rsidR="006A0AD9">
        <w:rPr>
          <w:rFonts w:ascii="Arial" w:hAnsi="Arial" w:cs="Arial"/>
          <w:color w:val="000000" w:themeColor="text1"/>
          <w:sz w:val="20"/>
          <w:szCs w:val="20"/>
        </w:rPr>
        <w:t>,</w:t>
      </w:r>
      <w:r w:rsidRPr="006A0AD9">
        <w:rPr>
          <w:rFonts w:ascii="Arial" w:hAnsi="Arial" w:cs="Arial"/>
          <w:color w:val="000000" w:themeColor="text1"/>
          <w:sz w:val="20"/>
          <w:szCs w:val="20"/>
        </w:rPr>
        <w:t xml:space="preserve"> such as </w:t>
      </w:r>
      <w:r w:rsidR="006A0AD9">
        <w:rPr>
          <w:rFonts w:ascii="Arial" w:hAnsi="Arial" w:cs="Arial"/>
          <w:color w:val="000000" w:themeColor="text1"/>
          <w:sz w:val="20"/>
          <w:szCs w:val="20"/>
        </w:rPr>
        <w:t>pH</w:t>
      </w:r>
      <w:r w:rsidRPr="006A0AD9">
        <w:rPr>
          <w:rFonts w:ascii="Arial" w:hAnsi="Arial" w:cs="Arial"/>
          <w:color w:val="000000" w:themeColor="text1"/>
          <w:sz w:val="20"/>
          <w:szCs w:val="20"/>
        </w:rPr>
        <w:t>, TDS, and chloride</w:t>
      </w:r>
      <w:r w:rsidR="006A0AD9">
        <w:rPr>
          <w:rFonts w:ascii="Arial" w:hAnsi="Arial" w:cs="Arial"/>
          <w:color w:val="000000" w:themeColor="text1"/>
          <w:sz w:val="20"/>
          <w:szCs w:val="20"/>
        </w:rPr>
        <w:t>,</w:t>
      </w:r>
      <w:r w:rsidRPr="006A0AD9">
        <w:rPr>
          <w:rFonts w:ascii="Arial" w:hAnsi="Arial" w:cs="Arial"/>
          <w:color w:val="000000" w:themeColor="text1"/>
          <w:sz w:val="20"/>
          <w:szCs w:val="20"/>
        </w:rPr>
        <w:t xml:space="preserve"> remained within acceptable limits, several critical indicators—particularly </w:t>
      </w:r>
      <w:r w:rsidRPr="006A0AD9">
        <w:rPr>
          <w:rStyle w:val="Strong"/>
          <w:rFonts w:ascii="Arial" w:hAnsi="Arial" w:cs="Arial"/>
          <w:b w:val="0"/>
          <w:bCs w:val="0"/>
          <w:color w:val="000000" w:themeColor="text1"/>
          <w:sz w:val="20"/>
          <w:szCs w:val="20"/>
        </w:rPr>
        <w:t>total hardness</w:t>
      </w:r>
      <w:r w:rsidRPr="006A0AD9">
        <w:rPr>
          <w:rFonts w:ascii="Arial" w:hAnsi="Arial" w:cs="Arial"/>
          <w:b/>
          <w:bCs/>
          <w:color w:val="000000" w:themeColor="text1"/>
          <w:sz w:val="20"/>
          <w:szCs w:val="20"/>
        </w:rPr>
        <w:t xml:space="preserve">, </w:t>
      </w:r>
      <w:r w:rsidRPr="006A0AD9">
        <w:rPr>
          <w:rStyle w:val="Strong"/>
          <w:rFonts w:ascii="Arial" w:hAnsi="Arial" w:cs="Arial"/>
          <w:b w:val="0"/>
          <w:bCs w:val="0"/>
          <w:color w:val="000000" w:themeColor="text1"/>
          <w:sz w:val="20"/>
          <w:szCs w:val="20"/>
        </w:rPr>
        <w:t>alkalinity</w:t>
      </w:r>
      <w:r w:rsidRPr="006A0AD9">
        <w:rPr>
          <w:rFonts w:ascii="Arial" w:hAnsi="Arial" w:cs="Arial"/>
          <w:b/>
          <w:bCs/>
          <w:color w:val="000000" w:themeColor="text1"/>
          <w:sz w:val="20"/>
          <w:szCs w:val="20"/>
        </w:rPr>
        <w:t xml:space="preserve">, </w:t>
      </w:r>
      <w:r w:rsidRPr="003354D0">
        <w:rPr>
          <w:rFonts w:ascii="Arial" w:hAnsi="Arial" w:cs="Arial"/>
          <w:color w:val="000000" w:themeColor="text1"/>
          <w:sz w:val="20"/>
          <w:szCs w:val="20"/>
        </w:rPr>
        <w:t>and</w:t>
      </w:r>
      <w:r w:rsidRPr="006A0AD9">
        <w:rPr>
          <w:rFonts w:ascii="Arial" w:hAnsi="Arial" w:cs="Arial"/>
          <w:b/>
          <w:bCs/>
          <w:color w:val="000000" w:themeColor="text1"/>
          <w:sz w:val="20"/>
          <w:szCs w:val="20"/>
        </w:rPr>
        <w:t xml:space="preserve"> </w:t>
      </w:r>
      <w:r w:rsidRPr="006A0AD9">
        <w:rPr>
          <w:rStyle w:val="Strong"/>
          <w:rFonts w:ascii="Arial" w:hAnsi="Arial" w:cs="Arial"/>
          <w:b w:val="0"/>
          <w:bCs w:val="0"/>
          <w:color w:val="000000" w:themeColor="text1"/>
          <w:sz w:val="20"/>
          <w:szCs w:val="20"/>
        </w:rPr>
        <w:t>arsenic levels</w:t>
      </w:r>
      <w:r w:rsidRPr="006A0AD9">
        <w:rPr>
          <w:rFonts w:ascii="Arial" w:hAnsi="Arial" w:cs="Arial"/>
          <w:color w:val="000000" w:themeColor="text1"/>
          <w:sz w:val="20"/>
          <w:szCs w:val="20"/>
        </w:rPr>
        <w:t>—consistently exceeded safe thresholds. This indicates a growing chemical burden in the local aquifer, likely driven by unregulated industrial activity and inadequate environmental safeguards.</w:t>
      </w:r>
    </w:p>
    <w:p w14:paraId="69C7CBD1" w14:textId="77777777" w:rsidR="00AC545C" w:rsidRPr="006A0AD9" w:rsidRDefault="00AC545C">
      <w:pPr>
        <w:pStyle w:val="NormalWeb"/>
        <w:divId w:val="1956717318"/>
        <w:rPr>
          <w:rFonts w:ascii="Arial" w:hAnsi="Arial" w:cs="Arial"/>
          <w:color w:val="000000" w:themeColor="text1"/>
          <w:sz w:val="20"/>
          <w:szCs w:val="20"/>
        </w:rPr>
      </w:pPr>
      <w:r w:rsidRPr="006A0AD9">
        <w:rPr>
          <w:rFonts w:ascii="Arial" w:hAnsi="Arial" w:cs="Arial"/>
          <w:color w:val="000000" w:themeColor="text1"/>
          <w:sz w:val="20"/>
          <w:szCs w:val="20"/>
        </w:rPr>
        <w:t xml:space="preserve">What makes the situation more alarming is the </w:t>
      </w:r>
      <w:r w:rsidRPr="006A0AD9">
        <w:rPr>
          <w:rStyle w:val="Strong"/>
          <w:rFonts w:ascii="Arial" w:hAnsi="Arial" w:cs="Arial"/>
          <w:b w:val="0"/>
          <w:bCs w:val="0"/>
          <w:color w:val="000000" w:themeColor="text1"/>
          <w:sz w:val="20"/>
          <w:szCs w:val="20"/>
        </w:rPr>
        <w:t>biological assessment</w:t>
      </w:r>
      <w:r w:rsidRPr="006A0AD9">
        <w:rPr>
          <w:rFonts w:ascii="Arial" w:hAnsi="Arial" w:cs="Arial"/>
          <w:color w:val="000000" w:themeColor="text1"/>
          <w:sz w:val="20"/>
          <w:szCs w:val="20"/>
        </w:rPr>
        <w:t xml:space="preserve">, which, although showing relatively low levels of microbial contamination, exposed </w:t>
      </w:r>
      <w:r w:rsidRPr="006A0AD9">
        <w:rPr>
          <w:rStyle w:val="Strong"/>
          <w:rFonts w:ascii="Arial" w:hAnsi="Arial" w:cs="Arial"/>
          <w:b w:val="0"/>
          <w:bCs w:val="0"/>
          <w:color w:val="000000" w:themeColor="text1"/>
          <w:sz w:val="20"/>
          <w:szCs w:val="20"/>
        </w:rPr>
        <w:t>seasonal spikes in bacterial load</w:t>
      </w:r>
      <w:r w:rsidRPr="006A0AD9">
        <w:rPr>
          <w:rFonts w:ascii="Arial" w:hAnsi="Arial" w:cs="Arial"/>
          <w:color w:val="000000" w:themeColor="text1"/>
          <w:sz w:val="20"/>
          <w:szCs w:val="20"/>
        </w:rPr>
        <w:t xml:space="preserve">—especially during and after the monsoon season. Even these low or moderate microbial presences are unacceptable in drinking water, especially for vulnerable populations like children and the elderly. Such contamination hints at </w:t>
      </w:r>
      <w:r w:rsidRPr="006A0AD9">
        <w:rPr>
          <w:rStyle w:val="Strong"/>
          <w:rFonts w:ascii="Arial" w:hAnsi="Arial" w:cs="Arial"/>
          <w:b w:val="0"/>
          <w:bCs w:val="0"/>
          <w:color w:val="000000" w:themeColor="text1"/>
          <w:sz w:val="20"/>
          <w:szCs w:val="20"/>
        </w:rPr>
        <w:t>leakages from sanitation systems, surface runoff, or poor infrastructure hygiene</w:t>
      </w:r>
      <w:r w:rsidRPr="006A0AD9">
        <w:rPr>
          <w:rFonts w:ascii="Arial" w:hAnsi="Arial" w:cs="Arial"/>
          <w:color w:val="000000" w:themeColor="text1"/>
          <w:sz w:val="20"/>
          <w:szCs w:val="20"/>
        </w:rPr>
        <w:t>, all of which reflect systemic neglect.</w:t>
      </w:r>
    </w:p>
    <w:p w14:paraId="45D57684" w14:textId="77777777" w:rsidR="008E2B32" w:rsidRDefault="00AC545C">
      <w:pPr>
        <w:pStyle w:val="NormalWeb"/>
        <w:divId w:val="1956717318"/>
        <w:rPr>
          <w:rFonts w:ascii="Arial" w:hAnsi="Arial" w:cs="Arial"/>
          <w:color w:val="000000" w:themeColor="text1"/>
          <w:sz w:val="20"/>
          <w:szCs w:val="20"/>
        </w:rPr>
      </w:pPr>
      <w:r w:rsidRPr="006A0AD9">
        <w:rPr>
          <w:rFonts w:ascii="Arial" w:hAnsi="Arial" w:cs="Arial"/>
          <w:color w:val="000000" w:themeColor="text1"/>
          <w:sz w:val="20"/>
          <w:szCs w:val="20"/>
        </w:rPr>
        <w:t xml:space="preserve">The recurring presence of </w:t>
      </w:r>
      <w:r w:rsidRPr="006A0AD9">
        <w:rPr>
          <w:rStyle w:val="Strong"/>
          <w:rFonts w:ascii="Arial" w:hAnsi="Arial" w:cs="Arial"/>
          <w:b w:val="0"/>
          <w:bCs w:val="0"/>
          <w:color w:val="000000" w:themeColor="text1"/>
          <w:sz w:val="20"/>
          <w:szCs w:val="20"/>
        </w:rPr>
        <w:t>arsenic in elevated concentrations</w:t>
      </w:r>
      <w:r w:rsidRPr="006A0AD9">
        <w:rPr>
          <w:rFonts w:ascii="Arial" w:hAnsi="Arial" w:cs="Arial"/>
          <w:color w:val="000000" w:themeColor="text1"/>
          <w:sz w:val="20"/>
          <w:szCs w:val="20"/>
        </w:rPr>
        <w:t xml:space="preserve">, along with episodic increases in </w:t>
      </w:r>
      <w:r w:rsidRPr="006A0AD9">
        <w:rPr>
          <w:rStyle w:val="Strong"/>
          <w:rFonts w:ascii="Arial" w:hAnsi="Arial" w:cs="Arial"/>
          <w:b w:val="0"/>
          <w:bCs w:val="0"/>
          <w:color w:val="000000" w:themeColor="text1"/>
          <w:sz w:val="20"/>
          <w:szCs w:val="20"/>
        </w:rPr>
        <w:t>fluoride</w:t>
      </w:r>
      <w:r w:rsidRPr="006A0AD9">
        <w:rPr>
          <w:rFonts w:ascii="Arial" w:hAnsi="Arial" w:cs="Arial"/>
          <w:b/>
          <w:bCs/>
          <w:color w:val="000000" w:themeColor="text1"/>
          <w:sz w:val="20"/>
          <w:szCs w:val="20"/>
        </w:rPr>
        <w:t>,</w:t>
      </w:r>
      <w:r w:rsidRPr="006A0AD9">
        <w:rPr>
          <w:rFonts w:ascii="Arial" w:hAnsi="Arial" w:cs="Arial"/>
          <w:color w:val="000000" w:themeColor="text1"/>
          <w:sz w:val="20"/>
          <w:szCs w:val="20"/>
        </w:rPr>
        <w:t xml:space="preserve"> poses </w:t>
      </w:r>
      <w:r w:rsidRPr="001F3C7B">
        <w:rPr>
          <w:rFonts w:ascii="Arial" w:hAnsi="Arial" w:cs="Arial"/>
          <w:color w:val="000000" w:themeColor="text1"/>
          <w:sz w:val="20"/>
          <w:szCs w:val="20"/>
        </w:rPr>
        <w:t xml:space="preserve">a </w:t>
      </w:r>
      <w:r w:rsidRPr="001F3C7B">
        <w:rPr>
          <w:rStyle w:val="Strong"/>
          <w:rFonts w:ascii="Arial" w:hAnsi="Arial" w:cs="Arial"/>
          <w:color w:val="000000" w:themeColor="text1"/>
          <w:sz w:val="20"/>
          <w:szCs w:val="20"/>
        </w:rPr>
        <w:t>l</w:t>
      </w:r>
      <w:r w:rsidRPr="006A0AD9">
        <w:rPr>
          <w:rStyle w:val="Strong"/>
          <w:rFonts w:ascii="Arial" w:hAnsi="Arial" w:cs="Arial"/>
          <w:b w:val="0"/>
          <w:bCs w:val="0"/>
          <w:color w:val="000000" w:themeColor="text1"/>
          <w:sz w:val="20"/>
          <w:szCs w:val="20"/>
        </w:rPr>
        <w:t>ong-term public health threat</w:t>
      </w:r>
      <w:r w:rsidRPr="006A0AD9">
        <w:rPr>
          <w:rFonts w:ascii="Arial" w:hAnsi="Arial" w:cs="Arial"/>
          <w:color w:val="000000" w:themeColor="text1"/>
          <w:sz w:val="20"/>
          <w:szCs w:val="20"/>
        </w:rPr>
        <w:t>. These toxic elements are linked to irreversible conditions, including skin disorders, bone deformities, and various cancers. If left unchecked, continued reliance on this water source without treatment could silently fuel chronic health crises in the region.</w:t>
      </w:r>
    </w:p>
    <w:p w14:paraId="12262FE3" w14:textId="655C6AFB" w:rsidR="00AC545C" w:rsidRDefault="008E2B32">
      <w:pPr>
        <w:pStyle w:val="NormalWeb"/>
        <w:divId w:val="1956717318"/>
        <w:rPr>
          <w:rFonts w:ascii="Arial" w:hAnsi="Arial" w:cs="Arial"/>
          <w:color w:val="000000" w:themeColor="text1"/>
          <w:sz w:val="20"/>
          <w:szCs w:val="20"/>
        </w:rPr>
      </w:pPr>
      <w:r>
        <w:rPr>
          <w:rFonts w:ascii="Arial" w:hAnsi="Arial" w:cs="Arial"/>
          <w:color w:val="000000" w:themeColor="text1"/>
          <w:sz w:val="20"/>
          <w:szCs w:val="20"/>
        </w:rPr>
        <w:t>W</w:t>
      </w:r>
      <w:r w:rsidR="00AC545C" w:rsidRPr="0083472E">
        <w:rPr>
          <w:rFonts w:ascii="Arial" w:hAnsi="Arial" w:cs="Arial"/>
          <w:color w:val="000000" w:themeColor="text1"/>
          <w:sz w:val="20"/>
          <w:szCs w:val="20"/>
        </w:rPr>
        <w:t xml:space="preserve">hile the groundwater in </w:t>
      </w:r>
      <w:r w:rsidR="00663D3D" w:rsidRPr="0083472E">
        <w:rPr>
          <w:rFonts w:ascii="Arial" w:hAnsi="Arial" w:cs="Arial"/>
          <w:color w:val="000000" w:themeColor="text1"/>
          <w:sz w:val="20"/>
          <w:szCs w:val="20"/>
        </w:rPr>
        <w:t>Rooma</w:t>
      </w:r>
      <w:r w:rsidR="00AC545C" w:rsidRPr="0083472E">
        <w:rPr>
          <w:rFonts w:ascii="Arial" w:hAnsi="Arial" w:cs="Arial"/>
          <w:color w:val="000000" w:themeColor="text1"/>
          <w:sz w:val="20"/>
          <w:szCs w:val="20"/>
        </w:rPr>
        <w:t xml:space="preserve"> remains a vital lifeline for the local community, its quality is under serious stress from both </w:t>
      </w:r>
      <w:r w:rsidR="00AC545C" w:rsidRPr="0083472E">
        <w:rPr>
          <w:rStyle w:val="Strong"/>
          <w:rFonts w:ascii="Arial" w:hAnsi="Arial" w:cs="Arial"/>
          <w:b w:val="0"/>
          <w:bCs w:val="0"/>
          <w:color w:val="000000" w:themeColor="text1"/>
          <w:sz w:val="20"/>
          <w:szCs w:val="20"/>
        </w:rPr>
        <w:t>industrial</w:t>
      </w:r>
      <w:r w:rsidR="00AC545C" w:rsidRPr="0083472E">
        <w:rPr>
          <w:rStyle w:val="Strong"/>
          <w:rFonts w:ascii="Arial" w:hAnsi="Arial" w:cs="Arial"/>
          <w:color w:val="000000" w:themeColor="text1"/>
          <w:sz w:val="20"/>
          <w:szCs w:val="20"/>
        </w:rPr>
        <w:t xml:space="preserve"> </w:t>
      </w:r>
      <w:r w:rsidR="00AC545C" w:rsidRPr="0083472E">
        <w:rPr>
          <w:rStyle w:val="Strong"/>
          <w:rFonts w:ascii="Arial" w:hAnsi="Arial" w:cs="Arial"/>
          <w:b w:val="0"/>
          <w:bCs w:val="0"/>
          <w:color w:val="000000" w:themeColor="text1"/>
          <w:sz w:val="20"/>
          <w:szCs w:val="20"/>
        </w:rPr>
        <w:t>pollutants and microbial threats</w:t>
      </w:r>
      <w:r w:rsidR="00AC545C" w:rsidRPr="0083472E">
        <w:rPr>
          <w:rFonts w:ascii="Arial" w:hAnsi="Arial" w:cs="Arial"/>
          <w:color w:val="000000" w:themeColor="text1"/>
          <w:sz w:val="20"/>
          <w:szCs w:val="20"/>
        </w:rPr>
        <w:t xml:space="preserve">. </w:t>
      </w:r>
      <w:r w:rsidR="0083472E" w:rsidRPr="0083472E">
        <w:rPr>
          <w:rFonts w:ascii="Arial" w:hAnsi="Arial" w:cs="Arial"/>
          <w:sz w:val="20"/>
          <w:szCs w:val="20"/>
        </w:rPr>
        <w:t>Microbial safety is moderate but unstable, warranting seasonal chlorination or UV treatment.</w:t>
      </w:r>
      <w:r w:rsidR="0083472E">
        <w:rPr>
          <w:rFonts w:ascii="Arial" w:hAnsi="Arial" w:cs="Arial"/>
          <w:sz w:val="20"/>
          <w:szCs w:val="20"/>
        </w:rPr>
        <w:t xml:space="preserve"> </w:t>
      </w:r>
      <w:r w:rsidR="0083472E" w:rsidRPr="0083472E">
        <w:rPr>
          <w:rFonts w:ascii="Arial" w:hAnsi="Arial" w:cs="Arial"/>
          <w:sz w:val="20"/>
          <w:szCs w:val="20"/>
        </w:rPr>
        <w:t>High arsenic levels demand immediate community-level awareness and installation of arsenic filters or alternative water sources.</w:t>
      </w:r>
      <w:r w:rsidR="0083472E">
        <w:rPr>
          <w:rFonts w:ascii="Arial" w:hAnsi="Arial" w:cs="Arial"/>
          <w:sz w:val="20"/>
          <w:szCs w:val="20"/>
        </w:rPr>
        <w:t xml:space="preserve"> </w:t>
      </w:r>
      <w:r w:rsidR="0083472E" w:rsidRPr="0083472E">
        <w:rPr>
          <w:rFonts w:ascii="Arial" w:hAnsi="Arial" w:cs="Arial"/>
          <w:sz w:val="20"/>
          <w:szCs w:val="20"/>
        </w:rPr>
        <w:t>Policy-level interventions for industrial waste regulation and source-wise water qua</w:t>
      </w:r>
      <w:r w:rsidR="00FA3705">
        <w:rPr>
          <w:rFonts w:ascii="Arial" w:hAnsi="Arial" w:cs="Arial"/>
          <w:sz w:val="20"/>
          <w:szCs w:val="20"/>
        </w:rPr>
        <w:t xml:space="preserve">lity zoning are urgently needed. </w:t>
      </w:r>
      <w:r w:rsidR="0025482C">
        <w:rPr>
          <w:rFonts w:ascii="Arial" w:hAnsi="Arial" w:cs="Arial"/>
          <w:color w:val="000000" w:themeColor="text1"/>
          <w:sz w:val="20"/>
          <w:szCs w:val="20"/>
        </w:rPr>
        <w:t>In addition</w:t>
      </w:r>
      <w:r w:rsidR="0083472E">
        <w:rPr>
          <w:rFonts w:ascii="Arial" w:hAnsi="Arial" w:cs="Arial"/>
          <w:color w:val="000000" w:themeColor="text1"/>
          <w:sz w:val="20"/>
          <w:szCs w:val="20"/>
        </w:rPr>
        <w:t xml:space="preserve">, </w:t>
      </w:r>
      <w:r w:rsidR="0083472E" w:rsidRPr="006A0AD9">
        <w:rPr>
          <w:rFonts w:ascii="Arial" w:hAnsi="Arial" w:cs="Arial"/>
          <w:color w:val="000000" w:themeColor="text1"/>
          <w:sz w:val="20"/>
          <w:szCs w:val="20"/>
        </w:rPr>
        <w:t>there</w:t>
      </w:r>
      <w:r w:rsidR="00AC545C" w:rsidRPr="006A0AD9">
        <w:rPr>
          <w:rFonts w:ascii="Arial" w:hAnsi="Arial" w:cs="Arial"/>
          <w:color w:val="000000" w:themeColor="text1"/>
          <w:sz w:val="20"/>
          <w:szCs w:val="20"/>
        </w:rPr>
        <w:t xml:space="preserve"> is an urgent need for </w:t>
      </w:r>
      <w:r w:rsidR="00AC545C" w:rsidRPr="006A0AD9">
        <w:rPr>
          <w:rStyle w:val="Strong"/>
          <w:rFonts w:ascii="Arial" w:hAnsi="Arial" w:cs="Arial"/>
          <w:b w:val="0"/>
          <w:bCs w:val="0"/>
          <w:color w:val="000000" w:themeColor="text1"/>
          <w:sz w:val="20"/>
          <w:szCs w:val="20"/>
        </w:rPr>
        <w:t>regula</w:t>
      </w:r>
      <w:r w:rsidR="00AC545C" w:rsidRPr="006A0AD9">
        <w:rPr>
          <w:rStyle w:val="Strong"/>
          <w:rFonts w:ascii="Arial" w:hAnsi="Arial" w:cs="Arial"/>
          <w:color w:val="000000" w:themeColor="text1"/>
          <w:sz w:val="20"/>
          <w:szCs w:val="20"/>
        </w:rPr>
        <w:t xml:space="preserve">r, </w:t>
      </w:r>
      <w:r w:rsidR="00AC545C" w:rsidRPr="006A0AD9">
        <w:rPr>
          <w:rStyle w:val="Strong"/>
          <w:rFonts w:ascii="Arial" w:hAnsi="Arial" w:cs="Arial"/>
          <w:b w:val="0"/>
          <w:bCs w:val="0"/>
          <w:color w:val="000000" w:themeColor="text1"/>
          <w:sz w:val="20"/>
          <w:szCs w:val="20"/>
        </w:rPr>
        <w:t>multi-parameter monitoring</w:t>
      </w:r>
      <w:r w:rsidR="00AC545C" w:rsidRPr="006A0AD9">
        <w:rPr>
          <w:rFonts w:ascii="Arial" w:hAnsi="Arial" w:cs="Arial"/>
          <w:b/>
          <w:bCs/>
          <w:color w:val="000000" w:themeColor="text1"/>
          <w:sz w:val="20"/>
          <w:szCs w:val="20"/>
        </w:rPr>
        <w:t xml:space="preserve">, </w:t>
      </w:r>
      <w:r w:rsidR="00AC545C" w:rsidRPr="006A0AD9">
        <w:rPr>
          <w:rStyle w:val="Strong"/>
          <w:rFonts w:ascii="Arial" w:hAnsi="Arial" w:cs="Arial"/>
          <w:b w:val="0"/>
          <w:bCs w:val="0"/>
          <w:color w:val="000000" w:themeColor="text1"/>
          <w:sz w:val="20"/>
          <w:szCs w:val="20"/>
        </w:rPr>
        <w:t>community-level awareness</w:t>
      </w:r>
      <w:r w:rsidR="00AC545C" w:rsidRPr="006A0AD9">
        <w:rPr>
          <w:rFonts w:ascii="Arial" w:hAnsi="Arial" w:cs="Arial"/>
          <w:color w:val="000000" w:themeColor="text1"/>
          <w:sz w:val="20"/>
          <w:szCs w:val="20"/>
        </w:rPr>
        <w:t>, and</w:t>
      </w:r>
      <w:r w:rsidR="00AC545C" w:rsidRPr="006A0AD9">
        <w:rPr>
          <w:rFonts w:ascii="Arial" w:hAnsi="Arial" w:cs="Arial"/>
          <w:b/>
          <w:bCs/>
          <w:color w:val="000000" w:themeColor="text1"/>
          <w:sz w:val="20"/>
          <w:szCs w:val="20"/>
        </w:rPr>
        <w:t xml:space="preserve"> </w:t>
      </w:r>
      <w:r w:rsidR="00AC545C" w:rsidRPr="006A0AD9">
        <w:rPr>
          <w:rStyle w:val="Strong"/>
          <w:rFonts w:ascii="Arial" w:hAnsi="Arial" w:cs="Arial"/>
          <w:b w:val="0"/>
          <w:bCs w:val="0"/>
          <w:color w:val="000000" w:themeColor="text1"/>
          <w:sz w:val="20"/>
          <w:szCs w:val="20"/>
        </w:rPr>
        <w:t>sustainable water</w:t>
      </w:r>
      <w:r w:rsidR="00AC545C" w:rsidRPr="006A0AD9">
        <w:rPr>
          <w:rStyle w:val="Strong"/>
          <w:rFonts w:ascii="Arial" w:hAnsi="Arial" w:cs="Arial"/>
          <w:color w:val="000000" w:themeColor="text1"/>
          <w:sz w:val="20"/>
          <w:szCs w:val="20"/>
        </w:rPr>
        <w:t xml:space="preserve"> </w:t>
      </w:r>
      <w:r w:rsidR="00AC545C" w:rsidRPr="006A0AD9">
        <w:rPr>
          <w:rStyle w:val="Strong"/>
          <w:rFonts w:ascii="Arial" w:hAnsi="Arial" w:cs="Arial"/>
          <w:b w:val="0"/>
          <w:bCs w:val="0"/>
          <w:color w:val="000000" w:themeColor="text1"/>
          <w:sz w:val="20"/>
          <w:szCs w:val="20"/>
        </w:rPr>
        <w:t>management strategies</w:t>
      </w:r>
      <w:r w:rsidR="00AC545C" w:rsidRPr="006A0AD9">
        <w:rPr>
          <w:rFonts w:ascii="Arial" w:hAnsi="Arial" w:cs="Arial"/>
          <w:color w:val="000000" w:themeColor="text1"/>
          <w:sz w:val="20"/>
          <w:szCs w:val="20"/>
        </w:rPr>
        <w:t xml:space="preserve">. Safe drinking water should not be a privilege—it is a basic right. For </w:t>
      </w:r>
      <w:r w:rsidR="00663D3D" w:rsidRPr="006A0AD9">
        <w:rPr>
          <w:rFonts w:ascii="Arial" w:hAnsi="Arial" w:cs="Arial"/>
          <w:color w:val="000000" w:themeColor="text1"/>
          <w:sz w:val="20"/>
          <w:szCs w:val="20"/>
        </w:rPr>
        <w:t>Rooma</w:t>
      </w:r>
      <w:r w:rsidR="00AC545C" w:rsidRPr="006A0AD9">
        <w:rPr>
          <w:rFonts w:ascii="Arial" w:hAnsi="Arial" w:cs="Arial"/>
          <w:color w:val="000000" w:themeColor="text1"/>
          <w:sz w:val="20"/>
          <w:szCs w:val="20"/>
        </w:rPr>
        <w:t>, that right can only be protected through science-backed policies, better infrastructure, and community participation in safeguarding this essential resource.</w:t>
      </w:r>
    </w:p>
    <w:p w14:paraId="30A30277" w14:textId="77777777" w:rsidR="00C94A27" w:rsidRPr="006A0AD9" w:rsidRDefault="00C94A27">
      <w:pPr>
        <w:pStyle w:val="NormalWeb"/>
        <w:divId w:val="1956717318"/>
        <w:rPr>
          <w:rFonts w:ascii="Arial" w:hAnsi="Arial" w:cs="Arial"/>
          <w:color w:val="000000" w:themeColor="text1"/>
          <w:sz w:val="20"/>
          <w:szCs w:val="20"/>
        </w:rPr>
      </w:pPr>
    </w:p>
    <w:p w14:paraId="1A88BD46" w14:textId="7F689D2E" w:rsidR="00D2266A" w:rsidRDefault="00D2266A" w:rsidP="00D2266A">
      <w:pPr>
        <w:rPr>
          <w:rFonts w:ascii="Calibri" w:eastAsia="Calibri" w:hAnsi="Calibri" w:cs="Times New Roman"/>
          <w:kern w:val="2"/>
          <w:highlight w:val="yellow"/>
        </w:rPr>
      </w:pPr>
      <w:bookmarkStart w:id="0" w:name="_Hlk202259943"/>
      <w:r w:rsidRPr="00FE7640">
        <w:rPr>
          <w:rFonts w:ascii="Calibri" w:eastAsia="Calibri" w:hAnsi="Calibri" w:cs="Times New Roman"/>
          <w:kern w:val="2"/>
          <w:highlight w:val="yellow"/>
        </w:rPr>
        <w:t>Disclaimer (Artificial intelligence)</w:t>
      </w:r>
      <w:r w:rsidR="009B116C">
        <w:rPr>
          <w:rFonts w:ascii="Calibri" w:eastAsia="Calibri" w:hAnsi="Calibri" w:cs="Times New Roman"/>
          <w:kern w:val="2"/>
          <w:highlight w:val="yellow"/>
        </w:rPr>
        <w:t xml:space="preserve"> </w:t>
      </w:r>
    </w:p>
    <w:p w14:paraId="6B62ECF0" w14:textId="5422937E" w:rsidR="00EE2B86" w:rsidRDefault="00EE2B86" w:rsidP="00D2266A">
      <w:pPr>
        <w:rPr>
          <w:rFonts w:ascii="Calibri" w:eastAsia="Calibri" w:hAnsi="Calibri" w:cs="Times New Roman"/>
          <w:kern w:val="2"/>
          <w:highlight w:val="yellow"/>
        </w:rPr>
      </w:pPr>
      <w:r>
        <w:rPr>
          <w:rFonts w:ascii="Calibri" w:eastAsia="Calibri" w:hAnsi="Calibri" w:cs="Times New Roman"/>
          <w:kern w:val="2"/>
          <w:highlight w:val="yellow"/>
        </w:rPr>
        <w:t>Option 1</w:t>
      </w:r>
    </w:p>
    <w:p w14:paraId="2E85489E" w14:textId="2A196F62" w:rsidR="00CA0684" w:rsidRDefault="00CA0684" w:rsidP="00D2266A">
      <w:pPr>
        <w:rPr>
          <w:rFonts w:ascii="Calibri" w:eastAsia="Calibri" w:hAnsi="Calibri" w:cs="Times New Roman"/>
          <w:kern w:val="2"/>
          <w:highlight w:val="yellow"/>
        </w:rPr>
      </w:pPr>
      <w:r>
        <w:rPr>
          <w:rFonts w:ascii="Calibri" w:eastAsia="Calibri" w:hAnsi="Calibri" w:cs="Times New Roman"/>
          <w:kern w:val="2"/>
          <w:highlight w:val="yellow"/>
        </w:rPr>
        <w:t>No generative</w:t>
      </w:r>
      <w:r w:rsidR="004D5CFA">
        <w:rPr>
          <w:rFonts w:ascii="Calibri" w:eastAsia="Calibri" w:hAnsi="Calibri" w:cs="Times New Roman"/>
          <w:kern w:val="2"/>
          <w:highlight w:val="yellow"/>
        </w:rPr>
        <w:t xml:space="preserve"> AI</w:t>
      </w:r>
      <w:r>
        <w:rPr>
          <w:rFonts w:ascii="Calibri" w:eastAsia="Calibri" w:hAnsi="Calibri" w:cs="Times New Roman"/>
          <w:kern w:val="2"/>
          <w:highlight w:val="yellow"/>
        </w:rPr>
        <w:t xml:space="preserve"> tool is used for this work. Only </w:t>
      </w:r>
      <w:r w:rsidR="004D5CFA">
        <w:rPr>
          <w:rFonts w:ascii="Calibri" w:eastAsia="Calibri" w:hAnsi="Calibri" w:cs="Times New Roman"/>
          <w:kern w:val="2"/>
          <w:highlight w:val="yellow"/>
        </w:rPr>
        <w:t>Google Translate</w:t>
      </w:r>
      <w:r>
        <w:rPr>
          <w:rFonts w:ascii="Calibri" w:eastAsia="Calibri" w:hAnsi="Calibri" w:cs="Times New Roman"/>
          <w:kern w:val="2"/>
          <w:highlight w:val="yellow"/>
        </w:rPr>
        <w:t xml:space="preserve"> and </w:t>
      </w:r>
      <w:r w:rsidR="004D5CFA">
        <w:rPr>
          <w:rFonts w:ascii="Calibri" w:eastAsia="Calibri" w:hAnsi="Calibri" w:cs="Times New Roman"/>
          <w:kern w:val="2"/>
          <w:highlight w:val="yellow"/>
        </w:rPr>
        <w:t>the Grammarly tool</w:t>
      </w:r>
      <w:r>
        <w:rPr>
          <w:rFonts w:ascii="Calibri" w:eastAsia="Calibri" w:hAnsi="Calibri" w:cs="Times New Roman"/>
          <w:kern w:val="2"/>
          <w:highlight w:val="yellow"/>
        </w:rPr>
        <w:t xml:space="preserve"> </w:t>
      </w:r>
      <w:r w:rsidR="004D5CFA">
        <w:rPr>
          <w:rFonts w:ascii="Calibri" w:eastAsia="Calibri" w:hAnsi="Calibri" w:cs="Times New Roman"/>
          <w:kern w:val="2"/>
          <w:highlight w:val="yellow"/>
        </w:rPr>
        <w:t>were used for assistance.</w:t>
      </w:r>
      <w:r>
        <w:rPr>
          <w:rFonts w:ascii="Calibri" w:eastAsia="Calibri" w:hAnsi="Calibri" w:cs="Times New Roman"/>
          <w:kern w:val="2"/>
          <w:highlight w:val="yellow"/>
        </w:rPr>
        <w:t xml:space="preserve"> </w:t>
      </w:r>
    </w:p>
    <w:p w14:paraId="4DAE9FEC" w14:textId="77777777" w:rsidR="00CA0684" w:rsidRPr="00FE7640" w:rsidRDefault="00CA0684" w:rsidP="00D2266A">
      <w:pPr>
        <w:rPr>
          <w:rFonts w:ascii="Calibri" w:eastAsia="Calibri" w:hAnsi="Calibri" w:cs="Times New Roman"/>
          <w:kern w:val="2"/>
          <w:highlight w:val="yellow"/>
        </w:rPr>
      </w:pPr>
    </w:p>
    <w:bookmarkEnd w:id="0"/>
    <w:p w14:paraId="74415D51" w14:textId="4124905C" w:rsidR="00CD5ADA" w:rsidRDefault="00BB622E" w:rsidP="00CD5ADA">
      <w:r>
        <w:t xml:space="preserve"> </w:t>
      </w:r>
    </w:p>
    <w:p w14:paraId="16CA9866" w14:textId="3045DC91" w:rsidR="00CD5ADA" w:rsidRDefault="00EC66A1" w:rsidP="00CD5ADA">
      <w:pPr>
        <w:rPr>
          <w:rFonts w:ascii="Arial" w:hAnsi="Arial" w:cs="Arial"/>
          <w:b/>
          <w:bCs/>
        </w:rPr>
      </w:pPr>
      <w:r w:rsidRPr="00EC66A1">
        <w:rPr>
          <w:rFonts w:ascii="Arial" w:hAnsi="Arial" w:cs="Arial"/>
          <w:b/>
          <w:bCs/>
        </w:rPr>
        <w:t>REFRENCE</w:t>
      </w:r>
      <w:r>
        <w:rPr>
          <w:rFonts w:ascii="Arial" w:hAnsi="Arial" w:cs="Arial"/>
          <w:b/>
          <w:bCs/>
        </w:rPr>
        <w:t>S</w:t>
      </w:r>
    </w:p>
    <w:p w14:paraId="6309F44A" w14:textId="15ACA22E" w:rsidR="000262AB" w:rsidRPr="001241B5" w:rsidRDefault="000262AB" w:rsidP="00082284">
      <w:pPr>
        <w:pStyle w:val="ListNumber"/>
        <w:numPr>
          <w:ilvl w:val="0"/>
          <w:numId w:val="23"/>
        </w:numPr>
        <w:rPr>
          <w:rFonts w:ascii="Arial" w:hAnsi="Arial" w:cs="Arial"/>
        </w:rPr>
      </w:pPr>
      <w:r w:rsidRPr="001241B5">
        <w:rPr>
          <w:rFonts w:ascii="Arial" w:hAnsi="Arial" w:cs="Arial"/>
          <w:color w:val="232323"/>
        </w:rPr>
        <w:t>Adimalla, N., &amp; Venkatayogi, S. (2018). Geochemical Characterization and Evaluation of Groundwater Suitability for Domestic and Agricultural Utility in Semi-Arid Region of Basara, Telangana State, South India. Applied Water Science, 8, Article No. 44.</w:t>
      </w:r>
    </w:p>
    <w:p w14:paraId="0A9AD5EC" w14:textId="77777777" w:rsidR="00A81695" w:rsidRPr="00EC66A1" w:rsidRDefault="00A81695" w:rsidP="00A81695">
      <w:pPr>
        <w:pStyle w:val="ListNumber"/>
        <w:numPr>
          <w:ilvl w:val="0"/>
          <w:numId w:val="0"/>
        </w:numPr>
        <w:spacing w:after="115" w:line="259" w:lineRule="auto"/>
        <w:ind w:left="720"/>
        <w:rPr>
          <w:rFonts w:ascii="Arial" w:hAnsi="Arial" w:cs="Arial"/>
        </w:rPr>
      </w:pPr>
      <w:r w:rsidRPr="00EC66A1">
        <w:rPr>
          <w:rFonts w:ascii="Arial" w:hAnsi="Arial" w:cs="Arial"/>
          <w:color w:val="232323"/>
        </w:rPr>
        <w:t xml:space="preserve"> </w:t>
      </w:r>
      <w:hyperlink r:id="rId16">
        <w:r w:rsidRPr="00EC66A1">
          <w:rPr>
            <w:rFonts w:ascii="Arial" w:hAnsi="Arial" w:cs="Arial"/>
            <w:color w:val="0000FF"/>
            <w:u w:val="single" w:color="0000FF"/>
          </w:rPr>
          <w:t>https://doi.org/10.1007/s13201</w:t>
        </w:r>
      </w:hyperlink>
      <w:hyperlink r:id="rId17">
        <w:r w:rsidRPr="00EC66A1">
          <w:rPr>
            <w:rFonts w:ascii="Arial" w:hAnsi="Arial" w:cs="Arial"/>
            <w:color w:val="0000FF"/>
            <w:u w:val="single" w:color="0000FF"/>
          </w:rPr>
          <w:t>-</w:t>
        </w:r>
      </w:hyperlink>
      <w:hyperlink r:id="rId18">
        <w:r w:rsidRPr="00EC66A1">
          <w:rPr>
            <w:rFonts w:ascii="Arial" w:hAnsi="Arial" w:cs="Arial"/>
            <w:color w:val="0000FF"/>
            <w:u w:val="single" w:color="0000FF"/>
          </w:rPr>
          <w:t>018</w:t>
        </w:r>
      </w:hyperlink>
      <w:hyperlink r:id="rId19">
        <w:r w:rsidRPr="00EC66A1">
          <w:rPr>
            <w:rFonts w:ascii="Arial" w:hAnsi="Arial" w:cs="Arial"/>
            <w:color w:val="0000FF"/>
            <w:u w:val="single" w:color="0000FF"/>
          </w:rPr>
          <w:t>-</w:t>
        </w:r>
      </w:hyperlink>
      <w:hyperlink r:id="rId20">
        <w:r w:rsidRPr="00EC66A1">
          <w:rPr>
            <w:rFonts w:ascii="Arial" w:hAnsi="Arial" w:cs="Arial"/>
            <w:color w:val="0000FF"/>
            <w:u w:val="single" w:color="0000FF"/>
          </w:rPr>
          <w:t>0682</w:t>
        </w:r>
      </w:hyperlink>
      <w:hyperlink r:id="rId21">
        <w:r w:rsidRPr="00EC66A1">
          <w:rPr>
            <w:rFonts w:ascii="Arial" w:hAnsi="Arial" w:cs="Arial"/>
            <w:color w:val="0000FF"/>
            <w:u w:val="single" w:color="0000FF"/>
          </w:rPr>
          <w:t>-</w:t>
        </w:r>
      </w:hyperlink>
      <w:hyperlink r:id="rId22">
        <w:r w:rsidRPr="00EC66A1">
          <w:rPr>
            <w:rFonts w:ascii="Arial" w:hAnsi="Arial" w:cs="Arial"/>
            <w:color w:val="0000FF"/>
            <w:u w:val="single" w:color="0000FF"/>
          </w:rPr>
          <w:t>1</w:t>
        </w:r>
      </w:hyperlink>
      <w:hyperlink r:id="rId23">
        <w:r w:rsidRPr="00EC66A1">
          <w:rPr>
            <w:rFonts w:ascii="Arial" w:hAnsi="Arial" w:cs="Arial"/>
            <w:color w:val="232323"/>
          </w:rPr>
          <w:t>.</w:t>
        </w:r>
      </w:hyperlink>
      <w:r w:rsidRPr="00EC66A1">
        <w:rPr>
          <w:rFonts w:ascii="Arial" w:hAnsi="Arial" w:cs="Arial"/>
        </w:rPr>
        <w:t xml:space="preserve"> </w:t>
      </w:r>
    </w:p>
    <w:p w14:paraId="5038879A" w14:textId="77777777" w:rsidR="000262AB" w:rsidRPr="00D0375A" w:rsidRDefault="000262AB" w:rsidP="000262AB">
      <w:pPr>
        <w:pStyle w:val="ListParagraph"/>
        <w:numPr>
          <w:ilvl w:val="0"/>
          <w:numId w:val="23"/>
        </w:numPr>
        <w:shd w:val="clear" w:color="auto" w:fill="FFFFFF"/>
        <w:spacing w:after="0" w:line="240" w:lineRule="auto"/>
        <w:rPr>
          <w:rFonts w:ascii="Arial" w:eastAsia="Times New Roman" w:hAnsi="Arial" w:cs="Arial"/>
          <w:color w:val="222222"/>
          <w:lang w:bidi="hi-IN"/>
        </w:rPr>
      </w:pPr>
      <w:r w:rsidRPr="00D0375A">
        <w:rPr>
          <w:rFonts w:ascii="Arial" w:eastAsia="Times New Roman" w:hAnsi="Arial" w:cs="Arial"/>
          <w:color w:val="222222"/>
          <w:lang w:bidi="hi-IN"/>
        </w:rPr>
        <w:t>American Public Health (Apha). American Water Works Association (awwa) and water pollution control federation (wpcf) (2012). Standard Methods for the Examination of Water and Wastewaters 22nd edition, American Public Health Association Inc. New York, p.4).</w:t>
      </w:r>
    </w:p>
    <w:p w14:paraId="662D9293" w14:textId="77777777" w:rsidR="000262AB" w:rsidRDefault="000262AB" w:rsidP="000262AB">
      <w:pPr>
        <w:pStyle w:val="ListNumber"/>
        <w:numPr>
          <w:ilvl w:val="0"/>
          <w:numId w:val="23"/>
        </w:numPr>
        <w:rPr>
          <w:rFonts w:ascii="Arial" w:hAnsi="Arial" w:cs="Arial"/>
        </w:rPr>
      </w:pPr>
      <w:r w:rsidRPr="00EC66A1">
        <w:rPr>
          <w:rFonts w:ascii="Arial" w:hAnsi="Arial" w:cs="Arial"/>
        </w:rPr>
        <w:t xml:space="preserve">BIS. (2021). IS 10500: Drinking Water — Specification (Second Revision). Bureau of </w:t>
      </w:r>
      <w:r>
        <w:rPr>
          <w:rFonts w:ascii="Arial" w:hAnsi="Arial" w:cs="Arial"/>
        </w:rPr>
        <w:t xml:space="preserve">    </w:t>
      </w:r>
      <w:r w:rsidRPr="00EC66A1">
        <w:rPr>
          <w:rFonts w:ascii="Arial" w:hAnsi="Arial" w:cs="Arial"/>
        </w:rPr>
        <w:t>Indian Standards.</w:t>
      </w:r>
    </w:p>
    <w:p w14:paraId="1A66B1A7" w14:textId="77777777" w:rsidR="000262AB" w:rsidRPr="00EC66A1" w:rsidRDefault="000262AB" w:rsidP="000262AB">
      <w:pPr>
        <w:pStyle w:val="ListNumber"/>
        <w:numPr>
          <w:ilvl w:val="0"/>
          <w:numId w:val="23"/>
        </w:numPr>
        <w:rPr>
          <w:rFonts w:ascii="Arial" w:hAnsi="Arial" w:cs="Arial"/>
        </w:rPr>
      </w:pPr>
      <w:r w:rsidRPr="00EC66A1">
        <w:rPr>
          <w:rFonts w:ascii="Arial" w:hAnsi="Arial" w:cs="Arial"/>
        </w:rPr>
        <w:t xml:space="preserve">Bishnoi M and Malik R (2008). Groundwater quality in environmentally degraded localities of Panipat city, India. Journal of Environmental Biology, Vol. 29 (6), pp: 881-886. </w:t>
      </w:r>
    </w:p>
    <w:p w14:paraId="1FB3CFD3" w14:textId="354E2D10" w:rsidR="000262AB" w:rsidRDefault="000262AB" w:rsidP="000262AB">
      <w:pPr>
        <w:pStyle w:val="ListNumber"/>
        <w:numPr>
          <w:ilvl w:val="0"/>
          <w:numId w:val="23"/>
        </w:numPr>
        <w:rPr>
          <w:rFonts w:ascii="Arial" w:hAnsi="Arial" w:cs="Arial"/>
        </w:rPr>
      </w:pPr>
      <w:r w:rsidRPr="00EC66A1">
        <w:rPr>
          <w:rFonts w:ascii="Arial" w:hAnsi="Arial" w:cs="Arial"/>
        </w:rPr>
        <w:t>Chaturwedi, A. K., Kashyap, N. K., Gupta, P., Biswas, S., Shriwas, S. K., Vaishnav, M. M., &amp; Hait, M. (2024). Industrial effluents andtheir impact on water pollution: An overview. ES General, 5, 1203</w:t>
      </w:r>
      <w:r>
        <w:rPr>
          <w:rFonts w:ascii="Arial" w:hAnsi="Arial" w:cs="Arial"/>
        </w:rPr>
        <w:t>.</w:t>
      </w:r>
    </w:p>
    <w:p w14:paraId="55202D4F" w14:textId="77777777" w:rsidR="00B84233" w:rsidRPr="00EC66A1" w:rsidRDefault="00B84233" w:rsidP="00B84233">
      <w:pPr>
        <w:pStyle w:val="ListNumber"/>
        <w:numPr>
          <w:ilvl w:val="0"/>
          <w:numId w:val="0"/>
        </w:numPr>
        <w:ind w:left="720"/>
        <w:rPr>
          <w:rFonts w:ascii="Arial" w:hAnsi="Arial" w:cs="Arial"/>
        </w:rPr>
      </w:pPr>
      <w:hyperlink r:id="rId24" w:history="1">
        <w:r w:rsidRPr="00EC66A1">
          <w:rPr>
            <w:rStyle w:val="Hyperlink"/>
            <w:rFonts w:ascii="Arial" w:hAnsi="Arial" w:cs="Arial"/>
          </w:rPr>
          <w:t>https://doi.org/10.30919/esg1203</w:t>
        </w:r>
      </w:hyperlink>
    </w:p>
    <w:p w14:paraId="0E82E243" w14:textId="77777777" w:rsidR="000262AB" w:rsidRPr="00EC66A1" w:rsidRDefault="000262AB" w:rsidP="000262AB">
      <w:pPr>
        <w:pStyle w:val="ListNumber"/>
        <w:numPr>
          <w:ilvl w:val="0"/>
          <w:numId w:val="23"/>
        </w:numPr>
        <w:rPr>
          <w:rFonts w:ascii="Arial" w:hAnsi="Arial" w:cs="Arial"/>
        </w:rPr>
      </w:pPr>
      <w:r w:rsidRPr="00EC66A1">
        <w:rPr>
          <w:rFonts w:ascii="Arial" w:hAnsi="Arial" w:cs="Arial"/>
        </w:rPr>
        <w:t>Environmental Protection Agency. (2021). National Primary Drinking Water Regulations. United States EPA.</w:t>
      </w:r>
    </w:p>
    <w:p w14:paraId="740C3643" w14:textId="77777777" w:rsidR="000262AB" w:rsidRPr="00EC66A1" w:rsidRDefault="000262AB" w:rsidP="000262AB">
      <w:pPr>
        <w:pStyle w:val="ListNumber"/>
        <w:numPr>
          <w:ilvl w:val="0"/>
          <w:numId w:val="23"/>
        </w:numPr>
        <w:rPr>
          <w:rFonts w:ascii="Arial" w:hAnsi="Arial" w:cs="Arial"/>
        </w:rPr>
      </w:pPr>
      <w:r w:rsidRPr="00EC66A1">
        <w:rPr>
          <w:rFonts w:ascii="Arial" w:hAnsi="Arial" w:cs="Arial"/>
        </w:rPr>
        <w:t xml:space="preserve">Fathi, Ahmed &amp; Abdelaziz, Shokry &amp; Gad, Mohamed &amp; Youssef, Tahani. (2021). Evaluation of Groundwater Quality for drinking and irrigation purposes Case Study (El-Tur City). </w:t>
      </w:r>
    </w:p>
    <w:p w14:paraId="760F090C" w14:textId="6C0516E4" w:rsidR="000262AB" w:rsidRDefault="000262AB" w:rsidP="000262AB">
      <w:pPr>
        <w:pStyle w:val="ListNumber"/>
        <w:numPr>
          <w:ilvl w:val="0"/>
          <w:numId w:val="23"/>
        </w:numPr>
        <w:rPr>
          <w:rFonts w:ascii="Arial" w:hAnsi="Arial" w:cs="Arial"/>
        </w:rPr>
      </w:pPr>
      <w:r w:rsidRPr="0004777D">
        <w:rPr>
          <w:rFonts w:ascii="Arial" w:hAnsi="Arial" w:cs="Arial"/>
          <w:lang w:val="nl-BE"/>
        </w:rPr>
        <w:t xml:space="preserve">Ganiyu, S.A., Badmus, B.S., Olurin, O.T. </w:t>
      </w:r>
      <w:r w:rsidRPr="0004777D">
        <w:rPr>
          <w:rFonts w:ascii="Arial" w:eastAsia="Times New Roman" w:hAnsi="Arial" w:cs="Arial"/>
          <w:i/>
          <w:lang w:val="nl-BE"/>
        </w:rPr>
        <w:t>et al</w:t>
      </w:r>
      <w:r w:rsidRPr="0004777D">
        <w:rPr>
          <w:rFonts w:ascii="Arial" w:hAnsi="Arial" w:cs="Arial"/>
          <w:lang w:val="nl-BE"/>
        </w:rPr>
        <w:t xml:space="preserve">. </w:t>
      </w:r>
      <w:r w:rsidRPr="00EC66A1">
        <w:rPr>
          <w:rFonts w:ascii="Arial" w:hAnsi="Arial" w:cs="Arial"/>
        </w:rPr>
        <w:t xml:space="preserve">(2018). Evaluation of seasonal variation of water quality using multivariate statistical analysis and irrigation parameter indices in the Ajakanga area, Ibadan, Nigeria. </w:t>
      </w:r>
      <w:r w:rsidRPr="00EC66A1">
        <w:rPr>
          <w:rFonts w:ascii="Arial" w:eastAsia="Times New Roman" w:hAnsi="Arial" w:cs="Arial"/>
          <w:i/>
        </w:rPr>
        <w:t>Appl water sci</w:t>
      </w:r>
      <w:r w:rsidRPr="00EC66A1">
        <w:rPr>
          <w:rFonts w:ascii="Arial" w:hAnsi="Arial" w:cs="Arial"/>
        </w:rPr>
        <w:t xml:space="preserve"> ,8, 357.</w:t>
      </w:r>
    </w:p>
    <w:p w14:paraId="1A4C2B22" w14:textId="150571AB" w:rsidR="005F3DAF" w:rsidRDefault="005F3DAF" w:rsidP="005F3DAF">
      <w:pPr>
        <w:pStyle w:val="ListNumber"/>
        <w:numPr>
          <w:ilvl w:val="0"/>
          <w:numId w:val="0"/>
        </w:numPr>
        <w:spacing w:after="273" w:line="259" w:lineRule="auto"/>
        <w:ind w:left="720"/>
        <w:rPr>
          <w:rFonts w:ascii="Arial" w:hAnsi="Arial" w:cs="Arial"/>
        </w:rPr>
      </w:pPr>
      <w:hyperlink r:id="rId25">
        <w:r w:rsidRPr="00EC66A1">
          <w:rPr>
            <w:rFonts w:ascii="Arial" w:hAnsi="Arial" w:cs="Arial"/>
            <w:color w:val="0000FF"/>
            <w:u w:val="single" w:color="0000FF"/>
          </w:rPr>
          <w:t>https://doi.org/10.1007/s13201</w:t>
        </w:r>
      </w:hyperlink>
      <w:hyperlink r:id="rId26">
        <w:r w:rsidRPr="00EC66A1">
          <w:rPr>
            <w:rFonts w:ascii="Arial" w:hAnsi="Arial" w:cs="Arial"/>
            <w:color w:val="0000FF"/>
            <w:u w:val="single" w:color="0000FF"/>
          </w:rPr>
          <w:t>-</w:t>
        </w:r>
      </w:hyperlink>
      <w:hyperlink r:id="rId27">
        <w:r w:rsidRPr="00EC66A1">
          <w:rPr>
            <w:rFonts w:ascii="Arial" w:hAnsi="Arial" w:cs="Arial"/>
            <w:color w:val="0000FF"/>
            <w:u w:val="single" w:color="0000FF"/>
          </w:rPr>
          <w:t>018</w:t>
        </w:r>
      </w:hyperlink>
      <w:hyperlink r:id="rId28">
        <w:r w:rsidRPr="00EC66A1">
          <w:rPr>
            <w:rFonts w:ascii="Arial" w:hAnsi="Arial" w:cs="Arial"/>
            <w:color w:val="0000FF"/>
            <w:u w:val="single" w:color="0000FF"/>
          </w:rPr>
          <w:t>-</w:t>
        </w:r>
      </w:hyperlink>
      <w:hyperlink r:id="rId29">
        <w:r w:rsidRPr="00EC66A1">
          <w:rPr>
            <w:rFonts w:ascii="Arial" w:hAnsi="Arial" w:cs="Arial"/>
            <w:color w:val="0000FF"/>
            <w:u w:val="single" w:color="0000FF"/>
          </w:rPr>
          <w:t>0677</w:t>
        </w:r>
      </w:hyperlink>
      <w:hyperlink r:id="rId30">
        <w:r w:rsidRPr="00EC66A1">
          <w:rPr>
            <w:rFonts w:ascii="Arial" w:hAnsi="Arial" w:cs="Arial"/>
            <w:color w:val="0000FF"/>
            <w:u w:val="single" w:color="0000FF"/>
          </w:rPr>
          <w:t>-</w:t>
        </w:r>
      </w:hyperlink>
      <w:hyperlink r:id="rId31">
        <w:r w:rsidRPr="00EC66A1">
          <w:rPr>
            <w:rFonts w:ascii="Arial" w:hAnsi="Arial" w:cs="Arial"/>
            <w:color w:val="0000FF"/>
            <w:u w:val="single" w:color="0000FF"/>
          </w:rPr>
          <w:t>y</w:t>
        </w:r>
      </w:hyperlink>
      <w:hyperlink r:id="rId32">
        <w:r w:rsidRPr="00EC66A1">
          <w:rPr>
            <w:rFonts w:ascii="Arial" w:hAnsi="Arial" w:cs="Arial"/>
            <w:color w:val="0000FF"/>
            <w:u w:val="single" w:color="0000FF"/>
          </w:rPr>
          <w:t>.</w:t>
        </w:r>
      </w:hyperlink>
      <w:r w:rsidRPr="00EC66A1">
        <w:rPr>
          <w:rFonts w:ascii="Arial" w:hAnsi="Arial" w:cs="Arial"/>
          <w:color w:val="222222"/>
        </w:rPr>
        <w:t xml:space="preserve"> </w:t>
      </w:r>
    </w:p>
    <w:p w14:paraId="23BC38F5" w14:textId="5DCCCDF1" w:rsidR="000262AB" w:rsidRPr="00EC66A1" w:rsidRDefault="000262AB" w:rsidP="000262AB">
      <w:pPr>
        <w:pStyle w:val="ListNumber"/>
        <w:numPr>
          <w:ilvl w:val="0"/>
          <w:numId w:val="23"/>
        </w:numPr>
        <w:rPr>
          <w:rFonts w:ascii="Arial" w:hAnsi="Arial" w:cs="Arial"/>
        </w:rPr>
      </w:pPr>
      <w:r w:rsidRPr="00EC66A1">
        <w:rPr>
          <w:rFonts w:ascii="Arial" w:hAnsi="Arial" w:cs="Arial"/>
        </w:rPr>
        <w:t xml:space="preserve">Gupta, Rachana &amp; Singh, Deepesh. (2023). Impact of Urbanization on Groundwater Level in Kanpur City, Uttar Pradesh. 10.55084/grinrey/ERT/978-81-964105-3-7_2. </w:t>
      </w:r>
    </w:p>
    <w:p w14:paraId="1EFFCE12" w14:textId="773D72D1" w:rsidR="000262AB" w:rsidRDefault="000262AB" w:rsidP="000262AB">
      <w:pPr>
        <w:pStyle w:val="ListNumber"/>
        <w:numPr>
          <w:ilvl w:val="0"/>
          <w:numId w:val="23"/>
        </w:numPr>
        <w:rPr>
          <w:rFonts w:ascii="Arial" w:hAnsi="Arial" w:cs="Arial"/>
        </w:rPr>
      </w:pPr>
      <w:r w:rsidRPr="00EC66A1">
        <w:rPr>
          <w:rFonts w:ascii="Arial" w:hAnsi="Arial" w:cs="Arial"/>
        </w:rPr>
        <w:t xml:space="preserve">Gupta, V., Kumar, D., Dwivedi, A., &amp; others. (2023). Heavy metal contamination in river water, sediment, groundwater and human blood, from Kanpur, Uttar Pradesh, India. Environmental Geochemistry and Health, 45(5), 1807–1818. </w:t>
      </w:r>
    </w:p>
    <w:p w14:paraId="186413E0" w14:textId="77777777" w:rsidR="00A81695" w:rsidRPr="00EC66A1" w:rsidRDefault="00A81695" w:rsidP="00A81695">
      <w:pPr>
        <w:pStyle w:val="ListNumber"/>
        <w:numPr>
          <w:ilvl w:val="0"/>
          <w:numId w:val="0"/>
        </w:numPr>
        <w:ind w:left="720"/>
        <w:rPr>
          <w:rFonts w:ascii="Arial" w:hAnsi="Arial" w:cs="Arial"/>
        </w:rPr>
      </w:pPr>
      <w:hyperlink r:id="rId33" w:history="1">
        <w:r w:rsidRPr="00EC66A1">
          <w:rPr>
            <w:rStyle w:val="Hyperlink"/>
            <w:rFonts w:ascii="Arial" w:hAnsi="Arial" w:cs="Arial"/>
          </w:rPr>
          <w:t>https://doi.org/10.1007/s10653-022-01290-0</w:t>
        </w:r>
      </w:hyperlink>
    </w:p>
    <w:p w14:paraId="3D37969E" w14:textId="5DD4A658" w:rsidR="000262AB" w:rsidRDefault="000262AB" w:rsidP="000262AB">
      <w:pPr>
        <w:pStyle w:val="ListNumber"/>
        <w:numPr>
          <w:ilvl w:val="0"/>
          <w:numId w:val="23"/>
        </w:numPr>
        <w:rPr>
          <w:rFonts w:ascii="Arial" w:hAnsi="Arial" w:cs="Arial"/>
        </w:rPr>
      </w:pPr>
      <w:r w:rsidRPr="00EC66A1">
        <w:rPr>
          <w:rFonts w:ascii="Arial" w:hAnsi="Arial" w:cs="Arial"/>
        </w:rPr>
        <w:t>Kanel, S. R., Das, T. K., Varma, R. S., Kurwadkar, S., Chakraborty, S., Joshi, T. P., Bezbaruah, A. N., &amp; Nadagouda, M. N. (2023). Arsenic contamination in groundwater: Geochemical basis of treatment technologies. ACS Environmental Au, 3(3), 135–152.</w:t>
      </w:r>
    </w:p>
    <w:p w14:paraId="5A273C12" w14:textId="77777777" w:rsidR="00DC23C2" w:rsidRPr="00EC66A1" w:rsidRDefault="00DC23C2" w:rsidP="00DC23C2">
      <w:pPr>
        <w:pStyle w:val="ListNumber"/>
        <w:numPr>
          <w:ilvl w:val="0"/>
          <w:numId w:val="0"/>
        </w:numPr>
        <w:ind w:left="720"/>
        <w:rPr>
          <w:rFonts w:ascii="Arial" w:hAnsi="Arial" w:cs="Arial"/>
        </w:rPr>
      </w:pPr>
      <w:hyperlink r:id="rId34" w:history="1">
        <w:r w:rsidRPr="00EC66A1">
          <w:rPr>
            <w:rStyle w:val="Hyperlink"/>
            <w:rFonts w:ascii="Arial" w:hAnsi="Arial" w:cs="Arial"/>
          </w:rPr>
          <w:t>https://doi.org/10.1021/acsenvironau.2c00053</w:t>
        </w:r>
      </w:hyperlink>
    </w:p>
    <w:p w14:paraId="646F2D5F" w14:textId="3203783E" w:rsidR="000262AB" w:rsidRDefault="000262AB" w:rsidP="000262AB">
      <w:pPr>
        <w:pStyle w:val="ListNumber"/>
        <w:numPr>
          <w:ilvl w:val="0"/>
          <w:numId w:val="23"/>
        </w:numPr>
        <w:rPr>
          <w:rFonts w:ascii="Arial" w:hAnsi="Arial" w:cs="Arial"/>
        </w:rPr>
      </w:pPr>
      <w:r w:rsidRPr="0004777D">
        <w:rPr>
          <w:rFonts w:ascii="Arial" w:hAnsi="Arial" w:cs="Arial"/>
          <w:lang w:val="nl-BE"/>
        </w:rPr>
        <w:t xml:space="preserve">Kapoor, K., Kumar, S., &amp; Vishwakarma, D. K. (2024). </w:t>
      </w:r>
      <w:r w:rsidRPr="00EC66A1">
        <w:rPr>
          <w:rFonts w:ascii="Arial" w:hAnsi="Arial" w:cs="Arial"/>
        </w:rPr>
        <w:t xml:space="preserve">Health risk assessment of heavy metals in groundwater sources: carcinogenic and non-carcinogenic evaluation. Journal of Water and Health, 22(10), 1972-1987. </w:t>
      </w:r>
    </w:p>
    <w:p w14:paraId="4A28B4A5" w14:textId="451FC7BD" w:rsidR="00B2159B" w:rsidRDefault="00B2159B" w:rsidP="00B2159B">
      <w:pPr>
        <w:pStyle w:val="ListNumber"/>
        <w:numPr>
          <w:ilvl w:val="0"/>
          <w:numId w:val="0"/>
        </w:numPr>
        <w:ind w:left="720"/>
        <w:rPr>
          <w:rStyle w:val="Hyperlink"/>
          <w:rFonts w:ascii="Arial" w:hAnsi="Arial" w:cs="Arial"/>
        </w:rPr>
      </w:pPr>
      <w:hyperlink r:id="rId35" w:history="1">
        <w:r w:rsidRPr="00EC66A1">
          <w:rPr>
            <w:rStyle w:val="Hyperlink"/>
            <w:rFonts w:ascii="Arial" w:hAnsi="Arial" w:cs="Arial"/>
          </w:rPr>
          <w:t>https://doi.org/10.2166/wh.2024.243</w:t>
        </w:r>
      </w:hyperlink>
    </w:p>
    <w:p w14:paraId="6F3E7792" w14:textId="77777777" w:rsidR="00C360A8" w:rsidRDefault="00C360A8" w:rsidP="00B2159B">
      <w:pPr>
        <w:pStyle w:val="ListNumber"/>
        <w:numPr>
          <w:ilvl w:val="0"/>
          <w:numId w:val="0"/>
        </w:numPr>
        <w:ind w:left="720"/>
        <w:rPr>
          <w:rStyle w:val="Hyperlink"/>
          <w:rFonts w:ascii="Arial" w:hAnsi="Arial" w:cs="Arial"/>
        </w:rPr>
      </w:pPr>
    </w:p>
    <w:p w14:paraId="1DC3A13A" w14:textId="77777777" w:rsidR="00635F75" w:rsidRPr="00EC66A1" w:rsidRDefault="00635F75" w:rsidP="00B2159B">
      <w:pPr>
        <w:pStyle w:val="ListNumber"/>
        <w:numPr>
          <w:ilvl w:val="0"/>
          <w:numId w:val="0"/>
        </w:numPr>
        <w:ind w:left="720"/>
        <w:rPr>
          <w:rFonts w:ascii="Arial" w:hAnsi="Arial" w:cs="Arial"/>
        </w:rPr>
      </w:pPr>
    </w:p>
    <w:p w14:paraId="7BB8A15D" w14:textId="454C2E7C" w:rsidR="000262AB" w:rsidRDefault="000262AB" w:rsidP="000262AB">
      <w:pPr>
        <w:pStyle w:val="ListNumber"/>
        <w:numPr>
          <w:ilvl w:val="0"/>
          <w:numId w:val="23"/>
        </w:numPr>
        <w:spacing w:after="0"/>
        <w:rPr>
          <w:rFonts w:ascii="Arial" w:hAnsi="Arial" w:cs="Arial"/>
        </w:rPr>
      </w:pPr>
      <w:r w:rsidRPr="0004777D">
        <w:rPr>
          <w:rFonts w:ascii="Arial" w:hAnsi="Arial" w:cs="Arial"/>
          <w:lang w:val="nl-BE"/>
        </w:rPr>
        <w:t xml:space="preserve">Manna, S., Das, P., &amp; De, S. (2024). </w:t>
      </w:r>
      <w:r w:rsidRPr="006D1397">
        <w:rPr>
          <w:rFonts w:ascii="Arial" w:hAnsi="Arial" w:cs="Arial"/>
        </w:rPr>
        <w:t xml:space="preserve">Groundwater hardness and alkalinity as risk factors for kidney stone disease. Journal of Nephrology and Renal Health, 8(1), 5. </w:t>
      </w:r>
    </w:p>
    <w:p w14:paraId="17A8962B" w14:textId="77777777" w:rsidR="00A81695" w:rsidRPr="00EC66A1" w:rsidRDefault="00A81695" w:rsidP="00A81695">
      <w:pPr>
        <w:pStyle w:val="ListNumber"/>
        <w:numPr>
          <w:ilvl w:val="0"/>
          <w:numId w:val="0"/>
        </w:numPr>
        <w:spacing w:after="0"/>
        <w:ind w:left="720"/>
        <w:rPr>
          <w:rFonts w:ascii="Arial" w:hAnsi="Arial" w:cs="Arial"/>
        </w:rPr>
      </w:pPr>
      <w:hyperlink r:id="rId36" w:history="1">
        <w:r w:rsidRPr="00EC66A1">
          <w:rPr>
            <w:rStyle w:val="Hyperlink"/>
            <w:rFonts w:ascii="Arial" w:hAnsi="Arial" w:cs="Arial"/>
          </w:rPr>
          <w:t>https://doi.org/10.17352/2455-5495.000105</w:t>
        </w:r>
      </w:hyperlink>
    </w:p>
    <w:p w14:paraId="0537B870" w14:textId="77777777" w:rsidR="000262AB" w:rsidRPr="00EC66A1" w:rsidRDefault="000262AB" w:rsidP="000262AB">
      <w:pPr>
        <w:pStyle w:val="ListNumber"/>
        <w:numPr>
          <w:ilvl w:val="0"/>
          <w:numId w:val="23"/>
        </w:numPr>
        <w:rPr>
          <w:rFonts w:ascii="Arial" w:hAnsi="Arial" w:cs="Arial"/>
        </w:rPr>
      </w:pPr>
      <w:r w:rsidRPr="00EC66A1">
        <w:rPr>
          <w:rFonts w:ascii="Arial" w:hAnsi="Arial" w:cs="Arial"/>
        </w:rPr>
        <w:t>Misra, A. K. (2013). Physico-chemical analysis of drinking water in some rural areas of Kanpur. Biospectra, 8(1), 105–108.</w:t>
      </w:r>
    </w:p>
    <w:p w14:paraId="479EB263" w14:textId="061B3675" w:rsidR="000262AB" w:rsidRDefault="000262AB" w:rsidP="000262AB">
      <w:pPr>
        <w:pStyle w:val="ListNumber"/>
        <w:numPr>
          <w:ilvl w:val="0"/>
          <w:numId w:val="23"/>
        </w:numPr>
        <w:rPr>
          <w:rFonts w:ascii="Arial" w:hAnsi="Arial" w:cs="Arial"/>
        </w:rPr>
      </w:pPr>
      <w:r w:rsidRPr="00EC66A1">
        <w:rPr>
          <w:rFonts w:ascii="Arial" w:hAnsi="Arial" w:cs="Arial"/>
        </w:rPr>
        <w:t>Mukhopadhyay, A., Ghosh, P., Jana, J., &amp; Chatterjee, D. (2025). Arsenic and microbial contamination in drinking water wells: A field study in West Bengal, India. Journal of Environmental Science, Health &amp; Sustainability, 1(1), 27–37</w:t>
      </w:r>
      <w:r>
        <w:rPr>
          <w:rFonts w:ascii="Arial" w:hAnsi="Arial" w:cs="Arial"/>
        </w:rPr>
        <w:t>.</w:t>
      </w:r>
    </w:p>
    <w:p w14:paraId="1ED1FC5B" w14:textId="77777777" w:rsidR="00CE0597" w:rsidRPr="00EC66A1" w:rsidRDefault="00CE0597" w:rsidP="00CE0597">
      <w:pPr>
        <w:pStyle w:val="ListNumber"/>
        <w:numPr>
          <w:ilvl w:val="0"/>
          <w:numId w:val="0"/>
        </w:numPr>
        <w:ind w:left="720"/>
        <w:rPr>
          <w:rFonts w:ascii="Arial" w:hAnsi="Arial" w:cs="Arial"/>
        </w:rPr>
      </w:pPr>
      <w:hyperlink r:id="rId37" w:history="1">
        <w:r w:rsidRPr="00EC66A1">
          <w:rPr>
            <w:rStyle w:val="Hyperlink"/>
            <w:rFonts w:ascii="Arial" w:hAnsi="Arial" w:cs="Arial"/>
          </w:rPr>
          <w:t>https://doi.org/10.63697/jeshs.2025.011</w:t>
        </w:r>
      </w:hyperlink>
    </w:p>
    <w:p w14:paraId="4A556400" w14:textId="650C4132" w:rsidR="000262AB" w:rsidRDefault="000262AB" w:rsidP="000262AB">
      <w:pPr>
        <w:pStyle w:val="ListNumber"/>
        <w:numPr>
          <w:ilvl w:val="0"/>
          <w:numId w:val="23"/>
        </w:numPr>
        <w:rPr>
          <w:rFonts w:ascii="Arial" w:hAnsi="Arial" w:cs="Arial"/>
        </w:rPr>
      </w:pPr>
      <w:r w:rsidRPr="000262AB">
        <w:rPr>
          <w:rFonts w:ascii="Arial" w:hAnsi="Arial" w:cs="Arial"/>
        </w:rPr>
        <w:t>Shaji, E., Sarath, K. V., Santosh, M., Krishnaprasad, P. K., Arya, B. K., &amp; Babu, M. S. (2024). Fluoride contamination in groundwater: A global review of the status, processes, challenges, and remedial measures. Geoscience Frontiers, 15(2), Article 101734.</w:t>
      </w:r>
    </w:p>
    <w:p w14:paraId="59450BB7" w14:textId="743F1540" w:rsidR="00DC23C2" w:rsidRPr="00EC66A1" w:rsidRDefault="00DC23C2" w:rsidP="00DC23C2">
      <w:pPr>
        <w:pStyle w:val="ListNumber"/>
        <w:numPr>
          <w:ilvl w:val="0"/>
          <w:numId w:val="0"/>
        </w:numPr>
        <w:ind w:left="720"/>
        <w:rPr>
          <w:rFonts w:ascii="Arial" w:hAnsi="Arial" w:cs="Arial"/>
        </w:rPr>
      </w:pPr>
      <w:hyperlink r:id="rId38" w:history="1">
        <w:r w:rsidRPr="00EC66A1">
          <w:rPr>
            <w:rStyle w:val="Hyperlink"/>
            <w:rFonts w:ascii="Arial" w:hAnsi="Arial" w:cs="Arial"/>
          </w:rPr>
          <w:t>https://doi.org/10.1016/j.gsf.2023.101734</w:t>
        </w:r>
      </w:hyperlink>
    </w:p>
    <w:p w14:paraId="7B778097" w14:textId="71113C69" w:rsidR="000262AB" w:rsidRDefault="000262AB" w:rsidP="000262AB">
      <w:pPr>
        <w:pStyle w:val="ListNumber"/>
        <w:numPr>
          <w:ilvl w:val="0"/>
          <w:numId w:val="23"/>
        </w:numPr>
        <w:rPr>
          <w:rFonts w:ascii="Arial" w:hAnsi="Arial" w:cs="Arial"/>
        </w:rPr>
      </w:pPr>
      <w:r w:rsidRPr="00EC66A1">
        <w:rPr>
          <w:rFonts w:ascii="Arial" w:hAnsi="Arial" w:cs="Arial"/>
        </w:rPr>
        <w:t xml:space="preserve">Singh, A., Durbha, K. S., Sinha, A., &amp; Pasupuleti, S. (2024). Comparative assessment of fluoride and arsenic mobilization mechanisms among the groundwater of the major affected river basins of India. Water Supply, 24(9), 2969–2998. </w:t>
      </w:r>
    </w:p>
    <w:p w14:paraId="79529203" w14:textId="44B25BBA" w:rsidR="005B4042" w:rsidRPr="00EC66A1" w:rsidRDefault="005B4042" w:rsidP="005B4042">
      <w:pPr>
        <w:pStyle w:val="ListNumber"/>
        <w:numPr>
          <w:ilvl w:val="0"/>
          <w:numId w:val="0"/>
        </w:numPr>
        <w:ind w:left="720"/>
        <w:rPr>
          <w:rFonts w:ascii="Arial" w:hAnsi="Arial" w:cs="Arial"/>
        </w:rPr>
      </w:pPr>
      <w:hyperlink r:id="rId39" w:history="1">
        <w:r w:rsidRPr="00EC66A1">
          <w:rPr>
            <w:rStyle w:val="Hyperlink"/>
            <w:rFonts w:ascii="Arial" w:hAnsi="Arial" w:cs="Arial"/>
          </w:rPr>
          <w:t>https://doi.org/10.2166/ws.2024.196</w:t>
        </w:r>
      </w:hyperlink>
    </w:p>
    <w:p w14:paraId="68AAABAE" w14:textId="57223F73" w:rsidR="000262AB" w:rsidRDefault="000262AB" w:rsidP="000262AB">
      <w:pPr>
        <w:pStyle w:val="ListNumber"/>
        <w:numPr>
          <w:ilvl w:val="0"/>
          <w:numId w:val="23"/>
        </w:numPr>
        <w:spacing w:after="0"/>
        <w:rPr>
          <w:rFonts w:ascii="Arial" w:hAnsi="Arial" w:cs="Arial"/>
        </w:rPr>
      </w:pPr>
      <w:r w:rsidRPr="006D1397">
        <w:rPr>
          <w:rFonts w:ascii="Arial" w:hAnsi="Arial" w:cs="Arial"/>
        </w:rPr>
        <w:t>Thakur, D., Sharma, P., &amp; Singh, R. (2024). Microbial assessment of drinking water sources in Himachal Pradesh, India: Prevalence of coliforms and Escherichia coli in groundwater. Indian Journal of Public Health, 68(2), 210-217.</w:t>
      </w:r>
    </w:p>
    <w:p w14:paraId="202370BC" w14:textId="40ECA372" w:rsidR="00B2159B" w:rsidRPr="00EC66A1" w:rsidRDefault="00B2159B" w:rsidP="00B2159B">
      <w:pPr>
        <w:pStyle w:val="ListNumber"/>
        <w:numPr>
          <w:ilvl w:val="0"/>
          <w:numId w:val="0"/>
        </w:numPr>
        <w:ind w:left="720"/>
        <w:rPr>
          <w:rFonts w:ascii="Arial" w:hAnsi="Arial" w:cs="Arial"/>
        </w:rPr>
      </w:pPr>
      <w:hyperlink r:id="rId40" w:history="1">
        <w:r w:rsidRPr="00FA7FFD">
          <w:rPr>
            <w:rStyle w:val="Hyperlink"/>
            <w:rFonts w:ascii="Arial" w:hAnsi="Arial" w:cs="Arial"/>
          </w:rPr>
          <w:t>https://doi.org/10.4103/ijph.ijph_372_24</w:t>
        </w:r>
      </w:hyperlink>
    </w:p>
    <w:p w14:paraId="066E948F" w14:textId="77777777" w:rsidR="000262AB" w:rsidRPr="00EC66A1" w:rsidRDefault="000262AB" w:rsidP="000262AB">
      <w:pPr>
        <w:pStyle w:val="ListNumber"/>
        <w:numPr>
          <w:ilvl w:val="0"/>
          <w:numId w:val="23"/>
        </w:numPr>
        <w:rPr>
          <w:rFonts w:ascii="Arial" w:hAnsi="Arial" w:cs="Arial"/>
        </w:rPr>
      </w:pPr>
      <w:r w:rsidRPr="00EC66A1">
        <w:rPr>
          <w:rFonts w:ascii="Arial" w:hAnsi="Arial" w:cs="Arial"/>
        </w:rPr>
        <w:t>WHO. (2022). Guidelines for drinking-water quality (4th ed., updated 2022). World Health Organization.</w:t>
      </w:r>
    </w:p>
    <w:p w14:paraId="210CB477" w14:textId="77777777" w:rsidR="000262AB" w:rsidRPr="00EC66A1" w:rsidRDefault="000262AB" w:rsidP="000262AB">
      <w:pPr>
        <w:pStyle w:val="ListNumber"/>
        <w:numPr>
          <w:ilvl w:val="0"/>
          <w:numId w:val="23"/>
        </w:numPr>
        <w:rPr>
          <w:rFonts w:ascii="Arial" w:hAnsi="Arial" w:cs="Arial"/>
        </w:rPr>
      </w:pPr>
      <w:r w:rsidRPr="00EC66A1">
        <w:rPr>
          <w:rFonts w:ascii="Arial" w:hAnsi="Arial" w:cs="Arial"/>
        </w:rPr>
        <w:t>Yadav, N., &amp; Tripathi, S. (2021). Groundwater vulnerability mapping in the Kanpur region using DRASTIC model. Geoscience Frontiers India, 6(3), 67–75.</w:t>
      </w:r>
    </w:p>
    <w:p w14:paraId="1476C800" w14:textId="0B6FAC18" w:rsidR="0031443A" w:rsidRDefault="0031443A" w:rsidP="0031443A">
      <w:pPr>
        <w:pStyle w:val="ListNumber"/>
        <w:numPr>
          <w:ilvl w:val="0"/>
          <w:numId w:val="23"/>
        </w:numPr>
        <w:rPr>
          <w:rFonts w:ascii="Arial" w:hAnsi="Arial" w:cs="Arial"/>
        </w:rPr>
      </w:pPr>
      <w:r w:rsidRPr="00EC66A1">
        <w:rPr>
          <w:rFonts w:ascii="Arial" w:hAnsi="Arial" w:cs="Arial"/>
        </w:rPr>
        <w:t>Yadav, S., &amp; Yadav, E. (2025). Assessment of heavy metal pollution in groundwater in the industrial area of Kanpur Nagar, Uttar Pradesh, India. Journal of Experimental Zoology, India, 28(2), 1837.</w:t>
      </w:r>
    </w:p>
    <w:p w14:paraId="1A232CA9" w14:textId="77777777" w:rsidR="002D3158" w:rsidRPr="00EC66A1" w:rsidRDefault="002D3158" w:rsidP="002D3158">
      <w:pPr>
        <w:pStyle w:val="ListNumber"/>
        <w:numPr>
          <w:ilvl w:val="0"/>
          <w:numId w:val="0"/>
        </w:numPr>
        <w:ind w:left="720"/>
        <w:rPr>
          <w:rFonts w:ascii="Arial" w:hAnsi="Arial" w:cs="Arial"/>
        </w:rPr>
      </w:pPr>
      <w:hyperlink r:id="rId41" w:history="1">
        <w:r w:rsidRPr="00EC66A1">
          <w:rPr>
            <w:rStyle w:val="Hyperlink"/>
            <w:rFonts w:ascii="Arial" w:hAnsi="Arial" w:cs="Arial"/>
          </w:rPr>
          <w:t>https://doi.org/10.51470/jez.2025.28.2.1837</w:t>
        </w:r>
      </w:hyperlink>
    </w:p>
    <w:p w14:paraId="5629BC21" w14:textId="77777777" w:rsidR="002D3158" w:rsidRPr="00EC66A1" w:rsidRDefault="002D3158" w:rsidP="002D3158">
      <w:pPr>
        <w:pStyle w:val="ListNumber"/>
        <w:numPr>
          <w:ilvl w:val="0"/>
          <w:numId w:val="0"/>
        </w:numPr>
        <w:ind w:left="720"/>
        <w:rPr>
          <w:rFonts w:ascii="Arial" w:hAnsi="Arial" w:cs="Arial"/>
        </w:rPr>
      </w:pPr>
    </w:p>
    <w:p w14:paraId="2BE35A0E" w14:textId="77777777" w:rsidR="0031443A" w:rsidRPr="00EC66A1" w:rsidRDefault="0031443A" w:rsidP="0031443A">
      <w:pPr>
        <w:spacing w:after="6" w:line="356" w:lineRule="auto"/>
        <w:ind w:right="101"/>
        <w:rPr>
          <w:rFonts w:ascii="Arial" w:hAnsi="Arial" w:cs="Arial"/>
        </w:rPr>
      </w:pPr>
    </w:p>
    <w:p w14:paraId="4132CC8E" w14:textId="77777777" w:rsidR="000262AB" w:rsidRPr="00EC66A1" w:rsidRDefault="000262AB" w:rsidP="0031443A">
      <w:pPr>
        <w:pStyle w:val="ListNumber"/>
        <w:numPr>
          <w:ilvl w:val="0"/>
          <w:numId w:val="0"/>
        </w:numPr>
        <w:ind w:left="360" w:hanging="360"/>
        <w:rPr>
          <w:rFonts w:ascii="Arial" w:hAnsi="Arial" w:cs="Arial"/>
        </w:rPr>
      </w:pPr>
    </w:p>
    <w:p w14:paraId="032B6BFD" w14:textId="33DA7D10" w:rsidR="00D0375A" w:rsidRDefault="00D0375A" w:rsidP="00CD5ADA">
      <w:pPr>
        <w:rPr>
          <w:rFonts w:ascii="Arial" w:hAnsi="Arial" w:cs="Arial"/>
          <w:b/>
          <w:bCs/>
        </w:rPr>
      </w:pPr>
    </w:p>
    <w:tbl>
      <w:tblPr>
        <w:tblW w:w="0" w:type="auto"/>
        <w:tblCellMar>
          <w:top w:w="15" w:type="dxa"/>
          <w:left w:w="15" w:type="dxa"/>
          <w:bottom w:w="15" w:type="dxa"/>
          <w:right w:w="15" w:type="dxa"/>
        </w:tblCellMar>
        <w:tblLook w:val="04A0" w:firstRow="1" w:lastRow="0" w:firstColumn="1" w:lastColumn="0" w:noHBand="0" w:noVBand="1"/>
      </w:tblPr>
      <w:tblGrid>
        <w:gridCol w:w="609"/>
        <w:gridCol w:w="8751"/>
      </w:tblGrid>
      <w:tr w:rsidR="00275DE9" w:rsidRPr="00EC66A1" w14:paraId="5994C2DF" w14:textId="77777777" w:rsidTr="00782281">
        <w:tc>
          <w:tcPr>
            <w:tcW w:w="660" w:type="dxa"/>
            <w:tcMar>
              <w:top w:w="0" w:type="dxa"/>
              <w:left w:w="240" w:type="dxa"/>
              <w:bottom w:w="0" w:type="dxa"/>
              <w:right w:w="240" w:type="dxa"/>
            </w:tcMar>
            <w:hideMark/>
          </w:tcPr>
          <w:p w14:paraId="459491C9" w14:textId="77777777" w:rsidR="00275DE9" w:rsidRPr="00D0375A" w:rsidRDefault="00275DE9" w:rsidP="0048675B">
            <w:pPr>
              <w:pStyle w:val="ListParagraph"/>
              <w:numPr>
                <w:ilvl w:val="0"/>
                <w:numId w:val="23"/>
              </w:numPr>
              <w:spacing w:after="0" w:line="240" w:lineRule="auto"/>
              <w:rPr>
                <w:rFonts w:ascii="Arial" w:eastAsia="Times New Roman" w:hAnsi="Arial" w:cs="Arial"/>
                <w:lang w:bidi="hi-IN"/>
              </w:rPr>
            </w:pPr>
          </w:p>
        </w:tc>
        <w:tc>
          <w:tcPr>
            <w:tcW w:w="12396" w:type="dxa"/>
            <w:tcMar>
              <w:top w:w="0" w:type="dxa"/>
              <w:left w:w="0" w:type="dxa"/>
              <w:bottom w:w="0" w:type="dxa"/>
              <w:right w:w="0" w:type="dxa"/>
            </w:tcMar>
            <w:vAlign w:val="center"/>
            <w:hideMark/>
          </w:tcPr>
          <w:p w14:paraId="6FA9A110" w14:textId="77777777" w:rsidR="00275DE9" w:rsidRPr="0048675B" w:rsidRDefault="00275DE9" w:rsidP="0048675B">
            <w:pPr>
              <w:pStyle w:val="ListParagraph"/>
              <w:spacing w:after="0" w:line="240" w:lineRule="auto"/>
              <w:rPr>
                <w:rFonts w:ascii="Arial" w:eastAsia="Times New Roman" w:hAnsi="Arial" w:cs="Arial"/>
                <w:lang w:bidi="hi-IN"/>
              </w:rPr>
            </w:pPr>
          </w:p>
        </w:tc>
      </w:tr>
    </w:tbl>
    <w:p w14:paraId="7B5997AF" w14:textId="77777777" w:rsidR="00A815AC" w:rsidRPr="009B116C" w:rsidRDefault="00A815AC" w:rsidP="009B116C">
      <w:pPr>
        <w:shd w:val="clear" w:color="auto" w:fill="FFFFFF"/>
        <w:spacing w:after="0" w:line="240" w:lineRule="auto"/>
        <w:rPr>
          <w:rFonts w:ascii="Times New Roman" w:hAnsi="Times New Roman" w:cs="Times New Roman"/>
          <w:sz w:val="24"/>
          <w:szCs w:val="24"/>
        </w:rPr>
      </w:pPr>
    </w:p>
    <w:sectPr w:rsidR="00A815AC" w:rsidRPr="009B116C" w:rsidSect="000B65F5">
      <w:headerReference w:type="even" r:id="rId42"/>
      <w:headerReference w:type="default" r:id="rId43"/>
      <w:footerReference w:type="even" r:id="rId44"/>
      <w:footerReference w:type="default" r:id="rId45"/>
      <w:headerReference w:type="first" r:id="rId46"/>
      <w:footerReference w:type="first" r:id="rId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C336B" w14:textId="77777777" w:rsidR="002373AD" w:rsidRDefault="002373AD" w:rsidP="005844B0">
      <w:pPr>
        <w:spacing w:after="0" w:line="240" w:lineRule="auto"/>
      </w:pPr>
      <w:r>
        <w:separator/>
      </w:r>
    </w:p>
  </w:endnote>
  <w:endnote w:type="continuationSeparator" w:id="0">
    <w:p w14:paraId="36F07E15" w14:textId="77777777" w:rsidR="002373AD" w:rsidRDefault="002373AD" w:rsidP="00584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D7BDD" w14:textId="77777777" w:rsidR="00782281" w:rsidRDefault="007822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14458" w14:textId="77777777" w:rsidR="00782281" w:rsidRDefault="007822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17DC9" w14:textId="77777777" w:rsidR="00782281" w:rsidRDefault="007822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1A179" w14:textId="77777777" w:rsidR="002373AD" w:rsidRDefault="002373AD" w:rsidP="005844B0">
      <w:pPr>
        <w:spacing w:after="0" w:line="240" w:lineRule="auto"/>
      </w:pPr>
      <w:r>
        <w:separator/>
      </w:r>
    </w:p>
  </w:footnote>
  <w:footnote w:type="continuationSeparator" w:id="0">
    <w:p w14:paraId="27F6FBAC" w14:textId="77777777" w:rsidR="002373AD" w:rsidRDefault="002373AD" w:rsidP="005844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DA6C2" w14:textId="783C8383" w:rsidR="00782281" w:rsidRDefault="00000000">
    <w:pPr>
      <w:pStyle w:val="Header"/>
    </w:pPr>
    <w:r>
      <w:rPr>
        <w:noProof/>
      </w:rPr>
      <w:pict w14:anchorId="200844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978907" o:spid="_x0000_s1026" type="#_x0000_t136" style="position:absolute;margin-left:0;margin-top:0;width:586.55pt;height:73.3pt;rotation:315;z-index:-251655168;mso-position-horizontal:center;mso-position-horizontal-relative:margin;mso-position-vertical:center;mso-position-vertical-relative:margin" o:allowincell="f" fillcolor="silver" stroked="f">
          <v:fill opacity=".5"/>
          <v:textpath style="font-family:&quot;Cambria&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BF3A6" w14:textId="4E20D5B1" w:rsidR="00782281" w:rsidRDefault="00000000">
    <w:pPr>
      <w:pStyle w:val="Header"/>
    </w:pPr>
    <w:r>
      <w:rPr>
        <w:noProof/>
      </w:rPr>
      <w:pict w14:anchorId="1E661AD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978908" o:spid="_x0000_s1027" type="#_x0000_t136" style="position:absolute;margin-left:0;margin-top:0;width:586.55pt;height:73.3pt;rotation:315;z-index:-251653120;mso-position-horizontal:center;mso-position-horizontal-relative:margin;mso-position-vertical:center;mso-position-vertical-relative:margin" o:allowincell="f" fillcolor="silver" stroked="f">
          <v:fill opacity=".5"/>
          <v:textpath style="font-family:&quot;Cambria&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DB3C5" w14:textId="7AB2ED61" w:rsidR="00782281" w:rsidRDefault="00000000">
    <w:pPr>
      <w:pStyle w:val="Header"/>
    </w:pPr>
    <w:r>
      <w:rPr>
        <w:noProof/>
      </w:rPr>
      <w:pict w14:anchorId="3F1DF0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978906" o:spid="_x0000_s1025" type="#_x0000_t136" style="position:absolute;margin-left:0;margin-top:0;width:586.55pt;height:73.3pt;rotation:315;z-index:-251657216;mso-position-horizontal:center;mso-position-horizontal-relative:margin;mso-position-vertical:center;mso-position-vertical-relative:margin" o:allowincell="f" fillcolor="silver" stroked="f">
          <v:fill opacity=".5"/>
          <v:textpath style="font-family:&quot;Cambria&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6A07C10"/>
    <w:lvl w:ilvl="0">
      <w:start w:val="1"/>
      <w:numFmt w:val="decimal"/>
      <w:lvlText w:val="%1."/>
      <w:lvlJc w:val="left"/>
      <w:pPr>
        <w:tabs>
          <w:tab w:val="num" w:pos="360"/>
        </w:tabs>
        <w:ind w:left="360" w:hanging="360"/>
      </w:pPr>
    </w:lvl>
  </w:abstractNum>
  <w:abstractNum w:abstractNumId="1" w15:restartNumberingAfterBreak="0">
    <w:nsid w:val="00000001"/>
    <w:multiLevelType w:val="singleLevel"/>
    <w:tmpl w:val="E4089024"/>
    <w:lvl w:ilvl="0">
      <w:start w:val="1"/>
      <w:numFmt w:val="decimal"/>
      <w:lvlText w:val="%1."/>
      <w:lvlJc w:val="left"/>
      <w:pPr>
        <w:tabs>
          <w:tab w:val="left" w:pos="1440"/>
        </w:tabs>
        <w:ind w:left="1440" w:hanging="360"/>
      </w:pPr>
    </w:lvl>
  </w:abstractNum>
  <w:abstractNum w:abstractNumId="2" w15:restartNumberingAfterBreak="0">
    <w:nsid w:val="00000002"/>
    <w:multiLevelType w:val="singleLevel"/>
    <w:tmpl w:val="FB12693A"/>
    <w:lvl w:ilvl="0">
      <w:start w:val="1"/>
      <w:numFmt w:val="decimal"/>
      <w:pStyle w:val="ListNumber3"/>
      <w:lvlText w:val="%1."/>
      <w:lvlJc w:val="left"/>
      <w:pPr>
        <w:tabs>
          <w:tab w:val="left" w:pos="1080"/>
        </w:tabs>
        <w:ind w:left="1080" w:hanging="360"/>
      </w:pPr>
    </w:lvl>
  </w:abstractNum>
  <w:abstractNum w:abstractNumId="3" w15:restartNumberingAfterBreak="0">
    <w:nsid w:val="00000003"/>
    <w:multiLevelType w:val="singleLevel"/>
    <w:tmpl w:val="38441652"/>
    <w:lvl w:ilvl="0">
      <w:start w:val="1"/>
      <w:numFmt w:val="decimal"/>
      <w:pStyle w:val="ListNumber2"/>
      <w:lvlText w:val="%1."/>
      <w:lvlJc w:val="left"/>
      <w:pPr>
        <w:tabs>
          <w:tab w:val="left" w:pos="720"/>
        </w:tabs>
        <w:ind w:left="720" w:hanging="360"/>
      </w:pPr>
    </w:lvl>
  </w:abstractNum>
  <w:abstractNum w:abstractNumId="4" w15:restartNumberingAfterBreak="0">
    <w:nsid w:val="00000004"/>
    <w:multiLevelType w:val="singleLevel"/>
    <w:tmpl w:val="171AC3A4"/>
    <w:lvl w:ilvl="0">
      <w:start w:val="1"/>
      <w:numFmt w:val="bullet"/>
      <w:lvlText w:val=""/>
      <w:lvlJc w:val="left"/>
      <w:pPr>
        <w:tabs>
          <w:tab w:val="left" w:pos="1440"/>
        </w:tabs>
        <w:ind w:left="1440" w:hanging="360"/>
      </w:pPr>
      <w:rPr>
        <w:rFonts w:ascii="Symbol" w:hAnsi="Symbol" w:hint="default"/>
      </w:rPr>
    </w:lvl>
  </w:abstractNum>
  <w:abstractNum w:abstractNumId="5" w15:restartNumberingAfterBreak="0">
    <w:nsid w:val="00000005"/>
    <w:multiLevelType w:val="singleLevel"/>
    <w:tmpl w:val="F3EAFDEC"/>
    <w:lvl w:ilvl="0">
      <w:start w:val="1"/>
      <w:numFmt w:val="bullet"/>
      <w:pStyle w:val="ListBullet3"/>
      <w:lvlText w:val=""/>
      <w:lvlJc w:val="left"/>
      <w:pPr>
        <w:tabs>
          <w:tab w:val="left" w:pos="1080"/>
        </w:tabs>
        <w:ind w:left="1080" w:hanging="360"/>
      </w:pPr>
      <w:rPr>
        <w:rFonts w:ascii="Symbol" w:hAnsi="Symbol" w:hint="default"/>
      </w:rPr>
    </w:lvl>
  </w:abstractNum>
  <w:abstractNum w:abstractNumId="6" w15:restartNumberingAfterBreak="0">
    <w:nsid w:val="00000006"/>
    <w:multiLevelType w:val="singleLevel"/>
    <w:tmpl w:val="3D1EFFD4"/>
    <w:lvl w:ilvl="0">
      <w:start w:val="1"/>
      <w:numFmt w:val="bullet"/>
      <w:pStyle w:val="ListBullet2"/>
      <w:lvlText w:val=""/>
      <w:lvlJc w:val="left"/>
      <w:pPr>
        <w:tabs>
          <w:tab w:val="left" w:pos="720"/>
        </w:tabs>
        <w:ind w:left="720" w:hanging="360"/>
      </w:pPr>
      <w:rPr>
        <w:rFonts w:ascii="Symbol" w:hAnsi="Symbol" w:hint="default"/>
      </w:rPr>
    </w:lvl>
  </w:abstractNum>
  <w:abstractNum w:abstractNumId="7" w15:restartNumberingAfterBreak="0">
    <w:nsid w:val="00000007"/>
    <w:multiLevelType w:val="singleLevel"/>
    <w:tmpl w:val="D0A62B40"/>
    <w:lvl w:ilvl="0">
      <w:start w:val="1"/>
      <w:numFmt w:val="decimal"/>
      <w:pStyle w:val="ListNumber"/>
      <w:lvlText w:val="%1."/>
      <w:lvlJc w:val="left"/>
      <w:pPr>
        <w:tabs>
          <w:tab w:val="left" w:pos="360"/>
        </w:tabs>
        <w:ind w:left="360" w:hanging="360"/>
      </w:pPr>
    </w:lvl>
  </w:abstractNum>
  <w:abstractNum w:abstractNumId="8" w15:restartNumberingAfterBreak="0">
    <w:nsid w:val="00000008"/>
    <w:multiLevelType w:val="singleLevel"/>
    <w:tmpl w:val="29761A62"/>
    <w:lvl w:ilvl="0">
      <w:start w:val="1"/>
      <w:numFmt w:val="bullet"/>
      <w:pStyle w:val="ListBullet"/>
      <w:lvlText w:val=""/>
      <w:lvlJc w:val="left"/>
      <w:pPr>
        <w:tabs>
          <w:tab w:val="left" w:pos="360"/>
        </w:tabs>
        <w:ind w:left="360" w:hanging="360"/>
      </w:pPr>
      <w:rPr>
        <w:rFonts w:ascii="Symbol" w:hAnsi="Symbol" w:hint="default"/>
      </w:rPr>
    </w:lvl>
  </w:abstractNum>
  <w:abstractNum w:abstractNumId="9" w15:restartNumberingAfterBreak="0">
    <w:nsid w:val="00000009"/>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080A138D"/>
    <w:multiLevelType w:val="singleLevel"/>
    <w:tmpl w:val="C310EC42"/>
    <w:lvl w:ilvl="0">
      <w:start w:val="1"/>
      <w:numFmt w:val="decimal"/>
      <w:lvlText w:val="%1."/>
      <w:lvlJc w:val="left"/>
      <w:pPr>
        <w:tabs>
          <w:tab w:val="left" w:pos="1800"/>
        </w:tabs>
        <w:ind w:left="1800" w:hanging="360"/>
      </w:pPr>
    </w:lvl>
  </w:abstractNum>
  <w:abstractNum w:abstractNumId="11" w15:restartNumberingAfterBreak="0">
    <w:nsid w:val="1BDD257D"/>
    <w:multiLevelType w:val="hybridMultilevel"/>
    <w:tmpl w:val="C4A227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C40AB4"/>
    <w:multiLevelType w:val="hybridMultilevel"/>
    <w:tmpl w:val="B36A82C4"/>
    <w:lvl w:ilvl="0" w:tplc="08EA58A2">
      <w:start w:val="1"/>
      <w:numFmt w:val="decimal"/>
      <w:lvlText w:val="%1."/>
      <w:lvlJc w:val="left"/>
      <w:pPr>
        <w:ind w:left="720" w:hanging="360"/>
      </w:pPr>
      <w:rPr>
        <w:rFonts w:eastAsia="MS Gothic" w:hint="default"/>
        <w:color w:val="0000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168436F"/>
    <w:multiLevelType w:val="multilevel"/>
    <w:tmpl w:val="2F86B4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64E4467"/>
    <w:multiLevelType w:val="multilevel"/>
    <w:tmpl w:val="2F86B4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30D14B8"/>
    <w:multiLevelType w:val="hybridMultilevel"/>
    <w:tmpl w:val="02FA8412"/>
    <w:lvl w:ilvl="0" w:tplc="FFFFFFFF">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242652"/>
    <w:multiLevelType w:val="multilevel"/>
    <w:tmpl w:val="2F86B4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93D5362"/>
    <w:multiLevelType w:val="hybridMultilevel"/>
    <w:tmpl w:val="4E92B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5310E5"/>
    <w:multiLevelType w:val="hybridMultilevel"/>
    <w:tmpl w:val="75D02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777649"/>
    <w:multiLevelType w:val="hybridMultilevel"/>
    <w:tmpl w:val="23C6D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E2061AA"/>
    <w:multiLevelType w:val="hybridMultilevel"/>
    <w:tmpl w:val="E3409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1653796">
    <w:abstractNumId w:val="8"/>
  </w:num>
  <w:num w:numId="2" w16cid:durableId="1640988320">
    <w:abstractNumId w:val="6"/>
  </w:num>
  <w:num w:numId="3" w16cid:durableId="1822572899">
    <w:abstractNumId w:val="5"/>
  </w:num>
  <w:num w:numId="4" w16cid:durableId="898322097">
    <w:abstractNumId w:val="7"/>
  </w:num>
  <w:num w:numId="5" w16cid:durableId="437457012">
    <w:abstractNumId w:val="3"/>
  </w:num>
  <w:num w:numId="6" w16cid:durableId="1938948458">
    <w:abstractNumId w:val="2"/>
  </w:num>
  <w:num w:numId="7" w16cid:durableId="2121994181">
    <w:abstractNumId w:val="4"/>
  </w:num>
  <w:num w:numId="8" w16cid:durableId="1350374739">
    <w:abstractNumId w:val="1"/>
  </w:num>
  <w:num w:numId="9" w16cid:durableId="1760788145">
    <w:abstractNumId w:val="10"/>
  </w:num>
  <w:num w:numId="10" w16cid:durableId="747463726">
    <w:abstractNumId w:val="9"/>
  </w:num>
  <w:num w:numId="11" w16cid:durableId="1611162743">
    <w:abstractNumId w:val="16"/>
  </w:num>
  <w:num w:numId="12" w16cid:durableId="58527460">
    <w:abstractNumId w:val="15"/>
  </w:num>
  <w:num w:numId="13" w16cid:durableId="1932859097">
    <w:abstractNumId w:val="19"/>
  </w:num>
  <w:num w:numId="14" w16cid:durableId="692657347">
    <w:abstractNumId w:val="17"/>
  </w:num>
  <w:num w:numId="15" w16cid:durableId="1002006693">
    <w:abstractNumId w:val="14"/>
  </w:num>
  <w:num w:numId="16" w16cid:durableId="128327843">
    <w:abstractNumId w:val="13"/>
  </w:num>
  <w:num w:numId="17" w16cid:durableId="693847727">
    <w:abstractNumId w:val="12"/>
  </w:num>
  <w:num w:numId="18" w16cid:durableId="1731267975">
    <w:abstractNumId w:val="7"/>
    <w:lvlOverride w:ilvl="0">
      <w:startOverride w:val="9"/>
    </w:lvlOverride>
  </w:num>
  <w:num w:numId="19" w16cid:durableId="386730386">
    <w:abstractNumId w:val="7"/>
    <w:lvlOverride w:ilvl="0">
      <w:startOverride w:val="19"/>
    </w:lvlOverride>
  </w:num>
  <w:num w:numId="20" w16cid:durableId="410271411">
    <w:abstractNumId w:val="11"/>
  </w:num>
  <w:num w:numId="21" w16cid:durableId="124467222">
    <w:abstractNumId w:val="18"/>
  </w:num>
  <w:num w:numId="22" w16cid:durableId="1040974288">
    <w:abstractNumId w:val="0"/>
  </w:num>
  <w:num w:numId="23" w16cid:durableId="191385329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47B"/>
    <w:rsid w:val="00002CD9"/>
    <w:rsid w:val="00006549"/>
    <w:rsid w:val="00007768"/>
    <w:rsid w:val="000113EE"/>
    <w:rsid w:val="000115D9"/>
    <w:rsid w:val="00014312"/>
    <w:rsid w:val="00024444"/>
    <w:rsid w:val="000262AB"/>
    <w:rsid w:val="00032132"/>
    <w:rsid w:val="000342E7"/>
    <w:rsid w:val="00040B26"/>
    <w:rsid w:val="000430F0"/>
    <w:rsid w:val="0004777D"/>
    <w:rsid w:val="00051A6B"/>
    <w:rsid w:val="00051D96"/>
    <w:rsid w:val="000630AA"/>
    <w:rsid w:val="000643FA"/>
    <w:rsid w:val="000735E6"/>
    <w:rsid w:val="00074366"/>
    <w:rsid w:val="00076692"/>
    <w:rsid w:val="00077C0D"/>
    <w:rsid w:val="00091310"/>
    <w:rsid w:val="00091F57"/>
    <w:rsid w:val="00092011"/>
    <w:rsid w:val="00092103"/>
    <w:rsid w:val="000A2AC6"/>
    <w:rsid w:val="000A5E90"/>
    <w:rsid w:val="000A683D"/>
    <w:rsid w:val="000B23A4"/>
    <w:rsid w:val="000B65F5"/>
    <w:rsid w:val="000C11DF"/>
    <w:rsid w:val="000C3A48"/>
    <w:rsid w:val="000C6BDC"/>
    <w:rsid w:val="000D3E56"/>
    <w:rsid w:val="000D6939"/>
    <w:rsid w:val="000E0970"/>
    <w:rsid w:val="000E52E1"/>
    <w:rsid w:val="000F1820"/>
    <w:rsid w:val="000F32AE"/>
    <w:rsid w:val="001241B5"/>
    <w:rsid w:val="001255AA"/>
    <w:rsid w:val="0012713E"/>
    <w:rsid w:val="00130DC9"/>
    <w:rsid w:val="001352AA"/>
    <w:rsid w:val="00140036"/>
    <w:rsid w:val="00150782"/>
    <w:rsid w:val="00152E3D"/>
    <w:rsid w:val="001560C8"/>
    <w:rsid w:val="00162764"/>
    <w:rsid w:val="00192C08"/>
    <w:rsid w:val="001932E5"/>
    <w:rsid w:val="0019334A"/>
    <w:rsid w:val="001946F0"/>
    <w:rsid w:val="001948BC"/>
    <w:rsid w:val="00197E95"/>
    <w:rsid w:val="001A6900"/>
    <w:rsid w:val="001A7D53"/>
    <w:rsid w:val="001B609D"/>
    <w:rsid w:val="001C0599"/>
    <w:rsid w:val="001C11BE"/>
    <w:rsid w:val="001C29AD"/>
    <w:rsid w:val="001D4489"/>
    <w:rsid w:val="001D6E89"/>
    <w:rsid w:val="001E0B07"/>
    <w:rsid w:val="001E1CE5"/>
    <w:rsid w:val="001E3A3C"/>
    <w:rsid w:val="001E6B20"/>
    <w:rsid w:val="001E6B9F"/>
    <w:rsid w:val="001F00DB"/>
    <w:rsid w:val="001F2D37"/>
    <w:rsid w:val="001F3C7B"/>
    <w:rsid w:val="00201F88"/>
    <w:rsid w:val="00203328"/>
    <w:rsid w:val="002141D3"/>
    <w:rsid w:val="00214E8A"/>
    <w:rsid w:val="0021700B"/>
    <w:rsid w:val="002221D5"/>
    <w:rsid w:val="00222689"/>
    <w:rsid w:val="002329C0"/>
    <w:rsid w:val="00234556"/>
    <w:rsid w:val="002373AD"/>
    <w:rsid w:val="00250426"/>
    <w:rsid w:val="0025482C"/>
    <w:rsid w:val="00255B47"/>
    <w:rsid w:val="0026143A"/>
    <w:rsid w:val="00262D7A"/>
    <w:rsid w:val="00264B21"/>
    <w:rsid w:val="00266E77"/>
    <w:rsid w:val="00275DE9"/>
    <w:rsid w:val="0027627A"/>
    <w:rsid w:val="0027670B"/>
    <w:rsid w:val="002864C5"/>
    <w:rsid w:val="002876C1"/>
    <w:rsid w:val="00290906"/>
    <w:rsid w:val="002A283D"/>
    <w:rsid w:val="002B505E"/>
    <w:rsid w:val="002C6548"/>
    <w:rsid w:val="002D3158"/>
    <w:rsid w:val="002D6A22"/>
    <w:rsid w:val="002F3261"/>
    <w:rsid w:val="002F3D54"/>
    <w:rsid w:val="00300A1C"/>
    <w:rsid w:val="0030396A"/>
    <w:rsid w:val="0031443A"/>
    <w:rsid w:val="00322C0A"/>
    <w:rsid w:val="003249C8"/>
    <w:rsid w:val="003277BE"/>
    <w:rsid w:val="003346BB"/>
    <w:rsid w:val="003354D0"/>
    <w:rsid w:val="00336AA4"/>
    <w:rsid w:val="003412A3"/>
    <w:rsid w:val="003444E4"/>
    <w:rsid w:val="003474CD"/>
    <w:rsid w:val="00352763"/>
    <w:rsid w:val="003613E7"/>
    <w:rsid w:val="0037166B"/>
    <w:rsid w:val="00371914"/>
    <w:rsid w:val="00386118"/>
    <w:rsid w:val="003862F8"/>
    <w:rsid w:val="00387F14"/>
    <w:rsid w:val="003916DB"/>
    <w:rsid w:val="00393DCE"/>
    <w:rsid w:val="003A7321"/>
    <w:rsid w:val="003B6E59"/>
    <w:rsid w:val="003B71AA"/>
    <w:rsid w:val="003C724A"/>
    <w:rsid w:val="003C72C8"/>
    <w:rsid w:val="003D1B4F"/>
    <w:rsid w:val="003E0B3F"/>
    <w:rsid w:val="003E5CF5"/>
    <w:rsid w:val="003F2997"/>
    <w:rsid w:val="003F40E4"/>
    <w:rsid w:val="003F5D88"/>
    <w:rsid w:val="003F7E28"/>
    <w:rsid w:val="00406006"/>
    <w:rsid w:val="00416EFE"/>
    <w:rsid w:val="00425F86"/>
    <w:rsid w:val="00426324"/>
    <w:rsid w:val="00430B8A"/>
    <w:rsid w:val="004326B7"/>
    <w:rsid w:val="0043279B"/>
    <w:rsid w:val="00432A78"/>
    <w:rsid w:val="00444F35"/>
    <w:rsid w:val="00451529"/>
    <w:rsid w:val="00452498"/>
    <w:rsid w:val="004565C7"/>
    <w:rsid w:val="004623E6"/>
    <w:rsid w:val="00471134"/>
    <w:rsid w:val="00475CD4"/>
    <w:rsid w:val="004772AF"/>
    <w:rsid w:val="00480B16"/>
    <w:rsid w:val="004833CB"/>
    <w:rsid w:val="0048675B"/>
    <w:rsid w:val="004911B4"/>
    <w:rsid w:val="004919C3"/>
    <w:rsid w:val="0049379A"/>
    <w:rsid w:val="00494C1F"/>
    <w:rsid w:val="00495883"/>
    <w:rsid w:val="004B62C2"/>
    <w:rsid w:val="004B699F"/>
    <w:rsid w:val="004C3B74"/>
    <w:rsid w:val="004C5D5E"/>
    <w:rsid w:val="004C70B9"/>
    <w:rsid w:val="004D01B7"/>
    <w:rsid w:val="004D0437"/>
    <w:rsid w:val="004D2647"/>
    <w:rsid w:val="004D5CFA"/>
    <w:rsid w:val="004E2F16"/>
    <w:rsid w:val="004F47B3"/>
    <w:rsid w:val="00506224"/>
    <w:rsid w:val="00506F9B"/>
    <w:rsid w:val="00525061"/>
    <w:rsid w:val="005265E4"/>
    <w:rsid w:val="00527C74"/>
    <w:rsid w:val="00531108"/>
    <w:rsid w:val="00532B1F"/>
    <w:rsid w:val="00533221"/>
    <w:rsid w:val="00540CB2"/>
    <w:rsid w:val="00542885"/>
    <w:rsid w:val="005461A3"/>
    <w:rsid w:val="005462AC"/>
    <w:rsid w:val="00546E90"/>
    <w:rsid w:val="005479C5"/>
    <w:rsid w:val="0055230F"/>
    <w:rsid w:val="0055374D"/>
    <w:rsid w:val="00555A59"/>
    <w:rsid w:val="00556DD1"/>
    <w:rsid w:val="0056243C"/>
    <w:rsid w:val="005745A1"/>
    <w:rsid w:val="00577DCD"/>
    <w:rsid w:val="005811D2"/>
    <w:rsid w:val="00582D49"/>
    <w:rsid w:val="005844B0"/>
    <w:rsid w:val="0058473F"/>
    <w:rsid w:val="00585C35"/>
    <w:rsid w:val="00593AEA"/>
    <w:rsid w:val="005A38FF"/>
    <w:rsid w:val="005A5451"/>
    <w:rsid w:val="005B19E0"/>
    <w:rsid w:val="005B19E8"/>
    <w:rsid w:val="005B4042"/>
    <w:rsid w:val="005E2F57"/>
    <w:rsid w:val="005E4BC0"/>
    <w:rsid w:val="005E532D"/>
    <w:rsid w:val="005E6928"/>
    <w:rsid w:val="005F1DAF"/>
    <w:rsid w:val="005F308E"/>
    <w:rsid w:val="005F3DAF"/>
    <w:rsid w:val="005F5064"/>
    <w:rsid w:val="00605FC2"/>
    <w:rsid w:val="00610594"/>
    <w:rsid w:val="006113B0"/>
    <w:rsid w:val="00630FA6"/>
    <w:rsid w:val="0063232E"/>
    <w:rsid w:val="006346A4"/>
    <w:rsid w:val="00635CA7"/>
    <w:rsid w:val="00635F75"/>
    <w:rsid w:val="00636962"/>
    <w:rsid w:val="00640022"/>
    <w:rsid w:val="006535A0"/>
    <w:rsid w:val="006606AF"/>
    <w:rsid w:val="00663638"/>
    <w:rsid w:val="00663D3D"/>
    <w:rsid w:val="00670790"/>
    <w:rsid w:val="006747F7"/>
    <w:rsid w:val="00676086"/>
    <w:rsid w:val="00684CC7"/>
    <w:rsid w:val="006864DE"/>
    <w:rsid w:val="006868C6"/>
    <w:rsid w:val="00692462"/>
    <w:rsid w:val="00692691"/>
    <w:rsid w:val="00697623"/>
    <w:rsid w:val="006A0AD9"/>
    <w:rsid w:val="006A176C"/>
    <w:rsid w:val="006A5A00"/>
    <w:rsid w:val="006A7AA1"/>
    <w:rsid w:val="006B366E"/>
    <w:rsid w:val="006B5D7B"/>
    <w:rsid w:val="006C36BB"/>
    <w:rsid w:val="006C5350"/>
    <w:rsid w:val="006D023C"/>
    <w:rsid w:val="006D1397"/>
    <w:rsid w:val="006D2352"/>
    <w:rsid w:val="006D5EB2"/>
    <w:rsid w:val="006E69D0"/>
    <w:rsid w:val="006E716F"/>
    <w:rsid w:val="006F2CAE"/>
    <w:rsid w:val="006F36CB"/>
    <w:rsid w:val="007065EC"/>
    <w:rsid w:val="00707671"/>
    <w:rsid w:val="0071636E"/>
    <w:rsid w:val="00716BD3"/>
    <w:rsid w:val="00717218"/>
    <w:rsid w:val="00730A17"/>
    <w:rsid w:val="007366B4"/>
    <w:rsid w:val="00742F4A"/>
    <w:rsid w:val="007444E5"/>
    <w:rsid w:val="007641E1"/>
    <w:rsid w:val="00770238"/>
    <w:rsid w:val="00775371"/>
    <w:rsid w:val="007776D4"/>
    <w:rsid w:val="00782281"/>
    <w:rsid w:val="0078248D"/>
    <w:rsid w:val="00786BCB"/>
    <w:rsid w:val="00791F65"/>
    <w:rsid w:val="00796AF6"/>
    <w:rsid w:val="00797819"/>
    <w:rsid w:val="007A164F"/>
    <w:rsid w:val="007A5007"/>
    <w:rsid w:val="007A7177"/>
    <w:rsid w:val="007B4203"/>
    <w:rsid w:val="007C0E6F"/>
    <w:rsid w:val="007C1677"/>
    <w:rsid w:val="007C2A3C"/>
    <w:rsid w:val="007C74E0"/>
    <w:rsid w:val="007D1015"/>
    <w:rsid w:val="007D31CD"/>
    <w:rsid w:val="007D6AAC"/>
    <w:rsid w:val="007D6D30"/>
    <w:rsid w:val="007E2022"/>
    <w:rsid w:val="007E6CBA"/>
    <w:rsid w:val="007E7866"/>
    <w:rsid w:val="007F1160"/>
    <w:rsid w:val="007F300D"/>
    <w:rsid w:val="007F4454"/>
    <w:rsid w:val="007F5F98"/>
    <w:rsid w:val="0080210F"/>
    <w:rsid w:val="00820885"/>
    <w:rsid w:val="008339A5"/>
    <w:rsid w:val="0083472E"/>
    <w:rsid w:val="0083554E"/>
    <w:rsid w:val="0083760D"/>
    <w:rsid w:val="00844E11"/>
    <w:rsid w:val="00851574"/>
    <w:rsid w:val="00853317"/>
    <w:rsid w:val="0085440C"/>
    <w:rsid w:val="00854724"/>
    <w:rsid w:val="008550E4"/>
    <w:rsid w:val="0085641B"/>
    <w:rsid w:val="008614A6"/>
    <w:rsid w:val="00865792"/>
    <w:rsid w:val="008666EC"/>
    <w:rsid w:val="008677E1"/>
    <w:rsid w:val="008736F1"/>
    <w:rsid w:val="00873A99"/>
    <w:rsid w:val="00886626"/>
    <w:rsid w:val="00891D6A"/>
    <w:rsid w:val="008A4825"/>
    <w:rsid w:val="008A5112"/>
    <w:rsid w:val="008A7FEE"/>
    <w:rsid w:val="008C280E"/>
    <w:rsid w:val="008C6678"/>
    <w:rsid w:val="008C6A91"/>
    <w:rsid w:val="008D4091"/>
    <w:rsid w:val="008E2B32"/>
    <w:rsid w:val="008E5ABA"/>
    <w:rsid w:val="008E7969"/>
    <w:rsid w:val="008F0DB3"/>
    <w:rsid w:val="0090474B"/>
    <w:rsid w:val="00905CBD"/>
    <w:rsid w:val="0090610E"/>
    <w:rsid w:val="009114A1"/>
    <w:rsid w:val="009174C1"/>
    <w:rsid w:val="00917A31"/>
    <w:rsid w:val="00921A7C"/>
    <w:rsid w:val="0092374E"/>
    <w:rsid w:val="00936142"/>
    <w:rsid w:val="00940160"/>
    <w:rsid w:val="009407B1"/>
    <w:rsid w:val="00940971"/>
    <w:rsid w:val="009433E9"/>
    <w:rsid w:val="0096470F"/>
    <w:rsid w:val="00973FA8"/>
    <w:rsid w:val="0097578E"/>
    <w:rsid w:val="00982B9A"/>
    <w:rsid w:val="00983677"/>
    <w:rsid w:val="009836AF"/>
    <w:rsid w:val="00992622"/>
    <w:rsid w:val="00994EA5"/>
    <w:rsid w:val="009A20C4"/>
    <w:rsid w:val="009B116C"/>
    <w:rsid w:val="009B674A"/>
    <w:rsid w:val="009C7DFA"/>
    <w:rsid w:val="009D0A48"/>
    <w:rsid w:val="009D1C46"/>
    <w:rsid w:val="009D2EB7"/>
    <w:rsid w:val="009D58E5"/>
    <w:rsid w:val="009D590E"/>
    <w:rsid w:val="009F28B9"/>
    <w:rsid w:val="00A13656"/>
    <w:rsid w:val="00A162E7"/>
    <w:rsid w:val="00A25576"/>
    <w:rsid w:val="00A41DB1"/>
    <w:rsid w:val="00A434E7"/>
    <w:rsid w:val="00A44192"/>
    <w:rsid w:val="00A46139"/>
    <w:rsid w:val="00A47325"/>
    <w:rsid w:val="00A508E5"/>
    <w:rsid w:val="00A51266"/>
    <w:rsid w:val="00A51A52"/>
    <w:rsid w:val="00A61D0C"/>
    <w:rsid w:val="00A6337F"/>
    <w:rsid w:val="00A66E4C"/>
    <w:rsid w:val="00A70FDF"/>
    <w:rsid w:val="00A765F2"/>
    <w:rsid w:val="00A810E6"/>
    <w:rsid w:val="00A815AC"/>
    <w:rsid w:val="00A81695"/>
    <w:rsid w:val="00A81FDC"/>
    <w:rsid w:val="00A85925"/>
    <w:rsid w:val="00A86A1F"/>
    <w:rsid w:val="00A90A34"/>
    <w:rsid w:val="00A92DEC"/>
    <w:rsid w:val="00A95412"/>
    <w:rsid w:val="00A96EDB"/>
    <w:rsid w:val="00A9714A"/>
    <w:rsid w:val="00A97D71"/>
    <w:rsid w:val="00AA2643"/>
    <w:rsid w:val="00AA2B7D"/>
    <w:rsid w:val="00AA5A2C"/>
    <w:rsid w:val="00AB0B34"/>
    <w:rsid w:val="00AB6782"/>
    <w:rsid w:val="00AC545C"/>
    <w:rsid w:val="00AD2FB7"/>
    <w:rsid w:val="00AE090E"/>
    <w:rsid w:val="00AE340C"/>
    <w:rsid w:val="00AE5AD1"/>
    <w:rsid w:val="00AE7E06"/>
    <w:rsid w:val="00AF0F84"/>
    <w:rsid w:val="00AF35D9"/>
    <w:rsid w:val="00AF4432"/>
    <w:rsid w:val="00AF704A"/>
    <w:rsid w:val="00B11A98"/>
    <w:rsid w:val="00B1285C"/>
    <w:rsid w:val="00B12F39"/>
    <w:rsid w:val="00B1324F"/>
    <w:rsid w:val="00B16183"/>
    <w:rsid w:val="00B20B4E"/>
    <w:rsid w:val="00B2159B"/>
    <w:rsid w:val="00B2356D"/>
    <w:rsid w:val="00B30F0A"/>
    <w:rsid w:val="00B32736"/>
    <w:rsid w:val="00B35143"/>
    <w:rsid w:val="00B36449"/>
    <w:rsid w:val="00B41F8D"/>
    <w:rsid w:val="00B42F21"/>
    <w:rsid w:val="00B431BD"/>
    <w:rsid w:val="00B50352"/>
    <w:rsid w:val="00B621A0"/>
    <w:rsid w:val="00B641C2"/>
    <w:rsid w:val="00B64B07"/>
    <w:rsid w:val="00B7392A"/>
    <w:rsid w:val="00B8349C"/>
    <w:rsid w:val="00B84233"/>
    <w:rsid w:val="00B87565"/>
    <w:rsid w:val="00B90FE0"/>
    <w:rsid w:val="00B96D70"/>
    <w:rsid w:val="00BA0C92"/>
    <w:rsid w:val="00BA0EB3"/>
    <w:rsid w:val="00BA698F"/>
    <w:rsid w:val="00BB0477"/>
    <w:rsid w:val="00BB4650"/>
    <w:rsid w:val="00BB622E"/>
    <w:rsid w:val="00BD2239"/>
    <w:rsid w:val="00BD2BFB"/>
    <w:rsid w:val="00BD5B8B"/>
    <w:rsid w:val="00BD6D1B"/>
    <w:rsid w:val="00BE59A3"/>
    <w:rsid w:val="00BE5A4D"/>
    <w:rsid w:val="00BE5B02"/>
    <w:rsid w:val="00BE5BCE"/>
    <w:rsid w:val="00BF01A7"/>
    <w:rsid w:val="00BF0802"/>
    <w:rsid w:val="00BF119B"/>
    <w:rsid w:val="00BF1F6D"/>
    <w:rsid w:val="00C017C5"/>
    <w:rsid w:val="00C02E35"/>
    <w:rsid w:val="00C02EEF"/>
    <w:rsid w:val="00C0670B"/>
    <w:rsid w:val="00C07D1B"/>
    <w:rsid w:val="00C125CE"/>
    <w:rsid w:val="00C13D29"/>
    <w:rsid w:val="00C1665C"/>
    <w:rsid w:val="00C17D29"/>
    <w:rsid w:val="00C21CDA"/>
    <w:rsid w:val="00C2747B"/>
    <w:rsid w:val="00C30C81"/>
    <w:rsid w:val="00C360A8"/>
    <w:rsid w:val="00C37982"/>
    <w:rsid w:val="00C42A6F"/>
    <w:rsid w:val="00C515B9"/>
    <w:rsid w:val="00C64392"/>
    <w:rsid w:val="00C7144D"/>
    <w:rsid w:val="00C72AAF"/>
    <w:rsid w:val="00C825CB"/>
    <w:rsid w:val="00C838DD"/>
    <w:rsid w:val="00C94A27"/>
    <w:rsid w:val="00C973C1"/>
    <w:rsid w:val="00CA05B0"/>
    <w:rsid w:val="00CA0684"/>
    <w:rsid w:val="00CA2740"/>
    <w:rsid w:val="00CA30CF"/>
    <w:rsid w:val="00CD5ADA"/>
    <w:rsid w:val="00CD6068"/>
    <w:rsid w:val="00CD612E"/>
    <w:rsid w:val="00CE0597"/>
    <w:rsid w:val="00CF21F2"/>
    <w:rsid w:val="00D0375A"/>
    <w:rsid w:val="00D038C9"/>
    <w:rsid w:val="00D05528"/>
    <w:rsid w:val="00D06F52"/>
    <w:rsid w:val="00D13230"/>
    <w:rsid w:val="00D16DD4"/>
    <w:rsid w:val="00D21CB4"/>
    <w:rsid w:val="00D224F6"/>
    <w:rsid w:val="00D2266A"/>
    <w:rsid w:val="00D3417D"/>
    <w:rsid w:val="00D3505C"/>
    <w:rsid w:val="00D359D7"/>
    <w:rsid w:val="00D4456F"/>
    <w:rsid w:val="00D449BF"/>
    <w:rsid w:val="00D44A3A"/>
    <w:rsid w:val="00D51921"/>
    <w:rsid w:val="00D53E3B"/>
    <w:rsid w:val="00D5480F"/>
    <w:rsid w:val="00D60D56"/>
    <w:rsid w:val="00D62033"/>
    <w:rsid w:val="00D6332A"/>
    <w:rsid w:val="00D64271"/>
    <w:rsid w:val="00D71EFB"/>
    <w:rsid w:val="00D734CE"/>
    <w:rsid w:val="00D85C34"/>
    <w:rsid w:val="00D86BC4"/>
    <w:rsid w:val="00D90AC4"/>
    <w:rsid w:val="00D93CAA"/>
    <w:rsid w:val="00D94975"/>
    <w:rsid w:val="00D95F56"/>
    <w:rsid w:val="00DB3347"/>
    <w:rsid w:val="00DC23C2"/>
    <w:rsid w:val="00DC50F3"/>
    <w:rsid w:val="00DC7107"/>
    <w:rsid w:val="00DD1E00"/>
    <w:rsid w:val="00DD2C99"/>
    <w:rsid w:val="00DD2E06"/>
    <w:rsid w:val="00DD5570"/>
    <w:rsid w:val="00DE5477"/>
    <w:rsid w:val="00DE73E9"/>
    <w:rsid w:val="00DF6C41"/>
    <w:rsid w:val="00E002F7"/>
    <w:rsid w:val="00E060BA"/>
    <w:rsid w:val="00E1584C"/>
    <w:rsid w:val="00E1621F"/>
    <w:rsid w:val="00E25699"/>
    <w:rsid w:val="00E31C45"/>
    <w:rsid w:val="00E328E8"/>
    <w:rsid w:val="00E34C84"/>
    <w:rsid w:val="00E37DD7"/>
    <w:rsid w:val="00E4003C"/>
    <w:rsid w:val="00E405D5"/>
    <w:rsid w:val="00E4067F"/>
    <w:rsid w:val="00E416AE"/>
    <w:rsid w:val="00E425ED"/>
    <w:rsid w:val="00E43A13"/>
    <w:rsid w:val="00E44F6C"/>
    <w:rsid w:val="00E57DCD"/>
    <w:rsid w:val="00E60B9E"/>
    <w:rsid w:val="00E6147D"/>
    <w:rsid w:val="00E623A0"/>
    <w:rsid w:val="00E62DF9"/>
    <w:rsid w:val="00E648DF"/>
    <w:rsid w:val="00E7644C"/>
    <w:rsid w:val="00E76E31"/>
    <w:rsid w:val="00E926C7"/>
    <w:rsid w:val="00E96B0F"/>
    <w:rsid w:val="00EA179E"/>
    <w:rsid w:val="00EA3166"/>
    <w:rsid w:val="00EB0A1A"/>
    <w:rsid w:val="00EB1DC0"/>
    <w:rsid w:val="00EB78CC"/>
    <w:rsid w:val="00EC34AF"/>
    <w:rsid w:val="00EC3750"/>
    <w:rsid w:val="00EC4D5F"/>
    <w:rsid w:val="00EC66A1"/>
    <w:rsid w:val="00ED0305"/>
    <w:rsid w:val="00ED0E0F"/>
    <w:rsid w:val="00ED467E"/>
    <w:rsid w:val="00EE0AC0"/>
    <w:rsid w:val="00EE2B86"/>
    <w:rsid w:val="00EE42A9"/>
    <w:rsid w:val="00EF001F"/>
    <w:rsid w:val="00EF4FE8"/>
    <w:rsid w:val="00EF567A"/>
    <w:rsid w:val="00EF5892"/>
    <w:rsid w:val="00EF6788"/>
    <w:rsid w:val="00EF6E4D"/>
    <w:rsid w:val="00F073C6"/>
    <w:rsid w:val="00F176C9"/>
    <w:rsid w:val="00F22F9B"/>
    <w:rsid w:val="00F31841"/>
    <w:rsid w:val="00F37C5F"/>
    <w:rsid w:val="00F40BEF"/>
    <w:rsid w:val="00F42132"/>
    <w:rsid w:val="00F4689B"/>
    <w:rsid w:val="00F53E0B"/>
    <w:rsid w:val="00F6622E"/>
    <w:rsid w:val="00F70DC4"/>
    <w:rsid w:val="00F71CB4"/>
    <w:rsid w:val="00F77A44"/>
    <w:rsid w:val="00F80381"/>
    <w:rsid w:val="00F81216"/>
    <w:rsid w:val="00F84EF0"/>
    <w:rsid w:val="00F85D42"/>
    <w:rsid w:val="00F93B52"/>
    <w:rsid w:val="00F93F40"/>
    <w:rsid w:val="00F949E9"/>
    <w:rsid w:val="00F97F69"/>
    <w:rsid w:val="00FA3705"/>
    <w:rsid w:val="00FA7587"/>
    <w:rsid w:val="00FB2D3E"/>
    <w:rsid w:val="00FC6734"/>
    <w:rsid w:val="00FC7AFF"/>
    <w:rsid w:val="00FD28B2"/>
    <w:rsid w:val="00FD2AAA"/>
    <w:rsid w:val="00FE1076"/>
    <w:rsid w:val="00FE4D11"/>
    <w:rsid w:val="00FF157E"/>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28CBC2"/>
  <w15:docId w15:val="{B31D91D4-5860-B341-AEEA-49D8A0D76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Mangal"/>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Calibri" w:eastAsia="MS Gothic" w:hAnsi="Calibri"/>
      <w:b/>
      <w:bCs/>
      <w:color w:val="365F91"/>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Calibri" w:eastAsia="MS Gothic" w:hAnsi="Calibri"/>
      <w:b/>
      <w:bCs/>
      <w:color w:val="4F81BD"/>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Calibri" w:eastAsia="MS Gothic" w:hAnsi="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MS Gothic" w:hAnsi="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MS Gothic" w:hAnsi="Calibri"/>
      <w:color w:val="243F6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MS Gothic" w:hAnsi="Calibri"/>
      <w:i/>
      <w:iCs/>
      <w:color w:val="243F60"/>
    </w:rPr>
  </w:style>
  <w:style w:type="paragraph" w:styleId="Heading7">
    <w:name w:val="heading 7"/>
    <w:basedOn w:val="Normal"/>
    <w:next w:val="Normal"/>
    <w:link w:val="Heading7Char"/>
    <w:uiPriority w:val="9"/>
    <w:qFormat/>
    <w:pPr>
      <w:keepNext/>
      <w:keepLines/>
      <w:spacing w:before="200" w:after="0"/>
      <w:outlineLvl w:val="6"/>
    </w:pPr>
    <w:rPr>
      <w:rFonts w:ascii="Calibri" w:eastAsia="MS Gothic" w:hAnsi="Calibri"/>
      <w:i/>
      <w:iCs/>
      <w:color w:val="404040"/>
    </w:rPr>
  </w:style>
  <w:style w:type="paragraph" w:styleId="Heading8">
    <w:name w:val="heading 8"/>
    <w:basedOn w:val="Normal"/>
    <w:next w:val="Normal"/>
    <w:link w:val="Heading8Char"/>
    <w:uiPriority w:val="9"/>
    <w:qFormat/>
    <w:pPr>
      <w:keepNext/>
      <w:keepLines/>
      <w:spacing w:before="200" w:after="0"/>
      <w:outlineLvl w:val="7"/>
    </w:pPr>
    <w:rPr>
      <w:rFonts w:ascii="Calibri" w:eastAsia="MS Gothic" w:hAnsi="Calibri"/>
      <w:color w:val="4F81BD"/>
      <w:sz w:val="20"/>
      <w:szCs w:val="20"/>
    </w:rPr>
  </w:style>
  <w:style w:type="paragraph" w:styleId="Heading9">
    <w:name w:val="heading 9"/>
    <w:basedOn w:val="Normal"/>
    <w:next w:val="Normal"/>
    <w:link w:val="Heading9Char"/>
    <w:uiPriority w:val="9"/>
    <w:qFormat/>
    <w:pPr>
      <w:keepNext/>
      <w:keepLines/>
      <w:spacing w:before="200" w:after="0"/>
      <w:outlineLvl w:val="8"/>
    </w:pPr>
    <w:rPr>
      <w:rFonts w:ascii="Calibri" w:eastAsia="MS Gothic" w:hAnsi="Calibri"/>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Calibri" w:eastAsia="MS Gothic" w:hAnsi="Calibri" w:cs="Mangal"/>
      <w:b/>
      <w:bCs/>
      <w:color w:val="365F91"/>
      <w:sz w:val="28"/>
      <w:szCs w:val="28"/>
    </w:rPr>
  </w:style>
  <w:style w:type="character" w:customStyle="1" w:styleId="Heading2Char">
    <w:name w:val="Heading 2 Char"/>
    <w:basedOn w:val="DefaultParagraphFont"/>
    <w:link w:val="Heading2"/>
    <w:uiPriority w:val="9"/>
    <w:rPr>
      <w:rFonts w:ascii="Calibri" w:eastAsia="MS Gothic" w:hAnsi="Calibri" w:cs="Mangal"/>
      <w:b/>
      <w:bCs/>
      <w:color w:val="4F81BD"/>
      <w:sz w:val="26"/>
      <w:szCs w:val="26"/>
    </w:rPr>
  </w:style>
  <w:style w:type="character" w:customStyle="1" w:styleId="Heading3Char">
    <w:name w:val="Heading 3 Char"/>
    <w:basedOn w:val="DefaultParagraphFont"/>
    <w:link w:val="Heading3"/>
    <w:uiPriority w:val="9"/>
    <w:rPr>
      <w:rFonts w:ascii="Calibri" w:eastAsia="MS Gothic" w:hAnsi="Calibri" w:cs="Mangal"/>
      <w:b/>
      <w:bCs/>
      <w:color w:val="4F81BD"/>
    </w:rPr>
  </w:style>
  <w:style w:type="paragraph" w:styleId="Title">
    <w:name w:val="Title"/>
    <w:basedOn w:val="Normal"/>
    <w:next w:val="Normal"/>
    <w:link w:val="TitleChar"/>
    <w:uiPriority w:val="10"/>
    <w:qFormat/>
    <w:pPr>
      <w:pBdr>
        <w:bottom w:val="single" w:sz="8" w:space="4" w:color="4F81BD"/>
      </w:pBdr>
      <w:spacing w:after="300" w:line="240" w:lineRule="auto"/>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Pr>
      <w:rFonts w:ascii="Calibri" w:eastAsia="MS Gothic" w:hAnsi="Calibri" w:cs="Mangal"/>
      <w:color w:val="17365D"/>
      <w:spacing w:val="5"/>
      <w:kern w:val="28"/>
      <w:sz w:val="52"/>
      <w:szCs w:val="52"/>
    </w:rPr>
  </w:style>
  <w:style w:type="paragraph" w:styleId="Subtitle">
    <w:name w:val="Subtitle"/>
    <w:basedOn w:val="Normal"/>
    <w:next w:val="Normal"/>
    <w:link w:val="SubtitleChar"/>
    <w:uiPriority w:val="11"/>
    <w:qFormat/>
    <w:pPr>
      <w:numPr>
        <w:ilvl w:val="1"/>
      </w:numPr>
    </w:pPr>
    <w:rPr>
      <w:rFonts w:ascii="Calibri" w:eastAsia="MS Gothic" w:hAnsi="Calibri"/>
      <w:i/>
      <w:iCs/>
      <w:color w:val="4F81BD"/>
      <w:spacing w:val="15"/>
      <w:sz w:val="24"/>
      <w:szCs w:val="24"/>
    </w:rPr>
  </w:style>
  <w:style w:type="character" w:customStyle="1" w:styleId="SubtitleChar">
    <w:name w:val="Subtitle Char"/>
    <w:basedOn w:val="DefaultParagraphFont"/>
    <w:link w:val="Subtitle"/>
    <w:uiPriority w:val="11"/>
    <w:rPr>
      <w:rFonts w:ascii="Calibri" w:eastAsia="MS Gothic" w:hAnsi="Calibri" w:cs="Mangal"/>
      <w:i/>
      <w:iCs/>
      <w:color w:val="4F81BD"/>
      <w:spacing w:val="15"/>
      <w:sz w:val="24"/>
      <w:szCs w:val="24"/>
    </w:r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tyle>
  <w:style w:type="paragraph" w:styleId="BodyText2">
    <w:name w:val="Body Text 2"/>
    <w:basedOn w:val="Normal"/>
    <w:link w:val="BodyText2Char"/>
    <w:uiPriority w:val="99"/>
    <w:pPr>
      <w:spacing w:after="120" w:line="480" w:lineRule="auto"/>
    </w:pPr>
  </w:style>
  <w:style w:type="character" w:customStyle="1" w:styleId="BodyText2Char">
    <w:name w:val="Body Text 2 Char"/>
    <w:basedOn w:val="DefaultParagraphFont"/>
    <w:link w:val="BodyText2"/>
    <w:uiPriority w:val="99"/>
  </w:style>
  <w:style w:type="paragraph" w:styleId="BodyText3">
    <w:name w:val="Body Text 3"/>
    <w:basedOn w:val="Normal"/>
    <w:link w:val="BodyText3Char"/>
    <w:uiPriority w:val="99"/>
    <w:pPr>
      <w:spacing w:after="120"/>
    </w:pPr>
    <w:rPr>
      <w:sz w:val="16"/>
      <w:szCs w:val="16"/>
    </w:rPr>
  </w:style>
  <w:style w:type="character" w:customStyle="1" w:styleId="BodyText3Char">
    <w:name w:val="Body Text 3 Char"/>
    <w:basedOn w:val="DefaultParagraphFont"/>
    <w:link w:val="BodyText3"/>
    <w:uiPriority w:val="99"/>
    <w:rPr>
      <w:sz w:val="16"/>
      <w:szCs w:val="16"/>
    </w:rPr>
  </w:style>
  <w:style w:type="paragraph" w:styleId="List">
    <w:name w:val="List"/>
    <w:basedOn w:val="Normal"/>
    <w:uiPriority w:val="99"/>
    <w:pPr>
      <w:ind w:left="360" w:hanging="360"/>
      <w:contextualSpacing/>
    </w:pPr>
  </w:style>
  <w:style w:type="paragraph" w:styleId="List2">
    <w:name w:val="List 2"/>
    <w:basedOn w:val="Normal"/>
    <w:uiPriority w:val="99"/>
    <w:pPr>
      <w:ind w:left="720" w:hanging="360"/>
      <w:contextualSpacing/>
    </w:pPr>
  </w:style>
  <w:style w:type="paragraph" w:styleId="List3">
    <w:name w:val="List 3"/>
    <w:basedOn w:val="Normal"/>
    <w:uiPriority w:val="99"/>
    <w:pPr>
      <w:ind w:left="1080" w:hanging="360"/>
      <w:contextualSpacing/>
    </w:pPr>
  </w:style>
  <w:style w:type="paragraph" w:styleId="ListBullet">
    <w:name w:val="List Bullet"/>
    <w:basedOn w:val="Normal"/>
    <w:uiPriority w:val="99"/>
    <w:pPr>
      <w:numPr>
        <w:numId w:val="1"/>
      </w:numPr>
      <w:contextualSpacing/>
    </w:pPr>
  </w:style>
  <w:style w:type="paragraph" w:styleId="ListBullet2">
    <w:name w:val="List Bullet 2"/>
    <w:basedOn w:val="Normal"/>
    <w:uiPriority w:val="99"/>
    <w:pPr>
      <w:numPr>
        <w:numId w:val="2"/>
      </w:numPr>
      <w:contextualSpacing/>
    </w:pPr>
  </w:style>
  <w:style w:type="paragraph" w:styleId="ListBullet3">
    <w:name w:val="List Bullet 3"/>
    <w:basedOn w:val="Normal"/>
    <w:uiPriority w:val="99"/>
    <w:pPr>
      <w:numPr>
        <w:numId w:val="3"/>
      </w:numPr>
      <w:contextualSpacing/>
    </w:pPr>
  </w:style>
  <w:style w:type="paragraph" w:styleId="ListNumber">
    <w:name w:val="List Number"/>
    <w:basedOn w:val="Normal"/>
    <w:uiPriority w:val="99"/>
    <w:pPr>
      <w:numPr>
        <w:numId w:val="4"/>
      </w:numPr>
      <w:contextualSpacing/>
    </w:pPr>
  </w:style>
  <w:style w:type="paragraph" w:styleId="ListNumber2">
    <w:name w:val="List Number 2"/>
    <w:basedOn w:val="Normal"/>
    <w:uiPriority w:val="99"/>
    <w:pPr>
      <w:numPr>
        <w:numId w:val="5"/>
      </w:numPr>
      <w:contextualSpacing/>
    </w:pPr>
  </w:style>
  <w:style w:type="paragraph" w:styleId="ListNumber3">
    <w:name w:val="List Number 3"/>
    <w:basedOn w:val="Normal"/>
    <w:uiPriority w:val="99"/>
    <w:pPr>
      <w:numPr>
        <w:numId w:val="6"/>
      </w:numPr>
      <w:contextualSpacing/>
    </w:pPr>
  </w:style>
  <w:style w:type="paragraph" w:styleId="ListContinue">
    <w:name w:val="List Continue"/>
    <w:basedOn w:val="Normal"/>
    <w:uiPriority w:val="99"/>
    <w:pPr>
      <w:spacing w:after="120"/>
      <w:ind w:left="360"/>
      <w:contextualSpacing/>
    </w:pPr>
  </w:style>
  <w:style w:type="paragraph" w:styleId="ListContinue2">
    <w:name w:val="List Continue 2"/>
    <w:basedOn w:val="Normal"/>
    <w:uiPriority w:val="99"/>
    <w:pPr>
      <w:spacing w:after="120"/>
      <w:ind w:left="720"/>
      <w:contextualSpacing/>
    </w:pPr>
  </w:style>
  <w:style w:type="paragraph" w:styleId="ListContinue3">
    <w:name w:val="List Continue 3"/>
    <w:basedOn w:val="Normal"/>
    <w:uiPriority w:val="99"/>
    <w:pPr>
      <w:spacing w:after="120"/>
      <w:ind w:left="1080"/>
      <w:contextualSpacing/>
    </w:pPr>
  </w:style>
  <w:style w:type="paragraph" w:styleId="MacroText">
    <w:name w:val="macro"/>
    <w:link w:val="MacroTextChar"/>
    <w:uiPriority w:val="99"/>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rPr>
  </w:style>
  <w:style w:type="character" w:customStyle="1" w:styleId="QuoteChar">
    <w:name w:val="Quote Char"/>
    <w:basedOn w:val="DefaultParagraphFont"/>
    <w:link w:val="Quote"/>
    <w:uiPriority w:val="29"/>
    <w:rPr>
      <w:i/>
      <w:iCs/>
      <w:color w:val="000000"/>
    </w:rPr>
  </w:style>
  <w:style w:type="character" w:customStyle="1" w:styleId="Heading4Char">
    <w:name w:val="Heading 4 Char"/>
    <w:basedOn w:val="DefaultParagraphFont"/>
    <w:link w:val="Heading4"/>
    <w:uiPriority w:val="9"/>
    <w:rPr>
      <w:rFonts w:ascii="Calibri" w:eastAsia="MS Gothic" w:hAnsi="Calibri" w:cs="Mangal"/>
      <w:b/>
      <w:bCs/>
      <w:i/>
      <w:iCs/>
      <w:color w:val="4F81BD"/>
    </w:rPr>
  </w:style>
  <w:style w:type="character" w:customStyle="1" w:styleId="Heading5Char">
    <w:name w:val="Heading 5 Char"/>
    <w:basedOn w:val="DefaultParagraphFont"/>
    <w:link w:val="Heading5"/>
    <w:uiPriority w:val="9"/>
    <w:rPr>
      <w:rFonts w:ascii="Calibri" w:eastAsia="MS Gothic" w:hAnsi="Calibri" w:cs="Mangal"/>
      <w:color w:val="243F60"/>
    </w:rPr>
  </w:style>
  <w:style w:type="character" w:customStyle="1" w:styleId="Heading6Char">
    <w:name w:val="Heading 6 Char"/>
    <w:basedOn w:val="DefaultParagraphFont"/>
    <w:link w:val="Heading6"/>
    <w:uiPriority w:val="9"/>
    <w:rPr>
      <w:rFonts w:ascii="Calibri" w:eastAsia="MS Gothic" w:hAnsi="Calibri" w:cs="Mangal"/>
      <w:i/>
      <w:iCs/>
      <w:color w:val="243F60"/>
    </w:rPr>
  </w:style>
  <w:style w:type="character" w:customStyle="1" w:styleId="Heading7Char">
    <w:name w:val="Heading 7 Char"/>
    <w:basedOn w:val="DefaultParagraphFont"/>
    <w:link w:val="Heading7"/>
    <w:uiPriority w:val="9"/>
    <w:rPr>
      <w:rFonts w:ascii="Calibri" w:eastAsia="MS Gothic" w:hAnsi="Calibri" w:cs="Mangal"/>
      <w:i/>
      <w:iCs/>
      <w:color w:val="404040"/>
    </w:rPr>
  </w:style>
  <w:style w:type="character" w:customStyle="1" w:styleId="Heading8Char">
    <w:name w:val="Heading 8 Char"/>
    <w:basedOn w:val="DefaultParagraphFont"/>
    <w:link w:val="Heading8"/>
    <w:uiPriority w:val="9"/>
    <w:rPr>
      <w:rFonts w:ascii="Calibri" w:eastAsia="MS Gothic" w:hAnsi="Calibri" w:cs="Mangal"/>
      <w:color w:val="4F81BD"/>
      <w:sz w:val="20"/>
      <w:szCs w:val="20"/>
    </w:rPr>
  </w:style>
  <w:style w:type="character" w:customStyle="1" w:styleId="Heading9Char">
    <w:name w:val="Heading 9 Char"/>
    <w:basedOn w:val="DefaultParagraphFont"/>
    <w:link w:val="Heading9"/>
    <w:uiPriority w:val="9"/>
    <w:rPr>
      <w:rFonts w:ascii="Calibri" w:eastAsia="MS Gothic" w:hAnsi="Calibri" w:cs="Mangal"/>
      <w:i/>
      <w:iCs/>
      <w:color w:val="404040"/>
      <w:sz w:val="20"/>
      <w:szCs w:val="20"/>
    </w:rPr>
  </w:style>
  <w:style w:type="paragraph" w:styleId="Caption">
    <w:name w:val="caption"/>
    <w:basedOn w:val="Normal"/>
    <w:next w:val="Normal"/>
    <w:uiPriority w:val="35"/>
    <w:qFormat/>
    <w:pPr>
      <w:spacing w:line="240" w:lineRule="auto"/>
    </w:pPr>
    <w:rPr>
      <w:b/>
      <w:bCs/>
      <w:color w:val="4F81BD"/>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IntenseQuote">
    <w:name w:val="Intense Quote"/>
    <w:basedOn w:val="Normal"/>
    <w:next w:val="Normal"/>
    <w:link w:val="IntenseQuoteChar"/>
    <w:uiPriority w:val="30"/>
    <w:qFormat/>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Pr>
      <w:b/>
      <w:bCs/>
      <w:i/>
      <w:iCs/>
      <w:color w:val="4F81BD"/>
    </w:rPr>
  </w:style>
  <w:style w:type="character" w:styleId="SubtleEmphasis">
    <w:name w:val="Subtle Emphasis"/>
    <w:basedOn w:val="DefaultParagraphFont"/>
    <w:uiPriority w:val="19"/>
    <w:qFormat/>
    <w:rPr>
      <w:i/>
      <w:iCs/>
      <w:color w:val="808080"/>
    </w:rPr>
  </w:style>
  <w:style w:type="character" w:styleId="IntenseEmphasis">
    <w:name w:val="Intense Emphasis"/>
    <w:basedOn w:val="DefaultParagraphFont"/>
    <w:uiPriority w:val="21"/>
    <w:qFormat/>
    <w:rPr>
      <w:b/>
      <w:bCs/>
      <w:i/>
      <w:iCs/>
      <w:color w:val="4F81BD"/>
    </w:rPr>
  </w:style>
  <w:style w:type="character" w:styleId="SubtleReference">
    <w:name w:val="Subtle Reference"/>
    <w:basedOn w:val="DefaultParagraphFont"/>
    <w:uiPriority w:val="31"/>
    <w:qFormat/>
    <w:rPr>
      <w:smallCaps/>
      <w:color w:val="C0504D"/>
      <w:u w:val="single"/>
    </w:rPr>
  </w:style>
  <w:style w:type="character" w:styleId="IntenseReference">
    <w:name w:val="Intense Reference"/>
    <w:basedOn w:val="DefaultParagraphFont"/>
    <w:uiPriority w:val="32"/>
    <w:qFormat/>
    <w:rPr>
      <w:b/>
      <w:bCs/>
      <w:smallCaps/>
      <w:color w:val="C0504D"/>
      <w:spacing w:val="5"/>
      <w:u w:val="single"/>
    </w:rPr>
  </w:style>
  <w:style w:type="character" w:styleId="BookTitle">
    <w:name w:val="Book Title"/>
    <w:basedOn w:val="DefaultParagraphFont"/>
    <w:uiPriority w:val="33"/>
    <w:qFormat/>
    <w:rPr>
      <w:b/>
      <w:bCs/>
      <w:smallCaps/>
      <w:spacing w:val="5"/>
    </w:rPr>
  </w:style>
  <w:style w:type="paragraph" w:styleId="TOCHeading">
    <w:name w:val="TOC Heading"/>
    <w:basedOn w:val="Heading1"/>
    <w:next w:val="Normal"/>
    <w:uiPriority w:val="39"/>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pPr>
      <w:spacing w:after="0" w:line="240" w:lineRule="auto"/>
    </w:pPr>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pPr>
      <w:spacing w:after="0" w:line="240" w:lineRule="auto"/>
    </w:pPr>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pPr>
      <w:spacing w:after="0" w:line="240" w:lineRule="auto"/>
    </w:pPr>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pPr>
      <w:spacing w:after="0" w:line="240" w:lineRule="auto"/>
    </w:pPr>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pPr>
      <w:spacing w:after="0" w:line="240" w:lineRule="auto"/>
    </w:pPr>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pPr>
      <w:spacing w:after="0" w:line="240" w:lineRule="auto"/>
    </w:pPr>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ghtList">
    <w:name w:val="Light List"/>
    <w:basedOn w:val="TableNormal"/>
    <w:uiPriority w:val="61"/>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Mangal"/>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Mangal"/>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Mangal"/>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Mangal"/>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Mangal"/>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Mangal"/>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Mangal"/>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Mangal"/>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Mangal"/>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Mangal"/>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Mangal"/>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Mangal"/>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Mangal"/>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Mangal"/>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MediumShading1">
    <w:name w:val="Medium Shading 1"/>
    <w:basedOn w:val="TableNormal"/>
    <w:uiPriority w:val="63"/>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rPr>
        <w:rFonts w:ascii="Calibri" w:eastAsia="MS Gothic" w:hAnsi="Calibri" w:cs="Mangal"/>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pPr>
      <w:spacing w:after="0" w:line="240" w:lineRule="auto"/>
    </w:pPr>
    <w:rPr>
      <w:color w:val="000000"/>
    </w:rPr>
    <w:tblPr>
      <w:tblStyleRowBandSize w:val="1"/>
      <w:tblStyleColBandSize w:val="1"/>
      <w:tblBorders>
        <w:top w:val="single" w:sz="8" w:space="0" w:color="4F81BD"/>
        <w:bottom w:val="single" w:sz="8" w:space="0" w:color="4F81BD"/>
      </w:tblBorders>
    </w:tblPr>
    <w:tblStylePr w:type="firstRow">
      <w:rPr>
        <w:rFonts w:ascii="Calibri" w:eastAsia="MS Gothic" w:hAnsi="Calibri" w:cs="Mangal"/>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pPr>
      <w:spacing w:after="0" w:line="240" w:lineRule="auto"/>
    </w:pPr>
    <w:rPr>
      <w:color w:val="000000"/>
    </w:rPr>
    <w:tblPr>
      <w:tblStyleRowBandSize w:val="1"/>
      <w:tblStyleColBandSize w:val="1"/>
      <w:tblBorders>
        <w:top w:val="single" w:sz="8" w:space="0" w:color="C0504D"/>
        <w:bottom w:val="single" w:sz="8" w:space="0" w:color="C0504D"/>
      </w:tblBorders>
    </w:tblPr>
    <w:tblStylePr w:type="firstRow">
      <w:rPr>
        <w:rFonts w:ascii="Calibri" w:eastAsia="MS Gothic" w:hAnsi="Calibri" w:cs="Mangal"/>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pPr>
      <w:spacing w:after="0" w:line="240" w:lineRule="auto"/>
    </w:pPr>
    <w:rPr>
      <w:color w:val="000000"/>
    </w:rPr>
    <w:tblPr>
      <w:tblStyleRowBandSize w:val="1"/>
      <w:tblStyleColBandSize w:val="1"/>
      <w:tblBorders>
        <w:top w:val="single" w:sz="8" w:space="0" w:color="9BBB59"/>
        <w:bottom w:val="single" w:sz="8" w:space="0" w:color="9BBB59"/>
      </w:tblBorders>
    </w:tblPr>
    <w:tblStylePr w:type="firstRow">
      <w:rPr>
        <w:rFonts w:ascii="Calibri" w:eastAsia="MS Gothic" w:hAnsi="Calibri" w:cs="Mangal"/>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pPr>
      <w:spacing w:after="0" w:line="240" w:lineRule="auto"/>
    </w:pPr>
    <w:rPr>
      <w:color w:val="000000"/>
    </w:rPr>
    <w:tblPr>
      <w:tblStyleRowBandSize w:val="1"/>
      <w:tblStyleColBandSize w:val="1"/>
      <w:tblBorders>
        <w:top w:val="single" w:sz="8" w:space="0" w:color="8064A2"/>
        <w:bottom w:val="single" w:sz="8" w:space="0" w:color="8064A2"/>
      </w:tblBorders>
    </w:tblPr>
    <w:tblStylePr w:type="firstRow">
      <w:rPr>
        <w:rFonts w:ascii="Calibri" w:eastAsia="MS Gothic" w:hAnsi="Calibri" w:cs="Mangal"/>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pPr>
      <w:spacing w:after="0" w:line="240" w:lineRule="auto"/>
    </w:pPr>
    <w:rPr>
      <w:color w:val="000000"/>
    </w:rPr>
    <w:tblPr>
      <w:tblStyleRowBandSize w:val="1"/>
      <w:tblStyleColBandSize w:val="1"/>
      <w:tblBorders>
        <w:top w:val="single" w:sz="8" w:space="0" w:color="4BACC6"/>
        <w:bottom w:val="single" w:sz="8" w:space="0" w:color="4BACC6"/>
      </w:tblBorders>
    </w:tblPr>
    <w:tblStylePr w:type="firstRow">
      <w:rPr>
        <w:rFonts w:ascii="Calibri" w:eastAsia="MS Gothic" w:hAnsi="Calibri" w:cs="Mangal"/>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pPr>
      <w:spacing w:after="0" w:line="240" w:lineRule="auto"/>
    </w:pPr>
    <w:rPr>
      <w:color w:val="000000"/>
    </w:rPr>
    <w:tblPr>
      <w:tblStyleRowBandSize w:val="1"/>
      <w:tblStyleColBandSize w:val="1"/>
      <w:tblBorders>
        <w:top w:val="single" w:sz="8" w:space="0" w:color="F79646"/>
        <w:bottom w:val="single" w:sz="8" w:space="0" w:color="F79646"/>
      </w:tblBorders>
    </w:tblPr>
    <w:tblStylePr w:type="firstRow">
      <w:rPr>
        <w:rFonts w:ascii="Calibri" w:eastAsia="MS Gothic" w:hAnsi="Calibri" w:cs="Mangal"/>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shd w:val="clear" w:color="auto" w:fill="C0C0C0"/>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shd w:val="clear" w:color="auto" w:fill="EFD3D2"/>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shd w:val="clear" w:color="auto" w:fill="E6EED5"/>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shd w:val="clear" w:color="auto" w:fill="DFD8E8"/>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shd w:val="clear" w:color="auto" w:fill="FDE4D0"/>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0C0C0"/>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shd w:val="clear" w:color="auto" w:fill="D3DFEE"/>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shd w:val="clear" w:color="auto" w:fill="EFD3D2"/>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shd w:val="clear" w:color="auto" w:fill="E6EED5"/>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shd w:val="clear" w:color="auto" w:fill="DFD8E8"/>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shd w:val="clear" w:color="auto" w:fill="D2EAF1"/>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shd w:val="clear" w:color="auto" w:fill="FDE4D0"/>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C0C0C0"/>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3DFEE"/>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FD3D2"/>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6EED5"/>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FD8E8"/>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1"/>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FDE4D0"/>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DarkList">
    <w:name w:val="Dark List"/>
    <w:basedOn w:val="TableNormal"/>
    <w:uiPriority w:val="70"/>
    <w:pPr>
      <w:spacing w:after="0" w:line="240" w:lineRule="auto"/>
    </w:pPr>
    <w:rPr>
      <w:color w:val="FFFFFF"/>
    </w:rPr>
    <w:tblPr>
      <w:tblStyleRowBandSize w:val="1"/>
      <w:tblStyleColBandSize w:val="1"/>
      <w:shd w:val="clear" w:color="auto" w:fill="000000"/>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pPr>
      <w:spacing w:after="0" w:line="240" w:lineRule="auto"/>
    </w:pPr>
    <w:rPr>
      <w:color w:val="FFFFFF"/>
    </w:rPr>
    <w:tblPr>
      <w:tblStyleRowBandSize w:val="1"/>
      <w:tblStyleColBandSize w:val="1"/>
      <w:shd w:val="clear" w:color="auto" w:fill="4F81BD"/>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pPr>
      <w:spacing w:after="0" w:line="240" w:lineRule="auto"/>
    </w:pPr>
    <w:rPr>
      <w:color w:val="FFFFFF"/>
    </w:rPr>
    <w:tblPr>
      <w:tblStyleRowBandSize w:val="1"/>
      <w:tblStyleColBandSize w:val="1"/>
      <w:shd w:val="clear" w:color="auto" w:fill="C0504D"/>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pPr>
      <w:spacing w:after="0" w:line="240" w:lineRule="auto"/>
    </w:pPr>
    <w:rPr>
      <w:color w:val="FFFFFF"/>
    </w:rPr>
    <w:tblPr>
      <w:tblStyleRowBandSize w:val="1"/>
      <w:tblStyleColBandSize w:val="1"/>
      <w:shd w:val="clear" w:color="auto" w:fill="9BBB59"/>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pPr>
      <w:spacing w:after="0" w:line="240" w:lineRule="auto"/>
    </w:pPr>
    <w:rPr>
      <w:color w:val="FFFFFF"/>
    </w:rPr>
    <w:tblPr>
      <w:tblStyleRowBandSize w:val="1"/>
      <w:tblStyleColBandSize w:val="1"/>
      <w:shd w:val="clear" w:color="auto" w:fill="8064A2"/>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pPr>
      <w:spacing w:after="0" w:line="240" w:lineRule="auto"/>
    </w:pPr>
    <w:rPr>
      <w:color w:val="FFFFFF"/>
    </w:rPr>
    <w:tblPr>
      <w:tblStyleRowBandSize w:val="1"/>
      <w:tblStyleColBandSize w:val="1"/>
      <w:shd w:val="clear" w:color="auto" w:fill="4BACC6"/>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pPr>
      <w:spacing w:after="0" w:line="240" w:lineRule="auto"/>
    </w:pPr>
    <w:rPr>
      <w:color w:val="FFFFFF"/>
    </w:rPr>
    <w:tblPr>
      <w:tblStyleRowBandSize w:val="1"/>
      <w:tblStyleColBandSize w:val="1"/>
      <w:shd w:val="clear" w:color="auto" w:fill="F79646"/>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rfulShading">
    <w:name w:val="Colorful Shading"/>
    <w:basedOn w:val="TableNormal"/>
    <w:uiPriority w:val="71"/>
    <w:pPr>
      <w:spacing w:after="0" w:line="240" w:lineRule="auto"/>
    </w:pPr>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shd w:val="clear" w:color="auto" w:fill="E6E6E6"/>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pPr>
      <w:spacing w:after="0" w:line="240" w:lineRule="auto"/>
    </w:pPr>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shd w:val="clear" w:color="auto" w:fill="EDF2F8"/>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pPr>
      <w:spacing w:after="0" w:line="240" w:lineRule="auto"/>
    </w:pPr>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shd w:val="clear" w:color="auto" w:fill="F8EDED"/>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pPr>
      <w:spacing w:after="0" w:line="240" w:lineRule="auto"/>
    </w:pPr>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shd w:val="clear" w:color="auto" w:fill="F5F8EE"/>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pPr>
      <w:spacing w:after="0" w:line="240" w:lineRule="auto"/>
    </w:pPr>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shd w:val="clear" w:color="auto" w:fill="F2EFF6"/>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pPr>
      <w:spacing w:after="0" w:line="240" w:lineRule="auto"/>
    </w:pPr>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shd w:val="clear" w:color="auto" w:fill="EDF6F9"/>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pPr>
      <w:spacing w:after="0" w:line="240" w:lineRule="auto"/>
    </w:pPr>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shd w:val="clear" w:color="auto" w:fill="FEF4EC"/>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
    <w:name w:val="Colorful List"/>
    <w:basedOn w:val="TableNormal"/>
    <w:uiPriority w:val="72"/>
    <w:pPr>
      <w:spacing w:after="0" w:line="240" w:lineRule="auto"/>
    </w:pPr>
    <w:rPr>
      <w:color w:val="000000"/>
    </w:rPr>
    <w:tblPr>
      <w:tblStyleRowBandSize w:val="1"/>
      <w:tblStyleColBandSize w:val="1"/>
      <w:shd w:val="clear" w:color="auto" w:fill="E6E6E6"/>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pPr>
      <w:spacing w:after="0" w:line="240" w:lineRule="auto"/>
    </w:pPr>
    <w:rPr>
      <w:color w:val="000000"/>
    </w:rPr>
    <w:tblPr>
      <w:tblStyleRowBandSize w:val="1"/>
      <w:tblStyleColBandSize w:val="1"/>
      <w:shd w:val="clear" w:color="auto" w:fill="EDF2F8"/>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pPr>
      <w:spacing w:after="0" w:line="240" w:lineRule="auto"/>
    </w:pPr>
    <w:rPr>
      <w:color w:val="000000"/>
    </w:rPr>
    <w:tblPr>
      <w:tblStyleRowBandSize w:val="1"/>
      <w:tblStyleColBandSize w:val="1"/>
      <w:shd w:val="clear" w:color="auto" w:fill="F8EDED"/>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pPr>
      <w:spacing w:after="0" w:line="240" w:lineRule="auto"/>
    </w:pPr>
    <w:rPr>
      <w:color w:val="000000"/>
    </w:rPr>
    <w:tblPr>
      <w:tblStyleRowBandSize w:val="1"/>
      <w:tblStyleColBandSize w:val="1"/>
      <w:shd w:val="clear" w:color="auto" w:fill="F5F8EE"/>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pPr>
      <w:spacing w:after="0" w:line="240" w:lineRule="auto"/>
    </w:pPr>
    <w:rPr>
      <w:color w:val="000000"/>
    </w:rPr>
    <w:tblPr>
      <w:tblStyleRowBandSize w:val="1"/>
      <w:tblStyleColBandSize w:val="1"/>
      <w:shd w:val="clear" w:color="auto" w:fill="F2EFF6"/>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pPr>
      <w:spacing w:after="0" w:line="240" w:lineRule="auto"/>
    </w:pPr>
    <w:rPr>
      <w:color w:val="000000"/>
    </w:rPr>
    <w:tblPr>
      <w:tblStyleRowBandSize w:val="1"/>
      <w:tblStyleColBandSize w:val="1"/>
      <w:shd w:val="clear" w:color="auto" w:fill="EDF6F9"/>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pPr>
      <w:spacing w:after="0" w:line="240" w:lineRule="auto"/>
    </w:pPr>
    <w:rPr>
      <w:color w:val="000000"/>
    </w:rPr>
    <w:tblPr>
      <w:tblStyleRowBandSize w:val="1"/>
      <w:tblStyleColBandSize w:val="1"/>
      <w:shd w:val="clear" w:color="auto" w:fill="FEF4EC"/>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
    <w:name w:val="Colorful Grid"/>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CCCCCC"/>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DBE5F1"/>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F2DBDB"/>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EAF1DD"/>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E5DFEC"/>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DAEEF3"/>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FDE9D9"/>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NormalWeb">
    <w:name w:val="Normal (Web)"/>
    <w:basedOn w:val="Normal"/>
    <w:uiPriority w:val="99"/>
    <w:pPr>
      <w:spacing w:before="100" w:beforeAutospacing="1" w:after="100" w:afterAutospacing="1" w:line="240" w:lineRule="auto"/>
    </w:pPr>
    <w:rPr>
      <w:rFonts w:ascii="Times New Roman" w:hAnsi="Times New Roman" w:cs="Times New Roman"/>
      <w:sz w:val="24"/>
      <w:szCs w:val="24"/>
      <w:lang w:val="en-IN" w:bidi="hi-IN"/>
    </w:rPr>
  </w:style>
  <w:style w:type="table" w:customStyle="1" w:styleId="PlainTable11">
    <w:name w:val="Plain Table 11"/>
    <w:basedOn w:val="TableNormal"/>
    <w:uiPriority w:val="9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21">
    <w:name w:val="Plain Table 21"/>
    <w:basedOn w:val="TableNormal"/>
    <w:uiPriority w:val="99"/>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
    <w:name w:val="Plain Table 31"/>
    <w:basedOn w:val="TableNormal"/>
    <w:uiPriority w:val="99"/>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51">
    <w:name w:val="Plain Table 51"/>
    <w:basedOn w:val="TableNormal"/>
    <w:uiPriority w:val="99"/>
    <w:pPr>
      <w:spacing w:after="0" w:line="240" w:lineRule="auto"/>
    </w:pPr>
    <w:tblPr>
      <w:tblStyleRowBandSize w:val="1"/>
      <w:tblStyleColBandSize w:val="1"/>
    </w:tblPr>
    <w:tblStylePr w:type="firstRow">
      <w:rPr>
        <w:rFonts w:ascii="Calibri" w:eastAsia="MS Gothic" w:hAnsi="Calibri" w:cs="Mangal"/>
        <w:i/>
        <w:iCs/>
        <w:sz w:val="26"/>
      </w:rPr>
      <w:tblPr/>
      <w:tcPr>
        <w:tcBorders>
          <w:bottom w:val="single" w:sz="4" w:space="0" w:color="7F7F7F"/>
        </w:tcBorders>
        <w:shd w:val="clear" w:color="auto" w:fill="FFFFFF"/>
      </w:tcPr>
    </w:tblStylePr>
    <w:tblStylePr w:type="lastRow">
      <w:rPr>
        <w:rFonts w:ascii="Calibri" w:eastAsia="MS Gothic" w:hAnsi="Calibri" w:cs="Mangal"/>
        <w:i/>
        <w:iCs/>
        <w:sz w:val="26"/>
      </w:rPr>
      <w:tblPr/>
      <w:tcPr>
        <w:tcBorders>
          <w:top w:val="single" w:sz="4" w:space="0" w:color="7F7F7F"/>
        </w:tcBorders>
        <w:shd w:val="clear" w:color="auto" w:fill="FFFFFF"/>
      </w:tcPr>
    </w:tblStylePr>
    <w:tblStylePr w:type="firstCol">
      <w:pPr>
        <w:jc w:val="right"/>
      </w:pPr>
      <w:rPr>
        <w:rFonts w:ascii="Calibri" w:eastAsia="MS Gothic" w:hAnsi="Calibri" w:cs="Mangal"/>
        <w:i/>
        <w:iCs/>
        <w:sz w:val="26"/>
      </w:rPr>
      <w:tblPr/>
      <w:tcPr>
        <w:tcBorders>
          <w:right w:val="single" w:sz="4" w:space="0" w:color="7F7F7F"/>
        </w:tcBorders>
        <w:shd w:val="clear" w:color="auto" w:fill="FFFFFF"/>
      </w:tcPr>
    </w:tblStylePr>
    <w:tblStylePr w:type="lastCol">
      <w:rPr>
        <w:rFonts w:ascii="Calibri" w:eastAsia="MS Gothic" w:hAnsi="Calibri" w:cs="Mangal"/>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9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5Dark1">
    <w:name w:val="Grid Table 5 Dark1"/>
    <w:basedOn w:val="TableNormal"/>
    <w:uiPriority w:val="5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CCCCC"/>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paragraph" w:styleId="FootnoteText">
    <w:name w:val="footnote text"/>
    <w:basedOn w:val="Normal"/>
    <w:link w:val="FootnoteTextChar"/>
    <w:uiPriority w:val="99"/>
    <w:pPr>
      <w:spacing w:after="0" w:line="240" w:lineRule="auto"/>
    </w:pPr>
    <w:rPr>
      <w:sz w:val="20"/>
      <w:szCs w:val="20"/>
    </w:rPr>
  </w:style>
  <w:style w:type="character" w:customStyle="1" w:styleId="FootnoteTextChar">
    <w:name w:val="Footnote Text Char"/>
    <w:basedOn w:val="DefaultParagraphFont"/>
    <w:link w:val="FootnoteText"/>
    <w:uiPriority w:val="99"/>
    <w:rPr>
      <w:sz w:val="20"/>
      <w:szCs w:val="20"/>
    </w:rPr>
  </w:style>
  <w:style w:type="character" w:styleId="FootnoteReference">
    <w:name w:val="footnote reference"/>
    <w:basedOn w:val="DefaultParagraphFont"/>
    <w:uiPriority w:val="99"/>
    <w:rPr>
      <w:vertAlign w:val="superscript"/>
    </w:rPr>
  </w:style>
  <w:style w:type="character" w:styleId="Hyperlink">
    <w:name w:val="Hyperlink"/>
    <w:basedOn w:val="DefaultParagraphFont"/>
    <w:uiPriority w:val="99"/>
    <w:unhideWhenUsed/>
    <w:rsid w:val="00EB78C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606041">
      <w:bodyDiv w:val="1"/>
      <w:marLeft w:val="0"/>
      <w:marRight w:val="0"/>
      <w:marTop w:val="0"/>
      <w:marBottom w:val="0"/>
      <w:divBdr>
        <w:top w:val="none" w:sz="0" w:space="0" w:color="auto"/>
        <w:left w:val="none" w:sz="0" w:space="0" w:color="auto"/>
        <w:bottom w:val="none" w:sz="0" w:space="0" w:color="auto"/>
        <w:right w:val="none" w:sz="0" w:space="0" w:color="auto"/>
      </w:divBdr>
      <w:divsChild>
        <w:div w:id="2016809369">
          <w:marLeft w:val="0"/>
          <w:marRight w:val="0"/>
          <w:marTop w:val="0"/>
          <w:marBottom w:val="0"/>
          <w:divBdr>
            <w:top w:val="none" w:sz="0" w:space="0" w:color="auto"/>
            <w:left w:val="none" w:sz="0" w:space="0" w:color="auto"/>
            <w:bottom w:val="none" w:sz="0" w:space="0" w:color="auto"/>
            <w:right w:val="none" w:sz="0" w:space="0" w:color="auto"/>
          </w:divBdr>
          <w:divsChild>
            <w:div w:id="1877346394">
              <w:marLeft w:val="0"/>
              <w:marRight w:val="0"/>
              <w:marTop w:val="0"/>
              <w:marBottom w:val="0"/>
              <w:divBdr>
                <w:top w:val="none" w:sz="0" w:space="0" w:color="auto"/>
                <w:left w:val="none" w:sz="0" w:space="0" w:color="auto"/>
                <w:bottom w:val="none" w:sz="0" w:space="0" w:color="auto"/>
                <w:right w:val="none" w:sz="0" w:space="0" w:color="auto"/>
              </w:divBdr>
              <w:divsChild>
                <w:div w:id="2120026939">
                  <w:marLeft w:val="0"/>
                  <w:marRight w:val="0"/>
                  <w:marTop w:val="0"/>
                  <w:marBottom w:val="0"/>
                  <w:divBdr>
                    <w:top w:val="none" w:sz="0" w:space="0" w:color="auto"/>
                    <w:left w:val="none" w:sz="0" w:space="0" w:color="auto"/>
                    <w:bottom w:val="none" w:sz="0" w:space="0" w:color="auto"/>
                    <w:right w:val="none" w:sz="0" w:space="0" w:color="auto"/>
                  </w:divBdr>
                  <w:divsChild>
                    <w:div w:id="1855924884">
                      <w:marLeft w:val="0"/>
                      <w:marRight w:val="0"/>
                      <w:marTop w:val="120"/>
                      <w:marBottom w:val="0"/>
                      <w:divBdr>
                        <w:top w:val="none" w:sz="0" w:space="0" w:color="auto"/>
                        <w:left w:val="none" w:sz="0" w:space="0" w:color="auto"/>
                        <w:bottom w:val="none" w:sz="0" w:space="0" w:color="auto"/>
                        <w:right w:val="none" w:sz="0" w:space="0" w:color="auto"/>
                      </w:divBdr>
                      <w:divsChild>
                        <w:div w:id="1924532995">
                          <w:marLeft w:val="0"/>
                          <w:marRight w:val="0"/>
                          <w:marTop w:val="0"/>
                          <w:marBottom w:val="0"/>
                          <w:divBdr>
                            <w:top w:val="none" w:sz="0" w:space="0" w:color="auto"/>
                            <w:left w:val="none" w:sz="0" w:space="0" w:color="auto"/>
                            <w:bottom w:val="none" w:sz="0" w:space="0" w:color="auto"/>
                            <w:right w:val="none" w:sz="0" w:space="0" w:color="auto"/>
                          </w:divBdr>
                          <w:divsChild>
                            <w:div w:id="172297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348824">
          <w:marLeft w:val="0"/>
          <w:marRight w:val="0"/>
          <w:marTop w:val="0"/>
          <w:marBottom w:val="0"/>
          <w:divBdr>
            <w:top w:val="none" w:sz="0" w:space="0" w:color="auto"/>
            <w:left w:val="none" w:sz="0" w:space="0" w:color="auto"/>
            <w:bottom w:val="none" w:sz="0" w:space="0" w:color="auto"/>
            <w:right w:val="none" w:sz="0" w:space="0" w:color="auto"/>
          </w:divBdr>
          <w:divsChild>
            <w:div w:id="1674843758">
              <w:marLeft w:val="0"/>
              <w:marRight w:val="0"/>
              <w:marTop w:val="0"/>
              <w:marBottom w:val="0"/>
              <w:divBdr>
                <w:top w:val="none" w:sz="0" w:space="0" w:color="auto"/>
                <w:left w:val="none" w:sz="0" w:space="0" w:color="auto"/>
                <w:bottom w:val="none" w:sz="0" w:space="0" w:color="auto"/>
                <w:right w:val="none" w:sz="0" w:space="0" w:color="auto"/>
              </w:divBdr>
              <w:divsChild>
                <w:div w:id="370108766">
                  <w:marLeft w:val="0"/>
                  <w:marRight w:val="0"/>
                  <w:marTop w:val="0"/>
                  <w:marBottom w:val="0"/>
                  <w:divBdr>
                    <w:top w:val="none" w:sz="0" w:space="0" w:color="auto"/>
                    <w:left w:val="none" w:sz="0" w:space="0" w:color="auto"/>
                    <w:bottom w:val="none" w:sz="0" w:space="0" w:color="auto"/>
                    <w:right w:val="none" w:sz="0" w:space="0" w:color="auto"/>
                  </w:divBdr>
                  <w:divsChild>
                    <w:div w:id="9000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970145">
      <w:bodyDiv w:val="1"/>
      <w:marLeft w:val="0"/>
      <w:marRight w:val="0"/>
      <w:marTop w:val="0"/>
      <w:marBottom w:val="0"/>
      <w:divBdr>
        <w:top w:val="none" w:sz="0" w:space="0" w:color="auto"/>
        <w:left w:val="none" w:sz="0" w:space="0" w:color="auto"/>
        <w:bottom w:val="none" w:sz="0" w:space="0" w:color="auto"/>
        <w:right w:val="none" w:sz="0" w:space="0" w:color="auto"/>
      </w:divBdr>
      <w:divsChild>
        <w:div w:id="797989833">
          <w:marLeft w:val="0"/>
          <w:marRight w:val="0"/>
          <w:marTop w:val="0"/>
          <w:marBottom w:val="0"/>
          <w:divBdr>
            <w:top w:val="none" w:sz="0" w:space="0" w:color="auto"/>
            <w:left w:val="none" w:sz="0" w:space="0" w:color="auto"/>
            <w:bottom w:val="none" w:sz="0" w:space="0" w:color="auto"/>
            <w:right w:val="none" w:sz="0" w:space="0" w:color="auto"/>
          </w:divBdr>
        </w:div>
        <w:div w:id="1495339398">
          <w:marLeft w:val="0"/>
          <w:marRight w:val="0"/>
          <w:marTop w:val="0"/>
          <w:marBottom w:val="0"/>
          <w:divBdr>
            <w:top w:val="none" w:sz="0" w:space="0" w:color="auto"/>
            <w:left w:val="none" w:sz="0" w:space="0" w:color="auto"/>
            <w:bottom w:val="none" w:sz="0" w:space="0" w:color="auto"/>
            <w:right w:val="none" w:sz="0" w:space="0" w:color="auto"/>
          </w:divBdr>
        </w:div>
        <w:div w:id="1015034341">
          <w:marLeft w:val="0"/>
          <w:marRight w:val="0"/>
          <w:marTop w:val="0"/>
          <w:marBottom w:val="0"/>
          <w:divBdr>
            <w:top w:val="none" w:sz="0" w:space="0" w:color="auto"/>
            <w:left w:val="none" w:sz="0" w:space="0" w:color="auto"/>
            <w:bottom w:val="none" w:sz="0" w:space="0" w:color="auto"/>
            <w:right w:val="none" w:sz="0" w:space="0" w:color="auto"/>
          </w:divBdr>
        </w:div>
        <w:div w:id="654652740">
          <w:marLeft w:val="0"/>
          <w:marRight w:val="0"/>
          <w:marTop w:val="0"/>
          <w:marBottom w:val="0"/>
          <w:divBdr>
            <w:top w:val="none" w:sz="0" w:space="0" w:color="auto"/>
            <w:left w:val="none" w:sz="0" w:space="0" w:color="auto"/>
            <w:bottom w:val="none" w:sz="0" w:space="0" w:color="auto"/>
            <w:right w:val="none" w:sz="0" w:space="0" w:color="auto"/>
          </w:divBdr>
        </w:div>
        <w:div w:id="213008639">
          <w:marLeft w:val="0"/>
          <w:marRight w:val="0"/>
          <w:marTop w:val="0"/>
          <w:marBottom w:val="0"/>
          <w:divBdr>
            <w:top w:val="none" w:sz="0" w:space="0" w:color="auto"/>
            <w:left w:val="none" w:sz="0" w:space="0" w:color="auto"/>
            <w:bottom w:val="none" w:sz="0" w:space="0" w:color="auto"/>
            <w:right w:val="none" w:sz="0" w:space="0" w:color="auto"/>
          </w:divBdr>
        </w:div>
        <w:div w:id="94324799">
          <w:marLeft w:val="0"/>
          <w:marRight w:val="0"/>
          <w:marTop w:val="0"/>
          <w:marBottom w:val="0"/>
          <w:divBdr>
            <w:top w:val="none" w:sz="0" w:space="0" w:color="auto"/>
            <w:left w:val="none" w:sz="0" w:space="0" w:color="auto"/>
            <w:bottom w:val="none" w:sz="0" w:space="0" w:color="auto"/>
            <w:right w:val="none" w:sz="0" w:space="0" w:color="auto"/>
          </w:divBdr>
        </w:div>
        <w:div w:id="924727366">
          <w:marLeft w:val="0"/>
          <w:marRight w:val="0"/>
          <w:marTop w:val="0"/>
          <w:marBottom w:val="0"/>
          <w:divBdr>
            <w:top w:val="none" w:sz="0" w:space="0" w:color="auto"/>
            <w:left w:val="none" w:sz="0" w:space="0" w:color="auto"/>
            <w:bottom w:val="none" w:sz="0" w:space="0" w:color="auto"/>
            <w:right w:val="none" w:sz="0" w:space="0" w:color="auto"/>
          </w:divBdr>
        </w:div>
        <w:div w:id="1927877695">
          <w:marLeft w:val="0"/>
          <w:marRight w:val="0"/>
          <w:marTop w:val="0"/>
          <w:marBottom w:val="0"/>
          <w:divBdr>
            <w:top w:val="none" w:sz="0" w:space="0" w:color="auto"/>
            <w:left w:val="none" w:sz="0" w:space="0" w:color="auto"/>
            <w:bottom w:val="none" w:sz="0" w:space="0" w:color="auto"/>
            <w:right w:val="none" w:sz="0" w:space="0" w:color="auto"/>
          </w:divBdr>
        </w:div>
        <w:div w:id="1437142149">
          <w:marLeft w:val="0"/>
          <w:marRight w:val="0"/>
          <w:marTop w:val="0"/>
          <w:marBottom w:val="0"/>
          <w:divBdr>
            <w:top w:val="none" w:sz="0" w:space="0" w:color="auto"/>
            <w:left w:val="none" w:sz="0" w:space="0" w:color="auto"/>
            <w:bottom w:val="none" w:sz="0" w:space="0" w:color="auto"/>
            <w:right w:val="none" w:sz="0" w:space="0" w:color="auto"/>
          </w:divBdr>
        </w:div>
        <w:div w:id="1560285496">
          <w:marLeft w:val="0"/>
          <w:marRight w:val="0"/>
          <w:marTop w:val="0"/>
          <w:marBottom w:val="0"/>
          <w:divBdr>
            <w:top w:val="none" w:sz="0" w:space="0" w:color="auto"/>
            <w:left w:val="none" w:sz="0" w:space="0" w:color="auto"/>
            <w:bottom w:val="none" w:sz="0" w:space="0" w:color="auto"/>
            <w:right w:val="none" w:sz="0" w:space="0" w:color="auto"/>
          </w:divBdr>
        </w:div>
        <w:div w:id="688605868">
          <w:marLeft w:val="0"/>
          <w:marRight w:val="0"/>
          <w:marTop w:val="0"/>
          <w:marBottom w:val="0"/>
          <w:divBdr>
            <w:top w:val="none" w:sz="0" w:space="0" w:color="auto"/>
            <w:left w:val="none" w:sz="0" w:space="0" w:color="auto"/>
            <w:bottom w:val="none" w:sz="0" w:space="0" w:color="auto"/>
            <w:right w:val="none" w:sz="0" w:space="0" w:color="auto"/>
          </w:divBdr>
        </w:div>
      </w:divsChild>
    </w:div>
    <w:div w:id="1939286213">
      <w:bodyDiv w:val="1"/>
      <w:marLeft w:val="0"/>
      <w:marRight w:val="0"/>
      <w:marTop w:val="0"/>
      <w:marBottom w:val="0"/>
      <w:divBdr>
        <w:top w:val="none" w:sz="0" w:space="0" w:color="auto"/>
        <w:left w:val="none" w:sz="0" w:space="0" w:color="auto"/>
        <w:bottom w:val="none" w:sz="0" w:space="0" w:color="auto"/>
        <w:right w:val="none" w:sz="0" w:space="0" w:color="auto"/>
      </w:divBdr>
      <w:divsChild>
        <w:div w:id="1455903450">
          <w:marLeft w:val="0"/>
          <w:marRight w:val="0"/>
          <w:marTop w:val="0"/>
          <w:marBottom w:val="0"/>
          <w:divBdr>
            <w:top w:val="none" w:sz="0" w:space="0" w:color="auto"/>
            <w:left w:val="none" w:sz="0" w:space="0" w:color="auto"/>
            <w:bottom w:val="none" w:sz="0" w:space="0" w:color="auto"/>
            <w:right w:val="none" w:sz="0" w:space="0" w:color="auto"/>
          </w:divBdr>
        </w:div>
        <w:div w:id="572392927">
          <w:marLeft w:val="0"/>
          <w:marRight w:val="0"/>
          <w:marTop w:val="0"/>
          <w:marBottom w:val="0"/>
          <w:divBdr>
            <w:top w:val="none" w:sz="0" w:space="0" w:color="auto"/>
            <w:left w:val="none" w:sz="0" w:space="0" w:color="auto"/>
            <w:bottom w:val="none" w:sz="0" w:space="0" w:color="auto"/>
            <w:right w:val="none" w:sz="0" w:space="0" w:color="auto"/>
          </w:divBdr>
        </w:div>
        <w:div w:id="1382094796">
          <w:marLeft w:val="0"/>
          <w:marRight w:val="0"/>
          <w:marTop w:val="0"/>
          <w:marBottom w:val="0"/>
          <w:divBdr>
            <w:top w:val="none" w:sz="0" w:space="0" w:color="auto"/>
            <w:left w:val="none" w:sz="0" w:space="0" w:color="auto"/>
            <w:bottom w:val="none" w:sz="0" w:space="0" w:color="auto"/>
            <w:right w:val="none" w:sz="0" w:space="0" w:color="auto"/>
          </w:divBdr>
        </w:div>
      </w:divsChild>
    </w:div>
    <w:div w:id="1956717318">
      <w:bodyDiv w:val="1"/>
      <w:marLeft w:val="0"/>
      <w:marRight w:val="0"/>
      <w:marTop w:val="0"/>
      <w:marBottom w:val="0"/>
      <w:divBdr>
        <w:top w:val="none" w:sz="0" w:space="0" w:color="auto"/>
        <w:left w:val="none" w:sz="0" w:space="0" w:color="auto"/>
        <w:bottom w:val="none" w:sz="0" w:space="0" w:color="auto"/>
        <w:right w:val="none" w:sz="0" w:space="0" w:color="auto"/>
      </w:divBdr>
    </w:div>
    <w:div w:id="2046757353">
      <w:bodyDiv w:val="1"/>
      <w:marLeft w:val="0"/>
      <w:marRight w:val="0"/>
      <w:marTop w:val="0"/>
      <w:marBottom w:val="0"/>
      <w:divBdr>
        <w:top w:val="none" w:sz="0" w:space="0" w:color="auto"/>
        <w:left w:val="none" w:sz="0" w:space="0" w:color="auto"/>
        <w:bottom w:val="none" w:sz="0" w:space="0" w:color="auto"/>
        <w:right w:val="none" w:sz="0" w:space="0" w:color="auto"/>
      </w:divBdr>
      <w:divsChild>
        <w:div w:id="166893989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doi.org/10.1007/s13201-018-0682-1" TargetMode="External"/><Relationship Id="rId26" Type="http://schemas.openxmlformats.org/officeDocument/2006/relationships/hyperlink" Target="https://doi.org/10.1007/s13201-018-0677-y" TargetMode="External"/><Relationship Id="rId39" Type="http://schemas.openxmlformats.org/officeDocument/2006/relationships/hyperlink" Target="https://doi.org/10.2166/ws.2024.196" TargetMode="External"/><Relationship Id="rId21" Type="http://schemas.openxmlformats.org/officeDocument/2006/relationships/hyperlink" Target="https://doi.org/10.1007/s13201-018-0682-1" TargetMode="External"/><Relationship Id="rId34" Type="http://schemas.openxmlformats.org/officeDocument/2006/relationships/hyperlink" Target="https://doi.org/10.1021/acsenvironau.2c00053" TargetMode="Externa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07/s13201-018-0682-1" TargetMode="External"/><Relationship Id="rId29" Type="http://schemas.openxmlformats.org/officeDocument/2006/relationships/hyperlink" Target="https://doi.org/10.1007/s13201-018-0677-y" TargetMode="External"/><Relationship Id="rId11" Type="http://schemas.openxmlformats.org/officeDocument/2006/relationships/chart" Target="charts/chart3.xml"/><Relationship Id="rId24" Type="http://schemas.openxmlformats.org/officeDocument/2006/relationships/hyperlink" Target="https://doi.org/10.30919/esg1203" TargetMode="External"/><Relationship Id="rId32" Type="http://schemas.openxmlformats.org/officeDocument/2006/relationships/hyperlink" Target="https://doi.org/10.1007/s13201-018-0677-y" TargetMode="External"/><Relationship Id="rId37" Type="http://schemas.openxmlformats.org/officeDocument/2006/relationships/hyperlink" Target="https://doi.org/10.63697/jeshs.2025.011" TargetMode="External"/><Relationship Id="rId40" Type="http://schemas.openxmlformats.org/officeDocument/2006/relationships/hyperlink" Target="https://doi.org/10.4103/ijph.ijph_372_24"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https://doi.org/10.1007/s13201-018-0682-1" TargetMode="External"/><Relationship Id="rId28" Type="http://schemas.openxmlformats.org/officeDocument/2006/relationships/hyperlink" Target="https://doi.org/10.1007/s13201-018-0677-y" TargetMode="External"/><Relationship Id="rId36" Type="http://schemas.openxmlformats.org/officeDocument/2006/relationships/hyperlink" Target="https://doi.org/10.17352/2455-5495.000105" TargetMode="External"/><Relationship Id="rId49"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hyperlink" Target="https://doi.org/10.1007/s13201-018-0682-1" TargetMode="External"/><Relationship Id="rId31" Type="http://schemas.openxmlformats.org/officeDocument/2006/relationships/hyperlink" Target="https://doi.org/10.1007/s13201-018-0677-y"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doi.org/10.1007/s13201-018-0682-1" TargetMode="External"/><Relationship Id="rId27" Type="http://schemas.openxmlformats.org/officeDocument/2006/relationships/hyperlink" Target="https://doi.org/10.1007/s13201-018-0677-y" TargetMode="External"/><Relationship Id="rId30" Type="http://schemas.openxmlformats.org/officeDocument/2006/relationships/hyperlink" Target="https://doi.org/10.1007/s13201-018-0677-y" TargetMode="External"/><Relationship Id="rId35" Type="http://schemas.openxmlformats.org/officeDocument/2006/relationships/hyperlink" Target="https://doi.org/10.2166/wh.2024.243"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hyperlink" Target="https://doi.org/10.1007/s13201-018-0682-1" TargetMode="External"/><Relationship Id="rId25" Type="http://schemas.openxmlformats.org/officeDocument/2006/relationships/hyperlink" Target="https://doi.org/10.1007/s13201-018-0677-y" TargetMode="External"/><Relationship Id="rId33" Type="http://schemas.openxmlformats.org/officeDocument/2006/relationships/hyperlink" Target="https://doi.org/10.1007/s10653-022-01290-0" TargetMode="External"/><Relationship Id="rId38" Type="http://schemas.openxmlformats.org/officeDocument/2006/relationships/hyperlink" Target="https://doi.org/10.1016/j.gsf.2023.101734" TargetMode="External"/><Relationship Id="rId46" Type="http://schemas.openxmlformats.org/officeDocument/2006/relationships/header" Target="header3.xml"/><Relationship Id="rId20" Type="http://schemas.openxmlformats.org/officeDocument/2006/relationships/hyperlink" Target="https://doi.org/10.1007/s13201-018-0682-1" TargetMode="External"/><Relationship Id="rId41" Type="http://schemas.openxmlformats.org/officeDocument/2006/relationships/hyperlink" Target="https://doi.org/10.51470/jez.2025.28.2.1837"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kyknp\Downloads\EXCEL%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kyknp\AppData\Local\Temp\bad87861-38af-4f28-bddb-e01fb9934191_file.zip.191\EXCEL%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kyknp\Downloads\EXCEL%20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kyknp\Downloads\EXCEL%204.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kyknp\Downloads\EXCEL%205.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kyknp\AppData\Local\Temp\ede7409a-ff44-4c58-aa5d-ecbdfacb854d_file.zip.54d\EXCEL%206.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kyknp\AppData\Local\Temp\fb644e17-fc7d-46c0-85dd-104a2e80878a_file.zip.78a\EXCEL%207.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cap="none">
                <a:latin typeface="Arial" panose="020B0604020202020204" pitchFamily="34" charset="0"/>
                <a:cs typeface="Arial" panose="020B0604020202020204" pitchFamily="34" charset="0"/>
              </a:rPr>
              <a:t>Month</a:t>
            </a:r>
            <a:r>
              <a:rPr lang="en-IN" sz="800" cap="none" baseline="0">
                <a:latin typeface="Arial" panose="020B0604020202020204" pitchFamily="34" charset="0"/>
                <a:cs typeface="Arial" panose="020B0604020202020204" pitchFamily="34" charset="0"/>
              </a:rPr>
              <a:t> wise value of pH </a:t>
            </a:r>
            <a:r>
              <a:rPr lang="en-IN" sz="800" cap="none">
                <a:latin typeface="Arial" panose="020B0604020202020204" pitchFamily="34" charset="0"/>
                <a:cs typeface="Arial" panose="020B0604020202020204" pitchFamily="34" charset="0"/>
              </a:rPr>
              <a:t>and TDS level (may2024 to april 25)</a:t>
            </a:r>
          </a:p>
          <a:p>
            <a:pPr>
              <a:defRPr/>
            </a:pPr>
            <a:endParaRPr lang="en-IN" sz="800" cap="none">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039661708953049E-2"/>
          <c:y val="0.18496068494582832"/>
          <c:w val="0.8969233012540101"/>
          <c:h val="0.64520460885785502"/>
        </c:manualLayout>
      </c:layout>
      <c:barChart>
        <c:barDir val="col"/>
        <c:grouping val="clustered"/>
        <c:varyColors val="0"/>
        <c:ser>
          <c:idx val="0"/>
          <c:order val="0"/>
          <c:tx>
            <c:strRef>
              <c:f>Sheet1!$B$1</c:f>
              <c:strCache>
                <c:ptCount val="1"/>
                <c:pt idx="0">
                  <c:v>pH</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7.2</c:v>
                </c:pt>
                <c:pt idx="1">
                  <c:v>7.4</c:v>
                </c:pt>
                <c:pt idx="2">
                  <c:v>7.3</c:v>
                </c:pt>
                <c:pt idx="3">
                  <c:v>8.4</c:v>
                </c:pt>
                <c:pt idx="4">
                  <c:v>7.9</c:v>
                </c:pt>
                <c:pt idx="5">
                  <c:v>7.8</c:v>
                </c:pt>
                <c:pt idx="6">
                  <c:v>9.5</c:v>
                </c:pt>
                <c:pt idx="7">
                  <c:v>8.3000000000000007</c:v>
                </c:pt>
                <c:pt idx="8">
                  <c:v>8.5</c:v>
                </c:pt>
                <c:pt idx="9">
                  <c:v>8.36</c:v>
                </c:pt>
                <c:pt idx="10">
                  <c:v>8.0299999999999994</c:v>
                </c:pt>
                <c:pt idx="11">
                  <c:v>8.5</c:v>
                </c:pt>
              </c:numCache>
            </c:numRef>
          </c:val>
          <c:extLst>
            <c:ext xmlns:c16="http://schemas.microsoft.com/office/drawing/2014/chart" uri="{C3380CC4-5D6E-409C-BE32-E72D297353CC}">
              <c16:uniqueId val="{00000000-5DB6-4B07-A64B-78113B500826}"/>
            </c:ext>
          </c:extLst>
        </c:ser>
        <c:ser>
          <c:idx val="1"/>
          <c:order val="1"/>
          <c:tx>
            <c:strRef>
              <c:f>Sheet1!$C$1</c:f>
              <c:strCache>
                <c:ptCount val="1"/>
                <c:pt idx="0">
                  <c:v>TDS</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220</c:v>
                </c:pt>
                <c:pt idx="1">
                  <c:v>265</c:v>
                </c:pt>
                <c:pt idx="2">
                  <c:v>250</c:v>
                </c:pt>
                <c:pt idx="3">
                  <c:v>302</c:v>
                </c:pt>
                <c:pt idx="4">
                  <c:v>250</c:v>
                </c:pt>
                <c:pt idx="5">
                  <c:v>170</c:v>
                </c:pt>
                <c:pt idx="6">
                  <c:v>180</c:v>
                </c:pt>
                <c:pt idx="7">
                  <c:v>250</c:v>
                </c:pt>
                <c:pt idx="8">
                  <c:v>460</c:v>
                </c:pt>
                <c:pt idx="9">
                  <c:v>436</c:v>
                </c:pt>
                <c:pt idx="10">
                  <c:v>225</c:v>
                </c:pt>
                <c:pt idx="11">
                  <c:v>250</c:v>
                </c:pt>
              </c:numCache>
            </c:numRef>
          </c:val>
          <c:extLst>
            <c:ext xmlns:c16="http://schemas.microsoft.com/office/drawing/2014/chart" uri="{C3380CC4-5D6E-409C-BE32-E72D297353CC}">
              <c16:uniqueId val="{00000001-5DB6-4B07-A64B-78113B500826}"/>
            </c:ext>
          </c:extLst>
        </c:ser>
        <c:dLbls>
          <c:dLblPos val="outEnd"/>
          <c:showLegendKey val="0"/>
          <c:showVal val="1"/>
          <c:showCatName val="0"/>
          <c:showSerName val="0"/>
          <c:showPercent val="0"/>
          <c:showBubbleSize val="0"/>
        </c:dLbls>
        <c:gapWidth val="444"/>
        <c:overlap val="-90"/>
        <c:axId val="420123216"/>
        <c:axId val="420123544"/>
      </c:barChart>
      <c:dateAx>
        <c:axId val="420123216"/>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20123544"/>
        <c:crosses val="autoZero"/>
        <c:auto val="1"/>
        <c:lblOffset val="100"/>
        <c:baseTimeUnit val="months"/>
      </c:dateAx>
      <c:valAx>
        <c:axId val="420123544"/>
        <c:scaling>
          <c:orientation val="minMax"/>
        </c:scaling>
        <c:delete val="1"/>
        <c:axPos val="l"/>
        <c:numFmt formatCode="General" sourceLinked="1"/>
        <c:majorTickMark val="none"/>
        <c:minorTickMark val="none"/>
        <c:tickLblPos val="nextTo"/>
        <c:crossAx val="42012321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cap="none">
                <a:latin typeface="Arial" panose="020B0604020202020204" pitchFamily="34" charset="0"/>
                <a:cs typeface="Arial" panose="020B0604020202020204" pitchFamily="34" charset="0"/>
              </a:rPr>
              <a:t>Month</a:t>
            </a:r>
            <a:r>
              <a:rPr lang="en-IN" sz="800" cap="none" baseline="0">
                <a:latin typeface="Arial" panose="020B0604020202020204" pitchFamily="34" charset="0"/>
                <a:cs typeface="Arial" panose="020B0604020202020204" pitchFamily="34" charset="0"/>
              </a:rPr>
              <a:t> wise Temperature and Total Alkalinity</a:t>
            </a:r>
            <a:r>
              <a:rPr lang="en-IN" sz="800" b="1" i="0" u="none" strike="noStrike" kern="1200" cap="none" spc="120" normalizeH="0" baseline="0">
                <a:solidFill>
                  <a:sysClr val="windowText" lastClr="000000">
                    <a:lumMod val="65000"/>
                    <a:lumOff val="35000"/>
                  </a:sysClr>
                </a:solidFill>
                <a:latin typeface="Arial" panose="020B0604020202020204" pitchFamily="34" charset="0"/>
                <a:cs typeface="Arial" panose="020B0604020202020204" pitchFamily="34" charset="0"/>
              </a:rPr>
              <a:t>(may2024-april2025)</a:t>
            </a:r>
            <a:endParaRPr lang="en-IN" sz="800" cap="none">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IN"/>
        </a:p>
      </c:txPr>
    </c:title>
    <c:autoTitleDeleted val="0"/>
    <c:plotArea>
      <c:layout/>
      <c:barChart>
        <c:barDir val="col"/>
        <c:grouping val="clustered"/>
        <c:varyColors val="0"/>
        <c:ser>
          <c:idx val="0"/>
          <c:order val="0"/>
          <c:tx>
            <c:strRef>
              <c:f>Sheet1!$B$1</c:f>
              <c:strCache>
                <c:ptCount val="1"/>
                <c:pt idx="0">
                  <c:v>TEMP</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20</c:v>
                </c:pt>
                <c:pt idx="1">
                  <c:v>23</c:v>
                </c:pt>
                <c:pt idx="2">
                  <c:v>25</c:v>
                </c:pt>
                <c:pt idx="3">
                  <c:v>23</c:v>
                </c:pt>
                <c:pt idx="4">
                  <c:v>22</c:v>
                </c:pt>
                <c:pt idx="5">
                  <c:v>20</c:v>
                </c:pt>
                <c:pt idx="6">
                  <c:v>25</c:v>
                </c:pt>
                <c:pt idx="7">
                  <c:v>23</c:v>
                </c:pt>
                <c:pt idx="8">
                  <c:v>20</c:v>
                </c:pt>
                <c:pt idx="9">
                  <c:v>21</c:v>
                </c:pt>
                <c:pt idx="10">
                  <c:v>25</c:v>
                </c:pt>
                <c:pt idx="11">
                  <c:v>25</c:v>
                </c:pt>
              </c:numCache>
            </c:numRef>
          </c:val>
          <c:extLst>
            <c:ext xmlns:c16="http://schemas.microsoft.com/office/drawing/2014/chart" uri="{C3380CC4-5D6E-409C-BE32-E72D297353CC}">
              <c16:uniqueId val="{00000000-5688-488B-B07F-A2BC6372110F}"/>
            </c:ext>
          </c:extLst>
        </c:ser>
        <c:ser>
          <c:idx val="1"/>
          <c:order val="1"/>
          <c:tx>
            <c:strRef>
              <c:f>Sheet1!$C$1</c:f>
              <c:strCache>
                <c:ptCount val="1"/>
                <c:pt idx="0">
                  <c:v>TOTAL ALKALINITY</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250</c:v>
                </c:pt>
                <c:pt idx="1">
                  <c:v>350</c:v>
                </c:pt>
                <c:pt idx="2">
                  <c:v>525</c:v>
                </c:pt>
                <c:pt idx="3">
                  <c:v>350</c:v>
                </c:pt>
                <c:pt idx="4">
                  <c:v>250</c:v>
                </c:pt>
                <c:pt idx="5">
                  <c:v>300</c:v>
                </c:pt>
                <c:pt idx="6">
                  <c:v>400</c:v>
                </c:pt>
                <c:pt idx="7">
                  <c:v>400</c:v>
                </c:pt>
                <c:pt idx="8">
                  <c:v>350</c:v>
                </c:pt>
                <c:pt idx="9">
                  <c:v>350</c:v>
                </c:pt>
                <c:pt idx="10">
                  <c:v>350</c:v>
                </c:pt>
                <c:pt idx="11">
                  <c:v>350</c:v>
                </c:pt>
              </c:numCache>
            </c:numRef>
          </c:val>
          <c:extLst>
            <c:ext xmlns:c16="http://schemas.microsoft.com/office/drawing/2014/chart" uri="{C3380CC4-5D6E-409C-BE32-E72D297353CC}">
              <c16:uniqueId val="{00000001-5688-488B-B07F-A2BC6372110F}"/>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cap="none">
                <a:latin typeface="Arial" panose="020B0604020202020204" pitchFamily="34" charset="0"/>
                <a:cs typeface="Arial" panose="020B0604020202020204" pitchFamily="34" charset="0"/>
              </a:rPr>
              <a:t>Month</a:t>
            </a:r>
            <a:r>
              <a:rPr lang="en-IN" sz="800" cap="none" baseline="0">
                <a:latin typeface="Arial" panose="020B0604020202020204" pitchFamily="34" charset="0"/>
                <a:cs typeface="Arial" panose="020B0604020202020204" pitchFamily="34" charset="0"/>
              </a:rPr>
              <a:t> wise</a:t>
            </a:r>
            <a:r>
              <a:rPr lang="en-IN" sz="800" cap="none">
                <a:latin typeface="Arial" panose="020B0604020202020204" pitchFamily="34" charset="0"/>
                <a:cs typeface="Arial" panose="020B0604020202020204" pitchFamily="34" charset="0"/>
              </a:rPr>
              <a:t> Total Hardness and Chloride level(may2024-april2025</a:t>
            </a:r>
            <a:r>
              <a:rPr lang="en-IN" sz="800">
                <a:latin typeface="Arial" panose="020B0604020202020204" pitchFamily="34" charset="0"/>
                <a:cs typeface="Arial" panose="020B0604020202020204" pitchFamily="34" charset="0"/>
              </a:rPr>
              <a:t>)</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'[EXCEL 3.xlsx]Sheet1'!$B$1</c:f>
              <c:strCache>
                <c:ptCount val="1"/>
                <c:pt idx="0">
                  <c:v>TOTAL HARDNESS</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'[EXCEL 3.xlsx]Sheet1'!$A$2:$A$13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'[EXCEL 3.xlsx]Sheet1'!$B$2:$B$13</c:f>
              <c:numCache>
                <c:formatCode>General</c:formatCode>
                <c:ptCount val="12"/>
                <c:pt idx="0">
                  <c:v>300</c:v>
                </c:pt>
                <c:pt idx="1">
                  <c:v>350</c:v>
                </c:pt>
                <c:pt idx="2">
                  <c:v>600</c:v>
                </c:pt>
                <c:pt idx="3">
                  <c:v>750</c:v>
                </c:pt>
                <c:pt idx="4">
                  <c:v>650</c:v>
                </c:pt>
                <c:pt idx="5">
                  <c:v>550</c:v>
                </c:pt>
                <c:pt idx="6">
                  <c:v>750</c:v>
                </c:pt>
                <c:pt idx="7">
                  <c:v>500</c:v>
                </c:pt>
                <c:pt idx="8">
                  <c:v>760</c:v>
                </c:pt>
                <c:pt idx="9">
                  <c:v>600</c:v>
                </c:pt>
                <c:pt idx="10">
                  <c:v>450</c:v>
                </c:pt>
                <c:pt idx="11">
                  <c:v>400</c:v>
                </c:pt>
              </c:numCache>
            </c:numRef>
          </c:val>
          <c:extLst>
            <c:ext xmlns:c16="http://schemas.microsoft.com/office/drawing/2014/chart" uri="{C3380CC4-5D6E-409C-BE32-E72D297353CC}">
              <c16:uniqueId val="{00000000-633E-4772-8251-2A77569A2DA0}"/>
            </c:ext>
          </c:extLst>
        </c:ser>
        <c:ser>
          <c:idx val="1"/>
          <c:order val="1"/>
          <c:tx>
            <c:strRef>
              <c:f>'[EXCEL 3.xlsx]Sheet1'!$C$1</c:f>
              <c:strCache>
                <c:ptCount val="1"/>
                <c:pt idx="0">
                  <c:v>CHLORIDE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'[EXCEL 3.xlsx]Sheet1'!$A$2:$A$13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'[EXCEL 3.xlsx]Sheet1'!$C$2:$C$13</c:f>
              <c:numCache>
                <c:formatCode>General</c:formatCode>
                <c:ptCount val="12"/>
                <c:pt idx="0">
                  <c:v>60</c:v>
                </c:pt>
                <c:pt idx="1">
                  <c:v>80</c:v>
                </c:pt>
                <c:pt idx="2">
                  <c:v>100</c:v>
                </c:pt>
                <c:pt idx="3">
                  <c:v>80</c:v>
                </c:pt>
                <c:pt idx="4">
                  <c:v>160</c:v>
                </c:pt>
                <c:pt idx="5">
                  <c:v>60</c:v>
                </c:pt>
                <c:pt idx="6">
                  <c:v>160</c:v>
                </c:pt>
                <c:pt idx="7">
                  <c:v>60</c:v>
                </c:pt>
                <c:pt idx="8">
                  <c:v>80</c:v>
                </c:pt>
                <c:pt idx="9">
                  <c:v>100</c:v>
                </c:pt>
                <c:pt idx="10">
                  <c:v>80</c:v>
                </c:pt>
                <c:pt idx="11">
                  <c:v>60</c:v>
                </c:pt>
              </c:numCache>
            </c:numRef>
          </c:val>
          <c:extLst>
            <c:ext xmlns:c16="http://schemas.microsoft.com/office/drawing/2014/chart" uri="{C3380CC4-5D6E-409C-BE32-E72D297353CC}">
              <c16:uniqueId val="{00000001-633E-4772-8251-2A77569A2DA0}"/>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cap="none">
                <a:latin typeface="Arial" panose="020B0604020202020204" pitchFamily="34" charset="0"/>
                <a:cs typeface="Arial" panose="020B0604020202020204" pitchFamily="34" charset="0"/>
              </a:rPr>
              <a:t>Month</a:t>
            </a:r>
            <a:r>
              <a:rPr lang="en-IN" sz="800" cap="none" baseline="0">
                <a:latin typeface="Arial" panose="020B0604020202020204" pitchFamily="34" charset="0"/>
                <a:cs typeface="Arial" panose="020B0604020202020204" pitchFamily="34" charset="0"/>
              </a:rPr>
              <a:t> wise </a:t>
            </a:r>
            <a:r>
              <a:rPr lang="en-IN" sz="800" cap="none">
                <a:latin typeface="Arial" panose="020B0604020202020204" pitchFamily="34" charset="0"/>
                <a:cs typeface="Arial" panose="020B0604020202020204" pitchFamily="34" charset="0"/>
              </a:rPr>
              <a:t> Fluoride and Nitrate level (may2024 -april 2025)</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FLUORIDE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0.5</c:v>
                </c:pt>
                <c:pt idx="1">
                  <c:v>0.2</c:v>
                </c:pt>
                <c:pt idx="2">
                  <c:v>0.6</c:v>
                </c:pt>
                <c:pt idx="3">
                  <c:v>0.5</c:v>
                </c:pt>
                <c:pt idx="4">
                  <c:v>0.3</c:v>
                </c:pt>
                <c:pt idx="5">
                  <c:v>0.2</c:v>
                </c:pt>
                <c:pt idx="6">
                  <c:v>0.5</c:v>
                </c:pt>
                <c:pt idx="7">
                  <c:v>0.2</c:v>
                </c:pt>
                <c:pt idx="8">
                  <c:v>0.3</c:v>
                </c:pt>
                <c:pt idx="9">
                  <c:v>0.6</c:v>
                </c:pt>
                <c:pt idx="10">
                  <c:v>0.8</c:v>
                </c:pt>
                <c:pt idx="11">
                  <c:v>0.3</c:v>
                </c:pt>
              </c:numCache>
            </c:numRef>
          </c:val>
          <c:extLst>
            <c:ext xmlns:c16="http://schemas.microsoft.com/office/drawing/2014/chart" uri="{C3380CC4-5D6E-409C-BE32-E72D297353CC}">
              <c16:uniqueId val="{00000000-3939-410C-BFFC-D11C671D7B04}"/>
            </c:ext>
          </c:extLst>
        </c:ser>
        <c:ser>
          <c:idx val="1"/>
          <c:order val="1"/>
          <c:tx>
            <c:strRef>
              <c:f>Sheet1!$C$1</c:f>
              <c:strCache>
                <c:ptCount val="1"/>
                <c:pt idx="0">
                  <c:v>NITRATE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5</c:v>
                </c:pt>
                <c:pt idx="1">
                  <c:v>5</c:v>
                </c:pt>
                <c:pt idx="2">
                  <c:v>0.5</c:v>
                </c:pt>
                <c:pt idx="3">
                  <c:v>2.5</c:v>
                </c:pt>
                <c:pt idx="4">
                  <c:v>0.5</c:v>
                </c:pt>
                <c:pt idx="5">
                  <c:v>1.5</c:v>
                </c:pt>
                <c:pt idx="6">
                  <c:v>5</c:v>
                </c:pt>
                <c:pt idx="7">
                  <c:v>5</c:v>
                </c:pt>
                <c:pt idx="8">
                  <c:v>2.5</c:v>
                </c:pt>
                <c:pt idx="9">
                  <c:v>2.5</c:v>
                </c:pt>
                <c:pt idx="10">
                  <c:v>5</c:v>
                </c:pt>
                <c:pt idx="11">
                  <c:v>2.5</c:v>
                </c:pt>
              </c:numCache>
            </c:numRef>
          </c:val>
          <c:extLst>
            <c:ext xmlns:c16="http://schemas.microsoft.com/office/drawing/2014/chart" uri="{C3380CC4-5D6E-409C-BE32-E72D297353CC}">
              <c16:uniqueId val="{00000001-3939-410C-BFFC-D11C671D7B04}"/>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cap="none">
                <a:latin typeface="Arial" panose="020B0604020202020204" pitchFamily="34" charset="0"/>
                <a:cs typeface="Arial" panose="020B0604020202020204" pitchFamily="34" charset="0"/>
              </a:rPr>
              <a:t>Month</a:t>
            </a:r>
            <a:r>
              <a:rPr lang="en-IN" sz="800" cap="none" baseline="0">
                <a:latin typeface="Arial" panose="020B0604020202020204" pitchFamily="34" charset="0"/>
                <a:cs typeface="Arial" panose="020B0604020202020204" pitchFamily="34" charset="0"/>
              </a:rPr>
              <a:t> wise</a:t>
            </a:r>
            <a:r>
              <a:rPr lang="en-IN" sz="800" cap="none">
                <a:latin typeface="Arial" panose="020B0604020202020204" pitchFamily="34" charset="0"/>
                <a:cs typeface="Arial" panose="020B0604020202020204" pitchFamily="34" charset="0"/>
              </a:rPr>
              <a:t> iron and arsenic levels (may2024-april2025</a:t>
            </a:r>
            <a:r>
              <a:rPr lang="en-IN" sz="800">
                <a:latin typeface="Arial" panose="020B0604020202020204" pitchFamily="34" charset="0"/>
                <a:cs typeface="Arial" panose="020B0604020202020204" pitchFamily="34" charset="0"/>
              </a:rPr>
              <a:t>)</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IRON</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0-0A3D-4549-AA76-0595EC8C080F}"/>
            </c:ext>
          </c:extLst>
        </c:ser>
        <c:ser>
          <c:idx val="1"/>
          <c:order val="1"/>
          <c:tx>
            <c:strRef>
              <c:f>Sheet1!$C$1</c:f>
              <c:strCache>
                <c:ptCount val="1"/>
                <c:pt idx="0">
                  <c:v>ARSENIC</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25</c:v>
                </c:pt>
                <c:pt idx="1">
                  <c:v>25</c:v>
                </c:pt>
                <c:pt idx="2">
                  <c:v>25</c:v>
                </c:pt>
                <c:pt idx="3">
                  <c:v>25</c:v>
                </c:pt>
                <c:pt idx="4">
                  <c:v>25</c:v>
                </c:pt>
                <c:pt idx="5">
                  <c:v>25</c:v>
                </c:pt>
                <c:pt idx="6">
                  <c:v>1.2</c:v>
                </c:pt>
                <c:pt idx="7">
                  <c:v>50</c:v>
                </c:pt>
                <c:pt idx="8">
                  <c:v>25</c:v>
                </c:pt>
                <c:pt idx="9">
                  <c:v>25</c:v>
                </c:pt>
                <c:pt idx="10">
                  <c:v>25</c:v>
                </c:pt>
                <c:pt idx="11">
                  <c:v>25</c:v>
                </c:pt>
              </c:numCache>
            </c:numRef>
          </c:val>
          <c:extLst>
            <c:ext xmlns:c16="http://schemas.microsoft.com/office/drawing/2014/chart" uri="{C3380CC4-5D6E-409C-BE32-E72D297353CC}">
              <c16:uniqueId val="{00000001-0A3D-4549-AA76-0595EC8C080F}"/>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cap="none">
                <a:latin typeface="Arial" panose="020B0604020202020204" pitchFamily="34" charset="0"/>
                <a:cs typeface="Arial" panose="020B0604020202020204" pitchFamily="34" charset="0"/>
              </a:rPr>
              <a:t>Month</a:t>
            </a:r>
            <a:r>
              <a:rPr lang="en-IN" sz="800" cap="none" baseline="0">
                <a:latin typeface="Arial" panose="020B0604020202020204" pitchFamily="34" charset="0"/>
                <a:cs typeface="Arial" panose="020B0604020202020204" pitchFamily="34" charset="0"/>
              </a:rPr>
              <a:t> wise</a:t>
            </a:r>
            <a:r>
              <a:rPr lang="en-IN" sz="800" cap="none">
                <a:latin typeface="Arial" panose="020B0604020202020204" pitchFamily="34" charset="0"/>
                <a:cs typeface="Arial" panose="020B0604020202020204" pitchFamily="34" charset="0"/>
              </a:rPr>
              <a:t> Potassium</a:t>
            </a:r>
            <a:r>
              <a:rPr lang="en-IN" sz="800" cap="none" baseline="0">
                <a:latin typeface="Arial" panose="020B0604020202020204" pitchFamily="34" charset="0"/>
                <a:cs typeface="Arial" panose="020B0604020202020204" pitchFamily="34" charset="0"/>
              </a:rPr>
              <a:t> and Magnesium</a:t>
            </a:r>
            <a:r>
              <a:rPr lang="en-IN" sz="800" cap="none">
                <a:latin typeface="Arial" panose="020B0604020202020204" pitchFamily="34" charset="0"/>
                <a:cs typeface="Arial" panose="020B0604020202020204" pitchFamily="34" charset="0"/>
              </a:rPr>
              <a:t> (may2024-april2025)</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0245398055755285E-2"/>
          <c:y val="0.34169056391654334"/>
          <c:w val="0.87892312458715494"/>
          <c:h val="0.45070945189296957"/>
        </c:manualLayout>
      </c:layout>
      <c:barChart>
        <c:barDir val="col"/>
        <c:grouping val="clustered"/>
        <c:varyColors val="0"/>
        <c:ser>
          <c:idx val="2"/>
          <c:order val="0"/>
          <c:tx>
            <c:strRef>
              <c:f>Sheet1!$B$1</c:f>
              <c:strCache>
                <c:ptCount val="1"/>
                <c:pt idx="0">
                  <c:v>POTASSIUM</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17</c:v>
                </c:pt>
                <c:pt idx="1">
                  <c:v>15</c:v>
                </c:pt>
                <c:pt idx="2">
                  <c:v>15</c:v>
                </c:pt>
                <c:pt idx="3">
                  <c:v>17</c:v>
                </c:pt>
                <c:pt idx="4">
                  <c:v>18</c:v>
                </c:pt>
                <c:pt idx="5">
                  <c:v>15</c:v>
                </c:pt>
                <c:pt idx="6">
                  <c:v>15</c:v>
                </c:pt>
                <c:pt idx="7">
                  <c:v>17</c:v>
                </c:pt>
                <c:pt idx="8">
                  <c:v>17</c:v>
                </c:pt>
                <c:pt idx="9">
                  <c:v>15</c:v>
                </c:pt>
                <c:pt idx="10">
                  <c:v>18</c:v>
                </c:pt>
                <c:pt idx="11">
                  <c:v>15</c:v>
                </c:pt>
              </c:numCache>
            </c:numRef>
          </c:val>
          <c:extLst>
            <c:ext xmlns:c16="http://schemas.microsoft.com/office/drawing/2014/chart" uri="{C3380CC4-5D6E-409C-BE32-E72D297353CC}">
              <c16:uniqueId val="{00000000-C117-4F8D-ACF3-65533196295F}"/>
            </c:ext>
          </c:extLst>
        </c:ser>
        <c:ser>
          <c:idx val="3"/>
          <c:order val="1"/>
          <c:tx>
            <c:strRef>
              <c:f>Sheet1!$C$1</c:f>
              <c:strCache>
                <c:ptCount val="1"/>
                <c:pt idx="0">
                  <c:v>MAGNESIUM</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130</c:v>
                </c:pt>
                <c:pt idx="1">
                  <c:v>125</c:v>
                </c:pt>
                <c:pt idx="2">
                  <c:v>117</c:v>
                </c:pt>
                <c:pt idx="3">
                  <c:v>126</c:v>
                </c:pt>
                <c:pt idx="4">
                  <c:v>117</c:v>
                </c:pt>
                <c:pt idx="5">
                  <c:v>125</c:v>
                </c:pt>
                <c:pt idx="6">
                  <c:v>134</c:v>
                </c:pt>
                <c:pt idx="7">
                  <c:v>125</c:v>
                </c:pt>
                <c:pt idx="8">
                  <c:v>117</c:v>
                </c:pt>
                <c:pt idx="9">
                  <c:v>127</c:v>
                </c:pt>
                <c:pt idx="10">
                  <c:v>122</c:v>
                </c:pt>
                <c:pt idx="11">
                  <c:v>125</c:v>
                </c:pt>
              </c:numCache>
            </c:numRef>
          </c:val>
          <c:extLst>
            <c:ext xmlns:c16="http://schemas.microsoft.com/office/drawing/2014/chart" uri="{C3380CC4-5D6E-409C-BE32-E72D297353CC}">
              <c16:uniqueId val="{00000001-C117-4F8D-ACF3-65533196295F}"/>
            </c:ext>
          </c:extLst>
        </c:ser>
        <c:ser>
          <c:idx val="0"/>
          <c:order val="2"/>
          <c:tx>
            <c:strRef>
              <c:f>'[Copy of EXCEL 2.xlsx]Sheet1'!$B$1</c:f>
              <c:strCache>
                <c:ptCount val="1"/>
                <c:pt idx="0">
                  <c:v>#REF!</c:v>
                </c:pt>
              </c:strCache>
            </c:strRef>
          </c:tx>
          <c:spPr>
            <a:solidFill>
              <a:schemeClr val="accent1"/>
            </a:solidFill>
            <a:ln>
              <a:noFill/>
            </a:ln>
            <a:effectLst/>
          </c:spPr>
          <c:invertIfNegative val="0"/>
          <c:dLbls>
            <c:spPr>
              <a:noFill/>
              <a:ln>
                <a:noFill/>
              </a:ln>
              <a:effectLst/>
            </c:spPr>
            <c:txPr>
              <a:bodyPr rot="-5400000" spcFirstLastPara="1" vertOverflow="clip" horzOverflow="clip"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numRef>
              <c:f>[1]Sheet1!$A$2:$A$13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cat>
          <c:val>
            <c:numRef>
              <c:f>[1]Sheet1!$B$2:$B$13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2-C117-4F8D-ACF3-65533196295F}"/>
            </c:ext>
          </c:extLst>
        </c:ser>
        <c:ser>
          <c:idx val="1"/>
          <c:order val="3"/>
          <c:tx>
            <c:strRef>
              <c:f>'[Copy of EXCEL 2.xlsx]Sheet1'!$C$1</c:f>
              <c:strCache>
                <c:ptCount val="1"/>
                <c:pt idx="0">
                  <c:v>#REF!</c:v>
                </c:pt>
              </c:strCache>
            </c:strRef>
          </c:tx>
          <c:spPr>
            <a:solidFill>
              <a:schemeClr val="accent2"/>
            </a:solidFill>
            <a:ln>
              <a:noFill/>
            </a:ln>
            <a:effectLst/>
          </c:spPr>
          <c:invertIfNegative val="0"/>
          <c:dLbls>
            <c:spPr>
              <a:noFill/>
              <a:ln>
                <a:noFill/>
              </a:ln>
              <a:effectLst/>
            </c:spPr>
            <c:txPr>
              <a:bodyPr rot="-5400000" spcFirstLastPara="1" vertOverflow="clip" horzOverflow="clip"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numRef>
              <c:f>[1]Sheet1!$A$2:$A$13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cat>
          <c:val>
            <c:numRef>
              <c:f>[1]Sheet1!$C$2:$C$13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3-C117-4F8D-ACF3-65533196295F}"/>
            </c:ext>
          </c:extLst>
        </c:ser>
        <c:dLbls>
          <c:dLblPos val="outEnd"/>
          <c:showLegendKey val="0"/>
          <c:showVal val="1"/>
          <c:showCatName val="0"/>
          <c:showSerName val="0"/>
          <c:showPercent val="0"/>
          <c:showBubbleSize val="0"/>
        </c:dLbls>
        <c:gapWidth val="444"/>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solidFill>
          <a:schemeClr val="bg1"/>
        </a:solidFill>
        <a:ln>
          <a:noFill/>
        </a:ln>
        <a:effectLst/>
      </c:spPr>
    </c:plotArea>
    <c:legend>
      <c:legendPos val="t"/>
      <c:layout>
        <c:manualLayout>
          <c:xMode val="edge"/>
          <c:yMode val="edge"/>
          <c:x val="0.24223500458879166"/>
          <c:y val="0.15976076555023924"/>
          <c:w val="0.70547830457363048"/>
          <c:h val="8.752654621491816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tint val="75000"/>
          <a:shade val="95000"/>
          <a:satMod val="105000"/>
        </a:schemeClr>
      </a:solidFill>
      <a:prstDash val="solid"/>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IN" sz="800" cap="none">
                <a:latin typeface="Arial" panose="020B0604020202020204" pitchFamily="34" charset="0"/>
                <a:cs typeface="Arial" panose="020B0604020202020204" pitchFamily="34" charset="0"/>
              </a:rPr>
              <a:t>Month</a:t>
            </a:r>
            <a:r>
              <a:rPr lang="en-IN" sz="800" cap="none" baseline="0">
                <a:latin typeface="Arial" panose="020B0604020202020204" pitchFamily="34" charset="0"/>
                <a:cs typeface="Arial" panose="020B0604020202020204" pitchFamily="34" charset="0"/>
              </a:rPr>
              <a:t> wise</a:t>
            </a:r>
            <a:r>
              <a:rPr lang="en-IN" sz="800" cap="none">
                <a:latin typeface="Arial" panose="020B0604020202020204" pitchFamily="34" charset="0"/>
                <a:cs typeface="Arial" panose="020B0604020202020204" pitchFamily="34" charset="0"/>
              </a:rPr>
              <a:t> Sulphate and Carbondioxide level(may2024-april2025</a:t>
            </a:r>
            <a:r>
              <a:rPr lang="en-IN" sz="800">
                <a:latin typeface="Arial" panose="020B0604020202020204" pitchFamily="34" charset="0"/>
                <a:cs typeface="Arial" panose="020B0604020202020204" pitchFamily="34" charset="0"/>
              </a:rPr>
              <a:t>)</a:t>
            </a:r>
          </a:p>
        </c:rich>
      </c:tx>
      <c:overlay val="0"/>
      <c:spPr>
        <a:noFill/>
        <a:ln>
          <a:noFill/>
        </a:ln>
        <a:effectLst/>
      </c:spPr>
      <c:txPr>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Sheet1!$B$1</c:f>
              <c:strCache>
                <c:ptCount val="1"/>
                <c:pt idx="0">
                  <c:v>SULPHATE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27</c:v>
                </c:pt>
                <c:pt idx="1">
                  <c:v>28</c:v>
                </c:pt>
                <c:pt idx="2">
                  <c:v>25</c:v>
                </c:pt>
                <c:pt idx="3">
                  <c:v>20</c:v>
                </c:pt>
                <c:pt idx="4">
                  <c:v>25</c:v>
                </c:pt>
                <c:pt idx="5">
                  <c:v>25</c:v>
                </c:pt>
                <c:pt idx="6">
                  <c:v>21</c:v>
                </c:pt>
                <c:pt idx="7">
                  <c:v>28</c:v>
                </c:pt>
                <c:pt idx="8">
                  <c:v>27</c:v>
                </c:pt>
                <c:pt idx="9">
                  <c:v>25</c:v>
                </c:pt>
                <c:pt idx="10">
                  <c:v>55</c:v>
                </c:pt>
                <c:pt idx="11">
                  <c:v>25</c:v>
                </c:pt>
              </c:numCache>
            </c:numRef>
          </c:val>
          <c:extLst>
            <c:ext xmlns:c16="http://schemas.microsoft.com/office/drawing/2014/chart" uri="{C3380CC4-5D6E-409C-BE32-E72D297353CC}">
              <c16:uniqueId val="{00000000-FA77-42BF-A07E-D114DB42F99B}"/>
            </c:ext>
          </c:extLst>
        </c:ser>
        <c:ser>
          <c:idx val="1"/>
          <c:order val="1"/>
          <c:tx>
            <c:strRef>
              <c:f>Sheet1!$C$1</c:f>
              <c:strCache>
                <c:ptCount val="1"/>
                <c:pt idx="0">
                  <c:v>CARBON DIOXIDE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20</c:v>
                </c:pt>
                <c:pt idx="1">
                  <c:v>10</c:v>
                </c:pt>
                <c:pt idx="2">
                  <c:v>30</c:v>
                </c:pt>
                <c:pt idx="3">
                  <c:v>25</c:v>
                </c:pt>
                <c:pt idx="4">
                  <c:v>35</c:v>
                </c:pt>
                <c:pt idx="5">
                  <c:v>35</c:v>
                </c:pt>
                <c:pt idx="6">
                  <c:v>45</c:v>
                </c:pt>
                <c:pt idx="7">
                  <c:v>35</c:v>
                </c:pt>
                <c:pt idx="8">
                  <c:v>25</c:v>
                </c:pt>
                <c:pt idx="9">
                  <c:v>20</c:v>
                </c:pt>
                <c:pt idx="10">
                  <c:v>10</c:v>
                </c:pt>
                <c:pt idx="11">
                  <c:v>20</c:v>
                </c:pt>
              </c:numCache>
            </c:numRef>
          </c:val>
          <c:extLst>
            <c:ext xmlns:c16="http://schemas.microsoft.com/office/drawing/2014/chart" uri="{C3380CC4-5D6E-409C-BE32-E72D297353CC}">
              <c16:uniqueId val="{00000001-FA77-42BF-A07E-D114DB42F99B}"/>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D1F521-D418-4A38-ABF2-8C50A8376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12</Pages>
  <Words>3935</Words>
  <Characters>22431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python-docx</dc:creator>
  <dc:description>generated by python-docx</dc:description>
  <cp:lastModifiedBy>Editor-90</cp:lastModifiedBy>
  <cp:revision>19</cp:revision>
  <dcterms:created xsi:type="dcterms:W3CDTF">2025-09-29T07:11:00Z</dcterms:created>
  <dcterms:modified xsi:type="dcterms:W3CDTF">2025-10-04T08:06:00Z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b71218b86dda4229a7fb136e21885e30</vt:lpwstr>
  </property>
  <property fmtid="{D5CDD505-2E9C-101B-9397-08002B2CF9AE}" pid="3" name="GrammarlyDocumentId">
    <vt:lpwstr>c85ef184-7337-4bb9-aae6-ca64d4b834f4</vt:lpwstr>
  </property>
</Properties>
</file>