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68D75" w14:textId="77777777" w:rsidR="00563A93" w:rsidRPr="00563A93" w:rsidRDefault="00563A93" w:rsidP="00563A93">
      <w:pPr>
        <w:spacing w:line="360" w:lineRule="auto"/>
        <w:jc w:val="center"/>
        <w:rPr>
          <w:rFonts w:ascii="Times New Roman" w:hAnsi="Times New Roman" w:cs="Times New Roman"/>
          <w:b/>
          <w:bCs/>
          <w:i/>
          <w:iCs/>
          <w:sz w:val="24"/>
          <w:szCs w:val="24"/>
          <w:u w:val="single"/>
          <w:lang w:val="en-US"/>
        </w:rPr>
      </w:pPr>
      <w:r w:rsidRPr="00563A93">
        <w:rPr>
          <w:rFonts w:ascii="Times New Roman" w:hAnsi="Times New Roman" w:cs="Times New Roman"/>
          <w:b/>
          <w:bCs/>
          <w:i/>
          <w:iCs/>
          <w:sz w:val="24"/>
          <w:szCs w:val="24"/>
          <w:u w:val="single"/>
          <w:lang w:val="en-US"/>
        </w:rPr>
        <w:t>Review Article</w:t>
      </w:r>
    </w:p>
    <w:p w14:paraId="7063FB32" w14:textId="33C5BE6F" w:rsidR="007D07F0" w:rsidRPr="008A3EB9" w:rsidRDefault="004C6575" w:rsidP="009D0E2E">
      <w:pPr>
        <w:spacing w:line="360" w:lineRule="auto"/>
        <w:jc w:val="center"/>
        <w:rPr>
          <w:rFonts w:ascii="Times New Roman" w:hAnsi="Times New Roman" w:cs="Times New Roman"/>
          <w:b/>
          <w:bCs/>
          <w:sz w:val="24"/>
          <w:szCs w:val="24"/>
        </w:rPr>
      </w:pPr>
      <w:r w:rsidRPr="00C14DA2">
        <w:rPr>
          <w:rFonts w:ascii="Times New Roman" w:hAnsi="Times New Roman" w:cs="Times New Roman"/>
          <w:b/>
          <w:bCs/>
          <w:sz w:val="24"/>
          <w:szCs w:val="24"/>
        </w:rPr>
        <w:t xml:space="preserve">Gut Health Markers to Improve Livestock </w:t>
      </w:r>
      <w:r w:rsidR="00B448C3" w:rsidRPr="00C14DA2">
        <w:rPr>
          <w:rFonts w:ascii="Times New Roman" w:hAnsi="Times New Roman" w:cs="Times New Roman"/>
          <w:b/>
          <w:bCs/>
          <w:sz w:val="24"/>
          <w:szCs w:val="24"/>
        </w:rPr>
        <w:t xml:space="preserve">and </w:t>
      </w:r>
      <w:r w:rsidR="00C01053" w:rsidRPr="00C14DA2">
        <w:rPr>
          <w:rFonts w:ascii="Times New Roman" w:hAnsi="Times New Roman" w:cs="Times New Roman"/>
          <w:b/>
          <w:bCs/>
          <w:sz w:val="24"/>
          <w:szCs w:val="24"/>
        </w:rPr>
        <w:t>P</w:t>
      </w:r>
      <w:r w:rsidR="00B448C3" w:rsidRPr="00C14DA2">
        <w:rPr>
          <w:rFonts w:ascii="Times New Roman" w:hAnsi="Times New Roman" w:cs="Times New Roman"/>
          <w:b/>
          <w:bCs/>
          <w:sz w:val="24"/>
          <w:szCs w:val="24"/>
        </w:rPr>
        <w:t xml:space="preserve">oultry </w:t>
      </w:r>
      <w:r w:rsidRPr="00C14DA2">
        <w:rPr>
          <w:rFonts w:ascii="Times New Roman" w:hAnsi="Times New Roman" w:cs="Times New Roman"/>
          <w:b/>
          <w:bCs/>
          <w:sz w:val="24"/>
          <w:szCs w:val="24"/>
        </w:rPr>
        <w:t>Productivit</w:t>
      </w:r>
      <w:r w:rsidR="003F6EF4" w:rsidRPr="00C14DA2">
        <w:rPr>
          <w:rFonts w:ascii="Times New Roman" w:hAnsi="Times New Roman" w:cs="Times New Roman"/>
          <w:b/>
          <w:bCs/>
          <w:sz w:val="24"/>
          <w:szCs w:val="24"/>
        </w:rPr>
        <w:t>y</w:t>
      </w:r>
      <w:r w:rsidR="0004138D">
        <w:rPr>
          <w:rFonts w:ascii="Times New Roman" w:hAnsi="Times New Roman" w:cs="Times New Roman"/>
          <w:b/>
          <w:bCs/>
          <w:sz w:val="24"/>
          <w:szCs w:val="24"/>
        </w:rPr>
        <w:t>: A Review</w:t>
      </w:r>
    </w:p>
    <w:p w14:paraId="71CEC058" w14:textId="77777777" w:rsidR="00B40BD5" w:rsidRDefault="00B40BD5" w:rsidP="009D0E2E">
      <w:pPr>
        <w:spacing w:line="360" w:lineRule="auto"/>
        <w:jc w:val="both"/>
        <w:rPr>
          <w:rFonts w:ascii="Times New Roman" w:hAnsi="Times New Roman" w:cs="Times New Roman"/>
          <w:b/>
          <w:bCs/>
          <w:sz w:val="24"/>
          <w:szCs w:val="24"/>
        </w:rPr>
      </w:pPr>
    </w:p>
    <w:p w14:paraId="7063FB38" w14:textId="4FE07AAB" w:rsidR="00D11675" w:rsidRPr="00B57653" w:rsidRDefault="00D11675" w:rsidP="009D0E2E">
      <w:pPr>
        <w:spacing w:line="360" w:lineRule="auto"/>
        <w:jc w:val="both"/>
        <w:rPr>
          <w:rFonts w:ascii="Times New Roman" w:hAnsi="Times New Roman" w:cs="Times New Roman"/>
          <w:b/>
          <w:bCs/>
          <w:sz w:val="24"/>
          <w:szCs w:val="24"/>
        </w:rPr>
      </w:pPr>
      <w:r w:rsidRPr="00B57653">
        <w:rPr>
          <w:rFonts w:ascii="Times New Roman" w:hAnsi="Times New Roman" w:cs="Times New Roman"/>
          <w:b/>
          <w:bCs/>
          <w:sz w:val="24"/>
          <w:szCs w:val="24"/>
        </w:rPr>
        <w:t>Abstract</w:t>
      </w:r>
    </w:p>
    <w:p w14:paraId="7063FB39" w14:textId="77777777" w:rsidR="00376600" w:rsidRPr="00B57653" w:rsidRDefault="00376600" w:rsidP="009D0E2E">
      <w:p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 xml:space="preserve">Gut health has emerged as a pivotal determinant of livestock and poultry productivity, with markers providing critical insights into the structural and functional status of the gastrointestinal tract. </w:t>
      </w:r>
      <w:r w:rsidR="00605360" w:rsidRPr="00B57653">
        <w:rPr>
          <w:rFonts w:ascii="Times New Roman" w:hAnsi="Times New Roman" w:cs="Times New Roman"/>
          <w:sz w:val="24"/>
          <w:szCs w:val="24"/>
        </w:rPr>
        <w:t xml:space="preserve">Gut health is synonymous in animal production industries with animal health. Although there does appear to be a direct relationship between animal performance and a “healthy” gastrointestinal tract (GIT), there is no clear definition for “gut health” that encompasses a number of physiological and functional features, including nutrient digestion and absorption, host metabolism and energy generation, a stable microbiome, mucus layer development, barrier function, and mucosal immune responses. </w:t>
      </w:r>
      <w:r w:rsidRPr="00B57653">
        <w:rPr>
          <w:rFonts w:ascii="Times New Roman" w:hAnsi="Times New Roman" w:cs="Times New Roman"/>
          <w:sz w:val="24"/>
          <w:szCs w:val="24"/>
        </w:rPr>
        <w:t>Key anatomical indicators such as villus height, crypt depth, mucosal thickness, goblet cell density, rumen papillae morphology, capillary density, and gut-associated lymphoid tissue (GALT) development are strongly associated with nutrient absorption, barrier integrity, immune competence, and microbial interactions. Targeted anatomical interventions—including dietary modulation, probiotics, prebiotics, phytogenic additives, and optimized feed structures—have demonstrated measurable improvements in these gut health markers. Enhanced villus architecture and rumen papillae increase absorptive surface area, while strengthened mucosal barriers and tight junction integrity reduce pathogen translocation and metabolic stress. Moreover, the modulation of gut microbiota and short-chain fatty acid production further influences gut morphology and function. Collectively, these anatomical interventions not only improve feed conversion efficiency, growth performance, and disease resilience but also support sustainable animal agriculture by reducing antibiotic dependence. This review highlights the significance of anatomical markers as reliable tools to assess gut health and underscores their potential in guiding precision-based strategies for improving livestock and poultry productivity.</w:t>
      </w:r>
    </w:p>
    <w:p w14:paraId="7063FB3A" w14:textId="77777777" w:rsidR="00376600" w:rsidRDefault="00391520" w:rsidP="009D0E2E">
      <w:pPr>
        <w:spacing w:line="360" w:lineRule="auto"/>
        <w:jc w:val="both"/>
        <w:rPr>
          <w:rFonts w:ascii="Times New Roman" w:hAnsi="Times New Roman" w:cs="Times New Roman"/>
          <w:sz w:val="24"/>
          <w:szCs w:val="24"/>
        </w:rPr>
      </w:pPr>
      <w:r w:rsidRPr="00B57653">
        <w:rPr>
          <w:rFonts w:ascii="Times New Roman" w:hAnsi="Times New Roman" w:cs="Times New Roman"/>
          <w:b/>
          <w:bCs/>
          <w:sz w:val="24"/>
          <w:szCs w:val="24"/>
        </w:rPr>
        <w:t xml:space="preserve">Keywords: </w:t>
      </w:r>
      <w:r w:rsidR="00B06D5A" w:rsidRPr="00B57653">
        <w:rPr>
          <w:rFonts w:ascii="Times New Roman" w:hAnsi="Times New Roman" w:cs="Times New Roman"/>
          <w:sz w:val="24"/>
          <w:szCs w:val="24"/>
        </w:rPr>
        <w:t xml:space="preserve">Anatomy, Gut health, </w:t>
      </w:r>
      <w:r w:rsidR="003904F8">
        <w:rPr>
          <w:rFonts w:ascii="Times New Roman" w:hAnsi="Times New Roman" w:cs="Times New Roman"/>
          <w:sz w:val="24"/>
          <w:szCs w:val="24"/>
        </w:rPr>
        <w:t xml:space="preserve">Livestock, </w:t>
      </w:r>
      <w:r w:rsidR="00B06D5A" w:rsidRPr="00B57653">
        <w:rPr>
          <w:rFonts w:ascii="Times New Roman" w:hAnsi="Times New Roman" w:cs="Times New Roman"/>
          <w:sz w:val="24"/>
          <w:szCs w:val="24"/>
        </w:rPr>
        <w:t>Production</w:t>
      </w:r>
    </w:p>
    <w:p w14:paraId="17E0034A" w14:textId="00546EF6" w:rsidR="00563A93" w:rsidRPr="00B57653" w:rsidRDefault="00563A93" w:rsidP="009D0E2E">
      <w:p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Introduction </w:t>
      </w:r>
    </w:p>
    <w:p w14:paraId="7063FB3B" w14:textId="36032DC9" w:rsidR="00E11764" w:rsidRDefault="00F8541E" w:rsidP="009D0E2E">
      <w:pPr>
        <w:spacing w:line="360" w:lineRule="auto"/>
        <w:ind w:firstLine="720"/>
        <w:jc w:val="both"/>
        <w:rPr>
          <w:rFonts w:ascii="Times New Roman" w:hAnsi="Times New Roman" w:cs="Times New Roman"/>
          <w:sz w:val="24"/>
          <w:szCs w:val="24"/>
        </w:rPr>
      </w:pPr>
      <w:r w:rsidRPr="00B57653">
        <w:rPr>
          <w:rFonts w:ascii="Times New Roman" w:hAnsi="Times New Roman" w:cs="Times New Roman"/>
          <w:sz w:val="24"/>
          <w:szCs w:val="24"/>
        </w:rPr>
        <w:t xml:space="preserve">Gut health, encompassing the digestive system from mouth to rectum, is crucial for overall well-being. It significantly impacts digestion, nutrient absorption, immunity, and even </w:t>
      </w:r>
      <w:r w:rsidRPr="00B57653">
        <w:rPr>
          <w:rFonts w:ascii="Times New Roman" w:hAnsi="Times New Roman" w:cs="Times New Roman"/>
          <w:sz w:val="24"/>
          <w:szCs w:val="24"/>
        </w:rPr>
        <w:lastRenderedPageBreak/>
        <w:t xml:space="preserve">mental health.  Optimal gut health is of vital importance to the performance of production animals. </w:t>
      </w:r>
      <w:r w:rsidR="0075494B" w:rsidRPr="00B57653">
        <w:rPr>
          <w:rFonts w:ascii="Times New Roman" w:hAnsi="Times New Roman" w:cs="Times New Roman"/>
          <w:sz w:val="24"/>
          <w:szCs w:val="24"/>
        </w:rPr>
        <w:t>The integration of gross, histological, and neuroanatomical markers with practical interventions—such as dietary modulation, microbial supplementation, and in-</w:t>
      </w:r>
      <w:proofErr w:type="spellStart"/>
      <w:r w:rsidR="0075494B" w:rsidRPr="00B57653">
        <w:rPr>
          <w:rFonts w:ascii="Times New Roman" w:hAnsi="Times New Roman" w:cs="Times New Roman"/>
          <w:sz w:val="24"/>
          <w:szCs w:val="24"/>
        </w:rPr>
        <w:t>ovo</w:t>
      </w:r>
      <w:proofErr w:type="spellEnd"/>
      <w:r w:rsidR="0075494B" w:rsidRPr="00B57653">
        <w:rPr>
          <w:rFonts w:ascii="Times New Roman" w:hAnsi="Times New Roman" w:cs="Times New Roman"/>
          <w:sz w:val="24"/>
          <w:szCs w:val="24"/>
        </w:rPr>
        <w:t xml:space="preserve">/in-utero nutrient strategies—can significantly improve animal health and performance. Anatomical structures such as the intestinal mucosa, gut-associated lymphoid tissue (GALT), ruminal papillae, and enteric nervous system play central roles in maintaining gut functionality. </w:t>
      </w:r>
      <w:r w:rsidRPr="00B57653">
        <w:rPr>
          <w:rFonts w:ascii="Times New Roman" w:hAnsi="Times New Roman" w:cs="Times New Roman"/>
          <w:sz w:val="24"/>
          <w:szCs w:val="24"/>
        </w:rPr>
        <w:t>Gut health is a pivotal determinant of livestock productivity, impacting nutrient absorption, immunity, and growth performance. While microbiological and biochemical aspects of gut health are well-studied, anatomical markers and interventions remain underexplored. This review highlights key gut health markers from an anatomical perspective and discusses current and emerging anatomical interventions that enhance gut structure and function</w:t>
      </w:r>
      <w:r w:rsidR="00F43D41">
        <w:rPr>
          <w:rFonts w:ascii="Times New Roman" w:hAnsi="Times New Roman" w:cs="Times New Roman"/>
          <w:sz w:val="24"/>
          <w:szCs w:val="24"/>
        </w:rPr>
        <w:t xml:space="preserve"> </w:t>
      </w:r>
      <w:r w:rsidR="004C6575" w:rsidRPr="00B57653">
        <w:rPr>
          <w:rFonts w:ascii="Times New Roman" w:hAnsi="Times New Roman" w:cs="Times New Roman"/>
          <w:sz w:val="24"/>
          <w:szCs w:val="24"/>
        </w:rPr>
        <w:t>Livestock productivity is intimately linked to gastrointestinal (GI) health, particularly the structural integrity and function of the digestive tract. Gut health encompasses not only the microbial environment but also the anatomical components such as mucosal thickness, villi structure, gut-associated lymphoid tissue (GALT) development, and neuro-epithelial communication. Anatomical markers offer direct insight into the absorptive, protective, and immune functions of the gut. Hence, anatomical interventions aimed at enhancing gut health represent a promising frontier in veterinary science (</w:t>
      </w:r>
      <w:proofErr w:type="spellStart"/>
      <w:r w:rsidR="004C6575" w:rsidRPr="00B57653">
        <w:rPr>
          <w:rFonts w:ascii="Times New Roman" w:hAnsi="Times New Roman" w:cs="Times New Roman"/>
          <w:sz w:val="24"/>
          <w:szCs w:val="24"/>
        </w:rPr>
        <w:t>Pluske</w:t>
      </w:r>
      <w:proofErr w:type="spellEnd"/>
      <w:r w:rsidR="004C6575" w:rsidRPr="00B57653">
        <w:rPr>
          <w:rFonts w:ascii="Times New Roman" w:hAnsi="Times New Roman" w:cs="Times New Roman"/>
          <w:sz w:val="24"/>
          <w:szCs w:val="24"/>
        </w:rPr>
        <w:t xml:space="preserve"> et al., 2018; Celi et al., 2017)</w:t>
      </w:r>
      <w:r w:rsidR="00EF0DC1" w:rsidRPr="00B57653">
        <w:rPr>
          <w:rFonts w:ascii="Times New Roman" w:hAnsi="Times New Roman" w:cs="Times New Roman"/>
          <w:sz w:val="24"/>
          <w:szCs w:val="24"/>
        </w:rPr>
        <w:t>.</w:t>
      </w:r>
      <w:r w:rsidR="00945004" w:rsidRPr="00B57653">
        <w:rPr>
          <w:rFonts w:ascii="Times New Roman" w:hAnsi="Times New Roman" w:cs="Times New Roman"/>
          <w:sz w:val="24"/>
          <w:szCs w:val="24"/>
        </w:rPr>
        <w:t xml:space="preserve"> The gastrointestinal tract (GIT) plays a central role in nutrient digestion, immune modulation, and barrier protection against pathogens in both livestock and poultry</w:t>
      </w:r>
      <w:r w:rsidR="00195C7A">
        <w:rPr>
          <w:rFonts w:ascii="Times New Roman" w:hAnsi="Times New Roman" w:cs="Times New Roman"/>
          <w:sz w:val="24"/>
          <w:szCs w:val="24"/>
        </w:rPr>
        <w:t xml:space="preserve"> (</w:t>
      </w:r>
      <w:proofErr w:type="spellStart"/>
      <w:r w:rsidR="000A67CF" w:rsidRPr="00CE6AD7">
        <w:rPr>
          <w:rFonts w:ascii="Times New Roman" w:hAnsi="Times New Roman" w:cs="Times New Roman"/>
          <w:sz w:val="24"/>
          <w:szCs w:val="24"/>
        </w:rPr>
        <w:t>Sugiharto</w:t>
      </w:r>
      <w:proofErr w:type="spellEnd"/>
      <w:r w:rsidR="000A67CF" w:rsidRPr="00CE6AD7">
        <w:rPr>
          <w:rFonts w:ascii="Times New Roman" w:hAnsi="Times New Roman" w:cs="Times New Roman"/>
          <w:sz w:val="24"/>
          <w:szCs w:val="24"/>
          <w:lang w:val="nl-BE"/>
        </w:rPr>
        <w:t xml:space="preserve"> </w:t>
      </w:r>
      <w:r w:rsidR="00611942">
        <w:rPr>
          <w:rFonts w:ascii="Times New Roman" w:hAnsi="Times New Roman" w:cs="Times New Roman"/>
          <w:sz w:val="24"/>
          <w:szCs w:val="24"/>
          <w:lang w:val="nl-BE"/>
        </w:rPr>
        <w:t xml:space="preserve">et al.,1016; </w:t>
      </w:r>
      <w:r w:rsidR="00195C7A" w:rsidRPr="00CE6AD7">
        <w:rPr>
          <w:rFonts w:ascii="Times New Roman" w:hAnsi="Times New Roman" w:cs="Times New Roman"/>
          <w:sz w:val="24"/>
          <w:szCs w:val="24"/>
          <w:lang w:val="nl-BE"/>
        </w:rPr>
        <w:t>Ducatelle</w:t>
      </w:r>
      <w:r w:rsidR="00195C7A">
        <w:rPr>
          <w:rFonts w:ascii="Times New Roman" w:hAnsi="Times New Roman" w:cs="Times New Roman"/>
          <w:sz w:val="24"/>
          <w:szCs w:val="24"/>
          <w:lang w:val="nl-BE"/>
        </w:rPr>
        <w:t xml:space="preserve"> et al.,2018</w:t>
      </w:r>
      <w:r w:rsidR="00195C7A">
        <w:rPr>
          <w:rFonts w:ascii="Times New Roman" w:hAnsi="Times New Roman" w:cs="Times New Roman"/>
          <w:sz w:val="24"/>
          <w:szCs w:val="24"/>
        </w:rPr>
        <w:t>)</w:t>
      </w:r>
      <w:r w:rsidR="00945004" w:rsidRPr="00B57653">
        <w:rPr>
          <w:rFonts w:ascii="Times New Roman" w:hAnsi="Times New Roman" w:cs="Times New Roman"/>
          <w:sz w:val="24"/>
          <w:szCs w:val="24"/>
        </w:rPr>
        <w:t xml:space="preserve">. </w:t>
      </w:r>
      <w:r w:rsidR="00315507" w:rsidRPr="00B57653">
        <w:rPr>
          <w:rFonts w:ascii="Times New Roman" w:hAnsi="Times New Roman" w:cs="Times New Roman"/>
          <w:sz w:val="24"/>
          <w:szCs w:val="24"/>
        </w:rPr>
        <w:t xml:space="preserve">Functional medicine experts say that these markers are crucial for overall health, as they impact digestion, nutrient absorption, and immune function.  Understanding and manipulating these markers offer a novel pathway to optimizing productivity in livestock. </w:t>
      </w:r>
      <w:r w:rsidR="00945004" w:rsidRPr="00B57653">
        <w:rPr>
          <w:rFonts w:ascii="Times New Roman" w:hAnsi="Times New Roman" w:cs="Times New Roman"/>
          <w:sz w:val="24"/>
          <w:szCs w:val="24"/>
        </w:rPr>
        <w:t>Gut health is increasingly recognized as a critical determinant of animal productivity, welfare, and resistance to disease. Among the various parameters used to evaluate gut health, structural markers offer direct insights into the functional integrity and physiological status of the intestinal tract</w:t>
      </w:r>
      <w:r w:rsidR="00471286">
        <w:rPr>
          <w:rFonts w:ascii="Times New Roman" w:hAnsi="Times New Roman" w:cs="Times New Roman"/>
          <w:sz w:val="24"/>
          <w:szCs w:val="24"/>
        </w:rPr>
        <w:t xml:space="preserve"> (Fig.1)</w:t>
      </w:r>
      <w:r w:rsidR="00945004" w:rsidRPr="00B57653">
        <w:rPr>
          <w:rFonts w:ascii="Times New Roman" w:hAnsi="Times New Roman" w:cs="Times New Roman"/>
          <w:sz w:val="24"/>
          <w:szCs w:val="24"/>
        </w:rPr>
        <w:t>.</w:t>
      </w:r>
    </w:p>
    <w:p w14:paraId="7063FB3C" w14:textId="77777777" w:rsidR="00945004" w:rsidRPr="00B57653" w:rsidRDefault="00E70274" w:rsidP="009D0E2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These markers might be </w:t>
      </w:r>
      <w:r w:rsidR="0057617C">
        <w:rPr>
          <w:rFonts w:ascii="Times New Roman" w:hAnsi="Times New Roman" w:cs="Times New Roman"/>
          <w:sz w:val="24"/>
          <w:szCs w:val="24"/>
        </w:rPr>
        <w:t>divided</w:t>
      </w:r>
      <w:r>
        <w:rPr>
          <w:rFonts w:ascii="Times New Roman" w:hAnsi="Times New Roman" w:cs="Times New Roman"/>
          <w:sz w:val="24"/>
          <w:szCs w:val="24"/>
        </w:rPr>
        <w:t xml:space="preserve"> into </w:t>
      </w:r>
      <w:r w:rsidR="0057617C">
        <w:rPr>
          <w:rFonts w:ascii="Times New Roman" w:hAnsi="Times New Roman" w:cs="Times New Roman"/>
          <w:sz w:val="24"/>
          <w:szCs w:val="24"/>
        </w:rPr>
        <w:t>following category:</w:t>
      </w:r>
    </w:p>
    <w:p w14:paraId="7063FB3D" w14:textId="493108A0" w:rsidR="006C2E76" w:rsidRPr="0057617C" w:rsidRDefault="006C2E76" w:rsidP="009D0E2E">
      <w:pPr>
        <w:pStyle w:val="ListParagraph"/>
        <w:numPr>
          <w:ilvl w:val="0"/>
          <w:numId w:val="2"/>
        </w:numPr>
        <w:spacing w:line="360" w:lineRule="auto"/>
        <w:jc w:val="both"/>
        <w:rPr>
          <w:rFonts w:ascii="Times New Roman" w:hAnsi="Times New Roman" w:cs="Times New Roman"/>
          <w:sz w:val="24"/>
          <w:szCs w:val="24"/>
        </w:rPr>
      </w:pPr>
      <w:r w:rsidRPr="0057617C">
        <w:rPr>
          <w:rFonts w:ascii="Times New Roman" w:hAnsi="Times New Roman" w:cs="Times New Roman"/>
          <w:sz w:val="24"/>
          <w:szCs w:val="24"/>
        </w:rPr>
        <w:t>Structural markers</w:t>
      </w:r>
    </w:p>
    <w:p w14:paraId="7063FB3E" w14:textId="7E9FD253" w:rsidR="006C2E76" w:rsidRPr="0057617C" w:rsidRDefault="006C2E76" w:rsidP="009D0E2E">
      <w:pPr>
        <w:pStyle w:val="ListParagraph"/>
        <w:numPr>
          <w:ilvl w:val="0"/>
          <w:numId w:val="2"/>
        </w:numPr>
        <w:spacing w:line="360" w:lineRule="auto"/>
        <w:jc w:val="both"/>
        <w:rPr>
          <w:rFonts w:ascii="Times New Roman" w:hAnsi="Times New Roman" w:cs="Times New Roman"/>
          <w:sz w:val="24"/>
          <w:szCs w:val="24"/>
        </w:rPr>
      </w:pPr>
      <w:r w:rsidRPr="0057617C">
        <w:rPr>
          <w:rFonts w:ascii="Times New Roman" w:hAnsi="Times New Roman" w:cs="Times New Roman"/>
          <w:sz w:val="24"/>
          <w:szCs w:val="24"/>
        </w:rPr>
        <w:t>Functional markers</w:t>
      </w:r>
    </w:p>
    <w:p w14:paraId="7063FB3F" w14:textId="490BE414" w:rsidR="006D0766" w:rsidRDefault="006C2E76" w:rsidP="009D0E2E">
      <w:pPr>
        <w:pStyle w:val="ListParagraph"/>
        <w:numPr>
          <w:ilvl w:val="0"/>
          <w:numId w:val="2"/>
        </w:numPr>
        <w:spacing w:line="360" w:lineRule="auto"/>
        <w:jc w:val="both"/>
        <w:rPr>
          <w:rFonts w:ascii="Times New Roman" w:hAnsi="Times New Roman" w:cs="Times New Roman"/>
          <w:sz w:val="24"/>
          <w:szCs w:val="24"/>
        </w:rPr>
      </w:pPr>
      <w:r w:rsidRPr="00D8401B">
        <w:rPr>
          <w:rFonts w:ascii="Times New Roman" w:hAnsi="Times New Roman" w:cs="Times New Roman"/>
          <w:sz w:val="24"/>
          <w:szCs w:val="24"/>
        </w:rPr>
        <w:t>Immunological markers</w:t>
      </w:r>
    </w:p>
    <w:p w14:paraId="7063FB41" w14:textId="7A7C6497" w:rsidR="00651E80" w:rsidRDefault="00651E80" w:rsidP="00A97CF2">
      <w:pPr>
        <w:spacing w:line="360" w:lineRule="auto"/>
        <w:jc w:val="both"/>
        <w:rPr>
          <w:rFonts w:ascii="Times New Roman" w:hAnsi="Times New Roman" w:cs="Times New Roman"/>
          <w:sz w:val="24"/>
          <w:szCs w:val="24"/>
        </w:rPr>
      </w:pPr>
    </w:p>
    <w:p w14:paraId="15247656" w14:textId="112C0120" w:rsidR="001A2839" w:rsidRDefault="00F83171" w:rsidP="009D0E2E">
      <w:pPr>
        <w:spacing w:line="360" w:lineRule="auto"/>
        <w:jc w:val="both"/>
        <w:rPr>
          <w:rFonts w:ascii="Times New Roman" w:hAnsi="Times New Roman" w:cs="Times New Roman"/>
          <w:b/>
          <w:bCs/>
          <w:sz w:val="24"/>
          <w:szCs w:val="24"/>
        </w:rPr>
      </w:pPr>
      <w:r>
        <w:rPr>
          <w:rFonts w:ascii="Times New Roman" w:hAnsi="Times New Roman" w:cs="Times New Roman"/>
          <w:noProof/>
          <w:sz w:val="24"/>
          <w:szCs w:val="24"/>
          <w:lang w:eastAsia="en-IN" w:bidi="hi-IN"/>
        </w:rPr>
        <w:lastRenderedPageBreak/>
        <w:drawing>
          <wp:anchor distT="0" distB="0" distL="114300" distR="114300" simplePos="0" relativeHeight="251667456" behindDoc="1" locked="0" layoutInCell="1" allowOverlap="1" wp14:anchorId="7063FC2F" wp14:editId="57CEADC7">
            <wp:simplePos x="0" y="0"/>
            <wp:positionH relativeFrom="column">
              <wp:posOffset>3533704</wp:posOffset>
            </wp:positionH>
            <wp:positionV relativeFrom="paragraph">
              <wp:posOffset>-893832</wp:posOffset>
            </wp:positionV>
            <wp:extent cx="1977390" cy="2334895"/>
            <wp:effectExtent l="19050" t="19050" r="3810" b="8255"/>
            <wp:wrapNone/>
            <wp:docPr id="1" name="Picture 1" descr="C:\Users\Hp\Downloads\Copilot_20250913_1515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Copilot_20250913_151518.png"/>
                    <pic:cNvPicPr>
                      <a:picLocks noChangeAspect="1" noChangeArrowheads="1"/>
                    </pic:cNvPicPr>
                  </pic:nvPicPr>
                  <pic:blipFill>
                    <a:blip r:embed="rId7" cstate="print">
                      <a:extLst>
                        <a:ext uri="{28A0092B-C50C-407E-A947-70E740481C1C}">
                          <a14:useLocalDpi xmlns:a14="http://schemas.microsoft.com/office/drawing/2010/main" val="0"/>
                        </a:ext>
                      </a:extLst>
                    </a:blip>
                    <a:srcRect t="2535" r="1977" b="20079"/>
                    <a:stretch>
                      <a:fillRect/>
                    </a:stretch>
                  </pic:blipFill>
                  <pic:spPr bwMode="auto">
                    <a:xfrm>
                      <a:off x="0" y="0"/>
                      <a:ext cx="1977390" cy="2334895"/>
                    </a:xfrm>
                    <a:prstGeom prst="rect">
                      <a:avLst/>
                    </a:prstGeom>
                    <a:noFill/>
                    <a:ln w="9525">
                      <a:solidFill>
                        <a:schemeClr val="tx1"/>
                      </a:solidFill>
                      <a:miter lim="800000"/>
                      <a:headEnd/>
                      <a:tailEnd/>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2D179E1A" wp14:editId="229158EC">
            <wp:simplePos x="0" y="0"/>
            <wp:positionH relativeFrom="column">
              <wp:posOffset>-646203</wp:posOffset>
            </wp:positionH>
            <wp:positionV relativeFrom="paragraph">
              <wp:posOffset>-897536</wp:posOffset>
            </wp:positionV>
            <wp:extent cx="3604745" cy="2029673"/>
            <wp:effectExtent l="19050" t="19050" r="0" b="8890"/>
            <wp:wrapNone/>
            <wp:docPr id="441293274" name="Picture 1" descr="Gut Health Word Cloud On White Stock Vector (Royalty Free) 1434923282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t Health Word Cloud On White Stock Vector (Royalty Free) 1434923282 |  Shuttersto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04745" cy="2029673"/>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4F00824F" w14:textId="77777777" w:rsidR="001A2839" w:rsidRDefault="001A2839" w:rsidP="009D0E2E">
      <w:pPr>
        <w:spacing w:line="360" w:lineRule="auto"/>
        <w:jc w:val="both"/>
        <w:rPr>
          <w:rFonts w:ascii="Times New Roman" w:hAnsi="Times New Roman" w:cs="Times New Roman"/>
          <w:b/>
          <w:bCs/>
          <w:sz w:val="24"/>
          <w:szCs w:val="24"/>
        </w:rPr>
      </w:pPr>
    </w:p>
    <w:p w14:paraId="01A24CEE" w14:textId="77777777" w:rsidR="001A2839" w:rsidRDefault="001A2839" w:rsidP="009D0E2E">
      <w:pPr>
        <w:spacing w:line="360" w:lineRule="auto"/>
        <w:jc w:val="both"/>
        <w:rPr>
          <w:rFonts w:ascii="Times New Roman" w:hAnsi="Times New Roman" w:cs="Times New Roman"/>
          <w:b/>
          <w:bCs/>
          <w:sz w:val="24"/>
          <w:szCs w:val="24"/>
        </w:rPr>
      </w:pPr>
    </w:p>
    <w:p w14:paraId="540AD09B" w14:textId="77777777" w:rsidR="001A2839" w:rsidRDefault="001A2839" w:rsidP="001A2839">
      <w:pPr>
        <w:spacing w:line="360" w:lineRule="auto"/>
        <w:jc w:val="both"/>
        <w:rPr>
          <w:rFonts w:ascii="Times New Roman" w:hAnsi="Times New Roman" w:cs="Times New Roman"/>
          <w:b/>
          <w:bCs/>
          <w:sz w:val="24"/>
          <w:szCs w:val="24"/>
        </w:rPr>
      </w:pPr>
    </w:p>
    <w:p w14:paraId="533B0426" w14:textId="590F29ED" w:rsidR="00F83171" w:rsidRDefault="00F83171" w:rsidP="00F8317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Fig </w:t>
      </w:r>
      <w:proofErr w:type="gramStart"/>
      <w:r>
        <w:rPr>
          <w:rFonts w:ascii="Times New Roman" w:hAnsi="Times New Roman" w:cs="Times New Roman"/>
          <w:sz w:val="24"/>
          <w:szCs w:val="24"/>
        </w:rPr>
        <w:t>1 :</w:t>
      </w:r>
      <w:proofErr w:type="gramEnd"/>
      <w:r>
        <w:rPr>
          <w:rFonts w:ascii="Times New Roman" w:hAnsi="Times New Roman" w:cs="Times New Roman"/>
          <w:sz w:val="24"/>
          <w:szCs w:val="24"/>
        </w:rPr>
        <w:t xml:space="preserve"> </w:t>
      </w:r>
      <w:r w:rsidRPr="00417B08">
        <w:rPr>
          <w:rFonts w:ascii="Times New Roman" w:hAnsi="Times New Roman" w:cs="Times New Roman"/>
          <w:sz w:val="24"/>
          <w:szCs w:val="24"/>
        </w:rPr>
        <w:t>Gut health</w:t>
      </w:r>
      <w:r>
        <w:rPr>
          <w:rFonts w:ascii="Times New Roman" w:hAnsi="Times New Roman" w:cs="Times New Roman"/>
          <w:sz w:val="24"/>
          <w:szCs w:val="24"/>
        </w:rPr>
        <w:t xml:space="preserve"> and its association</w:t>
      </w:r>
      <w:r w:rsidRPr="00F83171">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Fig </w:t>
      </w:r>
      <w:proofErr w:type="gramStart"/>
      <w:r w:rsidR="00D07104">
        <w:rPr>
          <w:rFonts w:ascii="Times New Roman" w:hAnsi="Times New Roman" w:cs="Times New Roman"/>
          <w:sz w:val="24"/>
          <w:szCs w:val="24"/>
        </w:rPr>
        <w:t>2</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Pr>
          <w:rFonts w:ascii="Times New Roman" w:hAnsi="Times New Roman" w:cs="Times New Roman"/>
          <w:sz w:val="24"/>
          <w:szCs w:val="24"/>
        </w:rPr>
        <w:t>Classification of GUT markers</w:t>
      </w:r>
    </w:p>
    <w:p w14:paraId="17D0610F" w14:textId="09BC92F1" w:rsidR="001A2839" w:rsidRPr="00D07104" w:rsidRDefault="0020254E" w:rsidP="00D07104">
      <w:pPr>
        <w:pStyle w:val="ListParagraph"/>
        <w:numPr>
          <w:ilvl w:val="0"/>
          <w:numId w:val="47"/>
        </w:numPr>
        <w:spacing w:line="360" w:lineRule="auto"/>
        <w:jc w:val="both"/>
        <w:rPr>
          <w:rFonts w:ascii="Times New Roman" w:hAnsi="Times New Roman" w:cs="Times New Roman"/>
          <w:b/>
          <w:bCs/>
          <w:sz w:val="24"/>
          <w:szCs w:val="24"/>
        </w:rPr>
      </w:pPr>
      <w:r w:rsidRPr="00D07104">
        <w:rPr>
          <w:rFonts w:ascii="Times New Roman" w:hAnsi="Times New Roman" w:cs="Times New Roman"/>
          <w:b/>
          <w:bCs/>
          <w:sz w:val="24"/>
          <w:szCs w:val="24"/>
        </w:rPr>
        <w:t>Structural Markers</w:t>
      </w:r>
      <w:r w:rsidR="00800E04" w:rsidRPr="00D07104">
        <w:rPr>
          <w:rFonts w:ascii="Times New Roman" w:hAnsi="Times New Roman" w:cs="Times New Roman"/>
          <w:b/>
          <w:bCs/>
          <w:sz w:val="24"/>
          <w:szCs w:val="24"/>
        </w:rPr>
        <w:t xml:space="preserve"> of Gut health</w:t>
      </w:r>
      <w:r w:rsidR="00F65726" w:rsidRPr="00D07104">
        <w:rPr>
          <w:rFonts w:ascii="Times New Roman" w:hAnsi="Times New Roman" w:cs="Times New Roman"/>
          <w:b/>
          <w:bCs/>
          <w:sz w:val="24"/>
          <w:szCs w:val="24"/>
        </w:rPr>
        <w:t xml:space="preserve">: </w:t>
      </w:r>
    </w:p>
    <w:p w14:paraId="7063FB43" w14:textId="69F28475" w:rsidR="00F561E5" w:rsidRPr="00B57653" w:rsidRDefault="00F561E5" w:rsidP="009D0E2E">
      <w:pPr>
        <w:spacing w:line="360" w:lineRule="auto"/>
        <w:ind w:firstLine="720"/>
        <w:jc w:val="both"/>
        <w:rPr>
          <w:rFonts w:ascii="Times New Roman" w:hAnsi="Times New Roman" w:cs="Times New Roman"/>
          <w:sz w:val="24"/>
          <w:szCs w:val="24"/>
        </w:rPr>
      </w:pPr>
      <w:r w:rsidRPr="00B57653">
        <w:rPr>
          <w:rFonts w:ascii="Times New Roman" w:hAnsi="Times New Roman" w:cs="Times New Roman"/>
          <w:sz w:val="24"/>
          <w:szCs w:val="24"/>
        </w:rPr>
        <w:t>Structural markers refer to measurable anatomical and histological features that reflect the morphology, absorptive capacity, and barrier function of the gut</w:t>
      </w:r>
      <w:r w:rsidR="0037786E">
        <w:rPr>
          <w:rFonts w:ascii="Times New Roman" w:hAnsi="Times New Roman" w:cs="Times New Roman"/>
          <w:sz w:val="24"/>
          <w:szCs w:val="24"/>
        </w:rPr>
        <w:t xml:space="preserve"> (Fig.</w:t>
      </w:r>
      <w:r w:rsidR="00A97CF2">
        <w:rPr>
          <w:rFonts w:ascii="Times New Roman" w:hAnsi="Times New Roman" w:cs="Times New Roman"/>
          <w:sz w:val="24"/>
          <w:szCs w:val="24"/>
        </w:rPr>
        <w:t>2</w:t>
      </w:r>
      <w:r w:rsidR="0037786E">
        <w:rPr>
          <w:rFonts w:ascii="Times New Roman" w:hAnsi="Times New Roman" w:cs="Times New Roman"/>
          <w:sz w:val="24"/>
          <w:szCs w:val="24"/>
        </w:rPr>
        <w:t>)</w:t>
      </w:r>
      <w:r w:rsidRPr="00B57653">
        <w:rPr>
          <w:rFonts w:ascii="Times New Roman" w:hAnsi="Times New Roman" w:cs="Times New Roman"/>
          <w:sz w:val="24"/>
          <w:szCs w:val="24"/>
        </w:rPr>
        <w:t>. These include villus height, crypt depth, the villus-to-crypt ratio, goblet cell distribution, gut wall thickness, capillary density, and the integrity of tight junctions</w:t>
      </w:r>
      <w:r w:rsidR="00911DA2" w:rsidRPr="00B57653">
        <w:rPr>
          <w:rFonts w:ascii="Times New Roman" w:hAnsi="Times New Roman" w:cs="Times New Roman"/>
          <w:sz w:val="24"/>
          <w:szCs w:val="24"/>
        </w:rPr>
        <w:t xml:space="preserve"> (Table-1)</w:t>
      </w:r>
      <w:r w:rsidRPr="00B57653">
        <w:rPr>
          <w:rFonts w:ascii="Times New Roman" w:hAnsi="Times New Roman" w:cs="Times New Roman"/>
          <w:sz w:val="24"/>
          <w:szCs w:val="24"/>
        </w:rPr>
        <w:t xml:space="preserve">. In poultry, additional structures such as </w:t>
      </w:r>
      <w:proofErr w:type="spellStart"/>
      <w:r w:rsidRPr="00B57653">
        <w:rPr>
          <w:rFonts w:ascii="Times New Roman" w:hAnsi="Times New Roman" w:cs="Times New Roman"/>
          <w:sz w:val="24"/>
          <w:szCs w:val="24"/>
        </w:rPr>
        <w:t>cecal</w:t>
      </w:r>
      <w:proofErr w:type="spellEnd"/>
      <w:r w:rsidRPr="00B57653">
        <w:rPr>
          <w:rFonts w:ascii="Times New Roman" w:hAnsi="Times New Roman" w:cs="Times New Roman"/>
          <w:sz w:val="24"/>
          <w:szCs w:val="24"/>
        </w:rPr>
        <w:t xml:space="preserve"> tonsils and Peyer’s patches are vital indicators of gut-associated lymphoid tissue (GALT) development, which plays a pivotal role in mucosal </w:t>
      </w:r>
      <w:proofErr w:type="spellStart"/>
      <w:proofErr w:type="gramStart"/>
      <w:r w:rsidRPr="00B57653">
        <w:rPr>
          <w:rFonts w:ascii="Times New Roman" w:hAnsi="Times New Roman" w:cs="Times New Roman"/>
          <w:sz w:val="24"/>
          <w:szCs w:val="24"/>
        </w:rPr>
        <w:t>immunity.Alterations</w:t>
      </w:r>
      <w:proofErr w:type="spellEnd"/>
      <w:proofErr w:type="gramEnd"/>
      <w:r w:rsidRPr="00B57653">
        <w:rPr>
          <w:rFonts w:ascii="Times New Roman" w:hAnsi="Times New Roman" w:cs="Times New Roman"/>
          <w:sz w:val="24"/>
          <w:szCs w:val="24"/>
        </w:rPr>
        <w:t xml:space="preserve"> in these structural markers are closely linked with stress, diet composition, pathogen load, and overall health status. Therefore, understanding and monitoring these features provide essential diagnostic and prognostic tools for improving gut function and enhancing livestock productivity. Advances in histology, immunohistochemistry, and digital image analysis have further enabled precise and reproducible quantification of these structural attributes.</w:t>
      </w:r>
    </w:p>
    <w:p w14:paraId="7063FB44" w14:textId="77777777" w:rsidR="00F65726" w:rsidRPr="00B57653" w:rsidRDefault="00BF7CC1" w:rsidP="009D0E2E">
      <w:pPr>
        <w:spacing w:line="360" w:lineRule="auto"/>
        <w:jc w:val="both"/>
        <w:rPr>
          <w:rFonts w:ascii="Times New Roman" w:hAnsi="Times New Roman" w:cs="Times New Roman"/>
          <w:sz w:val="24"/>
          <w:szCs w:val="24"/>
        </w:rPr>
      </w:pPr>
      <w:r>
        <w:rPr>
          <w:rFonts w:ascii="Times New Roman" w:hAnsi="Times New Roman" w:cs="Times New Roman"/>
          <w:b/>
          <w:bCs/>
          <w:sz w:val="24"/>
          <w:szCs w:val="24"/>
        </w:rPr>
        <w:t>1</w:t>
      </w:r>
      <w:r w:rsidR="0020254E" w:rsidRPr="00B57653">
        <w:rPr>
          <w:rFonts w:ascii="Times New Roman" w:hAnsi="Times New Roman" w:cs="Times New Roman"/>
          <w:b/>
          <w:bCs/>
          <w:sz w:val="24"/>
          <w:szCs w:val="24"/>
        </w:rPr>
        <w:t>.1</w:t>
      </w:r>
      <w:r w:rsidR="00F65726" w:rsidRPr="00B57653">
        <w:rPr>
          <w:rFonts w:ascii="Times New Roman" w:hAnsi="Times New Roman" w:cs="Times New Roman"/>
          <w:b/>
          <w:bCs/>
          <w:sz w:val="24"/>
          <w:szCs w:val="24"/>
        </w:rPr>
        <w:t>Villus height and crypt depth:</w:t>
      </w:r>
    </w:p>
    <w:p w14:paraId="7063FB45" w14:textId="0CF3C578" w:rsidR="00783CEA" w:rsidRPr="00B57653" w:rsidRDefault="00F65726" w:rsidP="009D0E2E">
      <w:p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 xml:space="preserve"> Villus height, crypt depth, and the villus height to crypt depth (VH:CD) ratio in the small intestine serve as primary indicators of nutrient absorptive capacity. Increased villus height and decreased crypt depth are associated with enhanced digestive efficiency (Montagne et al., 2003). </w:t>
      </w:r>
      <w:r w:rsidR="00783CEA" w:rsidRPr="00B57653">
        <w:rPr>
          <w:rFonts w:ascii="Times New Roman" w:hAnsi="Times New Roman" w:cs="Times New Roman"/>
          <w:sz w:val="24"/>
          <w:szCs w:val="24"/>
        </w:rPr>
        <w:t xml:space="preserve">The intestinal epithelium is a highly dynamic structure that plays a critical role in nutrient digestion, absorption, and barrier function. Two key </w:t>
      </w:r>
      <w:proofErr w:type="spellStart"/>
      <w:r w:rsidR="00783CEA" w:rsidRPr="00B57653">
        <w:rPr>
          <w:rFonts w:ascii="Times New Roman" w:hAnsi="Times New Roman" w:cs="Times New Roman"/>
          <w:sz w:val="24"/>
          <w:szCs w:val="24"/>
        </w:rPr>
        <w:t>histo</w:t>
      </w:r>
      <w:proofErr w:type="spellEnd"/>
      <w:r w:rsidR="00563A93">
        <w:rPr>
          <w:rFonts w:ascii="Times New Roman" w:hAnsi="Times New Roman" w:cs="Times New Roman"/>
          <w:sz w:val="24"/>
          <w:szCs w:val="24"/>
        </w:rPr>
        <w:t xml:space="preserve"> </w:t>
      </w:r>
      <w:r w:rsidR="00783CEA" w:rsidRPr="00B57653">
        <w:rPr>
          <w:rFonts w:ascii="Times New Roman" w:hAnsi="Times New Roman" w:cs="Times New Roman"/>
          <w:sz w:val="24"/>
          <w:szCs w:val="24"/>
        </w:rPr>
        <w:t xml:space="preserve">morphological parameters—villus height (VH) and crypt depth (CD)—are widely used as structural markers of gut health in livestock and poultry. These parameters </w:t>
      </w:r>
      <w:proofErr w:type="gramStart"/>
      <w:r w:rsidR="00783CEA" w:rsidRPr="00B57653">
        <w:rPr>
          <w:rFonts w:ascii="Times New Roman" w:hAnsi="Times New Roman" w:cs="Times New Roman"/>
          <w:sz w:val="24"/>
          <w:szCs w:val="24"/>
        </w:rPr>
        <w:t>reflect</w:t>
      </w:r>
      <w:r w:rsidR="00BE2DEB" w:rsidRPr="00B57653">
        <w:rPr>
          <w:rFonts w:ascii="Times New Roman" w:hAnsi="Times New Roman" w:cs="Times New Roman"/>
          <w:sz w:val="24"/>
          <w:szCs w:val="24"/>
        </w:rPr>
        <w:t>s</w:t>
      </w:r>
      <w:proofErr w:type="gramEnd"/>
      <w:r w:rsidR="00783CEA" w:rsidRPr="00B57653">
        <w:rPr>
          <w:rFonts w:ascii="Times New Roman" w:hAnsi="Times New Roman" w:cs="Times New Roman"/>
          <w:sz w:val="24"/>
          <w:szCs w:val="24"/>
        </w:rPr>
        <w:t xml:space="preserve"> the functional capacity and regenerative status of the intestinal mucosa and are sensitive to dietary, microbial, and environmental influences.</w:t>
      </w:r>
      <w:r w:rsidR="00E209D7" w:rsidRPr="00B57653">
        <w:rPr>
          <w:rFonts w:ascii="Times New Roman" w:hAnsi="Times New Roman" w:cs="Times New Roman"/>
          <w:sz w:val="24"/>
          <w:szCs w:val="24"/>
        </w:rPr>
        <w:t xml:space="preserve"> Villus height and crypt depth are fundamental indicators of gastrointestinal health, providing essential insights into nutrient absorption capacity and mucosal regeneration. The VH:CD ratio, in particular, serves as a sensitive marker of gut </w:t>
      </w:r>
      <w:r w:rsidR="00E209D7" w:rsidRPr="00B57653">
        <w:rPr>
          <w:rFonts w:ascii="Times New Roman" w:hAnsi="Times New Roman" w:cs="Times New Roman"/>
          <w:sz w:val="24"/>
          <w:szCs w:val="24"/>
        </w:rPr>
        <w:lastRenderedPageBreak/>
        <w:t>integrity and function in response to nutrition, pathogens, or environmental stressors. Their assessment is indispensable in both research and practical evaluations of gut health interventions in livestock and poultry</w:t>
      </w:r>
      <w:r w:rsidR="00137007" w:rsidRPr="00B57653">
        <w:rPr>
          <w:rFonts w:ascii="Times New Roman" w:hAnsi="Times New Roman" w:cs="Times New Roman"/>
          <w:sz w:val="24"/>
          <w:szCs w:val="24"/>
        </w:rPr>
        <w:t>.</w:t>
      </w:r>
    </w:p>
    <w:p w14:paraId="7063FB46" w14:textId="77777777" w:rsidR="00783CEA" w:rsidRPr="00B57653" w:rsidRDefault="00783CEA" w:rsidP="009D0E2E">
      <w:pPr>
        <w:spacing w:line="360" w:lineRule="auto"/>
        <w:jc w:val="both"/>
        <w:rPr>
          <w:rFonts w:ascii="Times New Roman" w:hAnsi="Times New Roman" w:cs="Times New Roman"/>
          <w:b/>
          <w:bCs/>
          <w:sz w:val="24"/>
          <w:szCs w:val="24"/>
        </w:rPr>
      </w:pPr>
      <w:r w:rsidRPr="00B57653">
        <w:rPr>
          <w:rFonts w:ascii="Times New Roman" w:hAnsi="Times New Roman" w:cs="Times New Roman"/>
          <w:b/>
          <w:bCs/>
          <w:sz w:val="24"/>
          <w:szCs w:val="24"/>
        </w:rPr>
        <w:t xml:space="preserve">Villus Height (VH): </w:t>
      </w:r>
    </w:p>
    <w:p w14:paraId="7063FB47" w14:textId="77777777" w:rsidR="00783CEA" w:rsidRPr="00B57653" w:rsidRDefault="00783CEA" w:rsidP="009D0E2E">
      <w:p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 xml:space="preserve">Villi are mucosal projections that amplify the surface area of the small intestine, facilitating efficient nutrient absorption. Increased villus height is directly correlated with enhanced absorptive capacity and improved growth performance (Montagne et al., 2003; Samanya and Yamauchi, 2002). </w:t>
      </w:r>
      <w:r w:rsidR="00D42F79" w:rsidRPr="00B57653">
        <w:rPr>
          <w:rFonts w:ascii="Times New Roman" w:hAnsi="Times New Roman" w:cs="Times New Roman"/>
          <w:sz w:val="24"/>
          <w:szCs w:val="24"/>
        </w:rPr>
        <w:t>The</w:t>
      </w:r>
      <w:r w:rsidRPr="00B57653">
        <w:rPr>
          <w:rFonts w:ascii="Times New Roman" w:hAnsi="Times New Roman" w:cs="Times New Roman"/>
          <w:sz w:val="24"/>
          <w:szCs w:val="24"/>
        </w:rPr>
        <w:t xml:space="preserve"> shortened villi are indicative of mucosal injury due to inflammation, pathogenic insult, or poor nutrition, leading to compromised absorption and productivity (</w:t>
      </w:r>
      <w:proofErr w:type="spellStart"/>
      <w:r w:rsidRPr="00B57653">
        <w:rPr>
          <w:rFonts w:ascii="Times New Roman" w:hAnsi="Times New Roman" w:cs="Times New Roman"/>
          <w:sz w:val="24"/>
          <w:szCs w:val="24"/>
        </w:rPr>
        <w:t>Yason</w:t>
      </w:r>
      <w:proofErr w:type="spellEnd"/>
      <w:r w:rsidRPr="00B57653">
        <w:rPr>
          <w:rFonts w:ascii="Times New Roman" w:hAnsi="Times New Roman" w:cs="Times New Roman"/>
          <w:sz w:val="24"/>
          <w:szCs w:val="24"/>
        </w:rPr>
        <w:t xml:space="preserve"> et al., 1987).</w:t>
      </w:r>
    </w:p>
    <w:p w14:paraId="7063FB48" w14:textId="77777777" w:rsidR="00783CEA" w:rsidRPr="00B57653" w:rsidRDefault="00783CEA" w:rsidP="009D0E2E">
      <w:pPr>
        <w:spacing w:line="360" w:lineRule="auto"/>
        <w:jc w:val="both"/>
        <w:rPr>
          <w:rFonts w:ascii="Times New Roman" w:hAnsi="Times New Roman" w:cs="Times New Roman"/>
          <w:b/>
          <w:bCs/>
          <w:sz w:val="24"/>
          <w:szCs w:val="24"/>
        </w:rPr>
      </w:pPr>
      <w:r w:rsidRPr="00B57653">
        <w:rPr>
          <w:rFonts w:ascii="Times New Roman" w:hAnsi="Times New Roman" w:cs="Times New Roman"/>
          <w:b/>
          <w:bCs/>
          <w:sz w:val="24"/>
          <w:szCs w:val="24"/>
        </w:rPr>
        <w:t xml:space="preserve">Crypt Depth (CD): </w:t>
      </w:r>
    </w:p>
    <w:p w14:paraId="7063FB49" w14:textId="77777777" w:rsidR="00783CEA" w:rsidRPr="00B57653" w:rsidRDefault="00783CEA" w:rsidP="009D0E2E">
      <w:p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Crypts of Lieberkühn are invaginations at the base of the villi where stem cell proliferation and epithelial renewal occur. Deeper crypts generally indicate increased cellular turnover due to villus injury or epithelial shedding (</w:t>
      </w:r>
      <w:proofErr w:type="spellStart"/>
      <w:r w:rsidRPr="00B57653">
        <w:rPr>
          <w:rFonts w:ascii="Times New Roman" w:hAnsi="Times New Roman" w:cs="Times New Roman"/>
          <w:sz w:val="24"/>
          <w:szCs w:val="24"/>
        </w:rPr>
        <w:t>Pluske</w:t>
      </w:r>
      <w:proofErr w:type="spellEnd"/>
      <w:r w:rsidRPr="00B57653">
        <w:rPr>
          <w:rFonts w:ascii="Times New Roman" w:hAnsi="Times New Roman" w:cs="Times New Roman"/>
          <w:sz w:val="24"/>
          <w:szCs w:val="24"/>
        </w:rPr>
        <w:t xml:space="preserve"> et al., 1997). While some crypt development is normal during growth, excessive crypt hyperplasia is often associated with inflammation or gut stress (Xu et al., 2003).</w:t>
      </w:r>
    </w:p>
    <w:p w14:paraId="7063FB4A" w14:textId="77777777" w:rsidR="00783CEA" w:rsidRPr="00B57653" w:rsidRDefault="00783CEA" w:rsidP="009D0E2E">
      <w:pPr>
        <w:spacing w:line="360" w:lineRule="auto"/>
        <w:jc w:val="both"/>
        <w:rPr>
          <w:rFonts w:ascii="Times New Roman" w:hAnsi="Times New Roman" w:cs="Times New Roman"/>
          <w:b/>
          <w:bCs/>
          <w:sz w:val="24"/>
          <w:szCs w:val="24"/>
        </w:rPr>
      </w:pPr>
      <w:r w:rsidRPr="00B57653">
        <w:rPr>
          <w:rFonts w:ascii="Times New Roman" w:hAnsi="Times New Roman" w:cs="Times New Roman"/>
          <w:b/>
          <w:bCs/>
          <w:sz w:val="24"/>
          <w:szCs w:val="24"/>
        </w:rPr>
        <w:t>Villus Height to Crypt Depth Ratio (VH:CD)</w:t>
      </w:r>
    </w:p>
    <w:p w14:paraId="7063FB4B" w14:textId="77777777" w:rsidR="00783CEA" w:rsidRPr="00B57653" w:rsidRDefault="00783CEA" w:rsidP="009D0E2E">
      <w:p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 xml:space="preserve">The VH:CD ratio is a key index that integrates absorptive efficiency and tissue regeneration. A higher VH:CD ratio suggests a </w:t>
      </w:r>
      <w:r w:rsidR="002A5F3B" w:rsidRPr="00B57653">
        <w:rPr>
          <w:rFonts w:ascii="Times New Roman" w:hAnsi="Times New Roman" w:cs="Times New Roman"/>
          <w:sz w:val="24"/>
          <w:szCs w:val="24"/>
        </w:rPr>
        <w:t>healthy</w:t>
      </w:r>
      <w:r w:rsidRPr="00B57653">
        <w:rPr>
          <w:rFonts w:ascii="Times New Roman" w:hAnsi="Times New Roman" w:cs="Times New Roman"/>
          <w:sz w:val="24"/>
          <w:szCs w:val="24"/>
        </w:rPr>
        <w:t xml:space="preserve"> gut with optimal nutrient absorption and low epithelial turnover, while a lower ratio reflects </w:t>
      </w:r>
      <w:r w:rsidR="004F5C10" w:rsidRPr="00B57653">
        <w:rPr>
          <w:rFonts w:ascii="Times New Roman" w:hAnsi="Times New Roman" w:cs="Times New Roman"/>
          <w:sz w:val="24"/>
          <w:szCs w:val="24"/>
        </w:rPr>
        <w:t xml:space="preserve">more </w:t>
      </w:r>
      <w:r w:rsidRPr="00B57653">
        <w:rPr>
          <w:rFonts w:ascii="Times New Roman" w:hAnsi="Times New Roman" w:cs="Times New Roman"/>
          <w:sz w:val="24"/>
          <w:szCs w:val="24"/>
        </w:rPr>
        <w:t>intestinal damage (Awad et al., 2009; Marković et al., 2009). This ratio is particularly useful in evaluating dietary interventions, especially the efficacy of feed additives, probiotics, or anti-inflammatory agents.</w:t>
      </w:r>
    </w:p>
    <w:p w14:paraId="7063FB4C" w14:textId="77777777" w:rsidR="00783CEA" w:rsidRPr="00B57653" w:rsidRDefault="00783CEA" w:rsidP="009D0E2E">
      <w:pPr>
        <w:spacing w:line="360" w:lineRule="auto"/>
        <w:jc w:val="both"/>
        <w:rPr>
          <w:rFonts w:ascii="Times New Roman" w:hAnsi="Times New Roman" w:cs="Times New Roman"/>
          <w:b/>
          <w:bCs/>
          <w:sz w:val="24"/>
          <w:szCs w:val="24"/>
        </w:rPr>
      </w:pPr>
      <w:r w:rsidRPr="00B57653">
        <w:rPr>
          <w:rFonts w:ascii="Times New Roman" w:hAnsi="Times New Roman" w:cs="Times New Roman"/>
          <w:b/>
          <w:bCs/>
          <w:sz w:val="24"/>
          <w:szCs w:val="24"/>
        </w:rPr>
        <w:t>Species-Specific Applications</w:t>
      </w:r>
    </w:p>
    <w:p w14:paraId="7063FB4D" w14:textId="77777777" w:rsidR="00783CEA" w:rsidRPr="00B57653" w:rsidRDefault="00783CEA" w:rsidP="009D0E2E">
      <w:pPr>
        <w:numPr>
          <w:ilvl w:val="0"/>
          <w:numId w:val="5"/>
        </w:num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 xml:space="preserve">In </w:t>
      </w:r>
      <w:r w:rsidRPr="00B57653">
        <w:rPr>
          <w:rFonts w:ascii="Times New Roman" w:hAnsi="Times New Roman" w:cs="Times New Roman"/>
          <w:b/>
          <w:bCs/>
          <w:sz w:val="24"/>
          <w:szCs w:val="24"/>
        </w:rPr>
        <w:t>poultry</w:t>
      </w:r>
      <w:r w:rsidRPr="00B57653">
        <w:rPr>
          <w:rFonts w:ascii="Times New Roman" w:hAnsi="Times New Roman" w:cs="Times New Roman"/>
          <w:sz w:val="24"/>
          <w:szCs w:val="24"/>
        </w:rPr>
        <w:t>, VH and CD are most frequently measured in the duodenum, jejunum, and ileum to assess the impact of nutritional strategies or disease challenges (Xu et al., 2003).</w:t>
      </w:r>
    </w:p>
    <w:p w14:paraId="7063FB4E" w14:textId="77777777" w:rsidR="00783CEA" w:rsidRPr="00B57653" w:rsidRDefault="00783CEA" w:rsidP="009D0E2E">
      <w:pPr>
        <w:numPr>
          <w:ilvl w:val="0"/>
          <w:numId w:val="5"/>
        </w:num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 xml:space="preserve">In </w:t>
      </w:r>
      <w:r w:rsidRPr="00B57653">
        <w:rPr>
          <w:rFonts w:ascii="Times New Roman" w:hAnsi="Times New Roman" w:cs="Times New Roman"/>
          <w:b/>
          <w:bCs/>
          <w:sz w:val="24"/>
          <w:szCs w:val="24"/>
        </w:rPr>
        <w:t>swine</w:t>
      </w:r>
      <w:r w:rsidRPr="00B57653">
        <w:rPr>
          <w:rFonts w:ascii="Times New Roman" w:hAnsi="Times New Roman" w:cs="Times New Roman"/>
          <w:sz w:val="24"/>
          <w:szCs w:val="24"/>
        </w:rPr>
        <w:t>, these markers are essential in studying weaning stress and intestinal adaptation (</w:t>
      </w:r>
      <w:proofErr w:type="spellStart"/>
      <w:r w:rsidRPr="00B57653">
        <w:rPr>
          <w:rFonts w:ascii="Times New Roman" w:hAnsi="Times New Roman" w:cs="Times New Roman"/>
          <w:sz w:val="24"/>
          <w:szCs w:val="24"/>
        </w:rPr>
        <w:t>Pluske</w:t>
      </w:r>
      <w:proofErr w:type="spellEnd"/>
      <w:r w:rsidRPr="00B57653">
        <w:rPr>
          <w:rFonts w:ascii="Times New Roman" w:hAnsi="Times New Roman" w:cs="Times New Roman"/>
          <w:sz w:val="24"/>
          <w:szCs w:val="24"/>
        </w:rPr>
        <w:t xml:space="preserve"> et al., 1997).</w:t>
      </w:r>
    </w:p>
    <w:p w14:paraId="7063FB4F" w14:textId="77777777" w:rsidR="00783CEA" w:rsidRPr="00B57653" w:rsidRDefault="00783CEA" w:rsidP="009D0E2E">
      <w:pPr>
        <w:numPr>
          <w:ilvl w:val="0"/>
          <w:numId w:val="5"/>
        </w:num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lastRenderedPageBreak/>
        <w:t xml:space="preserve">In </w:t>
      </w:r>
      <w:r w:rsidRPr="00B57653">
        <w:rPr>
          <w:rFonts w:ascii="Times New Roman" w:hAnsi="Times New Roman" w:cs="Times New Roman"/>
          <w:b/>
          <w:bCs/>
          <w:sz w:val="24"/>
          <w:szCs w:val="24"/>
        </w:rPr>
        <w:t>ruminants</w:t>
      </w:r>
      <w:r w:rsidRPr="00B57653">
        <w:rPr>
          <w:rFonts w:ascii="Times New Roman" w:hAnsi="Times New Roman" w:cs="Times New Roman"/>
          <w:sz w:val="24"/>
          <w:szCs w:val="24"/>
        </w:rPr>
        <w:t>, although adult animals rely heavily on forestomach digestion, VH and CD remain relevant in the small intestine, especially in young calves and during disease or parasitism (</w:t>
      </w:r>
      <w:proofErr w:type="spellStart"/>
      <w:r w:rsidRPr="00B57653">
        <w:rPr>
          <w:rFonts w:ascii="Times New Roman" w:hAnsi="Times New Roman" w:cs="Times New Roman"/>
          <w:sz w:val="24"/>
          <w:szCs w:val="24"/>
        </w:rPr>
        <w:t>Gresse</w:t>
      </w:r>
      <w:proofErr w:type="spellEnd"/>
      <w:r w:rsidRPr="00B57653">
        <w:rPr>
          <w:rFonts w:ascii="Times New Roman" w:hAnsi="Times New Roman" w:cs="Times New Roman"/>
          <w:sz w:val="24"/>
          <w:szCs w:val="24"/>
        </w:rPr>
        <w:t xml:space="preserve"> et al., 2017).</w:t>
      </w:r>
    </w:p>
    <w:p w14:paraId="7063FB50" w14:textId="77777777" w:rsidR="00595EE8" w:rsidRPr="00B57653" w:rsidRDefault="00BF7CC1" w:rsidP="009D0E2E">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1.2 </w:t>
      </w:r>
      <w:r w:rsidR="00D02EDC" w:rsidRPr="00B57653">
        <w:rPr>
          <w:rFonts w:ascii="Times New Roman" w:hAnsi="Times New Roman" w:cs="Times New Roman"/>
          <w:b/>
          <w:bCs/>
          <w:sz w:val="24"/>
          <w:szCs w:val="24"/>
        </w:rPr>
        <w:t>G</w:t>
      </w:r>
      <w:r w:rsidR="00F65726" w:rsidRPr="00B57653">
        <w:rPr>
          <w:rFonts w:ascii="Times New Roman" w:hAnsi="Times New Roman" w:cs="Times New Roman"/>
          <w:b/>
          <w:bCs/>
          <w:sz w:val="24"/>
          <w:szCs w:val="24"/>
        </w:rPr>
        <w:t>oblet cell density</w:t>
      </w:r>
      <w:r w:rsidR="00E17720" w:rsidRPr="00B57653">
        <w:rPr>
          <w:rFonts w:ascii="Times New Roman" w:hAnsi="Times New Roman" w:cs="Times New Roman"/>
          <w:b/>
          <w:bCs/>
          <w:sz w:val="24"/>
          <w:szCs w:val="24"/>
        </w:rPr>
        <w:t xml:space="preserve"> (GCD)</w:t>
      </w:r>
      <w:r w:rsidR="00E352AB" w:rsidRPr="00B57653">
        <w:rPr>
          <w:rFonts w:ascii="Times New Roman" w:hAnsi="Times New Roman" w:cs="Times New Roman"/>
          <w:sz w:val="24"/>
          <w:szCs w:val="24"/>
        </w:rPr>
        <w:t>:</w:t>
      </w:r>
    </w:p>
    <w:p w14:paraId="7063FB51" w14:textId="77777777" w:rsidR="005324B0" w:rsidRPr="00B57653" w:rsidRDefault="00BE18DE" w:rsidP="009D0E2E">
      <w:pPr>
        <w:tabs>
          <w:tab w:val="num" w:pos="720"/>
        </w:tabs>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 xml:space="preserve">It </w:t>
      </w:r>
      <w:r w:rsidR="00B504BB" w:rsidRPr="00B57653">
        <w:rPr>
          <w:rFonts w:ascii="Times New Roman" w:hAnsi="Times New Roman" w:cs="Times New Roman"/>
          <w:sz w:val="24"/>
          <w:szCs w:val="24"/>
        </w:rPr>
        <w:t>contributes</w:t>
      </w:r>
      <w:r w:rsidR="00F65726" w:rsidRPr="00B57653">
        <w:rPr>
          <w:rFonts w:ascii="Times New Roman" w:hAnsi="Times New Roman" w:cs="Times New Roman"/>
          <w:sz w:val="24"/>
          <w:szCs w:val="24"/>
        </w:rPr>
        <w:t xml:space="preserve"> to </w:t>
      </w:r>
      <w:r w:rsidR="00D50C4E" w:rsidRPr="00B57653">
        <w:rPr>
          <w:rFonts w:ascii="Times New Roman" w:hAnsi="Times New Roman" w:cs="Times New Roman"/>
          <w:sz w:val="24"/>
          <w:szCs w:val="24"/>
        </w:rPr>
        <w:t xml:space="preserve">the </w:t>
      </w:r>
      <w:r w:rsidR="00F65726" w:rsidRPr="00B57653">
        <w:rPr>
          <w:rFonts w:ascii="Times New Roman" w:hAnsi="Times New Roman" w:cs="Times New Roman"/>
          <w:sz w:val="24"/>
          <w:szCs w:val="24"/>
        </w:rPr>
        <w:t>epithelial barrier function and mucus secretion (Uni et al., 1998</w:t>
      </w:r>
      <w:proofErr w:type="gramStart"/>
      <w:r w:rsidR="00F65726" w:rsidRPr="00B57653">
        <w:rPr>
          <w:rFonts w:ascii="Times New Roman" w:hAnsi="Times New Roman" w:cs="Times New Roman"/>
          <w:sz w:val="24"/>
          <w:szCs w:val="24"/>
        </w:rPr>
        <w:t>).</w:t>
      </w:r>
      <w:r w:rsidR="00727CAE" w:rsidRPr="00B57653">
        <w:rPr>
          <w:rFonts w:ascii="Times New Roman" w:hAnsi="Times New Roman" w:cs="Times New Roman"/>
          <w:sz w:val="24"/>
          <w:szCs w:val="24"/>
        </w:rPr>
        <w:t>A</w:t>
      </w:r>
      <w:proofErr w:type="gramEnd"/>
      <w:r w:rsidR="00727CAE" w:rsidRPr="00B57653">
        <w:rPr>
          <w:rFonts w:ascii="Times New Roman" w:hAnsi="Times New Roman" w:cs="Times New Roman"/>
          <w:sz w:val="24"/>
          <w:szCs w:val="24"/>
        </w:rPr>
        <w:t xml:space="preserve"> higher goblet cell density is generally indicative of </w:t>
      </w:r>
      <w:r w:rsidR="00391036" w:rsidRPr="00B57653">
        <w:rPr>
          <w:rFonts w:ascii="Times New Roman" w:hAnsi="Times New Roman" w:cs="Times New Roman"/>
          <w:sz w:val="24"/>
          <w:szCs w:val="24"/>
        </w:rPr>
        <w:t>optimum</w:t>
      </w:r>
      <w:r w:rsidR="00727CAE" w:rsidRPr="00B57653">
        <w:rPr>
          <w:rFonts w:ascii="Times New Roman" w:hAnsi="Times New Roman" w:cs="Times New Roman"/>
          <w:sz w:val="24"/>
          <w:szCs w:val="24"/>
        </w:rPr>
        <w:t xml:space="preserve"> mucosal </w:t>
      </w:r>
      <w:r w:rsidR="000E52F5" w:rsidRPr="00B57653">
        <w:rPr>
          <w:rFonts w:ascii="Times New Roman" w:hAnsi="Times New Roman" w:cs="Times New Roman"/>
          <w:sz w:val="24"/>
          <w:szCs w:val="24"/>
        </w:rPr>
        <w:t>defence</w:t>
      </w:r>
      <w:r w:rsidR="00727CAE" w:rsidRPr="00B57653">
        <w:rPr>
          <w:rFonts w:ascii="Times New Roman" w:hAnsi="Times New Roman" w:cs="Times New Roman"/>
          <w:sz w:val="24"/>
          <w:szCs w:val="24"/>
        </w:rPr>
        <w:t xml:space="preserve"> </w:t>
      </w:r>
      <w:proofErr w:type="spellStart"/>
      <w:proofErr w:type="gramStart"/>
      <w:r w:rsidR="00727CAE" w:rsidRPr="00B57653">
        <w:rPr>
          <w:rFonts w:ascii="Times New Roman" w:hAnsi="Times New Roman" w:cs="Times New Roman"/>
          <w:sz w:val="24"/>
          <w:szCs w:val="24"/>
        </w:rPr>
        <w:t>system</w:t>
      </w:r>
      <w:r w:rsidR="00D93CDA" w:rsidRPr="00B57653">
        <w:rPr>
          <w:rFonts w:ascii="Times New Roman" w:hAnsi="Times New Roman" w:cs="Times New Roman"/>
          <w:sz w:val="24"/>
          <w:szCs w:val="24"/>
        </w:rPr>
        <w:t>,howeverless</w:t>
      </w:r>
      <w:proofErr w:type="spellEnd"/>
      <w:proofErr w:type="gramEnd"/>
      <w:r w:rsidR="00727CAE" w:rsidRPr="00B57653">
        <w:rPr>
          <w:rFonts w:ascii="Times New Roman" w:hAnsi="Times New Roman" w:cs="Times New Roman"/>
          <w:sz w:val="24"/>
          <w:szCs w:val="24"/>
        </w:rPr>
        <w:t xml:space="preserve"> goblet cell</w:t>
      </w:r>
      <w:r w:rsidR="00D93CDA" w:rsidRPr="00B57653">
        <w:rPr>
          <w:rFonts w:ascii="Times New Roman" w:hAnsi="Times New Roman" w:cs="Times New Roman"/>
          <w:sz w:val="24"/>
          <w:szCs w:val="24"/>
        </w:rPr>
        <w:t>s are</w:t>
      </w:r>
      <w:r w:rsidR="00727CAE" w:rsidRPr="00B57653">
        <w:rPr>
          <w:rFonts w:ascii="Times New Roman" w:hAnsi="Times New Roman" w:cs="Times New Roman"/>
          <w:sz w:val="24"/>
          <w:szCs w:val="24"/>
        </w:rPr>
        <w:t xml:space="preserve"> associated with compromised barrier function, increased intestinal permeability, and susceptibility to infections and inflammation (Smirnov et al., 2006). In production animals, changes in GCD have been correlated with stress, diet composition, pathogen load, and antibiotic use (Forder et al., 2007; Wang et al., 2022</w:t>
      </w:r>
      <w:proofErr w:type="gramStart"/>
      <w:r w:rsidR="00727CAE" w:rsidRPr="00B57653">
        <w:rPr>
          <w:rFonts w:ascii="Times New Roman" w:hAnsi="Times New Roman" w:cs="Times New Roman"/>
          <w:sz w:val="24"/>
          <w:szCs w:val="24"/>
        </w:rPr>
        <w:t>).</w:t>
      </w:r>
      <w:r w:rsidR="005324B0" w:rsidRPr="00B57653">
        <w:rPr>
          <w:rFonts w:ascii="Times New Roman" w:hAnsi="Times New Roman" w:cs="Times New Roman"/>
          <w:sz w:val="24"/>
          <w:szCs w:val="24"/>
        </w:rPr>
        <w:t>Goblet</w:t>
      </w:r>
      <w:proofErr w:type="gramEnd"/>
      <w:r w:rsidR="005324B0" w:rsidRPr="00B57653">
        <w:rPr>
          <w:rFonts w:ascii="Times New Roman" w:hAnsi="Times New Roman" w:cs="Times New Roman"/>
          <w:sz w:val="24"/>
          <w:szCs w:val="24"/>
        </w:rPr>
        <w:t xml:space="preserve"> cell density is a reliable structural marker of gut health, reflecting the mucosal barrier's capacity to protect against pathogens, support microbial symbiosis, and maintain epithelial integrity. Its quantification provides valuable insight into the impact of nutritional, environmental, and pathological factors on intestinal health, particularly in livestock and poultry production systems.</w:t>
      </w:r>
    </w:p>
    <w:p w14:paraId="7063FB52" w14:textId="77777777" w:rsidR="00B74464" w:rsidRPr="00B57653" w:rsidRDefault="00B74464" w:rsidP="009D0E2E">
      <w:pPr>
        <w:tabs>
          <w:tab w:val="num" w:pos="720"/>
        </w:tabs>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Regional Variation in Goblet Cell Density</w:t>
      </w:r>
      <w:r w:rsidR="00A42181" w:rsidRPr="00B57653">
        <w:rPr>
          <w:rFonts w:ascii="Times New Roman" w:hAnsi="Times New Roman" w:cs="Times New Roman"/>
          <w:sz w:val="24"/>
          <w:szCs w:val="24"/>
        </w:rPr>
        <w:t xml:space="preserve"> are noted as</w:t>
      </w:r>
      <w:r w:rsidRPr="00B57653">
        <w:rPr>
          <w:rFonts w:ascii="Times New Roman" w:hAnsi="Times New Roman" w:cs="Times New Roman"/>
          <w:sz w:val="24"/>
          <w:szCs w:val="24"/>
        </w:rPr>
        <w:t>:</w:t>
      </w:r>
    </w:p>
    <w:p w14:paraId="7063FB53" w14:textId="77777777" w:rsidR="00B74464" w:rsidRPr="00B57653" w:rsidRDefault="00B74464" w:rsidP="009D0E2E">
      <w:pPr>
        <w:numPr>
          <w:ilvl w:val="0"/>
          <w:numId w:val="8"/>
        </w:num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Higher in the colon and cecum, where microbial load is highest.</w:t>
      </w:r>
    </w:p>
    <w:p w14:paraId="7063FB54" w14:textId="77777777" w:rsidR="00B74464" w:rsidRPr="00B57653" w:rsidRDefault="00B74464" w:rsidP="009D0E2E">
      <w:pPr>
        <w:numPr>
          <w:ilvl w:val="0"/>
          <w:numId w:val="8"/>
        </w:num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Lower in the duodenum, due to less exposure to pathogens (Smirnov et al., 2006).</w:t>
      </w:r>
    </w:p>
    <w:p w14:paraId="7063FB55" w14:textId="77777777" w:rsidR="00B74464" w:rsidRPr="00B57653" w:rsidRDefault="00B74464" w:rsidP="009D0E2E">
      <w:pPr>
        <w:tabs>
          <w:tab w:val="num" w:pos="720"/>
        </w:tabs>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 xml:space="preserve">Goblet cell density </w:t>
      </w:r>
      <w:r w:rsidR="0040081C" w:rsidRPr="00B57653">
        <w:rPr>
          <w:rFonts w:ascii="Times New Roman" w:hAnsi="Times New Roman" w:cs="Times New Roman"/>
          <w:sz w:val="24"/>
          <w:szCs w:val="24"/>
        </w:rPr>
        <w:t>can be measured by</w:t>
      </w:r>
      <w:r w:rsidRPr="00B57653">
        <w:rPr>
          <w:rFonts w:ascii="Times New Roman" w:hAnsi="Times New Roman" w:cs="Times New Roman"/>
          <w:sz w:val="24"/>
          <w:szCs w:val="24"/>
        </w:rPr>
        <w:t xml:space="preserve"> using:</w:t>
      </w:r>
    </w:p>
    <w:p w14:paraId="7063FB56" w14:textId="77777777" w:rsidR="00B74464" w:rsidRPr="00B57653" w:rsidRDefault="00B74464" w:rsidP="009D0E2E">
      <w:pPr>
        <w:numPr>
          <w:ilvl w:val="0"/>
          <w:numId w:val="9"/>
        </w:num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Histological staining methods such as Periodic Acid-Schiff (PAS) and Alcian Blue.</w:t>
      </w:r>
    </w:p>
    <w:p w14:paraId="7063FB57" w14:textId="77777777" w:rsidR="00B74464" w:rsidRPr="00B57653" w:rsidRDefault="00B74464" w:rsidP="009D0E2E">
      <w:pPr>
        <w:numPr>
          <w:ilvl w:val="0"/>
          <w:numId w:val="9"/>
        </w:num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Image analysis software to determine goblet cells per villus or per unit area of intestinal tissue (Forder et al., 2007).</w:t>
      </w:r>
    </w:p>
    <w:p w14:paraId="7063FB58" w14:textId="77777777" w:rsidR="001D7387" w:rsidRPr="00B57653" w:rsidRDefault="00A876A4" w:rsidP="009D0E2E">
      <w:pPr>
        <w:spacing w:line="360" w:lineRule="auto"/>
        <w:ind w:firstLine="720"/>
        <w:jc w:val="both"/>
        <w:rPr>
          <w:rFonts w:ascii="Times New Roman" w:hAnsi="Times New Roman" w:cs="Times New Roman"/>
          <w:b/>
          <w:bCs/>
          <w:sz w:val="24"/>
          <w:szCs w:val="24"/>
        </w:rPr>
      </w:pPr>
      <w:r w:rsidRPr="00B57653">
        <w:rPr>
          <w:rFonts w:ascii="Times New Roman" w:hAnsi="Times New Roman" w:cs="Times New Roman"/>
          <w:sz w:val="24"/>
          <w:szCs w:val="24"/>
        </w:rPr>
        <w:t>Studies show</w:t>
      </w:r>
      <w:r w:rsidR="003C5361" w:rsidRPr="00B57653">
        <w:rPr>
          <w:rFonts w:ascii="Times New Roman" w:hAnsi="Times New Roman" w:cs="Times New Roman"/>
          <w:sz w:val="24"/>
          <w:szCs w:val="24"/>
        </w:rPr>
        <w:t>ed</w:t>
      </w:r>
      <w:r w:rsidRPr="00B57653">
        <w:rPr>
          <w:rFonts w:ascii="Times New Roman" w:hAnsi="Times New Roman" w:cs="Times New Roman"/>
          <w:sz w:val="24"/>
          <w:szCs w:val="24"/>
        </w:rPr>
        <w:t xml:space="preserve"> that prebiotics, probiotics, and </w:t>
      </w:r>
      <w:proofErr w:type="spellStart"/>
      <w:r w:rsidRPr="007758F9">
        <w:rPr>
          <w:rFonts w:ascii="Times New Roman" w:hAnsi="Times New Roman" w:cs="Times New Roman"/>
          <w:sz w:val="24"/>
          <w:szCs w:val="24"/>
        </w:rPr>
        <w:t>synbiotics</w:t>
      </w:r>
      <w:proofErr w:type="spellEnd"/>
      <w:r w:rsidRPr="007758F9">
        <w:rPr>
          <w:rFonts w:ascii="Times New Roman" w:hAnsi="Times New Roman" w:cs="Times New Roman"/>
          <w:sz w:val="24"/>
          <w:szCs w:val="24"/>
        </w:rPr>
        <w:t xml:space="preserve"> can enhance goblet cell </w:t>
      </w:r>
      <w:r w:rsidR="005E5DB2" w:rsidRPr="007758F9">
        <w:rPr>
          <w:rFonts w:ascii="Times New Roman" w:hAnsi="Times New Roman" w:cs="Times New Roman"/>
          <w:sz w:val="24"/>
          <w:szCs w:val="24"/>
        </w:rPr>
        <w:t>density</w:t>
      </w:r>
      <w:r w:rsidRPr="007758F9">
        <w:rPr>
          <w:rFonts w:ascii="Times New Roman" w:hAnsi="Times New Roman" w:cs="Times New Roman"/>
          <w:sz w:val="24"/>
          <w:szCs w:val="24"/>
        </w:rPr>
        <w:t xml:space="preserve">, contributing to gut health </w:t>
      </w:r>
      <w:r w:rsidR="00014870" w:rsidRPr="007758F9">
        <w:rPr>
          <w:rFonts w:ascii="Times New Roman" w:hAnsi="Times New Roman" w:cs="Times New Roman"/>
          <w:sz w:val="24"/>
          <w:szCs w:val="24"/>
        </w:rPr>
        <w:t xml:space="preserve">improvement </w:t>
      </w:r>
      <w:r w:rsidRPr="007758F9">
        <w:rPr>
          <w:rFonts w:ascii="Times New Roman" w:hAnsi="Times New Roman" w:cs="Times New Roman"/>
          <w:sz w:val="24"/>
          <w:szCs w:val="24"/>
        </w:rPr>
        <w:t xml:space="preserve">and </w:t>
      </w:r>
      <w:proofErr w:type="spellStart"/>
      <w:r w:rsidRPr="007758F9">
        <w:rPr>
          <w:rFonts w:ascii="Times New Roman" w:hAnsi="Times New Roman" w:cs="Times New Roman"/>
          <w:sz w:val="24"/>
          <w:szCs w:val="24"/>
        </w:rPr>
        <w:t>productivity.Forder</w:t>
      </w:r>
      <w:proofErr w:type="spellEnd"/>
      <w:r w:rsidRPr="007758F9">
        <w:rPr>
          <w:rFonts w:ascii="Times New Roman" w:hAnsi="Times New Roman" w:cs="Times New Roman"/>
          <w:sz w:val="24"/>
          <w:szCs w:val="24"/>
        </w:rPr>
        <w:t xml:space="preserve"> et al. (2007) reported that dietary supplementation with fermentable carbohydrates increased goblet cell numbers in the ileum of weaned </w:t>
      </w:r>
      <w:proofErr w:type="spellStart"/>
      <w:r w:rsidRPr="007758F9">
        <w:rPr>
          <w:rFonts w:ascii="Times New Roman" w:hAnsi="Times New Roman" w:cs="Times New Roman"/>
          <w:sz w:val="24"/>
          <w:szCs w:val="24"/>
        </w:rPr>
        <w:t>pigs.Cheled</w:t>
      </w:r>
      <w:proofErr w:type="spellEnd"/>
      <w:r w:rsidRPr="007758F9">
        <w:rPr>
          <w:rFonts w:ascii="Times New Roman" w:hAnsi="Times New Roman" w:cs="Times New Roman"/>
          <w:sz w:val="24"/>
          <w:szCs w:val="24"/>
        </w:rPr>
        <w:t>-Shoval et al. (2014)</w:t>
      </w:r>
      <w:r w:rsidR="00EB0859" w:rsidRPr="007758F9">
        <w:rPr>
          <w:rFonts w:ascii="Times New Roman" w:hAnsi="Times New Roman" w:cs="Times New Roman"/>
          <w:sz w:val="24"/>
          <w:szCs w:val="24"/>
        </w:rPr>
        <w:t xml:space="preserve"> and Pandey (2024)</w:t>
      </w:r>
      <w:r w:rsidRPr="007758F9">
        <w:rPr>
          <w:rFonts w:ascii="Times New Roman" w:hAnsi="Times New Roman" w:cs="Times New Roman"/>
          <w:sz w:val="24"/>
          <w:szCs w:val="24"/>
        </w:rPr>
        <w:t xml:space="preserve"> found that </w:t>
      </w:r>
      <w:proofErr w:type="spellStart"/>
      <w:r w:rsidRPr="007758F9">
        <w:rPr>
          <w:rFonts w:ascii="Times New Roman" w:hAnsi="Times New Roman" w:cs="Times New Roman"/>
          <w:sz w:val="24"/>
          <w:szCs w:val="24"/>
        </w:rPr>
        <w:t>synbiotic</w:t>
      </w:r>
      <w:proofErr w:type="spellEnd"/>
      <w:r w:rsidRPr="007758F9">
        <w:rPr>
          <w:rFonts w:ascii="Times New Roman" w:hAnsi="Times New Roman" w:cs="Times New Roman"/>
          <w:sz w:val="24"/>
          <w:szCs w:val="24"/>
        </w:rPr>
        <w:t xml:space="preserve"> supplementation increased goblet cell counts in the jejunum of </w:t>
      </w:r>
      <w:proofErr w:type="spellStart"/>
      <w:r w:rsidRPr="007758F9">
        <w:rPr>
          <w:rFonts w:ascii="Times New Roman" w:hAnsi="Times New Roman" w:cs="Times New Roman"/>
          <w:sz w:val="24"/>
          <w:szCs w:val="24"/>
        </w:rPr>
        <w:t>broilers.</w:t>
      </w:r>
      <w:r w:rsidR="00AA3752" w:rsidRPr="007758F9">
        <w:rPr>
          <w:rFonts w:ascii="Times New Roman" w:hAnsi="Times New Roman" w:cs="Times New Roman"/>
          <w:sz w:val="24"/>
          <w:szCs w:val="24"/>
        </w:rPr>
        <w:t>Wang</w:t>
      </w:r>
      <w:proofErr w:type="spellEnd"/>
      <w:r w:rsidR="00AA3752" w:rsidRPr="007758F9">
        <w:rPr>
          <w:rFonts w:ascii="Times New Roman" w:hAnsi="Times New Roman" w:cs="Times New Roman"/>
          <w:sz w:val="24"/>
          <w:szCs w:val="24"/>
        </w:rPr>
        <w:t xml:space="preserve"> et al. (2022</w:t>
      </w:r>
      <w:r w:rsidR="00AA3752" w:rsidRPr="00B57653">
        <w:rPr>
          <w:rFonts w:ascii="Times New Roman" w:hAnsi="Times New Roman" w:cs="Times New Roman"/>
          <w:b/>
          <w:bCs/>
          <w:sz w:val="24"/>
          <w:szCs w:val="24"/>
        </w:rPr>
        <w:t>)</w:t>
      </w:r>
      <w:r w:rsidR="00AA3752" w:rsidRPr="00B57653">
        <w:rPr>
          <w:rFonts w:ascii="Times New Roman" w:hAnsi="Times New Roman" w:cs="Times New Roman"/>
          <w:sz w:val="24"/>
          <w:szCs w:val="24"/>
        </w:rPr>
        <w:t xml:space="preserve"> observed an increase in GCD in broilers fed with phytogenic feed additives, correlating with reduced inflammation and better growth performance</w:t>
      </w:r>
      <w:r w:rsidR="007758F9">
        <w:rPr>
          <w:rFonts w:ascii="Times New Roman" w:hAnsi="Times New Roman" w:cs="Times New Roman"/>
          <w:sz w:val="24"/>
          <w:szCs w:val="24"/>
        </w:rPr>
        <w:t>.</w:t>
      </w:r>
    </w:p>
    <w:p w14:paraId="7063FB59" w14:textId="77777777" w:rsidR="00F65726" w:rsidRPr="00B57653" w:rsidRDefault="00497318" w:rsidP="009D0E2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w:t>
      </w:r>
      <w:r w:rsidR="001D7387" w:rsidRPr="00B57653">
        <w:rPr>
          <w:rFonts w:ascii="Times New Roman" w:hAnsi="Times New Roman" w:cs="Times New Roman"/>
          <w:b/>
          <w:bCs/>
          <w:sz w:val="24"/>
          <w:szCs w:val="24"/>
        </w:rPr>
        <w:t>.3 Mucosal thickness</w:t>
      </w:r>
      <w:r w:rsidR="00962C4F" w:rsidRPr="00B57653">
        <w:rPr>
          <w:rFonts w:ascii="Times New Roman" w:hAnsi="Times New Roman" w:cs="Times New Roman"/>
          <w:b/>
          <w:bCs/>
          <w:sz w:val="24"/>
          <w:szCs w:val="24"/>
        </w:rPr>
        <w:t>:</w:t>
      </w:r>
    </w:p>
    <w:p w14:paraId="7063FB5A" w14:textId="77777777" w:rsidR="00122D97" w:rsidRPr="00B57653" w:rsidRDefault="00022938" w:rsidP="009D0E2E">
      <w:pPr>
        <w:tabs>
          <w:tab w:val="num" w:pos="720"/>
        </w:tabs>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lastRenderedPageBreak/>
        <w:t xml:space="preserve">The mucosa consists of (1) Epithelium: Lined by enterocytes and goblet cells for absorption and mucus production. (2) Lamina propria: Connective tissue containing blood vessels, lymphatics, and immune cells. (3) Muscularis mucosae: Smooth muscle layer aiding local movement. </w:t>
      </w:r>
      <w:r w:rsidR="00122D97" w:rsidRPr="00B57653">
        <w:rPr>
          <w:rFonts w:ascii="Times New Roman" w:hAnsi="Times New Roman" w:cs="Times New Roman"/>
          <w:sz w:val="24"/>
          <w:szCs w:val="24"/>
        </w:rPr>
        <w:t>The gastrointestinal mucosa serves as the first interface between the host and ingested substances, including feed, microbes, and environmental toxins. Mucosal thickness, a morphometric parameter reflecting the integrity and functionality of the intestinal wall, is considered an important marker of gut health in domestic animals. Variations in mucosal thickness are influenced by age, nutrition, stress, microbial load, and disease, and can provide insights into the digestive capacity, immune status, and absorptive efficiency of the animal.</w:t>
      </w:r>
    </w:p>
    <w:p w14:paraId="7063FB5B" w14:textId="77777777" w:rsidR="00122D97" w:rsidRPr="00B57653" w:rsidRDefault="00122D97" w:rsidP="009D0E2E">
      <w:p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Mucosal thickness typically includes the distance from the muscularis mucosae to the luminal surface, and may include villi and crypts in the small intestine. This measurement reflects mucosal development, regeneration, and functional competence.</w:t>
      </w:r>
    </w:p>
    <w:p w14:paraId="7063FB5C" w14:textId="77777777" w:rsidR="00122D97" w:rsidRPr="00B57653" w:rsidRDefault="00122D97" w:rsidP="009D0E2E">
      <w:p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Increased mucosal thickness, especially with elongated villi and deep crypts, signifies a larger surface area for nutrient absorption and enzyme activity (Montagne et al., 2003; Uni et al., 1999</w:t>
      </w:r>
      <w:proofErr w:type="gramStart"/>
      <w:r w:rsidRPr="00B57653">
        <w:rPr>
          <w:rFonts w:ascii="Times New Roman" w:hAnsi="Times New Roman" w:cs="Times New Roman"/>
          <w:sz w:val="24"/>
          <w:szCs w:val="24"/>
        </w:rPr>
        <w:t>).A</w:t>
      </w:r>
      <w:proofErr w:type="gramEnd"/>
      <w:r w:rsidRPr="00B57653">
        <w:rPr>
          <w:rFonts w:ascii="Times New Roman" w:hAnsi="Times New Roman" w:cs="Times New Roman"/>
          <w:sz w:val="24"/>
          <w:szCs w:val="24"/>
        </w:rPr>
        <w:t xml:space="preserve"> thicker mucosa enhances the physical barrier function of the gut, reducing microbial translocation and improving resistance to </w:t>
      </w:r>
      <w:proofErr w:type="spellStart"/>
      <w:proofErr w:type="gramStart"/>
      <w:r w:rsidRPr="00B57653">
        <w:rPr>
          <w:rFonts w:ascii="Times New Roman" w:hAnsi="Times New Roman" w:cs="Times New Roman"/>
          <w:sz w:val="24"/>
          <w:szCs w:val="24"/>
        </w:rPr>
        <w:t>pathogens.The</w:t>
      </w:r>
      <w:proofErr w:type="spellEnd"/>
      <w:proofErr w:type="gramEnd"/>
      <w:r w:rsidRPr="00B57653">
        <w:rPr>
          <w:rFonts w:ascii="Times New Roman" w:hAnsi="Times New Roman" w:cs="Times New Roman"/>
          <w:sz w:val="24"/>
          <w:szCs w:val="24"/>
        </w:rPr>
        <w:t xml:space="preserve"> mucosa </w:t>
      </w:r>
      <w:proofErr w:type="spellStart"/>
      <w:r w:rsidRPr="00B57653">
        <w:rPr>
          <w:rFonts w:ascii="Times New Roman" w:hAnsi="Times New Roman" w:cs="Times New Roman"/>
          <w:sz w:val="24"/>
          <w:szCs w:val="24"/>
        </w:rPr>
        <w:t>harbors</w:t>
      </w:r>
      <w:proofErr w:type="spellEnd"/>
      <w:r w:rsidRPr="00B57653">
        <w:rPr>
          <w:rFonts w:ascii="Times New Roman" w:hAnsi="Times New Roman" w:cs="Times New Roman"/>
          <w:sz w:val="24"/>
          <w:szCs w:val="24"/>
        </w:rPr>
        <w:t xml:space="preserve"> gut-associated lymphoid tissue (GALT). Changes in mucosal thickness can reflect immunological responses to dietary and environmental stimuli (Abdelli et al., 2021).</w:t>
      </w:r>
    </w:p>
    <w:p w14:paraId="7063FB5D" w14:textId="77777777" w:rsidR="00122D97" w:rsidRPr="00B57653" w:rsidRDefault="00122D97" w:rsidP="009D0E2E">
      <w:pPr>
        <w:numPr>
          <w:ilvl w:val="0"/>
          <w:numId w:val="15"/>
        </w:num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In neonates, mucosal thickness is lower and increases with gut maturation.</w:t>
      </w:r>
    </w:p>
    <w:p w14:paraId="7063FB5E" w14:textId="77777777" w:rsidR="00122D97" w:rsidRPr="00B57653" w:rsidRDefault="00122D97" w:rsidP="009D0E2E">
      <w:pPr>
        <w:numPr>
          <w:ilvl w:val="0"/>
          <w:numId w:val="15"/>
        </w:num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In weaned piglets and chicks, abrupt dietary changes may cause villus atrophy and mucosal thinning (</w:t>
      </w:r>
      <w:proofErr w:type="spellStart"/>
      <w:r w:rsidRPr="00B57653">
        <w:rPr>
          <w:rFonts w:ascii="Times New Roman" w:hAnsi="Times New Roman" w:cs="Times New Roman"/>
          <w:sz w:val="24"/>
          <w:szCs w:val="24"/>
        </w:rPr>
        <w:t>Pluske</w:t>
      </w:r>
      <w:proofErr w:type="spellEnd"/>
      <w:r w:rsidRPr="00B57653">
        <w:rPr>
          <w:rFonts w:ascii="Times New Roman" w:hAnsi="Times New Roman" w:cs="Times New Roman"/>
          <w:sz w:val="24"/>
          <w:szCs w:val="24"/>
        </w:rPr>
        <w:t xml:space="preserve"> et al., 1997; Uni et al., 1999).</w:t>
      </w:r>
    </w:p>
    <w:p w14:paraId="7063FB5F" w14:textId="77777777" w:rsidR="00122D97" w:rsidRPr="00B57653" w:rsidRDefault="00122D97" w:rsidP="009D0E2E">
      <w:pPr>
        <w:numPr>
          <w:ilvl w:val="0"/>
          <w:numId w:val="16"/>
        </w:num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 xml:space="preserve">Probiotics, prebiotics, and </w:t>
      </w:r>
      <w:proofErr w:type="spellStart"/>
      <w:r w:rsidRPr="00B57653">
        <w:rPr>
          <w:rFonts w:ascii="Times New Roman" w:hAnsi="Times New Roman" w:cs="Times New Roman"/>
          <w:sz w:val="24"/>
          <w:szCs w:val="24"/>
        </w:rPr>
        <w:t>phytogenics</w:t>
      </w:r>
      <w:proofErr w:type="spellEnd"/>
      <w:r w:rsidRPr="00B57653">
        <w:rPr>
          <w:rFonts w:ascii="Times New Roman" w:hAnsi="Times New Roman" w:cs="Times New Roman"/>
          <w:sz w:val="24"/>
          <w:szCs w:val="24"/>
        </w:rPr>
        <w:t xml:space="preserve"> have been shown to increase mucosal thickness and villus height in poult</w:t>
      </w:r>
      <w:r w:rsidR="000C6062">
        <w:rPr>
          <w:rFonts w:ascii="Times New Roman" w:hAnsi="Times New Roman" w:cs="Times New Roman"/>
          <w:sz w:val="24"/>
          <w:szCs w:val="24"/>
        </w:rPr>
        <w:t>ry and swine (Awad et al., 2009</w:t>
      </w:r>
      <w:r w:rsidRPr="00B57653">
        <w:rPr>
          <w:rFonts w:ascii="Times New Roman" w:hAnsi="Times New Roman" w:cs="Times New Roman"/>
          <w:sz w:val="24"/>
          <w:szCs w:val="24"/>
        </w:rPr>
        <w:t>).</w:t>
      </w:r>
    </w:p>
    <w:p w14:paraId="7063FB60" w14:textId="77777777" w:rsidR="008A335C" w:rsidRPr="00B57653" w:rsidRDefault="00122D97" w:rsidP="009D0E2E">
      <w:pPr>
        <w:numPr>
          <w:ilvl w:val="0"/>
          <w:numId w:val="16"/>
        </w:num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Low-quality feed, anti-nutritional factors, or mycotoxins may reduce mucosal thickness, indicating impaired gut function (Abdelli et al., 2021).</w:t>
      </w:r>
    </w:p>
    <w:p w14:paraId="7063FB61" w14:textId="77777777" w:rsidR="00122D97" w:rsidRPr="00B57653" w:rsidRDefault="00122D97" w:rsidP="009D0E2E">
      <w:pPr>
        <w:numPr>
          <w:ilvl w:val="0"/>
          <w:numId w:val="16"/>
        </w:num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Weaning stress, transportation, infections (e.g., coccidiosis) can damage the mucosa, leading to thinning and crypt hyperplasia (</w:t>
      </w:r>
      <w:r w:rsidRPr="00327D15">
        <w:rPr>
          <w:rFonts w:ascii="Times New Roman" w:hAnsi="Times New Roman" w:cs="Times New Roman"/>
          <w:sz w:val="24"/>
          <w:szCs w:val="24"/>
        </w:rPr>
        <w:t>Gonzalez-Ortiz et</w:t>
      </w:r>
      <w:r w:rsidRPr="00B57653">
        <w:rPr>
          <w:rFonts w:ascii="Times New Roman" w:hAnsi="Times New Roman" w:cs="Times New Roman"/>
          <w:sz w:val="24"/>
          <w:szCs w:val="24"/>
        </w:rPr>
        <w:t xml:space="preserve"> al., 2016).</w:t>
      </w:r>
    </w:p>
    <w:p w14:paraId="7063FB62" w14:textId="77777777" w:rsidR="00122D97" w:rsidRPr="00B57653" w:rsidRDefault="00122D97" w:rsidP="009D0E2E">
      <w:pPr>
        <w:numPr>
          <w:ilvl w:val="0"/>
          <w:numId w:val="17"/>
        </w:num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 xml:space="preserve">Enteric pathogens such as </w:t>
      </w:r>
      <w:r w:rsidRPr="00B57653">
        <w:rPr>
          <w:rFonts w:ascii="Times New Roman" w:hAnsi="Times New Roman" w:cs="Times New Roman"/>
          <w:i/>
          <w:iCs/>
          <w:sz w:val="24"/>
          <w:szCs w:val="24"/>
        </w:rPr>
        <w:t>E. coli</w:t>
      </w:r>
      <w:r w:rsidRPr="00B57653">
        <w:rPr>
          <w:rFonts w:ascii="Times New Roman" w:hAnsi="Times New Roman" w:cs="Times New Roman"/>
          <w:sz w:val="24"/>
          <w:szCs w:val="24"/>
        </w:rPr>
        <w:t xml:space="preserve"> or </w:t>
      </w:r>
      <w:r w:rsidRPr="00B57653">
        <w:rPr>
          <w:rFonts w:ascii="Times New Roman" w:hAnsi="Times New Roman" w:cs="Times New Roman"/>
          <w:i/>
          <w:iCs/>
          <w:sz w:val="24"/>
          <w:szCs w:val="24"/>
        </w:rPr>
        <w:t>Salmonella</w:t>
      </w:r>
      <w:r w:rsidRPr="00B57653">
        <w:rPr>
          <w:rFonts w:ascii="Times New Roman" w:hAnsi="Times New Roman" w:cs="Times New Roman"/>
          <w:sz w:val="24"/>
          <w:szCs w:val="24"/>
        </w:rPr>
        <w:t xml:space="preserve"> disrupt mucosal integrity and alter thickness.</w:t>
      </w:r>
    </w:p>
    <w:p w14:paraId="7063FB63" w14:textId="77777777" w:rsidR="00122D97" w:rsidRPr="00B57653" w:rsidRDefault="00122D97" w:rsidP="009D0E2E">
      <w:pPr>
        <w:numPr>
          <w:ilvl w:val="0"/>
          <w:numId w:val="18"/>
        </w:num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lastRenderedPageBreak/>
        <w:t xml:space="preserve">While antibiotic growth promoters (AGPs) historically improved gut morphology, their restriction has led to alternative strategies like </w:t>
      </w:r>
      <w:proofErr w:type="spellStart"/>
      <w:r w:rsidRPr="00B57653">
        <w:rPr>
          <w:rFonts w:ascii="Times New Roman" w:hAnsi="Times New Roman" w:cs="Times New Roman"/>
          <w:sz w:val="24"/>
          <w:szCs w:val="24"/>
        </w:rPr>
        <w:t>synbiotics</w:t>
      </w:r>
      <w:proofErr w:type="spellEnd"/>
      <w:r w:rsidRPr="00B57653">
        <w:rPr>
          <w:rFonts w:ascii="Times New Roman" w:hAnsi="Times New Roman" w:cs="Times New Roman"/>
          <w:sz w:val="24"/>
          <w:szCs w:val="24"/>
        </w:rPr>
        <w:t xml:space="preserve"> and </w:t>
      </w:r>
      <w:proofErr w:type="spellStart"/>
      <w:r w:rsidRPr="00B57653">
        <w:rPr>
          <w:rFonts w:ascii="Times New Roman" w:hAnsi="Times New Roman" w:cs="Times New Roman"/>
          <w:sz w:val="24"/>
          <w:szCs w:val="24"/>
        </w:rPr>
        <w:t>phytogenics</w:t>
      </w:r>
      <w:proofErr w:type="spellEnd"/>
      <w:r w:rsidRPr="00B57653">
        <w:rPr>
          <w:rFonts w:ascii="Times New Roman" w:hAnsi="Times New Roman" w:cs="Times New Roman"/>
          <w:sz w:val="24"/>
          <w:szCs w:val="24"/>
        </w:rPr>
        <w:t xml:space="preserve"> (Gadde et al., 2017).</w:t>
      </w:r>
    </w:p>
    <w:p w14:paraId="7063FB64" w14:textId="77777777" w:rsidR="00122D97" w:rsidRPr="00B57653" w:rsidRDefault="00122D97" w:rsidP="009D0E2E">
      <w:pPr>
        <w:numPr>
          <w:ilvl w:val="0"/>
          <w:numId w:val="19"/>
        </w:num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Small intestine (especially jejunum and ileum): Thicker mucosa due to nutrient absorption demands.</w:t>
      </w:r>
    </w:p>
    <w:p w14:paraId="7063FB65" w14:textId="77777777" w:rsidR="00122D97" w:rsidRPr="00B57653" w:rsidRDefault="00122D97" w:rsidP="009D0E2E">
      <w:pPr>
        <w:numPr>
          <w:ilvl w:val="0"/>
          <w:numId w:val="19"/>
        </w:num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Large intestine: Moderate mucosal thickness adapted to water absorption and microbial fermentation.</w:t>
      </w:r>
    </w:p>
    <w:p w14:paraId="7063FB66" w14:textId="77777777" w:rsidR="00122D97" w:rsidRPr="00B57653" w:rsidRDefault="00122D97" w:rsidP="009D0E2E">
      <w:pPr>
        <w:numPr>
          <w:ilvl w:val="0"/>
          <w:numId w:val="19"/>
        </w:num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Ruminants: The abomasum shows mucosal thickness changes related to diet and microbial adaptation (Moran et al., 2002).</w:t>
      </w:r>
    </w:p>
    <w:p w14:paraId="7063FB67" w14:textId="77777777" w:rsidR="00122D97" w:rsidRPr="00B57653" w:rsidRDefault="00122D97" w:rsidP="009D0E2E">
      <w:p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 xml:space="preserve">Mucosal thickness is assessed </w:t>
      </w:r>
      <w:r w:rsidR="00ED0423" w:rsidRPr="00B57653">
        <w:rPr>
          <w:rFonts w:ascii="Times New Roman" w:hAnsi="Times New Roman" w:cs="Times New Roman"/>
          <w:sz w:val="24"/>
          <w:szCs w:val="24"/>
        </w:rPr>
        <w:t xml:space="preserve">by </w:t>
      </w:r>
      <w:r w:rsidRPr="00B57653">
        <w:rPr>
          <w:rFonts w:ascii="Times New Roman" w:hAnsi="Times New Roman" w:cs="Times New Roman"/>
          <w:sz w:val="24"/>
          <w:szCs w:val="24"/>
        </w:rPr>
        <w:t>using:</w:t>
      </w:r>
    </w:p>
    <w:p w14:paraId="7063FB68" w14:textId="77777777" w:rsidR="00122D97" w:rsidRPr="00B57653" w:rsidRDefault="00122D97" w:rsidP="009D0E2E">
      <w:pPr>
        <w:numPr>
          <w:ilvl w:val="0"/>
          <w:numId w:val="20"/>
        </w:num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Histological techniques (H&amp;E, PAS staining),</w:t>
      </w:r>
    </w:p>
    <w:p w14:paraId="7063FB69" w14:textId="77777777" w:rsidR="00122D97" w:rsidRPr="00B57653" w:rsidRDefault="00122D97" w:rsidP="009D0E2E">
      <w:pPr>
        <w:numPr>
          <w:ilvl w:val="0"/>
          <w:numId w:val="20"/>
        </w:num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Light microscopy with image analysis software,</w:t>
      </w:r>
    </w:p>
    <w:p w14:paraId="7063FB6A" w14:textId="77777777" w:rsidR="00122D97" w:rsidRPr="00B57653" w:rsidRDefault="00122D97" w:rsidP="009D0E2E">
      <w:pPr>
        <w:numPr>
          <w:ilvl w:val="0"/>
          <w:numId w:val="20"/>
        </w:num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 xml:space="preserve">Quantification in </w:t>
      </w:r>
      <w:proofErr w:type="spellStart"/>
      <w:r w:rsidRPr="00B57653">
        <w:rPr>
          <w:rFonts w:ascii="Times New Roman" w:hAnsi="Times New Roman" w:cs="Times New Roman"/>
          <w:sz w:val="24"/>
          <w:szCs w:val="24"/>
        </w:rPr>
        <w:t>micrometers</w:t>
      </w:r>
      <w:proofErr w:type="spellEnd"/>
      <w:r w:rsidRPr="00B57653">
        <w:rPr>
          <w:rFonts w:ascii="Times New Roman" w:hAnsi="Times New Roman" w:cs="Times New Roman"/>
          <w:sz w:val="24"/>
          <w:szCs w:val="24"/>
        </w:rPr>
        <w:t xml:space="preserve"> from histological slides, often alongside other parameters such as villus height, crypt depth, and villus-to-crypt ratio.</w:t>
      </w:r>
    </w:p>
    <w:p w14:paraId="7063FB6B" w14:textId="77777777" w:rsidR="0020254E" w:rsidRPr="00B57653" w:rsidRDefault="00CE36AB" w:rsidP="009D0E2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w:t>
      </w:r>
      <w:r w:rsidR="001D7387" w:rsidRPr="00B57653">
        <w:rPr>
          <w:rFonts w:ascii="Times New Roman" w:hAnsi="Times New Roman" w:cs="Times New Roman"/>
          <w:b/>
          <w:bCs/>
          <w:sz w:val="24"/>
          <w:szCs w:val="24"/>
        </w:rPr>
        <w:t>.4 Rumen Papillae Density &amp; Morphology</w:t>
      </w:r>
    </w:p>
    <w:p w14:paraId="7063FB6C" w14:textId="77777777" w:rsidR="00762872" w:rsidRPr="00B57653" w:rsidRDefault="00762872" w:rsidP="009D0E2E">
      <w:p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 xml:space="preserve">The rumen is the largest chamber of the ruminant stomach and plays a pivotal role in fermentation, nutrient absorption, and host-microbe interactions. The inner surface of the rumen is lined by numerous papillae, finger-like projections of the mucosa that significantly increase the surface area for absorption of volatile fatty acids (VFAs) and other metabolites. The density, size, shape, and distribution of rumen papillae are reliable morphological indicators of gut health and functionality in </w:t>
      </w:r>
      <w:proofErr w:type="spellStart"/>
      <w:proofErr w:type="gramStart"/>
      <w:r w:rsidRPr="00B57653">
        <w:rPr>
          <w:rFonts w:ascii="Times New Roman" w:hAnsi="Times New Roman" w:cs="Times New Roman"/>
          <w:sz w:val="24"/>
          <w:szCs w:val="24"/>
        </w:rPr>
        <w:t>ruminants.Papillae</w:t>
      </w:r>
      <w:proofErr w:type="spellEnd"/>
      <w:proofErr w:type="gramEnd"/>
      <w:r w:rsidRPr="00B57653">
        <w:rPr>
          <w:rFonts w:ascii="Times New Roman" w:hAnsi="Times New Roman" w:cs="Times New Roman"/>
          <w:sz w:val="24"/>
          <w:szCs w:val="24"/>
        </w:rPr>
        <w:t xml:space="preserve"> are covered by stratified squamous epithelium and lack villi or crypts unlike the small intestine. Their structure adapts dynamically in response to diet, age, and microbial activity.</w:t>
      </w:r>
    </w:p>
    <w:p w14:paraId="7063FB6D" w14:textId="77777777" w:rsidR="00762872" w:rsidRPr="00B57653" w:rsidRDefault="00762872" w:rsidP="009D0E2E">
      <w:pPr>
        <w:spacing w:line="360" w:lineRule="auto"/>
        <w:jc w:val="both"/>
        <w:rPr>
          <w:rFonts w:ascii="Times New Roman" w:hAnsi="Times New Roman" w:cs="Times New Roman"/>
          <w:b/>
          <w:bCs/>
          <w:sz w:val="24"/>
          <w:szCs w:val="24"/>
        </w:rPr>
      </w:pPr>
      <w:r w:rsidRPr="00B57653">
        <w:rPr>
          <w:rFonts w:ascii="Times New Roman" w:hAnsi="Times New Roman" w:cs="Times New Roman"/>
          <w:b/>
          <w:bCs/>
          <w:sz w:val="24"/>
          <w:szCs w:val="24"/>
        </w:rPr>
        <w:t>Key morphological markers of rumen health include:</w:t>
      </w:r>
    </w:p>
    <w:p w14:paraId="7063FB6E" w14:textId="77777777" w:rsidR="00762872" w:rsidRPr="00B57653" w:rsidRDefault="00762872" w:rsidP="009D0E2E">
      <w:p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a. Papillae Density (number of papillae per cm²)</w:t>
      </w:r>
    </w:p>
    <w:p w14:paraId="7063FB6F" w14:textId="77777777" w:rsidR="00762872" w:rsidRPr="00B57653" w:rsidRDefault="00762872" w:rsidP="009D0E2E">
      <w:pPr>
        <w:numPr>
          <w:ilvl w:val="0"/>
          <w:numId w:val="22"/>
        </w:num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High density indicates enhanced absorptive surface, often correlated with high-concentrate diets and increased VFA production.</w:t>
      </w:r>
    </w:p>
    <w:p w14:paraId="7063FB70" w14:textId="23420B26" w:rsidR="00762872" w:rsidRPr="00B57653" w:rsidRDefault="00762872" w:rsidP="009D0E2E">
      <w:pPr>
        <w:numPr>
          <w:ilvl w:val="0"/>
          <w:numId w:val="22"/>
        </w:num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 xml:space="preserve">Low density may reflect poor development due to undernutrition or delayed weaning </w:t>
      </w:r>
    </w:p>
    <w:p w14:paraId="7063FB71" w14:textId="77777777" w:rsidR="00762872" w:rsidRPr="00B57653" w:rsidRDefault="00762872" w:rsidP="009D0E2E">
      <w:p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lastRenderedPageBreak/>
        <w:t>b. Papillae Length and Width</w:t>
      </w:r>
    </w:p>
    <w:p w14:paraId="7063FB72" w14:textId="77777777" w:rsidR="00762872" w:rsidRPr="00B57653" w:rsidRDefault="00762872" w:rsidP="009D0E2E">
      <w:pPr>
        <w:numPr>
          <w:ilvl w:val="0"/>
          <w:numId w:val="23"/>
        </w:num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Increased length and width of papillae suggest optimal fermentation and epithelial adaptation.</w:t>
      </w:r>
    </w:p>
    <w:p w14:paraId="7063FB73" w14:textId="45F4DE56" w:rsidR="00762872" w:rsidRPr="00327D15" w:rsidRDefault="00762872" w:rsidP="009D0E2E">
      <w:pPr>
        <w:numPr>
          <w:ilvl w:val="0"/>
          <w:numId w:val="23"/>
        </w:numPr>
        <w:spacing w:line="360" w:lineRule="auto"/>
        <w:jc w:val="both"/>
        <w:rPr>
          <w:rFonts w:ascii="Times New Roman" w:hAnsi="Times New Roman" w:cs="Times New Roman"/>
          <w:color w:val="C00000"/>
          <w:sz w:val="24"/>
          <w:szCs w:val="24"/>
        </w:rPr>
      </w:pPr>
      <w:r w:rsidRPr="00B57653">
        <w:rPr>
          <w:rFonts w:ascii="Times New Roman" w:hAnsi="Times New Roman" w:cs="Times New Roman"/>
          <w:sz w:val="24"/>
          <w:szCs w:val="24"/>
        </w:rPr>
        <w:t xml:space="preserve">Shortened or atrophied papillae occur in low-fermentable </w:t>
      </w:r>
      <w:proofErr w:type="spellStart"/>
      <w:r w:rsidRPr="00B57653">
        <w:rPr>
          <w:rFonts w:ascii="Times New Roman" w:hAnsi="Times New Roman" w:cs="Times New Roman"/>
          <w:sz w:val="24"/>
          <w:szCs w:val="24"/>
        </w:rPr>
        <w:t>fiber</w:t>
      </w:r>
      <w:proofErr w:type="spellEnd"/>
      <w:r w:rsidRPr="00B57653">
        <w:rPr>
          <w:rFonts w:ascii="Times New Roman" w:hAnsi="Times New Roman" w:cs="Times New Roman"/>
          <w:sz w:val="24"/>
          <w:szCs w:val="24"/>
        </w:rPr>
        <w:t xml:space="preserve"> diets, or under ruminal acidosis</w:t>
      </w:r>
      <w:r w:rsidR="00423E93">
        <w:rPr>
          <w:rFonts w:ascii="Times New Roman" w:hAnsi="Times New Roman" w:cs="Times New Roman"/>
          <w:sz w:val="24"/>
          <w:szCs w:val="24"/>
        </w:rPr>
        <w:t>.</w:t>
      </w:r>
    </w:p>
    <w:p w14:paraId="7063FB74" w14:textId="77777777" w:rsidR="00762872" w:rsidRPr="00B57653" w:rsidRDefault="00762872" w:rsidP="009D0E2E">
      <w:p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c. Interpapillary Distance</w:t>
      </w:r>
    </w:p>
    <w:p w14:paraId="7063FB75" w14:textId="77777777" w:rsidR="00762872" w:rsidRPr="00B57653" w:rsidRDefault="00762872" w:rsidP="009D0E2E">
      <w:pPr>
        <w:numPr>
          <w:ilvl w:val="0"/>
          <w:numId w:val="24"/>
        </w:num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Reduced spacing between papillae contributes to more efficient VFA absorption.</w:t>
      </w:r>
    </w:p>
    <w:p w14:paraId="7063FB76" w14:textId="77777777" w:rsidR="00762872" w:rsidRPr="00B57653" w:rsidRDefault="00762872" w:rsidP="009D0E2E">
      <w:pPr>
        <w:numPr>
          <w:ilvl w:val="0"/>
          <w:numId w:val="24"/>
        </w:num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Greater spacing may indicate hypoplastic or undeveloped rumen mucosa.</w:t>
      </w:r>
    </w:p>
    <w:p w14:paraId="7063FB77" w14:textId="77777777" w:rsidR="00762872" w:rsidRPr="00B57653" w:rsidRDefault="00762872" w:rsidP="009D0E2E">
      <w:p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4. Factors Influencing Papillae Development</w:t>
      </w:r>
    </w:p>
    <w:p w14:paraId="7063FB78" w14:textId="77777777" w:rsidR="00762872" w:rsidRPr="00B57653" w:rsidRDefault="00762872" w:rsidP="009D0E2E">
      <w:p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a. Diet Composition</w:t>
      </w:r>
    </w:p>
    <w:p w14:paraId="7063FB79" w14:textId="7518D87F" w:rsidR="00762872" w:rsidRPr="00327D15" w:rsidRDefault="00762872" w:rsidP="009D0E2E">
      <w:pPr>
        <w:numPr>
          <w:ilvl w:val="0"/>
          <w:numId w:val="25"/>
        </w:numPr>
        <w:spacing w:line="360" w:lineRule="auto"/>
        <w:jc w:val="both"/>
        <w:rPr>
          <w:rFonts w:ascii="Times New Roman" w:hAnsi="Times New Roman" w:cs="Times New Roman"/>
          <w:color w:val="C00000"/>
          <w:sz w:val="24"/>
          <w:szCs w:val="24"/>
        </w:rPr>
      </w:pPr>
      <w:r w:rsidRPr="00B57653">
        <w:rPr>
          <w:rFonts w:ascii="Times New Roman" w:hAnsi="Times New Roman" w:cs="Times New Roman"/>
          <w:sz w:val="24"/>
          <w:szCs w:val="24"/>
        </w:rPr>
        <w:t>High-energy, concentrate-rich diets stimulate papillary growth due to greater butyrate production</w:t>
      </w:r>
      <w:r w:rsidR="001E00E7">
        <w:rPr>
          <w:rFonts w:ascii="Times New Roman" w:hAnsi="Times New Roman" w:cs="Times New Roman"/>
          <w:sz w:val="24"/>
          <w:szCs w:val="24"/>
        </w:rPr>
        <w:t>.</w:t>
      </w:r>
    </w:p>
    <w:p w14:paraId="7063FB7A" w14:textId="77777777" w:rsidR="00762872" w:rsidRPr="00B57653" w:rsidRDefault="00762872" w:rsidP="009D0E2E">
      <w:pPr>
        <w:numPr>
          <w:ilvl w:val="0"/>
          <w:numId w:val="25"/>
        </w:num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Forage-based or poor-quality diets often result in thinner mucosa and reduced papillae development.</w:t>
      </w:r>
    </w:p>
    <w:p w14:paraId="7063FB7B" w14:textId="77777777" w:rsidR="00762872" w:rsidRPr="00B57653" w:rsidRDefault="00762872" w:rsidP="009D0E2E">
      <w:p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b. Age and Weaning</w:t>
      </w:r>
    </w:p>
    <w:p w14:paraId="7063FB7C" w14:textId="77777777" w:rsidR="00762872" w:rsidRPr="00B57653" w:rsidRDefault="00762872" w:rsidP="009D0E2E">
      <w:pPr>
        <w:numPr>
          <w:ilvl w:val="0"/>
          <w:numId w:val="26"/>
        </w:num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Neonatal ruminants exhibit poorly developed papillae.</w:t>
      </w:r>
    </w:p>
    <w:p w14:paraId="7063FB7D" w14:textId="7F9F1F9F" w:rsidR="00762872" w:rsidRPr="00B57653" w:rsidRDefault="00762872" w:rsidP="009D0E2E">
      <w:pPr>
        <w:numPr>
          <w:ilvl w:val="0"/>
          <w:numId w:val="26"/>
        </w:num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Rumen papillary growth begins with solid feed introduction and is accelerated by early weaning and grain feeding</w:t>
      </w:r>
      <w:r w:rsidR="00433D6B">
        <w:rPr>
          <w:rFonts w:ascii="Times New Roman" w:hAnsi="Times New Roman" w:cs="Times New Roman"/>
          <w:sz w:val="24"/>
          <w:szCs w:val="24"/>
        </w:rPr>
        <w:t>.</w:t>
      </w:r>
    </w:p>
    <w:p w14:paraId="7063FB7E" w14:textId="77777777" w:rsidR="00762872" w:rsidRPr="00B57653" w:rsidRDefault="00762872" w:rsidP="009D0E2E">
      <w:p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c. Rumen pH and Fermentation</w:t>
      </w:r>
    </w:p>
    <w:p w14:paraId="7063FB7F" w14:textId="1C311BC9" w:rsidR="00762872" w:rsidRPr="00327D15" w:rsidRDefault="00762872" w:rsidP="009D0E2E">
      <w:pPr>
        <w:numPr>
          <w:ilvl w:val="0"/>
          <w:numId w:val="27"/>
        </w:numPr>
        <w:spacing w:line="360" w:lineRule="auto"/>
        <w:jc w:val="both"/>
        <w:rPr>
          <w:rFonts w:ascii="Times New Roman" w:hAnsi="Times New Roman" w:cs="Times New Roman"/>
          <w:color w:val="C00000"/>
          <w:sz w:val="24"/>
          <w:szCs w:val="24"/>
        </w:rPr>
      </w:pPr>
      <w:r w:rsidRPr="00B57653">
        <w:rPr>
          <w:rFonts w:ascii="Times New Roman" w:hAnsi="Times New Roman" w:cs="Times New Roman"/>
          <w:sz w:val="24"/>
          <w:szCs w:val="24"/>
        </w:rPr>
        <w:t>Chronic ruminal acidosis leads to epithelial damage, inflammation, and papillae blunting or fusion</w:t>
      </w:r>
      <w:r w:rsidR="00433D6B">
        <w:rPr>
          <w:rFonts w:ascii="Times New Roman" w:hAnsi="Times New Roman" w:cs="Times New Roman"/>
          <w:sz w:val="24"/>
          <w:szCs w:val="24"/>
        </w:rPr>
        <w:t>.</w:t>
      </w:r>
    </w:p>
    <w:p w14:paraId="7063FB80" w14:textId="77777777" w:rsidR="00762872" w:rsidRPr="00B57653" w:rsidRDefault="00762872" w:rsidP="009D0E2E">
      <w:p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d. Microbial Metabolites</w:t>
      </w:r>
    </w:p>
    <w:p w14:paraId="7063FB81" w14:textId="77777777" w:rsidR="00762872" w:rsidRPr="00B57653" w:rsidRDefault="00762872" w:rsidP="009D0E2E">
      <w:pPr>
        <w:numPr>
          <w:ilvl w:val="0"/>
          <w:numId w:val="28"/>
        </w:num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Butyrate, among VFAs, is most trophic to rumen epithelial development.</w:t>
      </w:r>
    </w:p>
    <w:p w14:paraId="7063FB82" w14:textId="77777777" w:rsidR="00762872" w:rsidRDefault="00762872" w:rsidP="009D0E2E">
      <w:pPr>
        <w:numPr>
          <w:ilvl w:val="0"/>
          <w:numId w:val="28"/>
        </w:num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Microbial balance and probiotic use can modulate papillae structure (Malhi et al., 2013).</w:t>
      </w:r>
    </w:p>
    <w:p w14:paraId="0A60F476" w14:textId="77777777" w:rsidR="00DA433E" w:rsidRDefault="00DA433E" w:rsidP="00DA433E">
      <w:pPr>
        <w:spacing w:line="360" w:lineRule="auto"/>
        <w:jc w:val="both"/>
        <w:rPr>
          <w:rFonts w:ascii="Times New Roman" w:hAnsi="Times New Roman" w:cs="Times New Roman"/>
          <w:sz w:val="24"/>
          <w:szCs w:val="24"/>
        </w:rPr>
      </w:pPr>
    </w:p>
    <w:p w14:paraId="3D6935D9" w14:textId="765E4ABD" w:rsidR="00DA433E" w:rsidRPr="00B57653" w:rsidRDefault="00DA433E" w:rsidP="00C11967">
      <w:pPr>
        <w:spacing w:line="360" w:lineRule="auto"/>
        <w:jc w:val="center"/>
        <w:rPr>
          <w:rFonts w:ascii="Times New Roman" w:hAnsi="Times New Roman" w:cs="Times New Roman"/>
          <w:sz w:val="24"/>
          <w:szCs w:val="24"/>
        </w:rPr>
      </w:pPr>
    </w:p>
    <w:p w14:paraId="7063FB83" w14:textId="77777777" w:rsidR="006D0766" w:rsidRPr="00390942" w:rsidRDefault="001D7387" w:rsidP="009D0E2E">
      <w:pPr>
        <w:pStyle w:val="ListParagraph"/>
        <w:numPr>
          <w:ilvl w:val="1"/>
          <w:numId w:val="44"/>
        </w:numPr>
        <w:spacing w:line="360" w:lineRule="auto"/>
        <w:jc w:val="both"/>
        <w:rPr>
          <w:rFonts w:ascii="Times New Roman" w:hAnsi="Times New Roman" w:cs="Times New Roman"/>
          <w:b/>
          <w:bCs/>
          <w:sz w:val="24"/>
          <w:szCs w:val="24"/>
        </w:rPr>
      </w:pPr>
      <w:r w:rsidRPr="00390942">
        <w:rPr>
          <w:rFonts w:ascii="Times New Roman" w:hAnsi="Times New Roman" w:cs="Times New Roman"/>
          <w:b/>
          <w:bCs/>
          <w:sz w:val="24"/>
          <w:szCs w:val="24"/>
        </w:rPr>
        <w:t xml:space="preserve">GALT </w:t>
      </w:r>
      <w:r w:rsidR="00FA2309">
        <w:rPr>
          <w:rFonts w:ascii="Times New Roman" w:hAnsi="Times New Roman" w:cs="Times New Roman"/>
          <w:b/>
          <w:bCs/>
          <w:sz w:val="24"/>
          <w:szCs w:val="24"/>
        </w:rPr>
        <w:t>(GUT Associated Lymphoid Tissue)</w:t>
      </w:r>
      <w:r w:rsidR="007615A9">
        <w:rPr>
          <w:rFonts w:ascii="Times New Roman" w:hAnsi="Times New Roman" w:cs="Times New Roman"/>
          <w:b/>
          <w:bCs/>
          <w:sz w:val="24"/>
          <w:szCs w:val="24"/>
        </w:rPr>
        <w:t>:</w:t>
      </w:r>
    </w:p>
    <w:p w14:paraId="7063FB84" w14:textId="77777777" w:rsidR="00D4674A" w:rsidRPr="00B57653" w:rsidRDefault="00D4674A" w:rsidP="009D0E2E">
      <w:p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Gut health is a dynamic and multifactorial concept involving optimal digestion, efficient nutrient absorption, mucosal barrier integrity, and immune competence. A key immunological component of gut health is the Gut-Associated Lymphoid Tissue (GALT)—a vital part of the mucosa-associated lymphoid tissue (MALT) system. The development, structure, and function of GALT serve as critical markers of gut immunity and overall gut health, particularly in domestic animals facing high environmental and microbial loads.</w:t>
      </w:r>
    </w:p>
    <w:p w14:paraId="7063FB85" w14:textId="77777777" w:rsidR="00D4674A" w:rsidRPr="00B57653" w:rsidRDefault="00D4674A" w:rsidP="009D0E2E">
      <w:p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GALT consists of organized lymphoid structures and diffuse immune cells distributed along the gastrointestinal tract, including:</w:t>
      </w:r>
    </w:p>
    <w:p w14:paraId="7063FB86" w14:textId="77777777" w:rsidR="00D4674A" w:rsidRPr="00B57653" w:rsidRDefault="00D4674A" w:rsidP="009D0E2E">
      <w:pPr>
        <w:numPr>
          <w:ilvl w:val="0"/>
          <w:numId w:val="30"/>
        </w:num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 xml:space="preserve">Peyer’s patches (PP) in the small </w:t>
      </w:r>
      <w:proofErr w:type="spellStart"/>
      <w:proofErr w:type="gramStart"/>
      <w:r w:rsidRPr="00B57653">
        <w:rPr>
          <w:rFonts w:ascii="Times New Roman" w:hAnsi="Times New Roman" w:cs="Times New Roman"/>
          <w:sz w:val="24"/>
          <w:szCs w:val="24"/>
        </w:rPr>
        <w:t>intestine</w:t>
      </w:r>
      <w:r w:rsidR="00F005EC" w:rsidRPr="00B57653">
        <w:rPr>
          <w:rFonts w:ascii="Times New Roman" w:hAnsi="Times New Roman" w:cs="Times New Roman"/>
          <w:sz w:val="24"/>
          <w:szCs w:val="24"/>
        </w:rPr>
        <w:t>,</w:t>
      </w:r>
      <w:r w:rsidRPr="00B57653">
        <w:rPr>
          <w:rFonts w:ascii="Times New Roman" w:hAnsi="Times New Roman" w:cs="Times New Roman"/>
          <w:sz w:val="24"/>
          <w:szCs w:val="24"/>
        </w:rPr>
        <w:t>Ileal</w:t>
      </w:r>
      <w:proofErr w:type="spellEnd"/>
      <w:proofErr w:type="gramEnd"/>
      <w:r w:rsidRPr="00B57653">
        <w:rPr>
          <w:rFonts w:ascii="Times New Roman" w:hAnsi="Times New Roman" w:cs="Times New Roman"/>
          <w:sz w:val="24"/>
          <w:szCs w:val="24"/>
        </w:rPr>
        <w:t xml:space="preserve"> and </w:t>
      </w:r>
      <w:proofErr w:type="spellStart"/>
      <w:r w:rsidRPr="00B57653">
        <w:rPr>
          <w:rFonts w:ascii="Times New Roman" w:hAnsi="Times New Roman" w:cs="Times New Roman"/>
          <w:sz w:val="24"/>
          <w:szCs w:val="24"/>
        </w:rPr>
        <w:t>cecal</w:t>
      </w:r>
      <w:proofErr w:type="spellEnd"/>
      <w:r w:rsidRPr="00B57653">
        <w:rPr>
          <w:rFonts w:ascii="Times New Roman" w:hAnsi="Times New Roman" w:cs="Times New Roman"/>
          <w:sz w:val="24"/>
          <w:szCs w:val="24"/>
        </w:rPr>
        <w:t xml:space="preserve"> tonsils in birds</w:t>
      </w:r>
      <w:r w:rsidR="00F005EC" w:rsidRPr="00B57653">
        <w:rPr>
          <w:rFonts w:ascii="Times New Roman" w:hAnsi="Times New Roman" w:cs="Times New Roman"/>
          <w:sz w:val="24"/>
          <w:szCs w:val="24"/>
        </w:rPr>
        <w:t xml:space="preserve">, </w:t>
      </w:r>
      <w:r w:rsidRPr="00B57653">
        <w:rPr>
          <w:rFonts w:ascii="Times New Roman" w:hAnsi="Times New Roman" w:cs="Times New Roman"/>
          <w:sz w:val="24"/>
          <w:szCs w:val="24"/>
        </w:rPr>
        <w:t>Isolated lymphoid follicles</w:t>
      </w:r>
      <w:r w:rsidR="00F005EC" w:rsidRPr="00B57653">
        <w:rPr>
          <w:rFonts w:ascii="Times New Roman" w:hAnsi="Times New Roman" w:cs="Times New Roman"/>
          <w:sz w:val="24"/>
          <w:szCs w:val="24"/>
        </w:rPr>
        <w:t xml:space="preserve">, </w:t>
      </w:r>
      <w:r w:rsidRPr="00B57653">
        <w:rPr>
          <w:rFonts w:ascii="Times New Roman" w:hAnsi="Times New Roman" w:cs="Times New Roman"/>
          <w:sz w:val="24"/>
          <w:szCs w:val="24"/>
        </w:rPr>
        <w:t>Lamina propria lymphocytes and intraepithelial lymphocytes</w:t>
      </w:r>
      <w:r w:rsidR="00F005EC" w:rsidRPr="00B57653">
        <w:rPr>
          <w:rFonts w:ascii="Times New Roman" w:hAnsi="Times New Roman" w:cs="Times New Roman"/>
          <w:sz w:val="24"/>
          <w:szCs w:val="24"/>
        </w:rPr>
        <w:t xml:space="preserve">, </w:t>
      </w:r>
      <w:r w:rsidRPr="00B57653">
        <w:rPr>
          <w:rFonts w:ascii="Times New Roman" w:hAnsi="Times New Roman" w:cs="Times New Roman"/>
          <w:sz w:val="24"/>
          <w:szCs w:val="24"/>
        </w:rPr>
        <w:t>Mesenteric lymph nodes (MLNs)</w:t>
      </w:r>
    </w:p>
    <w:p w14:paraId="7063FB87" w14:textId="77777777" w:rsidR="00D4674A" w:rsidRPr="00B57653" w:rsidRDefault="00D4674A" w:rsidP="009D0E2E">
      <w:pPr>
        <w:numPr>
          <w:ilvl w:val="0"/>
          <w:numId w:val="31"/>
        </w:num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Sampling and processing antigens from the gut lumen</w:t>
      </w:r>
    </w:p>
    <w:p w14:paraId="7063FB88" w14:textId="77777777" w:rsidR="00D4674A" w:rsidRPr="00B57653" w:rsidRDefault="00D4674A" w:rsidP="009D0E2E">
      <w:pPr>
        <w:numPr>
          <w:ilvl w:val="0"/>
          <w:numId w:val="31"/>
        </w:num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Initiating mucosal immune responses</w:t>
      </w:r>
    </w:p>
    <w:p w14:paraId="7063FB89" w14:textId="77777777" w:rsidR="00D4674A" w:rsidRPr="00B57653" w:rsidRDefault="00D4674A" w:rsidP="009D0E2E">
      <w:pPr>
        <w:numPr>
          <w:ilvl w:val="0"/>
          <w:numId w:val="31"/>
        </w:num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Maintaining tolerance to dietary and commensal antigens</w:t>
      </w:r>
    </w:p>
    <w:p w14:paraId="7063FB8A" w14:textId="77777777" w:rsidR="00D4674A" w:rsidRPr="00B57653" w:rsidRDefault="00D4674A" w:rsidP="009D0E2E">
      <w:pPr>
        <w:spacing w:line="360" w:lineRule="auto"/>
        <w:jc w:val="both"/>
        <w:rPr>
          <w:rFonts w:ascii="Times New Roman" w:hAnsi="Times New Roman" w:cs="Times New Roman"/>
          <w:b/>
          <w:bCs/>
          <w:sz w:val="24"/>
          <w:szCs w:val="24"/>
        </w:rPr>
      </w:pPr>
      <w:r w:rsidRPr="00B57653">
        <w:rPr>
          <w:rFonts w:ascii="Times New Roman" w:hAnsi="Times New Roman" w:cs="Times New Roman"/>
          <w:b/>
          <w:bCs/>
          <w:sz w:val="24"/>
          <w:szCs w:val="24"/>
        </w:rPr>
        <w:t xml:space="preserve"> GALT Development in Domestic Animals</w:t>
      </w:r>
    </w:p>
    <w:p w14:paraId="7063FB8B" w14:textId="77777777" w:rsidR="00D4674A" w:rsidRPr="00B57653" w:rsidRDefault="00D4674A" w:rsidP="009D0E2E">
      <w:pPr>
        <w:spacing w:line="360" w:lineRule="auto"/>
        <w:jc w:val="both"/>
        <w:rPr>
          <w:rFonts w:ascii="Times New Roman" w:hAnsi="Times New Roman" w:cs="Times New Roman"/>
          <w:b/>
          <w:bCs/>
          <w:sz w:val="24"/>
          <w:szCs w:val="24"/>
        </w:rPr>
      </w:pPr>
      <w:r w:rsidRPr="00B57653">
        <w:rPr>
          <w:rFonts w:ascii="Times New Roman" w:hAnsi="Times New Roman" w:cs="Times New Roman"/>
          <w:b/>
          <w:bCs/>
          <w:sz w:val="24"/>
          <w:szCs w:val="24"/>
        </w:rPr>
        <w:t>a. Ontogeny</w:t>
      </w:r>
    </w:p>
    <w:p w14:paraId="7063FB8C" w14:textId="77777777" w:rsidR="00D4674A" w:rsidRPr="00377C4A" w:rsidRDefault="00D4674A" w:rsidP="009D0E2E">
      <w:pPr>
        <w:numPr>
          <w:ilvl w:val="0"/>
          <w:numId w:val="32"/>
        </w:num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 xml:space="preserve">GALT structures begin developing </w:t>
      </w:r>
      <w:r w:rsidRPr="00377C4A">
        <w:rPr>
          <w:rFonts w:ascii="Times New Roman" w:hAnsi="Times New Roman" w:cs="Times New Roman"/>
          <w:sz w:val="24"/>
          <w:szCs w:val="24"/>
        </w:rPr>
        <w:t>in utero or during early postnatal life, depending on the species.</w:t>
      </w:r>
    </w:p>
    <w:p w14:paraId="7063FB8D" w14:textId="77777777" w:rsidR="00D4674A" w:rsidRPr="00B57653" w:rsidRDefault="00D4674A" w:rsidP="009D0E2E">
      <w:pPr>
        <w:numPr>
          <w:ilvl w:val="1"/>
          <w:numId w:val="32"/>
        </w:numPr>
        <w:spacing w:line="360" w:lineRule="auto"/>
        <w:jc w:val="both"/>
        <w:rPr>
          <w:rFonts w:ascii="Times New Roman" w:hAnsi="Times New Roman" w:cs="Times New Roman"/>
          <w:sz w:val="24"/>
          <w:szCs w:val="24"/>
        </w:rPr>
      </w:pPr>
      <w:r w:rsidRPr="00B57653">
        <w:rPr>
          <w:rFonts w:ascii="Times New Roman" w:hAnsi="Times New Roman" w:cs="Times New Roman"/>
          <w:b/>
          <w:bCs/>
          <w:sz w:val="24"/>
          <w:szCs w:val="24"/>
        </w:rPr>
        <w:t>Ruminants</w:t>
      </w:r>
      <w:r w:rsidRPr="00B57653">
        <w:rPr>
          <w:rFonts w:ascii="Times New Roman" w:hAnsi="Times New Roman" w:cs="Times New Roman"/>
          <w:sz w:val="24"/>
          <w:szCs w:val="24"/>
        </w:rPr>
        <w:t>: Peyer’s patches are visible by mid-gestation; ileal PP acts as a primary lymphoid organ.</w:t>
      </w:r>
    </w:p>
    <w:p w14:paraId="7063FB8E" w14:textId="77777777" w:rsidR="00D4674A" w:rsidRPr="00B57653" w:rsidRDefault="00D4674A" w:rsidP="009D0E2E">
      <w:pPr>
        <w:numPr>
          <w:ilvl w:val="1"/>
          <w:numId w:val="32"/>
        </w:numPr>
        <w:spacing w:line="360" w:lineRule="auto"/>
        <w:jc w:val="both"/>
        <w:rPr>
          <w:rFonts w:ascii="Times New Roman" w:hAnsi="Times New Roman" w:cs="Times New Roman"/>
          <w:sz w:val="24"/>
          <w:szCs w:val="24"/>
        </w:rPr>
      </w:pPr>
      <w:r w:rsidRPr="00B57653">
        <w:rPr>
          <w:rFonts w:ascii="Times New Roman" w:hAnsi="Times New Roman" w:cs="Times New Roman"/>
          <w:b/>
          <w:bCs/>
          <w:sz w:val="24"/>
          <w:szCs w:val="24"/>
        </w:rPr>
        <w:t>Poultry</w:t>
      </w:r>
      <w:r w:rsidRPr="00B57653">
        <w:rPr>
          <w:rFonts w:ascii="Times New Roman" w:hAnsi="Times New Roman" w:cs="Times New Roman"/>
          <w:sz w:val="24"/>
          <w:szCs w:val="24"/>
        </w:rPr>
        <w:t xml:space="preserve">: </w:t>
      </w:r>
      <w:proofErr w:type="spellStart"/>
      <w:r w:rsidRPr="00B57653">
        <w:rPr>
          <w:rFonts w:ascii="Times New Roman" w:hAnsi="Times New Roman" w:cs="Times New Roman"/>
          <w:sz w:val="24"/>
          <w:szCs w:val="24"/>
        </w:rPr>
        <w:t>Cecal</w:t>
      </w:r>
      <w:proofErr w:type="spellEnd"/>
      <w:r w:rsidRPr="00B57653">
        <w:rPr>
          <w:rFonts w:ascii="Times New Roman" w:hAnsi="Times New Roman" w:cs="Times New Roman"/>
          <w:sz w:val="24"/>
          <w:szCs w:val="24"/>
        </w:rPr>
        <w:t xml:space="preserve"> tonsils and Peyer’s patches begin forming by day 15–18 of incubation (Bar-Shira et al., 2003).</w:t>
      </w:r>
    </w:p>
    <w:p w14:paraId="7063FB8F" w14:textId="77777777" w:rsidR="00D4674A" w:rsidRPr="00B57653" w:rsidRDefault="00D4674A" w:rsidP="009D0E2E">
      <w:pPr>
        <w:spacing w:line="360" w:lineRule="auto"/>
        <w:jc w:val="both"/>
        <w:rPr>
          <w:rFonts w:ascii="Times New Roman" w:hAnsi="Times New Roman" w:cs="Times New Roman"/>
          <w:b/>
          <w:bCs/>
          <w:sz w:val="24"/>
          <w:szCs w:val="24"/>
        </w:rPr>
      </w:pPr>
      <w:r w:rsidRPr="00B57653">
        <w:rPr>
          <w:rFonts w:ascii="Times New Roman" w:hAnsi="Times New Roman" w:cs="Times New Roman"/>
          <w:b/>
          <w:bCs/>
          <w:sz w:val="24"/>
          <w:szCs w:val="24"/>
        </w:rPr>
        <w:t>b. Postnatal Maturation</w:t>
      </w:r>
    </w:p>
    <w:p w14:paraId="7063FB90" w14:textId="77777777" w:rsidR="00D4674A" w:rsidRPr="00B57653" w:rsidRDefault="00D4674A" w:rsidP="009D0E2E">
      <w:pPr>
        <w:numPr>
          <w:ilvl w:val="0"/>
          <w:numId w:val="33"/>
        </w:num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 xml:space="preserve">Microbial colonization and dietary exposure </w:t>
      </w:r>
      <w:r w:rsidRPr="00B57653">
        <w:rPr>
          <w:rFonts w:ascii="Times New Roman" w:hAnsi="Times New Roman" w:cs="Times New Roman"/>
          <w:b/>
          <w:bCs/>
          <w:sz w:val="24"/>
          <w:szCs w:val="24"/>
        </w:rPr>
        <w:t>stimulate GALT maturation</w:t>
      </w:r>
      <w:r w:rsidRPr="00B57653">
        <w:rPr>
          <w:rFonts w:ascii="Times New Roman" w:hAnsi="Times New Roman" w:cs="Times New Roman"/>
          <w:sz w:val="24"/>
          <w:szCs w:val="24"/>
        </w:rPr>
        <w:t xml:space="preserve"> after birth/hatching.</w:t>
      </w:r>
    </w:p>
    <w:p w14:paraId="7063FB91" w14:textId="77777777" w:rsidR="00D4674A" w:rsidRPr="00B57653" w:rsidRDefault="00D4674A" w:rsidP="009D0E2E">
      <w:pPr>
        <w:numPr>
          <w:ilvl w:val="0"/>
          <w:numId w:val="33"/>
        </w:num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lastRenderedPageBreak/>
        <w:t xml:space="preserve">Early microbial exposure (e.g., through probiotics, maternal </w:t>
      </w:r>
      <w:proofErr w:type="spellStart"/>
      <w:r w:rsidRPr="00B57653">
        <w:rPr>
          <w:rFonts w:ascii="Times New Roman" w:hAnsi="Times New Roman" w:cs="Times New Roman"/>
          <w:sz w:val="24"/>
          <w:szCs w:val="24"/>
        </w:rPr>
        <w:t>fecal</w:t>
      </w:r>
      <w:proofErr w:type="spellEnd"/>
      <w:r w:rsidRPr="00B57653">
        <w:rPr>
          <w:rFonts w:ascii="Times New Roman" w:hAnsi="Times New Roman" w:cs="Times New Roman"/>
          <w:sz w:val="24"/>
          <w:szCs w:val="24"/>
        </w:rPr>
        <w:t xml:space="preserve"> contact) enhances GALT growth and immune readiness.</w:t>
      </w:r>
    </w:p>
    <w:p w14:paraId="7063FB92" w14:textId="77777777" w:rsidR="00D4674A" w:rsidRPr="00B57653" w:rsidRDefault="00D4674A" w:rsidP="009D0E2E">
      <w:pPr>
        <w:spacing w:line="360" w:lineRule="auto"/>
        <w:jc w:val="both"/>
        <w:rPr>
          <w:rFonts w:ascii="Times New Roman" w:hAnsi="Times New Roman" w:cs="Times New Roman"/>
          <w:b/>
          <w:bCs/>
          <w:sz w:val="24"/>
          <w:szCs w:val="24"/>
        </w:rPr>
      </w:pPr>
      <w:r w:rsidRPr="00B57653">
        <w:rPr>
          <w:rFonts w:ascii="Times New Roman" w:hAnsi="Times New Roman" w:cs="Times New Roman"/>
          <w:b/>
          <w:bCs/>
          <w:sz w:val="24"/>
          <w:szCs w:val="24"/>
        </w:rPr>
        <w:t>a. Size and Cellularity of GALT Structures</w:t>
      </w:r>
    </w:p>
    <w:p w14:paraId="7063FB93" w14:textId="77777777" w:rsidR="00D4674A" w:rsidRPr="00B57653" w:rsidRDefault="00D4674A" w:rsidP="009D0E2E">
      <w:pPr>
        <w:numPr>
          <w:ilvl w:val="0"/>
          <w:numId w:val="34"/>
        </w:num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Increased size or cellularity of Peyer’s patches and other GALT elements suggests:</w:t>
      </w:r>
    </w:p>
    <w:p w14:paraId="7063FB94" w14:textId="77777777" w:rsidR="00D4674A" w:rsidRPr="00B57653" w:rsidRDefault="00D4674A" w:rsidP="009D0E2E">
      <w:pPr>
        <w:numPr>
          <w:ilvl w:val="1"/>
          <w:numId w:val="34"/>
        </w:num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Enhanced mucosal immune surveillance</w:t>
      </w:r>
    </w:p>
    <w:p w14:paraId="7063FB95" w14:textId="77777777" w:rsidR="00D4674A" w:rsidRPr="00B57653" w:rsidRDefault="00D4674A" w:rsidP="009D0E2E">
      <w:pPr>
        <w:numPr>
          <w:ilvl w:val="1"/>
          <w:numId w:val="34"/>
        </w:num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Adequate antigenic stimulation</w:t>
      </w:r>
    </w:p>
    <w:p w14:paraId="7063FB96" w14:textId="31362EAB" w:rsidR="00D4674A" w:rsidRPr="000A355B" w:rsidRDefault="00D4674A" w:rsidP="009D0E2E">
      <w:pPr>
        <w:numPr>
          <w:ilvl w:val="1"/>
          <w:numId w:val="34"/>
        </w:numPr>
        <w:spacing w:line="360" w:lineRule="auto"/>
        <w:jc w:val="both"/>
        <w:rPr>
          <w:rFonts w:ascii="Times New Roman" w:hAnsi="Times New Roman" w:cs="Times New Roman"/>
          <w:color w:val="C00000"/>
          <w:sz w:val="24"/>
          <w:szCs w:val="24"/>
        </w:rPr>
      </w:pPr>
      <w:r w:rsidRPr="00B57653">
        <w:rPr>
          <w:rFonts w:ascii="Times New Roman" w:hAnsi="Times New Roman" w:cs="Times New Roman"/>
          <w:sz w:val="24"/>
          <w:szCs w:val="24"/>
        </w:rPr>
        <w:t>Proper immune system maturation</w:t>
      </w:r>
    </w:p>
    <w:p w14:paraId="7063FB97" w14:textId="77777777" w:rsidR="00D4674A" w:rsidRPr="00B57653" w:rsidRDefault="00D4674A" w:rsidP="009D0E2E">
      <w:pPr>
        <w:numPr>
          <w:ilvl w:val="0"/>
          <w:numId w:val="34"/>
        </w:num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Hypoplasia or atrophy of GALT is linked to immune suppression, malnutrition, or chronic enteritis.</w:t>
      </w:r>
    </w:p>
    <w:p w14:paraId="7063FB98" w14:textId="77777777" w:rsidR="00D4674A" w:rsidRPr="00B57653" w:rsidRDefault="00D4674A" w:rsidP="009D0E2E">
      <w:pPr>
        <w:spacing w:line="360" w:lineRule="auto"/>
        <w:jc w:val="both"/>
        <w:rPr>
          <w:rFonts w:ascii="Times New Roman" w:hAnsi="Times New Roman" w:cs="Times New Roman"/>
          <w:b/>
          <w:bCs/>
          <w:sz w:val="24"/>
          <w:szCs w:val="24"/>
        </w:rPr>
      </w:pPr>
      <w:r w:rsidRPr="00B57653">
        <w:rPr>
          <w:rFonts w:ascii="Times New Roman" w:hAnsi="Times New Roman" w:cs="Times New Roman"/>
          <w:b/>
          <w:bCs/>
          <w:sz w:val="24"/>
          <w:szCs w:val="24"/>
        </w:rPr>
        <w:t>b. Lymphocyte Composition</w:t>
      </w:r>
    </w:p>
    <w:p w14:paraId="7063FB99" w14:textId="77777777" w:rsidR="00D4674A" w:rsidRPr="00A10FAC" w:rsidRDefault="00D4674A" w:rsidP="009D0E2E">
      <w:pPr>
        <w:numPr>
          <w:ilvl w:val="0"/>
          <w:numId w:val="35"/>
        </w:numPr>
        <w:spacing w:line="360" w:lineRule="auto"/>
        <w:jc w:val="both"/>
        <w:rPr>
          <w:rFonts w:ascii="Times New Roman" w:hAnsi="Times New Roman" w:cs="Times New Roman"/>
          <w:sz w:val="24"/>
          <w:szCs w:val="24"/>
        </w:rPr>
      </w:pPr>
      <w:r w:rsidRPr="00A10FAC">
        <w:rPr>
          <w:rFonts w:ascii="Times New Roman" w:hAnsi="Times New Roman" w:cs="Times New Roman"/>
          <w:sz w:val="24"/>
          <w:szCs w:val="24"/>
        </w:rPr>
        <w:t>A balanced population of B cells (IgA+, IgM+), T-helper (CD4+), and cytotoxic (CD8+) T cells is essential for gut immunity.</w:t>
      </w:r>
    </w:p>
    <w:p w14:paraId="7063FB9A" w14:textId="48355A30" w:rsidR="00D4674A" w:rsidRPr="00B57653" w:rsidRDefault="00D4674A" w:rsidP="009D0E2E">
      <w:pPr>
        <w:numPr>
          <w:ilvl w:val="0"/>
          <w:numId w:val="35"/>
        </w:num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Altered ratios can indicate dysbiosis, immune immaturity, or disease.</w:t>
      </w:r>
    </w:p>
    <w:p w14:paraId="7063FB9B" w14:textId="77777777" w:rsidR="00D4674A" w:rsidRPr="00B57653" w:rsidRDefault="00D4674A" w:rsidP="009D0E2E">
      <w:pPr>
        <w:spacing w:line="360" w:lineRule="auto"/>
        <w:jc w:val="both"/>
        <w:rPr>
          <w:rFonts w:ascii="Times New Roman" w:hAnsi="Times New Roman" w:cs="Times New Roman"/>
          <w:b/>
          <w:bCs/>
          <w:sz w:val="24"/>
          <w:szCs w:val="24"/>
        </w:rPr>
      </w:pPr>
      <w:r w:rsidRPr="00B57653">
        <w:rPr>
          <w:rFonts w:ascii="Times New Roman" w:hAnsi="Times New Roman" w:cs="Times New Roman"/>
          <w:b/>
          <w:bCs/>
          <w:sz w:val="24"/>
          <w:szCs w:val="24"/>
        </w:rPr>
        <w:t>c. Secretory IgA (</w:t>
      </w:r>
      <w:proofErr w:type="spellStart"/>
      <w:r w:rsidRPr="00B57653">
        <w:rPr>
          <w:rFonts w:ascii="Times New Roman" w:hAnsi="Times New Roman" w:cs="Times New Roman"/>
          <w:b/>
          <w:bCs/>
          <w:sz w:val="24"/>
          <w:szCs w:val="24"/>
        </w:rPr>
        <w:t>sIgA</w:t>
      </w:r>
      <w:proofErr w:type="spellEnd"/>
      <w:r w:rsidRPr="00B57653">
        <w:rPr>
          <w:rFonts w:ascii="Times New Roman" w:hAnsi="Times New Roman" w:cs="Times New Roman"/>
          <w:b/>
          <w:bCs/>
          <w:sz w:val="24"/>
          <w:szCs w:val="24"/>
        </w:rPr>
        <w:t>) Production</w:t>
      </w:r>
    </w:p>
    <w:p w14:paraId="7063FB9C" w14:textId="77777777" w:rsidR="00D4674A" w:rsidRPr="00B57653" w:rsidRDefault="00D4674A" w:rsidP="009D0E2E">
      <w:pPr>
        <w:numPr>
          <w:ilvl w:val="0"/>
          <w:numId w:val="36"/>
        </w:num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 xml:space="preserve">GALT regulates </w:t>
      </w:r>
      <w:proofErr w:type="spellStart"/>
      <w:r w:rsidRPr="00B57653">
        <w:rPr>
          <w:rFonts w:ascii="Times New Roman" w:hAnsi="Times New Roman" w:cs="Times New Roman"/>
          <w:sz w:val="24"/>
          <w:szCs w:val="24"/>
        </w:rPr>
        <w:t>sIgA</w:t>
      </w:r>
      <w:proofErr w:type="spellEnd"/>
      <w:r w:rsidRPr="00B57653">
        <w:rPr>
          <w:rFonts w:ascii="Times New Roman" w:hAnsi="Times New Roman" w:cs="Times New Roman"/>
          <w:sz w:val="24"/>
          <w:szCs w:val="24"/>
        </w:rPr>
        <w:t xml:space="preserve"> synthesis, which plays a major role in:</w:t>
      </w:r>
    </w:p>
    <w:p w14:paraId="7063FB9D" w14:textId="77777777" w:rsidR="00D4674A" w:rsidRPr="00B57653" w:rsidRDefault="00D4674A" w:rsidP="009D0E2E">
      <w:pPr>
        <w:numPr>
          <w:ilvl w:val="1"/>
          <w:numId w:val="36"/>
        </w:num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Neutralizing pathogens</w:t>
      </w:r>
    </w:p>
    <w:p w14:paraId="7063FB9E" w14:textId="77777777" w:rsidR="00D4674A" w:rsidRPr="00B57653" w:rsidRDefault="00D4674A" w:rsidP="009D0E2E">
      <w:pPr>
        <w:numPr>
          <w:ilvl w:val="1"/>
          <w:numId w:val="36"/>
        </w:num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Modulating gut microbiota</w:t>
      </w:r>
    </w:p>
    <w:p w14:paraId="7063FB9F" w14:textId="77777777" w:rsidR="00D4674A" w:rsidRPr="00B57653" w:rsidRDefault="00D4674A" w:rsidP="009D0E2E">
      <w:pPr>
        <w:numPr>
          <w:ilvl w:val="1"/>
          <w:numId w:val="36"/>
        </w:num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Maintaining epithelial integrity</w:t>
      </w:r>
    </w:p>
    <w:p w14:paraId="7063FBA0" w14:textId="77777777" w:rsidR="00D4674A" w:rsidRPr="00B57653" w:rsidRDefault="00D4674A" w:rsidP="009D0E2E">
      <w:p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 xml:space="preserve">High levels of </w:t>
      </w:r>
      <w:proofErr w:type="spellStart"/>
      <w:r w:rsidRPr="00B57653">
        <w:rPr>
          <w:rFonts w:ascii="Times New Roman" w:hAnsi="Times New Roman" w:cs="Times New Roman"/>
          <w:sz w:val="24"/>
          <w:szCs w:val="24"/>
        </w:rPr>
        <w:t>sIgA</w:t>
      </w:r>
      <w:proofErr w:type="spellEnd"/>
      <w:r w:rsidRPr="00B57653">
        <w:rPr>
          <w:rFonts w:ascii="Times New Roman" w:hAnsi="Times New Roman" w:cs="Times New Roman"/>
          <w:sz w:val="24"/>
          <w:szCs w:val="24"/>
        </w:rPr>
        <w:t xml:space="preserve"> correlate </w:t>
      </w:r>
      <w:r w:rsidRPr="00B262ED">
        <w:rPr>
          <w:rFonts w:ascii="Times New Roman" w:hAnsi="Times New Roman" w:cs="Times New Roman"/>
          <w:sz w:val="24"/>
          <w:szCs w:val="24"/>
        </w:rPr>
        <w:t>with healthy mucosal immunity,</w:t>
      </w:r>
      <w:r w:rsidRPr="00B57653">
        <w:rPr>
          <w:rFonts w:ascii="Times New Roman" w:hAnsi="Times New Roman" w:cs="Times New Roman"/>
          <w:sz w:val="24"/>
          <w:szCs w:val="24"/>
        </w:rPr>
        <w:t xml:space="preserve"> while low levels may reflect poor GALT development or function.</w:t>
      </w:r>
    </w:p>
    <w:p w14:paraId="7063FBA1" w14:textId="77777777" w:rsidR="0003475F" w:rsidRPr="00B57653" w:rsidRDefault="00F3694F" w:rsidP="009D0E2E">
      <w:pPr>
        <w:pStyle w:val="ListParagraph"/>
        <w:spacing w:line="360" w:lineRule="auto"/>
        <w:rPr>
          <w:rFonts w:ascii="Times New Roman" w:hAnsi="Times New Roman" w:cs="Times New Roman"/>
          <w:b/>
          <w:bCs/>
          <w:sz w:val="24"/>
          <w:szCs w:val="24"/>
        </w:rPr>
      </w:pPr>
      <w:r w:rsidRPr="00B57653">
        <w:rPr>
          <w:rFonts w:ascii="Times New Roman" w:hAnsi="Times New Roman" w:cs="Times New Roman"/>
          <w:b/>
          <w:bCs/>
          <w:sz w:val="24"/>
          <w:szCs w:val="24"/>
        </w:rPr>
        <w:t>Table-</w:t>
      </w:r>
      <w:proofErr w:type="gramStart"/>
      <w:r w:rsidRPr="00B57653">
        <w:rPr>
          <w:rFonts w:ascii="Times New Roman" w:hAnsi="Times New Roman" w:cs="Times New Roman"/>
          <w:b/>
          <w:bCs/>
          <w:sz w:val="24"/>
          <w:szCs w:val="24"/>
        </w:rPr>
        <w:t xml:space="preserve">1 </w:t>
      </w:r>
      <w:r w:rsidR="0003475F" w:rsidRPr="00B57653">
        <w:rPr>
          <w:rFonts w:ascii="Times New Roman" w:hAnsi="Times New Roman" w:cs="Times New Roman"/>
          <w:b/>
          <w:bCs/>
          <w:sz w:val="24"/>
          <w:szCs w:val="24"/>
        </w:rPr>
        <w:t>.</w:t>
      </w:r>
      <w:proofErr w:type="gramEnd"/>
      <w:r w:rsidR="0003475F" w:rsidRPr="00B57653">
        <w:rPr>
          <w:rFonts w:ascii="Times New Roman" w:hAnsi="Times New Roman" w:cs="Times New Roman"/>
          <w:b/>
          <w:bCs/>
          <w:sz w:val="24"/>
          <w:szCs w:val="24"/>
        </w:rPr>
        <w:t xml:space="preserve"> Structural Markers</w:t>
      </w:r>
      <w:r w:rsidRPr="00B57653">
        <w:rPr>
          <w:rFonts w:ascii="Times New Roman" w:hAnsi="Times New Roman" w:cs="Times New Roman"/>
          <w:b/>
          <w:bCs/>
          <w:sz w:val="24"/>
          <w:szCs w:val="24"/>
        </w:rPr>
        <w:t xml:space="preserve"> of gut health</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84"/>
        <w:gridCol w:w="2802"/>
        <w:gridCol w:w="2750"/>
      </w:tblGrid>
      <w:tr w:rsidR="0003475F" w:rsidRPr="00B57653" w14:paraId="7063FBA5" w14:textId="77777777" w:rsidTr="00E950AC">
        <w:trPr>
          <w:tblHeader/>
          <w:tblCellSpacing w:w="15" w:type="dxa"/>
        </w:trPr>
        <w:tc>
          <w:tcPr>
            <w:tcW w:w="0" w:type="auto"/>
            <w:vAlign w:val="center"/>
            <w:hideMark/>
          </w:tcPr>
          <w:p w14:paraId="7063FBA2" w14:textId="77777777" w:rsidR="0003475F" w:rsidRPr="00B57653" w:rsidRDefault="0003475F" w:rsidP="009D0E2E">
            <w:pPr>
              <w:spacing w:line="360" w:lineRule="auto"/>
              <w:rPr>
                <w:rFonts w:ascii="Times New Roman" w:hAnsi="Times New Roman" w:cs="Times New Roman"/>
                <w:b/>
                <w:bCs/>
                <w:sz w:val="24"/>
                <w:szCs w:val="24"/>
              </w:rPr>
            </w:pPr>
            <w:r w:rsidRPr="00B57653">
              <w:rPr>
                <w:rFonts w:ascii="Times New Roman" w:hAnsi="Times New Roman" w:cs="Times New Roman"/>
                <w:b/>
                <w:bCs/>
                <w:sz w:val="24"/>
                <w:szCs w:val="24"/>
              </w:rPr>
              <w:t>Marker</w:t>
            </w:r>
          </w:p>
        </w:tc>
        <w:tc>
          <w:tcPr>
            <w:tcW w:w="0" w:type="auto"/>
            <w:vAlign w:val="center"/>
            <w:hideMark/>
          </w:tcPr>
          <w:p w14:paraId="7063FBA3" w14:textId="77777777" w:rsidR="0003475F" w:rsidRPr="00B57653" w:rsidRDefault="0003475F" w:rsidP="009D0E2E">
            <w:pPr>
              <w:spacing w:line="360" w:lineRule="auto"/>
              <w:rPr>
                <w:rFonts w:ascii="Times New Roman" w:hAnsi="Times New Roman" w:cs="Times New Roman"/>
                <w:b/>
                <w:bCs/>
                <w:sz w:val="24"/>
                <w:szCs w:val="24"/>
              </w:rPr>
            </w:pPr>
            <w:r w:rsidRPr="00B57653">
              <w:rPr>
                <w:rFonts w:ascii="Times New Roman" w:hAnsi="Times New Roman" w:cs="Times New Roman"/>
                <w:b/>
                <w:bCs/>
                <w:sz w:val="24"/>
                <w:szCs w:val="24"/>
              </w:rPr>
              <w:t>Anatomical Basis</w:t>
            </w:r>
          </w:p>
        </w:tc>
        <w:tc>
          <w:tcPr>
            <w:tcW w:w="0" w:type="auto"/>
            <w:vAlign w:val="center"/>
            <w:hideMark/>
          </w:tcPr>
          <w:p w14:paraId="7063FBA4" w14:textId="77777777" w:rsidR="0003475F" w:rsidRPr="00B57653" w:rsidRDefault="0003475F" w:rsidP="009D0E2E">
            <w:pPr>
              <w:spacing w:line="360" w:lineRule="auto"/>
              <w:rPr>
                <w:rFonts w:ascii="Times New Roman" w:hAnsi="Times New Roman" w:cs="Times New Roman"/>
                <w:b/>
                <w:bCs/>
                <w:sz w:val="24"/>
                <w:szCs w:val="24"/>
              </w:rPr>
            </w:pPr>
            <w:r w:rsidRPr="00B57653">
              <w:rPr>
                <w:rFonts w:ascii="Times New Roman" w:hAnsi="Times New Roman" w:cs="Times New Roman"/>
                <w:b/>
                <w:bCs/>
                <w:sz w:val="24"/>
                <w:szCs w:val="24"/>
              </w:rPr>
              <w:t>Relevance</w:t>
            </w:r>
          </w:p>
        </w:tc>
      </w:tr>
      <w:tr w:rsidR="0003475F" w:rsidRPr="00B57653" w14:paraId="7063FBA9" w14:textId="77777777" w:rsidTr="00E950AC">
        <w:trPr>
          <w:tblCellSpacing w:w="15" w:type="dxa"/>
        </w:trPr>
        <w:tc>
          <w:tcPr>
            <w:tcW w:w="0" w:type="auto"/>
            <w:vAlign w:val="center"/>
            <w:hideMark/>
          </w:tcPr>
          <w:p w14:paraId="7063FBA6" w14:textId="77777777" w:rsidR="0003475F" w:rsidRPr="00B57653" w:rsidRDefault="0003475F" w:rsidP="009D0E2E">
            <w:pPr>
              <w:spacing w:line="360" w:lineRule="auto"/>
              <w:rPr>
                <w:rFonts w:ascii="Times New Roman" w:hAnsi="Times New Roman" w:cs="Times New Roman"/>
                <w:sz w:val="24"/>
                <w:szCs w:val="24"/>
              </w:rPr>
            </w:pPr>
            <w:r w:rsidRPr="00B57653">
              <w:rPr>
                <w:rFonts w:ascii="Times New Roman" w:hAnsi="Times New Roman" w:cs="Times New Roman"/>
                <w:b/>
                <w:bCs/>
                <w:sz w:val="24"/>
                <w:szCs w:val="24"/>
              </w:rPr>
              <w:t>Villus Height / Crypt Depth Ratio (VH:CD)</w:t>
            </w:r>
          </w:p>
        </w:tc>
        <w:tc>
          <w:tcPr>
            <w:tcW w:w="0" w:type="auto"/>
            <w:vAlign w:val="center"/>
            <w:hideMark/>
          </w:tcPr>
          <w:p w14:paraId="7063FBA7" w14:textId="77777777" w:rsidR="0003475F" w:rsidRPr="00B57653" w:rsidRDefault="0003475F" w:rsidP="009D0E2E">
            <w:pPr>
              <w:spacing w:line="360" w:lineRule="auto"/>
              <w:rPr>
                <w:rFonts w:ascii="Times New Roman" w:hAnsi="Times New Roman" w:cs="Times New Roman"/>
                <w:sz w:val="24"/>
                <w:szCs w:val="24"/>
              </w:rPr>
            </w:pPr>
            <w:r w:rsidRPr="00B57653">
              <w:rPr>
                <w:rFonts w:ascii="Times New Roman" w:hAnsi="Times New Roman" w:cs="Times New Roman"/>
                <w:sz w:val="24"/>
                <w:szCs w:val="24"/>
              </w:rPr>
              <w:t>Duodenal, jejunal mucosa</w:t>
            </w:r>
          </w:p>
        </w:tc>
        <w:tc>
          <w:tcPr>
            <w:tcW w:w="0" w:type="auto"/>
            <w:vAlign w:val="center"/>
            <w:hideMark/>
          </w:tcPr>
          <w:p w14:paraId="7063FBA8" w14:textId="77777777" w:rsidR="0003475F" w:rsidRPr="00B57653" w:rsidRDefault="0003475F" w:rsidP="009D0E2E">
            <w:pPr>
              <w:spacing w:line="360" w:lineRule="auto"/>
              <w:rPr>
                <w:rFonts w:ascii="Times New Roman" w:hAnsi="Times New Roman" w:cs="Times New Roman"/>
                <w:sz w:val="24"/>
                <w:szCs w:val="24"/>
              </w:rPr>
            </w:pPr>
            <w:r w:rsidRPr="00B57653">
              <w:rPr>
                <w:rFonts w:ascii="Times New Roman" w:hAnsi="Times New Roman" w:cs="Times New Roman"/>
                <w:sz w:val="24"/>
                <w:szCs w:val="24"/>
              </w:rPr>
              <w:t>Indicator of nutrient absorption</w:t>
            </w:r>
          </w:p>
        </w:tc>
      </w:tr>
      <w:tr w:rsidR="0003475F" w:rsidRPr="00B57653" w14:paraId="7063FBAD" w14:textId="77777777" w:rsidTr="00E950AC">
        <w:trPr>
          <w:tblCellSpacing w:w="15" w:type="dxa"/>
        </w:trPr>
        <w:tc>
          <w:tcPr>
            <w:tcW w:w="0" w:type="auto"/>
            <w:vAlign w:val="center"/>
            <w:hideMark/>
          </w:tcPr>
          <w:p w14:paraId="7063FBAA" w14:textId="77777777" w:rsidR="0003475F" w:rsidRPr="00B57653" w:rsidRDefault="0003475F" w:rsidP="009D0E2E">
            <w:pPr>
              <w:spacing w:line="360" w:lineRule="auto"/>
              <w:rPr>
                <w:rFonts w:ascii="Times New Roman" w:hAnsi="Times New Roman" w:cs="Times New Roman"/>
                <w:sz w:val="24"/>
                <w:szCs w:val="24"/>
              </w:rPr>
            </w:pPr>
            <w:r w:rsidRPr="00B57653">
              <w:rPr>
                <w:rFonts w:ascii="Times New Roman" w:hAnsi="Times New Roman" w:cs="Times New Roman"/>
                <w:b/>
                <w:bCs/>
                <w:sz w:val="24"/>
                <w:szCs w:val="24"/>
              </w:rPr>
              <w:t>Goblet Cell Density</w:t>
            </w:r>
          </w:p>
        </w:tc>
        <w:tc>
          <w:tcPr>
            <w:tcW w:w="0" w:type="auto"/>
            <w:vAlign w:val="center"/>
            <w:hideMark/>
          </w:tcPr>
          <w:p w14:paraId="7063FBAB" w14:textId="77777777" w:rsidR="0003475F" w:rsidRPr="00B57653" w:rsidRDefault="0003475F" w:rsidP="009D0E2E">
            <w:pPr>
              <w:spacing w:line="360" w:lineRule="auto"/>
              <w:rPr>
                <w:rFonts w:ascii="Times New Roman" w:hAnsi="Times New Roman" w:cs="Times New Roman"/>
                <w:sz w:val="24"/>
                <w:szCs w:val="24"/>
              </w:rPr>
            </w:pPr>
            <w:r w:rsidRPr="00B57653">
              <w:rPr>
                <w:rFonts w:ascii="Times New Roman" w:hAnsi="Times New Roman" w:cs="Times New Roman"/>
                <w:sz w:val="24"/>
                <w:szCs w:val="24"/>
              </w:rPr>
              <w:t>Intestinal lining</w:t>
            </w:r>
          </w:p>
        </w:tc>
        <w:tc>
          <w:tcPr>
            <w:tcW w:w="0" w:type="auto"/>
            <w:vAlign w:val="center"/>
            <w:hideMark/>
          </w:tcPr>
          <w:p w14:paraId="7063FBAC" w14:textId="77777777" w:rsidR="0003475F" w:rsidRPr="00B57653" w:rsidRDefault="0003475F" w:rsidP="009D0E2E">
            <w:pPr>
              <w:spacing w:line="360" w:lineRule="auto"/>
              <w:rPr>
                <w:rFonts w:ascii="Times New Roman" w:hAnsi="Times New Roman" w:cs="Times New Roman"/>
                <w:sz w:val="24"/>
                <w:szCs w:val="24"/>
              </w:rPr>
            </w:pPr>
            <w:r w:rsidRPr="00B57653">
              <w:rPr>
                <w:rFonts w:ascii="Times New Roman" w:hAnsi="Times New Roman" w:cs="Times New Roman"/>
                <w:sz w:val="24"/>
                <w:szCs w:val="24"/>
              </w:rPr>
              <w:t xml:space="preserve">Mucus secretion &amp; barrier </w:t>
            </w:r>
            <w:r w:rsidRPr="00B57653">
              <w:rPr>
                <w:rFonts w:ascii="Times New Roman" w:hAnsi="Times New Roman" w:cs="Times New Roman"/>
                <w:sz w:val="24"/>
                <w:szCs w:val="24"/>
              </w:rPr>
              <w:lastRenderedPageBreak/>
              <w:t>function</w:t>
            </w:r>
          </w:p>
        </w:tc>
      </w:tr>
      <w:tr w:rsidR="0003475F" w:rsidRPr="00B57653" w14:paraId="7063FBB1" w14:textId="77777777" w:rsidTr="00E950AC">
        <w:trPr>
          <w:tblCellSpacing w:w="15" w:type="dxa"/>
        </w:trPr>
        <w:tc>
          <w:tcPr>
            <w:tcW w:w="0" w:type="auto"/>
            <w:vAlign w:val="center"/>
            <w:hideMark/>
          </w:tcPr>
          <w:p w14:paraId="7063FBAE" w14:textId="77777777" w:rsidR="0003475F" w:rsidRPr="00B57653" w:rsidRDefault="0003475F" w:rsidP="009D0E2E">
            <w:pPr>
              <w:spacing w:line="360" w:lineRule="auto"/>
              <w:rPr>
                <w:rFonts w:ascii="Times New Roman" w:hAnsi="Times New Roman" w:cs="Times New Roman"/>
                <w:sz w:val="24"/>
                <w:szCs w:val="24"/>
              </w:rPr>
            </w:pPr>
            <w:r w:rsidRPr="00B57653">
              <w:rPr>
                <w:rFonts w:ascii="Times New Roman" w:hAnsi="Times New Roman" w:cs="Times New Roman"/>
                <w:b/>
                <w:bCs/>
                <w:sz w:val="24"/>
                <w:szCs w:val="24"/>
              </w:rPr>
              <w:lastRenderedPageBreak/>
              <w:t>Mucosal Thickness</w:t>
            </w:r>
          </w:p>
        </w:tc>
        <w:tc>
          <w:tcPr>
            <w:tcW w:w="0" w:type="auto"/>
            <w:vAlign w:val="center"/>
            <w:hideMark/>
          </w:tcPr>
          <w:p w14:paraId="7063FBAF" w14:textId="77777777" w:rsidR="0003475F" w:rsidRPr="00B57653" w:rsidRDefault="0003475F" w:rsidP="009D0E2E">
            <w:pPr>
              <w:spacing w:line="360" w:lineRule="auto"/>
              <w:rPr>
                <w:rFonts w:ascii="Times New Roman" w:hAnsi="Times New Roman" w:cs="Times New Roman"/>
                <w:sz w:val="24"/>
                <w:szCs w:val="24"/>
              </w:rPr>
            </w:pPr>
            <w:r w:rsidRPr="00B57653">
              <w:rPr>
                <w:rFonts w:ascii="Times New Roman" w:hAnsi="Times New Roman" w:cs="Times New Roman"/>
                <w:sz w:val="24"/>
                <w:szCs w:val="24"/>
              </w:rPr>
              <w:t>Small &amp; large intestine</w:t>
            </w:r>
          </w:p>
        </w:tc>
        <w:tc>
          <w:tcPr>
            <w:tcW w:w="0" w:type="auto"/>
            <w:vAlign w:val="center"/>
            <w:hideMark/>
          </w:tcPr>
          <w:p w14:paraId="7063FBB0" w14:textId="77777777" w:rsidR="0003475F" w:rsidRPr="00B57653" w:rsidRDefault="0003475F" w:rsidP="009D0E2E">
            <w:pPr>
              <w:spacing w:line="360" w:lineRule="auto"/>
              <w:rPr>
                <w:rFonts w:ascii="Times New Roman" w:hAnsi="Times New Roman" w:cs="Times New Roman"/>
                <w:sz w:val="24"/>
                <w:szCs w:val="24"/>
              </w:rPr>
            </w:pPr>
            <w:r w:rsidRPr="00B57653">
              <w:rPr>
                <w:rFonts w:ascii="Times New Roman" w:hAnsi="Times New Roman" w:cs="Times New Roman"/>
                <w:sz w:val="24"/>
                <w:szCs w:val="24"/>
              </w:rPr>
              <w:t>Reflects gut wall integrity</w:t>
            </w:r>
          </w:p>
        </w:tc>
      </w:tr>
      <w:tr w:rsidR="0003475F" w:rsidRPr="00B57653" w14:paraId="7063FBB5" w14:textId="77777777" w:rsidTr="00E950AC">
        <w:trPr>
          <w:tblCellSpacing w:w="15" w:type="dxa"/>
        </w:trPr>
        <w:tc>
          <w:tcPr>
            <w:tcW w:w="0" w:type="auto"/>
            <w:vAlign w:val="center"/>
            <w:hideMark/>
          </w:tcPr>
          <w:p w14:paraId="7063FBB2" w14:textId="77777777" w:rsidR="0003475F" w:rsidRPr="00B57653" w:rsidRDefault="0003475F" w:rsidP="009D0E2E">
            <w:pPr>
              <w:spacing w:line="360" w:lineRule="auto"/>
              <w:rPr>
                <w:rFonts w:ascii="Times New Roman" w:hAnsi="Times New Roman" w:cs="Times New Roman"/>
                <w:sz w:val="24"/>
                <w:szCs w:val="24"/>
              </w:rPr>
            </w:pPr>
            <w:r w:rsidRPr="00B57653">
              <w:rPr>
                <w:rFonts w:ascii="Times New Roman" w:hAnsi="Times New Roman" w:cs="Times New Roman"/>
                <w:b/>
                <w:bCs/>
                <w:sz w:val="24"/>
                <w:szCs w:val="24"/>
              </w:rPr>
              <w:t>Rumen Papillae Density &amp; Morphology</w:t>
            </w:r>
          </w:p>
        </w:tc>
        <w:tc>
          <w:tcPr>
            <w:tcW w:w="0" w:type="auto"/>
            <w:vAlign w:val="center"/>
            <w:hideMark/>
          </w:tcPr>
          <w:p w14:paraId="7063FBB3" w14:textId="77777777" w:rsidR="0003475F" w:rsidRPr="00B57653" w:rsidRDefault="0003475F" w:rsidP="009D0E2E">
            <w:pPr>
              <w:spacing w:line="360" w:lineRule="auto"/>
              <w:rPr>
                <w:rFonts w:ascii="Times New Roman" w:hAnsi="Times New Roman" w:cs="Times New Roman"/>
                <w:sz w:val="24"/>
                <w:szCs w:val="24"/>
              </w:rPr>
            </w:pPr>
            <w:r w:rsidRPr="00B57653">
              <w:rPr>
                <w:rFonts w:ascii="Times New Roman" w:hAnsi="Times New Roman" w:cs="Times New Roman"/>
                <w:sz w:val="24"/>
                <w:szCs w:val="24"/>
              </w:rPr>
              <w:t>Rumen</w:t>
            </w:r>
          </w:p>
        </w:tc>
        <w:tc>
          <w:tcPr>
            <w:tcW w:w="0" w:type="auto"/>
            <w:vAlign w:val="center"/>
            <w:hideMark/>
          </w:tcPr>
          <w:p w14:paraId="7063FBB4" w14:textId="77777777" w:rsidR="0003475F" w:rsidRPr="00B57653" w:rsidRDefault="0003475F" w:rsidP="009D0E2E">
            <w:pPr>
              <w:spacing w:line="360" w:lineRule="auto"/>
              <w:rPr>
                <w:rFonts w:ascii="Times New Roman" w:hAnsi="Times New Roman" w:cs="Times New Roman"/>
                <w:sz w:val="24"/>
                <w:szCs w:val="24"/>
              </w:rPr>
            </w:pPr>
            <w:r w:rsidRPr="00B57653">
              <w:rPr>
                <w:rFonts w:ascii="Times New Roman" w:hAnsi="Times New Roman" w:cs="Times New Roman"/>
                <w:sz w:val="24"/>
                <w:szCs w:val="24"/>
              </w:rPr>
              <w:t>Surface area for VFA absorption</w:t>
            </w:r>
          </w:p>
        </w:tc>
      </w:tr>
      <w:tr w:rsidR="0003475F" w:rsidRPr="00B57653" w14:paraId="7063FBB9" w14:textId="77777777" w:rsidTr="00E950AC">
        <w:trPr>
          <w:tblCellSpacing w:w="15" w:type="dxa"/>
        </w:trPr>
        <w:tc>
          <w:tcPr>
            <w:tcW w:w="0" w:type="auto"/>
            <w:vAlign w:val="center"/>
            <w:hideMark/>
          </w:tcPr>
          <w:p w14:paraId="7063FBB6" w14:textId="77777777" w:rsidR="0003475F" w:rsidRPr="00B57653" w:rsidRDefault="0003475F" w:rsidP="009D0E2E">
            <w:pPr>
              <w:spacing w:line="360" w:lineRule="auto"/>
              <w:rPr>
                <w:rFonts w:ascii="Times New Roman" w:hAnsi="Times New Roman" w:cs="Times New Roman"/>
                <w:sz w:val="24"/>
                <w:szCs w:val="24"/>
              </w:rPr>
            </w:pPr>
            <w:r w:rsidRPr="00B57653">
              <w:rPr>
                <w:rFonts w:ascii="Times New Roman" w:hAnsi="Times New Roman" w:cs="Times New Roman"/>
                <w:b/>
                <w:bCs/>
                <w:sz w:val="24"/>
                <w:szCs w:val="24"/>
              </w:rPr>
              <w:t>GALT Development</w:t>
            </w:r>
          </w:p>
        </w:tc>
        <w:tc>
          <w:tcPr>
            <w:tcW w:w="0" w:type="auto"/>
            <w:vAlign w:val="center"/>
            <w:hideMark/>
          </w:tcPr>
          <w:p w14:paraId="7063FBB7" w14:textId="77777777" w:rsidR="0003475F" w:rsidRPr="00B57653" w:rsidRDefault="0003475F" w:rsidP="009D0E2E">
            <w:pPr>
              <w:spacing w:line="360" w:lineRule="auto"/>
              <w:rPr>
                <w:rFonts w:ascii="Times New Roman" w:hAnsi="Times New Roman" w:cs="Times New Roman"/>
                <w:sz w:val="24"/>
                <w:szCs w:val="24"/>
              </w:rPr>
            </w:pPr>
            <w:r w:rsidRPr="00B57653">
              <w:rPr>
                <w:rFonts w:ascii="Times New Roman" w:hAnsi="Times New Roman" w:cs="Times New Roman"/>
                <w:sz w:val="24"/>
                <w:szCs w:val="24"/>
              </w:rPr>
              <w:t xml:space="preserve">Peyer's patches, tonsils, </w:t>
            </w:r>
            <w:proofErr w:type="spellStart"/>
            <w:r w:rsidRPr="00B57653">
              <w:rPr>
                <w:rFonts w:ascii="Times New Roman" w:hAnsi="Times New Roman" w:cs="Times New Roman"/>
                <w:sz w:val="24"/>
                <w:szCs w:val="24"/>
              </w:rPr>
              <w:t>cecal</w:t>
            </w:r>
            <w:proofErr w:type="spellEnd"/>
            <w:r w:rsidRPr="00B57653">
              <w:rPr>
                <w:rFonts w:ascii="Times New Roman" w:hAnsi="Times New Roman" w:cs="Times New Roman"/>
                <w:sz w:val="24"/>
                <w:szCs w:val="24"/>
              </w:rPr>
              <w:t xml:space="preserve"> tonsil</w:t>
            </w:r>
          </w:p>
        </w:tc>
        <w:tc>
          <w:tcPr>
            <w:tcW w:w="0" w:type="auto"/>
            <w:vAlign w:val="center"/>
            <w:hideMark/>
          </w:tcPr>
          <w:p w14:paraId="7063FBB8" w14:textId="77777777" w:rsidR="0003475F" w:rsidRPr="00B57653" w:rsidRDefault="0003475F" w:rsidP="009D0E2E">
            <w:pPr>
              <w:spacing w:line="360" w:lineRule="auto"/>
              <w:rPr>
                <w:rFonts w:ascii="Times New Roman" w:hAnsi="Times New Roman" w:cs="Times New Roman"/>
                <w:sz w:val="24"/>
                <w:szCs w:val="24"/>
              </w:rPr>
            </w:pPr>
            <w:r w:rsidRPr="00B57653">
              <w:rPr>
                <w:rFonts w:ascii="Times New Roman" w:hAnsi="Times New Roman" w:cs="Times New Roman"/>
                <w:sz w:val="24"/>
                <w:szCs w:val="24"/>
              </w:rPr>
              <w:t xml:space="preserve">Immune </w:t>
            </w:r>
            <w:proofErr w:type="spellStart"/>
            <w:r w:rsidRPr="00B57653">
              <w:rPr>
                <w:rFonts w:ascii="Times New Roman" w:hAnsi="Times New Roman" w:cs="Times New Roman"/>
                <w:sz w:val="24"/>
                <w:szCs w:val="24"/>
              </w:rPr>
              <w:t>defense</w:t>
            </w:r>
            <w:proofErr w:type="spellEnd"/>
            <w:r w:rsidRPr="00B57653">
              <w:rPr>
                <w:rFonts w:ascii="Times New Roman" w:hAnsi="Times New Roman" w:cs="Times New Roman"/>
                <w:sz w:val="24"/>
                <w:szCs w:val="24"/>
              </w:rPr>
              <w:t xml:space="preserve"> and tolerance</w:t>
            </w:r>
          </w:p>
        </w:tc>
      </w:tr>
    </w:tbl>
    <w:p w14:paraId="7063FBBA" w14:textId="77777777" w:rsidR="0003475F" w:rsidRPr="00B57653" w:rsidRDefault="0003475F" w:rsidP="009D0E2E">
      <w:pPr>
        <w:spacing w:line="360" w:lineRule="auto"/>
        <w:jc w:val="both"/>
        <w:rPr>
          <w:rFonts w:ascii="Times New Roman" w:hAnsi="Times New Roman" w:cs="Times New Roman"/>
          <w:sz w:val="24"/>
          <w:szCs w:val="24"/>
        </w:rPr>
      </w:pPr>
    </w:p>
    <w:p w14:paraId="7063FBBB" w14:textId="77777777" w:rsidR="007B3A50" w:rsidRPr="00B57653" w:rsidRDefault="009116F4" w:rsidP="009D0E2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7B3A50" w:rsidRPr="00B57653">
        <w:rPr>
          <w:rFonts w:ascii="Times New Roman" w:hAnsi="Times New Roman" w:cs="Times New Roman"/>
          <w:b/>
          <w:bCs/>
          <w:sz w:val="24"/>
          <w:szCs w:val="24"/>
        </w:rPr>
        <w:t>.0 Functional markers</w:t>
      </w:r>
      <w:r w:rsidR="00067059">
        <w:rPr>
          <w:rFonts w:ascii="Times New Roman" w:hAnsi="Times New Roman" w:cs="Times New Roman"/>
          <w:b/>
          <w:bCs/>
          <w:sz w:val="24"/>
          <w:szCs w:val="24"/>
        </w:rPr>
        <w:t xml:space="preserve"> of GUT Health:</w:t>
      </w:r>
    </w:p>
    <w:p w14:paraId="7063FBBC" w14:textId="77777777" w:rsidR="0003475F" w:rsidRPr="00B57653" w:rsidRDefault="00A31A4B" w:rsidP="009D0E2E">
      <w:pPr>
        <w:spacing w:line="360" w:lineRule="auto"/>
        <w:jc w:val="both"/>
        <w:rPr>
          <w:rFonts w:ascii="Times New Roman" w:hAnsi="Times New Roman" w:cs="Times New Roman"/>
          <w:b/>
          <w:bCs/>
          <w:sz w:val="24"/>
          <w:szCs w:val="24"/>
        </w:rPr>
      </w:pPr>
      <w:r>
        <w:rPr>
          <w:rFonts w:ascii="Times New Roman" w:hAnsi="Times New Roman" w:cs="Times New Roman"/>
          <w:sz w:val="24"/>
          <w:szCs w:val="24"/>
        </w:rPr>
        <w:t>2</w:t>
      </w:r>
      <w:r w:rsidR="00151FC6" w:rsidRPr="00B57653">
        <w:rPr>
          <w:rFonts w:ascii="Times New Roman" w:hAnsi="Times New Roman" w:cs="Times New Roman"/>
          <w:sz w:val="24"/>
          <w:szCs w:val="24"/>
        </w:rPr>
        <w:t xml:space="preserve">.1 </w:t>
      </w:r>
      <w:r w:rsidR="00151FC6" w:rsidRPr="00B57653">
        <w:rPr>
          <w:rFonts w:ascii="Times New Roman" w:hAnsi="Times New Roman" w:cs="Times New Roman"/>
          <w:b/>
          <w:bCs/>
          <w:sz w:val="24"/>
          <w:szCs w:val="24"/>
        </w:rPr>
        <w:t xml:space="preserve">Tight Junction Protein Expression (e.g. </w:t>
      </w:r>
      <w:proofErr w:type="spellStart"/>
      <w:r w:rsidR="00151FC6" w:rsidRPr="00B57653">
        <w:rPr>
          <w:rFonts w:ascii="Times New Roman" w:hAnsi="Times New Roman" w:cs="Times New Roman"/>
          <w:b/>
          <w:bCs/>
          <w:sz w:val="24"/>
          <w:szCs w:val="24"/>
        </w:rPr>
        <w:t>Occludin</w:t>
      </w:r>
      <w:proofErr w:type="spellEnd"/>
      <w:r w:rsidR="00151FC6" w:rsidRPr="00B57653">
        <w:rPr>
          <w:rFonts w:ascii="Times New Roman" w:hAnsi="Times New Roman" w:cs="Times New Roman"/>
          <w:b/>
          <w:bCs/>
          <w:sz w:val="24"/>
          <w:szCs w:val="24"/>
        </w:rPr>
        <w:t>, Claudin)</w:t>
      </w:r>
    </w:p>
    <w:p w14:paraId="7063FBBD" w14:textId="77777777" w:rsidR="000C283E" w:rsidRPr="000C283E" w:rsidRDefault="000C283E" w:rsidP="009D0E2E">
      <w:pPr>
        <w:spacing w:line="360" w:lineRule="auto"/>
        <w:jc w:val="both"/>
        <w:rPr>
          <w:rFonts w:ascii="Times New Roman" w:hAnsi="Times New Roman" w:cs="Times New Roman"/>
          <w:sz w:val="24"/>
          <w:szCs w:val="24"/>
        </w:rPr>
      </w:pPr>
      <w:r w:rsidRPr="000C283E">
        <w:rPr>
          <w:rFonts w:ascii="Times New Roman" w:hAnsi="Times New Roman" w:cs="Times New Roman"/>
          <w:sz w:val="24"/>
          <w:szCs w:val="24"/>
        </w:rPr>
        <w:t>The intestinal epithelium forms the primary interface between luminal contents and systemic circulation, and its integrity is largely maintained by tight junctions (TJs), which are multiprotein complexes regulating paracellular permeability. Functional disruption of TJs is increasingly recognized as a hallmark of impaired gut health in both humans and animals.</w:t>
      </w:r>
    </w:p>
    <w:p w14:paraId="7063FBBE" w14:textId="77777777" w:rsidR="000C283E" w:rsidRPr="000C283E" w:rsidRDefault="000C283E" w:rsidP="009D0E2E">
      <w:pPr>
        <w:spacing w:line="360" w:lineRule="auto"/>
        <w:jc w:val="both"/>
        <w:rPr>
          <w:rFonts w:ascii="Times New Roman" w:hAnsi="Times New Roman" w:cs="Times New Roman"/>
          <w:sz w:val="24"/>
          <w:szCs w:val="24"/>
        </w:rPr>
      </w:pPr>
      <w:proofErr w:type="spellStart"/>
      <w:r w:rsidRPr="000C283E">
        <w:rPr>
          <w:rFonts w:ascii="Times New Roman" w:hAnsi="Times New Roman" w:cs="Times New Roman"/>
          <w:sz w:val="24"/>
          <w:szCs w:val="24"/>
        </w:rPr>
        <w:t>Occludin</w:t>
      </w:r>
      <w:proofErr w:type="spellEnd"/>
      <w:r w:rsidRPr="000C283E">
        <w:rPr>
          <w:rFonts w:ascii="Times New Roman" w:hAnsi="Times New Roman" w:cs="Times New Roman"/>
          <w:sz w:val="24"/>
          <w:szCs w:val="24"/>
        </w:rPr>
        <w:t xml:space="preserve">, the first identified TJ transmembrane protein, is essential for sealing the paracellular space and maintaining barrier selectivity. Reduced </w:t>
      </w:r>
      <w:proofErr w:type="spellStart"/>
      <w:r w:rsidRPr="000C283E">
        <w:rPr>
          <w:rFonts w:ascii="Times New Roman" w:hAnsi="Times New Roman" w:cs="Times New Roman"/>
          <w:sz w:val="24"/>
          <w:szCs w:val="24"/>
        </w:rPr>
        <w:t>occludin</w:t>
      </w:r>
      <w:proofErr w:type="spellEnd"/>
      <w:r w:rsidRPr="000C283E">
        <w:rPr>
          <w:rFonts w:ascii="Times New Roman" w:hAnsi="Times New Roman" w:cs="Times New Roman"/>
          <w:sz w:val="24"/>
          <w:szCs w:val="24"/>
        </w:rPr>
        <w:t xml:space="preserve"> expression has been consistently associated with increased epithelial permeability and susceptibility to enteric infections and inflammatory responses (Turner, 2009). Claudins, a family of over 25 proteins, play dual roles as either barrier-forming (e.g., claudin-1, claudin-3, claudin-5) or pore-forming (e.g., claudin-2) components, thus finely regulating ion and solute passage across the gut epithelium (Günzel &amp; Yu, 2013). Alterations in claudin expression profiles have been reported under conditions of heat stress, mycotoxin exposure, and pathogenic infections in livestock (Song et al., 2020). Additionally, the cytoplasmic scaffolding proteins zonula </w:t>
      </w:r>
      <w:proofErr w:type="spellStart"/>
      <w:r w:rsidRPr="000C283E">
        <w:rPr>
          <w:rFonts w:ascii="Times New Roman" w:hAnsi="Times New Roman" w:cs="Times New Roman"/>
          <w:sz w:val="24"/>
          <w:szCs w:val="24"/>
        </w:rPr>
        <w:t>occludens</w:t>
      </w:r>
      <w:proofErr w:type="spellEnd"/>
      <w:r w:rsidRPr="000C283E">
        <w:rPr>
          <w:rFonts w:ascii="Times New Roman" w:hAnsi="Times New Roman" w:cs="Times New Roman"/>
          <w:sz w:val="24"/>
          <w:szCs w:val="24"/>
        </w:rPr>
        <w:t xml:space="preserve"> (ZO-1, ZO-2, ZO-3) anchor </w:t>
      </w:r>
      <w:proofErr w:type="spellStart"/>
      <w:r w:rsidRPr="000C283E">
        <w:rPr>
          <w:rFonts w:ascii="Times New Roman" w:hAnsi="Times New Roman" w:cs="Times New Roman"/>
          <w:sz w:val="24"/>
          <w:szCs w:val="24"/>
        </w:rPr>
        <w:t>occludin</w:t>
      </w:r>
      <w:proofErr w:type="spellEnd"/>
      <w:r w:rsidRPr="000C283E">
        <w:rPr>
          <w:rFonts w:ascii="Times New Roman" w:hAnsi="Times New Roman" w:cs="Times New Roman"/>
          <w:sz w:val="24"/>
          <w:szCs w:val="24"/>
        </w:rPr>
        <w:t xml:space="preserve"> and claudins to the actin cytoskeleton, and are widely used as molecular indicators of gut barrier integrity (Lee, 2015).</w:t>
      </w:r>
    </w:p>
    <w:p w14:paraId="7063FBBF" w14:textId="77777777" w:rsidR="000C283E" w:rsidRPr="000C283E" w:rsidRDefault="000C283E" w:rsidP="009D0E2E">
      <w:pPr>
        <w:spacing w:line="360" w:lineRule="auto"/>
        <w:jc w:val="both"/>
        <w:rPr>
          <w:rFonts w:ascii="Times New Roman" w:hAnsi="Times New Roman" w:cs="Times New Roman"/>
          <w:sz w:val="24"/>
          <w:szCs w:val="24"/>
        </w:rPr>
      </w:pPr>
      <w:r w:rsidRPr="000C283E">
        <w:rPr>
          <w:rFonts w:ascii="Times New Roman" w:hAnsi="Times New Roman" w:cs="Times New Roman"/>
          <w:sz w:val="24"/>
          <w:szCs w:val="24"/>
        </w:rPr>
        <w:t xml:space="preserve">Several endogenous and exogenous factors modulate TJ protein expression. Nutritional interventions such as glutamine, butyrate, and probiotics have been shown to enhance TJ protein abundance and restore epithelial barrier function in poultry and swine (Roselli et al., 2017). Conversely, stressors including weaning, transport, and heat exposure downregulate </w:t>
      </w:r>
      <w:proofErr w:type="spellStart"/>
      <w:r w:rsidRPr="000C283E">
        <w:rPr>
          <w:rFonts w:ascii="Times New Roman" w:hAnsi="Times New Roman" w:cs="Times New Roman"/>
          <w:sz w:val="24"/>
          <w:szCs w:val="24"/>
        </w:rPr>
        <w:lastRenderedPageBreak/>
        <w:t>occludin</w:t>
      </w:r>
      <w:proofErr w:type="spellEnd"/>
      <w:r w:rsidRPr="000C283E">
        <w:rPr>
          <w:rFonts w:ascii="Times New Roman" w:hAnsi="Times New Roman" w:cs="Times New Roman"/>
          <w:sz w:val="24"/>
          <w:szCs w:val="24"/>
        </w:rPr>
        <w:t xml:space="preserve"> and claudin expression, leading to compromised gut barrier function (Pearce et al., 2013). Pathogenic bacteria such as </w:t>
      </w:r>
      <w:r w:rsidRPr="000C283E">
        <w:rPr>
          <w:rFonts w:ascii="Times New Roman" w:hAnsi="Times New Roman" w:cs="Times New Roman"/>
          <w:i/>
          <w:iCs/>
          <w:sz w:val="24"/>
          <w:szCs w:val="24"/>
        </w:rPr>
        <w:t>Escherichia coli</w:t>
      </w:r>
      <w:r w:rsidRPr="000C283E">
        <w:rPr>
          <w:rFonts w:ascii="Times New Roman" w:hAnsi="Times New Roman" w:cs="Times New Roman"/>
          <w:sz w:val="24"/>
          <w:szCs w:val="24"/>
        </w:rPr>
        <w:t xml:space="preserve"> and </w:t>
      </w:r>
      <w:r w:rsidRPr="000C283E">
        <w:rPr>
          <w:rFonts w:ascii="Times New Roman" w:hAnsi="Times New Roman" w:cs="Times New Roman"/>
          <w:i/>
          <w:iCs/>
          <w:sz w:val="24"/>
          <w:szCs w:val="24"/>
        </w:rPr>
        <w:t>Salmonella</w:t>
      </w:r>
      <w:r w:rsidRPr="000C283E">
        <w:rPr>
          <w:rFonts w:ascii="Times New Roman" w:hAnsi="Times New Roman" w:cs="Times New Roman"/>
          <w:sz w:val="24"/>
          <w:szCs w:val="24"/>
        </w:rPr>
        <w:t xml:space="preserve"> disrupt TJ organization, further exacerbating intestinal inflammation and permeability (</w:t>
      </w:r>
      <w:proofErr w:type="spellStart"/>
      <w:r w:rsidRPr="000C283E">
        <w:rPr>
          <w:rFonts w:ascii="Times New Roman" w:hAnsi="Times New Roman" w:cs="Times New Roman"/>
          <w:sz w:val="24"/>
          <w:szCs w:val="24"/>
        </w:rPr>
        <w:t>Ulluwishewa</w:t>
      </w:r>
      <w:proofErr w:type="spellEnd"/>
      <w:r w:rsidRPr="000C283E">
        <w:rPr>
          <w:rFonts w:ascii="Times New Roman" w:hAnsi="Times New Roman" w:cs="Times New Roman"/>
          <w:sz w:val="24"/>
          <w:szCs w:val="24"/>
        </w:rPr>
        <w:t xml:space="preserve"> et al., 2011).</w:t>
      </w:r>
    </w:p>
    <w:p w14:paraId="7063FBC0" w14:textId="77777777" w:rsidR="000C283E" w:rsidRPr="000C283E" w:rsidRDefault="000C283E" w:rsidP="009D0E2E">
      <w:pPr>
        <w:spacing w:line="360" w:lineRule="auto"/>
        <w:jc w:val="both"/>
        <w:rPr>
          <w:rFonts w:ascii="Times New Roman" w:hAnsi="Times New Roman" w:cs="Times New Roman"/>
          <w:sz w:val="24"/>
          <w:szCs w:val="24"/>
        </w:rPr>
      </w:pPr>
      <w:r w:rsidRPr="000C283E">
        <w:rPr>
          <w:rFonts w:ascii="Times New Roman" w:hAnsi="Times New Roman" w:cs="Times New Roman"/>
          <w:sz w:val="24"/>
          <w:szCs w:val="24"/>
        </w:rPr>
        <w:t>From a methodological standpoint, TJ proteins can be assessed by quantitative PCR, Western blotting, and immunohistochemistry in intestinal tissues. Functional correlation with transepithelial electrical resistance (TEER) and permeability assays (e.g., FITC-dextran flux) provides a comprehensive evaluation of epithelial barrier health. In veterinary research, tight junction expression profiling is increasingly employed to assess gut integrity under nutritional trials, disease models, and environmental challenges.</w:t>
      </w:r>
    </w:p>
    <w:p w14:paraId="7063FBC1" w14:textId="77777777" w:rsidR="000C283E" w:rsidRPr="00B57653" w:rsidRDefault="000C283E" w:rsidP="009D0E2E">
      <w:pPr>
        <w:spacing w:line="360" w:lineRule="auto"/>
        <w:jc w:val="both"/>
        <w:rPr>
          <w:rFonts w:ascii="Times New Roman" w:hAnsi="Times New Roman" w:cs="Times New Roman"/>
          <w:sz w:val="24"/>
          <w:szCs w:val="24"/>
        </w:rPr>
      </w:pPr>
      <w:r w:rsidRPr="000C283E">
        <w:rPr>
          <w:rFonts w:ascii="Times New Roman" w:hAnsi="Times New Roman" w:cs="Times New Roman"/>
          <w:sz w:val="24"/>
          <w:szCs w:val="24"/>
        </w:rPr>
        <w:t xml:space="preserve">In summary, tight junction protein expression—particularly </w:t>
      </w:r>
      <w:proofErr w:type="spellStart"/>
      <w:r w:rsidRPr="000C283E">
        <w:rPr>
          <w:rFonts w:ascii="Times New Roman" w:hAnsi="Times New Roman" w:cs="Times New Roman"/>
          <w:sz w:val="24"/>
          <w:szCs w:val="24"/>
        </w:rPr>
        <w:t>occludin</w:t>
      </w:r>
      <w:proofErr w:type="spellEnd"/>
      <w:r w:rsidRPr="000C283E">
        <w:rPr>
          <w:rFonts w:ascii="Times New Roman" w:hAnsi="Times New Roman" w:cs="Times New Roman"/>
          <w:sz w:val="24"/>
          <w:szCs w:val="24"/>
        </w:rPr>
        <w:t>, claudins, and ZO-1—represents a robust functional marker of gut health. Their dynamic regulation reflects the gut’s ability to respond to dietary, microbial, and environmental factors, making them indispensable targets for evaluating and improving intestinal barrier function in livestock production systems.</w:t>
      </w:r>
    </w:p>
    <w:p w14:paraId="7063FBC2" w14:textId="77777777" w:rsidR="00151FC6" w:rsidRPr="00B57653" w:rsidRDefault="00A440E3" w:rsidP="009D0E2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151FC6" w:rsidRPr="00B57653">
        <w:rPr>
          <w:rFonts w:ascii="Times New Roman" w:hAnsi="Times New Roman" w:cs="Times New Roman"/>
          <w:b/>
          <w:bCs/>
          <w:sz w:val="24"/>
          <w:szCs w:val="24"/>
        </w:rPr>
        <w:t>.2 Capillary Density</w:t>
      </w:r>
    </w:p>
    <w:p w14:paraId="7063FBC3" w14:textId="77777777" w:rsidR="006A20EF" w:rsidRPr="00D03974" w:rsidRDefault="006A20EF" w:rsidP="009D0E2E">
      <w:pPr>
        <w:spacing w:line="360" w:lineRule="auto"/>
        <w:jc w:val="both"/>
        <w:rPr>
          <w:rFonts w:ascii="Times New Roman" w:hAnsi="Times New Roman" w:cs="Times New Roman"/>
          <w:sz w:val="24"/>
          <w:szCs w:val="24"/>
        </w:rPr>
      </w:pPr>
      <w:r w:rsidRPr="00D03974">
        <w:rPr>
          <w:rFonts w:ascii="Times New Roman" w:hAnsi="Times New Roman" w:cs="Times New Roman"/>
          <w:sz w:val="24"/>
          <w:szCs w:val="24"/>
        </w:rPr>
        <w:t xml:space="preserve">Gut health is critically dependent on an adequate blood supply that delivers oxygen, nutrients, and immune cells to the intestinal mucosa while simultaneously removing absorbed nutrients and metabolic </w:t>
      </w:r>
      <w:r w:rsidRPr="00CC1981">
        <w:rPr>
          <w:rFonts w:ascii="Times New Roman" w:hAnsi="Times New Roman" w:cs="Times New Roman"/>
          <w:sz w:val="24"/>
          <w:szCs w:val="24"/>
        </w:rPr>
        <w:t>waste. Capillary density—the number of capillaries per unit tissue area—is emerging as an important functional marker of gut health, reflecting</w:t>
      </w:r>
      <w:r w:rsidRPr="00D03974">
        <w:rPr>
          <w:rFonts w:ascii="Times New Roman" w:hAnsi="Times New Roman" w:cs="Times New Roman"/>
          <w:sz w:val="24"/>
          <w:szCs w:val="24"/>
        </w:rPr>
        <w:t xml:space="preserve"> both the physiological state of the gut and its capacity to support nutrient absorption and barrier integrity</w:t>
      </w:r>
      <w:r w:rsidR="006A7582">
        <w:rPr>
          <w:rFonts w:ascii="Times New Roman" w:hAnsi="Times New Roman" w:cs="Times New Roman"/>
          <w:sz w:val="24"/>
          <w:szCs w:val="24"/>
        </w:rPr>
        <w:t xml:space="preserve"> (Table.2)</w:t>
      </w:r>
      <w:r w:rsidRPr="00D03974">
        <w:rPr>
          <w:rFonts w:ascii="Times New Roman" w:hAnsi="Times New Roman" w:cs="Times New Roman"/>
          <w:sz w:val="24"/>
          <w:szCs w:val="24"/>
        </w:rPr>
        <w:t>.</w:t>
      </w:r>
    </w:p>
    <w:p w14:paraId="7063FBC4" w14:textId="77777777" w:rsidR="006A20EF" w:rsidRPr="00D03974" w:rsidRDefault="006A20EF" w:rsidP="009D0E2E">
      <w:pPr>
        <w:spacing w:line="360" w:lineRule="auto"/>
        <w:jc w:val="both"/>
        <w:rPr>
          <w:rFonts w:ascii="Times New Roman" w:hAnsi="Times New Roman" w:cs="Times New Roman"/>
          <w:sz w:val="24"/>
          <w:szCs w:val="24"/>
        </w:rPr>
      </w:pPr>
      <w:r w:rsidRPr="00CC1981">
        <w:rPr>
          <w:rFonts w:ascii="Times New Roman" w:hAnsi="Times New Roman" w:cs="Times New Roman"/>
          <w:sz w:val="24"/>
          <w:szCs w:val="24"/>
        </w:rPr>
        <w:t xml:space="preserve">In livestock and poultry, nutritional and environmental factors strongly influence gut </w:t>
      </w:r>
      <w:proofErr w:type="spellStart"/>
      <w:r w:rsidRPr="00CC1981">
        <w:rPr>
          <w:rFonts w:ascii="Times New Roman" w:hAnsi="Times New Roman" w:cs="Times New Roman"/>
          <w:sz w:val="24"/>
          <w:szCs w:val="24"/>
        </w:rPr>
        <w:t>microvascularization</w:t>
      </w:r>
      <w:proofErr w:type="spellEnd"/>
      <w:r w:rsidRPr="00CC1981">
        <w:rPr>
          <w:rFonts w:ascii="Times New Roman" w:hAnsi="Times New Roman" w:cs="Times New Roman"/>
          <w:sz w:val="24"/>
          <w:szCs w:val="24"/>
        </w:rPr>
        <w:t>. For instance, dietary supplementation with butyrate, glutamine, and omega-3 fatty acids has been shown to stimulate angiogenesis and increase capillary density in the intestinal mucosa (</w:t>
      </w:r>
      <w:proofErr w:type="spellStart"/>
      <w:r w:rsidRPr="00CC1981">
        <w:rPr>
          <w:rFonts w:ascii="Times New Roman" w:hAnsi="Times New Roman" w:cs="Times New Roman"/>
          <w:sz w:val="24"/>
          <w:szCs w:val="24"/>
        </w:rPr>
        <w:t>Vaugelade</w:t>
      </w:r>
      <w:proofErr w:type="spellEnd"/>
      <w:r w:rsidRPr="00CC1981">
        <w:rPr>
          <w:rFonts w:ascii="Times New Roman" w:hAnsi="Times New Roman" w:cs="Times New Roman"/>
          <w:sz w:val="24"/>
          <w:szCs w:val="24"/>
        </w:rPr>
        <w:t xml:space="preserve"> et al., 2003; Yao et al., 2019). Similarly, probiotics and prebiotics may indirectly promote mucosal vascularization through the production of short-chain fatty acids (SCFAs), which act as </w:t>
      </w:r>
      <w:proofErr w:type="spellStart"/>
      <w:r w:rsidRPr="00CC1981">
        <w:rPr>
          <w:rFonts w:ascii="Times New Roman" w:hAnsi="Times New Roman" w:cs="Times New Roman"/>
          <w:sz w:val="24"/>
          <w:szCs w:val="24"/>
        </w:rPr>
        <w:t>signaling</w:t>
      </w:r>
      <w:proofErr w:type="spellEnd"/>
      <w:r w:rsidRPr="00CC1981">
        <w:rPr>
          <w:rFonts w:ascii="Times New Roman" w:hAnsi="Times New Roman" w:cs="Times New Roman"/>
          <w:sz w:val="24"/>
          <w:szCs w:val="24"/>
        </w:rPr>
        <w:t xml:space="preserve"> molecules for endothelial growth. Conversely, weaning stress, heat stress, and mycotoxin exposure are associated with villus atrophy, reduced capillary supply, and impaired gut absorptive capacity (Pearce</w:t>
      </w:r>
      <w:r w:rsidRPr="00D03974">
        <w:rPr>
          <w:rFonts w:ascii="Times New Roman" w:hAnsi="Times New Roman" w:cs="Times New Roman"/>
          <w:sz w:val="24"/>
          <w:szCs w:val="24"/>
        </w:rPr>
        <w:t xml:space="preserve"> et al., 2013).</w:t>
      </w:r>
    </w:p>
    <w:p w14:paraId="7063FBC5" w14:textId="77777777" w:rsidR="006A20EF" w:rsidRPr="00CC1981" w:rsidRDefault="006A20EF" w:rsidP="009D0E2E">
      <w:pPr>
        <w:spacing w:line="360" w:lineRule="auto"/>
        <w:jc w:val="both"/>
        <w:rPr>
          <w:rFonts w:ascii="Times New Roman" w:hAnsi="Times New Roman" w:cs="Times New Roman"/>
          <w:sz w:val="24"/>
          <w:szCs w:val="24"/>
        </w:rPr>
      </w:pPr>
      <w:r w:rsidRPr="00D03974">
        <w:rPr>
          <w:rFonts w:ascii="Times New Roman" w:hAnsi="Times New Roman" w:cs="Times New Roman"/>
          <w:sz w:val="24"/>
          <w:szCs w:val="24"/>
        </w:rPr>
        <w:t xml:space="preserve">Pathophysiological conditions further highlight the role of capillary density as a gut health marker. Inflammatory responses trigger angiogenesis; however, the newly formed vessels may be structurally abnormal, leading to inefficient perfusion and increased intestinal </w:t>
      </w:r>
      <w:r w:rsidRPr="00D03974">
        <w:rPr>
          <w:rFonts w:ascii="Times New Roman" w:hAnsi="Times New Roman" w:cs="Times New Roman"/>
          <w:sz w:val="24"/>
          <w:szCs w:val="24"/>
        </w:rPr>
        <w:lastRenderedPageBreak/>
        <w:t>permeability (Granger &amp;</w:t>
      </w:r>
      <w:proofErr w:type="spellStart"/>
      <w:r w:rsidRPr="00CC1981">
        <w:rPr>
          <w:rFonts w:ascii="Times New Roman" w:hAnsi="Times New Roman" w:cs="Times New Roman"/>
          <w:sz w:val="24"/>
          <w:szCs w:val="24"/>
        </w:rPr>
        <w:t>Kvietys</w:t>
      </w:r>
      <w:proofErr w:type="spellEnd"/>
      <w:r w:rsidRPr="00CC1981">
        <w:rPr>
          <w:rFonts w:ascii="Times New Roman" w:hAnsi="Times New Roman" w:cs="Times New Roman"/>
          <w:sz w:val="24"/>
          <w:szCs w:val="24"/>
        </w:rPr>
        <w:t xml:space="preserve">, 2015). Reduced or dysfunctional microcirculation has also been linked to necrotic enteritis in poultry and post-weaning </w:t>
      </w:r>
      <w:proofErr w:type="spellStart"/>
      <w:r w:rsidRPr="00CC1981">
        <w:rPr>
          <w:rFonts w:ascii="Times New Roman" w:hAnsi="Times New Roman" w:cs="Times New Roman"/>
          <w:sz w:val="24"/>
          <w:szCs w:val="24"/>
        </w:rPr>
        <w:t>diarrhea</w:t>
      </w:r>
      <w:proofErr w:type="spellEnd"/>
      <w:r w:rsidRPr="00CC1981">
        <w:rPr>
          <w:rFonts w:ascii="Times New Roman" w:hAnsi="Times New Roman" w:cs="Times New Roman"/>
          <w:sz w:val="24"/>
          <w:szCs w:val="24"/>
        </w:rPr>
        <w:t xml:space="preserve"> in piglets, conditions where mucosal ischemia and impaired nutrient transport play central roles.</w:t>
      </w:r>
    </w:p>
    <w:p w14:paraId="7063FBC6" w14:textId="77777777" w:rsidR="00D53353" w:rsidRPr="00B57653" w:rsidRDefault="006A20EF" w:rsidP="009D0E2E">
      <w:pPr>
        <w:spacing w:line="360" w:lineRule="auto"/>
        <w:jc w:val="both"/>
        <w:rPr>
          <w:rFonts w:ascii="Times New Roman" w:hAnsi="Times New Roman" w:cs="Times New Roman"/>
          <w:b/>
          <w:bCs/>
          <w:sz w:val="24"/>
          <w:szCs w:val="24"/>
        </w:rPr>
      </w:pPr>
      <w:r w:rsidRPr="00CC1981">
        <w:rPr>
          <w:rFonts w:ascii="Times New Roman" w:hAnsi="Times New Roman" w:cs="Times New Roman"/>
          <w:sz w:val="24"/>
          <w:szCs w:val="24"/>
        </w:rPr>
        <w:t>Methodologically, capillary density can be quantified through histomorphometry, immunohistochemistry (CD31, von Willebrand factor), and intravital microscopy. In animal studies, correlations between villus height, crypt depth, and capillary density provide</w:t>
      </w:r>
      <w:r w:rsidRPr="00D03974">
        <w:rPr>
          <w:rFonts w:ascii="Times New Roman" w:hAnsi="Times New Roman" w:cs="Times New Roman"/>
          <w:sz w:val="24"/>
          <w:szCs w:val="24"/>
        </w:rPr>
        <w:t xml:space="preserve"> a composite measure of gut functional capacity (Taniguchi et al., 2008). Thus, assessing capillary density alongside epithelial and immune markers can provide a more holistic picture of gut </w:t>
      </w:r>
      <w:proofErr w:type="spellStart"/>
      <w:proofErr w:type="gramStart"/>
      <w:r w:rsidRPr="00D03974">
        <w:rPr>
          <w:rFonts w:ascii="Times New Roman" w:hAnsi="Times New Roman" w:cs="Times New Roman"/>
          <w:sz w:val="24"/>
          <w:szCs w:val="24"/>
        </w:rPr>
        <w:t>health.</w:t>
      </w:r>
      <w:r w:rsidR="00D71530">
        <w:rPr>
          <w:rFonts w:ascii="Times New Roman" w:hAnsi="Times New Roman" w:cs="Times New Roman"/>
          <w:sz w:val="24"/>
          <w:szCs w:val="24"/>
        </w:rPr>
        <w:t>The</w:t>
      </w:r>
      <w:proofErr w:type="spellEnd"/>
      <w:proofErr w:type="gramEnd"/>
      <w:r w:rsidR="00D71530">
        <w:rPr>
          <w:rFonts w:ascii="Times New Roman" w:hAnsi="Times New Roman" w:cs="Times New Roman"/>
          <w:sz w:val="24"/>
          <w:szCs w:val="24"/>
        </w:rPr>
        <w:t xml:space="preserve"> </w:t>
      </w:r>
      <w:r w:rsidRPr="00FE0CB2">
        <w:rPr>
          <w:rFonts w:ascii="Times New Roman" w:hAnsi="Times New Roman" w:cs="Times New Roman"/>
          <w:sz w:val="24"/>
          <w:szCs w:val="24"/>
        </w:rPr>
        <w:t xml:space="preserve"> capillary density is a valuable functional marker of gut health, representing</w:t>
      </w:r>
      <w:r w:rsidRPr="00D03974">
        <w:rPr>
          <w:rFonts w:ascii="Times New Roman" w:hAnsi="Times New Roman" w:cs="Times New Roman"/>
          <w:sz w:val="24"/>
          <w:szCs w:val="24"/>
        </w:rPr>
        <w:t xml:space="preserve"> the gut’s ability to sustain metabolic demands, support barrier integrity, and adapt to nutritional or environmental challenges. Incorporating microvascular health into gut health assessment frameworks will improve our understanding of host–diet–microbiota interactions and aid in designing strategies to optimize livestock productivity and resilience.</w:t>
      </w:r>
    </w:p>
    <w:p w14:paraId="7063FBC7" w14:textId="77777777" w:rsidR="00151FC6" w:rsidRPr="00A676B1" w:rsidRDefault="00151FC6" w:rsidP="009D0E2E">
      <w:pPr>
        <w:pStyle w:val="ListParagraph"/>
        <w:numPr>
          <w:ilvl w:val="1"/>
          <w:numId w:val="45"/>
        </w:numPr>
        <w:spacing w:line="360" w:lineRule="auto"/>
        <w:jc w:val="both"/>
        <w:rPr>
          <w:rFonts w:ascii="Times New Roman" w:hAnsi="Times New Roman" w:cs="Times New Roman"/>
          <w:b/>
          <w:bCs/>
          <w:sz w:val="24"/>
          <w:szCs w:val="24"/>
        </w:rPr>
      </w:pPr>
      <w:r w:rsidRPr="00A676B1">
        <w:rPr>
          <w:rFonts w:ascii="Times New Roman" w:hAnsi="Times New Roman" w:cs="Times New Roman"/>
          <w:b/>
          <w:bCs/>
          <w:sz w:val="24"/>
          <w:szCs w:val="24"/>
        </w:rPr>
        <w:t>Neurochemical Markers (e.g. VIP, Substance P)</w:t>
      </w:r>
    </w:p>
    <w:p w14:paraId="7063FBC8" w14:textId="77777777" w:rsidR="00FB3363" w:rsidRPr="00B57653" w:rsidRDefault="00FB3363" w:rsidP="009D0E2E">
      <w:pPr>
        <w:pStyle w:val="ListParagraph"/>
        <w:spacing w:line="360" w:lineRule="auto"/>
        <w:ind w:left="360"/>
        <w:jc w:val="both"/>
        <w:rPr>
          <w:rFonts w:ascii="Times New Roman" w:hAnsi="Times New Roman" w:cs="Times New Roman"/>
          <w:sz w:val="24"/>
          <w:szCs w:val="24"/>
        </w:rPr>
      </w:pPr>
      <w:r w:rsidRPr="00B57653">
        <w:rPr>
          <w:rFonts w:ascii="Times New Roman" w:hAnsi="Times New Roman" w:cs="Times New Roman"/>
          <w:sz w:val="24"/>
          <w:szCs w:val="24"/>
        </w:rPr>
        <w:t xml:space="preserve">The gastrointestinal tract </w:t>
      </w:r>
      <w:proofErr w:type="spellStart"/>
      <w:r w:rsidRPr="00B57653">
        <w:rPr>
          <w:rFonts w:ascii="Times New Roman" w:hAnsi="Times New Roman" w:cs="Times New Roman"/>
          <w:sz w:val="24"/>
          <w:szCs w:val="24"/>
        </w:rPr>
        <w:t>harbors</w:t>
      </w:r>
      <w:proofErr w:type="spellEnd"/>
      <w:r w:rsidRPr="00B57653">
        <w:rPr>
          <w:rFonts w:ascii="Times New Roman" w:hAnsi="Times New Roman" w:cs="Times New Roman"/>
          <w:sz w:val="24"/>
          <w:szCs w:val="24"/>
        </w:rPr>
        <w:t xml:space="preserve"> a complex network of neurons known as the enteric nervous system (ENS), often referred to as the “second brain.” This network regulates motility, secretion, blood flow, and immune interactions, thereby playing a central role in maintaining gut health. Neurochemical markers, which include neurotransmitters, neuropeptides, and their receptors, are increasingly recognized as functional indicators of gut health. Alterations in their expression or activity reflect changes in gut physiology and </w:t>
      </w:r>
      <w:proofErr w:type="spellStart"/>
      <w:proofErr w:type="gramStart"/>
      <w:r w:rsidRPr="00B57653">
        <w:rPr>
          <w:rFonts w:ascii="Times New Roman" w:hAnsi="Times New Roman" w:cs="Times New Roman"/>
          <w:sz w:val="24"/>
          <w:szCs w:val="24"/>
        </w:rPr>
        <w:t>pathophysiology.Among</w:t>
      </w:r>
      <w:proofErr w:type="spellEnd"/>
      <w:proofErr w:type="gramEnd"/>
      <w:r w:rsidRPr="00B57653">
        <w:rPr>
          <w:rFonts w:ascii="Times New Roman" w:hAnsi="Times New Roman" w:cs="Times New Roman"/>
          <w:sz w:val="24"/>
          <w:szCs w:val="24"/>
        </w:rPr>
        <w:t xml:space="preserve"> the most studied neurochemical markers are acetylcholine (</w:t>
      </w:r>
      <w:proofErr w:type="spellStart"/>
      <w:r w:rsidRPr="00B57653">
        <w:rPr>
          <w:rFonts w:ascii="Times New Roman" w:hAnsi="Times New Roman" w:cs="Times New Roman"/>
          <w:sz w:val="24"/>
          <w:szCs w:val="24"/>
        </w:rPr>
        <w:t>ACh</w:t>
      </w:r>
      <w:proofErr w:type="spellEnd"/>
      <w:r w:rsidRPr="00B57653">
        <w:rPr>
          <w:rFonts w:ascii="Times New Roman" w:hAnsi="Times New Roman" w:cs="Times New Roman"/>
          <w:sz w:val="24"/>
          <w:szCs w:val="24"/>
        </w:rPr>
        <w:t>), serotonin (5-hydroxytryptamine, 5-HT), vasoactive intestinal peptide (VIP), nitric oxide (NO), and substance P (SP). Each of these contributes to specific aspects of gut function:</w:t>
      </w:r>
    </w:p>
    <w:p w14:paraId="7063FBC9" w14:textId="77777777" w:rsidR="00FB3363" w:rsidRPr="00B57653" w:rsidRDefault="00FB3363" w:rsidP="009D0E2E">
      <w:pPr>
        <w:pStyle w:val="ListParagraph"/>
        <w:spacing w:line="360" w:lineRule="auto"/>
        <w:ind w:left="360"/>
        <w:jc w:val="both"/>
        <w:rPr>
          <w:rFonts w:ascii="Times New Roman" w:hAnsi="Times New Roman" w:cs="Times New Roman"/>
          <w:sz w:val="24"/>
          <w:szCs w:val="24"/>
        </w:rPr>
      </w:pPr>
      <w:r w:rsidRPr="00B57653">
        <w:rPr>
          <w:rFonts w:ascii="Times New Roman" w:hAnsi="Times New Roman" w:cs="Times New Roman"/>
          <w:sz w:val="24"/>
          <w:szCs w:val="24"/>
        </w:rPr>
        <w:t>Acetylcholine (</w:t>
      </w:r>
      <w:proofErr w:type="spellStart"/>
      <w:r w:rsidRPr="00B57653">
        <w:rPr>
          <w:rFonts w:ascii="Times New Roman" w:hAnsi="Times New Roman" w:cs="Times New Roman"/>
          <w:sz w:val="24"/>
          <w:szCs w:val="24"/>
        </w:rPr>
        <w:t>ACh</w:t>
      </w:r>
      <w:proofErr w:type="spellEnd"/>
      <w:r w:rsidRPr="00B57653">
        <w:rPr>
          <w:rFonts w:ascii="Times New Roman" w:hAnsi="Times New Roman" w:cs="Times New Roman"/>
          <w:sz w:val="24"/>
          <w:szCs w:val="24"/>
        </w:rPr>
        <w:t xml:space="preserve">): The primary excitatory neurotransmitter in the ENS, critical for stimulating smooth muscle contraction and secretory activity. Reduced cholinergic </w:t>
      </w:r>
      <w:proofErr w:type="spellStart"/>
      <w:r w:rsidRPr="00B57653">
        <w:rPr>
          <w:rFonts w:ascii="Times New Roman" w:hAnsi="Times New Roman" w:cs="Times New Roman"/>
          <w:sz w:val="24"/>
          <w:szCs w:val="24"/>
        </w:rPr>
        <w:t>signaling</w:t>
      </w:r>
      <w:proofErr w:type="spellEnd"/>
      <w:r w:rsidRPr="00B57653">
        <w:rPr>
          <w:rFonts w:ascii="Times New Roman" w:hAnsi="Times New Roman" w:cs="Times New Roman"/>
          <w:sz w:val="24"/>
          <w:szCs w:val="24"/>
        </w:rPr>
        <w:t xml:space="preserve"> is associated with hypomotility and constipation, while overactivation contributes to </w:t>
      </w:r>
      <w:proofErr w:type="spellStart"/>
      <w:r w:rsidRPr="00B57653">
        <w:rPr>
          <w:rFonts w:ascii="Times New Roman" w:hAnsi="Times New Roman" w:cs="Times New Roman"/>
          <w:sz w:val="24"/>
          <w:szCs w:val="24"/>
        </w:rPr>
        <w:t>diarrhea</w:t>
      </w:r>
      <w:proofErr w:type="spellEnd"/>
      <w:r w:rsidRPr="00B57653">
        <w:rPr>
          <w:rFonts w:ascii="Times New Roman" w:hAnsi="Times New Roman" w:cs="Times New Roman"/>
          <w:sz w:val="24"/>
          <w:szCs w:val="24"/>
        </w:rPr>
        <w:t xml:space="preserve"> (Furness, 2012).</w:t>
      </w:r>
    </w:p>
    <w:p w14:paraId="7063FBCA" w14:textId="77777777" w:rsidR="00FB3363" w:rsidRPr="00B57653" w:rsidRDefault="00FB3363" w:rsidP="009D0E2E">
      <w:pPr>
        <w:pStyle w:val="ListParagraph"/>
        <w:spacing w:line="360" w:lineRule="auto"/>
        <w:ind w:left="360"/>
        <w:jc w:val="both"/>
        <w:rPr>
          <w:rFonts w:ascii="Times New Roman" w:hAnsi="Times New Roman" w:cs="Times New Roman"/>
          <w:sz w:val="24"/>
          <w:szCs w:val="24"/>
        </w:rPr>
      </w:pPr>
      <w:r w:rsidRPr="00FA571D">
        <w:rPr>
          <w:rFonts w:ascii="Times New Roman" w:hAnsi="Times New Roman" w:cs="Times New Roman"/>
          <w:b/>
          <w:bCs/>
          <w:sz w:val="24"/>
          <w:szCs w:val="24"/>
        </w:rPr>
        <w:t>Serotonin (5-HT):</w:t>
      </w:r>
      <w:r w:rsidRPr="00B57653">
        <w:rPr>
          <w:rFonts w:ascii="Times New Roman" w:hAnsi="Times New Roman" w:cs="Times New Roman"/>
          <w:sz w:val="24"/>
          <w:szCs w:val="24"/>
        </w:rPr>
        <w:t xml:space="preserve"> Secreted by enterochromaffin cells, 5-HT regulates peristalsis, secretion, and visceral sensitivity. Dysregulated serotonin pathways are implicated in irritable bowel syndrome (IBS) and stress-induced gut dysfunction in animals (</w:t>
      </w:r>
      <w:proofErr w:type="spellStart"/>
      <w:r w:rsidRPr="00B57653">
        <w:rPr>
          <w:rFonts w:ascii="Times New Roman" w:hAnsi="Times New Roman" w:cs="Times New Roman"/>
          <w:sz w:val="24"/>
          <w:szCs w:val="24"/>
        </w:rPr>
        <w:t>Mawe</w:t>
      </w:r>
      <w:proofErr w:type="spellEnd"/>
      <w:r w:rsidRPr="00B57653">
        <w:rPr>
          <w:rFonts w:ascii="Times New Roman" w:hAnsi="Times New Roman" w:cs="Times New Roman"/>
          <w:sz w:val="24"/>
          <w:szCs w:val="24"/>
        </w:rPr>
        <w:t>&amp; Hoffman, 2013).</w:t>
      </w:r>
    </w:p>
    <w:p w14:paraId="7063FBCB" w14:textId="77777777" w:rsidR="00FB3363" w:rsidRPr="00B57653" w:rsidRDefault="00FB3363" w:rsidP="009D0E2E">
      <w:pPr>
        <w:pStyle w:val="ListParagraph"/>
        <w:spacing w:line="360" w:lineRule="auto"/>
        <w:ind w:left="360"/>
        <w:jc w:val="both"/>
        <w:rPr>
          <w:rFonts w:ascii="Times New Roman" w:hAnsi="Times New Roman" w:cs="Times New Roman"/>
          <w:sz w:val="24"/>
          <w:szCs w:val="24"/>
        </w:rPr>
      </w:pPr>
      <w:r w:rsidRPr="00FA571D">
        <w:rPr>
          <w:rFonts w:ascii="Times New Roman" w:hAnsi="Times New Roman" w:cs="Times New Roman"/>
          <w:b/>
          <w:bCs/>
          <w:sz w:val="24"/>
          <w:szCs w:val="24"/>
        </w:rPr>
        <w:lastRenderedPageBreak/>
        <w:t>Vasoactive Intestinal Peptide (VIP):</w:t>
      </w:r>
      <w:r w:rsidRPr="00B57653">
        <w:rPr>
          <w:rFonts w:ascii="Times New Roman" w:hAnsi="Times New Roman" w:cs="Times New Roman"/>
          <w:sz w:val="24"/>
          <w:szCs w:val="24"/>
        </w:rPr>
        <w:t xml:space="preserve"> A neuropeptide with anti-inflammatory and immunomodulatory effects, promoting smooth muscle relaxation and epithelial barrier protection. Downregulation of VIP is linked with inflammatory bowel diseases (Tao et al., 2016).</w:t>
      </w:r>
    </w:p>
    <w:p w14:paraId="7063FBCC" w14:textId="77777777" w:rsidR="00FB3363" w:rsidRPr="00B57653" w:rsidRDefault="00FB3363" w:rsidP="009D0E2E">
      <w:pPr>
        <w:pStyle w:val="ListParagraph"/>
        <w:spacing w:line="360" w:lineRule="auto"/>
        <w:ind w:left="360"/>
        <w:jc w:val="both"/>
        <w:rPr>
          <w:rFonts w:ascii="Times New Roman" w:hAnsi="Times New Roman" w:cs="Times New Roman"/>
          <w:sz w:val="24"/>
          <w:szCs w:val="24"/>
        </w:rPr>
      </w:pPr>
      <w:r w:rsidRPr="00FA571D">
        <w:rPr>
          <w:rFonts w:ascii="Times New Roman" w:hAnsi="Times New Roman" w:cs="Times New Roman"/>
          <w:b/>
          <w:bCs/>
          <w:sz w:val="24"/>
          <w:szCs w:val="24"/>
        </w:rPr>
        <w:t>Nitric Oxide (NO):</w:t>
      </w:r>
      <w:r w:rsidRPr="00B57653">
        <w:rPr>
          <w:rFonts w:ascii="Times New Roman" w:hAnsi="Times New Roman" w:cs="Times New Roman"/>
          <w:sz w:val="24"/>
          <w:szCs w:val="24"/>
        </w:rPr>
        <w:t xml:space="preserve"> Synthesized by enteric nitrergic neurons, NO induces smooth muscle relaxation and modulates vascular tone. Impaired NO </w:t>
      </w:r>
      <w:r w:rsidR="00361104" w:rsidRPr="00B57653">
        <w:rPr>
          <w:rFonts w:ascii="Times New Roman" w:hAnsi="Times New Roman" w:cs="Times New Roman"/>
          <w:sz w:val="24"/>
          <w:szCs w:val="24"/>
        </w:rPr>
        <w:t>signalling</w:t>
      </w:r>
      <w:r w:rsidRPr="00B57653">
        <w:rPr>
          <w:rFonts w:ascii="Times New Roman" w:hAnsi="Times New Roman" w:cs="Times New Roman"/>
          <w:sz w:val="24"/>
          <w:szCs w:val="24"/>
        </w:rPr>
        <w:t xml:space="preserve"> leads to dysmotility and microvascular dysfunction (Bult et al., 1990).</w:t>
      </w:r>
    </w:p>
    <w:p w14:paraId="7063FBCD" w14:textId="77777777" w:rsidR="00FB3363" w:rsidRPr="00733A17" w:rsidRDefault="00FB3363" w:rsidP="009D0E2E">
      <w:pPr>
        <w:pStyle w:val="ListParagraph"/>
        <w:spacing w:line="360" w:lineRule="auto"/>
        <w:ind w:left="360"/>
        <w:jc w:val="both"/>
        <w:rPr>
          <w:rFonts w:ascii="Times New Roman" w:hAnsi="Times New Roman" w:cs="Times New Roman"/>
          <w:color w:val="C00000"/>
          <w:sz w:val="24"/>
          <w:szCs w:val="24"/>
        </w:rPr>
      </w:pPr>
      <w:r w:rsidRPr="00FA571D">
        <w:rPr>
          <w:rFonts w:ascii="Times New Roman" w:hAnsi="Times New Roman" w:cs="Times New Roman"/>
          <w:b/>
          <w:bCs/>
          <w:sz w:val="24"/>
          <w:szCs w:val="24"/>
        </w:rPr>
        <w:t>Substance P (SP):</w:t>
      </w:r>
      <w:r w:rsidRPr="00B57653">
        <w:rPr>
          <w:rFonts w:ascii="Times New Roman" w:hAnsi="Times New Roman" w:cs="Times New Roman"/>
          <w:sz w:val="24"/>
          <w:szCs w:val="24"/>
        </w:rPr>
        <w:t xml:space="preserve"> A neuropeptide involved in excitatory neurotransmission and neurogenic inflammation. Elevated SP is associated with increased permeability, mast cell activation, and visceral hypersensitivity (Steinhoff et al., </w:t>
      </w:r>
      <w:proofErr w:type="gramStart"/>
      <w:r w:rsidRPr="00B57653">
        <w:rPr>
          <w:rFonts w:ascii="Times New Roman" w:hAnsi="Times New Roman" w:cs="Times New Roman"/>
          <w:sz w:val="24"/>
          <w:szCs w:val="24"/>
        </w:rPr>
        <w:t>2014</w:t>
      </w:r>
      <w:r w:rsidRPr="00733A17">
        <w:rPr>
          <w:rFonts w:ascii="Times New Roman" w:hAnsi="Times New Roman" w:cs="Times New Roman"/>
          <w:color w:val="C00000"/>
          <w:sz w:val="24"/>
          <w:szCs w:val="24"/>
        </w:rPr>
        <w:t>).</w:t>
      </w:r>
      <w:r w:rsidR="000A355B" w:rsidRPr="00733A17">
        <w:rPr>
          <w:rFonts w:ascii="Times New Roman" w:hAnsi="Times New Roman" w:cs="Times New Roman"/>
          <w:color w:val="C00000"/>
          <w:sz w:val="24"/>
          <w:szCs w:val="24"/>
        </w:rPr>
        <w:t>.........</w:t>
      </w:r>
      <w:proofErr w:type="gramEnd"/>
    </w:p>
    <w:p w14:paraId="7063FBCE" w14:textId="77777777" w:rsidR="00FB3363" w:rsidRPr="00B57653" w:rsidRDefault="00FB3363" w:rsidP="009D0E2E">
      <w:pPr>
        <w:pStyle w:val="ListParagraph"/>
        <w:spacing w:line="360" w:lineRule="auto"/>
        <w:ind w:left="360" w:firstLine="360"/>
        <w:jc w:val="both"/>
        <w:rPr>
          <w:rFonts w:ascii="Times New Roman" w:hAnsi="Times New Roman" w:cs="Times New Roman"/>
          <w:sz w:val="24"/>
          <w:szCs w:val="24"/>
        </w:rPr>
      </w:pPr>
      <w:r w:rsidRPr="00B57653">
        <w:rPr>
          <w:rFonts w:ascii="Times New Roman" w:hAnsi="Times New Roman" w:cs="Times New Roman"/>
          <w:sz w:val="24"/>
          <w:szCs w:val="24"/>
        </w:rPr>
        <w:t xml:space="preserve">External factors such as diet, microbiota, and stress strongly influence these neurochemical markers. For example, probiotics modulate serotonin and GABA </w:t>
      </w:r>
      <w:r w:rsidR="00361104" w:rsidRPr="00B57653">
        <w:rPr>
          <w:rFonts w:ascii="Times New Roman" w:hAnsi="Times New Roman" w:cs="Times New Roman"/>
          <w:sz w:val="24"/>
          <w:szCs w:val="24"/>
        </w:rPr>
        <w:t>signalling</w:t>
      </w:r>
      <w:r w:rsidRPr="00B57653">
        <w:rPr>
          <w:rFonts w:ascii="Times New Roman" w:hAnsi="Times New Roman" w:cs="Times New Roman"/>
          <w:sz w:val="24"/>
          <w:szCs w:val="24"/>
        </w:rPr>
        <w:t xml:space="preserve"> pathways, contributing to improved motility and stress resilience (Barrett et al., 2012). Heat stress and weaning stress in livestock alter ENS neurochemistry, impairing motility and epithelial barrier integrity (Zhou et al., 2020). Moreover, mycotoxins and bacterial toxins disrupt neurotransmitter balance, aggravating enteric </w:t>
      </w:r>
      <w:proofErr w:type="spellStart"/>
      <w:proofErr w:type="gramStart"/>
      <w:r w:rsidRPr="00B57653">
        <w:rPr>
          <w:rFonts w:ascii="Times New Roman" w:hAnsi="Times New Roman" w:cs="Times New Roman"/>
          <w:sz w:val="24"/>
          <w:szCs w:val="24"/>
        </w:rPr>
        <w:t>dysfunction.Assessment</w:t>
      </w:r>
      <w:proofErr w:type="spellEnd"/>
      <w:proofErr w:type="gramEnd"/>
      <w:r w:rsidRPr="00B57653">
        <w:rPr>
          <w:rFonts w:ascii="Times New Roman" w:hAnsi="Times New Roman" w:cs="Times New Roman"/>
          <w:sz w:val="24"/>
          <w:szCs w:val="24"/>
        </w:rPr>
        <w:t xml:space="preserve"> of neurochemical markers is carried out by immunohistochemistry, in situ hybridization, high-performance liquid chromatography (HPLC), and ELISA, often in combination with functional motility assays. In veterinary medicine, profiling ENS neurochemistry provides insights into gut health under diverse nutritional, infectious, and environmental </w:t>
      </w:r>
      <w:proofErr w:type="spellStart"/>
      <w:proofErr w:type="gramStart"/>
      <w:r w:rsidRPr="00B57653">
        <w:rPr>
          <w:rFonts w:ascii="Times New Roman" w:hAnsi="Times New Roman" w:cs="Times New Roman"/>
          <w:sz w:val="24"/>
          <w:szCs w:val="24"/>
        </w:rPr>
        <w:t>challenges.In</w:t>
      </w:r>
      <w:proofErr w:type="spellEnd"/>
      <w:proofErr w:type="gramEnd"/>
      <w:r w:rsidRPr="00B57653">
        <w:rPr>
          <w:rFonts w:ascii="Times New Roman" w:hAnsi="Times New Roman" w:cs="Times New Roman"/>
          <w:sz w:val="24"/>
          <w:szCs w:val="24"/>
        </w:rPr>
        <w:t xml:space="preserve"> conclusion, neurochemical markers serve as valuable functional indicators of gut health, bridging neural, immune, and epithelial interactions. Their dynamic regulation underlines the importance of gut–brain communication and offers opportunities for nutritional and therapeutic interventions aimed at enhancing livestock performance and resilience.</w:t>
      </w:r>
    </w:p>
    <w:p w14:paraId="7063FBCF" w14:textId="77777777" w:rsidR="00151FC6" w:rsidRPr="00C42E1B" w:rsidRDefault="00151FC6" w:rsidP="009D0E2E">
      <w:pPr>
        <w:pStyle w:val="ListParagraph"/>
        <w:numPr>
          <w:ilvl w:val="1"/>
          <w:numId w:val="46"/>
        </w:numPr>
        <w:spacing w:line="360" w:lineRule="auto"/>
        <w:jc w:val="both"/>
        <w:rPr>
          <w:rFonts w:ascii="Times New Roman" w:hAnsi="Times New Roman" w:cs="Times New Roman"/>
          <w:sz w:val="24"/>
          <w:szCs w:val="24"/>
        </w:rPr>
      </w:pPr>
      <w:r w:rsidRPr="00C42E1B">
        <w:rPr>
          <w:rFonts w:ascii="Times New Roman" w:hAnsi="Times New Roman" w:cs="Times New Roman"/>
          <w:b/>
          <w:bCs/>
          <w:sz w:val="24"/>
          <w:szCs w:val="24"/>
        </w:rPr>
        <w:t>Short Chain Fatty Acid (SCFA) Levels</w:t>
      </w:r>
    </w:p>
    <w:p w14:paraId="7063FBD0" w14:textId="77777777" w:rsidR="006313A5" w:rsidRPr="002F5975" w:rsidRDefault="00F772C6" w:rsidP="009D0E2E">
      <w:pPr>
        <w:spacing w:line="360" w:lineRule="auto"/>
        <w:ind w:firstLine="360"/>
        <w:jc w:val="both"/>
        <w:rPr>
          <w:rFonts w:ascii="Times New Roman" w:hAnsi="Times New Roman" w:cs="Times New Roman"/>
          <w:sz w:val="24"/>
          <w:szCs w:val="24"/>
        </w:rPr>
      </w:pPr>
      <w:r w:rsidRPr="002F5975">
        <w:rPr>
          <w:rFonts w:ascii="Times New Roman" w:hAnsi="Times New Roman" w:cs="Times New Roman"/>
          <w:sz w:val="24"/>
          <w:szCs w:val="24"/>
        </w:rPr>
        <w:t xml:space="preserve">Short-chain fatty acids (SCFAs), primarily acetate, propionate, and butyrate, are the main end-products of microbial fermentation of dietary </w:t>
      </w:r>
      <w:proofErr w:type="spellStart"/>
      <w:r w:rsidRPr="002F5975">
        <w:rPr>
          <w:rFonts w:ascii="Times New Roman" w:hAnsi="Times New Roman" w:cs="Times New Roman"/>
          <w:sz w:val="24"/>
          <w:szCs w:val="24"/>
        </w:rPr>
        <w:t>fibers</w:t>
      </w:r>
      <w:proofErr w:type="spellEnd"/>
      <w:r w:rsidRPr="002F5975">
        <w:rPr>
          <w:rFonts w:ascii="Times New Roman" w:hAnsi="Times New Roman" w:cs="Times New Roman"/>
          <w:sz w:val="24"/>
          <w:szCs w:val="24"/>
        </w:rPr>
        <w:t xml:space="preserve"> and resistant starches in the gut. These metabolites are increasingly recognized as functional gut health markers, since their production reflects microbial activity, host–microbiota interactions, and intestinal </w:t>
      </w:r>
      <w:proofErr w:type="spellStart"/>
      <w:proofErr w:type="gramStart"/>
      <w:r w:rsidRPr="002F5975">
        <w:rPr>
          <w:rFonts w:ascii="Times New Roman" w:hAnsi="Times New Roman" w:cs="Times New Roman"/>
          <w:sz w:val="24"/>
          <w:szCs w:val="24"/>
        </w:rPr>
        <w:t>homeostasis.</w:t>
      </w:r>
      <w:r w:rsidR="003F52C0" w:rsidRPr="002F5975">
        <w:rPr>
          <w:rFonts w:ascii="Times New Roman" w:hAnsi="Times New Roman" w:cs="Times New Roman"/>
          <w:sz w:val="24"/>
          <w:szCs w:val="24"/>
        </w:rPr>
        <w:t>In</w:t>
      </w:r>
      <w:proofErr w:type="spellEnd"/>
      <w:proofErr w:type="gramEnd"/>
      <w:r w:rsidR="003F52C0" w:rsidRPr="002F5975">
        <w:rPr>
          <w:rFonts w:ascii="Times New Roman" w:hAnsi="Times New Roman" w:cs="Times New Roman"/>
          <w:sz w:val="24"/>
          <w:szCs w:val="24"/>
        </w:rPr>
        <w:t xml:space="preserve"> production animals, SCFA profiling serves as a functional biomarker for gut health, productivity, and disease resilience. For instance, higher butyrate levels correlate with improved feed efficiency in poultry, while balanced </w:t>
      </w:r>
      <w:proofErr w:type="spellStart"/>
      <w:r w:rsidR="003F52C0" w:rsidRPr="002F5975">
        <w:rPr>
          <w:rFonts w:ascii="Times New Roman" w:hAnsi="Times New Roman" w:cs="Times New Roman"/>
          <w:sz w:val="24"/>
          <w:szCs w:val="24"/>
        </w:rPr>
        <w:t>acetate:propionate</w:t>
      </w:r>
      <w:proofErr w:type="spellEnd"/>
      <w:r w:rsidR="003F52C0" w:rsidRPr="002F5975">
        <w:rPr>
          <w:rFonts w:ascii="Times New Roman" w:hAnsi="Times New Roman" w:cs="Times New Roman"/>
          <w:sz w:val="24"/>
          <w:szCs w:val="24"/>
        </w:rPr>
        <w:t xml:space="preserve"> ratios are linked to </w:t>
      </w:r>
      <w:r w:rsidR="003F52C0" w:rsidRPr="002F5975">
        <w:rPr>
          <w:rFonts w:ascii="Times New Roman" w:hAnsi="Times New Roman" w:cs="Times New Roman"/>
          <w:sz w:val="24"/>
          <w:szCs w:val="24"/>
        </w:rPr>
        <w:lastRenderedPageBreak/>
        <w:t>optimal rumen fermentation in cattle (Bach et al., 2005). SCFA monitoring, therefore, provides a non-invasive tool for evaluating dietary interventions and microbial modulation strategies.</w:t>
      </w:r>
      <w:r w:rsidR="00CF3256" w:rsidRPr="002F5975">
        <w:rPr>
          <w:rFonts w:ascii="Times New Roman" w:hAnsi="Times New Roman" w:cs="Times New Roman"/>
          <w:sz w:val="24"/>
          <w:szCs w:val="24"/>
        </w:rPr>
        <w:t xml:space="preserve"> High SCFA levels are generally indicative of a healthy, </w:t>
      </w:r>
      <w:proofErr w:type="spellStart"/>
      <w:r w:rsidR="00CF3256" w:rsidRPr="002F5975">
        <w:rPr>
          <w:rFonts w:ascii="Times New Roman" w:hAnsi="Times New Roman" w:cs="Times New Roman"/>
          <w:sz w:val="24"/>
          <w:szCs w:val="24"/>
        </w:rPr>
        <w:t>fiber</w:t>
      </w:r>
      <w:proofErr w:type="spellEnd"/>
      <w:r w:rsidR="00CF3256" w:rsidRPr="002F5975">
        <w:rPr>
          <w:rFonts w:ascii="Times New Roman" w:hAnsi="Times New Roman" w:cs="Times New Roman"/>
          <w:sz w:val="24"/>
          <w:szCs w:val="24"/>
        </w:rPr>
        <w:t xml:space="preserve">-fermenting microbiota and good gut function. Conversely, reduced SCFA production has been linked to dysbiosis, increased permeability, and inflammatory gut conditions in animals and humans. In livestock, low SCFA levels are associated with post-weaning </w:t>
      </w:r>
      <w:proofErr w:type="spellStart"/>
      <w:r w:rsidR="00CF3256" w:rsidRPr="002F5975">
        <w:rPr>
          <w:rFonts w:ascii="Times New Roman" w:hAnsi="Times New Roman" w:cs="Times New Roman"/>
          <w:sz w:val="24"/>
          <w:szCs w:val="24"/>
        </w:rPr>
        <w:t>diarrhea</w:t>
      </w:r>
      <w:proofErr w:type="spellEnd"/>
      <w:r w:rsidR="00CF3256" w:rsidRPr="002F5975">
        <w:rPr>
          <w:rFonts w:ascii="Times New Roman" w:hAnsi="Times New Roman" w:cs="Times New Roman"/>
          <w:sz w:val="24"/>
          <w:szCs w:val="24"/>
        </w:rPr>
        <w:t xml:space="preserve"> in piglets, necrotic enteritis in poultry, and ruminal acidosis in cattle (Cummings et al., 2004; Tan et al., 2014).</w:t>
      </w:r>
      <w:r w:rsidR="00373E3C" w:rsidRPr="002F5975">
        <w:rPr>
          <w:rFonts w:ascii="Times New Roman" w:hAnsi="Times New Roman" w:cs="Times New Roman"/>
          <w:sz w:val="24"/>
          <w:szCs w:val="24"/>
        </w:rPr>
        <w:t xml:space="preserve"> SCFA levels can be quantified in intestinal digesta, </w:t>
      </w:r>
      <w:proofErr w:type="spellStart"/>
      <w:r w:rsidR="00373E3C" w:rsidRPr="002F5975">
        <w:rPr>
          <w:rFonts w:ascii="Times New Roman" w:hAnsi="Times New Roman" w:cs="Times New Roman"/>
          <w:sz w:val="24"/>
          <w:szCs w:val="24"/>
        </w:rPr>
        <w:t>feces</w:t>
      </w:r>
      <w:proofErr w:type="spellEnd"/>
      <w:r w:rsidR="00373E3C" w:rsidRPr="002F5975">
        <w:rPr>
          <w:rFonts w:ascii="Times New Roman" w:hAnsi="Times New Roman" w:cs="Times New Roman"/>
          <w:sz w:val="24"/>
          <w:szCs w:val="24"/>
        </w:rPr>
        <w:t>, or blood using gas chromatography (GC), high-performance liquid chromatography (HPLC), or nuclear magnetic resonance (NMR) spectroscopy. These methods provide valuable insights into microbial fermentation efficiency and gut metabolic status.</w:t>
      </w:r>
    </w:p>
    <w:p w14:paraId="7063FBD1" w14:textId="77777777" w:rsidR="00F35CAF" w:rsidRPr="00B57653" w:rsidRDefault="00F35CAF" w:rsidP="009D0E2E">
      <w:pPr>
        <w:spacing w:line="360" w:lineRule="auto"/>
        <w:rPr>
          <w:rFonts w:ascii="Times New Roman" w:hAnsi="Times New Roman" w:cs="Times New Roman"/>
          <w:b/>
          <w:bCs/>
          <w:sz w:val="24"/>
          <w:szCs w:val="24"/>
        </w:rPr>
      </w:pPr>
      <w:r w:rsidRPr="00B57653">
        <w:rPr>
          <w:rFonts w:ascii="Times New Roman" w:hAnsi="Times New Roman" w:cs="Times New Roman"/>
          <w:b/>
          <w:bCs/>
          <w:sz w:val="24"/>
          <w:szCs w:val="24"/>
        </w:rPr>
        <w:t>Table-2. Functional Markers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97"/>
        <w:gridCol w:w="3325"/>
        <w:gridCol w:w="2314"/>
      </w:tblGrid>
      <w:tr w:rsidR="00F35CAF" w:rsidRPr="00B57653" w14:paraId="7063FBD5" w14:textId="77777777" w:rsidTr="00BF1E7C">
        <w:trPr>
          <w:tblHeader/>
          <w:tblCellSpacing w:w="15" w:type="dxa"/>
        </w:trPr>
        <w:tc>
          <w:tcPr>
            <w:tcW w:w="0" w:type="auto"/>
            <w:vAlign w:val="center"/>
            <w:hideMark/>
          </w:tcPr>
          <w:p w14:paraId="7063FBD2" w14:textId="77777777" w:rsidR="00F35CAF" w:rsidRPr="00B57653" w:rsidRDefault="00F35CAF" w:rsidP="009D0E2E">
            <w:pPr>
              <w:spacing w:line="360" w:lineRule="auto"/>
              <w:rPr>
                <w:rFonts w:ascii="Times New Roman" w:hAnsi="Times New Roman" w:cs="Times New Roman"/>
                <w:b/>
                <w:bCs/>
                <w:sz w:val="24"/>
                <w:szCs w:val="24"/>
              </w:rPr>
            </w:pPr>
            <w:r w:rsidRPr="00B57653">
              <w:rPr>
                <w:rFonts w:ascii="Times New Roman" w:hAnsi="Times New Roman" w:cs="Times New Roman"/>
                <w:b/>
                <w:bCs/>
                <w:sz w:val="24"/>
                <w:szCs w:val="24"/>
              </w:rPr>
              <w:t>Marker</w:t>
            </w:r>
          </w:p>
        </w:tc>
        <w:tc>
          <w:tcPr>
            <w:tcW w:w="0" w:type="auto"/>
            <w:vAlign w:val="center"/>
            <w:hideMark/>
          </w:tcPr>
          <w:p w14:paraId="7063FBD3" w14:textId="77777777" w:rsidR="00F35CAF" w:rsidRPr="00B57653" w:rsidRDefault="00F35CAF" w:rsidP="009D0E2E">
            <w:pPr>
              <w:spacing w:line="360" w:lineRule="auto"/>
              <w:rPr>
                <w:rFonts w:ascii="Times New Roman" w:hAnsi="Times New Roman" w:cs="Times New Roman"/>
                <w:b/>
                <w:bCs/>
                <w:sz w:val="24"/>
                <w:szCs w:val="24"/>
              </w:rPr>
            </w:pPr>
            <w:r w:rsidRPr="00B57653">
              <w:rPr>
                <w:rFonts w:ascii="Times New Roman" w:hAnsi="Times New Roman" w:cs="Times New Roman"/>
                <w:b/>
                <w:bCs/>
                <w:sz w:val="24"/>
                <w:szCs w:val="24"/>
              </w:rPr>
              <w:t>Anatomical/Physiological Link</w:t>
            </w:r>
          </w:p>
        </w:tc>
        <w:tc>
          <w:tcPr>
            <w:tcW w:w="0" w:type="auto"/>
            <w:vAlign w:val="center"/>
            <w:hideMark/>
          </w:tcPr>
          <w:p w14:paraId="7063FBD4" w14:textId="77777777" w:rsidR="00F35CAF" w:rsidRPr="00B57653" w:rsidRDefault="00F35CAF" w:rsidP="009D0E2E">
            <w:pPr>
              <w:spacing w:line="360" w:lineRule="auto"/>
              <w:rPr>
                <w:rFonts w:ascii="Times New Roman" w:hAnsi="Times New Roman" w:cs="Times New Roman"/>
                <w:b/>
                <w:bCs/>
                <w:sz w:val="24"/>
                <w:szCs w:val="24"/>
              </w:rPr>
            </w:pPr>
            <w:r w:rsidRPr="00B57653">
              <w:rPr>
                <w:rFonts w:ascii="Times New Roman" w:hAnsi="Times New Roman" w:cs="Times New Roman"/>
                <w:b/>
                <w:bCs/>
                <w:sz w:val="24"/>
                <w:szCs w:val="24"/>
              </w:rPr>
              <w:t>Relevance</w:t>
            </w:r>
          </w:p>
        </w:tc>
      </w:tr>
      <w:tr w:rsidR="00F35CAF" w:rsidRPr="00B57653" w14:paraId="7063FBD9" w14:textId="77777777" w:rsidTr="00BF1E7C">
        <w:trPr>
          <w:tblCellSpacing w:w="15" w:type="dxa"/>
        </w:trPr>
        <w:tc>
          <w:tcPr>
            <w:tcW w:w="0" w:type="auto"/>
            <w:vAlign w:val="center"/>
            <w:hideMark/>
          </w:tcPr>
          <w:p w14:paraId="7063FBD6" w14:textId="77777777" w:rsidR="00F35CAF" w:rsidRPr="00B57653" w:rsidRDefault="00F35CAF" w:rsidP="009D0E2E">
            <w:pPr>
              <w:spacing w:line="360" w:lineRule="auto"/>
              <w:rPr>
                <w:rFonts w:ascii="Times New Roman" w:hAnsi="Times New Roman" w:cs="Times New Roman"/>
                <w:sz w:val="24"/>
                <w:szCs w:val="24"/>
              </w:rPr>
            </w:pPr>
            <w:r w:rsidRPr="00B57653">
              <w:rPr>
                <w:rFonts w:ascii="Times New Roman" w:hAnsi="Times New Roman" w:cs="Times New Roman"/>
                <w:b/>
                <w:bCs/>
                <w:sz w:val="24"/>
                <w:szCs w:val="24"/>
              </w:rPr>
              <w:t xml:space="preserve">Tight Junction Protein Expression (e.g. </w:t>
            </w:r>
            <w:proofErr w:type="spellStart"/>
            <w:r w:rsidRPr="00B57653">
              <w:rPr>
                <w:rFonts w:ascii="Times New Roman" w:hAnsi="Times New Roman" w:cs="Times New Roman"/>
                <w:b/>
                <w:bCs/>
                <w:sz w:val="24"/>
                <w:szCs w:val="24"/>
              </w:rPr>
              <w:t>Occludin</w:t>
            </w:r>
            <w:proofErr w:type="spellEnd"/>
            <w:r w:rsidRPr="00B57653">
              <w:rPr>
                <w:rFonts w:ascii="Times New Roman" w:hAnsi="Times New Roman" w:cs="Times New Roman"/>
                <w:b/>
                <w:bCs/>
                <w:sz w:val="24"/>
                <w:szCs w:val="24"/>
              </w:rPr>
              <w:t>, Claudin)</w:t>
            </w:r>
          </w:p>
        </w:tc>
        <w:tc>
          <w:tcPr>
            <w:tcW w:w="0" w:type="auto"/>
            <w:vAlign w:val="center"/>
            <w:hideMark/>
          </w:tcPr>
          <w:p w14:paraId="7063FBD7" w14:textId="77777777" w:rsidR="00F35CAF" w:rsidRPr="00B57653" w:rsidRDefault="00F35CAF" w:rsidP="009D0E2E">
            <w:pPr>
              <w:spacing w:line="360" w:lineRule="auto"/>
              <w:rPr>
                <w:rFonts w:ascii="Times New Roman" w:hAnsi="Times New Roman" w:cs="Times New Roman"/>
                <w:sz w:val="24"/>
                <w:szCs w:val="24"/>
              </w:rPr>
            </w:pPr>
            <w:r w:rsidRPr="00B57653">
              <w:rPr>
                <w:rFonts w:ascii="Times New Roman" w:hAnsi="Times New Roman" w:cs="Times New Roman"/>
                <w:sz w:val="24"/>
                <w:szCs w:val="24"/>
              </w:rPr>
              <w:t>Epithelial lining</w:t>
            </w:r>
          </w:p>
        </w:tc>
        <w:tc>
          <w:tcPr>
            <w:tcW w:w="0" w:type="auto"/>
            <w:vAlign w:val="center"/>
            <w:hideMark/>
          </w:tcPr>
          <w:p w14:paraId="7063FBD8" w14:textId="77777777" w:rsidR="00F35CAF" w:rsidRPr="00B57653" w:rsidRDefault="00F35CAF" w:rsidP="009D0E2E">
            <w:pPr>
              <w:spacing w:line="360" w:lineRule="auto"/>
              <w:rPr>
                <w:rFonts w:ascii="Times New Roman" w:hAnsi="Times New Roman" w:cs="Times New Roman"/>
                <w:sz w:val="24"/>
                <w:szCs w:val="24"/>
              </w:rPr>
            </w:pPr>
            <w:r w:rsidRPr="00B57653">
              <w:rPr>
                <w:rFonts w:ascii="Times New Roman" w:hAnsi="Times New Roman" w:cs="Times New Roman"/>
                <w:sz w:val="24"/>
                <w:szCs w:val="24"/>
              </w:rPr>
              <w:t>Gut permeability &amp; barrier health</w:t>
            </w:r>
          </w:p>
        </w:tc>
      </w:tr>
      <w:tr w:rsidR="00F35CAF" w:rsidRPr="00B57653" w14:paraId="7063FBDD" w14:textId="77777777" w:rsidTr="00BF1E7C">
        <w:trPr>
          <w:tblCellSpacing w:w="15" w:type="dxa"/>
        </w:trPr>
        <w:tc>
          <w:tcPr>
            <w:tcW w:w="0" w:type="auto"/>
            <w:vAlign w:val="center"/>
            <w:hideMark/>
          </w:tcPr>
          <w:p w14:paraId="7063FBDA" w14:textId="77777777" w:rsidR="00F35CAF" w:rsidRPr="00B57653" w:rsidRDefault="00F35CAF" w:rsidP="009D0E2E">
            <w:pPr>
              <w:spacing w:line="360" w:lineRule="auto"/>
              <w:rPr>
                <w:rFonts w:ascii="Times New Roman" w:hAnsi="Times New Roman" w:cs="Times New Roman"/>
                <w:sz w:val="24"/>
                <w:szCs w:val="24"/>
              </w:rPr>
            </w:pPr>
            <w:r w:rsidRPr="00B57653">
              <w:rPr>
                <w:rFonts w:ascii="Times New Roman" w:hAnsi="Times New Roman" w:cs="Times New Roman"/>
                <w:b/>
                <w:bCs/>
                <w:sz w:val="24"/>
                <w:szCs w:val="24"/>
              </w:rPr>
              <w:t>Capillary Density</w:t>
            </w:r>
          </w:p>
        </w:tc>
        <w:tc>
          <w:tcPr>
            <w:tcW w:w="0" w:type="auto"/>
            <w:vAlign w:val="center"/>
            <w:hideMark/>
          </w:tcPr>
          <w:p w14:paraId="7063FBDB" w14:textId="77777777" w:rsidR="00F35CAF" w:rsidRPr="00B57653" w:rsidRDefault="00F35CAF" w:rsidP="009D0E2E">
            <w:pPr>
              <w:spacing w:line="360" w:lineRule="auto"/>
              <w:rPr>
                <w:rFonts w:ascii="Times New Roman" w:hAnsi="Times New Roman" w:cs="Times New Roman"/>
                <w:sz w:val="24"/>
                <w:szCs w:val="24"/>
              </w:rPr>
            </w:pPr>
            <w:r w:rsidRPr="00B57653">
              <w:rPr>
                <w:rFonts w:ascii="Times New Roman" w:hAnsi="Times New Roman" w:cs="Times New Roman"/>
                <w:sz w:val="24"/>
                <w:szCs w:val="24"/>
              </w:rPr>
              <w:t>Submucosa &amp; serosa</w:t>
            </w:r>
          </w:p>
        </w:tc>
        <w:tc>
          <w:tcPr>
            <w:tcW w:w="0" w:type="auto"/>
            <w:vAlign w:val="center"/>
            <w:hideMark/>
          </w:tcPr>
          <w:p w14:paraId="7063FBDC" w14:textId="77777777" w:rsidR="00F35CAF" w:rsidRPr="00B57653" w:rsidRDefault="00F35CAF" w:rsidP="009D0E2E">
            <w:pPr>
              <w:spacing w:line="360" w:lineRule="auto"/>
              <w:rPr>
                <w:rFonts w:ascii="Times New Roman" w:hAnsi="Times New Roman" w:cs="Times New Roman"/>
                <w:sz w:val="24"/>
                <w:szCs w:val="24"/>
              </w:rPr>
            </w:pPr>
            <w:r w:rsidRPr="00B57653">
              <w:rPr>
                <w:rFonts w:ascii="Times New Roman" w:hAnsi="Times New Roman" w:cs="Times New Roman"/>
                <w:sz w:val="24"/>
                <w:szCs w:val="24"/>
              </w:rPr>
              <w:t>Nutrient and oxygen delivery</w:t>
            </w:r>
          </w:p>
        </w:tc>
      </w:tr>
      <w:tr w:rsidR="00F35CAF" w:rsidRPr="00B57653" w14:paraId="7063FBE1" w14:textId="77777777" w:rsidTr="00BF1E7C">
        <w:trPr>
          <w:tblCellSpacing w:w="15" w:type="dxa"/>
        </w:trPr>
        <w:tc>
          <w:tcPr>
            <w:tcW w:w="0" w:type="auto"/>
            <w:vAlign w:val="center"/>
            <w:hideMark/>
          </w:tcPr>
          <w:p w14:paraId="7063FBDE" w14:textId="77777777" w:rsidR="00F35CAF" w:rsidRPr="00B57653" w:rsidRDefault="00F35CAF" w:rsidP="009D0E2E">
            <w:pPr>
              <w:spacing w:line="360" w:lineRule="auto"/>
              <w:rPr>
                <w:rFonts w:ascii="Times New Roman" w:hAnsi="Times New Roman" w:cs="Times New Roman"/>
                <w:sz w:val="24"/>
                <w:szCs w:val="24"/>
              </w:rPr>
            </w:pPr>
            <w:r w:rsidRPr="00B57653">
              <w:rPr>
                <w:rFonts w:ascii="Times New Roman" w:hAnsi="Times New Roman" w:cs="Times New Roman"/>
                <w:b/>
                <w:bCs/>
                <w:sz w:val="24"/>
                <w:szCs w:val="24"/>
              </w:rPr>
              <w:t>Neurochemical Markers (e.g. VIP, Substance P)</w:t>
            </w:r>
          </w:p>
        </w:tc>
        <w:tc>
          <w:tcPr>
            <w:tcW w:w="0" w:type="auto"/>
            <w:vAlign w:val="center"/>
            <w:hideMark/>
          </w:tcPr>
          <w:p w14:paraId="7063FBDF" w14:textId="77777777" w:rsidR="00F35CAF" w:rsidRPr="00B57653" w:rsidRDefault="00F35CAF" w:rsidP="009D0E2E">
            <w:pPr>
              <w:spacing w:line="360" w:lineRule="auto"/>
              <w:rPr>
                <w:rFonts w:ascii="Times New Roman" w:hAnsi="Times New Roman" w:cs="Times New Roman"/>
                <w:sz w:val="24"/>
                <w:szCs w:val="24"/>
              </w:rPr>
            </w:pPr>
            <w:r w:rsidRPr="00B57653">
              <w:rPr>
                <w:rFonts w:ascii="Times New Roman" w:hAnsi="Times New Roman" w:cs="Times New Roman"/>
                <w:sz w:val="24"/>
                <w:szCs w:val="24"/>
              </w:rPr>
              <w:t>Enteric nervous system</w:t>
            </w:r>
          </w:p>
        </w:tc>
        <w:tc>
          <w:tcPr>
            <w:tcW w:w="0" w:type="auto"/>
            <w:vAlign w:val="center"/>
            <w:hideMark/>
          </w:tcPr>
          <w:p w14:paraId="7063FBE0" w14:textId="77777777" w:rsidR="00F35CAF" w:rsidRPr="00B57653" w:rsidRDefault="00F35CAF" w:rsidP="009D0E2E">
            <w:pPr>
              <w:spacing w:line="360" w:lineRule="auto"/>
              <w:rPr>
                <w:rFonts w:ascii="Times New Roman" w:hAnsi="Times New Roman" w:cs="Times New Roman"/>
                <w:sz w:val="24"/>
                <w:szCs w:val="24"/>
              </w:rPr>
            </w:pPr>
            <w:r w:rsidRPr="00B57653">
              <w:rPr>
                <w:rFonts w:ascii="Times New Roman" w:hAnsi="Times New Roman" w:cs="Times New Roman"/>
                <w:sz w:val="24"/>
                <w:szCs w:val="24"/>
              </w:rPr>
              <w:t>Gut motility &amp; inflammation control</w:t>
            </w:r>
          </w:p>
        </w:tc>
      </w:tr>
      <w:tr w:rsidR="00F35CAF" w:rsidRPr="00B57653" w14:paraId="7063FBE5" w14:textId="77777777" w:rsidTr="00BF1E7C">
        <w:trPr>
          <w:tblCellSpacing w:w="15" w:type="dxa"/>
        </w:trPr>
        <w:tc>
          <w:tcPr>
            <w:tcW w:w="0" w:type="auto"/>
            <w:vAlign w:val="center"/>
            <w:hideMark/>
          </w:tcPr>
          <w:p w14:paraId="7063FBE2" w14:textId="77777777" w:rsidR="00F35CAF" w:rsidRPr="00B57653" w:rsidRDefault="00F35CAF" w:rsidP="009D0E2E">
            <w:pPr>
              <w:spacing w:line="360" w:lineRule="auto"/>
              <w:rPr>
                <w:rFonts w:ascii="Times New Roman" w:hAnsi="Times New Roman" w:cs="Times New Roman"/>
                <w:sz w:val="24"/>
                <w:szCs w:val="24"/>
              </w:rPr>
            </w:pPr>
            <w:r w:rsidRPr="00B57653">
              <w:rPr>
                <w:rFonts w:ascii="Times New Roman" w:hAnsi="Times New Roman" w:cs="Times New Roman"/>
                <w:b/>
                <w:bCs/>
                <w:sz w:val="24"/>
                <w:szCs w:val="24"/>
              </w:rPr>
              <w:t>Short Chain Fatty Acid (SCFA) Levels</w:t>
            </w:r>
          </w:p>
        </w:tc>
        <w:tc>
          <w:tcPr>
            <w:tcW w:w="0" w:type="auto"/>
            <w:vAlign w:val="center"/>
            <w:hideMark/>
          </w:tcPr>
          <w:p w14:paraId="7063FBE3" w14:textId="77777777" w:rsidR="00F35CAF" w:rsidRPr="00B57653" w:rsidRDefault="00F35CAF" w:rsidP="009D0E2E">
            <w:pPr>
              <w:spacing w:line="360" w:lineRule="auto"/>
              <w:rPr>
                <w:rFonts w:ascii="Times New Roman" w:hAnsi="Times New Roman" w:cs="Times New Roman"/>
                <w:sz w:val="24"/>
                <w:szCs w:val="24"/>
              </w:rPr>
            </w:pPr>
            <w:r w:rsidRPr="00B57653">
              <w:rPr>
                <w:rFonts w:ascii="Times New Roman" w:hAnsi="Times New Roman" w:cs="Times New Roman"/>
                <w:sz w:val="24"/>
                <w:szCs w:val="24"/>
              </w:rPr>
              <w:t>Fermentation chambers (e.g. rumen, colon)</w:t>
            </w:r>
          </w:p>
        </w:tc>
        <w:tc>
          <w:tcPr>
            <w:tcW w:w="0" w:type="auto"/>
            <w:vAlign w:val="center"/>
            <w:hideMark/>
          </w:tcPr>
          <w:p w14:paraId="7063FBE4" w14:textId="77777777" w:rsidR="00F35CAF" w:rsidRPr="00B57653" w:rsidRDefault="00F35CAF" w:rsidP="009D0E2E">
            <w:pPr>
              <w:spacing w:line="360" w:lineRule="auto"/>
              <w:rPr>
                <w:rFonts w:ascii="Times New Roman" w:hAnsi="Times New Roman" w:cs="Times New Roman"/>
                <w:sz w:val="24"/>
                <w:szCs w:val="24"/>
              </w:rPr>
            </w:pPr>
            <w:r w:rsidRPr="00B57653">
              <w:rPr>
                <w:rFonts w:ascii="Times New Roman" w:hAnsi="Times New Roman" w:cs="Times New Roman"/>
                <w:sz w:val="24"/>
                <w:szCs w:val="24"/>
              </w:rPr>
              <w:t>Energy source for gut epithelium</w:t>
            </w:r>
          </w:p>
        </w:tc>
      </w:tr>
    </w:tbl>
    <w:p w14:paraId="7063FBE6" w14:textId="77777777" w:rsidR="009A15E9" w:rsidRPr="00B57653" w:rsidRDefault="009A15E9" w:rsidP="009D0E2E">
      <w:pPr>
        <w:pStyle w:val="ListParagraph"/>
        <w:spacing w:line="360" w:lineRule="auto"/>
        <w:ind w:left="360"/>
        <w:jc w:val="both"/>
        <w:rPr>
          <w:rFonts w:ascii="Times New Roman" w:hAnsi="Times New Roman" w:cs="Times New Roman"/>
          <w:sz w:val="24"/>
          <w:szCs w:val="24"/>
        </w:rPr>
      </w:pPr>
    </w:p>
    <w:p w14:paraId="7063FBE7" w14:textId="77777777" w:rsidR="0003475F" w:rsidRPr="00B57653" w:rsidRDefault="009A15E9" w:rsidP="009D0E2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1C0FB1" w:rsidRPr="00B57653">
        <w:rPr>
          <w:rFonts w:ascii="Times New Roman" w:hAnsi="Times New Roman" w:cs="Times New Roman"/>
          <w:b/>
          <w:bCs/>
          <w:sz w:val="24"/>
          <w:szCs w:val="24"/>
        </w:rPr>
        <w:t>.Immunological markers:</w:t>
      </w:r>
    </w:p>
    <w:p w14:paraId="7063FBE8" w14:textId="77777777" w:rsidR="00E81F2C" w:rsidRPr="00B57653" w:rsidRDefault="00E81F2C" w:rsidP="009D0E2E">
      <w:p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 xml:space="preserve">The gut is not only a digestive organ but also a major immunological site, housing nearly 70% of the body’s immune cells within the gut-associated lymphoid tissue (GALT). A finely tuned interaction between epithelial barriers, microbiota, and immune components maintains intestinal homeostasis. Dysregulation of this balance results in inflammation, barrier dysfunction, and systemic disease. Consequently, immunological markers—including </w:t>
      </w:r>
      <w:r w:rsidRPr="00B57653">
        <w:rPr>
          <w:rFonts w:ascii="Times New Roman" w:hAnsi="Times New Roman" w:cs="Times New Roman"/>
          <w:sz w:val="24"/>
          <w:szCs w:val="24"/>
        </w:rPr>
        <w:lastRenderedPageBreak/>
        <w:t>cytokines, immunoglobulins, and innate immune mediators—serve as important functional indicators of gut health in both humans and livestock.</w:t>
      </w:r>
    </w:p>
    <w:p w14:paraId="7063FBE9" w14:textId="77777777" w:rsidR="00E81F2C" w:rsidRPr="00B57653" w:rsidRDefault="00223752" w:rsidP="009D0E2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3.1 </w:t>
      </w:r>
      <w:r w:rsidR="00E81F2C" w:rsidRPr="00B57653">
        <w:rPr>
          <w:rFonts w:ascii="Times New Roman" w:hAnsi="Times New Roman" w:cs="Times New Roman"/>
          <w:b/>
          <w:bCs/>
          <w:sz w:val="24"/>
          <w:szCs w:val="24"/>
        </w:rPr>
        <w:t>Cytokines as gut health markers</w:t>
      </w:r>
      <w:r w:rsidR="009775E4" w:rsidRPr="00B57653">
        <w:rPr>
          <w:rFonts w:ascii="Times New Roman" w:hAnsi="Times New Roman" w:cs="Times New Roman"/>
          <w:b/>
          <w:bCs/>
          <w:sz w:val="24"/>
          <w:szCs w:val="24"/>
        </w:rPr>
        <w:t>:</w:t>
      </w:r>
    </w:p>
    <w:p w14:paraId="7063FBEA" w14:textId="77777777" w:rsidR="00E81F2C" w:rsidRPr="00B57653" w:rsidRDefault="00E81F2C" w:rsidP="009D0E2E">
      <w:pPr>
        <w:spacing w:line="360" w:lineRule="auto"/>
        <w:ind w:firstLine="720"/>
        <w:jc w:val="both"/>
        <w:rPr>
          <w:rFonts w:ascii="Times New Roman" w:hAnsi="Times New Roman" w:cs="Times New Roman"/>
          <w:sz w:val="24"/>
          <w:szCs w:val="24"/>
        </w:rPr>
      </w:pPr>
      <w:r w:rsidRPr="00B57653">
        <w:rPr>
          <w:rFonts w:ascii="Times New Roman" w:hAnsi="Times New Roman" w:cs="Times New Roman"/>
          <w:sz w:val="24"/>
          <w:szCs w:val="24"/>
        </w:rPr>
        <w:t xml:space="preserve">Cytokine profiles are highly reflective of gut immune </w:t>
      </w:r>
      <w:proofErr w:type="spellStart"/>
      <w:r w:rsidRPr="00B57653">
        <w:rPr>
          <w:rFonts w:ascii="Times New Roman" w:hAnsi="Times New Roman" w:cs="Times New Roman"/>
          <w:sz w:val="24"/>
          <w:szCs w:val="24"/>
        </w:rPr>
        <w:t>status.Pro</w:t>
      </w:r>
      <w:proofErr w:type="spellEnd"/>
      <w:r w:rsidRPr="00B57653">
        <w:rPr>
          <w:rFonts w:ascii="Times New Roman" w:hAnsi="Times New Roman" w:cs="Times New Roman"/>
          <w:sz w:val="24"/>
          <w:szCs w:val="24"/>
        </w:rPr>
        <w:t xml:space="preserve">-inflammatory cytokines such as TNF-α, IL-1β, IL-6, and IFN-γ are upregulated during enteric infections, stress, or dysbiosis, indicating compromised gut </w:t>
      </w:r>
      <w:proofErr w:type="spellStart"/>
      <w:r w:rsidRPr="00B57653">
        <w:rPr>
          <w:rFonts w:ascii="Times New Roman" w:hAnsi="Times New Roman" w:cs="Times New Roman"/>
          <w:sz w:val="24"/>
          <w:szCs w:val="24"/>
        </w:rPr>
        <w:t>health.Anti</w:t>
      </w:r>
      <w:proofErr w:type="spellEnd"/>
      <w:r w:rsidRPr="00B57653">
        <w:rPr>
          <w:rFonts w:ascii="Times New Roman" w:hAnsi="Times New Roman" w:cs="Times New Roman"/>
          <w:sz w:val="24"/>
          <w:szCs w:val="24"/>
        </w:rPr>
        <w:t>-inflammatory cytokines such as IL-10 and TGF-β play protective roles, suppressing excessive inflammation and maintaining tolerance to commensal bacteria (</w:t>
      </w:r>
      <w:proofErr w:type="spellStart"/>
      <w:r w:rsidRPr="00B57653">
        <w:rPr>
          <w:rFonts w:ascii="Times New Roman" w:hAnsi="Times New Roman" w:cs="Times New Roman"/>
          <w:sz w:val="24"/>
          <w:szCs w:val="24"/>
        </w:rPr>
        <w:t>Kagnoff</w:t>
      </w:r>
      <w:proofErr w:type="spellEnd"/>
      <w:r w:rsidRPr="00B57653">
        <w:rPr>
          <w:rFonts w:ascii="Times New Roman" w:hAnsi="Times New Roman" w:cs="Times New Roman"/>
          <w:sz w:val="24"/>
          <w:szCs w:val="24"/>
        </w:rPr>
        <w:t>, 2014).In livestock, a balanced Th1/Th2 cytokine response is critical: an excessive Th1 response predisposes animals to gut inflammation, while an exaggerated Th2 profile is linked with hypersensitivity (</w:t>
      </w:r>
      <w:proofErr w:type="spellStart"/>
      <w:r w:rsidRPr="00B57653">
        <w:rPr>
          <w:rFonts w:ascii="Times New Roman" w:hAnsi="Times New Roman" w:cs="Times New Roman"/>
          <w:sz w:val="24"/>
          <w:szCs w:val="24"/>
        </w:rPr>
        <w:t>Meurens</w:t>
      </w:r>
      <w:proofErr w:type="spellEnd"/>
      <w:r w:rsidRPr="00B57653">
        <w:rPr>
          <w:rFonts w:ascii="Times New Roman" w:hAnsi="Times New Roman" w:cs="Times New Roman"/>
          <w:sz w:val="24"/>
          <w:szCs w:val="24"/>
        </w:rPr>
        <w:t xml:space="preserve"> et al., 2012).</w:t>
      </w:r>
    </w:p>
    <w:p w14:paraId="7063FBEB" w14:textId="77777777" w:rsidR="00E81F2C" w:rsidRPr="00B57653" w:rsidRDefault="0011036F" w:rsidP="009D0E2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3.2</w:t>
      </w:r>
      <w:r w:rsidR="00E81F2C" w:rsidRPr="00B57653">
        <w:rPr>
          <w:rFonts w:ascii="Times New Roman" w:hAnsi="Times New Roman" w:cs="Times New Roman"/>
          <w:b/>
          <w:bCs/>
          <w:sz w:val="24"/>
          <w:szCs w:val="24"/>
        </w:rPr>
        <w:t>. Immunoglobulins (IgA) as gut integrity indicators</w:t>
      </w:r>
      <w:r w:rsidR="002C6C5C" w:rsidRPr="00B57653">
        <w:rPr>
          <w:rFonts w:ascii="Times New Roman" w:hAnsi="Times New Roman" w:cs="Times New Roman"/>
          <w:b/>
          <w:bCs/>
          <w:sz w:val="24"/>
          <w:szCs w:val="24"/>
        </w:rPr>
        <w:t>:</w:t>
      </w:r>
    </w:p>
    <w:p w14:paraId="7063FBEC" w14:textId="77777777" w:rsidR="00E81F2C" w:rsidRPr="00B57653" w:rsidRDefault="00E81F2C" w:rsidP="009D0E2E">
      <w:pPr>
        <w:spacing w:line="360" w:lineRule="auto"/>
        <w:ind w:firstLine="720"/>
        <w:jc w:val="both"/>
        <w:rPr>
          <w:rFonts w:ascii="Times New Roman" w:hAnsi="Times New Roman" w:cs="Times New Roman"/>
          <w:sz w:val="24"/>
          <w:szCs w:val="24"/>
        </w:rPr>
      </w:pPr>
      <w:r w:rsidRPr="00B57653">
        <w:rPr>
          <w:rFonts w:ascii="Times New Roman" w:hAnsi="Times New Roman" w:cs="Times New Roman"/>
          <w:sz w:val="24"/>
          <w:szCs w:val="24"/>
        </w:rPr>
        <w:t>Secretory IgA (</w:t>
      </w:r>
      <w:proofErr w:type="spellStart"/>
      <w:r w:rsidRPr="00B57653">
        <w:rPr>
          <w:rFonts w:ascii="Times New Roman" w:hAnsi="Times New Roman" w:cs="Times New Roman"/>
          <w:sz w:val="24"/>
          <w:szCs w:val="24"/>
        </w:rPr>
        <w:t>sIgA</w:t>
      </w:r>
      <w:proofErr w:type="spellEnd"/>
      <w:r w:rsidRPr="00B57653">
        <w:rPr>
          <w:rFonts w:ascii="Times New Roman" w:hAnsi="Times New Roman" w:cs="Times New Roman"/>
          <w:sz w:val="24"/>
          <w:szCs w:val="24"/>
        </w:rPr>
        <w:t xml:space="preserve">) is the most abundant immunoglobulin in the intestinal lumen, produced by plasma cells in Peyer’s patches and lamina </w:t>
      </w:r>
      <w:proofErr w:type="spellStart"/>
      <w:r w:rsidRPr="00B57653">
        <w:rPr>
          <w:rFonts w:ascii="Times New Roman" w:hAnsi="Times New Roman" w:cs="Times New Roman"/>
          <w:sz w:val="24"/>
          <w:szCs w:val="24"/>
        </w:rPr>
        <w:t>propria.High</w:t>
      </w:r>
      <w:proofErr w:type="spellEnd"/>
      <w:r w:rsidRPr="00B57653">
        <w:rPr>
          <w:rFonts w:ascii="Times New Roman" w:hAnsi="Times New Roman" w:cs="Times New Roman"/>
          <w:sz w:val="24"/>
          <w:szCs w:val="24"/>
        </w:rPr>
        <w:t xml:space="preserve"> </w:t>
      </w:r>
      <w:proofErr w:type="spellStart"/>
      <w:r w:rsidRPr="00B57653">
        <w:rPr>
          <w:rFonts w:ascii="Times New Roman" w:hAnsi="Times New Roman" w:cs="Times New Roman"/>
          <w:sz w:val="24"/>
          <w:szCs w:val="24"/>
        </w:rPr>
        <w:t>sIgA</w:t>
      </w:r>
      <w:proofErr w:type="spellEnd"/>
      <w:r w:rsidRPr="00B57653">
        <w:rPr>
          <w:rFonts w:ascii="Times New Roman" w:hAnsi="Times New Roman" w:cs="Times New Roman"/>
          <w:sz w:val="24"/>
          <w:szCs w:val="24"/>
        </w:rPr>
        <w:t xml:space="preserve"> levels indicate effective mucosal </w:t>
      </w:r>
      <w:proofErr w:type="spellStart"/>
      <w:r w:rsidRPr="00B57653">
        <w:rPr>
          <w:rFonts w:ascii="Times New Roman" w:hAnsi="Times New Roman" w:cs="Times New Roman"/>
          <w:sz w:val="24"/>
          <w:szCs w:val="24"/>
        </w:rPr>
        <w:t>defense</w:t>
      </w:r>
      <w:proofErr w:type="spellEnd"/>
      <w:r w:rsidRPr="00B57653">
        <w:rPr>
          <w:rFonts w:ascii="Times New Roman" w:hAnsi="Times New Roman" w:cs="Times New Roman"/>
          <w:sz w:val="24"/>
          <w:szCs w:val="24"/>
        </w:rPr>
        <w:t xml:space="preserve">, as </w:t>
      </w:r>
      <w:proofErr w:type="spellStart"/>
      <w:r w:rsidRPr="00B57653">
        <w:rPr>
          <w:rFonts w:ascii="Times New Roman" w:hAnsi="Times New Roman" w:cs="Times New Roman"/>
          <w:sz w:val="24"/>
          <w:szCs w:val="24"/>
        </w:rPr>
        <w:t>sIgA</w:t>
      </w:r>
      <w:proofErr w:type="spellEnd"/>
      <w:r w:rsidRPr="00B57653">
        <w:rPr>
          <w:rFonts w:ascii="Times New Roman" w:hAnsi="Times New Roman" w:cs="Times New Roman"/>
          <w:sz w:val="24"/>
          <w:szCs w:val="24"/>
        </w:rPr>
        <w:t xml:space="preserve"> neutralizes pathogens and toxins without triggering </w:t>
      </w:r>
      <w:proofErr w:type="spellStart"/>
      <w:r w:rsidRPr="00B57653">
        <w:rPr>
          <w:rFonts w:ascii="Times New Roman" w:hAnsi="Times New Roman" w:cs="Times New Roman"/>
          <w:sz w:val="24"/>
          <w:szCs w:val="24"/>
        </w:rPr>
        <w:t>inflammation.Reduced</w:t>
      </w:r>
      <w:proofErr w:type="spellEnd"/>
      <w:r w:rsidRPr="00B57653">
        <w:rPr>
          <w:rFonts w:ascii="Times New Roman" w:hAnsi="Times New Roman" w:cs="Times New Roman"/>
          <w:sz w:val="24"/>
          <w:szCs w:val="24"/>
        </w:rPr>
        <w:t xml:space="preserve"> </w:t>
      </w:r>
      <w:proofErr w:type="spellStart"/>
      <w:r w:rsidRPr="00B57653">
        <w:rPr>
          <w:rFonts w:ascii="Times New Roman" w:hAnsi="Times New Roman" w:cs="Times New Roman"/>
          <w:sz w:val="24"/>
          <w:szCs w:val="24"/>
        </w:rPr>
        <w:t>sIgA</w:t>
      </w:r>
      <w:proofErr w:type="spellEnd"/>
      <w:r w:rsidRPr="00B57653">
        <w:rPr>
          <w:rFonts w:ascii="Times New Roman" w:hAnsi="Times New Roman" w:cs="Times New Roman"/>
          <w:sz w:val="24"/>
          <w:szCs w:val="24"/>
        </w:rPr>
        <w:t xml:space="preserve"> is associated with increased susceptibility to enteric infections and poor gut resilience (Mantis et al., 2011).Thus, </w:t>
      </w:r>
      <w:proofErr w:type="spellStart"/>
      <w:r w:rsidRPr="00B57653">
        <w:rPr>
          <w:rFonts w:ascii="Times New Roman" w:hAnsi="Times New Roman" w:cs="Times New Roman"/>
          <w:sz w:val="24"/>
          <w:szCs w:val="24"/>
        </w:rPr>
        <w:t>sIgA</w:t>
      </w:r>
      <w:proofErr w:type="spellEnd"/>
      <w:r w:rsidRPr="00B57653">
        <w:rPr>
          <w:rFonts w:ascii="Times New Roman" w:hAnsi="Times New Roman" w:cs="Times New Roman"/>
          <w:sz w:val="24"/>
          <w:szCs w:val="24"/>
        </w:rPr>
        <w:t xml:space="preserve"> is widely regarded as a non-invasive immunological marker of gut health, measurable in intestinal fluid or </w:t>
      </w:r>
      <w:proofErr w:type="spellStart"/>
      <w:r w:rsidRPr="00B57653">
        <w:rPr>
          <w:rFonts w:ascii="Times New Roman" w:hAnsi="Times New Roman" w:cs="Times New Roman"/>
          <w:sz w:val="24"/>
          <w:szCs w:val="24"/>
        </w:rPr>
        <w:t>feces</w:t>
      </w:r>
      <w:proofErr w:type="spellEnd"/>
      <w:r w:rsidRPr="00B57653">
        <w:rPr>
          <w:rFonts w:ascii="Times New Roman" w:hAnsi="Times New Roman" w:cs="Times New Roman"/>
          <w:sz w:val="24"/>
          <w:szCs w:val="24"/>
        </w:rPr>
        <w:t>.</w:t>
      </w:r>
    </w:p>
    <w:p w14:paraId="7063FBED" w14:textId="77777777" w:rsidR="00E81F2C" w:rsidRPr="00B57653" w:rsidRDefault="00E81F2C" w:rsidP="009D0E2E">
      <w:pPr>
        <w:spacing w:line="360" w:lineRule="auto"/>
        <w:jc w:val="both"/>
        <w:rPr>
          <w:rFonts w:ascii="Times New Roman" w:hAnsi="Times New Roman" w:cs="Times New Roman"/>
          <w:b/>
          <w:bCs/>
          <w:sz w:val="24"/>
          <w:szCs w:val="24"/>
        </w:rPr>
      </w:pPr>
      <w:r w:rsidRPr="00B57653">
        <w:rPr>
          <w:rFonts w:ascii="Times New Roman" w:hAnsi="Times New Roman" w:cs="Times New Roman"/>
          <w:b/>
          <w:bCs/>
          <w:sz w:val="24"/>
          <w:szCs w:val="24"/>
        </w:rPr>
        <w:t>3.</w:t>
      </w:r>
      <w:r w:rsidR="00C834F2">
        <w:rPr>
          <w:rFonts w:ascii="Times New Roman" w:hAnsi="Times New Roman" w:cs="Times New Roman"/>
          <w:b/>
          <w:bCs/>
          <w:sz w:val="24"/>
          <w:szCs w:val="24"/>
        </w:rPr>
        <w:t>3</w:t>
      </w:r>
      <w:r w:rsidRPr="00B57653">
        <w:rPr>
          <w:rFonts w:ascii="Times New Roman" w:hAnsi="Times New Roman" w:cs="Times New Roman"/>
          <w:b/>
          <w:bCs/>
          <w:sz w:val="24"/>
          <w:szCs w:val="24"/>
        </w:rPr>
        <w:t xml:space="preserve"> Innate immune mediators</w:t>
      </w:r>
      <w:r w:rsidR="008044F6" w:rsidRPr="00B57653">
        <w:rPr>
          <w:rFonts w:ascii="Times New Roman" w:hAnsi="Times New Roman" w:cs="Times New Roman"/>
          <w:b/>
          <w:bCs/>
          <w:sz w:val="24"/>
          <w:szCs w:val="24"/>
        </w:rPr>
        <w:t>:</w:t>
      </w:r>
    </w:p>
    <w:p w14:paraId="7063FBEE" w14:textId="77777777" w:rsidR="00E81F2C" w:rsidRPr="00B57653" w:rsidRDefault="00E81F2C" w:rsidP="009D0E2E">
      <w:p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 xml:space="preserve">Markers such as defensins, lysozyme, and lactoferrin reflect the functional state of innate mucosal </w:t>
      </w:r>
      <w:r w:rsidR="004A35D8" w:rsidRPr="00B57653">
        <w:rPr>
          <w:rFonts w:ascii="Times New Roman" w:hAnsi="Times New Roman" w:cs="Times New Roman"/>
          <w:sz w:val="24"/>
          <w:szCs w:val="24"/>
        </w:rPr>
        <w:t>defence</w:t>
      </w:r>
      <w:r w:rsidRPr="00B57653">
        <w:rPr>
          <w:rFonts w:ascii="Times New Roman" w:hAnsi="Times New Roman" w:cs="Times New Roman"/>
          <w:sz w:val="24"/>
          <w:szCs w:val="24"/>
        </w:rPr>
        <w:t>. Paneth cell-derived antimicrobial peptides, for example, not only suppress pathogen growth but also shape microbial community composition. Altered expression of these peptides signals a disruption in host–microbiota homeostasis (Bevins &amp; Salzman, 2011).</w:t>
      </w:r>
    </w:p>
    <w:p w14:paraId="7063FBEF" w14:textId="77777777" w:rsidR="00E81F2C" w:rsidRPr="00B57653" w:rsidRDefault="00232C46" w:rsidP="009D0E2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3.4</w:t>
      </w:r>
      <w:r w:rsidR="00E81F2C" w:rsidRPr="00B57653">
        <w:rPr>
          <w:rFonts w:ascii="Times New Roman" w:hAnsi="Times New Roman" w:cs="Times New Roman"/>
          <w:b/>
          <w:bCs/>
          <w:sz w:val="24"/>
          <w:szCs w:val="24"/>
        </w:rPr>
        <w:t>. Immune cell infiltration and activation</w:t>
      </w:r>
      <w:r w:rsidR="00B64CD0" w:rsidRPr="00B57653">
        <w:rPr>
          <w:rFonts w:ascii="Times New Roman" w:hAnsi="Times New Roman" w:cs="Times New Roman"/>
          <w:b/>
          <w:bCs/>
          <w:sz w:val="24"/>
          <w:szCs w:val="24"/>
        </w:rPr>
        <w:t>:</w:t>
      </w:r>
    </w:p>
    <w:p w14:paraId="7063FBF0" w14:textId="77777777" w:rsidR="00E81F2C" w:rsidRPr="00B57653" w:rsidRDefault="00E81F2C" w:rsidP="009D0E2E">
      <w:p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Histological markers such as increased intraepithelial lymphocytes, macrophage activity, and dendritic cell density are observed in gut dysfunction. Flow cytometric analysis of T-cell subsets (Th17/Treg balance) also serves as an advanced immunological marker of gut health status (Cerf-</w:t>
      </w:r>
      <w:proofErr w:type="spellStart"/>
      <w:r w:rsidRPr="00B57653">
        <w:rPr>
          <w:rFonts w:ascii="Times New Roman" w:hAnsi="Times New Roman" w:cs="Times New Roman"/>
          <w:sz w:val="24"/>
          <w:szCs w:val="24"/>
        </w:rPr>
        <w:t>Bensussan</w:t>
      </w:r>
      <w:proofErr w:type="spellEnd"/>
      <w:r w:rsidRPr="00B57653">
        <w:rPr>
          <w:rFonts w:ascii="Times New Roman" w:hAnsi="Times New Roman" w:cs="Times New Roman"/>
          <w:sz w:val="24"/>
          <w:szCs w:val="24"/>
        </w:rPr>
        <w:t>&amp; Gaboriau-</w:t>
      </w:r>
      <w:proofErr w:type="spellStart"/>
      <w:r w:rsidRPr="00B57653">
        <w:rPr>
          <w:rFonts w:ascii="Times New Roman" w:hAnsi="Times New Roman" w:cs="Times New Roman"/>
          <w:sz w:val="24"/>
          <w:szCs w:val="24"/>
        </w:rPr>
        <w:t>Routhiau</w:t>
      </w:r>
      <w:proofErr w:type="spellEnd"/>
      <w:r w:rsidRPr="00B57653">
        <w:rPr>
          <w:rFonts w:ascii="Times New Roman" w:hAnsi="Times New Roman" w:cs="Times New Roman"/>
          <w:sz w:val="24"/>
          <w:szCs w:val="24"/>
        </w:rPr>
        <w:t>, 2010).</w:t>
      </w:r>
    </w:p>
    <w:p w14:paraId="7063FBF1" w14:textId="77777777" w:rsidR="00E81F2C" w:rsidRPr="00B57653" w:rsidRDefault="00232C46" w:rsidP="009D0E2E">
      <w:pPr>
        <w:spacing w:line="360" w:lineRule="auto"/>
        <w:jc w:val="both"/>
        <w:rPr>
          <w:rFonts w:ascii="Times New Roman" w:hAnsi="Times New Roman" w:cs="Times New Roman"/>
          <w:sz w:val="24"/>
          <w:szCs w:val="24"/>
        </w:rPr>
      </w:pPr>
      <w:r>
        <w:rPr>
          <w:rFonts w:ascii="Times New Roman" w:hAnsi="Times New Roman" w:cs="Times New Roman"/>
          <w:b/>
          <w:bCs/>
          <w:sz w:val="24"/>
          <w:szCs w:val="24"/>
        </w:rPr>
        <w:t>3.</w:t>
      </w:r>
      <w:r w:rsidR="00E81F2C" w:rsidRPr="00B57653">
        <w:rPr>
          <w:rFonts w:ascii="Times New Roman" w:hAnsi="Times New Roman" w:cs="Times New Roman"/>
          <w:b/>
          <w:bCs/>
          <w:sz w:val="24"/>
          <w:szCs w:val="24"/>
        </w:rPr>
        <w:t>5. External modulators of immunological markers</w:t>
      </w:r>
      <w:r w:rsidR="009A5458" w:rsidRPr="00B57653">
        <w:rPr>
          <w:rFonts w:ascii="Times New Roman" w:hAnsi="Times New Roman" w:cs="Times New Roman"/>
          <w:b/>
          <w:bCs/>
          <w:sz w:val="24"/>
          <w:szCs w:val="24"/>
        </w:rPr>
        <w:t>:</w:t>
      </w:r>
    </w:p>
    <w:p w14:paraId="7063FBF2" w14:textId="77777777" w:rsidR="00E81F2C" w:rsidRPr="00B57653" w:rsidRDefault="00E81F2C" w:rsidP="009D0E2E">
      <w:pPr>
        <w:spacing w:line="360" w:lineRule="auto"/>
        <w:jc w:val="both"/>
        <w:rPr>
          <w:rFonts w:ascii="Times New Roman" w:hAnsi="Times New Roman" w:cs="Times New Roman"/>
          <w:sz w:val="24"/>
          <w:szCs w:val="24"/>
        </w:rPr>
      </w:pPr>
      <w:r w:rsidRPr="0082259E">
        <w:rPr>
          <w:rFonts w:ascii="Times New Roman" w:hAnsi="Times New Roman" w:cs="Times New Roman"/>
          <w:b/>
          <w:bCs/>
          <w:sz w:val="24"/>
          <w:szCs w:val="24"/>
        </w:rPr>
        <w:lastRenderedPageBreak/>
        <w:t>Diet:</w:t>
      </w:r>
      <w:r w:rsidRPr="00B57653">
        <w:rPr>
          <w:rFonts w:ascii="Times New Roman" w:hAnsi="Times New Roman" w:cs="Times New Roman"/>
          <w:sz w:val="24"/>
          <w:szCs w:val="24"/>
        </w:rPr>
        <w:t xml:space="preserve"> Prebiotics, probiotics, and SCFAs upregulate IL-10 and </w:t>
      </w:r>
      <w:proofErr w:type="spellStart"/>
      <w:r w:rsidRPr="00B57653">
        <w:rPr>
          <w:rFonts w:ascii="Times New Roman" w:hAnsi="Times New Roman" w:cs="Times New Roman"/>
          <w:sz w:val="24"/>
          <w:szCs w:val="24"/>
        </w:rPr>
        <w:t>sIgA</w:t>
      </w:r>
      <w:proofErr w:type="spellEnd"/>
      <w:r w:rsidRPr="00B57653">
        <w:rPr>
          <w:rFonts w:ascii="Times New Roman" w:hAnsi="Times New Roman" w:cs="Times New Roman"/>
          <w:sz w:val="24"/>
          <w:szCs w:val="24"/>
        </w:rPr>
        <w:t>, promoting tolerance and barrier protection.</w:t>
      </w:r>
    </w:p>
    <w:p w14:paraId="7063FBF3" w14:textId="77777777" w:rsidR="00E81F2C" w:rsidRPr="00B57653" w:rsidRDefault="00E81F2C" w:rsidP="009D0E2E">
      <w:pPr>
        <w:spacing w:line="360" w:lineRule="auto"/>
        <w:jc w:val="both"/>
        <w:rPr>
          <w:rFonts w:ascii="Times New Roman" w:hAnsi="Times New Roman" w:cs="Times New Roman"/>
          <w:sz w:val="24"/>
          <w:szCs w:val="24"/>
        </w:rPr>
      </w:pPr>
      <w:r w:rsidRPr="0082259E">
        <w:rPr>
          <w:rFonts w:ascii="Times New Roman" w:hAnsi="Times New Roman" w:cs="Times New Roman"/>
          <w:b/>
          <w:bCs/>
          <w:sz w:val="24"/>
          <w:szCs w:val="24"/>
        </w:rPr>
        <w:t>Stress and toxins:</w:t>
      </w:r>
      <w:r w:rsidRPr="00B57653">
        <w:rPr>
          <w:rFonts w:ascii="Times New Roman" w:hAnsi="Times New Roman" w:cs="Times New Roman"/>
          <w:sz w:val="24"/>
          <w:szCs w:val="24"/>
        </w:rPr>
        <w:t xml:space="preserve"> Heat stress, mycotoxins, and pathogenic infections elevate TNF-α and IL-6, reflecting gut barrier compromise (</w:t>
      </w:r>
      <w:proofErr w:type="spellStart"/>
      <w:r w:rsidRPr="00B57653">
        <w:rPr>
          <w:rFonts w:ascii="Times New Roman" w:hAnsi="Times New Roman" w:cs="Times New Roman"/>
          <w:sz w:val="24"/>
          <w:szCs w:val="24"/>
        </w:rPr>
        <w:t>Lallès</w:t>
      </w:r>
      <w:proofErr w:type="spellEnd"/>
      <w:r w:rsidRPr="00B57653">
        <w:rPr>
          <w:rFonts w:ascii="Times New Roman" w:hAnsi="Times New Roman" w:cs="Times New Roman"/>
          <w:sz w:val="24"/>
          <w:szCs w:val="24"/>
        </w:rPr>
        <w:t xml:space="preserve"> et al., 2007).</w:t>
      </w:r>
    </w:p>
    <w:p w14:paraId="7063FBF4" w14:textId="77777777" w:rsidR="00E81F2C" w:rsidRPr="00B57653" w:rsidRDefault="00E81F2C" w:rsidP="009D0E2E">
      <w:pPr>
        <w:spacing w:line="360" w:lineRule="auto"/>
        <w:jc w:val="both"/>
        <w:rPr>
          <w:rFonts w:ascii="Times New Roman" w:hAnsi="Times New Roman" w:cs="Times New Roman"/>
          <w:sz w:val="24"/>
          <w:szCs w:val="24"/>
        </w:rPr>
      </w:pPr>
      <w:r w:rsidRPr="0082259E">
        <w:rPr>
          <w:rFonts w:ascii="Times New Roman" w:hAnsi="Times New Roman" w:cs="Times New Roman"/>
          <w:b/>
          <w:bCs/>
          <w:sz w:val="24"/>
          <w:szCs w:val="24"/>
        </w:rPr>
        <w:t>Microbiota</w:t>
      </w:r>
      <w:r w:rsidRPr="00B57653">
        <w:rPr>
          <w:rFonts w:ascii="Times New Roman" w:hAnsi="Times New Roman" w:cs="Times New Roman"/>
          <w:sz w:val="24"/>
          <w:szCs w:val="24"/>
        </w:rPr>
        <w:t xml:space="preserve">: Dysbiosis leads to inappropriate immune activation, whereas symbiotic microbiota </w:t>
      </w:r>
      <w:proofErr w:type="gramStart"/>
      <w:r w:rsidRPr="00B57653">
        <w:rPr>
          <w:rFonts w:ascii="Times New Roman" w:hAnsi="Times New Roman" w:cs="Times New Roman"/>
          <w:sz w:val="24"/>
          <w:szCs w:val="24"/>
        </w:rPr>
        <w:t>promote</w:t>
      </w:r>
      <w:proofErr w:type="gramEnd"/>
      <w:r w:rsidRPr="00B57653">
        <w:rPr>
          <w:rFonts w:ascii="Times New Roman" w:hAnsi="Times New Roman" w:cs="Times New Roman"/>
          <w:sz w:val="24"/>
          <w:szCs w:val="24"/>
        </w:rPr>
        <w:t xml:space="preserve"> immunoregulation via dendritic cell </w:t>
      </w:r>
      <w:proofErr w:type="spellStart"/>
      <w:r w:rsidRPr="00B57653">
        <w:rPr>
          <w:rFonts w:ascii="Times New Roman" w:hAnsi="Times New Roman" w:cs="Times New Roman"/>
          <w:sz w:val="24"/>
          <w:szCs w:val="24"/>
        </w:rPr>
        <w:t>signaling</w:t>
      </w:r>
      <w:proofErr w:type="spellEnd"/>
      <w:r w:rsidRPr="00B57653">
        <w:rPr>
          <w:rFonts w:ascii="Times New Roman" w:hAnsi="Times New Roman" w:cs="Times New Roman"/>
          <w:sz w:val="24"/>
          <w:szCs w:val="24"/>
        </w:rPr>
        <w:t xml:space="preserve"> and Treg induction.</w:t>
      </w:r>
    </w:p>
    <w:p w14:paraId="7063FBF5" w14:textId="77777777" w:rsidR="0003475F" w:rsidRPr="00B57653" w:rsidRDefault="00E81F2C" w:rsidP="009D0E2E">
      <w:p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 xml:space="preserve">In livestock and poultry, immunological markers are increasingly used to evaluate gut health under nutritional interventions, vaccination strategies, and environmental stress. For example, increased IL-10 and </w:t>
      </w:r>
      <w:proofErr w:type="spellStart"/>
      <w:r w:rsidRPr="00B57653">
        <w:rPr>
          <w:rFonts w:ascii="Times New Roman" w:hAnsi="Times New Roman" w:cs="Times New Roman"/>
          <w:sz w:val="24"/>
          <w:szCs w:val="24"/>
        </w:rPr>
        <w:t>sIgA</w:t>
      </w:r>
      <w:proofErr w:type="spellEnd"/>
      <w:r w:rsidRPr="00B57653">
        <w:rPr>
          <w:rFonts w:ascii="Times New Roman" w:hAnsi="Times New Roman" w:cs="Times New Roman"/>
          <w:sz w:val="24"/>
          <w:szCs w:val="24"/>
        </w:rPr>
        <w:t xml:space="preserve"> levels are correlated with improved resilience in piglets post-weaning, while elevated TNF-α serves as a biomarker for enteric inflammation in poultry exposed to Clostridium perfringens.</w:t>
      </w:r>
    </w:p>
    <w:p w14:paraId="7063FBF6" w14:textId="77777777" w:rsidR="00F87814" w:rsidRPr="00B57653" w:rsidRDefault="004C6575" w:rsidP="009D0E2E">
      <w:pPr>
        <w:spacing w:line="360" w:lineRule="auto"/>
        <w:jc w:val="both"/>
        <w:rPr>
          <w:rFonts w:ascii="Times New Roman" w:hAnsi="Times New Roman" w:cs="Times New Roman"/>
          <w:sz w:val="24"/>
          <w:szCs w:val="24"/>
        </w:rPr>
      </w:pPr>
      <w:r w:rsidRPr="00B57653">
        <w:rPr>
          <w:rFonts w:ascii="Times New Roman" w:hAnsi="Times New Roman" w:cs="Times New Roman"/>
          <w:b/>
          <w:bCs/>
          <w:sz w:val="24"/>
          <w:szCs w:val="24"/>
        </w:rPr>
        <w:t xml:space="preserve"> Conclusion</w:t>
      </w:r>
    </w:p>
    <w:p w14:paraId="7063FBF7" w14:textId="77777777" w:rsidR="00CD7D71" w:rsidRPr="00B57653" w:rsidRDefault="002B077A" w:rsidP="009D0E2E">
      <w:pPr>
        <w:spacing w:line="360" w:lineRule="auto"/>
        <w:ind w:firstLine="720"/>
        <w:jc w:val="both"/>
        <w:rPr>
          <w:rFonts w:ascii="Times New Roman" w:hAnsi="Times New Roman" w:cs="Times New Roman"/>
          <w:sz w:val="24"/>
          <w:szCs w:val="24"/>
        </w:rPr>
      </w:pPr>
      <w:r w:rsidRPr="00B57653">
        <w:rPr>
          <w:rFonts w:ascii="Times New Roman" w:hAnsi="Times New Roman" w:cs="Times New Roman"/>
          <w:sz w:val="24"/>
          <w:szCs w:val="24"/>
        </w:rPr>
        <w:t>The</w:t>
      </w:r>
      <w:r w:rsidR="006D541B" w:rsidRPr="00B57653">
        <w:rPr>
          <w:rFonts w:ascii="Times New Roman" w:hAnsi="Times New Roman" w:cs="Times New Roman"/>
          <w:sz w:val="24"/>
          <w:szCs w:val="24"/>
        </w:rPr>
        <w:t xml:space="preserve"> gut health markers such as villus height, crypt depth, mucosal thickness, goblet cell density, rumen papillae morphology, and capillary density hold significant potential for enhancing livestock productivity. By strengthening barrier integrity, optimizing nutrient absorption, and supporting gut-associated immune structures, these interventions bridge the structural–functional gap between diet, microbiota, and host physiology. Tailored approaches that account for species, age, and production systems not only improve growth efficiency and disease resilience but also reduce reliance on antibiotics, contributing to sustainable and welfare-oriented animal agriculture.</w:t>
      </w:r>
      <w:r w:rsidR="00CD7D71" w:rsidRPr="00B57653">
        <w:rPr>
          <w:rFonts w:ascii="Times New Roman" w:hAnsi="Times New Roman" w:cs="Times New Roman"/>
          <w:sz w:val="24"/>
          <w:szCs w:val="24"/>
        </w:rPr>
        <w:t xml:space="preserve"> Gut health markers offer a promising approach to improving livestock productivity. By understanding and enhancing the structural and functional components of the gut, veterinarians and producers can optimize health and performance while reducing dependency on pharmaceuticals. Future research integrating anatomical, microbial, and genomic insights will be critical to advancing this field.</w:t>
      </w:r>
    </w:p>
    <w:p w14:paraId="344F66EC" w14:textId="00289588" w:rsidR="00CB7AD8" w:rsidRPr="00E06B54" w:rsidRDefault="00CB7AD8" w:rsidP="00CB7AD8">
      <w:pPr>
        <w:rPr>
          <w:rFonts w:ascii="Calibri" w:eastAsia="Calibri" w:hAnsi="Calibri" w:cs="Times New Roman"/>
          <w:b/>
          <w:bCs/>
          <w:lang w:val="en-US"/>
        </w:rPr>
      </w:pPr>
      <w:bookmarkStart w:id="0" w:name="_Hlk202259943"/>
      <w:r w:rsidRPr="00E06B54">
        <w:rPr>
          <w:rFonts w:ascii="Calibri" w:eastAsia="Calibri" w:hAnsi="Calibri" w:cs="Times New Roman"/>
          <w:b/>
          <w:bCs/>
          <w:lang w:val="en-US"/>
        </w:rPr>
        <w:t>Disclaimer</w:t>
      </w:r>
      <w:r w:rsidR="00E06B54">
        <w:rPr>
          <w:rFonts w:ascii="Calibri" w:eastAsia="Calibri" w:hAnsi="Calibri" w:cs="Times New Roman"/>
          <w:b/>
          <w:bCs/>
          <w:lang w:val="en-US"/>
        </w:rPr>
        <w:t>:</w:t>
      </w:r>
    </w:p>
    <w:p w14:paraId="6EFA241F" w14:textId="77777777" w:rsidR="00CB7AD8" w:rsidRPr="00E06B54" w:rsidRDefault="00CB7AD8" w:rsidP="00CB7AD8">
      <w:pPr>
        <w:rPr>
          <w:rFonts w:ascii="Times New Roman" w:eastAsia="Calibri" w:hAnsi="Times New Roman" w:cs="Times New Roman"/>
          <w:sz w:val="24"/>
          <w:szCs w:val="24"/>
          <w:lang w:val="en-US"/>
        </w:rPr>
      </w:pPr>
      <w:r w:rsidRPr="00E06B54">
        <w:rPr>
          <w:rFonts w:ascii="Times New Roman" w:eastAsia="Calibri" w:hAnsi="Times New Roman" w:cs="Times New Roman"/>
          <w:sz w:val="24"/>
          <w:szCs w:val="24"/>
          <w:lang w:val="en-US"/>
        </w:rPr>
        <w:t xml:space="preserve">Author(s) hereby </w:t>
      </w:r>
      <w:proofErr w:type="gramStart"/>
      <w:r w:rsidRPr="00E06B54">
        <w:rPr>
          <w:rFonts w:ascii="Times New Roman" w:eastAsia="Calibri" w:hAnsi="Times New Roman" w:cs="Times New Roman"/>
          <w:sz w:val="24"/>
          <w:szCs w:val="24"/>
          <w:lang w:val="en-US"/>
        </w:rPr>
        <w:t>declare</w:t>
      </w:r>
      <w:proofErr w:type="gramEnd"/>
      <w:r w:rsidRPr="00E06B54">
        <w:rPr>
          <w:rFonts w:ascii="Times New Roman" w:eastAsia="Calibri" w:hAnsi="Times New Roman" w:cs="Times New Roman"/>
          <w:sz w:val="24"/>
          <w:szCs w:val="24"/>
          <w:lang w:val="en-US"/>
        </w:rPr>
        <w:t xml:space="preserve"> that NO generative AI technologies such as Large Language Models (ChatGPT, COPILOT, etc.) and text-to-image generators have been used during the writing or editing of this manuscript. </w:t>
      </w:r>
    </w:p>
    <w:bookmarkEnd w:id="0"/>
    <w:p w14:paraId="7063FBF8" w14:textId="77777777" w:rsidR="006D541B" w:rsidRPr="00B57653" w:rsidRDefault="006D541B" w:rsidP="009D0E2E">
      <w:pPr>
        <w:spacing w:line="360" w:lineRule="auto"/>
        <w:jc w:val="both"/>
        <w:rPr>
          <w:rFonts w:ascii="Times New Roman" w:hAnsi="Times New Roman" w:cs="Times New Roman"/>
          <w:sz w:val="24"/>
          <w:szCs w:val="24"/>
        </w:rPr>
      </w:pPr>
    </w:p>
    <w:p w14:paraId="7063FBF9" w14:textId="77777777" w:rsidR="002D216A" w:rsidRDefault="004C6575" w:rsidP="009D0E2E">
      <w:pPr>
        <w:spacing w:line="360" w:lineRule="auto"/>
        <w:jc w:val="both"/>
        <w:rPr>
          <w:rFonts w:ascii="Times New Roman" w:hAnsi="Times New Roman" w:cs="Times New Roman"/>
          <w:sz w:val="24"/>
          <w:szCs w:val="24"/>
        </w:rPr>
      </w:pPr>
      <w:r w:rsidRPr="00B57653">
        <w:rPr>
          <w:rFonts w:ascii="Times New Roman" w:hAnsi="Times New Roman" w:cs="Times New Roman"/>
          <w:b/>
          <w:bCs/>
          <w:sz w:val="24"/>
          <w:szCs w:val="24"/>
        </w:rPr>
        <w:t>References</w:t>
      </w:r>
    </w:p>
    <w:p w14:paraId="7063FBFA" w14:textId="77777777" w:rsidR="00E5212C" w:rsidRDefault="00E5212C" w:rsidP="009D0E2E">
      <w:pPr>
        <w:spacing w:before="120" w:after="120" w:line="360" w:lineRule="auto"/>
        <w:ind w:left="720" w:hanging="720"/>
        <w:jc w:val="both"/>
        <w:rPr>
          <w:rFonts w:ascii="Times New Roman" w:eastAsia="Times New Roman" w:hAnsi="Times New Roman" w:cs="Times New Roman"/>
          <w:kern w:val="0"/>
          <w:sz w:val="24"/>
          <w:szCs w:val="24"/>
          <w:lang w:eastAsia="en-IN"/>
        </w:rPr>
      </w:pPr>
      <w:r w:rsidRPr="00B57653">
        <w:rPr>
          <w:rFonts w:ascii="Times New Roman" w:eastAsia="Times New Roman" w:hAnsi="Times New Roman" w:cs="Times New Roman"/>
          <w:kern w:val="0"/>
          <w:sz w:val="24"/>
          <w:szCs w:val="24"/>
          <w:lang w:eastAsia="en-IN"/>
        </w:rPr>
        <w:lastRenderedPageBreak/>
        <w:t xml:space="preserve">  Abdelli N, Pérez JF, </w:t>
      </w:r>
      <w:proofErr w:type="spellStart"/>
      <w:r w:rsidRPr="00B57653">
        <w:rPr>
          <w:rFonts w:ascii="Times New Roman" w:eastAsia="Times New Roman" w:hAnsi="Times New Roman" w:cs="Times New Roman"/>
          <w:kern w:val="0"/>
          <w:sz w:val="24"/>
          <w:szCs w:val="24"/>
          <w:lang w:eastAsia="en-IN"/>
        </w:rPr>
        <w:t>Vilarrasa</w:t>
      </w:r>
      <w:proofErr w:type="spellEnd"/>
      <w:r w:rsidRPr="00B57653">
        <w:rPr>
          <w:rFonts w:ascii="Times New Roman" w:eastAsia="Times New Roman" w:hAnsi="Times New Roman" w:cs="Times New Roman"/>
          <w:kern w:val="0"/>
          <w:sz w:val="24"/>
          <w:szCs w:val="24"/>
          <w:lang w:eastAsia="en-IN"/>
        </w:rPr>
        <w:t xml:space="preserve"> E, et al. (2021). Effect of </w:t>
      </w:r>
      <w:proofErr w:type="spellStart"/>
      <w:r w:rsidRPr="00B57653">
        <w:rPr>
          <w:rFonts w:ascii="Times New Roman" w:eastAsia="Times New Roman" w:hAnsi="Times New Roman" w:cs="Times New Roman"/>
          <w:kern w:val="0"/>
          <w:sz w:val="24"/>
          <w:szCs w:val="24"/>
          <w:lang w:eastAsia="en-IN"/>
        </w:rPr>
        <w:t>phytogenics</w:t>
      </w:r>
      <w:proofErr w:type="spellEnd"/>
      <w:r w:rsidRPr="00B57653">
        <w:rPr>
          <w:rFonts w:ascii="Times New Roman" w:eastAsia="Times New Roman" w:hAnsi="Times New Roman" w:cs="Times New Roman"/>
          <w:kern w:val="0"/>
          <w:sz w:val="24"/>
          <w:szCs w:val="24"/>
          <w:lang w:eastAsia="en-IN"/>
        </w:rPr>
        <w:t xml:space="preserve"> on gut morphology and health. </w:t>
      </w:r>
      <w:r w:rsidRPr="00B57653">
        <w:rPr>
          <w:rFonts w:ascii="Times New Roman" w:eastAsia="Times New Roman" w:hAnsi="Times New Roman" w:cs="Times New Roman"/>
          <w:i/>
          <w:iCs/>
          <w:kern w:val="0"/>
          <w:sz w:val="24"/>
          <w:szCs w:val="24"/>
          <w:lang w:eastAsia="en-IN"/>
        </w:rPr>
        <w:t>Animal Feed Science and Technology</w:t>
      </w:r>
      <w:r w:rsidRPr="00B57653">
        <w:rPr>
          <w:rFonts w:ascii="Times New Roman" w:eastAsia="Times New Roman" w:hAnsi="Times New Roman" w:cs="Times New Roman"/>
          <w:kern w:val="0"/>
          <w:sz w:val="24"/>
          <w:szCs w:val="24"/>
          <w:lang w:eastAsia="en-IN"/>
        </w:rPr>
        <w:t>, 276, 114930.</w:t>
      </w:r>
    </w:p>
    <w:p w14:paraId="7063FBFB" w14:textId="77777777" w:rsidR="00E5212C" w:rsidRDefault="00E5212C" w:rsidP="009D0E2E">
      <w:pPr>
        <w:spacing w:before="120" w:after="120" w:line="360" w:lineRule="auto"/>
        <w:ind w:left="720" w:hanging="720"/>
        <w:jc w:val="both"/>
        <w:rPr>
          <w:rFonts w:ascii="Times New Roman" w:hAnsi="Times New Roman" w:cs="Times New Roman"/>
          <w:sz w:val="24"/>
          <w:szCs w:val="24"/>
        </w:rPr>
      </w:pPr>
      <w:r w:rsidRPr="00B57653">
        <w:rPr>
          <w:rFonts w:ascii="Times New Roman" w:hAnsi="Times New Roman" w:cs="Times New Roman"/>
          <w:sz w:val="24"/>
          <w:szCs w:val="24"/>
        </w:rPr>
        <w:t xml:space="preserve">Awad WA, Ghareeb K, Abdel-Raheem S, Böhm J (2009) Effects of dietary inclusion of probiotic and </w:t>
      </w:r>
      <w:proofErr w:type="spellStart"/>
      <w:r w:rsidRPr="00B57653">
        <w:rPr>
          <w:rFonts w:ascii="Times New Roman" w:hAnsi="Times New Roman" w:cs="Times New Roman"/>
          <w:sz w:val="24"/>
          <w:szCs w:val="24"/>
        </w:rPr>
        <w:t>synbiotic</w:t>
      </w:r>
      <w:proofErr w:type="spellEnd"/>
      <w:r w:rsidRPr="00B57653">
        <w:rPr>
          <w:rFonts w:ascii="Times New Roman" w:hAnsi="Times New Roman" w:cs="Times New Roman"/>
          <w:sz w:val="24"/>
          <w:szCs w:val="24"/>
        </w:rPr>
        <w:t xml:space="preserve"> on growth performance, organ weights, and intestinal histomorphology of broiler chickens. </w:t>
      </w:r>
      <w:r w:rsidRPr="00B57653">
        <w:rPr>
          <w:rFonts w:ascii="Times New Roman" w:hAnsi="Times New Roman" w:cs="Times New Roman"/>
          <w:i/>
          <w:iCs/>
          <w:sz w:val="24"/>
          <w:szCs w:val="24"/>
        </w:rPr>
        <w:t>Poultry Science</w:t>
      </w:r>
      <w:r w:rsidRPr="00B57653">
        <w:rPr>
          <w:rFonts w:ascii="Times New Roman" w:hAnsi="Times New Roman" w:cs="Times New Roman"/>
          <w:sz w:val="24"/>
          <w:szCs w:val="24"/>
        </w:rPr>
        <w:t xml:space="preserve"> 88(1):49–56.</w:t>
      </w:r>
    </w:p>
    <w:p w14:paraId="7063FBFC" w14:textId="77777777" w:rsidR="00E5212C" w:rsidRDefault="00E5212C" w:rsidP="009D0E2E">
      <w:pPr>
        <w:spacing w:before="120" w:after="120" w:line="360" w:lineRule="auto"/>
        <w:ind w:left="720" w:hanging="720"/>
        <w:jc w:val="both"/>
        <w:rPr>
          <w:rFonts w:ascii="Times New Roman" w:eastAsia="Times New Roman" w:hAnsi="Times New Roman" w:cs="Times New Roman"/>
          <w:kern w:val="0"/>
          <w:sz w:val="24"/>
          <w:szCs w:val="24"/>
          <w:lang w:eastAsia="en-IN"/>
        </w:rPr>
      </w:pPr>
      <w:r w:rsidRPr="00B57653">
        <w:rPr>
          <w:rFonts w:ascii="Times New Roman" w:eastAsia="Times New Roman" w:hAnsi="Times New Roman" w:cs="Times New Roman"/>
          <w:kern w:val="0"/>
          <w:sz w:val="24"/>
          <w:szCs w:val="24"/>
          <w:lang w:eastAsia="en-IN"/>
        </w:rPr>
        <w:t xml:space="preserve">  Bach, A., </w:t>
      </w:r>
      <w:proofErr w:type="spellStart"/>
      <w:r w:rsidRPr="00B57653">
        <w:rPr>
          <w:rFonts w:ascii="Times New Roman" w:eastAsia="Times New Roman" w:hAnsi="Times New Roman" w:cs="Times New Roman"/>
          <w:kern w:val="0"/>
          <w:sz w:val="24"/>
          <w:szCs w:val="24"/>
          <w:lang w:eastAsia="en-IN"/>
        </w:rPr>
        <w:t>Calsamiglia</w:t>
      </w:r>
      <w:proofErr w:type="spellEnd"/>
      <w:r w:rsidRPr="00B57653">
        <w:rPr>
          <w:rFonts w:ascii="Times New Roman" w:eastAsia="Times New Roman" w:hAnsi="Times New Roman" w:cs="Times New Roman"/>
          <w:kern w:val="0"/>
          <w:sz w:val="24"/>
          <w:szCs w:val="24"/>
          <w:lang w:eastAsia="en-IN"/>
        </w:rPr>
        <w:t xml:space="preserve">, S., &amp; Stern, M.D. (2005). Nitrogen metabolism in the rumen. </w:t>
      </w:r>
      <w:r w:rsidRPr="00B57653">
        <w:rPr>
          <w:rFonts w:ascii="Times New Roman" w:eastAsia="Times New Roman" w:hAnsi="Times New Roman" w:cs="Times New Roman"/>
          <w:i/>
          <w:iCs/>
          <w:kern w:val="0"/>
          <w:sz w:val="24"/>
          <w:szCs w:val="24"/>
          <w:lang w:eastAsia="en-IN"/>
        </w:rPr>
        <w:t>Journal of Dairy Science</w:t>
      </w:r>
      <w:r w:rsidRPr="00B57653">
        <w:rPr>
          <w:rFonts w:ascii="Times New Roman" w:eastAsia="Times New Roman" w:hAnsi="Times New Roman" w:cs="Times New Roman"/>
          <w:kern w:val="0"/>
          <w:sz w:val="24"/>
          <w:szCs w:val="24"/>
          <w:lang w:eastAsia="en-IN"/>
        </w:rPr>
        <w:t>, 88, E9–E21.</w:t>
      </w:r>
    </w:p>
    <w:p w14:paraId="7063FBFD" w14:textId="77777777" w:rsidR="00E5212C" w:rsidRDefault="00E5212C" w:rsidP="009D0E2E">
      <w:pPr>
        <w:spacing w:before="120" w:after="120" w:line="360" w:lineRule="auto"/>
        <w:ind w:left="720" w:hanging="720"/>
        <w:jc w:val="both"/>
        <w:rPr>
          <w:rFonts w:ascii="Times New Roman" w:eastAsia="Times New Roman" w:hAnsi="Times New Roman" w:cs="Times New Roman"/>
          <w:kern w:val="0"/>
          <w:sz w:val="24"/>
          <w:szCs w:val="24"/>
          <w:lang w:eastAsia="en-IN"/>
        </w:rPr>
      </w:pPr>
      <w:r w:rsidRPr="003343C8">
        <w:rPr>
          <w:rFonts w:ascii="Times New Roman" w:eastAsia="Times New Roman" w:hAnsi="Times New Roman" w:cs="Times New Roman"/>
          <w:kern w:val="0"/>
          <w:sz w:val="24"/>
          <w:szCs w:val="24"/>
          <w:lang w:eastAsia="en-IN"/>
        </w:rPr>
        <w:t xml:space="preserve">Barrett, E., Ross, R.P., O’Toole, P.W., Fitzgerald, G.F., &amp; Stanton, C. (2012). γ-Aminobutyric acid production by culturable bacteria from the human intestine. </w:t>
      </w:r>
      <w:r w:rsidRPr="003343C8">
        <w:rPr>
          <w:rFonts w:ascii="Times New Roman" w:eastAsia="Times New Roman" w:hAnsi="Times New Roman" w:cs="Times New Roman"/>
          <w:i/>
          <w:iCs/>
          <w:kern w:val="0"/>
          <w:sz w:val="24"/>
          <w:szCs w:val="24"/>
          <w:lang w:eastAsia="en-IN"/>
        </w:rPr>
        <w:t>Journal of Applied Microbiology</w:t>
      </w:r>
      <w:r w:rsidRPr="003343C8">
        <w:rPr>
          <w:rFonts w:ascii="Times New Roman" w:eastAsia="Times New Roman" w:hAnsi="Times New Roman" w:cs="Times New Roman"/>
          <w:kern w:val="0"/>
          <w:sz w:val="24"/>
          <w:szCs w:val="24"/>
          <w:lang w:eastAsia="en-IN"/>
        </w:rPr>
        <w:t>, 113(2), 411–417.</w:t>
      </w:r>
    </w:p>
    <w:p w14:paraId="7063FBFE" w14:textId="77777777" w:rsidR="00E5212C" w:rsidRDefault="00E5212C" w:rsidP="009D0E2E">
      <w:pPr>
        <w:spacing w:before="120" w:after="120" w:line="360" w:lineRule="auto"/>
        <w:ind w:left="720" w:hanging="720"/>
        <w:jc w:val="both"/>
        <w:rPr>
          <w:rFonts w:ascii="Times New Roman" w:hAnsi="Times New Roman" w:cs="Times New Roman"/>
          <w:sz w:val="24"/>
          <w:szCs w:val="24"/>
        </w:rPr>
      </w:pPr>
      <w:r w:rsidRPr="00B57653">
        <w:rPr>
          <w:rFonts w:ascii="Times New Roman" w:hAnsi="Times New Roman" w:cs="Times New Roman"/>
          <w:sz w:val="24"/>
          <w:szCs w:val="24"/>
        </w:rPr>
        <w:t xml:space="preserve">Bar-Shira, E., </w:t>
      </w:r>
      <w:proofErr w:type="spellStart"/>
      <w:r w:rsidRPr="00B57653">
        <w:rPr>
          <w:rFonts w:ascii="Times New Roman" w:hAnsi="Times New Roman" w:cs="Times New Roman"/>
          <w:sz w:val="24"/>
          <w:szCs w:val="24"/>
        </w:rPr>
        <w:t>Sklan</w:t>
      </w:r>
      <w:proofErr w:type="spellEnd"/>
      <w:r w:rsidRPr="00B57653">
        <w:rPr>
          <w:rFonts w:ascii="Times New Roman" w:hAnsi="Times New Roman" w:cs="Times New Roman"/>
          <w:sz w:val="24"/>
          <w:szCs w:val="24"/>
        </w:rPr>
        <w:t>, D., &amp; Friedman, A. (2003). Establishment of immune competence in the avian GALT during the immediate post-hatch period. Developmental &amp; Comparative Immunology, 27(2), 147-157.</w:t>
      </w:r>
    </w:p>
    <w:p w14:paraId="7063FBFF" w14:textId="77777777" w:rsidR="00E5212C" w:rsidRDefault="00E5212C" w:rsidP="009D0E2E">
      <w:pPr>
        <w:spacing w:before="120" w:after="120" w:line="360" w:lineRule="auto"/>
        <w:ind w:left="720" w:hanging="720"/>
        <w:jc w:val="both"/>
        <w:rPr>
          <w:rFonts w:ascii="Times New Roman" w:eastAsia="Times New Roman" w:hAnsi="Times New Roman" w:cs="Times New Roman"/>
          <w:kern w:val="0"/>
          <w:sz w:val="24"/>
          <w:szCs w:val="24"/>
          <w:lang w:eastAsia="en-IN"/>
        </w:rPr>
      </w:pPr>
      <w:r w:rsidRPr="00864885">
        <w:rPr>
          <w:rFonts w:ascii="Times New Roman" w:eastAsia="Times New Roman" w:hAnsi="Times New Roman" w:cs="Times New Roman"/>
          <w:kern w:val="0"/>
          <w:sz w:val="24"/>
          <w:szCs w:val="24"/>
          <w:lang w:eastAsia="en-IN"/>
        </w:rPr>
        <w:t xml:space="preserve">Bevins, C.L., &amp; Salzman, N.H. (2011). Paneth cells, antimicrobial peptides and maintenance of intestinal homeostasis. </w:t>
      </w:r>
      <w:r w:rsidRPr="00864885">
        <w:rPr>
          <w:rFonts w:ascii="Times New Roman" w:eastAsia="Times New Roman" w:hAnsi="Times New Roman" w:cs="Times New Roman"/>
          <w:i/>
          <w:iCs/>
          <w:kern w:val="0"/>
          <w:sz w:val="24"/>
          <w:szCs w:val="24"/>
          <w:lang w:eastAsia="en-IN"/>
        </w:rPr>
        <w:t>Nature Reviews Microbiology</w:t>
      </w:r>
      <w:r w:rsidRPr="00864885">
        <w:rPr>
          <w:rFonts w:ascii="Times New Roman" w:eastAsia="Times New Roman" w:hAnsi="Times New Roman" w:cs="Times New Roman"/>
          <w:kern w:val="0"/>
          <w:sz w:val="24"/>
          <w:szCs w:val="24"/>
          <w:lang w:eastAsia="en-IN"/>
        </w:rPr>
        <w:t>, 9(5), 356–368.</w:t>
      </w:r>
    </w:p>
    <w:p w14:paraId="7063FC00" w14:textId="77777777" w:rsidR="00E5212C" w:rsidRDefault="00E5212C" w:rsidP="009D0E2E">
      <w:pPr>
        <w:spacing w:before="120" w:after="120" w:line="360" w:lineRule="auto"/>
        <w:ind w:left="720" w:hanging="720"/>
        <w:jc w:val="both"/>
        <w:rPr>
          <w:rFonts w:ascii="Times New Roman" w:eastAsia="Times New Roman" w:hAnsi="Times New Roman" w:cs="Times New Roman"/>
          <w:kern w:val="0"/>
          <w:sz w:val="24"/>
          <w:szCs w:val="24"/>
          <w:lang w:eastAsia="en-IN"/>
        </w:rPr>
      </w:pPr>
      <w:r w:rsidRPr="003343C8">
        <w:rPr>
          <w:rFonts w:ascii="Times New Roman" w:eastAsia="Times New Roman" w:hAnsi="Times New Roman" w:cs="Times New Roman"/>
          <w:kern w:val="0"/>
          <w:sz w:val="24"/>
          <w:szCs w:val="24"/>
          <w:lang w:eastAsia="en-IN"/>
        </w:rPr>
        <w:t xml:space="preserve">Bult, H., </w:t>
      </w:r>
      <w:proofErr w:type="spellStart"/>
      <w:r w:rsidRPr="003343C8">
        <w:rPr>
          <w:rFonts w:ascii="Times New Roman" w:eastAsia="Times New Roman" w:hAnsi="Times New Roman" w:cs="Times New Roman"/>
          <w:kern w:val="0"/>
          <w:sz w:val="24"/>
          <w:szCs w:val="24"/>
          <w:lang w:eastAsia="en-IN"/>
        </w:rPr>
        <w:t>Boeckxstaens</w:t>
      </w:r>
      <w:proofErr w:type="spellEnd"/>
      <w:r w:rsidRPr="003343C8">
        <w:rPr>
          <w:rFonts w:ascii="Times New Roman" w:eastAsia="Times New Roman" w:hAnsi="Times New Roman" w:cs="Times New Roman"/>
          <w:kern w:val="0"/>
          <w:sz w:val="24"/>
          <w:szCs w:val="24"/>
          <w:lang w:eastAsia="en-IN"/>
        </w:rPr>
        <w:t xml:space="preserve">, G.E., </w:t>
      </w:r>
      <w:proofErr w:type="spellStart"/>
      <w:r w:rsidRPr="003343C8">
        <w:rPr>
          <w:rFonts w:ascii="Times New Roman" w:eastAsia="Times New Roman" w:hAnsi="Times New Roman" w:cs="Times New Roman"/>
          <w:kern w:val="0"/>
          <w:sz w:val="24"/>
          <w:szCs w:val="24"/>
          <w:lang w:eastAsia="en-IN"/>
        </w:rPr>
        <w:t>Pelckmans</w:t>
      </w:r>
      <w:proofErr w:type="spellEnd"/>
      <w:r w:rsidRPr="003343C8">
        <w:rPr>
          <w:rFonts w:ascii="Times New Roman" w:eastAsia="Times New Roman" w:hAnsi="Times New Roman" w:cs="Times New Roman"/>
          <w:kern w:val="0"/>
          <w:sz w:val="24"/>
          <w:szCs w:val="24"/>
          <w:lang w:eastAsia="en-IN"/>
        </w:rPr>
        <w:t xml:space="preserve">, P.A., Jordaens, F.H., Van Maercke, Y.M., &amp; Herman, A.G. (1990). Nitric oxide as an inhibitory non-adrenergic non-cholinergic neurotransmitter. </w:t>
      </w:r>
      <w:r w:rsidRPr="003343C8">
        <w:rPr>
          <w:rFonts w:ascii="Times New Roman" w:eastAsia="Times New Roman" w:hAnsi="Times New Roman" w:cs="Times New Roman"/>
          <w:i/>
          <w:iCs/>
          <w:kern w:val="0"/>
          <w:sz w:val="24"/>
          <w:szCs w:val="24"/>
          <w:lang w:eastAsia="en-IN"/>
        </w:rPr>
        <w:t>Nature</w:t>
      </w:r>
      <w:r w:rsidRPr="003343C8">
        <w:rPr>
          <w:rFonts w:ascii="Times New Roman" w:eastAsia="Times New Roman" w:hAnsi="Times New Roman" w:cs="Times New Roman"/>
          <w:kern w:val="0"/>
          <w:sz w:val="24"/>
          <w:szCs w:val="24"/>
          <w:lang w:eastAsia="en-IN"/>
        </w:rPr>
        <w:t>, 345(6273), 346–347.</w:t>
      </w:r>
    </w:p>
    <w:p w14:paraId="7063FC01" w14:textId="77777777" w:rsidR="00E5212C" w:rsidRDefault="00E5212C" w:rsidP="009D0E2E">
      <w:pPr>
        <w:spacing w:before="120" w:after="120" w:line="360" w:lineRule="auto"/>
        <w:ind w:left="720" w:hanging="720"/>
        <w:jc w:val="both"/>
        <w:rPr>
          <w:rFonts w:ascii="Times New Roman" w:eastAsia="Times New Roman" w:hAnsi="Times New Roman" w:cs="Times New Roman"/>
          <w:kern w:val="0"/>
          <w:sz w:val="24"/>
          <w:szCs w:val="24"/>
          <w:lang w:eastAsia="en-IN"/>
        </w:rPr>
      </w:pPr>
      <w:r w:rsidRPr="00864885">
        <w:rPr>
          <w:rFonts w:ascii="Times New Roman" w:eastAsia="Times New Roman" w:hAnsi="Times New Roman" w:cs="Times New Roman"/>
          <w:kern w:val="0"/>
          <w:sz w:val="24"/>
          <w:szCs w:val="24"/>
          <w:lang w:eastAsia="en-IN"/>
        </w:rPr>
        <w:t>Cerf-</w:t>
      </w:r>
      <w:proofErr w:type="spellStart"/>
      <w:r w:rsidRPr="00864885">
        <w:rPr>
          <w:rFonts w:ascii="Times New Roman" w:eastAsia="Times New Roman" w:hAnsi="Times New Roman" w:cs="Times New Roman"/>
          <w:kern w:val="0"/>
          <w:sz w:val="24"/>
          <w:szCs w:val="24"/>
          <w:lang w:eastAsia="en-IN"/>
        </w:rPr>
        <w:t>Bensussan</w:t>
      </w:r>
      <w:proofErr w:type="spellEnd"/>
      <w:r w:rsidRPr="00864885">
        <w:rPr>
          <w:rFonts w:ascii="Times New Roman" w:eastAsia="Times New Roman" w:hAnsi="Times New Roman" w:cs="Times New Roman"/>
          <w:kern w:val="0"/>
          <w:sz w:val="24"/>
          <w:szCs w:val="24"/>
          <w:lang w:eastAsia="en-IN"/>
        </w:rPr>
        <w:t>, N., &amp; Gaboriau-</w:t>
      </w:r>
      <w:proofErr w:type="spellStart"/>
      <w:r w:rsidRPr="00864885">
        <w:rPr>
          <w:rFonts w:ascii="Times New Roman" w:eastAsia="Times New Roman" w:hAnsi="Times New Roman" w:cs="Times New Roman"/>
          <w:kern w:val="0"/>
          <w:sz w:val="24"/>
          <w:szCs w:val="24"/>
          <w:lang w:eastAsia="en-IN"/>
        </w:rPr>
        <w:t>Routhiau</w:t>
      </w:r>
      <w:proofErr w:type="spellEnd"/>
      <w:r w:rsidRPr="00864885">
        <w:rPr>
          <w:rFonts w:ascii="Times New Roman" w:eastAsia="Times New Roman" w:hAnsi="Times New Roman" w:cs="Times New Roman"/>
          <w:kern w:val="0"/>
          <w:sz w:val="24"/>
          <w:szCs w:val="24"/>
          <w:lang w:eastAsia="en-IN"/>
        </w:rPr>
        <w:t xml:space="preserve">, V. (2010). The immune system and the gut microbiota: friends or foes? </w:t>
      </w:r>
      <w:r w:rsidRPr="00864885">
        <w:rPr>
          <w:rFonts w:ascii="Times New Roman" w:eastAsia="Times New Roman" w:hAnsi="Times New Roman" w:cs="Times New Roman"/>
          <w:i/>
          <w:iCs/>
          <w:kern w:val="0"/>
          <w:sz w:val="24"/>
          <w:szCs w:val="24"/>
          <w:lang w:eastAsia="en-IN"/>
        </w:rPr>
        <w:t>Nature Reviews Immunology</w:t>
      </w:r>
      <w:r w:rsidRPr="00864885">
        <w:rPr>
          <w:rFonts w:ascii="Times New Roman" w:eastAsia="Times New Roman" w:hAnsi="Times New Roman" w:cs="Times New Roman"/>
          <w:kern w:val="0"/>
          <w:sz w:val="24"/>
          <w:szCs w:val="24"/>
          <w:lang w:eastAsia="en-IN"/>
        </w:rPr>
        <w:t>, 10(10), 735–744.</w:t>
      </w:r>
    </w:p>
    <w:p w14:paraId="7063FC02" w14:textId="77777777" w:rsidR="00E5212C" w:rsidRPr="00C04DD7" w:rsidRDefault="00E5212C" w:rsidP="009D0E2E">
      <w:pPr>
        <w:spacing w:before="120" w:after="120" w:line="360" w:lineRule="auto"/>
        <w:ind w:left="720" w:hanging="720"/>
        <w:jc w:val="both"/>
        <w:rPr>
          <w:rFonts w:ascii="Times New Roman" w:hAnsi="Times New Roman" w:cs="Times New Roman"/>
          <w:sz w:val="24"/>
          <w:szCs w:val="24"/>
        </w:rPr>
      </w:pPr>
      <w:r w:rsidRPr="00C04DD7">
        <w:rPr>
          <w:rFonts w:ascii="Times New Roman" w:hAnsi="Times New Roman" w:cs="Times New Roman"/>
          <w:sz w:val="24"/>
          <w:szCs w:val="24"/>
        </w:rPr>
        <w:t>Cheled-Shoval SL, Amit-</w:t>
      </w:r>
      <w:proofErr w:type="spellStart"/>
      <w:r w:rsidRPr="00C04DD7">
        <w:rPr>
          <w:rFonts w:ascii="Times New Roman" w:hAnsi="Times New Roman" w:cs="Times New Roman"/>
          <w:sz w:val="24"/>
          <w:szCs w:val="24"/>
        </w:rPr>
        <w:t>Romach</w:t>
      </w:r>
      <w:proofErr w:type="spellEnd"/>
      <w:r w:rsidRPr="00C04DD7">
        <w:rPr>
          <w:rFonts w:ascii="Times New Roman" w:hAnsi="Times New Roman" w:cs="Times New Roman"/>
          <w:sz w:val="24"/>
          <w:szCs w:val="24"/>
        </w:rPr>
        <w:t xml:space="preserve"> E, </w:t>
      </w:r>
      <w:proofErr w:type="spellStart"/>
      <w:r w:rsidRPr="00C04DD7">
        <w:rPr>
          <w:rFonts w:ascii="Times New Roman" w:hAnsi="Times New Roman" w:cs="Times New Roman"/>
          <w:sz w:val="24"/>
          <w:szCs w:val="24"/>
        </w:rPr>
        <w:t>Barbakov</w:t>
      </w:r>
      <w:proofErr w:type="spellEnd"/>
      <w:r w:rsidRPr="00C04DD7">
        <w:rPr>
          <w:rFonts w:ascii="Times New Roman" w:hAnsi="Times New Roman" w:cs="Times New Roman"/>
          <w:sz w:val="24"/>
          <w:szCs w:val="24"/>
        </w:rPr>
        <w:t xml:space="preserve"> M, Uni Z. (2014). The effect of in </w:t>
      </w:r>
      <w:proofErr w:type="spellStart"/>
      <w:r w:rsidRPr="00C04DD7">
        <w:rPr>
          <w:rFonts w:ascii="Times New Roman" w:hAnsi="Times New Roman" w:cs="Times New Roman"/>
          <w:sz w:val="24"/>
          <w:szCs w:val="24"/>
        </w:rPr>
        <w:t>ovo</w:t>
      </w:r>
      <w:proofErr w:type="spellEnd"/>
      <w:r w:rsidRPr="00C04DD7">
        <w:rPr>
          <w:rFonts w:ascii="Times New Roman" w:hAnsi="Times New Roman" w:cs="Times New Roman"/>
          <w:sz w:val="24"/>
          <w:szCs w:val="24"/>
        </w:rPr>
        <w:t xml:space="preserve"> administration of a probiotic on small intestinal development and performance of broiler chickens. </w:t>
      </w:r>
      <w:r w:rsidRPr="00C04DD7">
        <w:rPr>
          <w:rFonts w:ascii="Times New Roman" w:hAnsi="Times New Roman" w:cs="Times New Roman"/>
          <w:i/>
          <w:iCs/>
          <w:sz w:val="24"/>
          <w:szCs w:val="24"/>
        </w:rPr>
        <w:t>Poultry Science</w:t>
      </w:r>
      <w:r w:rsidRPr="00C04DD7">
        <w:rPr>
          <w:rFonts w:ascii="Times New Roman" w:hAnsi="Times New Roman" w:cs="Times New Roman"/>
          <w:sz w:val="24"/>
          <w:szCs w:val="24"/>
        </w:rPr>
        <w:t>, 93(2), 464–470.</w:t>
      </w:r>
    </w:p>
    <w:p w14:paraId="7063FC03" w14:textId="77777777" w:rsidR="00E5212C" w:rsidRDefault="00E5212C" w:rsidP="009D0E2E">
      <w:pPr>
        <w:spacing w:before="120" w:after="120" w:line="360" w:lineRule="auto"/>
        <w:ind w:left="720" w:hanging="720"/>
        <w:jc w:val="both"/>
        <w:rPr>
          <w:rFonts w:ascii="Times New Roman" w:eastAsia="Times New Roman" w:hAnsi="Times New Roman" w:cs="Times New Roman"/>
          <w:kern w:val="0"/>
          <w:sz w:val="24"/>
          <w:szCs w:val="24"/>
          <w:lang w:eastAsia="en-IN"/>
        </w:rPr>
      </w:pPr>
      <w:r w:rsidRPr="00B57653">
        <w:rPr>
          <w:rFonts w:ascii="Times New Roman" w:eastAsia="Times New Roman" w:hAnsi="Times New Roman" w:cs="Times New Roman"/>
          <w:kern w:val="0"/>
          <w:sz w:val="24"/>
          <w:szCs w:val="24"/>
          <w:lang w:eastAsia="en-IN"/>
        </w:rPr>
        <w:t xml:space="preserve">Cummings, J.H., Pomare, E.W., Branch, W.J., Naylor, C.P.E., &amp; Macfarlane, G.T. (2004). Short chain fatty acids in human large intestine, portal, hepatic and venous blood. </w:t>
      </w:r>
      <w:r w:rsidRPr="00B57653">
        <w:rPr>
          <w:rFonts w:ascii="Times New Roman" w:eastAsia="Times New Roman" w:hAnsi="Times New Roman" w:cs="Times New Roman"/>
          <w:i/>
          <w:iCs/>
          <w:kern w:val="0"/>
          <w:sz w:val="24"/>
          <w:szCs w:val="24"/>
          <w:lang w:eastAsia="en-IN"/>
        </w:rPr>
        <w:t>Gut</w:t>
      </w:r>
      <w:r w:rsidRPr="00B57653">
        <w:rPr>
          <w:rFonts w:ascii="Times New Roman" w:eastAsia="Times New Roman" w:hAnsi="Times New Roman" w:cs="Times New Roman"/>
          <w:kern w:val="0"/>
          <w:sz w:val="24"/>
          <w:szCs w:val="24"/>
          <w:lang w:eastAsia="en-IN"/>
        </w:rPr>
        <w:t>, 28(10), 1221–1227.</w:t>
      </w:r>
    </w:p>
    <w:p w14:paraId="7063FC04" w14:textId="77777777" w:rsidR="00E5212C" w:rsidRDefault="00E5212C" w:rsidP="009D0E2E">
      <w:pPr>
        <w:spacing w:before="120" w:after="120" w:line="360" w:lineRule="auto"/>
        <w:ind w:left="720" w:hanging="720"/>
        <w:jc w:val="both"/>
        <w:rPr>
          <w:rFonts w:ascii="Times New Roman" w:hAnsi="Times New Roman" w:cs="Times New Roman"/>
          <w:sz w:val="24"/>
          <w:szCs w:val="24"/>
        </w:rPr>
      </w:pPr>
      <w:r w:rsidRPr="00C04DD7">
        <w:rPr>
          <w:rFonts w:ascii="Times New Roman" w:hAnsi="Times New Roman" w:cs="Times New Roman"/>
          <w:sz w:val="24"/>
          <w:szCs w:val="24"/>
        </w:rPr>
        <w:t>Forder RE, Howarth GS, Tivey DR, Hughes RJ, Kim JC. (</w:t>
      </w:r>
      <w:r w:rsidRPr="00B57653">
        <w:rPr>
          <w:rFonts w:ascii="Times New Roman" w:hAnsi="Times New Roman" w:cs="Times New Roman"/>
          <w:sz w:val="24"/>
          <w:szCs w:val="24"/>
        </w:rPr>
        <w:t xml:space="preserve">2007). Bacterial modulation of small intestinal goblet cells and mucin composition: effects of probiotics and antibiotic growth promoters in chickens. </w:t>
      </w:r>
      <w:r w:rsidRPr="00B57653">
        <w:rPr>
          <w:rFonts w:ascii="Times New Roman" w:hAnsi="Times New Roman" w:cs="Times New Roman"/>
          <w:i/>
          <w:iCs/>
          <w:sz w:val="24"/>
          <w:szCs w:val="24"/>
        </w:rPr>
        <w:t>Poultry Science</w:t>
      </w:r>
      <w:r w:rsidRPr="00B57653">
        <w:rPr>
          <w:rFonts w:ascii="Times New Roman" w:hAnsi="Times New Roman" w:cs="Times New Roman"/>
          <w:sz w:val="24"/>
          <w:szCs w:val="24"/>
        </w:rPr>
        <w:t>, 86(3), 630–637.</w:t>
      </w:r>
    </w:p>
    <w:p w14:paraId="7063FC05" w14:textId="77777777" w:rsidR="00E5212C" w:rsidRDefault="00E5212C" w:rsidP="009D0E2E">
      <w:pPr>
        <w:spacing w:before="120" w:after="120" w:line="360" w:lineRule="auto"/>
        <w:ind w:left="720" w:hanging="720"/>
        <w:jc w:val="both"/>
        <w:rPr>
          <w:rFonts w:ascii="Times New Roman" w:hAnsi="Times New Roman" w:cs="Times New Roman"/>
          <w:sz w:val="24"/>
          <w:szCs w:val="24"/>
        </w:rPr>
      </w:pPr>
      <w:r w:rsidRPr="00B57653">
        <w:rPr>
          <w:rFonts w:ascii="Times New Roman" w:hAnsi="Times New Roman" w:cs="Times New Roman"/>
          <w:sz w:val="24"/>
          <w:szCs w:val="24"/>
        </w:rPr>
        <w:lastRenderedPageBreak/>
        <w:t xml:space="preserve">Furness, J. B. (2012). The enteric nervous system and </w:t>
      </w:r>
      <w:proofErr w:type="spellStart"/>
      <w:r w:rsidRPr="00B57653">
        <w:rPr>
          <w:rFonts w:ascii="Times New Roman" w:hAnsi="Times New Roman" w:cs="Times New Roman"/>
          <w:sz w:val="24"/>
          <w:szCs w:val="24"/>
        </w:rPr>
        <w:t>neurogastroenterology</w:t>
      </w:r>
      <w:proofErr w:type="spellEnd"/>
      <w:r w:rsidRPr="00B57653">
        <w:rPr>
          <w:rFonts w:ascii="Times New Roman" w:hAnsi="Times New Roman" w:cs="Times New Roman"/>
          <w:sz w:val="24"/>
          <w:szCs w:val="24"/>
        </w:rPr>
        <w:t>. Nature Reviews Gastroenterology &amp; Hepatology, 9(5), 286-294.</w:t>
      </w:r>
    </w:p>
    <w:p w14:paraId="7063FC06" w14:textId="77777777" w:rsidR="00E5212C" w:rsidRDefault="00E5212C" w:rsidP="009D0E2E">
      <w:pPr>
        <w:spacing w:before="120" w:after="120" w:line="360" w:lineRule="auto"/>
        <w:ind w:left="720" w:hanging="720"/>
        <w:jc w:val="both"/>
        <w:rPr>
          <w:rFonts w:ascii="Times New Roman" w:eastAsia="Times New Roman" w:hAnsi="Times New Roman" w:cs="Times New Roman"/>
          <w:kern w:val="0"/>
          <w:sz w:val="24"/>
          <w:szCs w:val="24"/>
          <w:lang w:eastAsia="en-IN"/>
        </w:rPr>
      </w:pPr>
      <w:r w:rsidRPr="00B57653">
        <w:rPr>
          <w:rFonts w:ascii="Times New Roman" w:eastAsia="Times New Roman" w:hAnsi="Times New Roman" w:cs="Times New Roman"/>
          <w:kern w:val="0"/>
          <w:sz w:val="24"/>
          <w:szCs w:val="24"/>
          <w:lang w:eastAsia="en-IN"/>
        </w:rPr>
        <w:t xml:space="preserve">Gadde U, Kim WH, Oh ST, </w:t>
      </w:r>
      <w:proofErr w:type="spellStart"/>
      <w:r w:rsidRPr="00B57653">
        <w:rPr>
          <w:rFonts w:ascii="Times New Roman" w:eastAsia="Times New Roman" w:hAnsi="Times New Roman" w:cs="Times New Roman"/>
          <w:kern w:val="0"/>
          <w:sz w:val="24"/>
          <w:szCs w:val="24"/>
          <w:lang w:eastAsia="en-IN"/>
        </w:rPr>
        <w:t>Lillehoj</w:t>
      </w:r>
      <w:proofErr w:type="spellEnd"/>
      <w:r w:rsidRPr="00B57653">
        <w:rPr>
          <w:rFonts w:ascii="Times New Roman" w:eastAsia="Times New Roman" w:hAnsi="Times New Roman" w:cs="Times New Roman"/>
          <w:kern w:val="0"/>
          <w:sz w:val="24"/>
          <w:szCs w:val="24"/>
          <w:lang w:eastAsia="en-IN"/>
        </w:rPr>
        <w:t xml:space="preserve"> HS. (2017). Alternatives to antibiotics in poultry production. </w:t>
      </w:r>
      <w:r w:rsidRPr="00B57653">
        <w:rPr>
          <w:rFonts w:ascii="Times New Roman" w:eastAsia="Times New Roman" w:hAnsi="Times New Roman" w:cs="Times New Roman"/>
          <w:i/>
          <w:iCs/>
          <w:kern w:val="0"/>
          <w:sz w:val="24"/>
          <w:szCs w:val="24"/>
          <w:lang w:eastAsia="en-IN"/>
        </w:rPr>
        <w:t>Veterinary Research</w:t>
      </w:r>
      <w:r w:rsidRPr="00B57653">
        <w:rPr>
          <w:rFonts w:ascii="Times New Roman" w:eastAsia="Times New Roman" w:hAnsi="Times New Roman" w:cs="Times New Roman"/>
          <w:kern w:val="0"/>
          <w:sz w:val="24"/>
          <w:szCs w:val="24"/>
          <w:lang w:eastAsia="en-IN"/>
        </w:rPr>
        <w:t>, 48(1), 47.</w:t>
      </w:r>
    </w:p>
    <w:p w14:paraId="7063FC07" w14:textId="77777777" w:rsidR="00E5212C" w:rsidRDefault="00E5212C" w:rsidP="009D0E2E">
      <w:pPr>
        <w:spacing w:before="120" w:after="120" w:line="360" w:lineRule="auto"/>
        <w:ind w:left="720" w:hanging="720"/>
        <w:jc w:val="both"/>
        <w:rPr>
          <w:rFonts w:ascii="Times New Roman" w:eastAsia="Times New Roman" w:hAnsi="Times New Roman" w:cs="Times New Roman"/>
          <w:kern w:val="0"/>
          <w:sz w:val="24"/>
          <w:szCs w:val="24"/>
          <w:lang w:eastAsia="en-IN"/>
        </w:rPr>
      </w:pPr>
      <w:r w:rsidRPr="00B57653">
        <w:rPr>
          <w:rFonts w:ascii="Times New Roman" w:eastAsia="Times New Roman" w:hAnsi="Times New Roman" w:cs="Times New Roman"/>
          <w:kern w:val="0"/>
          <w:sz w:val="24"/>
          <w:szCs w:val="24"/>
          <w:lang w:eastAsia="en-IN"/>
        </w:rPr>
        <w:t xml:space="preserve"> Gonzalez-Ortiz G, et al. (2016). Biomarkers for gut health and integrity in poultry. </w:t>
      </w:r>
      <w:r w:rsidRPr="00B57653">
        <w:rPr>
          <w:rFonts w:ascii="Times New Roman" w:eastAsia="Times New Roman" w:hAnsi="Times New Roman" w:cs="Times New Roman"/>
          <w:i/>
          <w:iCs/>
          <w:kern w:val="0"/>
          <w:sz w:val="24"/>
          <w:szCs w:val="24"/>
          <w:lang w:eastAsia="en-IN"/>
        </w:rPr>
        <w:t>Poultry Science</w:t>
      </w:r>
      <w:r w:rsidRPr="00B57653">
        <w:rPr>
          <w:rFonts w:ascii="Times New Roman" w:eastAsia="Times New Roman" w:hAnsi="Times New Roman" w:cs="Times New Roman"/>
          <w:kern w:val="0"/>
          <w:sz w:val="24"/>
          <w:szCs w:val="24"/>
          <w:lang w:eastAsia="en-IN"/>
        </w:rPr>
        <w:t>, 95(9), 2210–2216.</w:t>
      </w:r>
    </w:p>
    <w:p w14:paraId="7063FC08" w14:textId="77777777" w:rsidR="00E5212C" w:rsidRDefault="00E5212C" w:rsidP="009D0E2E">
      <w:pPr>
        <w:spacing w:before="120" w:after="120" w:line="360" w:lineRule="auto"/>
        <w:ind w:left="720" w:hanging="720"/>
        <w:jc w:val="both"/>
        <w:rPr>
          <w:rFonts w:ascii="Times New Roman" w:eastAsia="Times New Roman" w:hAnsi="Times New Roman" w:cs="Times New Roman"/>
          <w:kern w:val="0"/>
          <w:sz w:val="24"/>
          <w:szCs w:val="24"/>
          <w:lang w:eastAsia="en-IN"/>
        </w:rPr>
      </w:pPr>
      <w:r w:rsidRPr="00B57653">
        <w:rPr>
          <w:rFonts w:ascii="Times New Roman" w:eastAsia="Times New Roman" w:hAnsi="Times New Roman" w:cs="Times New Roman"/>
          <w:kern w:val="0"/>
          <w:sz w:val="24"/>
          <w:szCs w:val="24"/>
          <w:lang w:eastAsia="en-IN"/>
        </w:rPr>
        <w:t>Granger, D.N., &amp;</w:t>
      </w:r>
      <w:proofErr w:type="spellStart"/>
      <w:r w:rsidRPr="00B57653">
        <w:rPr>
          <w:rFonts w:ascii="Times New Roman" w:eastAsia="Times New Roman" w:hAnsi="Times New Roman" w:cs="Times New Roman"/>
          <w:kern w:val="0"/>
          <w:sz w:val="24"/>
          <w:szCs w:val="24"/>
          <w:lang w:eastAsia="en-IN"/>
        </w:rPr>
        <w:t>Kvietys</w:t>
      </w:r>
      <w:proofErr w:type="spellEnd"/>
      <w:r w:rsidRPr="00B57653">
        <w:rPr>
          <w:rFonts w:ascii="Times New Roman" w:eastAsia="Times New Roman" w:hAnsi="Times New Roman" w:cs="Times New Roman"/>
          <w:kern w:val="0"/>
          <w:sz w:val="24"/>
          <w:szCs w:val="24"/>
          <w:lang w:eastAsia="en-IN"/>
        </w:rPr>
        <w:t xml:space="preserve">, P.R. (2015). Reperfusion injury and reactive oxygen species: The evolution of a concept. </w:t>
      </w:r>
      <w:r w:rsidRPr="00B57653">
        <w:rPr>
          <w:rFonts w:ascii="Times New Roman" w:eastAsia="Times New Roman" w:hAnsi="Times New Roman" w:cs="Times New Roman"/>
          <w:i/>
          <w:iCs/>
          <w:kern w:val="0"/>
          <w:sz w:val="24"/>
          <w:szCs w:val="24"/>
          <w:lang w:eastAsia="en-IN"/>
        </w:rPr>
        <w:t>Redox Biology</w:t>
      </w:r>
      <w:r w:rsidRPr="00B57653">
        <w:rPr>
          <w:rFonts w:ascii="Times New Roman" w:eastAsia="Times New Roman" w:hAnsi="Times New Roman" w:cs="Times New Roman"/>
          <w:kern w:val="0"/>
          <w:sz w:val="24"/>
          <w:szCs w:val="24"/>
          <w:lang w:eastAsia="en-IN"/>
        </w:rPr>
        <w:t>, 6, 524–551.</w:t>
      </w:r>
    </w:p>
    <w:p w14:paraId="7063FC09" w14:textId="77777777" w:rsidR="00E5212C" w:rsidRDefault="00E5212C" w:rsidP="009D0E2E">
      <w:pPr>
        <w:spacing w:before="120" w:after="120" w:line="360" w:lineRule="auto"/>
        <w:ind w:left="720" w:hanging="720"/>
        <w:jc w:val="both"/>
        <w:rPr>
          <w:rFonts w:ascii="Times New Roman" w:hAnsi="Times New Roman" w:cs="Times New Roman"/>
          <w:sz w:val="24"/>
          <w:szCs w:val="24"/>
        </w:rPr>
      </w:pPr>
      <w:proofErr w:type="spellStart"/>
      <w:r w:rsidRPr="00B57653">
        <w:rPr>
          <w:rFonts w:ascii="Times New Roman" w:hAnsi="Times New Roman" w:cs="Times New Roman"/>
          <w:sz w:val="24"/>
          <w:szCs w:val="24"/>
        </w:rPr>
        <w:t>Gresse</w:t>
      </w:r>
      <w:proofErr w:type="spellEnd"/>
      <w:r w:rsidRPr="00B57653">
        <w:rPr>
          <w:rFonts w:ascii="Times New Roman" w:hAnsi="Times New Roman" w:cs="Times New Roman"/>
          <w:sz w:val="24"/>
          <w:szCs w:val="24"/>
        </w:rPr>
        <w:t xml:space="preserve"> R, </w:t>
      </w:r>
      <w:proofErr w:type="spellStart"/>
      <w:r w:rsidRPr="00B57653">
        <w:rPr>
          <w:rFonts w:ascii="Times New Roman" w:hAnsi="Times New Roman" w:cs="Times New Roman"/>
          <w:sz w:val="24"/>
          <w:szCs w:val="24"/>
        </w:rPr>
        <w:t>Chaucheyras</w:t>
      </w:r>
      <w:proofErr w:type="spellEnd"/>
      <w:r w:rsidRPr="00B57653">
        <w:rPr>
          <w:rFonts w:ascii="Times New Roman" w:hAnsi="Times New Roman" w:cs="Times New Roman"/>
          <w:sz w:val="24"/>
          <w:szCs w:val="24"/>
        </w:rPr>
        <w:t xml:space="preserve">-Durand F, Fleury MA, et al. (2017) Gut microbiota dysbiosis in postweaning piglets: understanding the keys to health. </w:t>
      </w:r>
      <w:r w:rsidRPr="00B57653">
        <w:rPr>
          <w:rFonts w:ascii="Times New Roman" w:hAnsi="Times New Roman" w:cs="Times New Roman"/>
          <w:i/>
          <w:iCs/>
          <w:sz w:val="24"/>
          <w:szCs w:val="24"/>
        </w:rPr>
        <w:t>Trends in Microbiology</w:t>
      </w:r>
      <w:r w:rsidRPr="00B57653">
        <w:rPr>
          <w:rFonts w:ascii="Times New Roman" w:hAnsi="Times New Roman" w:cs="Times New Roman"/>
          <w:sz w:val="24"/>
          <w:szCs w:val="24"/>
        </w:rPr>
        <w:t xml:space="preserve"> 25(10):851–873.</w:t>
      </w:r>
    </w:p>
    <w:p w14:paraId="7063FC0A" w14:textId="77777777" w:rsidR="00E5212C" w:rsidRDefault="00E5212C" w:rsidP="009D0E2E">
      <w:pPr>
        <w:spacing w:before="120" w:after="120" w:line="360" w:lineRule="auto"/>
        <w:ind w:left="720" w:hanging="720"/>
        <w:jc w:val="both"/>
        <w:rPr>
          <w:rFonts w:ascii="Times New Roman" w:eastAsia="Times New Roman" w:hAnsi="Times New Roman" w:cs="Times New Roman"/>
          <w:kern w:val="0"/>
          <w:sz w:val="24"/>
          <w:szCs w:val="24"/>
          <w:lang w:eastAsia="en-IN"/>
        </w:rPr>
      </w:pPr>
      <w:r w:rsidRPr="00B57653">
        <w:rPr>
          <w:rFonts w:ascii="Times New Roman" w:eastAsia="Times New Roman" w:hAnsi="Times New Roman" w:cs="Times New Roman"/>
          <w:kern w:val="0"/>
          <w:sz w:val="24"/>
          <w:szCs w:val="24"/>
          <w:lang w:eastAsia="en-IN"/>
        </w:rPr>
        <w:t xml:space="preserve">Günzel, D., &amp; Yu, A.S.L. (2013). Claudins and the modulation of tight junction permeability. </w:t>
      </w:r>
      <w:r w:rsidRPr="00B57653">
        <w:rPr>
          <w:rFonts w:ascii="Times New Roman" w:eastAsia="Times New Roman" w:hAnsi="Times New Roman" w:cs="Times New Roman"/>
          <w:i/>
          <w:iCs/>
          <w:kern w:val="0"/>
          <w:sz w:val="24"/>
          <w:szCs w:val="24"/>
          <w:lang w:eastAsia="en-IN"/>
        </w:rPr>
        <w:t>Physiological Reviews</w:t>
      </w:r>
      <w:r w:rsidRPr="00B57653">
        <w:rPr>
          <w:rFonts w:ascii="Times New Roman" w:eastAsia="Times New Roman" w:hAnsi="Times New Roman" w:cs="Times New Roman"/>
          <w:kern w:val="0"/>
          <w:sz w:val="24"/>
          <w:szCs w:val="24"/>
          <w:lang w:eastAsia="en-IN"/>
        </w:rPr>
        <w:t>, 93(2), 525–569.</w:t>
      </w:r>
    </w:p>
    <w:p w14:paraId="7063FC0B" w14:textId="77777777" w:rsidR="00E5212C" w:rsidRDefault="00E5212C" w:rsidP="009D0E2E">
      <w:pPr>
        <w:spacing w:before="120" w:after="120" w:line="360" w:lineRule="auto"/>
        <w:ind w:left="720" w:hanging="720"/>
        <w:jc w:val="both"/>
        <w:rPr>
          <w:rFonts w:ascii="Times New Roman" w:eastAsia="Times New Roman" w:hAnsi="Times New Roman" w:cs="Times New Roman"/>
          <w:kern w:val="0"/>
          <w:sz w:val="24"/>
          <w:szCs w:val="24"/>
          <w:lang w:eastAsia="en-IN"/>
        </w:rPr>
      </w:pPr>
      <w:r w:rsidRPr="00864885">
        <w:rPr>
          <w:rFonts w:ascii="Times New Roman" w:eastAsia="Times New Roman" w:hAnsi="Times New Roman" w:cs="Times New Roman"/>
          <w:kern w:val="0"/>
          <w:sz w:val="24"/>
          <w:szCs w:val="24"/>
          <w:lang w:eastAsia="en-IN"/>
        </w:rPr>
        <w:t xml:space="preserve">Kagnoff, M.F. (2014). The intestinal immune system. </w:t>
      </w:r>
      <w:r w:rsidRPr="00864885">
        <w:rPr>
          <w:rFonts w:ascii="Times New Roman" w:eastAsia="Times New Roman" w:hAnsi="Times New Roman" w:cs="Times New Roman"/>
          <w:i/>
          <w:iCs/>
          <w:kern w:val="0"/>
          <w:sz w:val="24"/>
          <w:szCs w:val="24"/>
          <w:lang w:eastAsia="en-IN"/>
        </w:rPr>
        <w:t>Gastroenterology</w:t>
      </w:r>
      <w:r w:rsidRPr="00864885">
        <w:rPr>
          <w:rFonts w:ascii="Times New Roman" w:eastAsia="Times New Roman" w:hAnsi="Times New Roman" w:cs="Times New Roman"/>
          <w:kern w:val="0"/>
          <w:sz w:val="24"/>
          <w:szCs w:val="24"/>
          <w:lang w:eastAsia="en-IN"/>
        </w:rPr>
        <w:t>, 146(6), 1486–1501.</w:t>
      </w:r>
    </w:p>
    <w:p w14:paraId="7063FC0C" w14:textId="77777777" w:rsidR="00E5212C" w:rsidRDefault="00E5212C" w:rsidP="009D0E2E">
      <w:pPr>
        <w:spacing w:before="120" w:after="120" w:line="360" w:lineRule="auto"/>
        <w:ind w:left="720" w:hanging="720"/>
        <w:jc w:val="both"/>
        <w:rPr>
          <w:rFonts w:ascii="Times New Roman" w:eastAsia="Times New Roman" w:hAnsi="Times New Roman" w:cs="Times New Roman"/>
          <w:kern w:val="0"/>
          <w:sz w:val="24"/>
          <w:szCs w:val="24"/>
          <w:lang w:eastAsia="en-IN"/>
        </w:rPr>
      </w:pPr>
      <w:proofErr w:type="spellStart"/>
      <w:r w:rsidRPr="00864885">
        <w:rPr>
          <w:rFonts w:ascii="Times New Roman" w:eastAsia="Times New Roman" w:hAnsi="Times New Roman" w:cs="Times New Roman"/>
          <w:kern w:val="0"/>
          <w:sz w:val="24"/>
          <w:szCs w:val="24"/>
          <w:lang w:eastAsia="en-IN"/>
        </w:rPr>
        <w:t>Lallès</w:t>
      </w:r>
      <w:proofErr w:type="spellEnd"/>
      <w:r w:rsidRPr="00864885">
        <w:rPr>
          <w:rFonts w:ascii="Times New Roman" w:eastAsia="Times New Roman" w:hAnsi="Times New Roman" w:cs="Times New Roman"/>
          <w:kern w:val="0"/>
          <w:sz w:val="24"/>
          <w:szCs w:val="24"/>
          <w:lang w:eastAsia="en-IN"/>
        </w:rPr>
        <w:t xml:space="preserve">, J.P., Bosi, P., Smidt, H., &amp; Stokes, C.R. (2007). Nutritional management of gut health in pigs around weaning. </w:t>
      </w:r>
      <w:r w:rsidRPr="00864885">
        <w:rPr>
          <w:rFonts w:ascii="Times New Roman" w:eastAsia="Times New Roman" w:hAnsi="Times New Roman" w:cs="Times New Roman"/>
          <w:i/>
          <w:iCs/>
          <w:kern w:val="0"/>
          <w:sz w:val="24"/>
          <w:szCs w:val="24"/>
          <w:lang w:eastAsia="en-IN"/>
        </w:rPr>
        <w:t>Proceedings of the Nutrition Society</w:t>
      </w:r>
      <w:r w:rsidRPr="00864885">
        <w:rPr>
          <w:rFonts w:ascii="Times New Roman" w:eastAsia="Times New Roman" w:hAnsi="Times New Roman" w:cs="Times New Roman"/>
          <w:kern w:val="0"/>
          <w:sz w:val="24"/>
          <w:szCs w:val="24"/>
          <w:lang w:eastAsia="en-IN"/>
        </w:rPr>
        <w:t>, 66(2), 260–268.</w:t>
      </w:r>
    </w:p>
    <w:p w14:paraId="7063FC0D" w14:textId="77777777" w:rsidR="00E5212C" w:rsidRDefault="00E5212C" w:rsidP="009D0E2E">
      <w:pPr>
        <w:spacing w:before="120" w:after="120" w:line="360" w:lineRule="auto"/>
        <w:ind w:left="720" w:hanging="720"/>
        <w:jc w:val="both"/>
        <w:rPr>
          <w:rFonts w:ascii="Times New Roman" w:eastAsia="Times New Roman" w:hAnsi="Times New Roman" w:cs="Times New Roman"/>
          <w:kern w:val="0"/>
          <w:sz w:val="24"/>
          <w:szCs w:val="24"/>
          <w:lang w:eastAsia="en-IN"/>
        </w:rPr>
      </w:pPr>
      <w:r w:rsidRPr="00B57653">
        <w:rPr>
          <w:rFonts w:ascii="Times New Roman" w:eastAsia="Times New Roman" w:hAnsi="Times New Roman" w:cs="Times New Roman"/>
          <w:kern w:val="0"/>
          <w:sz w:val="24"/>
          <w:szCs w:val="24"/>
          <w:lang w:eastAsia="en-IN"/>
        </w:rPr>
        <w:t xml:space="preserve">Lee, S.H. (2015). Intestinal permeability regulation by tight junction: implication on inflammatory bowel diseases. </w:t>
      </w:r>
      <w:r w:rsidRPr="00B57653">
        <w:rPr>
          <w:rFonts w:ascii="Times New Roman" w:eastAsia="Times New Roman" w:hAnsi="Times New Roman" w:cs="Times New Roman"/>
          <w:i/>
          <w:iCs/>
          <w:kern w:val="0"/>
          <w:sz w:val="24"/>
          <w:szCs w:val="24"/>
          <w:lang w:eastAsia="en-IN"/>
        </w:rPr>
        <w:t>Intestinal Research</w:t>
      </w:r>
      <w:r w:rsidRPr="00B57653">
        <w:rPr>
          <w:rFonts w:ascii="Times New Roman" w:eastAsia="Times New Roman" w:hAnsi="Times New Roman" w:cs="Times New Roman"/>
          <w:kern w:val="0"/>
          <w:sz w:val="24"/>
          <w:szCs w:val="24"/>
          <w:lang w:eastAsia="en-IN"/>
        </w:rPr>
        <w:t>, 13(1), 11–18.</w:t>
      </w:r>
    </w:p>
    <w:p w14:paraId="7063FC0E" w14:textId="77777777" w:rsidR="00E5212C" w:rsidRDefault="00E5212C" w:rsidP="009D0E2E">
      <w:pPr>
        <w:spacing w:before="120" w:after="120" w:line="360" w:lineRule="auto"/>
        <w:ind w:left="720" w:hanging="720"/>
        <w:jc w:val="both"/>
        <w:rPr>
          <w:rFonts w:ascii="Times New Roman" w:eastAsia="Times New Roman" w:hAnsi="Times New Roman" w:cs="Times New Roman"/>
          <w:kern w:val="0"/>
          <w:sz w:val="24"/>
          <w:szCs w:val="24"/>
          <w:lang w:eastAsia="en-IN"/>
        </w:rPr>
      </w:pPr>
      <w:r w:rsidRPr="00864885">
        <w:rPr>
          <w:rFonts w:ascii="Times New Roman" w:eastAsia="Times New Roman" w:hAnsi="Times New Roman" w:cs="Times New Roman"/>
          <w:kern w:val="0"/>
          <w:sz w:val="24"/>
          <w:szCs w:val="24"/>
          <w:lang w:eastAsia="en-IN"/>
        </w:rPr>
        <w:t>Mantis, N.J., Rol, N., &amp;</w:t>
      </w:r>
      <w:proofErr w:type="spellStart"/>
      <w:r w:rsidRPr="00864885">
        <w:rPr>
          <w:rFonts w:ascii="Times New Roman" w:eastAsia="Times New Roman" w:hAnsi="Times New Roman" w:cs="Times New Roman"/>
          <w:kern w:val="0"/>
          <w:sz w:val="24"/>
          <w:szCs w:val="24"/>
          <w:lang w:eastAsia="en-IN"/>
        </w:rPr>
        <w:t>Corthésy</w:t>
      </w:r>
      <w:proofErr w:type="spellEnd"/>
      <w:r w:rsidRPr="00864885">
        <w:rPr>
          <w:rFonts w:ascii="Times New Roman" w:eastAsia="Times New Roman" w:hAnsi="Times New Roman" w:cs="Times New Roman"/>
          <w:kern w:val="0"/>
          <w:sz w:val="24"/>
          <w:szCs w:val="24"/>
          <w:lang w:eastAsia="en-IN"/>
        </w:rPr>
        <w:t xml:space="preserve">, B. (2011). Secretory IgA’s complex roles in immunity and mucosal homeostasis in the gut. </w:t>
      </w:r>
      <w:r w:rsidRPr="00864885">
        <w:rPr>
          <w:rFonts w:ascii="Times New Roman" w:eastAsia="Times New Roman" w:hAnsi="Times New Roman" w:cs="Times New Roman"/>
          <w:i/>
          <w:iCs/>
          <w:kern w:val="0"/>
          <w:sz w:val="24"/>
          <w:szCs w:val="24"/>
          <w:lang w:eastAsia="en-IN"/>
        </w:rPr>
        <w:t>Mucosal Immunology</w:t>
      </w:r>
      <w:r w:rsidRPr="00864885">
        <w:rPr>
          <w:rFonts w:ascii="Times New Roman" w:eastAsia="Times New Roman" w:hAnsi="Times New Roman" w:cs="Times New Roman"/>
          <w:kern w:val="0"/>
          <w:sz w:val="24"/>
          <w:szCs w:val="24"/>
          <w:lang w:eastAsia="en-IN"/>
        </w:rPr>
        <w:t>, 4(6), 603–611.</w:t>
      </w:r>
    </w:p>
    <w:p w14:paraId="7063FC0F" w14:textId="77777777" w:rsidR="00E5212C" w:rsidRDefault="00E5212C" w:rsidP="009D0E2E">
      <w:pPr>
        <w:spacing w:before="120" w:after="120" w:line="360" w:lineRule="auto"/>
        <w:ind w:left="720" w:hanging="720"/>
        <w:jc w:val="both"/>
        <w:rPr>
          <w:rFonts w:ascii="Times New Roman" w:hAnsi="Times New Roman" w:cs="Times New Roman"/>
          <w:sz w:val="24"/>
          <w:szCs w:val="24"/>
        </w:rPr>
      </w:pPr>
      <w:r w:rsidRPr="00B57653">
        <w:rPr>
          <w:rFonts w:ascii="Times New Roman" w:hAnsi="Times New Roman" w:cs="Times New Roman"/>
          <w:sz w:val="24"/>
          <w:szCs w:val="24"/>
        </w:rPr>
        <w:t xml:space="preserve">Marković R, </w:t>
      </w:r>
      <w:proofErr w:type="spellStart"/>
      <w:r w:rsidRPr="00B57653">
        <w:rPr>
          <w:rFonts w:ascii="Times New Roman" w:hAnsi="Times New Roman" w:cs="Times New Roman"/>
          <w:sz w:val="24"/>
          <w:szCs w:val="24"/>
        </w:rPr>
        <w:t>Šefer</w:t>
      </w:r>
      <w:proofErr w:type="spellEnd"/>
      <w:r w:rsidRPr="00B57653">
        <w:rPr>
          <w:rFonts w:ascii="Times New Roman" w:hAnsi="Times New Roman" w:cs="Times New Roman"/>
          <w:sz w:val="24"/>
          <w:szCs w:val="24"/>
        </w:rPr>
        <w:t xml:space="preserve"> D, Krstić M, </w:t>
      </w:r>
      <w:proofErr w:type="spellStart"/>
      <w:r w:rsidRPr="00B57653">
        <w:rPr>
          <w:rFonts w:ascii="Times New Roman" w:hAnsi="Times New Roman" w:cs="Times New Roman"/>
          <w:sz w:val="24"/>
          <w:szCs w:val="24"/>
        </w:rPr>
        <w:t>Petrujkić</w:t>
      </w:r>
      <w:proofErr w:type="spellEnd"/>
      <w:r w:rsidRPr="00B57653">
        <w:rPr>
          <w:rFonts w:ascii="Times New Roman" w:hAnsi="Times New Roman" w:cs="Times New Roman"/>
          <w:sz w:val="24"/>
          <w:szCs w:val="24"/>
        </w:rPr>
        <w:t xml:space="preserve"> B (2009) Effect of different growth promoters on broiler performance and gut morphology. </w:t>
      </w:r>
      <w:proofErr w:type="spellStart"/>
      <w:r w:rsidRPr="00B57653">
        <w:rPr>
          <w:rFonts w:ascii="Times New Roman" w:hAnsi="Times New Roman" w:cs="Times New Roman"/>
          <w:i/>
          <w:iCs/>
          <w:sz w:val="24"/>
          <w:szCs w:val="24"/>
        </w:rPr>
        <w:t>ArchivaZootechnica</w:t>
      </w:r>
      <w:proofErr w:type="spellEnd"/>
      <w:r w:rsidRPr="00B57653">
        <w:rPr>
          <w:rFonts w:ascii="Times New Roman" w:hAnsi="Times New Roman" w:cs="Times New Roman"/>
          <w:sz w:val="24"/>
          <w:szCs w:val="24"/>
        </w:rPr>
        <w:t xml:space="preserve"> 12(3):19–27.</w:t>
      </w:r>
    </w:p>
    <w:p w14:paraId="7063FC10" w14:textId="77777777" w:rsidR="00E5212C" w:rsidRDefault="00E5212C" w:rsidP="009D0E2E">
      <w:pPr>
        <w:spacing w:before="120" w:after="120" w:line="360" w:lineRule="auto"/>
        <w:ind w:left="720" w:hanging="720"/>
        <w:jc w:val="both"/>
        <w:rPr>
          <w:rFonts w:ascii="Times New Roman" w:eastAsia="Times New Roman" w:hAnsi="Times New Roman" w:cs="Times New Roman"/>
          <w:kern w:val="0"/>
          <w:sz w:val="24"/>
          <w:szCs w:val="24"/>
          <w:lang w:eastAsia="en-IN"/>
        </w:rPr>
      </w:pPr>
      <w:proofErr w:type="spellStart"/>
      <w:r w:rsidRPr="003343C8">
        <w:rPr>
          <w:rFonts w:ascii="Times New Roman" w:eastAsia="Times New Roman" w:hAnsi="Times New Roman" w:cs="Times New Roman"/>
          <w:kern w:val="0"/>
          <w:sz w:val="24"/>
          <w:szCs w:val="24"/>
          <w:lang w:eastAsia="en-IN"/>
        </w:rPr>
        <w:t>Mawe</w:t>
      </w:r>
      <w:proofErr w:type="spellEnd"/>
      <w:r w:rsidRPr="003343C8">
        <w:rPr>
          <w:rFonts w:ascii="Times New Roman" w:eastAsia="Times New Roman" w:hAnsi="Times New Roman" w:cs="Times New Roman"/>
          <w:kern w:val="0"/>
          <w:sz w:val="24"/>
          <w:szCs w:val="24"/>
          <w:lang w:eastAsia="en-IN"/>
        </w:rPr>
        <w:t xml:space="preserve">, G.M., &amp; Hoffman, J.M. (2013). Serotonin signalling in the gut—functions, dysfunctions and therapeutic targets. </w:t>
      </w:r>
      <w:r w:rsidRPr="003343C8">
        <w:rPr>
          <w:rFonts w:ascii="Times New Roman" w:eastAsia="Times New Roman" w:hAnsi="Times New Roman" w:cs="Times New Roman"/>
          <w:i/>
          <w:iCs/>
          <w:kern w:val="0"/>
          <w:sz w:val="24"/>
          <w:szCs w:val="24"/>
          <w:lang w:eastAsia="en-IN"/>
        </w:rPr>
        <w:t>Nature Reviews Gastroenterology &amp; Hepatology</w:t>
      </w:r>
      <w:r w:rsidRPr="003343C8">
        <w:rPr>
          <w:rFonts w:ascii="Times New Roman" w:eastAsia="Times New Roman" w:hAnsi="Times New Roman" w:cs="Times New Roman"/>
          <w:kern w:val="0"/>
          <w:sz w:val="24"/>
          <w:szCs w:val="24"/>
          <w:lang w:eastAsia="en-IN"/>
        </w:rPr>
        <w:t>, 10(8), 473–486.</w:t>
      </w:r>
    </w:p>
    <w:p w14:paraId="7063FC11" w14:textId="77777777" w:rsidR="00E5212C" w:rsidRPr="00864885" w:rsidRDefault="00E5212C" w:rsidP="009D0E2E">
      <w:pPr>
        <w:spacing w:before="120" w:after="120" w:line="360" w:lineRule="auto"/>
        <w:ind w:left="720" w:hanging="720"/>
        <w:jc w:val="both"/>
        <w:rPr>
          <w:rFonts w:ascii="Times New Roman" w:eastAsia="Times New Roman" w:hAnsi="Times New Roman" w:cs="Times New Roman"/>
          <w:kern w:val="0"/>
          <w:sz w:val="24"/>
          <w:szCs w:val="24"/>
          <w:lang w:eastAsia="en-IN"/>
        </w:rPr>
      </w:pPr>
      <w:proofErr w:type="spellStart"/>
      <w:r w:rsidRPr="00864885">
        <w:rPr>
          <w:rFonts w:ascii="Times New Roman" w:eastAsia="Times New Roman" w:hAnsi="Times New Roman" w:cs="Times New Roman"/>
          <w:kern w:val="0"/>
          <w:sz w:val="24"/>
          <w:szCs w:val="24"/>
          <w:lang w:eastAsia="en-IN"/>
        </w:rPr>
        <w:t>Meurens</w:t>
      </w:r>
      <w:proofErr w:type="spellEnd"/>
      <w:r w:rsidRPr="00864885">
        <w:rPr>
          <w:rFonts w:ascii="Times New Roman" w:eastAsia="Times New Roman" w:hAnsi="Times New Roman" w:cs="Times New Roman"/>
          <w:kern w:val="0"/>
          <w:sz w:val="24"/>
          <w:szCs w:val="24"/>
          <w:lang w:eastAsia="en-IN"/>
        </w:rPr>
        <w:t xml:space="preserve">, F., Summerfield, A., Nauwynck, H., Saif, L., &amp; Gerdts, V. (2012). The pig: a model for human infectious diseases. </w:t>
      </w:r>
      <w:r w:rsidRPr="00864885">
        <w:rPr>
          <w:rFonts w:ascii="Times New Roman" w:eastAsia="Times New Roman" w:hAnsi="Times New Roman" w:cs="Times New Roman"/>
          <w:i/>
          <w:iCs/>
          <w:kern w:val="0"/>
          <w:sz w:val="24"/>
          <w:szCs w:val="24"/>
          <w:lang w:eastAsia="en-IN"/>
        </w:rPr>
        <w:t>Trends in Microbiology</w:t>
      </w:r>
      <w:r w:rsidRPr="00864885">
        <w:rPr>
          <w:rFonts w:ascii="Times New Roman" w:eastAsia="Times New Roman" w:hAnsi="Times New Roman" w:cs="Times New Roman"/>
          <w:kern w:val="0"/>
          <w:sz w:val="24"/>
          <w:szCs w:val="24"/>
          <w:lang w:eastAsia="en-IN"/>
        </w:rPr>
        <w:t>, 20(1), 50–57.</w:t>
      </w:r>
    </w:p>
    <w:p w14:paraId="7063FC12" w14:textId="77777777" w:rsidR="00E5212C" w:rsidRDefault="00E5212C" w:rsidP="009D0E2E">
      <w:pPr>
        <w:spacing w:before="120" w:after="120" w:line="360" w:lineRule="auto"/>
        <w:ind w:left="720" w:hanging="720"/>
        <w:jc w:val="both"/>
        <w:rPr>
          <w:rFonts w:ascii="Times New Roman" w:eastAsia="Times New Roman" w:hAnsi="Times New Roman" w:cs="Times New Roman"/>
          <w:kern w:val="0"/>
          <w:sz w:val="24"/>
          <w:szCs w:val="24"/>
          <w:lang w:eastAsia="en-IN"/>
        </w:rPr>
      </w:pPr>
      <w:r w:rsidRPr="00B57653">
        <w:rPr>
          <w:rFonts w:ascii="Times New Roman" w:eastAsia="Times New Roman" w:hAnsi="Times New Roman" w:cs="Times New Roman"/>
          <w:kern w:val="0"/>
          <w:sz w:val="24"/>
          <w:szCs w:val="24"/>
          <w:lang w:eastAsia="en-IN"/>
        </w:rPr>
        <w:t xml:space="preserve">Montagne L, </w:t>
      </w:r>
      <w:proofErr w:type="spellStart"/>
      <w:r w:rsidRPr="00B57653">
        <w:rPr>
          <w:rFonts w:ascii="Times New Roman" w:eastAsia="Times New Roman" w:hAnsi="Times New Roman" w:cs="Times New Roman"/>
          <w:kern w:val="0"/>
          <w:sz w:val="24"/>
          <w:szCs w:val="24"/>
          <w:lang w:eastAsia="en-IN"/>
        </w:rPr>
        <w:t>Pluske</w:t>
      </w:r>
      <w:proofErr w:type="spellEnd"/>
      <w:r w:rsidRPr="00B57653">
        <w:rPr>
          <w:rFonts w:ascii="Times New Roman" w:eastAsia="Times New Roman" w:hAnsi="Times New Roman" w:cs="Times New Roman"/>
          <w:kern w:val="0"/>
          <w:sz w:val="24"/>
          <w:szCs w:val="24"/>
          <w:lang w:eastAsia="en-IN"/>
        </w:rPr>
        <w:t xml:space="preserve"> JR, Hampson DJ. (2003). Interactions between dietary fibre and the intestinal mucosa. </w:t>
      </w:r>
      <w:r w:rsidRPr="00B57653">
        <w:rPr>
          <w:rFonts w:ascii="Times New Roman" w:eastAsia="Times New Roman" w:hAnsi="Times New Roman" w:cs="Times New Roman"/>
          <w:i/>
          <w:iCs/>
          <w:kern w:val="0"/>
          <w:sz w:val="24"/>
          <w:szCs w:val="24"/>
          <w:lang w:eastAsia="en-IN"/>
        </w:rPr>
        <w:t>Animal Feed Science and Technology</w:t>
      </w:r>
      <w:r w:rsidRPr="00B57653">
        <w:rPr>
          <w:rFonts w:ascii="Times New Roman" w:eastAsia="Times New Roman" w:hAnsi="Times New Roman" w:cs="Times New Roman"/>
          <w:kern w:val="0"/>
          <w:sz w:val="24"/>
          <w:szCs w:val="24"/>
          <w:lang w:eastAsia="en-IN"/>
        </w:rPr>
        <w:t>, 108(1-4), 95–117.</w:t>
      </w:r>
    </w:p>
    <w:p w14:paraId="7063FC13" w14:textId="77777777" w:rsidR="00E5212C" w:rsidRDefault="00E5212C" w:rsidP="009D0E2E">
      <w:pPr>
        <w:spacing w:before="120" w:after="120" w:line="360" w:lineRule="auto"/>
        <w:ind w:left="720" w:hanging="720"/>
        <w:jc w:val="both"/>
        <w:rPr>
          <w:rFonts w:ascii="Times New Roman" w:hAnsi="Times New Roman" w:cs="Times New Roman"/>
          <w:sz w:val="24"/>
          <w:szCs w:val="24"/>
        </w:rPr>
      </w:pPr>
      <w:r w:rsidRPr="00B57653">
        <w:rPr>
          <w:rFonts w:ascii="Times New Roman" w:hAnsi="Times New Roman" w:cs="Times New Roman"/>
          <w:sz w:val="24"/>
          <w:szCs w:val="24"/>
        </w:rPr>
        <w:lastRenderedPageBreak/>
        <w:t xml:space="preserve">Montagne, L., </w:t>
      </w:r>
      <w:proofErr w:type="spellStart"/>
      <w:r w:rsidRPr="00B57653">
        <w:rPr>
          <w:rFonts w:ascii="Times New Roman" w:hAnsi="Times New Roman" w:cs="Times New Roman"/>
          <w:sz w:val="24"/>
          <w:szCs w:val="24"/>
        </w:rPr>
        <w:t>Pluske</w:t>
      </w:r>
      <w:proofErr w:type="spellEnd"/>
      <w:r w:rsidRPr="00B57653">
        <w:rPr>
          <w:rFonts w:ascii="Times New Roman" w:hAnsi="Times New Roman" w:cs="Times New Roman"/>
          <w:sz w:val="24"/>
          <w:szCs w:val="24"/>
        </w:rPr>
        <w:t>, J. R., &amp; Hampson, D. J. (2003). A review of interactions between dietary fibre and the intestinal mucosa, and their consequences on digestive health in young non-ruminant animals. Animal Feed Science and Technology, 108(1-4), 95-117.</w:t>
      </w:r>
    </w:p>
    <w:p w14:paraId="7063FC14" w14:textId="77777777" w:rsidR="00E5212C" w:rsidRDefault="00E5212C" w:rsidP="009D0E2E">
      <w:pPr>
        <w:spacing w:before="120" w:after="120" w:line="360" w:lineRule="auto"/>
        <w:ind w:left="720" w:hanging="720"/>
        <w:jc w:val="both"/>
        <w:rPr>
          <w:rFonts w:ascii="Times New Roman" w:eastAsia="Times New Roman" w:hAnsi="Times New Roman" w:cs="Times New Roman"/>
          <w:kern w:val="0"/>
          <w:sz w:val="24"/>
          <w:szCs w:val="24"/>
          <w:lang w:eastAsia="en-IN"/>
        </w:rPr>
      </w:pPr>
      <w:r w:rsidRPr="00B57653">
        <w:rPr>
          <w:rFonts w:ascii="Times New Roman" w:eastAsia="Times New Roman" w:hAnsi="Times New Roman" w:cs="Times New Roman"/>
          <w:kern w:val="0"/>
          <w:sz w:val="24"/>
          <w:szCs w:val="24"/>
          <w:lang w:eastAsia="en-IN"/>
        </w:rPr>
        <w:t xml:space="preserve"> Moran C, Woodward A, Tyler DE. (2002). Histological adaptation of the abomasum to concentrate feeding in calves. </w:t>
      </w:r>
      <w:r w:rsidRPr="00B57653">
        <w:rPr>
          <w:rFonts w:ascii="Times New Roman" w:eastAsia="Times New Roman" w:hAnsi="Times New Roman" w:cs="Times New Roman"/>
          <w:i/>
          <w:iCs/>
          <w:kern w:val="0"/>
          <w:sz w:val="24"/>
          <w:szCs w:val="24"/>
          <w:lang w:eastAsia="en-IN"/>
        </w:rPr>
        <w:t>Canadian Journal of Veterinary Research</w:t>
      </w:r>
      <w:r w:rsidRPr="00B57653">
        <w:rPr>
          <w:rFonts w:ascii="Times New Roman" w:eastAsia="Times New Roman" w:hAnsi="Times New Roman" w:cs="Times New Roman"/>
          <w:kern w:val="0"/>
          <w:sz w:val="24"/>
          <w:szCs w:val="24"/>
          <w:lang w:eastAsia="en-IN"/>
        </w:rPr>
        <w:t>, 66(1), 15–20.</w:t>
      </w:r>
    </w:p>
    <w:p w14:paraId="7063FC15" w14:textId="77777777" w:rsidR="00C66045" w:rsidRDefault="00C66045" w:rsidP="009D0E2E">
      <w:pPr>
        <w:spacing w:before="120" w:after="120" w:line="360" w:lineRule="auto"/>
        <w:ind w:left="720" w:hanging="720"/>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Pandey (2024</w:t>
      </w:r>
      <w:proofErr w:type="gramStart"/>
      <w:r>
        <w:rPr>
          <w:rFonts w:ascii="Times New Roman" w:eastAsia="Times New Roman" w:hAnsi="Times New Roman" w:cs="Times New Roman"/>
          <w:kern w:val="0"/>
          <w:sz w:val="24"/>
          <w:szCs w:val="24"/>
          <w:lang w:eastAsia="en-IN"/>
        </w:rPr>
        <w:t>).</w:t>
      </w:r>
      <w:r w:rsidR="00DE7079">
        <w:rPr>
          <w:rFonts w:ascii="Times New Roman" w:eastAsia="Times New Roman" w:hAnsi="Times New Roman" w:cs="Times New Roman"/>
          <w:kern w:val="0"/>
          <w:sz w:val="24"/>
          <w:szCs w:val="24"/>
          <w:lang w:eastAsia="en-IN"/>
        </w:rPr>
        <w:t>Structural</w:t>
      </w:r>
      <w:proofErr w:type="gramEnd"/>
      <w:r w:rsidR="00DE7079">
        <w:rPr>
          <w:rFonts w:ascii="Times New Roman" w:eastAsia="Times New Roman" w:hAnsi="Times New Roman" w:cs="Times New Roman"/>
          <w:kern w:val="0"/>
          <w:sz w:val="24"/>
          <w:szCs w:val="24"/>
          <w:lang w:eastAsia="en-IN"/>
        </w:rPr>
        <w:t xml:space="preserve"> changes in the small intestine of broiler chicken after supplementation of AGP and </w:t>
      </w:r>
      <w:proofErr w:type="spellStart"/>
      <w:r w:rsidR="00DE7079">
        <w:rPr>
          <w:rFonts w:ascii="Times New Roman" w:eastAsia="Times New Roman" w:hAnsi="Times New Roman" w:cs="Times New Roman"/>
          <w:kern w:val="0"/>
          <w:sz w:val="24"/>
          <w:szCs w:val="24"/>
          <w:lang w:eastAsia="en-IN"/>
        </w:rPr>
        <w:t>synbiotic</w:t>
      </w:r>
      <w:proofErr w:type="spellEnd"/>
      <w:r w:rsidR="00DE7079">
        <w:rPr>
          <w:rFonts w:ascii="Times New Roman" w:eastAsia="Times New Roman" w:hAnsi="Times New Roman" w:cs="Times New Roman"/>
          <w:kern w:val="0"/>
          <w:sz w:val="24"/>
          <w:szCs w:val="24"/>
          <w:lang w:eastAsia="en-IN"/>
        </w:rPr>
        <w:t>.</w:t>
      </w:r>
      <w:r w:rsidR="00E119C1">
        <w:rPr>
          <w:rFonts w:ascii="Times New Roman" w:eastAsia="Times New Roman" w:hAnsi="Times New Roman" w:cs="Times New Roman"/>
          <w:kern w:val="0"/>
          <w:sz w:val="24"/>
          <w:szCs w:val="24"/>
          <w:lang w:eastAsia="en-IN"/>
        </w:rPr>
        <w:t xml:space="preserve"> </w:t>
      </w:r>
      <w:proofErr w:type="spellStart"/>
      <w:r w:rsidR="00E119C1">
        <w:rPr>
          <w:rFonts w:ascii="Times New Roman" w:eastAsia="Times New Roman" w:hAnsi="Times New Roman" w:cs="Times New Roman"/>
          <w:kern w:val="0"/>
          <w:sz w:val="24"/>
          <w:szCs w:val="24"/>
          <w:lang w:eastAsia="en-IN"/>
        </w:rPr>
        <w:t>M.V.</w:t>
      </w:r>
      <w:proofErr w:type="gramStart"/>
      <w:r w:rsidR="00E119C1">
        <w:rPr>
          <w:rFonts w:ascii="Times New Roman" w:eastAsia="Times New Roman" w:hAnsi="Times New Roman" w:cs="Times New Roman"/>
          <w:kern w:val="0"/>
          <w:sz w:val="24"/>
          <w:szCs w:val="24"/>
          <w:lang w:eastAsia="en-IN"/>
        </w:rPr>
        <w:t>sc.Thesis</w:t>
      </w:r>
      <w:proofErr w:type="spellEnd"/>
      <w:proofErr w:type="gramEnd"/>
      <w:r w:rsidR="00E119C1">
        <w:rPr>
          <w:rFonts w:ascii="Times New Roman" w:eastAsia="Times New Roman" w:hAnsi="Times New Roman" w:cs="Times New Roman"/>
          <w:kern w:val="0"/>
          <w:sz w:val="24"/>
          <w:szCs w:val="24"/>
          <w:lang w:eastAsia="en-IN"/>
        </w:rPr>
        <w:t xml:space="preserve"> submitted to DUVAU, Mathura, UP.</w:t>
      </w:r>
    </w:p>
    <w:p w14:paraId="7063FC16" w14:textId="77777777" w:rsidR="00E5212C" w:rsidRDefault="00E5212C" w:rsidP="009D0E2E">
      <w:pPr>
        <w:spacing w:before="120" w:after="120" w:line="360" w:lineRule="auto"/>
        <w:ind w:left="720" w:hanging="720"/>
        <w:jc w:val="both"/>
        <w:rPr>
          <w:rFonts w:ascii="Times New Roman" w:eastAsia="Times New Roman" w:hAnsi="Times New Roman" w:cs="Times New Roman"/>
          <w:kern w:val="0"/>
          <w:sz w:val="24"/>
          <w:szCs w:val="24"/>
          <w:lang w:eastAsia="en-IN"/>
        </w:rPr>
      </w:pPr>
      <w:r w:rsidRPr="00B57653">
        <w:rPr>
          <w:rFonts w:ascii="Times New Roman" w:eastAsia="Times New Roman" w:hAnsi="Times New Roman" w:cs="Times New Roman"/>
          <w:kern w:val="0"/>
          <w:sz w:val="24"/>
          <w:szCs w:val="24"/>
          <w:lang w:eastAsia="en-IN"/>
        </w:rPr>
        <w:t xml:space="preserve">Pearce, S.C., Mani, V., Boddicker, R.L., Johnson, J.S., Weber, T.E., Ross, J.W., Rhoads, R.P., Baumgard, L.H., &amp; Gabler, N.K. (2013). Heat stress reduces intestinal barrier integrity and </w:t>
      </w:r>
      <w:proofErr w:type="spellStart"/>
      <w:r w:rsidRPr="00B57653">
        <w:rPr>
          <w:rFonts w:ascii="Times New Roman" w:eastAsia="Times New Roman" w:hAnsi="Times New Roman" w:cs="Times New Roman"/>
          <w:kern w:val="0"/>
          <w:sz w:val="24"/>
          <w:szCs w:val="24"/>
          <w:lang w:eastAsia="en-IN"/>
        </w:rPr>
        <w:t>favors</w:t>
      </w:r>
      <w:proofErr w:type="spellEnd"/>
      <w:r w:rsidRPr="00B57653">
        <w:rPr>
          <w:rFonts w:ascii="Times New Roman" w:eastAsia="Times New Roman" w:hAnsi="Times New Roman" w:cs="Times New Roman"/>
          <w:kern w:val="0"/>
          <w:sz w:val="24"/>
          <w:szCs w:val="24"/>
          <w:lang w:eastAsia="en-IN"/>
        </w:rPr>
        <w:t xml:space="preserve"> intestinal glucose transport in growing pigs. </w:t>
      </w:r>
      <w:proofErr w:type="spellStart"/>
      <w:r w:rsidRPr="00B57653">
        <w:rPr>
          <w:rFonts w:ascii="Times New Roman" w:eastAsia="Times New Roman" w:hAnsi="Times New Roman" w:cs="Times New Roman"/>
          <w:i/>
          <w:iCs/>
          <w:kern w:val="0"/>
          <w:sz w:val="24"/>
          <w:szCs w:val="24"/>
          <w:lang w:eastAsia="en-IN"/>
        </w:rPr>
        <w:t>PLoS</w:t>
      </w:r>
      <w:proofErr w:type="spellEnd"/>
      <w:r w:rsidRPr="00B57653">
        <w:rPr>
          <w:rFonts w:ascii="Times New Roman" w:eastAsia="Times New Roman" w:hAnsi="Times New Roman" w:cs="Times New Roman"/>
          <w:i/>
          <w:iCs/>
          <w:kern w:val="0"/>
          <w:sz w:val="24"/>
          <w:szCs w:val="24"/>
          <w:lang w:eastAsia="en-IN"/>
        </w:rPr>
        <w:t xml:space="preserve"> ONE</w:t>
      </w:r>
      <w:r w:rsidRPr="00B57653">
        <w:rPr>
          <w:rFonts w:ascii="Times New Roman" w:eastAsia="Times New Roman" w:hAnsi="Times New Roman" w:cs="Times New Roman"/>
          <w:kern w:val="0"/>
          <w:sz w:val="24"/>
          <w:szCs w:val="24"/>
          <w:lang w:eastAsia="en-IN"/>
        </w:rPr>
        <w:t>, 8(8), e70215.</w:t>
      </w:r>
    </w:p>
    <w:p w14:paraId="7063FC17" w14:textId="77777777" w:rsidR="00E5212C" w:rsidRDefault="00E5212C" w:rsidP="009D0E2E">
      <w:pPr>
        <w:spacing w:before="120" w:after="120" w:line="360" w:lineRule="auto"/>
        <w:ind w:left="720" w:hanging="720"/>
        <w:jc w:val="both"/>
        <w:rPr>
          <w:rFonts w:ascii="Times New Roman" w:eastAsia="Times New Roman" w:hAnsi="Times New Roman" w:cs="Times New Roman"/>
          <w:kern w:val="0"/>
          <w:sz w:val="24"/>
          <w:szCs w:val="24"/>
          <w:lang w:eastAsia="en-IN"/>
        </w:rPr>
      </w:pPr>
      <w:r w:rsidRPr="00B57653">
        <w:rPr>
          <w:rFonts w:ascii="Times New Roman" w:eastAsia="Times New Roman" w:hAnsi="Times New Roman" w:cs="Times New Roman"/>
          <w:kern w:val="0"/>
          <w:sz w:val="24"/>
          <w:szCs w:val="24"/>
          <w:lang w:eastAsia="en-IN"/>
        </w:rPr>
        <w:t xml:space="preserve"> </w:t>
      </w:r>
      <w:proofErr w:type="spellStart"/>
      <w:r w:rsidRPr="00B57653">
        <w:rPr>
          <w:rFonts w:ascii="Times New Roman" w:eastAsia="Times New Roman" w:hAnsi="Times New Roman" w:cs="Times New Roman"/>
          <w:kern w:val="0"/>
          <w:sz w:val="24"/>
          <w:szCs w:val="24"/>
          <w:lang w:eastAsia="en-IN"/>
        </w:rPr>
        <w:t>Pluske</w:t>
      </w:r>
      <w:proofErr w:type="spellEnd"/>
      <w:r w:rsidRPr="00B57653">
        <w:rPr>
          <w:rFonts w:ascii="Times New Roman" w:eastAsia="Times New Roman" w:hAnsi="Times New Roman" w:cs="Times New Roman"/>
          <w:kern w:val="0"/>
          <w:sz w:val="24"/>
          <w:szCs w:val="24"/>
          <w:lang w:eastAsia="en-IN"/>
        </w:rPr>
        <w:t xml:space="preserve"> JR, Hampson DJ, Williams IH. (1997). Structure and function of the small intestine in weaned pigs: a review. </w:t>
      </w:r>
      <w:r w:rsidRPr="00B57653">
        <w:rPr>
          <w:rFonts w:ascii="Times New Roman" w:eastAsia="Times New Roman" w:hAnsi="Times New Roman" w:cs="Times New Roman"/>
          <w:i/>
          <w:iCs/>
          <w:kern w:val="0"/>
          <w:sz w:val="24"/>
          <w:szCs w:val="24"/>
          <w:lang w:eastAsia="en-IN"/>
        </w:rPr>
        <w:t>Livestock Production Science</w:t>
      </w:r>
      <w:r w:rsidRPr="00B57653">
        <w:rPr>
          <w:rFonts w:ascii="Times New Roman" w:eastAsia="Times New Roman" w:hAnsi="Times New Roman" w:cs="Times New Roman"/>
          <w:kern w:val="0"/>
          <w:sz w:val="24"/>
          <w:szCs w:val="24"/>
          <w:lang w:eastAsia="en-IN"/>
        </w:rPr>
        <w:t>, 51(1–3), 215–236.</w:t>
      </w:r>
    </w:p>
    <w:p w14:paraId="7063FC18" w14:textId="77777777" w:rsidR="00E5212C" w:rsidRDefault="00E5212C" w:rsidP="009D0E2E">
      <w:pPr>
        <w:spacing w:before="120" w:after="120" w:line="360" w:lineRule="auto"/>
        <w:ind w:left="720" w:hanging="720"/>
        <w:jc w:val="both"/>
        <w:rPr>
          <w:rFonts w:ascii="Times New Roman" w:hAnsi="Times New Roman" w:cs="Times New Roman"/>
          <w:sz w:val="24"/>
          <w:szCs w:val="24"/>
        </w:rPr>
      </w:pPr>
      <w:proofErr w:type="spellStart"/>
      <w:r w:rsidRPr="00B57653">
        <w:rPr>
          <w:rFonts w:ascii="Times New Roman" w:hAnsi="Times New Roman" w:cs="Times New Roman"/>
          <w:sz w:val="24"/>
          <w:szCs w:val="24"/>
        </w:rPr>
        <w:t>Pluske</w:t>
      </w:r>
      <w:proofErr w:type="spellEnd"/>
      <w:r w:rsidRPr="00B57653">
        <w:rPr>
          <w:rFonts w:ascii="Times New Roman" w:hAnsi="Times New Roman" w:cs="Times New Roman"/>
          <w:sz w:val="24"/>
          <w:szCs w:val="24"/>
        </w:rPr>
        <w:t>, J. R., Turpin, D. L., &amp; Kim, J. C. (2018). Gastrointestinal tract (gut) health in the young pig. Animal Nutrition, 4(2), 187-196.</w:t>
      </w:r>
    </w:p>
    <w:p w14:paraId="7063FC19" w14:textId="77777777" w:rsidR="00E5212C" w:rsidRDefault="00E5212C" w:rsidP="009D0E2E">
      <w:pPr>
        <w:spacing w:before="120" w:after="120" w:line="360" w:lineRule="auto"/>
        <w:ind w:left="720" w:hanging="720"/>
        <w:jc w:val="both"/>
        <w:rPr>
          <w:rFonts w:ascii="Times New Roman" w:eastAsia="Times New Roman" w:hAnsi="Times New Roman" w:cs="Times New Roman"/>
          <w:kern w:val="0"/>
          <w:sz w:val="24"/>
          <w:szCs w:val="24"/>
          <w:lang w:eastAsia="en-IN"/>
        </w:rPr>
      </w:pPr>
      <w:r w:rsidRPr="00B57653">
        <w:rPr>
          <w:rFonts w:ascii="Times New Roman" w:eastAsia="Times New Roman" w:hAnsi="Times New Roman" w:cs="Times New Roman"/>
          <w:kern w:val="0"/>
          <w:sz w:val="24"/>
          <w:szCs w:val="24"/>
          <w:lang w:eastAsia="en-IN"/>
        </w:rPr>
        <w:t xml:space="preserve">Roselli, M., Finamore, A., </w:t>
      </w:r>
      <w:proofErr w:type="spellStart"/>
      <w:r w:rsidRPr="00B57653">
        <w:rPr>
          <w:rFonts w:ascii="Times New Roman" w:eastAsia="Times New Roman" w:hAnsi="Times New Roman" w:cs="Times New Roman"/>
          <w:kern w:val="0"/>
          <w:sz w:val="24"/>
          <w:szCs w:val="24"/>
          <w:lang w:eastAsia="en-IN"/>
        </w:rPr>
        <w:t>Britti</w:t>
      </w:r>
      <w:proofErr w:type="spellEnd"/>
      <w:r w:rsidRPr="00B57653">
        <w:rPr>
          <w:rFonts w:ascii="Times New Roman" w:eastAsia="Times New Roman" w:hAnsi="Times New Roman" w:cs="Times New Roman"/>
          <w:kern w:val="0"/>
          <w:sz w:val="24"/>
          <w:szCs w:val="24"/>
          <w:lang w:eastAsia="en-IN"/>
        </w:rPr>
        <w:t>, M.S., Bosi, P., Oswald, I., &amp;</w:t>
      </w:r>
      <w:proofErr w:type="spellStart"/>
      <w:r w:rsidRPr="00B57653">
        <w:rPr>
          <w:rFonts w:ascii="Times New Roman" w:eastAsia="Times New Roman" w:hAnsi="Times New Roman" w:cs="Times New Roman"/>
          <w:kern w:val="0"/>
          <w:sz w:val="24"/>
          <w:szCs w:val="24"/>
          <w:lang w:eastAsia="en-IN"/>
        </w:rPr>
        <w:t>Mengheri</w:t>
      </w:r>
      <w:proofErr w:type="spellEnd"/>
      <w:r w:rsidRPr="00B57653">
        <w:rPr>
          <w:rFonts w:ascii="Times New Roman" w:eastAsia="Times New Roman" w:hAnsi="Times New Roman" w:cs="Times New Roman"/>
          <w:kern w:val="0"/>
          <w:sz w:val="24"/>
          <w:szCs w:val="24"/>
          <w:lang w:eastAsia="en-IN"/>
        </w:rPr>
        <w:t xml:space="preserve">, E. (2017). Alternatives to antibiotics that modulate gut microflora and immune system. </w:t>
      </w:r>
      <w:r w:rsidRPr="00B57653">
        <w:rPr>
          <w:rFonts w:ascii="Times New Roman" w:eastAsia="Times New Roman" w:hAnsi="Times New Roman" w:cs="Times New Roman"/>
          <w:i/>
          <w:iCs/>
          <w:kern w:val="0"/>
          <w:sz w:val="24"/>
          <w:szCs w:val="24"/>
          <w:lang w:eastAsia="en-IN"/>
        </w:rPr>
        <w:t>Journal of Animal Science</w:t>
      </w:r>
      <w:r w:rsidRPr="00B57653">
        <w:rPr>
          <w:rFonts w:ascii="Times New Roman" w:eastAsia="Times New Roman" w:hAnsi="Times New Roman" w:cs="Times New Roman"/>
          <w:kern w:val="0"/>
          <w:sz w:val="24"/>
          <w:szCs w:val="24"/>
          <w:lang w:eastAsia="en-IN"/>
        </w:rPr>
        <w:t>, 95(suppl_1), 544–555.</w:t>
      </w:r>
    </w:p>
    <w:p w14:paraId="7063FC1A" w14:textId="77777777" w:rsidR="00E5212C" w:rsidRDefault="00E5212C" w:rsidP="009D0E2E">
      <w:pPr>
        <w:spacing w:before="120" w:after="120" w:line="360" w:lineRule="auto"/>
        <w:ind w:left="720" w:hanging="720"/>
        <w:jc w:val="both"/>
        <w:rPr>
          <w:rFonts w:ascii="Times New Roman" w:hAnsi="Times New Roman" w:cs="Times New Roman"/>
          <w:sz w:val="24"/>
          <w:szCs w:val="24"/>
        </w:rPr>
      </w:pPr>
      <w:r w:rsidRPr="00B57653">
        <w:rPr>
          <w:rFonts w:ascii="Times New Roman" w:hAnsi="Times New Roman" w:cs="Times New Roman"/>
          <w:sz w:val="24"/>
          <w:szCs w:val="24"/>
        </w:rPr>
        <w:t xml:space="preserve">Samanya M, Yamauchi KE (2002) Histological alterations of intestinal villi in chickens fed dried Bacillus subtilis var. natto. </w:t>
      </w:r>
      <w:r w:rsidRPr="00B57653">
        <w:rPr>
          <w:rFonts w:ascii="Times New Roman" w:hAnsi="Times New Roman" w:cs="Times New Roman"/>
          <w:i/>
          <w:iCs/>
          <w:sz w:val="24"/>
          <w:szCs w:val="24"/>
        </w:rPr>
        <w:t>Comparative Biochemistry and Physiology Part A: Molecular &amp; Integrative Physiology</w:t>
      </w:r>
      <w:r w:rsidRPr="00B57653">
        <w:rPr>
          <w:rFonts w:ascii="Times New Roman" w:hAnsi="Times New Roman" w:cs="Times New Roman"/>
          <w:sz w:val="24"/>
          <w:szCs w:val="24"/>
        </w:rPr>
        <w:t xml:space="preserve"> 133(1):95–104.</w:t>
      </w:r>
    </w:p>
    <w:p w14:paraId="7063FC1B" w14:textId="77777777" w:rsidR="00E5212C" w:rsidRPr="00C04DD7" w:rsidRDefault="00E5212C" w:rsidP="009D0E2E">
      <w:pPr>
        <w:spacing w:before="120" w:after="120" w:line="360" w:lineRule="auto"/>
        <w:ind w:left="720" w:hanging="720"/>
        <w:jc w:val="both"/>
        <w:rPr>
          <w:rFonts w:ascii="Times New Roman" w:hAnsi="Times New Roman" w:cs="Times New Roman"/>
          <w:sz w:val="24"/>
          <w:szCs w:val="24"/>
        </w:rPr>
      </w:pPr>
      <w:r w:rsidRPr="00C04DD7">
        <w:rPr>
          <w:rFonts w:ascii="Times New Roman" w:hAnsi="Times New Roman" w:cs="Times New Roman"/>
          <w:sz w:val="24"/>
          <w:szCs w:val="24"/>
        </w:rPr>
        <w:t xml:space="preserve">Smirnov A, </w:t>
      </w:r>
      <w:proofErr w:type="spellStart"/>
      <w:r w:rsidRPr="00C04DD7">
        <w:rPr>
          <w:rFonts w:ascii="Times New Roman" w:hAnsi="Times New Roman" w:cs="Times New Roman"/>
          <w:sz w:val="24"/>
          <w:szCs w:val="24"/>
        </w:rPr>
        <w:t>Sklan</w:t>
      </w:r>
      <w:proofErr w:type="spellEnd"/>
      <w:r w:rsidRPr="00C04DD7">
        <w:rPr>
          <w:rFonts w:ascii="Times New Roman" w:hAnsi="Times New Roman" w:cs="Times New Roman"/>
          <w:sz w:val="24"/>
          <w:szCs w:val="24"/>
        </w:rPr>
        <w:t xml:space="preserve"> D, Uni Z. (2006). Mucin dynamics and microbial populations in the chicken small intestine are changed by dietary probiotic and antibiotic growth promoter supplementation. </w:t>
      </w:r>
      <w:r w:rsidRPr="00C04DD7">
        <w:rPr>
          <w:rFonts w:ascii="Times New Roman" w:hAnsi="Times New Roman" w:cs="Times New Roman"/>
          <w:i/>
          <w:iCs/>
          <w:sz w:val="24"/>
          <w:szCs w:val="24"/>
        </w:rPr>
        <w:t>Journal of Nutrition</w:t>
      </w:r>
      <w:r w:rsidRPr="00C04DD7">
        <w:rPr>
          <w:rFonts w:ascii="Times New Roman" w:hAnsi="Times New Roman" w:cs="Times New Roman"/>
          <w:sz w:val="24"/>
          <w:szCs w:val="24"/>
        </w:rPr>
        <w:t>, 136(5), 144–150.</w:t>
      </w:r>
    </w:p>
    <w:p w14:paraId="7063FC1C" w14:textId="77777777" w:rsidR="00E5212C" w:rsidRDefault="00E5212C" w:rsidP="009D0E2E">
      <w:pPr>
        <w:spacing w:before="120" w:after="120" w:line="360" w:lineRule="auto"/>
        <w:ind w:left="720" w:hanging="720"/>
        <w:jc w:val="both"/>
        <w:rPr>
          <w:rFonts w:ascii="Times New Roman" w:eastAsia="Times New Roman" w:hAnsi="Times New Roman" w:cs="Times New Roman"/>
          <w:kern w:val="0"/>
          <w:sz w:val="24"/>
          <w:szCs w:val="24"/>
          <w:lang w:eastAsia="en-IN"/>
        </w:rPr>
      </w:pPr>
      <w:r w:rsidRPr="00B57653">
        <w:rPr>
          <w:rFonts w:ascii="Times New Roman" w:eastAsia="Times New Roman" w:hAnsi="Times New Roman" w:cs="Times New Roman"/>
          <w:kern w:val="0"/>
          <w:sz w:val="24"/>
          <w:szCs w:val="24"/>
          <w:lang w:eastAsia="en-IN"/>
        </w:rPr>
        <w:t xml:space="preserve"> Song, J., Li, Q., Everaert, N., &amp; Liu, R. (2020). The role of claudins in intestinal health and disease. </w:t>
      </w:r>
      <w:r w:rsidRPr="00B57653">
        <w:rPr>
          <w:rFonts w:ascii="Times New Roman" w:eastAsia="Times New Roman" w:hAnsi="Times New Roman" w:cs="Times New Roman"/>
          <w:i/>
          <w:iCs/>
          <w:kern w:val="0"/>
          <w:sz w:val="24"/>
          <w:szCs w:val="24"/>
          <w:lang w:eastAsia="en-IN"/>
        </w:rPr>
        <w:t>Animal Nutrition</w:t>
      </w:r>
      <w:r w:rsidRPr="00B57653">
        <w:rPr>
          <w:rFonts w:ascii="Times New Roman" w:eastAsia="Times New Roman" w:hAnsi="Times New Roman" w:cs="Times New Roman"/>
          <w:kern w:val="0"/>
          <w:sz w:val="24"/>
          <w:szCs w:val="24"/>
          <w:lang w:eastAsia="en-IN"/>
        </w:rPr>
        <w:t>, 6(2), 183–193.</w:t>
      </w:r>
    </w:p>
    <w:p w14:paraId="7063FC1D" w14:textId="77777777" w:rsidR="00E5212C" w:rsidRDefault="00E5212C" w:rsidP="009D0E2E">
      <w:pPr>
        <w:spacing w:before="120" w:after="120" w:line="360" w:lineRule="auto"/>
        <w:ind w:left="720" w:hanging="720"/>
        <w:jc w:val="both"/>
        <w:rPr>
          <w:rFonts w:ascii="Times New Roman" w:eastAsia="Times New Roman" w:hAnsi="Times New Roman" w:cs="Times New Roman"/>
          <w:kern w:val="0"/>
          <w:sz w:val="24"/>
          <w:szCs w:val="24"/>
          <w:lang w:eastAsia="en-IN"/>
        </w:rPr>
      </w:pPr>
      <w:r w:rsidRPr="003343C8">
        <w:rPr>
          <w:rFonts w:ascii="Times New Roman" w:eastAsia="Times New Roman" w:hAnsi="Times New Roman" w:cs="Times New Roman"/>
          <w:kern w:val="0"/>
          <w:sz w:val="24"/>
          <w:szCs w:val="24"/>
          <w:lang w:eastAsia="en-IN"/>
        </w:rPr>
        <w:lastRenderedPageBreak/>
        <w:t xml:space="preserve">Steinhoff, M.S., von Mentzer, B., Geppetti, P., </w:t>
      </w:r>
      <w:proofErr w:type="spellStart"/>
      <w:r w:rsidRPr="003343C8">
        <w:rPr>
          <w:rFonts w:ascii="Times New Roman" w:eastAsia="Times New Roman" w:hAnsi="Times New Roman" w:cs="Times New Roman"/>
          <w:kern w:val="0"/>
          <w:sz w:val="24"/>
          <w:szCs w:val="24"/>
          <w:lang w:eastAsia="en-IN"/>
        </w:rPr>
        <w:t>Pothoulakis</w:t>
      </w:r>
      <w:proofErr w:type="spellEnd"/>
      <w:r w:rsidRPr="003343C8">
        <w:rPr>
          <w:rFonts w:ascii="Times New Roman" w:eastAsia="Times New Roman" w:hAnsi="Times New Roman" w:cs="Times New Roman"/>
          <w:kern w:val="0"/>
          <w:sz w:val="24"/>
          <w:szCs w:val="24"/>
          <w:lang w:eastAsia="en-IN"/>
        </w:rPr>
        <w:t>, C., &amp;</w:t>
      </w:r>
      <w:proofErr w:type="spellStart"/>
      <w:r w:rsidRPr="003343C8">
        <w:rPr>
          <w:rFonts w:ascii="Times New Roman" w:eastAsia="Times New Roman" w:hAnsi="Times New Roman" w:cs="Times New Roman"/>
          <w:kern w:val="0"/>
          <w:sz w:val="24"/>
          <w:szCs w:val="24"/>
          <w:lang w:eastAsia="en-IN"/>
        </w:rPr>
        <w:t>Bunnett</w:t>
      </w:r>
      <w:proofErr w:type="spellEnd"/>
      <w:r w:rsidRPr="003343C8">
        <w:rPr>
          <w:rFonts w:ascii="Times New Roman" w:eastAsia="Times New Roman" w:hAnsi="Times New Roman" w:cs="Times New Roman"/>
          <w:kern w:val="0"/>
          <w:sz w:val="24"/>
          <w:szCs w:val="24"/>
          <w:lang w:eastAsia="en-IN"/>
        </w:rPr>
        <w:t xml:space="preserve">, N.W. (2014). Tachykinins and their receptors: contributions to physiological control and the mechanisms of disease. </w:t>
      </w:r>
      <w:r w:rsidRPr="003343C8">
        <w:rPr>
          <w:rFonts w:ascii="Times New Roman" w:eastAsia="Times New Roman" w:hAnsi="Times New Roman" w:cs="Times New Roman"/>
          <w:i/>
          <w:iCs/>
          <w:kern w:val="0"/>
          <w:sz w:val="24"/>
          <w:szCs w:val="24"/>
          <w:lang w:eastAsia="en-IN"/>
        </w:rPr>
        <w:t>Physiological Reviews</w:t>
      </w:r>
      <w:r w:rsidRPr="003343C8">
        <w:rPr>
          <w:rFonts w:ascii="Times New Roman" w:eastAsia="Times New Roman" w:hAnsi="Times New Roman" w:cs="Times New Roman"/>
          <w:kern w:val="0"/>
          <w:sz w:val="24"/>
          <w:szCs w:val="24"/>
          <w:lang w:eastAsia="en-IN"/>
        </w:rPr>
        <w:t>, 94(1), 265–301.</w:t>
      </w:r>
    </w:p>
    <w:p w14:paraId="7063FC1E" w14:textId="77777777" w:rsidR="00E5212C" w:rsidRDefault="00E5212C" w:rsidP="009D0E2E">
      <w:pPr>
        <w:spacing w:before="120" w:after="120" w:line="360" w:lineRule="auto"/>
        <w:ind w:left="720" w:hanging="720"/>
        <w:jc w:val="both"/>
        <w:rPr>
          <w:rFonts w:ascii="Times New Roman" w:eastAsia="Times New Roman" w:hAnsi="Times New Roman" w:cs="Times New Roman"/>
          <w:kern w:val="0"/>
          <w:sz w:val="24"/>
          <w:szCs w:val="24"/>
          <w:lang w:eastAsia="en-IN"/>
        </w:rPr>
      </w:pPr>
      <w:r w:rsidRPr="00B57653">
        <w:rPr>
          <w:rFonts w:ascii="Times New Roman" w:eastAsia="Times New Roman" w:hAnsi="Times New Roman" w:cs="Times New Roman"/>
          <w:kern w:val="0"/>
          <w:sz w:val="24"/>
          <w:szCs w:val="24"/>
          <w:lang w:eastAsia="en-IN"/>
        </w:rPr>
        <w:t xml:space="preserve">Tan, J., McKenzie, C., </w:t>
      </w:r>
      <w:proofErr w:type="spellStart"/>
      <w:r w:rsidRPr="00B57653">
        <w:rPr>
          <w:rFonts w:ascii="Times New Roman" w:eastAsia="Times New Roman" w:hAnsi="Times New Roman" w:cs="Times New Roman"/>
          <w:kern w:val="0"/>
          <w:sz w:val="24"/>
          <w:szCs w:val="24"/>
          <w:lang w:eastAsia="en-IN"/>
        </w:rPr>
        <w:t>Potamitis</w:t>
      </w:r>
      <w:proofErr w:type="spellEnd"/>
      <w:r w:rsidRPr="00B57653">
        <w:rPr>
          <w:rFonts w:ascii="Times New Roman" w:eastAsia="Times New Roman" w:hAnsi="Times New Roman" w:cs="Times New Roman"/>
          <w:kern w:val="0"/>
          <w:sz w:val="24"/>
          <w:szCs w:val="24"/>
          <w:lang w:eastAsia="en-IN"/>
        </w:rPr>
        <w:t xml:space="preserve">, M., Thorburn, A.N., Mackay, C.R., &amp; Macia, L. (2014). The role of short-chain fatty acids in health and disease. </w:t>
      </w:r>
      <w:r w:rsidRPr="00B57653">
        <w:rPr>
          <w:rFonts w:ascii="Times New Roman" w:eastAsia="Times New Roman" w:hAnsi="Times New Roman" w:cs="Times New Roman"/>
          <w:i/>
          <w:iCs/>
          <w:kern w:val="0"/>
          <w:sz w:val="24"/>
          <w:szCs w:val="24"/>
          <w:lang w:eastAsia="en-IN"/>
        </w:rPr>
        <w:t>Advances in Immunology</w:t>
      </w:r>
      <w:r w:rsidRPr="00B57653">
        <w:rPr>
          <w:rFonts w:ascii="Times New Roman" w:eastAsia="Times New Roman" w:hAnsi="Times New Roman" w:cs="Times New Roman"/>
          <w:kern w:val="0"/>
          <w:sz w:val="24"/>
          <w:szCs w:val="24"/>
          <w:lang w:eastAsia="en-IN"/>
        </w:rPr>
        <w:t>, 121, 91–119.</w:t>
      </w:r>
    </w:p>
    <w:p w14:paraId="7063FC1F" w14:textId="77777777" w:rsidR="00E5212C" w:rsidRDefault="00E5212C" w:rsidP="009D0E2E">
      <w:pPr>
        <w:spacing w:before="120" w:after="120" w:line="360" w:lineRule="auto"/>
        <w:ind w:left="720" w:hanging="720"/>
        <w:jc w:val="both"/>
        <w:rPr>
          <w:rFonts w:ascii="Times New Roman" w:eastAsia="Times New Roman" w:hAnsi="Times New Roman" w:cs="Times New Roman"/>
          <w:kern w:val="0"/>
          <w:sz w:val="24"/>
          <w:szCs w:val="24"/>
          <w:lang w:eastAsia="en-IN"/>
        </w:rPr>
      </w:pPr>
      <w:r w:rsidRPr="00B57653">
        <w:rPr>
          <w:rFonts w:ascii="Times New Roman" w:eastAsia="Times New Roman" w:hAnsi="Times New Roman" w:cs="Times New Roman"/>
          <w:kern w:val="0"/>
          <w:sz w:val="24"/>
          <w:szCs w:val="24"/>
          <w:lang w:eastAsia="en-IN"/>
        </w:rPr>
        <w:t xml:space="preserve">Taniguchi, K., Suzuki, K., Itoh, H., &amp; Yamaguchi, T. (2008). Microvascular architecture of the rat small intestine: scanning electron microscopy of vascular corrosion casts. </w:t>
      </w:r>
      <w:r w:rsidRPr="00B57653">
        <w:rPr>
          <w:rFonts w:ascii="Times New Roman" w:eastAsia="Times New Roman" w:hAnsi="Times New Roman" w:cs="Times New Roman"/>
          <w:i/>
          <w:iCs/>
          <w:kern w:val="0"/>
          <w:sz w:val="24"/>
          <w:szCs w:val="24"/>
          <w:lang w:eastAsia="en-IN"/>
        </w:rPr>
        <w:t>Biomedical Research</w:t>
      </w:r>
      <w:r w:rsidRPr="00B57653">
        <w:rPr>
          <w:rFonts w:ascii="Times New Roman" w:eastAsia="Times New Roman" w:hAnsi="Times New Roman" w:cs="Times New Roman"/>
          <w:kern w:val="0"/>
          <w:sz w:val="24"/>
          <w:szCs w:val="24"/>
          <w:lang w:eastAsia="en-IN"/>
        </w:rPr>
        <w:t>, 29(5), 267–274.</w:t>
      </w:r>
    </w:p>
    <w:p w14:paraId="7063FC20" w14:textId="77777777" w:rsidR="00E5212C" w:rsidRDefault="00E5212C" w:rsidP="009D0E2E">
      <w:pPr>
        <w:spacing w:before="120" w:after="120" w:line="360" w:lineRule="auto"/>
        <w:ind w:left="720" w:hanging="720"/>
        <w:jc w:val="both"/>
        <w:rPr>
          <w:rFonts w:ascii="Times New Roman" w:eastAsia="Times New Roman" w:hAnsi="Times New Roman" w:cs="Times New Roman"/>
          <w:kern w:val="0"/>
          <w:sz w:val="24"/>
          <w:szCs w:val="24"/>
          <w:lang w:eastAsia="en-IN"/>
        </w:rPr>
      </w:pPr>
      <w:r w:rsidRPr="003343C8">
        <w:rPr>
          <w:rFonts w:ascii="Times New Roman" w:eastAsia="Times New Roman" w:hAnsi="Times New Roman" w:cs="Times New Roman"/>
          <w:kern w:val="0"/>
          <w:sz w:val="24"/>
          <w:szCs w:val="24"/>
          <w:lang w:eastAsia="en-IN"/>
        </w:rPr>
        <w:t xml:space="preserve">Tao, R., Hoover, D.B., &amp; Parra, V.M. (2016). VIP and PACAP in the regulation of immune function: relevance for inflammatory disease. </w:t>
      </w:r>
      <w:r w:rsidRPr="003343C8">
        <w:rPr>
          <w:rFonts w:ascii="Times New Roman" w:eastAsia="Times New Roman" w:hAnsi="Times New Roman" w:cs="Times New Roman"/>
          <w:i/>
          <w:iCs/>
          <w:kern w:val="0"/>
          <w:sz w:val="24"/>
          <w:szCs w:val="24"/>
          <w:lang w:eastAsia="en-IN"/>
        </w:rPr>
        <w:t>Pharmacology &amp; Therapeutics</w:t>
      </w:r>
      <w:r w:rsidRPr="003343C8">
        <w:rPr>
          <w:rFonts w:ascii="Times New Roman" w:eastAsia="Times New Roman" w:hAnsi="Times New Roman" w:cs="Times New Roman"/>
          <w:kern w:val="0"/>
          <w:sz w:val="24"/>
          <w:szCs w:val="24"/>
          <w:lang w:eastAsia="en-IN"/>
        </w:rPr>
        <w:t>, 167, 52–75.</w:t>
      </w:r>
    </w:p>
    <w:p w14:paraId="7063FC21" w14:textId="77777777" w:rsidR="00E5212C" w:rsidRDefault="00E5212C" w:rsidP="009D0E2E">
      <w:pPr>
        <w:spacing w:before="120" w:after="120" w:line="360" w:lineRule="auto"/>
        <w:ind w:left="720" w:hanging="720"/>
        <w:jc w:val="both"/>
        <w:rPr>
          <w:rFonts w:ascii="Times New Roman" w:eastAsia="Times New Roman" w:hAnsi="Times New Roman" w:cs="Times New Roman"/>
          <w:kern w:val="0"/>
          <w:sz w:val="24"/>
          <w:szCs w:val="24"/>
          <w:lang w:eastAsia="en-IN"/>
        </w:rPr>
      </w:pPr>
      <w:r w:rsidRPr="00B57653">
        <w:rPr>
          <w:rFonts w:ascii="Times New Roman" w:eastAsia="Times New Roman" w:hAnsi="Times New Roman" w:cs="Times New Roman"/>
          <w:kern w:val="0"/>
          <w:sz w:val="24"/>
          <w:szCs w:val="24"/>
          <w:lang w:eastAsia="en-IN"/>
        </w:rPr>
        <w:t xml:space="preserve">Turner, J.R. (2009). Intestinal mucosal barrier function in health and disease. </w:t>
      </w:r>
      <w:r w:rsidRPr="00B57653">
        <w:rPr>
          <w:rFonts w:ascii="Times New Roman" w:eastAsia="Times New Roman" w:hAnsi="Times New Roman" w:cs="Times New Roman"/>
          <w:i/>
          <w:iCs/>
          <w:kern w:val="0"/>
          <w:sz w:val="24"/>
          <w:szCs w:val="24"/>
          <w:lang w:eastAsia="en-IN"/>
        </w:rPr>
        <w:t>Nature Reviews Immunology</w:t>
      </w:r>
      <w:r w:rsidRPr="00B57653">
        <w:rPr>
          <w:rFonts w:ascii="Times New Roman" w:eastAsia="Times New Roman" w:hAnsi="Times New Roman" w:cs="Times New Roman"/>
          <w:kern w:val="0"/>
          <w:sz w:val="24"/>
          <w:szCs w:val="24"/>
          <w:lang w:eastAsia="en-IN"/>
        </w:rPr>
        <w:t>, 9(11), 799–809.</w:t>
      </w:r>
    </w:p>
    <w:p w14:paraId="7063FC22" w14:textId="77777777" w:rsidR="00E5212C" w:rsidRDefault="00E5212C" w:rsidP="009D0E2E">
      <w:pPr>
        <w:spacing w:before="120" w:after="120" w:line="360" w:lineRule="auto"/>
        <w:ind w:left="720" w:hanging="720"/>
        <w:jc w:val="both"/>
        <w:rPr>
          <w:rFonts w:ascii="Times New Roman" w:eastAsia="Times New Roman" w:hAnsi="Times New Roman" w:cs="Times New Roman"/>
          <w:kern w:val="0"/>
          <w:sz w:val="24"/>
          <w:szCs w:val="24"/>
          <w:lang w:eastAsia="en-IN"/>
        </w:rPr>
      </w:pPr>
      <w:proofErr w:type="spellStart"/>
      <w:r w:rsidRPr="00B57653">
        <w:rPr>
          <w:rFonts w:ascii="Times New Roman" w:eastAsia="Times New Roman" w:hAnsi="Times New Roman" w:cs="Times New Roman"/>
          <w:kern w:val="0"/>
          <w:sz w:val="24"/>
          <w:szCs w:val="24"/>
          <w:lang w:eastAsia="en-IN"/>
        </w:rPr>
        <w:t>Ulluwishewa</w:t>
      </w:r>
      <w:proofErr w:type="spellEnd"/>
      <w:r w:rsidRPr="00B57653">
        <w:rPr>
          <w:rFonts w:ascii="Times New Roman" w:eastAsia="Times New Roman" w:hAnsi="Times New Roman" w:cs="Times New Roman"/>
          <w:kern w:val="0"/>
          <w:sz w:val="24"/>
          <w:szCs w:val="24"/>
          <w:lang w:eastAsia="en-IN"/>
        </w:rPr>
        <w:t xml:space="preserve">, D., Anderson, R.C., McNabb, W.C., Moughan, P.J., Wells, J.M., &amp; Roy, N.C. (2011). Regulation of tight junction permeability by intestinal bacteria and dietary components. </w:t>
      </w:r>
      <w:r w:rsidRPr="00B57653">
        <w:rPr>
          <w:rFonts w:ascii="Times New Roman" w:eastAsia="Times New Roman" w:hAnsi="Times New Roman" w:cs="Times New Roman"/>
          <w:i/>
          <w:iCs/>
          <w:kern w:val="0"/>
          <w:sz w:val="24"/>
          <w:szCs w:val="24"/>
          <w:lang w:eastAsia="en-IN"/>
        </w:rPr>
        <w:t>Journal of Nutrition</w:t>
      </w:r>
      <w:r w:rsidRPr="00B57653">
        <w:rPr>
          <w:rFonts w:ascii="Times New Roman" w:eastAsia="Times New Roman" w:hAnsi="Times New Roman" w:cs="Times New Roman"/>
          <w:kern w:val="0"/>
          <w:sz w:val="24"/>
          <w:szCs w:val="24"/>
          <w:lang w:eastAsia="en-IN"/>
        </w:rPr>
        <w:t>, 141(5), 769–776.</w:t>
      </w:r>
    </w:p>
    <w:p w14:paraId="7063FC23" w14:textId="77777777" w:rsidR="00E5212C" w:rsidRDefault="00E5212C" w:rsidP="009D0E2E">
      <w:pPr>
        <w:spacing w:before="120" w:after="120" w:line="360" w:lineRule="auto"/>
        <w:ind w:left="720" w:hanging="720"/>
        <w:jc w:val="both"/>
        <w:rPr>
          <w:rFonts w:ascii="Times New Roman" w:eastAsia="Times New Roman" w:hAnsi="Times New Roman" w:cs="Times New Roman"/>
          <w:kern w:val="0"/>
          <w:sz w:val="24"/>
          <w:szCs w:val="24"/>
          <w:lang w:eastAsia="en-IN"/>
        </w:rPr>
      </w:pPr>
      <w:r w:rsidRPr="00B57653">
        <w:rPr>
          <w:rFonts w:ascii="Times New Roman" w:eastAsia="Times New Roman" w:hAnsi="Times New Roman" w:cs="Times New Roman"/>
          <w:kern w:val="0"/>
          <w:sz w:val="24"/>
          <w:szCs w:val="24"/>
          <w:lang w:eastAsia="en-IN"/>
        </w:rPr>
        <w:t xml:space="preserve"> Uni Z, Noy Y, </w:t>
      </w:r>
      <w:proofErr w:type="spellStart"/>
      <w:r w:rsidRPr="00B57653">
        <w:rPr>
          <w:rFonts w:ascii="Times New Roman" w:eastAsia="Times New Roman" w:hAnsi="Times New Roman" w:cs="Times New Roman"/>
          <w:kern w:val="0"/>
          <w:sz w:val="24"/>
          <w:szCs w:val="24"/>
          <w:lang w:eastAsia="en-IN"/>
        </w:rPr>
        <w:t>Sklan</w:t>
      </w:r>
      <w:proofErr w:type="spellEnd"/>
      <w:r w:rsidRPr="00B57653">
        <w:rPr>
          <w:rFonts w:ascii="Times New Roman" w:eastAsia="Times New Roman" w:hAnsi="Times New Roman" w:cs="Times New Roman"/>
          <w:kern w:val="0"/>
          <w:sz w:val="24"/>
          <w:szCs w:val="24"/>
          <w:lang w:eastAsia="en-IN"/>
        </w:rPr>
        <w:t xml:space="preserve"> D. (1999). </w:t>
      </w:r>
      <w:proofErr w:type="spellStart"/>
      <w:r w:rsidRPr="00B57653">
        <w:rPr>
          <w:rFonts w:ascii="Times New Roman" w:eastAsia="Times New Roman" w:hAnsi="Times New Roman" w:cs="Times New Roman"/>
          <w:kern w:val="0"/>
          <w:sz w:val="24"/>
          <w:szCs w:val="24"/>
          <w:lang w:eastAsia="en-IN"/>
        </w:rPr>
        <w:t>Posthatch</w:t>
      </w:r>
      <w:proofErr w:type="spellEnd"/>
      <w:r w:rsidRPr="00B57653">
        <w:rPr>
          <w:rFonts w:ascii="Times New Roman" w:eastAsia="Times New Roman" w:hAnsi="Times New Roman" w:cs="Times New Roman"/>
          <w:kern w:val="0"/>
          <w:sz w:val="24"/>
          <w:szCs w:val="24"/>
          <w:lang w:eastAsia="en-IN"/>
        </w:rPr>
        <w:t xml:space="preserve"> development of small intestinal function in the poult. </w:t>
      </w:r>
      <w:r w:rsidRPr="00B57653">
        <w:rPr>
          <w:rFonts w:ascii="Times New Roman" w:eastAsia="Times New Roman" w:hAnsi="Times New Roman" w:cs="Times New Roman"/>
          <w:i/>
          <w:iCs/>
          <w:kern w:val="0"/>
          <w:sz w:val="24"/>
          <w:szCs w:val="24"/>
          <w:lang w:eastAsia="en-IN"/>
        </w:rPr>
        <w:t>Poultry Science</w:t>
      </w:r>
      <w:r w:rsidRPr="00B57653">
        <w:rPr>
          <w:rFonts w:ascii="Times New Roman" w:eastAsia="Times New Roman" w:hAnsi="Times New Roman" w:cs="Times New Roman"/>
          <w:kern w:val="0"/>
          <w:sz w:val="24"/>
          <w:szCs w:val="24"/>
          <w:lang w:eastAsia="en-IN"/>
        </w:rPr>
        <w:t>, 78(2), 215–222.</w:t>
      </w:r>
    </w:p>
    <w:p w14:paraId="7063FC24" w14:textId="77777777" w:rsidR="00E5212C" w:rsidRDefault="00E5212C" w:rsidP="009D0E2E">
      <w:pPr>
        <w:spacing w:before="120" w:after="120" w:line="360" w:lineRule="auto"/>
        <w:ind w:left="720" w:hanging="720"/>
        <w:jc w:val="both"/>
        <w:rPr>
          <w:rFonts w:ascii="Times New Roman" w:hAnsi="Times New Roman" w:cs="Times New Roman"/>
          <w:sz w:val="24"/>
          <w:szCs w:val="24"/>
        </w:rPr>
      </w:pPr>
      <w:r w:rsidRPr="00B57653">
        <w:rPr>
          <w:rFonts w:ascii="Times New Roman" w:hAnsi="Times New Roman" w:cs="Times New Roman"/>
          <w:sz w:val="24"/>
          <w:szCs w:val="24"/>
        </w:rPr>
        <w:t>Uni, Z., Ganot, S., &amp;</w:t>
      </w:r>
      <w:proofErr w:type="spellStart"/>
      <w:r w:rsidRPr="00B57653">
        <w:rPr>
          <w:rFonts w:ascii="Times New Roman" w:hAnsi="Times New Roman" w:cs="Times New Roman"/>
          <w:sz w:val="24"/>
          <w:szCs w:val="24"/>
        </w:rPr>
        <w:t>Sklan</w:t>
      </w:r>
      <w:proofErr w:type="spellEnd"/>
      <w:r w:rsidRPr="00B57653">
        <w:rPr>
          <w:rFonts w:ascii="Times New Roman" w:hAnsi="Times New Roman" w:cs="Times New Roman"/>
          <w:sz w:val="24"/>
          <w:szCs w:val="24"/>
        </w:rPr>
        <w:t xml:space="preserve">, D. (1998). </w:t>
      </w:r>
      <w:proofErr w:type="spellStart"/>
      <w:r w:rsidRPr="00B57653">
        <w:rPr>
          <w:rFonts w:ascii="Times New Roman" w:hAnsi="Times New Roman" w:cs="Times New Roman"/>
          <w:sz w:val="24"/>
          <w:szCs w:val="24"/>
        </w:rPr>
        <w:t>Posthatch</w:t>
      </w:r>
      <w:proofErr w:type="spellEnd"/>
      <w:r w:rsidRPr="00B57653">
        <w:rPr>
          <w:rFonts w:ascii="Times New Roman" w:hAnsi="Times New Roman" w:cs="Times New Roman"/>
          <w:sz w:val="24"/>
          <w:szCs w:val="24"/>
        </w:rPr>
        <w:t xml:space="preserve"> development of mucosal function in the broiler small intestine. Poultry Science, 77(1), 75-82.</w:t>
      </w:r>
    </w:p>
    <w:p w14:paraId="7063FC25" w14:textId="77777777" w:rsidR="00E5212C" w:rsidRDefault="00E5212C" w:rsidP="009D0E2E">
      <w:pPr>
        <w:spacing w:before="120" w:after="120" w:line="360" w:lineRule="auto"/>
        <w:ind w:left="720" w:hanging="720"/>
        <w:jc w:val="both"/>
        <w:rPr>
          <w:rFonts w:ascii="Times New Roman" w:eastAsia="Times New Roman" w:hAnsi="Times New Roman" w:cs="Times New Roman"/>
          <w:kern w:val="0"/>
          <w:sz w:val="24"/>
          <w:szCs w:val="24"/>
          <w:lang w:eastAsia="en-IN"/>
        </w:rPr>
      </w:pPr>
      <w:proofErr w:type="spellStart"/>
      <w:r w:rsidRPr="00B57653">
        <w:rPr>
          <w:rFonts w:ascii="Times New Roman" w:eastAsia="Times New Roman" w:hAnsi="Times New Roman" w:cs="Times New Roman"/>
          <w:kern w:val="0"/>
          <w:sz w:val="24"/>
          <w:szCs w:val="24"/>
          <w:lang w:eastAsia="en-IN"/>
        </w:rPr>
        <w:t>Vaugelade</w:t>
      </w:r>
      <w:proofErr w:type="spellEnd"/>
      <w:r w:rsidRPr="00B57653">
        <w:rPr>
          <w:rFonts w:ascii="Times New Roman" w:eastAsia="Times New Roman" w:hAnsi="Times New Roman" w:cs="Times New Roman"/>
          <w:kern w:val="0"/>
          <w:sz w:val="24"/>
          <w:szCs w:val="24"/>
          <w:lang w:eastAsia="en-IN"/>
        </w:rPr>
        <w:t>, P., Posho, L., Darcy-</w:t>
      </w:r>
      <w:proofErr w:type="spellStart"/>
      <w:r w:rsidRPr="00B57653">
        <w:rPr>
          <w:rFonts w:ascii="Times New Roman" w:eastAsia="Times New Roman" w:hAnsi="Times New Roman" w:cs="Times New Roman"/>
          <w:kern w:val="0"/>
          <w:sz w:val="24"/>
          <w:szCs w:val="24"/>
          <w:lang w:eastAsia="en-IN"/>
        </w:rPr>
        <w:t>Vrillon</w:t>
      </w:r>
      <w:proofErr w:type="spellEnd"/>
      <w:r w:rsidRPr="00B57653">
        <w:rPr>
          <w:rFonts w:ascii="Times New Roman" w:eastAsia="Times New Roman" w:hAnsi="Times New Roman" w:cs="Times New Roman"/>
          <w:kern w:val="0"/>
          <w:sz w:val="24"/>
          <w:szCs w:val="24"/>
          <w:lang w:eastAsia="en-IN"/>
        </w:rPr>
        <w:t>, B., Bernard, F., Morel, M.T., &amp;</w:t>
      </w:r>
      <w:proofErr w:type="spellStart"/>
      <w:r w:rsidRPr="00B57653">
        <w:rPr>
          <w:rFonts w:ascii="Times New Roman" w:eastAsia="Times New Roman" w:hAnsi="Times New Roman" w:cs="Times New Roman"/>
          <w:kern w:val="0"/>
          <w:sz w:val="24"/>
          <w:szCs w:val="24"/>
          <w:lang w:eastAsia="en-IN"/>
        </w:rPr>
        <w:t>Duée</w:t>
      </w:r>
      <w:proofErr w:type="spellEnd"/>
      <w:r w:rsidRPr="00B57653">
        <w:rPr>
          <w:rFonts w:ascii="Times New Roman" w:eastAsia="Times New Roman" w:hAnsi="Times New Roman" w:cs="Times New Roman"/>
          <w:kern w:val="0"/>
          <w:sz w:val="24"/>
          <w:szCs w:val="24"/>
          <w:lang w:eastAsia="en-IN"/>
        </w:rPr>
        <w:t xml:space="preserve">, P.H. (2003). Intestinal oxygen consumption and blood flow during nutrient absorption in the pig. </w:t>
      </w:r>
      <w:r w:rsidRPr="00B57653">
        <w:rPr>
          <w:rFonts w:ascii="Times New Roman" w:eastAsia="Times New Roman" w:hAnsi="Times New Roman" w:cs="Times New Roman"/>
          <w:i/>
          <w:iCs/>
          <w:kern w:val="0"/>
          <w:sz w:val="24"/>
          <w:szCs w:val="24"/>
          <w:lang w:eastAsia="en-IN"/>
        </w:rPr>
        <w:t>British Journal of Nutrition</w:t>
      </w:r>
      <w:r w:rsidRPr="00B57653">
        <w:rPr>
          <w:rFonts w:ascii="Times New Roman" w:eastAsia="Times New Roman" w:hAnsi="Times New Roman" w:cs="Times New Roman"/>
          <w:kern w:val="0"/>
          <w:sz w:val="24"/>
          <w:szCs w:val="24"/>
          <w:lang w:eastAsia="en-IN"/>
        </w:rPr>
        <w:t>, 90(5), 803–811.</w:t>
      </w:r>
    </w:p>
    <w:p w14:paraId="7063FC26" w14:textId="77777777" w:rsidR="00E5212C" w:rsidRDefault="00E5212C" w:rsidP="009D0E2E">
      <w:pPr>
        <w:spacing w:before="120" w:after="120" w:line="360" w:lineRule="auto"/>
        <w:ind w:left="720" w:hanging="720"/>
        <w:jc w:val="both"/>
        <w:rPr>
          <w:rFonts w:ascii="Times New Roman" w:hAnsi="Times New Roman" w:cs="Times New Roman"/>
          <w:sz w:val="24"/>
          <w:szCs w:val="24"/>
        </w:rPr>
      </w:pPr>
      <w:r w:rsidRPr="00C04DD7">
        <w:rPr>
          <w:rFonts w:ascii="Times New Roman" w:hAnsi="Times New Roman" w:cs="Times New Roman"/>
          <w:sz w:val="24"/>
          <w:szCs w:val="24"/>
        </w:rPr>
        <w:t xml:space="preserve">Wang Y, Hu Y, Ma R, et al. (2022). </w:t>
      </w:r>
      <w:r w:rsidRPr="00B57653">
        <w:rPr>
          <w:rFonts w:ascii="Times New Roman" w:hAnsi="Times New Roman" w:cs="Times New Roman"/>
          <w:sz w:val="24"/>
          <w:szCs w:val="24"/>
        </w:rPr>
        <w:t xml:space="preserve">Phytogenic feed additives enhance intestinal health and performance in broiler chickens via modulating intestinal microbiota and immune response. </w:t>
      </w:r>
      <w:r w:rsidRPr="00B57653">
        <w:rPr>
          <w:rFonts w:ascii="Times New Roman" w:hAnsi="Times New Roman" w:cs="Times New Roman"/>
          <w:i/>
          <w:iCs/>
          <w:sz w:val="24"/>
          <w:szCs w:val="24"/>
        </w:rPr>
        <w:t>Animal Nutrition</w:t>
      </w:r>
      <w:r w:rsidRPr="00B57653">
        <w:rPr>
          <w:rFonts w:ascii="Times New Roman" w:hAnsi="Times New Roman" w:cs="Times New Roman"/>
          <w:sz w:val="24"/>
          <w:szCs w:val="24"/>
        </w:rPr>
        <w:t>, 8(1), 89–98.</w:t>
      </w:r>
    </w:p>
    <w:p w14:paraId="7063FC27" w14:textId="77777777" w:rsidR="00E5212C" w:rsidRDefault="00E5212C" w:rsidP="009D0E2E">
      <w:pPr>
        <w:spacing w:before="120" w:after="120" w:line="360" w:lineRule="auto"/>
        <w:ind w:left="720" w:hanging="720"/>
        <w:jc w:val="both"/>
        <w:rPr>
          <w:rFonts w:ascii="Times New Roman" w:hAnsi="Times New Roman" w:cs="Times New Roman"/>
          <w:sz w:val="24"/>
          <w:szCs w:val="24"/>
        </w:rPr>
      </w:pPr>
      <w:r w:rsidRPr="00B57653">
        <w:rPr>
          <w:rFonts w:ascii="Times New Roman" w:hAnsi="Times New Roman" w:cs="Times New Roman"/>
          <w:sz w:val="24"/>
          <w:szCs w:val="24"/>
        </w:rPr>
        <w:t xml:space="preserve">Xu ZR, Hu CH, Xia MS, Zhan XA, Wang MQ (2003) Effects of dietary </w:t>
      </w:r>
      <w:proofErr w:type="spellStart"/>
      <w:r w:rsidRPr="00B57653">
        <w:rPr>
          <w:rFonts w:ascii="Times New Roman" w:hAnsi="Times New Roman" w:cs="Times New Roman"/>
          <w:sz w:val="24"/>
          <w:szCs w:val="24"/>
        </w:rPr>
        <w:t>fructooligosaccharide</w:t>
      </w:r>
      <w:proofErr w:type="spellEnd"/>
      <w:r w:rsidRPr="00B57653">
        <w:rPr>
          <w:rFonts w:ascii="Times New Roman" w:hAnsi="Times New Roman" w:cs="Times New Roman"/>
          <w:sz w:val="24"/>
          <w:szCs w:val="24"/>
        </w:rPr>
        <w:t xml:space="preserve"> on digestive enzyme activities, intestinal microflora and morphology of male broilers. </w:t>
      </w:r>
      <w:r w:rsidRPr="00B57653">
        <w:rPr>
          <w:rFonts w:ascii="Times New Roman" w:hAnsi="Times New Roman" w:cs="Times New Roman"/>
          <w:i/>
          <w:iCs/>
          <w:sz w:val="24"/>
          <w:szCs w:val="24"/>
        </w:rPr>
        <w:t>Poultry Science</w:t>
      </w:r>
      <w:r w:rsidRPr="00B57653">
        <w:rPr>
          <w:rFonts w:ascii="Times New Roman" w:hAnsi="Times New Roman" w:cs="Times New Roman"/>
          <w:sz w:val="24"/>
          <w:szCs w:val="24"/>
        </w:rPr>
        <w:t xml:space="preserve"> 82(6):1030–1036.</w:t>
      </w:r>
    </w:p>
    <w:p w14:paraId="7063FC28" w14:textId="77777777" w:rsidR="00E5212C" w:rsidRDefault="00E5212C" w:rsidP="009D0E2E">
      <w:pPr>
        <w:spacing w:before="120" w:after="120" w:line="360" w:lineRule="auto"/>
        <w:ind w:left="720" w:hanging="720"/>
        <w:jc w:val="both"/>
        <w:rPr>
          <w:rFonts w:ascii="Times New Roman" w:eastAsia="Times New Roman" w:hAnsi="Times New Roman" w:cs="Times New Roman"/>
          <w:kern w:val="0"/>
          <w:sz w:val="24"/>
          <w:szCs w:val="24"/>
          <w:lang w:eastAsia="en-IN"/>
        </w:rPr>
      </w:pPr>
      <w:r w:rsidRPr="00B57653">
        <w:rPr>
          <w:rFonts w:ascii="Times New Roman" w:eastAsia="Times New Roman" w:hAnsi="Times New Roman" w:cs="Times New Roman"/>
          <w:kern w:val="0"/>
          <w:sz w:val="24"/>
          <w:szCs w:val="24"/>
          <w:lang w:eastAsia="en-IN"/>
        </w:rPr>
        <w:lastRenderedPageBreak/>
        <w:t xml:space="preserve">Yao, C.K., Muir, J.G., &amp; Gibson, P.R. (2019). Review article: insights into colonic protein fermentation, its modulation and potential health implications. </w:t>
      </w:r>
      <w:r w:rsidRPr="00B57653">
        <w:rPr>
          <w:rFonts w:ascii="Times New Roman" w:eastAsia="Times New Roman" w:hAnsi="Times New Roman" w:cs="Times New Roman"/>
          <w:i/>
          <w:iCs/>
          <w:kern w:val="0"/>
          <w:sz w:val="24"/>
          <w:szCs w:val="24"/>
          <w:lang w:eastAsia="en-IN"/>
        </w:rPr>
        <w:t>Alimentary Pharmacology &amp; Therapeutics</w:t>
      </w:r>
      <w:r w:rsidRPr="00B57653">
        <w:rPr>
          <w:rFonts w:ascii="Times New Roman" w:eastAsia="Times New Roman" w:hAnsi="Times New Roman" w:cs="Times New Roman"/>
          <w:kern w:val="0"/>
          <w:sz w:val="24"/>
          <w:szCs w:val="24"/>
          <w:lang w:eastAsia="en-IN"/>
        </w:rPr>
        <w:t>, 49(8), 1–18.</w:t>
      </w:r>
    </w:p>
    <w:p w14:paraId="7063FC29" w14:textId="77777777" w:rsidR="00E5212C" w:rsidRDefault="00E5212C" w:rsidP="009D0E2E">
      <w:pPr>
        <w:spacing w:before="120" w:after="120" w:line="360" w:lineRule="auto"/>
        <w:ind w:left="720" w:hanging="720"/>
        <w:jc w:val="both"/>
        <w:rPr>
          <w:rFonts w:ascii="Times New Roman" w:hAnsi="Times New Roman" w:cs="Times New Roman"/>
          <w:sz w:val="24"/>
          <w:szCs w:val="24"/>
        </w:rPr>
      </w:pPr>
      <w:proofErr w:type="spellStart"/>
      <w:r w:rsidRPr="00B57653">
        <w:rPr>
          <w:rFonts w:ascii="Times New Roman" w:hAnsi="Times New Roman" w:cs="Times New Roman"/>
          <w:sz w:val="24"/>
          <w:szCs w:val="24"/>
        </w:rPr>
        <w:t>Yason</w:t>
      </w:r>
      <w:proofErr w:type="spellEnd"/>
      <w:r w:rsidRPr="00B57653">
        <w:rPr>
          <w:rFonts w:ascii="Times New Roman" w:hAnsi="Times New Roman" w:cs="Times New Roman"/>
          <w:sz w:val="24"/>
          <w:szCs w:val="24"/>
        </w:rPr>
        <w:t xml:space="preserve"> CV, Summers BA, Schat KA (1987) Pathogenesis of rotavirus infection in various age groups of chickens and turkeys: pathology. </w:t>
      </w:r>
      <w:r w:rsidRPr="00B57653">
        <w:rPr>
          <w:rFonts w:ascii="Times New Roman" w:hAnsi="Times New Roman" w:cs="Times New Roman"/>
          <w:i/>
          <w:iCs/>
          <w:sz w:val="24"/>
          <w:szCs w:val="24"/>
        </w:rPr>
        <w:t>American Journal of Veterinary Research</w:t>
      </w:r>
      <w:r w:rsidRPr="00B57653">
        <w:rPr>
          <w:rFonts w:ascii="Times New Roman" w:hAnsi="Times New Roman" w:cs="Times New Roman"/>
          <w:sz w:val="24"/>
          <w:szCs w:val="24"/>
        </w:rPr>
        <w:t xml:space="preserve"> 48(6):927–938.</w:t>
      </w:r>
    </w:p>
    <w:p w14:paraId="2E103C1B" w14:textId="77777777" w:rsidR="00CE6AD7" w:rsidRDefault="00E5212C" w:rsidP="00CE6AD7">
      <w:pPr>
        <w:spacing w:before="120" w:after="120" w:line="360" w:lineRule="auto"/>
        <w:ind w:left="720" w:hanging="720"/>
        <w:jc w:val="both"/>
        <w:rPr>
          <w:rFonts w:ascii="Times New Roman" w:eastAsia="Times New Roman" w:hAnsi="Times New Roman" w:cs="Times New Roman"/>
          <w:kern w:val="0"/>
          <w:sz w:val="24"/>
          <w:szCs w:val="24"/>
          <w:lang w:eastAsia="en-IN"/>
        </w:rPr>
      </w:pPr>
      <w:r w:rsidRPr="003343C8">
        <w:rPr>
          <w:rFonts w:ascii="Times New Roman" w:eastAsia="Times New Roman" w:hAnsi="Times New Roman" w:cs="Times New Roman"/>
          <w:kern w:val="0"/>
          <w:sz w:val="24"/>
          <w:szCs w:val="24"/>
          <w:lang w:eastAsia="en-IN"/>
        </w:rPr>
        <w:t xml:space="preserve">Zhou, W., Yan, F., &amp; Wu, J. (2020). Stress and the gut: pathophysiological mechanisms and implications for livestock. </w:t>
      </w:r>
      <w:r w:rsidRPr="003343C8">
        <w:rPr>
          <w:rFonts w:ascii="Times New Roman" w:eastAsia="Times New Roman" w:hAnsi="Times New Roman" w:cs="Times New Roman"/>
          <w:i/>
          <w:iCs/>
          <w:kern w:val="0"/>
          <w:sz w:val="24"/>
          <w:szCs w:val="24"/>
          <w:lang w:eastAsia="en-IN"/>
        </w:rPr>
        <w:t>Animal Nutrition</w:t>
      </w:r>
      <w:r w:rsidRPr="003343C8">
        <w:rPr>
          <w:rFonts w:ascii="Times New Roman" w:eastAsia="Times New Roman" w:hAnsi="Times New Roman" w:cs="Times New Roman"/>
          <w:kern w:val="0"/>
          <w:sz w:val="24"/>
          <w:szCs w:val="24"/>
          <w:lang w:eastAsia="en-IN"/>
        </w:rPr>
        <w:t>, 6(4), 389–398.</w:t>
      </w:r>
    </w:p>
    <w:p w14:paraId="3AD1DEEF" w14:textId="77777777" w:rsidR="00CE6AD7" w:rsidRPr="00CE6AD7" w:rsidRDefault="00CE6AD7" w:rsidP="00CE6AD7">
      <w:pPr>
        <w:spacing w:before="120" w:after="120" w:line="360" w:lineRule="auto"/>
        <w:ind w:left="720" w:hanging="720"/>
        <w:jc w:val="both"/>
        <w:rPr>
          <w:rFonts w:ascii="Times New Roman" w:hAnsi="Times New Roman" w:cs="Times New Roman"/>
          <w:sz w:val="24"/>
          <w:szCs w:val="24"/>
        </w:rPr>
      </w:pPr>
      <w:r w:rsidRPr="00CE6AD7">
        <w:rPr>
          <w:rFonts w:ascii="Times New Roman" w:hAnsi="Times New Roman" w:cs="Times New Roman"/>
          <w:sz w:val="24"/>
          <w:szCs w:val="24"/>
          <w:lang w:val="nl-BE"/>
        </w:rPr>
        <w:t xml:space="preserve">Ducatelle, R., Goossens, E., De Meyer, F., Eeckhaut, V., Antonissen, G., Haesebrouck, F., &amp; Van Immerseel, F. (2018). </w:t>
      </w:r>
      <w:r w:rsidRPr="00CE6AD7">
        <w:rPr>
          <w:rFonts w:ascii="Times New Roman" w:hAnsi="Times New Roman" w:cs="Times New Roman"/>
          <w:sz w:val="24"/>
          <w:szCs w:val="24"/>
        </w:rPr>
        <w:t>Biomarkers for monitoring intestinal health in poultry: present status and future perspectives. </w:t>
      </w:r>
      <w:r w:rsidRPr="00CE6AD7">
        <w:rPr>
          <w:rFonts w:ascii="Times New Roman" w:hAnsi="Times New Roman" w:cs="Times New Roman"/>
          <w:i/>
          <w:iCs/>
          <w:sz w:val="24"/>
          <w:szCs w:val="24"/>
        </w:rPr>
        <w:t>Veterinary research</w:t>
      </w:r>
      <w:r w:rsidRPr="00CE6AD7">
        <w:rPr>
          <w:rFonts w:ascii="Times New Roman" w:hAnsi="Times New Roman" w:cs="Times New Roman"/>
          <w:sz w:val="24"/>
          <w:szCs w:val="24"/>
        </w:rPr>
        <w:t>, </w:t>
      </w:r>
      <w:r w:rsidRPr="00CE6AD7">
        <w:rPr>
          <w:rFonts w:ascii="Times New Roman" w:hAnsi="Times New Roman" w:cs="Times New Roman"/>
          <w:i/>
          <w:iCs/>
          <w:sz w:val="24"/>
          <w:szCs w:val="24"/>
        </w:rPr>
        <w:t>49</w:t>
      </w:r>
      <w:r w:rsidRPr="00CE6AD7">
        <w:rPr>
          <w:rFonts w:ascii="Times New Roman" w:hAnsi="Times New Roman" w:cs="Times New Roman"/>
          <w:sz w:val="24"/>
          <w:szCs w:val="24"/>
        </w:rPr>
        <w:t xml:space="preserve">(1), 43. </w:t>
      </w:r>
      <w:hyperlink r:id="rId9" w:history="1">
        <w:r w:rsidRPr="00CE6AD7">
          <w:rPr>
            <w:rStyle w:val="Hyperlink"/>
            <w:rFonts w:ascii="Times New Roman" w:hAnsi="Times New Roman" w:cs="Times New Roman"/>
            <w:sz w:val="24"/>
            <w:szCs w:val="24"/>
          </w:rPr>
          <w:t>https://link.springer.com/article/10.1186/s13567-018-0538-6</w:t>
        </w:r>
      </w:hyperlink>
    </w:p>
    <w:p w14:paraId="361A6525" w14:textId="2575FF5A" w:rsidR="00CE6AD7" w:rsidRPr="00CE6AD7" w:rsidRDefault="00CE6AD7" w:rsidP="00CE6AD7">
      <w:pPr>
        <w:spacing w:before="120" w:after="120" w:line="360" w:lineRule="auto"/>
        <w:ind w:left="720" w:hanging="720"/>
        <w:jc w:val="both"/>
        <w:rPr>
          <w:rFonts w:ascii="Times New Roman" w:hAnsi="Times New Roman" w:cs="Times New Roman"/>
          <w:sz w:val="24"/>
          <w:szCs w:val="24"/>
        </w:rPr>
      </w:pPr>
      <w:proofErr w:type="spellStart"/>
      <w:r w:rsidRPr="00CE6AD7">
        <w:rPr>
          <w:rFonts w:ascii="Times New Roman" w:hAnsi="Times New Roman" w:cs="Times New Roman"/>
          <w:sz w:val="24"/>
          <w:szCs w:val="24"/>
        </w:rPr>
        <w:t>Sugiharto</w:t>
      </w:r>
      <w:proofErr w:type="spellEnd"/>
      <w:r w:rsidRPr="00CE6AD7">
        <w:rPr>
          <w:rFonts w:ascii="Times New Roman" w:hAnsi="Times New Roman" w:cs="Times New Roman"/>
          <w:sz w:val="24"/>
          <w:szCs w:val="24"/>
        </w:rPr>
        <w:t>, S. (2016). Role of nutraceuticals in gut health and growth performance of poultry. </w:t>
      </w:r>
      <w:r w:rsidRPr="00CE6AD7">
        <w:rPr>
          <w:rFonts w:ascii="Times New Roman" w:hAnsi="Times New Roman" w:cs="Times New Roman"/>
          <w:i/>
          <w:iCs/>
          <w:sz w:val="24"/>
          <w:szCs w:val="24"/>
        </w:rPr>
        <w:t>Journal of the Saudi Society of Agricultural Sciences</w:t>
      </w:r>
      <w:r w:rsidRPr="00CE6AD7">
        <w:rPr>
          <w:rFonts w:ascii="Times New Roman" w:hAnsi="Times New Roman" w:cs="Times New Roman"/>
          <w:sz w:val="24"/>
          <w:szCs w:val="24"/>
        </w:rPr>
        <w:t>, </w:t>
      </w:r>
      <w:r w:rsidRPr="00CE6AD7">
        <w:rPr>
          <w:rFonts w:ascii="Times New Roman" w:hAnsi="Times New Roman" w:cs="Times New Roman"/>
          <w:i/>
          <w:iCs/>
          <w:sz w:val="24"/>
          <w:szCs w:val="24"/>
        </w:rPr>
        <w:t>15</w:t>
      </w:r>
      <w:r w:rsidRPr="00CE6AD7">
        <w:rPr>
          <w:rFonts w:ascii="Times New Roman" w:hAnsi="Times New Roman" w:cs="Times New Roman"/>
          <w:sz w:val="24"/>
          <w:szCs w:val="24"/>
        </w:rPr>
        <w:t xml:space="preserve">(2), 99-111. </w:t>
      </w:r>
      <w:hyperlink r:id="rId10" w:history="1">
        <w:r w:rsidRPr="00CE6AD7">
          <w:rPr>
            <w:rStyle w:val="Hyperlink"/>
            <w:rFonts w:ascii="Times New Roman" w:hAnsi="Times New Roman" w:cs="Times New Roman"/>
            <w:sz w:val="24"/>
            <w:szCs w:val="24"/>
          </w:rPr>
          <w:t>https://www.sciencedirect.com/science/article/pii/S1658077X1400037X</w:t>
        </w:r>
      </w:hyperlink>
    </w:p>
    <w:p w14:paraId="01C92838" w14:textId="77777777" w:rsidR="00CE6AD7" w:rsidRPr="00CE6AD7" w:rsidRDefault="00CE6AD7" w:rsidP="009D0E2E">
      <w:pPr>
        <w:spacing w:before="120" w:after="120" w:line="360" w:lineRule="auto"/>
        <w:ind w:left="720" w:hanging="720"/>
        <w:jc w:val="both"/>
        <w:rPr>
          <w:rFonts w:ascii="Times New Roman" w:eastAsia="Times New Roman" w:hAnsi="Times New Roman" w:cs="Times New Roman"/>
          <w:kern w:val="0"/>
          <w:sz w:val="24"/>
          <w:szCs w:val="24"/>
          <w:lang w:eastAsia="en-IN"/>
        </w:rPr>
      </w:pPr>
    </w:p>
    <w:p w14:paraId="7063FC2B" w14:textId="77777777" w:rsidR="00DA727A" w:rsidRPr="00B57653" w:rsidRDefault="00DA727A" w:rsidP="009D0E2E">
      <w:pPr>
        <w:spacing w:line="360" w:lineRule="auto"/>
        <w:ind w:left="720"/>
        <w:jc w:val="both"/>
        <w:rPr>
          <w:rFonts w:ascii="Times New Roman" w:hAnsi="Times New Roman" w:cs="Times New Roman"/>
          <w:sz w:val="24"/>
          <w:szCs w:val="24"/>
        </w:rPr>
      </w:pPr>
    </w:p>
    <w:p w14:paraId="7063FC2C" w14:textId="77777777" w:rsidR="00640FD8" w:rsidRPr="00B57653" w:rsidRDefault="00640FD8" w:rsidP="009D0E2E">
      <w:pPr>
        <w:spacing w:line="360" w:lineRule="auto"/>
        <w:jc w:val="both"/>
        <w:rPr>
          <w:rFonts w:ascii="Times New Roman" w:hAnsi="Times New Roman" w:cs="Times New Roman"/>
          <w:sz w:val="24"/>
          <w:szCs w:val="24"/>
        </w:rPr>
      </w:pPr>
    </w:p>
    <w:p w14:paraId="7063FC2D" w14:textId="77777777" w:rsidR="000E5292" w:rsidRPr="00B57653" w:rsidRDefault="000E5292" w:rsidP="009D0E2E">
      <w:pPr>
        <w:spacing w:line="360" w:lineRule="auto"/>
        <w:jc w:val="both"/>
        <w:rPr>
          <w:rFonts w:ascii="Times New Roman" w:hAnsi="Times New Roman" w:cs="Times New Roman"/>
          <w:sz w:val="24"/>
          <w:szCs w:val="24"/>
        </w:rPr>
      </w:pPr>
    </w:p>
    <w:p w14:paraId="7063FC2E" w14:textId="77777777" w:rsidR="006E5683" w:rsidRPr="00B57653" w:rsidRDefault="006E5683" w:rsidP="009D0E2E">
      <w:pPr>
        <w:spacing w:line="360" w:lineRule="auto"/>
        <w:jc w:val="both"/>
        <w:rPr>
          <w:rFonts w:ascii="Times New Roman" w:hAnsi="Times New Roman" w:cs="Times New Roman"/>
          <w:sz w:val="24"/>
          <w:szCs w:val="24"/>
        </w:rPr>
      </w:pPr>
    </w:p>
    <w:sectPr w:rsidR="006E5683" w:rsidRPr="00B57653" w:rsidSect="00176095">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FE3EB" w14:textId="77777777" w:rsidR="00785188" w:rsidRDefault="00785188" w:rsidP="00D64F3D">
      <w:pPr>
        <w:spacing w:after="0" w:line="240" w:lineRule="auto"/>
      </w:pPr>
      <w:r>
        <w:separator/>
      </w:r>
    </w:p>
  </w:endnote>
  <w:endnote w:type="continuationSeparator" w:id="0">
    <w:p w14:paraId="4B3DB2F9" w14:textId="77777777" w:rsidR="00785188" w:rsidRDefault="00785188" w:rsidP="00D64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D20FE" w14:textId="77777777" w:rsidR="00B40BD5" w:rsidRDefault="00B40B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5445337"/>
      <w:docPartObj>
        <w:docPartGallery w:val="Page Numbers (Bottom of Page)"/>
        <w:docPartUnique/>
      </w:docPartObj>
    </w:sdtPr>
    <w:sdtEndPr>
      <w:rPr>
        <w:noProof/>
      </w:rPr>
    </w:sdtEndPr>
    <w:sdtContent>
      <w:p w14:paraId="00865751" w14:textId="20A09FC5" w:rsidR="00D64F3D" w:rsidRDefault="00D64F3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4452F0" w14:textId="77777777" w:rsidR="00D64F3D" w:rsidRDefault="00D64F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0B528" w14:textId="77777777" w:rsidR="00B40BD5" w:rsidRDefault="00B40B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89BA6" w14:textId="77777777" w:rsidR="00785188" w:rsidRDefault="00785188" w:rsidP="00D64F3D">
      <w:pPr>
        <w:spacing w:after="0" w:line="240" w:lineRule="auto"/>
      </w:pPr>
      <w:r>
        <w:separator/>
      </w:r>
    </w:p>
  </w:footnote>
  <w:footnote w:type="continuationSeparator" w:id="0">
    <w:p w14:paraId="3B32D4DE" w14:textId="77777777" w:rsidR="00785188" w:rsidRDefault="00785188" w:rsidP="00D64F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89CBD" w14:textId="45492F46" w:rsidR="00B40BD5" w:rsidRDefault="00E06B54">
    <w:pPr>
      <w:pStyle w:val="Header"/>
    </w:pPr>
    <w:r>
      <w:rPr>
        <w:noProof/>
      </w:rPr>
      <w:pict w14:anchorId="3F5BF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93603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D6FD8" w14:textId="7FAD9BC0" w:rsidR="00B40BD5" w:rsidRDefault="00E06B54">
    <w:pPr>
      <w:pStyle w:val="Header"/>
    </w:pPr>
    <w:r>
      <w:rPr>
        <w:noProof/>
      </w:rPr>
      <w:pict w14:anchorId="0AC697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93603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ECBBE" w14:textId="5456D2C7" w:rsidR="00B40BD5" w:rsidRDefault="00E06B54">
    <w:pPr>
      <w:pStyle w:val="Header"/>
    </w:pPr>
    <w:r>
      <w:rPr>
        <w:noProof/>
      </w:rPr>
      <w:pict w14:anchorId="205412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93603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1A2E"/>
    <w:multiLevelType w:val="multilevel"/>
    <w:tmpl w:val="00D42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225DF"/>
    <w:multiLevelType w:val="hybridMultilevel"/>
    <w:tmpl w:val="FD543C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6CE3DE6"/>
    <w:multiLevelType w:val="multilevel"/>
    <w:tmpl w:val="CF50E4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C25039"/>
    <w:multiLevelType w:val="multilevel"/>
    <w:tmpl w:val="CDEEA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680467"/>
    <w:multiLevelType w:val="multilevel"/>
    <w:tmpl w:val="416C3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3440E0"/>
    <w:multiLevelType w:val="hybridMultilevel"/>
    <w:tmpl w:val="192AA8EA"/>
    <w:lvl w:ilvl="0" w:tplc="F14CA136">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5A33B89"/>
    <w:multiLevelType w:val="multilevel"/>
    <w:tmpl w:val="7E10B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387F90"/>
    <w:multiLevelType w:val="multilevel"/>
    <w:tmpl w:val="0A084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F52A25"/>
    <w:multiLevelType w:val="multilevel"/>
    <w:tmpl w:val="2F1EE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B07E46"/>
    <w:multiLevelType w:val="multilevel"/>
    <w:tmpl w:val="33C4576E"/>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26D91DBB"/>
    <w:multiLevelType w:val="multilevel"/>
    <w:tmpl w:val="8BF25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2C556D"/>
    <w:multiLevelType w:val="hybridMultilevel"/>
    <w:tmpl w:val="CC928C8A"/>
    <w:lvl w:ilvl="0" w:tplc="B70CEF1C">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1300D99"/>
    <w:multiLevelType w:val="multilevel"/>
    <w:tmpl w:val="C3CC0D54"/>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24338A4"/>
    <w:multiLevelType w:val="multilevel"/>
    <w:tmpl w:val="33408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050DA6"/>
    <w:multiLevelType w:val="multilevel"/>
    <w:tmpl w:val="92F64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804B6D"/>
    <w:multiLevelType w:val="multilevel"/>
    <w:tmpl w:val="CF58F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2C729A"/>
    <w:multiLevelType w:val="multilevel"/>
    <w:tmpl w:val="A5C64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3F4559"/>
    <w:multiLevelType w:val="multilevel"/>
    <w:tmpl w:val="719E2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550811"/>
    <w:multiLevelType w:val="multilevel"/>
    <w:tmpl w:val="27CE67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67310D"/>
    <w:multiLevelType w:val="multilevel"/>
    <w:tmpl w:val="F8020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31731F"/>
    <w:multiLevelType w:val="multilevel"/>
    <w:tmpl w:val="80EC7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846439"/>
    <w:multiLevelType w:val="multilevel"/>
    <w:tmpl w:val="7242D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291E7A"/>
    <w:multiLevelType w:val="multilevel"/>
    <w:tmpl w:val="CC4AC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6E7B6B"/>
    <w:multiLevelType w:val="multilevel"/>
    <w:tmpl w:val="37D45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2D7FCB"/>
    <w:multiLevelType w:val="multilevel"/>
    <w:tmpl w:val="D662F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E62552"/>
    <w:multiLevelType w:val="multilevel"/>
    <w:tmpl w:val="E0F49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506A81"/>
    <w:multiLevelType w:val="hybridMultilevel"/>
    <w:tmpl w:val="54AA6C9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5CBC6C31"/>
    <w:multiLevelType w:val="multilevel"/>
    <w:tmpl w:val="CEE84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E85DB2"/>
    <w:multiLevelType w:val="multilevel"/>
    <w:tmpl w:val="7ED2D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2C4687"/>
    <w:multiLevelType w:val="multilevel"/>
    <w:tmpl w:val="FC9C7C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34240F"/>
    <w:multiLevelType w:val="multilevel"/>
    <w:tmpl w:val="FE42E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5039D2"/>
    <w:multiLevelType w:val="multilevel"/>
    <w:tmpl w:val="DF601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A13468"/>
    <w:multiLevelType w:val="multilevel"/>
    <w:tmpl w:val="2F72A228"/>
    <w:lvl w:ilvl="0">
      <w:start w:val="2"/>
      <w:numFmt w:val="decimal"/>
      <w:lvlText w:val="%1"/>
      <w:lvlJc w:val="left"/>
      <w:pPr>
        <w:ind w:left="360" w:hanging="360"/>
      </w:pPr>
      <w:rPr>
        <w:rFonts w:hint="default"/>
        <w:b/>
        <w:sz w:val="22"/>
      </w:rPr>
    </w:lvl>
    <w:lvl w:ilvl="1">
      <w:start w:val="5"/>
      <w:numFmt w:val="decimal"/>
      <w:lvlText w:val="%1.%2"/>
      <w:lvlJc w:val="left"/>
      <w:pPr>
        <w:ind w:left="360" w:hanging="360"/>
      </w:pPr>
      <w:rPr>
        <w:rFonts w:hint="default"/>
        <w:b/>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33" w15:restartNumberingAfterBreak="0">
    <w:nsid w:val="6C1D6E10"/>
    <w:multiLevelType w:val="multilevel"/>
    <w:tmpl w:val="72D02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5A4DE7"/>
    <w:multiLevelType w:val="multilevel"/>
    <w:tmpl w:val="AEAEC70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02C0FD1"/>
    <w:multiLevelType w:val="multilevel"/>
    <w:tmpl w:val="09D6D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F04AFE"/>
    <w:multiLevelType w:val="multilevel"/>
    <w:tmpl w:val="661A6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4A791F"/>
    <w:multiLevelType w:val="multilevel"/>
    <w:tmpl w:val="C9F0A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5C418B"/>
    <w:multiLevelType w:val="multilevel"/>
    <w:tmpl w:val="86D8A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BB567D"/>
    <w:multiLevelType w:val="multilevel"/>
    <w:tmpl w:val="6FEE9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E75518"/>
    <w:multiLevelType w:val="multilevel"/>
    <w:tmpl w:val="A87AC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6976BF"/>
    <w:multiLevelType w:val="multilevel"/>
    <w:tmpl w:val="830A9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204D8E"/>
    <w:multiLevelType w:val="multilevel"/>
    <w:tmpl w:val="ECF8A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CE68A5"/>
    <w:multiLevelType w:val="multilevel"/>
    <w:tmpl w:val="AF5AB16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C6B564E"/>
    <w:multiLevelType w:val="multilevel"/>
    <w:tmpl w:val="3538EE42"/>
    <w:lvl w:ilvl="0">
      <w:start w:val="3"/>
      <w:numFmt w:val="decimal"/>
      <w:lvlText w:val="%1"/>
      <w:lvlJc w:val="left"/>
      <w:pPr>
        <w:ind w:left="360" w:hanging="360"/>
      </w:pPr>
      <w:rPr>
        <w:rFonts w:hint="default"/>
        <w:b/>
        <w:sz w:val="22"/>
      </w:rPr>
    </w:lvl>
    <w:lvl w:ilvl="1">
      <w:start w:val="3"/>
      <w:numFmt w:val="decimal"/>
      <w:lvlText w:val="%1.%2"/>
      <w:lvlJc w:val="left"/>
      <w:pPr>
        <w:ind w:left="360" w:hanging="360"/>
      </w:pPr>
      <w:rPr>
        <w:rFonts w:hint="default"/>
        <w:b/>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45" w15:restartNumberingAfterBreak="0">
    <w:nsid w:val="7E0E40B1"/>
    <w:multiLevelType w:val="multilevel"/>
    <w:tmpl w:val="323E0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C81747"/>
    <w:multiLevelType w:val="multilevel"/>
    <w:tmpl w:val="54CED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5061580">
    <w:abstractNumId w:val="11"/>
  </w:num>
  <w:num w:numId="2" w16cid:durableId="620303298">
    <w:abstractNumId w:val="26"/>
  </w:num>
  <w:num w:numId="3" w16cid:durableId="1359425390">
    <w:abstractNumId w:val="32"/>
  </w:num>
  <w:num w:numId="4" w16cid:durableId="495075483">
    <w:abstractNumId w:val="44"/>
  </w:num>
  <w:num w:numId="5" w16cid:durableId="751664561">
    <w:abstractNumId w:val="37"/>
  </w:num>
  <w:num w:numId="6" w16cid:durableId="1147940417">
    <w:abstractNumId w:val="8"/>
  </w:num>
  <w:num w:numId="7" w16cid:durableId="810052793">
    <w:abstractNumId w:val="17"/>
  </w:num>
  <w:num w:numId="8" w16cid:durableId="2101170822">
    <w:abstractNumId w:val="19"/>
  </w:num>
  <w:num w:numId="9" w16cid:durableId="2068532134">
    <w:abstractNumId w:val="28"/>
  </w:num>
  <w:num w:numId="10" w16cid:durableId="654332732">
    <w:abstractNumId w:val="10"/>
  </w:num>
  <w:num w:numId="11" w16cid:durableId="743188238">
    <w:abstractNumId w:val="7"/>
  </w:num>
  <w:num w:numId="12" w16cid:durableId="1548906265">
    <w:abstractNumId w:val="42"/>
  </w:num>
  <w:num w:numId="13" w16cid:durableId="1527794299">
    <w:abstractNumId w:val="30"/>
  </w:num>
  <w:num w:numId="14" w16cid:durableId="594021085">
    <w:abstractNumId w:val="33"/>
  </w:num>
  <w:num w:numId="15" w16cid:durableId="1823353733">
    <w:abstractNumId w:val="13"/>
  </w:num>
  <w:num w:numId="16" w16cid:durableId="984358498">
    <w:abstractNumId w:val="24"/>
  </w:num>
  <w:num w:numId="17" w16cid:durableId="557402920">
    <w:abstractNumId w:val="15"/>
  </w:num>
  <w:num w:numId="18" w16cid:durableId="1917586967">
    <w:abstractNumId w:val="40"/>
  </w:num>
  <w:num w:numId="19" w16cid:durableId="1794013656">
    <w:abstractNumId w:val="35"/>
  </w:num>
  <w:num w:numId="20" w16cid:durableId="614873082">
    <w:abstractNumId w:val="39"/>
  </w:num>
  <w:num w:numId="21" w16cid:durableId="101001446">
    <w:abstractNumId w:val="20"/>
  </w:num>
  <w:num w:numId="22" w16cid:durableId="2091853583">
    <w:abstractNumId w:val="41"/>
  </w:num>
  <w:num w:numId="23" w16cid:durableId="188110636">
    <w:abstractNumId w:val="38"/>
  </w:num>
  <w:num w:numId="24" w16cid:durableId="2044011914">
    <w:abstractNumId w:val="14"/>
  </w:num>
  <w:num w:numId="25" w16cid:durableId="1629387762">
    <w:abstractNumId w:val="3"/>
  </w:num>
  <w:num w:numId="26" w16cid:durableId="1862745818">
    <w:abstractNumId w:val="16"/>
  </w:num>
  <w:num w:numId="27" w16cid:durableId="2004969403">
    <w:abstractNumId w:val="22"/>
  </w:num>
  <w:num w:numId="28" w16cid:durableId="981807701">
    <w:abstractNumId w:val="6"/>
  </w:num>
  <w:num w:numId="29" w16cid:durableId="87890508">
    <w:abstractNumId w:val="36"/>
  </w:num>
  <w:num w:numId="30" w16cid:durableId="954872166">
    <w:abstractNumId w:val="25"/>
  </w:num>
  <w:num w:numId="31" w16cid:durableId="972517396">
    <w:abstractNumId w:val="31"/>
  </w:num>
  <w:num w:numId="32" w16cid:durableId="120197427">
    <w:abstractNumId w:val="18"/>
  </w:num>
  <w:num w:numId="33" w16cid:durableId="1161846942">
    <w:abstractNumId w:val="46"/>
  </w:num>
  <w:num w:numId="34" w16cid:durableId="121726873">
    <w:abstractNumId w:val="2"/>
  </w:num>
  <w:num w:numId="35" w16cid:durableId="846866905">
    <w:abstractNumId w:val="21"/>
  </w:num>
  <w:num w:numId="36" w16cid:durableId="1892156578">
    <w:abstractNumId w:val="29"/>
  </w:num>
  <w:num w:numId="37" w16cid:durableId="88159070">
    <w:abstractNumId w:val="27"/>
  </w:num>
  <w:num w:numId="38" w16cid:durableId="1375085069">
    <w:abstractNumId w:val="0"/>
  </w:num>
  <w:num w:numId="39" w16cid:durableId="1132020627">
    <w:abstractNumId w:val="45"/>
  </w:num>
  <w:num w:numId="40" w16cid:durableId="1362435402">
    <w:abstractNumId w:val="4"/>
  </w:num>
  <w:num w:numId="41" w16cid:durableId="779642782">
    <w:abstractNumId w:val="23"/>
  </w:num>
  <w:num w:numId="42" w16cid:durableId="1465194143">
    <w:abstractNumId w:val="5"/>
  </w:num>
  <w:num w:numId="43" w16cid:durableId="644509925">
    <w:abstractNumId w:val="12"/>
  </w:num>
  <w:num w:numId="44" w16cid:durableId="594873003">
    <w:abstractNumId w:val="43"/>
  </w:num>
  <w:num w:numId="45" w16cid:durableId="473376211">
    <w:abstractNumId w:val="34"/>
  </w:num>
  <w:num w:numId="46" w16cid:durableId="682784233">
    <w:abstractNumId w:val="9"/>
  </w:num>
  <w:num w:numId="47" w16cid:durableId="235581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K1MDEzM7Q0tzAwNDJQ0lEKTi0uzszPAykwrAUAJnG9fiwAAAA="/>
  </w:docVars>
  <w:rsids>
    <w:rsidRoot w:val="00E46351"/>
    <w:rsid w:val="000101E3"/>
    <w:rsid w:val="00014870"/>
    <w:rsid w:val="0001609E"/>
    <w:rsid w:val="00022938"/>
    <w:rsid w:val="00034498"/>
    <w:rsid w:val="0003475F"/>
    <w:rsid w:val="0004138D"/>
    <w:rsid w:val="00043F8D"/>
    <w:rsid w:val="000546F7"/>
    <w:rsid w:val="00067059"/>
    <w:rsid w:val="000740BC"/>
    <w:rsid w:val="00091ABB"/>
    <w:rsid w:val="000A355B"/>
    <w:rsid w:val="000A67CF"/>
    <w:rsid w:val="000B1E62"/>
    <w:rsid w:val="000B3883"/>
    <w:rsid w:val="000B79A0"/>
    <w:rsid w:val="000C283E"/>
    <w:rsid w:val="000C6062"/>
    <w:rsid w:val="000E056D"/>
    <w:rsid w:val="000E5292"/>
    <w:rsid w:val="000E52F5"/>
    <w:rsid w:val="000F775D"/>
    <w:rsid w:val="0011036F"/>
    <w:rsid w:val="00122D97"/>
    <w:rsid w:val="00132C5E"/>
    <w:rsid w:val="00137007"/>
    <w:rsid w:val="00151FC6"/>
    <w:rsid w:val="00163F0D"/>
    <w:rsid w:val="00176095"/>
    <w:rsid w:val="00195C7A"/>
    <w:rsid w:val="001A2839"/>
    <w:rsid w:val="001B2E80"/>
    <w:rsid w:val="001B433B"/>
    <w:rsid w:val="001C0FB1"/>
    <w:rsid w:val="001D4512"/>
    <w:rsid w:val="001D7387"/>
    <w:rsid w:val="001E00E7"/>
    <w:rsid w:val="001E2D36"/>
    <w:rsid w:val="001F761A"/>
    <w:rsid w:val="0020254E"/>
    <w:rsid w:val="00216E2A"/>
    <w:rsid w:val="00223752"/>
    <w:rsid w:val="0022394E"/>
    <w:rsid w:val="00232C46"/>
    <w:rsid w:val="00243AB3"/>
    <w:rsid w:val="00253C11"/>
    <w:rsid w:val="00256263"/>
    <w:rsid w:val="00257B91"/>
    <w:rsid w:val="00264224"/>
    <w:rsid w:val="00266D78"/>
    <w:rsid w:val="00277C72"/>
    <w:rsid w:val="002A53D3"/>
    <w:rsid w:val="002A5F3B"/>
    <w:rsid w:val="002B077A"/>
    <w:rsid w:val="002B6D86"/>
    <w:rsid w:val="002C5966"/>
    <w:rsid w:val="002C6C5C"/>
    <w:rsid w:val="002D216A"/>
    <w:rsid w:val="002E4E2A"/>
    <w:rsid w:val="002E705E"/>
    <w:rsid w:val="002F5975"/>
    <w:rsid w:val="00315507"/>
    <w:rsid w:val="003232D2"/>
    <w:rsid w:val="00325226"/>
    <w:rsid w:val="00327D15"/>
    <w:rsid w:val="003343C8"/>
    <w:rsid w:val="00335371"/>
    <w:rsid w:val="00342B58"/>
    <w:rsid w:val="00345266"/>
    <w:rsid w:val="00345E17"/>
    <w:rsid w:val="00351BB8"/>
    <w:rsid w:val="00357292"/>
    <w:rsid w:val="00361104"/>
    <w:rsid w:val="003732D8"/>
    <w:rsid w:val="00373E3C"/>
    <w:rsid w:val="00376600"/>
    <w:rsid w:val="0037786E"/>
    <w:rsid w:val="00377C4A"/>
    <w:rsid w:val="003904F8"/>
    <w:rsid w:val="00390942"/>
    <w:rsid w:val="00391036"/>
    <w:rsid w:val="00391520"/>
    <w:rsid w:val="003A2FB2"/>
    <w:rsid w:val="003A6331"/>
    <w:rsid w:val="003B76B8"/>
    <w:rsid w:val="003C5361"/>
    <w:rsid w:val="003C7D6D"/>
    <w:rsid w:val="003F14A2"/>
    <w:rsid w:val="003F2CAF"/>
    <w:rsid w:val="003F52C0"/>
    <w:rsid w:val="003F6EF4"/>
    <w:rsid w:val="0040081C"/>
    <w:rsid w:val="00417B08"/>
    <w:rsid w:val="00423E93"/>
    <w:rsid w:val="00433D6B"/>
    <w:rsid w:val="004345BE"/>
    <w:rsid w:val="00455133"/>
    <w:rsid w:val="00471286"/>
    <w:rsid w:val="00485D3C"/>
    <w:rsid w:val="00490038"/>
    <w:rsid w:val="00497318"/>
    <w:rsid w:val="004A2E48"/>
    <w:rsid w:val="004A35D8"/>
    <w:rsid w:val="004B56E9"/>
    <w:rsid w:val="004C2455"/>
    <w:rsid w:val="004C6575"/>
    <w:rsid w:val="004D7D2F"/>
    <w:rsid w:val="004E3046"/>
    <w:rsid w:val="004E3E47"/>
    <w:rsid w:val="004E533A"/>
    <w:rsid w:val="004E6DE4"/>
    <w:rsid w:val="004F5C10"/>
    <w:rsid w:val="00502A0A"/>
    <w:rsid w:val="00504966"/>
    <w:rsid w:val="00512761"/>
    <w:rsid w:val="005324B0"/>
    <w:rsid w:val="00532A7B"/>
    <w:rsid w:val="005403B0"/>
    <w:rsid w:val="0054144E"/>
    <w:rsid w:val="0054400B"/>
    <w:rsid w:val="00561BE9"/>
    <w:rsid w:val="00563A93"/>
    <w:rsid w:val="0057237D"/>
    <w:rsid w:val="0057617C"/>
    <w:rsid w:val="00576858"/>
    <w:rsid w:val="0058166F"/>
    <w:rsid w:val="005843B7"/>
    <w:rsid w:val="00595EE8"/>
    <w:rsid w:val="00596962"/>
    <w:rsid w:val="005A3BA3"/>
    <w:rsid w:val="005C1E0F"/>
    <w:rsid w:val="005C6FD9"/>
    <w:rsid w:val="005E5DB2"/>
    <w:rsid w:val="00605360"/>
    <w:rsid w:val="00610653"/>
    <w:rsid w:val="00611942"/>
    <w:rsid w:val="00611AD1"/>
    <w:rsid w:val="00617747"/>
    <w:rsid w:val="006206AF"/>
    <w:rsid w:val="006313A5"/>
    <w:rsid w:val="00634710"/>
    <w:rsid w:val="00635A6D"/>
    <w:rsid w:val="00640FD8"/>
    <w:rsid w:val="00651E80"/>
    <w:rsid w:val="00684510"/>
    <w:rsid w:val="00693258"/>
    <w:rsid w:val="006A20EF"/>
    <w:rsid w:val="006A7582"/>
    <w:rsid w:val="006B648F"/>
    <w:rsid w:val="006C2E76"/>
    <w:rsid w:val="006D0766"/>
    <w:rsid w:val="006D541B"/>
    <w:rsid w:val="006D7F84"/>
    <w:rsid w:val="006E5683"/>
    <w:rsid w:val="006E5DC9"/>
    <w:rsid w:val="006F311C"/>
    <w:rsid w:val="00716AB4"/>
    <w:rsid w:val="00726C9D"/>
    <w:rsid w:val="00727CAE"/>
    <w:rsid w:val="007315D4"/>
    <w:rsid w:val="00733A17"/>
    <w:rsid w:val="007354B3"/>
    <w:rsid w:val="00736A84"/>
    <w:rsid w:val="00741287"/>
    <w:rsid w:val="0075494B"/>
    <w:rsid w:val="007615A9"/>
    <w:rsid w:val="00762872"/>
    <w:rsid w:val="00762972"/>
    <w:rsid w:val="0076488C"/>
    <w:rsid w:val="007673A5"/>
    <w:rsid w:val="00767681"/>
    <w:rsid w:val="007758F9"/>
    <w:rsid w:val="0077628B"/>
    <w:rsid w:val="00783CEA"/>
    <w:rsid w:val="00785188"/>
    <w:rsid w:val="007936B3"/>
    <w:rsid w:val="00795F50"/>
    <w:rsid w:val="007966E9"/>
    <w:rsid w:val="007B18B7"/>
    <w:rsid w:val="007B2442"/>
    <w:rsid w:val="007B3A50"/>
    <w:rsid w:val="007C4355"/>
    <w:rsid w:val="007D07F0"/>
    <w:rsid w:val="007D6668"/>
    <w:rsid w:val="007E0AA6"/>
    <w:rsid w:val="007E3FE1"/>
    <w:rsid w:val="007F6BA1"/>
    <w:rsid w:val="00800E04"/>
    <w:rsid w:val="008044F6"/>
    <w:rsid w:val="00810A9F"/>
    <w:rsid w:val="0082259E"/>
    <w:rsid w:val="00826E5B"/>
    <w:rsid w:val="00856E6C"/>
    <w:rsid w:val="00864885"/>
    <w:rsid w:val="008A0048"/>
    <w:rsid w:val="008A335C"/>
    <w:rsid w:val="008A3EB9"/>
    <w:rsid w:val="008C0784"/>
    <w:rsid w:val="008E04C4"/>
    <w:rsid w:val="008E42EE"/>
    <w:rsid w:val="008E533F"/>
    <w:rsid w:val="008F3892"/>
    <w:rsid w:val="009116F4"/>
    <w:rsid w:val="00911DA2"/>
    <w:rsid w:val="009133ED"/>
    <w:rsid w:val="00921F12"/>
    <w:rsid w:val="00945004"/>
    <w:rsid w:val="00953E2F"/>
    <w:rsid w:val="00954918"/>
    <w:rsid w:val="00962C4F"/>
    <w:rsid w:val="009666EE"/>
    <w:rsid w:val="009775E4"/>
    <w:rsid w:val="00987961"/>
    <w:rsid w:val="00987ED6"/>
    <w:rsid w:val="00991D7E"/>
    <w:rsid w:val="00997FD7"/>
    <w:rsid w:val="009A15E9"/>
    <w:rsid w:val="009A5458"/>
    <w:rsid w:val="009B651C"/>
    <w:rsid w:val="009C072D"/>
    <w:rsid w:val="009C41C5"/>
    <w:rsid w:val="009D0150"/>
    <w:rsid w:val="009D0E2E"/>
    <w:rsid w:val="009F21A1"/>
    <w:rsid w:val="00A02355"/>
    <w:rsid w:val="00A02D9A"/>
    <w:rsid w:val="00A10FAC"/>
    <w:rsid w:val="00A2563C"/>
    <w:rsid w:val="00A31A4B"/>
    <w:rsid w:val="00A42181"/>
    <w:rsid w:val="00A440E3"/>
    <w:rsid w:val="00A44A21"/>
    <w:rsid w:val="00A4626A"/>
    <w:rsid w:val="00A50AFC"/>
    <w:rsid w:val="00A54FF3"/>
    <w:rsid w:val="00A56188"/>
    <w:rsid w:val="00A64861"/>
    <w:rsid w:val="00A676B1"/>
    <w:rsid w:val="00A7138C"/>
    <w:rsid w:val="00A75E94"/>
    <w:rsid w:val="00A80087"/>
    <w:rsid w:val="00A876A4"/>
    <w:rsid w:val="00A8772C"/>
    <w:rsid w:val="00A97CF2"/>
    <w:rsid w:val="00AA3752"/>
    <w:rsid w:val="00AB6073"/>
    <w:rsid w:val="00AE1DC9"/>
    <w:rsid w:val="00AE5F94"/>
    <w:rsid w:val="00AE6B8E"/>
    <w:rsid w:val="00B0170D"/>
    <w:rsid w:val="00B03739"/>
    <w:rsid w:val="00B06D5A"/>
    <w:rsid w:val="00B10A8A"/>
    <w:rsid w:val="00B11276"/>
    <w:rsid w:val="00B262ED"/>
    <w:rsid w:val="00B27272"/>
    <w:rsid w:val="00B300B5"/>
    <w:rsid w:val="00B40BD5"/>
    <w:rsid w:val="00B448C3"/>
    <w:rsid w:val="00B504BB"/>
    <w:rsid w:val="00B5208C"/>
    <w:rsid w:val="00B536A5"/>
    <w:rsid w:val="00B53BE8"/>
    <w:rsid w:val="00B57653"/>
    <w:rsid w:val="00B64CD0"/>
    <w:rsid w:val="00B73DE5"/>
    <w:rsid w:val="00B74464"/>
    <w:rsid w:val="00B85DB0"/>
    <w:rsid w:val="00B860EF"/>
    <w:rsid w:val="00B91BA6"/>
    <w:rsid w:val="00B97D70"/>
    <w:rsid w:val="00BA767B"/>
    <w:rsid w:val="00BA7E6A"/>
    <w:rsid w:val="00BB47E3"/>
    <w:rsid w:val="00BD280A"/>
    <w:rsid w:val="00BE0F41"/>
    <w:rsid w:val="00BE10B5"/>
    <w:rsid w:val="00BE18DE"/>
    <w:rsid w:val="00BE2DEB"/>
    <w:rsid w:val="00BF04E2"/>
    <w:rsid w:val="00BF2EBA"/>
    <w:rsid w:val="00BF77CC"/>
    <w:rsid w:val="00BF7CC1"/>
    <w:rsid w:val="00C01053"/>
    <w:rsid w:val="00C04DD7"/>
    <w:rsid w:val="00C11967"/>
    <w:rsid w:val="00C14DA2"/>
    <w:rsid w:val="00C2195D"/>
    <w:rsid w:val="00C21F58"/>
    <w:rsid w:val="00C25A4A"/>
    <w:rsid w:val="00C32938"/>
    <w:rsid w:val="00C3350D"/>
    <w:rsid w:val="00C33AA7"/>
    <w:rsid w:val="00C42E1B"/>
    <w:rsid w:val="00C460E9"/>
    <w:rsid w:val="00C66045"/>
    <w:rsid w:val="00C67AA3"/>
    <w:rsid w:val="00C75842"/>
    <w:rsid w:val="00C834F2"/>
    <w:rsid w:val="00C91A5D"/>
    <w:rsid w:val="00C92B17"/>
    <w:rsid w:val="00C92F51"/>
    <w:rsid w:val="00CB7AD8"/>
    <w:rsid w:val="00CC0EDC"/>
    <w:rsid w:val="00CC1981"/>
    <w:rsid w:val="00CD7D71"/>
    <w:rsid w:val="00CE36AB"/>
    <w:rsid w:val="00CE6AD7"/>
    <w:rsid w:val="00CF3256"/>
    <w:rsid w:val="00D02EDC"/>
    <w:rsid w:val="00D03974"/>
    <w:rsid w:val="00D07104"/>
    <w:rsid w:val="00D071BB"/>
    <w:rsid w:val="00D079DE"/>
    <w:rsid w:val="00D11675"/>
    <w:rsid w:val="00D25742"/>
    <w:rsid w:val="00D4087D"/>
    <w:rsid w:val="00D42F79"/>
    <w:rsid w:val="00D4674A"/>
    <w:rsid w:val="00D50C4E"/>
    <w:rsid w:val="00D5164A"/>
    <w:rsid w:val="00D53353"/>
    <w:rsid w:val="00D566F2"/>
    <w:rsid w:val="00D64F3D"/>
    <w:rsid w:val="00D656DC"/>
    <w:rsid w:val="00D71530"/>
    <w:rsid w:val="00D7183A"/>
    <w:rsid w:val="00D82E90"/>
    <w:rsid w:val="00D8401B"/>
    <w:rsid w:val="00D93CDA"/>
    <w:rsid w:val="00D97FA3"/>
    <w:rsid w:val="00DA433E"/>
    <w:rsid w:val="00DA5006"/>
    <w:rsid w:val="00DA727A"/>
    <w:rsid w:val="00DC211A"/>
    <w:rsid w:val="00DC5586"/>
    <w:rsid w:val="00DE4040"/>
    <w:rsid w:val="00DE589F"/>
    <w:rsid w:val="00DE7079"/>
    <w:rsid w:val="00DF2E9D"/>
    <w:rsid w:val="00DF3C2E"/>
    <w:rsid w:val="00E04FCB"/>
    <w:rsid w:val="00E06B54"/>
    <w:rsid w:val="00E11764"/>
    <w:rsid w:val="00E119C1"/>
    <w:rsid w:val="00E17720"/>
    <w:rsid w:val="00E209D7"/>
    <w:rsid w:val="00E352AB"/>
    <w:rsid w:val="00E36BD4"/>
    <w:rsid w:val="00E46351"/>
    <w:rsid w:val="00E5212C"/>
    <w:rsid w:val="00E63D32"/>
    <w:rsid w:val="00E70274"/>
    <w:rsid w:val="00E7152A"/>
    <w:rsid w:val="00E723D4"/>
    <w:rsid w:val="00E81F2C"/>
    <w:rsid w:val="00E91A0A"/>
    <w:rsid w:val="00E94976"/>
    <w:rsid w:val="00E950AC"/>
    <w:rsid w:val="00EA480F"/>
    <w:rsid w:val="00EB0859"/>
    <w:rsid w:val="00EB53ED"/>
    <w:rsid w:val="00EB7DE4"/>
    <w:rsid w:val="00EC330C"/>
    <w:rsid w:val="00ED0423"/>
    <w:rsid w:val="00EF0DC1"/>
    <w:rsid w:val="00F005EC"/>
    <w:rsid w:val="00F01AD8"/>
    <w:rsid w:val="00F11B98"/>
    <w:rsid w:val="00F1471E"/>
    <w:rsid w:val="00F206AE"/>
    <w:rsid w:val="00F22B96"/>
    <w:rsid w:val="00F35CAF"/>
    <w:rsid w:val="00F3694F"/>
    <w:rsid w:val="00F43D41"/>
    <w:rsid w:val="00F558D1"/>
    <w:rsid w:val="00F561E5"/>
    <w:rsid w:val="00F64E01"/>
    <w:rsid w:val="00F65726"/>
    <w:rsid w:val="00F72655"/>
    <w:rsid w:val="00F772C6"/>
    <w:rsid w:val="00F83171"/>
    <w:rsid w:val="00F8541E"/>
    <w:rsid w:val="00F87814"/>
    <w:rsid w:val="00F92A24"/>
    <w:rsid w:val="00F97A6D"/>
    <w:rsid w:val="00FA0DEA"/>
    <w:rsid w:val="00FA2075"/>
    <w:rsid w:val="00FA2309"/>
    <w:rsid w:val="00FA2761"/>
    <w:rsid w:val="00FA571D"/>
    <w:rsid w:val="00FA6021"/>
    <w:rsid w:val="00FB3363"/>
    <w:rsid w:val="00FD3855"/>
    <w:rsid w:val="00FE0CB2"/>
    <w:rsid w:val="00FE40B4"/>
    <w:rsid w:val="00FF3EDD"/>
    <w:rsid w:val="00FF7F83"/>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063FB32"/>
  <w15:docId w15:val="{C3EB276D-78F9-4561-AE67-DB74D365D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095"/>
  </w:style>
  <w:style w:type="paragraph" w:styleId="Heading1">
    <w:name w:val="heading 1"/>
    <w:basedOn w:val="Normal"/>
    <w:next w:val="Normal"/>
    <w:link w:val="Heading1Char"/>
    <w:uiPriority w:val="9"/>
    <w:qFormat/>
    <w:rsid w:val="00E463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463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4635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4635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4635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463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63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63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63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63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463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4635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4635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4635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463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63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63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6351"/>
    <w:rPr>
      <w:rFonts w:eastAsiaTheme="majorEastAsia" w:cstheme="majorBidi"/>
      <w:color w:val="272727" w:themeColor="text1" w:themeTint="D8"/>
    </w:rPr>
  </w:style>
  <w:style w:type="paragraph" w:styleId="Title">
    <w:name w:val="Title"/>
    <w:basedOn w:val="Normal"/>
    <w:next w:val="Normal"/>
    <w:link w:val="TitleChar"/>
    <w:uiPriority w:val="10"/>
    <w:qFormat/>
    <w:rsid w:val="00E463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63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63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63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6351"/>
    <w:pPr>
      <w:spacing w:before="160"/>
      <w:jc w:val="center"/>
    </w:pPr>
    <w:rPr>
      <w:i/>
      <w:iCs/>
      <w:color w:val="404040" w:themeColor="text1" w:themeTint="BF"/>
    </w:rPr>
  </w:style>
  <w:style w:type="character" w:customStyle="1" w:styleId="QuoteChar">
    <w:name w:val="Quote Char"/>
    <w:basedOn w:val="DefaultParagraphFont"/>
    <w:link w:val="Quote"/>
    <w:uiPriority w:val="29"/>
    <w:rsid w:val="00E46351"/>
    <w:rPr>
      <w:i/>
      <w:iCs/>
      <w:color w:val="404040" w:themeColor="text1" w:themeTint="BF"/>
    </w:rPr>
  </w:style>
  <w:style w:type="paragraph" w:styleId="ListParagraph">
    <w:name w:val="List Paragraph"/>
    <w:basedOn w:val="Normal"/>
    <w:uiPriority w:val="34"/>
    <w:qFormat/>
    <w:rsid w:val="00E46351"/>
    <w:pPr>
      <w:ind w:left="720"/>
      <w:contextualSpacing/>
    </w:pPr>
  </w:style>
  <w:style w:type="character" w:styleId="IntenseEmphasis">
    <w:name w:val="Intense Emphasis"/>
    <w:basedOn w:val="DefaultParagraphFont"/>
    <w:uiPriority w:val="21"/>
    <w:qFormat/>
    <w:rsid w:val="00E46351"/>
    <w:rPr>
      <w:i/>
      <w:iCs/>
      <w:color w:val="2F5496" w:themeColor="accent1" w:themeShade="BF"/>
    </w:rPr>
  </w:style>
  <w:style w:type="paragraph" w:styleId="IntenseQuote">
    <w:name w:val="Intense Quote"/>
    <w:basedOn w:val="Normal"/>
    <w:next w:val="Normal"/>
    <w:link w:val="IntenseQuoteChar"/>
    <w:uiPriority w:val="30"/>
    <w:qFormat/>
    <w:rsid w:val="00E463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46351"/>
    <w:rPr>
      <w:i/>
      <w:iCs/>
      <w:color w:val="2F5496" w:themeColor="accent1" w:themeShade="BF"/>
    </w:rPr>
  </w:style>
  <w:style w:type="character" w:styleId="IntenseReference">
    <w:name w:val="Intense Reference"/>
    <w:basedOn w:val="DefaultParagraphFont"/>
    <w:uiPriority w:val="32"/>
    <w:qFormat/>
    <w:rsid w:val="00E46351"/>
    <w:rPr>
      <w:b/>
      <w:bCs/>
      <w:smallCaps/>
      <w:color w:val="2F5496" w:themeColor="accent1" w:themeShade="BF"/>
      <w:spacing w:val="5"/>
    </w:rPr>
  </w:style>
  <w:style w:type="character" w:styleId="Hyperlink">
    <w:name w:val="Hyperlink"/>
    <w:basedOn w:val="DefaultParagraphFont"/>
    <w:uiPriority w:val="99"/>
    <w:unhideWhenUsed/>
    <w:rsid w:val="0001609E"/>
    <w:rPr>
      <w:color w:val="0563C1" w:themeColor="hyperlink"/>
      <w:u w:val="single"/>
    </w:rPr>
  </w:style>
  <w:style w:type="character" w:customStyle="1" w:styleId="UnresolvedMention1">
    <w:name w:val="Unresolved Mention1"/>
    <w:basedOn w:val="DefaultParagraphFont"/>
    <w:uiPriority w:val="99"/>
    <w:semiHidden/>
    <w:unhideWhenUsed/>
    <w:rsid w:val="0001609E"/>
    <w:rPr>
      <w:color w:val="605E5C"/>
      <w:shd w:val="clear" w:color="auto" w:fill="E1DFDD"/>
    </w:rPr>
  </w:style>
  <w:style w:type="paragraph" w:styleId="NormalWeb">
    <w:name w:val="Normal (Web)"/>
    <w:basedOn w:val="Normal"/>
    <w:uiPriority w:val="99"/>
    <w:semiHidden/>
    <w:unhideWhenUsed/>
    <w:rsid w:val="00783CEA"/>
    <w:rPr>
      <w:rFonts w:ascii="Times New Roman" w:hAnsi="Times New Roman" w:cs="Times New Roman"/>
      <w:sz w:val="24"/>
      <w:szCs w:val="24"/>
    </w:rPr>
  </w:style>
  <w:style w:type="character" w:styleId="Emphasis">
    <w:name w:val="Emphasis"/>
    <w:basedOn w:val="DefaultParagraphFont"/>
    <w:uiPriority w:val="20"/>
    <w:qFormat/>
    <w:rsid w:val="00DA727A"/>
    <w:rPr>
      <w:i/>
      <w:iCs/>
    </w:rPr>
  </w:style>
  <w:style w:type="paragraph" w:styleId="BalloonText">
    <w:name w:val="Balloon Text"/>
    <w:basedOn w:val="Normal"/>
    <w:link w:val="BalloonTextChar"/>
    <w:uiPriority w:val="99"/>
    <w:semiHidden/>
    <w:unhideWhenUsed/>
    <w:rsid w:val="00651E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1E80"/>
    <w:rPr>
      <w:rFonts w:ascii="Tahoma" w:hAnsi="Tahoma" w:cs="Tahoma"/>
      <w:sz w:val="16"/>
      <w:szCs w:val="16"/>
    </w:rPr>
  </w:style>
  <w:style w:type="paragraph" w:styleId="Header">
    <w:name w:val="header"/>
    <w:basedOn w:val="Normal"/>
    <w:link w:val="HeaderChar"/>
    <w:uiPriority w:val="99"/>
    <w:unhideWhenUsed/>
    <w:rsid w:val="00D64F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4F3D"/>
  </w:style>
  <w:style w:type="paragraph" w:styleId="Footer">
    <w:name w:val="footer"/>
    <w:basedOn w:val="Normal"/>
    <w:link w:val="FooterChar"/>
    <w:uiPriority w:val="99"/>
    <w:unhideWhenUsed/>
    <w:rsid w:val="00D64F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4F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6856">
      <w:bodyDiv w:val="1"/>
      <w:marLeft w:val="0"/>
      <w:marRight w:val="0"/>
      <w:marTop w:val="0"/>
      <w:marBottom w:val="0"/>
      <w:divBdr>
        <w:top w:val="none" w:sz="0" w:space="0" w:color="auto"/>
        <w:left w:val="none" w:sz="0" w:space="0" w:color="auto"/>
        <w:bottom w:val="none" w:sz="0" w:space="0" w:color="auto"/>
        <w:right w:val="none" w:sz="0" w:space="0" w:color="auto"/>
      </w:divBdr>
    </w:div>
    <w:div w:id="256713444">
      <w:bodyDiv w:val="1"/>
      <w:marLeft w:val="0"/>
      <w:marRight w:val="0"/>
      <w:marTop w:val="0"/>
      <w:marBottom w:val="0"/>
      <w:divBdr>
        <w:top w:val="none" w:sz="0" w:space="0" w:color="auto"/>
        <w:left w:val="none" w:sz="0" w:space="0" w:color="auto"/>
        <w:bottom w:val="none" w:sz="0" w:space="0" w:color="auto"/>
        <w:right w:val="none" w:sz="0" w:space="0" w:color="auto"/>
      </w:divBdr>
    </w:div>
    <w:div w:id="402992353">
      <w:bodyDiv w:val="1"/>
      <w:marLeft w:val="0"/>
      <w:marRight w:val="0"/>
      <w:marTop w:val="0"/>
      <w:marBottom w:val="0"/>
      <w:divBdr>
        <w:top w:val="none" w:sz="0" w:space="0" w:color="auto"/>
        <w:left w:val="none" w:sz="0" w:space="0" w:color="auto"/>
        <w:bottom w:val="none" w:sz="0" w:space="0" w:color="auto"/>
        <w:right w:val="none" w:sz="0" w:space="0" w:color="auto"/>
      </w:divBdr>
    </w:div>
    <w:div w:id="773013472">
      <w:bodyDiv w:val="1"/>
      <w:marLeft w:val="0"/>
      <w:marRight w:val="0"/>
      <w:marTop w:val="0"/>
      <w:marBottom w:val="0"/>
      <w:divBdr>
        <w:top w:val="none" w:sz="0" w:space="0" w:color="auto"/>
        <w:left w:val="none" w:sz="0" w:space="0" w:color="auto"/>
        <w:bottom w:val="none" w:sz="0" w:space="0" w:color="auto"/>
        <w:right w:val="none" w:sz="0" w:space="0" w:color="auto"/>
      </w:divBdr>
    </w:div>
    <w:div w:id="794786258">
      <w:bodyDiv w:val="1"/>
      <w:marLeft w:val="0"/>
      <w:marRight w:val="0"/>
      <w:marTop w:val="0"/>
      <w:marBottom w:val="0"/>
      <w:divBdr>
        <w:top w:val="none" w:sz="0" w:space="0" w:color="auto"/>
        <w:left w:val="none" w:sz="0" w:space="0" w:color="auto"/>
        <w:bottom w:val="none" w:sz="0" w:space="0" w:color="auto"/>
        <w:right w:val="none" w:sz="0" w:space="0" w:color="auto"/>
      </w:divBdr>
    </w:div>
    <w:div w:id="1371221528">
      <w:bodyDiv w:val="1"/>
      <w:marLeft w:val="0"/>
      <w:marRight w:val="0"/>
      <w:marTop w:val="0"/>
      <w:marBottom w:val="0"/>
      <w:divBdr>
        <w:top w:val="none" w:sz="0" w:space="0" w:color="auto"/>
        <w:left w:val="none" w:sz="0" w:space="0" w:color="auto"/>
        <w:bottom w:val="none" w:sz="0" w:space="0" w:color="auto"/>
        <w:right w:val="none" w:sz="0" w:space="0" w:color="auto"/>
      </w:divBdr>
    </w:div>
    <w:div w:id="1962223473">
      <w:bodyDiv w:val="1"/>
      <w:marLeft w:val="0"/>
      <w:marRight w:val="0"/>
      <w:marTop w:val="0"/>
      <w:marBottom w:val="0"/>
      <w:divBdr>
        <w:top w:val="none" w:sz="0" w:space="0" w:color="auto"/>
        <w:left w:val="none" w:sz="0" w:space="0" w:color="auto"/>
        <w:bottom w:val="none" w:sz="0" w:space="0" w:color="auto"/>
        <w:right w:val="none" w:sz="0" w:space="0" w:color="auto"/>
      </w:divBdr>
    </w:div>
    <w:div w:id="202874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sciencedirect.com/science/article/pii/S1658077X1400037X" TargetMode="External"/><Relationship Id="rId4" Type="http://schemas.openxmlformats.org/officeDocument/2006/relationships/webSettings" Target="webSettings.xml"/><Relationship Id="rId9" Type="http://schemas.openxmlformats.org/officeDocument/2006/relationships/hyperlink" Target="https://link.springer.com/article/10.1186/s13567-018-0538-6"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925</TotalTime>
  <Pages>22</Pages>
  <Words>6687</Words>
  <Characters>38119</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abhinov.mtr@outlook.com</dc:creator>
  <cp:keywords/>
  <dc:description/>
  <cp:lastModifiedBy>abhinov.mtr@outlook.com</cp:lastModifiedBy>
  <cp:revision>384</cp:revision>
  <dcterms:created xsi:type="dcterms:W3CDTF">2025-07-28T11:19:00Z</dcterms:created>
  <dcterms:modified xsi:type="dcterms:W3CDTF">2025-09-25T11:52:00Z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c28d259d-a0bc-4a3d-b06c-8438582d2367</vt:lpwstr>
  </property>
</Properties>
</file>