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line="240" w:lineRule="auto"/>
        <w:contextualSpacing/>
        <w:jc w:val="right"/>
        <w:rPr>
          <w:rFonts w:ascii="Arial" w:eastAsia="Times New Roman" w:hAnsi="Arial" w:cs="Arial"/>
          <w:b/>
          <w:bCs/>
          <w:iCs/>
          <w:kern w:val="28"/>
          <w:sz w:val="20"/>
          <w:szCs w:val="20"/>
        </w:rPr>
      </w:pPr>
    </w:p>
    <w:p>
      <w:pPr>
        <w:pStyle w:val="Heading1"/>
        <w:rPr>
          <w:rFonts w:eastAsia="Times New Roman"/>
          <w:kern w:val="28"/>
          <w:sz w:val="48"/>
          <w:szCs w:val="48"/>
          <w:lang w:val="en-GB"/>
        </w:rPr>
      </w:pPr>
      <w:r>
        <w:rPr>
          <w:rFonts w:eastAsia="Times New Roman"/>
          <w:kern w:val="28"/>
          <w:sz w:val="48"/>
          <w:szCs w:val="48"/>
          <w:lang w:val="en-GB"/>
        </w:rPr>
        <w:t xml:space="preserve">Exploring the </w:t>
      </w:r>
      <w:r>
        <w:rPr>
          <w:rFonts w:eastAsia="Times New Roman"/>
          <w:i/>
          <w:iCs/>
          <w:kern w:val="28"/>
          <w:sz w:val="48"/>
          <w:szCs w:val="48"/>
          <w:lang w:val="en-GB"/>
        </w:rPr>
        <w:t>In vitro</w:t>
      </w:r>
      <w:r>
        <w:rPr>
          <w:rFonts w:eastAsia="Times New Roman"/>
          <w:kern w:val="28"/>
          <w:sz w:val="48"/>
          <w:szCs w:val="48"/>
          <w:lang w:val="en-GB"/>
        </w:rPr>
        <w:t xml:space="preserve"> Antibacterial Efficacy of </w:t>
      </w:r>
      <w:proofErr w:type="spellStart"/>
      <w:r>
        <w:rPr>
          <w:rFonts w:eastAsia="Times New Roman"/>
          <w:kern w:val="28"/>
          <w:sz w:val="48"/>
          <w:szCs w:val="48"/>
          <w:lang w:val="en-GB"/>
        </w:rPr>
        <w:t>Yemidir</w:t>
      </w:r>
      <w:proofErr w:type="spellEnd"/>
      <w:r>
        <w:rPr>
          <w:rFonts w:eastAsia="Times New Roman"/>
          <w:kern w:val="28"/>
          <w:sz w:val="48"/>
          <w:szCs w:val="48"/>
          <w:lang w:val="en-GB"/>
        </w:rPr>
        <w:t xml:space="preserve"> </w:t>
      </w:r>
      <w:proofErr w:type="spellStart"/>
      <w:r>
        <w:rPr>
          <w:rFonts w:eastAsia="Times New Roman"/>
          <w:kern w:val="28"/>
          <w:sz w:val="48"/>
          <w:szCs w:val="48"/>
          <w:lang w:val="en-GB"/>
        </w:rPr>
        <w:t>Embuay</w:t>
      </w:r>
      <w:proofErr w:type="spellEnd"/>
      <w:r>
        <w:rPr>
          <w:rFonts w:eastAsia="Times New Roman"/>
          <w:kern w:val="28"/>
          <w:sz w:val="48"/>
          <w:szCs w:val="48"/>
          <w:lang w:val="en-GB"/>
        </w:rPr>
        <w:t xml:space="preserve"> </w:t>
      </w:r>
    </w:p>
    <w:p>
      <w:pPr>
        <w:pStyle w:val="Heading1"/>
        <w:rPr>
          <w:rFonts w:eastAsia="Times New Roman"/>
          <w:kern w:val="28"/>
          <w:sz w:val="48"/>
          <w:szCs w:val="48"/>
        </w:rPr>
      </w:pPr>
      <w:r>
        <w:rPr>
          <w:rFonts w:eastAsia="Times New Roman"/>
          <w:kern w:val="28"/>
          <w:sz w:val="48"/>
          <w:szCs w:val="48"/>
          <w:lang w:val="en-GB"/>
        </w:rPr>
        <w:t>(</w:t>
      </w:r>
      <w:r>
        <w:rPr>
          <w:rFonts w:eastAsia="Times New Roman"/>
          <w:i/>
          <w:kern w:val="28"/>
          <w:sz w:val="48"/>
          <w:szCs w:val="48"/>
          <w:lang w:val="en-GB"/>
        </w:rPr>
        <w:t xml:space="preserve">Cucumis </w:t>
      </w:r>
      <w:proofErr w:type="spellStart"/>
      <w:r>
        <w:rPr>
          <w:rFonts w:eastAsia="Times New Roman"/>
          <w:i/>
          <w:kern w:val="28"/>
          <w:sz w:val="48"/>
          <w:szCs w:val="48"/>
          <w:lang w:val="en-GB"/>
        </w:rPr>
        <w:t>focifolius</w:t>
      </w:r>
      <w:proofErr w:type="spellEnd"/>
      <w:r>
        <w:rPr>
          <w:rFonts w:eastAsia="Times New Roman"/>
          <w:kern w:val="28"/>
          <w:sz w:val="48"/>
          <w:szCs w:val="48"/>
          <w:lang w:val="en-GB"/>
        </w:rPr>
        <w:t xml:space="preserve">) and </w:t>
      </w:r>
      <w:proofErr w:type="spellStart"/>
      <w:r>
        <w:rPr>
          <w:rFonts w:eastAsia="Times New Roman"/>
          <w:kern w:val="28"/>
          <w:sz w:val="48"/>
          <w:szCs w:val="48"/>
          <w:lang w:val="en-GB"/>
        </w:rPr>
        <w:t>Endod</w:t>
      </w:r>
      <w:proofErr w:type="spellEnd"/>
      <w:r>
        <w:rPr>
          <w:rFonts w:eastAsia="Times New Roman"/>
          <w:kern w:val="28"/>
          <w:sz w:val="48"/>
          <w:szCs w:val="48"/>
          <w:lang w:val="en-GB"/>
        </w:rPr>
        <w:t xml:space="preserve"> (</w:t>
      </w:r>
      <w:proofErr w:type="spellStart"/>
      <w:r>
        <w:rPr>
          <w:rFonts w:eastAsia="Times New Roman"/>
          <w:i/>
          <w:kern w:val="28"/>
          <w:sz w:val="48"/>
          <w:szCs w:val="48"/>
          <w:lang w:val="en-GB"/>
        </w:rPr>
        <w:t>Phytolacca</w:t>
      </w:r>
      <w:proofErr w:type="spellEnd"/>
      <w:r>
        <w:rPr>
          <w:rFonts w:eastAsia="Times New Roman"/>
          <w:i/>
          <w:kern w:val="28"/>
          <w:sz w:val="48"/>
          <w:szCs w:val="48"/>
          <w:lang w:val="en-GB"/>
        </w:rPr>
        <w:t xml:space="preserve"> </w:t>
      </w:r>
      <w:proofErr w:type="spellStart"/>
      <w:r>
        <w:rPr>
          <w:rFonts w:eastAsia="Times New Roman"/>
          <w:i/>
          <w:kern w:val="28"/>
          <w:sz w:val="48"/>
          <w:szCs w:val="48"/>
          <w:lang w:val="en-GB"/>
        </w:rPr>
        <w:t>dodecandra</w:t>
      </w:r>
      <w:proofErr w:type="spellEnd"/>
      <w:r>
        <w:rPr>
          <w:rFonts w:eastAsia="Times New Roman"/>
          <w:kern w:val="28"/>
          <w:sz w:val="48"/>
          <w:szCs w:val="48"/>
          <w:lang w:val="en-GB"/>
        </w:rPr>
        <w:t xml:space="preserve">) of Different Extracts </w:t>
      </w:r>
      <w:r>
        <w:rPr>
          <w:rFonts w:eastAsia="Times New Roman"/>
          <w:kern w:val="28"/>
          <w:sz w:val="48"/>
          <w:szCs w:val="48"/>
        </w:rPr>
        <w:t>Against Some Bacteria Pathogens</w:t>
      </w:r>
    </w:p>
    <w:p>
      <w:pPr>
        <w:spacing w:after="0" w:line="240" w:lineRule="auto"/>
        <w:contextualSpacing/>
        <w:jc w:val="right"/>
        <w:rPr>
          <w:rFonts w:ascii="Arial" w:eastAsia="Times New Roman" w:hAnsi="Arial" w:cs="Arial"/>
          <w:b/>
          <w:bCs/>
          <w:sz w:val="36"/>
          <w:szCs w:val="20"/>
        </w:rPr>
      </w:pPr>
    </w:p>
    <w:p>
      <w:pPr>
        <w:spacing w:after="0" w:line="240" w:lineRule="auto"/>
        <w:jc w:val="right"/>
        <w:rPr>
          <w:rFonts w:ascii="Arial" w:eastAsia="Times New Roman" w:hAnsi="Arial" w:cs="Arial"/>
          <w:sz w:val="20"/>
          <w:szCs w:val="20"/>
        </w:rPr>
      </w:pPr>
    </w:p>
    <w:p>
      <w:pPr>
        <w:autoSpaceDE w:val="0"/>
        <w:autoSpaceDN w:val="0"/>
        <w:adjustRightInd w:val="0"/>
        <w:spacing w:after="0" w:line="240" w:lineRule="auto"/>
        <w:contextualSpacing/>
        <w:jc w:val="right"/>
        <w:rPr>
          <w:rFonts w:ascii="Arial" w:eastAsia="Times New Roman" w:hAnsi="Arial" w:cs="Arial"/>
          <w:b/>
          <w:i/>
          <w:sz w:val="20"/>
          <w:szCs w:val="16"/>
        </w:rPr>
      </w:pPr>
      <w:r>
        <w:rPr>
          <w:rFonts w:ascii="Arial" w:eastAsia="Times New Roman" w:hAnsi="Arial" w:cs="Arial"/>
          <w:b/>
          <w:i/>
          <w:noProof/>
          <w:sz w:val="20"/>
          <w:szCs w:val="20"/>
        </w:rPr>
        <w:pict>
          <v:rect id="_x0000_s1053" style="position:absolute;left:0;text-align:left;margin-left:.2pt;margin-top:3.35pt;width:137.6pt;height:18.65pt;z-index:251666432">
            <v:textbox style="mso-next-textbox:#_x0000_s1053" inset=",2.16pt,,2.16pt">
              <w:txbxContent>
                <w:p>
                  <w:pPr>
                    <w:jc w:val="center"/>
                    <w:rPr>
                      <w:rFonts w:ascii="Arial" w:hAnsi="Arial" w:cs="Arial"/>
                      <w:b/>
                      <w:i/>
                      <w:sz w:val="20"/>
                    </w:rPr>
                  </w:pPr>
                  <w:r>
                    <w:rPr>
                      <w:rFonts w:ascii="Arial" w:hAnsi="Arial" w:cs="Arial"/>
                      <w:b/>
                      <w:i/>
                      <w:sz w:val="20"/>
                    </w:rPr>
                    <w:t>Original Research Article</w:t>
                  </w:r>
                </w:p>
              </w:txbxContent>
            </v:textbox>
          </v:rect>
        </w:pict>
      </w:r>
    </w:p>
    <w:p>
      <w:pPr>
        <w:keepNext/>
        <w:spacing w:after="0" w:line="240" w:lineRule="auto"/>
        <w:contextualSpacing/>
        <w:rPr>
          <w:rFonts w:ascii="Arial" w:eastAsia="Times New Roman" w:hAnsi="Arial" w:cs="Arial"/>
          <w:b/>
          <w:caps/>
          <w:sz w:val="24"/>
          <w:szCs w:val="20"/>
        </w:rPr>
      </w:pPr>
      <w:r>
        <w:rPr>
          <w:rFonts w:ascii="Arial" w:eastAsia="Times New Roman" w:hAnsi="Arial" w:cs="Arial"/>
          <w:b/>
          <w:caps/>
          <w:sz w:val="24"/>
          <w:szCs w:val="20"/>
        </w:rPr>
      </w:r>
      <w:r>
        <w:rPr>
          <w:rFonts w:ascii="Arial" w:eastAsia="Times New Roman" w:hAnsi="Arial" w:cs="Arial"/>
          <w:b/>
          <w:caps/>
          <w:sz w:val="24"/>
          <w:szCs w:val="20"/>
        </w:rPr>
        <w:pict>
          <v:shapetype id="_x0000_t32" coordsize="21600,21600" o:spt="32" o:oned="t" path="m,l21600,21600e" filled="f">
            <v:path arrowok="t" fillok="f" o:connecttype="none"/>
            <o:lock v:ext="edit" shapetype="t"/>
          </v:shapetype>
          <v:shape id="_x0000_s1055"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pPr>
        <w:keepNext/>
        <w:tabs>
          <w:tab w:val="left" w:pos="3870"/>
        </w:tabs>
        <w:spacing w:after="0" w:line="240" w:lineRule="auto"/>
        <w:contextualSpacing/>
        <w:rPr>
          <w:rFonts w:ascii="Arial" w:eastAsia="Times New Roman" w:hAnsi="Arial" w:cs="Arial"/>
          <w:b/>
          <w:caps/>
          <w:sz w:val="20"/>
          <w:szCs w:val="20"/>
        </w:rPr>
      </w:pPr>
    </w:p>
    <w:p>
      <w:pPr>
        <w:pStyle w:val="Heading2"/>
        <w:rPr>
          <w:rFonts w:eastAsia="Times New Roman"/>
        </w:rPr>
      </w:pPr>
      <w:r>
        <w:rPr>
          <w:rFonts w:eastAsia="Times New Roman"/>
        </w:rPr>
        <w:t>ABSTRACT</w:t>
      </w:r>
    </w:p>
    <w:p>
      <w:pPr>
        <w:keepNext/>
        <w:spacing w:after="0" w:line="240" w:lineRule="auto"/>
        <w:contextualSpacing/>
        <w:rPr>
          <w:rFonts w:ascii="Arial" w:eastAsia="Times New Roman" w:hAnsi="Arial" w:cs="Arial"/>
          <w:b/>
          <w:caps/>
          <w:sz w:val="20"/>
          <w:szCs w:val="20"/>
        </w:rPr>
      </w:pPr>
    </w:p>
    <w:tbl>
      <w:tblPr>
        <w:tblStyle w:val="TableGrid"/>
        <w:tblW w:w="4900" w:type="pct"/>
        <w:jc w:val="center"/>
        <w:tblLayout w:type="fixed"/>
        <w:tblLook w:val="04A0" w:firstRow="1" w:lastRow="0" w:firstColumn="1" w:lastColumn="0" w:noHBand="0" w:noVBand="1"/>
      </w:tblPr>
      <w:tblGrid>
        <w:gridCol w:w="9060"/>
      </w:tblGrid>
      <w:tr>
        <w:trPr>
          <w:trHeight w:val="20"/>
          <w:jc w:val="center"/>
        </w:trPr>
        <w:tc>
          <w:tcPr>
            <w:tcW w:w="9040" w:type="dxa"/>
          </w:tcPr>
          <w:p>
            <w:pPr>
              <w:contextualSpacing/>
              <w:jc w:val="both"/>
              <w:rPr>
                <w:rFonts w:ascii="Arial" w:eastAsia="Calibri" w:hAnsi="Arial" w:cs="Arial"/>
                <w:sz w:val="20"/>
              </w:rPr>
            </w:pPr>
            <w:r>
              <w:rPr>
                <w:rFonts w:ascii="Arial" w:eastAsia="Calibri" w:hAnsi="Arial" w:cs="Arial"/>
                <w:sz w:val="20"/>
              </w:rPr>
              <w:t xml:space="preserve">Medicinal plants are one of the most indigenous resources in the world for the treatment of different diseases. Now a day most of infectious diseases are resistant to the antimicrobial agents. Therefore, the aim of this study was to explore the efficacy of </w:t>
            </w:r>
            <w:r>
              <w:rPr>
                <w:rFonts w:ascii="Arial" w:eastAsia="Calibri" w:hAnsi="Arial" w:cs="Arial"/>
                <w:i/>
                <w:sz w:val="20"/>
              </w:rPr>
              <w:t xml:space="preserve">Cucumis </w:t>
            </w:r>
            <w:proofErr w:type="spellStart"/>
            <w:r>
              <w:rPr>
                <w:rFonts w:ascii="Arial" w:eastAsia="Calibri" w:hAnsi="Arial" w:cs="Arial"/>
                <w:i/>
                <w:sz w:val="20"/>
              </w:rPr>
              <w:t>focifolius</w:t>
            </w:r>
            <w:proofErr w:type="spellEnd"/>
            <w:r>
              <w:rPr>
                <w:rFonts w:ascii="Arial" w:eastAsia="Calibri" w:hAnsi="Arial" w:cs="Arial"/>
                <w:sz w:val="20"/>
              </w:rPr>
              <w:t xml:space="preserve"> and </w:t>
            </w:r>
            <w:proofErr w:type="spellStart"/>
            <w:r>
              <w:rPr>
                <w:rFonts w:ascii="Arial" w:eastAsia="Calibri" w:hAnsi="Arial" w:cs="Arial"/>
                <w:i/>
                <w:sz w:val="20"/>
              </w:rPr>
              <w:t>Phytolacca</w:t>
            </w:r>
            <w:proofErr w:type="spellEnd"/>
            <w:r>
              <w:rPr>
                <w:rFonts w:ascii="Arial" w:eastAsia="Calibri" w:hAnsi="Arial" w:cs="Arial"/>
                <w:i/>
                <w:sz w:val="20"/>
              </w:rPr>
              <w:t xml:space="preserve"> </w:t>
            </w:r>
            <w:proofErr w:type="spellStart"/>
            <w:r>
              <w:rPr>
                <w:rFonts w:ascii="Arial" w:eastAsia="Calibri" w:hAnsi="Arial" w:cs="Arial"/>
                <w:i/>
                <w:sz w:val="20"/>
              </w:rPr>
              <w:t>dodecandra</w:t>
            </w:r>
            <w:proofErr w:type="spellEnd"/>
            <w:r>
              <w:rPr>
                <w:rFonts w:ascii="Arial" w:eastAsia="Calibri" w:hAnsi="Arial" w:cs="Arial"/>
                <w:sz w:val="20"/>
              </w:rPr>
              <w:t xml:space="preserve"> against Staphylococcus aureus, Klebsiella Pneumonia and Neisseria gonorrhea. Ethanol, Methanol, Chloroform and Water are used as solvents for the extraction of phytochemical compounds from </w:t>
            </w:r>
            <w:r>
              <w:rPr>
                <w:rFonts w:ascii="Arial" w:eastAsia="Calibri" w:hAnsi="Arial" w:cs="Arial"/>
                <w:i/>
                <w:sz w:val="20"/>
              </w:rPr>
              <w:t xml:space="preserve">Cucumis </w:t>
            </w:r>
            <w:proofErr w:type="spellStart"/>
            <w:r>
              <w:rPr>
                <w:rFonts w:ascii="Arial" w:eastAsia="Calibri" w:hAnsi="Arial" w:cs="Arial"/>
                <w:i/>
                <w:sz w:val="20"/>
              </w:rPr>
              <w:t>focifolius</w:t>
            </w:r>
            <w:proofErr w:type="spellEnd"/>
            <w:r>
              <w:rPr>
                <w:rFonts w:ascii="Arial" w:eastAsia="Calibri" w:hAnsi="Arial" w:cs="Arial"/>
                <w:sz w:val="20"/>
              </w:rPr>
              <w:t xml:space="preserve"> and </w:t>
            </w:r>
            <w:proofErr w:type="spellStart"/>
            <w:r>
              <w:rPr>
                <w:rFonts w:ascii="Arial" w:eastAsia="Calibri" w:hAnsi="Arial" w:cs="Arial"/>
                <w:i/>
                <w:sz w:val="20"/>
              </w:rPr>
              <w:t>Phytolacca</w:t>
            </w:r>
            <w:proofErr w:type="spellEnd"/>
            <w:r>
              <w:rPr>
                <w:rFonts w:ascii="Arial" w:eastAsia="Calibri" w:hAnsi="Arial" w:cs="Arial"/>
                <w:i/>
                <w:sz w:val="20"/>
              </w:rPr>
              <w:t xml:space="preserve"> </w:t>
            </w:r>
            <w:proofErr w:type="spellStart"/>
            <w:r>
              <w:rPr>
                <w:rFonts w:ascii="Arial" w:eastAsia="Calibri" w:hAnsi="Arial" w:cs="Arial"/>
                <w:i/>
                <w:sz w:val="20"/>
              </w:rPr>
              <w:t>dodecandra</w:t>
            </w:r>
            <w:proofErr w:type="spellEnd"/>
            <w:r>
              <w:rPr>
                <w:rFonts w:ascii="Arial" w:eastAsia="Calibri" w:hAnsi="Arial" w:cs="Arial"/>
                <w:sz w:val="20"/>
              </w:rPr>
              <w:t xml:space="preserve"> plants. The effective extraction of bioactive compounds was achieved using methanol, chloroform and water as solvents. According to this study there were bioactive compounds that extracted from selected plants which were potentially effective against Neisseria gonorrhea and some other pathogens. Both </w:t>
            </w:r>
            <w:r>
              <w:rPr>
                <w:rFonts w:ascii="Arial" w:eastAsia="Calibri" w:hAnsi="Arial" w:cs="Arial"/>
                <w:i/>
                <w:sz w:val="20"/>
              </w:rPr>
              <w:t xml:space="preserve">Cucumis </w:t>
            </w:r>
            <w:proofErr w:type="spellStart"/>
            <w:r>
              <w:rPr>
                <w:rFonts w:ascii="Arial" w:eastAsia="Calibri" w:hAnsi="Arial" w:cs="Arial"/>
                <w:i/>
                <w:sz w:val="20"/>
              </w:rPr>
              <w:t>focifolius</w:t>
            </w:r>
            <w:proofErr w:type="spellEnd"/>
            <w:r>
              <w:rPr>
                <w:rFonts w:ascii="Arial" w:eastAsia="Calibri" w:hAnsi="Arial" w:cs="Arial"/>
                <w:sz w:val="20"/>
              </w:rPr>
              <w:t xml:space="preserve"> and </w:t>
            </w:r>
            <w:proofErr w:type="spellStart"/>
            <w:r>
              <w:rPr>
                <w:rFonts w:ascii="Arial" w:eastAsia="Calibri" w:hAnsi="Arial" w:cs="Arial"/>
                <w:i/>
                <w:sz w:val="20"/>
              </w:rPr>
              <w:t>Phytolacca</w:t>
            </w:r>
            <w:proofErr w:type="spellEnd"/>
            <w:r>
              <w:rPr>
                <w:rFonts w:ascii="Arial" w:eastAsia="Calibri" w:hAnsi="Arial" w:cs="Arial"/>
                <w:i/>
                <w:sz w:val="20"/>
              </w:rPr>
              <w:t xml:space="preserve"> </w:t>
            </w:r>
            <w:proofErr w:type="spellStart"/>
            <w:r>
              <w:rPr>
                <w:rFonts w:ascii="Arial" w:eastAsia="Calibri" w:hAnsi="Arial" w:cs="Arial"/>
                <w:i/>
                <w:sz w:val="20"/>
              </w:rPr>
              <w:t>dodecandra</w:t>
            </w:r>
            <w:proofErr w:type="spellEnd"/>
            <w:r>
              <w:rPr>
                <w:rFonts w:ascii="Arial" w:eastAsia="Calibri" w:hAnsi="Arial" w:cs="Arial"/>
                <w:sz w:val="20"/>
              </w:rPr>
              <w:t xml:space="preserve"> some inhibition zone on S. </w:t>
            </w:r>
            <w:proofErr w:type="spellStart"/>
            <w:r>
              <w:rPr>
                <w:rFonts w:ascii="Arial" w:eastAsia="Calibri" w:hAnsi="Arial" w:cs="Arial"/>
                <w:sz w:val="20"/>
              </w:rPr>
              <w:t>auerus</w:t>
            </w:r>
            <w:proofErr w:type="spellEnd"/>
            <w:r>
              <w:rPr>
                <w:rFonts w:ascii="Arial" w:eastAsia="Calibri" w:hAnsi="Arial" w:cs="Arial"/>
                <w:sz w:val="20"/>
              </w:rPr>
              <w:t xml:space="preserve"> and k. pneumonia strains. Highly </w:t>
            </w:r>
            <w:proofErr w:type="gramStart"/>
            <w:r>
              <w:rPr>
                <w:rFonts w:ascii="Arial" w:eastAsia="Calibri" w:hAnsi="Arial" w:cs="Arial"/>
                <w:sz w:val="20"/>
              </w:rPr>
              <w:t>statistical</w:t>
            </w:r>
            <w:proofErr w:type="gramEnd"/>
            <w:r>
              <w:rPr>
                <w:rFonts w:ascii="Arial" w:eastAsia="Calibri" w:hAnsi="Arial" w:cs="Arial"/>
                <w:sz w:val="20"/>
              </w:rPr>
              <w:t xml:space="preserve"> significant antibacterial effect against N. gonorrhea (16.6±3.05) for ethanol root extract of </w:t>
            </w:r>
            <w:r>
              <w:rPr>
                <w:rFonts w:ascii="Arial" w:eastAsia="Calibri" w:hAnsi="Arial" w:cs="Arial"/>
                <w:i/>
                <w:sz w:val="20"/>
              </w:rPr>
              <w:t xml:space="preserve">Cucumis </w:t>
            </w:r>
            <w:proofErr w:type="spellStart"/>
            <w:r>
              <w:rPr>
                <w:rFonts w:ascii="Arial" w:eastAsia="Calibri" w:hAnsi="Arial" w:cs="Arial"/>
                <w:i/>
                <w:sz w:val="20"/>
              </w:rPr>
              <w:t>focifolius</w:t>
            </w:r>
            <w:proofErr w:type="spellEnd"/>
            <w:r>
              <w:rPr>
                <w:rFonts w:ascii="Arial" w:eastAsia="Calibri" w:hAnsi="Arial" w:cs="Arial"/>
                <w:sz w:val="20"/>
              </w:rPr>
              <w:t xml:space="preserve"> followed by methanol root extract with an inhibition zone of (15±2.64) were exhibited. The extract also shows (13.3±1.25mm, 14±1.05mm by chloroform and distilled water root extract respectively.  Ethanol C. </w:t>
            </w:r>
            <w:proofErr w:type="spellStart"/>
            <w:r>
              <w:rPr>
                <w:rFonts w:ascii="Arial" w:eastAsia="Calibri" w:hAnsi="Arial" w:cs="Arial"/>
                <w:sz w:val="20"/>
              </w:rPr>
              <w:t>focifolius</w:t>
            </w:r>
            <w:proofErr w:type="spellEnd"/>
            <w:r>
              <w:rPr>
                <w:rFonts w:ascii="Arial" w:eastAsia="Calibri" w:hAnsi="Arial" w:cs="Arial"/>
                <w:sz w:val="20"/>
              </w:rPr>
              <w:t xml:space="preserve"> root shows lowest Minimum inhibitory concentration against Neisseria gonorrhea as compared to other extracts. Therefore, we recommend people to search for new antimicrobial agents for better treatment of Neisseria Gonorrhea, which is one of causative agent of sexual transmitted disease.</w:t>
            </w:r>
          </w:p>
          <w:p>
            <w:pPr>
              <w:contextualSpacing/>
              <w:rPr>
                <w:rFonts w:ascii="Arial" w:eastAsia="Calibri" w:hAnsi="Arial" w:cs="Arial"/>
                <w:sz w:val="20"/>
              </w:rPr>
            </w:pPr>
          </w:p>
        </w:tc>
      </w:tr>
    </w:tbl>
    <w:p>
      <w:pPr>
        <w:spacing w:after="0" w:line="240" w:lineRule="auto"/>
        <w:ind w:left="1080" w:hanging="1080"/>
        <w:contextualSpacing/>
        <w:jc w:val="both"/>
        <w:rPr>
          <w:rFonts w:ascii="Arial" w:eastAsia="Times New Roman" w:hAnsi="Arial" w:cs="Arial"/>
          <w:i/>
          <w:sz w:val="20"/>
          <w:szCs w:val="20"/>
        </w:rPr>
      </w:pPr>
    </w:p>
    <w:p>
      <w:pPr>
        <w:spacing w:after="0" w:line="240" w:lineRule="auto"/>
        <w:ind w:left="1080" w:hanging="1080"/>
        <w:contextualSpacing/>
        <w:jc w:val="both"/>
        <w:rPr>
          <w:rFonts w:ascii="Arial" w:eastAsia="Times New Roman" w:hAnsi="Arial" w:cs="Arial"/>
          <w:bCs/>
          <w:i/>
          <w:iCs/>
          <w:sz w:val="20"/>
          <w:szCs w:val="20"/>
        </w:rPr>
      </w:pPr>
      <w:r>
        <w:rPr>
          <w:rFonts w:ascii="Arial" w:eastAsia="Times New Roman" w:hAnsi="Arial" w:cs="Arial"/>
          <w:i/>
          <w:sz w:val="20"/>
          <w:szCs w:val="20"/>
        </w:rPr>
        <w:t xml:space="preserve">Keywords: </w:t>
      </w:r>
      <w:r>
        <w:rPr>
          <w:rFonts w:ascii="Arial" w:eastAsia="Times New Roman" w:hAnsi="Arial" w:cs="Arial"/>
          <w:bCs/>
          <w:i/>
          <w:iCs/>
          <w:sz w:val="20"/>
          <w:szCs w:val="20"/>
        </w:rPr>
        <w:t xml:space="preserve">Medicinal plants;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i/>
          <w:iCs/>
          <w:sz w:val="20"/>
          <w:szCs w:val="20"/>
        </w:rPr>
        <w:t xml:space="preserve">; </w:t>
      </w:r>
      <w:proofErr w:type="spellStart"/>
      <w:r>
        <w:rPr>
          <w:rFonts w:ascii="Arial" w:eastAsia="Times New Roman" w:hAnsi="Arial" w:cs="Arial"/>
          <w:bCs/>
          <w:i/>
          <w:iCs/>
          <w:sz w:val="20"/>
          <w:szCs w:val="20"/>
        </w:rPr>
        <w:t>phathogens</w:t>
      </w:r>
      <w:proofErr w:type="spellEnd"/>
      <w:r>
        <w:rPr>
          <w:rFonts w:ascii="Arial" w:eastAsia="Times New Roman" w:hAnsi="Arial" w:cs="Arial"/>
          <w:bCs/>
          <w:i/>
          <w:iCs/>
          <w:sz w:val="20"/>
          <w:szCs w:val="20"/>
        </w:rPr>
        <w:t xml:space="preserve">;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i/>
          <w:iCs/>
          <w:sz w:val="20"/>
          <w:szCs w:val="20"/>
        </w:rPr>
        <w:t>; solvent.</w:t>
      </w:r>
    </w:p>
    <w:p>
      <w:pPr>
        <w:spacing w:after="0" w:line="240" w:lineRule="auto"/>
        <w:ind w:left="1080" w:hanging="1080"/>
        <w:contextualSpacing/>
        <w:jc w:val="both"/>
        <w:rPr>
          <w:rFonts w:ascii="Arial" w:eastAsia="Times New Roman" w:hAnsi="Arial" w:cs="Arial"/>
          <w:bCs/>
          <w:i/>
          <w:iCs/>
          <w:sz w:val="20"/>
          <w:szCs w:val="20"/>
        </w:rPr>
      </w:pPr>
    </w:p>
    <w:p>
      <w:pPr>
        <w:pStyle w:val="Heading2"/>
        <w:rPr>
          <w:rFonts w:eastAsia="Times New Roman"/>
        </w:rPr>
        <w:sectPr>
          <w:headerReference w:type="default" r:id="rId8"/>
          <w:footerReference w:type="default" r:id="rId9"/>
          <w:footerReference w:type="first" r:id="rId10"/>
          <w:pgSz w:w="11909" w:h="16834" w:code="9"/>
          <w:pgMar w:top="1440" w:right="1440" w:bottom="1440" w:left="1440" w:header="720" w:footer="864" w:gutter="0"/>
          <w:pgNumType w:start="27"/>
          <w:cols w:space="720"/>
          <w:titlePg/>
          <w:docGrid w:linePitch="360"/>
        </w:sectPr>
      </w:pPr>
      <w:bookmarkStart w:id="0" w:name="_Toc485358816"/>
    </w:p>
    <w:p>
      <w:pPr>
        <w:pStyle w:val="Heading2"/>
        <w:rPr>
          <w:rFonts w:eastAsia="Times New Roman"/>
        </w:rPr>
      </w:pPr>
      <w:r>
        <w:rPr>
          <w:rFonts w:eastAsia="Times New Roman"/>
        </w:rPr>
        <w:t>1. INTRODUCTION</w:t>
      </w:r>
      <w:bookmarkEnd w:id="0"/>
    </w:p>
    <w:p>
      <w:pPr>
        <w:spacing w:after="0" w:line="240" w:lineRule="auto"/>
        <w:contextualSpacing/>
        <w:jc w:val="both"/>
        <w:rPr>
          <w:rFonts w:ascii="Arial" w:eastAsia="Times New Roman" w:hAnsi="Arial" w:cs="Arial"/>
          <w:b/>
          <w:bCs/>
          <w:sz w:val="14"/>
          <w:szCs w:val="14"/>
        </w:rPr>
      </w:pPr>
    </w:p>
    <w:p>
      <w:pPr>
        <w:spacing w:after="0" w:line="240" w:lineRule="auto"/>
        <w:contextualSpacing/>
        <w:jc w:val="both"/>
        <w:rPr>
          <w:rFonts w:ascii="Arial" w:eastAsia="Times New Roman" w:hAnsi="Arial" w:cs="Arial"/>
          <w:b/>
          <w:bCs/>
        </w:rPr>
      </w:pPr>
      <w:bookmarkStart w:id="1" w:name="_Toc485358817"/>
      <w:r>
        <w:rPr>
          <w:rFonts w:ascii="Arial" w:eastAsia="Times New Roman" w:hAnsi="Arial" w:cs="Arial"/>
          <w:b/>
          <w:bCs/>
        </w:rPr>
        <w:t>1.1 Background</w:t>
      </w:r>
      <w:bookmarkEnd w:id="1"/>
    </w:p>
    <w:p>
      <w:pPr>
        <w:spacing w:after="0" w:line="240" w:lineRule="auto"/>
        <w:contextualSpacing/>
        <w:jc w:val="both"/>
        <w:rPr>
          <w:rFonts w:ascii="Arial" w:eastAsia="Times New Roman" w:hAnsi="Arial" w:cs="Arial"/>
          <w:b/>
          <w:bCs/>
          <w:sz w:val="14"/>
          <w:szCs w:val="14"/>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The emergence of drug resistant microorganism and an increasing evolutionary adaptation by microorganism to the commonly used antimicrobial have reduced the effectiveness of the antimicrobial agents in use. According to Ndip et al. [1], medicinal plants constitute a source of both traditional and </w:t>
      </w:r>
      <w:proofErr w:type="gramStart"/>
      <w:r>
        <w:rPr>
          <w:rFonts w:ascii="Arial" w:eastAsia="Times New Roman" w:hAnsi="Arial" w:cs="Arial"/>
          <w:bCs/>
          <w:sz w:val="20"/>
          <w:szCs w:val="20"/>
        </w:rPr>
        <w:t>modern  medicines</w:t>
      </w:r>
      <w:proofErr w:type="gramEnd"/>
      <w:r>
        <w:rPr>
          <w:rFonts w:ascii="Arial" w:eastAsia="Times New Roman" w:hAnsi="Arial" w:cs="Arial"/>
          <w:bCs/>
          <w:sz w:val="20"/>
          <w:szCs w:val="20"/>
        </w:rPr>
        <w:t>. Hence, today researchers have discovered more than 10,000 medicinal plants with biologically active compounds of microbial origin [2].</w:t>
      </w:r>
    </w:p>
    <w:p>
      <w:pPr>
        <w:spacing w:after="0" w:line="240" w:lineRule="auto"/>
        <w:contextualSpacing/>
        <w:jc w:val="both"/>
        <w:rPr>
          <w:rFonts w:ascii="Arial" w:eastAsia="Times New Roman" w:hAnsi="Arial" w:cs="Arial"/>
          <w:bCs/>
          <w:sz w:val="14"/>
          <w:szCs w:val="14"/>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In developing nations about 65-80% of the world’s population relies essentially on traditional medicinal plants and traditionally processed products for treatment of different type of bacterial and human aliment diseases [3]</w:t>
      </w:r>
      <w:r>
        <w:rPr>
          <w:rFonts w:ascii="Arial" w:eastAsia="Times New Roman" w:hAnsi="Arial" w:cs="Arial"/>
          <w:b/>
          <w:bCs/>
          <w:sz w:val="20"/>
          <w:szCs w:val="20"/>
        </w:rPr>
        <w:t>.</w:t>
      </w:r>
      <w:r>
        <w:rPr>
          <w:rFonts w:ascii="Arial" w:eastAsia="Times New Roman" w:hAnsi="Arial" w:cs="Arial"/>
          <w:bCs/>
          <w:sz w:val="20"/>
          <w:szCs w:val="20"/>
        </w:rPr>
        <w:t xml:space="preserve"> In Ethiopia about 80% of the total populations use plant based traditional medicine by their indigenous knowledge as their major primary health care system.  This traditional knowledge of medicinal plants is serving as an input and a walking step for many researchers to investigate the effectiveness of the medicinal plant through scientific work with experimental evidences for the discovery of new drugs [4]</w:t>
      </w:r>
      <w:r>
        <w:rPr>
          <w:rFonts w:ascii="Arial" w:eastAsia="Times New Roman" w:hAnsi="Arial" w:cs="Arial"/>
          <w:b/>
          <w:bCs/>
          <w:sz w:val="20"/>
          <w:szCs w:val="20"/>
        </w:rPr>
        <w:t xml:space="preserve">. </w:t>
      </w:r>
      <w:r>
        <w:rPr>
          <w:rFonts w:ascii="Arial" w:eastAsia="Times New Roman" w:hAnsi="Arial" w:cs="Arial"/>
          <w:bCs/>
          <w:sz w:val="20"/>
          <w:szCs w:val="20"/>
        </w:rPr>
        <w:t xml:space="preserve"> It is known that when plants are exposed to contact with different microorganisms, including viruses, bacteria and </w:t>
      </w:r>
      <w:r>
        <w:rPr>
          <w:rFonts w:ascii="Arial" w:eastAsia="Times New Roman" w:hAnsi="Arial" w:cs="Arial"/>
          <w:bCs/>
          <w:sz w:val="20"/>
          <w:szCs w:val="20"/>
        </w:rPr>
        <w:lastRenderedPageBreak/>
        <w:t xml:space="preserve">fungi, plants </w:t>
      </w:r>
      <w:proofErr w:type="gramStart"/>
      <w:r>
        <w:rPr>
          <w:rFonts w:ascii="Arial" w:eastAsia="Times New Roman" w:hAnsi="Arial" w:cs="Arial"/>
          <w:bCs/>
          <w:sz w:val="20"/>
          <w:szCs w:val="20"/>
        </w:rPr>
        <w:t>synthesizes</w:t>
      </w:r>
      <w:proofErr w:type="gramEnd"/>
      <w:r>
        <w:rPr>
          <w:rFonts w:ascii="Arial" w:eastAsia="Times New Roman" w:hAnsi="Arial" w:cs="Arial"/>
          <w:bCs/>
          <w:sz w:val="20"/>
          <w:szCs w:val="20"/>
        </w:rPr>
        <w:t xml:space="preserve"> secondary metabolites like tannins, alkaloids, carbohydrates, terpenoids, steroids and flavonoids, which produce definite physiological action on the human body and these bioactive substances [5,6].</w:t>
      </w:r>
    </w:p>
    <w:p>
      <w:pPr>
        <w:spacing w:after="0" w:line="240" w:lineRule="auto"/>
        <w:contextualSpacing/>
        <w:jc w:val="both"/>
        <w:rPr>
          <w:rFonts w:ascii="Arial" w:eastAsia="Times New Roman" w:hAnsi="Arial" w:cs="Arial"/>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Different studies have been reported to extract plant secondary metabolite with various solvents for antimicrobial properties (ethanol, methanol, petroleum ether, chloroform, hexane, ethyl acetate, dichloromethane (DCM) and water) [7,8,9,1,10,11]</w:t>
      </w:r>
      <w:r>
        <w:rPr>
          <w:rFonts w:ascii="Arial" w:eastAsia="Times New Roman" w:hAnsi="Arial" w:cs="Arial"/>
          <w:b/>
          <w:bCs/>
          <w:sz w:val="20"/>
          <w:szCs w:val="20"/>
        </w:rPr>
        <w:t xml:space="preserve">. </w:t>
      </w:r>
      <w:r>
        <w:rPr>
          <w:rFonts w:ascii="Arial" w:eastAsia="Times New Roman" w:hAnsi="Arial" w:cs="Arial"/>
          <w:bCs/>
          <w:sz w:val="20"/>
          <w:szCs w:val="20"/>
        </w:rPr>
        <w:t xml:space="preserve">Numerous studies have been carried out on using natural products for screening antimicrobial activity, but no attention has been given to use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and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i/>
          <w:sz w:val="20"/>
          <w:szCs w:val="20"/>
        </w:rPr>
        <w:t xml:space="preserve"> </w:t>
      </w:r>
      <w:r>
        <w:rPr>
          <w:rFonts w:ascii="Arial" w:eastAsia="Times New Roman" w:hAnsi="Arial" w:cs="Arial"/>
          <w:bCs/>
          <w:sz w:val="20"/>
          <w:szCs w:val="20"/>
        </w:rPr>
        <w:t xml:space="preserve">for antimicrobial activity [12-19]. Therefore, the main objective of this study is to test the antibacterial activity of the two extract against sexual transmitted disease (STD) and some other selected test organism.  </w:t>
      </w:r>
    </w:p>
    <w:p>
      <w:pPr>
        <w:spacing w:after="0" w:line="240" w:lineRule="auto"/>
        <w:contextualSpacing/>
        <w:jc w:val="both"/>
        <w:rPr>
          <w:rFonts w:ascii="Arial" w:eastAsia="Times New Roman" w:hAnsi="Arial" w:cs="Arial"/>
          <w:bCs/>
          <w:sz w:val="20"/>
          <w:szCs w:val="20"/>
        </w:rPr>
      </w:pPr>
    </w:p>
    <w:p>
      <w:pPr>
        <w:spacing w:after="0" w:line="240" w:lineRule="auto"/>
        <w:contextualSpacing/>
        <w:jc w:val="both"/>
        <w:rPr>
          <w:rFonts w:ascii="Arial" w:eastAsia="Times New Roman" w:hAnsi="Arial" w:cs="Arial"/>
          <w:b/>
        </w:rPr>
      </w:pPr>
      <w:bookmarkStart w:id="2" w:name="_Toc485358818"/>
      <w:r>
        <w:rPr>
          <w:rFonts w:ascii="Arial" w:eastAsia="Times New Roman" w:hAnsi="Arial" w:cs="Arial"/>
          <w:b/>
        </w:rPr>
        <w:t>1.2 Statement of Problem</w:t>
      </w:r>
      <w:bookmarkEnd w:id="2"/>
    </w:p>
    <w:p>
      <w:pPr>
        <w:spacing w:after="0" w:line="240" w:lineRule="auto"/>
        <w:contextualSpacing/>
        <w:jc w:val="both"/>
        <w:rPr>
          <w:rFonts w:ascii="Arial" w:eastAsia="Times New Roman" w:hAnsi="Arial" w:cs="Arial"/>
          <w:b/>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The conventional antimicrobial agents usually provide effective antibiotic therapy for bacterial infections but today many of the antimicrobial agents fail to respond to treatment and resulting in prolonged illness and greater risk of death. Treatment failures are mainly due to the adaptation evolution of resistant bacteria. The treatment failure of the conventional drug leads to longer periods of infectivity, which increase the numbers of infected people moving in the community and thus expose the general population to the risk of contracting a resistant strain. Therefore, the scientific community searches novel classes of antimicrobial agent due to the increasing population at risk and the growing prevalence of resistant pathogenic bacteria. The antimicrobial compounds from plants may inhibit bacteria than the presently used antibiotics and may have clinical value in treatment of resistant microbial strains [7]. This study evaluates the antimicrobial activity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i/>
          <w:iCs/>
          <w:sz w:val="20"/>
          <w:szCs w:val="20"/>
        </w:rPr>
        <w:t xml:space="preserve"> and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extract to understand its antimicrobial activity against selected both Gram-negative and Gram-positive bacteria. This constitutes part of an effort to identify potential sources of cheap starting materials for the synthesis of new drugs to circumvent the problem of increasing drug resistance against the selected pathogens.</w:t>
      </w:r>
    </w:p>
    <w:p>
      <w:pPr>
        <w:spacing w:after="0" w:line="240" w:lineRule="auto"/>
        <w:contextualSpacing/>
        <w:jc w:val="both"/>
        <w:rPr>
          <w:rFonts w:ascii="Arial" w:eastAsia="Times New Roman" w:hAnsi="Arial" w:cs="Arial"/>
          <w:bCs/>
        </w:rPr>
      </w:pPr>
    </w:p>
    <w:p>
      <w:pPr>
        <w:spacing w:after="0" w:line="240" w:lineRule="auto"/>
        <w:contextualSpacing/>
        <w:jc w:val="both"/>
        <w:rPr>
          <w:rFonts w:ascii="Arial" w:eastAsia="Times New Roman" w:hAnsi="Arial" w:cs="Arial"/>
          <w:b/>
          <w:bCs/>
        </w:rPr>
      </w:pPr>
      <w:bookmarkStart w:id="3" w:name="_Toc485358819"/>
      <w:r>
        <w:rPr>
          <w:rFonts w:ascii="Arial" w:eastAsia="Times New Roman" w:hAnsi="Arial" w:cs="Arial"/>
          <w:b/>
          <w:bCs/>
        </w:rPr>
        <w:t>1.3 Significance of Study</w:t>
      </w:r>
      <w:bookmarkEnd w:id="3"/>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Most population in sub-Saharan Africa depends on traditional medicine for their primary </w:t>
      </w:r>
      <w:r>
        <w:rPr>
          <w:rFonts w:ascii="Arial" w:eastAsia="Times New Roman" w:hAnsi="Arial" w:cs="Arial"/>
          <w:bCs/>
          <w:sz w:val="20"/>
          <w:szCs w:val="20"/>
        </w:rPr>
        <w:t xml:space="preserve">healthcare and many of the antimicrobial agents which are in use today were discovered from plant. This makes it necessary to have research on medicinal plants so as to obtain more potent pharmacological agents [20]. In this context, there is a critical need to mainstream traditional medicine into public health care to achieve the objective of improved access to healthcare facilities. Limited information is available regarding antimicrobial activity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i/>
          <w:iCs/>
          <w:sz w:val="20"/>
          <w:szCs w:val="20"/>
        </w:rPr>
        <w:t xml:space="preserve"> and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therefore, this study is carried out to investigate the antimicrobial activity of the extracts from against selected standard STD and bacterial species.</w:t>
      </w:r>
    </w:p>
    <w:p>
      <w:pPr>
        <w:spacing w:after="0" w:line="240" w:lineRule="auto"/>
        <w:contextualSpacing/>
        <w:jc w:val="both"/>
        <w:rPr>
          <w:rFonts w:ascii="Arial" w:eastAsia="Times New Roman" w:hAnsi="Arial" w:cs="Arial"/>
          <w:b/>
          <w:bCs/>
        </w:rPr>
      </w:pPr>
    </w:p>
    <w:p>
      <w:pPr>
        <w:pStyle w:val="Heading2"/>
        <w:rPr>
          <w:rFonts w:eastAsia="Times New Roman"/>
          <w:szCs w:val="22"/>
        </w:rPr>
      </w:pPr>
      <w:bookmarkStart w:id="4" w:name="_Toc485358820"/>
      <w:r>
        <w:rPr>
          <w:rFonts w:eastAsia="Times New Roman"/>
          <w:szCs w:val="22"/>
        </w:rPr>
        <w:t>1.4 Objective</w:t>
      </w:r>
      <w:bookmarkEnd w:id="4"/>
      <w:r>
        <w:rPr>
          <w:rFonts w:eastAsia="Times New Roman"/>
          <w:szCs w:val="22"/>
        </w:rPr>
        <w:t>s</w:t>
      </w:r>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b/>
          <w:bCs/>
          <w:sz w:val="20"/>
          <w:szCs w:val="20"/>
        </w:rPr>
      </w:pPr>
      <w:bookmarkStart w:id="5" w:name="_Toc485358821"/>
      <w:r>
        <w:rPr>
          <w:rFonts w:ascii="Arial" w:eastAsia="Times New Roman" w:hAnsi="Arial" w:cs="Arial"/>
          <w:b/>
          <w:bCs/>
          <w:sz w:val="20"/>
          <w:szCs w:val="20"/>
        </w:rPr>
        <w:t>1.4.1 General objective</w:t>
      </w:r>
      <w:bookmarkEnd w:id="5"/>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sz w:val="20"/>
          <w:szCs w:val="20"/>
        </w:rPr>
      </w:pPr>
      <w:r>
        <w:rPr>
          <w:rFonts w:ascii="Arial" w:eastAsia="Times New Roman" w:hAnsi="Arial" w:cs="Arial"/>
          <w:bCs/>
          <w:sz w:val="20"/>
          <w:szCs w:val="20"/>
        </w:rPr>
        <w:t xml:space="preserve">The overall objective of the present study is to </w:t>
      </w:r>
      <w:bookmarkStart w:id="6" w:name="_Toc485358822"/>
      <w:r>
        <w:rPr>
          <w:rFonts w:ascii="Arial" w:eastAsia="Times New Roman" w:hAnsi="Arial" w:cs="Arial"/>
          <w:bCs/>
          <w:sz w:val="20"/>
          <w:szCs w:val="20"/>
          <w:lang w:val="en-GB"/>
        </w:rPr>
        <w:t xml:space="preserve">explore the </w:t>
      </w:r>
      <w:r>
        <w:rPr>
          <w:rFonts w:ascii="Arial" w:eastAsia="Times New Roman" w:hAnsi="Arial" w:cs="Arial"/>
          <w:bCs/>
          <w:i/>
          <w:iCs/>
          <w:sz w:val="20"/>
          <w:szCs w:val="20"/>
          <w:lang w:val="en-GB"/>
        </w:rPr>
        <w:t>in vitro</w:t>
      </w:r>
      <w:r>
        <w:rPr>
          <w:rFonts w:ascii="Arial" w:eastAsia="Times New Roman" w:hAnsi="Arial" w:cs="Arial"/>
          <w:bCs/>
          <w:sz w:val="20"/>
          <w:szCs w:val="20"/>
          <w:lang w:val="en-GB"/>
        </w:rPr>
        <w:t xml:space="preserve"> antibacterial efficacy of </w:t>
      </w:r>
      <w:proofErr w:type="spellStart"/>
      <w:r>
        <w:rPr>
          <w:rFonts w:ascii="Arial" w:eastAsia="Times New Roman" w:hAnsi="Arial" w:cs="Arial"/>
          <w:bCs/>
          <w:sz w:val="20"/>
          <w:szCs w:val="20"/>
          <w:lang w:val="en-GB"/>
        </w:rPr>
        <w:t>Yemidir</w:t>
      </w:r>
      <w:proofErr w:type="spellEnd"/>
      <w:r>
        <w:rPr>
          <w:rFonts w:ascii="Arial" w:eastAsia="Times New Roman" w:hAnsi="Arial" w:cs="Arial"/>
          <w:bCs/>
          <w:sz w:val="20"/>
          <w:szCs w:val="20"/>
          <w:lang w:val="en-GB"/>
        </w:rPr>
        <w:t xml:space="preserve"> </w:t>
      </w:r>
      <w:proofErr w:type="spellStart"/>
      <w:r>
        <w:rPr>
          <w:rFonts w:ascii="Arial" w:eastAsia="Times New Roman" w:hAnsi="Arial" w:cs="Arial"/>
          <w:bCs/>
          <w:sz w:val="20"/>
          <w:szCs w:val="20"/>
          <w:lang w:val="en-GB"/>
        </w:rPr>
        <w:t>embuay</w:t>
      </w:r>
      <w:proofErr w:type="spellEnd"/>
      <w:r>
        <w:rPr>
          <w:rFonts w:ascii="Arial" w:eastAsia="Times New Roman" w:hAnsi="Arial" w:cs="Arial"/>
          <w:bCs/>
          <w:sz w:val="20"/>
          <w:szCs w:val="20"/>
          <w:lang w:val="en-GB"/>
        </w:rPr>
        <w:t xml:space="preserve"> (</w:t>
      </w:r>
      <w:r>
        <w:rPr>
          <w:rFonts w:ascii="Arial" w:eastAsia="Times New Roman" w:hAnsi="Arial" w:cs="Arial"/>
          <w:bCs/>
          <w:i/>
          <w:sz w:val="20"/>
          <w:szCs w:val="20"/>
          <w:lang w:val="en-GB"/>
        </w:rPr>
        <w:t xml:space="preserve">Cucumis </w:t>
      </w:r>
      <w:proofErr w:type="spellStart"/>
      <w:r>
        <w:rPr>
          <w:rFonts w:ascii="Arial" w:eastAsia="Times New Roman" w:hAnsi="Arial" w:cs="Arial"/>
          <w:bCs/>
          <w:i/>
          <w:sz w:val="20"/>
          <w:szCs w:val="20"/>
          <w:lang w:val="en-GB"/>
        </w:rPr>
        <w:t>focifolius</w:t>
      </w:r>
      <w:proofErr w:type="spellEnd"/>
      <w:r>
        <w:rPr>
          <w:rFonts w:ascii="Arial" w:eastAsia="Times New Roman" w:hAnsi="Arial" w:cs="Arial"/>
          <w:bCs/>
          <w:sz w:val="20"/>
          <w:szCs w:val="20"/>
          <w:lang w:val="en-GB"/>
        </w:rPr>
        <w:t xml:space="preserve">) and </w:t>
      </w:r>
      <w:proofErr w:type="spellStart"/>
      <w:r>
        <w:rPr>
          <w:rFonts w:ascii="Arial" w:eastAsia="Times New Roman" w:hAnsi="Arial" w:cs="Arial"/>
          <w:bCs/>
          <w:sz w:val="20"/>
          <w:szCs w:val="20"/>
          <w:lang w:val="en-GB"/>
        </w:rPr>
        <w:t>Endod</w:t>
      </w:r>
      <w:proofErr w:type="spellEnd"/>
      <w:r>
        <w:rPr>
          <w:rFonts w:ascii="Arial" w:eastAsia="Times New Roman" w:hAnsi="Arial" w:cs="Arial"/>
          <w:bCs/>
          <w:sz w:val="20"/>
          <w:szCs w:val="20"/>
          <w:lang w:val="en-GB"/>
        </w:rPr>
        <w:t xml:space="preserve"> (</w:t>
      </w:r>
      <w:proofErr w:type="spellStart"/>
      <w:r>
        <w:rPr>
          <w:rFonts w:ascii="Arial" w:eastAsia="Times New Roman" w:hAnsi="Arial" w:cs="Arial"/>
          <w:bCs/>
          <w:i/>
          <w:sz w:val="20"/>
          <w:szCs w:val="20"/>
          <w:lang w:val="en-GB"/>
        </w:rPr>
        <w:t>Phytolacca</w:t>
      </w:r>
      <w:proofErr w:type="spellEnd"/>
      <w:r>
        <w:rPr>
          <w:rFonts w:ascii="Arial" w:eastAsia="Times New Roman" w:hAnsi="Arial" w:cs="Arial"/>
          <w:bCs/>
          <w:i/>
          <w:sz w:val="20"/>
          <w:szCs w:val="20"/>
          <w:lang w:val="en-GB"/>
        </w:rPr>
        <w:t xml:space="preserve"> </w:t>
      </w:r>
      <w:proofErr w:type="spellStart"/>
      <w:r>
        <w:rPr>
          <w:rFonts w:ascii="Arial" w:eastAsia="Times New Roman" w:hAnsi="Arial" w:cs="Arial"/>
          <w:bCs/>
          <w:i/>
          <w:sz w:val="20"/>
          <w:szCs w:val="20"/>
          <w:lang w:val="en-GB"/>
        </w:rPr>
        <w:t>dodecandra</w:t>
      </w:r>
      <w:proofErr w:type="spellEnd"/>
      <w:r>
        <w:rPr>
          <w:rFonts w:ascii="Arial" w:eastAsia="Times New Roman" w:hAnsi="Arial" w:cs="Arial"/>
          <w:bCs/>
          <w:sz w:val="20"/>
          <w:szCs w:val="20"/>
          <w:lang w:val="en-GB"/>
        </w:rPr>
        <w:t xml:space="preserve">) of different extracts </w:t>
      </w:r>
      <w:r>
        <w:rPr>
          <w:rFonts w:ascii="Arial" w:eastAsia="Times New Roman" w:hAnsi="Arial" w:cs="Arial"/>
          <w:sz w:val="20"/>
          <w:szCs w:val="20"/>
        </w:rPr>
        <w:t>against some bacteria pathogens.</w:t>
      </w:r>
    </w:p>
    <w:p>
      <w:pPr>
        <w:spacing w:after="0" w:line="240" w:lineRule="auto"/>
        <w:contextualSpacing/>
        <w:jc w:val="both"/>
        <w:rPr>
          <w:rFonts w:ascii="Arial" w:eastAsia="Times New Roman" w:hAnsi="Arial" w:cs="Arial"/>
          <w:b/>
          <w:sz w:val="20"/>
          <w:szCs w:val="20"/>
        </w:rPr>
      </w:pPr>
      <w:r>
        <w:rPr>
          <w:rFonts w:ascii="Arial" w:eastAsia="Times New Roman" w:hAnsi="Arial" w:cs="Arial"/>
          <w:b/>
          <w:sz w:val="20"/>
          <w:szCs w:val="20"/>
        </w:rPr>
        <w:t>1.4.2 Specific objective</w:t>
      </w:r>
      <w:bookmarkEnd w:id="6"/>
    </w:p>
    <w:p>
      <w:pPr>
        <w:spacing w:after="0" w:line="240" w:lineRule="auto"/>
        <w:contextualSpacing/>
        <w:jc w:val="both"/>
        <w:rPr>
          <w:rFonts w:ascii="Arial" w:eastAsia="Times New Roman" w:hAnsi="Arial" w:cs="Arial"/>
          <w:bCs/>
          <w:sz w:val="16"/>
          <w:szCs w:val="16"/>
        </w:rPr>
      </w:pPr>
    </w:p>
    <w:p>
      <w:pPr>
        <w:numPr>
          <w:ilvl w:val="0"/>
          <w:numId w:val="4"/>
        </w:numPr>
        <w:spacing w:after="0" w:line="240" w:lineRule="auto"/>
        <w:ind w:left="540"/>
        <w:contextualSpacing/>
        <w:jc w:val="both"/>
        <w:rPr>
          <w:rFonts w:ascii="Arial" w:eastAsia="Times New Roman" w:hAnsi="Arial" w:cs="Arial"/>
          <w:bCs/>
          <w:sz w:val="20"/>
          <w:szCs w:val="20"/>
        </w:rPr>
      </w:pPr>
      <w:r>
        <w:rPr>
          <w:rFonts w:ascii="Arial" w:eastAsia="Times New Roman" w:hAnsi="Arial" w:cs="Arial"/>
          <w:bCs/>
          <w:sz w:val="20"/>
          <w:szCs w:val="20"/>
        </w:rPr>
        <w:t xml:space="preserve">To screen the major </w:t>
      </w:r>
      <w:r>
        <w:rPr>
          <w:rFonts w:ascii="Arial" w:eastAsia="Times New Roman" w:hAnsi="Arial" w:cs="Arial"/>
          <w:bCs/>
          <w:sz w:val="20"/>
          <w:szCs w:val="20"/>
          <w:lang w:val="en-GB"/>
        </w:rPr>
        <w:t xml:space="preserve">phytochemicals </w:t>
      </w:r>
      <w:r>
        <w:rPr>
          <w:rFonts w:ascii="Arial" w:eastAsia="Times New Roman" w:hAnsi="Arial" w:cs="Arial"/>
          <w:bCs/>
          <w:sz w:val="20"/>
          <w:szCs w:val="20"/>
        </w:rPr>
        <w:t xml:space="preserve">found in crude extracts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 xml:space="preserve">and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p>
    <w:p>
      <w:pPr>
        <w:numPr>
          <w:ilvl w:val="0"/>
          <w:numId w:val="4"/>
        </w:numPr>
        <w:spacing w:after="0" w:line="240" w:lineRule="auto"/>
        <w:ind w:left="540"/>
        <w:contextualSpacing/>
        <w:jc w:val="both"/>
        <w:rPr>
          <w:rFonts w:ascii="Arial" w:eastAsia="Times New Roman" w:hAnsi="Arial" w:cs="Arial"/>
          <w:bCs/>
          <w:sz w:val="20"/>
          <w:szCs w:val="20"/>
        </w:rPr>
      </w:pPr>
      <w:r>
        <w:rPr>
          <w:rFonts w:ascii="Arial" w:eastAsia="Times New Roman" w:hAnsi="Arial" w:cs="Arial"/>
          <w:bCs/>
          <w:sz w:val="20"/>
          <w:szCs w:val="20"/>
        </w:rPr>
        <w:t xml:space="preserve">To evaluate the antibacterial activity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 xml:space="preserve">and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extracts against selected bacteria pathogens.</w:t>
      </w:r>
    </w:p>
    <w:p>
      <w:pPr>
        <w:numPr>
          <w:ilvl w:val="0"/>
          <w:numId w:val="4"/>
        </w:numPr>
        <w:spacing w:after="0" w:line="240" w:lineRule="auto"/>
        <w:ind w:left="540"/>
        <w:contextualSpacing/>
        <w:jc w:val="both"/>
        <w:rPr>
          <w:rFonts w:ascii="Arial" w:eastAsia="Times New Roman" w:hAnsi="Arial" w:cs="Arial"/>
          <w:bCs/>
          <w:sz w:val="20"/>
          <w:szCs w:val="20"/>
        </w:rPr>
      </w:pPr>
      <w:r>
        <w:rPr>
          <w:rFonts w:ascii="Arial" w:eastAsia="Times New Roman" w:hAnsi="Arial" w:cs="Arial"/>
          <w:bCs/>
          <w:sz w:val="20"/>
          <w:szCs w:val="20"/>
        </w:rPr>
        <w:t xml:space="preserve">To Evaluate the Minimum Inhibitory Concentration of crude extracts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 xml:space="preserve">and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p>
    <w:p>
      <w:pPr>
        <w:spacing w:after="0" w:line="240" w:lineRule="auto"/>
        <w:contextualSpacing/>
        <w:jc w:val="both"/>
        <w:rPr>
          <w:rFonts w:ascii="Arial" w:eastAsia="Times New Roman" w:hAnsi="Arial" w:cs="Arial"/>
          <w:bCs/>
          <w:sz w:val="16"/>
          <w:szCs w:val="16"/>
        </w:rPr>
      </w:pPr>
    </w:p>
    <w:p>
      <w:pPr>
        <w:pStyle w:val="Heading2"/>
        <w:rPr>
          <w:rFonts w:eastAsia="Times New Roman"/>
        </w:rPr>
      </w:pPr>
      <w:r>
        <w:rPr>
          <w:rFonts w:eastAsia="Times New Roman"/>
        </w:rPr>
        <w:t>3. MATERIALS AND METHODS</w:t>
      </w:r>
      <w:bookmarkStart w:id="7" w:name="_Toc485358833"/>
    </w:p>
    <w:p>
      <w:pPr>
        <w:spacing w:after="0" w:line="240" w:lineRule="auto"/>
        <w:contextualSpacing/>
        <w:jc w:val="both"/>
        <w:rPr>
          <w:rFonts w:ascii="Arial" w:eastAsia="Times New Roman" w:hAnsi="Arial" w:cs="Arial"/>
          <w:b/>
          <w:bCs/>
          <w:sz w:val="16"/>
          <w:szCs w:val="16"/>
        </w:rPr>
      </w:pPr>
    </w:p>
    <w:p>
      <w:pPr>
        <w:spacing w:after="0" w:line="240" w:lineRule="auto"/>
        <w:contextualSpacing/>
        <w:jc w:val="both"/>
        <w:rPr>
          <w:rFonts w:ascii="Arial" w:eastAsia="Times New Roman" w:hAnsi="Arial" w:cs="Arial"/>
          <w:b/>
          <w:bCs/>
        </w:rPr>
      </w:pPr>
      <w:r>
        <w:rPr>
          <w:rFonts w:ascii="Arial" w:eastAsia="Times New Roman" w:hAnsi="Arial" w:cs="Arial"/>
          <w:b/>
          <w:bCs/>
        </w:rPr>
        <w:t>3.1 Study Area and Period</w:t>
      </w:r>
      <w:bookmarkEnd w:id="7"/>
      <w:r>
        <w:rPr>
          <w:rFonts w:ascii="Arial" w:eastAsia="Times New Roman" w:hAnsi="Arial" w:cs="Arial"/>
          <w:b/>
          <w:bCs/>
        </w:rPr>
        <w:t xml:space="preserve"> </w:t>
      </w:r>
    </w:p>
    <w:p>
      <w:pPr>
        <w:spacing w:after="0" w:line="240" w:lineRule="auto"/>
        <w:contextualSpacing/>
        <w:jc w:val="both"/>
        <w:rPr>
          <w:rFonts w:ascii="Arial" w:eastAsia="Times New Roman" w:hAnsi="Arial" w:cs="Arial"/>
          <w:bCs/>
          <w:sz w:val="16"/>
          <w:szCs w:val="16"/>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The study was conducted from March 2023 to September 2023 in Microbiology Laboratory of Biology department, </w:t>
      </w:r>
      <w:proofErr w:type="spellStart"/>
      <w:r>
        <w:rPr>
          <w:rFonts w:ascii="Arial" w:eastAsia="Times New Roman" w:hAnsi="Arial" w:cs="Arial"/>
          <w:bCs/>
          <w:sz w:val="20"/>
          <w:szCs w:val="20"/>
        </w:rPr>
        <w:t>Wachemo</w:t>
      </w:r>
      <w:proofErr w:type="spellEnd"/>
      <w:r>
        <w:rPr>
          <w:rFonts w:ascii="Arial" w:eastAsia="Times New Roman" w:hAnsi="Arial" w:cs="Arial"/>
          <w:bCs/>
          <w:sz w:val="20"/>
          <w:szCs w:val="20"/>
        </w:rPr>
        <w:t xml:space="preserve"> University, </w:t>
      </w:r>
      <w:proofErr w:type="spellStart"/>
      <w:r>
        <w:rPr>
          <w:rFonts w:ascii="Arial" w:eastAsia="Times New Roman" w:hAnsi="Arial" w:cs="Arial"/>
          <w:bCs/>
          <w:sz w:val="20"/>
          <w:szCs w:val="20"/>
        </w:rPr>
        <w:t>Hossana</w:t>
      </w:r>
      <w:proofErr w:type="spellEnd"/>
      <w:r>
        <w:rPr>
          <w:rFonts w:ascii="Arial" w:eastAsia="Times New Roman" w:hAnsi="Arial" w:cs="Arial"/>
          <w:bCs/>
          <w:sz w:val="20"/>
          <w:szCs w:val="20"/>
        </w:rPr>
        <w:t xml:space="preserve">, Central region of Ethiopia. </w:t>
      </w:r>
      <w:proofErr w:type="spellStart"/>
      <w:r>
        <w:rPr>
          <w:rFonts w:ascii="Arial" w:eastAsia="Times New Roman" w:hAnsi="Arial" w:cs="Arial"/>
          <w:bCs/>
          <w:sz w:val="20"/>
          <w:szCs w:val="20"/>
        </w:rPr>
        <w:t>Hossana</w:t>
      </w:r>
      <w:proofErr w:type="spellEnd"/>
      <w:r>
        <w:rPr>
          <w:rFonts w:ascii="Arial" w:eastAsia="Times New Roman" w:hAnsi="Arial" w:cs="Arial"/>
          <w:bCs/>
          <w:sz w:val="20"/>
          <w:szCs w:val="20"/>
        </w:rPr>
        <w:t xml:space="preserve"> town is located 230 kms far from Addis Ababa. The average annual temperature is 18.6 °C. The rainfall average is 1244mm.The sample of root and leaves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 xml:space="preserve">and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 xml:space="preserve">was collected from </w:t>
      </w:r>
      <w:proofErr w:type="spellStart"/>
      <w:r>
        <w:rPr>
          <w:rFonts w:ascii="Arial" w:eastAsia="Times New Roman" w:hAnsi="Arial" w:cs="Arial"/>
          <w:bCs/>
          <w:sz w:val="20"/>
          <w:szCs w:val="20"/>
        </w:rPr>
        <w:t>Hossana</w:t>
      </w:r>
      <w:proofErr w:type="spellEnd"/>
      <w:r>
        <w:rPr>
          <w:rFonts w:ascii="Arial" w:eastAsia="Times New Roman" w:hAnsi="Arial" w:cs="Arial"/>
          <w:bCs/>
          <w:sz w:val="20"/>
          <w:szCs w:val="20"/>
        </w:rPr>
        <w:t xml:space="preserve"> area. </w:t>
      </w:r>
      <w:proofErr w:type="spellStart"/>
      <w:r>
        <w:rPr>
          <w:rFonts w:ascii="Arial" w:eastAsia="Times New Roman" w:hAnsi="Arial" w:cs="Arial"/>
          <w:bCs/>
          <w:sz w:val="20"/>
          <w:szCs w:val="20"/>
        </w:rPr>
        <w:t>Hossana</w:t>
      </w:r>
      <w:proofErr w:type="spellEnd"/>
      <w:r>
        <w:rPr>
          <w:rFonts w:ascii="Arial" w:eastAsia="Times New Roman" w:hAnsi="Arial" w:cs="Arial"/>
          <w:bCs/>
          <w:sz w:val="20"/>
          <w:szCs w:val="20"/>
        </w:rPr>
        <w:t xml:space="preserve"> is a capital city of central Ethiopia, Located in the Hadiya Zone. Plants were selected based on the indigenous knowledge of the local people.</w:t>
      </w:r>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b/>
        </w:rPr>
      </w:pPr>
      <w:bookmarkStart w:id="8" w:name="_Toc485358834"/>
      <w:r>
        <w:rPr>
          <w:rFonts w:ascii="Arial" w:eastAsia="Times New Roman" w:hAnsi="Arial" w:cs="Arial"/>
          <w:b/>
        </w:rPr>
        <w:t>3.2 Design of Experiment</w:t>
      </w:r>
      <w:bookmarkEnd w:id="8"/>
    </w:p>
    <w:p>
      <w:pPr>
        <w:spacing w:after="0" w:line="240" w:lineRule="auto"/>
        <w:contextualSpacing/>
        <w:jc w:val="both"/>
        <w:rPr>
          <w:rFonts w:ascii="Arial" w:eastAsia="Times New Roman" w:hAnsi="Arial" w:cs="Arial"/>
          <w:bCs/>
        </w:rPr>
      </w:pPr>
    </w:p>
    <w:p>
      <w:pPr>
        <w:spacing w:after="0" w:line="240" w:lineRule="auto"/>
        <w:contextualSpacing/>
        <w:jc w:val="both"/>
        <w:rPr>
          <w:rFonts w:ascii="Arial" w:eastAsia="Times New Roman" w:hAnsi="Arial" w:cs="Arial"/>
          <w:b/>
          <w:bCs/>
          <w:sz w:val="20"/>
          <w:szCs w:val="20"/>
        </w:rPr>
      </w:pPr>
      <w:r>
        <w:rPr>
          <w:rFonts w:ascii="Arial" w:eastAsia="Times New Roman" w:hAnsi="Arial" w:cs="Arial"/>
          <w:bCs/>
          <w:sz w:val="20"/>
          <w:szCs w:val="20"/>
        </w:rPr>
        <w:t xml:space="preserve">To conduct this study, the researcher followed experimental and observatory study design. This helped the researcher to facilitate and to get maximum result with minimal expenditure of effort, time, and money. For each selected bacterial isolate, the </w:t>
      </w:r>
      <w:proofErr w:type="spellStart"/>
      <w:r>
        <w:rPr>
          <w:rFonts w:ascii="Arial" w:eastAsia="Times New Roman" w:hAnsi="Arial" w:cs="Arial"/>
          <w:bCs/>
          <w:sz w:val="20"/>
          <w:szCs w:val="20"/>
        </w:rPr>
        <w:t>the</w:t>
      </w:r>
      <w:proofErr w:type="spellEnd"/>
      <w:r>
        <w:rPr>
          <w:rFonts w:ascii="Arial" w:eastAsia="Times New Roman" w:hAnsi="Arial" w:cs="Arial"/>
          <w:bCs/>
          <w:sz w:val="20"/>
          <w:szCs w:val="20"/>
        </w:rPr>
        <w:t xml:space="preserve"> efficacy experiment was carried with three replications for precision of result [21].</w:t>
      </w:r>
    </w:p>
    <w:p>
      <w:pPr>
        <w:spacing w:after="0" w:line="240" w:lineRule="auto"/>
        <w:contextualSpacing/>
        <w:jc w:val="both"/>
        <w:rPr>
          <w:rFonts w:ascii="Arial" w:eastAsia="Times New Roman" w:hAnsi="Arial" w:cs="Arial"/>
          <w:bCs/>
        </w:rPr>
      </w:pPr>
    </w:p>
    <w:p>
      <w:pPr>
        <w:spacing w:after="0" w:line="240" w:lineRule="auto"/>
        <w:contextualSpacing/>
        <w:jc w:val="both"/>
        <w:rPr>
          <w:rFonts w:ascii="Arial" w:eastAsia="Times New Roman" w:hAnsi="Arial" w:cs="Arial"/>
          <w:b/>
          <w:bCs/>
        </w:rPr>
      </w:pPr>
      <w:bookmarkStart w:id="9" w:name="_Toc485358836"/>
      <w:r>
        <w:rPr>
          <w:rFonts w:ascii="Arial" w:eastAsia="Times New Roman" w:hAnsi="Arial" w:cs="Arial"/>
          <w:b/>
          <w:bCs/>
        </w:rPr>
        <w:t>3.3 Preparation of Plant Extracts</w:t>
      </w:r>
      <w:bookmarkEnd w:id="9"/>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The plant materials of both </w:t>
      </w:r>
      <w:r>
        <w:rPr>
          <w:rFonts w:ascii="Arial" w:eastAsia="Times New Roman" w:hAnsi="Arial" w:cs="Arial"/>
          <w:bCs/>
          <w:i/>
          <w:iCs/>
          <w:sz w:val="20"/>
          <w:szCs w:val="20"/>
        </w:rPr>
        <w:t xml:space="preserve">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and</w:t>
      </w:r>
      <w:r>
        <w:rPr>
          <w:rFonts w:ascii="Arial" w:eastAsia="Times New Roman" w:hAnsi="Arial" w:cs="Arial"/>
          <w:bCs/>
          <w:i/>
          <w:iCs/>
          <w:sz w:val="20"/>
          <w:szCs w:val="20"/>
        </w:rPr>
        <w:t xml:space="preserve"> P. </w:t>
      </w:r>
      <w:proofErr w:type="spellStart"/>
      <w:r>
        <w:rPr>
          <w:rFonts w:ascii="Arial" w:eastAsia="Times New Roman" w:hAnsi="Arial" w:cs="Arial"/>
          <w:bCs/>
          <w:i/>
          <w:iCs/>
          <w:sz w:val="20"/>
          <w:szCs w:val="20"/>
        </w:rPr>
        <w:t>dodecandra</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 xml:space="preserve">were air dried under shade at room temperature in biology Laboratory of </w:t>
      </w:r>
      <w:proofErr w:type="spellStart"/>
      <w:r>
        <w:rPr>
          <w:rFonts w:ascii="Arial" w:eastAsia="Times New Roman" w:hAnsi="Arial" w:cs="Arial"/>
          <w:bCs/>
          <w:sz w:val="20"/>
          <w:szCs w:val="20"/>
        </w:rPr>
        <w:t>Wachemo</w:t>
      </w:r>
      <w:proofErr w:type="spellEnd"/>
      <w:r>
        <w:rPr>
          <w:rFonts w:ascii="Arial" w:eastAsia="Times New Roman" w:hAnsi="Arial" w:cs="Arial"/>
          <w:bCs/>
          <w:sz w:val="20"/>
          <w:szCs w:val="20"/>
        </w:rPr>
        <w:t xml:space="preserve"> University. Plant extraction was as per the method of Ndip et al</w:t>
      </w:r>
      <w:r>
        <w:rPr>
          <w:rFonts w:ascii="Arial" w:eastAsia="Times New Roman" w:hAnsi="Arial" w:cs="Arial"/>
          <w:bCs/>
          <w:i/>
          <w:iCs/>
          <w:sz w:val="20"/>
          <w:szCs w:val="20"/>
        </w:rPr>
        <w:t xml:space="preserve">. </w:t>
      </w:r>
      <w:r>
        <w:rPr>
          <w:rFonts w:ascii="Arial" w:eastAsia="Times New Roman" w:hAnsi="Arial" w:cs="Arial"/>
          <w:bCs/>
          <w:sz w:val="20"/>
          <w:szCs w:val="20"/>
        </w:rPr>
        <w:t>[10] with slight modification. The plants were ground using grinding machine and sieved with a mesh to obtain a fine powder. Technical grade solvents (distilled water, chloroform, ethanol and methanol) were employed for extraction. Plant material (20g) was soaked in 100 ml of each solvents and 150 ml distilled water. The slurry was placed in a shaker for 72 hours and filtered through Whitman’s filter paper number one. The filtrate was then concentrated by evaporation of solvent in water bath. The yielded extracts were weighed, dissolved with DMSO and stored in a labeled tight lid container at 4°C for further bioassay.</w:t>
      </w:r>
      <w:bookmarkStart w:id="10" w:name="_Toc485358837"/>
    </w:p>
    <w:p>
      <w:pPr>
        <w:spacing w:after="0" w:line="240" w:lineRule="auto"/>
        <w:contextualSpacing/>
        <w:jc w:val="both"/>
        <w:rPr>
          <w:rFonts w:ascii="Arial" w:eastAsia="Times New Roman" w:hAnsi="Arial" w:cs="Arial"/>
          <w:bCs/>
          <w:sz w:val="20"/>
          <w:szCs w:val="20"/>
        </w:rPr>
      </w:pPr>
    </w:p>
    <w:p>
      <w:pPr>
        <w:spacing w:after="0" w:line="240" w:lineRule="auto"/>
        <w:ind w:left="540" w:hanging="540"/>
        <w:contextualSpacing/>
        <w:jc w:val="both"/>
        <w:rPr>
          <w:rFonts w:ascii="Arial" w:eastAsia="Times New Roman" w:hAnsi="Arial" w:cs="Arial"/>
          <w:b/>
          <w:bCs/>
          <w:lang w:val="en-GB"/>
        </w:rPr>
      </w:pPr>
      <w:r>
        <w:rPr>
          <w:rFonts w:ascii="Arial" w:eastAsia="Times New Roman" w:hAnsi="Arial" w:cs="Arial"/>
          <w:b/>
          <w:bCs/>
        </w:rPr>
        <w:t>3.4</w:t>
      </w:r>
      <w:r>
        <w:rPr>
          <w:rFonts w:ascii="Arial" w:eastAsia="Times New Roman" w:hAnsi="Arial" w:cs="Arial"/>
          <w:b/>
          <w:bCs/>
        </w:rPr>
        <w:tab/>
        <w:t xml:space="preserve">Qualitative Screening of the Major </w:t>
      </w:r>
      <w:bookmarkEnd w:id="10"/>
      <w:r>
        <w:rPr>
          <w:rFonts w:ascii="Arial" w:eastAsia="Times New Roman" w:hAnsi="Arial" w:cs="Arial"/>
          <w:b/>
          <w:bCs/>
          <w:lang w:val="en-GB"/>
        </w:rPr>
        <w:t>Phytochemicals</w:t>
      </w:r>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Chemical tests were carried out using aqueous and methanol crude leave extracts to identify various constituents using standard methods.</w:t>
      </w:r>
    </w:p>
    <w:p>
      <w:pPr>
        <w:spacing w:after="0" w:line="240" w:lineRule="auto"/>
        <w:contextualSpacing/>
        <w:jc w:val="both"/>
        <w:rPr>
          <w:rFonts w:ascii="Arial" w:eastAsia="Times New Roman" w:hAnsi="Arial" w:cs="Arial"/>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Qualitative analysis of some major </w:t>
      </w:r>
      <w:r>
        <w:rPr>
          <w:rFonts w:ascii="Arial" w:eastAsia="Times New Roman" w:hAnsi="Arial" w:cs="Arial"/>
          <w:bCs/>
          <w:sz w:val="20"/>
          <w:szCs w:val="20"/>
          <w:lang w:val="en-GB"/>
        </w:rPr>
        <w:t>phytochemical</w:t>
      </w:r>
      <w:r>
        <w:rPr>
          <w:rFonts w:ascii="Arial" w:eastAsia="Times New Roman" w:hAnsi="Arial" w:cs="Arial"/>
          <w:bCs/>
          <w:sz w:val="20"/>
          <w:szCs w:val="20"/>
        </w:rPr>
        <w:t>s (tannins, phenol, flavonoids, saponins, free sugars and alkaloids) from solidified crude root and leaf extracts of selected plants</w:t>
      </w:r>
      <w:r>
        <w:rPr>
          <w:rFonts w:ascii="Arial" w:eastAsia="Times New Roman" w:hAnsi="Arial" w:cs="Arial"/>
          <w:bCs/>
          <w:i/>
          <w:iCs/>
          <w:sz w:val="20"/>
          <w:szCs w:val="20"/>
        </w:rPr>
        <w:t xml:space="preserve"> </w:t>
      </w:r>
      <w:r>
        <w:rPr>
          <w:rFonts w:ascii="Arial" w:eastAsia="Times New Roman" w:hAnsi="Arial" w:cs="Arial"/>
          <w:bCs/>
          <w:sz w:val="20"/>
          <w:szCs w:val="20"/>
        </w:rPr>
        <w:t xml:space="preserve">were carried out using the standard procedures used by Ajayi et al. [22], </w:t>
      </w:r>
      <w:proofErr w:type="spellStart"/>
      <w:r>
        <w:rPr>
          <w:rFonts w:ascii="Arial" w:eastAsia="Times New Roman" w:hAnsi="Arial" w:cs="Arial"/>
          <w:bCs/>
          <w:sz w:val="20"/>
          <w:szCs w:val="20"/>
        </w:rPr>
        <w:t>Adachukwu</w:t>
      </w:r>
      <w:proofErr w:type="spellEnd"/>
      <w:r>
        <w:rPr>
          <w:rFonts w:ascii="Arial" w:eastAsia="Times New Roman" w:hAnsi="Arial" w:cs="Arial"/>
          <w:bCs/>
          <w:sz w:val="20"/>
          <w:szCs w:val="20"/>
        </w:rPr>
        <w:t xml:space="preserve"> et al. [23] and Jaradat et al</w:t>
      </w:r>
      <w:r>
        <w:rPr>
          <w:rFonts w:ascii="Arial" w:eastAsia="Times New Roman" w:hAnsi="Arial" w:cs="Arial"/>
          <w:bCs/>
          <w:i/>
          <w:iCs/>
          <w:sz w:val="20"/>
          <w:szCs w:val="20"/>
        </w:rPr>
        <w:t xml:space="preserve">. </w:t>
      </w:r>
      <w:r>
        <w:rPr>
          <w:rFonts w:ascii="Arial" w:eastAsia="Times New Roman" w:hAnsi="Arial" w:cs="Arial"/>
          <w:bCs/>
          <w:sz w:val="20"/>
          <w:szCs w:val="20"/>
        </w:rPr>
        <w:t xml:space="preserve">[24]. </w:t>
      </w:r>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b/>
          <w:bCs/>
        </w:rPr>
      </w:pPr>
      <w:r>
        <w:rPr>
          <w:rFonts w:ascii="Arial" w:eastAsia="Times New Roman" w:hAnsi="Arial" w:cs="Arial"/>
          <w:b/>
          <w:bCs/>
        </w:rPr>
        <w:t>3.5 Bacteria Pathogens</w:t>
      </w:r>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A total of 3 strains including gram positive (</w:t>
      </w:r>
      <w:r>
        <w:rPr>
          <w:rFonts w:ascii="Arial" w:eastAsia="Times New Roman" w:hAnsi="Arial" w:cs="Arial"/>
          <w:bCs/>
          <w:i/>
          <w:sz w:val="20"/>
          <w:szCs w:val="20"/>
        </w:rPr>
        <w:t>Staphylococcus aureus</w:t>
      </w:r>
      <w:r>
        <w:rPr>
          <w:rFonts w:ascii="Arial" w:eastAsia="Times New Roman" w:hAnsi="Arial" w:cs="Arial"/>
          <w:bCs/>
          <w:sz w:val="20"/>
          <w:szCs w:val="20"/>
        </w:rPr>
        <w:t>-ATCC25923) and gram negative (</w:t>
      </w:r>
      <w:r>
        <w:rPr>
          <w:rFonts w:ascii="Arial" w:eastAsia="Times New Roman" w:hAnsi="Arial" w:cs="Arial"/>
          <w:bCs/>
          <w:i/>
          <w:sz w:val="20"/>
          <w:szCs w:val="20"/>
        </w:rPr>
        <w:t>Klebsiella pneumonia</w:t>
      </w:r>
      <w:r>
        <w:rPr>
          <w:rFonts w:ascii="Arial" w:eastAsia="Times New Roman" w:hAnsi="Arial" w:cs="Arial"/>
          <w:bCs/>
          <w:sz w:val="20"/>
          <w:szCs w:val="20"/>
        </w:rPr>
        <w:t xml:space="preserve">-ATCC27736 and </w:t>
      </w:r>
      <w:r>
        <w:rPr>
          <w:rFonts w:ascii="Arial" w:eastAsia="Times New Roman" w:hAnsi="Arial" w:cs="Arial"/>
          <w:bCs/>
          <w:i/>
          <w:sz w:val="20"/>
          <w:szCs w:val="20"/>
        </w:rPr>
        <w:t>N</w:t>
      </w:r>
      <w:r>
        <w:rPr>
          <w:rFonts w:ascii="Arial" w:eastAsia="Times New Roman" w:hAnsi="Arial" w:cs="Arial"/>
          <w:bCs/>
          <w:sz w:val="20"/>
          <w:szCs w:val="20"/>
        </w:rPr>
        <w:t xml:space="preserve">. </w:t>
      </w:r>
      <w:r>
        <w:rPr>
          <w:rFonts w:ascii="Arial" w:eastAsia="Times New Roman" w:hAnsi="Arial" w:cs="Arial"/>
          <w:bCs/>
          <w:i/>
          <w:sz w:val="20"/>
          <w:szCs w:val="20"/>
        </w:rPr>
        <w:t>gonorrhea</w:t>
      </w:r>
      <w:r>
        <w:rPr>
          <w:rFonts w:ascii="Arial" w:eastAsia="Times New Roman" w:hAnsi="Arial" w:cs="Arial"/>
          <w:bCs/>
          <w:sz w:val="20"/>
          <w:szCs w:val="20"/>
        </w:rPr>
        <w:t xml:space="preserve">) were selected to assess the susceptibility test against the drug extract. The strains were obtained from Ethiopian public health and research institute, Addis Ababa, Ethiopia. They were maintained in suspension </w:t>
      </w:r>
      <w:r>
        <w:rPr>
          <w:rFonts w:ascii="Arial" w:eastAsia="Times New Roman" w:hAnsi="Arial" w:cs="Arial"/>
          <w:bCs/>
          <w:sz w:val="20"/>
          <w:szCs w:val="20"/>
        </w:rPr>
        <w:t xml:space="preserve">media (nutrient broth) and kept in incubator at 37°C. Later </w:t>
      </w:r>
      <w:proofErr w:type="gramStart"/>
      <w:r>
        <w:rPr>
          <w:rFonts w:ascii="Arial" w:eastAsia="Times New Roman" w:hAnsi="Arial" w:cs="Arial"/>
          <w:bCs/>
          <w:sz w:val="20"/>
          <w:szCs w:val="20"/>
        </w:rPr>
        <w:t>on</w:t>
      </w:r>
      <w:proofErr w:type="gramEnd"/>
      <w:r>
        <w:rPr>
          <w:rFonts w:ascii="Arial" w:eastAsia="Times New Roman" w:hAnsi="Arial" w:cs="Arial"/>
          <w:bCs/>
          <w:sz w:val="20"/>
          <w:szCs w:val="20"/>
        </w:rPr>
        <w:t xml:space="preserve"> the organism were cultured on MHA for (</w:t>
      </w:r>
      <w:r>
        <w:rPr>
          <w:rFonts w:ascii="Arial" w:eastAsia="Times New Roman" w:hAnsi="Arial" w:cs="Arial"/>
          <w:bCs/>
          <w:i/>
          <w:sz w:val="20"/>
          <w:szCs w:val="20"/>
        </w:rPr>
        <w:t>Staphylococcus aureus</w:t>
      </w:r>
      <w:r>
        <w:rPr>
          <w:rFonts w:ascii="Arial" w:eastAsia="Times New Roman" w:hAnsi="Arial" w:cs="Arial"/>
          <w:bCs/>
          <w:sz w:val="20"/>
          <w:szCs w:val="20"/>
        </w:rPr>
        <w:t>, ATCC25923) and (</w:t>
      </w:r>
      <w:r>
        <w:rPr>
          <w:rFonts w:ascii="Arial" w:eastAsia="Times New Roman" w:hAnsi="Arial" w:cs="Arial"/>
          <w:bCs/>
          <w:i/>
          <w:sz w:val="20"/>
          <w:szCs w:val="20"/>
        </w:rPr>
        <w:t>Klebsiella pneumonia</w:t>
      </w:r>
      <w:r>
        <w:rPr>
          <w:rFonts w:ascii="Arial" w:eastAsia="Times New Roman" w:hAnsi="Arial" w:cs="Arial"/>
          <w:bCs/>
          <w:sz w:val="20"/>
          <w:szCs w:val="20"/>
        </w:rPr>
        <w:t xml:space="preserve">-ATCC27736), and also blood agar for </w:t>
      </w:r>
      <w:r>
        <w:rPr>
          <w:rFonts w:ascii="Arial" w:eastAsia="Times New Roman" w:hAnsi="Arial" w:cs="Arial"/>
          <w:bCs/>
          <w:i/>
          <w:sz w:val="20"/>
          <w:szCs w:val="20"/>
        </w:rPr>
        <w:t>N. gonorrhea</w:t>
      </w:r>
      <w:r>
        <w:rPr>
          <w:rFonts w:ascii="Arial" w:eastAsia="Times New Roman" w:hAnsi="Arial" w:cs="Arial"/>
          <w:bCs/>
          <w:sz w:val="20"/>
          <w:szCs w:val="20"/>
        </w:rPr>
        <w:t xml:space="preserve"> and fresh inoculums were taken from the media for test.</w:t>
      </w:r>
    </w:p>
    <w:p>
      <w:pPr>
        <w:spacing w:after="0" w:line="240" w:lineRule="auto"/>
        <w:contextualSpacing/>
        <w:jc w:val="both"/>
        <w:rPr>
          <w:rFonts w:ascii="Arial" w:eastAsia="Times New Roman" w:hAnsi="Arial" w:cs="Arial"/>
          <w:bCs/>
        </w:rPr>
      </w:pPr>
    </w:p>
    <w:p>
      <w:pPr>
        <w:spacing w:after="0" w:line="240" w:lineRule="auto"/>
        <w:contextualSpacing/>
        <w:jc w:val="both"/>
        <w:rPr>
          <w:rFonts w:ascii="Arial" w:eastAsia="Times New Roman" w:hAnsi="Arial" w:cs="Arial"/>
          <w:b/>
          <w:bCs/>
        </w:rPr>
      </w:pPr>
      <w:bookmarkStart w:id="11" w:name="_Toc485358838"/>
      <w:r>
        <w:rPr>
          <w:rFonts w:ascii="Arial" w:eastAsia="Times New Roman" w:hAnsi="Arial" w:cs="Arial"/>
          <w:b/>
          <w:bCs/>
        </w:rPr>
        <w:t>3.6 Preparation of Bacterial Suspension</w:t>
      </w:r>
      <w:bookmarkEnd w:id="11"/>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The tested microorganisms were separately cultured on MHA at 37°C for 24 hrs. By streaking the inculcating loop containing bacteria at the top end of the agar plate moving in a zigzag horizontal pattern until 1/3 of the plate was covered.</w:t>
      </w:r>
    </w:p>
    <w:p>
      <w:pPr>
        <w:spacing w:after="0" w:line="240" w:lineRule="auto"/>
        <w:contextualSpacing/>
        <w:jc w:val="both"/>
        <w:rPr>
          <w:rFonts w:ascii="Arial" w:eastAsia="Times New Roman" w:hAnsi="Arial" w:cs="Arial"/>
          <w:bCs/>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Then, three to five well isolated overnight cultured colonies of the same morphological type were selected from an agar plate culture. The top of each colony was touched with sterile bent wire-loop and the growth was transferred into 10ml of broth. The turbidity of the inoculum suspension was adjusted using 0.5 McFarland standards. The turbidity of the actively growing broth culture was adjusted with sterile saline to obtain turbidity optically comparable to that of 0.5 McFarland turbidity standard 1.5×10</w:t>
      </w:r>
      <w:r>
        <w:rPr>
          <w:rFonts w:ascii="Arial" w:eastAsia="Times New Roman" w:hAnsi="Arial" w:cs="Arial"/>
          <w:bCs/>
          <w:sz w:val="20"/>
          <w:szCs w:val="20"/>
          <w:vertAlign w:val="superscript"/>
        </w:rPr>
        <w:t xml:space="preserve">8 </w:t>
      </w:r>
      <w:r>
        <w:rPr>
          <w:rFonts w:ascii="Arial" w:eastAsia="Times New Roman" w:hAnsi="Arial" w:cs="Arial"/>
          <w:bCs/>
          <w:sz w:val="20"/>
          <w:szCs w:val="20"/>
        </w:rPr>
        <w:t>colony forming units (CFU)/ml. To obtain this, OD value 1.2 was read at 625 wavelength using spectrophotometer.</w:t>
      </w:r>
    </w:p>
    <w:p>
      <w:pPr>
        <w:spacing w:after="0" w:line="240" w:lineRule="auto"/>
        <w:contextualSpacing/>
        <w:jc w:val="both"/>
        <w:rPr>
          <w:rFonts w:ascii="Arial" w:eastAsia="Times New Roman" w:hAnsi="Arial" w:cs="Arial"/>
          <w:bCs/>
        </w:rPr>
      </w:pPr>
    </w:p>
    <w:p>
      <w:pPr>
        <w:spacing w:after="0" w:line="240" w:lineRule="auto"/>
        <w:contextualSpacing/>
        <w:jc w:val="both"/>
        <w:rPr>
          <w:rFonts w:ascii="Arial" w:eastAsia="Times New Roman" w:hAnsi="Arial" w:cs="Arial"/>
          <w:b/>
          <w:bCs/>
        </w:rPr>
      </w:pPr>
      <w:bookmarkStart w:id="12" w:name="_Toc485358840"/>
      <w:r>
        <w:rPr>
          <w:rFonts w:ascii="Arial" w:eastAsia="Times New Roman" w:hAnsi="Arial" w:cs="Arial"/>
          <w:b/>
          <w:bCs/>
        </w:rPr>
        <w:t>3.7 Preparation of Culture Medium</w:t>
      </w:r>
      <w:bookmarkEnd w:id="12"/>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Muller-Hinton agar was prepared from commercially available dehydrated base according to manufacturer’s instructions. Muller Hinton Agar Medium (MHA) was prepared by dissolving 38g of MHA medium in 1000ml of distilled water (7.2 PH). The mixture of MHA powder and sterile distilled water was stirred with a sterilized glass rod and covered with aluminum foil and then autoclaved for 15 min at 121°C.Soon after autoclaving, the agar was allowed to cool in the laminar flow hood prior pouring it into the petri plate. Blood agar was prepared from commercially available dehydrated base according to manufacturer’s instructions. By Suspending 28 g of blood agar powder in 1000ml of distilled water the agar was prepared. The mixture was Heated and stirred until all components fully dissolved. Then, the dissolved mixture was autoclaved at 121 degrees Celsius for 15 minutes and allowed to cool but not solidify. When the agar has cooled to 45-50 °C, 5% (v/v) sterile defibrinated sheep blood was added and mixed well gently. Then the prepared </w:t>
      </w:r>
      <w:r>
        <w:rPr>
          <w:rFonts w:ascii="Arial" w:eastAsia="Times New Roman" w:hAnsi="Arial" w:cs="Arial"/>
          <w:bCs/>
          <w:sz w:val="20"/>
          <w:szCs w:val="20"/>
        </w:rPr>
        <w:lastRenderedPageBreak/>
        <w:t>medium was poured into the prepared petri plates.</w:t>
      </w:r>
    </w:p>
    <w:p>
      <w:pPr>
        <w:spacing w:after="0" w:line="240" w:lineRule="auto"/>
        <w:contextualSpacing/>
        <w:jc w:val="both"/>
        <w:rPr>
          <w:rFonts w:ascii="Arial" w:eastAsia="Times New Roman" w:hAnsi="Arial" w:cs="Arial"/>
          <w:bCs/>
          <w:sz w:val="20"/>
          <w:szCs w:val="20"/>
        </w:rPr>
      </w:pPr>
    </w:p>
    <w:p>
      <w:pPr>
        <w:spacing w:after="0" w:line="240" w:lineRule="auto"/>
        <w:ind w:left="540" w:hanging="540"/>
        <w:contextualSpacing/>
        <w:jc w:val="both"/>
        <w:rPr>
          <w:rFonts w:ascii="Arial" w:eastAsia="Times New Roman" w:hAnsi="Arial" w:cs="Arial"/>
          <w:b/>
          <w:bCs/>
        </w:rPr>
      </w:pPr>
      <w:bookmarkStart w:id="13" w:name="_Toc485358841"/>
      <w:r>
        <w:rPr>
          <w:rFonts w:ascii="Arial" w:eastAsia="Times New Roman" w:hAnsi="Arial" w:cs="Arial"/>
          <w:b/>
          <w:bCs/>
        </w:rPr>
        <w:t>3.8</w:t>
      </w:r>
      <w:r>
        <w:rPr>
          <w:rFonts w:ascii="Arial" w:eastAsia="Times New Roman" w:hAnsi="Arial" w:cs="Arial"/>
          <w:b/>
          <w:bCs/>
        </w:rPr>
        <w:tab/>
        <w:t xml:space="preserve">Antimicrobial Activity of </w:t>
      </w:r>
      <w:r>
        <w:rPr>
          <w:rFonts w:ascii="Arial" w:eastAsia="Times New Roman" w:hAnsi="Arial" w:cs="Arial"/>
          <w:b/>
          <w:bCs/>
          <w:i/>
        </w:rPr>
        <w:t xml:space="preserve">Cucumis </w:t>
      </w:r>
      <w:proofErr w:type="spellStart"/>
      <w:r>
        <w:rPr>
          <w:rFonts w:ascii="Arial" w:eastAsia="Times New Roman" w:hAnsi="Arial" w:cs="Arial"/>
          <w:b/>
          <w:bCs/>
          <w:i/>
        </w:rPr>
        <w:t>focifolius</w:t>
      </w:r>
      <w:proofErr w:type="spellEnd"/>
      <w:r>
        <w:rPr>
          <w:rFonts w:ascii="Arial" w:eastAsia="Times New Roman" w:hAnsi="Arial" w:cs="Arial"/>
          <w:b/>
          <w:bCs/>
        </w:rPr>
        <w:t xml:space="preserve"> and </w:t>
      </w:r>
      <w:proofErr w:type="spellStart"/>
      <w:r>
        <w:rPr>
          <w:rFonts w:ascii="Arial" w:eastAsia="Times New Roman" w:hAnsi="Arial" w:cs="Arial"/>
          <w:b/>
          <w:bCs/>
          <w:i/>
        </w:rPr>
        <w:t>Phytolacca</w:t>
      </w:r>
      <w:proofErr w:type="spellEnd"/>
      <w:r>
        <w:rPr>
          <w:rFonts w:ascii="Arial" w:eastAsia="Times New Roman" w:hAnsi="Arial" w:cs="Arial"/>
          <w:b/>
          <w:bCs/>
          <w:i/>
        </w:rPr>
        <w:t xml:space="preserve"> </w:t>
      </w:r>
      <w:proofErr w:type="spellStart"/>
      <w:r>
        <w:rPr>
          <w:rFonts w:ascii="Arial" w:eastAsia="Times New Roman" w:hAnsi="Arial" w:cs="Arial"/>
          <w:b/>
          <w:bCs/>
          <w:i/>
        </w:rPr>
        <w:t>dodecandra</w:t>
      </w:r>
      <w:proofErr w:type="spellEnd"/>
      <w:r>
        <w:rPr>
          <w:rFonts w:ascii="Arial" w:eastAsia="Times New Roman" w:hAnsi="Arial" w:cs="Arial"/>
          <w:b/>
          <w:bCs/>
        </w:rPr>
        <w:t xml:space="preserve"> Extract</w:t>
      </w:r>
      <w:bookmarkEnd w:id="13"/>
    </w:p>
    <w:p>
      <w:pPr>
        <w:spacing w:after="0" w:line="240" w:lineRule="auto"/>
        <w:contextualSpacing/>
        <w:jc w:val="both"/>
        <w:rPr>
          <w:rFonts w:ascii="Arial" w:eastAsia="Times New Roman" w:hAnsi="Arial" w:cs="Arial"/>
          <w:b/>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The antimicrobial activity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 xml:space="preserve">and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extract was determined developed with slight modification [25].</w:t>
      </w:r>
    </w:p>
    <w:p>
      <w:pPr>
        <w:spacing w:after="0" w:line="240" w:lineRule="auto"/>
        <w:contextualSpacing/>
        <w:jc w:val="both"/>
        <w:rPr>
          <w:rFonts w:ascii="Arial" w:eastAsia="Times New Roman" w:hAnsi="Arial" w:cs="Arial"/>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The antibacterial activities of the different extract were determined by agar well diffusion assay on MHA medium and blood agar medium. The standardized inoculums of 100µl (1.5×10 CFU/ml, 0.5 McFarland) were added aseptically and spread with a sterile non-toxic cotton swab on the agar plate surface. 6mm Wells were prepared in the seeded agar plates with sterile </w:t>
      </w:r>
      <w:proofErr w:type="spellStart"/>
      <w:r>
        <w:rPr>
          <w:rFonts w:ascii="Arial" w:eastAsia="Times New Roman" w:hAnsi="Arial" w:cs="Arial"/>
          <w:bCs/>
          <w:sz w:val="20"/>
          <w:szCs w:val="20"/>
        </w:rPr>
        <w:t>cork</w:t>
      </w:r>
      <w:proofErr w:type="spellEnd"/>
      <w:r>
        <w:rPr>
          <w:rFonts w:ascii="Arial" w:eastAsia="Times New Roman" w:hAnsi="Arial" w:cs="Arial"/>
          <w:bCs/>
          <w:sz w:val="20"/>
          <w:szCs w:val="20"/>
        </w:rPr>
        <w:t xml:space="preserve"> borer. The test compound or crude extract (100 µl) were carefully dispensed on the wells of blood agar medium. Extract were allowed to diffuse for about 30min before incubation. DMSO alone use as a negative control. Using aseptic conditions all the selected antibiotic (Clarithromycin and Cefepime 30 µg/disc) and the plant extracts were applied on the MHA and left for 30 minutes to allow the extract to diffuse. The plates were then incubated at 37°C for 18-24 hours in an incubator. All tests were performed in triplicate and zone of inhibition were measured from the edge of each wells/disc after the incubation period by using Sliding Calipers and ruler.</w:t>
      </w:r>
    </w:p>
    <w:p>
      <w:pPr>
        <w:spacing w:after="0" w:line="240" w:lineRule="auto"/>
        <w:contextualSpacing/>
        <w:jc w:val="both"/>
        <w:rPr>
          <w:rFonts w:ascii="Arial" w:eastAsia="Times New Roman" w:hAnsi="Arial" w:cs="Arial"/>
          <w:b/>
          <w:bCs/>
          <w:sz w:val="20"/>
          <w:szCs w:val="20"/>
        </w:rPr>
      </w:pPr>
    </w:p>
    <w:p>
      <w:pPr>
        <w:spacing w:after="0" w:line="240" w:lineRule="auto"/>
        <w:contextualSpacing/>
        <w:jc w:val="both"/>
        <w:rPr>
          <w:rFonts w:ascii="Arial" w:eastAsia="Times New Roman" w:hAnsi="Arial" w:cs="Arial"/>
          <w:b/>
          <w:bCs/>
        </w:rPr>
      </w:pPr>
      <w:r>
        <w:rPr>
          <w:rFonts w:ascii="Arial" w:eastAsia="Times New Roman" w:hAnsi="Arial" w:cs="Arial"/>
          <w:b/>
          <w:bCs/>
        </w:rPr>
        <w:t>3.9 Minimum Inhibitory Concentration</w:t>
      </w:r>
    </w:p>
    <w:p>
      <w:pPr>
        <w:spacing w:after="0" w:line="240" w:lineRule="auto"/>
        <w:contextualSpacing/>
        <w:jc w:val="both"/>
        <w:rPr>
          <w:rFonts w:ascii="Arial" w:eastAsia="Times New Roman" w:hAnsi="Arial" w:cs="Arial"/>
          <w:b/>
          <w:bCs/>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The minimum inhibitory concentration of each extracts </w:t>
      </w:r>
      <w:proofErr w:type="gramStart"/>
      <w:r>
        <w:rPr>
          <w:rFonts w:ascii="Arial" w:eastAsia="Times New Roman" w:hAnsi="Arial" w:cs="Arial"/>
          <w:bCs/>
          <w:sz w:val="20"/>
          <w:szCs w:val="20"/>
        </w:rPr>
        <w:t>were</w:t>
      </w:r>
      <w:proofErr w:type="gramEnd"/>
      <w:r>
        <w:rPr>
          <w:rFonts w:ascii="Arial" w:eastAsia="Times New Roman" w:hAnsi="Arial" w:cs="Arial"/>
          <w:bCs/>
          <w:sz w:val="20"/>
          <w:szCs w:val="20"/>
        </w:rPr>
        <w:t xml:space="preserve"> determined by using different concentrations (10, 5, 2.5, 1.25 and 0.625 mg/mL) of the extracts of </w:t>
      </w:r>
      <w:r>
        <w:rPr>
          <w:rFonts w:ascii="Arial" w:eastAsia="Times New Roman" w:hAnsi="Arial" w:cs="Arial"/>
          <w:bCs/>
          <w:iCs/>
          <w:sz w:val="20"/>
          <w:szCs w:val="20"/>
        </w:rPr>
        <w:t>both plants</w:t>
      </w:r>
      <w:r>
        <w:rPr>
          <w:rFonts w:ascii="Arial" w:eastAsia="Times New Roman" w:hAnsi="Arial" w:cs="Arial"/>
          <w:bCs/>
          <w:sz w:val="20"/>
          <w:szCs w:val="20"/>
        </w:rPr>
        <w:t xml:space="preserve"> using the broth dilution method described in the National Committee for Clinical Laboratory Standards (NCCLS) [26]. </w:t>
      </w:r>
    </w:p>
    <w:p>
      <w:pPr>
        <w:spacing w:after="0" w:line="240" w:lineRule="auto"/>
        <w:contextualSpacing/>
        <w:jc w:val="both"/>
        <w:rPr>
          <w:rFonts w:ascii="Arial" w:eastAsia="Times New Roman" w:hAnsi="Arial" w:cs="Arial"/>
          <w:bCs/>
        </w:rPr>
      </w:pPr>
    </w:p>
    <w:p>
      <w:pPr>
        <w:spacing w:after="0" w:line="240" w:lineRule="auto"/>
        <w:contextualSpacing/>
        <w:jc w:val="both"/>
        <w:rPr>
          <w:rFonts w:ascii="Arial" w:eastAsia="Times New Roman" w:hAnsi="Arial" w:cs="Arial"/>
          <w:b/>
          <w:bCs/>
          <w:sz w:val="20"/>
          <w:szCs w:val="20"/>
        </w:rPr>
      </w:pPr>
      <w:r>
        <w:rPr>
          <w:rFonts w:ascii="Arial" w:eastAsia="Times New Roman" w:hAnsi="Arial" w:cs="Arial"/>
          <w:bCs/>
          <w:sz w:val="20"/>
          <w:szCs w:val="20"/>
        </w:rPr>
        <w:t xml:space="preserve">After the completion of preparation and growth in 24hrs the tube with lowest concentration of the </w:t>
      </w:r>
      <w:r>
        <w:rPr>
          <w:rFonts w:ascii="Arial" w:eastAsia="Times New Roman" w:hAnsi="Arial" w:cs="Arial"/>
          <w:bCs/>
          <w:sz w:val="20"/>
          <w:szCs w:val="20"/>
        </w:rPr>
        <w:t xml:space="preserve">extract showing no growth after incubation was taken as the MIC [26]. </w:t>
      </w:r>
    </w:p>
    <w:p>
      <w:pPr>
        <w:spacing w:after="0" w:line="240" w:lineRule="auto"/>
        <w:contextualSpacing/>
        <w:jc w:val="both"/>
        <w:rPr>
          <w:rFonts w:ascii="Arial" w:eastAsia="Times New Roman" w:hAnsi="Arial" w:cs="Arial"/>
          <w:bCs/>
          <w:sz w:val="20"/>
          <w:szCs w:val="20"/>
        </w:rPr>
      </w:pPr>
    </w:p>
    <w:p>
      <w:pPr>
        <w:spacing w:after="0" w:line="240" w:lineRule="auto"/>
        <w:contextualSpacing/>
        <w:jc w:val="both"/>
        <w:rPr>
          <w:rFonts w:ascii="Arial" w:eastAsia="Times New Roman" w:hAnsi="Arial" w:cs="Arial"/>
          <w:b/>
          <w:bCs/>
        </w:rPr>
      </w:pPr>
      <w:bookmarkStart w:id="14" w:name="_Toc485358843"/>
      <w:r>
        <w:rPr>
          <w:rFonts w:ascii="Arial" w:eastAsia="Times New Roman" w:hAnsi="Arial" w:cs="Arial"/>
          <w:b/>
          <w:bCs/>
        </w:rPr>
        <w:t>3.10 Data Collection and Data Analysis</w:t>
      </w:r>
      <w:bookmarkEnd w:id="14"/>
    </w:p>
    <w:p>
      <w:pPr>
        <w:spacing w:after="0" w:line="240" w:lineRule="auto"/>
        <w:contextualSpacing/>
        <w:jc w:val="both"/>
        <w:rPr>
          <w:rFonts w:ascii="Arial" w:eastAsia="Times New Roman" w:hAnsi="Arial" w:cs="Arial"/>
          <w:b/>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 All the data were analyzed using SPSS version 26.0. Means and standard deviations of the triplicate results were analyzed by ANOVA to determine the significant differences between the means followed by Duncan’s multiple range test (P≤0.05).</w:t>
      </w:r>
      <w:r>
        <w:rPr>
          <w:rFonts w:ascii="Arial" w:eastAsia="Times New Roman" w:hAnsi="Arial" w:cs="Arial"/>
          <w:b/>
          <w:bCs/>
          <w:sz w:val="20"/>
          <w:szCs w:val="20"/>
        </w:rPr>
        <w:t xml:space="preserve"> </w:t>
      </w:r>
      <w:r>
        <w:rPr>
          <w:rFonts w:ascii="Arial" w:eastAsia="Times New Roman" w:hAnsi="Arial" w:cs="Arial"/>
          <w:bCs/>
          <w:sz w:val="20"/>
          <w:szCs w:val="20"/>
        </w:rPr>
        <w:t xml:space="preserve">Furthermore, differences between means were evaluated using analysis of variance (ANOVA) provided by SPSS at P- Values ≤ 0.05. </w:t>
      </w:r>
    </w:p>
    <w:p>
      <w:pPr>
        <w:pStyle w:val="Heading2"/>
        <w:rPr>
          <w:rFonts w:eastAsia="Times New Roman"/>
        </w:rPr>
      </w:pPr>
      <w:bookmarkStart w:id="15" w:name="_Toc485358844"/>
      <w:r>
        <w:rPr>
          <w:rFonts w:eastAsia="Times New Roman"/>
        </w:rPr>
        <w:t>4. RESULT</w:t>
      </w:r>
      <w:bookmarkEnd w:id="15"/>
      <w:r>
        <w:rPr>
          <w:rFonts w:eastAsia="Times New Roman"/>
        </w:rPr>
        <w:t>S</w:t>
      </w:r>
    </w:p>
    <w:p>
      <w:pPr>
        <w:spacing w:after="0" w:line="240" w:lineRule="auto"/>
        <w:contextualSpacing/>
        <w:jc w:val="both"/>
        <w:rPr>
          <w:rFonts w:ascii="Arial" w:eastAsia="Times New Roman" w:hAnsi="Arial" w:cs="Arial"/>
          <w:b/>
          <w:bCs/>
          <w:sz w:val="16"/>
          <w:szCs w:val="16"/>
        </w:rPr>
      </w:pPr>
    </w:p>
    <w:p>
      <w:pPr>
        <w:spacing w:after="0" w:line="240" w:lineRule="auto"/>
        <w:contextualSpacing/>
        <w:jc w:val="both"/>
        <w:rPr>
          <w:rFonts w:ascii="Arial" w:eastAsia="Times New Roman" w:hAnsi="Arial" w:cs="Arial"/>
          <w:b/>
          <w:bCs/>
        </w:rPr>
      </w:pPr>
      <w:bookmarkStart w:id="16" w:name="_Toc485358845"/>
      <w:r>
        <w:rPr>
          <w:rFonts w:ascii="Arial" w:eastAsia="Times New Roman" w:hAnsi="Arial" w:cs="Arial"/>
          <w:b/>
          <w:bCs/>
        </w:rPr>
        <w:t>4.1 Extract Yield</w:t>
      </w:r>
      <w:bookmarkEnd w:id="16"/>
    </w:p>
    <w:p>
      <w:pPr>
        <w:spacing w:after="0" w:line="240" w:lineRule="auto"/>
        <w:contextualSpacing/>
        <w:jc w:val="both"/>
        <w:rPr>
          <w:rFonts w:ascii="Arial" w:eastAsia="Times New Roman" w:hAnsi="Arial" w:cs="Arial"/>
          <w:b/>
          <w:bCs/>
          <w:sz w:val="16"/>
          <w:szCs w:val="16"/>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All the three extracts with distilled water, chloroform, ethanol and methanol showed varying degree of yields. Ethanol was the best solvent with a yield of 3.37g (16.85%) followed by chloroform 2.65g (13.25%) while methanol and Distilled water was the least with2.02g (10.1%), 2g (10%) respectively for the root part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i/>
          <w:sz w:val="20"/>
          <w:szCs w:val="20"/>
        </w:rPr>
        <w:t xml:space="preserve"> </w:t>
      </w:r>
      <w:r>
        <w:rPr>
          <w:rFonts w:ascii="Arial" w:eastAsia="Times New Roman" w:hAnsi="Arial" w:cs="Arial"/>
          <w:bCs/>
          <w:sz w:val="20"/>
          <w:szCs w:val="20"/>
        </w:rPr>
        <w:t xml:space="preserve">as shown in Table 1. The yield percentage for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was also as follows; 4.5g (22.6%), 2.31g (12.55%), 3.37g (16.85%), 5.79g (28.95%) for ethanol, methanol, chloroform and distilled water respectively. In this result highest yield was obtained by distilled water and ethanol, while methanol and chloroform extract </w:t>
      </w:r>
      <w:proofErr w:type="gramStart"/>
      <w:r>
        <w:rPr>
          <w:rFonts w:ascii="Arial" w:eastAsia="Times New Roman" w:hAnsi="Arial" w:cs="Arial"/>
          <w:bCs/>
          <w:sz w:val="20"/>
          <w:szCs w:val="20"/>
        </w:rPr>
        <w:t>was</w:t>
      </w:r>
      <w:proofErr w:type="gramEnd"/>
      <w:r>
        <w:rPr>
          <w:rFonts w:ascii="Arial" w:eastAsia="Times New Roman" w:hAnsi="Arial" w:cs="Arial"/>
          <w:bCs/>
          <w:sz w:val="20"/>
          <w:szCs w:val="20"/>
        </w:rPr>
        <w:t xml:space="preserve"> the lowest yield value as compared with each other solvent.</w:t>
      </w:r>
    </w:p>
    <w:p>
      <w:pPr>
        <w:spacing w:after="0" w:line="240" w:lineRule="auto"/>
        <w:contextualSpacing/>
        <w:jc w:val="both"/>
        <w:rPr>
          <w:rFonts w:ascii="Arial" w:eastAsia="Times New Roman" w:hAnsi="Arial" w:cs="Arial"/>
          <w:bCs/>
          <w:sz w:val="16"/>
          <w:szCs w:val="16"/>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Qualitative phytochemical analysis showed that the two plant extracts had major bioactive compounds that play major therapeutic important role on the controlling of infectious disease. Based on the result obtained from the phytochemical analysis, the phytochemical compounds such as tannins, flavonoids, saponins and alkaloids were found in all the extracts as shown in the table. </w:t>
      </w:r>
    </w:p>
    <w:p>
      <w:pPr>
        <w:spacing w:after="0" w:line="240" w:lineRule="auto"/>
        <w:contextualSpacing/>
        <w:jc w:val="both"/>
        <w:rPr>
          <w:rFonts w:ascii="Arial" w:eastAsia="Times New Roman" w:hAnsi="Arial" w:cs="Arial"/>
          <w:bCs/>
          <w:sz w:val="16"/>
          <w:szCs w:val="16"/>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Methanol and Ethanol extracts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sz w:val="20"/>
          <w:szCs w:val="20"/>
        </w:rPr>
        <w:t xml:space="preserve"> and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contains all the secondary metabolites indicated in Table 2. This implies some study shows that plants with antimicrobial activities contain bioactive compounds like tannins, flavonoids, alkaloids, and saponins.</w:t>
      </w:r>
    </w:p>
    <w:p>
      <w:pPr>
        <w:spacing w:after="0" w:line="240" w:lineRule="auto"/>
        <w:contextualSpacing/>
        <w:jc w:val="both"/>
        <w:rPr>
          <w:rFonts w:ascii="Arial" w:eastAsia="Times New Roman" w:hAnsi="Arial" w:cs="Arial"/>
          <w:bCs/>
          <w:sz w:val="20"/>
          <w:szCs w:val="20"/>
        </w:rPr>
        <w:sectPr>
          <w:type w:val="continuous"/>
          <w:pgSz w:w="11909" w:h="16834" w:code="9"/>
          <w:pgMar w:top="1440" w:right="1440" w:bottom="1440" w:left="1440" w:header="720" w:footer="864" w:gutter="0"/>
          <w:pgNumType w:start="28"/>
          <w:cols w:num="2" w:space="288"/>
          <w:titlePg/>
          <w:docGrid w:linePitch="360"/>
        </w:sectPr>
      </w:pPr>
    </w:p>
    <w:p>
      <w:pPr>
        <w:spacing w:after="0" w:line="240" w:lineRule="auto"/>
        <w:contextualSpacing/>
        <w:jc w:val="both"/>
        <w:rPr>
          <w:rFonts w:ascii="Arial" w:eastAsia="Times New Roman" w:hAnsi="Arial" w:cs="Arial"/>
          <w:bCs/>
          <w:sz w:val="20"/>
          <w:szCs w:val="20"/>
        </w:rPr>
      </w:pPr>
    </w:p>
    <w:p>
      <w:pPr>
        <w:spacing w:after="0" w:line="240" w:lineRule="auto"/>
        <w:contextualSpacing/>
        <w:jc w:val="center"/>
        <w:rPr>
          <w:rFonts w:ascii="Arial" w:eastAsia="Times New Roman" w:hAnsi="Arial" w:cs="Arial"/>
          <w:bCs/>
          <w:sz w:val="20"/>
          <w:szCs w:val="20"/>
        </w:rPr>
      </w:pPr>
      <w:r>
        <w:rPr>
          <w:rFonts w:ascii="Arial" w:eastAsia="Times New Roman" w:hAnsi="Arial" w:cs="Arial"/>
          <w:b/>
          <w:bCs/>
          <w:noProof/>
          <w:sz w:val="20"/>
          <w:szCs w:val="20"/>
        </w:rPr>
        <w:lastRenderedPageBreak/>
        <w:drawing>
          <wp:inline distT="0" distB="0" distL="0" distR="0">
            <wp:extent cx="3874531" cy="2456121"/>
            <wp:effectExtent l="0" t="0" r="0" b="0"/>
            <wp:docPr id="8" name="Picture 8" descr="F:\Dene\den pot\IMG_20210402_11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ne\den pot\IMG_20210402_1155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2495" cy="2467509"/>
                    </a:xfrm>
                    <a:prstGeom prst="rect">
                      <a:avLst/>
                    </a:prstGeom>
                    <a:ln w="228600" cap="sq" cmpd="thickThin">
                      <a:noFill/>
                      <a:prstDash val="solid"/>
                      <a:miter lim="800000"/>
                    </a:ln>
                    <a:effectLst>
                      <a:innerShdw>
                        <a:srgbClr val="000000"/>
                      </a:innerShdw>
                    </a:effectLst>
                  </pic:spPr>
                </pic:pic>
              </a:graphicData>
            </a:graphic>
          </wp:inline>
        </w:drawing>
      </w:r>
    </w:p>
    <w:p>
      <w:pPr>
        <w:spacing w:after="0" w:line="240" w:lineRule="auto"/>
        <w:contextualSpacing/>
        <w:jc w:val="both"/>
        <w:rPr>
          <w:rFonts w:ascii="Arial" w:eastAsia="Times New Roman" w:hAnsi="Arial" w:cs="Arial"/>
          <w:bCs/>
          <w:sz w:val="20"/>
          <w:szCs w:val="20"/>
        </w:rPr>
      </w:pPr>
    </w:p>
    <w:p>
      <w:pPr>
        <w:spacing w:after="0" w:line="240" w:lineRule="auto"/>
        <w:contextualSpacing/>
        <w:jc w:val="center"/>
        <w:rPr>
          <w:rFonts w:ascii="Arial" w:eastAsia="Times New Roman" w:hAnsi="Arial" w:cs="Arial"/>
          <w:b/>
          <w:bCs/>
          <w:sz w:val="20"/>
          <w:szCs w:val="20"/>
        </w:rPr>
      </w:pPr>
      <w:r>
        <w:rPr>
          <w:rFonts w:ascii="Arial" w:eastAsia="Times New Roman" w:hAnsi="Arial" w:cs="Arial"/>
          <w:b/>
          <w:sz w:val="20"/>
          <w:szCs w:val="20"/>
        </w:rPr>
        <w:t>Fig. 1. Screening the major Phytochemicals</w:t>
      </w:r>
    </w:p>
    <w:p>
      <w:pPr>
        <w:spacing w:after="0" w:line="240" w:lineRule="auto"/>
        <w:contextualSpacing/>
        <w:jc w:val="both"/>
        <w:rPr>
          <w:rFonts w:ascii="Arial" w:eastAsia="Times New Roman" w:hAnsi="Arial" w:cs="Arial"/>
          <w:bCs/>
          <w:sz w:val="20"/>
          <w:szCs w:val="20"/>
        </w:rPr>
        <w:sectPr>
          <w:type w:val="continuous"/>
          <w:pgSz w:w="11909" w:h="16834" w:code="9"/>
          <w:pgMar w:top="1440" w:right="1440" w:bottom="1440" w:left="1440" w:header="720" w:footer="864" w:gutter="0"/>
          <w:pgNumType w:start="1"/>
          <w:cols w:space="720"/>
          <w:titlePg/>
          <w:docGrid w:linePitch="360"/>
        </w:sectPr>
      </w:pPr>
    </w:p>
    <w:p>
      <w:pPr>
        <w:spacing w:after="0" w:line="240" w:lineRule="auto"/>
        <w:contextualSpacing/>
        <w:jc w:val="center"/>
        <w:rPr>
          <w:rFonts w:ascii="Arial" w:eastAsia="Times New Roman" w:hAnsi="Arial" w:cs="Arial"/>
          <w:b/>
          <w:bCs/>
          <w:sz w:val="20"/>
          <w:szCs w:val="20"/>
        </w:rPr>
      </w:pPr>
      <w:r>
        <w:rPr>
          <w:rFonts w:ascii="Arial" w:eastAsia="Times New Roman" w:hAnsi="Arial" w:cs="Arial"/>
          <w:b/>
          <w:bCs/>
          <w:sz w:val="20"/>
          <w:szCs w:val="20"/>
        </w:rPr>
        <w:lastRenderedPageBreak/>
        <w:t xml:space="preserve">Table 1. Extract yield of </w:t>
      </w:r>
      <w:r>
        <w:rPr>
          <w:rFonts w:ascii="Arial" w:eastAsia="Times New Roman" w:hAnsi="Arial" w:cs="Arial"/>
          <w:b/>
          <w:bCs/>
          <w:i/>
          <w:sz w:val="20"/>
          <w:szCs w:val="20"/>
        </w:rPr>
        <w:t xml:space="preserve">Cucumis </w:t>
      </w:r>
      <w:proofErr w:type="spellStart"/>
      <w:r>
        <w:rPr>
          <w:rFonts w:ascii="Arial" w:eastAsia="Times New Roman" w:hAnsi="Arial" w:cs="Arial"/>
          <w:b/>
          <w:bCs/>
          <w:i/>
          <w:sz w:val="20"/>
          <w:szCs w:val="20"/>
        </w:rPr>
        <w:t>focifolius</w:t>
      </w:r>
      <w:proofErr w:type="spellEnd"/>
      <w:r>
        <w:rPr>
          <w:rFonts w:ascii="Arial" w:eastAsia="Times New Roman" w:hAnsi="Arial" w:cs="Arial"/>
          <w:b/>
          <w:bCs/>
          <w:i/>
          <w:iCs/>
          <w:sz w:val="20"/>
          <w:szCs w:val="20"/>
        </w:rPr>
        <w:t xml:space="preserve"> and </w:t>
      </w:r>
      <w:proofErr w:type="spellStart"/>
      <w:r>
        <w:rPr>
          <w:rFonts w:ascii="Arial" w:eastAsia="Times New Roman" w:hAnsi="Arial" w:cs="Arial"/>
          <w:b/>
          <w:bCs/>
          <w:i/>
          <w:sz w:val="20"/>
          <w:szCs w:val="20"/>
        </w:rPr>
        <w:t>Phytolacca</w:t>
      </w:r>
      <w:proofErr w:type="spellEnd"/>
      <w:r>
        <w:rPr>
          <w:rFonts w:ascii="Arial" w:eastAsia="Times New Roman" w:hAnsi="Arial" w:cs="Arial"/>
          <w:b/>
          <w:bCs/>
          <w:i/>
          <w:sz w:val="20"/>
          <w:szCs w:val="20"/>
        </w:rPr>
        <w:t xml:space="preserve"> </w:t>
      </w:r>
      <w:proofErr w:type="spellStart"/>
      <w:r>
        <w:rPr>
          <w:rFonts w:ascii="Arial" w:eastAsia="Times New Roman" w:hAnsi="Arial" w:cs="Arial"/>
          <w:b/>
          <w:bCs/>
          <w:i/>
          <w:sz w:val="20"/>
          <w:szCs w:val="20"/>
        </w:rPr>
        <w:t>dodecandra</w:t>
      </w:r>
      <w:proofErr w:type="spellEnd"/>
      <w:r>
        <w:rPr>
          <w:rFonts w:ascii="Arial" w:eastAsia="Times New Roman" w:hAnsi="Arial" w:cs="Arial"/>
          <w:b/>
          <w:bCs/>
          <w:i/>
          <w:iCs/>
          <w:sz w:val="20"/>
          <w:szCs w:val="20"/>
        </w:rPr>
        <w:t xml:space="preserve"> </w:t>
      </w:r>
      <w:r>
        <w:rPr>
          <w:rFonts w:ascii="Arial" w:eastAsia="Times New Roman" w:hAnsi="Arial" w:cs="Arial"/>
          <w:b/>
          <w:bCs/>
          <w:sz w:val="20"/>
          <w:szCs w:val="20"/>
        </w:rPr>
        <w:t>extracted with different solvents</w:t>
      </w:r>
    </w:p>
    <w:p>
      <w:pPr>
        <w:spacing w:after="0" w:line="240" w:lineRule="auto"/>
        <w:contextualSpacing/>
        <w:jc w:val="both"/>
        <w:rPr>
          <w:rFonts w:ascii="Arial" w:eastAsia="Times New Roman" w:hAnsi="Arial" w:cs="Arial"/>
          <w:bCs/>
          <w:sz w:val="20"/>
          <w:szCs w:val="20"/>
        </w:rPr>
      </w:pPr>
    </w:p>
    <w:tbl>
      <w:tblPr>
        <w:tblStyle w:val="TableGrid"/>
        <w:tblW w:w="4875"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1931"/>
        <w:gridCol w:w="2345"/>
        <w:gridCol w:w="4276"/>
        <w:gridCol w:w="3205"/>
      </w:tblGrid>
      <w:tr>
        <w:trPr>
          <w:trHeight w:val="20"/>
          <w:jc w:val="center"/>
        </w:trPr>
        <w:tc>
          <w:tcPr>
            <w:tcW w:w="1343" w:type="dxa"/>
            <w:tcBorders>
              <w:top w:val="single" w:sz="4" w:space="0" w:color="auto"/>
              <w:bottom w:val="single" w:sz="4" w:space="0" w:color="auto"/>
            </w:tcBorders>
          </w:tcPr>
          <w:p>
            <w:pPr>
              <w:contextualSpacing/>
              <w:rPr>
                <w:rFonts w:ascii="Arial" w:eastAsia="Times New Roman" w:hAnsi="Arial" w:cs="Arial"/>
                <w:b/>
                <w:bCs/>
                <w:sz w:val="20"/>
                <w:szCs w:val="20"/>
              </w:rPr>
            </w:pPr>
            <w:r>
              <w:rPr>
                <w:rFonts w:ascii="Arial" w:eastAsia="Times New Roman" w:hAnsi="Arial" w:cs="Arial"/>
                <w:b/>
                <w:bCs/>
                <w:sz w:val="20"/>
                <w:szCs w:val="20"/>
              </w:rPr>
              <w:t>Plant name</w:t>
            </w:r>
          </w:p>
        </w:tc>
        <w:tc>
          <w:tcPr>
            <w:tcW w:w="1260" w:type="dxa"/>
            <w:tcBorders>
              <w:top w:val="single" w:sz="4" w:space="0" w:color="auto"/>
              <w:bottom w:val="single" w:sz="4" w:space="0" w:color="auto"/>
            </w:tcBorders>
          </w:tcPr>
          <w:p>
            <w:pPr>
              <w:contextualSpacing/>
              <w:rPr>
                <w:rFonts w:ascii="Arial" w:eastAsia="Times New Roman" w:hAnsi="Arial" w:cs="Arial"/>
                <w:b/>
                <w:bCs/>
                <w:sz w:val="20"/>
                <w:szCs w:val="20"/>
              </w:rPr>
            </w:pPr>
            <w:r>
              <w:rPr>
                <w:rFonts w:ascii="Arial" w:eastAsia="Times New Roman" w:hAnsi="Arial" w:cs="Arial"/>
                <w:b/>
                <w:bCs/>
                <w:sz w:val="20"/>
                <w:szCs w:val="20"/>
              </w:rPr>
              <w:t>Parts used</w:t>
            </w:r>
          </w:p>
        </w:tc>
        <w:tc>
          <w:tcPr>
            <w:tcW w:w="1530" w:type="dxa"/>
            <w:tcBorders>
              <w:top w:val="single" w:sz="4" w:space="0" w:color="auto"/>
              <w:bottom w:val="single" w:sz="4" w:space="0" w:color="auto"/>
            </w:tcBorders>
          </w:tcPr>
          <w:p>
            <w:pPr>
              <w:contextualSpacing/>
              <w:rPr>
                <w:rFonts w:ascii="Arial" w:eastAsia="Times New Roman" w:hAnsi="Arial" w:cs="Arial"/>
                <w:b/>
                <w:bCs/>
                <w:sz w:val="20"/>
                <w:szCs w:val="20"/>
              </w:rPr>
            </w:pPr>
            <w:r>
              <w:rPr>
                <w:rFonts w:ascii="Arial" w:eastAsia="Times New Roman" w:hAnsi="Arial" w:cs="Arial"/>
                <w:b/>
                <w:bCs/>
                <w:sz w:val="20"/>
                <w:szCs w:val="20"/>
              </w:rPr>
              <w:t>solvent</w:t>
            </w:r>
          </w:p>
        </w:tc>
        <w:tc>
          <w:tcPr>
            <w:tcW w:w="2790" w:type="dxa"/>
            <w:tcBorders>
              <w:top w:val="single" w:sz="4" w:space="0" w:color="auto"/>
              <w:bottom w:val="single" w:sz="4" w:space="0" w:color="auto"/>
            </w:tcBorders>
          </w:tcPr>
          <w:p>
            <w:pPr>
              <w:contextualSpacing/>
              <w:rPr>
                <w:rFonts w:ascii="Arial" w:eastAsia="Times New Roman" w:hAnsi="Arial" w:cs="Arial"/>
                <w:b/>
                <w:bCs/>
                <w:sz w:val="20"/>
                <w:szCs w:val="20"/>
              </w:rPr>
            </w:pPr>
            <w:r>
              <w:rPr>
                <w:rFonts w:ascii="Arial" w:eastAsia="Times New Roman" w:hAnsi="Arial" w:cs="Arial"/>
                <w:b/>
                <w:bCs/>
                <w:sz w:val="20"/>
                <w:szCs w:val="20"/>
              </w:rPr>
              <w:t>Weight of extract obtained</w:t>
            </w:r>
          </w:p>
        </w:tc>
        <w:tc>
          <w:tcPr>
            <w:tcW w:w="2091" w:type="dxa"/>
            <w:tcBorders>
              <w:top w:val="single" w:sz="4" w:space="0" w:color="auto"/>
              <w:bottom w:val="single" w:sz="4" w:space="0" w:color="auto"/>
            </w:tcBorders>
          </w:tcPr>
          <w:p>
            <w:pPr>
              <w:contextualSpacing/>
              <w:rPr>
                <w:rFonts w:ascii="Arial" w:eastAsia="Times New Roman" w:hAnsi="Arial" w:cs="Arial"/>
                <w:b/>
                <w:bCs/>
                <w:sz w:val="20"/>
                <w:szCs w:val="20"/>
              </w:rPr>
            </w:pPr>
            <w:r>
              <w:rPr>
                <w:rFonts w:ascii="Arial" w:eastAsia="Times New Roman" w:hAnsi="Arial" w:cs="Arial"/>
                <w:b/>
                <w:bCs/>
                <w:sz w:val="20"/>
                <w:szCs w:val="20"/>
              </w:rPr>
              <w:t>Yield percentage %</w:t>
            </w:r>
          </w:p>
        </w:tc>
      </w:tr>
      <w:tr>
        <w:trPr>
          <w:trHeight w:val="20"/>
          <w:jc w:val="center"/>
        </w:trPr>
        <w:tc>
          <w:tcPr>
            <w:tcW w:w="1343" w:type="dxa"/>
            <w:vMerge w:val="restart"/>
            <w:tcBorders>
              <w:top w:val="single" w:sz="4" w:space="0" w:color="auto"/>
            </w:tcBorders>
          </w:tcPr>
          <w:p>
            <w:pPr>
              <w:contextualSpacing/>
              <w:rPr>
                <w:rFonts w:ascii="Arial" w:eastAsia="Times New Roman" w:hAnsi="Arial" w:cs="Arial"/>
                <w:bCs/>
                <w:i/>
                <w:sz w:val="20"/>
                <w:szCs w:val="20"/>
              </w:rPr>
            </w:pP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p>
        </w:tc>
        <w:tc>
          <w:tcPr>
            <w:tcW w:w="1260" w:type="dxa"/>
            <w:vMerge w:val="restart"/>
            <w:tcBorders>
              <w:top w:val="single" w:sz="4" w:space="0" w:color="auto"/>
            </w:tcBorders>
          </w:tcPr>
          <w:p>
            <w:pPr>
              <w:contextualSpacing/>
              <w:rPr>
                <w:rFonts w:ascii="Arial" w:eastAsia="Times New Roman" w:hAnsi="Arial" w:cs="Arial"/>
                <w:bCs/>
                <w:sz w:val="20"/>
                <w:szCs w:val="20"/>
              </w:rPr>
            </w:pPr>
          </w:p>
          <w:p>
            <w:pPr>
              <w:contextualSpacing/>
              <w:rPr>
                <w:rFonts w:ascii="Arial" w:eastAsia="Times New Roman" w:hAnsi="Arial" w:cs="Arial"/>
                <w:bCs/>
                <w:sz w:val="20"/>
                <w:szCs w:val="20"/>
              </w:rPr>
            </w:pPr>
            <w:r>
              <w:rPr>
                <w:rFonts w:ascii="Arial" w:eastAsia="Times New Roman" w:hAnsi="Arial" w:cs="Arial"/>
                <w:bCs/>
                <w:sz w:val="20"/>
                <w:szCs w:val="20"/>
              </w:rPr>
              <w:t>Root</w:t>
            </w:r>
          </w:p>
        </w:tc>
        <w:tc>
          <w:tcPr>
            <w:tcW w:w="1530" w:type="dxa"/>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Ethanol</w:t>
            </w:r>
          </w:p>
        </w:tc>
        <w:tc>
          <w:tcPr>
            <w:tcW w:w="2790" w:type="dxa"/>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3.37g</w:t>
            </w:r>
          </w:p>
        </w:tc>
        <w:tc>
          <w:tcPr>
            <w:tcW w:w="2091" w:type="dxa"/>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16.85%</w:t>
            </w:r>
          </w:p>
        </w:tc>
      </w:tr>
      <w:tr>
        <w:trPr>
          <w:trHeight w:val="20"/>
          <w:jc w:val="center"/>
        </w:trPr>
        <w:tc>
          <w:tcPr>
            <w:tcW w:w="1343" w:type="dxa"/>
            <w:vMerge/>
          </w:tcPr>
          <w:p>
            <w:pPr>
              <w:contextualSpacing/>
              <w:rPr>
                <w:rFonts w:ascii="Arial" w:eastAsia="Times New Roman" w:hAnsi="Arial" w:cs="Arial"/>
                <w:bCs/>
                <w:sz w:val="20"/>
                <w:szCs w:val="20"/>
              </w:rPr>
            </w:pPr>
          </w:p>
        </w:tc>
        <w:tc>
          <w:tcPr>
            <w:tcW w:w="1260" w:type="dxa"/>
            <w:vMerge/>
          </w:tcPr>
          <w:p>
            <w:pPr>
              <w:contextualSpacing/>
              <w:rPr>
                <w:rFonts w:ascii="Arial" w:eastAsia="Times New Roman" w:hAnsi="Arial" w:cs="Arial"/>
                <w:bCs/>
                <w:sz w:val="20"/>
                <w:szCs w:val="20"/>
              </w:rPr>
            </w:pPr>
          </w:p>
        </w:tc>
        <w:tc>
          <w:tcPr>
            <w:tcW w:w="1530" w:type="dxa"/>
          </w:tcPr>
          <w:p>
            <w:pPr>
              <w:contextualSpacing/>
              <w:rPr>
                <w:rFonts w:ascii="Arial" w:eastAsia="Times New Roman" w:hAnsi="Arial" w:cs="Arial"/>
                <w:bCs/>
                <w:sz w:val="20"/>
                <w:szCs w:val="20"/>
              </w:rPr>
            </w:pPr>
            <w:r>
              <w:rPr>
                <w:rFonts w:ascii="Arial" w:eastAsia="Times New Roman" w:hAnsi="Arial" w:cs="Arial"/>
                <w:bCs/>
                <w:sz w:val="20"/>
                <w:szCs w:val="20"/>
              </w:rPr>
              <w:t>Methanol</w:t>
            </w:r>
          </w:p>
        </w:tc>
        <w:tc>
          <w:tcPr>
            <w:tcW w:w="2790" w:type="dxa"/>
          </w:tcPr>
          <w:p>
            <w:pPr>
              <w:contextualSpacing/>
              <w:rPr>
                <w:rFonts w:ascii="Arial" w:eastAsia="Times New Roman" w:hAnsi="Arial" w:cs="Arial"/>
                <w:bCs/>
                <w:sz w:val="20"/>
                <w:szCs w:val="20"/>
              </w:rPr>
            </w:pPr>
            <w:r>
              <w:rPr>
                <w:rFonts w:ascii="Arial" w:eastAsia="Times New Roman" w:hAnsi="Arial" w:cs="Arial"/>
                <w:bCs/>
                <w:sz w:val="20"/>
                <w:szCs w:val="20"/>
              </w:rPr>
              <w:t>2.02g</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10.1%</w:t>
            </w:r>
          </w:p>
        </w:tc>
      </w:tr>
      <w:tr>
        <w:trPr>
          <w:trHeight w:val="20"/>
          <w:jc w:val="center"/>
        </w:trPr>
        <w:tc>
          <w:tcPr>
            <w:tcW w:w="1343" w:type="dxa"/>
            <w:vMerge/>
          </w:tcPr>
          <w:p>
            <w:pPr>
              <w:contextualSpacing/>
              <w:rPr>
                <w:rFonts w:ascii="Arial" w:eastAsia="Times New Roman" w:hAnsi="Arial" w:cs="Arial"/>
                <w:bCs/>
                <w:sz w:val="20"/>
                <w:szCs w:val="20"/>
              </w:rPr>
            </w:pPr>
          </w:p>
        </w:tc>
        <w:tc>
          <w:tcPr>
            <w:tcW w:w="1260" w:type="dxa"/>
            <w:vMerge/>
          </w:tcPr>
          <w:p>
            <w:pPr>
              <w:contextualSpacing/>
              <w:rPr>
                <w:rFonts w:ascii="Arial" w:eastAsia="Times New Roman" w:hAnsi="Arial" w:cs="Arial"/>
                <w:bCs/>
                <w:sz w:val="20"/>
                <w:szCs w:val="20"/>
              </w:rPr>
            </w:pPr>
          </w:p>
        </w:tc>
        <w:tc>
          <w:tcPr>
            <w:tcW w:w="1530" w:type="dxa"/>
          </w:tcPr>
          <w:p>
            <w:pPr>
              <w:contextualSpacing/>
              <w:rPr>
                <w:rFonts w:ascii="Arial" w:eastAsia="Times New Roman" w:hAnsi="Arial" w:cs="Arial"/>
                <w:bCs/>
                <w:sz w:val="20"/>
                <w:szCs w:val="20"/>
              </w:rPr>
            </w:pPr>
            <w:r>
              <w:rPr>
                <w:rFonts w:ascii="Arial" w:eastAsia="Times New Roman" w:hAnsi="Arial" w:cs="Arial"/>
                <w:bCs/>
                <w:sz w:val="20"/>
                <w:szCs w:val="20"/>
              </w:rPr>
              <w:t>chloroform</w:t>
            </w:r>
          </w:p>
        </w:tc>
        <w:tc>
          <w:tcPr>
            <w:tcW w:w="2790" w:type="dxa"/>
          </w:tcPr>
          <w:p>
            <w:pPr>
              <w:contextualSpacing/>
              <w:rPr>
                <w:rFonts w:ascii="Arial" w:eastAsia="Times New Roman" w:hAnsi="Arial" w:cs="Arial"/>
                <w:bCs/>
                <w:sz w:val="20"/>
                <w:szCs w:val="20"/>
              </w:rPr>
            </w:pPr>
            <w:r>
              <w:rPr>
                <w:rFonts w:ascii="Arial" w:eastAsia="Times New Roman" w:hAnsi="Arial" w:cs="Arial"/>
                <w:bCs/>
                <w:sz w:val="20"/>
                <w:szCs w:val="20"/>
              </w:rPr>
              <w:t>2.65g</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13.25%</w:t>
            </w:r>
          </w:p>
        </w:tc>
      </w:tr>
      <w:tr>
        <w:trPr>
          <w:trHeight w:val="20"/>
          <w:jc w:val="center"/>
        </w:trPr>
        <w:tc>
          <w:tcPr>
            <w:tcW w:w="1343" w:type="dxa"/>
            <w:vMerge/>
          </w:tcPr>
          <w:p>
            <w:pPr>
              <w:contextualSpacing/>
              <w:rPr>
                <w:rFonts w:ascii="Arial" w:eastAsia="Times New Roman" w:hAnsi="Arial" w:cs="Arial"/>
                <w:bCs/>
                <w:sz w:val="20"/>
                <w:szCs w:val="20"/>
              </w:rPr>
            </w:pPr>
          </w:p>
        </w:tc>
        <w:tc>
          <w:tcPr>
            <w:tcW w:w="1260" w:type="dxa"/>
            <w:vMerge/>
          </w:tcPr>
          <w:p>
            <w:pPr>
              <w:contextualSpacing/>
              <w:rPr>
                <w:rFonts w:ascii="Arial" w:eastAsia="Times New Roman" w:hAnsi="Arial" w:cs="Arial"/>
                <w:bCs/>
                <w:sz w:val="20"/>
                <w:szCs w:val="20"/>
              </w:rPr>
            </w:pPr>
          </w:p>
        </w:tc>
        <w:tc>
          <w:tcPr>
            <w:tcW w:w="1530" w:type="dxa"/>
          </w:tcPr>
          <w:p>
            <w:pPr>
              <w:contextualSpacing/>
              <w:rPr>
                <w:rFonts w:ascii="Arial" w:eastAsia="Times New Roman" w:hAnsi="Arial" w:cs="Arial"/>
                <w:bCs/>
                <w:sz w:val="20"/>
                <w:szCs w:val="20"/>
              </w:rPr>
            </w:pPr>
            <w:r>
              <w:rPr>
                <w:rFonts w:ascii="Arial" w:eastAsia="Times New Roman" w:hAnsi="Arial" w:cs="Arial"/>
                <w:bCs/>
                <w:sz w:val="20"/>
                <w:szCs w:val="20"/>
              </w:rPr>
              <w:t>Distilled water</w:t>
            </w:r>
          </w:p>
        </w:tc>
        <w:tc>
          <w:tcPr>
            <w:tcW w:w="2790" w:type="dxa"/>
          </w:tcPr>
          <w:p>
            <w:pPr>
              <w:contextualSpacing/>
              <w:rPr>
                <w:rFonts w:ascii="Arial" w:eastAsia="Times New Roman" w:hAnsi="Arial" w:cs="Arial"/>
                <w:bCs/>
                <w:sz w:val="20"/>
                <w:szCs w:val="20"/>
              </w:rPr>
            </w:pPr>
            <w:r>
              <w:rPr>
                <w:rFonts w:ascii="Arial" w:eastAsia="Times New Roman" w:hAnsi="Arial" w:cs="Arial"/>
                <w:bCs/>
                <w:sz w:val="20"/>
                <w:szCs w:val="20"/>
              </w:rPr>
              <w:t>2g</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10%</w:t>
            </w:r>
          </w:p>
        </w:tc>
      </w:tr>
      <w:tr>
        <w:trPr>
          <w:trHeight w:val="20"/>
          <w:jc w:val="center"/>
        </w:trPr>
        <w:tc>
          <w:tcPr>
            <w:tcW w:w="1343" w:type="dxa"/>
            <w:vMerge w:val="restart"/>
          </w:tcPr>
          <w:p>
            <w:pPr>
              <w:contextualSpacing/>
              <w:rPr>
                <w:rFonts w:ascii="Arial" w:eastAsia="Times New Roman" w:hAnsi="Arial" w:cs="Arial"/>
                <w:bCs/>
                <w:i/>
                <w:sz w:val="20"/>
                <w:szCs w:val="20"/>
              </w:rPr>
            </w:pP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p>
        </w:tc>
        <w:tc>
          <w:tcPr>
            <w:tcW w:w="1260" w:type="dxa"/>
            <w:vMerge w:val="restart"/>
          </w:tcPr>
          <w:p>
            <w:pPr>
              <w:contextualSpacing/>
              <w:rPr>
                <w:rFonts w:ascii="Arial" w:eastAsia="Times New Roman" w:hAnsi="Arial" w:cs="Arial"/>
                <w:bCs/>
                <w:sz w:val="20"/>
                <w:szCs w:val="20"/>
              </w:rPr>
            </w:pPr>
          </w:p>
          <w:p>
            <w:pPr>
              <w:contextualSpacing/>
              <w:rPr>
                <w:rFonts w:ascii="Arial" w:eastAsia="Times New Roman" w:hAnsi="Arial" w:cs="Arial"/>
                <w:bCs/>
                <w:sz w:val="20"/>
                <w:szCs w:val="20"/>
              </w:rPr>
            </w:pPr>
            <w:r>
              <w:rPr>
                <w:rFonts w:ascii="Arial" w:eastAsia="Times New Roman" w:hAnsi="Arial" w:cs="Arial"/>
                <w:bCs/>
                <w:sz w:val="20"/>
                <w:szCs w:val="20"/>
              </w:rPr>
              <w:t>leaves</w:t>
            </w:r>
          </w:p>
        </w:tc>
        <w:tc>
          <w:tcPr>
            <w:tcW w:w="1530" w:type="dxa"/>
          </w:tcPr>
          <w:p>
            <w:pPr>
              <w:contextualSpacing/>
              <w:rPr>
                <w:rFonts w:ascii="Arial" w:eastAsia="Times New Roman" w:hAnsi="Arial" w:cs="Arial"/>
                <w:bCs/>
                <w:sz w:val="20"/>
                <w:szCs w:val="20"/>
              </w:rPr>
            </w:pPr>
            <w:r>
              <w:rPr>
                <w:rFonts w:ascii="Arial" w:eastAsia="Times New Roman" w:hAnsi="Arial" w:cs="Arial"/>
                <w:bCs/>
                <w:sz w:val="20"/>
                <w:szCs w:val="20"/>
              </w:rPr>
              <w:t>Ethanol</w:t>
            </w:r>
          </w:p>
        </w:tc>
        <w:tc>
          <w:tcPr>
            <w:tcW w:w="2790" w:type="dxa"/>
          </w:tcPr>
          <w:p>
            <w:pPr>
              <w:contextualSpacing/>
              <w:rPr>
                <w:rFonts w:ascii="Arial" w:eastAsia="Times New Roman" w:hAnsi="Arial" w:cs="Arial"/>
                <w:bCs/>
                <w:sz w:val="20"/>
                <w:szCs w:val="20"/>
              </w:rPr>
            </w:pPr>
            <w:r>
              <w:rPr>
                <w:rFonts w:ascii="Arial" w:eastAsia="Times New Roman" w:hAnsi="Arial" w:cs="Arial"/>
                <w:bCs/>
                <w:sz w:val="20"/>
                <w:szCs w:val="20"/>
              </w:rPr>
              <w:t>4.52g</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22.6%</w:t>
            </w:r>
          </w:p>
        </w:tc>
      </w:tr>
      <w:tr>
        <w:trPr>
          <w:trHeight w:val="20"/>
          <w:jc w:val="center"/>
        </w:trPr>
        <w:tc>
          <w:tcPr>
            <w:tcW w:w="1343" w:type="dxa"/>
            <w:vMerge/>
          </w:tcPr>
          <w:p>
            <w:pPr>
              <w:contextualSpacing/>
              <w:rPr>
                <w:rFonts w:ascii="Arial" w:eastAsia="Times New Roman" w:hAnsi="Arial" w:cs="Arial"/>
                <w:bCs/>
                <w:sz w:val="20"/>
                <w:szCs w:val="20"/>
              </w:rPr>
            </w:pPr>
          </w:p>
        </w:tc>
        <w:tc>
          <w:tcPr>
            <w:tcW w:w="1260" w:type="dxa"/>
            <w:vMerge/>
          </w:tcPr>
          <w:p>
            <w:pPr>
              <w:contextualSpacing/>
              <w:rPr>
                <w:rFonts w:ascii="Arial" w:eastAsia="Times New Roman" w:hAnsi="Arial" w:cs="Arial"/>
                <w:bCs/>
                <w:sz w:val="20"/>
                <w:szCs w:val="20"/>
              </w:rPr>
            </w:pPr>
          </w:p>
        </w:tc>
        <w:tc>
          <w:tcPr>
            <w:tcW w:w="1530" w:type="dxa"/>
          </w:tcPr>
          <w:p>
            <w:pPr>
              <w:contextualSpacing/>
              <w:rPr>
                <w:rFonts w:ascii="Arial" w:eastAsia="Times New Roman" w:hAnsi="Arial" w:cs="Arial"/>
                <w:bCs/>
                <w:sz w:val="20"/>
                <w:szCs w:val="20"/>
              </w:rPr>
            </w:pPr>
            <w:r>
              <w:rPr>
                <w:rFonts w:ascii="Arial" w:eastAsia="Times New Roman" w:hAnsi="Arial" w:cs="Arial"/>
                <w:bCs/>
                <w:sz w:val="20"/>
                <w:szCs w:val="20"/>
              </w:rPr>
              <w:t>Methanol</w:t>
            </w:r>
          </w:p>
        </w:tc>
        <w:tc>
          <w:tcPr>
            <w:tcW w:w="2790" w:type="dxa"/>
          </w:tcPr>
          <w:p>
            <w:pPr>
              <w:contextualSpacing/>
              <w:rPr>
                <w:rFonts w:ascii="Arial" w:eastAsia="Times New Roman" w:hAnsi="Arial" w:cs="Arial"/>
                <w:bCs/>
                <w:sz w:val="20"/>
                <w:szCs w:val="20"/>
              </w:rPr>
            </w:pPr>
            <w:r>
              <w:rPr>
                <w:rFonts w:ascii="Arial" w:eastAsia="Times New Roman" w:hAnsi="Arial" w:cs="Arial"/>
                <w:bCs/>
                <w:sz w:val="20"/>
                <w:szCs w:val="20"/>
              </w:rPr>
              <w:t>2.31g</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11.55%</w:t>
            </w:r>
          </w:p>
        </w:tc>
      </w:tr>
      <w:tr>
        <w:trPr>
          <w:trHeight w:val="20"/>
          <w:jc w:val="center"/>
        </w:trPr>
        <w:tc>
          <w:tcPr>
            <w:tcW w:w="1343" w:type="dxa"/>
            <w:vMerge/>
          </w:tcPr>
          <w:p>
            <w:pPr>
              <w:contextualSpacing/>
              <w:rPr>
                <w:rFonts w:ascii="Arial" w:eastAsia="Times New Roman" w:hAnsi="Arial" w:cs="Arial"/>
                <w:bCs/>
                <w:sz w:val="20"/>
                <w:szCs w:val="20"/>
              </w:rPr>
            </w:pPr>
          </w:p>
        </w:tc>
        <w:tc>
          <w:tcPr>
            <w:tcW w:w="1260" w:type="dxa"/>
            <w:vMerge/>
          </w:tcPr>
          <w:p>
            <w:pPr>
              <w:contextualSpacing/>
              <w:rPr>
                <w:rFonts w:ascii="Arial" w:eastAsia="Times New Roman" w:hAnsi="Arial" w:cs="Arial"/>
                <w:bCs/>
                <w:sz w:val="20"/>
                <w:szCs w:val="20"/>
              </w:rPr>
            </w:pPr>
          </w:p>
        </w:tc>
        <w:tc>
          <w:tcPr>
            <w:tcW w:w="1530" w:type="dxa"/>
          </w:tcPr>
          <w:p>
            <w:pPr>
              <w:contextualSpacing/>
              <w:rPr>
                <w:rFonts w:ascii="Arial" w:eastAsia="Times New Roman" w:hAnsi="Arial" w:cs="Arial"/>
                <w:bCs/>
                <w:sz w:val="20"/>
                <w:szCs w:val="20"/>
              </w:rPr>
            </w:pPr>
            <w:r>
              <w:rPr>
                <w:rFonts w:ascii="Arial" w:eastAsia="Times New Roman" w:hAnsi="Arial" w:cs="Arial"/>
                <w:bCs/>
                <w:sz w:val="20"/>
                <w:szCs w:val="20"/>
              </w:rPr>
              <w:t>chloroform</w:t>
            </w:r>
          </w:p>
        </w:tc>
        <w:tc>
          <w:tcPr>
            <w:tcW w:w="2790" w:type="dxa"/>
          </w:tcPr>
          <w:p>
            <w:pPr>
              <w:contextualSpacing/>
              <w:rPr>
                <w:rFonts w:ascii="Arial" w:eastAsia="Times New Roman" w:hAnsi="Arial" w:cs="Arial"/>
                <w:bCs/>
                <w:sz w:val="20"/>
                <w:szCs w:val="20"/>
              </w:rPr>
            </w:pPr>
            <w:r>
              <w:rPr>
                <w:rFonts w:ascii="Arial" w:eastAsia="Times New Roman" w:hAnsi="Arial" w:cs="Arial"/>
                <w:bCs/>
                <w:sz w:val="20"/>
                <w:szCs w:val="20"/>
              </w:rPr>
              <w:t>3.37g</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16.85%</w:t>
            </w:r>
          </w:p>
        </w:tc>
      </w:tr>
      <w:tr>
        <w:trPr>
          <w:trHeight w:val="20"/>
          <w:jc w:val="center"/>
        </w:trPr>
        <w:tc>
          <w:tcPr>
            <w:tcW w:w="1343" w:type="dxa"/>
            <w:vMerge/>
          </w:tcPr>
          <w:p>
            <w:pPr>
              <w:contextualSpacing/>
              <w:rPr>
                <w:rFonts w:ascii="Arial" w:eastAsia="Times New Roman" w:hAnsi="Arial" w:cs="Arial"/>
                <w:bCs/>
                <w:sz w:val="20"/>
                <w:szCs w:val="20"/>
              </w:rPr>
            </w:pPr>
          </w:p>
        </w:tc>
        <w:tc>
          <w:tcPr>
            <w:tcW w:w="1260" w:type="dxa"/>
            <w:vMerge/>
          </w:tcPr>
          <w:p>
            <w:pPr>
              <w:contextualSpacing/>
              <w:rPr>
                <w:rFonts w:ascii="Arial" w:eastAsia="Times New Roman" w:hAnsi="Arial" w:cs="Arial"/>
                <w:bCs/>
                <w:sz w:val="20"/>
                <w:szCs w:val="20"/>
              </w:rPr>
            </w:pPr>
          </w:p>
        </w:tc>
        <w:tc>
          <w:tcPr>
            <w:tcW w:w="1530" w:type="dxa"/>
          </w:tcPr>
          <w:p>
            <w:pPr>
              <w:contextualSpacing/>
              <w:rPr>
                <w:rFonts w:ascii="Arial" w:eastAsia="Times New Roman" w:hAnsi="Arial" w:cs="Arial"/>
                <w:bCs/>
                <w:sz w:val="20"/>
                <w:szCs w:val="20"/>
              </w:rPr>
            </w:pPr>
            <w:r>
              <w:rPr>
                <w:rFonts w:ascii="Arial" w:eastAsia="Times New Roman" w:hAnsi="Arial" w:cs="Arial"/>
                <w:bCs/>
                <w:sz w:val="20"/>
                <w:szCs w:val="20"/>
              </w:rPr>
              <w:t>Distilled water</w:t>
            </w:r>
          </w:p>
        </w:tc>
        <w:tc>
          <w:tcPr>
            <w:tcW w:w="2790" w:type="dxa"/>
          </w:tcPr>
          <w:p>
            <w:pPr>
              <w:contextualSpacing/>
              <w:rPr>
                <w:rFonts w:ascii="Arial" w:eastAsia="Times New Roman" w:hAnsi="Arial" w:cs="Arial"/>
                <w:bCs/>
                <w:sz w:val="20"/>
                <w:szCs w:val="20"/>
              </w:rPr>
            </w:pPr>
            <w:r>
              <w:rPr>
                <w:rFonts w:ascii="Arial" w:eastAsia="Times New Roman" w:hAnsi="Arial" w:cs="Arial"/>
                <w:bCs/>
                <w:sz w:val="20"/>
                <w:szCs w:val="20"/>
              </w:rPr>
              <w:t>5.79g</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28.95%</w:t>
            </w:r>
          </w:p>
        </w:tc>
      </w:tr>
    </w:tbl>
    <w:p>
      <w:pPr>
        <w:spacing w:after="0" w:line="240" w:lineRule="auto"/>
        <w:contextualSpacing/>
        <w:jc w:val="both"/>
        <w:rPr>
          <w:rFonts w:ascii="Arial" w:eastAsia="Times New Roman" w:hAnsi="Arial" w:cs="Arial"/>
          <w:b/>
          <w:bCs/>
          <w:sz w:val="20"/>
          <w:szCs w:val="20"/>
        </w:rPr>
      </w:pPr>
    </w:p>
    <w:p>
      <w:pPr>
        <w:spacing w:after="0" w:line="240" w:lineRule="auto"/>
        <w:contextualSpacing/>
        <w:jc w:val="center"/>
        <w:rPr>
          <w:rFonts w:ascii="Arial" w:eastAsia="Times New Roman" w:hAnsi="Arial" w:cs="Arial"/>
          <w:b/>
          <w:sz w:val="20"/>
          <w:szCs w:val="20"/>
        </w:rPr>
      </w:pPr>
      <w:r>
        <w:rPr>
          <w:rFonts w:ascii="Arial" w:eastAsia="Times New Roman" w:hAnsi="Arial" w:cs="Arial"/>
          <w:b/>
          <w:sz w:val="20"/>
          <w:szCs w:val="20"/>
        </w:rPr>
        <w:t>Table 2. Qualitative screening of the major Secondary Metabolites</w:t>
      </w:r>
    </w:p>
    <w:p>
      <w:pPr>
        <w:spacing w:after="0" w:line="240" w:lineRule="auto"/>
        <w:contextualSpacing/>
        <w:jc w:val="center"/>
        <w:rPr>
          <w:rFonts w:ascii="Arial" w:eastAsia="Times New Roman" w:hAnsi="Arial" w:cs="Arial"/>
          <w:b/>
          <w:color w:val="FF0000"/>
          <w:sz w:val="20"/>
          <w:szCs w:val="20"/>
        </w:rPr>
      </w:pPr>
    </w:p>
    <w:tbl>
      <w:tblPr>
        <w:tblStyle w:val="TableGrid"/>
        <w:tblW w:w="491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1"/>
        <w:gridCol w:w="720"/>
        <w:gridCol w:w="991"/>
        <w:gridCol w:w="899"/>
        <w:gridCol w:w="899"/>
        <w:gridCol w:w="632"/>
        <w:gridCol w:w="718"/>
        <w:gridCol w:w="902"/>
        <w:gridCol w:w="718"/>
        <w:gridCol w:w="721"/>
        <w:gridCol w:w="718"/>
        <w:gridCol w:w="899"/>
        <w:gridCol w:w="810"/>
        <w:gridCol w:w="810"/>
        <w:gridCol w:w="721"/>
        <w:gridCol w:w="718"/>
        <w:gridCol w:w="618"/>
      </w:tblGrid>
      <w:tr>
        <w:trPr>
          <w:trHeight w:val="20"/>
          <w:jc w:val="center"/>
        </w:trPr>
        <w:tc>
          <w:tcPr>
            <w:tcW w:w="511" w:type="pct"/>
            <w:vMerge w:val="restart"/>
            <w:tcBorders>
              <w:top w:val="single" w:sz="4" w:space="0" w:color="auto"/>
              <w:bottom w:val="single" w:sz="4" w:space="0" w:color="auto"/>
            </w:tcBorders>
            <w:textDirection w:val="btLr"/>
            <w:hideMark/>
          </w:tcPr>
          <w:p>
            <w:pPr>
              <w:ind w:left="113" w:right="113"/>
              <w:contextualSpacing/>
              <w:rPr>
                <w:rFonts w:ascii="Arial" w:eastAsia="Times New Roman" w:hAnsi="Arial" w:cs="Arial"/>
                <w:b/>
                <w:sz w:val="20"/>
                <w:szCs w:val="20"/>
              </w:rPr>
            </w:pPr>
            <w:r>
              <w:rPr>
                <w:rFonts w:ascii="Arial" w:eastAsia="Times New Roman" w:hAnsi="Arial" w:cs="Arial"/>
                <w:b/>
                <w:sz w:val="20"/>
                <w:szCs w:val="20"/>
                <w:lang w:val="en-IN"/>
              </w:rPr>
              <w:t xml:space="preserve"> </w:t>
            </w:r>
            <w:r>
              <w:rPr>
                <w:rFonts w:ascii="Arial" w:eastAsia="Times New Roman" w:hAnsi="Arial" w:cs="Arial"/>
                <w:b/>
                <w:sz w:val="20"/>
                <w:szCs w:val="20"/>
                <w:lang w:val="en-GB"/>
              </w:rPr>
              <w:t>Phytochemicals</w:t>
            </w:r>
          </w:p>
        </w:tc>
        <w:tc>
          <w:tcPr>
            <w:tcW w:w="2328" w:type="pct"/>
            <w:gridSpan w:val="8"/>
            <w:tcBorders>
              <w:top w:val="single" w:sz="4" w:space="0" w:color="auto"/>
              <w:bottom w:val="single" w:sz="4" w:space="0" w:color="auto"/>
            </w:tcBorders>
            <w:hideMark/>
          </w:tcPr>
          <w:p>
            <w:pPr>
              <w:contextualSpacing/>
              <w:rPr>
                <w:rFonts w:ascii="Arial" w:eastAsia="Times New Roman" w:hAnsi="Arial" w:cs="Arial"/>
                <w:b/>
                <w:sz w:val="20"/>
                <w:szCs w:val="20"/>
              </w:rPr>
            </w:pPr>
            <w:r>
              <w:rPr>
                <w:rFonts w:ascii="Arial" w:eastAsia="Times New Roman" w:hAnsi="Arial" w:cs="Arial"/>
                <w:b/>
                <w:sz w:val="20"/>
                <w:szCs w:val="20"/>
                <w:lang w:val="en-IN"/>
              </w:rPr>
              <w:t>Plant Extracts</w:t>
            </w:r>
          </w:p>
          <w:p>
            <w:pPr>
              <w:contextualSpacing/>
              <w:rPr>
                <w:rFonts w:ascii="Arial" w:eastAsia="Times New Roman" w:hAnsi="Arial" w:cs="Arial"/>
                <w:b/>
                <w:i/>
                <w:sz w:val="20"/>
                <w:szCs w:val="20"/>
              </w:rPr>
            </w:pPr>
            <w:r>
              <w:rPr>
                <w:rFonts w:ascii="Arial" w:eastAsia="Times New Roman" w:hAnsi="Arial" w:cs="Arial"/>
                <w:b/>
                <w:i/>
                <w:sz w:val="20"/>
                <w:szCs w:val="20"/>
              </w:rPr>
              <w:t xml:space="preserve">Cucumis </w:t>
            </w:r>
            <w:proofErr w:type="spellStart"/>
            <w:r>
              <w:rPr>
                <w:rFonts w:ascii="Arial" w:eastAsia="Times New Roman" w:hAnsi="Arial" w:cs="Arial"/>
                <w:b/>
                <w:i/>
                <w:sz w:val="20"/>
                <w:szCs w:val="20"/>
              </w:rPr>
              <w:t>focifolius</w:t>
            </w:r>
            <w:proofErr w:type="spellEnd"/>
          </w:p>
        </w:tc>
        <w:tc>
          <w:tcPr>
            <w:tcW w:w="2161" w:type="pct"/>
            <w:gridSpan w:val="8"/>
            <w:tcBorders>
              <w:top w:val="single" w:sz="4" w:space="0" w:color="auto"/>
              <w:bottom w:val="single" w:sz="4" w:space="0" w:color="auto"/>
            </w:tcBorders>
            <w:hideMark/>
          </w:tcPr>
          <w:p>
            <w:pPr>
              <w:contextualSpacing/>
              <w:rPr>
                <w:rFonts w:ascii="Arial" w:eastAsia="Times New Roman" w:hAnsi="Arial" w:cs="Arial"/>
                <w:b/>
                <w:sz w:val="20"/>
                <w:szCs w:val="20"/>
                <w:lang w:val="en-IN"/>
              </w:rPr>
            </w:pPr>
            <w:r>
              <w:rPr>
                <w:rFonts w:ascii="Arial" w:eastAsia="Times New Roman" w:hAnsi="Arial" w:cs="Arial"/>
                <w:b/>
                <w:sz w:val="20"/>
                <w:szCs w:val="20"/>
                <w:lang w:val="en-IN"/>
              </w:rPr>
              <w:t>Plant Extracts</w:t>
            </w:r>
          </w:p>
          <w:p>
            <w:pPr>
              <w:contextualSpacing/>
              <w:rPr>
                <w:rFonts w:ascii="Arial" w:eastAsia="Times New Roman" w:hAnsi="Arial" w:cs="Arial"/>
                <w:b/>
                <w:i/>
                <w:sz w:val="20"/>
                <w:szCs w:val="20"/>
              </w:rPr>
            </w:pPr>
            <w:proofErr w:type="spellStart"/>
            <w:r>
              <w:rPr>
                <w:rFonts w:ascii="Arial" w:eastAsia="Times New Roman" w:hAnsi="Arial" w:cs="Arial"/>
                <w:b/>
                <w:i/>
                <w:sz w:val="20"/>
                <w:szCs w:val="20"/>
              </w:rPr>
              <w:t>Phytolacca</w:t>
            </w:r>
            <w:proofErr w:type="spellEnd"/>
            <w:r>
              <w:rPr>
                <w:rFonts w:ascii="Arial" w:eastAsia="Times New Roman" w:hAnsi="Arial" w:cs="Arial"/>
                <w:b/>
                <w:i/>
                <w:sz w:val="20"/>
                <w:szCs w:val="20"/>
              </w:rPr>
              <w:t xml:space="preserve"> </w:t>
            </w:r>
            <w:proofErr w:type="spellStart"/>
            <w:r>
              <w:rPr>
                <w:rFonts w:ascii="Arial" w:eastAsia="Times New Roman" w:hAnsi="Arial" w:cs="Arial"/>
                <w:b/>
                <w:i/>
                <w:sz w:val="20"/>
                <w:szCs w:val="20"/>
              </w:rPr>
              <w:t>dodecandra</w:t>
            </w:r>
            <w:proofErr w:type="spellEnd"/>
          </w:p>
        </w:tc>
      </w:tr>
      <w:tr>
        <w:trPr>
          <w:cantSplit/>
          <w:trHeight w:val="1367"/>
          <w:jc w:val="center"/>
        </w:trPr>
        <w:tc>
          <w:tcPr>
            <w:tcW w:w="511" w:type="pct"/>
            <w:vMerge/>
            <w:tcBorders>
              <w:top w:val="nil"/>
              <w:bottom w:val="single" w:sz="4" w:space="0" w:color="auto"/>
            </w:tcBorders>
            <w:hideMark/>
          </w:tcPr>
          <w:p>
            <w:pPr>
              <w:contextualSpacing/>
              <w:rPr>
                <w:rFonts w:ascii="Arial" w:eastAsia="Times New Roman" w:hAnsi="Arial" w:cs="Arial"/>
                <w:b/>
                <w:sz w:val="20"/>
                <w:szCs w:val="20"/>
              </w:rPr>
            </w:pPr>
          </w:p>
        </w:tc>
        <w:tc>
          <w:tcPr>
            <w:tcW w:w="259" w:type="pct"/>
            <w:tcBorders>
              <w:top w:val="single" w:sz="4" w:space="0" w:color="auto"/>
              <w:bottom w:val="single" w:sz="4" w:space="0" w:color="auto"/>
            </w:tcBorders>
            <w:textDirection w:val="btLr"/>
            <w:hideMark/>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Ethanol Root</w:t>
            </w:r>
          </w:p>
        </w:tc>
        <w:tc>
          <w:tcPr>
            <w:tcW w:w="356" w:type="pct"/>
            <w:tcBorders>
              <w:top w:val="single" w:sz="4" w:space="0" w:color="auto"/>
              <w:bottom w:val="single" w:sz="4" w:space="0" w:color="auto"/>
            </w:tcBorders>
            <w:textDirection w:val="btLr"/>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Methanol Root</w:t>
            </w:r>
          </w:p>
        </w:tc>
        <w:tc>
          <w:tcPr>
            <w:tcW w:w="323" w:type="pct"/>
            <w:tcBorders>
              <w:top w:val="single" w:sz="4" w:space="0" w:color="auto"/>
              <w:bottom w:val="single" w:sz="4" w:space="0" w:color="auto"/>
            </w:tcBorders>
            <w:textDirection w:val="btLr"/>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Chloroform Root</w:t>
            </w:r>
          </w:p>
        </w:tc>
        <w:tc>
          <w:tcPr>
            <w:tcW w:w="323" w:type="pct"/>
            <w:tcBorders>
              <w:top w:val="single" w:sz="4" w:space="0" w:color="auto"/>
              <w:bottom w:val="single" w:sz="4" w:space="0" w:color="auto"/>
            </w:tcBorders>
            <w:textDirection w:val="btLr"/>
            <w:hideMark/>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Aqueous Root</w:t>
            </w:r>
          </w:p>
        </w:tc>
        <w:tc>
          <w:tcPr>
            <w:tcW w:w="227" w:type="pct"/>
            <w:tcBorders>
              <w:top w:val="single" w:sz="4" w:space="0" w:color="auto"/>
              <w:bottom w:val="single" w:sz="4" w:space="0" w:color="auto"/>
            </w:tcBorders>
            <w:textDirection w:val="btLr"/>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Ethanol leaf</w:t>
            </w:r>
          </w:p>
        </w:tc>
        <w:tc>
          <w:tcPr>
            <w:tcW w:w="258" w:type="pct"/>
            <w:tcBorders>
              <w:top w:val="single" w:sz="4" w:space="0" w:color="auto"/>
              <w:bottom w:val="single" w:sz="4" w:space="0" w:color="auto"/>
            </w:tcBorders>
            <w:textDirection w:val="btLr"/>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Methanol leaf</w:t>
            </w:r>
          </w:p>
        </w:tc>
        <w:tc>
          <w:tcPr>
            <w:tcW w:w="324" w:type="pct"/>
            <w:tcBorders>
              <w:top w:val="single" w:sz="4" w:space="0" w:color="auto"/>
              <w:bottom w:val="single" w:sz="4" w:space="0" w:color="auto"/>
            </w:tcBorders>
            <w:textDirection w:val="btLr"/>
            <w:hideMark/>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Chloroform leaf</w:t>
            </w:r>
          </w:p>
        </w:tc>
        <w:tc>
          <w:tcPr>
            <w:tcW w:w="258" w:type="pct"/>
            <w:tcBorders>
              <w:top w:val="single" w:sz="4" w:space="0" w:color="auto"/>
              <w:bottom w:val="single" w:sz="4" w:space="0" w:color="auto"/>
            </w:tcBorders>
            <w:textDirection w:val="btLr"/>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Aqueous leaf</w:t>
            </w:r>
          </w:p>
        </w:tc>
        <w:tc>
          <w:tcPr>
            <w:tcW w:w="259" w:type="pct"/>
            <w:tcBorders>
              <w:top w:val="single" w:sz="4" w:space="0" w:color="auto"/>
              <w:bottom w:val="single" w:sz="4" w:space="0" w:color="auto"/>
            </w:tcBorders>
            <w:textDirection w:val="btLr"/>
            <w:hideMark/>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Ethanol Root</w:t>
            </w:r>
          </w:p>
        </w:tc>
        <w:tc>
          <w:tcPr>
            <w:tcW w:w="258" w:type="pct"/>
            <w:tcBorders>
              <w:top w:val="single" w:sz="4" w:space="0" w:color="auto"/>
              <w:bottom w:val="single" w:sz="4" w:space="0" w:color="auto"/>
            </w:tcBorders>
            <w:textDirection w:val="btLr"/>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Methanol Root</w:t>
            </w:r>
          </w:p>
        </w:tc>
        <w:tc>
          <w:tcPr>
            <w:tcW w:w="323" w:type="pct"/>
            <w:tcBorders>
              <w:top w:val="single" w:sz="4" w:space="0" w:color="auto"/>
              <w:bottom w:val="single" w:sz="4" w:space="0" w:color="auto"/>
            </w:tcBorders>
            <w:textDirection w:val="btLr"/>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Chloroform Root</w:t>
            </w:r>
          </w:p>
        </w:tc>
        <w:tc>
          <w:tcPr>
            <w:tcW w:w="291" w:type="pct"/>
            <w:tcBorders>
              <w:top w:val="single" w:sz="4" w:space="0" w:color="auto"/>
              <w:bottom w:val="single" w:sz="4" w:space="0" w:color="auto"/>
            </w:tcBorders>
            <w:textDirection w:val="btLr"/>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Aqueous Root</w:t>
            </w:r>
          </w:p>
        </w:tc>
        <w:tc>
          <w:tcPr>
            <w:tcW w:w="291" w:type="pct"/>
            <w:tcBorders>
              <w:top w:val="single" w:sz="4" w:space="0" w:color="auto"/>
              <w:bottom w:val="single" w:sz="4" w:space="0" w:color="auto"/>
            </w:tcBorders>
            <w:textDirection w:val="btLr"/>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Ethanol leaf</w:t>
            </w:r>
          </w:p>
        </w:tc>
        <w:tc>
          <w:tcPr>
            <w:tcW w:w="259" w:type="pct"/>
            <w:tcBorders>
              <w:top w:val="single" w:sz="4" w:space="0" w:color="auto"/>
              <w:bottom w:val="single" w:sz="4" w:space="0" w:color="auto"/>
            </w:tcBorders>
            <w:textDirection w:val="btLr"/>
            <w:hideMark/>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Methanol leaf</w:t>
            </w:r>
          </w:p>
        </w:tc>
        <w:tc>
          <w:tcPr>
            <w:tcW w:w="258" w:type="pct"/>
            <w:tcBorders>
              <w:top w:val="single" w:sz="4" w:space="0" w:color="auto"/>
              <w:bottom w:val="single" w:sz="4" w:space="0" w:color="auto"/>
            </w:tcBorders>
            <w:textDirection w:val="btLr"/>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Chloroform leaf</w:t>
            </w:r>
          </w:p>
        </w:tc>
        <w:tc>
          <w:tcPr>
            <w:tcW w:w="222" w:type="pct"/>
            <w:tcBorders>
              <w:top w:val="single" w:sz="4" w:space="0" w:color="auto"/>
              <w:bottom w:val="single" w:sz="4" w:space="0" w:color="auto"/>
            </w:tcBorders>
            <w:textDirection w:val="btLr"/>
            <w:hideMark/>
          </w:tcPr>
          <w:p>
            <w:pPr>
              <w:ind w:left="113" w:right="113"/>
              <w:contextualSpacing/>
              <w:jc w:val="center"/>
              <w:rPr>
                <w:rFonts w:ascii="Arial" w:eastAsia="Times New Roman" w:hAnsi="Arial" w:cs="Arial"/>
                <w:b/>
                <w:sz w:val="20"/>
                <w:szCs w:val="20"/>
              </w:rPr>
            </w:pPr>
            <w:r>
              <w:rPr>
                <w:rFonts w:ascii="Arial" w:eastAsia="Times New Roman" w:hAnsi="Arial" w:cs="Arial"/>
                <w:b/>
                <w:sz w:val="20"/>
                <w:szCs w:val="20"/>
              </w:rPr>
              <w:t>Aqueous leaf</w:t>
            </w:r>
          </w:p>
        </w:tc>
      </w:tr>
      <w:tr>
        <w:trPr>
          <w:trHeight w:val="20"/>
          <w:jc w:val="center"/>
        </w:trPr>
        <w:tc>
          <w:tcPr>
            <w:tcW w:w="511" w:type="pct"/>
            <w:tcBorders>
              <w:top w:val="single" w:sz="4" w:space="0" w:color="auto"/>
            </w:tcBorders>
            <w:hideMark/>
          </w:tcPr>
          <w:p>
            <w:pPr>
              <w:contextualSpacing/>
              <w:rPr>
                <w:rFonts w:ascii="Arial" w:eastAsia="Times New Roman" w:hAnsi="Arial" w:cs="Arial"/>
                <w:bCs/>
                <w:sz w:val="20"/>
                <w:szCs w:val="20"/>
              </w:rPr>
            </w:pPr>
            <w:r>
              <w:rPr>
                <w:rFonts w:ascii="Arial" w:eastAsia="Times New Roman" w:hAnsi="Arial" w:cs="Arial"/>
                <w:bCs/>
                <w:i/>
                <w:iCs/>
                <w:sz w:val="20"/>
                <w:szCs w:val="20"/>
                <w:lang w:val="en-IN"/>
              </w:rPr>
              <w:t>Tannin</w:t>
            </w:r>
          </w:p>
        </w:tc>
        <w:tc>
          <w:tcPr>
            <w:tcW w:w="259" w:type="pct"/>
            <w:tcBorders>
              <w:top w:val="single" w:sz="4" w:space="0" w:color="auto"/>
            </w:tcBorders>
            <w:hideMark/>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56"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27"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4"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9" w:type="pct"/>
            <w:tcBorders>
              <w:top w:val="single" w:sz="4" w:space="0" w:color="auto"/>
            </w:tcBorders>
            <w:hideMark/>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91"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91"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9"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22" w:type="pct"/>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w:t>
            </w:r>
          </w:p>
        </w:tc>
      </w:tr>
      <w:tr>
        <w:trPr>
          <w:trHeight w:val="20"/>
          <w:jc w:val="center"/>
        </w:trPr>
        <w:tc>
          <w:tcPr>
            <w:tcW w:w="511" w:type="pct"/>
            <w:hideMark/>
          </w:tcPr>
          <w:p>
            <w:pPr>
              <w:contextualSpacing/>
              <w:rPr>
                <w:rFonts w:ascii="Arial" w:eastAsia="Times New Roman" w:hAnsi="Arial" w:cs="Arial"/>
                <w:bCs/>
                <w:sz w:val="20"/>
                <w:szCs w:val="20"/>
              </w:rPr>
            </w:pPr>
            <w:r>
              <w:rPr>
                <w:rFonts w:ascii="Arial" w:eastAsia="Times New Roman" w:hAnsi="Arial" w:cs="Arial"/>
                <w:bCs/>
                <w:i/>
                <w:iCs/>
                <w:sz w:val="20"/>
                <w:szCs w:val="20"/>
                <w:lang w:val="en-IN"/>
              </w:rPr>
              <w:t>Saponin</w:t>
            </w:r>
          </w:p>
        </w:tc>
        <w:tc>
          <w:tcPr>
            <w:tcW w:w="259" w:type="pct"/>
            <w:hideMark/>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56"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27"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4"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9" w:type="pct"/>
            <w:hideMark/>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91"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91"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9"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22" w:type="pct"/>
          </w:tcPr>
          <w:p>
            <w:pPr>
              <w:contextualSpacing/>
              <w:rPr>
                <w:rFonts w:ascii="Arial" w:eastAsia="Times New Roman" w:hAnsi="Arial" w:cs="Arial"/>
                <w:bCs/>
                <w:sz w:val="20"/>
                <w:szCs w:val="20"/>
              </w:rPr>
            </w:pPr>
            <w:r>
              <w:rPr>
                <w:rFonts w:ascii="Arial" w:eastAsia="Times New Roman" w:hAnsi="Arial" w:cs="Arial"/>
                <w:bCs/>
                <w:sz w:val="20"/>
                <w:szCs w:val="20"/>
              </w:rPr>
              <w:t>+</w:t>
            </w:r>
          </w:p>
        </w:tc>
      </w:tr>
      <w:tr>
        <w:trPr>
          <w:trHeight w:val="20"/>
          <w:jc w:val="center"/>
        </w:trPr>
        <w:tc>
          <w:tcPr>
            <w:tcW w:w="511" w:type="pct"/>
            <w:hideMark/>
          </w:tcPr>
          <w:p>
            <w:pPr>
              <w:contextualSpacing/>
              <w:rPr>
                <w:rFonts w:ascii="Arial" w:eastAsia="Times New Roman" w:hAnsi="Arial" w:cs="Arial"/>
                <w:bCs/>
                <w:sz w:val="20"/>
                <w:szCs w:val="20"/>
              </w:rPr>
            </w:pPr>
            <w:r>
              <w:rPr>
                <w:rFonts w:ascii="Arial" w:eastAsia="Times New Roman" w:hAnsi="Arial" w:cs="Arial"/>
                <w:bCs/>
                <w:i/>
                <w:iCs/>
                <w:sz w:val="20"/>
                <w:szCs w:val="20"/>
                <w:lang w:val="en-IN"/>
              </w:rPr>
              <w:t>Flavonoid</w:t>
            </w:r>
          </w:p>
        </w:tc>
        <w:tc>
          <w:tcPr>
            <w:tcW w:w="259" w:type="pct"/>
            <w:hideMark/>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56"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27"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4"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9" w:type="pct"/>
            <w:hideMark/>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91"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91"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9"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22" w:type="pct"/>
          </w:tcPr>
          <w:p>
            <w:pPr>
              <w:contextualSpacing/>
              <w:rPr>
                <w:rFonts w:ascii="Arial" w:eastAsia="Times New Roman" w:hAnsi="Arial" w:cs="Arial"/>
                <w:bCs/>
                <w:sz w:val="20"/>
                <w:szCs w:val="20"/>
              </w:rPr>
            </w:pPr>
            <w:r>
              <w:rPr>
                <w:rFonts w:ascii="Arial" w:eastAsia="Times New Roman" w:hAnsi="Arial" w:cs="Arial"/>
                <w:bCs/>
                <w:sz w:val="20"/>
                <w:szCs w:val="20"/>
              </w:rPr>
              <w:t>+</w:t>
            </w:r>
          </w:p>
        </w:tc>
      </w:tr>
      <w:tr>
        <w:trPr>
          <w:trHeight w:val="260"/>
          <w:jc w:val="center"/>
        </w:trPr>
        <w:tc>
          <w:tcPr>
            <w:tcW w:w="511" w:type="pct"/>
          </w:tcPr>
          <w:p>
            <w:pPr>
              <w:contextualSpacing/>
              <w:rPr>
                <w:rFonts w:ascii="Arial" w:eastAsia="Times New Roman" w:hAnsi="Arial" w:cs="Arial"/>
                <w:bCs/>
                <w:i/>
                <w:iCs/>
                <w:sz w:val="20"/>
                <w:szCs w:val="20"/>
                <w:lang w:val="en-IN"/>
              </w:rPr>
            </w:pPr>
            <w:r>
              <w:rPr>
                <w:rFonts w:ascii="Arial" w:eastAsia="Times New Roman" w:hAnsi="Arial" w:cs="Arial"/>
                <w:bCs/>
                <w:i/>
                <w:iCs/>
                <w:sz w:val="20"/>
                <w:szCs w:val="20"/>
                <w:lang w:val="en-IN"/>
              </w:rPr>
              <w:t>Free Sugar</w:t>
            </w:r>
          </w:p>
        </w:tc>
        <w:tc>
          <w:tcPr>
            <w:tcW w:w="259"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56"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27"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4"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9"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91"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91"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9"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22" w:type="pct"/>
          </w:tcPr>
          <w:p>
            <w:pPr>
              <w:contextualSpacing/>
              <w:rPr>
                <w:rFonts w:ascii="Arial" w:eastAsia="Times New Roman" w:hAnsi="Arial" w:cs="Arial"/>
                <w:bCs/>
                <w:sz w:val="20"/>
                <w:szCs w:val="20"/>
              </w:rPr>
            </w:pPr>
            <w:r>
              <w:rPr>
                <w:rFonts w:ascii="Arial" w:eastAsia="Times New Roman" w:hAnsi="Arial" w:cs="Arial"/>
                <w:bCs/>
                <w:sz w:val="20"/>
                <w:szCs w:val="20"/>
              </w:rPr>
              <w:t>+</w:t>
            </w:r>
          </w:p>
        </w:tc>
      </w:tr>
      <w:tr>
        <w:trPr>
          <w:trHeight w:val="20"/>
          <w:jc w:val="center"/>
        </w:trPr>
        <w:tc>
          <w:tcPr>
            <w:tcW w:w="511" w:type="pct"/>
          </w:tcPr>
          <w:p>
            <w:pPr>
              <w:contextualSpacing/>
              <w:rPr>
                <w:rFonts w:ascii="Arial" w:eastAsia="Times New Roman" w:hAnsi="Arial" w:cs="Arial"/>
                <w:bCs/>
                <w:i/>
                <w:iCs/>
                <w:sz w:val="20"/>
                <w:szCs w:val="20"/>
                <w:lang w:val="en-IN"/>
              </w:rPr>
            </w:pPr>
            <w:r>
              <w:rPr>
                <w:rFonts w:ascii="Arial" w:eastAsia="Times New Roman" w:hAnsi="Arial" w:cs="Arial"/>
                <w:bCs/>
                <w:i/>
                <w:iCs/>
                <w:sz w:val="20"/>
                <w:szCs w:val="20"/>
                <w:lang w:val="en-IN"/>
              </w:rPr>
              <w:t>Alkaloids</w:t>
            </w:r>
          </w:p>
        </w:tc>
        <w:tc>
          <w:tcPr>
            <w:tcW w:w="259"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56"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27"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4"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9"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323"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91"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91"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9"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8" w:type="pct"/>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22" w:type="pct"/>
          </w:tcPr>
          <w:p>
            <w:pPr>
              <w:contextualSpacing/>
              <w:rPr>
                <w:rFonts w:ascii="Arial" w:eastAsia="Times New Roman" w:hAnsi="Arial" w:cs="Arial"/>
                <w:bCs/>
                <w:sz w:val="20"/>
                <w:szCs w:val="20"/>
              </w:rPr>
            </w:pPr>
            <w:r>
              <w:rPr>
                <w:rFonts w:ascii="Arial" w:eastAsia="Times New Roman" w:hAnsi="Arial" w:cs="Arial"/>
                <w:bCs/>
                <w:sz w:val="20"/>
                <w:szCs w:val="20"/>
              </w:rPr>
              <w:t>-</w:t>
            </w:r>
          </w:p>
        </w:tc>
      </w:tr>
    </w:tbl>
    <w:p>
      <w:pPr>
        <w:spacing w:after="0" w:line="240" w:lineRule="auto"/>
        <w:contextualSpacing/>
        <w:jc w:val="center"/>
        <w:rPr>
          <w:rFonts w:ascii="Arial" w:eastAsia="Times New Roman" w:hAnsi="Arial" w:cs="Arial"/>
          <w:bCs/>
          <w:i/>
          <w:iCs/>
          <w:sz w:val="18"/>
          <w:szCs w:val="18"/>
        </w:rPr>
      </w:pPr>
      <w:r>
        <w:rPr>
          <w:rFonts w:ascii="Arial" w:eastAsia="Times New Roman" w:hAnsi="Arial" w:cs="Arial"/>
          <w:bCs/>
          <w:i/>
          <w:iCs/>
          <w:sz w:val="18"/>
          <w:szCs w:val="18"/>
        </w:rPr>
        <w:t>Key: - (+) indicates presence whereas (-) indicates absence</w:t>
      </w:r>
    </w:p>
    <w:p>
      <w:pPr>
        <w:spacing w:after="0" w:line="240" w:lineRule="auto"/>
        <w:contextualSpacing/>
        <w:jc w:val="center"/>
        <w:rPr>
          <w:rFonts w:ascii="Arial" w:eastAsia="Times New Roman" w:hAnsi="Arial" w:cs="Arial"/>
          <w:bCs/>
          <w:i/>
          <w:iCs/>
          <w:sz w:val="18"/>
          <w:szCs w:val="18"/>
        </w:rPr>
      </w:pPr>
    </w:p>
    <w:p>
      <w:pPr>
        <w:spacing w:after="0" w:line="240" w:lineRule="auto"/>
        <w:contextualSpacing/>
        <w:jc w:val="center"/>
        <w:rPr>
          <w:rFonts w:ascii="Arial" w:eastAsia="Times New Roman" w:hAnsi="Arial" w:cs="Arial"/>
          <w:bCs/>
          <w:i/>
          <w:iCs/>
          <w:sz w:val="18"/>
          <w:szCs w:val="18"/>
        </w:rPr>
      </w:pPr>
    </w:p>
    <w:p>
      <w:pPr>
        <w:spacing w:after="0" w:line="240" w:lineRule="auto"/>
        <w:contextualSpacing/>
        <w:jc w:val="center"/>
        <w:rPr>
          <w:rFonts w:ascii="Arial" w:eastAsia="Times New Roman" w:hAnsi="Arial" w:cs="Arial"/>
          <w:bCs/>
          <w:i/>
          <w:iCs/>
          <w:sz w:val="18"/>
          <w:szCs w:val="18"/>
        </w:rPr>
      </w:pPr>
    </w:p>
    <w:p>
      <w:pPr>
        <w:spacing w:after="0" w:line="240" w:lineRule="auto"/>
        <w:contextualSpacing/>
        <w:jc w:val="center"/>
        <w:rPr>
          <w:rFonts w:ascii="Arial" w:eastAsia="Times New Roman" w:hAnsi="Arial" w:cs="Arial"/>
          <w:bCs/>
          <w:i/>
          <w:iCs/>
          <w:sz w:val="18"/>
          <w:szCs w:val="18"/>
        </w:rPr>
      </w:pPr>
    </w:p>
    <w:p>
      <w:pPr>
        <w:spacing w:after="0" w:line="240" w:lineRule="auto"/>
        <w:contextualSpacing/>
        <w:jc w:val="center"/>
        <w:rPr>
          <w:rFonts w:ascii="Arial" w:eastAsia="Times New Roman" w:hAnsi="Arial" w:cs="Arial"/>
          <w:bCs/>
          <w:i/>
          <w:iCs/>
          <w:sz w:val="18"/>
          <w:szCs w:val="18"/>
        </w:rPr>
      </w:pPr>
    </w:p>
    <w:p>
      <w:pPr>
        <w:spacing w:after="0" w:line="240" w:lineRule="auto"/>
        <w:contextualSpacing/>
        <w:jc w:val="center"/>
        <w:rPr>
          <w:rFonts w:ascii="Arial" w:eastAsia="Times New Roman" w:hAnsi="Arial" w:cs="Arial"/>
          <w:bCs/>
          <w:i/>
          <w:iCs/>
          <w:sz w:val="18"/>
          <w:szCs w:val="18"/>
        </w:rPr>
      </w:pPr>
    </w:p>
    <w:p>
      <w:pPr>
        <w:spacing w:after="0" w:line="240" w:lineRule="auto"/>
        <w:contextualSpacing/>
        <w:jc w:val="center"/>
        <w:rPr>
          <w:rFonts w:ascii="Arial" w:eastAsia="Times New Roman" w:hAnsi="Arial" w:cs="Arial"/>
          <w:bCs/>
          <w:i/>
          <w:iCs/>
          <w:sz w:val="18"/>
          <w:szCs w:val="18"/>
        </w:rPr>
      </w:pPr>
    </w:p>
    <w:p>
      <w:pPr>
        <w:spacing w:after="0" w:line="240" w:lineRule="auto"/>
        <w:contextualSpacing/>
        <w:jc w:val="center"/>
        <w:rPr>
          <w:rFonts w:ascii="Arial" w:eastAsia="Times New Roman" w:hAnsi="Arial" w:cs="Arial"/>
          <w:bCs/>
          <w:i/>
          <w:iCs/>
          <w:sz w:val="18"/>
          <w:szCs w:val="18"/>
        </w:rPr>
      </w:pPr>
    </w:p>
    <w:p>
      <w:pPr>
        <w:spacing w:after="0" w:line="240" w:lineRule="auto"/>
        <w:contextualSpacing/>
        <w:jc w:val="center"/>
        <w:rPr>
          <w:rFonts w:ascii="Arial" w:eastAsia="Times New Roman" w:hAnsi="Arial" w:cs="Arial"/>
          <w:b/>
          <w:bCs/>
          <w:sz w:val="20"/>
          <w:szCs w:val="20"/>
        </w:rPr>
      </w:pPr>
      <w:r>
        <w:rPr>
          <w:rFonts w:ascii="Arial" w:eastAsia="Times New Roman" w:hAnsi="Arial" w:cs="Arial"/>
          <w:b/>
          <w:bCs/>
          <w:sz w:val="20"/>
          <w:szCs w:val="20"/>
        </w:rPr>
        <w:lastRenderedPageBreak/>
        <w:t xml:space="preserve">Table 3. The mean inhibition zone (mean ±SD (mm) of the roots of </w:t>
      </w:r>
      <w:r>
        <w:rPr>
          <w:rFonts w:ascii="Arial" w:eastAsia="Times New Roman" w:hAnsi="Arial" w:cs="Arial"/>
          <w:b/>
          <w:bCs/>
          <w:i/>
          <w:iCs/>
          <w:sz w:val="20"/>
          <w:szCs w:val="20"/>
        </w:rPr>
        <w:t xml:space="preserve">C. </w:t>
      </w:r>
      <w:proofErr w:type="spellStart"/>
      <w:r>
        <w:rPr>
          <w:rFonts w:ascii="Arial" w:eastAsia="Times New Roman" w:hAnsi="Arial" w:cs="Arial"/>
          <w:b/>
          <w:bCs/>
          <w:i/>
          <w:iCs/>
          <w:sz w:val="20"/>
          <w:szCs w:val="20"/>
        </w:rPr>
        <w:t>focifolius</w:t>
      </w:r>
      <w:proofErr w:type="spellEnd"/>
      <w:r>
        <w:rPr>
          <w:rFonts w:ascii="Arial" w:eastAsia="Times New Roman" w:hAnsi="Arial" w:cs="Arial"/>
          <w:b/>
          <w:bCs/>
          <w:i/>
          <w:iCs/>
          <w:sz w:val="20"/>
          <w:szCs w:val="20"/>
        </w:rPr>
        <w:t xml:space="preserve"> </w:t>
      </w:r>
      <w:r>
        <w:rPr>
          <w:rFonts w:ascii="Arial" w:eastAsia="Times New Roman" w:hAnsi="Arial" w:cs="Arial"/>
          <w:b/>
          <w:bCs/>
          <w:sz w:val="20"/>
          <w:szCs w:val="20"/>
        </w:rPr>
        <w:t>against the standard pathogenic bacteria</w:t>
      </w:r>
    </w:p>
    <w:p>
      <w:pPr>
        <w:spacing w:after="0" w:line="240" w:lineRule="auto"/>
        <w:contextualSpacing/>
        <w:jc w:val="both"/>
        <w:rPr>
          <w:rFonts w:ascii="Arial" w:eastAsia="Times New Roman" w:hAnsi="Arial" w:cs="Arial"/>
          <w:bCs/>
          <w:sz w:val="20"/>
          <w:szCs w:val="20"/>
        </w:rPr>
      </w:pPr>
    </w:p>
    <w:tbl>
      <w:tblPr>
        <w:tblStyle w:val="TableGrid"/>
        <w:tblW w:w="491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1"/>
        <w:gridCol w:w="1260"/>
        <w:gridCol w:w="1350"/>
        <w:gridCol w:w="1530"/>
        <w:gridCol w:w="2610"/>
        <w:gridCol w:w="2520"/>
        <w:gridCol w:w="1710"/>
        <w:gridCol w:w="1154"/>
      </w:tblGrid>
      <w:tr>
        <w:trPr>
          <w:trHeight w:val="20"/>
          <w:jc w:val="center"/>
        </w:trPr>
        <w:tc>
          <w:tcPr>
            <w:tcW w:w="1781" w:type="dxa"/>
            <w:tcBorders>
              <w:top w:val="single" w:sz="4" w:space="0" w:color="auto"/>
              <w:bottom w:val="single" w:sz="4" w:space="0" w:color="auto"/>
            </w:tcBorders>
          </w:tcPr>
          <w:p>
            <w:pPr>
              <w:contextualSpacing/>
              <w:rPr>
                <w:rFonts w:ascii="Arial" w:eastAsia="Times New Roman" w:hAnsi="Arial" w:cs="Arial"/>
                <w:b/>
                <w:sz w:val="20"/>
                <w:szCs w:val="20"/>
              </w:rPr>
            </w:pPr>
          </w:p>
        </w:tc>
        <w:tc>
          <w:tcPr>
            <w:tcW w:w="12134" w:type="dxa"/>
            <w:gridSpan w:val="7"/>
            <w:tcBorders>
              <w:top w:val="single" w:sz="4" w:space="0" w:color="auto"/>
              <w:bottom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Inhibition zone (mm)</w:t>
            </w:r>
          </w:p>
        </w:tc>
      </w:tr>
      <w:tr>
        <w:trPr>
          <w:trHeight w:val="20"/>
          <w:jc w:val="center"/>
        </w:trPr>
        <w:tc>
          <w:tcPr>
            <w:tcW w:w="1781"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Test organisms</w:t>
            </w:r>
          </w:p>
        </w:tc>
        <w:tc>
          <w:tcPr>
            <w:tcW w:w="1260"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ethanol</w:t>
            </w:r>
          </w:p>
        </w:tc>
        <w:tc>
          <w:tcPr>
            <w:tcW w:w="1350"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methanol</w:t>
            </w:r>
          </w:p>
        </w:tc>
        <w:tc>
          <w:tcPr>
            <w:tcW w:w="1530"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chloroform</w:t>
            </w:r>
          </w:p>
        </w:tc>
        <w:tc>
          <w:tcPr>
            <w:tcW w:w="2610"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DMSO negative control</w:t>
            </w:r>
          </w:p>
        </w:tc>
        <w:tc>
          <w:tcPr>
            <w:tcW w:w="2520"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Distilled water extract</w:t>
            </w:r>
          </w:p>
        </w:tc>
        <w:tc>
          <w:tcPr>
            <w:tcW w:w="1710"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clarithromycin</w:t>
            </w:r>
          </w:p>
        </w:tc>
        <w:tc>
          <w:tcPr>
            <w:tcW w:w="1154"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Cefepime</w:t>
            </w:r>
          </w:p>
        </w:tc>
      </w:tr>
      <w:tr>
        <w:trPr>
          <w:trHeight w:val="20"/>
          <w:jc w:val="center"/>
        </w:trPr>
        <w:tc>
          <w:tcPr>
            <w:tcW w:w="1781" w:type="dxa"/>
          </w:tcPr>
          <w:p>
            <w:pPr>
              <w:contextualSpacing/>
              <w:rPr>
                <w:rFonts w:ascii="Arial" w:eastAsia="Times New Roman" w:hAnsi="Arial" w:cs="Arial"/>
                <w:bCs/>
                <w:sz w:val="20"/>
                <w:szCs w:val="20"/>
              </w:rPr>
            </w:pPr>
            <w:r>
              <w:rPr>
                <w:rFonts w:ascii="Arial" w:eastAsia="Times New Roman" w:hAnsi="Arial" w:cs="Arial"/>
                <w:bCs/>
                <w:i/>
                <w:iCs/>
                <w:sz w:val="20"/>
                <w:szCs w:val="20"/>
              </w:rPr>
              <w:t>S. aureus</w:t>
            </w:r>
          </w:p>
        </w:tc>
        <w:tc>
          <w:tcPr>
            <w:tcW w:w="1260" w:type="dxa"/>
          </w:tcPr>
          <w:p>
            <w:pPr>
              <w:contextualSpacing/>
              <w:rPr>
                <w:rFonts w:ascii="Arial" w:eastAsia="Times New Roman" w:hAnsi="Arial" w:cs="Arial"/>
                <w:bCs/>
                <w:sz w:val="20"/>
                <w:szCs w:val="20"/>
              </w:rPr>
            </w:pPr>
            <w:r>
              <w:rPr>
                <w:rFonts w:ascii="Arial" w:eastAsia="Times New Roman" w:hAnsi="Arial" w:cs="Arial"/>
                <w:bCs/>
                <w:sz w:val="20"/>
                <w:szCs w:val="20"/>
              </w:rPr>
              <w:t>11±2.14</w:t>
            </w:r>
          </w:p>
        </w:tc>
        <w:tc>
          <w:tcPr>
            <w:tcW w:w="1350" w:type="dxa"/>
          </w:tcPr>
          <w:p>
            <w:pPr>
              <w:contextualSpacing/>
              <w:rPr>
                <w:rFonts w:ascii="Arial" w:eastAsia="Times New Roman" w:hAnsi="Arial" w:cs="Arial"/>
                <w:bCs/>
                <w:sz w:val="20"/>
                <w:szCs w:val="20"/>
              </w:rPr>
            </w:pPr>
            <w:r>
              <w:rPr>
                <w:rFonts w:ascii="Arial" w:eastAsia="Times New Roman" w:hAnsi="Arial" w:cs="Arial"/>
                <w:bCs/>
                <w:sz w:val="20"/>
                <w:szCs w:val="20"/>
              </w:rPr>
              <w:t>10.5±2.6</w:t>
            </w:r>
          </w:p>
        </w:tc>
        <w:tc>
          <w:tcPr>
            <w:tcW w:w="1530" w:type="dxa"/>
          </w:tcPr>
          <w:p>
            <w:pPr>
              <w:contextualSpacing/>
              <w:rPr>
                <w:rFonts w:ascii="Arial" w:eastAsia="Times New Roman" w:hAnsi="Arial" w:cs="Arial"/>
                <w:bCs/>
                <w:sz w:val="20"/>
                <w:szCs w:val="20"/>
              </w:rPr>
            </w:pPr>
            <w:r>
              <w:rPr>
                <w:rFonts w:ascii="Arial" w:eastAsia="Times New Roman" w:hAnsi="Arial" w:cs="Arial"/>
                <w:bCs/>
                <w:sz w:val="20"/>
                <w:szCs w:val="20"/>
              </w:rPr>
              <w:t>8.5±1.35</w:t>
            </w:r>
          </w:p>
        </w:tc>
        <w:tc>
          <w:tcPr>
            <w:tcW w:w="2610"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20"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1710" w:type="dxa"/>
          </w:tcPr>
          <w:p>
            <w:pPr>
              <w:contextualSpacing/>
              <w:rPr>
                <w:rFonts w:ascii="Arial" w:eastAsia="Times New Roman" w:hAnsi="Arial" w:cs="Arial"/>
                <w:bCs/>
                <w:sz w:val="20"/>
                <w:szCs w:val="20"/>
              </w:rPr>
            </w:pPr>
            <w:r>
              <w:rPr>
                <w:rFonts w:ascii="Arial" w:eastAsia="Times New Roman" w:hAnsi="Arial" w:cs="Arial"/>
                <w:bCs/>
                <w:sz w:val="20"/>
                <w:szCs w:val="20"/>
              </w:rPr>
              <w:t>10.3±2.08</w:t>
            </w:r>
          </w:p>
        </w:tc>
        <w:tc>
          <w:tcPr>
            <w:tcW w:w="1154" w:type="dxa"/>
          </w:tcPr>
          <w:p>
            <w:pPr>
              <w:contextualSpacing/>
              <w:rPr>
                <w:rFonts w:ascii="Arial" w:eastAsia="Times New Roman" w:hAnsi="Arial" w:cs="Arial"/>
                <w:bCs/>
                <w:sz w:val="20"/>
                <w:szCs w:val="20"/>
              </w:rPr>
            </w:pPr>
            <w:r>
              <w:rPr>
                <w:rFonts w:ascii="Arial" w:eastAsia="Times New Roman" w:hAnsi="Arial" w:cs="Arial"/>
                <w:bCs/>
                <w:sz w:val="20"/>
                <w:szCs w:val="20"/>
              </w:rPr>
              <w:t>Not used</w:t>
            </w:r>
          </w:p>
        </w:tc>
      </w:tr>
      <w:tr>
        <w:trPr>
          <w:trHeight w:val="20"/>
          <w:jc w:val="center"/>
        </w:trPr>
        <w:tc>
          <w:tcPr>
            <w:tcW w:w="1781" w:type="dxa"/>
          </w:tcPr>
          <w:p>
            <w:pPr>
              <w:contextualSpacing/>
              <w:rPr>
                <w:rFonts w:ascii="Arial" w:eastAsia="Times New Roman" w:hAnsi="Arial" w:cs="Arial"/>
                <w:bCs/>
                <w:i/>
                <w:sz w:val="20"/>
                <w:szCs w:val="20"/>
              </w:rPr>
            </w:pPr>
            <w:r>
              <w:rPr>
                <w:rFonts w:ascii="Arial" w:eastAsia="Times New Roman" w:hAnsi="Arial" w:cs="Arial"/>
                <w:bCs/>
                <w:i/>
                <w:sz w:val="20"/>
                <w:szCs w:val="20"/>
              </w:rPr>
              <w:t>K. pneumonia</w:t>
            </w:r>
          </w:p>
        </w:tc>
        <w:tc>
          <w:tcPr>
            <w:tcW w:w="1260" w:type="dxa"/>
          </w:tcPr>
          <w:p>
            <w:pPr>
              <w:contextualSpacing/>
              <w:rPr>
                <w:rFonts w:ascii="Arial" w:eastAsia="Times New Roman" w:hAnsi="Arial" w:cs="Arial"/>
                <w:bCs/>
                <w:sz w:val="20"/>
                <w:szCs w:val="20"/>
              </w:rPr>
            </w:pPr>
            <w:r>
              <w:rPr>
                <w:rFonts w:ascii="Arial" w:eastAsia="Times New Roman" w:hAnsi="Arial" w:cs="Arial"/>
                <w:bCs/>
                <w:sz w:val="20"/>
                <w:szCs w:val="20"/>
              </w:rPr>
              <w:t>6±2.64</w:t>
            </w:r>
          </w:p>
        </w:tc>
        <w:tc>
          <w:tcPr>
            <w:tcW w:w="1350" w:type="dxa"/>
          </w:tcPr>
          <w:p>
            <w:pPr>
              <w:contextualSpacing/>
              <w:rPr>
                <w:rFonts w:ascii="Arial" w:eastAsia="Times New Roman" w:hAnsi="Arial" w:cs="Arial"/>
                <w:bCs/>
                <w:sz w:val="20"/>
                <w:szCs w:val="20"/>
              </w:rPr>
            </w:pPr>
            <w:r>
              <w:rPr>
                <w:rFonts w:ascii="Arial" w:eastAsia="Times New Roman" w:hAnsi="Arial" w:cs="Arial"/>
                <w:bCs/>
                <w:sz w:val="20"/>
                <w:szCs w:val="20"/>
              </w:rPr>
              <w:t>4.5±2.5</w:t>
            </w:r>
          </w:p>
        </w:tc>
        <w:tc>
          <w:tcPr>
            <w:tcW w:w="1530" w:type="dxa"/>
          </w:tcPr>
          <w:p>
            <w:pPr>
              <w:contextualSpacing/>
              <w:rPr>
                <w:rFonts w:ascii="Arial" w:eastAsia="Times New Roman" w:hAnsi="Arial" w:cs="Arial"/>
                <w:bCs/>
                <w:sz w:val="20"/>
                <w:szCs w:val="20"/>
              </w:rPr>
            </w:pPr>
            <w:r>
              <w:rPr>
                <w:rFonts w:ascii="Arial" w:eastAsia="Times New Roman" w:hAnsi="Arial" w:cs="Arial"/>
                <w:bCs/>
                <w:sz w:val="20"/>
                <w:szCs w:val="20"/>
              </w:rPr>
              <w:t>3.5±2.4</w:t>
            </w:r>
          </w:p>
        </w:tc>
        <w:tc>
          <w:tcPr>
            <w:tcW w:w="2610"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20"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1710"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1154" w:type="dxa"/>
          </w:tcPr>
          <w:p>
            <w:pPr>
              <w:contextualSpacing/>
              <w:rPr>
                <w:rFonts w:ascii="Arial" w:eastAsia="Times New Roman" w:hAnsi="Arial" w:cs="Arial"/>
                <w:bCs/>
                <w:sz w:val="20"/>
                <w:szCs w:val="20"/>
              </w:rPr>
            </w:pPr>
            <w:r>
              <w:rPr>
                <w:rFonts w:ascii="Arial" w:eastAsia="Times New Roman" w:hAnsi="Arial" w:cs="Arial"/>
                <w:bCs/>
                <w:sz w:val="20"/>
                <w:szCs w:val="20"/>
              </w:rPr>
              <w:t>Not used</w:t>
            </w:r>
          </w:p>
        </w:tc>
      </w:tr>
      <w:tr>
        <w:trPr>
          <w:trHeight w:val="20"/>
          <w:jc w:val="center"/>
        </w:trPr>
        <w:tc>
          <w:tcPr>
            <w:tcW w:w="1781" w:type="dxa"/>
          </w:tcPr>
          <w:p>
            <w:pPr>
              <w:contextualSpacing/>
              <w:rPr>
                <w:rFonts w:ascii="Arial" w:eastAsia="Times New Roman" w:hAnsi="Arial" w:cs="Arial"/>
                <w:bCs/>
                <w:i/>
                <w:sz w:val="20"/>
                <w:szCs w:val="20"/>
              </w:rPr>
            </w:pPr>
            <w:r>
              <w:rPr>
                <w:rFonts w:ascii="Arial" w:eastAsia="Times New Roman" w:hAnsi="Arial" w:cs="Arial"/>
                <w:bCs/>
                <w:i/>
                <w:sz w:val="20"/>
                <w:szCs w:val="20"/>
              </w:rPr>
              <w:t>N. gonorrhea</w:t>
            </w:r>
          </w:p>
        </w:tc>
        <w:tc>
          <w:tcPr>
            <w:tcW w:w="1260" w:type="dxa"/>
          </w:tcPr>
          <w:p>
            <w:pPr>
              <w:contextualSpacing/>
              <w:rPr>
                <w:rFonts w:ascii="Arial" w:eastAsia="Times New Roman" w:hAnsi="Arial" w:cs="Arial"/>
                <w:bCs/>
                <w:sz w:val="20"/>
                <w:szCs w:val="20"/>
              </w:rPr>
            </w:pPr>
            <w:r>
              <w:rPr>
                <w:rFonts w:ascii="Arial" w:eastAsia="Times New Roman" w:hAnsi="Arial" w:cs="Arial"/>
                <w:bCs/>
                <w:sz w:val="20"/>
                <w:szCs w:val="20"/>
              </w:rPr>
              <w:t>16.6±3.05</w:t>
            </w:r>
          </w:p>
        </w:tc>
        <w:tc>
          <w:tcPr>
            <w:tcW w:w="1350" w:type="dxa"/>
          </w:tcPr>
          <w:p>
            <w:pPr>
              <w:contextualSpacing/>
              <w:rPr>
                <w:rFonts w:ascii="Arial" w:eastAsia="Times New Roman" w:hAnsi="Arial" w:cs="Arial"/>
                <w:bCs/>
                <w:sz w:val="20"/>
                <w:szCs w:val="20"/>
              </w:rPr>
            </w:pPr>
            <w:r>
              <w:rPr>
                <w:rFonts w:ascii="Arial" w:eastAsia="Times New Roman" w:hAnsi="Arial" w:cs="Arial"/>
                <w:bCs/>
                <w:sz w:val="20"/>
                <w:szCs w:val="20"/>
              </w:rPr>
              <w:t>15±2.64</w:t>
            </w:r>
          </w:p>
        </w:tc>
        <w:tc>
          <w:tcPr>
            <w:tcW w:w="1530" w:type="dxa"/>
          </w:tcPr>
          <w:p>
            <w:pPr>
              <w:contextualSpacing/>
              <w:rPr>
                <w:rFonts w:ascii="Arial" w:eastAsia="Times New Roman" w:hAnsi="Arial" w:cs="Arial"/>
                <w:bCs/>
                <w:sz w:val="20"/>
                <w:szCs w:val="20"/>
              </w:rPr>
            </w:pPr>
            <w:r>
              <w:rPr>
                <w:rFonts w:ascii="Arial" w:eastAsia="Times New Roman" w:hAnsi="Arial" w:cs="Arial"/>
                <w:bCs/>
                <w:sz w:val="20"/>
                <w:szCs w:val="20"/>
              </w:rPr>
              <w:t>13.3±1.52</w:t>
            </w:r>
          </w:p>
        </w:tc>
        <w:tc>
          <w:tcPr>
            <w:tcW w:w="2610"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520" w:type="dxa"/>
          </w:tcPr>
          <w:p>
            <w:pPr>
              <w:contextualSpacing/>
              <w:rPr>
                <w:rFonts w:ascii="Arial" w:eastAsia="Times New Roman" w:hAnsi="Arial" w:cs="Arial"/>
                <w:bCs/>
                <w:sz w:val="20"/>
                <w:szCs w:val="20"/>
              </w:rPr>
            </w:pPr>
            <w:r>
              <w:rPr>
                <w:rFonts w:ascii="Arial" w:eastAsia="Times New Roman" w:hAnsi="Arial" w:cs="Arial"/>
                <w:bCs/>
                <w:sz w:val="20"/>
                <w:szCs w:val="20"/>
              </w:rPr>
              <w:t>14±1.05</w:t>
            </w:r>
          </w:p>
        </w:tc>
        <w:tc>
          <w:tcPr>
            <w:tcW w:w="1710" w:type="dxa"/>
          </w:tcPr>
          <w:p>
            <w:pPr>
              <w:contextualSpacing/>
              <w:rPr>
                <w:rFonts w:ascii="Arial" w:eastAsia="Times New Roman" w:hAnsi="Arial" w:cs="Arial"/>
                <w:bCs/>
                <w:sz w:val="20"/>
                <w:szCs w:val="20"/>
              </w:rPr>
            </w:pPr>
            <w:r>
              <w:rPr>
                <w:rFonts w:ascii="Arial" w:eastAsia="Times New Roman" w:hAnsi="Arial" w:cs="Arial"/>
                <w:bCs/>
                <w:sz w:val="20"/>
                <w:szCs w:val="20"/>
              </w:rPr>
              <w:t>Not used</w:t>
            </w:r>
          </w:p>
        </w:tc>
        <w:tc>
          <w:tcPr>
            <w:tcW w:w="1154" w:type="dxa"/>
          </w:tcPr>
          <w:p>
            <w:pPr>
              <w:contextualSpacing/>
              <w:rPr>
                <w:rFonts w:ascii="Arial" w:eastAsia="Times New Roman" w:hAnsi="Arial" w:cs="Arial"/>
                <w:bCs/>
                <w:sz w:val="20"/>
                <w:szCs w:val="20"/>
              </w:rPr>
            </w:pPr>
            <w:r>
              <w:rPr>
                <w:rFonts w:ascii="Arial" w:eastAsia="Times New Roman" w:hAnsi="Arial" w:cs="Arial"/>
                <w:bCs/>
                <w:sz w:val="20"/>
                <w:szCs w:val="20"/>
              </w:rPr>
              <w:t>-</w:t>
            </w:r>
          </w:p>
        </w:tc>
      </w:tr>
    </w:tbl>
    <w:p>
      <w:pPr>
        <w:spacing w:after="0" w:line="240" w:lineRule="auto"/>
        <w:contextualSpacing/>
        <w:jc w:val="center"/>
        <w:rPr>
          <w:rFonts w:ascii="Arial" w:eastAsia="Times New Roman" w:hAnsi="Arial" w:cs="Arial"/>
          <w:bCs/>
          <w:i/>
          <w:iCs/>
          <w:sz w:val="18"/>
          <w:szCs w:val="18"/>
        </w:rPr>
      </w:pPr>
      <w:r>
        <w:rPr>
          <w:rFonts w:ascii="Arial" w:eastAsia="Times New Roman" w:hAnsi="Arial" w:cs="Arial"/>
          <w:bCs/>
          <w:i/>
          <w:iCs/>
          <w:sz w:val="18"/>
          <w:szCs w:val="18"/>
        </w:rPr>
        <w:t>Key: - All results shown are the triplicates of mean ± Standard deviation.</w:t>
      </w:r>
    </w:p>
    <w:p>
      <w:pPr>
        <w:spacing w:after="0" w:line="240" w:lineRule="auto"/>
        <w:contextualSpacing/>
        <w:jc w:val="center"/>
        <w:rPr>
          <w:rFonts w:ascii="Arial" w:eastAsia="Times New Roman" w:hAnsi="Arial" w:cs="Arial"/>
          <w:bCs/>
          <w:i/>
          <w:iCs/>
          <w:sz w:val="18"/>
          <w:szCs w:val="18"/>
        </w:rPr>
      </w:pPr>
    </w:p>
    <w:p>
      <w:pPr>
        <w:spacing w:after="0" w:line="240" w:lineRule="auto"/>
        <w:contextualSpacing/>
        <w:jc w:val="center"/>
        <w:rPr>
          <w:rFonts w:ascii="Arial" w:eastAsia="Times New Roman" w:hAnsi="Arial" w:cs="Arial"/>
          <w:b/>
          <w:bCs/>
          <w:sz w:val="20"/>
          <w:szCs w:val="20"/>
        </w:rPr>
      </w:pPr>
      <w:r>
        <w:rPr>
          <w:rFonts w:ascii="Arial" w:eastAsia="Times New Roman" w:hAnsi="Arial" w:cs="Arial"/>
          <w:b/>
          <w:bCs/>
          <w:sz w:val="20"/>
          <w:szCs w:val="20"/>
        </w:rPr>
        <w:t xml:space="preserve">Table 4. The mean inhibition zone (mean ±SD (mm)) of the leaves of </w:t>
      </w:r>
      <w:proofErr w:type="spellStart"/>
      <w:r>
        <w:rPr>
          <w:rFonts w:ascii="Arial" w:eastAsia="Times New Roman" w:hAnsi="Arial" w:cs="Arial"/>
          <w:b/>
          <w:bCs/>
          <w:i/>
          <w:sz w:val="20"/>
          <w:szCs w:val="20"/>
        </w:rPr>
        <w:t>Phytolacca</w:t>
      </w:r>
      <w:proofErr w:type="spellEnd"/>
      <w:r>
        <w:rPr>
          <w:rFonts w:ascii="Arial" w:eastAsia="Times New Roman" w:hAnsi="Arial" w:cs="Arial"/>
          <w:b/>
          <w:bCs/>
          <w:i/>
          <w:sz w:val="20"/>
          <w:szCs w:val="20"/>
        </w:rPr>
        <w:t xml:space="preserve"> </w:t>
      </w:r>
      <w:proofErr w:type="spellStart"/>
      <w:r>
        <w:rPr>
          <w:rFonts w:ascii="Arial" w:eastAsia="Times New Roman" w:hAnsi="Arial" w:cs="Arial"/>
          <w:b/>
          <w:bCs/>
          <w:i/>
          <w:sz w:val="20"/>
          <w:szCs w:val="20"/>
        </w:rPr>
        <w:t>dodecandra</w:t>
      </w:r>
      <w:proofErr w:type="spellEnd"/>
      <w:r>
        <w:rPr>
          <w:rFonts w:ascii="Arial" w:eastAsia="Times New Roman" w:hAnsi="Arial" w:cs="Arial"/>
          <w:b/>
          <w:bCs/>
          <w:i/>
          <w:iCs/>
          <w:sz w:val="20"/>
          <w:szCs w:val="20"/>
        </w:rPr>
        <w:t xml:space="preserve"> </w:t>
      </w:r>
      <w:r>
        <w:rPr>
          <w:rFonts w:ascii="Arial" w:eastAsia="Times New Roman" w:hAnsi="Arial" w:cs="Arial"/>
          <w:b/>
          <w:bCs/>
          <w:sz w:val="20"/>
          <w:szCs w:val="20"/>
        </w:rPr>
        <w:t>against the standard pathogenic bacterial</w:t>
      </w:r>
    </w:p>
    <w:p>
      <w:pPr>
        <w:spacing w:after="0" w:line="240" w:lineRule="auto"/>
        <w:contextualSpacing/>
        <w:jc w:val="both"/>
        <w:rPr>
          <w:rFonts w:ascii="Arial" w:eastAsia="Times New Roman" w:hAnsi="Arial" w:cs="Arial"/>
          <w:bCs/>
          <w:sz w:val="20"/>
          <w:szCs w:val="20"/>
        </w:rPr>
      </w:pPr>
    </w:p>
    <w:tbl>
      <w:tblPr>
        <w:tblStyle w:val="TableGrid"/>
        <w:tblW w:w="491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1"/>
        <w:gridCol w:w="1170"/>
        <w:gridCol w:w="1170"/>
        <w:gridCol w:w="1440"/>
        <w:gridCol w:w="2438"/>
        <w:gridCol w:w="2782"/>
        <w:gridCol w:w="1800"/>
        <w:gridCol w:w="1334"/>
      </w:tblGrid>
      <w:tr>
        <w:trPr>
          <w:trHeight w:val="20"/>
          <w:jc w:val="center"/>
        </w:trPr>
        <w:tc>
          <w:tcPr>
            <w:tcW w:w="1781" w:type="dxa"/>
            <w:tcBorders>
              <w:top w:val="single" w:sz="4" w:space="0" w:color="auto"/>
              <w:bottom w:val="single" w:sz="4" w:space="0" w:color="auto"/>
            </w:tcBorders>
          </w:tcPr>
          <w:p>
            <w:pPr>
              <w:contextualSpacing/>
              <w:rPr>
                <w:rFonts w:ascii="Arial" w:eastAsia="Times New Roman" w:hAnsi="Arial" w:cs="Arial"/>
                <w:bCs/>
                <w:sz w:val="20"/>
                <w:szCs w:val="20"/>
              </w:rPr>
            </w:pPr>
          </w:p>
        </w:tc>
        <w:tc>
          <w:tcPr>
            <w:tcW w:w="12134" w:type="dxa"/>
            <w:gridSpan w:val="7"/>
            <w:tcBorders>
              <w:top w:val="single" w:sz="4" w:space="0" w:color="auto"/>
              <w:bottom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Inhibition zone of the extracts (mm)</w:t>
            </w:r>
          </w:p>
        </w:tc>
      </w:tr>
      <w:tr>
        <w:trPr>
          <w:trHeight w:val="20"/>
          <w:jc w:val="center"/>
        </w:trPr>
        <w:tc>
          <w:tcPr>
            <w:tcW w:w="1781"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Test organisms</w:t>
            </w:r>
          </w:p>
        </w:tc>
        <w:tc>
          <w:tcPr>
            <w:tcW w:w="1170"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Ethanol</w:t>
            </w:r>
          </w:p>
        </w:tc>
        <w:tc>
          <w:tcPr>
            <w:tcW w:w="1170"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Methanol</w:t>
            </w:r>
          </w:p>
        </w:tc>
        <w:tc>
          <w:tcPr>
            <w:tcW w:w="1440"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Chloroform</w:t>
            </w:r>
          </w:p>
        </w:tc>
        <w:tc>
          <w:tcPr>
            <w:tcW w:w="2438"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DMSO negative control</w:t>
            </w:r>
          </w:p>
        </w:tc>
        <w:tc>
          <w:tcPr>
            <w:tcW w:w="2782"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Distilled water extract</w:t>
            </w:r>
          </w:p>
        </w:tc>
        <w:tc>
          <w:tcPr>
            <w:tcW w:w="1800"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Clarithromycin</w:t>
            </w:r>
          </w:p>
        </w:tc>
        <w:tc>
          <w:tcPr>
            <w:tcW w:w="1334" w:type="dxa"/>
            <w:tcBorders>
              <w:top w:val="single" w:sz="4" w:space="0" w:color="auto"/>
            </w:tcBorders>
          </w:tcPr>
          <w:p>
            <w:pPr>
              <w:contextualSpacing/>
              <w:rPr>
                <w:rFonts w:ascii="Arial" w:eastAsia="Times New Roman" w:hAnsi="Arial" w:cs="Arial"/>
                <w:b/>
                <w:sz w:val="20"/>
                <w:szCs w:val="20"/>
              </w:rPr>
            </w:pPr>
            <w:r>
              <w:rPr>
                <w:rFonts w:ascii="Arial" w:eastAsia="Times New Roman" w:hAnsi="Arial" w:cs="Arial"/>
                <w:b/>
                <w:sz w:val="20"/>
                <w:szCs w:val="20"/>
              </w:rPr>
              <w:t>Cefepime</w:t>
            </w:r>
          </w:p>
        </w:tc>
      </w:tr>
      <w:tr>
        <w:trPr>
          <w:trHeight w:val="20"/>
          <w:jc w:val="center"/>
        </w:trPr>
        <w:tc>
          <w:tcPr>
            <w:tcW w:w="1781" w:type="dxa"/>
          </w:tcPr>
          <w:p>
            <w:pPr>
              <w:contextualSpacing/>
              <w:rPr>
                <w:rFonts w:ascii="Arial" w:eastAsia="Times New Roman" w:hAnsi="Arial" w:cs="Arial"/>
                <w:bCs/>
                <w:sz w:val="20"/>
                <w:szCs w:val="20"/>
              </w:rPr>
            </w:pPr>
            <w:r>
              <w:rPr>
                <w:rFonts w:ascii="Arial" w:eastAsia="Times New Roman" w:hAnsi="Arial" w:cs="Arial"/>
                <w:bCs/>
                <w:i/>
                <w:iCs/>
                <w:sz w:val="20"/>
                <w:szCs w:val="20"/>
              </w:rPr>
              <w:t>S. aureus</w:t>
            </w:r>
          </w:p>
        </w:tc>
        <w:tc>
          <w:tcPr>
            <w:tcW w:w="1170" w:type="dxa"/>
          </w:tcPr>
          <w:p>
            <w:pPr>
              <w:contextualSpacing/>
              <w:rPr>
                <w:rFonts w:ascii="Arial" w:eastAsia="Times New Roman" w:hAnsi="Arial" w:cs="Arial"/>
                <w:bCs/>
                <w:sz w:val="20"/>
                <w:szCs w:val="20"/>
              </w:rPr>
            </w:pPr>
            <w:r>
              <w:rPr>
                <w:rFonts w:ascii="Arial" w:eastAsia="Times New Roman" w:hAnsi="Arial" w:cs="Arial"/>
                <w:bCs/>
                <w:sz w:val="20"/>
                <w:szCs w:val="20"/>
              </w:rPr>
              <w:t>7.5±2.64</w:t>
            </w:r>
          </w:p>
        </w:tc>
        <w:tc>
          <w:tcPr>
            <w:tcW w:w="1170" w:type="dxa"/>
          </w:tcPr>
          <w:p>
            <w:pPr>
              <w:contextualSpacing/>
              <w:rPr>
                <w:rFonts w:ascii="Arial" w:eastAsia="Times New Roman" w:hAnsi="Arial" w:cs="Arial"/>
                <w:bCs/>
                <w:sz w:val="20"/>
                <w:szCs w:val="20"/>
              </w:rPr>
            </w:pPr>
            <w:r>
              <w:rPr>
                <w:rFonts w:ascii="Arial" w:eastAsia="Times New Roman" w:hAnsi="Arial" w:cs="Arial"/>
                <w:bCs/>
                <w:sz w:val="20"/>
                <w:szCs w:val="20"/>
              </w:rPr>
              <w:t>6±2.26</w:t>
            </w:r>
          </w:p>
        </w:tc>
        <w:tc>
          <w:tcPr>
            <w:tcW w:w="1440" w:type="dxa"/>
          </w:tcPr>
          <w:p>
            <w:pPr>
              <w:contextualSpacing/>
              <w:rPr>
                <w:rFonts w:ascii="Arial" w:eastAsia="Times New Roman" w:hAnsi="Arial" w:cs="Arial"/>
                <w:bCs/>
                <w:sz w:val="20"/>
                <w:szCs w:val="20"/>
              </w:rPr>
            </w:pPr>
            <w:r>
              <w:rPr>
                <w:rFonts w:ascii="Arial" w:eastAsia="Times New Roman" w:hAnsi="Arial" w:cs="Arial"/>
                <w:bCs/>
                <w:sz w:val="20"/>
                <w:szCs w:val="20"/>
              </w:rPr>
              <w:t>4.7±1.14</w:t>
            </w:r>
          </w:p>
        </w:tc>
        <w:tc>
          <w:tcPr>
            <w:tcW w:w="2438"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782"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12.6±2.51</w:t>
            </w:r>
          </w:p>
        </w:tc>
        <w:tc>
          <w:tcPr>
            <w:tcW w:w="1334" w:type="dxa"/>
          </w:tcPr>
          <w:p>
            <w:pPr>
              <w:contextualSpacing/>
              <w:rPr>
                <w:rFonts w:ascii="Arial" w:eastAsia="Times New Roman" w:hAnsi="Arial" w:cs="Arial"/>
                <w:bCs/>
                <w:sz w:val="20"/>
                <w:szCs w:val="20"/>
              </w:rPr>
            </w:pPr>
            <w:r>
              <w:rPr>
                <w:rFonts w:ascii="Arial" w:eastAsia="Times New Roman" w:hAnsi="Arial" w:cs="Arial"/>
                <w:bCs/>
                <w:sz w:val="20"/>
                <w:szCs w:val="20"/>
              </w:rPr>
              <w:t>Not used</w:t>
            </w:r>
          </w:p>
        </w:tc>
      </w:tr>
      <w:tr>
        <w:trPr>
          <w:trHeight w:val="20"/>
          <w:jc w:val="center"/>
        </w:trPr>
        <w:tc>
          <w:tcPr>
            <w:tcW w:w="1781" w:type="dxa"/>
          </w:tcPr>
          <w:p>
            <w:pPr>
              <w:contextualSpacing/>
              <w:rPr>
                <w:rFonts w:ascii="Arial" w:eastAsia="Times New Roman" w:hAnsi="Arial" w:cs="Arial"/>
                <w:bCs/>
                <w:i/>
                <w:sz w:val="20"/>
                <w:szCs w:val="20"/>
              </w:rPr>
            </w:pPr>
            <w:r>
              <w:rPr>
                <w:rFonts w:ascii="Arial" w:eastAsia="Times New Roman" w:hAnsi="Arial" w:cs="Arial"/>
                <w:bCs/>
                <w:i/>
                <w:sz w:val="20"/>
                <w:szCs w:val="20"/>
              </w:rPr>
              <w:t>K. pneumonia</w:t>
            </w:r>
          </w:p>
        </w:tc>
        <w:tc>
          <w:tcPr>
            <w:tcW w:w="1170" w:type="dxa"/>
          </w:tcPr>
          <w:p>
            <w:pPr>
              <w:contextualSpacing/>
              <w:rPr>
                <w:rFonts w:ascii="Arial" w:eastAsia="Times New Roman" w:hAnsi="Arial" w:cs="Arial"/>
                <w:bCs/>
                <w:sz w:val="20"/>
                <w:szCs w:val="20"/>
              </w:rPr>
            </w:pPr>
            <w:r>
              <w:rPr>
                <w:rFonts w:ascii="Arial" w:eastAsia="Times New Roman" w:hAnsi="Arial" w:cs="Arial"/>
                <w:bCs/>
                <w:sz w:val="20"/>
                <w:szCs w:val="20"/>
              </w:rPr>
              <w:t>4±2.64</w:t>
            </w:r>
          </w:p>
        </w:tc>
        <w:tc>
          <w:tcPr>
            <w:tcW w:w="1170" w:type="dxa"/>
          </w:tcPr>
          <w:p>
            <w:pPr>
              <w:contextualSpacing/>
              <w:rPr>
                <w:rFonts w:ascii="Arial" w:eastAsia="Times New Roman" w:hAnsi="Arial" w:cs="Arial"/>
                <w:bCs/>
                <w:sz w:val="20"/>
                <w:szCs w:val="20"/>
              </w:rPr>
            </w:pPr>
            <w:r>
              <w:rPr>
                <w:rFonts w:ascii="Arial" w:eastAsia="Times New Roman" w:hAnsi="Arial" w:cs="Arial"/>
                <w:bCs/>
                <w:sz w:val="20"/>
                <w:szCs w:val="20"/>
              </w:rPr>
              <w:t>3.8±1.34</w:t>
            </w:r>
          </w:p>
        </w:tc>
        <w:tc>
          <w:tcPr>
            <w:tcW w:w="1440" w:type="dxa"/>
          </w:tcPr>
          <w:p>
            <w:pPr>
              <w:contextualSpacing/>
              <w:rPr>
                <w:rFonts w:ascii="Arial" w:eastAsia="Times New Roman" w:hAnsi="Arial" w:cs="Arial"/>
                <w:bCs/>
                <w:sz w:val="20"/>
                <w:szCs w:val="20"/>
              </w:rPr>
            </w:pPr>
            <w:r>
              <w:rPr>
                <w:rFonts w:ascii="Arial" w:eastAsia="Times New Roman" w:hAnsi="Arial" w:cs="Arial"/>
                <w:bCs/>
                <w:sz w:val="20"/>
                <w:szCs w:val="20"/>
              </w:rPr>
              <w:t>3±2.1</w:t>
            </w:r>
          </w:p>
        </w:tc>
        <w:tc>
          <w:tcPr>
            <w:tcW w:w="2438"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782"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1334" w:type="dxa"/>
          </w:tcPr>
          <w:p>
            <w:pPr>
              <w:contextualSpacing/>
              <w:rPr>
                <w:rFonts w:ascii="Arial" w:eastAsia="Times New Roman" w:hAnsi="Arial" w:cs="Arial"/>
                <w:bCs/>
                <w:sz w:val="20"/>
                <w:szCs w:val="20"/>
              </w:rPr>
            </w:pPr>
            <w:r>
              <w:rPr>
                <w:rFonts w:ascii="Arial" w:eastAsia="Times New Roman" w:hAnsi="Arial" w:cs="Arial"/>
                <w:bCs/>
                <w:sz w:val="20"/>
                <w:szCs w:val="20"/>
              </w:rPr>
              <w:t>Not used</w:t>
            </w:r>
          </w:p>
        </w:tc>
      </w:tr>
      <w:tr>
        <w:trPr>
          <w:trHeight w:val="20"/>
          <w:jc w:val="center"/>
        </w:trPr>
        <w:tc>
          <w:tcPr>
            <w:tcW w:w="1781" w:type="dxa"/>
          </w:tcPr>
          <w:p>
            <w:pPr>
              <w:contextualSpacing/>
              <w:rPr>
                <w:rFonts w:ascii="Arial" w:eastAsia="Times New Roman" w:hAnsi="Arial" w:cs="Arial"/>
                <w:bCs/>
                <w:i/>
                <w:sz w:val="20"/>
                <w:szCs w:val="20"/>
              </w:rPr>
            </w:pPr>
            <w:r>
              <w:rPr>
                <w:rFonts w:ascii="Arial" w:eastAsia="Times New Roman" w:hAnsi="Arial" w:cs="Arial"/>
                <w:bCs/>
                <w:i/>
                <w:sz w:val="20"/>
                <w:szCs w:val="20"/>
              </w:rPr>
              <w:t>N. gonorrhea</w:t>
            </w:r>
          </w:p>
        </w:tc>
        <w:tc>
          <w:tcPr>
            <w:tcW w:w="1170" w:type="dxa"/>
          </w:tcPr>
          <w:p>
            <w:pPr>
              <w:contextualSpacing/>
              <w:rPr>
                <w:rFonts w:ascii="Arial" w:eastAsia="Times New Roman" w:hAnsi="Arial" w:cs="Arial"/>
                <w:bCs/>
                <w:sz w:val="20"/>
                <w:szCs w:val="20"/>
              </w:rPr>
            </w:pPr>
            <w:r>
              <w:rPr>
                <w:rFonts w:ascii="Arial" w:eastAsia="Times New Roman" w:hAnsi="Arial" w:cs="Arial"/>
                <w:bCs/>
                <w:sz w:val="20"/>
                <w:szCs w:val="20"/>
              </w:rPr>
              <w:t>8.6±1.52</w:t>
            </w:r>
          </w:p>
        </w:tc>
        <w:tc>
          <w:tcPr>
            <w:tcW w:w="1170" w:type="dxa"/>
          </w:tcPr>
          <w:p>
            <w:pPr>
              <w:contextualSpacing/>
              <w:rPr>
                <w:rFonts w:ascii="Arial" w:eastAsia="Times New Roman" w:hAnsi="Arial" w:cs="Arial"/>
                <w:bCs/>
                <w:sz w:val="20"/>
                <w:szCs w:val="20"/>
              </w:rPr>
            </w:pPr>
            <w:r>
              <w:rPr>
                <w:rFonts w:ascii="Arial" w:eastAsia="Times New Roman" w:hAnsi="Arial" w:cs="Arial"/>
                <w:bCs/>
                <w:sz w:val="20"/>
                <w:szCs w:val="20"/>
              </w:rPr>
              <w:t>9.6±2.08</w:t>
            </w:r>
          </w:p>
        </w:tc>
        <w:tc>
          <w:tcPr>
            <w:tcW w:w="1440" w:type="dxa"/>
          </w:tcPr>
          <w:p>
            <w:pPr>
              <w:contextualSpacing/>
              <w:rPr>
                <w:rFonts w:ascii="Arial" w:eastAsia="Times New Roman" w:hAnsi="Arial" w:cs="Arial"/>
                <w:bCs/>
                <w:sz w:val="20"/>
                <w:szCs w:val="20"/>
              </w:rPr>
            </w:pPr>
            <w:r>
              <w:rPr>
                <w:rFonts w:ascii="Arial" w:eastAsia="Times New Roman" w:hAnsi="Arial" w:cs="Arial"/>
                <w:bCs/>
                <w:sz w:val="20"/>
                <w:szCs w:val="20"/>
              </w:rPr>
              <w:t>8.6±2.88</w:t>
            </w:r>
          </w:p>
        </w:tc>
        <w:tc>
          <w:tcPr>
            <w:tcW w:w="2438" w:type="dxa"/>
          </w:tcPr>
          <w:p>
            <w:pPr>
              <w:contextualSpacing/>
              <w:rPr>
                <w:rFonts w:ascii="Arial" w:eastAsia="Times New Roman" w:hAnsi="Arial" w:cs="Arial"/>
                <w:bCs/>
                <w:sz w:val="20"/>
                <w:szCs w:val="20"/>
              </w:rPr>
            </w:pPr>
            <w:r>
              <w:rPr>
                <w:rFonts w:ascii="Arial" w:eastAsia="Times New Roman" w:hAnsi="Arial" w:cs="Arial"/>
                <w:bCs/>
                <w:sz w:val="20"/>
                <w:szCs w:val="20"/>
              </w:rPr>
              <w:t>-</w:t>
            </w:r>
          </w:p>
        </w:tc>
        <w:tc>
          <w:tcPr>
            <w:tcW w:w="2782" w:type="dxa"/>
          </w:tcPr>
          <w:p>
            <w:pPr>
              <w:contextualSpacing/>
              <w:rPr>
                <w:rFonts w:ascii="Arial" w:eastAsia="Times New Roman" w:hAnsi="Arial" w:cs="Arial"/>
                <w:bCs/>
                <w:sz w:val="20"/>
                <w:szCs w:val="20"/>
              </w:rPr>
            </w:pPr>
            <w:r>
              <w:rPr>
                <w:rFonts w:ascii="Arial" w:eastAsia="Times New Roman" w:hAnsi="Arial" w:cs="Arial"/>
                <w:bCs/>
                <w:sz w:val="20"/>
                <w:szCs w:val="20"/>
              </w:rPr>
              <w:t>8.6±1.15</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Not used</w:t>
            </w:r>
          </w:p>
        </w:tc>
        <w:tc>
          <w:tcPr>
            <w:tcW w:w="1334" w:type="dxa"/>
          </w:tcPr>
          <w:p>
            <w:pPr>
              <w:contextualSpacing/>
              <w:rPr>
                <w:rFonts w:ascii="Arial" w:eastAsia="Times New Roman" w:hAnsi="Arial" w:cs="Arial"/>
                <w:bCs/>
                <w:sz w:val="20"/>
                <w:szCs w:val="20"/>
              </w:rPr>
            </w:pPr>
            <w:r>
              <w:rPr>
                <w:rFonts w:ascii="Arial" w:eastAsia="Times New Roman" w:hAnsi="Arial" w:cs="Arial"/>
                <w:bCs/>
                <w:sz w:val="20"/>
                <w:szCs w:val="20"/>
              </w:rPr>
              <w:t>-</w:t>
            </w:r>
          </w:p>
        </w:tc>
      </w:tr>
    </w:tbl>
    <w:p>
      <w:pPr>
        <w:spacing w:after="0" w:line="240" w:lineRule="auto"/>
        <w:contextualSpacing/>
        <w:jc w:val="center"/>
        <w:rPr>
          <w:rFonts w:ascii="Arial" w:eastAsia="Times New Roman" w:hAnsi="Arial" w:cs="Arial"/>
          <w:bCs/>
          <w:noProof/>
          <w:sz w:val="20"/>
          <w:szCs w:val="20"/>
        </w:rPr>
      </w:pPr>
      <w:r>
        <w:rPr>
          <w:rFonts w:ascii="Arial" w:eastAsia="Times New Roman" w:hAnsi="Arial" w:cs="Arial"/>
          <w:bCs/>
          <w:i/>
          <w:iCs/>
          <w:sz w:val="18"/>
          <w:szCs w:val="18"/>
        </w:rPr>
        <w:t>Key: All results shown are the triplicates of mean ± Standard deviation.</w:t>
      </w:r>
    </w:p>
    <w:p>
      <w:pPr>
        <w:spacing w:after="0" w:line="240" w:lineRule="auto"/>
        <w:contextualSpacing/>
        <w:jc w:val="center"/>
        <w:rPr>
          <w:rFonts w:ascii="Arial" w:eastAsia="Times New Roman" w:hAnsi="Arial" w:cs="Arial"/>
          <w:bCs/>
          <w:i/>
          <w:iCs/>
          <w:sz w:val="18"/>
          <w:szCs w:val="18"/>
        </w:rPr>
      </w:pPr>
    </w:p>
    <w:p>
      <w:pPr>
        <w:spacing w:after="0" w:line="240" w:lineRule="auto"/>
        <w:contextualSpacing/>
        <w:jc w:val="both"/>
        <w:rPr>
          <w:rFonts w:ascii="Arial" w:eastAsia="Times New Roman" w:hAnsi="Arial" w:cs="Arial"/>
          <w:bCs/>
          <w:sz w:val="20"/>
          <w:szCs w:val="20"/>
        </w:rPr>
        <w:sectPr>
          <w:pgSz w:w="16834" w:h="11909" w:orient="landscape" w:code="9"/>
          <w:pgMar w:top="1440" w:right="1440" w:bottom="1440" w:left="1440" w:header="720" w:footer="864" w:gutter="0"/>
          <w:pgNumType w:start="32"/>
          <w:cols w:space="720"/>
          <w:docGrid w:linePitch="360"/>
        </w:sectPr>
      </w:pPr>
    </w:p>
    <w:p>
      <w:pPr>
        <w:spacing w:after="0" w:line="240" w:lineRule="auto"/>
        <w:ind w:left="540" w:hanging="540"/>
        <w:contextualSpacing/>
        <w:jc w:val="both"/>
        <w:rPr>
          <w:rFonts w:ascii="Arial" w:eastAsia="Times New Roman" w:hAnsi="Arial" w:cs="Arial"/>
          <w:b/>
          <w:bCs/>
        </w:rPr>
      </w:pPr>
      <w:bookmarkStart w:id="17" w:name="_Toc485358846"/>
      <w:r>
        <w:rPr>
          <w:rFonts w:ascii="Arial" w:eastAsia="Times New Roman" w:hAnsi="Arial" w:cs="Arial"/>
          <w:b/>
          <w:bCs/>
        </w:rPr>
        <w:lastRenderedPageBreak/>
        <w:t>4.2</w:t>
      </w:r>
      <w:r>
        <w:rPr>
          <w:rFonts w:ascii="Arial" w:eastAsia="Times New Roman" w:hAnsi="Arial" w:cs="Arial"/>
          <w:b/>
          <w:bCs/>
        </w:rPr>
        <w:tab/>
        <w:t xml:space="preserve">Antibacterial Activity of </w:t>
      </w:r>
      <w:r>
        <w:rPr>
          <w:rFonts w:ascii="Arial" w:eastAsia="Times New Roman" w:hAnsi="Arial" w:cs="Arial"/>
          <w:b/>
          <w:bCs/>
          <w:i/>
        </w:rPr>
        <w:t xml:space="preserve">Cucumis </w:t>
      </w:r>
      <w:proofErr w:type="spellStart"/>
      <w:r>
        <w:rPr>
          <w:rFonts w:ascii="Arial" w:eastAsia="Times New Roman" w:hAnsi="Arial" w:cs="Arial"/>
          <w:b/>
          <w:bCs/>
          <w:i/>
        </w:rPr>
        <w:t>focifolius</w:t>
      </w:r>
      <w:proofErr w:type="spellEnd"/>
      <w:r>
        <w:rPr>
          <w:rFonts w:ascii="Arial" w:eastAsia="Times New Roman" w:hAnsi="Arial" w:cs="Arial"/>
          <w:b/>
          <w:bCs/>
        </w:rPr>
        <w:t xml:space="preserve"> and </w:t>
      </w:r>
      <w:proofErr w:type="spellStart"/>
      <w:r>
        <w:rPr>
          <w:rFonts w:ascii="Arial" w:eastAsia="Times New Roman" w:hAnsi="Arial" w:cs="Arial"/>
          <w:b/>
          <w:bCs/>
          <w:i/>
        </w:rPr>
        <w:t>Phytolacca</w:t>
      </w:r>
      <w:proofErr w:type="spellEnd"/>
      <w:r>
        <w:rPr>
          <w:rFonts w:ascii="Arial" w:eastAsia="Times New Roman" w:hAnsi="Arial" w:cs="Arial"/>
          <w:b/>
          <w:bCs/>
          <w:i/>
        </w:rPr>
        <w:t xml:space="preserve"> </w:t>
      </w:r>
      <w:proofErr w:type="spellStart"/>
      <w:r>
        <w:rPr>
          <w:rFonts w:ascii="Arial" w:eastAsia="Times New Roman" w:hAnsi="Arial" w:cs="Arial"/>
          <w:b/>
          <w:bCs/>
          <w:i/>
        </w:rPr>
        <w:t>dodecandra</w:t>
      </w:r>
      <w:proofErr w:type="spellEnd"/>
      <w:r>
        <w:rPr>
          <w:rFonts w:ascii="Arial" w:eastAsia="Times New Roman" w:hAnsi="Arial" w:cs="Arial"/>
          <w:b/>
          <w:bCs/>
        </w:rPr>
        <w:t xml:space="preserve"> Extract</w:t>
      </w:r>
      <w:bookmarkEnd w:id="17"/>
      <w:r>
        <w:rPr>
          <w:rFonts w:ascii="Arial" w:eastAsia="Times New Roman" w:hAnsi="Arial" w:cs="Arial"/>
          <w:b/>
          <w:bCs/>
        </w:rPr>
        <w:t>s</w:t>
      </w:r>
    </w:p>
    <w:p>
      <w:pPr>
        <w:spacing w:after="0" w:line="240" w:lineRule="auto"/>
        <w:contextualSpacing/>
        <w:jc w:val="both"/>
        <w:rPr>
          <w:rFonts w:ascii="Arial" w:eastAsia="Times New Roman" w:hAnsi="Arial" w:cs="Arial"/>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In this investigation, the antimicrobial activity of the distilled water, chloroform, ethanol and methanol extracts of the roots of </w:t>
      </w:r>
      <w:r>
        <w:rPr>
          <w:rFonts w:ascii="Arial" w:eastAsia="Times New Roman" w:hAnsi="Arial" w:cs="Arial"/>
          <w:bCs/>
          <w:i/>
          <w:iCs/>
          <w:sz w:val="20"/>
          <w:szCs w:val="20"/>
        </w:rPr>
        <w:t xml:space="preserve">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w:t>
      </w:r>
      <w:r>
        <w:rPr>
          <w:rFonts w:ascii="Arial" w:eastAsia="Times New Roman" w:hAnsi="Arial" w:cs="Arial"/>
          <w:bCs/>
          <w:sz w:val="20"/>
          <w:szCs w:val="20"/>
        </w:rPr>
        <w:t xml:space="preserve">and leaves extracts of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were </w:t>
      </w:r>
      <w:r>
        <w:rPr>
          <w:rFonts w:ascii="Arial" w:eastAsia="Times New Roman" w:hAnsi="Arial" w:cs="Arial"/>
          <w:bCs/>
          <w:sz w:val="20"/>
          <w:szCs w:val="20"/>
        </w:rPr>
        <w:t xml:space="preserve">evaluated using agar well diffusion method. Tables 3 and 4 shows the antibacterial activity of the different extracts of the two medicinal plants against three pathogenic bacteria species. The extracts of these two plant species showed varying degree of inhibitory activity against </w:t>
      </w:r>
      <w:r>
        <w:rPr>
          <w:rFonts w:ascii="Arial" w:eastAsia="Times New Roman" w:hAnsi="Arial" w:cs="Arial"/>
          <w:bCs/>
          <w:i/>
          <w:iCs/>
          <w:sz w:val="20"/>
          <w:szCs w:val="20"/>
        </w:rPr>
        <w:t>S. aureus</w:t>
      </w:r>
      <w:r>
        <w:rPr>
          <w:rFonts w:ascii="Arial" w:eastAsia="Times New Roman" w:hAnsi="Arial" w:cs="Arial"/>
          <w:bCs/>
          <w:sz w:val="20"/>
          <w:szCs w:val="20"/>
        </w:rPr>
        <w:t xml:space="preserve">, </w:t>
      </w:r>
      <w:r>
        <w:rPr>
          <w:rFonts w:ascii="Arial" w:eastAsia="Times New Roman" w:hAnsi="Arial" w:cs="Arial"/>
          <w:bCs/>
          <w:i/>
          <w:iCs/>
          <w:sz w:val="20"/>
          <w:szCs w:val="20"/>
        </w:rPr>
        <w:t xml:space="preserve">K. pneumonia and N. gonorrhea </w:t>
      </w:r>
      <w:r>
        <w:rPr>
          <w:rFonts w:ascii="Arial" w:eastAsia="Times New Roman" w:hAnsi="Arial" w:cs="Arial"/>
          <w:bCs/>
          <w:sz w:val="20"/>
          <w:szCs w:val="20"/>
        </w:rPr>
        <w:t>at concentration of 50mg/ml.</w:t>
      </w:r>
    </w:p>
    <w:p>
      <w:pPr>
        <w:spacing w:after="0" w:line="240" w:lineRule="auto"/>
        <w:contextualSpacing/>
        <w:jc w:val="both"/>
        <w:rPr>
          <w:rFonts w:ascii="Arial" w:eastAsia="Times New Roman" w:hAnsi="Arial" w:cs="Arial"/>
          <w:bCs/>
          <w:sz w:val="20"/>
          <w:szCs w:val="20"/>
        </w:rPr>
        <w:sectPr>
          <w:pgSz w:w="11909" w:h="16834" w:code="9"/>
          <w:pgMar w:top="1440" w:right="1440" w:bottom="1440" w:left="1440" w:header="720" w:footer="864" w:gutter="0"/>
          <w:pgNumType w:start="34"/>
          <w:cols w:num="2" w:space="288"/>
          <w:docGrid w:linePitch="360"/>
        </w:sectPr>
      </w:pPr>
    </w:p>
    <w:p>
      <w:pPr>
        <w:spacing w:after="0" w:line="240" w:lineRule="auto"/>
        <w:contextualSpacing/>
        <w:jc w:val="both"/>
        <w:rPr>
          <w:rFonts w:ascii="Arial" w:eastAsia="Times New Roman" w:hAnsi="Arial" w:cs="Arial"/>
          <w:bCs/>
          <w:sz w:val="16"/>
          <w:szCs w:val="16"/>
        </w:rPr>
      </w:pPr>
    </w:p>
    <w:p>
      <w:pPr>
        <w:spacing w:after="0" w:line="240" w:lineRule="auto"/>
        <w:contextualSpacing/>
        <w:jc w:val="center"/>
        <w:rPr>
          <w:rFonts w:ascii="Arial" w:eastAsia="Times New Roman" w:hAnsi="Arial" w:cs="Arial"/>
          <w:bCs/>
          <w:sz w:val="20"/>
          <w:szCs w:val="20"/>
        </w:rPr>
      </w:pPr>
      <w:r>
        <w:rPr>
          <w:rFonts w:ascii="Arial" w:eastAsia="Times New Roman" w:hAnsi="Arial" w:cs="Arial"/>
          <w:bCs/>
          <w:noProof/>
          <w:sz w:val="20"/>
          <w:szCs w:val="20"/>
        </w:rPr>
        <w:drawing>
          <wp:inline distT="0" distB="0" distL="0" distR="0">
            <wp:extent cx="1920593" cy="1762125"/>
            <wp:effectExtent l="0" t="0" r="0" b="0"/>
            <wp:docPr id="155177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592" cy="1767629"/>
                    </a:xfrm>
                    <a:prstGeom prst="rect">
                      <a:avLst/>
                    </a:prstGeom>
                    <a:noFill/>
                  </pic:spPr>
                </pic:pic>
              </a:graphicData>
            </a:graphic>
          </wp:inline>
        </w:drawing>
      </w:r>
    </w:p>
    <w:p>
      <w:pPr>
        <w:spacing w:after="0" w:line="240" w:lineRule="auto"/>
        <w:contextualSpacing/>
        <w:jc w:val="both"/>
        <w:rPr>
          <w:rFonts w:ascii="Arial" w:eastAsia="Times New Roman" w:hAnsi="Arial" w:cs="Arial"/>
          <w:b/>
          <w:sz w:val="16"/>
          <w:szCs w:val="16"/>
        </w:rPr>
      </w:pPr>
    </w:p>
    <w:p>
      <w:pPr>
        <w:spacing w:after="0" w:line="240" w:lineRule="auto"/>
        <w:contextualSpacing/>
        <w:jc w:val="center"/>
        <w:rPr>
          <w:rFonts w:ascii="Arial" w:eastAsia="Times New Roman" w:hAnsi="Arial" w:cs="Arial"/>
          <w:b/>
          <w:sz w:val="20"/>
          <w:szCs w:val="20"/>
        </w:rPr>
      </w:pPr>
      <w:r>
        <w:rPr>
          <w:rFonts w:ascii="Arial" w:eastAsia="Times New Roman" w:hAnsi="Arial" w:cs="Arial"/>
          <w:b/>
          <w:sz w:val="20"/>
          <w:szCs w:val="20"/>
        </w:rPr>
        <w:t xml:space="preserve">Fig. 2. The activity of root of </w:t>
      </w:r>
      <w:r>
        <w:rPr>
          <w:rFonts w:ascii="Arial" w:eastAsia="Times New Roman" w:hAnsi="Arial" w:cs="Arial"/>
          <w:b/>
          <w:i/>
          <w:sz w:val="20"/>
          <w:szCs w:val="20"/>
        </w:rPr>
        <w:t xml:space="preserve">C. </w:t>
      </w:r>
      <w:proofErr w:type="spellStart"/>
      <w:r>
        <w:rPr>
          <w:rFonts w:ascii="Arial" w:eastAsia="Times New Roman" w:hAnsi="Arial" w:cs="Arial"/>
          <w:b/>
          <w:i/>
          <w:sz w:val="20"/>
          <w:szCs w:val="20"/>
        </w:rPr>
        <w:t>focifolius</w:t>
      </w:r>
      <w:proofErr w:type="spellEnd"/>
      <w:r>
        <w:rPr>
          <w:rFonts w:ascii="Arial" w:eastAsia="Times New Roman" w:hAnsi="Arial" w:cs="Arial"/>
          <w:b/>
          <w:sz w:val="20"/>
          <w:szCs w:val="20"/>
        </w:rPr>
        <w:t xml:space="preserve"> plant extract on </w:t>
      </w:r>
      <w:r>
        <w:rPr>
          <w:rFonts w:ascii="Arial" w:eastAsia="Times New Roman" w:hAnsi="Arial" w:cs="Arial"/>
          <w:b/>
          <w:i/>
          <w:iCs/>
          <w:sz w:val="20"/>
          <w:szCs w:val="20"/>
        </w:rPr>
        <w:t>S. aureus</w:t>
      </w:r>
    </w:p>
    <w:p>
      <w:pPr>
        <w:spacing w:after="0" w:line="240" w:lineRule="auto"/>
        <w:contextualSpacing/>
        <w:jc w:val="both"/>
        <w:rPr>
          <w:rFonts w:ascii="Arial" w:eastAsia="Times New Roman" w:hAnsi="Arial" w:cs="Arial"/>
          <w:bCs/>
          <w:sz w:val="16"/>
          <w:szCs w:val="16"/>
        </w:rPr>
      </w:pPr>
    </w:p>
    <w:p>
      <w:pPr>
        <w:spacing w:after="0" w:line="240" w:lineRule="auto"/>
        <w:contextualSpacing/>
        <w:jc w:val="center"/>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extent cx="1804190" cy="2238375"/>
            <wp:effectExtent l="0" t="0" r="0" b="0"/>
            <wp:docPr id="1069341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4542" cy="2238812"/>
                    </a:xfrm>
                    <a:prstGeom prst="rect">
                      <a:avLst/>
                    </a:prstGeom>
                    <a:noFill/>
                  </pic:spPr>
                </pic:pic>
              </a:graphicData>
            </a:graphic>
          </wp:inline>
        </w:drawing>
      </w:r>
      <w:r>
        <w:rPr>
          <w:rFonts w:ascii="Arial" w:eastAsia="Times New Roman" w:hAnsi="Arial" w:cs="Arial"/>
          <w:b/>
          <w:bCs/>
          <w:sz w:val="20"/>
          <w:szCs w:val="20"/>
        </w:rPr>
        <w:br/>
      </w:r>
    </w:p>
    <w:p>
      <w:pPr>
        <w:spacing w:after="0" w:line="240" w:lineRule="auto"/>
        <w:contextualSpacing/>
        <w:jc w:val="center"/>
        <w:rPr>
          <w:rFonts w:ascii="Arial" w:eastAsia="Times New Roman" w:hAnsi="Arial" w:cs="Arial"/>
          <w:b/>
          <w:i/>
          <w:sz w:val="20"/>
          <w:szCs w:val="20"/>
        </w:rPr>
      </w:pPr>
      <w:r>
        <w:rPr>
          <w:rFonts w:ascii="Arial" w:eastAsia="Times New Roman" w:hAnsi="Arial" w:cs="Arial"/>
          <w:b/>
          <w:sz w:val="20"/>
          <w:szCs w:val="20"/>
        </w:rPr>
        <w:t xml:space="preserve">Fig. 3. The activity of root of </w:t>
      </w:r>
      <w:r>
        <w:rPr>
          <w:rFonts w:ascii="Arial" w:eastAsia="Times New Roman" w:hAnsi="Arial" w:cs="Arial"/>
          <w:b/>
          <w:i/>
          <w:sz w:val="20"/>
          <w:szCs w:val="20"/>
        </w:rPr>
        <w:t xml:space="preserve">C. </w:t>
      </w:r>
      <w:proofErr w:type="spellStart"/>
      <w:r>
        <w:rPr>
          <w:rFonts w:ascii="Arial" w:eastAsia="Times New Roman" w:hAnsi="Arial" w:cs="Arial"/>
          <w:b/>
          <w:i/>
          <w:sz w:val="20"/>
          <w:szCs w:val="20"/>
        </w:rPr>
        <w:t>focifolius</w:t>
      </w:r>
      <w:proofErr w:type="spellEnd"/>
      <w:r>
        <w:rPr>
          <w:rFonts w:ascii="Arial" w:eastAsia="Times New Roman" w:hAnsi="Arial" w:cs="Arial"/>
          <w:b/>
          <w:sz w:val="20"/>
          <w:szCs w:val="20"/>
        </w:rPr>
        <w:t xml:space="preserve"> plant extract on </w:t>
      </w:r>
      <w:r>
        <w:rPr>
          <w:rFonts w:ascii="Arial" w:eastAsia="Times New Roman" w:hAnsi="Arial" w:cs="Arial"/>
          <w:b/>
          <w:i/>
          <w:sz w:val="20"/>
          <w:szCs w:val="20"/>
        </w:rPr>
        <w:t>K. pneumonia</w:t>
      </w:r>
    </w:p>
    <w:p>
      <w:pPr>
        <w:spacing w:after="0" w:line="240" w:lineRule="auto"/>
        <w:contextualSpacing/>
        <w:jc w:val="both"/>
        <w:rPr>
          <w:rFonts w:ascii="Arial" w:eastAsia="Times New Roman" w:hAnsi="Arial" w:cs="Arial"/>
          <w:bCs/>
          <w:sz w:val="16"/>
          <w:szCs w:val="16"/>
        </w:rPr>
      </w:pPr>
    </w:p>
    <w:p>
      <w:pPr>
        <w:spacing w:after="0" w:line="240" w:lineRule="auto"/>
        <w:contextualSpacing/>
        <w:jc w:val="center"/>
        <w:rPr>
          <w:rFonts w:ascii="Arial" w:eastAsia="Times New Roman" w:hAnsi="Arial" w:cs="Arial"/>
          <w:bCs/>
          <w:sz w:val="20"/>
          <w:szCs w:val="20"/>
        </w:rPr>
      </w:pPr>
      <w:r>
        <w:rPr>
          <w:rFonts w:ascii="Arial" w:eastAsia="Times New Roman" w:hAnsi="Arial" w:cs="Arial"/>
          <w:bCs/>
          <w:noProof/>
          <w:sz w:val="20"/>
          <w:szCs w:val="20"/>
        </w:rPr>
        <w:drawing>
          <wp:inline distT="0" distB="0" distL="0" distR="0">
            <wp:extent cx="3057525" cy="1886850"/>
            <wp:effectExtent l="0" t="0" r="0" b="0"/>
            <wp:docPr id="2" name="Picture 2" descr="G:\g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on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8622" cy="1893698"/>
                    </a:xfrm>
                    <a:prstGeom prst="rect">
                      <a:avLst/>
                    </a:prstGeom>
                    <a:ln w="228600" cap="sq" cmpd="thickThin">
                      <a:noFill/>
                      <a:prstDash val="solid"/>
                      <a:miter lim="800000"/>
                    </a:ln>
                    <a:effectLst>
                      <a:innerShdw>
                        <a:srgbClr val="000000"/>
                      </a:innerShdw>
                    </a:effectLst>
                  </pic:spPr>
                </pic:pic>
              </a:graphicData>
            </a:graphic>
          </wp:inline>
        </w:drawing>
      </w:r>
    </w:p>
    <w:p>
      <w:pPr>
        <w:spacing w:after="0" w:line="240" w:lineRule="auto"/>
        <w:contextualSpacing/>
        <w:jc w:val="both"/>
        <w:rPr>
          <w:rFonts w:ascii="Arial" w:eastAsia="Times New Roman" w:hAnsi="Arial" w:cs="Arial"/>
          <w:bCs/>
          <w:sz w:val="16"/>
          <w:szCs w:val="16"/>
        </w:rPr>
      </w:pPr>
    </w:p>
    <w:p>
      <w:pPr>
        <w:spacing w:after="0" w:line="240" w:lineRule="auto"/>
        <w:contextualSpacing/>
        <w:jc w:val="center"/>
        <w:rPr>
          <w:rFonts w:ascii="Arial" w:eastAsia="Times New Roman" w:hAnsi="Arial" w:cs="Arial"/>
          <w:b/>
          <w:sz w:val="20"/>
          <w:szCs w:val="20"/>
        </w:rPr>
      </w:pPr>
      <w:r>
        <w:rPr>
          <w:rFonts w:ascii="Arial" w:eastAsia="Times New Roman" w:hAnsi="Arial" w:cs="Arial"/>
          <w:b/>
          <w:sz w:val="20"/>
          <w:szCs w:val="20"/>
        </w:rPr>
        <w:t xml:space="preserve">Fig. 4. The activity of root of </w:t>
      </w:r>
      <w:r>
        <w:rPr>
          <w:rFonts w:ascii="Arial" w:eastAsia="Times New Roman" w:hAnsi="Arial" w:cs="Arial"/>
          <w:b/>
          <w:i/>
          <w:sz w:val="20"/>
          <w:szCs w:val="20"/>
        </w:rPr>
        <w:t xml:space="preserve">C. </w:t>
      </w:r>
      <w:proofErr w:type="spellStart"/>
      <w:r>
        <w:rPr>
          <w:rFonts w:ascii="Arial" w:eastAsia="Times New Roman" w:hAnsi="Arial" w:cs="Arial"/>
          <w:b/>
          <w:i/>
          <w:sz w:val="20"/>
          <w:szCs w:val="20"/>
        </w:rPr>
        <w:t>focifolius</w:t>
      </w:r>
      <w:proofErr w:type="spellEnd"/>
      <w:r>
        <w:rPr>
          <w:rFonts w:ascii="Arial" w:eastAsia="Times New Roman" w:hAnsi="Arial" w:cs="Arial"/>
          <w:b/>
          <w:sz w:val="20"/>
          <w:szCs w:val="20"/>
        </w:rPr>
        <w:t xml:space="preserve"> plant extract on </w:t>
      </w:r>
      <w:r>
        <w:rPr>
          <w:rFonts w:ascii="Arial" w:eastAsia="Times New Roman" w:hAnsi="Arial" w:cs="Arial"/>
          <w:b/>
          <w:i/>
          <w:sz w:val="20"/>
          <w:szCs w:val="20"/>
        </w:rPr>
        <w:t>N. gonorrhea</w:t>
      </w:r>
    </w:p>
    <w:p>
      <w:pPr>
        <w:spacing w:after="0" w:line="240" w:lineRule="auto"/>
        <w:contextualSpacing/>
        <w:jc w:val="center"/>
        <w:rPr>
          <w:rFonts w:ascii="Arial" w:eastAsia="Times New Roman" w:hAnsi="Arial" w:cs="Arial"/>
          <w:bCs/>
          <w:sz w:val="20"/>
          <w:szCs w:val="20"/>
        </w:rPr>
      </w:pPr>
      <w:r>
        <w:rPr>
          <w:rFonts w:ascii="Arial" w:eastAsia="Times New Roman" w:hAnsi="Arial" w:cs="Arial"/>
          <w:bCs/>
          <w:noProof/>
          <w:sz w:val="20"/>
          <w:szCs w:val="20"/>
        </w:rPr>
        <w:lastRenderedPageBreak/>
        <w:drawing>
          <wp:inline distT="0" distB="0" distL="0" distR="0">
            <wp:extent cx="2164080" cy="1408430"/>
            <wp:effectExtent l="0" t="0" r="0" b="0"/>
            <wp:docPr id="120868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4080" cy="1408430"/>
                    </a:xfrm>
                    <a:prstGeom prst="rect">
                      <a:avLst/>
                    </a:prstGeom>
                    <a:noFill/>
                  </pic:spPr>
                </pic:pic>
              </a:graphicData>
            </a:graphic>
          </wp:inline>
        </w:drawing>
      </w:r>
    </w:p>
    <w:p>
      <w:pPr>
        <w:spacing w:after="0" w:line="240" w:lineRule="auto"/>
        <w:contextualSpacing/>
        <w:jc w:val="both"/>
        <w:rPr>
          <w:rFonts w:ascii="Arial" w:eastAsia="Times New Roman" w:hAnsi="Arial" w:cs="Arial"/>
          <w:bCs/>
          <w:sz w:val="16"/>
          <w:szCs w:val="16"/>
        </w:rPr>
      </w:pPr>
    </w:p>
    <w:p>
      <w:pPr>
        <w:spacing w:after="0" w:line="240" w:lineRule="auto"/>
        <w:contextualSpacing/>
        <w:jc w:val="center"/>
        <w:rPr>
          <w:rFonts w:ascii="Arial" w:eastAsia="Times New Roman" w:hAnsi="Arial" w:cs="Arial"/>
          <w:b/>
          <w:i/>
          <w:sz w:val="20"/>
          <w:szCs w:val="20"/>
        </w:rPr>
      </w:pPr>
      <w:r>
        <w:rPr>
          <w:rFonts w:ascii="Arial" w:eastAsia="Times New Roman" w:hAnsi="Arial" w:cs="Arial"/>
          <w:b/>
          <w:sz w:val="20"/>
          <w:szCs w:val="20"/>
        </w:rPr>
        <w:t xml:space="preserve">Fig. 5. Antibacterial activity leaves of </w:t>
      </w:r>
      <w:proofErr w:type="spellStart"/>
      <w:r>
        <w:rPr>
          <w:rFonts w:ascii="Arial" w:eastAsia="Times New Roman" w:hAnsi="Arial" w:cs="Arial"/>
          <w:b/>
          <w:i/>
          <w:sz w:val="20"/>
          <w:szCs w:val="20"/>
        </w:rPr>
        <w:t>Phytolacca</w:t>
      </w:r>
      <w:proofErr w:type="spellEnd"/>
      <w:r>
        <w:rPr>
          <w:rFonts w:ascii="Arial" w:eastAsia="Times New Roman" w:hAnsi="Arial" w:cs="Arial"/>
          <w:b/>
          <w:i/>
          <w:sz w:val="20"/>
          <w:szCs w:val="20"/>
        </w:rPr>
        <w:t xml:space="preserve"> </w:t>
      </w:r>
      <w:proofErr w:type="spellStart"/>
      <w:r>
        <w:rPr>
          <w:rFonts w:ascii="Arial" w:eastAsia="Times New Roman" w:hAnsi="Arial" w:cs="Arial"/>
          <w:b/>
          <w:i/>
          <w:sz w:val="20"/>
          <w:szCs w:val="20"/>
        </w:rPr>
        <w:t>dodecandra</w:t>
      </w:r>
      <w:proofErr w:type="spellEnd"/>
      <w:r>
        <w:rPr>
          <w:rFonts w:ascii="Arial" w:eastAsia="Times New Roman" w:hAnsi="Arial" w:cs="Arial"/>
          <w:b/>
          <w:sz w:val="20"/>
          <w:szCs w:val="20"/>
        </w:rPr>
        <w:t xml:space="preserve"> on </w:t>
      </w:r>
      <w:r>
        <w:rPr>
          <w:rFonts w:ascii="Arial" w:eastAsia="Times New Roman" w:hAnsi="Arial" w:cs="Arial"/>
          <w:b/>
          <w:i/>
          <w:sz w:val="20"/>
          <w:szCs w:val="20"/>
        </w:rPr>
        <w:t>S. aureus</w:t>
      </w:r>
    </w:p>
    <w:p>
      <w:pPr>
        <w:spacing w:after="0" w:line="240" w:lineRule="auto"/>
        <w:contextualSpacing/>
        <w:jc w:val="both"/>
        <w:rPr>
          <w:rFonts w:ascii="Arial" w:eastAsia="Times New Roman" w:hAnsi="Arial" w:cs="Arial"/>
          <w:b/>
          <w:i/>
          <w:sz w:val="16"/>
          <w:szCs w:val="16"/>
        </w:rPr>
      </w:pPr>
    </w:p>
    <w:p>
      <w:pPr>
        <w:spacing w:after="0" w:line="240" w:lineRule="auto"/>
        <w:contextualSpacing/>
        <w:jc w:val="center"/>
        <w:rPr>
          <w:rFonts w:ascii="Arial" w:eastAsia="Times New Roman" w:hAnsi="Arial" w:cs="Arial"/>
          <w:bCs/>
          <w:sz w:val="20"/>
          <w:szCs w:val="20"/>
        </w:rPr>
      </w:pPr>
      <w:r>
        <w:rPr>
          <w:rFonts w:ascii="Arial" w:eastAsia="Times New Roman" w:hAnsi="Arial" w:cs="Arial"/>
          <w:bCs/>
          <w:noProof/>
          <w:sz w:val="20"/>
          <w:szCs w:val="20"/>
        </w:rPr>
        <w:drawing>
          <wp:inline distT="0" distB="0" distL="0" distR="0">
            <wp:extent cx="2219325" cy="1670685"/>
            <wp:effectExtent l="0" t="0" r="0" b="0"/>
            <wp:docPr id="83439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1670685"/>
                    </a:xfrm>
                    <a:prstGeom prst="rect">
                      <a:avLst/>
                    </a:prstGeom>
                    <a:noFill/>
                  </pic:spPr>
                </pic:pic>
              </a:graphicData>
            </a:graphic>
          </wp:inline>
        </w:drawing>
      </w:r>
    </w:p>
    <w:p>
      <w:pPr>
        <w:spacing w:after="0" w:line="240" w:lineRule="auto"/>
        <w:contextualSpacing/>
        <w:jc w:val="both"/>
        <w:rPr>
          <w:rFonts w:ascii="Arial" w:eastAsia="Times New Roman" w:hAnsi="Arial" w:cs="Arial"/>
          <w:bCs/>
          <w:sz w:val="16"/>
          <w:szCs w:val="16"/>
        </w:rPr>
      </w:pPr>
    </w:p>
    <w:p>
      <w:pPr>
        <w:spacing w:after="0" w:line="240" w:lineRule="auto"/>
        <w:contextualSpacing/>
        <w:jc w:val="center"/>
        <w:rPr>
          <w:rFonts w:ascii="Arial" w:eastAsia="Times New Roman" w:hAnsi="Arial" w:cs="Arial"/>
          <w:b/>
          <w:i/>
          <w:sz w:val="20"/>
          <w:szCs w:val="20"/>
        </w:rPr>
      </w:pPr>
      <w:r>
        <w:rPr>
          <w:rFonts w:ascii="Arial" w:eastAsia="Times New Roman" w:hAnsi="Arial" w:cs="Arial"/>
          <w:b/>
          <w:sz w:val="20"/>
          <w:szCs w:val="20"/>
        </w:rPr>
        <w:t xml:space="preserve">Fig. 6. Antibacterial activity leaves of </w:t>
      </w:r>
      <w:r>
        <w:rPr>
          <w:rFonts w:ascii="Arial" w:eastAsia="Times New Roman" w:hAnsi="Arial" w:cs="Arial"/>
          <w:b/>
          <w:i/>
          <w:sz w:val="20"/>
          <w:szCs w:val="20"/>
        </w:rPr>
        <w:t xml:space="preserve">P. </w:t>
      </w:r>
      <w:proofErr w:type="spellStart"/>
      <w:r>
        <w:rPr>
          <w:rFonts w:ascii="Arial" w:eastAsia="Times New Roman" w:hAnsi="Arial" w:cs="Arial"/>
          <w:b/>
          <w:i/>
          <w:sz w:val="20"/>
          <w:szCs w:val="20"/>
        </w:rPr>
        <w:t>dodecandra</w:t>
      </w:r>
      <w:proofErr w:type="spellEnd"/>
      <w:r>
        <w:rPr>
          <w:rFonts w:ascii="Arial" w:eastAsia="Times New Roman" w:hAnsi="Arial" w:cs="Arial"/>
          <w:b/>
          <w:sz w:val="20"/>
          <w:szCs w:val="20"/>
        </w:rPr>
        <w:t xml:space="preserve"> on </w:t>
      </w:r>
      <w:r>
        <w:rPr>
          <w:rFonts w:ascii="Arial" w:eastAsia="Times New Roman" w:hAnsi="Arial" w:cs="Arial"/>
          <w:b/>
          <w:i/>
          <w:sz w:val="20"/>
          <w:szCs w:val="20"/>
        </w:rPr>
        <w:t>K. pneumonia</w:t>
      </w:r>
    </w:p>
    <w:p>
      <w:pPr>
        <w:spacing w:after="0" w:line="240" w:lineRule="auto"/>
        <w:contextualSpacing/>
        <w:jc w:val="both"/>
        <w:rPr>
          <w:rFonts w:ascii="Arial" w:eastAsia="Times New Roman" w:hAnsi="Arial" w:cs="Arial"/>
          <w:bCs/>
          <w:sz w:val="16"/>
          <w:szCs w:val="16"/>
        </w:rPr>
      </w:pPr>
    </w:p>
    <w:p>
      <w:pPr>
        <w:spacing w:after="0" w:line="240" w:lineRule="auto"/>
        <w:contextualSpacing/>
        <w:jc w:val="center"/>
        <w:rPr>
          <w:rFonts w:ascii="Arial" w:eastAsia="Times New Roman" w:hAnsi="Arial" w:cs="Arial"/>
          <w:b/>
          <w:bCs/>
          <w:i/>
          <w:sz w:val="20"/>
          <w:szCs w:val="20"/>
        </w:rPr>
      </w:pPr>
      <w:r>
        <w:rPr>
          <w:rFonts w:ascii="Arial" w:eastAsia="Times New Roman" w:hAnsi="Arial" w:cs="Arial"/>
          <w:bCs/>
          <w:noProof/>
          <w:sz w:val="20"/>
          <w:szCs w:val="20"/>
        </w:rPr>
        <w:drawing>
          <wp:inline distT="0" distB="0" distL="0" distR="0">
            <wp:extent cx="2382715" cy="2057399"/>
            <wp:effectExtent l="0" t="0" r="0" b="0"/>
            <wp:docPr id="750688474" name="Picture 750688474" descr="G:\g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on 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414" t="-1272" r="21010" b="180"/>
                    <a:stretch/>
                  </pic:blipFill>
                  <pic:spPr bwMode="auto">
                    <a:xfrm>
                      <a:off x="0" y="0"/>
                      <a:ext cx="2391197" cy="2064723"/>
                    </a:xfrm>
                    <a:prstGeom prst="rect">
                      <a:avLst/>
                    </a:prstGeom>
                    <a:ln w="228600" cap="sq" cmpd="thickThin">
                      <a:noFill/>
                      <a:prstDash val="solid"/>
                      <a:miter lim="800000"/>
                    </a:ln>
                    <a:effectLst>
                      <a:innerShdw>
                        <a:srgbClr val="000000"/>
                      </a:innerShdw>
                    </a:effectLst>
                    <a:extLst>
                      <a:ext uri="{53640926-AAD7-44D8-BBD7-CCE9431645EC}">
                        <a14:shadowObscured xmlns:a14="http://schemas.microsoft.com/office/drawing/2010/main"/>
                      </a:ext>
                    </a:extLst>
                  </pic:spPr>
                </pic:pic>
              </a:graphicData>
            </a:graphic>
          </wp:inline>
        </w:drawing>
      </w:r>
    </w:p>
    <w:p>
      <w:pPr>
        <w:spacing w:after="0" w:line="240" w:lineRule="auto"/>
        <w:contextualSpacing/>
        <w:jc w:val="both"/>
        <w:rPr>
          <w:rFonts w:ascii="Arial" w:eastAsia="Times New Roman" w:hAnsi="Arial" w:cs="Arial"/>
          <w:bCs/>
          <w:sz w:val="16"/>
          <w:szCs w:val="16"/>
        </w:rPr>
      </w:pPr>
    </w:p>
    <w:p>
      <w:pPr>
        <w:spacing w:after="0" w:line="240" w:lineRule="auto"/>
        <w:contextualSpacing/>
        <w:jc w:val="center"/>
        <w:rPr>
          <w:rFonts w:ascii="Arial" w:eastAsia="Times New Roman" w:hAnsi="Arial" w:cs="Arial"/>
          <w:b/>
          <w:sz w:val="20"/>
          <w:szCs w:val="20"/>
        </w:rPr>
      </w:pPr>
      <w:r>
        <w:rPr>
          <w:rFonts w:ascii="Arial" w:eastAsia="Times New Roman" w:hAnsi="Arial" w:cs="Arial"/>
          <w:b/>
          <w:sz w:val="20"/>
          <w:szCs w:val="20"/>
        </w:rPr>
        <w:t xml:space="preserve">Fig. 7. Antibacterial activity leaves of </w:t>
      </w:r>
      <w:proofErr w:type="spellStart"/>
      <w:r>
        <w:rPr>
          <w:rFonts w:ascii="Arial" w:eastAsia="Times New Roman" w:hAnsi="Arial" w:cs="Arial"/>
          <w:b/>
          <w:i/>
          <w:sz w:val="20"/>
          <w:szCs w:val="20"/>
        </w:rPr>
        <w:t>phytolacca</w:t>
      </w:r>
      <w:proofErr w:type="spellEnd"/>
      <w:r>
        <w:rPr>
          <w:rFonts w:ascii="Arial" w:eastAsia="Times New Roman" w:hAnsi="Arial" w:cs="Arial"/>
          <w:b/>
          <w:i/>
          <w:sz w:val="20"/>
          <w:szCs w:val="20"/>
        </w:rPr>
        <w:t xml:space="preserve"> </w:t>
      </w:r>
      <w:proofErr w:type="spellStart"/>
      <w:r>
        <w:rPr>
          <w:rFonts w:ascii="Arial" w:eastAsia="Times New Roman" w:hAnsi="Arial" w:cs="Arial"/>
          <w:b/>
          <w:i/>
          <w:sz w:val="20"/>
          <w:szCs w:val="20"/>
        </w:rPr>
        <w:t>dodecandra</w:t>
      </w:r>
      <w:proofErr w:type="spellEnd"/>
      <w:r>
        <w:rPr>
          <w:rFonts w:ascii="Arial" w:eastAsia="Times New Roman" w:hAnsi="Arial" w:cs="Arial"/>
          <w:b/>
          <w:sz w:val="20"/>
          <w:szCs w:val="20"/>
        </w:rPr>
        <w:t xml:space="preserve"> on </w:t>
      </w:r>
      <w:r>
        <w:rPr>
          <w:rFonts w:ascii="Arial" w:eastAsia="Times New Roman" w:hAnsi="Arial" w:cs="Arial"/>
          <w:b/>
          <w:i/>
          <w:sz w:val="20"/>
          <w:szCs w:val="20"/>
        </w:rPr>
        <w:t>N. gonorrhea</w:t>
      </w:r>
    </w:p>
    <w:p>
      <w:pPr>
        <w:spacing w:after="0" w:line="240" w:lineRule="auto"/>
        <w:contextualSpacing/>
        <w:jc w:val="both"/>
        <w:rPr>
          <w:rFonts w:ascii="Arial" w:eastAsia="Times New Roman" w:hAnsi="Arial" w:cs="Arial"/>
          <w:b/>
          <w:bCs/>
          <w:sz w:val="20"/>
          <w:szCs w:val="20"/>
        </w:rPr>
      </w:pPr>
      <w:bookmarkStart w:id="18" w:name="_Toc485358847"/>
    </w:p>
    <w:p>
      <w:pPr>
        <w:spacing w:after="0" w:line="240" w:lineRule="auto"/>
        <w:contextualSpacing/>
        <w:jc w:val="both"/>
        <w:rPr>
          <w:rFonts w:ascii="Arial" w:eastAsia="Times New Roman" w:hAnsi="Arial" w:cs="Arial"/>
          <w:b/>
          <w:bCs/>
        </w:rPr>
        <w:sectPr>
          <w:type w:val="continuous"/>
          <w:pgSz w:w="11909" w:h="16834" w:code="9"/>
          <w:pgMar w:top="1440" w:right="1440" w:bottom="1440" w:left="1440" w:header="720" w:footer="864" w:gutter="0"/>
          <w:pgNumType w:start="34"/>
          <w:cols w:space="720"/>
          <w:docGrid w:linePitch="360"/>
        </w:sectPr>
      </w:pPr>
    </w:p>
    <w:p>
      <w:pPr>
        <w:spacing w:after="0" w:line="240" w:lineRule="auto"/>
        <w:ind w:left="450" w:hanging="450"/>
        <w:contextualSpacing/>
        <w:jc w:val="both"/>
        <w:rPr>
          <w:rFonts w:ascii="Arial" w:eastAsia="Times New Roman" w:hAnsi="Arial" w:cs="Arial"/>
          <w:b/>
          <w:bCs/>
        </w:rPr>
      </w:pPr>
      <w:r>
        <w:rPr>
          <w:rFonts w:ascii="Arial" w:eastAsia="Times New Roman" w:hAnsi="Arial" w:cs="Arial"/>
          <w:b/>
          <w:bCs/>
        </w:rPr>
        <w:t>4.3</w:t>
      </w:r>
      <w:r>
        <w:rPr>
          <w:rFonts w:ascii="Arial" w:eastAsia="Times New Roman" w:hAnsi="Arial" w:cs="Arial"/>
          <w:b/>
          <w:bCs/>
        </w:rPr>
        <w:tab/>
        <w:t>Minimum Inhibitory Concentration (MIC)</w:t>
      </w:r>
    </w:p>
    <w:p>
      <w:pPr>
        <w:spacing w:after="0" w:line="240" w:lineRule="auto"/>
        <w:contextualSpacing/>
        <w:jc w:val="both"/>
        <w:rPr>
          <w:rFonts w:ascii="Arial" w:eastAsia="Times New Roman" w:hAnsi="Arial" w:cs="Arial"/>
          <w:b/>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The minimum inhibitory concentrations of each extracts against the selected bacteria varied with bacterial species and type of the extract (Table 5). As indicated in the table, the</w:t>
      </w:r>
      <w:r>
        <w:rPr>
          <w:rFonts w:ascii="Arial" w:eastAsia="Times New Roman" w:hAnsi="Arial" w:cs="Arial"/>
          <w:b/>
          <w:bCs/>
          <w:sz w:val="20"/>
          <w:szCs w:val="20"/>
        </w:rPr>
        <w:t xml:space="preserve"> </w:t>
      </w:r>
      <w:r>
        <w:rPr>
          <w:rFonts w:ascii="Arial" w:eastAsia="Times New Roman" w:hAnsi="Arial" w:cs="Arial"/>
          <w:bCs/>
          <w:sz w:val="20"/>
          <w:szCs w:val="20"/>
        </w:rPr>
        <w:t xml:space="preserve">highest MICs of the root extracts of both plants were observed. </w:t>
      </w:r>
      <w:r>
        <w:rPr>
          <w:rFonts w:ascii="Arial" w:eastAsia="Times New Roman" w:hAnsi="Arial" w:cs="Arial"/>
          <w:bCs/>
          <w:iCs/>
          <w:sz w:val="20"/>
          <w:szCs w:val="20"/>
        </w:rPr>
        <w:t>In aqueous</w:t>
      </w:r>
      <w:r>
        <w:rPr>
          <w:rFonts w:ascii="Arial" w:eastAsia="Times New Roman" w:hAnsi="Arial" w:cs="Arial"/>
          <w:bCs/>
          <w:i/>
          <w:iCs/>
          <w:sz w:val="20"/>
          <w:szCs w:val="20"/>
        </w:rPr>
        <w:t xml:space="preserve"> </w:t>
      </w:r>
      <w:r>
        <w:rPr>
          <w:rFonts w:ascii="Arial" w:eastAsia="Times New Roman" w:hAnsi="Arial" w:cs="Arial"/>
          <w:bCs/>
          <w:i/>
          <w:sz w:val="20"/>
          <w:szCs w:val="20"/>
        </w:rPr>
        <w:t xml:space="preserve">P.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on </w:t>
      </w:r>
      <w:r>
        <w:rPr>
          <w:rFonts w:ascii="Arial" w:eastAsia="Times New Roman" w:hAnsi="Arial" w:cs="Arial"/>
          <w:bCs/>
          <w:i/>
          <w:sz w:val="20"/>
          <w:szCs w:val="20"/>
        </w:rPr>
        <w:t>K. pneumonia</w:t>
      </w:r>
      <w:r>
        <w:rPr>
          <w:rFonts w:ascii="Arial" w:eastAsia="Times New Roman" w:hAnsi="Arial" w:cs="Arial"/>
          <w:bCs/>
          <w:iCs/>
          <w:sz w:val="20"/>
          <w:szCs w:val="20"/>
        </w:rPr>
        <w:t xml:space="preserve"> with MIC values of 10 and </w:t>
      </w:r>
      <w:r>
        <w:rPr>
          <w:rFonts w:ascii="Arial" w:eastAsia="Times New Roman" w:hAnsi="Arial" w:cs="Arial"/>
          <w:bCs/>
          <w:sz w:val="20"/>
          <w:szCs w:val="20"/>
        </w:rPr>
        <w:t xml:space="preserve">5.0 respectively while the lowest MIC was recorded for Ethanol </w:t>
      </w:r>
      <w:r>
        <w:rPr>
          <w:rFonts w:ascii="Arial" w:eastAsia="Times New Roman" w:hAnsi="Arial" w:cs="Arial"/>
          <w:bCs/>
          <w:i/>
          <w:sz w:val="20"/>
          <w:szCs w:val="20"/>
        </w:rPr>
        <w:t xml:space="preserve">C. </w:t>
      </w:r>
      <w:proofErr w:type="spellStart"/>
      <w:r>
        <w:rPr>
          <w:rFonts w:ascii="Arial" w:eastAsia="Times New Roman" w:hAnsi="Arial" w:cs="Arial"/>
          <w:bCs/>
          <w:i/>
          <w:sz w:val="20"/>
          <w:szCs w:val="20"/>
        </w:rPr>
        <w:t>focifolius</w:t>
      </w:r>
      <w:proofErr w:type="spellEnd"/>
      <w:r>
        <w:rPr>
          <w:rFonts w:ascii="Arial" w:eastAsia="Times New Roman" w:hAnsi="Arial" w:cs="Arial"/>
          <w:bCs/>
          <w:sz w:val="20"/>
          <w:szCs w:val="20"/>
        </w:rPr>
        <w:t xml:space="preserve"> root against </w:t>
      </w:r>
      <w:r>
        <w:rPr>
          <w:rFonts w:ascii="Arial" w:eastAsia="Times New Roman" w:hAnsi="Arial" w:cs="Arial"/>
          <w:bCs/>
          <w:i/>
          <w:iCs/>
          <w:sz w:val="20"/>
          <w:szCs w:val="20"/>
        </w:rPr>
        <w:t xml:space="preserve">N. gonorrhea and S. aureus </w:t>
      </w:r>
      <w:r>
        <w:rPr>
          <w:rFonts w:ascii="Arial" w:eastAsia="Times New Roman" w:hAnsi="Arial" w:cs="Arial"/>
          <w:bCs/>
          <w:iCs/>
          <w:sz w:val="20"/>
          <w:szCs w:val="20"/>
        </w:rPr>
        <w:t xml:space="preserve">with MIC values of 0.625 and 1.25 respectively. </w:t>
      </w:r>
      <w:r>
        <w:rPr>
          <w:rFonts w:ascii="Arial" w:eastAsia="Times New Roman" w:hAnsi="Arial" w:cs="Arial"/>
          <w:bCs/>
          <w:sz w:val="20"/>
          <w:szCs w:val="20"/>
        </w:rPr>
        <w:t xml:space="preserve">The leaf extracts of each plant showed also different </w:t>
      </w:r>
      <w:r>
        <w:rPr>
          <w:rFonts w:ascii="Arial" w:eastAsia="Times New Roman" w:hAnsi="Arial" w:cs="Arial"/>
          <w:bCs/>
          <w:sz w:val="20"/>
          <w:szCs w:val="20"/>
        </w:rPr>
        <w:t>MIC against the test bacteria. Generally, the broth dilution assay showed that in both plants leaf extracts had more antibacterial activities against all test bacteria. Therefore, the smallest MIC value indicates as the extract was efficient to inhibit the growth of the test pathogen in minimum dosage.</w:t>
      </w:r>
    </w:p>
    <w:p>
      <w:pPr>
        <w:spacing w:after="0" w:line="240" w:lineRule="auto"/>
        <w:contextualSpacing/>
        <w:jc w:val="both"/>
        <w:rPr>
          <w:rFonts w:ascii="Arial" w:eastAsia="Times New Roman" w:hAnsi="Arial" w:cs="Arial"/>
          <w:b/>
          <w:bCs/>
          <w:sz w:val="20"/>
          <w:szCs w:val="20"/>
        </w:rPr>
      </w:pPr>
    </w:p>
    <w:p>
      <w:pPr>
        <w:spacing w:after="0" w:line="240" w:lineRule="auto"/>
        <w:contextualSpacing/>
        <w:jc w:val="both"/>
        <w:rPr>
          <w:rFonts w:ascii="Arial" w:eastAsia="Times New Roman" w:hAnsi="Arial" w:cs="Arial"/>
          <w:bCs/>
          <w:sz w:val="20"/>
          <w:szCs w:val="20"/>
        </w:rPr>
        <w:sectPr>
          <w:type w:val="continuous"/>
          <w:pgSz w:w="11909" w:h="16834" w:code="9"/>
          <w:pgMar w:top="1440" w:right="1440" w:bottom="1440" w:left="1440" w:header="720" w:footer="864" w:gutter="0"/>
          <w:pgNumType w:start="1"/>
          <w:cols w:num="2" w:space="288"/>
          <w:docGrid w:linePitch="360"/>
        </w:sectPr>
      </w:pPr>
      <w:r>
        <w:rPr>
          <w:rFonts w:ascii="Arial" w:eastAsia="Times New Roman" w:hAnsi="Arial" w:cs="Arial"/>
          <w:bCs/>
          <w:sz w:val="20"/>
          <w:szCs w:val="20"/>
        </w:rPr>
        <w:t xml:space="preserve">The lowest MIC values of leaf extracts of both extracts of the two plants were observed against </w:t>
      </w:r>
      <w:r>
        <w:rPr>
          <w:rFonts w:ascii="Arial" w:eastAsia="Times New Roman" w:hAnsi="Arial" w:cs="Arial"/>
          <w:bCs/>
          <w:i/>
          <w:iCs/>
          <w:sz w:val="20"/>
          <w:szCs w:val="20"/>
        </w:rPr>
        <w:t>S. aureus</w:t>
      </w:r>
      <w:r>
        <w:rPr>
          <w:rFonts w:ascii="Arial" w:eastAsia="Times New Roman" w:hAnsi="Arial" w:cs="Arial"/>
          <w:bCs/>
          <w:sz w:val="20"/>
          <w:szCs w:val="20"/>
        </w:rPr>
        <w:t>. The results obtained in the broth dilution method were consistent with the results obtained from the well diffusion method in this study.</w:t>
      </w:r>
    </w:p>
    <w:p>
      <w:pPr>
        <w:spacing w:after="0" w:line="240" w:lineRule="auto"/>
        <w:contextualSpacing/>
        <w:jc w:val="center"/>
        <w:rPr>
          <w:rFonts w:ascii="Arial" w:eastAsia="Times New Roman" w:hAnsi="Arial" w:cs="Arial"/>
          <w:b/>
          <w:bCs/>
          <w:sz w:val="20"/>
          <w:szCs w:val="20"/>
        </w:rPr>
      </w:pPr>
      <w:r>
        <w:rPr>
          <w:rFonts w:ascii="Arial" w:eastAsia="Times New Roman" w:hAnsi="Arial" w:cs="Arial"/>
          <w:b/>
          <w:bCs/>
          <w:sz w:val="20"/>
          <w:szCs w:val="20"/>
        </w:rPr>
        <w:lastRenderedPageBreak/>
        <w:t>Table 5. Minimum Inhibitory Concentration (MIC)</w:t>
      </w:r>
    </w:p>
    <w:p>
      <w:pPr>
        <w:spacing w:after="0" w:line="240" w:lineRule="auto"/>
        <w:contextualSpacing/>
        <w:jc w:val="both"/>
        <w:rPr>
          <w:rFonts w:ascii="Arial" w:eastAsia="Times New Roman" w:hAnsi="Arial" w:cs="Arial"/>
          <w:b/>
          <w:bCs/>
          <w:sz w:val="20"/>
          <w:szCs w:val="20"/>
        </w:rPr>
      </w:pPr>
    </w:p>
    <w:tbl>
      <w:tblPr>
        <w:tblStyle w:val="TableGrid"/>
        <w:tblW w:w="4875"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1800"/>
        <w:gridCol w:w="1980"/>
        <w:gridCol w:w="2091"/>
      </w:tblGrid>
      <w:tr>
        <w:trPr>
          <w:trHeight w:val="20"/>
          <w:jc w:val="center"/>
        </w:trPr>
        <w:tc>
          <w:tcPr>
            <w:tcW w:w="3143" w:type="dxa"/>
            <w:vMerge w:val="restart"/>
            <w:tcBorders>
              <w:top w:val="single" w:sz="4" w:space="0" w:color="auto"/>
              <w:bottom w:val="single" w:sz="4" w:space="0" w:color="auto"/>
            </w:tcBorders>
          </w:tcPr>
          <w:p>
            <w:pPr>
              <w:contextualSpacing/>
              <w:rPr>
                <w:rFonts w:ascii="Arial" w:eastAsia="Times New Roman" w:hAnsi="Arial" w:cs="Arial"/>
                <w:b/>
                <w:bCs/>
                <w:sz w:val="20"/>
                <w:szCs w:val="20"/>
              </w:rPr>
            </w:pPr>
            <w:r>
              <w:rPr>
                <w:rFonts w:ascii="Arial" w:eastAsia="Times New Roman" w:hAnsi="Arial" w:cs="Arial"/>
                <w:b/>
                <w:bCs/>
                <w:sz w:val="20"/>
                <w:szCs w:val="20"/>
              </w:rPr>
              <w:t>Antibacterial agent</w:t>
            </w:r>
          </w:p>
        </w:tc>
        <w:tc>
          <w:tcPr>
            <w:tcW w:w="5871" w:type="dxa"/>
            <w:gridSpan w:val="3"/>
            <w:tcBorders>
              <w:top w:val="single" w:sz="4" w:space="0" w:color="auto"/>
              <w:bottom w:val="single" w:sz="4" w:space="0" w:color="auto"/>
            </w:tcBorders>
          </w:tcPr>
          <w:p>
            <w:pPr>
              <w:contextualSpacing/>
              <w:rPr>
                <w:rFonts w:ascii="Arial" w:eastAsia="Times New Roman" w:hAnsi="Arial" w:cs="Arial"/>
                <w:b/>
                <w:bCs/>
                <w:sz w:val="20"/>
                <w:szCs w:val="20"/>
              </w:rPr>
            </w:pPr>
            <w:r>
              <w:rPr>
                <w:rFonts w:ascii="Arial" w:eastAsia="Times New Roman" w:hAnsi="Arial" w:cs="Arial"/>
                <w:b/>
                <w:bCs/>
                <w:sz w:val="20"/>
                <w:szCs w:val="20"/>
              </w:rPr>
              <w:t>In-vitro groups</w:t>
            </w:r>
          </w:p>
        </w:tc>
      </w:tr>
      <w:tr>
        <w:trPr>
          <w:trHeight w:val="20"/>
          <w:jc w:val="center"/>
        </w:trPr>
        <w:tc>
          <w:tcPr>
            <w:tcW w:w="3143" w:type="dxa"/>
            <w:vMerge/>
            <w:tcBorders>
              <w:top w:val="single" w:sz="4" w:space="0" w:color="auto"/>
              <w:bottom w:val="single" w:sz="4" w:space="0" w:color="auto"/>
            </w:tcBorders>
          </w:tcPr>
          <w:p>
            <w:pPr>
              <w:contextualSpacing/>
              <w:rPr>
                <w:rFonts w:ascii="Arial" w:eastAsia="Times New Roman" w:hAnsi="Arial" w:cs="Arial"/>
                <w:b/>
                <w:bCs/>
                <w:sz w:val="20"/>
                <w:szCs w:val="20"/>
                <w:u w:val="single"/>
              </w:rPr>
            </w:pPr>
          </w:p>
        </w:tc>
        <w:tc>
          <w:tcPr>
            <w:tcW w:w="1800" w:type="dxa"/>
            <w:tcBorders>
              <w:top w:val="single" w:sz="4" w:space="0" w:color="auto"/>
              <w:bottom w:val="single" w:sz="4" w:space="0" w:color="auto"/>
            </w:tcBorders>
          </w:tcPr>
          <w:p>
            <w:pPr>
              <w:contextualSpacing/>
              <w:rPr>
                <w:rFonts w:ascii="Arial" w:eastAsia="Times New Roman" w:hAnsi="Arial" w:cs="Arial"/>
                <w:b/>
                <w:bCs/>
                <w:i/>
                <w:sz w:val="20"/>
                <w:szCs w:val="20"/>
              </w:rPr>
            </w:pPr>
            <w:r>
              <w:rPr>
                <w:rFonts w:ascii="Arial" w:eastAsia="Times New Roman" w:hAnsi="Arial" w:cs="Arial"/>
                <w:b/>
                <w:bCs/>
                <w:i/>
                <w:sz w:val="20"/>
                <w:szCs w:val="20"/>
              </w:rPr>
              <w:t>K. pneumonia</w:t>
            </w:r>
          </w:p>
        </w:tc>
        <w:tc>
          <w:tcPr>
            <w:tcW w:w="1980" w:type="dxa"/>
            <w:tcBorders>
              <w:top w:val="single" w:sz="4" w:space="0" w:color="auto"/>
              <w:bottom w:val="single" w:sz="4" w:space="0" w:color="auto"/>
            </w:tcBorders>
          </w:tcPr>
          <w:p>
            <w:pPr>
              <w:contextualSpacing/>
              <w:rPr>
                <w:rFonts w:ascii="Arial" w:eastAsia="Times New Roman" w:hAnsi="Arial" w:cs="Arial"/>
                <w:b/>
                <w:bCs/>
                <w:i/>
                <w:sz w:val="20"/>
                <w:szCs w:val="20"/>
              </w:rPr>
            </w:pPr>
            <w:r>
              <w:rPr>
                <w:rFonts w:ascii="Arial" w:eastAsia="Times New Roman" w:hAnsi="Arial" w:cs="Arial"/>
                <w:b/>
                <w:bCs/>
                <w:i/>
                <w:sz w:val="20"/>
                <w:szCs w:val="20"/>
              </w:rPr>
              <w:t>N. gonorrhea</w:t>
            </w:r>
          </w:p>
        </w:tc>
        <w:tc>
          <w:tcPr>
            <w:tcW w:w="2091" w:type="dxa"/>
            <w:tcBorders>
              <w:top w:val="single" w:sz="4" w:space="0" w:color="auto"/>
              <w:bottom w:val="single" w:sz="4" w:space="0" w:color="auto"/>
            </w:tcBorders>
          </w:tcPr>
          <w:p>
            <w:pPr>
              <w:contextualSpacing/>
              <w:rPr>
                <w:rFonts w:ascii="Arial" w:eastAsia="Times New Roman" w:hAnsi="Arial" w:cs="Arial"/>
                <w:b/>
                <w:bCs/>
                <w:i/>
                <w:sz w:val="20"/>
                <w:szCs w:val="20"/>
              </w:rPr>
            </w:pPr>
            <w:r>
              <w:rPr>
                <w:rFonts w:ascii="Arial" w:eastAsia="Times New Roman" w:hAnsi="Arial" w:cs="Arial"/>
                <w:b/>
                <w:bCs/>
                <w:i/>
                <w:sz w:val="20"/>
                <w:szCs w:val="20"/>
              </w:rPr>
              <w:t>S. aureus</w:t>
            </w:r>
          </w:p>
        </w:tc>
      </w:tr>
      <w:tr>
        <w:trPr>
          <w:trHeight w:val="20"/>
          <w:jc w:val="center"/>
        </w:trPr>
        <w:tc>
          <w:tcPr>
            <w:tcW w:w="3143" w:type="dxa"/>
            <w:vMerge/>
            <w:tcBorders>
              <w:top w:val="single" w:sz="4" w:space="0" w:color="auto"/>
              <w:bottom w:val="single" w:sz="4" w:space="0" w:color="auto"/>
            </w:tcBorders>
          </w:tcPr>
          <w:p>
            <w:pPr>
              <w:contextualSpacing/>
              <w:rPr>
                <w:rFonts w:ascii="Arial" w:eastAsia="Times New Roman" w:hAnsi="Arial" w:cs="Arial"/>
                <w:b/>
                <w:bCs/>
                <w:sz w:val="20"/>
                <w:szCs w:val="20"/>
                <w:u w:val="single"/>
              </w:rPr>
            </w:pPr>
          </w:p>
        </w:tc>
        <w:tc>
          <w:tcPr>
            <w:tcW w:w="5871" w:type="dxa"/>
            <w:gridSpan w:val="3"/>
            <w:tcBorders>
              <w:top w:val="single" w:sz="4" w:space="0" w:color="auto"/>
              <w:bottom w:val="single" w:sz="4" w:space="0" w:color="auto"/>
            </w:tcBorders>
          </w:tcPr>
          <w:p>
            <w:pPr>
              <w:contextualSpacing/>
              <w:jc w:val="center"/>
              <w:rPr>
                <w:rFonts w:ascii="Arial" w:eastAsia="Times New Roman" w:hAnsi="Arial" w:cs="Arial"/>
                <w:b/>
                <w:bCs/>
                <w:iCs/>
                <w:sz w:val="20"/>
                <w:szCs w:val="20"/>
              </w:rPr>
            </w:pPr>
            <w:r>
              <w:rPr>
                <w:rFonts w:ascii="Arial" w:eastAsia="Times New Roman" w:hAnsi="Arial" w:cs="Arial"/>
                <w:b/>
                <w:bCs/>
                <w:iCs/>
                <w:sz w:val="20"/>
                <w:szCs w:val="20"/>
              </w:rPr>
              <w:t>mg/mL</w:t>
            </w:r>
          </w:p>
        </w:tc>
      </w:tr>
      <w:tr>
        <w:trPr>
          <w:trHeight w:val="20"/>
          <w:jc w:val="center"/>
        </w:trPr>
        <w:tc>
          <w:tcPr>
            <w:tcW w:w="3143" w:type="dxa"/>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Methanol</w:t>
            </w:r>
          </w:p>
          <w:p>
            <w:pPr>
              <w:contextualSpacing/>
              <w:rPr>
                <w:rFonts w:ascii="Arial" w:eastAsia="Times New Roman" w:hAnsi="Arial" w:cs="Arial"/>
                <w:bCs/>
                <w:sz w:val="20"/>
                <w:szCs w:val="20"/>
              </w:rPr>
            </w:pPr>
            <w:r>
              <w:rPr>
                <w:rFonts w:ascii="Arial" w:eastAsia="Times New Roman" w:hAnsi="Arial" w:cs="Arial"/>
                <w:bCs/>
                <w:i/>
                <w:iCs/>
                <w:sz w:val="20"/>
                <w:szCs w:val="20"/>
              </w:rPr>
              <w:t xml:space="preserve">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root</w:t>
            </w:r>
          </w:p>
        </w:tc>
        <w:tc>
          <w:tcPr>
            <w:tcW w:w="1800" w:type="dxa"/>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2.5</w:t>
            </w:r>
          </w:p>
        </w:tc>
        <w:tc>
          <w:tcPr>
            <w:tcW w:w="1980" w:type="dxa"/>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1.25</w:t>
            </w:r>
          </w:p>
        </w:tc>
        <w:tc>
          <w:tcPr>
            <w:tcW w:w="2091" w:type="dxa"/>
            <w:tcBorders>
              <w:top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2.5</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iCs/>
                <w:sz w:val="20"/>
                <w:szCs w:val="20"/>
              </w:rPr>
              <w:t xml:space="preserve">Ethanol 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root</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1.25</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0.625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1.25</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iCs/>
                <w:sz w:val="20"/>
                <w:szCs w:val="20"/>
              </w:rPr>
              <w:t xml:space="preserve">Chloroform 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root</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2.5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5</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iCs/>
                <w:sz w:val="20"/>
                <w:szCs w:val="20"/>
              </w:rPr>
              <w:t xml:space="preserve">Aqueous 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root</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10</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iCs/>
                <w:sz w:val="20"/>
                <w:szCs w:val="20"/>
              </w:rPr>
              <w:t xml:space="preserve">Methanol 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leaf</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1.25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5</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iCs/>
                <w:sz w:val="20"/>
                <w:szCs w:val="20"/>
              </w:rPr>
              <w:t xml:space="preserve">Ethanol 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leaf</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2.5</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0.625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1.25</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iCs/>
                <w:sz w:val="20"/>
                <w:szCs w:val="20"/>
              </w:rPr>
              <w:t xml:space="preserve">Chloroform 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leaf</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10</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5</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iCs/>
                <w:sz w:val="20"/>
                <w:szCs w:val="20"/>
              </w:rPr>
              <w:t xml:space="preserve">Aqueous 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leaf</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10</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10</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sz w:val="20"/>
                <w:szCs w:val="20"/>
              </w:rPr>
              <w:t xml:space="preserve">Methanol P. </w:t>
            </w:r>
            <w:proofErr w:type="spellStart"/>
            <w:r>
              <w:rPr>
                <w:rFonts w:ascii="Arial" w:eastAsia="Times New Roman" w:hAnsi="Arial" w:cs="Arial"/>
                <w:bCs/>
                <w:i/>
                <w:sz w:val="20"/>
                <w:szCs w:val="20"/>
              </w:rPr>
              <w:t>dodecandra</w:t>
            </w:r>
            <w:proofErr w:type="spellEnd"/>
            <w:r>
              <w:rPr>
                <w:rFonts w:ascii="Arial" w:eastAsia="Times New Roman" w:hAnsi="Arial" w:cs="Arial"/>
                <w:bCs/>
                <w:i/>
                <w:sz w:val="20"/>
                <w:szCs w:val="20"/>
              </w:rPr>
              <w:t xml:space="preserve"> </w:t>
            </w:r>
            <w:r>
              <w:rPr>
                <w:rFonts w:ascii="Arial" w:eastAsia="Times New Roman" w:hAnsi="Arial" w:cs="Arial"/>
                <w:bCs/>
                <w:i/>
                <w:iCs/>
                <w:sz w:val="20"/>
                <w:szCs w:val="20"/>
              </w:rPr>
              <w:t>root</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2.5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5</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sz w:val="20"/>
                <w:szCs w:val="20"/>
              </w:rPr>
              <w:t xml:space="preserve">Ethanol P. </w:t>
            </w:r>
            <w:proofErr w:type="spellStart"/>
            <w:r>
              <w:rPr>
                <w:rFonts w:ascii="Arial" w:eastAsia="Times New Roman" w:hAnsi="Arial" w:cs="Arial"/>
                <w:bCs/>
                <w:i/>
                <w:sz w:val="20"/>
                <w:szCs w:val="20"/>
              </w:rPr>
              <w:t>dodecandra</w:t>
            </w:r>
            <w:proofErr w:type="spellEnd"/>
            <w:r>
              <w:rPr>
                <w:rFonts w:ascii="Arial" w:eastAsia="Times New Roman" w:hAnsi="Arial" w:cs="Arial"/>
                <w:bCs/>
                <w:i/>
                <w:sz w:val="20"/>
                <w:szCs w:val="20"/>
              </w:rPr>
              <w:t xml:space="preserve"> </w:t>
            </w:r>
            <w:r>
              <w:rPr>
                <w:rFonts w:ascii="Arial" w:eastAsia="Times New Roman" w:hAnsi="Arial" w:cs="Arial"/>
                <w:bCs/>
                <w:i/>
                <w:iCs/>
                <w:sz w:val="20"/>
                <w:szCs w:val="20"/>
              </w:rPr>
              <w:t>root</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10</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2.5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2.5</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sz w:val="20"/>
                <w:szCs w:val="20"/>
              </w:rPr>
              <w:t xml:space="preserve">Chloroform P. </w:t>
            </w:r>
            <w:proofErr w:type="spellStart"/>
            <w:r>
              <w:rPr>
                <w:rFonts w:ascii="Arial" w:eastAsia="Times New Roman" w:hAnsi="Arial" w:cs="Arial"/>
                <w:bCs/>
                <w:i/>
                <w:sz w:val="20"/>
                <w:szCs w:val="20"/>
              </w:rPr>
              <w:t>dodecandra</w:t>
            </w:r>
            <w:proofErr w:type="spellEnd"/>
            <w:r>
              <w:rPr>
                <w:rFonts w:ascii="Arial" w:eastAsia="Times New Roman" w:hAnsi="Arial" w:cs="Arial"/>
                <w:bCs/>
                <w:i/>
                <w:sz w:val="20"/>
                <w:szCs w:val="20"/>
              </w:rPr>
              <w:t xml:space="preserve"> </w:t>
            </w:r>
            <w:r>
              <w:rPr>
                <w:rFonts w:ascii="Arial" w:eastAsia="Times New Roman" w:hAnsi="Arial" w:cs="Arial"/>
                <w:bCs/>
                <w:i/>
                <w:iCs/>
                <w:sz w:val="20"/>
                <w:szCs w:val="20"/>
              </w:rPr>
              <w:t>root</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10</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sz w:val="20"/>
                <w:szCs w:val="20"/>
              </w:rPr>
              <w:t xml:space="preserve">Aqueous P. </w:t>
            </w:r>
            <w:proofErr w:type="spellStart"/>
            <w:r>
              <w:rPr>
                <w:rFonts w:ascii="Arial" w:eastAsia="Times New Roman" w:hAnsi="Arial" w:cs="Arial"/>
                <w:bCs/>
                <w:i/>
                <w:sz w:val="20"/>
                <w:szCs w:val="20"/>
              </w:rPr>
              <w:t>dodecandra</w:t>
            </w:r>
            <w:proofErr w:type="spellEnd"/>
            <w:r>
              <w:rPr>
                <w:rFonts w:ascii="Arial" w:eastAsia="Times New Roman" w:hAnsi="Arial" w:cs="Arial"/>
                <w:bCs/>
                <w:i/>
                <w:sz w:val="20"/>
                <w:szCs w:val="20"/>
              </w:rPr>
              <w:t xml:space="preserve"> </w:t>
            </w:r>
            <w:r>
              <w:rPr>
                <w:rFonts w:ascii="Arial" w:eastAsia="Times New Roman" w:hAnsi="Arial" w:cs="Arial"/>
                <w:bCs/>
                <w:i/>
                <w:iCs/>
                <w:sz w:val="20"/>
                <w:szCs w:val="20"/>
              </w:rPr>
              <w:t>root</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10</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10</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sz w:val="20"/>
                <w:szCs w:val="20"/>
              </w:rPr>
              <w:t xml:space="preserve">Methanol P. </w:t>
            </w:r>
            <w:proofErr w:type="spellStart"/>
            <w:r>
              <w:rPr>
                <w:rFonts w:ascii="Arial" w:eastAsia="Times New Roman" w:hAnsi="Arial" w:cs="Arial"/>
                <w:bCs/>
                <w:i/>
                <w:sz w:val="20"/>
                <w:szCs w:val="20"/>
              </w:rPr>
              <w:t>dodecandra</w:t>
            </w:r>
            <w:proofErr w:type="spellEnd"/>
            <w:r>
              <w:rPr>
                <w:rFonts w:ascii="Arial" w:eastAsia="Times New Roman" w:hAnsi="Arial" w:cs="Arial"/>
                <w:bCs/>
                <w:i/>
                <w:sz w:val="20"/>
                <w:szCs w:val="20"/>
              </w:rPr>
              <w:t xml:space="preserve"> leaf</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1.25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2.5</w:t>
            </w:r>
          </w:p>
        </w:tc>
      </w:tr>
      <w:tr>
        <w:trPr>
          <w:trHeight w:val="20"/>
          <w:jc w:val="center"/>
        </w:trPr>
        <w:tc>
          <w:tcPr>
            <w:tcW w:w="3143" w:type="dxa"/>
          </w:tcPr>
          <w:p>
            <w:pPr>
              <w:contextualSpacing/>
              <w:rPr>
                <w:rFonts w:ascii="Arial" w:eastAsia="Times New Roman" w:hAnsi="Arial" w:cs="Arial"/>
                <w:bCs/>
                <w:sz w:val="20"/>
                <w:szCs w:val="20"/>
              </w:rPr>
            </w:pPr>
            <w:r>
              <w:rPr>
                <w:rFonts w:ascii="Arial" w:eastAsia="Times New Roman" w:hAnsi="Arial" w:cs="Arial"/>
                <w:bCs/>
                <w:i/>
                <w:sz w:val="20"/>
                <w:szCs w:val="20"/>
              </w:rPr>
              <w:t xml:space="preserve">Ethanol P. </w:t>
            </w:r>
            <w:proofErr w:type="spellStart"/>
            <w:r>
              <w:rPr>
                <w:rFonts w:ascii="Arial" w:eastAsia="Times New Roman" w:hAnsi="Arial" w:cs="Arial"/>
                <w:bCs/>
                <w:i/>
                <w:sz w:val="20"/>
                <w:szCs w:val="20"/>
              </w:rPr>
              <w:t>dodecandra</w:t>
            </w:r>
            <w:proofErr w:type="spellEnd"/>
            <w:r>
              <w:rPr>
                <w:rFonts w:ascii="Arial" w:eastAsia="Times New Roman" w:hAnsi="Arial" w:cs="Arial"/>
                <w:bCs/>
                <w:i/>
                <w:sz w:val="20"/>
                <w:szCs w:val="20"/>
              </w:rPr>
              <w:t xml:space="preserve"> leaf</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5.0</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0.625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1.25</w:t>
            </w:r>
          </w:p>
        </w:tc>
      </w:tr>
      <w:tr>
        <w:trPr>
          <w:trHeight w:val="20"/>
          <w:jc w:val="center"/>
        </w:trPr>
        <w:tc>
          <w:tcPr>
            <w:tcW w:w="3143" w:type="dxa"/>
          </w:tcPr>
          <w:p>
            <w:pPr>
              <w:contextualSpacing/>
              <w:rPr>
                <w:rFonts w:ascii="Arial" w:eastAsia="Times New Roman" w:hAnsi="Arial" w:cs="Arial"/>
                <w:bCs/>
                <w:i/>
                <w:sz w:val="20"/>
                <w:szCs w:val="20"/>
              </w:rPr>
            </w:pPr>
            <w:r>
              <w:rPr>
                <w:rFonts w:ascii="Arial" w:eastAsia="Times New Roman" w:hAnsi="Arial" w:cs="Arial"/>
                <w:bCs/>
                <w:i/>
                <w:sz w:val="20"/>
                <w:szCs w:val="20"/>
              </w:rPr>
              <w:t xml:space="preserve">Chloroform P. </w:t>
            </w:r>
            <w:proofErr w:type="spellStart"/>
            <w:r>
              <w:rPr>
                <w:rFonts w:ascii="Arial" w:eastAsia="Times New Roman" w:hAnsi="Arial" w:cs="Arial"/>
                <w:bCs/>
                <w:i/>
                <w:sz w:val="20"/>
                <w:szCs w:val="20"/>
              </w:rPr>
              <w:t>dodecandra</w:t>
            </w:r>
            <w:proofErr w:type="spellEnd"/>
            <w:r>
              <w:rPr>
                <w:rFonts w:ascii="Arial" w:eastAsia="Times New Roman" w:hAnsi="Arial" w:cs="Arial"/>
                <w:bCs/>
                <w:i/>
                <w:sz w:val="20"/>
                <w:szCs w:val="20"/>
              </w:rPr>
              <w:t xml:space="preserve"> leaf</w:t>
            </w:r>
          </w:p>
        </w:tc>
        <w:tc>
          <w:tcPr>
            <w:tcW w:w="1800" w:type="dxa"/>
          </w:tcPr>
          <w:p>
            <w:pPr>
              <w:contextualSpacing/>
              <w:rPr>
                <w:rFonts w:ascii="Arial" w:eastAsia="Times New Roman" w:hAnsi="Arial" w:cs="Arial"/>
                <w:bCs/>
                <w:sz w:val="20"/>
                <w:szCs w:val="20"/>
              </w:rPr>
            </w:pPr>
            <w:r>
              <w:rPr>
                <w:rFonts w:ascii="Arial" w:eastAsia="Times New Roman" w:hAnsi="Arial" w:cs="Arial"/>
                <w:bCs/>
                <w:sz w:val="20"/>
                <w:szCs w:val="20"/>
              </w:rPr>
              <w:t>10</w:t>
            </w:r>
          </w:p>
        </w:tc>
        <w:tc>
          <w:tcPr>
            <w:tcW w:w="1980" w:type="dxa"/>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2091" w:type="dxa"/>
          </w:tcPr>
          <w:p>
            <w:pPr>
              <w:contextualSpacing/>
              <w:rPr>
                <w:rFonts w:ascii="Arial" w:eastAsia="Times New Roman" w:hAnsi="Arial" w:cs="Arial"/>
                <w:bCs/>
                <w:sz w:val="20"/>
                <w:szCs w:val="20"/>
              </w:rPr>
            </w:pPr>
            <w:r>
              <w:rPr>
                <w:rFonts w:ascii="Arial" w:eastAsia="Times New Roman" w:hAnsi="Arial" w:cs="Arial"/>
                <w:bCs/>
                <w:sz w:val="20"/>
                <w:szCs w:val="20"/>
              </w:rPr>
              <w:t>5</w:t>
            </w:r>
          </w:p>
        </w:tc>
      </w:tr>
      <w:tr>
        <w:trPr>
          <w:trHeight w:val="20"/>
          <w:jc w:val="center"/>
        </w:trPr>
        <w:tc>
          <w:tcPr>
            <w:tcW w:w="3143" w:type="dxa"/>
            <w:tcBorders>
              <w:bottom w:val="single" w:sz="4" w:space="0" w:color="auto"/>
            </w:tcBorders>
          </w:tcPr>
          <w:p>
            <w:pPr>
              <w:contextualSpacing/>
              <w:rPr>
                <w:rFonts w:ascii="Arial" w:eastAsia="Times New Roman" w:hAnsi="Arial" w:cs="Arial"/>
                <w:bCs/>
                <w:sz w:val="20"/>
                <w:szCs w:val="20"/>
              </w:rPr>
            </w:pPr>
            <w:r>
              <w:rPr>
                <w:rFonts w:ascii="Arial" w:eastAsia="Times New Roman" w:hAnsi="Arial" w:cs="Arial"/>
                <w:bCs/>
                <w:i/>
                <w:sz w:val="20"/>
                <w:szCs w:val="20"/>
              </w:rPr>
              <w:t xml:space="preserve">Aqueous P. </w:t>
            </w:r>
            <w:proofErr w:type="spellStart"/>
            <w:r>
              <w:rPr>
                <w:rFonts w:ascii="Arial" w:eastAsia="Times New Roman" w:hAnsi="Arial" w:cs="Arial"/>
                <w:bCs/>
                <w:i/>
                <w:sz w:val="20"/>
                <w:szCs w:val="20"/>
              </w:rPr>
              <w:t>dodecandra</w:t>
            </w:r>
            <w:proofErr w:type="spellEnd"/>
            <w:r>
              <w:rPr>
                <w:rFonts w:ascii="Arial" w:eastAsia="Times New Roman" w:hAnsi="Arial" w:cs="Arial"/>
                <w:bCs/>
                <w:i/>
                <w:sz w:val="20"/>
                <w:szCs w:val="20"/>
              </w:rPr>
              <w:t xml:space="preserve"> leaf</w:t>
            </w:r>
          </w:p>
        </w:tc>
        <w:tc>
          <w:tcPr>
            <w:tcW w:w="1800" w:type="dxa"/>
            <w:tcBorders>
              <w:bottom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5</w:t>
            </w:r>
          </w:p>
        </w:tc>
        <w:tc>
          <w:tcPr>
            <w:tcW w:w="1980" w:type="dxa"/>
            <w:tcBorders>
              <w:bottom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10</w:t>
            </w:r>
          </w:p>
        </w:tc>
        <w:tc>
          <w:tcPr>
            <w:tcW w:w="2091" w:type="dxa"/>
            <w:tcBorders>
              <w:bottom w:val="single" w:sz="4" w:space="0" w:color="auto"/>
            </w:tcBorders>
          </w:tcPr>
          <w:p>
            <w:pPr>
              <w:contextualSpacing/>
              <w:rPr>
                <w:rFonts w:ascii="Arial" w:eastAsia="Times New Roman" w:hAnsi="Arial" w:cs="Arial"/>
                <w:bCs/>
                <w:sz w:val="20"/>
                <w:szCs w:val="20"/>
              </w:rPr>
            </w:pPr>
            <w:r>
              <w:rPr>
                <w:rFonts w:ascii="Arial" w:eastAsia="Times New Roman" w:hAnsi="Arial" w:cs="Arial"/>
                <w:bCs/>
                <w:sz w:val="20"/>
                <w:szCs w:val="20"/>
              </w:rPr>
              <w:t>10</w:t>
            </w:r>
          </w:p>
        </w:tc>
      </w:tr>
    </w:tbl>
    <w:p>
      <w:pPr>
        <w:spacing w:after="0" w:line="240" w:lineRule="auto"/>
        <w:contextualSpacing/>
        <w:jc w:val="both"/>
        <w:rPr>
          <w:rFonts w:ascii="Arial" w:eastAsia="Times New Roman" w:hAnsi="Arial" w:cs="Arial"/>
          <w:bCs/>
          <w:sz w:val="20"/>
          <w:szCs w:val="20"/>
        </w:rPr>
      </w:pPr>
    </w:p>
    <w:p>
      <w:pPr>
        <w:pStyle w:val="Heading2"/>
        <w:rPr>
          <w:rFonts w:eastAsia="Times New Roman"/>
        </w:rPr>
        <w:sectPr>
          <w:type w:val="continuous"/>
          <w:pgSz w:w="11909" w:h="16834" w:code="9"/>
          <w:pgMar w:top="1440" w:right="1440" w:bottom="1440" w:left="1440" w:header="720" w:footer="864" w:gutter="0"/>
          <w:pgNumType w:start="36"/>
          <w:cols w:space="720"/>
          <w:docGrid w:linePitch="360"/>
        </w:sectPr>
      </w:pPr>
    </w:p>
    <w:p>
      <w:pPr>
        <w:pStyle w:val="Heading2"/>
        <w:rPr>
          <w:rFonts w:eastAsia="Times New Roman"/>
        </w:rPr>
      </w:pPr>
      <w:r>
        <w:rPr>
          <w:rFonts w:eastAsia="Times New Roman"/>
        </w:rPr>
        <w:t>5. DISCUSSION</w:t>
      </w:r>
      <w:bookmarkEnd w:id="18"/>
    </w:p>
    <w:p>
      <w:pPr>
        <w:spacing w:after="0" w:line="240" w:lineRule="auto"/>
        <w:contextualSpacing/>
        <w:jc w:val="both"/>
        <w:rPr>
          <w:rFonts w:ascii="Arial" w:eastAsia="Times New Roman" w:hAnsi="Arial" w:cs="Arial"/>
          <w:b/>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In this investigation, four different extracts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sz w:val="20"/>
          <w:szCs w:val="20"/>
        </w:rPr>
        <w:t xml:space="preserve"> and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i/>
          <w:sz w:val="20"/>
          <w:szCs w:val="20"/>
        </w:rPr>
        <w:t xml:space="preserve"> </w:t>
      </w:r>
      <w:r>
        <w:rPr>
          <w:rFonts w:ascii="Arial" w:eastAsia="Times New Roman" w:hAnsi="Arial" w:cs="Arial"/>
          <w:bCs/>
          <w:sz w:val="20"/>
          <w:szCs w:val="20"/>
        </w:rPr>
        <w:t xml:space="preserve">yield percentage was calculated. The highest yield was (16.85%) for </w:t>
      </w:r>
      <w:r>
        <w:rPr>
          <w:rFonts w:ascii="Arial" w:eastAsia="Times New Roman" w:hAnsi="Arial" w:cs="Arial"/>
          <w:bCs/>
          <w:i/>
          <w:iCs/>
          <w:sz w:val="20"/>
          <w:szCs w:val="20"/>
        </w:rPr>
        <w:t xml:space="preserve">Ethanol extract </w:t>
      </w:r>
      <w:r>
        <w:rPr>
          <w:rFonts w:ascii="Arial" w:eastAsia="Times New Roman" w:hAnsi="Arial" w:cs="Arial"/>
          <w:bCs/>
          <w:sz w:val="20"/>
          <w:szCs w:val="20"/>
        </w:rPr>
        <w:t>followed by</w:t>
      </w:r>
      <w:r>
        <w:rPr>
          <w:rFonts w:ascii="Arial" w:eastAsia="Times New Roman" w:hAnsi="Arial" w:cs="Arial"/>
          <w:bCs/>
          <w:i/>
          <w:iCs/>
          <w:sz w:val="20"/>
          <w:szCs w:val="20"/>
        </w:rPr>
        <w:t xml:space="preserve"> chloroform extract </w:t>
      </w:r>
      <w:r>
        <w:rPr>
          <w:rFonts w:ascii="Arial" w:eastAsia="Times New Roman" w:hAnsi="Arial" w:cs="Arial"/>
          <w:bCs/>
          <w:sz w:val="20"/>
          <w:szCs w:val="20"/>
        </w:rPr>
        <w:t xml:space="preserve">(13.25%), while the methanol and distilled water extracts were (10.1%) and (10%), respectively for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sz w:val="20"/>
          <w:szCs w:val="20"/>
        </w:rPr>
        <w:t xml:space="preserve">. The yield percentage for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was also as follows; 22.6%, 12.55%, 16.85%, 28.95% for ethanol, methanol, chloroform and distilled water respectively. In this result highest yield was obtained by distilled water and ethanol, while methanol and chloroform extract </w:t>
      </w:r>
      <w:proofErr w:type="gramStart"/>
      <w:r>
        <w:rPr>
          <w:rFonts w:ascii="Arial" w:eastAsia="Times New Roman" w:hAnsi="Arial" w:cs="Arial"/>
          <w:bCs/>
          <w:sz w:val="20"/>
          <w:szCs w:val="20"/>
        </w:rPr>
        <w:t>was</w:t>
      </w:r>
      <w:proofErr w:type="gramEnd"/>
      <w:r>
        <w:rPr>
          <w:rFonts w:ascii="Arial" w:eastAsia="Times New Roman" w:hAnsi="Arial" w:cs="Arial"/>
          <w:bCs/>
          <w:sz w:val="20"/>
          <w:szCs w:val="20"/>
        </w:rPr>
        <w:t xml:space="preserve"> the lowest yield value as compared with each other solvent. In contrary to this study, phytochemical analysis of leaves extract of </w:t>
      </w:r>
      <w:r>
        <w:rPr>
          <w:rFonts w:ascii="Arial" w:eastAsia="Times New Roman" w:hAnsi="Arial" w:cs="Arial"/>
          <w:bCs/>
          <w:i/>
          <w:sz w:val="20"/>
          <w:szCs w:val="20"/>
        </w:rPr>
        <w:t>Eucalyptus Camaldulensis</w:t>
      </w:r>
      <w:r>
        <w:rPr>
          <w:rFonts w:ascii="Arial" w:eastAsia="Times New Roman" w:hAnsi="Arial" w:cs="Arial"/>
          <w:bCs/>
          <w:sz w:val="20"/>
          <w:szCs w:val="20"/>
        </w:rPr>
        <w:t>, chloroform gave the least yield compared to water and ethanol (Mohamed et al</w:t>
      </w:r>
      <w:r>
        <w:rPr>
          <w:rFonts w:ascii="Arial" w:eastAsia="Times New Roman" w:hAnsi="Arial" w:cs="Arial"/>
          <w:bCs/>
          <w:i/>
          <w:sz w:val="20"/>
          <w:szCs w:val="20"/>
        </w:rPr>
        <w:t xml:space="preserve">., </w:t>
      </w:r>
      <w:r>
        <w:rPr>
          <w:rFonts w:ascii="Arial" w:eastAsia="Times New Roman" w:hAnsi="Arial" w:cs="Arial"/>
          <w:bCs/>
          <w:sz w:val="20"/>
          <w:szCs w:val="20"/>
        </w:rPr>
        <w:t>(2015). This may due to the presence of different phytochemical compound in different plant species.</w:t>
      </w:r>
    </w:p>
    <w:p>
      <w:pPr>
        <w:spacing w:after="0" w:line="240" w:lineRule="auto"/>
        <w:contextualSpacing/>
        <w:jc w:val="both"/>
        <w:rPr>
          <w:rFonts w:ascii="Arial" w:eastAsia="Times New Roman" w:hAnsi="Arial" w:cs="Arial"/>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The plant extracts and standard antibiotics showed varied significant activities in all the test strains. Both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sz w:val="20"/>
          <w:szCs w:val="20"/>
        </w:rPr>
        <w:t xml:space="preserve"> and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shows no inhibition zone on </w:t>
      </w:r>
      <w:r>
        <w:rPr>
          <w:rFonts w:ascii="Arial" w:eastAsia="Times New Roman" w:hAnsi="Arial" w:cs="Arial"/>
          <w:bCs/>
          <w:i/>
          <w:sz w:val="20"/>
          <w:szCs w:val="20"/>
        </w:rPr>
        <w:t xml:space="preserve">S. </w:t>
      </w:r>
      <w:proofErr w:type="spellStart"/>
      <w:r>
        <w:rPr>
          <w:rFonts w:ascii="Arial" w:eastAsia="Times New Roman" w:hAnsi="Arial" w:cs="Arial"/>
          <w:bCs/>
          <w:i/>
          <w:sz w:val="20"/>
          <w:szCs w:val="20"/>
        </w:rPr>
        <w:t>auerus</w:t>
      </w:r>
      <w:proofErr w:type="spellEnd"/>
      <w:r>
        <w:rPr>
          <w:rFonts w:ascii="Arial" w:eastAsia="Times New Roman" w:hAnsi="Arial" w:cs="Arial"/>
          <w:bCs/>
          <w:sz w:val="20"/>
          <w:szCs w:val="20"/>
        </w:rPr>
        <w:t xml:space="preserve"> and </w:t>
      </w:r>
      <w:r>
        <w:rPr>
          <w:rFonts w:ascii="Arial" w:eastAsia="Times New Roman" w:hAnsi="Arial" w:cs="Arial"/>
          <w:bCs/>
          <w:i/>
          <w:sz w:val="20"/>
          <w:szCs w:val="20"/>
        </w:rPr>
        <w:t>k. pneumonia</w:t>
      </w:r>
      <w:r>
        <w:rPr>
          <w:rFonts w:ascii="Arial" w:eastAsia="Times New Roman" w:hAnsi="Arial" w:cs="Arial"/>
          <w:bCs/>
          <w:sz w:val="20"/>
          <w:szCs w:val="20"/>
        </w:rPr>
        <w:t xml:space="preserve"> strains. The positive control clarithromycin shows 10.3±2.08mm zone of inhibition on </w:t>
      </w:r>
      <w:r>
        <w:rPr>
          <w:rFonts w:ascii="Arial" w:eastAsia="Times New Roman" w:hAnsi="Arial" w:cs="Arial"/>
          <w:bCs/>
          <w:i/>
          <w:sz w:val="20"/>
          <w:szCs w:val="20"/>
        </w:rPr>
        <w:t xml:space="preserve">S. </w:t>
      </w:r>
      <w:proofErr w:type="spellStart"/>
      <w:r>
        <w:rPr>
          <w:rFonts w:ascii="Arial" w:eastAsia="Times New Roman" w:hAnsi="Arial" w:cs="Arial"/>
          <w:bCs/>
          <w:i/>
          <w:sz w:val="20"/>
          <w:szCs w:val="20"/>
        </w:rPr>
        <w:t>auerus</w:t>
      </w:r>
      <w:proofErr w:type="spellEnd"/>
      <w:r>
        <w:rPr>
          <w:rFonts w:ascii="Arial" w:eastAsia="Times New Roman" w:hAnsi="Arial" w:cs="Arial"/>
          <w:bCs/>
          <w:sz w:val="20"/>
          <w:szCs w:val="20"/>
        </w:rPr>
        <w:t xml:space="preserve"> while </w:t>
      </w:r>
      <w:r>
        <w:rPr>
          <w:rFonts w:ascii="Arial" w:eastAsia="Times New Roman" w:hAnsi="Arial" w:cs="Arial"/>
          <w:bCs/>
          <w:i/>
          <w:sz w:val="20"/>
          <w:szCs w:val="20"/>
        </w:rPr>
        <w:t>K. pneumonia did not</w:t>
      </w:r>
      <w:r>
        <w:rPr>
          <w:rFonts w:ascii="Arial" w:eastAsia="Times New Roman" w:hAnsi="Arial" w:cs="Arial"/>
          <w:bCs/>
          <w:sz w:val="20"/>
          <w:szCs w:val="20"/>
        </w:rPr>
        <w:t>. Similarly (</w:t>
      </w:r>
      <w:proofErr w:type="spellStart"/>
      <w:r>
        <w:rPr>
          <w:rFonts w:ascii="Arial" w:eastAsia="Times New Roman" w:hAnsi="Arial" w:cs="Arial"/>
          <w:bCs/>
          <w:sz w:val="20"/>
          <w:szCs w:val="20"/>
        </w:rPr>
        <w:t>Tegenu</w:t>
      </w:r>
      <w:proofErr w:type="spellEnd"/>
      <w:r>
        <w:rPr>
          <w:rFonts w:ascii="Arial" w:eastAsia="Times New Roman" w:hAnsi="Arial" w:cs="Arial"/>
          <w:bCs/>
          <w:sz w:val="20"/>
          <w:szCs w:val="20"/>
        </w:rPr>
        <w:t xml:space="preserve">, 2011) reported </w:t>
      </w:r>
      <w:r>
        <w:rPr>
          <w:rFonts w:ascii="Arial" w:eastAsia="Times New Roman" w:hAnsi="Arial" w:cs="Arial"/>
          <w:bCs/>
          <w:i/>
          <w:sz w:val="20"/>
          <w:szCs w:val="20"/>
        </w:rPr>
        <w:t>S. typhi</w:t>
      </w:r>
      <w:r>
        <w:rPr>
          <w:rFonts w:ascii="Arial" w:eastAsia="Times New Roman" w:hAnsi="Arial" w:cs="Arial"/>
          <w:bCs/>
          <w:sz w:val="20"/>
          <w:szCs w:val="20"/>
        </w:rPr>
        <w:t xml:space="preserve"> shows no inhibition zone by </w:t>
      </w:r>
      <w:r>
        <w:rPr>
          <w:rFonts w:ascii="Arial" w:eastAsia="Times New Roman" w:hAnsi="Arial" w:cs="Arial"/>
          <w:bCs/>
          <w:i/>
          <w:iCs/>
          <w:sz w:val="20"/>
          <w:szCs w:val="20"/>
        </w:rPr>
        <w:t xml:space="preserve">C. </w:t>
      </w:r>
      <w:proofErr w:type="spellStart"/>
      <w:r>
        <w:rPr>
          <w:rFonts w:ascii="Arial" w:eastAsia="Times New Roman" w:hAnsi="Arial" w:cs="Arial"/>
          <w:bCs/>
          <w:i/>
          <w:iCs/>
          <w:sz w:val="20"/>
          <w:szCs w:val="20"/>
        </w:rPr>
        <w:t>focifolius</w:t>
      </w:r>
      <w:proofErr w:type="spellEnd"/>
      <w:r>
        <w:rPr>
          <w:rFonts w:ascii="Arial" w:eastAsia="Times New Roman" w:hAnsi="Arial" w:cs="Arial"/>
          <w:bCs/>
          <w:i/>
          <w:iCs/>
          <w:sz w:val="20"/>
          <w:szCs w:val="20"/>
        </w:rPr>
        <w:t xml:space="preserve"> and </w:t>
      </w:r>
      <w:r>
        <w:rPr>
          <w:rFonts w:ascii="Arial" w:eastAsia="Times New Roman" w:hAnsi="Arial" w:cs="Arial"/>
          <w:bCs/>
          <w:i/>
          <w:sz w:val="20"/>
          <w:szCs w:val="20"/>
        </w:rPr>
        <w:t xml:space="preserve">Z. </w:t>
      </w:r>
      <w:proofErr w:type="spellStart"/>
      <w:r>
        <w:rPr>
          <w:rFonts w:ascii="Arial" w:eastAsia="Times New Roman" w:hAnsi="Arial" w:cs="Arial"/>
          <w:bCs/>
          <w:i/>
          <w:iCs/>
          <w:sz w:val="20"/>
          <w:szCs w:val="20"/>
        </w:rPr>
        <w:t>scabrausing</w:t>
      </w:r>
      <w:proofErr w:type="spellEnd"/>
      <w:r>
        <w:rPr>
          <w:rFonts w:ascii="Arial" w:eastAsia="Times New Roman" w:hAnsi="Arial" w:cs="Arial"/>
          <w:bCs/>
          <w:iCs/>
          <w:sz w:val="20"/>
          <w:szCs w:val="20"/>
        </w:rPr>
        <w:t xml:space="preserve"> in all solvents used in our study.</w:t>
      </w:r>
      <w:r>
        <w:rPr>
          <w:rFonts w:ascii="Arial" w:eastAsia="Times New Roman" w:hAnsi="Arial" w:cs="Arial"/>
          <w:bCs/>
          <w:sz w:val="20"/>
          <w:szCs w:val="20"/>
        </w:rPr>
        <w:t xml:space="preserve"> </w:t>
      </w:r>
      <w:r>
        <w:rPr>
          <w:rFonts w:ascii="Arial" w:eastAsia="Times New Roman" w:hAnsi="Arial" w:cs="Arial"/>
          <w:bCs/>
          <w:sz w:val="20"/>
          <w:szCs w:val="20"/>
        </w:rPr>
        <w:t>This might be because of the highly antibiotic resistance of those strains, strain evolution, and the plant spectrum might be narrow.</w:t>
      </w:r>
    </w:p>
    <w:p>
      <w:pPr>
        <w:spacing w:after="0" w:line="240" w:lineRule="auto"/>
        <w:contextualSpacing/>
        <w:jc w:val="both"/>
        <w:rPr>
          <w:rFonts w:ascii="Arial" w:eastAsia="Times New Roman" w:hAnsi="Arial" w:cs="Arial"/>
          <w:bCs/>
          <w:sz w:val="20"/>
          <w:szCs w:val="20"/>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 xml:space="preserve">In this study, there is highly </w:t>
      </w:r>
      <w:proofErr w:type="gramStart"/>
      <w:r>
        <w:rPr>
          <w:rFonts w:ascii="Arial" w:eastAsia="Times New Roman" w:hAnsi="Arial" w:cs="Arial"/>
          <w:bCs/>
          <w:sz w:val="20"/>
          <w:szCs w:val="20"/>
        </w:rPr>
        <w:t>statistical</w:t>
      </w:r>
      <w:proofErr w:type="gramEnd"/>
      <w:r>
        <w:rPr>
          <w:rFonts w:ascii="Arial" w:eastAsia="Times New Roman" w:hAnsi="Arial" w:cs="Arial"/>
          <w:bCs/>
          <w:sz w:val="20"/>
          <w:szCs w:val="20"/>
        </w:rPr>
        <w:t xml:space="preserve"> significant antibacterial effect against </w:t>
      </w:r>
      <w:r>
        <w:rPr>
          <w:rFonts w:ascii="Arial" w:eastAsia="Times New Roman" w:hAnsi="Arial" w:cs="Arial"/>
          <w:bCs/>
          <w:i/>
          <w:sz w:val="20"/>
          <w:szCs w:val="20"/>
        </w:rPr>
        <w:t xml:space="preserve">N. gonorrhea </w:t>
      </w:r>
      <w:r>
        <w:rPr>
          <w:rFonts w:ascii="Arial" w:eastAsia="Times New Roman" w:hAnsi="Arial" w:cs="Arial"/>
          <w:bCs/>
          <w:sz w:val="20"/>
          <w:szCs w:val="20"/>
        </w:rPr>
        <w:t xml:space="preserve">(16.6±3.05) for ethanol root extract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sz w:val="20"/>
          <w:szCs w:val="20"/>
        </w:rPr>
        <w:t xml:space="preserve"> followed by methanol root extract with an inhibition zone of (15±2.64). The extract also shows (13.3±1.25mm, 14±1.05mm by chloroform and distilled water root extract respectively. No inhibition zone was observed for negative control (DMSO). The highest inhibition zone was observed for ethanol and the least inhibition zone was for chloroform by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sz w:val="20"/>
          <w:szCs w:val="20"/>
        </w:rPr>
        <w:t xml:space="preserve"> root extract. For the second plant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methanol shows highest zone of inhibition (9.6±2.08) mm and all the rest ethanol, chloroform and distilled water shows (8.6±1.52) mm, (8.6±2.88) mm (8.6±1.15) mm zone of inhibition on </w:t>
      </w:r>
      <w:proofErr w:type="gramStart"/>
      <w:r>
        <w:rPr>
          <w:rFonts w:ascii="Arial" w:eastAsia="Times New Roman" w:hAnsi="Arial" w:cs="Arial"/>
          <w:bCs/>
          <w:i/>
          <w:sz w:val="20"/>
          <w:szCs w:val="20"/>
        </w:rPr>
        <w:t>N .gonorrhea</w:t>
      </w:r>
      <w:proofErr w:type="gramEnd"/>
      <w:r>
        <w:rPr>
          <w:rFonts w:ascii="Arial" w:eastAsia="Times New Roman" w:hAnsi="Arial" w:cs="Arial"/>
          <w:bCs/>
          <w:i/>
          <w:sz w:val="20"/>
          <w:szCs w:val="20"/>
        </w:rPr>
        <w:t xml:space="preserve"> </w:t>
      </w:r>
      <w:r>
        <w:rPr>
          <w:rFonts w:ascii="Arial" w:eastAsia="Times New Roman" w:hAnsi="Arial" w:cs="Arial"/>
          <w:bCs/>
          <w:sz w:val="20"/>
          <w:szCs w:val="20"/>
        </w:rPr>
        <w:t>respectively. Both negative control (DMSO) and positive standard antibiotic (</w:t>
      </w:r>
      <w:r>
        <w:rPr>
          <w:rFonts w:ascii="Arial" w:eastAsia="Times New Roman" w:hAnsi="Arial" w:cs="Arial"/>
          <w:bCs/>
          <w:i/>
          <w:sz w:val="20"/>
          <w:szCs w:val="20"/>
        </w:rPr>
        <w:t>Cefepime</w:t>
      </w:r>
      <w:r>
        <w:rPr>
          <w:rFonts w:ascii="Arial" w:eastAsia="Times New Roman" w:hAnsi="Arial" w:cs="Arial"/>
          <w:bCs/>
          <w:sz w:val="20"/>
          <w:szCs w:val="20"/>
        </w:rPr>
        <w:t xml:space="preserve">) did not show any antibacterial activity. In line with this study more antibacterial activity against </w:t>
      </w:r>
      <w:r>
        <w:rPr>
          <w:rFonts w:ascii="Arial" w:eastAsia="Times New Roman" w:hAnsi="Arial" w:cs="Arial"/>
          <w:bCs/>
          <w:i/>
          <w:iCs/>
          <w:sz w:val="20"/>
          <w:szCs w:val="20"/>
        </w:rPr>
        <w:t>Staphylococcus aureus</w:t>
      </w:r>
      <w:r>
        <w:rPr>
          <w:rFonts w:ascii="Arial" w:eastAsia="Times New Roman" w:hAnsi="Arial" w:cs="Arial"/>
          <w:bCs/>
          <w:sz w:val="20"/>
          <w:szCs w:val="20"/>
        </w:rPr>
        <w:t xml:space="preserve"> (20.10±0.17mm) and </w:t>
      </w:r>
      <w:r>
        <w:rPr>
          <w:rFonts w:ascii="Arial" w:eastAsia="Times New Roman" w:hAnsi="Arial" w:cs="Arial"/>
          <w:bCs/>
          <w:i/>
          <w:iCs/>
          <w:sz w:val="20"/>
          <w:szCs w:val="20"/>
        </w:rPr>
        <w:t>Candida abacas</w:t>
      </w:r>
      <w:r>
        <w:rPr>
          <w:rFonts w:ascii="Arial" w:eastAsia="Times New Roman" w:hAnsi="Arial" w:cs="Arial"/>
          <w:bCs/>
          <w:sz w:val="20"/>
          <w:szCs w:val="20"/>
        </w:rPr>
        <w:t xml:space="preserve"> (4.20±0.40 mm) for ethanol and methanol extract of </w:t>
      </w:r>
      <w:r>
        <w:rPr>
          <w:rFonts w:ascii="Arial" w:eastAsia="Times New Roman" w:hAnsi="Arial" w:cs="Arial"/>
          <w:bCs/>
          <w:i/>
          <w:iCs/>
          <w:sz w:val="20"/>
          <w:szCs w:val="20"/>
        </w:rPr>
        <w:t xml:space="preserve">W. </w:t>
      </w:r>
      <w:proofErr w:type="spellStart"/>
      <w:r>
        <w:rPr>
          <w:rFonts w:ascii="Arial" w:eastAsia="Times New Roman" w:hAnsi="Arial" w:cs="Arial"/>
          <w:bCs/>
          <w:i/>
          <w:iCs/>
          <w:sz w:val="20"/>
          <w:szCs w:val="20"/>
        </w:rPr>
        <w:t>somnifera</w:t>
      </w:r>
      <w:proofErr w:type="spellEnd"/>
      <w:r>
        <w:rPr>
          <w:rFonts w:ascii="Arial" w:eastAsia="Times New Roman" w:hAnsi="Arial" w:cs="Arial"/>
          <w:bCs/>
          <w:sz w:val="20"/>
          <w:szCs w:val="20"/>
        </w:rPr>
        <w:t xml:space="preserve"> respectively were observed (Amit et al., 2015). </w:t>
      </w:r>
    </w:p>
    <w:p>
      <w:pPr>
        <w:spacing w:after="0" w:line="240" w:lineRule="auto"/>
        <w:contextualSpacing/>
        <w:jc w:val="both"/>
        <w:rPr>
          <w:rFonts w:ascii="Arial" w:eastAsia="Times New Roman" w:hAnsi="Arial" w:cs="Arial"/>
          <w:bCs/>
          <w:sz w:val="20"/>
          <w:szCs w:val="20"/>
        </w:rPr>
      </w:pPr>
    </w:p>
    <w:p>
      <w:pPr>
        <w:pStyle w:val="Heading2"/>
        <w:rPr>
          <w:rFonts w:eastAsia="Times New Roman"/>
        </w:rPr>
      </w:pPr>
      <w:bookmarkStart w:id="19" w:name="_Toc485358848"/>
      <w:r>
        <w:rPr>
          <w:rFonts w:eastAsia="Times New Roman"/>
        </w:rPr>
        <w:t>6. CONCLUSION</w:t>
      </w:r>
      <w:bookmarkEnd w:id="19"/>
    </w:p>
    <w:p>
      <w:pPr>
        <w:spacing w:after="0" w:line="240" w:lineRule="auto"/>
        <w:contextualSpacing/>
        <w:jc w:val="both"/>
        <w:rPr>
          <w:rFonts w:ascii="Arial" w:eastAsia="Times New Roman" w:hAnsi="Arial" w:cs="Arial"/>
          <w:b/>
          <w:bCs/>
          <w:sz w:val="20"/>
          <w:szCs w:val="20"/>
        </w:rPr>
      </w:pPr>
    </w:p>
    <w:p>
      <w:pPr>
        <w:spacing w:after="0" w:line="240" w:lineRule="auto"/>
        <w:contextualSpacing/>
        <w:jc w:val="both"/>
        <w:rPr>
          <w:rFonts w:ascii="Arial" w:eastAsia="Times New Roman" w:hAnsi="Arial" w:cs="Arial"/>
          <w:bCs/>
          <w:i/>
          <w:sz w:val="20"/>
          <w:szCs w:val="20"/>
        </w:rPr>
      </w:pPr>
      <w:r>
        <w:rPr>
          <w:rFonts w:ascii="Arial" w:eastAsia="Times New Roman" w:hAnsi="Arial" w:cs="Arial"/>
          <w:bCs/>
          <w:sz w:val="20"/>
          <w:szCs w:val="20"/>
        </w:rPr>
        <w:t xml:space="preserve">The result of this study shows that the plants have different phytochemical compounds which </w:t>
      </w:r>
      <w:r>
        <w:rPr>
          <w:rFonts w:ascii="Arial" w:eastAsia="Times New Roman" w:hAnsi="Arial" w:cs="Arial"/>
          <w:bCs/>
          <w:sz w:val="20"/>
          <w:szCs w:val="20"/>
        </w:rPr>
        <w:lastRenderedPageBreak/>
        <w:t xml:space="preserve">are polar and non-polar. Thus, the root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sz w:val="20"/>
          <w:szCs w:val="20"/>
        </w:rPr>
        <w:t xml:space="preserve"> and leaf of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extracts have a great potential of antibacterial activity against </w:t>
      </w:r>
      <w:r>
        <w:rPr>
          <w:rFonts w:ascii="Arial" w:eastAsia="Times New Roman" w:hAnsi="Arial" w:cs="Arial"/>
          <w:bCs/>
          <w:i/>
          <w:sz w:val="20"/>
          <w:szCs w:val="20"/>
        </w:rPr>
        <w:t>Neisseria Gonorrhea</w:t>
      </w:r>
      <w:r>
        <w:rPr>
          <w:rFonts w:ascii="Arial" w:eastAsia="Times New Roman" w:hAnsi="Arial" w:cs="Arial"/>
          <w:bCs/>
          <w:sz w:val="20"/>
          <w:szCs w:val="20"/>
        </w:rPr>
        <w:t xml:space="preserve"> strain with the extract of ethanol, methanol, chloroform and water.  As per the investigation of this study, the </w:t>
      </w:r>
      <w:r>
        <w:rPr>
          <w:rFonts w:ascii="Arial" w:eastAsia="Times New Roman" w:hAnsi="Arial" w:cs="Arial"/>
          <w:bCs/>
          <w:i/>
          <w:sz w:val="20"/>
          <w:szCs w:val="20"/>
        </w:rPr>
        <w:t>staphylococcus Aureus</w:t>
      </w:r>
      <w:r>
        <w:rPr>
          <w:rFonts w:ascii="Arial" w:eastAsia="Times New Roman" w:hAnsi="Arial" w:cs="Arial"/>
          <w:bCs/>
          <w:sz w:val="20"/>
          <w:szCs w:val="20"/>
        </w:rPr>
        <w:t xml:space="preserve"> and </w:t>
      </w:r>
      <w:r>
        <w:rPr>
          <w:rFonts w:ascii="Arial" w:eastAsia="Times New Roman" w:hAnsi="Arial" w:cs="Arial"/>
          <w:bCs/>
          <w:i/>
          <w:sz w:val="20"/>
          <w:szCs w:val="20"/>
        </w:rPr>
        <w:t>klebsiella pneumonia</w:t>
      </w:r>
      <w:r>
        <w:rPr>
          <w:rFonts w:ascii="Arial" w:eastAsia="Times New Roman" w:hAnsi="Arial" w:cs="Arial"/>
          <w:bCs/>
          <w:sz w:val="20"/>
          <w:szCs w:val="20"/>
        </w:rPr>
        <w:t xml:space="preserve"> are resistant bacteria against root of </w:t>
      </w:r>
      <w:r>
        <w:rPr>
          <w:rFonts w:ascii="Arial" w:eastAsia="Times New Roman" w:hAnsi="Arial" w:cs="Arial"/>
          <w:bCs/>
          <w:i/>
          <w:sz w:val="20"/>
          <w:szCs w:val="20"/>
        </w:rPr>
        <w:t xml:space="preserve">Cucumis </w:t>
      </w:r>
      <w:proofErr w:type="spellStart"/>
      <w:r>
        <w:rPr>
          <w:rFonts w:ascii="Arial" w:eastAsia="Times New Roman" w:hAnsi="Arial" w:cs="Arial"/>
          <w:bCs/>
          <w:i/>
          <w:sz w:val="20"/>
          <w:szCs w:val="20"/>
        </w:rPr>
        <w:t>focifolius</w:t>
      </w:r>
      <w:proofErr w:type="spellEnd"/>
      <w:r>
        <w:rPr>
          <w:rFonts w:ascii="Arial" w:eastAsia="Times New Roman" w:hAnsi="Arial" w:cs="Arial"/>
          <w:bCs/>
          <w:sz w:val="20"/>
          <w:szCs w:val="20"/>
        </w:rPr>
        <w:t xml:space="preserve"> and leaf of </w:t>
      </w:r>
      <w:proofErr w:type="spellStart"/>
      <w:r>
        <w:rPr>
          <w:rFonts w:ascii="Arial" w:eastAsia="Times New Roman" w:hAnsi="Arial" w:cs="Arial"/>
          <w:bCs/>
          <w:i/>
          <w:sz w:val="20"/>
          <w:szCs w:val="20"/>
        </w:rPr>
        <w:t>Phytolacca</w:t>
      </w:r>
      <w:proofErr w:type="spellEnd"/>
      <w:r>
        <w:rPr>
          <w:rFonts w:ascii="Arial" w:eastAsia="Times New Roman" w:hAnsi="Arial" w:cs="Arial"/>
          <w:bCs/>
          <w:i/>
          <w:sz w:val="20"/>
          <w:szCs w:val="20"/>
        </w:rPr>
        <w:t xml:space="preserve"> </w:t>
      </w:r>
      <w:proofErr w:type="spellStart"/>
      <w:r>
        <w:rPr>
          <w:rFonts w:ascii="Arial" w:eastAsia="Times New Roman" w:hAnsi="Arial" w:cs="Arial"/>
          <w:bCs/>
          <w:i/>
          <w:sz w:val="20"/>
          <w:szCs w:val="20"/>
        </w:rPr>
        <w:t>dodecandra</w:t>
      </w:r>
      <w:proofErr w:type="spellEnd"/>
      <w:r>
        <w:rPr>
          <w:rFonts w:ascii="Arial" w:eastAsia="Times New Roman" w:hAnsi="Arial" w:cs="Arial"/>
          <w:bCs/>
          <w:sz w:val="20"/>
          <w:szCs w:val="20"/>
        </w:rPr>
        <w:t xml:space="preserve"> with all ethanol, methanol, chloroform and water extracts and even resistant to the standard antibiotic </w:t>
      </w:r>
      <w:r>
        <w:rPr>
          <w:rFonts w:ascii="Arial" w:eastAsia="Times New Roman" w:hAnsi="Arial" w:cs="Arial"/>
          <w:bCs/>
          <w:i/>
          <w:sz w:val="20"/>
          <w:szCs w:val="20"/>
        </w:rPr>
        <w:t>clarithromycin</w:t>
      </w:r>
      <w:r>
        <w:rPr>
          <w:rFonts w:ascii="Arial" w:eastAsia="Times New Roman" w:hAnsi="Arial" w:cs="Arial"/>
          <w:bCs/>
          <w:sz w:val="20"/>
          <w:szCs w:val="20"/>
        </w:rPr>
        <w:t xml:space="preserve"> except </w:t>
      </w:r>
      <w:r>
        <w:rPr>
          <w:rFonts w:ascii="Arial" w:eastAsia="Times New Roman" w:hAnsi="Arial" w:cs="Arial"/>
          <w:bCs/>
          <w:i/>
          <w:sz w:val="20"/>
          <w:szCs w:val="20"/>
        </w:rPr>
        <w:t xml:space="preserve">S. </w:t>
      </w:r>
      <w:proofErr w:type="spellStart"/>
      <w:r>
        <w:rPr>
          <w:rFonts w:ascii="Arial" w:eastAsia="Times New Roman" w:hAnsi="Arial" w:cs="Arial"/>
          <w:bCs/>
          <w:i/>
          <w:sz w:val="20"/>
          <w:szCs w:val="20"/>
        </w:rPr>
        <w:t>aeurus</w:t>
      </w:r>
      <w:proofErr w:type="spellEnd"/>
      <w:r>
        <w:rPr>
          <w:rFonts w:ascii="Arial" w:eastAsia="Times New Roman" w:hAnsi="Arial" w:cs="Arial"/>
          <w:bCs/>
          <w:i/>
          <w:sz w:val="20"/>
          <w:szCs w:val="20"/>
        </w:rPr>
        <w:t xml:space="preserve">. </w:t>
      </w:r>
    </w:p>
    <w:p>
      <w:pPr>
        <w:spacing w:after="0" w:line="240" w:lineRule="auto"/>
        <w:contextualSpacing/>
        <w:jc w:val="both"/>
        <w:rPr>
          <w:rFonts w:ascii="Arial" w:eastAsia="Times New Roman" w:hAnsi="Arial" w:cs="Arial"/>
          <w:bCs/>
          <w:sz w:val="16"/>
          <w:szCs w:val="16"/>
        </w:rPr>
      </w:pPr>
    </w:p>
    <w:p>
      <w:pPr>
        <w:pStyle w:val="Heading2"/>
        <w:rPr>
          <w:rFonts w:eastAsia="Times New Roman"/>
        </w:rPr>
      </w:pPr>
      <w:bookmarkStart w:id="20" w:name="_Toc485358849"/>
      <w:r>
        <w:rPr>
          <w:rFonts w:eastAsia="Times New Roman"/>
        </w:rPr>
        <w:t>7. RECOMMENDATION</w:t>
      </w:r>
      <w:bookmarkEnd w:id="20"/>
    </w:p>
    <w:p>
      <w:pPr>
        <w:spacing w:after="0" w:line="240" w:lineRule="auto"/>
        <w:contextualSpacing/>
        <w:jc w:val="both"/>
        <w:rPr>
          <w:rFonts w:ascii="Arial" w:eastAsia="Times New Roman" w:hAnsi="Arial" w:cs="Arial"/>
          <w:b/>
          <w:bCs/>
          <w:sz w:val="16"/>
          <w:szCs w:val="16"/>
        </w:rPr>
      </w:pPr>
    </w:p>
    <w:p>
      <w:pPr>
        <w:spacing w:after="0" w:line="240" w:lineRule="auto"/>
        <w:contextualSpacing/>
        <w:jc w:val="both"/>
        <w:rPr>
          <w:rFonts w:ascii="Arial" w:eastAsia="Times New Roman" w:hAnsi="Arial" w:cs="Arial"/>
          <w:bCs/>
          <w:sz w:val="20"/>
          <w:szCs w:val="20"/>
        </w:rPr>
      </w:pPr>
      <w:r>
        <w:rPr>
          <w:rFonts w:ascii="Arial" w:eastAsia="Times New Roman" w:hAnsi="Arial" w:cs="Arial"/>
          <w:bCs/>
          <w:sz w:val="20"/>
          <w:szCs w:val="20"/>
        </w:rPr>
        <w:t>The following recommendations were forwarded;</w:t>
      </w:r>
    </w:p>
    <w:p>
      <w:pPr>
        <w:spacing w:after="0" w:line="240" w:lineRule="auto"/>
        <w:contextualSpacing/>
        <w:jc w:val="both"/>
        <w:rPr>
          <w:rFonts w:ascii="Arial" w:eastAsia="Times New Roman" w:hAnsi="Arial" w:cs="Arial"/>
          <w:bCs/>
          <w:sz w:val="16"/>
          <w:szCs w:val="16"/>
        </w:rPr>
      </w:pPr>
    </w:p>
    <w:p>
      <w:pPr>
        <w:numPr>
          <w:ilvl w:val="0"/>
          <w:numId w:val="3"/>
        </w:numPr>
        <w:spacing w:after="0" w:line="240" w:lineRule="auto"/>
        <w:ind w:left="540"/>
        <w:contextualSpacing/>
        <w:jc w:val="both"/>
        <w:rPr>
          <w:rFonts w:ascii="Arial" w:eastAsia="Times New Roman" w:hAnsi="Arial" w:cs="Arial"/>
          <w:b/>
          <w:bCs/>
          <w:sz w:val="20"/>
          <w:szCs w:val="20"/>
        </w:rPr>
      </w:pPr>
      <w:r>
        <w:rPr>
          <w:rFonts w:ascii="Arial" w:eastAsia="Times New Roman" w:hAnsi="Arial" w:cs="Arial"/>
          <w:bCs/>
          <w:sz w:val="20"/>
          <w:szCs w:val="20"/>
        </w:rPr>
        <w:t xml:space="preserve">Further phytochemical screening, purification and elucidation of the active compounds in order to provide novel compounds for the synthesis of new antimicrobial drugs. </w:t>
      </w:r>
    </w:p>
    <w:p>
      <w:pPr>
        <w:numPr>
          <w:ilvl w:val="0"/>
          <w:numId w:val="3"/>
        </w:numPr>
        <w:spacing w:after="0" w:line="240" w:lineRule="auto"/>
        <w:ind w:left="540"/>
        <w:contextualSpacing/>
        <w:jc w:val="both"/>
        <w:rPr>
          <w:rFonts w:ascii="Arial" w:eastAsia="Times New Roman" w:hAnsi="Arial" w:cs="Arial"/>
          <w:b/>
          <w:bCs/>
          <w:sz w:val="20"/>
          <w:szCs w:val="20"/>
        </w:rPr>
      </w:pPr>
      <w:r>
        <w:rPr>
          <w:rFonts w:ascii="Arial" w:eastAsia="Times New Roman" w:hAnsi="Arial" w:cs="Arial"/>
          <w:bCs/>
          <w:sz w:val="20"/>
          <w:szCs w:val="20"/>
        </w:rPr>
        <w:t>Antimicrobial activities against other bacteria to be conducted in order to identify the spectrum activity of the plant extracts.</w:t>
      </w:r>
    </w:p>
    <w:p>
      <w:pPr>
        <w:numPr>
          <w:ilvl w:val="0"/>
          <w:numId w:val="3"/>
        </w:numPr>
        <w:spacing w:after="0" w:line="240" w:lineRule="auto"/>
        <w:ind w:left="540"/>
        <w:contextualSpacing/>
        <w:jc w:val="both"/>
        <w:rPr>
          <w:rFonts w:ascii="Arial" w:eastAsia="Times New Roman" w:hAnsi="Arial" w:cs="Arial"/>
          <w:b/>
          <w:bCs/>
          <w:sz w:val="20"/>
          <w:szCs w:val="20"/>
        </w:rPr>
      </w:pPr>
      <w:r>
        <w:rPr>
          <w:rFonts w:ascii="Arial" w:eastAsia="Times New Roman" w:hAnsi="Arial" w:cs="Arial"/>
          <w:bCs/>
          <w:sz w:val="20"/>
          <w:szCs w:val="20"/>
        </w:rPr>
        <w:t>Toxicity and mechanism of action of the plant extracts should be investigated.</w:t>
      </w:r>
    </w:p>
    <w:p>
      <w:pPr>
        <w:spacing w:after="0" w:line="240" w:lineRule="auto"/>
        <w:contextualSpacing/>
        <w:jc w:val="both"/>
        <w:rPr>
          <w:rFonts w:ascii="Arial" w:eastAsia="Times New Roman" w:hAnsi="Arial" w:cs="Arial"/>
          <w:bCs/>
          <w:sz w:val="16"/>
          <w:szCs w:val="16"/>
        </w:rPr>
      </w:pPr>
    </w:p>
    <w:p>
      <w:pPr>
        <w:pStyle w:val="Heading2"/>
      </w:pPr>
      <w:r>
        <w:t>COMPETING INTERESTS</w:t>
      </w:r>
    </w:p>
    <w:p>
      <w:pPr>
        <w:pStyle w:val="ReferHead"/>
        <w:spacing w:after="0"/>
        <w:jc w:val="both"/>
        <w:rPr>
          <w:rFonts w:ascii="Arial" w:hAnsi="Arial" w:cs="Arial"/>
          <w:sz w:val="16"/>
          <w:szCs w:val="16"/>
        </w:rPr>
      </w:pPr>
    </w:p>
    <w:p>
      <w:pPr>
        <w:spacing w:after="0" w:line="240" w:lineRule="auto"/>
        <w:contextualSpacing/>
        <w:jc w:val="both"/>
        <w:rPr>
          <w:rFonts w:ascii="Arial" w:eastAsia="Times New Roman" w:hAnsi="Arial" w:cs="Arial"/>
          <w:b/>
          <w:bCs/>
          <w:sz w:val="20"/>
          <w:szCs w:val="20"/>
        </w:rPr>
      </w:pPr>
      <w:r>
        <w:rPr>
          <w:rFonts w:ascii="Arial" w:hAnsi="Arial" w:cs="Arial"/>
          <w:sz w:val="20"/>
        </w:rPr>
        <w:t>Authors have declared that no competing interests exist.</w:t>
      </w:r>
    </w:p>
    <w:p>
      <w:pPr>
        <w:spacing w:after="0" w:line="240" w:lineRule="auto"/>
        <w:contextualSpacing/>
        <w:jc w:val="both"/>
        <w:rPr>
          <w:rFonts w:ascii="Arial" w:eastAsia="Times New Roman" w:hAnsi="Arial" w:cs="Arial"/>
          <w:b/>
          <w:bCs/>
          <w:sz w:val="16"/>
          <w:szCs w:val="16"/>
        </w:rPr>
      </w:pPr>
    </w:p>
    <w:p>
      <w:pPr>
        <w:pStyle w:val="Heading2"/>
      </w:pPr>
      <w:bookmarkStart w:id="21" w:name="_Toc485358850"/>
      <w:r>
        <w:t>REFERENCES</w:t>
      </w:r>
      <w:bookmarkEnd w:id="21"/>
    </w:p>
    <w:p>
      <w:pPr>
        <w:spacing w:after="0" w:line="240" w:lineRule="auto"/>
        <w:contextualSpacing/>
        <w:jc w:val="both"/>
        <w:rPr>
          <w:rFonts w:ascii="Arial" w:eastAsia="Times New Roman" w:hAnsi="Arial" w:cs="Arial"/>
          <w:b/>
          <w:bCs/>
          <w:sz w:val="16"/>
          <w:szCs w:val="16"/>
        </w:rPr>
      </w:pPr>
    </w:p>
    <w:p>
      <w:pPr>
        <w:numPr>
          <w:ilvl w:val="0"/>
          <w:numId w:val="5"/>
        </w:numPr>
        <w:spacing w:after="0" w:line="240" w:lineRule="auto"/>
        <w:ind w:left="540" w:hanging="540"/>
        <w:jc w:val="both"/>
        <w:rPr>
          <w:rFonts w:ascii="Arial" w:hAnsi="Arial" w:cs="Arial"/>
          <w:sz w:val="20"/>
          <w:szCs w:val="20"/>
        </w:rPr>
      </w:pPr>
      <w:proofErr w:type="spellStart"/>
      <w:r>
        <w:rPr>
          <w:rFonts w:ascii="Arial" w:hAnsi="Arial" w:cs="Arial"/>
          <w:sz w:val="20"/>
          <w:szCs w:val="20"/>
        </w:rPr>
        <w:t>Ndip</w:t>
      </w:r>
      <w:proofErr w:type="spellEnd"/>
      <w:r>
        <w:rPr>
          <w:rFonts w:ascii="Arial" w:hAnsi="Arial" w:cs="Arial"/>
          <w:sz w:val="20"/>
          <w:szCs w:val="20"/>
        </w:rPr>
        <w:t xml:space="preserve"> RN, </w:t>
      </w:r>
      <w:proofErr w:type="spellStart"/>
      <w:r>
        <w:rPr>
          <w:rFonts w:ascii="Arial" w:hAnsi="Arial" w:cs="Arial"/>
          <w:sz w:val="20"/>
          <w:szCs w:val="20"/>
        </w:rPr>
        <w:t>Ajonglefac</w:t>
      </w:r>
      <w:proofErr w:type="spellEnd"/>
      <w:r>
        <w:rPr>
          <w:rFonts w:ascii="Arial" w:hAnsi="Arial" w:cs="Arial"/>
          <w:sz w:val="20"/>
          <w:szCs w:val="20"/>
        </w:rPr>
        <w:t xml:space="preserve"> AN, </w:t>
      </w:r>
      <w:proofErr w:type="spellStart"/>
      <w:r>
        <w:rPr>
          <w:rFonts w:ascii="Arial" w:hAnsi="Arial" w:cs="Arial"/>
          <w:sz w:val="20"/>
          <w:szCs w:val="20"/>
        </w:rPr>
        <w:t>Mbullah</w:t>
      </w:r>
      <w:proofErr w:type="spellEnd"/>
      <w:r>
        <w:rPr>
          <w:rFonts w:ascii="Arial" w:hAnsi="Arial" w:cs="Arial"/>
          <w:sz w:val="20"/>
          <w:szCs w:val="20"/>
        </w:rPr>
        <w:t xml:space="preserve"> SM, </w:t>
      </w:r>
      <w:proofErr w:type="spellStart"/>
      <w:r>
        <w:rPr>
          <w:rFonts w:ascii="Arial" w:hAnsi="Arial" w:cs="Arial"/>
          <w:sz w:val="20"/>
          <w:szCs w:val="20"/>
        </w:rPr>
        <w:t>Tani</w:t>
      </w:r>
      <w:proofErr w:type="spellEnd"/>
      <w:r>
        <w:rPr>
          <w:rFonts w:ascii="Arial" w:hAnsi="Arial" w:cs="Arial"/>
          <w:sz w:val="20"/>
          <w:szCs w:val="20"/>
        </w:rPr>
        <w:t xml:space="preserve"> NF, </w:t>
      </w:r>
      <w:proofErr w:type="spellStart"/>
      <w:r>
        <w:rPr>
          <w:rFonts w:ascii="Arial" w:hAnsi="Arial" w:cs="Arial"/>
          <w:sz w:val="20"/>
          <w:szCs w:val="20"/>
        </w:rPr>
        <w:t>Akoachere</w:t>
      </w:r>
      <w:proofErr w:type="spellEnd"/>
      <w:r>
        <w:rPr>
          <w:rFonts w:ascii="Arial" w:hAnsi="Arial" w:cs="Arial"/>
          <w:sz w:val="20"/>
          <w:szCs w:val="20"/>
        </w:rPr>
        <w:t xml:space="preserve"> JFK, </w:t>
      </w:r>
      <w:proofErr w:type="spellStart"/>
      <w:r>
        <w:rPr>
          <w:rFonts w:ascii="Arial" w:hAnsi="Arial" w:cs="Arial"/>
          <w:sz w:val="20"/>
          <w:szCs w:val="20"/>
        </w:rPr>
        <w:t>Ndip</w:t>
      </w:r>
      <w:proofErr w:type="spellEnd"/>
      <w:r>
        <w:rPr>
          <w:rFonts w:ascii="Arial" w:hAnsi="Arial" w:cs="Arial"/>
          <w:sz w:val="20"/>
          <w:szCs w:val="20"/>
        </w:rPr>
        <w:t xml:space="preserve"> LM, </w:t>
      </w:r>
      <w:proofErr w:type="spellStart"/>
      <w:r>
        <w:rPr>
          <w:rFonts w:ascii="Arial" w:hAnsi="Arial" w:cs="Arial"/>
          <w:sz w:val="20"/>
          <w:szCs w:val="20"/>
        </w:rPr>
        <w:t>Luma</w:t>
      </w:r>
      <w:proofErr w:type="spellEnd"/>
      <w:r>
        <w:rPr>
          <w:rFonts w:ascii="Arial" w:hAnsi="Arial" w:cs="Arial"/>
          <w:sz w:val="20"/>
          <w:szCs w:val="20"/>
        </w:rPr>
        <w:t xml:space="preserve"> H N, </w:t>
      </w:r>
      <w:proofErr w:type="spellStart"/>
      <w:r>
        <w:rPr>
          <w:rFonts w:ascii="Arial" w:hAnsi="Arial" w:cs="Arial"/>
          <w:sz w:val="20"/>
          <w:szCs w:val="20"/>
        </w:rPr>
        <w:t>Wirmum</w:t>
      </w:r>
      <w:proofErr w:type="spellEnd"/>
      <w:r>
        <w:rPr>
          <w:rFonts w:ascii="Arial" w:hAnsi="Arial" w:cs="Arial"/>
          <w:sz w:val="20"/>
          <w:szCs w:val="20"/>
        </w:rPr>
        <w:t xml:space="preserve"> C, </w:t>
      </w:r>
      <w:proofErr w:type="spellStart"/>
      <w:r>
        <w:rPr>
          <w:rFonts w:ascii="Arial" w:hAnsi="Arial" w:cs="Arial"/>
          <w:sz w:val="20"/>
          <w:szCs w:val="20"/>
        </w:rPr>
        <w:t>Ngwa</w:t>
      </w:r>
      <w:proofErr w:type="spellEnd"/>
      <w:r>
        <w:rPr>
          <w:rFonts w:ascii="Arial" w:hAnsi="Arial" w:cs="Arial"/>
          <w:sz w:val="20"/>
          <w:szCs w:val="20"/>
        </w:rPr>
        <w:t xml:space="preserve"> F, </w:t>
      </w:r>
      <w:proofErr w:type="spellStart"/>
      <w:r>
        <w:rPr>
          <w:rFonts w:ascii="Arial" w:hAnsi="Arial" w:cs="Arial"/>
          <w:sz w:val="20"/>
          <w:szCs w:val="20"/>
        </w:rPr>
        <w:t>Efange</w:t>
      </w:r>
      <w:proofErr w:type="spellEnd"/>
      <w:r>
        <w:rPr>
          <w:rFonts w:ascii="Arial" w:hAnsi="Arial" w:cs="Arial"/>
          <w:sz w:val="20"/>
          <w:szCs w:val="20"/>
        </w:rPr>
        <w:t xml:space="preserve"> SMN. </w:t>
      </w:r>
      <w:r>
        <w:rPr>
          <w:rFonts w:ascii="Arial" w:hAnsi="Arial" w:cs="Arial"/>
          <w:i/>
          <w:iCs/>
          <w:sz w:val="20"/>
          <w:szCs w:val="20"/>
        </w:rPr>
        <w:t>In vitro</w:t>
      </w:r>
      <w:r>
        <w:rPr>
          <w:rFonts w:ascii="Arial" w:hAnsi="Arial" w:cs="Arial"/>
          <w:sz w:val="20"/>
          <w:szCs w:val="20"/>
        </w:rPr>
        <w:t xml:space="preserve"> anti-Helicobacter pylori activity of Lycopodium </w:t>
      </w:r>
      <w:proofErr w:type="spellStart"/>
      <w:r>
        <w:rPr>
          <w:rFonts w:ascii="Arial" w:hAnsi="Arial" w:cs="Arial"/>
          <w:sz w:val="20"/>
          <w:szCs w:val="20"/>
        </w:rPr>
        <w:t>cernuum</w:t>
      </w:r>
      <w:proofErr w:type="spellEnd"/>
      <w:r>
        <w:rPr>
          <w:rFonts w:ascii="Arial" w:hAnsi="Arial" w:cs="Arial"/>
          <w:sz w:val="20"/>
          <w:szCs w:val="20"/>
        </w:rPr>
        <w:t xml:space="preserve">. Afr. J. </w:t>
      </w:r>
      <w:proofErr w:type="spellStart"/>
      <w:r>
        <w:rPr>
          <w:rFonts w:ascii="Arial" w:hAnsi="Arial" w:cs="Arial"/>
          <w:sz w:val="20"/>
          <w:szCs w:val="20"/>
        </w:rPr>
        <w:t>Biotechnol</w:t>
      </w:r>
      <w:proofErr w:type="spellEnd"/>
      <w:r>
        <w:rPr>
          <w:rFonts w:ascii="Arial" w:hAnsi="Arial" w:cs="Arial"/>
          <w:sz w:val="20"/>
          <w:szCs w:val="20"/>
        </w:rPr>
        <w:t xml:space="preserve">. </w:t>
      </w:r>
      <w:proofErr w:type="gramStart"/>
      <w:r>
        <w:rPr>
          <w:rFonts w:ascii="Arial" w:hAnsi="Arial" w:cs="Arial"/>
          <w:sz w:val="20"/>
          <w:szCs w:val="20"/>
        </w:rPr>
        <w:t>2008;7:3989</w:t>
      </w:r>
      <w:proofErr w:type="gramEnd"/>
      <w:r>
        <w:rPr>
          <w:rFonts w:ascii="Arial" w:hAnsi="Arial" w:cs="Arial"/>
          <w:sz w:val="20"/>
          <w:szCs w:val="20"/>
        </w:rPr>
        <w:t>-3994</w:t>
      </w:r>
    </w:p>
    <w:p>
      <w:pPr>
        <w:numPr>
          <w:ilvl w:val="0"/>
          <w:numId w:val="5"/>
        </w:numPr>
        <w:spacing w:after="0" w:line="240" w:lineRule="auto"/>
        <w:ind w:left="540" w:hanging="540"/>
        <w:jc w:val="both"/>
        <w:rPr>
          <w:rFonts w:ascii="Arial" w:hAnsi="Arial" w:cs="Arial"/>
          <w:sz w:val="20"/>
          <w:szCs w:val="20"/>
        </w:rPr>
      </w:pPr>
      <w:r>
        <w:rPr>
          <w:rFonts w:ascii="Arial" w:hAnsi="Arial" w:cs="Arial"/>
          <w:bCs/>
          <w:sz w:val="20"/>
          <w:szCs w:val="20"/>
        </w:rPr>
        <w:t xml:space="preserve">Shahidi BGH, </w:t>
      </w:r>
      <w:proofErr w:type="spellStart"/>
      <w:r>
        <w:rPr>
          <w:rFonts w:ascii="Arial" w:hAnsi="Arial" w:cs="Arial"/>
          <w:bCs/>
          <w:sz w:val="20"/>
          <w:szCs w:val="20"/>
        </w:rPr>
        <w:t>Fooladi</w:t>
      </w:r>
      <w:proofErr w:type="spellEnd"/>
      <w:r>
        <w:rPr>
          <w:rFonts w:ascii="Arial" w:hAnsi="Arial" w:cs="Arial"/>
          <w:bCs/>
          <w:sz w:val="20"/>
          <w:szCs w:val="20"/>
        </w:rPr>
        <w:t xml:space="preserve"> MH, Mahadevi MJ, </w:t>
      </w:r>
      <w:proofErr w:type="spellStart"/>
      <w:r>
        <w:rPr>
          <w:rFonts w:ascii="Arial" w:hAnsi="Arial" w:cs="Arial"/>
          <w:bCs/>
          <w:sz w:val="20"/>
          <w:szCs w:val="20"/>
        </w:rPr>
        <w:t>Shahghas</w:t>
      </w:r>
      <w:proofErr w:type="spellEnd"/>
      <w:r>
        <w:rPr>
          <w:rFonts w:ascii="Arial" w:hAnsi="Arial" w:cs="Arial"/>
          <w:bCs/>
          <w:sz w:val="20"/>
          <w:szCs w:val="20"/>
        </w:rPr>
        <w:t xml:space="preserve"> A. Broad-spectrum, a novel antibacterial from </w:t>
      </w:r>
      <w:r>
        <w:rPr>
          <w:rFonts w:ascii="Arial" w:hAnsi="Arial" w:cs="Arial"/>
          <w:bCs/>
          <w:i/>
          <w:iCs/>
          <w:sz w:val="20"/>
          <w:szCs w:val="20"/>
        </w:rPr>
        <w:t>Streptomyces species</w:t>
      </w:r>
      <w:r>
        <w:rPr>
          <w:rFonts w:ascii="Arial" w:hAnsi="Arial" w:cs="Arial"/>
          <w:bCs/>
          <w:sz w:val="20"/>
          <w:szCs w:val="20"/>
        </w:rPr>
        <w:t xml:space="preserve">, </w:t>
      </w:r>
      <w:proofErr w:type="spellStart"/>
      <w:r>
        <w:rPr>
          <w:rFonts w:ascii="Arial" w:hAnsi="Arial" w:cs="Arial"/>
          <w:bCs/>
          <w:sz w:val="20"/>
          <w:szCs w:val="20"/>
        </w:rPr>
        <w:t>Biotechno</w:t>
      </w:r>
      <w:proofErr w:type="spellEnd"/>
      <w:r>
        <w:rPr>
          <w:rFonts w:ascii="Arial" w:hAnsi="Arial" w:cs="Arial"/>
          <w:bCs/>
          <w:i/>
          <w:iCs/>
          <w:sz w:val="20"/>
          <w:szCs w:val="20"/>
        </w:rPr>
        <w:t xml:space="preserve">. </w:t>
      </w:r>
      <w:proofErr w:type="gramStart"/>
      <w:r>
        <w:rPr>
          <w:rFonts w:ascii="Arial" w:hAnsi="Arial" w:cs="Arial"/>
          <w:bCs/>
          <w:sz w:val="20"/>
          <w:szCs w:val="20"/>
        </w:rPr>
        <w:t>2004;3:126</w:t>
      </w:r>
      <w:proofErr w:type="gramEnd"/>
      <w:r>
        <w:rPr>
          <w:rFonts w:ascii="Arial" w:hAnsi="Arial" w:cs="Arial"/>
          <w:bCs/>
          <w:sz w:val="20"/>
          <w:szCs w:val="20"/>
        </w:rPr>
        <w:t>-130.</w:t>
      </w:r>
    </w:p>
    <w:p>
      <w:pPr>
        <w:numPr>
          <w:ilvl w:val="0"/>
          <w:numId w:val="5"/>
        </w:numPr>
        <w:spacing w:after="0" w:line="240" w:lineRule="auto"/>
        <w:ind w:left="540" w:hanging="540"/>
        <w:jc w:val="both"/>
        <w:rPr>
          <w:rFonts w:ascii="Arial" w:hAnsi="Arial" w:cs="Arial"/>
          <w:sz w:val="20"/>
          <w:szCs w:val="20"/>
        </w:rPr>
      </w:pPr>
      <w:r>
        <w:rPr>
          <w:rFonts w:ascii="Arial" w:hAnsi="Arial" w:cs="Arial"/>
          <w:sz w:val="20"/>
          <w:szCs w:val="20"/>
        </w:rPr>
        <w:t>WHO. Traditional medicine: Growing needs and potential, WHO Policy perspectives on medicines, World Health Organization, Geneva. 2002;1.</w:t>
      </w:r>
    </w:p>
    <w:p>
      <w:pPr>
        <w:numPr>
          <w:ilvl w:val="0"/>
          <w:numId w:val="5"/>
        </w:numPr>
        <w:spacing w:after="0" w:line="240" w:lineRule="auto"/>
        <w:ind w:left="540" w:hanging="540"/>
        <w:jc w:val="both"/>
        <w:rPr>
          <w:rFonts w:ascii="Arial" w:hAnsi="Arial" w:cs="Arial"/>
          <w:sz w:val="20"/>
          <w:szCs w:val="20"/>
        </w:rPr>
      </w:pPr>
      <w:r>
        <w:rPr>
          <w:rFonts w:ascii="Arial" w:hAnsi="Arial" w:cs="Arial"/>
          <w:sz w:val="20"/>
          <w:szCs w:val="20"/>
        </w:rPr>
        <w:t xml:space="preserve">Berhanu A. Ethiopian Traditional Medicine: Common Medicinal Plants. J.  Black Studies. </w:t>
      </w:r>
      <w:proofErr w:type="gramStart"/>
      <w:r>
        <w:rPr>
          <w:rFonts w:ascii="Arial" w:hAnsi="Arial" w:cs="Arial"/>
          <w:sz w:val="20"/>
          <w:szCs w:val="20"/>
        </w:rPr>
        <w:t>2002;32:610</w:t>
      </w:r>
      <w:proofErr w:type="gramEnd"/>
      <w:r>
        <w:rPr>
          <w:rFonts w:ascii="Arial" w:hAnsi="Arial" w:cs="Arial"/>
          <w:sz w:val="20"/>
          <w:szCs w:val="20"/>
        </w:rPr>
        <w:t>-612.</w:t>
      </w:r>
    </w:p>
    <w:p>
      <w:pPr>
        <w:numPr>
          <w:ilvl w:val="0"/>
          <w:numId w:val="5"/>
        </w:numPr>
        <w:spacing w:after="0" w:line="240" w:lineRule="auto"/>
        <w:ind w:left="540" w:hanging="540"/>
        <w:jc w:val="both"/>
        <w:rPr>
          <w:rFonts w:ascii="Arial" w:hAnsi="Arial" w:cs="Arial"/>
          <w:sz w:val="20"/>
          <w:szCs w:val="20"/>
        </w:rPr>
      </w:pPr>
      <w:proofErr w:type="spellStart"/>
      <w:r>
        <w:rPr>
          <w:rFonts w:ascii="Arial" w:hAnsi="Arial" w:cs="Arial"/>
          <w:sz w:val="20"/>
          <w:szCs w:val="20"/>
        </w:rPr>
        <w:t>Edeoga</w:t>
      </w:r>
      <w:proofErr w:type="spellEnd"/>
      <w:r>
        <w:rPr>
          <w:rFonts w:ascii="Arial" w:hAnsi="Arial" w:cs="Arial"/>
          <w:sz w:val="20"/>
          <w:szCs w:val="20"/>
        </w:rPr>
        <w:t xml:space="preserve"> HO, </w:t>
      </w:r>
      <w:proofErr w:type="spellStart"/>
      <w:r>
        <w:rPr>
          <w:rFonts w:ascii="Arial" w:hAnsi="Arial" w:cs="Arial"/>
          <w:sz w:val="20"/>
          <w:szCs w:val="20"/>
        </w:rPr>
        <w:t>Okwu</w:t>
      </w:r>
      <w:proofErr w:type="spellEnd"/>
      <w:r>
        <w:rPr>
          <w:rFonts w:ascii="Arial" w:hAnsi="Arial" w:cs="Arial"/>
          <w:sz w:val="20"/>
          <w:szCs w:val="20"/>
        </w:rPr>
        <w:t xml:space="preserve"> DE, </w:t>
      </w:r>
      <w:proofErr w:type="spellStart"/>
      <w:r>
        <w:rPr>
          <w:rFonts w:ascii="Arial" w:hAnsi="Arial" w:cs="Arial"/>
          <w:sz w:val="20"/>
          <w:szCs w:val="20"/>
        </w:rPr>
        <w:t>Mbaebi</w:t>
      </w:r>
      <w:proofErr w:type="spellEnd"/>
      <w:r>
        <w:rPr>
          <w:rFonts w:ascii="Arial" w:hAnsi="Arial" w:cs="Arial"/>
          <w:sz w:val="20"/>
          <w:szCs w:val="20"/>
        </w:rPr>
        <w:t xml:space="preserve"> BO. Phytochemical constituents of some Nigerian medicinal plants. </w:t>
      </w:r>
      <w:proofErr w:type="spellStart"/>
      <w:r>
        <w:rPr>
          <w:rFonts w:ascii="Arial" w:hAnsi="Arial" w:cs="Arial"/>
          <w:sz w:val="20"/>
          <w:szCs w:val="20"/>
        </w:rPr>
        <w:t>Afri</w:t>
      </w:r>
      <w:proofErr w:type="spellEnd"/>
      <w:r>
        <w:rPr>
          <w:rFonts w:ascii="Arial" w:hAnsi="Arial" w:cs="Arial"/>
          <w:sz w:val="20"/>
          <w:szCs w:val="20"/>
        </w:rPr>
        <w:t xml:space="preserve">. J. </w:t>
      </w:r>
      <w:proofErr w:type="spellStart"/>
      <w:r>
        <w:rPr>
          <w:rFonts w:ascii="Arial" w:hAnsi="Arial" w:cs="Arial"/>
          <w:sz w:val="20"/>
          <w:szCs w:val="20"/>
        </w:rPr>
        <w:t>Biotechno</w:t>
      </w:r>
      <w:proofErr w:type="spellEnd"/>
      <w:r>
        <w:rPr>
          <w:rFonts w:ascii="Arial" w:hAnsi="Arial" w:cs="Arial"/>
          <w:sz w:val="20"/>
          <w:szCs w:val="20"/>
        </w:rPr>
        <w:t>. 2005;4(7):685- 688.</w:t>
      </w:r>
    </w:p>
    <w:p>
      <w:pPr>
        <w:numPr>
          <w:ilvl w:val="0"/>
          <w:numId w:val="5"/>
        </w:numPr>
        <w:spacing w:after="0" w:line="240" w:lineRule="auto"/>
        <w:ind w:left="540" w:hanging="540"/>
        <w:jc w:val="both"/>
        <w:rPr>
          <w:rFonts w:ascii="Arial" w:hAnsi="Arial" w:cs="Arial"/>
          <w:sz w:val="20"/>
          <w:szCs w:val="20"/>
        </w:rPr>
      </w:pPr>
      <w:r>
        <w:rPr>
          <w:rFonts w:ascii="Arial" w:hAnsi="Arial" w:cs="Arial"/>
          <w:sz w:val="20"/>
          <w:szCs w:val="20"/>
        </w:rPr>
        <w:t xml:space="preserve">Das K, Tiwari RKS, Shrivastava DK. Techniques for the evaluation of medicinal plants products as antimicrobial agents: Current methods and future trend. J. Medicinal Plant Res. </w:t>
      </w:r>
      <w:proofErr w:type="gramStart"/>
      <w:r>
        <w:rPr>
          <w:rFonts w:ascii="Arial" w:hAnsi="Arial" w:cs="Arial"/>
          <w:sz w:val="20"/>
          <w:szCs w:val="20"/>
        </w:rPr>
        <w:t>2009;492:104</w:t>
      </w:r>
      <w:proofErr w:type="gramEnd"/>
      <w:r>
        <w:rPr>
          <w:rFonts w:ascii="Arial" w:hAnsi="Arial" w:cs="Arial"/>
          <w:sz w:val="20"/>
          <w:szCs w:val="20"/>
        </w:rPr>
        <w:t>-111.</w:t>
      </w:r>
    </w:p>
    <w:p>
      <w:pPr>
        <w:numPr>
          <w:ilvl w:val="0"/>
          <w:numId w:val="5"/>
        </w:numPr>
        <w:spacing w:after="0" w:line="240" w:lineRule="auto"/>
        <w:ind w:left="540" w:hanging="540"/>
        <w:jc w:val="both"/>
        <w:rPr>
          <w:rFonts w:ascii="Arial" w:hAnsi="Arial" w:cs="Arial"/>
          <w:sz w:val="20"/>
          <w:szCs w:val="20"/>
        </w:rPr>
      </w:pPr>
      <w:r>
        <w:rPr>
          <w:rFonts w:ascii="Arial" w:hAnsi="Arial" w:cs="Arial"/>
          <w:sz w:val="20"/>
          <w:szCs w:val="20"/>
        </w:rPr>
        <w:t xml:space="preserve">Eloff JN. Which extractant should be used for the screening and isolation </w:t>
      </w:r>
      <w:proofErr w:type="spellStart"/>
      <w:r>
        <w:rPr>
          <w:rFonts w:ascii="Arial" w:hAnsi="Arial" w:cs="Arial"/>
          <w:sz w:val="20"/>
          <w:szCs w:val="20"/>
        </w:rPr>
        <w:t>ofantimicrobial</w:t>
      </w:r>
      <w:proofErr w:type="spellEnd"/>
      <w:r>
        <w:rPr>
          <w:rFonts w:ascii="Arial" w:hAnsi="Arial" w:cs="Arial"/>
          <w:sz w:val="20"/>
          <w:szCs w:val="20"/>
        </w:rPr>
        <w:t xml:space="preserve"> components from plants? J. Ethnopharmacology. </w:t>
      </w:r>
      <w:proofErr w:type="gramStart"/>
      <w:r>
        <w:rPr>
          <w:rFonts w:ascii="Arial" w:hAnsi="Arial" w:cs="Arial"/>
          <w:sz w:val="20"/>
          <w:szCs w:val="20"/>
        </w:rPr>
        <w:t>1998;1:1</w:t>
      </w:r>
      <w:proofErr w:type="gramEnd"/>
      <w:r>
        <w:rPr>
          <w:rFonts w:ascii="Arial" w:hAnsi="Arial" w:cs="Arial"/>
          <w:sz w:val="20"/>
          <w:szCs w:val="20"/>
        </w:rPr>
        <w:t>-8.</w:t>
      </w:r>
    </w:p>
    <w:p>
      <w:pPr>
        <w:numPr>
          <w:ilvl w:val="0"/>
          <w:numId w:val="5"/>
        </w:numPr>
        <w:spacing w:after="0" w:line="240" w:lineRule="auto"/>
        <w:ind w:left="540" w:hanging="540"/>
        <w:jc w:val="both"/>
        <w:rPr>
          <w:rFonts w:ascii="Arial" w:hAnsi="Arial" w:cs="Arial"/>
          <w:sz w:val="20"/>
          <w:szCs w:val="20"/>
        </w:rPr>
      </w:pPr>
      <w:r>
        <w:rPr>
          <w:rFonts w:ascii="Arial" w:hAnsi="Arial" w:cs="Arial"/>
          <w:bCs/>
          <w:sz w:val="20"/>
          <w:szCs w:val="20"/>
        </w:rPr>
        <w:t xml:space="preserve">Eloff JN, </w:t>
      </w:r>
      <w:proofErr w:type="spellStart"/>
      <w:r>
        <w:rPr>
          <w:rFonts w:ascii="Arial" w:hAnsi="Arial" w:cs="Arial"/>
          <w:bCs/>
          <w:sz w:val="20"/>
          <w:szCs w:val="20"/>
        </w:rPr>
        <w:t>Famakin</w:t>
      </w:r>
      <w:proofErr w:type="spellEnd"/>
      <w:r>
        <w:rPr>
          <w:rFonts w:ascii="Arial" w:hAnsi="Arial" w:cs="Arial"/>
          <w:bCs/>
          <w:sz w:val="20"/>
          <w:szCs w:val="20"/>
        </w:rPr>
        <w:t xml:space="preserve"> JO, Katerere DRP. Isolation of antibacterial stilbene from</w:t>
      </w:r>
      <w:r>
        <w:rPr>
          <w:rFonts w:ascii="Arial" w:hAnsi="Arial" w:cs="Arial"/>
          <w:bCs/>
          <w:sz w:val="20"/>
          <w:szCs w:val="20"/>
        </w:rPr>
        <w:br/>
      </w:r>
      <w:r>
        <w:rPr>
          <w:rFonts w:ascii="Arial" w:hAnsi="Arial" w:cs="Arial"/>
          <w:bCs/>
          <w:i/>
          <w:iCs/>
          <w:sz w:val="20"/>
          <w:szCs w:val="20"/>
        </w:rPr>
        <w:t xml:space="preserve">Combretum </w:t>
      </w:r>
      <w:proofErr w:type="spellStart"/>
      <w:r>
        <w:rPr>
          <w:rFonts w:ascii="Arial" w:hAnsi="Arial" w:cs="Arial"/>
          <w:bCs/>
          <w:i/>
          <w:iCs/>
          <w:sz w:val="20"/>
          <w:szCs w:val="20"/>
        </w:rPr>
        <w:t>woodii</w:t>
      </w:r>
      <w:proofErr w:type="spellEnd"/>
      <w:r>
        <w:rPr>
          <w:rFonts w:ascii="Arial" w:hAnsi="Arial" w:cs="Arial"/>
          <w:bCs/>
          <w:i/>
          <w:iCs/>
          <w:sz w:val="20"/>
          <w:szCs w:val="20"/>
        </w:rPr>
        <w:t xml:space="preserve"> </w:t>
      </w:r>
      <w:r>
        <w:rPr>
          <w:rFonts w:ascii="Arial" w:hAnsi="Arial" w:cs="Arial"/>
          <w:bCs/>
          <w:sz w:val="20"/>
          <w:szCs w:val="20"/>
        </w:rPr>
        <w:t>(</w:t>
      </w:r>
      <w:proofErr w:type="spellStart"/>
      <w:r>
        <w:rPr>
          <w:rFonts w:ascii="Arial" w:hAnsi="Arial" w:cs="Arial"/>
          <w:bCs/>
          <w:i/>
          <w:iCs/>
          <w:sz w:val="20"/>
          <w:szCs w:val="20"/>
        </w:rPr>
        <w:t>Combretaceae</w:t>
      </w:r>
      <w:proofErr w:type="spellEnd"/>
      <w:r>
        <w:rPr>
          <w:rFonts w:ascii="Arial" w:hAnsi="Arial" w:cs="Arial"/>
          <w:bCs/>
          <w:sz w:val="20"/>
          <w:szCs w:val="20"/>
        </w:rPr>
        <w:t xml:space="preserve">) leaves. Afr. J. </w:t>
      </w:r>
      <w:proofErr w:type="spellStart"/>
      <w:r>
        <w:rPr>
          <w:rFonts w:ascii="Arial" w:hAnsi="Arial" w:cs="Arial"/>
          <w:bCs/>
          <w:sz w:val="20"/>
          <w:szCs w:val="20"/>
        </w:rPr>
        <w:t>Biotechno</w:t>
      </w:r>
      <w:proofErr w:type="spellEnd"/>
      <w:r>
        <w:rPr>
          <w:rFonts w:ascii="Arial" w:hAnsi="Arial" w:cs="Arial"/>
          <w:bCs/>
          <w:sz w:val="20"/>
          <w:szCs w:val="20"/>
        </w:rPr>
        <w:t>. 2005;4 (10): 1167-1171.</w:t>
      </w:r>
    </w:p>
    <w:p>
      <w:pPr>
        <w:numPr>
          <w:ilvl w:val="0"/>
          <w:numId w:val="5"/>
        </w:numPr>
        <w:spacing w:after="0" w:line="240" w:lineRule="auto"/>
        <w:ind w:left="540" w:hanging="540"/>
        <w:jc w:val="both"/>
        <w:rPr>
          <w:rFonts w:ascii="Arial" w:hAnsi="Arial" w:cs="Arial"/>
          <w:sz w:val="20"/>
          <w:szCs w:val="20"/>
        </w:rPr>
      </w:pPr>
      <w:proofErr w:type="spellStart"/>
      <w:r>
        <w:rPr>
          <w:rFonts w:ascii="Arial" w:hAnsi="Arial" w:cs="Arial"/>
          <w:sz w:val="20"/>
          <w:szCs w:val="20"/>
        </w:rPr>
        <w:t>Masoko</w:t>
      </w:r>
      <w:proofErr w:type="spellEnd"/>
      <w:r>
        <w:rPr>
          <w:rFonts w:ascii="Arial" w:hAnsi="Arial" w:cs="Arial"/>
          <w:sz w:val="20"/>
          <w:szCs w:val="20"/>
        </w:rPr>
        <w:t xml:space="preserve"> PJ Eloff JN. Antifungal activities of six South African Terminalia species (</w:t>
      </w:r>
      <w:proofErr w:type="spellStart"/>
      <w:r>
        <w:rPr>
          <w:rFonts w:ascii="Arial" w:hAnsi="Arial" w:cs="Arial"/>
          <w:i/>
          <w:iCs/>
          <w:sz w:val="20"/>
          <w:szCs w:val="20"/>
        </w:rPr>
        <w:t>Combretaceae</w:t>
      </w:r>
      <w:proofErr w:type="spellEnd"/>
      <w:r>
        <w:rPr>
          <w:rFonts w:ascii="Arial" w:hAnsi="Arial" w:cs="Arial"/>
          <w:sz w:val="20"/>
          <w:szCs w:val="20"/>
        </w:rPr>
        <w:t xml:space="preserve">). J. Ethnopharmacology of Botany. </w:t>
      </w:r>
      <w:proofErr w:type="gramStart"/>
      <w:r>
        <w:rPr>
          <w:rFonts w:ascii="Arial" w:hAnsi="Arial" w:cs="Arial"/>
          <w:sz w:val="20"/>
          <w:szCs w:val="20"/>
        </w:rPr>
        <w:t>2005;99:301</w:t>
      </w:r>
      <w:proofErr w:type="gramEnd"/>
      <w:r>
        <w:rPr>
          <w:rFonts w:ascii="Arial" w:hAnsi="Arial" w:cs="Arial"/>
          <w:sz w:val="20"/>
          <w:szCs w:val="20"/>
        </w:rPr>
        <w:t>-308.</w:t>
      </w:r>
    </w:p>
    <w:p>
      <w:pPr>
        <w:numPr>
          <w:ilvl w:val="0"/>
          <w:numId w:val="5"/>
        </w:numPr>
        <w:spacing w:after="0" w:line="240" w:lineRule="auto"/>
        <w:ind w:left="540" w:hanging="540"/>
        <w:jc w:val="both"/>
        <w:rPr>
          <w:rFonts w:ascii="Arial" w:hAnsi="Arial" w:cs="Arial"/>
          <w:sz w:val="20"/>
          <w:szCs w:val="20"/>
        </w:rPr>
      </w:pPr>
      <w:proofErr w:type="spellStart"/>
      <w:r>
        <w:rPr>
          <w:rFonts w:ascii="Arial" w:hAnsi="Arial" w:cs="Arial"/>
          <w:sz w:val="20"/>
          <w:szCs w:val="20"/>
        </w:rPr>
        <w:t>Ndip</w:t>
      </w:r>
      <w:proofErr w:type="spellEnd"/>
      <w:r>
        <w:rPr>
          <w:rFonts w:ascii="Arial" w:hAnsi="Arial" w:cs="Arial"/>
          <w:sz w:val="20"/>
          <w:szCs w:val="20"/>
        </w:rPr>
        <w:t xml:space="preserve"> RN, </w:t>
      </w:r>
      <w:proofErr w:type="spellStart"/>
      <w:r>
        <w:rPr>
          <w:rFonts w:ascii="Arial" w:hAnsi="Arial" w:cs="Arial"/>
          <w:sz w:val="20"/>
          <w:szCs w:val="20"/>
        </w:rPr>
        <w:t>Ajonglefac</w:t>
      </w:r>
      <w:proofErr w:type="spellEnd"/>
      <w:r>
        <w:rPr>
          <w:rFonts w:ascii="Arial" w:hAnsi="Arial" w:cs="Arial"/>
          <w:sz w:val="20"/>
          <w:szCs w:val="20"/>
        </w:rPr>
        <w:t xml:space="preserve"> AN, </w:t>
      </w:r>
      <w:proofErr w:type="spellStart"/>
      <w:r>
        <w:rPr>
          <w:rFonts w:ascii="Arial" w:hAnsi="Arial" w:cs="Arial"/>
          <w:sz w:val="20"/>
          <w:szCs w:val="20"/>
        </w:rPr>
        <w:t>Wirna</w:t>
      </w:r>
      <w:proofErr w:type="spellEnd"/>
      <w:r>
        <w:rPr>
          <w:rFonts w:ascii="Arial" w:hAnsi="Arial" w:cs="Arial"/>
          <w:sz w:val="20"/>
          <w:szCs w:val="20"/>
        </w:rPr>
        <w:t xml:space="preserve"> T, </w:t>
      </w:r>
      <w:proofErr w:type="spellStart"/>
      <w:r>
        <w:rPr>
          <w:rFonts w:ascii="Arial" w:hAnsi="Arial" w:cs="Arial"/>
          <w:sz w:val="20"/>
          <w:szCs w:val="20"/>
        </w:rPr>
        <w:t>Luma</w:t>
      </w:r>
      <w:proofErr w:type="spellEnd"/>
      <w:r>
        <w:rPr>
          <w:rFonts w:ascii="Arial" w:hAnsi="Arial" w:cs="Arial"/>
          <w:sz w:val="20"/>
          <w:szCs w:val="20"/>
        </w:rPr>
        <w:t xml:space="preserve"> HN, </w:t>
      </w:r>
      <w:proofErr w:type="spellStart"/>
      <w:r>
        <w:rPr>
          <w:rFonts w:ascii="Arial" w:hAnsi="Arial" w:cs="Arial"/>
          <w:sz w:val="20"/>
          <w:szCs w:val="20"/>
        </w:rPr>
        <w:t>Wirmum</w:t>
      </w:r>
      <w:proofErr w:type="spellEnd"/>
      <w:r>
        <w:rPr>
          <w:rFonts w:ascii="Arial" w:hAnsi="Arial" w:cs="Arial"/>
          <w:sz w:val="20"/>
          <w:szCs w:val="20"/>
        </w:rPr>
        <w:t xml:space="preserve"> C, </w:t>
      </w:r>
      <w:proofErr w:type="spellStart"/>
      <w:r>
        <w:rPr>
          <w:rFonts w:ascii="Arial" w:hAnsi="Arial" w:cs="Arial"/>
          <w:sz w:val="20"/>
          <w:szCs w:val="20"/>
        </w:rPr>
        <w:t>Efange</w:t>
      </w:r>
      <w:proofErr w:type="spellEnd"/>
      <w:r>
        <w:rPr>
          <w:rFonts w:ascii="Arial" w:hAnsi="Arial" w:cs="Arial"/>
          <w:sz w:val="20"/>
          <w:szCs w:val="20"/>
        </w:rPr>
        <w:t xml:space="preserve"> SMN. </w:t>
      </w:r>
      <w:r>
        <w:rPr>
          <w:rFonts w:ascii="Arial" w:hAnsi="Arial" w:cs="Arial"/>
          <w:i/>
          <w:iCs/>
          <w:sz w:val="20"/>
          <w:szCs w:val="20"/>
        </w:rPr>
        <w:t>In vitro</w:t>
      </w:r>
      <w:r>
        <w:rPr>
          <w:rFonts w:ascii="Arial" w:hAnsi="Arial" w:cs="Arial"/>
          <w:sz w:val="20"/>
          <w:szCs w:val="20"/>
        </w:rPr>
        <w:t xml:space="preserve"> antimicrobial activity of Ageratum </w:t>
      </w:r>
      <w:proofErr w:type="spellStart"/>
      <w:r>
        <w:rPr>
          <w:rFonts w:ascii="Arial" w:hAnsi="Arial" w:cs="Arial"/>
          <w:sz w:val="20"/>
          <w:szCs w:val="20"/>
        </w:rPr>
        <w:t>conyzoideson</w:t>
      </w:r>
      <w:proofErr w:type="spellEnd"/>
      <w:r>
        <w:rPr>
          <w:rFonts w:ascii="Arial" w:hAnsi="Arial" w:cs="Arial"/>
          <w:sz w:val="20"/>
          <w:szCs w:val="20"/>
        </w:rPr>
        <w:t xml:space="preserve"> clinical isolates of Helicobacter pylori. Afr. J. Pharmacy and Pharmacology. 2009;3(11):585-592.</w:t>
      </w:r>
    </w:p>
    <w:p>
      <w:pPr>
        <w:numPr>
          <w:ilvl w:val="0"/>
          <w:numId w:val="5"/>
        </w:numPr>
        <w:spacing w:after="0" w:line="240" w:lineRule="auto"/>
        <w:ind w:left="540" w:hanging="540"/>
        <w:jc w:val="both"/>
        <w:rPr>
          <w:rFonts w:ascii="Arial" w:hAnsi="Arial" w:cs="Arial"/>
          <w:sz w:val="20"/>
          <w:szCs w:val="20"/>
        </w:rPr>
      </w:pPr>
      <w:r>
        <w:rPr>
          <w:rFonts w:ascii="Arial" w:hAnsi="Arial" w:cs="Arial"/>
          <w:sz w:val="20"/>
          <w:szCs w:val="20"/>
        </w:rPr>
        <w:t xml:space="preserve">Ademola IO, Eloff JN. </w:t>
      </w:r>
      <w:r>
        <w:rPr>
          <w:rFonts w:ascii="Arial" w:hAnsi="Arial" w:cs="Arial"/>
          <w:i/>
          <w:iCs/>
          <w:sz w:val="20"/>
          <w:szCs w:val="20"/>
        </w:rPr>
        <w:t>In vitro</w:t>
      </w:r>
      <w:r>
        <w:rPr>
          <w:rFonts w:ascii="Arial" w:hAnsi="Arial" w:cs="Arial"/>
          <w:sz w:val="20"/>
          <w:szCs w:val="20"/>
        </w:rPr>
        <w:t xml:space="preserve"> anthelmintic activity of </w:t>
      </w:r>
      <w:proofErr w:type="spellStart"/>
      <w:r>
        <w:rPr>
          <w:rFonts w:ascii="Arial" w:hAnsi="Arial" w:cs="Arial"/>
          <w:sz w:val="20"/>
          <w:szCs w:val="20"/>
        </w:rPr>
        <w:t>Combretummolle</w:t>
      </w:r>
      <w:proofErr w:type="spellEnd"/>
      <w:r>
        <w:rPr>
          <w:rFonts w:ascii="Arial" w:hAnsi="Arial" w:cs="Arial"/>
          <w:sz w:val="20"/>
          <w:szCs w:val="20"/>
        </w:rPr>
        <w:t xml:space="preserve"> (R. Br. ex G. Don) (</w:t>
      </w:r>
      <w:proofErr w:type="spellStart"/>
      <w:r>
        <w:rPr>
          <w:rFonts w:ascii="Arial" w:hAnsi="Arial" w:cs="Arial"/>
          <w:i/>
          <w:iCs/>
          <w:sz w:val="20"/>
          <w:szCs w:val="20"/>
        </w:rPr>
        <w:t>Combretaceae</w:t>
      </w:r>
      <w:proofErr w:type="spellEnd"/>
      <w:r>
        <w:rPr>
          <w:rFonts w:ascii="Arial" w:hAnsi="Arial" w:cs="Arial"/>
          <w:sz w:val="20"/>
          <w:szCs w:val="20"/>
        </w:rPr>
        <w:t xml:space="preserve">) against </w:t>
      </w:r>
      <w:proofErr w:type="spellStart"/>
      <w:r>
        <w:rPr>
          <w:rFonts w:ascii="Arial" w:hAnsi="Arial" w:cs="Arial"/>
          <w:sz w:val="20"/>
          <w:szCs w:val="20"/>
        </w:rPr>
        <w:t>Haemonchuscontortusova</w:t>
      </w:r>
      <w:proofErr w:type="spellEnd"/>
      <w:r>
        <w:rPr>
          <w:rFonts w:ascii="Arial" w:hAnsi="Arial" w:cs="Arial"/>
          <w:sz w:val="20"/>
          <w:szCs w:val="20"/>
        </w:rPr>
        <w:t xml:space="preserve"> and larvae. Veterinary Records. </w:t>
      </w:r>
      <w:proofErr w:type="gramStart"/>
      <w:r>
        <w:rPr>
          <w:rFonts w:ascii="Arial" w:hAnsi="Arial" w:cs="Arial"/>
          <w:sz w:val="20"/>
          <w:szCs w:val="20"/>
        </w:rPr>
        <w:t>2010;158:485</w:t>
      </w:r>
      <w:proofErr w:type="gramEnd"/>
      <w:r>
        <w:rPr>
          <w:rFonts w:ascii="Arial" w:hAnsi="Arial" w:cs="Arial"/>
          <w:sz w:val="20"/>
          <w:szCs w:val="20"/>
        </w:rPr>
        <w:t>–486.</w:t>
      </w:r>
    </w:p>
    <w:p>
      <w:pPr>
        <w:numPr>
          <w:ilvl w:val="0"/>
          <w:numId w:val="5"/>
        </w:numPr>
        <w:spacing w:after="0" w:line="240" w:lineRule="auto"/>
        <w:ind w:left="540" w:hanging="540"/>
        <w:jc w:val="both"/>
        <w:rPr>
          <w:rFonts w:ascii="Arial" w:hAnsi="Arial" w:cs="Arial"/>
          <w:bCs/>
          <w:sz w:val="20"/>
          <w:szCs w:val="20"/>
        </w:rPr>
      </w:pPr>
      <w:proofErr w:type="spellStart"/>
      <w:r>
        <w:rPr>
          <w:rFonts w:ascii="Arial" w:hAnsi="Arial" w:cs="Arial"/>
          <w:bCs/>
          <w:sz w:val="20"/>
          <w:szCs w:val="20"/>
        </w:rPr>
        <w:t>Chantana</w:t>
      </w:r>
      <w:proofErr w:type="spellEnd"/>
      <w:r>
        <w:rPr>
          <w:rFonts w:ascii="Arial" w:hAnsi="Arial" w:cs="Arial"/>
          <w:bCs/>
          <w:sz w:val="20"/>
          <w:szCs w:val="20"/>
        </w:rPr>
        <w:t xml:space="preserve"> K, </w:t>
      </w:r>
      <w:proofErr w:type="spellStart"/>
      <w:r>
        <w:rPr>
          <w:rFonts w:ascii="Arial" w:hAnsi="Arial" w:cs="Arial"/>
          <w:bCs/>
          <w:sz w:val="20"/>
          <w:szCs w:val="20"/>
        </w:rPr>
        <w:t>Ruchanok</w:t>
      </w:r>
      <w:proofErr w:type="spellEnd"/>
      <w:r>
        <w:rPr>
          <w:rFonts w:ascii="Arial" w:hAnsi="Arial" w:cs="Arial"/>
          <w:bCs/>
          <w:sz w:val="20"/>
          <w:szCs w:val="20"/>
        </w:rPr>
        <w:t xml:space="preserve"> Ch, </w:t>
      </w:r>
      <w:proofErr w:type="spellStart"/>
      <w:r>
        <w:rPr>
          <w:rFonts w:ascii="Arial" w:hAnsi="Arial" w:cs="Arial"/>
          <w:bCs/>
          <w:sz w:val="20"/>
          <w:szCs w:val="20"/>
        </w:rPr>
        <w:t>Rinrada</w:t>
      </w:r>
      <w:proofErr w:type="spellEnd"/>
      <w:r>
        <w:rPr>
          <w:rFonts w:ascii="Arial" w:hAnsi="Arial" w:cs="Arial"/>
          <w:bCs/>
          <w:sz w:val="20"/>
          <w:szCs w:val="20"/>
        </w:rPr>
        <w:t xml:space="preserve"> P. Screening of medicinal plants from </w:t>
      </w:r>
      <w:proofErr w:type="spellStart"/>
      <w:r>
        <w:rPr>
          <w:rFonts w:ascii="Arial" w:hAnsi="Arial" w:cs="Arial"/>
          <w:bCs/>
          <w:sz w:val="20"/>
          <w:szCs w:val="20"/>
        </w:rPr>
        <w:t>kohkret</w:t>
      </w:r>
      <w:proofErr w:type="spellEnd"/>
      <w:r>
        <w:rPr>
          <w:rFonts w:ascii="Arial" w:hAnsi="Arial" w:cs="Arial"/>
          <w:bCs/>
          <w:sz w:val="20"/>
          <w:szCs w:val="20"/>
        </w:rPr>
        <w:t xml:space="preserve">, </w:t>
      </w:r>
      <w:proofErr w:type="spellStart"/>
      <w:r>
        <w:rPr>
          <w:rFonts w:ascii="Arial" w:hAnsi="Arial" w:cs="Arial"/>
          <w:bCs/>
          <w:sz w:val="20"/>
          <w:szCs w:val="20"/>
        </w:rPr>
        <w:t>nonthaburi</w:t>
      </w:r>
      <w:proofErr w:type="spellEnd"/>
      <w:r>
        <w:rPr>
          <w:rFonts w:ascii="Arial" w:hAnsi="Arial" w:cs="Arial"/>
          <w:bCs/>
          <w:sz w:val="20"/>
          <w:szCs w:val="20"/>
        </w:rPr>
        <w:t xml:space="preserve"> for antibacterial activity. 2005;1-5.</w:t>
      </w:r>
    </w:p>
    <w:p>
      <w:pPr>
        <w:numPr>
          <w:ilvl w:val="0"/>
          <w:numId w:val="5"/>
        </w:numPr>
        <w:spacing w:after="0" w:line="240" w:lineRule="auto"/>
        <w:ind w:left="540" w:hanging="540"/>
        <w:jc w:val="both"/>
        <w:rPr>
          <w:rFonts w:ascii="Arial" w:hAnsi="Arial" w:cs="Arial"/>
          <w:sz w:val="20"/>
          <w:szCs w:val="20"/>
        </w:rPr>
      </w:pPr>
      <w:r>
        <w:rPr>
          <w:rFonts w:ascii="Arial" w:hAnsi="Arial" w:cs="Arial"/>
          <w:bCs/>
          <w:sz w:val="20"/>
          <w:szCs w:val="20"/>
        </w:rPr>
        <w:t>Cowan MM. Plants products as antimicrobial Agents. Clinical Microbiology Reviews. 1999;12: 564-582.</w:t>
      </w:r>
    </w:p>
    <w:p>
      <w:pPr>
        <w:numPr>
          <w:ilvl w:val="0"/>
          <w:numId w:val="5"/>
        </w:numPr>
        <w:spacing w:after="0" w:line="240" w:lineRule="auto"/>
        <w:ind w:left="540" w:hanging="540"/>
        <w:jc w:val="both"/>
        <w:rPr>
          <w:rFonts w:ascii="Arial" w:hAnsi="Arial" w:cs="Arial"/>
          <w:sz w:val="20"/>
          <w:szCs w:val="20"/>
        </w:rPr>
      </w:pPr>
      <w:r>
        <w:rPr>
          <w:rFonts w:ascii="Arial" w:hAnsi="Arial" w:cs="Arial"/>
          <w:bCs/>
          <w:sz w:val="20"/>
          <w:szCs w:val="20"/>
        </w:rPr>
        <w:t xml:space="preserve">Lee KH, Hui KP, Tan WC, Lim TK. </w:t>
      </w:r>
      <w:r>
        <w:rPr>
          <w:rFonts w:ascii="Arial" w:hAnsi="Arial" w:cs="Arial"/>
          <w:bCs/>
          <w:i/>
          <w:iCs/>
          <w:sz w:val="20"/>
          <w:szCs w:val="20"/>
        </w:rPr>
        <w:t xml:space="preserve">Klebsiella </w:t>
      </w:r>
      <w:proofErr w:type="spellStart"/>
      <w:r>
        <w:rPr>
          <w:rFonts w:ascii="Arial" w:hAnsi="Arial" w:cs="Arial"/>
          <w:bCs/>
          <w:sz w:val="20"/>
          <w:szCs w:val="20"/>
        </w:rPr>
        <w:t>bacteraemia</w:t>
      </w:r>
      <w:proofErr w:type="spellEnd"/>
      <w:r>
        <w:rPr>
          <w:rFonts w:ascii="Arial" w:hAnsi="Arial" w:cs="Arial"/>
          <w:bCs/>
          <w:sz w:val="20"/>
          <w:szCs w:val="20"/>
        </w:rPr>
        <w:t xml:space="preserve">: A report of 101 cases from National University Hospital, Singapore. J </w:t>
      </w:r>
      <w:proofErr w:type="spellStart"/>
      <w:r>
        <w:rPr>
          <w:rFonts w:ascii="Arial" w:hAnsi="Arial" w:cs="Arial"/>
          <w:bCs/>
          <w:sz w:val="20"/>
          <w:szCs w:val="20"/>
        </w:rPr>
        <w:t>HospInfect</w:t>
      </w:r>
      <w:proofErr w:type="spellEnd"/>
      <w:r>
        <w:rPr>
          <w:rFonts w:ascii="Arial" w:hAnsi="Arial" w:cs="Arial"/>
          <w:bCs/>
          <w:sz w:val="20"/>
          <w:szCs w:val="20"/>
        </w:rPr>
        <w:t xml:space="preserve">. </w:t>
      </w:r>
      <w:proofErr w:type="gramStart"/>
      <w:r>
        <w:rPr>
          <w:rFonts w:ascii="Arial" w:hAnsi="Arial" w:cs="Arial"/>
          <w:bCs/>
          <w:sz w:val="20"/>
          <w:szCs w:val="20"/>
        </w:rPr>
        <w:t>1994;27:299</w:t>
      </w:r>
      <w:proofErr w:type="gramEnd"/>
      <w:r>
        <w:rPr>
          <w:rFonts w:ascii="Arial" w:hAnsi="Arial" w:cs="Arial"/>
          <w:bCs/>
          <w:sz w:val="20"/>
          <w:szCs w:val="20"/>
        </w:rPr>
        <w:t>- 305.</w:t>
      </w:r>
    </w:p>
    <w:p>
      <w:pPr>
        <w:numPr>
          <w:ilvl w:val="0"/>
          <w:numId w:val="5"/>
        </w:numPr>
        <w:spacing w:after="0" w:line="240" w:lineRule="auto"/>
        <w:ind w:left="540" w:hanging="540"/>
        <w:jc w:val="both"/>
        <w:rPr>
          <w:rFonts w:ascii="Arial" w:hAnsi="Arial" w:cs="Arial"/>
          <w:sz w:val="20"/>
          <w:szCs w:val="20"/>
        </w:rPr>
      </w:pPr>
      <w:r>
        <w:rPr>
          <w:rFonts w:ascii="Arial" w:hAnsi="Arial" w:cs="Arial"/>
          <w:bCs/>
          <w:sz w:val="20"/>
          <w:szCs w:val="20"/>
        </w:rPr>
        <w:t>NLSI (National Laboratory Standard Institute NLSI; 1990,2012.</w:t>
      </w:r>
    </w:p>
    <w:p>
      <w:pPr>
        <w:numPr>
          <w:ilvl w:val="0"/>
          <w:numId w:val="5"/>
        </w:numPr>
        <w:spacing w:after="0" w:line="240" w:lineRule="auto"/>
        <w:ind w:left="540" w:hanging="540"/>
        <w:jc w:val="both"/>
        <w:rPr>
          <w:rFonts w:ascii="Arial" w:hAnsi="Arial" w:cs="Arial"/>
          <w:sz w:val="20"/>
          <w:szCs w:val="20"/>
        </w:rPr>
      </w:pPr>
      <w:proofErr w:type="spellStart"/>
      <w:r>
        <w:rPr>
          <w:rFonts w:ascii="Arial" w:hAnsi="Arial" w:cs="Arial"/>
          <w:bCs/>
          <w:sz w:val="20"/>
          <w:szCs w:val="20"/>
        </w:rPr>
        <w:t>Ndip</w:t>
      </w:r>
      <w:proofErr w:type="spellEnd"/>
      <w:r>
        <w:rPr>
          <w:rFonts w:ascii="Arial" w:hAnsi="Arial" w:cs="Arial"/>
          <w:bCs/>
          <w:sz w:val="20"/>
          <w:szCs w:val="20"/>
        </w:rPr>
        <w:t xml:space="preserve"> RN, </w:t>
      </w:r>
      <w:proofErr w:type="spellStart"/>
      <w:r>
        <w:rPr>
          <w:rFonts w:ascii="Arial" w:hAnsi="Arial" w:cs="Arial"/>
          <w:bCs/>
          <w:sz w:val="20"/>
          <w:szCs w:val="20"/>
        </w:rPr>
        <w:t>Dilonga</w:t>
      </w:r>
      <w:proofErr w:type="spellEnd"/>
      <w:r>
        <w:rPr>
          <w:rFonts w:ascii="Arial" w:hAnsi="Arial" w:cs="Arial"/>
          <w:bCs/>
          <w:sz w:val="20"/>
          <w:szCs w:val="20"/>
        </w:rPr>
        <w:t xml:space="preserve"> HM, </w:t>
      </w:r>
      <w:proofErr w:type="spellStart"/>
      <w:r>
        <w:rPr>
          <w:rFonts w:ascii="Arial" w:hAnsi="Arial" w:cs="Arial"/>
          <w:bCs/>
          <w:sz w:val="20"/>
          <w:szCs w:val="20"/>
        </w:rPr>
        <w:t>Ndip</w:t>
      </w:r>
      <w:proofErr w:type="spellEnd"/>
      <w:r>
        <w:rPr>
          <w:rFonts w:ascii="Arial" w:hAnsi="Arial" w:cs="Arial"/>
          <w:bCs/>
          <w:sz w:val="20"/>
          <w:szCs w:val="20"/>
        </w:rPr>
        <w:t xml:space="preserve"> LM, </w:t>
      </w:r>
      <w:proofErr w:type="spellStart"/>
      <w:r>
        <w:rPr>
          <w:rFonts w:ascii="Arial" w:hAnsi="Arial" w:cs="Arial"/>
          <w:bCs/>
          <w:sz w:val="20"/>
          <w:szCs w:val="20"/>
        </w:rPr>
        <w:t>Akoachere</w:t>
      </w:r>
      <w:proofErr w:type="spellEnd"/>
      <w:r>
        <w:rPr>
          <w:rFonts w:ascii="Arial" w:hAnsi="Arial" w:cs="Arial"/>
          <w:bCs/>
          <w:sz w:val="20"/>
          <w:szCs w:val="20"/>
        </w:rPr>
        <w:t xml:space="preserve"> JFK, </w:t>
      </w:r>
      <w:proofErr w:type="spellStart"/>
      <w:r>
        <w:rPr>
          <w:rFonts w:ascii="Arial" w:hAnsi="Arial" w:cs="Arial"/>
          <w:bCs/>
          <w:sz w:val="20"/>
          <w:szCs w:val="20"/>
        </w:rPr>
        <w:t>Nkuo</w:t>
      </w:r>
      <w:proofErr w:type="spellEnd"/>
      <w:r>
        <w:rPr>
          <w:rFonts w:ascii="Arial" w:hAnsi="Arial" w:cs="Arial"/>
          <w:bCs/>
          <w:sz w:val="20"/>
          <w:szCs w:val="20"/>
        </w:rPr>
        <w:t xml:space="preserve"> TA. </w:t>
      </w:r>
      <w:r>
        <w:rPr>
          <w:rFonts w:ascii="Arial" w:hAnsi="Arial" w:cs="Arial"/>
          <w:bCs/>
          <w:i/>
          <w:iCs/>
          <w:sz w:val="20"/>
          <w:szCs w:val="20"/>
        </w:rPr>
        <w:t xml:space="preserve">Pseudomonas aeruginosa </w:t>
      </w:r>
      <w:r>
        <w:rPr>
          <w:rFonts w:ascii="Arial" w:hAnsi="Arial" w:cs="Arial"/>
          <w:bCs/>
          <w:sz w:val="20"/>
          <w:szCs w:val="20"/>
        </w:rPr>
        <w:t xml:space="preserve">isolates recovered from clinical and environment samples in </w:t>
      </w:r>
      <w:proofErr w:type="spellStart"/>
      <w:r>
        <w:rPr>
          <w:rFonts w:ascii="Arial" w:hAnsi="Arial" w:cs="Arial"/>
          <w:bCs/>
          <w:sz w:val="20"/>
          <w:szCs w:val="20"/>
        </w:rPr>
        <w:t>Buea</w:t>
      </w:r>
      <w:proofErr w:type="spellEnd"/>
      <w:r>
        <w:rPr>
          <w:rFonts w:ascii="Arial" w:hAnsi="Arial" w:cs="Arial"/>
          <w:bCs/>
          <w:sz w:val="20"/>
          <w:szCs w:val="20"/>
        </w:rPr>
        <w:t xml:space="preserve">, Cameroon: current status on </w:t>
      </w:r>
      <w:proofErr w:type="spellStart"/>
      <w:r>
        <w:rPr>
          <w:rFonts w:ascii="Arial" w:hAnsi="Arial" w:cs="Arial"/>
          <w:bCs/>
          <w:sz w:val="20"/>
          <w:szCs w:val="20"/>
        </w:rPr>
        <w:t>biotyping</w:t>
      </w:r>
      <w:proofErr w:type="spellEnd"/>
      <w:r>
        <w:rPr>
          <w:rFonts w:ascii="Arial" w:hAnsi="Arial" w:cs="Arial"/>
          <w:bCs/>
          <w:sz w:val="20"/>
          <w:szCs w:val="20"/>
        </w:rPr>
        <w:t xml:space="preserve"> and antibiogram. </w:t>
      </w:r>
      <w:r>
        <w:rPr>
          <w:rFonts w:ascii="Arial" w:hAnsi="Arial" w:cs="Arial"/>
          <w:bCs/>
          <w:i/>
          <w:iCs/>
          <w:sz w:val="20"/>
          <w:szCs w:val="20"/>
        </w:rPr>
        <w:t xml:space="preserve">Tropical Medicine and Inter. </w:t>
      </w:r>
      <w:r>
        <w:rPr>
          <w:rFonts w:ascii="Arial" w:hAnsi="Arial" w:cs="Arial"/>
          <w:bCs/>
          <w:sz w:val="20"/>
          <w:szCs w:val="20"/>
        </w:rPr>
        <w:t xml:space="preserve">Health. </w:t>
      </w:r>
      <w:proofErr w:type="gramStart"/>
      <w:r>
        <w:rPr>
          <w:rFonts w:ascii="Arial" w:hAnsi="Arial" w:cs="Arial"/>
          <w:bCs/>
          <w:sz w:val="20"/>
          <w:szCs w:val="20"/>
        </w:rPr>
        <w:t>2005;10:74</w:t>
      </w:r>
      <w:proofErr w:type="gramEnd"/>
      <w:r>
        <w:rPr>
          <w:rFonts w:ascii="Arial" w:hAnsi="Arial" w:cs="Arial"/>
          <w:bCs/>
          <w:sz w:val="20"/>
          <w:szCs w:val="20"/>
        </w:rPr>
        <w:t>-81.</w:t>
      </w:r>
    </w:p>
    <w:p>
      <w:pPr>
        <w:numPr>
          <w:ilvl w:val="0"/>
          <w:numId w:val="5"/>
        </w:numPr>
        <w:spacing w:after="0" w:line="240" w:lineRule="auto"/>
        <w:ind w:left="540" w:hanging="540"/>
        <w:jc w:val="both"/>
        <w:rPr>
          <w:rFonts w:ascii="Arial" w:hAnsi="Arial" w:cs="Arial"/>
          <w:bCs/>
          <w:sz w:val="20"/>
          <w:szCs w:val="20"/>
        </w:rPr>
      </w:pPr>
      <w:r>
        <w:rPr>
          <w:rFonts w:ascii="Arial" w:hAnsi="Arial" w:cs="Arial"/>
          <w:bCs/>
          <w:sz w:val="20"/>
          <w:szCs w:val="20"/>
        </w:rPr>
        <w:t xml:space="preserve">Shahwar D, Raza MA. </w:t>
      </w:r>
      <w:r>
        <w:rPr>
          <w:rFonts w:ascii="Arial" w:hAnsi="Arial" w:cs="Arial"/>
          <w:bCs/>
          <w:i/>
          <w:iCs/>
          <w:sz w:val="20"/>
          <w:szCs w:val="20"/>
        </w:rPr>
        <w:t>In vitro</w:t>
      </w:r>
      <w:r>
        <w:rPr>
          <w:rFonts w:ascii="Arial" w:hAnsi="Arial" w:cs="Arial"/>
          <w:bCs/>
          <w:sz w:val="20"/>
          <w:szCs w:val="20"/>
        </w:rPr>
        <w:t xml:space="preserve"> antibacterial activity of extracts of </w:t>
      </w:r>
      <w:proofErr w:type="spellStart"/>
      <w:r>
        <w:rPr>
          <w:rFonts w:ascii="Arial" w:hAnsi="Arial" w:cs="Arial"/>
          <w:bCs/>
          <w:i/>
          <w:iCs/>
          <w:sz w:val="20"/>
          <w:szCs w:val="20"/>
        </w:rPr>
        <w:t>Mimusops</w:t>
      </w:r>
      <w:proofErr w:type="spellEnd"/>
      <w:r>
        <w:rPr>
          <w:rFonts w:ascii="Arial" w:hAnsi="Arial" w:cs="Arial"/>
          <w:bCs/>
          <w:i/>
          <w:iCs/>
          <w:sz w:val="20"/>
          <w:szCs w:val="20"/>
        </w:rPr>
        <w:t xml:space="preserve"> </w:t>
      </w:r>
      <w:proofErr w:type="spellStart"/>
      <w:r>
        <w:rPr>
          <w:rFonts w:ascii="Arial" w:hAnsi="Arial" w:cs="Arial"/>
          <w:bCs/>
          <w:i/>
          <w:iCs/>
          <w:sz w:val="20"/>
          <w:szCs w:val="20"/>
        </w:rPr>
        <w:t>elengi</w:t>
      </w:r>
      <w:proofErr w:type="spellEnd"/>
      <w:r>
        <w:rPr>
          <w:rFonts w:ascii="Arial" w:hAnsi="Arial" w:cs="Arial"/>
          <w:bCs/>
          <w:sz w:val="20"/>
          <w:szCs w:val="20"/>
        </w:rPr>
        <w:t xml:space="preserve"> against gram positive and </w:t>
      </w:r>
      <w:proofErr w:type="gramStart"/>
      <w:r>
        <w:rPr>
          <w:rFonts w:ascii="Arial" w:hAnsi="Arial" w:cs="Arial"/>
          <w:bCs/>
          <w:sz w:val="20"/>
          <w:szCs w:val="20"/>
        </w:rPr>
        <w:t>gram negative</w:t>
      </w:r>
      <w:proofErr w:type="gramEnd"/>
      <w:r>
        <w:rPr>
          <w:rFonts w:ascii="Arial" w:hAnsi="Arial" w:cs="Arial"/>
          <w:bCs/>
          <w:sz w:val="20"/>
          <w:szCs w:val="20"/>
        </w:rPr>
        <w:t xml:space="preserve"> bacteria</w:t>
      </w:r>
      <w:r>
        <w:rPr>
          <w:rFonts w:ascii="Arial" w:hAnsi="Arial" w:cs="Arial"/>
          <w:bCs/>
          <w:i/>
          <w:iCs/>
          <w:sz w:val="20"/>
          <w:szCs w:val="20"/>
        </w:rPr>
        <w:t xml:space="preserve">. </w:t>
      </w:r>
      <w:r>
        <w:rPr>
          <w:rFonts w:ascii="Arial" w:hAnsi="Arial" w:cs="Arial"/>
          <w:bCs/>
          <w:sz w:val="20"/>
          <w:szCs w:val="20"/>
        </w:rPr>
        <w:t xml:space="preserve">African J. </w:t>
      </w:r>
      <w:proofErr w:type="spellStart"/>
      <w:r>
        <w:rPr>
          <w:rFonts w:ascii="Arial" w:hAnsi="Arial" w:cs="Arial"/>
          <w:bCs/>
          <w:sz w:val="20"/>
          <w:szCs w:val="20"/>
        </w:rPr>
        <w:t>Microb</w:t>
      </w:r>
      <w:proofErr w:type="spellEnd"/>
      <w:r>
        <w:rPr>
          <w:rFonts w:ascii="Arial" w:hAnsi="Arial" w:cs="Arial"/>
          <w:bCs/>
          <w:sz w:val="20"/>
          <w:szCs w:val="20"/>
        </w:rPr>
        <w:t>. Res.</w:t>
      </w:r>
      <w:r>
        <w:rPr>
          <w:rFonts w:ascii="Arial" w:hAnsi="Arial" w:cs="Arial"/>
          <w:bCs/>
          <w:i/>
          <w:iCs/>
          <w:sz w:val="20"/>
          <w:szCs w:val="20"/>
        </w:rPr>
        <w:t xml:space="preserve"> </w:t>
      </w:r>
      <w:r>
        <w:rPr>
          <w:rFonts w:ascii="Arial" w:hAnsi="Arial" w:cs="Arial"/>
          <w:bCs/>
          <w:sz w:val="20"/>
          <w:szCs w:val="20"/>
        </w:rPr>
        <w:t>2009;3(8):458-462</w:t>
      </w:r>
    </w:p>
    <w:p>
      <w:pPr>
        <w:numPr>
          <w:ilvl w:val="0"/>
          <w:numId w:val="5"/>
        </w:numPr>
        <w:spacing w:after="0" w:line="240" w:lineRule="auto"/>
        <w:ind w:left="540" w:hanging="540"/>
        <w:jc w:val="both"/>
        <w:rPr>
          <w:rFonts w:ascii="Arial" w:hAnsi="Arial" w:cs="Arial"/>
          <w:sz w:val="20"/>
          <w:szCs w:val="20"/>
        </w:rPr>
      </w:pPr>
      <w:r>
        <w:rPr>
          <w:rFonts w:ascii="Arial" w:hAnsi="Arial" w:cs="Arial"/>
          <w:bCs/>
          <w:sz w:val="20"/>
          <w:szCs w:val="20"/>
        </w:rPr>
        <w:t xml:space="preserve">WHO. Drug resistance in malaria. The Magazine of WHO M. </w:t>
      </w:r>
      <w:proofErr w:type="gramStart"/>
      <w:r>
        <w:rPr>
          <w:rFonts w:ascii="Arial" w:hAnsi="Arial" w:cs="Arial"/>
          <w:bCs/>
          <w:sz w:val="20"/>
          <w:szCs w:val="20"/>
        </w:rPr>
        <w:t>2001;4:1</w:t>
      </w:r>
      <w:proofErr w:type="gramEnd"/>
      <w:r>
        <w:rPr>
          <w:rFonts w:ascii="Arial" w:hAnsi="Arial" w:cs="Arial"/>
          <w:bCs/>
          <w:sz w:val="20"/>
          <w:szCs w:val="20"/>
        </w:rPr>
        <w:t>-24.</w:t>
      </w:r>
    </w:p>
    <w:p>
      <w:pPr>
        <w:numPr>
          <w:ilvl w:val="0"/>
          <w:numId w:val="5"/>
        </w:numPr>
        <w:spacing w:after="0" w:line="240" w:lineRule="auto"/>
        <w:ind w:left="540" w:hanging="540"/>
        <w:jc w:val="both"/>
        <w:rPr>
          <w:rFonts w:ascii="Arial" w:hAnsi="Arial" w:cs="Arial"/>
          <w:sz w:val="20"/>
          <w:szCs w:val="20"/>
        </w:rPr>
      </w:pPr>
      <w:r>
        <w:rPr>
          <w:rFonts w:ascii="Arial" w:hAnsi="Arial" w:cs="Arial"/>
          <w:bCs/>
          <w:sz w:val="20"/>
          <w:szCs w:val="20"/>
        </w:rPr>
        <w:lastRenderedPageBreak/>
        <w:t>WHO. Antimicrobial resistance: global report on surveillance; 2014.</w:t>
      </w:r>
    </w:p>
    <w:p>
      <w:pPr>
        <w:numPr>
          <w:ilvl w:val="0"/>
          <w:numId w:val="5"/>
        </w:numPr>
        <w:spacing w:after="0" w:line="240" w:lineRule="auto"/>
        <w:ind w:left="540" w:hanging="540"/>
        <w:jc w:val="both"/>
        <w:rPr>
          <w:rFonts w:ascii="Arial" w:hAnsi="Arial" w:cs="Arial"/>
          <w:sz w:val="20"/>
          <w:szCs w:val="20"/>
        </w:rPr>
      </w:pPr>
      <w:r>
        <w:rPr>
          <w:rFonts w:ascii="Arial" w:hAnsi="Arial" w:cs="Arial"/>
          <w:sz w:val="20"/>
          <w:szCs w:val="20"/>
        </w:rPr>
        <w:t>WHO. A publication of united against malaria. The Magazine of WHO M. 2000;3: 547.</w:t>
      </w:r>
    </w:p>
    <w:p>
      <w:pPr>
        <w:numPr>
          <w:ilvl w:val="0"/>
          <w:numId w:val="5"/>
        </w:numPr>
        <w:spacing w:after="0" w:line="240" w:lineRule="auto"/>
        <w:ind w:left="540" w:hanging="540"/>
        <w:jc w:val="both"/>
        <w:rPr>
          <w:rFonts w:ascii="Arial" w:hAnsi="Arial" w:cs="Arial"/>
          <w:sz w:val="20"/>
          <w:szCs w:val="20"/>
        </w:rPr>
      </w:pPr>
      <w:r>
        <w:rPr>
          <w:rFonts w:ascii="Arial" w:hAnsi="Arial" w:cs="Arial"/>
          <w:bCs/>
          <w:sz w:val="20"/>
          <w:szCs w:val="20"/>
        </w:rPr>
        <w:t>Biswas K, Chattopadhyay I, Banerjee RK, Bandyopadhyay U. Biological activities and medicinal properties of neem (</w:t>
      </w:r>
      <w:proofErr w:type="spellStart"/>
      <w:r>
        <w:rPr>
          <w:rFonts w:ascii="Arial" w:hAnsi="Arial" w:cs="Arial"/>
          <w:bCs/>
          <w:i/>
          <w:sz w:val="20"/>
          <w:szCs w:val="20"/>
        </w:rPr>
        <w:t>Azadirachta</w:t>
      </w:r>
      <w:proofErr w:type="spellEnd"/>
      <w:r>
        <w:rPr>
          <w:rFonts w:ascii="Arial" w:hAnsi="Arial" w:cs="Arial"/>
          <w:bCs/>
          <w:i/>
          <w:sz w:val="20"/>
          <w:szCs w:val="20"/>
        </w:rPr>
        <w:t xml:space="preserve"> </w:t>
      </w:r>
      <w:proofErr w:type="spellStart"/>
      <w:r>
        <w:rPr>
          <w:rFonts w:ascii="Arial" w:hAnsi="Arial" w:cs="Arial"/>
          <w:bCs/>
          <w:i/>
          <w:sz w:val="20"/>
          <w:szCs w:val="20"/>
        </w:rPr>
        <w:t>indica</w:t>
      </w:r>
      <w:proofErr w:type="spellEnd"/>
      <w:r>
        <w:rPr>
          <w:rFonts w:ascii="Arial" w:hAnsi="Arial" w:cs="Arial"/>
          <w:bCs/>
          <w:sz w:val="20"/>
          <w:szCs w:val="20"/>
        </w:rPr>
        <w:t xml:space="preserve">). Current Science-Bangalore. 2002; </w:t>
      </w:r>
      <w:r>
        <w:rPr>
          <w:rFonts w:ascii="Arial" w:hAnsi="Arial" w:cs="Arial"/>
          <w:bCs/>
          <w:iCs/>
          <w:sz w:val="20"/>
          <w:szCs w:val="20"/>
        </w:rPr>
        <w:t>82</w:t>
      </w:r>
      <w:r>
        <w:rPr>
          <w:rFonts w:ascii="Arial" w:hAnsi="Arial" w:cs="Arial"/>
          <w:bCs/>
          <w:sz w:val="20"/>
          <w:szCs w:val="20"/>
        </w:rPr>
        <w:t>(11):1336-1345.</w:t>
      </w:r>
    </w:p>
    <w:p>
      <w:pPr>
        <w:numPr>
          <w:ilvl w:val="0"/>
          <w:numId w:val="5"/>
        </w:numPr>
        <w:spacing w:after="0" w:line="240" w:lineRule="auto"/>
        <w:ind w:left="540" w:hanging="540"/>
        <w:jc w:val="both"/>
        <w:rPr>
          <w:rFonts w:ascii="Arial" w:hAnsi="Arial" w:cs="Arial"/>
          <w:sz w:val="20"/>
          <w:szCs w:val="20"/>
        </w:rPr>
      </w:pPr>
      <w:r>
        <w:rPr>
          <w:rFonts w:ascii="Arial" w:hAnsi="Arial" w:cs="Arial"/>
          <w:sz w:val="20"/>
          <w:szCs w:val="20"/>
        </w:rPr>
        <w:t xml:space="preserve">Ajayi IA, </w:t>
      </w:r>
      <w:proofErr w:type="spellStart"/>
      <w:r>
        <w:rPr>
          <w:rFonts w:ascii="Arial" w:hAnsi="Arial" w:cs="Arial"/>
          <w:sz w:val="20"/>
          <w:szCs w:val="20"/>
        </w:rPr>
        <w:t>Ajibade</w:t>
      </w:r>
      <w:proofErr w:type="spellEnd"/>
      <w:r>
        <w:rPr>
          <w:rFonts w:ascii="Arial" w:hAnsi="Arial" w:cs="Arial"/>
          <w:sz w:val="20"/>
          <w:szCs w:val="20"/>
        </w:rPr>
        <w:t xml:space="preserve"> O, </w:t>
      </w:r>
      <w:proofErr w:type="spellStart"/>
      <w:r>
        <w:rPr>
          <w:rFonts w:ascii="Arial" w:hAnsi="Arial" w:cs="Arial"/>
          <w:sz w:val="20"/>
          <w:szCs w:val="20"/>
        </w:rPr>
        <w:t>Oderinde</w:t>
      </w:r>
      <w:proofErr w:type="spellEnd"/>
      <w:r>
        <w:rPr>
          <w:rFonts w:ascii="Arial" w:hAnsi="Arial" w:cs="Arial"/>
          <w:sz w:val="20"/>
          <w:szCs w:val="20"/>
        </w:rPr>
        <w:t xml:space="preserve"> RA. Preliminary phytochemical analysis of </w:t>
      </w:r>
      <w:proofErr w:type="spellStart"/>
      <w:r>
        <w:rPr>
          <w:rFonts w:ascii="Arial" w:hAnsi="Arial" w:cs="Arial"/>
          <w:sz w:val="20"/>
          <w:szCs w:val="20"/>
        </w:rPr>
        <w:t>someplant</w:t>
      </w:r>
      <w:proofErr w:type="spellEnd"/>
      <w:r>
        <w:rPr>
          <w:rFonts w:ascii="Arial" w:hAnsi="Arial" w:cs="Arial"/>
          <w:sz w:val="20"/>
          <w:szCs w:val="20"/>
        </w:rPr>
        <w:t xml:space="preserve"> seeds. Research Journal of Chemical </w:t>
      </w:r>
      <w:proofErr w:type="spellStart"/>
      <w:r>
        <w:rPr>
          <w:rFonts w:ascii="Arial" w:hAnsi="Arial" w:cs="Arial"/>
          <w:sz w:val="20"/>
          <w:szCs w:val="20"/>
        </w:rPr>
        <w:t>Scinces</w:t>
      </w:r>
      <w:proofErr w:type="spellEnd"/>
      <w:r>
        <w:rPr>
          <w:rFonts w:ascii="Arial" w:hAnsi="Arial" w:cs="Arial"/>
          <w:sz w:val="20"/>
          <w:szCs w:val="20"/>
        </w:rPr>
        <w:t>. 2011;1(3):58-62.</w:t>
      </w:r>
    </w:p>
    <w:p>
      <w:pPr>
        <w:numPr>
          <w:ilvl w:val="0"/>
          <w:numId w:val="5"/>
        </w:numPr>
        <w:spacing w:after="0" w:line="240" w:lineRule="auto"/>
        <w:ind w:left="540" w:hanging="540"/>
        <w:jc w:val="both"/>
        <w:rPr>
          <w:rFonts w:ascii="Arial" w:hAnsi="Arial" w:cs="Arial"/>
          <w:sz w:val="20"/>
          <w:szCs w:val="20"/>
        </w:rPr>
      </w:pPr>
      <w:proofErr w:type="spellStart"/>
      <w:r>
        <w:rPr>
          <w:rFonts w:ascii="Arial" w:hAnsi="Arial" w:cs="Arial"/>
          <w:sz w:val="20"/>
          <w:szCs w:val="20"/>
        </w:rPr>
        <w:t>Adachukwu</w:t>
      </w:r>
      <w:proofErr w:type="spellEnd"/>
      <w:r>
        <w:rPr>
          <w:rFonts w:ascii="Arial" w:hAnsi="Arial" w:cs="Arial"/>
          <w:sz w:val="20"/>
          <w:szCs w:val="20"/>
        </w:rPr>
        <w:t xml:space="preserve"> IP, Ogbonna AO, Eze FU. Phytochemicals analysis of paw-paw (</w:t>
      </w:r>
      <w:r>
        <w:rPr>
          <w:rFonts w:ascii="Arial" w:hAnsi="Arial" w:cs="Arial"/>
          <w:i/>
          <w:iCs/>
          <w:sz w:val="20"/>
          <w:szCs w:val="20"/>
        </w:rPr>
        <w:t>Carica papaya</w:t>
      </w:r>
      <w:r>
        <w:rPr>
          <w:rFonts w:ascii="Arial" w:hAnsi="Arial" w:cs="Arial"/>
          <w:sz w:val="20"/>
          <w:szCs w:val="20"/>
        </w:rPr>
        <w:t xml:space="preserve"> L.) lea</w:t>
      </w:r>
      <w:bookmarkStart w:id="22" w:name="_GoBack"/>
      <w:bookmarkEnd w:id="22"/>
      <w:r>
        <w:rPr>
          <w:rFonts w:ascii="Arial" w:hAnsi="Arial" w:cs="Arial"/>
          <w:sz w:val="20"/>
          <w:szCs w:val="20"/>
        </w:rPr>
        <w:t>ves. International Journal of Life Sciences Biotechnology and Pharma Research. 2013;2(3):348-351.</w:t>
      </w:r>
    </w:p>
    <w:p>
      <w:pPr>
        <w:numPr>
          <w:ilvl w:val="0"/>
          <w:numId w:val="5"/>
        </w:numPr>
        <w:spacing w:after="0" w:line="240" w:lineRule="auto"/>
        <w:ind w:left="540" w:hanging="540"/>
        <w:jc w:val="both"/>
        <w:rPr>
          <w:rFonts w:ascii="Arial" w:hAnsi="Arial" w:cs="Arial"/>
          <w:sz w:val="20"/>
          <w:szCs w:val="20"/>
        </w:rPr>
      </w:pPr>
      <w:r>
        <w:rPr>
          <w:rFonts w:ascii="Arial" w:hAnsi="Arial" w:cs="Arial"/>
          <w:sz w:val="20"/>
          <w:szCs w:val="20"/>
        </w:rPr>
        <w:t xml:space="preserve">Jaradat N, Hussen F, Al Ali </w:t>
      </w:r>
      <w:proofErr w:type="gramStart"/>
      <w:r>
        <w:rPr>
          <w:rFonts w:ascii="Arial" w:hAnsi="Arial" w:cs="Arial"/>
          <w:sz w:val="20"/>
          <w:szCs w:val="20"/>
        </w:rPr>
        <w:t>A..</w:t>
      </w:r>
      <w:proofErr w:type="gramEnd"/>
      <w:r>
        <w:rPr>
          <w:rFonts w:ascii="Arial" w:hAnsi="Arial" w:cs="Arial"/>
          <w:sz w:val="20"/>
          <w:szCs w:val="20"/>
        </w:rPr>
        <w:t xml:space="preserve"> Preliminary Phytochemical Screening, Quantitative Estimation of Total Flavonoids, Total Phenols and Antioxidant Activity of Ephedra </w:t>
      </w:r>
      <w:proofErr w:type="spellStart"/>
      <w:r>
        <w:rPr>
          <w:rFonts w:ascii="Arial" w:hAnsi="Arial" w:cs="Arial"/>
          <w:sz w:val="20"/>
          <w:szCs w:val="20"/>
        </w:rPr>
        <w:t>alata</w:t>
      </w:r>
      <w:proofErr w:type="spellEnd"/>
      <w:r>
        <w:rPr>
          <w:rFonts w:ascii="Arial" w:hAnsi="Arial" w:cs="Arial"/>
          <w:sz w:val="20"/>
          <w:szCs w:val="20"/>
        </w:rPr>
        <w:t xml:space="preserve"> </w:t>
      </w:r>
      <w:proofErr w:type="spellStart"/>
      <w:r>
        <w:rPr>
          <w:rFonts w:ascii="Arial" w:hAnsi="Arial" w:cs="Arial"/>
          <w:sz w:val="20"/>
          <w:szCs w:val="20"/>
        </w:rPr>
        <w:t>Decne</w:t>
      </w:r>
      <w:proofErr w:type="spellEnd"/>
      <w:r>
        <w:rPr>
          <w:rFonts w:ascii="Arial" w:hAnsi="Arial" w:cs="Arial"/>
          <w:sz w:val="20"/>
          <w:szCs w:val="20"/>
        </w:rPr>
        <w:t>. Journal of                 Mater Environmental Science. 2015;6(6): 1771-8.</w:t>
      </w:r>
    </w:p>
    <w:p>
      <w:pPr>
        <w:numPr>
          <w:ilvl w:val="0"/>
          <w:numId w:val="5"/>
        </w:numPr>
        <w:spacing w:after="0" w:line="240" w:lineRule="auto"/>
        <w:ind w:left="540" w:hanging="540"/>
        <w:jc w:val="both"/>
        <w:rPr>
          <w:rFonts w:ascii="Arial" w:hAnsi="Arial" w:cs="Arial"/>
          <w:sz w:val="20"/>
          <w:szCs w:val="20"/>
        </w:rPr>
      </w:pPr>
      <w:proofErr w:type="spellStart"/>
      <w:r>
        <w:rPr>
          <w:rFonts w:ascii="Arial" w:hAnsi="Arial" w:cs="Arial"/>
          <w:bCs/>
          <w:sz w:val="20"/>
          <w:szCs w:val="20"/>
        </w:rPr>
        <w:t>Boyanova</w:t>
      </w:r>
      <w:proofErr w:type="spellEnd"/>
      <w:r>
        <w:rPr>
          <w:rFonts w:ascii="Arial" w:hAnsi="Arial" w:cs="Arial"/>
          <w:bCs/>
          <w:sz w:val="20"/>
          <w:szCs w:val="20"/>
        </w:rPr>
        <w:t xml:space="preserve"> L, </w:t>
      </w:r>
      <w:proofErr w:type="spellStart"/>
      <w:r>
        <w:rPr>
          <w:rFonts w:ascii="Arial" w:hAnsi="Arial" w:cs="Arial"/>
          <w:bCs/>
          <w:sz w:val="20"/>
          <w:szCs w:val="20"/>
        </w:rPr>
        <w:t>Gergova</w:t>
      </w:r>
      <w:proofErr w:type="spellEnd"/>
      <w:r>
        <w:rPr>
          <w:rFonts w:ascii="Arial" w:hAnsi="Arial" w:cs="Arial"/>
          <w:bCs/>
          <w:sz w:val="20"/>
          <w:szCs w:val="20"/>
        </w:rPr>
        <w:t xml:space="preserve"> G, </w:t>
      </w:r>
      <w:proofErr w:type="spellStart"/>
      <w:r>
        <w:rPr>
          <w:rFonts w:ascii="Arial" w:hAnsi="Arial" w:cs="Arial"/>
          <w:bCs/>
          <w:sz w:val="20"/>
          <w:szCs w:val="20"/>
        </w:rPr>
        <w:t>Nikolov</w:t>
      </w:r>
      <w:proofErr w:type="spellEnd"/>
      <w:r>
        <w:rPr>
          <w:rFonts w:ascii="Arial" w:hAnsi="Arial" w:cs="Arial"/>
          <w:bCs/>
          <w:sz w:val="20"/>
          <w:szCs w:val="20"/>
        </w:rPr>
        <w:t xml:space="preserve"> R, </w:t>
      </w:r>
      <w:proofErr w:type="spellStart"/>
      <w:r>
        <w:rPr>
          <w:rFonts w:ascii="Arial" w:hAnsi="Arial" w:cs="Arial"/>
          <w:bCs/>
          <w:sz w:val="20"/>
          <w:szCs w:val="20"/>
        </w:rPr>
        <w:t>Derejian</w:t>
      </w:r>
      <w:proofErr w:type="spellEnd"/>
      <w:r>
        <w:rPr>
          <w:rFonts w:ascii="Arial" w:hAnsi="Arial" w:cs="Arial"/>
          <w:bCs/>
          <w:sz w:val="20"/>
          <w:szCs w:val="20"/>
        </w:rPr>
        <w:t xml:space="preserve"> S, </w:t>
      </w:r>
      <w:proofErr w:type="spellStart"/>
      <w:r>
        <w:rPr>
          <w:rFonts w:ascii="Arial" w:hAnsi="Arial" w:cs="Arial"/>
          <w:bCs/>
          <w:sz w:val="20"/>
          <w:szCs w:val="20"/>
        </w:rPr>
        <w:t>Lazarova</w:t>
      </w:r>
      <w:proofErr w:type="spellEnd"/>
      <w:r>
        <w:rPr>
          <w:rFonts w:ascii="Arial" w:hAnsi="Arial" w:cs="Arial"/>
          <w:bCs/>
          <w:sz w:val="20"/>
          <w:szCs w:val="20"/>
        </w:rPr>
        <w:t xml:space="preserve"> E, </w:t>
      </w:r>
      <w:proofErr w:type="spellStart"/>
      <w:r>
        <w:rPr>
          <w:rFonts w:ascii="Arial" w:hAnsi="Arial" w:cs="Arial"/>
          <w:bCs/>
          <w:sz w:val="20"/>
          <w:szCs w:val="20"/>
        </w:rPr>
        <w:t>Katsarov</w:t>
      </w:r>
      <w:proofErr w:type="spellEnd"/>
      <w:r>
        <w:rPr>
          <w:rFonts w:ascii="Arial" w:hAnsi="Arial" w:cs="Arial"/>
          <w:bCs/>
          <w:sz w:val="20"/>
          <w:szCs w:val="20"/>
        </w:rPr>
        <w:t xml:space="preserve"> N, </w:t>
      </w:r>
      <w:proofErr w:type="spellStart"/>
      <w:r>
        <w:rPr>
          <w:rFonts w:ascii="Arial" w:hAnsi="Arial" w:cs="Arial"/>
          <w:bCs/>
          <w:sz w:val="20"/>
          <w:szCs w:val="20"/>
        </w:rPr>
        <w:t>Mitov</w:t>
      </w:r>
      <w:proofErr w:type="spellEnd"/>
      <w:r>
        <w:rPr>
          <w:rFonts w:ascii="Arial" w:hAnsi="Arial" w:cs="Arial"/>
          <w:bCs/>
          <w:sz w:val="20"/>
          <w:szCs w:val="20"/>
        </w:rPr>
        <w:t xml:space="preserve"> I, Krastev Z. Activity of Bulgarian propolis against 94 </w:t>
      </w:r>
      <w:r>
        <w:rPr>
          <w:rFonts w:ascii="Arial" w:hAnsi="Arial" w:cs="Arial"/>
          <w:bCs/>
          <w:i/>
          <w:iCs/>
          <w:sz w:val="20"/>
          <w:szCs w:val="20"/>
        </w:rPr>
        <w:t xml:space="preserve">Helicobacter pylori </w:t>
      </w:r>
      <w:r>
        <w:rPr>
          <w:rFonts w:ascii="Arial" w:hAnsi="Arial" w:cs="Arial"/>
          <w:bCs/>
          <w:sz w:val="20"/>
          <w:szCs w:val="20"/>
        </w:rPr>
        <w:t xml:space="preserve">strains </w:t>
      </w:r>
      <w:r>
        <w:rPr>
          <w:rFonts w:ascii="Arial" w:hAnsi="Arial" w:cs="Arial"/>
          <w:bCs/>
          <w:i/>
          <w:iCs/>
          <w:sz w:val="20"/>
          <w:szCs w:val="20"/>
        </w:rPr>
        <w:t xml:space="preserve">In vitro </w:t>
      </w:r>
      <w:r>
        <w:rPr>
          <w:rFonts w:ascii="Arial" w:hAnsi="Arial" w:cs="Arial"/>
          <w:bCs/>
          <w:sz w:val="20"/>
          <w:szCs w:val="20"/>
        </w:rPr>
        <w:t>by agar-well diffusion, agar dilution and disc diffusion methods. J. Medical Microbiol</w:t>
      </w:r>
      <w:r>
        <w:rPr>
          <w:rFonts w:ascii="Arial" w:hAnsi="Arial" w:cs="Arial"/>
          <w:bCs/>
          <w:i/>
          <w:iCs/>
          <w:sz w:val="20"/>
          <w:szCs w:val="20"/>
        </w:rPr>
        <w:t xml:space="preserve">. </w:t>
      </w:r>
      <w:r>
        <w:rPr>
          <w:rFonts w:ascii="Arial" w:hAnsi="Arial" w:cs="Arial"/>
          <w:bCs/>
          <w:sz w:val="20"/>
          <w:szCs w:val="20"/>
        </w:rPr>
        <w:t>2005;54: 481-483.</w:t>
      </w:r>
    </w:p>
    <w:p>
      <w:pPr>
        <w:numPr>
          <w:ilvl w:val="0"/>
          <w:numId w:val="5"/>
        </w:numPr>
        <w:spacing w:after="0" w:line="240" w:lineRule="auto"/>
        <w:ind w:left="540" w:hanging="540"/>
        <w:jc w:val="both"/>
        <w:rPr>
          <w:rFonts w:ascii="Arial" w:hAnsi="Arial" w:cs="Arial"/>
          <w:bCs/>
          <w:sz w:val="20"/>
          <w:szCs w:val="20"/>
        </w:rPr>
      </w:pPr>
      <w:r>
        <w:rPr>
          <w:rFonts w:ascii="Arial" w:hAnsi="Arial" w:cs="Arial"/>
          <w:bCs/>
          <w:sz w:val="20"/>
          <w:szCs w:val="20"/>
        </w:rPr>
        <w:t>NCCLS. Methods for dilution antimicrobial susceptibility tests for bacteria that grow aerobically: Approved Standard- Fifth Edition. NCCLS document M7-A5: NCCLS: Wayne, PA, USA; 2000.</w:t>
      </w:r>
    </w:p>
    <w:p>
      <w:pPr>
        <w:numPr>
          <w:ilvl w:val="0"/>
          <w:numId w:val="5"/>
        </w:numPr>
        <w:spacing w:after="0" w:line="240" w:lineRule="auto"/>
        <w:ind w:left="540" w:hanging="540"/>
        <w:jc w:val="both"/>
        <w:rPr>
          <w:rFonts w:ascii="Arial" w:hAnsi="Arial" w:cs="Arial"/>
          <w:bCs/>
          <w:sz w:val="20"/>
          <w:szCs w:val="20"/>
        </w:rPr>
        <w:sectPr>
          <w:type w:val="continuous"/>
          <w:pgSz w:w="11909" w:h="16834" w:code="9"/>
          <w:pgMar w:top="1440" w:right="1440" w:bottom="1440" w:left="1440" w:header="720" w:footer="864" w:gutter="0"/>
          <w:pgNumType w:start="36"/>
          <w:cols w:num="2" w:space="288"/>
          <w:docGrid w:linePitch="360"/>
        </w:sectPr>
      </w:pPr>
    </w:p>
    <w:p>
      <w:pPr>
        <w:spacing w:after="0" w:line="240" w:lineRule="auto"/>
        <w:ind w:left="540" w:hanging="540"/>
        <w:jc w:val="center"/>
        <w:rPr>
          <w:rFonts w:ascii="Arial" w:eastAsia="Times New Roman" w:hAnsi="Arial" w:cs="Arial"/>
          <w:i/>
          <w:sz w:val="16"/>
          <w:szCs w:val="20"/>
        </w:rPr>
      </w:pPr>
    </w:p>
    <w:p>
      <w:pPr>
        <w:spacing w:after="0" w:line="240" w:lineRule="auto"/>
        <w:jc w:val="both"/>
        <w:rPr>
          <w:rFonts w:ascii="Arial" w:eastAsia="Times New Roman" w:hAnsi="Arial" w:cs="Arial"/>
        </w:rPr>
      </w:pPr>
      <w:bookmarkStart w:id="23" w:name="_Hlk160208126"/>
      <w:bookmarkEnd w:id="23"/>
    </w:p>
    <w:sectPr>
      <w:type w:val="continuous"/>
      <w:pgSz w:w="11909" w:h="16834" w:code="9"/>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3113"/>
      <w:docPartObj>
        <w:docPartGallery w:val="Page Numbers (Bottom of Page)"/>
        <w:docPartUnique/>
      </w:docPartObj>
    </w:sdtPr>
    <w:sdtContent>
      <w:p>
        <w:pPr>
          <w:pStyle w:val="Footer"/>
          <w:jc w:val="center"/>
          <w:rPr>
            <w:rFonts w:ascii="Arial" w:hAnsi="Arial" w:cs="Arial"/>
            <w:sz w:val="28"/>
          </w:rPr>
        </w:pPr>
      </w:p>
      <w:p>
        <w:pPr>
          <w:pStyle w:val="Footer"/>
          <w:jc w:val="center"/>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Pr>
            <w:rFonts w:ascii="Arial" w:hAnsi="Arial" w:cs="Arial"/>
            <w:noProof/>
            <w:sz w:val="20"/>
          </w:rPr>
          <w:t>2</w:t>
        </w:r>
        <w:r>
          <w:rPr>
            <w:rFonts w:ascii="Arial" w:hAnsi="Arial" w:cs="Arial"/>
            <w:sz w:val="20"/>
          </w:rPr>
          <w:fldChar w:fldCharType="end"/>
        </w:r>
      </w:p>
      <w:p>
        <w:pPr>
          <w:pStyle w:val="Footer"/>
          <w:jc w:val="center"/>
          <w:rPr>
            <w:rFonts w:ascii="Arial" w:hAnsi="Arial" w:cs="Arial"/>
            <w:sz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tabs>
        <w:tab w:val="center" w:pos="4320"/>
        <w:tab w:val="right" w:pos="8640"/>
      </w:tabs>
      <w:spacing w:after="0" w:line="240" w:lineRule="auto"/>
      <w:rPr>
        <w:rFonts w:ascii="Arial" w:eastAsia="Times New Roman" w:hAnsi="Arial" w:cs="Arial"/>
        <w:sz w:val="16"/>
        <w:szCs w:val="20"/>
      </w:rPr>
    </w:pPr>
    <w:r>
      <w:rPr>
        <w:rFonts w:ascii="Arial" w:eastAsia="Times New Roman" w:hAnsi="Arial" w:cs="Arial"/>
        <w:sz w:val="16"/>
        <w:szCs w:val="20"/>
      </w:rPr>
      <w:t>____________________________________________</w:t>
    </w:r>
    <w:r>
      <w:rPr>
        <w:rFonts w:ascii="Arial" w:eastAsia="Times New Roman" w:hAnsi="Arial" w:cs="Arial"/>
        <w:sz w:val="16"/>
        <w:szCs w:val="20"/>
      </w:rPr>
      <w:softHyphen/>
    </w:r>
    <w:r>
      <w:rPr>
        <w:rFonts w:ascii="Arial" w:eastAsia="Times New Roman" w:hAnsi="Arial" w:cs="Arial"/>
        <w:sz w:val="16"/>
        <w:szCs w:val="20"/>
      </w:rPr>
      <w:softHyphen/>
    </w:r>
    <w:r>
      <w:rPr>
        <w:rFonts w:ascii="Arial" w:eastAsia="Times New Roman" w:hAnsi="Arial" w:cs="Arial"/>
        <w:sz w:val="16"/>
        <w:szCs w:val="20"/>
      </w:rPr>
      <w:softHyphen/>
    </w:r>
    <w:r>
      <w:rPr>
        <w:rFonts w:ascii="Arial" w:eastAsia="Times New Roman" w:hAnsi="Arial" w:cs="Arial"/>
        <w:sz w:val="16"/>
        <w:szCs w:val="20"/>
      </w:rPr>
      <w:softHyphen/>
    </w:r>
    <w:r>
      <w:rPr>
        <w:rFonts w:ascii="Arial" w:eastAsia="Times New Roman" w:hAnsi="Arial" w:cs="Arial"/>
        <w:sz w:val="16"/>
        <w:szCs w:val="20"/>
      </w:rPr>
      <w:softHyphen/>
      <w:t>_________________________________________________________</w:t>
    </w:r>
  </w:p>
  <w:p>
    <w:pPr>
      <w:spacing w:after="0" w:line="240" w:lineRule="auto"/>
      <w:jc w:val="both"/>
      <w:rPr>
        <w:rFonts w:ascii="Arial" w:eastAsia="Times New Roman" w:hAnsi="Arial" w:cs="Arial"/>
        <w:i/>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tabs>
        <w:tab w:val="center" w:pos="4320"/>
        <w:tab w:val="right" w:pos="8640"/>
      </w:tabs>
      <w:spacing w:after="0" w:line="240" w:lineRule="auto"/>
      <w:jc w:val="right"/>
      <w:rPr>
        <w:rFonts w:ascii="Arial" w:eastAsia="Times New Roman" w:hAnsi="Arial" w:cs="Arial"/>
        <w:i/>
        <w:sz w:val="16"/>
        <w:szCs w:val="20"/>
        <w:highlight w:val="yellow"/>
      </w:rPr>
    </w:pPr>
  </w:p>
  <w:p>
    <w:pPr>
      <w:tabs>
        <w:tab w:val="center" w:pos="4320"/>
        <w:tab w:val="right" w:pos="8640"/>
      </w:tabs>
      <w:spacing w:after="0" w:line="240" w:lineRule="auto"/>
      <w:jc w:val="right"/>
      <w:rPr>
        <w:rFonts w:ascii="Arial" w:eastAsia="Times New Roman" w:hAnsi="Arial" w:cs="Arial"/>
        <w:i/>
        <w:sz w:val="16"/>
        <w:szCs w:val="20"/>
        <w:highlight w:val="yellow"/>
      </w:rPr>
    </w:pPr>
  </w:p>
  <w:p>
    <w:pPr>
      <w:tabs>
        <w:tab w:val="center" w:pos="4320"/>
        <w:tab w:val="right" w:pos="8640"/>
      </w:tabs>
      <w:spacing w:after="0" w:line="240" w:lineRule="auto"/>
      <w:jc w:val="right"/>
      <w:rPr>
        <w:rFonts w:ascii="Arial" w:eastAsia="Times New Roman" w:hAnsi="Arial" w:cs="Arial"/>
        <w:i/>
        <w:sz w:val="16"/>
        <w:szCs w:val="20"/>
        <w:highlight w:val="yellow"/>
      </w:rPr>
    </w:pPr>
  </w:p>
  <w:p>
    <w:pPr>
      <w:tabs>
        <w:tab w:val="center" w:pos="4320"/>
        <w:tab w:val="right" w:pos="8640"/>
      </w:tabs>
      <w:spacing w:after="0" w:line="240" w:lineRule="auto"/>
      <w:jc w:val="right"/>
      <w:rPr>
        <w:rFonts w:ascii="Arial" w:eastAsia="Times New Roman" w:hAnsi="Arial" w:cs="Arial"/>
        <w:i/>
        <w:sz w:val="16"/>
        <w:szCs w:val="20"/>
        <w:highlight w:val="yellow"/>
      </w:rPr>
    </w:pPr>
  </w:p>
  <w:p>
    <w:pPr>
      <w:tabs>
        <w:tab w:val="center" w:pos="4320"/>
        <w:tab w:val="right" w:pos="8640"/>
      </w:tabs>
      <w:spacing w:after="0" w:line="240" w:lineRule="auto"/>
      <w:jc w:val="right"/>
      <w:rPr>
        <w:rFonts w:ascii="Arial" w:eastAsia="Times New Roman" w:hAnsi="Arial" w:cs="Arial"/>
        <w:i/>
        <w:sz w:val="16"/>
        <w:szCs w:val="20"/>
      </w:rPr>
    </w:pPr>
  </w:p>
  <w:p>
    <w:pPr>
      <w:tabs>
        <w:tab w:val="center" w:pos="4320"/>
        <w:tab w:val="right" w:pos="8640"/>
      </w:tabs>
      <w:spacing w:after="0" w:line="240" w:lineRule="auto"/>
      <w:jc w:val="right"/>
      <w:rPr>
        <w:rFonts w:ascii="Arial" w:eastAsia="Times New Roman" w:hAnsi="Arial" w:cs="Arial"/>
        <w:i/>
        <w:sz w:val="16"/>
        <w:szCs w:val="20"/>
      </w:rPr>
    </w:pPr>
  </w:p>
  <w:p>
    <w:pPr>
      <w:tabs>
        <w:tab w:val="center" w:pos="4320"/>
        <w:tab w:val="right" w:pos="8640"/>
      </w:tabs>
      <w:spacing w:after="0" w:line="240" w:lineRule="auto"/>
      <w:jc w:val="right"/>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5212F"/>
    <w:multiLevelType w:val="hybridMultilevel"/>
    <w:tmpl w:val="A96E60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2865F4"/>
    <w:multiLevelType w:val="hybridMultilevel"/>
    <w:tmpl w:val="35B25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40685D"/>
    <w:multiLevelType w:val="hybridMultilevel"/>
    <w:tmpl w:val="50F2AC38"/>
    <w:lvl w:ilvl="0" w:tplc="B942C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2E2CCA"/>
    <w:multiLevelType w:val="hybridMultilevel"/>
    <w:tmpl w:val="E0CECA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88D0033"/>
    <w:multiLevelType w:val="hybridMultilevel"/>
    <w:tmpl w:val="AA54C5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CF1506"/>
    <w:multiLevelType w:val="hybridMultilevel"/>
    <w:tmpl w:val="6D327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5"/>
      </o:rules>
    </o:shapelayout>
  </w:shapeDefaults>
  <w:decimalSymbol w:val="."/>
  <w:listSeparator w:val=","/>
  <w15:docId w15:val="{392FA20A-597B-4180-AEE0-AC4C5838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ReferHead">
    <w:name w:val="Refer Head"/>
    <w:basedOn w:val="Normal"/>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Pr>
      <w:rFonts w:ascii="Arial" w:eastAsiaTheme="majorEastAsia" w:hAnsi="Arial" w:cstheme="majorBidi"/>
      <w:b/>
      <w:bCs/>
      <w:szCs w:val="26"/>
    </w:rPr>
  </w:style>
  <w:style w:type="character" w:customStyle="1" w:styleId="Heading3Char">
    <w:name w:val="Heading 3 Char"/>
    <w:basedOn w:val="DefaultParagraphFont"/>
    <w:link w:val="Heading3"/>
    <w:uiPriority w:val="9"/>
    <w:rPr>
      <w:rFonts w:ascii="Arial" w:eastAsiaTheme="majorEastAsia" w:hAnsi="Arial" w:cstheme="majorBidi"/>
      <w:b/>
      <w:bCs/>
      <w:i/>
      <w:sz w:val="24"/>
    </w:rPr>
  </w:style>
  <w:style w:type="character" w:customStyle="1" w:styleId="Heading4Char">
    <w:name w:val="Heading 4 Char"/>
    <w:basedOn w:val="DefaultParagraphFont"/>
    <w:link w:val="Heading4"/>
    <w:uiPriority w:val="9"/>
    <w:rPr>
      <w:rFonts w:ascii="Arial" w:eastAsiaTheme="majorEastAsia" w:hAnsi="Arial" w:cstheme="majorBidi"/>
      <w:b/>
      <w:bCs/>
      <w:i/>
      <w:iCs/>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Pr>
      <w:rFonts w:ascii="Times New Roman" w:hAnsi="Times New Roman" w:cs="Times New Roman" w:hint="default"/>
      <w:b/>
      <w:bCs/>
      <w:i w:val="0"/>
      <w:iCs w:val="0"/>
      <w:color w:val="000000"/>
      <w:sz w:val="24"/>
      <w:szCs w:val="24"/>
    </w:rPr>
  </w:style>
  <w:style w:type="paragraph" w:styleId="ListParagraph">
    <w:name w:val="List Paragraph"/>
    <w:basedOn w:val="Normal"/>
    <w:uiPriority w:val="34"/>
    <w:qFormat/>
    <w:pPr>
      <w:ind w:left="720"/>
      <w:contextualSpacing/>
    </w:pPr>
    <w:rPr>
      <w:rFonts w:eastAsiaTheme="minorHAnsi"/>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FrameContents">
    <w:name w:val="Frame Contents"/>
    <w:basedOn w:val="Normal"/>
    <w:qFormat/>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867730">
      <w:bodyDiv w:val="1"/>
      <w:marLeft w:val="0"/>
      <w:marRight w:val="0"/>
      <w:marTop w:val="0"/>
      <w:marBottom w:val="0"/>
      <w:divBdr>
        <w:top w:val="none" w:sz="0" w:space="0" w:color="auto"/>
        <w:left w:val="none" w:sz="0" w:space="0" w:color="auto"/>
        <w:bottom w:val="none" w:sz="0" w:space="0" w:color="auto"/>
        <w:right w:val="none" w:sz="0" w:space="0" w:color="auto"/>
      </w:divBdr>
    </w:div>
    <w:div w:id="197868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37FFB-BE8A-4B12-A135-9C2A4222F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12</Pages>
  <Words>4275</Words>
  <Characters>24371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SDI 1170</cp:lastModifiedBy>
  <cp:revision>177</cp:revision>
  <cp:lastPrinted>2024-04-09T11:22:00Z</cp:lastPrinted>
  <dcterms:created xsi:type="dcterms:W3CDTF">2014-09-20T11:25:00Z</dcterms:created>
  <dcterms:modified xsi:type="dcterms:W3CDTF">2025-10-25T10:04:00Z</dcterms:modified>
</cp:coreProperties>
</file>