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31DC" w14:textId="77777777" w:rsidR="00A736EC" w:rsidRPr="00A736EC" w:rsidRDefault="00A736EC" w:rsidP="00A736EC">
      <w:pPr>
        <w:pStyle w:val="Title"/>
        <w:ind w:right="142"/>
        <w:jc w:val="center"/>
        <w:rPr>
          <w:rFonts w:asciiTheme="majorBidi" w:hAnsiTheme="majorBidi" w:cstheme="majorBidi"/>
          <w:i/>
          <w:iCs/>
          <w:spacing w:val="-2"/>
          <w:sz w:val="24"/>
          <w:szCs w:val="24"/>
          <w:u w:val="single"/>
        </w:rPr>
      </w:pPr>
      <w:r w:rsidRPr="00A736EC">
        <w:rPr>
          <w:rFonts w:asciiTheme="majorBidi" w:hAnsiTheme="majorBidi" w:cstheme="majorBidi"/>
          <w:i/>
          <w:iCs/>
          <w:spacing w:val="-2"/>
          <w:sz w:val="24"/>
          <w:szCs w:val="24"/>
          <w:u w:val="single"/>
        </w:rPr>
        <w:t>Review Article</w:t>
      </w:r>
    </w:p>
    <w:p w14:paraId="2516CA1D" w14:textId="77777777" w:rsidR="00B87CD5" w:rsidRPr="00C7132A" w:rsidRDefault="00F83E17" w:rsidP="00C7132A">
      <w:pPr>
        <w:pStyle w:val="Title"/>
        <w:ind w:left="0" w:right="142"/>
        <w:jc w:val="center"/>
        <w:rPr>
          <w:rFonts w:asciiTheme="majorBidi" w:hAnsiTheme="majorBidi" w:cstheme="majorBidi"/>
          <w:sz w:val="24"/>
          <w:szCs w:val="24"/>
        </w:rPr>
      </w:pPr>
      <w:r w:rsidRPr="00C7132A">
        <w:rPr>
          <w:rFonts w:asciiTheme="majorBidi" w:hAnsiTheme="majorBidi" w:cstheme="majorBidi"/>
          <w:spacing w:val="-2"/>
          <w:sz w:val="24"/>
          <w:szCs w:val="24"/>
        </w:rPr>
        <w:t>Role</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of</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Programmed</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Cell</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Death</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in</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Kidney</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Development:</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 xml:space="preserve">A </w:t>
      </w:r>
      <w:r w:rsidRPr="00C7132A">
        <w:rPr>
          <w:rFonts w:asciiTheme="majorBidi" w:hAnsiTheme="majorBidi" w:cstheme="majorBidi"/>
          <w:sz w:val="24"/>
          <w:szCs w:val="24"/>
        </w:rPr>
        <w:t>Comprehensive Histological Review</w:t>
      </w:r>
    </w:p>
    <w:p w14:paraId="765490ED" w14:textId="77777777" w:rsidR="00AA0411" w:rsidRPr="00C7132A" w:rsidRDefault="00AA0411" w:rsidP="00C7132A">
      <w:pPr>
        <w:ind w:right="142"/>
        <w:jc w:val="center"/>
        <w:rPr>
          <w:rFonts w:asciiTheme="majorBidi" w:eastAsia="Calibri" w:hAnsiTheme="majorBidi" w:cstheme="majorBidi"/>
          <w:b/>
          <w:color w:val="000000"/>
          <w:sz w:val="24"/>
          <w:szCs w:val="24"/>
        </w:rPr>
      </w:pPr>
    </w:p>
    <w:p w14:paraId="772C31CE" w14:textId="77777777" w:rsidR="005836C7" w:rsidRPr="00C7132A" w:rsidRDefault="005836C7" w:rsidP="00C7132A">
      <w:pPr>
        <w:pStyle w:val="Heading1"/>
        <w:spacing w:before="277"/>
        <w:ind w:left="0" w:right="142" w:firstLine="0"/>
        <w:jc w:val="both"/>
        <w:rPr>
          <w:rFonts w:asciiTheme="majorBidi" w:hAnsiTheme="majorBidi" w:cstheme="majorBidi"/>
          <w:spacing w:val="-2"/>
          <w:sz w:val="24"/>
          <w:szCs w:val="24"/>
        </w:rPr>
      </w:pPr>
    </w:p>
    <w:p w14:paraId="5B9266DD" w14:textId="4883C63E" w:rsidR="00EE6946" w:rsidRPr="00222CCD" w:rsidRDefault="005836C7" w:rsidP="00430FAA">
      <w:pPr>
        <w:pStyle w:val="BodyText"/>
        <w:spacing w:before="221"/>
        <w:ind w:left="0" w:right="142"/>
        <w:jc w:val="both"/>
        <w:rPr>
          <w:rFonts w:asciiTheme="majorBidi" w:hAnsiTheme="majorBidi" w:cstheme="majorBidi"/>
          <w:rtl/>
          <w:lang w:bidi="ar-IQ"/>
        </w:rPr>
      </w:pPr>
      <w:proofErr w:type="gramStart"/>
      <w:r>
        <w:rPr>
          <w:rFonts w:asciiTheme="majorBidi" w:hAnsiTheme="majorBidi" w:cstheme="majorBidi"/>
          <w:b/>
          <w:bCs/>
          <w:lang w:bidi="ar-IQ"/>
        </w:rPr>
        <w:t xml:space="preserve">Abstract </w:t>
      </w:r>
      <w:r w:rsidR="00235DE2" w:rsidRPr="00C7132A">
        <w:rPr>
          <w:rFonts w:asciiTheme="majorBidi" w:hAnsiTheme="majorBidi" w:cstheme="majorBidi"/>
          <w:b/>
          <w:bCs/>
          <w:lang w:bidi="ar-IQ"/>
        </w:rPr>
        <w:t>:</w:t>
      </w:r>
      <w:proofErr w:type="gramEnd"/>
      <w:r w:rsidR="00743CC1" w:rsidRPr="00C7132A">
        <w:rPr>
          <w:rFonts w:asciiTheme="majorBidi" w:hAnsiTheme="majorBidi" w:cstheme="majorBidi"/>
          <w:lang w:bidi="ar-IQ"/>
        </w:rPr>
        <w:t xml:space="preserve"> Apoptosis is important form of cell death in the morphogenesis of the nephron during kidney organogenesis. The kidney is one of the most complex organs to develop because of its extraordinary cellular diversity, highly ordered architecture of tissues, and its absolute reliance upon the highly regulated and spatiotemporally coordinated mechanisms of cell death.</w:t>
      </w:r>
      <w:r w:rsidR="00C7132A">
        <w:rPr>
          <w:rFonts w:asciiTheme="majorBidi" w:hAnsiTheme="majorBidi" w:cstheme="majorBidi" w:hint="cs"/>
          <w:b/>
          <w:spacing w:val="-6"/>
          <w:rtl/>
        </w:rPr>
        <w:t xml:space="preserve"> </w:t>
      </w:r>
      <w:r w:rsidR="00222CCD" w:rsidRPr="00222CCD">
        <w:rPr>
          <w:rFonts w:asciiTheme="majorBidi" w:hAnsiTheme="majorBidi" w:cstheme="majorBidi"/>
          <w:b/>
          <w:spacing w:val="-6"/>
        </w:rPr>
        <w:t>Our primary goal was for our research to be based on the study of programmed cell death, its histological examination, as well as various molecular mechanisms that could influence nephron formation and the development of the definitive kidney</w:t>
      </w:r>
      <w:r w:rsidR="00743CC1" w:rsidRPr="00C7132A">
        <w:rPr>
          <w:rFonts w:asciiTheme="majorBidi" w:hAnsiTheme="majorBidi" w:cstheme="majorBidi"/>
          <w:lang w:bidi="ar-IQ"/>
        </w:rPr>
        <w:t>.</w:t>
      </w:r>
      <w:r w:rsidR="00222CCD">
        <w:rPr>
          <w:rFonts w:asciiTheme="majorBidi" w:hAnsiTheme="majorBidi" w:cstheme="majorBidi"/>
          <w:lang w:bidi="ar-IQ"/>
        </w:rPr>
        <w:t xml:space="preserve"> </w:t>
      </w:r>
      <w:r w:rsidR="00222CCD" w:rsidRPr="00222CCD">
        <w:rPr>
          <w:rFonts w:asciiTheme="majorBidi" w:hAnsiTheme="majorBidi" w:cstheme="majorBidi"/>
          <w:lang w:bidi="ar-IQ"/>
        </w:rPr>
        <w:t>A literature review on apoptosis and its influence on kidney development was conducted between 2010 and 2024 using several scientific databases</w:t>
      </w:r>
      <w:r w:rsidR="00743CC1" w:rsidRPr="00C7132A">
        <w:rPr>
          <w:rFonts w:asciiTheme="majorBidi" w:hAnsiTheme="majorBidi" w:cstheme="majorBidi"/>
          <w:lang w:bidi="ar-IQ"/>
        </w:rPr>
        <w:t>.</w:t>
      </w:r>
      <w:r w:rsidR="00C7132A">
        <w:rPr>
          <w:rFonts w:asciiTheme="majorBidi" w:hAnsiTheme="majorBidi" w:cstheme="majorBidi"/>
          <w:lang w:bidi="ar-IQ"/>
        </w:rPr>
        <w:t xml:space="preserve"> </w:t>
      </w:r>
      <w:r w:rsidR="002F1337" w:rsidRPr="00C7132A">
        <w:rPr>
          <w:rFonts w:asciiTheme="majorBidi" w:hAnsiTheme="majorBidi" w:cstheme="majorBidi"/>
          <w:lang w:bidi="ar-IQ"/>
        </w:rPr>
        <w:t>Kidney development is greatly influenced by apoptosis, which involves nephron patterning, branching morphogenesis of the ureteric bud, and cell death when cells in exces</w:t>
      </w:r>
      <w:r w:rsidR="00222CCD">
        <w:rPr>
          <w:rFonts w:asciiTheme="majorBidi" w:hAnsiTheme="majorBidi" w:cstheme="majorBidi"/>
          <w:lang w:bidi="ar-IQ"/>
        </w:rPr>
        <w:t>s grow during kidney remodeling</w:t>
      </w:r>
      <w:r w:rsidR="00430FAA">
        <w:rPr>
          <w:rFonts w:asciiTheme="majorBidi" w:hAnsiTheme="majorBidi" w:cstheme="majorBidi"/>
          <w:lang w:bidi="ar-IQ"/>
        </w:rPr>
        <w:t xml:space="preserve">, </w:t>
      </w:r>
      <w:r w:rsidR="009A2DBE" w:rsidRPr="00C7132A">
        <w:rPr>
          <w:rFonts w:asciiTheme="majorBidi" w:hAnsiTheme="majorBidi" w:cstheme="majorBidi"/>
        </w:rPr>
        <w:t>Apoptosis is also tightly regulated during kidney development to determine nephron number. Disturbance of apoptosis would therefore contribute to congenital anomalies of the kidney and urinary tract as well as other forms of progressive kidney disease.</w:t>
      </w:r>
      <w:r w:rsidR="00C7132A">
        <w:rPr>
          <w:rFonts w:asciiTheme="majorBidi" w:hAnsiTheme="majorBidi" w:cstheme="majorBidi"/>
          <w:lang w:bidi="ar-IQ"/>
        </w:rPr>
        <w:t xml:space="preserve"> </w:t>
      </w:r>
      <w:r w:rsidR="00EE6946" w:rsidRPr="00C7132A">
        <w:rPr>
          <w:rFonts w:asciiTheme="majorBidi" w:hAnsiTheme="majorBidi" w:cstheme="majorBidi"/>
        </w:rPr>
        <w:t>The knowledge of programmed cell death in kidney development offers valuable information related to normal nephrogenesis and abnormal kidney conditions. In the future, kidney therapies could become more effective if apoptotic pathways involved in kidney development and regener</w:t>
      </w:r>
      <w:r w:rsidR="00B42C1A" w:rsidRPr="00C7132A">
        <w:rPr>
          <w:rFonts w:asciiTheme="majorBidi" w:hAnsiTheme="majorBidi" w:cstheme="majorBidi"/>
        </w:rPr>
        <w:t>ative processes are identified.</w:t>
      </w:r>
    </w:p>
    <w:p w14:paraId="1A810B26" w14:textId="77777777" w:rsidR="00C7132A" w:rsidRDefault="00EE6946" w:rsidP="00C7132A">
      <w:pPr>
        <w:pStyle w:val="BodyText"/>
        <w:spacing w:before="202"/>
        <w:ind w:left="0" w:right="142"/>
        <w:jc w:val="both"/>
        <w:rPr>
          <w:rFonts w:asciiTheme="majorBidi" w:hAnsiTheme="majorBidi" w:cstheme="majorBidi"/>
        </w:rPr>
      </w:pPr>
      <w:r w:rsidRPr="00C7132A">
        <w:rPr>
          <w:rFonts w:asciiTheme="majorBidi" w:hAnsiTheme="majorBidi" w:cstheme="majorBidi"/>
          <w:b/>
          <w:bCs/>
        </w:rPr>
        <w:t>Keywords:</w:t>
      </w:r>
      <w:r w:rsidRPr="00C7132A">
        <w:rPr>
          <w:rFonts w:asciiTheme="majorBidi" w:hAnsiTheme="majorBidi" w:cstheme="majorBidi"/>
        </w:rPr>
        <w:t xml:space="preserve"> programmed cell death, apoptosis, kidney development, nephron development, branching morphogenesis, nephrogenesis, histology</w:t>
      </w:r>
    </w:p>
    <w:p w14:paraId="639562A1" w14:textId="77777777" w:rsidR="00F611EB" w:rsidRPr="00C7132A" w:rsidRDefault="00F611EB" w:rsidP="00C7132A">
      <w:pPr>
        <w:pStyle w:val="BodyText"/>
        <w:spacing w:before="202"/>
        <w:ind w:left="0" w:right="142"/>
        <w:jc w:val="both"/>
        <w:rPr>
          <w:rFonts w:asciiTheme="majorBidi" w:hAnsiTheme="majorBidi" w:cstheme="majorBidi"/>
        </w:rPr>
      </w:pPr>
      <w:r w:rsidRPr="00C7132A">
        <w:rPr>
          <w:rFonts w:asciiTheme="majorBidi" w:hAnsiTheme="majorBidi" w:cstheme="majorBidi"/>
          <w:b/>
          <w:bCs/>
          <w:spacing w:val="-2"/>
        </w:rPr>
        <w:t>Introduction</w:t>
      </w:r>
    </w:p>
    <w:p w14:paraId="74F5B2AC" w14:textId="2DD1EDFF" w:rsidR="00CC0FF2" w:rsidRPr="00C7132A" w:rsidRDefault="00F611EB" w:rsidP="00F161AC">
      <w:pPr>
        <w:pStyle w:val="BodyText"/>
        <w:spacing w:before="202"/>
        <w:ind w:left="0" w:right="142"/>
        <w:jc w:val="both"/>
        <w:rPr>
          <w:rFonts w:asciiTheme="majorBidi" w:hAnsiTheme="majorBidi" w:cstheme="majorBidi"/>
          <w:spacing w:val="-2"/>
        </w:rPr>
      </w:pPr>
      <w:r w:rsidRPr="00C7132A">
        <w:rPr>
          <w:rFonts w:asciiTheme="majorBidi" w:hAnsiTheme="majorBidi" w:cstheme="majorBidi"/>
          <w:spacing w:val="-2"/>
        </w:rPr>
        <w:t xml:space="preserve">The mammalian kidney is one of the most complexly organized organs in the body, with more than 20 different cell types and approximately one million functioning units called nephrons (1). The development of this complex organ requires the careful regulation of timing and space of multiple cellular processes e.g., cell cycle progression, differentiation, migration and cell death (2). Among these processes, apoptosis is especially important in the development, final architecture and functionality of the mature kidney (3). </w:t>
      </w:r>
      <w:r w:rsidR="00CC0FF2" w:rsidRPr="00C7132A">
        <w:rPr>
          <w:rFonts w:asciiTheme="majorBidi" w:hAnsiTheme="majorBidi" w:cstheme="majorBidi"/>
          <w:spacing w:val="-2"/>
        </w:rPr>
        <w:t>Kidney formation begins at about embryonic day 9.5 in the mouse, or 5 weeks in gestation in humans, and primarily involves complex reciprocal interactions between the ureteric bud a</w:t>
      </w:r>
      <w:r w:rsidR="00027DBE" w:rsidRPr="00C7132A">
        <w:rPr>
          <w:rFonts w:asciiTheme="majorBidi" w:hAnsiTheme="majorBidi" w:cstheme="majorBidi"/>
          <w:spacing w:val="-2"/>
        </w:rPr>
        <w:t>nd metanephric mesenchyme (4). In humans, kidney formation is the complete growth process that continues until approximately the 36th week of pregnancy, when it stops for life (5). Furthermore, programmed cell death (PCD) at this stage of development plays a crucial role in determining the final number of nephrons and kidney function in adulthood (6). Recent results in scientific studies have proven that programmed cell death is necessary to remove tissue during the kidney growth stage, and to regulate and remove the excess number of cells during normal growth (7).</w:t>
      </w:r>
      <w:r w:rsidR="00F161AC">
        <w:rPr>
          <w:rFonts w:asciiTheme="majorBidi" w:hAnsiTheme="majorBidi" w:cstheme="majorBidi"/>
          <w:spacing w:val="-2"/>
        </w:rPr>
        <w:t xml:space="preserve"> A</w:t>
      </w:r>
      <w:r w:rsidR="00CC0FF2" w:rsidRPr="00C7132A">
        <w:rPr>
          <w:rFonts w:asciiTheme="majorBidi" w:hAnsiTheme="majorBidi" w:cstheme="majorBidi"/>
          <w:spacing w:val="-2"/>
        </w:rPr>
        <w:t>poptosis is an important contributor to structural remodeling and regeneration throughout the life of an organism, especially following injury (8). Therefore, as the literature suggests developmentally programmed aspects of kidney structure and adult susceptibility to chronic kidney disease (9), better understanding of the underlying mechanisms is needed. In addition, the mature mammalian kidney is relatively quiescent (i.e., little mitotic activity, and little apoptosis) when homeostatic (10</w:t>
      </w:r>
      <w:proofErr w:type="gramStart"/>
      <w:r w:rsidR="00CC0FF2" w:rsidRPr="00C7132A">
        <w:rPr>
          <w:rFonts w:asciiTheme="majorBidi" w:hAnsiTheme="majorBidi" w:cstheme="majorBidi"/>
          <w:spacing w:val="-2"/>
        </w:rPr>
        <w:t>).The</w:t>
      </w:r>
      <w:proofErr w:type="gramEnd"/>
      <w:r w:rsidR="00CC0FF2" w:rsidRPr="00C7132A">
        <w:rPr>
          <w:rFonts w:asciiTheme="majorBidi" w:hAnsiTheme="majorBidi" w:cstheme="majorBidi"/>
          <w:spacing w:val="-2"/>
        </w:rPr>
        <w:t xml:space="preserve"> resting state of a mature kidney is starkly different from the highly </w:t>
      </w:r>
      <w:r w:rsidR="00CC0FF2" w:rsidRPr="00C7132A">
        <w:rPr>
          <w:rFonts w:asciiTheme="majorBidi" w:hAnsiTheme="majorBidi" w:cstheme="majorBidi"/>
          <w:spacing w:val="-2"/>
        </w:rPr>
        <w:lastRenderedPageBreak/>
        <w:t>dynamic cellular environment of kidney developmental embryogenesis, where programmed cell death is regulated by an explicit spatiotemporal program to attain the proper organ architecture (11). The process of development dynamically transitioning to a resting mature kidney is a major shift in cellular processes in the kidney that, to date, we do not fully comprehend (12). This review is aimed to present the current state of knowledge concerning mechanisms of programmed cell death in kidney development and focuses primarily on histological evidence and molecular pathways of programmed cell death during nephrogenesis.</w:t>
      </w:r>
    </w:p>
    <w:p w14:paraId="10D457D0" w14:textId="77777777" w:rsidR="00E109AB" w:rsidRPr="00C7132A" w:rsidRDefault="00073EE2" w:rsidP="00C7132A">
      <w:pPr>
        <w:pStyle w:val="BodyText"/>
        <w:spacing w:before="202"/>
        <w:ind w:left="0" w:right="142"/>
        <w:jc w:val="both"/>
        <w:rPr>
          <w:rFonts w:asciiTheme="majorBidi" w:hAnsiTheme="majorBidi" w:cstheme="majorBidi"/>
          <w:spacing w:val="-2"/>
          <w:lang w:bidi="ar-IQ"/>
        </w:rPr>
      </w:pPr>
      <w:r w:rsidRPr="00C7132A">
        <w:rPr>
          <w:rFonts w:asciiTheme="majorBidi" w:hAnsiTheme="majorBidi" w:cstheme="majorBidi"/>
          <w:b/>
          <w:bCs/>
        </w:rPr>
        <w:t>Embryonic Kidney Development and Apoptotic</w:t>
      </w:r>
      <w:r w:rsidR="00C7132A">
        <w:rPr>
          <w:rFonts w:asciiTheme="majorBidi" w:hAnsiTheme="majorBidi" w:cstheme="majorBidi"/>
          <w:b/>
          <w:bCs/>
        </w:rPr>
        <w:t xml:space="preserve"> </w:t>
      </w:r>
      <w:r w:rsidRPr="00C7132A">
        <w:rPr>
          <w:rFonts w:asciiTheme="majorBidi" w:hAnsiTheme="majorBidi" w:cstheme="majorBidi"/>
          <w:b/>
          <w:bCs/>
        </w:rPr>
        <w:t>Patterns</w:t>
      </w:r>
    </w:p>
    <w:p w14:paraId="3D398C9F" w14:textId="77777777" w:rsidR="00E109AB" w:rsidRPr="00C7132A" w:rsidRDefault="00073EE2"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Stages of Kidney Development</w:t>
      </w:r>
    </w:p>
    <w:p w14:paraId="63D4833B" w14:textId="4068957B" w:rsidR="00AA0411" w:rsidRPr="00C7132A" w:rsidRDefault="00073EE2" w:rsidP="00606756">
      <w:pPr>
        <w:pStyle w:val="BodyText"/>
        <w:spacing w:before="202"/>
        <w:ind w:left="0" w:right="142"/>
        <w:jc w:val="both"/>
        <w:rPr>
          <w:rFonts w:asciiTheme="majorBidi" w:hAnsiTheme="majorBidi" w:cstheme="majorBidi"/>
        </w:rPr>
      </w:pPr>
      <w:r w:rsidRPr="00C7132A">
        <w:rPr>
          <w:rFonts w:asciiTheme="majorBidi" w:hAnsiTheme="majorBidi" w:cstheme="majorBidi"/>
        </w:rPr>
        <w:t>Mammalian kidney development occurs in three distinct sequential developmental stages: pronephros, mesonephros, and metanephros (13). Each stage has unique cell death patterns contribute to the transition from rudimentary to more complex kidney structures (14</w:t>
      </w:r>
      <w:proofErr w:type="gramStart"/>
      <w:r w:rsidRPr="00C7132A">
        <w:rPr>
          <w:rFonts w:asciiTheme="majorBidi" w:hAnsiTheme="majorBidi" w:cstheme="majorBidi"/>
        </w:rPr>
        <w:t>).The</w:t>
      </w:r>
      <w:proofErr w:type="gramEnd"/>
      <w:r w:rsidRPr="00C7132A">
        <w:rPr>
          <w:rFonts w:asciiTheme="majorBidi" w:hAnsiTheme="majorBidi" w:cstheme="majorBidi"/>
        </w:rPr>
        <w:t xml:space="preserve"> pronephros, the first structure that appears during embryonic development, will undergo complete regression via extensive apoptotic cell deaths, while also providing a number of signaling molecules that promote the next stages of kidney development (15).</w:t>
      </w:r>
      <w:r w:rsidR="00E109AB" w:rsidRPr="00C7132A">
        <w:rPr>
          <w:rFonts w:asciiTheme="majorBidi" w:hAnsiTheme="majorBidi" w:cstheme="majorBidi"/>
          <w:spacing w:val="-2"/>
          <w:rtl/>
          <w:lang w:bidi="ar-IQ"/>
        </w:rPr>
        <w:t xml:space="preserve"> </w:t>
      </w:r>
      <w:r w:rsidRPr="00C7132A">
        <w:rPr>
          <w:rFonts w:asciiTheme="majorBidi" w:hAnsiTheme="majorBidi" w:cstheme="majorBidi"/>
        </w:rPr>
        <w:t>The mesonephros develops next and is functional as a kidney via mid-gestation in mammals (16). The</w:t>
      </w:r>
      <w:r w:rsidR="00606756">
        <w:rPr>
          <w:rFonts w:asciiTheme="majorBidi" w:hAnsiTheme="majorBidi" w:cstheme="majorBidi"/>
        </w:rPr>
        <w:t xml:space="preserve"> M</w:t>
      </w:r>
      <w:r w:rsidRPr="00C7132A">
        <w:rPr>
          <w:rFonts w:asciiTheme="majorBidi" w:hAnsiTheme="majorBidi" w:cstheme="majorBidi"/>
        </w:rPr>
        <w:t>esonephros ultimately undergoes selective apoptosis of the tubular structures, where the majority of tubular structures undergo apoptosis but the Wolffian duct is retained to form portions of the male reproductive system (17). The apoptotic patterns in mesonephros regression illustrates the precision of apoptotic mechanisms in selectively removing specific populations of cells while retaining others (18).</w:t>
      </w:r>
      <w:r w:rsidR="00E109AB" w:rsidRPr="00C7132A">
        <w:rPr>
          <w:rFonts w:asciiTheme="majorBidi" w:hAnsiTheme="majorBidi" w:cstheme="majorBidi"/>
          <w:spacing w:val="-2"/>
          <w:rtl/>
          <w:lang w:bidi="ar-IQ"/>
        </w:rPr>
        <w:t xml:space="preserve"> </w:t>
      </w:r>
      <w:r w:rsidRPr="00C7132A">
        <w:rPr>
          <w:rFonts w:asciiTheme="majorBidi" w:hAnsiTheme="majorBidi" w:cstheme="majorBidi"/>
        </w:rPr>
        <w:t xml:space="preserve">The metanephros represents the final and defining kidney structure in mammals. Development of the metanephros occurs through complex interactions between the ureteric bud and adjacent metanephric mesenchyme (19). In contrast to previous stages, the metanephros actually exhibits selective patterns of apoptosis for tissue </w:t>
      </w:r>
      <w:proofErr w:type="spellStart"/>
      <w:r w:rsidRPr="00C7132A">
        <w:rPr>
          <w:rFonts w:asciiTheme="majorBidi" w:hAnsiTheme="majorBidi" w:cstheme="majorBidi"/>
        </w:rPr>
        <w:t>remodelling</w:t>
      </w:r>
      <w:proofErr w:type="spellEnd"/>
      <w:r w:rsidRPr="00C7132A">
        <w:rPr>
          <w:rFonts w:asciiTheme="majorBidi" w:hAnsiTheme="majorBidi" w:cstheme="majorBidi"/>
        </w:rPr>
        <w:t xml:space="preserve"> rather than simply eliminating structures (20). This selective apoptosis ultimately plays an important role in establishing the proper kidney architecture and assigning final nephron number (21).</w:t>
      </w:r>
    </w:p>
    <w:p w14:paraId="6ABB559C"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 xml:space="preserve">Histological Evidence of Apoptosis During Nephrogenesis </w:t>
      </w:r>
    </w:p>
    <w:p w14:paraId="2FD02015"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rPr>
        <w:t>Histological analyses of developing kidneys show distinct spatial and temporal patterns of apoptotic cell death throughout nephrogenesis (22). In the early stages of metanephric development, apoptosis is largely confined to the peripheral, or outer regions of the metanephric mesenchyme, where it plays a role in establishing appropriate cell density for the formation of highly specialized nephron structures (23). The pattern of apoptosis in the early phases of nephrogenesis seems to correspond with gradients of growth factors and morphogens that pattern the developing kidney (24). As nephrogenesis progresses, apoptosis becomes increasingly spatially anchored to specific anatomical regions and development phases of nephron formation (25). During the mesenchymal-to-epithelial transition that marks the start of nephron development, selective apoptosis of mesenchymal cells can occur to eliminate those that will not contribute to the epithelial structure (26). This quality control measure ensures only appropriately specified cells contribute to nephron development (27).</w:t>
      </w:r>
      <w:r w:rsidR="00C7132A">
        <w:rPr>
          <w:rFonts w:asciiTheme="majorBidi" w:hAnsiTheme="majorBidi" w:cstheme="majorBidi"/>
          <w:spacing w:val="-2"/>
          <w:lang w:bidi="ar-IQ"/>
        </w:rPr>
        <w:t xml:space="preserve"> </w:t>
      </w:r>
      <w:r w:rsidRPr="00C7132A">
        <w:rPr>
          <w:rFonts w:asciiTheme="majorBidi" w:hAnsiTheme="majorBidi" w:cstheme="majorBidi"/>
        </w:rPr>
        <w:t>The apoptosis pattern of the developing nephron is stage-specific as it matures from the first mesenchymal aggregate to the mature functioning unit (28). The renal vesicle and comma-shaped body stages of nephron development show minimal to no apoptosis, followed by later stages with significant cell death as it pertains to lumen formation and cellular differentiation (29). The S-shaped body stage possesses characteristic patterns of apoptosis that reflect specific nephron segments (30).</w:t>
      </w:r>
    </w:p>
    <w:p w14:paraId="5E6B9A5F"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lastRenderedPageBreak/>
        <w:t>Branching Morphogenesis and Programmed Cell Death</w:t>
      </w:r>
    </w:p>
    <w:p w14:paraId="610E190F" w14:textId="77777777" w:rsidR="0065677D" w:rsidRPr="00C7132A" w:rsidRDefault="00E73767" w:rsidP="00C7132A">
      <w:pPr>
        <w:pStyle w:val="BodyText"/>
        <w:spacing w:before="202"/>
        <w:ind w:left="0" w:right="142"/>
        <w:jc w:val="both"/>
        <w:rPr>
          <w:rFonts w:asciiTheme="majorBidi" w:hAnsiTheme="majorBidi" w:cstheme="majorBidi"/>
        </w:rPr>
      </w:pPr>
      <w:r w:rsidRPr="00C7132A">
        <w:rPr>
          <w:rFonts w:asciiTheme="majorBidi" w:hAnsiTheme="majorBidi" w:cstheme="majorBidi"/>
        </w:rPr>
        <w:t>The ureteric bud undergoes extensive branching morphogenesis to create the collecting duct system of the mature kidney (31). This process requires precisely coordinated cell death events that help form the complex three-dimensional architecture of the collecting system (32). Apoptosis during branching morphogenesis primarily occurs at branch points and in locations where excessive cellular proliferation would have blocked tubular formation (33).</w:t>
      </w:r>
      <w:r w:rsidR="008E6904" w:rsidRPr="00C7132A">
        <w:rPr>
          <w:rFonts w:asciiTheme="majorBidi" w:hAnsiTheme="majorBidi" w:cstheme="majorBidi"/>
        </w:rPr>
        <w:t xml:space="preserve"> </w:t>
      </w:r>
      <w:r w:rsidR="0065677D" w:rsidRPr="00C7132A">
        <w:rPr>
          <w:rFonts w:asciiTheme="majorBidi" w:hAnsiTheme="majorBidi" w:cstheme="majorBidi"/>
        </w:rPr>
        <w:t xml:space="preserve">MMPs have been identified as being involved in both extracellular matrix remodeling (ECM) and cell death during branching (34). The role of MMP9 during kidney development is significant, </w:t>
      </w:r>
      <w:proofErr w:type="gramStart"/>
      <w:r w:rsidR="0065677D" w:rsidRPr="00C7132A">
        <w:rPr>
          <w:rFonts w:asciiTheme="majorBidi" w:hAnsiTheme="majorBidi" w:cstheme="majorBidi"/>
        </w:rPr>
        <w:t>with it</w:t>
      </w:r>
      <w:proofErr w:type="gramEnd"/>
      <w:r w:rsidR="0065677D" w:rsidRPr="00C7132A">
        <w:rPr>
          <w:rFonts w:asciiTheme="majorBidi" w:hAnsiTheme="majorBidi" w:cstheme="majorBidi"/>
        </w:rPr>
        <w:t xml:space="preserve"> limiting apoptosis and facilitating branching (35). Establishing appropriate branching patterns during assembly system growth is crucial due to the association between MMP activity and apoptosis, which is considered functional cell death (36). The complicated regulatory networks that govern kidney growth can be seen in the relationship between apoptosis and cell branching (37). Growth factors, transcription factors, and ECM components are responsible for regulating the initiation of apoptosis during branching (38). Disruptions of these organizational networks can cause deviations in the branching of the assembly system and abnormal branching in it (39).</w:t>
      </w:r>
    </w:p>
    <w:p w14:paraId="74E43986" w14:textId="77777777" w:rsidR="00E109AB" w:rsidRPr="00C7132A" w:rsidRDefault="005B4AEB"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Molecular Mechanisms of Apoptosis in Kidney Development</w:t>
      </w:r>
    </w:p>
    <w:p w14:paraId="727FCB27" w14:textId="77777777" w:rsidR="0052689A" w:rsidRPr="00C7132A" w:rsidRDefault="005B4AEB" w:rsidP="00C7132A">
      <w:pPr>
        <w:pStyle w:val="BodyText"/>
        <w:spacing w:before="202"/>
        <w:ind w:left="0" w:right="142"/>
        <w:jc w:val="both"/>
        <w:rPr>
          <w:rFonts w:asciiTheme="majorBidi" w:hAnsiTheme="majorBidi" w:cstheme="majorBidi"/>
          <w:spacing w:val="-2"/>
          <w:lang w:bidi="ar-IQ"/>
        </w:rPr>
      </w:pPr>
      <w:r w:rsidRPr="00C7132A">
        <w:rPr>
          <w:rFonts w:asciiTheme="majorBidi" w:hAnsiTheme="majorBidi" w:cstheme="majorBidi"/>
          <w:b/>
          <w:bCs/>
        </w:rPr>
        <w:t>Intrinsic Apoptotic Pathways</w:t>
      </w:r>
    </w:p>
    <w:p w14:paraId="2BA19294" w14:textId="77777777" w:rsidR="00C7132A" w:rsidRDefault="0065677D" w:rsidP="00C7132A">
      <w:pPr>
        <w:pStyle w:val="BodyText"/>
        <w:spacing w:before="202"/>
        <w:ind w:left="0" w:right="142"/>
        <w:jc w:val="both"/>
        <w:rPr>
          <w:rFonts w:asciiTheme="majorBidi" w:hAnsiTheme="majorBidi" w:cstheme="majorBidi"/>
          <w:spacing w:val="-16"/>
        </w:rPr>
      </w:pPr>
      <w:r w:rsidRPr="00C7132A">
        <w:rPr>
          <w:rFonts w:asciiTheme="majorBidi" w:hAnsiTheme="majorBidi" w:cstheme="majorBidi"/>
        </w:rPr>
        <w:t>This pathway important role in development kidney</w:t>
      </w:r>
      <w:r w:rsidR="007950E4" w:rsidRPr="00C7132A">
        <w:rPr>
          <w:rFonts w:asciiTheme="majorBidi" w:hAnsiTheme="majorBidi" w:cstheme="majorBidi"/>
        </w:rPr>
        <w:t xml:space="preserve"> (40).</w:t>
      </w:r>
      <w:r w:rsidRPr="00C7132A">
        <w:rPr>
          <w:rFonts w:asciiTheme="majorBidi" w:hAnsiTheme="majorBidi" w:cstheme="majorBidi"/>
        </w:rPr>
        <w:t xml:space="preserve"> During organogenesis of kidney occur apoptosis due to different signal example a deficiency of growth factors</w:t>
      </w:r>
      <w:r w:rsidR="007950E4" w:rsidRPr="00C7132A">
        <w:rPr>
          <w:rFonts w:asciiTheme="majorBidi" w:hAnsiTheme="majorBidi" w:cstheme="majorBidi"/>
        </w:rPr>
        <w:t xml:space="preserve"> (41). </w:t>
      </w:r>
      <w:r w:rsidR="005B4AEB" w:rsidRPr="00C7132A">
        <w:rPr>
          <w:rFonts w:asciiTheme="majorBidi" w:hAnsiTheme="majorBidi" w:cstheme="majorBidi"/>
        </w:rPr>
        <w:t xml:space="preserve">The mitochondrial release of cytochrome c and the consequent activation of caspases is the final common pathway for apoptosis that occurs in most developmental aspects of the kidney (42). The Bcl-2 family of proteins are the best-documented mediators of the intrinsic apoptotic pathway during kidney development (43). The developing nephron structures express pro-survival members including Bcl-2, </w:t>
      </w:r>
      <w:proofErr w:type="spellStart"/>
      <w:r w:rsidR="005B4AEB" w:rsidRPr="00C7132A">
        <w:rPr>
          <w:rFonts w:asciiTheme="majorBidi" w:hAnsiTheme="majorBidi" w:cstheme="majorBidi"/>
        </w:rPr>
        <w:t>Bcl-xL</w:t>
      </w:r>
      <w:proofErr w:type="spellEnd"/>
      <w:r w:rsidR="005B4AEB" w:rsidRPr="00C7132A">
        <w:rPr>
          <w:rFonts w:asciiTheme="majorBidi" w:hAnsiTheme="majorBidi" w:cstheme="majorBidi"/>
        </w:rPr>
        <w:t xml:space="preserve"> and Mcl-1, particularly in areas where cell survival is necessary for the correct formation of the organ (44). The pro-apoptotic members of this family include Bax, Bak, and a variety of BH3-only family of proteins and these anti-survival factors are upregulated in areas that would ultimately be targeted for cell death via apoptosis (45).</w:t>
      </w:r>
      <w:r w:rsidR="0052689A" w:rsidRPr="00C7132A">
        <w:rPr>
          <w:rFonts w:asciiTheme="majorBidi" w:hAnsiTheme="majorBidi" w:cstheme="majorBidi"/>
          <w:spacing w:val="-2"/>
          <w:lang w:bidi="ar-IQ"/>
        </w:rPr>
        <w:t xml:space="preserve"> </w:t>
      </w:r>
      <w:r w:rsidR="00F83E17" w:rsidRPr="00C7132A">
        <w:rPr>
          <w:rFonts w:asciiTheme="majorBidi" w:hAnsiTheme="majorBidi" w:cstheme="majorBidi"/>
          <w:spacing w:val="-2"/>
        </w:rPr>
        <w:t>The</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spatial</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and</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temporal</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expression</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patterns</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of</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Bcl-2</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family</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proteins</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in</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the</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developing</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kidney</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correlate closely</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with</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regions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of</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cell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survival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versus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cell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death</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(46).</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Immunohistochemical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studies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have</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 xml:space="preserve">revealed </w:t>
      </w:r>
      <w:r w:rsidR="00F83E17" w:rsidRPr="00C7132A">
        <w:rPr>
          <w:rFonts w:asciiTheme="majorBidi" w:hAnsiTheme="majorBidi" w:cstheme="majorBidi"/>
        </w:rPr>
        <w:t>that</w:t>
      </w:r>
      <w:r w:rsidR="00F83E17" w:rsidRPr="00C7132A">
        <w:rPr>
          <w:rFonts w:asciiTheme="majorBidi" w:hAnsiTheme="majorBidi" w:cstheme="majorBidi"/>
          <w:spacing w:val="-17"/>
        </w:rPr>
        <w:t xml:space="preserve"> </w:t>
      </w:r>
      <w:r w:rsidR="00F83E17" w:rsidRPr="00C7132A">
        <w:rPr>
          <w:rFonts w:asciiTheme="majorBidi" w:hAnsiTheme="majorBidi" w:cstheme="majorBidi"/>
        </w:rPr>
        <w:t>transitions</w:t>
      </w:r>
      <w:r w:rsidR="00F83E17" w:rsidRPr="00C7132A">
        <w:rPr>
          <w:rFonts w:asciiTheme="majorBidi" w:hAnsiTheme="majorBidi" w:cstheme="majorBidi"/>
          <w:spacing w:val="-16"/>
        </w:rPr>
        <w:t xml:space="preserve"> </w:t>
      </w:r>
      <w:r w:rsidR="00F83E17" w:rsidRPr="00C7132A">
        <w:rPr>
          <w:rFonts w:asciiTheme="majorBidi" w:hAnsiTheme="majorBidi" w:cstheme="majorBidi"/>
        </w:rPr>
        <w:t>between</w:t>
      </w:r>
      <w:r w:rsidR="00F83E17" w:rsidRPr="00C7132A">
        <w:rPr>
          <w:rFonts w:asciiTheme="majorBidi" w:hAnsiTheme="majorBidi" w:cstheme="majorBidi"/>
          <w:spacing w:val="-17"/>
        </w:rPr>
        <w:t xml:space="preserve"> </w:t>
      </w:r>
      <w:r w:rsidR="00F83E17" w:rsidRPr="00C7132A">
        <w:rPr>
          <w:rFonts w:asciiTheme="majorBidi" w:hAnsiTheme="majorBidi" w:cstheme="majorBidi"/>
        </w:rPr>
        <w:t>high</w:t>
      </w:r>
      <w:r w:rsidR="00F83E17" w:rsidRPr="00C7132A">
        <w:rPr>
          <w:rFonts w:asciiTheme="majorBidi" w:hAnsiTheme="majorBidi" w:cstheme="majorBidi"/>
          <w:spacing w:val="-16"/>
        </w:rPr>
        <w:t xml:space="preserve"> </w:t>
      </w:r>
      <w:r w:rsidR="00F83E17" w:rsidRPr="00C7132A">
        <w:rPr>
          <w:rFonts w:asciiTheme="majorBidi" w:hAnsiTheme="majorBidi" w:cstheme="majorBidi"/>
        </w:rPr>
        <w:t>and</w:t>
      </w:r>
      <w:r w:rsidR="00F83E17" w:rsidRPr="00C7132A">
        <w:rPr>
          <w:rFonts w:asciiTheme="majorBidi" w:hAnsiTheme="majorBidi" w:cstheme="majorBidi"/>
          <w:spacing w:val="-17"/>
        </w:rPr>
        <w:t xml:space="preserve"> </w:t>
      </w:r>
      <w:r w:rsidR="00F83E17" w:rsidRPr="00C7132A">
        <w:rPr>
          <w:rFonts w:asciiTheme="majorBidi" w:hAnsiTheme="majorBidi" w:cstheme="majorBidi"/>
        </w:rPr>
        <w:t>low</w:t>
      </w:r>
      <w:r w:rsidR="00F83E17" w:rsidRPr="00C7132A">
        <w:rPr>
          <w:rFonts w:asciiTheme="majorBidi" w:hAnsiTheme="majorBidi" w:cstheme="majorBidi"/>
          <w:spacing w:val="-16"/>
        </w:rPr>
        <w:t xml:space="preserve"> </w:t>
      </w:r>
      <w:r w:rsidR="00F83E17" w:rsidRPr="00C7132A">
        <w:rPr>
          <w:rFonts w:asciiTheme="majorBidi" w:hAnsiTheme="majorBidi" w:cstheme="majorBidi"/>
        </w:rPr>
        <w:t>Bcl-2</w:t>
      </w:r>
      <w:r w:rsidR="00F83E17" w:rsidRPr="00C7132A">
        <w:rPr>
          <w:rFonts w:asciiTheme="majorBidi" w:hAnsiTheme="majorBidi" w:cstheme="majorBidi"/>
          <w:spacing w:val="-17"/>
        </w:rPr>
        <w:t xml:space="preserve"> </w:t>
      </w:r>
      <w:r w:rsidR="00F83E17" w:rsidRPr="00C7132A">
        <w:rPr>
          <w:rFonts w:asciiTheme="majorBidi" w:hAnsiTheme="majorBidi" w:cstheme="majorBidi"/>
        </w:rPr>
        <w:t>expression</w:t>
      </w:r>
      <w:r w:rsidR="00F83E17" w:rsidRPr="00C7132A">
        <w:rPr>
          <w:rFonts w:asciiTheme="majorBidi" w:hAnsiTheme="majorBidi" w:cstheme="majorBidi"/>
          <w:spacing w:val="-16"/>
        </w:rPr>
        <w:t xml:space="preserve"> </w:t>
      </w:r>
      <w:r w:rsidR="00F83E17" w:rsidRPr="00C7132A">
        <w:rPr>
          <w:rFonts w:asciiTheme="majorBidi" w:hAnsiTheme="majorBidi" w:cstheme="majorBidi"/>
        </w:rPr>
        <w:t>often</w:t>
      </w:r>
      <w:r w:rsidR="00F83E17" w:rsidRPr="00C7132A">
        <w:rPr>
          <w:rFonts w:asciiTheme="majorBidi" w:hAnsiTheme="majorBidi" w:cstheme="majorBidi"/>
          <w:spacing w:val="-16"/>
        </w:rPr>
        <w:t xml:space="preserve"> </w:t>
      </w:r>
      <w:r w:rsidR="00F83E17" w:rsidRPr="00C7132A">
        <w:rPr>
          <w:rFonts w:asciiTheme="majorBidi" w:hAnsiTheme="majorBidi" w:cstheme="majorBidi"/>
        </w:rPr>
        <w:t>mark</w:t>
      </w:r>
      <w:r w:rsidR="00F83E17" w:rsidRPr="00C7132A">
        <w:rPr>
          <w:rFonts w:asciiTheme="majorBidi" w:hAnsiTheme="majorBidi" w:cstheme="majorBidi"/>
          <w:spacing w:val="-17"/>
        </w:rPr>
        <w:t xml:space="preserve"> </w:t>
      </w:r>
      <w:r w:rsidR="00F83E17" w:rsidRPr="00C7132A">
        <w:rPr>
          <w:rFonts w:asciiTheme="majorBidi" w:hAnsiTheme="majorBidi" w:cstheme="majorBidi"/>
        </w:rPr>
        <w:t>boundaries</w:t>
      </w:r>
      <w:r w:rsidR="00F83E17" w:rsidRPr="00C7132A">
        <w:rPr>
          <w:rFonts w:asciiTheme="majorBidi" w:hAnsiTheme="majorBidi" w:cstheme="majorBidi"/>
          <w:spacing w:val="-16"/>
        </w:rPr>
        <w:t xml:space="preserve"> </w:t>
      </w:r>
      <w:r w:rsidR="00F83E17" w:rsidRPr="00C7132A">
        <w:rPr>
          <w:rFonts w:asciiTheme="majorBidi" w:hAnsiTheme="majorBidi" w:cstheme="majorBidi"/>
        </w:rPr>
        <w:t>between</w:t>
      </w:r>
      <w:r w:rsidR="00F83E17" w:rsidRPr="00C7132A">
        <w:rPr>
          <w:rFonts w:asciiTheme="majorBidi" w:hAnsiTheme="majorBidi" w:cstheme="majorBidi"/>
          <w:spacing w:val="-17"/>
        </w:rPr>
        <w:t xml:space="preserve"> </w:t>
      </w:r>
      <w:r w:rsidR="00F83E17" w:rsidRPr="00C7132A">
        <w:rPr>
          <w:rFonts w:asciiTheme="majorBidi" w:hAnsiTheme="majorBidi" w:cstheme="majorBidi"/>
        </w:rPr>
        <w:t>surviving</w:t>
      </w:r>
      <w:r w:rsidR="00F83E17" w:rsidRPr="00C7132A">
        <w:rPr>
          <w:rFonts w:asciiTheme="majorBidi" w:hAnsiTheme="majorBidi" w:cstheme="majorBidi"/>
          <w:spacing w:val="-16"/>
        </w:rPr>
        <w:t xml:space="preserve"> </w:t>
      </w:r>
      <w:r w:rsidR="00F83E17" w:rsidRPr="00C7132A">
        <w:rPr>
          <w:rFonts w:asciiTheme="majorBidi" w:hAnsiTheme="majorBidi" w:cstheme="majorBidi"/>
        </w:rPr>
        <w:t>and dying</w:t>
      </w:r>
      <w:r w:rsidR="00F83E17" w:rsidRPr="00C7132A">
        <w:rPr>
          <w:rFonts w:asciiTheme="majorBidi" w:hAnsiTheme="majorBidi" w:cstheme="majorBidi"/>
          <w:spacing w:val="-17"/>
        </w:rPr>
        <w:t xml:space="preserve"> </w:t>
      </w:r>
      <w:r w:rsidR="00F83E17" w:rsidRPr="00C7132A">
        <w:rPr>
          <w:rFonts w:asciiTheme="majorBidi" w:hAnsiTheme="majorBidi" w:cstheme="majorBidi"/>
        </w:rPr>
        <w:t>cell</w:t>
      </w:r>
      <w:r w:rsidR="00F83E17" w:rsidRPr="00C7132A">
        <w:rPr>
          <w:rFonts w:asciiTheme="majorBidi" w:hAnsiTheme="majorBidi" w:cstheme="majorBidi"/>
          <w:spacing w:val="-16"/>
        </w:rPr>
        <w:t xml:space="preserve"> </w:t>
      </w:r>
      <w:r w:rsidR="00F83E17" w:rsidRPr="00C7132A">
        <w:rPr>
          <w:rFonts w:asciiTheme="majorBidi" w:hAnsiTheme="majorBidi" w:cstheme="majorBidi"/>
        </w:rPr>
        <w:t>populations</w:t>
      </w:r>
      <w:r w:rsidR="00F83E17" w:rsidRPr="00C7132A">
        <w:rPr>
          <w:rFonts w:asciiTheme="majorBidi" w:hAnsiTheme="majorBidi" w:cstheme="majorBidi"/>
          <w:spacing w:val="-17"/>
        </w:rPr>
        <w:t xml:space="preserve"> </w:t>
      </w:r>
      <w:r w:rsidR="00F83E17" w:rsidRPr="00C7132A">
        <w:rPr>
          <w:rFonts w:asciiTheme="majorBidi" w:hAnsiTheme="majorBidi" w:cstheme="majorBidi"/>
        </w:rPr>
        <w:t>during</w:t>
      </w:r>
      <w:r w:rsidR="00F83E17" w:rsidRPr="00C7132A">
        <w:rPr>
          <w:rFonts w:asciiTheme="majorBidi" w:hAnsiTheme="majorBidi" w:cstheme="majorBidi"/>
          <w:spacing w:val="-16"/>
        </w:rPr>
        <w:t xml:space="preserve"> </w:t>
      </w:r>
      <w:r w:rsidR="00F83E17" w:rsidRPr="00C7132A">
        <w:rPr>
          <w:rFonts w:asciiTheme="majorBidi" w:hAnsiTheme="majorBidi" w:cstheme="majorBidi"/>
        </w:rPr>
        <w:t>nephrogenesis</w:t>
      </w:r>
      <w:r w:rsidR="00F83E17" w:rsidRPr="00C7132A">
        <w:rPr>
          <w:rFonts w:asciiTheme="majorBidi" w:hAnsiTheme="majorBidi" w:cstheme="majorBidi"/>
          <w:spacing w:val="-17"/>
        </w:rPr>
        <w:t xml:space="preserve"> </w:t>
      </w:r>
      <w:r w:rsidR="00F83E17" w:rsidRPr="00C7132A">
        <w:rPr>
          <w:rFonts w:asciiTheme="majorBidi" w:hAnsiTheme="majorBidi" w:cstheme="majorBidi"/>
        </w:rPr>
        <w:t>(47)</w:t>
      </w:r>
      <w:r w:rsidR="0052689A" w:rsidRPr="00C7132A">
        <w:rPr>
          <w:rFonts w:asciiTheme="majorBidi" w:hAnsiTheme="majorBidi" w:cstheme="majorBidi"/>
        </w:rPr>
        <w:t xml:space="preserve">. The expression of Bcl-2 family proteins </w:t>
      </w:r>
      <w:proofErr w:type="gramStart"/>
      <w:r w:rsidR="0052689A" w:rsidRPr="00C7132A">
        <w:rPr>
          <w:rFonts w:asciiTheme="majorBidi" w:hAnsiTheme="majorBidi" w:cstheme="majorBidi"/>
        </w:rPr>
        <w:t>seem</w:t>
      </w:r>
      <w:proofErr w:type="gramEnd"/>
      <w:r w:rsidR="0052689A" w:rsidRPr="00C7132A">
        <w:rPr>
          <w:rFonts w:asciiTheme="majorBidi" w:hAnsiTheme="majorBidi" w:cstheme="majorBidi"/>
        </w:rPr>
        <w:t xml:space="preserve"> to regulate their intrinsic apoptotic pathway component of kidney development (48).</w:t>
      </w:r>
      <w:r w:rsidR="00F83E17" w:rsidRPr="00C7132A">
        <w:rPr>
          <w:rFonts w:asciiTheme="majorBidi" w:hAnsiTheme="majorBidi" w:cstheme="majorBidi"/>
          <w:spacing w:val="-16"/>
        </w:rPr>
        <w:t xml:space="preserve"> </w:t>
      </w:r>
    </w:p>
    <w:p w14:paraId="7080F188" w14:textId="77777777" w:rsidR="004F5DA6" w:rsidRPr="00C7132A" w:rsidRDefault="00AA0411" w:rsidP="00C7132A">
      <w:pPr>
        <w:pStyle w:val="BodyText"/>
        <w:spacing w:before="202"/>
        <w:ind w:left="0" w:right="142"/>
        <w:jc w:val="both"/>
        <w:rPr>
          <w:rFonts w:asciiTheme="majorBidi" w:hAnsiTheme="majorBidi" w:cstheme="majorBidi"/>
          <w:spacing w:val="-16"/>
        </w:rPr>
      </w:pPr>
      <w:r w:rsidRPr="00C7132A">
        <w:rPr>
          <w:rFonts w:asciiTheme="majorBidi" w:hAnsiTheme="majorBidi" w:cstheme="majorBidi"/>
          <w:b/>
          <w:bCs/>
          <w:spacing w:val="-4"/>
        </w:rPr>
        <w:t>Extrinsic Apoptotic Pathways</w:t>
      </w:r>
    </w:p>
    <w:p w14:paraId="1DBEF056" w14:textId="77777777" w:rsidR="00C7132A" w:rsidRDefault="004F5DA6" w:rsidP="00C7132A">
      <w:pPr>
        <w:pStyle w:val="BodyText"/>
        <w:spacing w:before="202"/>
        <w:ind w:left="0" w:right="142"/>
        <w:jc w:val="both"/>
        <w:rPr>
          <w:rFonts w:asciiTheme="majorBidi" w:hAnsiTheme="majorBidi" w:cstheme="majorBidi"/>
          <w:spacing w:val="-4"/>
        </w:rPr>
      </w:pPr>
      <w:r w:rsidRPr="00C7132A">
        <w:rPr>
          <w:rFonts w:asciiTheme="majorBidi" w:hAnsiTheme="majorBidi" w:cstheme="majorBidi"/>
          <w:spacing w:val="-4"/>
        </w:rPr>
        <w:t>Although the intrinsic pathway is the primarily implicated cell death mechanism during kidney development, extrinsic apoptotic pathways will also come into play for some aspects of kidney development (49). Signaling through death receptors such as Fas and TNF receptor pathways also contribute to the clearance of inflammatory cells and shaping the development of the immune system in the kidney (50). Extrinsic pathways become more important later in development and for certain pathological conditions (51).</w:t>
      </w:r>
      <w:r w:rsidRPr="00C7132A">
        <w:rPr>
          <w:rFonts w:asciiTheme="majorBidi" w:hAnsiTheme="majorBidi" w:cstheme="majorBidi"/>
          <w:b/>
          <w:bCs/>
          <w:spacing w:val="-4"/>
        </w:rPr>
        <w:t xml:space="preserve"> </w:t>
      </w:r>
      <w:r w:rsidRPr="00C7132A">
        <w:rPr>
          <w:rFonts w:asciiTheme="majorBidi" w:hAnsiTheme="majorBidi" w:cstheme="majorBidi"/>
          <w:spacing w:val="-4"/>
        </w:rPr>
        <w:t xml:space="preserve">The </w:t>
      </w:r>
      <w:proofErr w:type="spellStart"/>
      <w:r w:rsidRPr="00C7132A">
        <w:rPr>
          <w:rFonts w:asciiTheme="majorBidi" w:hAnsiTheme="majorBidi" w:cstheme="majorBidi"/>
          <w:spacing w:val="-4"/>
        </w:rPr>
        <w:t>Fas</w:t>
      </w:r>
      <w:proofErr w:type="spellEnd"/>
      <w:r w:rsidRPr="00C7132A">
        <w:rPr>
          <w:rFonts w:asciiTheme="majorBidi" w:hAnsiTheme="majorBidi" w:cstheme="majorBidi"/>
          <w:spacing w:val="-4"/>
        </w:rPr>
        <w:t>/</w:t>
      </w:r>
      <w:proofErr w:type="spellStart"/>
      <w:r w:rsidRPr="00C7132A">
        <w:rPr>
          <w:rFonts w:asciiTheme="majorBidi" w:hAnsiTheme="majorBidi" w:cstheme="majorBidi"/>
          <w:spacing w:val="-4"/>
        </w:rPr>
        <w:t>FasL</w:t>
      </w:r>
      <w:proofErr w:type="spellEnd"/>
      <w:r w:rsidRPr="00C7132A">
        <w:rPr>
          <w:rFonts w:asciiTheme="majorBidi" w:hAnsiTheme="majorBidi" w:cstheme="majorBidi"/>
          <w:spacing w:val="-4"/>
        </w:rPr>
        <w:t xml:space="preserve"> system is one extrinsic apoptotic mechanism that is especially important in regulating apoptosis of developing kidney structures (52). Aspects of this pathway become important during the transition from mesenchyme to epithelium of </w:t>
      </w:r>
      <w:proofErr w:type="spellStart"/>
      <w:r w:rsidRPr="00C7132A">
        <w:rPr>
          <w:rFonts w:asciiTheme="majorBidi" w:hAnsiTheme="majorBidi" w:cstheme="majorBidi"/>
          <w:spacing w:val="-4"/>
        </w:rPr>
        <w:t>multiciliated</w:t>
      </w:r>
      <w:proofErr w:type="spellEnd"/>
      <w:r w:rsidRPr="00C7132A">
        <w:rPr>
          <w:rFonts w:asciiTheme="majorBidi" w:hAnsiTheme="majorBidi" w:cstheme="majorBidi"/>
          <w:spacing w:val="-4"/>
        </w:rPr>
        <w:t xml:space="preserve"> cells in the kidney. </w:t>
      </w:r>
      <w:proofErr w:type="spellStart"/>
      <w:r w:rsidRPr="00C7132A">
        <w:rPr>
          <w:rFonts w:asciiTheme="majorBidi" w:hAnsiTheme="majorBidi" w:cstheme="majorBidi"/>
          <w:spacing w:val="-4"/>
        </w:rPr>
        <w:t>FasL</w:t>
      </w:r>
      <w:proofErr w:type="spellEnd"/>
      <w:r w:rsidRPr="00C7132A">
        <w:rPr>
          <w:rFonts w:asciiTheme="majorBidi" w:hAnsiTheme="majorBidi" w:cstheme="majorBidi"/>
          <w:spacing w:val="-4"/>
        </w:rPr>
        <w:t xml:space="preserve"> is expressed in developing tubular epithelial cells and Fas receptors are expressed in the immediate surrounding mesenchyme and </w:t>
      </w:r>
      <w:r w:rsidRPr="00C7132A">
        <w:rPr>
          <w:rFonts w:asciiTheme="majorBidi" w:hAnsiTheme="majorBidi" w:cstheme="majorBidi"/>
          <w:spacing w:val="-4"/>
        </w:rPr>
        <w:lastRenderedPageBreak/>
        <w:t>inflammatory cell populations (53). This spatial orientation of the ligand and receptor allows the selective clearance of specific cells during kidney development (54). TNF-α and related cytokines are also apoptotic mediators during kidney development, especially early in response to stress conditions and later in response to abnormal development (55). The balance between pro-survival and pro-death signals through TNF family receptors are critical to the overall survival of different cell populations during nephrogenesis (56). The dysregulation of these extrinsic pathways has been implicated in developmental kidney disease and congenital malformations (57).</w:t>
      </w:r>
    </w:p>
    <w:p w14:paraId="4116C585" w14:textId="77777777" w:rsidR="0052689A" w:rsidRPr="00C7132A" w:rsidRDefault="002A4DE7" w:rsidP="00C7132A">
      <w:pPr>
        <w:pStyle w:val="BodyText"/>
        <w:spacing w:before="202"/>
        <w:ind w:left="0" w:right="142"/>
        <w:jc w:val="both"/>
        <w:rPr>
          <w:rFonts w:asciiTheme="majorBidi" w:hAnsiTheme="majorBidi" w:cstheme="majorBidi"/>
          <w:spacing w:val="-4"/>
        </w:rPr>
      </w:pPr>
      <w:r w:rsidRPr="00C7132A">
        <w:rPr>
          <w:rFonts w:asciiTheme="majorBidi" w:hAnsiTheme="majorBidi" w:cstheme="majorBidi"/>
          <w:b/>
          <w:bCs/>
        </w:rPr>
        <w:t>Transcriptional Regulation of Developmental Apoptosis</w:t>
      </w:r>
    </w:p>
    <w:p w14:paraId="21A45496" w14:textId="77777777" w:rsidR="00E126B7" w:rsidRPr="00C7132A" w:rsidRDefault="0052689A" w:rsidP="00C7132A">
      <w:pPr>
        <w:pStyle w:val="BodyText"/>
        <w:spacing w:before="195"/>
        <w:ind w:left="0" w:right="142"/>
        <w:jc w:val="both"/>
        <w:rPr>
          <w:rFonts w:asciiTheme="majorBidi" w:hAnsiTheme="majorBidi" w:cstheme="majorBidi"/>
        </w:rPr>
      </w:pPr>
      <w:r w:rsidRPr="00C7132A">
        <w:rPr>
          <w:rFonts w:asciiTheme="majorBidi" w:hAnsiTheme="majorBidi" w:cstheme="majorBidi"/>
        </w:rPr>
        <w:t xml:space="preserve">The p53 transcription factor modulates apoptotic programming in kidney development in response to DNA damage and cellular stressors (58). In developing deforming p53 expression increases in regions of the developing kidney cells that may have been exposed to potential high levels of developmental signals or cellular metabolic stress that will be associated with DNA damage (59). The function of the p53 in response to the developmental signals will act to eliminate or restrain cells if DNA has </w:t>
      </w:r>
      <w:proofErr w:type="gramStart"/>
      <w:r w:rsidRPr="00C7132A">
        <w:rPr>
          <w:rFonts w:asciiTheme="majorBidi" w:hAnsiTheme="majorBidi" w:cstheme="majorBidi"/>
        </w:rPr>
        <w:t>sustain</w:t>
      </w:r>
      <w:proofErr w:type="gramEnd"/>
      <w:r w:rsidRPr="00C7132A">
        <w:rPr>
          <w:rFonts w:asciiTheme="majorBidi" w:hAnsiTheme="majorBidi" w:cstheme="majorBidi"/>
        </w:rPr>
        <w:t xml:space="preserve"> genetic aberrancies prior to being passed on to malformation for the entire organ (60). </w:t>
      </w:r>
      <w:r w:rsidR="002A4DE7" w:rsidRPr="00C7132A">
        <w:rPr>
          <w:rFonts w:asciiTheme="majorBidi" w:hAnsiTheme="majorBidi" w:cstheme="majorBidi"/>
        </w:rPr>
        <w:t xml:space="preserve">Developmental transcription factors involved in kidney development, including Pax2, Wt1, and Six2, will also directly regulate the expression of apoptotic genes during kidney development (61). Developmental transcription factors will coordinate survival and death decisions along with other developmental processes including cellular fate and morphogenetic movements (62). Functional abrogation or loss-of-function mutations in these transcription factors elicits variability within the patterns of apoptosis associated with developmental defects (63). </w:t>
      </w:r>
      <w:r w:rsidR="004F5DA6" w:rsidRPr="00C7132A">
        <w:rPr>
          <w:rFonts w:asciiTheme="majorBidi" w:hAnsiTheme="majorBidi" w:cstheme="majorBidi"/>
        </w:rPr>
        <w:t xml:space="preserve"> </w:t>
      </w:r>
      <w:r w:rsidR="002A4DE7" w:rsidRPr="00C7132A">
        <w:rPr>
          <w:rFonts w:asciiTheme="majorBidi" w:hAnsiTheme="majorBidi" w:cstheme="majorBidi"/>
        </w:rPr>
        <w:t>The Hox gene family is responsible for the broader regional specification of apoptotic patterns in the developing kidney (64). Different Hox genes are expressed in different regions of the developing kidney and guide the boundaries that define cell survival versus death decisions (65). The combinatorial expression of Hox genes creates a positional code that ultimately informs susceptibility to apoptotic signals in kidney development (66).</w:t>
      </w:r>
    </w:p>
    <w:p w14:paraId="384DCD18" w14:textId="77777777" w:rsidR="00E126B7" w:rsidRP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Histological Mechanisms of Cell Death in Kidney Structures</w:t>
      </w:r>
    </w:p>
    <w:p w14:paraId="1BC1D9F4" w14:textId="77777777" w:rsid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Development of Glomerulus with Apoptosis</w:t>
      </w:r>
    </w:p>
    <w:p w14:paraId="76D31D02" w14:textId="77777777" w:rsid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rPr>
        <w:t>Glomerulus development is among the more complex morphogenetic events during kidney development, which was undertaken through fine-tuning of multiple cell types such as podocytes, endothelial cells, and mesangial cells (67). Apoptosis plays important functions in organizing the final architecture of the glomerular tuft and regulating the total number of cells in each glomerulus (68). During early development, the mesenchymal cell population consisted of excess cells that had not differentiated into a specialized glomerular cell type will die through apoptosis (69).</w:t>
      </w:r>
      <w:r w:rsidR="00C7132A">
        <w:rPr>
          <w:rFonts w:asciiTheme="majorBidi" w:hAnsiTheme="majorBidi" w:cstheme="majorBidi"/>
          <w:b/>
          <w:bCs/>
        </w:rPr>
        <w:t xml:space="preserve"> </w:t>
      </w:r>
      <w:r w:rsidRPr="00C7132A">
        <w:rPr>
          <w:rFonts w:asciiTheme="majorBidi" w:hAnsiTheme="majorBidi" w:cstheme="majorBidi"/>
        </w:rPr>
        <w:t>Podocytes development has interesting examples of apoptosis regulation (70). These specialized cells must survive the complex differentiation process where they progress from simple epithelial cells through a complex cellular architecture required for glomerular filtration (71). The apoptotic machinery in differentiating podocytes is controlled to avoid inappropriate cell death, but importantly to initiate programmed cell death for damaged or malformed cells (72).</w:t>
      </w:r>
      <w:r w:rsidR="00C7132A">
        <w:rPr>
          <w:rFonts w:asciiTheme="majorBidi" w:hAnsiTheme="majorBidi" w:cstheme="majorBidi"/>
          <w:b/>
          <w:bCs/>
        </w:rPr>
        <w:t xml:space="preserve"> </w:t>
      </w:r>
      <w:r w:rsidRPr="00C7132A">
        <w:rPr>
          <w:rFonts w:asciiTheme="majorBidi" w:hAnsiTheme="majorBidi" w:cstheme="majorBidi"/>
        </w:rPr>
        <w:t>Endothelial cell apoptosis in the developing glomerulus leads to a more complex capillary network in the glomerular tuft (73).</w:t>
      </w:r>
      <w:r w:rsidR="0052689A" w:rsidRPr="00C7132A">
        <w:rPr>
          <w:rFonts w:asciiTheme="majorBidi" w:hAnsiTheme="majorBidi" w:cstheme="majorBidi"/>
        </w:rPr>
        <w:t xml:space="preserve"> Selectively apoptosis is needed in demolishing the extrinsic layer endothelial cells and rearranging the original vascular networks of endothelial cells forming a tube and remodeling it (74). In this regard, either by angiopoietins begin to promote endothelial cell survival and acts on the apoptotic events that need to occur during the pre-coalescence stage (75).</w:t>
      </w:r>
    </w:p>
    <w:p w14:paraId="1C0CDED9" w14:textId="77777777" w:rsidR="00CA4925" w:rsidRPr="00C7132A" w:rsidRDefault="00CA4925"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lastRenderedPageBreak/>
        <w:t>Nephron Tubule Development and Pathways to Cell Death</w:t>
      </w:r>
    </w:p>
    <w:p w14:paraId="34CDEDE5" w14:textId="77777777" w:rsidR="00C7132A" w:rsidRDefault="00FE6274" w:rsidP="00C7132A">
      <w:pPr>
        <w:pStyle w:val="BodyText"/>
        <w:spacing w:before="81"/>
        <w:ind w:left="0" w:right="142"/>
        <w:jc w:val="both"/>
        <w:rPr>
          <w:rFonts w:asciiTheme="majorBidi" w:hAnsiTheme="majorBidi" w:cstheme="majorBidi"/>
        </w:rPr>
      </w:pPr>
      <w:r w:rsidRPr="00C7132A">
        <w:rPr>
          <w:rFonts w:asciiTheme="majorBidi" w:hAnsiTheme="majorBidi" w:cstheme="majorBidi"/>
        </w:rPr>
        <w:t xml:space="preserve">The development of the nephron tubular segments is characterized by selectivity of apoptosis that contributes to a distinctive structure with unique functional regions (76). For example, each tubular segment such as the proximal tubule, loop of Henle, and distal tubule </w:t>
      </w:r>
      <w:proofErr w:type="gramStart"/>
      <w:r w:rsidRPr="00C7132A">
        <w:rPr>
          <w:rFonts w:asciiTheme="majorBidi" w:hAnsiTheme="majorBidi" w:cstheme="majorBidi"/>
        </w:rPr>
        <w:t>have</w:t>
      </w:r>
      <w:proofErr w:type="gramEnd"/>
      <w:r w:rsidRPr="00C7132A">
        <w:rPr>
          <w:rFonts w:asciiTheme="majorBidi" w:hAnsiTheme="majorBidi" w:cstheme="majorBidi"/>
        </w:rPr>
        <w:t xml:space="preserve"> their own unique selectivity to cell death during development (77).</w:t>
      </w:r>
      <w:r w:rsidR="00CA4925" w:rsidRPr="00C7132A">
        <w:rPr>
          <w:rFonts w:asciiTheme="majorBidi" w:hAnsiTheme="majorBidi" w:cstheme="majorBidi"/>
        </w:rPr>
        <w:t xml:space="preserve"> These patterns are inherently linked to functional eccentricities and characteristics based on unique cellular compositions of the distinct functional tubular segments (78).</w:t>
      </w:r>
      <w:r w:rsidR="00C7132A">
        <w:rPr>
          <w:rFonts w:asciiTheme="majorBidi" w:hAnsiTheme="majorBidi" w:cstheme="majorBidi"/>
        </w:rPr>
        <w:t xml:space="preserve"> </w:t>
      </w:r>
      <w:r w:rsidR="00CA4925" w:rsidRPr="00C7132A">
        <w:rPr>
          <w:rFonts w:asciiTheme="majorBidi" w:hAnsiTheme="majorBidi" w:cstheme="majorBidi"/>
        </w:rPr>
        <w:t>During proximal tubule morphogenesis, the initial cellular proliferation is complemented with increased and selective patterns of apoptotic cell removals</w:t>
      </w:r>
      <w:r w:rsidR="00A07D33" w:rsidRPr="00C7132A">
        <w:rPr>
          <w:rFonts w:asciiTheme="majorBidi" w:hAnsiTheme="majorBidi" w:cstheme="majorBidi"/>
        </w:rPr>
        <w:t xml:space="preserve"> (79)</w:t>
      </w:r>
      <w:r w:rsidR="00CA4925" w:rsidRPr="00C7132A">
        <w:rPr>
          <w:rFonts w:asciiTheme="majorBidi" w:hAnsiTheme="majorBidi" w:cstheme="majorBidi"/>
        </w:rPr>
        <w:t xml:space="preserve">. The removal of cells in excess within the proximal tubule is scheduled with metabolic cues and distinct growth </w:t>
      </w:r>
      <w:proofErr w:type="spellStart"/>
      <w:r w:rsidR="00CA4925" w:rsidRPr="00C7132A">
        <w:rPr>
          <w:rFonts w:asciiTheme="majorBidi" w:hAnsiTheme="majorBidi" w:cstheme="majorBidi"/>
        </w:rPr>
        <w:t>signalling</w:t>
      </w:r>
      <w:proofErr w:type="spellEnd"/>
      <w:r w:rsidR="00CA4925" w:rsidRPr="00C7132A">
        <w:rPr>
          <w:rFonts w:asciiTheme="majorBidi" w:hAnsiTheme="majorBidi" w:cstheme="majorBidi"/>
        </w:rPr>
        <w:t xml:space="preserve"> pathways that encompasses the mature proximal tubule cells with their functionally high levels of metabolic activity (80). The growing proximal tubule removes cells that cannot sustain the energy supply for proximal tubule function (81).</w:t>
      </w:r>
      <w:r w:rsidR="00C7132A">
        <w:rPr>
          <w:rFonts w:asciiTheme="majorBidi" w:hAnsiTheme="majorBidi" w:cstheme="majorBidi"/>
        </w:rPr>
        <w:t xml:space="preserve"> </w:t>
      </w:r>
      <w:r w:rsidR="00CA4925" w:rsidRPr="00C7132A">
        <w:rPr>
          <w:rFonts w:asciiTheme="majorBidi" w:hAnsiTheme="majorBidi" w:cstheme="majorBidi"/>
        </w:rPr>
        <w:t>Selective patterns of apoptosis exhibited in the loop of Henle, establish the defining architecture features in this initial tubular segment (82). For example, forming a hairpin structure requires selective states of apoptosis at the turning point of the Loop of Henle. Excessive cell number along the length of the distal tubule, due to not allowing sufficient cell death will create physical obstacles for proximodistal morphogenesis (83). The relationship of apt cell death control through selective patterns in the proximal tubule, appears linked in part to mechanical forces involved across and the adhesion properties of the cells that respond to sensing an appropriate densification of cells (84).</w:t>
      </w:r>
    </w:p>
    <w:p w14:paraId="5B2C3378" w14:textId="77777777" w:rsidR="00C7132A" w:rsidRDefault="00C7132A" w:rsidP="00C7132A">
      <w:pPr>
        <w:pStyle w:val="BodyText"/>
        <w:spacing w:before="81"/>
        <w:ind w:left="0" w:right="142"/>
        <w:jc w:val="both"/>
        <w:rPr>
          <w:rFonts w:asciiTheme="majorBidi" w:hAnsiTheme="majorBidi" w:cstheme="majorBidi"/>
        </w:rPr>
      </w:pPr>
    </w:p>
    <w:p w14:paraId="49BF7529"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Interstitial &amp; Vasculature Development</w:t>
      </w:r>
    </w:p>
    <w:p w14:paraId="50FE7551"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 xml:space="preserve">The kidney </w:t>
      </w:r>
      <w:proofErr w:type="spellStart"/>
      <w:r w:rsidRPr="00C7132A">
        <w:rPr>
          <w:rFonts w:asciiTheme="majorBidi" w:hAnsiTheme="majorBidi" w:cstheme="majorBidi"/>
        </w:rPr>
        <w:t>interstitium</w:t>
      </w:r>
      <w:proofErr w:type="spellEnd"/>
      <w:r w:rsidRPr="00C7132A">
        <w:rPr>
          <w:rFonts w:asciiTheme="majorBidi" w:hAnsiTheme="majorBidi" w:cstheme="majorBidi"/>
        </w:rPr>
        <w:t xml:space="preserve"> undergoes considerable remodeling during development, incorporating apoptotic mechanisms to create appropriate spacing around nephrons and blood vessels (85). During the process of programmed cell death (apoptosis) there is a removal of excess interstitial cells that would interfere with nephron function (86). The timing of interstitial cell death is coordinated with nephron development to allow for the appropriate structural support throughout the process (87).</w:t>
      </w:r>
      <w:r w:rsidR="00C7132A">
        <w:rPr>
          <w:rFonts w:asciiTheme="majorBidi" w:hAnsiTheme="majorBidi" w:cstheme="majorBidi"/>
        </w:rPr>
        <w:t xml:space="preserve"> </w:t>
      </w:r>
      <w:r w:rsidRPr="00C7132A">
        <w:rPr>
          <w:rFonts w:asciiTheme="majorBidi" w:hAnsiTheme="majorBidi" w:cstheme="majorBidi"/>
        </w:rPr>
        <w:t>During kidney vascular development there needs to be precise regulation of endothelial cell proliferation, migration, and death (88). The creation of renal vasculature involving the proper formation or formation of afferent and efferent arterioles, peritubular capillaries, larger blood vessels, is a result of selective elimination (deletion) of excess or mis-located vascular cells within the complex renal microenvironment (89). The angiogenic factors VEGF, FGF, and PDGF direct vascular cell survival and death during kidney development (90).</w:t>
      </w:r>
      <w:r w:rsidR="00C7132A">
        <w:rPr>
          <w:rFonts w:asciiTheme="majorBidi" w:hAnsiTheme="majorBidi" w:cstheme="majorBidi"/>
        </w:rPr>
        <w:t xml:space="preserve"> </w:t>
      </w:r>
      <w:r w:rsidRPr="00C7132A">
        <w:rPr>
          <w:rFonts w:asciiTheme="majorBidi" w:hAnsiTheme="majorBidi" w:cstheme="majorBidi"/>
        </w:rPr>
        <w:t xml:space="preserve">The renal lymphatic system also invokes programmed cell death mechanisms to help create proper lymphatic drainage patterns during development (91). Lymphatic endothelial cells undergo selective apoptosis to establish the branching lymphatic network draining the kidney </w:t>
      </w:r>
      <w:proofErr w:type="spellStart"/>
      <w:r w:rsidRPr="00C7132A">
        <w:rPr>
          <w:rFonts w:asciiTheme="majorBidi" w:hAnsiTheme="majorBidi" w:cstheme="majorBidi"/>
        </w:rPr>
        <w:t>interstitium</w:t>
      </w:r>
      <w:proofErr w:type="spellEnd"/>
      <w:r w:rsidRPr="00C7132A">
        <w:rPr>
          <w:rFonts w:asciiTheme="majorBidi" w:hAnsiTheme="majorBidi" w:cstheme="majorBidi"/>
        </w:rPr>
        <w:t xml:space="preserve"> (92). Regulation of apoptosis and lymphatic development appears to use many of the same molecular mechanisms involved in the formation of blood vessels (93).</w:t>
      </w:r>
    </w:p>
    <w:p w14:paraId="4CE792F2" w14:textId="77777777" w:rsidR="00C7132A" w:rsidRDefault="00C7132A" w:rsidP="00C7132A">
      <w:pPr>
        <w:pStyle w:val="BodyText"/>
        <w:spacing w:before="81"/>
        <w:ind w:left="0" w:right="142"/>
        <w:jc w:val="both"/>
        <w:rPr>
          <w:rFonts w:asciiTheme="majorBidi" w:hAnsiTheme="majorBidi" w:cstheme="majorBidi"/>
        </w:rPr>
      </w:pPr>
    </w:p>
    <w:p w14:paraId="6AFD24AE"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Pathological Implications of Dysregulated Apoptosis</w:t>
      </w:r>
    </w:p>
    <w:p w14:paraId="0C750E17"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Congenital Anomalies and Developmental Programming</w:t>
      </w:r>
    </w:p>
    <w:p w14:paraId="01AA4AF9"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 xml:space="preserve">An advantage of dysregulated apoptosis in kidney development is that it may lead to various congenital anomalies and malformations (94). Inadequate apoptosis could leave behind elements that normally would have been eliminated, e.g., remnants of the mesonephric duct </w:t>
      </w:r>
      <w:proofErr w:type="gramStart"/>
      <w:r w:rsidRPr="00C7132A">
        <w:rPr>
          <w:rFonts w:asciiTheme="majorBidi" w:hAnsiTheme="majorBidi" w:cstheme="majorBidi"/>
        </w:rPr>
        <w:t>system  causing</w:t>
      </w:r>
      <w:proofErr w:type="gramEnd"/>
      <w:r w:rsidRPr="00C7132A">
        <w:rPr>
          <w:rFonts w:asciiTheme="majorBidi" w:hAnsiTheme="majorBidi" w:cstheme="majorBidi"/>
        </w:rPr>
        <w:t xml:space="preserve"> cystic malformations (95). On the other hand, too much apoptosis at a critical time during development could produce a nephron deficit, with a commensurate decrease in </w:t>
      </w:r>
      <w:r w:rsidRPr="00C7132A">
        <w:rPr>
          <w:rFonts w:asciiTheme="majorBidi" w:hAnsiTheme="majorBidi" w:cstheme="majorBidi"/>
        </w:rPr>
        <w:lastRenderedPageBreak/>
        <w:t xml:space="preserve">kidney function (96). Another concept is that of developmental programming, where the impact of environmental conditions (e.g., maternal malnutrition, maternal and fetal exposure to toxins, other stressors) during kidney development can modify the structure and function of the organ permanently, through their effect on apoptosis mechanisms (97). As discussed previously, many of the changes that occur during embryonic development represent a shift from a normal pattern of apoptosis. Deviations from this pathway may lead to alterations in kidney development, which may ultimately increase the risk of chronic kidney disease later in life (98). Research indicates that during human kidney development there are factors that set the nephron population prior to birth, and this number cannot increase or change postnatally (100). Thus, any changes that happen while apoptosis is occurring during fetal development will have detrimental effects on the function of the kidney for life (101). Understanding the above processes will be critical for proposing viable options for the improvement of developmental kidney </w:t>
      </w:r>
      <w:proofErr w:type="spellStart"/>
      <w:r w:rsidRPr="00C7132A">
        <w:rPr>
          <w:rFonts w:asciiTheme="majorBidi" w:hAnsiTheme="majorBidi" w:cstheme="majorBidi"/>
        </w:rPr>
        <w:t>omentum</w:t>
      </w:r>
      <w:proofErr w:type="spellEnd"/>
      <w:r w:rsidRPr="00C7132A">
        <w:rPr>
          <w:rFonts w:asciiTheme="majorBidi" w:hAnsiTheme="majorBidi" w:cstheme="majorBidi"/>
        </w:rPr>
        <w:t>, particularly relative to the avoidance or prevention of developmental kidney disease (102).</w:t>
      </w:r>
    </w:p>
    <w:p w14:paraId="7D0AD1EC" w14:textId="77777777" w:rsidR="00C7132A" w:rsidRDefault="00C7132A" w:rsidP="00C7132A">
      <w:pPr>
        <w:pStyle w:val="BodyText"/>
        <w:spacing w:before="81"/>
        <w:ind w:left="0" w:right="142"/>
        <w:jc w:val="both"/>
        <w:rPr>
          <w:rFonts w:asciiTheme="majorBidi" w:hAnsiTheme="majorBidi" w:cstheme="majorBidi"/>
        </w:rPr>
      </w:pPr>
    </w:p>
    <w:p w14:paraId="23245608"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Acquired Kidney Disease and Cell Death</w:t>
      </w:r>
    </w:p>
    <w:p w14:paraId="44052355"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While this review deals with mainly developmental apoptosis it is important to point out that a lot of the molecular pathways involved in developmental cell death are again activated in acquired kidney diseases (103). In acute kidney injury, there is usually an immense amount of tubular epithelial cell apoptosis whereas chronic kidney disease has progressive nephron cell loss with different forms of cell death occurring (104). The insights into developmental apoptosis gives a useful framework to consider also the pathological processes (105).</w:t>
      </w:r>
      <w:r w:rsidR="00C7132A">
        <w:rPr>
          <w:rFonts w:asciiTheme="majorBidi" w:hAnsiTheme="majorBidi" w:cstheme="majorBidi"/>
        </w:rPr>
        <w:t xml:space="preserve"> </w:t>
      </w:r>
      <w:r w:rsidRPr="00C7132A">
        <w:rPr>
          <w:rFonts w:asciiTheme="majorBidi" w:hAnsiTheme="majorBidi" w:cstheme="majorBidi"/>
        </w:rPr>
        <w:t>Diabetic nephropathy is purely a subset of chronic kidney disease and as such is a major cause, and it is associated with dysregulated apoptosis in different types of kidney cells (106). Podocyte apoptosis leads to glomerular injury and proteinuria, whereas apoptosis involving tubular cells is associated with interstitial fibrosis and progressive impairment in kidney function (107). Many of the pathways involved in apoptosis in diabetic nephropathy have overlaps with pathways activated during normal kidney development (108).</w:t>
      </w:r>
      <w:r w:rsidR="00C7132A">
        <w:rPr>
          <w:rFonts w:asciiTheme="majorBidi" w:hAnsiTheme="majorBidi" w:cstheme="majorBidi"/>
        </w:rPr>
        <w:t xml:space="preserve"> </w:t>
      </w:r>
      <w:r w:rsidRPr="00C7132A">
        <w:rPr>
          <w:rFonts w:asciiTheme="majorBidi" w:hAnsiTheme="majorBidi" w:cstheme="majorBidi"/>
        </w:rPr>
        <w:t>Polycystic kidney disease is not usually thought of as an apoptotic disease, it is primarily thought to be a proliferation disorder. Polycystic kidneys have a different balance of cell death and proliferation, and thus at the same time it could be thought of as also having alterations in apoptosis (109). The abnormal proliferation of the cyst showed that developmental programs regulating the balance between proliferation and death in cystic kidneys, which differs considerably from normal kidney tissue (110). Treatment options for polycystic kidney disease may be informed by developmental apoptosis (111).</w:t>
      </w:r>
    </w:p>
    <w:p w14:paraId="14295716" w14:textId="77777777" w:rsidR="00C7132A" w:rsidRDefault="00C7132A" w:rsidP="00C7132A">
      <w:pPr>
        <w:pStyle w:val="BodyText"/>
        <w:spacing w:before="81"/>
        <w:ind w:left="0" w:right="142"/>
        <w:jc w:val="both"/>
        <w:rPr>
          <w:rFonts w:asciiTheme="majorBidi" w:hAnsiTheme="majorBidi" w:cstheme="majorBidi"/>
        </w:rPr>
      </w:pPr>
    </w:p>
    <w:p w14:paraId="10FEAD5A"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Applications in Regenerative Medicine</w:t>
      </w:r>
    </w:p>
    <w:p w14:paraId="154D1EAE" w14:textId="77777777" w:rsidR="002D0251"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New advances in regenerative medicine and organ engineering have illustrated the fact that for functional kidney tissue to be created, it is important to understand the role of developmental apoptosis (112). The efforts being made to advance methods for generating kidney organoids and bioengineered kidneys must follow a typical developmental pathway, including the pattern of cell loss (113). Without directional control of the apoptotic processes, engineered kidney tissues will retain their architecture, but will rarely develop normal structure and/or function (114).</w:t>
      </w:r>
      <w:r w:rsidR="00C7132A">
        <w:rPr>
          <w:rFonts w:asciiTheme="majorBidi" w:hAnsiTheme="majorBidi" w:cstheme="majorBidi"/>
        </w:rPr>
        <w:t xml:space="preserve"> </w:t>
      </w:r>
      <w:r w:rsidRPr="00C7132A">
        <w:rPr>
          <w:rFonts w:asciiTheme="majorBidi" w:hAnsiTheme="majorBidi" w:cstheme="majorBidi"/>
        </w:rPr>
        <w:t xml:space="preserve">Stem cell-based treatments of kidney disease could also benefit from a similar form of controlling apoptotic pathways to allow for cell survival and integration (115). Understanding the manner in which apoptosis is regulated throughout typical kidney development could provide valuable background information when enhancing this line of inquiry (116). The issue when focusing on desirable cell survival is balancing </w:t>
      </w:r>
      <w:r w:rsidRPr="00C7132A">
        <w:rPr>
          <w:rFonts w:asciiTheme="majorBidi" w:hAnsiTheme="majorBidi" w:cstheme="majorBidi"/>
        </w:rPr>
        <w:lastRenderedPageBreak/>
        <w:t>allowing for proper cell death of damaged or poorly developed cells (117).</w:t>
      </w:r>
      <w:r w:rsidR="002D0251" w:rsidRPr="00C7132A">
        <w:rPr>
          <w:rFonts w:asciiTheme="majorBidi" w:hAnsiTheme="majorBidi" w:cstheme="majorBidi"/>
        </w:rPr>
        <w:t xml:space="preserve"> With new technologies in kidney development in vitro modeling, some new approaches to studying mechanisms of apoptosis </w:t>
      </w:r>
      <w:proofErr w:type="gramStart"/>
      <w:r w:rsidR="002D0251" w:rsidRPr="00C7132A">
        <w:rPr>
          <w:rFonts w:asciiTheme="majorBidi" w:hAnsiTheme="majorBidi" w:cstheme="majorBidi"/>
        </w:rPr>
        <w:t>has</w:t>
      </w:r>
      <w:proofErr w:type="gramEnd"/>
      <w:r w:rsidR="002D0251" w:rsidRPr="00C7132A">
        <w:rPr>
          <w:rFonts w:asciiTheme="majorBidi" w:hAnsiTheme="majorBidi" w:cstheme="majorBidi"/>
        </w:rPr>
        <w:t xml:space="preserve"> been added to the experimental toolbox (118). Some researchers are interested in the ability to manipulate a defined apoptosis pathway and then monitor how kidney development and function are altered through technological capabilities (119). These studies of developmental apoptosis are generating new knowledge concerning the mechanisms that define, and impact, the developmental apoptosis molecular pathway in the kidney (120).</w:t>
      </w:r>
    </w:p>
    <w:p w14:paraId="4A9EA98A" w14:textId="77777777" w:rsidR="00C7132A" w:rsidRDefault="00C7132A" w:rsidP="00C7132A">
      <w:pPr>
        <w:pStyle w:val="BodyText"/>
        <w:spacing w:before="81"/>
        <w:ind w:left="0" w:right="142"/>
        <w:rPr>
          <w:rFonts w:asciiTheme="majorBidi" w:hAnsiTheme="majorBidi" w:cstheme="majorBidi"/>
        </w:rPr>
      </w:pPr>
    </w:p>
    <w:p w14:paraId="43DAF30B" w14:textId="77777777" w:rsidR="00C7132A" w:rsidRDefault="00C972E2"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Future Directions and Therapeutic Implications</w:t>
      </w:r>
    </w:p>
    <w:p w14:paraId="41AAB3A7" w14:textId="77777777" w:rsidR="00C972E2" w:rsidRPr="00C7132A" w:rsidRDefault="00C972E2"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Therapeutic Modulation of Development Pathways</w:t>
      </w:r>
    </w:p>
    <w:p w14:paraId="4CBAF285" w14:textId="77777777" w:rsidR="00C7132A" w:rsidRDefault="00D42F62" w:rsidP="00C7132A">
      <w:pPr>
        <w:pStyle w:val="BodyText"/>
        <w:spacing w:before="81"/>
        <w:ind w:left="0" w:right="142"/>
        <w:jc w:val="both"/>
        <w:rPr>
          <w:rFonts w:asciiTheme="majorBidi" w:hAnsiTheme="majorBidi" w:cstheme="majorBidi"/>
          <w:lang w:bidi="ar-IQ"/>
        </w:rPr>
      </w:pPr>
      <w:r w:rsidRPr="00C7132A">
        <w:rPr>
          <w:rFonts w:asciiTheme="majorBidi" w:hAnsiTheme="majorBidi" w:cstheme="majorBidi"/>
        </w:rPr>
        <w:t>Therapeutic Modulation is bright idea through study mechanism of occur apoptosis</w:t>
      </w:r>
      <w:r w:rsidR="007950E4" w:rsidRPr="00C7132A">
        <w:rPr>
          <w:rFonts w:asciiTheme="majorBidi" w:hAnsiTheme="majorBidi" w:cstheme="majorBidi"/>
        </w:rPr>
        <w:t xml:space="preserve"> </w:t>
      </w:r>
      <w:r w:rsidR="00C972E2" w:rsidRPr="00C7132A">
        <w:rPr>
          <w:rFonts w:asciiTheme="majorBidi" w:hAnsiTheme="majorBidi" w:cstheme="majorBidi"/>
        </w:rPr>
        <w:t>(1</w:t>
      </w:r>
      <w:r w:rsidR="00BE6FCD" w:rsidRPr="00C7132A">
        <w:rPr>
          <w:rFonts w:asciiTheme="majorBidi" w:hAnsiTheme="majorBidi" w:cstheme="majorBidi"/>
        </w:rPr>
        <w:t>21</w:t>
      </w:r>
      <w:r w:rsidR="00C972E2" w:rsidRPr="00C7132A">
        <w:rPr>
          <w:rFonts w:asciiTheme="majorBidi" w:hAnsiTheme="majorBidi" w:cstheme="majorBidi"/>
        </w:rPr>
        <w:t>). Therapeutics that modify pathways related to specific apoptotic processes during kidney development are being developed and evaluated to treat specific kidney conditions (1</w:t>
      </w:r>
      <w:r w:rsidR="00BE6FCD" w:rsidRPr="00C7132A">
        <w:rPr>
          <w:rFonts w:asciiTheme="majorBidi" w:hAnsiTheme="majorBidi" w:cstheme="majorBidi"/>
        </w:rPr>
        <w:t>22</w:t>
      </w:r>
      <w:r w:rsidR="00C972E2" w:rsidRPr="00C7132A">
        <w:rPr>
          <w:rFonts w:asciiTheme="majorBidi" w:hAnsiTheme="majorBidi" w:cstheme="majorBidi"/>
        </w:rPr>
        <w:t>). The key to the therapeutic opportunities involves selective modification of pathological processes associated with kidney disease without adverse effects on the normal physiological functions of the kidney (1</w:t>
      </w:r>
      <w:r w:rsidR="00BE6FCD" w:rsidRPr="00C7132A">
        <w:rPr>
          <w:rFonts w:asciiTheme="majorBidi" w:hAnsiTheme="majorBidi" w:cstheme="majorBidi"/>
        </w:rPr>
        <w:t>23</w:t>
      </w:r>
      <w:r w:rsidR="00C972E2" w:rsidRPr="00C7132A">
        <w:rPr>
          <w:rFonts w:asciiTheme="majorBidi" w:hAnsiTheme="majorBidi" w:cstheme="majorBidi"/>
        </w:rPr>
        <w:t>).</w:t>
      </w:r>
      <w:r w:rsidR="00C7132A">
        <w:rPr>
          <w:rFonts w:asciiTheme="majorBidi" w:hAnsiTheme="majorBidi" w:cstheme="majorBidi"/>
          <w:lang w:bidi="ar-IQ"/>
        </w:rPr>
        <w:t xml:space="preserve"> </w:t>
      </w:r>
      <w:r w:rsidR="00C972E2" w:rsidRPr="00C7132A">
        <w:rPr>
          <w:rFonts w:asciiTheme="majorBidi" w:hAnsiTheme="majorBidi" w:cstheme="majorBidi"/>
        </w:rPr>
        <w:t>Clinical intervention through manipulation of kidney developmental apoptotic gene expression is a very suitable approach to therapeutic modulation (1</w:t>
      </w:r>
      <w:r w:rsidR="00BE6FCD" w:rsidRPr="00C7132A">
        <w:rPr>
          <w:rFonts w:asciiTheme="majorBidi" w:hAnsiTheme="majorBidi" w:cstheme="majorBidi"/>
        </w:rPr>
        <w:t>24</w:t>
      </w:r>
      <w:r w:rsidR="00C972E2" w:rsidRPr="00C7132A">
        <w:rPr>
          <w:rFonts w:asciiTheme="majorBidi" w:hAnsiTheme="majorBidi" w:cstheme="majorBidi"/>
        </w:rPr>
        <w:t>). Epigenetic regulation of apoptotic genes, as well as DNA methylation and histone modifications, and non-coding RNAs, may all have advantageous features in modulating the pathological endpoints related to developmental abnormalities and acquired kidney diseases (1</w:t>
      </w:r>
      <w:r w:rsidR="00BE6FCD" w:rsidRPr="00C7132A">
        <w:rPr>
          <w:rFonts w:asciiTheme="majorBidi" w:hAnsiTheme="majorBidi" w:cstheme="majorBidi"/>
        </w:rPr>
        <w:t>25</w:t>
      </w:r>
      <w:r w:rsidR="00C972E2" w:rsidRPr="00C7132A">
        <w:rPr>
          <w:rFonts w:asciiTheme="majorBidi" w:hAnsiTheme="majorBidi" w:cstheme="majorBidi"/>
        </w:rPr>
        <w:t>). Modulation through epigenetic means is desirable because some of the epigenetic modifications are reversible (1</w:t>
      </w:r>
      <w:r w:rsidR="00BE6FCD" w:rsidRPr="00C7132A">
        <w:rPr>
          <w:rFonts w:asciiTheme="majorBidi" w:hAnsiTheme="majorBidi" w:cstheme="majorBidi"/>
        </w:rPr>
        <w:t>26</w:t>
      </w:r>
      <w:r w:rsidR="00C972E2" w:rsidRPr="00C7132A">
        <w:rPr>
          <w:rFonts w:asciiTheme="majorBidi" w:hAnsiTheme="majorBidi" w:cstheme="majorBidi"/>
        </w:rPr>
        <w:t>).</w:t>
      </w:r>
      <w:r w:rsidR="00C7132A">
        <w:rPr>
          <w:rFonts w:asciiTheme="majorBidi" w:hAnsiTheme="majorBidi" w:cstheme="majorBidi"/>
          <w:lang w:bidi="ar-IQ"/>
        </w:rPr>
        <w:t xml:space="preserve"> </w:t>
      </w:r>
      <w:r w:rsidR="00C972E2" w:rsidRPr="00C7132A">
        <w:rPr>
          <w:rFonts w:asciiTheme="majorBidi" w:hAnsiTheme="majorBidi" w:cstheme="majorBidi"/>
        </w:rPr>
        <w:t>Exploration in the application of growth factor/cytokine therapies towards developmental apoptotic pathways may have therapeutic potential for a kidney specific disease process (1</w:t>
      </w:r>
      <w:r w:rsidR="00BE6FCD" w:rsidRPr="00C7132A">
        <w:rPr>
          <w:rFonts w:asciiTheme="majorBidi" w:hAnsiTheme="majorBidi" w:cstheme="majorBidi"/>
        </w:rPr>
        <w:t>27</w:t>
      </w:r>
      <w:r w:rsidR="00C972E2" w:rsidRPr="00C7132A">
        <w:rPr>
          <w:rFonts w:asciiTheme="majorBidi" w:hAnsiTheme="majorBidi" w:cstheme="majorBidi"/>
        </w:rPr>
        <w:t>). Growth factor signaling is the principal organizer for development and may permit, in a disease setting, a possible restoration of structural repair and functionality via apoptosis signaling. regeneration and repair for disease states (1</w:t>
      </w:r>
      <w:r w:rsidR="00BE6FCD" w:rsidRPr="00C7132A">
        <w:rPr>
          <w:rFonts w:asciiTheme="majorBidi" w:hAnsiTheme="majorBidi" w:cstheme="majorBidi"/>
        </w:rPr>
        <w:t>28</w:t>
      </w:r>
      <w:r w:rsidR="00C972E2" w:rsidRPr="00C7132A">
        <w:rPr>
          <w:rFonts w:asciiTheme="majorBidi" w:hAnsiTheme="majorBidi" w:cstheme="majorBidi"/>
        </w:rPr>
        <w:t>). However, when altering such fundamental cellular functions, caution should be exercised with respect to potential side effects (1</w:t>
      </w:r>
      <w:r w:rsidR="00BE6FCD" w:rsidRPr="00C7132A">
        <w:rPr>
          <w:rFonts w:asciiTheme="majorBidi" w:hAnsiTheme="majorBidi" w:cstheme="majorBidi"/>
        </w:rPr>
        <w:t>29</w:t>
      </w:r>
      <w:r w:rsidR="00C972E2" w:rsidRPr="00C7132A">
        <w:rPr>
          <w:rFonts w:asciiTheme="majorBidi" w:hAnsiTheme="majorBidi" w:cstheme="majorBidi"/>
        </w:rPr>
        <w:t>).</w:t>
      </w:r>
    </w:p>
    <w:p w14:paraId="3AF6C4E3" w14:textId="77777777" w:rsidR="00C7132A" w:rsidRDefault="00C7132A" w:rsidP="00C7132A">
      <w:pPr>
        <w:pStyle w:val="BodyText"/>
        <w:spacing w:before="81"/>
        <w:ind w:left="0" w:right="142"/>
        <w:jc w:val="both"/>
        <w:rPr>
          <w:rFonts w:asciiTheme="majorBidi" w:hAnsiTheme="majorBidi" w:cstheme="majorBidi"/>
          <w:lang w:bidi="ar-IQ"/>
        </w:rPr>
      </w:pPr>
    </w:p>
    <w:p w14:paraId="27EC19E0" w14:textId="77777777" w:rsidR="00C972E2" w:rsidRPr="00C7132A" w:rsidRDefault="00C972E2" w:rsidP="00C7132A">
      <w:pPr>
        <w:pStyle w:val="BodyText"/>
        <w:spacing w:before="81"/>
        <w:ind w:left="0" w:right="142"/>
        <w:jc w:val="both"/>
        <w:rPr>
          <w:rFonts w:asciiTheme="majorBidi" w:hAnsiTheme="majorBidi" w:cstheme="majorBidi"/>
          <w:lang w:bidi="ar-IQ"/>
        </w:rPr>
      </w:pPr>
      <w:r w:rsidRPr="00C7132A">
        <w:rPr>
          <w:rFonts w:asciiTheme="majorBidi" w:hAnsiTheme="majorBidi" w:cstheme="majorBidi"/>
          <w:b/>
          <w:bCs/>
        </w:rPr>
        <w:t>Personalized Medicine Approaches</w:t>
      </w:r>
    </w:p>
    <w:p w14:paraId="27A95EF3" w14:textId="77777777" w:rsidR="00C972E2" w:rsidRPr="00C7132A" w:rsidRDefault="00C972E2" w:rsidP="00C7132A">
      <w:pPr>
        <w:pStyle w:val="BodyText"/>
        <w:spacing w:before="81"/>
        <w:ind w:left="0" w:right="142"/>
        <w:jc w:val="both"/>
        <w:rPr>
          <w:rFonts w:asciiTheme="majorBidi" w:hAnsiTheme="majorBidi" w:cstheme="majorBidi"/>
        </w:rPr>
      </w:pPr>
      <w:r w:rsidRPr="00C7132A">
        <w:rPr>
          <w:rFonts w:asciiTheme="majorBidi" w:hAnsiTheme="majorBidi" w:cstheme="majorBidi"/>
        </w:rPr>
        <w:t>Studies are now underway to assess how genetic variation in apoptotic regulation during kidney development leads to personalized medicine approaches for kidney disease (13</w:t>
      </w:r>
      <w:r w:rsidR="00BE6FCD" w:rsidRPr="00C7132A">
        <w:rPr>
          <w:rFonts w:asciiTheme="majorBidi" w:hAnsiTheme="majorBidi" w:cstheme="majorBidi"/>
        </w:rPr>
        <w:t>0</w:t>
      </w:r>
      <w:r w:rsidRPr="00C7132A">
        <w:rPr>
          <w:rFonts w:asciiTheme="majorBidi" w:hAnsiTheme="majorBidi" w:cstheme="majorBidi"/>
        </w:rPr>
        <w:t>). Genetic testing to screen for genetic variants in apoptotic pathway genes could also allow for early intervention and potentially prevent the onset of kidney disease (1</w:t>
      </w:r>
      <w:r w:rsidR="00BE6FCD" w:rsidRPr="00C7132A">
        <w:rPr>
          <w:rFonts w:asciiTheme="majorBidi" w:hAnsiTheme="majorBidi" w:cstheme="majorBidi"/>
        </w:rPr>
        <w:t>31</w:t>
      </w:r>
      <w:r w:rsidRPr="00C7132A">
        <w:rPr>
          <w:rFonts w:asciiTheme="majorBidi" w:hAnsiTheme="majorBidi" w:cstheme="majorBidi"/>
        </w:rPr>
        <w:t>). Gaining this level of understanding in developmental apoptosis and how it relates to genetic variants is required for this type of approach (1</w:t>
      </w:r>
      <w:r w:rsidR="00BE6FCD" w:rsidRPr="00C7132A">
        <w:rPr>
          <w:rFonts w:asciiTheme="majorBidi" w:hAnsiTheme="majorBidi" w:cstheme="majorBidi"/>
        </w:rPr>
        <w:t>32</w:t>
      </w:r>
      <w:r w:rsidR="00C7132A">
        <w:rPr>
          <w:rFonts w:asciiTheme="majorBidi" w:hAnsiTheme="majorBidi" w:cstheme="majorBidi"/>
        </w:rPr>
        <w:t xml:space="preserve">). </w:t>
      </w:r>
      <w:r w:rsidRPr="00C7132A">
        <w:rPr>
          <w:rFonts w:asciiTheme="majorBidi" w:hAnsiTheme="majorBidi" w:cstheme="majorBidi"/>
        </w:rPr>
        <w:t>Biomarkers to assess apoptotic pathway activity in development could assist in early screening for the potential at-risk population for kidney disease (1</w:t>
      </w:r>
      <w:r w:rsidR="00BE6FCD" w:rsidRPr="00C7132A">
        <w:rPr>
          <w:rFonts w:asciiTheme="majorBidi" w:hAnsiTheme="majorBidi" w:cstheme="majorBidi"/>
        </w:rPr>
        <w:t>33</w:t>
      </w:r>
      <w:r w:rsidRPr="00C7132A">
        <w:rPr>
          <w:rFonts w:asciiTheme="majorBidi" w:hAnsiTheme="majorBidi" w:cstheme="majorBidi"/>
        </w:rPr>
        <w:t>). For example, circulating factors that may indicate developmental apoptotic activity could theoretically be measured to assess the status of kidney development and the predicted risk of disease later in life (1</w:t>
      </w:r>
      <w:r w:rsidR="00BE6FCD" w:rsidRPr="00C7132A">
        <w:rPr>
          <w:rFonts w:asciiTheme="majorBidi" w:hAnsiTheme="majorBidi" w:cstheme="majorBidi"/>
        </w:rPr>
        <w:t>34</w:t>
      </w:r>
      <w:r w:rsidRPr="00C7132A">
        <w:rPr>
          <w:rFonts w:asciiTheme="majorBidi" w:hAnsiTheme="majorBidi" w:cstheme="majorBidi"/>
        </w:rPr>
        <w:t xml:space="preserve">). </w:t>
      </w:r>
      <w:proofErr w:type="gramStart"/>
      <w:r w:rsidRPr="00C7132A">
        <w:rPr>
          <w:rFonts w:asciiTheme="majorBidi" w:hAnsiTheme="majorBidi" w:cstheme="majorBidi"/>
        </w:rPr>
        <w:t>Of course</w:t>
      </w:r>
      <w:proofErr w:type="gramEnd"/>
      <w:r w:rsidRPr="00C7132A">
        <w:rPr>
          <w:rFonts w:asciiTheme="majorBidi" w:hAnsiTheme="majorBidi" w:cstheme="majorBidi"/>
        </w:rPr>
        <w:t xml:space="preserve"> the development of bio markers such as this would require extensive moderating of the detected circulating factors associated with known biomarkers over a large population study (1</w:t>
      </w:r>
      <w:r w:rsidR="00BE6FCD" w:rsidRPr="00C7132A">
        <w:rPr>
          <w:rFonts w:asciiTheme="majorBidi" w:hAnsiTheme="majorBidi" w:cstheme="majorBidi"/>
        </w:rPr>
        <w:t>35</w:t>
      </w:r>
      <w:r w:rsidRPr="00C7132A">
        <w:rPr>
          <w:rFonts w:asciiTheme="majorBidi" w:hAnsiTheme="majorBidi" w:cstheme="majorBidi"/>
        </w:rPr>
        <w:t>). Pharmacogenomic approaches that incorporate individual variation within apoptotic pathways may assist with appropriate drug selection and dosing for kidney disease treatment (1</w:t>
      </w:r>
      <w:r w:rsidR="00BE6FCD" w:rsidRPr="00C7132A">
        <w:rPr>
          <w:rFonts w:asciiTheme="majorBidi" w:hAnsiTheme="majorBidi" w:cstheme="majorBidi"/>
        </w:rPr>
        <w:t>36</w:t>
      </w:r>
      <w:r w:rsidRPr="00C7132A">
        <w:rPr>
          <w:rFonts w:asciiTheme="majorBidi" w:hAnsiTheme="majorBidi" w:cstheme="majorBidi"/>
        </w:rPr>
        <w:t>). It will be critical to know and understand how genetic variants will impact responses to drugs that modulate apoptosis for personalized therapeutic approaches (1</w:t>
      </w:r>
      <w:r w:rsidR="00BE6FCD" w:rsidRPr="00C7132A">
        <w:rPr>
          <w:rFonts w:asciiTheme="majorBidi" w:hAnsiTheme="majorBidi" w:cstheme="majorBidi"/>
        </w:rPr>
        <w:t>37</w:t>
      </w:r>
      <w:r w:rsidRPr="00C7132A">
        <w:rPr>
          <w:rFonts w:asciiTheme="majorBidi" w:hAnsiTheme="majorBidi" w:cstheme="majorBidi"/>
        </w:rPr>
        <w:t xml:space="preserve">). Although still in its infancy, personalizing therapeutics in terms of pharmacogenomics is promising for improving patient outcomes </w:t>
      </w:r>
      <w:r w:rsidRPr="00C7132A">
        <w:rPr>
          <w:rFonts w:asciiTheme="majorBidi" w:hAnsiTheme="majorBidi" w:cstheme="majorBidi"/>
        </w:rPr>
        <w:lastRenderedPageBreak/>
        <w:t>(1</w:t>
      </w:r>
      <w:r w:rsidR="00BE6FCD" w:rsidRPr="00C7132A">
        <w:rPr>
          <w:rFonts w:asciiTheme="majorBidi" w:hAnsiTheme="majorBidi" w:cstheme="majorBidi"/>
        </w:rPr>
        <w:t>38</w:t>
      </w:r>
      <w:r w:rsidRPr="00C7132A">
        <w:rPr>
          <w:rFonts w:asciiTheme="majorBidi" w:hAnsiTheme="majorBidi" w:cstheme="majorBidi"/>
        </w:rPr>
        <w:t>).</w:t>
      </w:r>
    </w:p>
    <w:p w14:paraId="27AC4913" w14:textId="77777777" w:rsidR="00C972E2" w:rsidRPr="00C7132A" w:rsidRDefault="00C972E2" w:rsidP="00C7132A">
      <w:pPr>
        <w:pStyle w:val="BodyText"/>
        <w:spacing w:before="81"/>
        <w:ind w:left="0" w:right="142"/>
        <w:jc w:val="both"/>
        <w:rPr>
          <w:rFonts w:asciiTheme="majorBidi" w:hAnsiTheme="majorBidi" w:cstheme="majorBidi"/>
          <w:b/>
          <w:bCs/>
        </w:rPr>
      </w:pPr>
    </w:p>
    <w:p w14:paraId="177C2B9B" w14:textId="77777777" w:rsidR="00B51873" w:rsidRPr="00C7132A" w:rsidRDefault="00C972E2" w:rsidP="00C7132A">
      <w:pPr>
        <w:pStyle w:val="BodyText"/>
        <w:spacing w:before="81"/>
        <w:ind w:left="0" w:right="142"/>
        <w:jc w:val="both"/>
        <w:rPr>
          <w:rFonts w:asciiTheme="majorBidi" w:hAnsiTheme="majorBidi" w:cstheme="majorBidi"/>
          <w:b/>
          <w:bCs/>
        </w:rPr>
      </w:pPr>
      <w:r w:rsidRPr="00C7132A">
        <w:rPr>
          <w:rFonts w:asciiTheme="majorBidi" w:hAnsiTheme="majorBidi" w:cstheme="majorBidi"/>
          <w:b/>
          <w:bCs/>
        </w:rPr>
        <w:t>Conclusions</w:t>
      </w:r>
    </w:p>
    <w:p w14:paraId="3F28B98D" w14:textId="032A3774" w:rsidR="000125F0" w:rsidRDefault="00B51873" w:rsidP="00DA5339">
      <w:pPr>
        <w:pStyle w:val="BodyText"/>
        <w:spacing w:before="81"/>
        <w:ind w:left="0" w:right="142"/>
        <w:jc w:val="both"/>
        <w:rPr>
          <w:rFonts w:asciiTheme="majorBidi" w:hAnsiTheme="majorBidi" w:cstheme="majorBidi"/>
        </w:rPr>
      </w:pPr>
      <w:r w:rsidRPr="00C7132A">
        <w:rPr>
          <w:rFonts w:asciiTheme="majorBidi" w:hAnsiTheme="majorBidi" w:cstheme="majorBidi"/>
        </w:rPr>
        <w:t>Cellular demise, commonly referred to as apoptosis, during the processes of renal development and organogenesis serves as a pivotal transition in both normative physiological functions and the emergence of pathological conditions. This review elucidates the fundamental characteristics of renal development and apoptosis, as well as the interrelationship of this process with the establishment of appropriate architectural structures, nephron allocation, and the cellular composition of the associated tissues. The spatiotemporal dynamics of cellular death that transpire during renal development underscore the intricate nature of the molecular pathways that govern organogenesis.</w:t>
      </w:r>
      <w:r w:rsidR="00C7132A">
        <w:rPr>
          <w:rFonts w:asciiTheme="majorBidi" w:hAnsiTheme="majorBidi" w:cstheme="majorBidi"/>
        </w:rPr>
        <w:t xml:space="preserve"> </w:t>
      </w:r>
      <w:r w:rsidRPr="00C7132A">
        <w:rPr>
          <w:rFonts w:asciiTheme="majorBidi" w:hAnsiTheme="majorBidi" w:cstheme="majorBidi"/>
        </w:rPr>
        <w:t>A principal insight derived from these discourses is that apoptosis encompasses a multitude of functions throughout renal development, ranging from the elimination of ephemeral developmental structures to the morphological refinement of the cellular composition within the evolving nephron. These varied functions are mediated by numerous, interconnected molecular pathways during renal development, which involve an array of regulatory elements, including members of transcription factor families, growth signaling cascades, and pathways associated with cellular demise. Efforts to elucidate these multifaceted roles of cellular death, particularly concerning therapeutic interventions aimed at modulating apoptosis in the context of congenital or acquired injury or loss, should constitute a significant objective.</w:t>
      </w:r>
      <w:r w:rsidR="00C7132A">
        <w:rPr>
          <w:rFonts w:asciiTheme="majorBidi" w:hAnsiTheme="majorBidi" w:cstheme="majorBidi"/>
        </w:rPr>
        <w:t xml:space="preserve"> </w:t>
      </w:r>
      <w:r w:rsidRPr="00C7132A">
        <w:rPr>
          <w:rFonts w:asciiTheme="majorBidi" w:hAnsiTheme="majorBidi" w:cstheme="majorBidi"/>
        </w:rPr>
        <w:t xml:space="preserve">The histological evidence pertaining to the sequential waves of apoptosis during renal development provides significant insights not solely into the morphogenetic processes (including but not limited to apoptosis) that orchestrate, construct, and establish the intricate three-dimensional architecture of the kidney. These distinct "waves" contribute to the temporal and spatial dimensions of the developmental </w:t>
      </w:r>
      <w:proofErr w:type="gramStart"/>
      <w:r w:rsidRPr="00C7132A">
        <w:rPr>
          <w:rFonts w:asciiTheme="majorBidi" w:hAnsiTheme="majorBidi" w:cstheme="majorBidi"/>
        </w:rPr>
        <w:t>program,</w:t>
      </w:r>
      <w:proofErr w:type="gramEnd"/>
      <w:r w:rsidRPr="00C7132A">
        <w:rPr>
          <w:rFonts w:asciiTheme="majorBidi" w:hAnsiTheme="majorBidi" w:cstheme="majorBidi"/>
        </w:rPr>
        <w:t xml:space="preserve"> wherein particular cell fates are intricately linked with morphogenetic movements and the remodeling of tissues. Should apoptosis or other morphogenetic processes lack proper organization, it may disrupt the developmental program and potentially result in substantial developmental abnormalities that possess enduring implications throughout the lifespan.</w:t>
      </w:r>
      <w:r w:rsidR="00C7132A">
        <w:rPr>
          <w:rFonts w:asciiTheme="majorBidi" w:hAnsiTheme="majorBidi" w:cstheme="majorBidi"/>
        </w:rPr>
        <w:t xml:space="preserve"> </w:t>
      </w:r>
      <w:r w:rsidRPr="00C7132A">
        <w:rPr>
          <w:rFonts w:asciiTheme="majorBidi" w:hAnsiTheme="majorBidi" w:cstheme="majorBidi"/>
        </w:rPr>
        <w:t>Recognizing the clinical significance of our current comprehension of developmental apoptosis extends implications well beyond the therapeutic management of congenital renal malformations, encompassing aspects of renal regeneration and repair. By emulating normative developmental mechanisms and, ideally, integrating suitable patterns of cellular demise, it may be feasible to facilitate renal regeneration in instances of organ pathology. This methodology further underscores the necessity of acknowledging the intricate regulatory networks that govern the processes of developmental apoptosis.</w:t>
      </w:r>
    </w:p>
    <w:p w14:paraId="0B0119F2" w14:textId="77777777" w:rsidR="00946BD8" w:rsidRDefault="00946BD8" w:rsidP="00DA5339">
      <w:pPr>
        <w:pStyle w:val="BodyText"/>
        <w:spacing w:before="81"/>
        <w:ind w:left="0" w:right="142"/>
        <w:jc w:val="both"/>
        <w:rPr>
          <w:rFonts w:asciiTheme="majorBidi" w:hAnsiTheme="majorBidi" w:cstheme="majorBidi"/>
        </w:rPr>
      </w:pPr>
    </w:p>
    <w:p w14:paraId="2AD3EA5F"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Disclaimer (Artificial intelligence)</w:t>
      </w:r>
    </w:p>
    <w:p w14:paraId="1ED302C6"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 xml:space="preserve">Option 1: </w:t>
      </w:r>
    </w:p>
    <w:p w14:paraId="201E2B9E"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 xml:space="preserve">Author(s) hereby </w:t>
      </w:r>
      <w:proofErr w:type="gramStart"/>
      <w:r w:rsidRPr="00946BD8">
        <w:rPr>
          <w:rFonts w:ascii="Calibri" w:eastAsia="Calibri" w:hAnsi="Calibri" w:cs="Times New Roman"/>
          <w:kern w:val="2"/>
          <w14:ligatures w14:val="standardContextual"/>
        </w:rPr>
        <w:t>declare</w:t>
      </w:r>
      <w:proofErr w:type="gramEnd"/>
      <w:r w:rsidRPr="00946BD8">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14:paraId="407BFD07"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 xml:space="preserve">Option 2: </w:t>
      </w:r>
    </w:p>
    <w:p w14:paraId="6FA6CAF5"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 xml:space="preserve">Author(s) hereby </w:t>
      </w:r>
      <w:proofErr w:type="gramStart"/>
      <w:r w:rsidRPr="00946BD8">
        <w:rPr>
          <w:rFonts w:ascii="Calibri" w:eastAsia="Calibri" w:hAnsi="Calibri" w:cs="Times New Roman"/>
          <w:kern w:val="2"/>
          <w14:ligatures w14:val="standardContextual"/>
        </w:rPr>
        <w:t>declare</w:t>
      </w:r>
      <w:proofErr w:type="gramEnd"/>
      <w:r w:rsidRPr="00946BD8">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w:t>
      </w:r>
      <w:r w:rsidRPr="00946BD8">
        <w:rPr>
          <w:rFonts w:ascii="Calibri" w:eastAsia="Calibri" w:hAnsi="Calibri" w:cs="Times New Roman"/>
          <w:kern w:val="2"/>
          <w14:ligatures w14:val="standardContextual"/>
        </w:rPr>
        <w:lastRenderedPageBreak/>
        <w:t>model, and source of the generative AI technology and as well as all input prompts provided to the generative AI technology</w:t>
      </w:r>
    </w:p>
    <w:p w14:paraId="6CC51BE7"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Details of the AI usage are given below:</w:t>
      </w:r>
    </w:p>
    <w:p w14:paraId="60CC5358"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1.</w:t>
      </w:r>
    </w:p>
    <w:p w14:paraId="19A63C80"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2.</w:t>
      </w:r>
    </w:p>
    <w:p w14:paraId="196BB2B3" w14:textId="77777777" w:rsidR="00946BD8" w:rsidRPr="00946BD8" w:rsidRDefault="00946BD8" w:rsidP="00946BD8">
      <w:pPr>
        <w:widowControl/>
        <w:autoSpaceDE/>
        <w:autoSpaceDN/>
        <w:spacing w:after="200" w:line="276" w:lineRule="auto"/>
        <w:rPr>
          <w:rFonts w:ascii="Calibri" w:eastAsia="Calibri" w:hAnsi="Calibri" w:cs="Times New Roman"/>
          <w:kern w:val="2"/>
          <w14:ligatures w14:val="standardContextual"/>
        </w:rPr>
      </w:pPr>
      <w:r w:rsidRPr="00946BD8">
        <w:rPr>
          <w:rFonts w:ascii="Calibri" w:eastAsia="Calibri" w:hAnsi="Calibri" w:cs="Times New Roman"/>
          <w:kern w:val="2"/>
          <w14:ligatures w14:val="standardContextual"/>
        </w:rPr>
        <w:t>3.</w:t>
      </w:r>
    </w:p>
    <w:p w14:paraId="4648DF80" w14:textId="77777777" w:rsidR="00946BD8" w:rsidRPr="00C7132A" w:rsidRDefault="00946BD8" w:rsidP="00DA5339">
      <w:pPr>
        <w:pStyle w:val="BodyText"/>
        <w:spacing w:before="81"/>
        <w:ind w:left="0" w:right="142"/>
        <w:jc w:val="both"/>
        <w:rPr>
          <w:rFonts w:asciiTheme="majorBidi" w:hAnsiTheme="majorBidi" w:cstheme="majorBidi"/>
          <w:rtl/>
        </w:rPr>
      </w:pPr>
    </w:p>
    <w:p w14:paraId="7FB694C3" w14:textId="77777777" w:rsidR="00C7132A" w:rsidRDefault="00C7132A" w:rsidP="00C7132A">
      <w:pPr>
        <w:pStyle w:val="BodyText"/>
        <w:spacing w:before="81"/>
        <w:ind w:left="0" w:right="142" w:hanging="360"/>
        <w:rPr>
          <w:rFonts w:asciiTheme="majorBidi" w:hAnsiTheme="majorBidi" w:cstheme="majorBidi"/>
          <w:b/>
          <w:bCs/>
        </w:rPr>
      </w:pPr>
    </w:p>
    <w:p w14:paraId="1A760177" w14:textId="77777777" w:rsidR="00D23114" w:rsidRPr="00C7132A" w:rsidRDefault="00D23114"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References</w:t>
      </w:r>
    </w:p>
    <w:p w14:paraId="3C22F93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Bertram JF, Douglas-Denton RN, Diouf B, Hughson MD, Hoy WE. Human nephron number: implications for health and disease.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Nephrol. 2011;26(9):1529-33.</w:t>
      </w:r>
    </w:p>
    <w:p w14:paraId="24BE80C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Little MH, McMahon AP. Mammalian kidney development: principles, progress, and projections. Cold Spring Harb </w:t>
      </w:r>
      <w:proofErr w:type="spellStart"/>
      <w:r w:rsidRPr="00C7132A">
        <w:rPr>
          <w:rFonts w:asciiTheme="majorBidi" w:hAnsiTheme="majorBidi" w:cstheme="majorBidi"/>
        </w:rPr>
        <w:t>Perspect</w:t>
      </w:r>
      <w:proofErr w:type="spellEnd"/>
      <w:r w:rsidRPr="00C7132A">
        <w:rPr>
          <w:rFonts w:asciiTheme="majorBidi" w:hAnsiTheme="majorBidi" w:cstheme="majorBidi"/>
        </w:rPr>
        <w:t xml:space="preserve"> Biol. 2012;4(5</w:t>
      </w:r>
      <w:proofErr w:type="gramStart"/>
      <w:r w:rsidRPr="00C7132A">
        <w:rPr>
          <w:rFonts w:asciiTheme="majorBidi" w:hAnsiTheme="majorBidi" w:cstheme="majorBidi"/>
        </w:rPr>
        <w:t>):a</w:t>
      </w:r>
      <w:proofErr w:type="gramEnd"/>
      <w:r w:rsidRPr="00C7132A">
        <w:rPr>
          <w:rFonts w:asciiTheme="majorBidi" w:hAnsiTheme="majorBidi" w:cstheme="majorBidi"/>
        </w:rPr>
        <w:t>008300.</w:t>
      </w:r>
    </w:p>
    <w:p w14:paraId="3B60148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Schedl</w:t>
      </w:r>
      <w:proofErr w:type="spellEnd"/>
      <w:r w:rsidRPr="00C7132A">
        <w:rPr>
          <w:rFonts w:asciiTheme="majorBidi" w:hAnsiTheme="majorBidi" w:cstheme="majorBidi"/>
        </w:rPr>
        <w:t xml:space="preserve"> A. Renal abnormalities and their developmental origin. Nat Rev Genet. 2007;8(10):791-802.</w:t>
      </w:r>
    </w:p>
    <w:p w14:paraId="700194D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Dressler GR. The cellular basis of kidney development. Annu Rev Cell Dev Biol. </w:t>
      </w:r>
      <w:proofErr w:type="gramStart"/>
      <w:r w:rsidRPr="00C7132A">
        <w:rPr>
          <w:rFonts w:asciiTheme="majorBidi" w:hAnsiTheme="majorBidi" w:cstheme="majorBidi"/>
        </w:rPr>
        <w:t>2006;22:509</w:t>
      </w:r>
      <w:proofErr w:type="gramEnd"/>
      <w:r w:rsidRPr="00C7132A">
        <w:rPr>
          <w:rFonts w:asciiTheme="majorBidi" w:hAnsiTheme="majorBidi" w:cstheme="majorBidi"/>
        </w:rPr>
        <w:t>-29.</w:t>
      </w:r>
    </w:p>
    <w:p w14:paraId="07B8666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Rodriguez MM, Gómez AH, Abitbol CL, Chandar JJ, </w:t>
      </w:r>
      <w:proofErr w:type="spellStart"/>
      <w:r w:rsidRPr="00C7132A">
        <w:rPr>
          <w:rFonts w:asciiTheme="majorBidi" w:hAnsiTheme="majorBidi" w:cstheme="majorBidi"/>
        </w:rPr>
        <w:t>Duara</w:t>
      </w:r>
      <w:proofErr w:type="spellEnd"/>
      <w:r w:rsidRPr="00C7132A">
        <w:rPr>
          <w:rFonts w:asciiTheme="majorBidi" w:hAnsiTheme="majorBidi" w:cstheme="majorBidi"/>
        </w:rPr>
        <w:t xml:space="preserve"> S, </w:t>
      </w:r>
      <w:proofErr w:type="spellStart"/>
      <w:r w:rsidRPr="00C7132A">
        <w:rPr>
          <w:rFonts w:asciiTheme="majorBidi" w:hAnsiTheme="majorBidi" w:cstheme="majorBidi"/>
        </w:rPr>
        <w:t>Zilleruelo</w:t>
      </w:r>
      <w:proofErr w:type="spellEnd"/>
      <w:r w:rsidRPr="00C7132A">
        <w:rPr>
          <w:rFonts w:asciiTheme="majorBidi" w:hAnsiTheme="majorBidi" w:cstheme="majorBidi"/>
        </w:rPr>
        <w:t xml:space="preserve"> GE. </w:t>
      </w:r>
      <w:proofErr w:type="spellStart"/>
      <w:r w:rsidRPr="00C7132A">
        <w:rPr>
          <w:rFonts w:asciiTheme="majorBidi" w:hAnsiTheme="majorBidi" w:cstheme="majorBidi"/>
        </w:rPr>
        <w:t>Histomorphometric</w:t>
      </w:r>
      <w:proofErr w:type="spellEnd"/>
      <w:r w:rsidRPr="00C7132A">
        <w:rPr>
          <w:rFonts w:asciiTheme="majorBidi" w:hAnsiTheme="majorBidi" w:cstheme="majorBidi"/>
        </w:rPr>
        <w:t xml:space="preserve"> analysis of postnatal </w:t>
      </w:r>
      <w:proofErr w:type="spellStart"/>
      <w:r w:rsidRPr="00C7132A">
        <w:rPr>
          <w:rFonts w:asciiTheme="majorBidi" w:hAnsiTheme="majorBidi" w:cstheme="majorBidi"/>
        </w:rPr>
        <w:t>glomerulogenesis</w:t>
      </w:r>
      <w:proofErr w:type="spellEnd"/>
      <w:r w:rsidRPr="00C7132A">
        <w:rPr>
          <w:rFonts w:asciiTheme="majorBidi" w:hAnsiTheme="majorBidi" w:cstheme="majorBidi"/>
        </w:rPr>
        <w:t xml:space="preserve"> in extremely preterm infants.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Dev Pathol. 2004;7(1):17-25.</w:t>
      </w:r>
    </w:p>
    <w:p w14:paraId="483D7D5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Luyckx VA, Bertram JF, Brenner BM, Fall C, Hoy WE, Ozanne SE, et al. Effect of fetal and child health on kidney development and long-term risk of hypertension and kidney disease. Lancet. 2013;382(9888):273-83.</w:t>
      </w:r>
    </w:p>
    <w:p w14:paraId="79FD8EF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Coles HS, Burne JF, Raff MC. Large-scale normal cell death in the developing rat kidney and its reduction by epidermal growth factor. Development. 1993;118(3):777-84.</w:t>
      </w:r>
    </w:p>
    <w:p w14:paraId="0F61EA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Docherty NG, O'Sullivan OE, Healy DA, Murphy M, O'Neill AJ, Fitzpatrick JM, et al. TGF-β1-induced EMT can occur independently of its proapoptotic effects and is aided by EGF receptor activation. Am J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Renal Physiol. 2006;290(5</w:t>
      </w:r>
      <w:proofErr w:type="gramStart"/>
      <w:r w:rsidRPr="00C7132A">
        <w:rPr>
          <w:rFonts w:asciiTheme="majorBidi" w:hAnsiTheme="majorBidi" w:cstheme="majorBidi"/>
        </w:rPr>
        <w:t>):F</w:t>
      </w:r>
      <w:proofErr w:type="gramEnd"/>
      <w:r w:rsidRPr="00C7132A">
        <w:rPr>
          <w:rFonts w:asciiTheme="majorBidi" w:hAnsiTheme="majorBidi" w:cstheme="majorBidi"/>
        </w:rPr>
        <w:t>1202-12.</w:t>
      </w:r>
    </w:p>
    <w:p w14:paraId="3A60A6F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Brenner BM, Garcia DL, Anderson S. Glomeruli and blood pressure. Less of one, more the other? Am J </w:t>
      </w:r>
      <w:proofErr w:type="spellStart"/>
      <w:r w:rsidRPr="00C7132A">
        <w:rPr>
          <w:rFonts w:asciiTheme="majorBidi" w:hAnsiTheme="majorBidi" w:cstheme="majorBidi"/>
        </w:rPr>
        <w:t>Hypertens</w:t>
      </w:r>
      <w:proofErr w:type="spellEnd"/>
      <w:r w:rsidRPr="00C7132A">
        <w:rPr>
          <w:rFonts w:asciiTheme="majorBidi" w:hAnsiTheme="majorBidi" w:cstheme="majorBidi"/>
        </w:rPr>
        <w:t>. 1988;1(4 Pt 1):335-47.</w:t>
      </w:r>
    </w:p>
    <w:p w14:paraId="28F258E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Nagata S, Tanaka M. Programmed cell death and the immune system. Nat Rev Immunol. 2017;17(5):333-40.</w:t>
      </w:r>
    </w:p>
    <w:p w14:paraId="7449637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Woo M, Hakem R, </w:t>
      </w:r>
      <w:proofErr w:type="spellStart"/>
      <w:r w:rsidRPr="00C7132A">
        <w:rPr>
          <w:rFonts w:asciiTheme="majorBidi" w:hAnsiTheme="majorBidi" w:cstheme="majorBidi"/>
        </w:rPr>
        <w:t>Soengas</w:t>
      </w:r>
      <w:proofErr w:type="spellEnd"/>
      <w:r w:rsidRPr="00C7132A">
        <w:rPr>
          <w:rFonts w:asciiTheme="majorBidi" w:hAnsiTheme="majorBidi" w:cstheme="majorBidi"/>
        </w:rPr>
        <w:t xml:space="preserve"> MS, Duncan GS, Shahinian A, </w:t>
      </w:r>
      <w:proofErr w:type="spellStart"/>
      <w:r w:rsidRPr="00C7132A">
        <w:rPr>
          <w:rFonts w:asciiTheme="majorBidi" w:hAnsiTheme="majorBidi" w:cstheme="majorBidi"/>
        </w:rPr>
        <w:t>Kägi</w:t>
      </w:r>
      <w:proofErr w:type="spellEnd"/>
      <w:r w:rsidRPr="00C7132A">
        <w:rPr>
          <w:rFonts w:asciiTheme="majorBidi" w:hAnsiTheme="majorBidi" w:cstheme="majorBidi"/>
        </w:rPr>
        <w:t xml:space="preserve"> D, et al. Essential contribution of caspase 3/CPP32 to apoptosis and its associated nuclear changes. Genes Dev. 1998;12(6):806-19.</w:t>
      </w:r>
    </w:p>
    <w:p w14:paraId="3E79CC5C"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Naruse K, Fujieda M, Miyazaki E, Hayashi Y, Toi M, Fukui T, et al. An immunohistochemical study of developing glomeruli in human fetal kidneys. Kidney Int. 2000;57(5):1836-46.</w:t>
      </w:r>
    </w:p>
    <w:p w14:paraId="61A1B04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Saxén</w:t>
      </w:r>
      <w:proofErr w:type="spellEnd"/>
      <w:r w:rsidRPr="00C7132A">
        <w:rPr>
          <w:rFonts w:asciiTheme="majorBidi" w:hAnsiTheme="majorBidi" w:cstheme="majorBidi"/>
        </w:rPr>
        <w:t xml:space="preserve"> L. Organogenesis of the kidney. Cambridge: Cambridge University Press; 1987.</w:t>
      </w:r>
    </w:p>
    <w:p w14:paraId="12F458E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Costantini F, Kopan R. Patterning a complex organ: branching morphogenesis and nephron segmentation in kidney development. Dev Cell. 2010;18(5):698-712.</w:t>
      </w:r>
    </w:p>
    <w:p w14:paraId="4302755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lastRenderedPageBreak/>
        <w:t xml:space="preserve">Jiang YJ, Bikle DD. LncRNA profiling reveals new mechanism for VDR protection against skin cancer formation. J Steroid </w:t>
      </w:r>
      <w:proofErr w:type="spellStart"/>
      <w:r w:rsidRPr="00C7132A">
        <w:rPr>
          <w:rFonts w:asciiTheme="majorBidi" w:hAnsiTheme="majorBidi" w:cstheme="majorBidi"/>
        </w:rPr>
        <w:t>Biochem</w:t>
      </w:r>
      <w:proofErr w:type="spellEnd"/>
      <w:r w:rsidRPr="00C7132A">
        <w:rPr>
          <w:rFonts w:asciiTheme="majorBidi" w:hAnsiTheme="majorBidi" w:cstheme="majorBidi"/>
        </w:rPr>
        <w:t xml:space="preserve"> Mol Biol. 2014;144 Pt A:87-90.</w:t>
      </w:r>
    </w:p>
    <w:p w14:paraId="505CA75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Sainio K, Suvanto P, Davies J, </w:t>
      </w:r>
      <w:proofErr w:type="spellStart"/>
      <w:r w:rsidRPr="00C7132A">
        <w:rPr>
          <w:rFonts w:asciiTheme="majorBidi" w:hAnsiTheme="majorBidi" w:cstheme="majorBidi"/>
        </w:rPr>
        <w:t>Wartiovaara</w:t>
      </w:r>
      <w:proofErr w:type="spellEnd"/>
      <w:r w:rsidRPr="00C7132A">
        <w:rPr>
          <w:rFonts w:asciiTheme="majorBidi" w:hAnsiTheme="majorBidi" w:cstheme="majorBidi"/>
        </w:rPr>
        <w:t xml:space="preserve"> J, </w:t>
      </w:r>
      <w:proofErr w:type="spellStart"/>
      <w:r w:rsidRPr="00C7132A">
        <w:rPr>
          <w:rFonts w:asciiTheme="majorBidi" w:hAnsiTheme="majorBidi" w:cstheme="majorBidi"/>
        </w:rPr>
        <w:t>Wartiovaara</w:t>
      </w:r>
      <w:proofErr w:type="spellEnd"/>
      <w:r w:rsidRPr="00C7132A">
        <w:rPr>
          <w:rFonts w:asciiTheme="majorBidi" w:hAnsiTheme="majorBidi" w:cstheme="majorBidi"/>
        </w:rPr>
        <w:t xml:space="preserve"> K, Saarma M, et al. Glial-cell-line-derived neurotrophic factor is required for bud initiation from ureteric epithelium. Development. 1997;124(20):4077-87.</w:t>
      </w:r>
    </w:p>
    <w:p w14:paraId="0D8D279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McMahon AP. Development of the mammalian kidney. Curr Top Dev Biol. </w:t>
      </w:r>
      <w:proofErr w:type="gramStart"/>
      <w:r w:rsidRPr="00C7132A">
        <w:rPr>
          <w:rFonts w:asciiTheme="majorBidi" w:hAnsiTheme="majorBidi" w:cstheme="majorBidi"/>
        </w:rPr>
        <w:t>2016;117:31</w:t>
      </w:r>
      <w:proofErr w:type="gramEnd"/>
      <w:r w:rsidRPr="00C7132A">
        <w:rPr>
          <w:rFonts w:asciiTheme="majorBidi" w:hAnsiTheme="majorBidi" w:cstheme="majorBidi"/>
        </w:rPr>
        <w:t>-64.</w:t>
      </w:r>
    </w:p>
    <w:p w14:paraId="7B34F4B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Schwarz K, Simons M, Reiser J, Saleem MA, Faul C, Kriz W, et al. Podocin, a raft-associated component of the glomerular slit diaphragm, interacts with CD2AP and </w:t>
      </w:r>
      <w:proofErr w:type="spellStart"/>
      <w:r w:rsidRPr="00C7132A">
        <w:rPr>
          <w:rFonts w:asciiTheme="majorBidi" w:hAnsiTheme="majorBidi" w:cstheme="majorBidi"/>
        </w:rPr>
        <w:t>nephrin</w:t>
      </w:r>
      <w:proofErr w:type="spellEnd"/>
      <w:r w:rsidRPr="00C7132A">
        <w:rPr>
          <w:rFonts w:asciiTheme="majorBidi" w:hAnsiTheme="majorBidi" w:cstheme="majorBidi"/>
        </w:rPr>
        <w:t>. J Clin Invest. 2001;108(11):1621-9.</w:t>
      </w:r>
    </w:p>
    <w:p w14:paraId="399E06E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Shah MM, Sampogna RV, Sakurai H, Bush KT, Nigam SK. Branching morphogenesis and kidney disease. Development. 2004;131(7):1449-62.</w:t>
      </w:r>
    </w:p>
    <w:p w14:paraId="7E7B725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Reidy KJ, Rosenblum ND. Cell and molecular biology of kidney development. Semin Nephrol. 2009;29(4):321-37.</w:t>
      </w:r>
    </w:p>
    <w:p w14:paraId="60DEEDD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Hartman HA, Lai HL, Patterson LT. Cessation of renal morphogenesis in mice. Dev Biol. 2007;310(2):379-87.</w:t>
      </w:r>
    </w:p>
    <w:p w14:paraId="63582B3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Coles HS, Burne JF, Raff MC. Large-scale normal cell death in the developing rat kidney and its reduction by epidermal growth factor. Development. 1993;118(3):777-84.</w:t>
      </w:r>
    </w:p>
    <w:p w14:paraId="487E1D4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Koseki C, </w:t>
      </w:r>
      <w:proofErr w:type="spellStart"/>
      <w:r w:rsidRPr="00C7132A">
        <w:rPr>
          <w:rFonts w:asciiTheme="majorBidi" w:hAnsiTheme="majorBidi" w:cstheme="majorBidi"/>
        </w:rPr>
        <w:t>Herzlinger</w:t>
      </w:r>
      <w:proofErr w:type="spellEnd"/>
      <w:r w:rsidRPr="00C7132A">
        <w:rPr>
          <w:rFonts w:asciiTheme="majorBidi" w:hAnsiTheme="majorBidi" w:cstheme="majorBidi"/>
        </w:rPr>
        <w:t xml:space="preserve"> D, Al-</w:t>
      </w:r>
      <w:proofErr w:type="spellStart"/>
      <w:r w:rsidRPr="00C7132A">
        <w:rPr>
          <w:rFonts w:asciiTheme="majorBidi" w:hAnsiTheme="majorBidi" w:cstheme="majorBidi"/>
        </w:rPr>
        <w:t>Awqati</w:t>
      </w:r>
      <w:proofErr w:type="spellEnd"/>
      <w:r w:rsidRPr="00C7132A">
        <w:rPr>
          <w:rFonts w:asciiTheme="majorBidi" w:hAnsiTheme="majorBidi" w:cstheme="majorBidi"/>
        </w:rPr>
        <w:t xml:space="preserve"> Q. Apoptosis in metanephric development. J Cell Biol. 1992;119(5):1327-33.</w:t>
      </w:r>
    </w:p>
    <w:p w14:paraId="293690F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Dziarmaga</w:t>
      </w:r>
      <w:proofErr w:type="spellEnd"/>
      <w:r w:rsidRPr="00C7132A">
        <w:rPr>
          <w:rFonts w:asciiTheme="majorBidi" w:hAnsiTheme="majorBidi" w:cstheme="majorBidi"/>
        </w:rPr>
        <w:t xml:space="preserve"> A, Eccles M, Goodyer P. Suppression of ureteric bud apoptosis rescues nephron endowment and adult renal function in Pax2 mutant mice. J Am Soc Nephrol. 2006;17(6):1568-75.</w:t>
      </w:r>
    </w:p>
    <w:p w14:paraId="2D6397C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Lindström NO, Lawrence ML, Burn SF, Johansson JA, Bakker ER, Ridgway RA, et al. Integrated β-catenin, BMP, PTEN, and Notch </w:t>
      </w:r>
      <w:proofErr w:type="spellStart"/>
      <w:r w:rsidRPr="00C7132A">
        <w:rPr>
          <w:rFonts w:asciiTheme="majorBidi" w:hAnsiTheme="majorBidi" w:cstheme="majorBidi"/>
        </w:rPr>
        <w:t>signalling</w:t>
      </w:r>
      <w:proofErr w:type="spellEnd"/>
      <w:r w:rsidRPr="00C7132A">
        <w:rPr>
          <w:rFonts w:asciiTheme="majorBidi" w:hAnsiTheme="majorBidi" w:cstheme="majorBidi"/>
        </w:rPr>
        <w:t xml:space="preserve"> patterns the nephron. </w:t>
      </w:r>
      <w:proofErr w:type="spellStart"/>
      <w:r w:rsidRPr="00C7132A">
        <w:rPr>
          <w:rFonts w:asciiTheme="majorBidi" w:hAnsiTheme="majorBidi" w:cstheme="majorBidi"/>
        </w:rPr>
        <w:t>eLife</w:t>
      </w:r>
      <w:proofErr w:type="spellEnd"/>
      <w:r w:rsidRPr="00C7132A">
        <w:rPr>
          <w:rFonts w:asciiTheme="majorBidi" w:hAnsiTheme="majorBidi" w:cstheme="majorBidi"/>
        </w:rPr>
        <w:t>. 2015;</w:t>
      </w:r>
      <w:proofErr w:type="gramStart"/>
      <w:r w:rsidRPr="00C7132A">
        <w:rPr>
          <w:rFonts w:asciiTheme="majorBidi" w:hAnsiTheme="majorBidi" w:cstheme="majorBidi"/>
        </w:rPr>
        <w:t>3:e</w:t>
      </w:r>
      <w:proofErr w:type="gramEnd"/>
      <w:r w:rsidRPr="00C7132A">
        <w:rPr>
          <w:rFonts w:asciiTheme="majorBidi" w:hAnsiTheme="majorBidi" w:cstheme="majorBidi"/>
        </w:rPr>
        <w:t>04000.</w:t>
      </w:r>
    </w:p>
    <w:p w14:paraId="60C2EE3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Marciano DK. A holey pursuit: lumen formation in the developing kidney.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Nephrol. 2017;32(1):7-20.</w:t>
      </w:r>
    </w:p>
    <w:p w14:paraId="313A431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Grobstein C. Inductive </w:t>
      </w:r>
      <w:proofErr w:type="spellStart"/>
      <w:r w:rsidRPr="00C7132A">
        <w:rPr>
          <w:rFonts w:asciiTheme="majorBidi" w:hAnsiTheme="majorBidi" w:cstheme="majorBidi"/>
        </w:rPr>
        <w:t>epitheliomesenchymal</w:t>
      </w:r>
      <w:proofErr w:type="spellEnd"/>
      <w:r w:rsidRPr="00C7132A">
        <w:rPr>
          <w:rFonts w:asciiTheme="majorBidi" w:hAnsiTheme="majorBidi" w:cstheme="majorBidi"/>
        </w:rPr>
        <w:t xml:space="preserve"> interaction in cultured organ rudiments of the mouse metanephros. Science. 1953;118(3054):52-5.</w:t>
      </w:r>
    </w:p>
    <w:p w14:paraId="232BEA2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Cho EA, Patterson LT, </w:t>
      </w:r>
      <w:proofErr w:type="spellStart"/>
      <w:r w:rsidRPr="00C7132A">
        <w:rPr>
          <w:rFonts w:asciiTheme="majorBidi" w:hAnsiTheme="majorBidi" w:cstheme="majorBidi"/>
        </w:rPr>
        <w:t>Brookhiser</w:t>
      </w:r>
      <w:proofErr w:type="spellEnd"/>
      <w:r w:rsidRPr="00C7132A">
        <w:rPr>
          <w:rFonts w:asciiTheme="majorBidi" w:hAnsiTheme="majorBidi" w:cstheme="majorBidi"/>
        </w:rPr>
        <w:t xml:space="preserve"> WT, Mah S, Kintner C, Dressler GR. Differential expression and function of cadherin-6 during renal epithelium development. Development. 1998;125(5):803-12.</w:t>
      </w:r>
    </w:p>
    <w:p w14:paraId="66C1864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Meyer TN, </w:t>
      </w:r>
      <w:proofErr w:type="spellStart"/>
      <w:r w:rsidRPr="00C7132A">
        <w:rPr>
          <w:rFonts w:asciiTheme="majorBidi" w:hAnsiTheme="majorBidi" w:cstheme="majorBidi"/>
        </w:rPr>
        <w:t>Schwesinger</w:t>
      </w:r>
      <w:proofErr w:type="spellEnd"/>
      <w:r w:rsidRPr="00C7132A">
        <w:rPr>
          <w:rFonts w:asciiTheme="majorBidi" w:hAnsiTheme="majorBidi" w:cstheme="majorBidi"/>
        </w:rPr>
        <w:t xml:space="preserve"> C, Sampogna RV, Vaughn DA, Stuart RO, Steer DL, et al. Rho kinase acts at separate steps in ureteric bud and metanephric mesenchyme morphogenesis during kidney development. Differentiation. 2006;74(9-10):638-47.</w:t>
      </w:r>
    </w:p>
    <w:p w14:paraId="2948EB3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Cullen-McEwen LA, Kett MM, Dowling J, Anderson WP, Bertram JF. Nephron number, renal function, and arterial pressure in aged GDNF heterozygous mice. Hypertension. 2003;41(2):335-40.</w:t>
      </w:r>
    </w:p>
    <w:p w14:paraId="6D73A6B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Grobstein C. Morphogenetic interaction between embryonic mouse tissues separated by a membrane filter. Nature. 1953;172(4384):869-70.</w:t>
      </w:r>
    </w:p>
    <w:p w14:paraId="08D0AF1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Bridgewater D, Cox B, Cain J, Lau A, Athaide V, Gill PS, et al. Canonical WNT/β-catenin signaling is required for ureteric branching. Dev Biol. 2008;317(1):83-94.</w:t>
      </w:r>
    </w:p>
    <w:p w14:paraId="48DA377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Qiao J, Uzzo R, Obara-Ishihara T, Degenstein L, Fuchs E, </w:t>
      </w:r>
      <w:proofErr w:type="spellStart"/>
      <w:r w:rsidRPr="00C7132A">
        <w:rPr>
          <w:rFonts w:asciiTheme="majorBidi" w:hAnsiTheme="majorBidi" w:cstheme="majorBidi"/>
        </w:rPr>
        <w:t>Herzlinger</w:t>
      </w:r>
      <w:proofErr w:type="spellEnd"/>
      <w:r w:rsidRPr="00C7132A">
        <w:rPr>
          <w:rFonts w:asciiTheme="majorBidi" w:hAnsiTheme="majorBidi" w:cstheme="majorBidi"/>
        </w:rPr>
        <w:t xml:space="preserve"> D. FGF-7 modulates ureteric bud growth and nephron number in the developing kidney. Development. </w:t>
      </w:r>
      <w:r w:rsidRPr="00C7132A">
        <w:rPr>
          <w:rFonts w:asciiTheme="majorBidi" w:hAnsiTheme="majorBidi" w:cstheme="majorBidi"/>
        </w:rPr>
        <w:lastRenderedPageBreak/>
        <w:t>1999;126(3):547-54.</w:t>
      </w:r>
    </w:p>
    <w:p w14:paraId="768E7A7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Lelongt</w:t>
      </w:r>
      <w:proofErr w:type="spellEnd"/>
      <w:r w:rsidRPr="00C7132A">
        <w:rPr>
          <w:rFonts w:asciiTheme="majorBidi" w:hAnsiTheme="majorBidi" w:cstheme="majorBidi"/>
        </w:rPr>
        <w:t xml:space="preserve"> B, </w:t>
      </w:r>
      <w:proofErr w:type="spellStart"/>
      <w:r w:rsidRPr="00C7132A">
        <w:rPr>
          <w:rFonts w:asciiTheme="majorBidi" w:hAnsiTheme="majorBidi" w:cstheme="majorBidi"/>
        </w:rPr>
        <w:t>Trugnan</w:t>
      </w:r>
      <w:proofErr w:type="spellEnd"/>
      <w:r w:rsidRPr="00C7132A">
        <w:rPr>
          <w:rFonts w:asciiTheme="majorBidi" w:hAnsiTheme="majorBidi" w:cstheme="majorBidi"/>
        </w:rPr>
        <w:t xml:space="preserve"> G, Murphy G, Ronco PM. Matrix metalloproteinases MMP2 and MMP9 are produced in early stages of kidney morphogenesis but only MMP9 is required for renal organogenesis in vitro. J Cell Biol. 1997;136(6):1363-73.</w:t>
      </w:r>
    </w:p>
    <w:p w14:paraId="52FDF85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Fernandez CA, Moses MA. Modulation of angiogenesis by tissue inhibitor of metalloproteinase-4. </w:t>
      </w:r>
      <w:proofErr w:type="spellStart"/>
      <w:r w:rsidRPr="00C7132A">
        <w:rPr>
          <w:rFonts w:asciiTheme="majorBidi" w:hAnsiTheme="majorBidi" w:cstheme="majorBidi"/>
        </w:rPr>
        <w:t>Biochem</w:t>
      </w:r>
      <w:proofErr w:type="spellEnd"/>
      <w:r w:rsidRPr="00C7132A">
        <w:rPr>
          <w:rFonts w:asciiTheme="majorBidi" w:hAnsiTheme="majorBidi" w:cstheme="majorBidi"/>
        </w:rPr>
        <w:t xml:space="preserve"> </w:t>
      </w:r>
      <w:proofErr w:type="spellStart"/>
      <w:r w:rsidRPr="00C7132A">
        <w:rPr>
          <w:rFonts w:asciiTheme="majorBidi" w:hAnsiTheme="majorBidi" w:cstheme="majorBidi"/>
        </w:rPr>
        <w:t>Biophys</w:t>
      </w:r>
      <w:proofErr w:type="spellEnd"/>
      <w:r w:rsidRPr="00C7132A">
        <w:rPr>
          <w:rFonts w:asciiTheme="majorBidi" w:hAnsiTheme="majorBidi" w:cstheme="majorBidi"/>
        </w:rPr>
        <w:t xml:space="preserve"> Res Commun. 2006;345(1):523-9.</w:t>
      </w:r>
    </w:p>
    <w:p w14:paraId="742CB68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Alexander MS, Rosenblum ND. Regulatory networks controlling branching morphogenesis in the embryonic kidney. Curr Top Dev Biol. </w:t>
      </w:r>
      <w:proofErr w:type="gramStart"/>
      <w:r w:rsidRPr="00C7132A">
        <w:rPr>
          <w:rFonts w:asciiTheme="majorBidi" w:hAnsiTheme="majorBidi" w:cstheme="majorBidi"/>
        </w:rPr>
        <w:t>2014;112:347</w:t>
      </w:r>
      <w:proofErr w:type="gramEnd"/>
      <w:r w:rsidRPr="00C7132A">
        <w:rPr>
          <w:rFonts w:asciiTheme="majorBidi" w:hAnsiTheme="majorBidi" w:cstheme="majorBidi"/>
        </w:rPr>
        <w:t>-82.</w:t>
      </w:r>
    </w:p>
    <w:p w14:paraId="72628D1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Lu BC, Cebrian C, Chi X, </w:t>
      </w:r>
      <w:proofErr w:type="spellStart"/>
      <w:r w:rsidRPr="00C7132A">
        <w:rPr>
          <w:rFonts w:asciiTheme="majorBidi" w:hAnsiTheme="majorBidi" w:cstheme="majorBidi"/>
        </w:rPr>
        <w:t>Kuure</w:t>
      </w:r>
      <w:proofErr w:type="spellEnd"/>
      <w:r w:rsidRPr="00C7132A">
        <w:rPr>
          <w:rFonts w:asciiTheme="majorBidi" w:hAnsiTheme="majorBidi" w:cstheme="majorBidi"/>
        </w:rPr>
        <w:t xml:space="preserve"> S, Kuo R, Bates CM, et al. Etv4 and Etv5 are required downstream of GDNF and Ret for kidney branching morphogenesis. Nat Genet. 2009;41(12):1295-302.</w:t>
      </w:r>
    </w:p>
    <w:p w14:paraId="49CA981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Sainio K, </w:t>
      </w:r>
      <w:proofErr w:type="spellStart"/>
      <w:r w:rsidRPr="00C7132A">
        <w:rPr>
          <w:rFonts w:asciiTheme="majorBidi" w:hAnsiTheme="majorBidi" w:cstheme="majorBidi"/>
        </w:rPr>
        <w:t>Hellstedt</w:t>
      </w:r>
      <w:proofErr w:type="spellEnd"/>
      <w:r w:rsidRPr="00C7132A">
        <w:rPr>
          <w:rFonts w:asciiTheme="majorBidi" w:hAnsiTheme="majorBidi" w:cstheme="majorBidi"/>
        </w:rPr>
        <w:t xml:space="preserve"> P, </w:t>
      </w:r>
      <w:proofErr w:type="spellStart"/>
      <w:r w:rsidRPr="00C7132A">
        <w:rPr>
          <w:rFonts w:asciiTheme="majorBidi" w:hAnsiTheme="majorBidi" w:cstheme="majorBidi"/>
        </w:rPr>
        <w:t>Kreidberg</w:t>
      </w:r>
      <w:proofErr w:type="spellEnd"/>
      <w:r w:rsidRPr="00C7132A">
        <w:rPr>
          <w:rFonts w:asciiTheme="majorBidi" w:hAnsiTheme="majorBidi" w:cstheme="majorBidi"/>
        </w:rPr>
        <w:t xml:space="preserve"> JA, </w:t>
      </w:r>
      <w:proofErr w:type="spellStart"/>
      <w:r w:rsidRPr="00C7132A">
        <w:rPr>
          <w:rFonts w:asciiTheme="majorBidi" w:hAnsiTheme="majorBidi" w:cstheme="majorBidi"/>
        </w:rPr>
        <w:t>Saxén</w:t>
      </w:r>
      <w:proofErr w:type="spellEnd"/>
      <w:r w:rsidRPr="00C7132A">
        <w:rPr>
          <w:rFonts w:asciiTheme="majorBidi" w:hAnsiTheme="majorBidi" w:cstheme="majorBidi"/>
        </w:rPr>
        <w:t xml:space="preserve"> L, </w:t>
      </w:r>
      <w:proofErr w:type="spellStart"/>
      <w:r w:rsidRPr="00C7132A">
        <w:rPr>
          <w:rFonts w:asciiTheme="majorBidi" w:hAnsiTheme="majorBidi" w:cstheme="majorBidi"/>
        </w:rPr>
        <w:t>Sariola</w:t>
      </w:r>
      <w:proofErr w:type="spellEnd"/>
      <w:r w:rsidRPr="00C7132A">
        <w:rPr>
          <w:rFonts w:asciiTheme="majorBidi" w:hAnsiTheme="majorBidi" w:cstheme="majorBidi"/>
        </w:rPr>
        <w:t xml:space="preserve"> H. Differential regulation of two sets of mesonephric tubules by WT-1. Development. 1997;124(7):1293-9.</w:t>
      </w:r>
    </w:p>
    <w:p w14:paraId="7C3ABA1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Towers PR, Patel S, Withington SL, Isaac RE, Coates D, Nass R, et al. Scn-1, a homolog of the mammalian degenerative spermatocyte gene, is required for apoptosis in the nematode nervous system. Proc Natl </w:t>
      </w:r>
      <w:proofErr w:type="spellStart"/>
      <w:r w:rsidRPr="00C7132A">
        <w:rPr>
          <w:rFonts w:asciiTheme="majorBidi" w:hAnsiTheme="majorBidi" w:cstheme="majorBidi"/>
        </w:rPr>
        <w:t>Acad</w:t>
      </w:r>
      <w:proofErr w:type="spellEnd"/>
      <w:r w:rsidRPr="00C7132A">
        <w:rPr>
          <w:rFonts w:asciiTheme="majorBidi" w:hAnsiTheme="majorBidi" w:cstheme="majorBidi"/>
        </w:rPr>
        <w:t xml:space="preserve"> Sci U S A. 2005;102(27):9644-9.</w:t>
      </w:r>
    </w:p>
    <w:p w14:paraId="74022C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Cecconi F, Alvarez-Bolado G, Meyer BI, Roth KA, Gruss P. Apaf1 (CED-4 homolog) regulates programmed cell death in mammalian development. Cell. 1998;94(6):727-37.</w:t>
      </w:r>
    </w:p>
    <w:p w14:paraId="12830E1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Hakem R, Hakem A, Duncan GS, Henderson JT, Woo M, </w:t>
      </w:r>
      <w:proofErr w:type="spellStart"/>
      <w:r w:rsidRPr="00C7132A">
        <w:rPr>
          <w:rFonts w:asciiTheme="majorBidi" w:hAnsiTheme="majorBidi" w:cstheme="majorBidi"/>
        </w:rPr>
        <w:t>Soengas</w:t>
      </w:r>
      <w:proofErr w:type="spellEnd"/>
      <w:r w:rsidRPr="00C7132A">
        <w:rPr>
          <w:rFonts w:asciiTheme="majorBidi" w:hAnsiTheme="majorBidi" w:cstheme="majorBidi"/>
        </w:rPr>
        <w:t xml:space="preserve"> MS, et al. Differential requirement for caspase 9 in apoptotic pathways in vivo. Cell. 1998;94(3):339-52.</w:t>
      </w:r>
    </w:p>
    <w:p w14:paraId="48BF670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 P, Nijhawan D, </w:t>
      </w:r>
      <w:proofErr w:type="spellStart"/>
      <w:r w:rsidRPr="00C7132A">
        <w:rPr>
          <w:rFonts w:asciiTheme="majorBidi" w:hAnsiTheme="majorBidi" w:cstheme="majorBidi"/>
        </w:rPr>
        <w:t>Budihardjo</w:t>
      </w:r>
      <w:proofErr w:type="spellEnd"/>
      <w:r w:rsidRPr="00C7132A">
        <w:rPr>
          <w:rFonts w:asciiTheme="majorBidi" w:hAnsiTheme="majorBidi" w:cstheme="majorBidi"/>
        </w:rPr>
        <w:t xml:space="preserve"> I, </w:t>
      </w:r>
      <w:proofErr w:type="spellStart"/>
      <w:r w:rsidRPr="00C7132A">
        <w:rPr>
          <w:rFonts w:asciiTheme="majorBidi" w:hAnsiTheme="majorBidi" w:cstheme="majorBidi"/>
        </w:rPr>
        <w:t>Srinivasula</w:t>
      </w:r>
      <w:proofErr w:type="spellEnd"/>
      <w:r w:rsidRPr="00C7132A">
        <w:rPr>
          <w:rFonts w:asciiTheme="majorBidi" w:hAnsiTheme="majorBidi" w:cstheme="majorBidi"/>
        </w:rPr>
        <w:t xml:space="preserve"> SM, Ahmad M, </w:t>
      </w:r>
      <w:proofErr w:type="spellStart"/>
      <w:r w:rsidRPr="00C7132A">
        <w:rPr>
          <w:rFonts w:asciiTheme="majorBidi" w:hAnsiTheme="majorBidi" w:cstheme="majorBidi"/>
        </w:rPr>
        <w:t>Alnemri</w:t>
      </w:r>
      <w:proofErr w:type="spellEnd"/>
      <w:r w:rsidRPr="00C7132A">
        <w:rPr>
          <w:rFonts w:asciiTheme="majorBidi" w:hAnsiTheme="majorBidi" w:cstheme="majorBidi"/>
        </w:rPr>
        <w:t xml:space="preserve"> ES, et al. Cytochrome c and </w:t>
      </w:r>
      <w:proofErr w:type="spellStart"/>
      <w:r w:rsidRPr="00C7132A">
        <w:rPr>
          <w:rFonts w:asciiTheme="majorBidi" w:hAnsiTheme="majorBidi" w:cstheme="majorBidi"/>
        </w:rPr>
        <w:t>dATP</w:t>
      </w:r>
      <w:proofErr w:type="spellEnd"/>
      <w:r w:rsidRPr="00C7132A">
        <w:rPr>
          <w:rFonts w:asciiTheme="majorBidi" w:hAnsiTheme="majorBidi" w:cstheme="majorBidi"/>
        </w:rPr>
        <w:t>-dependent formation of Apaf-1/caspase-9 complex initiates an apoptotic protease cascade. Cell. 1997;91(4):479-89.</w:t>
      </w:r>
    </w:p>
    <w:p w14:paraId="71E09B5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Sorenson CM, </w:t>
      </w:r>
      <w:proofErr w:type="spellStart"/>
      <w:r w:rsidRPr="00C7132A">
        <w:rPr>
          <w:rFonts w:asciiTheme="majorBidi" w:hAnsiTheme="majorBidi" w:cstheme="majorBidi"/>
        </w:rPr>
        <w:t>Padanilam</w:t>
      </w:r>
      <w:proofErr w:type="spellEnd"/>
      <w:r w:rsidRPr="00C7132A">
        <w:rPr>
          <w:rFonts w:asciiTheme="majorBidi" w:hAnsiTheme="majorBidi" w:cstheme="majorBidi"/>
        </w:rPr>
        <w:t xml:space="preserve"> BJ, Hammerman MR. Abnormal postpartum renal development and cystogenesis in the bcl-2(-/-) mouse. Am J Physiol. 1996;271(6 Pt 2</w:t>
      </w:r>
      <w:proofErr w:type="gramStart"/>
      <w:r w:rsidRPr="00C7132A">
        <w:rPr>
          <w:rFonts w:asciiTheme="majorBidi" w:hAnsiTheme="majorBidi" w:cstheme="majorBidi"/>
        </w:rPr>
        <w:t>):F</w:t>
      </w:r>
      <w:proofErr w:type="gramEnd"/>
      <w:r w:rsidRPr="00C7132A">
        <w:rPr>
          <w:rFonts w:asciiTheme="majorBidi" w:hAnsiTheme="majorBidi" w:cstheme="majorBidi"/>
        </w:rPr>
        <w:t>184-93.</w:t>
      </w:r>
    </w:p>
    <w:p w14:paraId="50B40EA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Cullen-McEwen LA, Caruana G, Bertram JF. The where, what and why of the developing renal stroma. Nephron Exp Nephrol. 2005;99(1</w:t>
      </w:r>
      <w:proofErr w:type="gramStart"/>
      <w:r w:rsidRPr="00C7132A">
        <w:rPr>
          <w:rFonts w:asciiTheme="majorBidi" w:hAnsiTheme="majorBidi" w:cstheme="majorBidi"/>
        </w:rPr>
        <w:t>):e</w:t>
      </w:r>
      <w:proofErr w:type="gramEnd"/>
      <w:r w:rsidRPr="00C7132A">
        <w:rPr>
          <w:rFonts w:asciiTheme="majorBidi" w:hAnsiTheme="majorBidi" w:cstheme="majorBidi"/>
        </w:rPr>
        <w:t>1-8.</w:t>
      </w:r>
    </w:p>
    <w:p w14:paraId="26A20EF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Lindsten T, Ross AJ, King A, Zong WX, Rathmell JC, Shiels HA, et al. The combined functions of proapoptotic Bcl-2 family members </w:t>
      </w:r>
      <w:proofErr w:type="spellStart"/>
      <w:r w:rsidRPr="00C7132A">
        <w:rPr>
          <w:rFonts w:asciiTheme="majorBidi" w:hAnsiTheme="majorBidi" w:cstheme="majorBidi"/>
        </w:rPr>
        <w:t>bak</w:t>
      </w:r>
      <w:proofErr w:type="spellEnd"/>
      <w:r w:rsidRPr="00C7132A">
        <w:rPr>
          <w:rFonts w:asciiTheme="majorBidi" w:hAnsiTheme="majorBidi" w:cstheme="majorBidi"/>
        </w:rPr>
        <w:t xml:space="preserve"> and </w:t>
      </w:r>
      <w:proofErr w:type="spellStart"/>
      <w:r w:rsidRPr="00C7132A">
        <w:rPr>
          <w:rFonts w:asciiTheme="majorBidi" w:hAnsiTheme="majorBidi" w:cstheme="majorBidi"/>
        </w:rPr>
        <w:t>bax</w:t>
      </w:r>
      <w:proofErr w:type="spellEnd"/>
      <w:r w:rsidRPr="00C7132A">
        <w:rPr>
          <w:rFonts w:asciiTheme="majorBidi" w:hAnsiTheme="majorBidi" w:cstheme="majorBidi"/>
        </w:rPr>
        <w:t xml:space="preserve"> are essential for normal development of multiple tissues. Mol Cell. 2000;6(6):1389-99.</w:t>
      </w:r>
    </w:p>
    <w:p w14:paraId="32257A8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Yoo KH, Norwood VF, El-</w:t>
      </w:r>
      <w:proofErr w:type="spellStart"/>
      <w:r w:rsidRPr="00C7132A">
        <w:rPr>
          <w:rFonts w:asciiTheme="majorBidi" w:hAnsiTheme="majorBidi" w:cstheme="majorBidi"/>
        </w:rPr>
        <w:t>Dahr</w:t>
      </w:r>
      <w:proofErr w:type="spellEnd"/>
      <w:r w:rsidRPr="00C7132A">
        <w:rPr>
          <w:rFonts w:asciiTheme="majorBidi" w:hAnsiTheme="majorBidi" w:cstheme="majorBidi"/>
        </w:rPr>
        <w:t xml:space="preserve"> SS. Regulation and ontogeny of the renin-angiotensin system in the fetal lamb. </w:t>
      </w:r>
      <w:proofErr w:type="spellStart"/>
      <w:r w:rsidRPr="00C7132A">
        <w:rPr>
          <w:rFonts w:asciiTheme="majorBidi" w:hAnsiTheme="majorBidi" w:cstheme="majorBidi"/>
        </w:rPr>
        <w:t>Pediatr</w:t>
      </w:r>
      <w:proofErr w:type="spellEnd"/>
      <w:r w:rsidRPr="00C7132A">
        <w:rPr>
          <w:rFonts w:asciiTheme="majorBidi" w:hAnsiTheme="majorBidi" w:cstheme="majorBidi"/>
        </w:rPr>
        <w:t xml:space="preserve"> Res. 1997;41(6):759-66.</w:t>
      </w:r>
    </w:p>
    <w:p w14:paraId="62D9F0C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Woolf AS, Winyard PJ. Advances in the cell biology and genetics of human kidney malformations. J Am Soc Nephrol. 1998;9(6):1114-25.</w:t>
      </w:r>
    </w:p>
    <w:p w14:paraId="5DF7899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Dressler GR. The cellular basis of kidney development. Annu Rev Cell Dev Biol. </w:t>
      </w:r>
      <w:proofErr w:type="gramStart"/>
      <w:r w:rsidRPr="00C7132A">
        <w:rPr>
          <w:rFonts w:asciiTheme="majorBidi" w:hAnsiTheme="majorBidi" w:cstheme="majorBidi"/>
        </w:rPr>
        <w:t>2006;22:509</w:t>
      </w:r>
      <w:proofErr w:type="gramEnd"/>
      <w:r w:rsidRPr="00C7132A">
        <w:rPr>
          <w:rFonts w:asciiTheme="majorBidi" w:hAnsiTheme="majorBidi" w:cstheme="majorBidi"/>
        </w:rPr>
        <w:t>-29.</w:t>
      </w:r>
    </w:p>
    <w:p w14:paraId="7C664AA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Ashkenazi A, Dixit VM. Death receptors: signaling and modulation. Science. 1998;281(5381):1305-8.</w:t>
      </w:r>
    </w:p>
    <w:p w14:paraId="7B4A0E7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Nagata S. Apoptosis by death factor. Cell. 1997;88(3):355-65.</w:t>
      </w:r>
    </w:p>
    <w:p w14:paraId="63195DA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Schelling JR, Hanson AS, Marzec R, Lertora JJ. Cytokine expression in a rat model of radiocontrast nephropathy. Am J Physiol. 1999;276(4</w:t>
      </w:r>
      <w:proofErr w:type="gramStart"/>
      <w:r w:rsidRPr="00C7132A">
        <w:rPr>
          <w:rFonts w:asciiTheme="majorBidi" w:hAnsiTheme="majorBidi" w:cstheme="majorBidi"/>
        </w:rPr>
        <w:t>):F</w:t>
      </w:r>
      <w:proofErr w:type="gramEnd"/>
      <w:r w:rsidRPr="00C7132A">
        <w:rPr>
          <w:rFonts w:asciiTheme="majorBidi" w:hAnsiTheme="majorBidi" w:cstheme="majorBidi"/>
        </w:rPr>
        <w:t>662-8.</w:t>
      </w:r>
    </w:p>
    <w:p w14:paraId="5F2B47C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Ortiz A, Lorz C, Catalán MP, Danoff TM, Yamasaki Y, </w:t>
      </w:r>
      <w:proofErr w:type="spellStart"/>
      <w:r w:rsidRPr="00C7132A">
        <w:rPr>
          <w:rFonts w:asciiTheme="majorBidi" w:hAnsiTheme="majorBidi" w:cstheme="majorBidi"/>
        </w:rPr>
        <w:t>Egido</w:t>
      </w:r>
      <w:proofErr w:type="spellEnd"/>
      <w:r w:rsidRPr="00C7132A">
        <w:rPr>
          <w:rFonts w:asciiTheme="majorBidi" w:hAnsiTheme="majorBidi" w:cstheme="majorBidi"/>
        </w:rPr>
        <w:t xml:space="preserve"> J, et al. Expression of apoptosis regulatory proteins in tubular epithelium stressed in culture or following acute renal failure. Kidney Int. 2000;57(3):969-81.</w:t>
      </w:r>
    </w:p>
    <w:p w14:paraId="1A6CA0C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lastRenderedPageBreak/>
        <w:t xml:space="preserve">Price PM, </w:t>
      </w:r>
      <w:proofErr w:type="spellStart"/>
      <w:r w:rsidRPr="00C7132A">
        <w:rPr>
          <w:rFonts w:asciiTheme="majorBidi" w:hAnsiTheme="majorBidi" w:cstheme="majorBidi"/>
        </w:rPr>
        <w:t>Safirstein</w:t>
      </w:r>
      <w:proofErr w:type="spellEnd"/>
      <w:r w:rsidRPr="00C7132A">
        <w:rPr>
          <w:rFonts w:asciiTheme="majorBidi" w:hAnsiTheme="majorBidi" w:cstheme="majorBidi"/>
        </w:rPr>
        <w:t xml:space="preserve"> RL, Megyesi J. Protection of renal cells from cisplatin toxicity by cell cycle inhibitors. Am J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Renal Physiol. 2004;286(2</w:t>
      </w:r>
      <w:proofErr w:type="gramStart"/>
      <w:r w:rsidRPr="00C7132A">
        <w:rPr>
          <w:rFonts w:asciiTheme="majorBidi" w:hAnsiTheme="majorBidi" w:cstheme="majorBidi"/>
        </w:rPr>
        <w:t>):F</w:t>
      </w:r>
      <w:proofErr w:type="gramEnd"/>
      <w:r w:rsidRPr="00C7132A">
        <w:rPr>
          <w:rFonts w:asciiTheme="majorBidi" w:hAnsiTheme="majorBidi" w:cstheme="majorBidi"/>
        </w:rPr>
        <w:t>378-84.</w:t>
      </w:r>
    </w:p>
    <w:p w14:paraId="5460370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Gobe GC, Axelsen RA. Genesis of renal tubular atrophy in experimental hydronephrosis in the rat. Role of apoptosis. Lab Invest. 1987;56(3):273-81.</w:t>
      </w:r>
    </w:p>
    <w:p w14:paraId="0A2BC76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Donnahoo KK, Meng X, Ayala A, Cain MP, Harken AH, Meldrum DR. Early kidney TNF-alpha expression mediates neutrophil infiltration and injury after renal ischemia-reperfusion. Am J Physiol. 1999;277(3</w:t>
      </w:r>
      <w:proofErr w:type="gramStart"/>
      <w:r w:rsidRPr="00C7132A">
        <w:rPr>
          <w:rFonts w:asciiTheme="majorBidi" w:hAnsiTheme="majorBidi" w:cstheme="majorBidi"/>
        </w:rPr>
        <w:t>):R</w:t>
      </w:r>
      <w:proofErr w:type="gramEnd"/>
      <w:r w:rsidRPr="00C7132A">
        <w:rPr>
          <w:rFonts w:asciiTheme="majorBidi" w:hAnsiTheme="majorBidi" w:cstheme="majorBidi"/>
        </w:rPr>
        <w:t>922-9.</w:t>
      </w:r>
    </w:p>
    <w:p w14:paraId="4C8CCB2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Ramesh G, Reeves WB. TNF-alpha mediates chemokine and cytokine expression and renal injury in cisplatin nephrotoxicity. J Clin Invest. 2002;110(6):835-42.</w:t>
      </w:r>
    </w:p>
    <w:p w14:paraId="505A54C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Moritz KM, Wintour EM, Black MJ, Bertram JF, Caruana G. Factors influencing mammalian kidney development: implications for health in adult life. Adv Anat </w:t>
      </w:r>
      <w:proofErr w:type="spellStart"/>
      <w:r w:rsidRPr="00C7132A">
        <w:rPr>
          <w:rFonts w:asciiTheme="majorBidi" w:hAnsiTheme="majorBidi" w:cstheme="majorBidi"/>
        </w:rPr>
        <w:t>Embryol</w:t>
      </w:r>
      <w:proofErr w:type="spellEnd"/>
      <w:r w:rsidRPr="00C7132A">
        <w:rPr>
          <w:rFonts w:asciiTheme="majorBidi" w:hAnsiTheme="majorBidi" w:cstheme="majorBidi"/>
        </w:rPr>
        <w:t xml:space="preserve"> Cell Biol. </w:t>
      </w:r>
      <w:proofErr w:type="gramStart"/>
      <w:r w:rsidRPr="00C7132A">
        <w:rPr>
          <w:rFonts w:asciiTheme="majorBidi" w:hAnsiTheme="majorBidi" w:cstheme="majorBidi"/>
        </w:rPr>
        <w:t>2008;196:1</w:t>
      </w:r>
      <w:proofErr w:type="gramEnd"/>
      <w:r w:rsidRPr="00C7132A">
        <w:rPr>
          <w:rFonts w:asciiTheme="majorBidi" w:hAnsiTheme="majorBidi" w:cstheme="majorBidi"/>
        </w:rPr>
        <w:t>-78.</w:t>
      </w:r>
    </w:p>
    <w:p w14:paraId="34727C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Hildebrandt F, Benzing T, Katsanis N. Ciliopathies. N Engl J Med. 2011;364(16):1533-43.</w:t>
      </w:r>
    </w:p>
    <w:p w14:paraId="2711D0A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Jacks T, Remington L, Williams BO, Schmitt EM, </w:t>
      </w:r>
      <w:proofErr w:type="spellStart"/>
      <w:r w:rsidRPr="00C7132A">
        <w:rPr>
          <w:rFonts w:asciiTheme="majorBidi" w:hAnsiTheme="majorBidi" w:cstheme="majorBidi"/>
        </w:rPr>
        <w:t>Halachmi</w:t>
      </w:r>
      <w:proofErr w:type="spellEnd"/>
      <w:r w:rsidRPr="00C7132A">
        <w:rPr>
          <w:rFonts w:asciiTheme="majorBidi" w:hAnsiTheme="majorBidi" w:cstheme="majorBidi"/>
        </w:rPr>
        <w:t xml:space="preserve"> S, Bronson RT, et al. Tumor spectrum analysis in p53-mutant mice. Curr Biol. 1994;4(1):1-7.</w:t>
      </w:r>
    </w:p>
    <w:p w14:paraId="717EE43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Sah VP, Attardi LD, Mulligan GJ, Williams BO, Bronson RT, Jacks T. A subset of p53-deficient embryos </w:t>
      </w:r>
      <w:proofErr w:type="gramStart"/>
      <w:r w:rsidRPr="00C7132A">
        <w:rPr>
          <w:rFonts w:asciiTheme="majorBidi" w:hAnsiTheme="majorBidi" w:cstheme="majorBidi"/>
        </w:rPr>
        <w:t>exhibit</w:t>
      </w:r>
      <w:proofErr w:type="gramEnd"/>
      <w:r w:rsidRPr="00C7132A">
        <w:rPr>
          <w:rFonts w:asciiTheme="majorBidi" w:hAnsiTheme="majorBidi" w:cstheme="majorBidi"/>
        </w:rPr>
        <w:t xml:space="preserve"> exencephaly. Nat Genet. 1995;10(2):175-80.</w:t>
      </w:r>
    </w:p>
    <w:p w14:paraId="2C05353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Brophy PD, Ostrom L, Lang KM, Dressler GR. Regulation of ureteric bud outgrowth by Pax2-dependent activation of the glial derived neurotrophic factor gene. Development. 2001;128(23):4747-56.</w:t>
      </w:r>
    </w:p>
    <w:p w14:paraId="5ED7844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Kreidberg</w:t>
      </w:r>
      <w:proofErr w:type="spellEnd"/>
      <w:r w:rsidRPr="00C7132A">
        <w:rPr>
          <w:rFonts w:asciiTheme="majorBidi" w:hAnsiTheme="majorBidi" w:cstheme="majorBidi"/>
        </w:rPr>
        <w:t xml:space="preserve"> JA, </w:t>
      </w:r>
      <w:proofErr w:type="spellStart"/>
      <w:r w:rsidRPr="00C7132A">
        <w:rPr>
          <w:rFonts w:asciiTheme="majorBidi" w:hAnsiTheme="majorBidi" w:cstheme="majorBidi"/>
        </w:rPr>
        <w:t>Sariola</w:t>
      </w:r>
      <w:proofErr w:type="spellEnd"/>
      <w:r w:rsidRPr="00C7132A">
        <w:rPr>
          <w:rFonts w:asciiTheme="majorBidi" w:hAnsiTheme="majorBidi" w:cstheme="majorBidi"/>
        </w:rPr>
        <w:t xml:space="preserve"> H, Loring JM, Maeda M, Pelletier J, Housman D, et al. WT-1 is required for early kidney development. Cell. 1993;74(4):679-91.</w:t>
      </w:r>
    </w:p>
    <w:p w14:paraId="0CFA76F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Self M, </w:t>
      </w:r>
      <w:proofErr w:type="spellStart"/>
      <w:r w:rsidRPr="00C7132A">
        <w:rPr>
          <w:rFonts w:asciiTheme="majorBidi" w:hAnsiTheme="majorBidi" w:cstheme="majorBidi"/>
        </w:rPr>
        <w:t>Lagutin</w:t>
      </w:r>
      <w:proofErr w:type="spellEnd"/>
      <w:r w:rsidRPr="00C7132A">
        <w:rPr>
          <w:rFonts w:asciiTheme="majorBidi" w:hAnsiTheme="majorBidi" w:cstheme="majorBidi"/>
        </w:rPr>
        <w:t xml:space="preserve"> OV, Bowling B, Hendrix J, Cai Y, Dressler GR, et al. Six2 is required for suppression of nephrogenesis and progenitor renewal in the developing kidney. EMBO J. 2006;25(21):5214-28.</w:t>
      </w:r>
    </w:p>
    <w:p w14:paraId="7FB23C5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Patterson LT, Potter SS. Atlas of Hox gene expression in the developing kidney. Dev Dyn. 2004;229(4):771-9.</w:t>
      </w:r>
    </w:p>
    <w:p w14:paraId="73C1BD4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Wellik DM, Hawkes PJ, Capecchi MR. Hox11 paralogous genes are essential for metanephric kidney induction. Genes Dev. 2002;16(11):1423-32.</w:t>
      </w:r>
    </w:p>
    <w:p w14:paraId="6A88422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Yallowitz</w:t>
      </w:r>
      <w:proofErr w:type="spellEnd"/>
      <w:r w:rsidRPr="00C7132A">
        <w:rPr>
          <w:rFonts w:asciiTheme="majorBidi" w:hAnsiTheme="majorBidi" w:cstheme="majorBidi"/>
        </w:rPr>
        <w:t xml:space="preserve"> AR, </w:t>
      </w:r>
      <w:proofErr w:type="spellStart"/>
      <w:r w:rsidRPr="00C7132A">
        <w:rPr>
          <w:rFonts w:asciiTheme="majorBidi" w:hAnsiTheme="majorBidi" w:cstheme="majorBidi"/>
        </w:rPr>
        <w:t>Hrycaj</w:t>
      </w:r>
      <w:proofErr w:type="spellEnd"/>
      <w:r w:rsidRPr="00C7132A">
        <w:rPr>
          <w:rFonts w:asciiTheme="majorBidi" w:hAnsiTheme="majorBidi" w:cstheme="majorBidi"/>
        </w:rPr>
        <w:t xml:space="preserve"> SM, Short KM, Smyth IM, Wellik DM. Hox10 genes function in kidney development in the differentiation and integration of the cortical stroma. </w:t>
      </w:r>
      <w:proofErr w:type="spellStart"/>
      <w:r w:rsidRPr="00C7132A">
        <w:rPr>
          <w:rFonts w:asciiTheme="majorBidi" w:hAnsiTheme="majorBidi" w:cstheme="majorBidi"/>
        </w:rPr>
        <w:t>PLoS</w:t>
      </w:r>
      <w:proofErr w:type="spellEnd"/>
      <w:r w:rsidRPr="00C7132A">
        <w:rPr>
          <w:rFonts w:asciiTheme="majorBidi" w:hAnsiTheme="majorBidi" w:cstheme="majorBidi"/>
        </w:rPr>
        <w:t xml:space="preserve"> One. 2011;6(8</w:t>
      </w:r>
      <w:proofErr w:type="gramStart"/>
      <w:r w:rsidRPr="00C7132A">
        <w:rPr>
          <w:rFonts w:asciiTheme="majorBidi" w:hAnsiTheme="majorBidi" w:cstheme="majorBidi"/>
        </w:rPr>
        <w:t>):e</w:t>
      </w:r>
      <w:proofErr w:type="gramEnd"/>
      <w:r w:rsidRPr="00C7132A">
        <w:rPr>
          <w:rFonts w:asciiTheme="majorBidi" w:hAnsiTheme="majorBidi" w:cstheme="majorBidi"/>
        </w:rPr>
        <w:t>23410.</w:t>
      </w:r>
    </w:p>
    <w:p w14:paraId="085EFD3C"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Quaggin</w:t>
      </w:r>
      <w:proofErr w:type="spellEnd"/>
      <w:r w:rsidRPr="00C7132A">
        <w:rPr>
          <w:rFonts w:asciiTheme="majorBidi" w:hAnsiTheme="majorBidi" w:cstheme="majorBidi"/>
        </w:rPr>
        <w:t xml:space="preserve"> SE, </w:t>
      </w:r>
      <w:proofErr w:type="spellStart"/>
      <w:r w:rsidRPr="00C7132A">
        <w:rPr>
          <w:rFonts w:asciiTheme="majorBidi" w:hAnsiTheme="majorBidi" w:cstheme="majorBidi"/>
        </w:rPr>
        <w:t>Kreidberg</w:t>
      </w:r>
      <w:proofErr w:type="spellEnd"/>
      <w:r w:rsidRPr="00C7132A">
        <w:rPr>
          <w:rFonts w:asciiTheme="majorBidi" w:hAnsiTheme="majorBidi" w:cstheme="majorBidi"/>
        </w:rPr>
        <w:t xml:space="preserve"> JA. Development of the renal glomerulus: good neighbors and good fences. Development. 2008;135(4):609-20.</w:t>
      </w:r>
    </w:p>
    <w:p w14:paraId="3F258E3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Reeves W, Caulfield JP, Farquhar MG. Differentiation of epithelial foot processes and filtration slits: sequential appearance of occluding junctions, epithelial polyanion, and slit membranes in developing glomeruli. Lab Invest. 1978;39(2):90-100.</w:t>
      </w:r>
    </w:p>
    <w:p w14:paraId="1ECD75E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Mundel P, Shankland SJ. Podocyte biology and response to injury. J Am Soc Nephrol. 2002;13(12):3005-15.</w:t>
      </w:r>
    </w:p>
    <w:p w14:paraId="4B31C37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Wiggins RC. The spectrum of podocytopathies: a unifying view of glomerular diseases. Kidney Int. 2007;71(12):1205-14.</w:t>
      </w:r>
    </w:p>
    <w:p w14:paraId="4F237E5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Pavenstadt</w:t>
      </w:r>
      <w:proofErr w:type="spellEnd"/>
      <w:r w:rsidRPr="00C7132A">
        <w:rPr>
          <w:rFonts w:asciiTheme="majorBidi" w:hAnsiTheme="majorBidi" w:cstheme="majorBidi"/>
        </w:rPr>
        <w:t xml:space="preserve"> H, Kriz W, Kretzler M. Cell biology of the glomerular podocyte.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Rev. 2003;83(1):253-307.</w:t>
      </w:r>
    </w:p>
    <w:p w14:paraId="1FB1F97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Sicking</w:t>
      </w:r>
      <w:proofErr w:type="spellEnd"/>
      <w:r w:rsidRPr="00C7132A">
        <w:rPr>
          <w:rFonts w:asciiTheme="majorBidi" w:hAnsiTheme="majorBidi" w:cstheme="majorBidi"/>
        </w:rPr>
        <w:t xml:space="preserve"> EM, Fuss A, Uhlig S, Jirak P, </w:t>
      </w:r>
      <w:proofErr w:type="spellStart"/>
      <w:r w:rsidRPr="00C7132A">
        <w:rPr>
          <w:rFonts w:asciiTheme="majorBidi" w:hAnsiTheme="majorBidi" w:cstheme="majorBidi"/>
        </w:rPr>
        <w:t>Dijkman</w:t>
      </w:r>
      <w:proofErr w:type="spellEnd"/>
      <w:r w:rsidRPr="00C7132A">
        <w:rPr>
          <w:rFonts w:asciiTheme="majorBidi" w:hAnsiTheme="majorBidi" w:cstheme="majorBidi"/>
        </w:rPr>
        <w:t xml:space="preserve"> H, </w:t>
      </w:r>
      <w:proofErr w:type="spellStart"/>
      <w:r w:rsidRPr="00C7132A">
        <w:rPr>
          <w:rFonts w:asciiTheme="majorBidi" w:hAnsiTheme="majorBidi" w:cstheme="majorBidi"/>
        </w:rPr>
        <w:t>Wetzels</w:t>
      </w:r>
      <w:proofErr w:type="spellEnd"/>
      <w:r w:rsidRPr="00C7132A">
        <w:rPr>
          <w:rFonts w:asciiTheme="majorBidi" w:hAnsiTheme="majorBidi" w:cstheme="majorBidi"/>
        </w:rPr>
        <w:t xml:space="preserve"> J, et al. Subtotal ablation of </w:t>
      </w:r>
      <w:r w:rsidRPr="00C7132A">
        <w:rPr>
          <w:rFonts w:asciiTheme="majorBidi" w:hAnsiTheme="majorBidi" w:cstheme="majorBidi"/>
        </w:rPr>
        <w:lastRenderedPageBreak/>
        <w:t>parietal epithelial cells induces crescent formation. J Am Soc Nephrol. 2012;23(4):629-40.</w:t>
      </w:r>
    </w:p>
    <w:p w14:paraId="09BB1BE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Sariola</w:t>
      </w:r>
      <w:proofErr w:type="spellEnd"/>
      <w:r w:rsidRPr="00C7132A">
        <w:rPr>
          <w:rFonts w:asciiTheme="majorBidi" w:hAnsiTheme="majorBidi" w:cstheme="majorBidi"/>
        </w:rPr>
        <w:t xml:space="preserve"> H, Ekblom P, Lehtonen E, </w:t>
      </w:r>
      <w:proofErr w:type="spellStart"/>
      <w:r w:rsidRPr="00C7132A">
        <w:rPr>
          <w:rFonts w:asciiTheme="majorBidi" w:hAnsiTheme="majorBidi" w:cstheme="majorBidi"/>
        </w:rPr>
        <w:t>Saxén</w:t>
      </w:r>
      <w:proofErr w:type="spellEnd"/>
      <w:r w:rsidRPr="00C7132A">
        <w:rPr>
          <w:rFonts w:asciiTheme="majorBidi" w:hAnsiTheme="majorBidi" w:cstheme="majorBidi"/>
        </w:rPr>
        <w:t xml:space="preserve"> L. Differentiation and vascularization of the metanephric kidney grafted on the </w:t>
      </w:r>
      <w:proofErr w:type="spellStart"/>
      <w:r w:rsidRPr="00C7132A">
        <w:rPr>
          <w:rFonts w:asciiTheme="majorBidi" w:hAnsiTheme="majorBidi" w:cstheme="majorBidi"/>
        </w:rPr>
        <w:t>chorioallantoic</w:t>
      </w:r>
      <w:proofErr w:type="spellEnd"/>
      <w:r w:rsidRPr="00C7132A">
        <w:rPr>
          <w:rFonts w:asciiTheme="majorBidi" w:hAnsiTheme="majorBidi" w:cstheme="majorBidi"/>
        </w:rPr>
        <w:t xml:space="preserve"> membrane. Dev Biol. 1983;96(2):427-35.</w:t>
      </w:r>
    </w:p>
    <w:p w14:paraId="6A29203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Abrahamson DR, Robert B, Hyink DP, St John PL, Daniel TO. Origins and formation of microvasculature in the developing kidney. Kidney Int Suppl. 1998;</w:t>
      </w:r>
      <w:proofErr w:type="gramStart"/>
      <w:r w:rsidRPr="00C7132A">
        <w:rPr>
          <w:rFonts w:asciiTheme="majorBidi" w:hAnsiTheme="majorBidi" w:cstheme="majorBidi"/>
        </w:rPr>
        <w:t>67:S</w:t>
      </w:r>
      <w:proofErr w:type="gramEnd"/>
      <w:r w:rsidRPr="00C7132A">
        <w:rPr>
          <w:rFonts w:asciiTheme="majorBidi" w:hAnsiTheme="majorBidi" w:cstheme="majorBidi"/>
        </w:rPr>
        <w:t>7-11.</w:t>
      </w:r>
    </w:p>
    <w:p w14:paraId="46C5AE8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Kitamoto</w:t>
      </w:r>
      <w:proofErr w:type="spellEnd"/>
      <w:r w:rsidRPr="00C7132A">
        <w:rPr>
          <w:rFonts w:asciiTheme="majorBidi" w:hAnsiTheme="majorBidi" w:cstheme="majorBidi"/>
        </w:rPr>
        <w:t xml:space="preserve"> Y, Tokunaga H, Tomita K. Vascular endothelial growth factor is an essential molecule for mouse kidney development: </w:t>
      </w:r>
      <w:proofErr w:type="spellStart"/>
      <w:r w:rsidRPr="00C7132A">
        <w:rPr>
          <w:rFonts w:asciiTheme="majorBidi" w:hAnsiTheme="majorBidi" w:cstheme="majorBidi"/>
        </w:rPr>
        <w:t>glomerulogenesis</w:t>
      </w:r>
      <w:proofErr w:type="spellEnd"/>
      <w:r w:rsidRPr="00C7132A">
        <w:rPr>
          <w:rFonts w:asciiTheme="majorBidi" w:hAnsiTheme="majorBidi" w:cstheme="majorBidi"/>
        </w:rPr>
        <w:t xml:space="preserve"> and nephrogenesis. J Clin Invest. 1997;99(10):2351-7.</w:t>
      </w:r>
    </w:p>
    <w:p w14:paraId="28C5550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Georgas K, </w:t>
      </w:r>
      <w:proofErr w:type="spellStart"/>
      <w:r w:rsidRPr="00C7132A">
        <w:rPr>
          <w:rFonts w:asciiTheme="majorBidi" w:hAnsiTheme="majorBidi" w:cstheme="majorBidi"/>
        </w:rPr>
        <w:t>Rumballe</w:t>
      </w:r>
      <w:proofErr w:type="spellEnd"/>
      <w:r w:rsidRPr="00C7132A">
        <w:rPr>
          <w:rFonts w:asciiTheme="majorBidi" w:hAnsiTheme="majorBidi" w:cstheme="majorBidi"/>
        </w:rPr>
        <w:t xml:space="preserve"> B, Valerius MT, Chiu HS, Thiagarajan RD, Lesieur E, et al. Analysis of early nephron patterning reveals a role for distal RV proliferation in fusion to the ureteric tip via a cap mesenchyme-derived connecting segment. Dev Biol. 2009;332(2):273-86.</w:t>
      </w:r>
    </w:p>
    <w:p w14:paraId="355AA05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Kriz W, </w:t>
      </w:r>
      <w:proofErr w:type="spellStart"/>
      <w:r w:rsidRPr="00C7132A">
        <w:rPr>
          <w:rFonts w:asciiTheme="majorBidi" w:hAnsiTheme="majorBidi" w:cstheme="majorBidi"/>
        </w:rPr>
        <w:t>Kaissling</w:t>
      </w:r>
      <w:proofErr w:type="spellEnd"/>
      <w:r w:rsidRPr="00C7132A">
        <w:rPr>
          <w:rFonts w:asciiTheme="majorBidi" w:hAnsiTheme="majorBidi" w:cstheme="majorBidi"/>
        </w:rPr>
        <w:t xml:space="preserve"> B. Structural organization of the mammalian kidney. In: Seldin DW, </w:t>
      </w:r>
      <w:proofErr w:type="spellStart"/>
      <w:r w:rsidRPr="00C7132A">
        <w:rPr>
          <w:rFonts w:asciiTheme="majorBidi" w:hAnsiTheme="majorBidi" w:cstheme="majorBidi"/>
        </w:rPr>
        <w:t>Giebisch</w:t>
      </w:r>
      <w:proofErr w:type="spellEnd"/>
      <w:r w:rsidRPr="00C7132A">
        <w:rPr>
          <w:rFonts w:asciiTheme="majorBidi" w:hAnsiTheme="majorBidi" w:cstheme="majorBidi"/>
        </w:rPr>
        <w:t xml:space="preserve"> G, editors. The Kidney: Physiology and Pathophysiology. 3rd ed. Philadelphia: Lippincott Williams &amp; Wilkins; 2000. p. 587-654.</w:t>
      </w:r>
    </w:p>
    <w:p w14:paraId="70C5098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Yu J, Carroll TJ, McMahon AP. Sonic hedgehog regulates proliferation and differentiation of mesenchymal cells in the mouse metanephric kidney. Development. 2002;129(22):5301-12.</w:t>
      </w:r>
    </w:p>
    <w:p w14:paraId="520C8D6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Horster</w:t>
      </w:r>
      <w:proofErr w:type="spellEnd"/>
      <w:r w:rsidRPr="00C7132A">
        <w:rPr>
          <w:rFonts w:asciiTheme="majorBidi" w:hAnsiTheme="majorBidi" w:cstheme="majorBidi"/>
        </w:rPr>
        <w:t xml:space="preserve"> MF, Braun GS, Huber SM. Embryonic renal epithelia: induction, nephrogenesis, and cell differentiation.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Rev. 1999;79(4):1157-91.</w:t>
      </w:r>
    </w:p>
    <w:p w14:paraId="4698F21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Wamberg S, Kriz W, </w:t>
      </w:r>
      <w:proofErr w:type="spellStart"/>
      <w:r w:rsidRPr="00C7132A">
        <w:rPr>
          <w:rFonts w:asciiTheme="majorBidi" w:hAnsiTheme="majorBidi" w:cstheme="majorBidi"/>
        </w:rPr>
        <w:t>Kaissling</w:t>
      </w:r>
      <w:proofErr w:type="spellEnd"/>
      <w:r w:rsidRPr="00C7132A">
        <w:rPr>
          <w:rFonts w:asciiTheme="majorBidi" w:hAnsiTheme="majorBidi" w:cstheme="majorBidi"/>
        </w:rPr>
        <w:t xml:space="preserve"> B. The distribution of plasma proteins along the nephron of normal and nephritic rats. Anat </w:t>
      </w:r>
      <w:proofErr w:type="spellStart"/>
      <w:r w:rsidRPr="00C7132A">
        <w:rPr>
          <w:rFonts w:asciiTheme="majorBidi" w:hAnsiTheme="majorBidi" w:cstheme="majorBidi"/>
        </w:rPr>
        <w:t>Embryol</w:t>
      </w:r>
      <w:proofErr w:type="spellEnd"/>
      <w:r w:rsidRPr="00C7132A">
        <w:rPr>
          <w:rFonts w:asciiTheme="majorBidi" w:hAnsiTheme="majorBidi" w:cstheme="majorBidi"/>
        </w:rPr>
        <w:t xml:space="preserve"> (Berl). 1976;150(1):33-48.</w:t>
      </w:r>
    </w:p>
    <w:p w14:paraId="748C687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Zhai XY, Nielsen R, Birn H, Drumm K, Mildenberger S, </w:t>
      </w:r>
      <w:proofErr w:type="spellStart"/>
      <w:r w:rsidRPr="00C7132A">
        <w:rPr>
          <w:rFonts w:asciiTheme="majorBidi" w:hAnsiTheme="majorBidi" w:cstheme="majorBidi"/>
        </w:rPr>
        <w:t>Freudinger</w:t>
      </w:r>
      <w:proofErr w:type="spellEnd"/>
      <w:r w:rsidRPr="00C7132A">
        <w:rPr>
          <w:rFonts w:asciiTheme="majorBidi" w:hAnsiTheme="majorBidi" w:cstheme="majorBidi"/>
        </w:rPr>
        <w:t xml:space="preserve"> R, et al. </w:t>
      </w:r>
      <w:proofErr w:type="spellStart"/>
      <w:r w:rsidRPr="00C7132A">
        <w:rPr>
          <w:rFonts w:asciiTheme="majorBidi" w:hAnsiTheme="majorBidi" w:cstheme="majorBidi"/>
        </w:rPr>
        <w:t>Cubilin</w:t>
      </w:r>
      <w:proofErr w:type="spellEnd"/>
      <w:r w:rsidRPr="00C7132A">
        <w:rPr>
          <w:rFonts w:asciiTheme="majorBidi" w:hAnsiTheme="majorBidi" w:cstheme="majorBidi"/>
        </w:rPr>
        <w:t xml:space="preserve">- and </w:t>
      </w:r>
      <w:proofErr w:type="spellStart"/>
      <w:r w:rsidRPr="00C7132A">
        <w:rPr>
          <w:rFonts w:asciiTheme="majorBidi" w:hAnsiTheme="majorBidi" w:cstheme="majorBidi"/>
        </w:rPr>
        <w:t>megalin</w:t>
      </w:r>
      <w:proofErr w:type="spellEnd"/>
      <w:r w:rsidRPr="00C7132A">
        <w:rPr>
          <w:rFonts w:asciiTheme="majorBidi" w:hAnsiTheme="majorBidi" w:cstheme="majorBidi"/>
        </w:rPr>
        <w:t>-mediated uptake of albumin in cultured proximal tubule cells of opossum kidney. Kidney Int. 2000;58(4):1523-33.</w:t>
      </w:r>
    </w:p>
    <w:p w14:paraId="4990B70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Knepper MA, Packer R, Good DW. Ammonium transport in the kidney.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Rev. 1989;69(1):179-249.</w:t>
      </w:r>
    </w:p>
    <w:p w14:paraId="4FCB90D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Imai M, Kokko JP. Sodium chloride, urea, and water transport in the thin ascending limb of Henle. Generation of osmotic gradients by passive diffusion of solutes. J Clin Invest. 1974;53(2):393-402.</w:t>
      </w:r>
    </w:p>
    <w:p w14:paraId="4F80728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Stoos BA, </w:t>
      </w:r>
      <w:proofErr w:type="spellStart"/>
      <w:r w:rsidRPr="00C7132A">
        <w:rPr>
          <w:rFonts w:asciiTheme="majorBidi" w:hAnsiTheme="majorBidi" w:cstheme="majorBidi"/>
        </w:rPr>
        <w:t>Naray</w:t>
      </w:r>
      <w:proofErr w:type="spellEnd"/>
      <w:r w:rsidRPr="00C7132A">
        <w:rPr>
          <w:rFonts w:asciiTheme="majorBidi" w:hAnsiTheme="majorBidi" w:cstheme="majorBidi"/>
        </w:rPr>
        <w:t>-Fejes-Toth A, Carretero OA, Ito S, Fejes-Toth G. Characterization of a mouse cortical collecting duct cell line. Kidney Int. 1991;39(6):1168-75.</w:t>
      </w:r>
    </w:p>
    <w:p w14:paraId="0DB5960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Kaissling</w:t>
      </w:r>
      <w:proofErr w:type="spellEnd"/>
      <w:r w:rsidRPr="00C7132A">
        <w:rPr>
          <w:rFonts w:asciiTheme="majorBidi" w:hAnsiTheme="majorBidi" w:cstheme="majorBidi"/>
        </w:rPr>
        <w:t xml:space="preserve"> B, Kriz W. Structural analysis of the rabbit kidney. Adv Anat </w:t>
      </w:r>
      <w:proofErr w:type="spellStart"/>
      <w:r w:rsidRPr="00C7132A">
        <w:rPr>
          <w:rFonts w:asciiTheme="majorBidi" w:hAnsiTheme="majorBidi" w:cstheme="majorBidi"/>
        </w:rPr>
        <w:t>Embryol</w:t>
      </w:r>
      <w:proofErr w:type="spellEnd"/>
      <w:r w:rsidRPr="00C7132A">
        <w:rPr>
          <w:rFonts w:asciiTheme="majorBidi" w:hAnsiTheme="majorBidi" w:cstheme="majorBidi"/>
        </w:rPr>
        <w:t xml:space="preserve"> Cell Biol. </w:t>
      </w:r>
      <w:proofErr w:type="gramStart"/>
      <w:r w:rsidRPr="00C7132A">
        <w:rPr>
          <w:rFonts w:asciiTheme="majorBidi" w:hAnsiTheme="majorBidi" w:cstheme="majorBidi"/>
        </w:rPr>
        <w:t>1979;56:1</w:t>
      </w:r>
      <w:proofErr w:type="gramEnd"/>
      <w:r w:rsidRPr="00C7132A">
        <w:rPr>
          <w:rFonts w:asciiTheme="majorBidi" w:hAnsiTheme="majorBidi" w:cstheme="majorBidi"/>
        </w:rPr>
        <w:t>-123.</w:t>
      </w:r>
    </w:p>
    <w:p w14:paraId="0A4887B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Eddy AA. Molecular insights into renal interstitial fibrosis. J Am Soc Nephrol. 1996;7(12):2495-508.</w:t>
      </w:r>
    </w:p>
    <w:p w14:paraId="1B8B722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Fine LG, Norman JT. Chronic hypoxia as a mechanism of progression of chronic kidney diseases: from hypothesis to novel therapeutics. Kidney Int. 2008;74(7):867-72.</w:t>
      </w:r>
    </w:p>
    <w:p w14:paraId="4FA68FD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Abrahamson DR. Origin of the glomerular basement membrane visualized after in vivo labeling of laminin in newborn rat kidneys. J Cell Biol. 1985;100(6):1988-2000.</w:t>
      </w:r>
    </w:p>
    <w:p w14:paraId="43E81C5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Djonov</w:t>
      </w:r>
      <w:proofErr w:type="spellEnd"/>
      <w:r w:rsidRPr="00C7132A">
        <w:rPr>
          <w:rFonts w:asciiTheme="majorBidi" w:hAnsiTheme="majorBidi" w:cstheme="majorBidi"/>
        </w:rPr>
        <w:t xml:space="preserve"> V, Schmid M, Tschanz SA, Burri PH. Intussusceptive angiogenesis: its role in embryonic vascular network formation. Circ Res. 2000;86(3):286-92.</w:t>
      </w:r>
    </w:p>
    <w:p w14:paraId="3A951B0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Lindahl P, Hellström M, </w:t>
      </w:r>
      <w:proofErr w:type="spellStart"/>
      <w:r w:rsidRPr="00C7132A">
        <w:rPr>
          <w:rFonts w:asciiTheme="majorBidi" w:hAnsiTheme="majorBidi" w:cstheme="majorBidi"/>
        </w:rPr>
        <w:t>Kalén</w:t>
      </w:r>
      <w:proofErr w:type="spellEnd"/>
      <w:r w:rsidRPr="00C7132A">
        <w:rPr>
          <w:rFonts w:asciiTheme="majorBidi" w:hAnsiTheme="majorBidi" w:cstheme="majorBidi"/>
        </w:rPr>
        <w:t xml:space="preserve"> M, Karlsson L, Pekny M, </w:t>
      </w:r>
      <w:proofErr w:type="spellStart"/>
      <w:r w:rsidRPr="00C7132A">
        <w:rPr>
          <w:rFonts w:asciiTheme="majorBidi" w:hAnsiTheme="majorBidi" w:cstheme="majorBidi"/>
        </w:rPr>
        <w:t>Pekna</w:t>
      </w:r>
      <w:proofErr w:type="spellEnd"/>
      <w:r w:rsidRPr="00C7132A">
        <w:rPr>
          <w:rFonts w:asciiTheme="majorBidi" w:hAnsiTheme="majorBidi" w:cstheme="majorBidi"/>
        </w:rPr>
        <w:t xml:space="preserve"> M, et al. Paracrine PDGF-B/PDGF-</w:t>
      </w:r>
      <w:proofErr w:type="spellStart"/>
      <w:r w:rsidRPr="00C7132A">
        <w:rPr>
          <w:rFonts w:asciiTheme="majorBidi" w:hAnsiTheme="majorBidi" w:cstheme="majorBidi"/>
        </w:rPr>
        <w:t>Rbeta</w:t>
      </w:r>
      <w:proofErr w:type="spellEnd"/>
      <w:r w:rsidRPr="00C7132A">
        <w:rPr>
          <w:rFonts w:asciiTheme="majorBidi" w:hAnsiTheme="majorBidi" w:cstheme="majorBidi"/>
        </w:rPr>
        <w:t xml:space="preserve"> signaling controls mesangial cell development in kidney glomeruli. Development. 1998;125(17):3313-22.</w:t>
      </w:r>
    </w:p>
    <w:p w14:paraId="053A2C4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Machnik A, </w:t>
      </w:r>
      <w:proofErr w:type="spellStart"/>
      <w:r w:rsidRPr="00C7132A">
        <w:rPr>
          <w:rFonts w:asciiTheme="majorBidi" w:hAnsiTheme="majorBidi" w:cstheme="majorBidi"/>
        </w:rPr>
        <w:t>Neuhofer</w:t>
      </w:r>
      <w:proofErr w:type="spellEnd"/>
      <w:r w:rsidRPr="00C7132A">
        <w:rPr>
          <w:rFonts w:asciiTheme="majorBidi" w:hAnsiTheme="majorBidi" w:cstheme="majorBidi"/>
        </w:rPr>
        <w:t xml:space="preserve"> W, Jantsch J, Dahlmann A, Tammela T, </w:t>
      </w:r>
      <w:proofErr w:type="spellStart"/>
      <w:r w:rsidRPr="00C7132A">
        <w:rPr>
          <w:rFonts w:asciiTheme="majorBidi" w:hAnsiTheme="majorBidi" w:cstheme="majorBidi"/>
        </w:rPr>
        <w:t>Machura</w:t>
      </w:r>
      <w:proofErr w:type="spellEnd"/>
      <w:r w:rsidRPr="00C7132A">
        <w:rPr>
          <w:rFonts w:asciiTheme="majorBidi" w:hAnsiTheme="majorBidi" w:cstheme="majorBidi"/>
        </w:rPr>
        <w:t xml:space="preserve"> K, et al. </w:t>
      </w:r>
      <w:r w:rsidRPr="00C7132A">
        <w:rPr>
          <w:rFonts w:asciiTheme="majorBidi" w:hAnsiTheme="majorBidi" w:cstheme="majorBidi"/>
        </w:rPr>
        <w:lastRenderedPageBreak/>
        <w:t>Macrophages regulate salt-dependent volume and blood pressure by a vascular endothelial growth factor-C-dependent buffering mechanism. Nat Med. 2009;15(5):545-52.</w:t>
      </w:r>
    </w:p>
    <w:p w14:paraId="23C0EE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proofErr w:type="spellStart"/>
      <w:r w:rsidRPr="00C7132A">
        <w:rPr>
          <w:rFonts w:asciiTheme="majorBidi" w:hAnsiTheme="majorBidi" w:cstheme="majorBidi"/>
        </w:rPr>
        <w:t>Kriederman</w:t>
      </w:r>
      <w:proofErr w:type="spellEnd"/>
      <w:r w:rsidRPr="00C7132A">
        <w:rPr>
          <w:rFonts w:asciiTheme="majorBidi" w:hAnsiTheme="majorBidi" w:cstheme="majorBidi"/>
        </w:rPr>
        <w:t xml:space="preserve"> BM, </w:t>
      </w:r>
      <w:proofErr w:type="spellStart"/>
      <w:r w:rsidRPr="00C7132A">
        <w:rPr>
          <w:rFonts w:asciiTheme="majorBidi" w:hAnsiTheme="majorBidi" w:cstheme="majorBidi"/>
        </w:rPr>
        <w:t>Myloyde</w:t>
      </w:r>
      <w:proofErr w:type="spellEnd"/>
      <w:r w:rsidRPr="00C7132A">
        <w:rPr>
          <w:rFonts w:asciiTheme="majorBidi" w:hAnsiTheme="majorBidi" w:cstheme="majorBidi"/>
        </w:rPr>
        <w:t xml:space="preserve"> TL, Witte MH, Dagenais SL, Witte CL, Rennels M, et al. FOXC2 </w:t>
      </w:r>
      <w:proofErr w:type="spellStart"/>
      <w:r w:rsidRPr="00C7132A">
        <w:rPr>
          <w:rFonts w:asciiTheme="majorBidi" w:hAnsiTheme="majorBidi" w:cstheme="majorBidi"/>
        </w:rPr>
        <w:t>haploinsufficient</w:t>
      </w:r>
      <w:proofErr w:type="spellEnd"/>
      <w:r w:rsidRPr="00C7132A">
        <w:rPr>
          <w:rFonts w:asciiTheme="majorBidi" w:hAnsiTheme="majorBidi" w:cstheme="majorBidi"/>
        </w:rPr>
        <w:t xml:space="preserve"> mice are a model for human autosomal dominant lymphedema-distichiasis syndrome. Hum Mol Genet. 2003;12(10):1179-85.</w:t>
      </w:r>
    </w:p>
    <w:p w14:paraId="3B9B5CE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Yang Y, Oliver G. Development of the mammalian lymphatic vasculature. J Clin Invest. 2014;124(3):888-97.</w:t>
      </w:r>
    </w:p>
    <w:p w14:paraId="5248037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Weber S, </w:t>
      </w:r>
      <w:proofErr w:type="spellStart"/>
      <w:r w:rsidRPr="00C7132A">
        <w:rPr>
          <w:rFonts w:asciiTheme="majorBidi" w:hAnsiTheme="majorBidi" w:cstheme="majorBidi"/>
        </w:rPr>
        <w:t>Moriniere</w:t>
      </w:r>
      <w:proofErr w:type="spellEnd"/>
      <w:r w:rsidRPr="00C7132A">
        <w:rPr>
          <w:rFonts w:asciiTheme="majorBidi" w:hAnsiTheme="majorBidi" w:cstheme="majorBidi"/>
        </w:rPr>
        <w:t xml:space="preserve"> V, Knüppel T, </w:t>
      </w:r>
      <w:proofErr w:type="spellStart"/>
      <w:r w:rsidRPr="00C7132A">
        <w:rPr>
          <w:rFonts w:asciiTheme="majorBidi" w:hAnsiTheme="majorBidi" w:cstheme="majorBidi"/>
        </w:rPr>
        <w:t>Charbit</w:t>
      </w:r>
      <w:proofErr w:type="spellEnd"/>
      <w:r w:rsidRPr="00C7132A">
        <w:rPr>
          <w:rFonts w:asciiTheme="majorBidi" w:hAnsiTheme="majorBidi" w:cstheme="majorBidi"/>
        </w:rPr>
        <w:t xml:space="preserve"> M, Dusek J, </w:t>
      </w:r>
      <w:proofErr w:type="spellStart"/>
      <w:r w:rsidRPr="00C7132A">
        <w:rPr>
          <w:rFonts w:asciiTheme="majorBidi" w:hAnsiTheme="majorBidi" w:cstheme="majorBidi"/>
        </w:rPr>
        <w:t>Ghiggeri</w:t>
      </w:r>
      <w:proofErr w:type="spellEnd"/>
      <w:r w:rsidRPr="00C7132A">
        <w:rPr>
          <w:rFonts w:asciiTheme="majorBidi" w:hAnsiTheme="majorBidi" w:cstheme="majorBidi"/>
        </w:rPr>
        <w:t xml:space="preserve"> GM, et al. Prevalence of mutations in renal developmental genes in children with renal </w:t>
      </w:r>
      <w:proofErr w:type="spellStart"/>
      <w:r w:rsidRPr="00C7132A">
        <w:rPr>
          <w:rFonts w:asciiTheme="majorBidi" w:hAnsiTheme="majorBidi" w:cstheme="majorBidi"/>
        </w:rPr>
        <w:t>hypodysplasia</w:t>
      </w:r>
      <w:proofErr w:type="spellEnd"/>
      <w:r w:rsidRPr="00C7132A">
        <w:rPr>
          <w:rFonts w:asciiTheme="majorBidi" w:hAnsiTheme="majorBidi" w:cstheme="majorBidi"/>
        </w:rPr>
        <w:t>: results of the ESCAPE study. J Am Soc Nephrol. 2006;17(10):2864-70.</w:t>
      </w:r>
    </w:p>
    <w:p w14:paraId="2FB9447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Piscione TD, Rosenblum ND. The malformed kidney: disruption of glomerular and tubular development. Clin Genet. 1999;56(5):341-56.</w:t>
      </w:r>
    </w:p>
    <w:p w14:paraId="718391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Moritz KM, </w:t>
      </w:r>
      <w:proofErr w:type="spellStart"/>
      <w:r w:rsidRPr="00C7132A">
        <w:rPr>
          <w:rFonts w:asciiTheme="majorBidi" w:hAnsiTheme="majorBidi" w:cstheme="majorBidi"/>
        </w:rPr>
        <w:t>Dodic</w:t>
      </w:r>
      <w:proofErr w:type="spellEnd"/>
      <w:r w:rsidRPr="00C7132A">
        <w:rPr>
          <w:rFonts w:asciiTheme="majorBidi" w:hAnsiTheme="majorBidi" w:cstheme="majorBidi"/>
        </w:rPr>
        <w:t xml:space="preserve"> M, Wintour EM. Kidney development and the fetal programming of adult disease. </w:t>
      </w:r>
      <w:proofErr w:type="spellStart"/>
      <w:r w:rsidRPr="00C7132A">
        <w:rPr>
          <w:rFonts w:asciiTheme="majorBidi" w:hAnsiTheme="majorBidi" w:cstheme="majorBidi"/>
        </w:rPr>
        <w:t>Bioessays</w:t>
      </w:r>
      <w:proofErr w:type="spellEnd"/>
      <w:r w:rsidRPr="00C7132A">
        <w:rPr>
          <w:rFonts w:asciiTheme="majorBidi" w:hAnsiTheme="majorBidi" w:cstheme="majorBidi"/>
        </w:rPr>
        <w:t>. 2003;25(3):212-20.</w:t>
      </w:r>
    </w:p>
    <w:p w14:paraId="5F82C4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Barker DJ, Osmond C, Golding J, Kuh D, Wadsworth ME. Growth in utero, blood pressure in childhood and adult life, and mortality from cardiovascular disease. BMJ. 1989;298(6673):564-7.</w:t>
      </w:r>
    </w:p>
    <w:p w14:paraId="36AC2B3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Woods LL, Weeks DA, Rasch R. Programming of adult blood pressure by maternal protein restriction: role of nephrogenesis. Kidney Int. 2004;65(4):1339-48.</w:t>
      </w:r>
    </w:p>
    <w:p w14:paraId="0603B4E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Brenner BM, </w:t>
      </w:r>
      <w:proofErr w:type="spellStart"/>
      <w:r w:rsidRPr="00C7132A">
        <w:rPr>
          <w:rFonts w:asciiTheme="majorBidi" w:hAnsiTheme="majorBidi" w:cstheme="majorBidi"/>
        </w:rPr>
        <w:t>Chertow</w:t>
      </w:r>
      <w:proofErr w:type="spellEnd"/>
      <w:r w:rsidRPr="00C7132A">
        <w:rPr>
          <w:rFonts w:asciiTheme="majorBidi" w:hAnsiTheme="majorBidi" w:cstheme="majorBidi"/>
        </w:rPr>
        <w:t xml:space="preserve"> GM. Congenital </w:t>
      </w:r>
      <w:proofErr w:type="spellStart"/>
      <w:r w:rsidRPr="00C7132A">
        <w:rPr>
          <w:rFonts w:asciiTheme="majorBidi" w:hAnsiTheme="majorBidi" w:cstheme="majorBidi"/>
        </w:rPr>
        <w:t>oligonephropathy</w:t>
      </w:r>
      <w:proofErr w:type="spellEnd"/>
      <w:r w:rsidRPr="00C7132A">
        <w:rPr>
          <w:rFonts w:asciiTheme="majorBidi" w:hAnsiTheme="majorBidi" w:cstheme="majorBidi"/>
        </w:rPr>
        <w:t xml:space="preserve"> and the etiology of adult hypertension and progressive renal injury. Am J Kidney Dis. 1994;23(2):171-5.</w:t>
      </w:r>
    </w:p>
    <w:p w14:paraId="573FD16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Hoy WE, Bertram JF, Denton RD, </w:t>
      </w:r>
      <w:proofErr w:type="spellStart"/>
      <w:r w:rsidRPr="00C7132A">
        <w:rPr>
          <w:rFonts w:asciiTheme="majorBidi" w:hAnsiTheme="majorBidi" w:cstheme="majorBidi"/>
        </w:rPr>
        <w:t>Zimanyi</w:t>
      </w:r>
      <w:proofErr w:type="spellEnd"/>
      <w:r w:rsidRPr="00C7132A">
        <w:rPr>
          <w:rFonts w:asciiTheme="majorBidi" w:hAnsiTheme="majorBidi" w:cstheme="majorBidi"/>
        </w:rPr>
        <w:t xml:space="preserve"> M, Samuel T, Hughson MD. Nephron number, glomerular volume, renal disease and hypertension. Curr </w:t>
      </w:r>
      <w:proofErr w:type="spellStart"/>
      <w:r w:rsidRPr="00C7132A">
        <w:rPr>
          <w:rFonts w:asciiTheme="majorBidi" w:hAnsiTheme="majorBidi" w:cstheme="majorBidi"/>
        </w:rPr>
        <w:t>Opin</w:t>
      </w:r>
      <w:proofErr w:type="spellEnd"/>
      <w:r w:rsidRPr="00C7132A">
        <w:rPr>
          <w:rFonts w:asciiTheme="majorBidi" w:hAnsiTheme="majorBidi" w:cstheme="majorBidi"/>
        </w:rPr>
        <w:t xml:space="preserve"> Nephrol </w:t>
      </w:r>
      <w:proofErr w:type="spellStart"/>
      <w:r w:rsidRPr="00C7132A">
        <w:rPr>
          <w:rFonts w:asciiTheme="majorBidi" w:hAnsiTheme="majorBidi" w:cstheme="majorBidi"/>
        </w:rPr>
        <w:t>Hypertens</w:t>
      </w:r>
      <w:proofErr w:type="spellEnd"/>
      <w:r w:rsidRPr="00C7132A">
        <w:rPr>
          <w:rFonts w:asciiTheme="majorBidi" w:hAnsiTheme="majorBidi" w:cstheme="majorBidi"/>
        </w:rPr>
        <w:t>. 2008;17(3):258-65.</w:t>
      </w:r>
    </w:p>
    <w:p w14:paraId="4651C4F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Hughson M, Farris AB 3rd, Douglas-Denton R, Hoy WE, Bertram JF. Glomerular number and size in autopsy kidneys: the relationship to birth weight. Kidney Int. 2003;63(6):2113-22.</w:t>
      </w:r>
    </w:p>
    <w:p w14:paraId="49FF3D4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Singh GR, Hoy WE. Kidney volume, blood pressure, and albuminuria: findings in an Australian aboriginal community. Am J Kidney Dis. 2004;43(2):254-9.</w:t>
      </w:r>
    </w:p>
    <w:p w14:paraId="5FDEDA6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Choi ME, Price DR, Ryter SW, Choi AM. Necroptosis: a crucial pathogenic mediator of human disease. JCI Insight. 2019;4(15</w:t>
      </w:r>
      <w:proofErr w:type="gramStart"/>
      <w:r w:rsidRPr="00C7132A">
        <w:rPr>
          <w:rFonts w:asciiTheme="majorBidi" w:hAnsiTheme="majorBidi" w:cstheme="majorBidi"/>
        </w:rPr>
        <w:t>):e</w:t>
      </w:r>
      <w:proofErr w:type="gramEnd"/>
      <w:r w:rsidRPr="00C7132A">
        <w:rPr>
          <w:rFonts w:asciiTheme="majorBidi" w:hAnsiTheme="majorBidi" w:cstheme="majorBidi"/>
        </w:rPr>
        <w:t>128834.</w:t>
      </w:r>
    </w:p>
    <w:p w14:paraId="036DAD2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Linkermann</w:t>
      </w:r>
      <w:proofErr w:type="spellEnd"/>
      <w:r w:rsidRPr="00C7132A">
        <w:rPr>
          <w:rFonts w:asciiTheme="majorBidi" w:hAnsiTheme="majorBidi" w:cstheme="majorBidi"/>
        </w:rPr>
        <w:t xml:space="preserve"> A, Chen G, Dong G, Kunzendorf U, Krautwald S, Dong Z. Regulated cell death in AKI. J Am Soc Nephrol. 2014;25(12):2689-701.</w:t>
      </w:r>
    </w:p>
    <w:p w14:paraId="2198CE85"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Havasi A, Borkan SC. Apoptosis and acute kidney injury. Kidney Int. 2011;80(1):29-40.</w:t>
      </w:r>
    </w:p>
    <w:p w14:paraId="7E3788D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Kume S, Thomas MC, Koya D. Nutrient sensing, autophagy and diabetic nephropathy. Nat Rev Nephrol. 2012;8(12):717-24.</w:t>
      </w:r>
    </w:p>
    <w:p w14:paraId="338ADAE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Verzola D, Gandolfo MT, Gaetani G, Ferraris A, </w:t>
      </w:r>
      <w:proofErr w:type="spellStart"/>
      <w:r w:rsidRPr="00C7132A">
        <w:rPr>
          <w:rFonts w:asciiTheme="majorBidi" w:hAnsiTheme="majorBidi" w:cstheme="majorBidi"/>
        </w:rPr>
        <w:t>Mangerini</w:t>
      </w:r>
      <w:proofErr w:type="spellEnd"/>
      <w:r w:rsidRPr="00C7132A">
        <w:rPr>
          <w:rFonts w:asciiTheme="majorBidi" w:hAnsiTheme="majorBidi" w:cstheme="majorBidi"/>
        </w:rPr>
        <w:t xml:space="preserve"> R, Ferrario F, et al. Accelerated senescence in the kidneys of patients with type 2 diabetic nephropathy. Am J </w:t>
      </w:r>
      <w:proofErr w:type="spellStart"/>
      <w:r w:rsidRPr="00C7132A">
        <w:rPr>
          <w:rFonts w:asciiTheme="majorBidi" w:hAnsiTheme="majorBidi" w:cstheme="majorBidi"/>
        </w:rPr>
        <w:t>Physiol</w:t>
      </w:r>
      <w:proofErr w:type="spellEnd"/>
      <w:r w:rsidRPr="00C7132A">
        <w:rPr>
          <w:rFonts w:asciiTheme="majorBidi" w:hAnsiTheme="majorBidi" w:cstheme="majorBidi"/>
        </w:rPr>
        <w:t xml:space="preserve"> Renal Physiol. 2008;295(5</w:t>
      </w:r>
      <w:proofErr w:type="gramStart"/>
      <w:r w:rsidRPr="00C7132A">
        <w:rPr>
          <w:rFonts w:asciiTheme="majorBidi" w:hAnsiTheme="majorBidi" w:cstheme="majorBidi"/>
        </w:rPr>
        <w:t>):F</w:t>
      </w:r>
      <w:proofErr w:type="gramEnd"/>
      <w:r w:rsidRPr="00C7132A">
        <w:rPr>
          <w:rFonts w:asciiTheme="majorBidi" w:hAnsiTheme="majorBidi" w:cstheme="majorBidi"/>
        </w:rPr>
        <w:t>1563-73.</w:t>
      </w:r>
    </w:p>
    <w:p w14:paraId="70FDC97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Verzola D, Procopio V, Sofia A, Villaggio B, </w:t>
      </w:r>
      <w:proofErr w:type="spellStart"/>
      <w:r w:rsidRPr="00C7132A">
        <w:rPr>
          <w:rFonts w:asciiTheme="majorBidi" w:hAnsiTheme="majorBidi" w:cstheme="majorBidi"/>
        </w:rPr>
        <w:t>Tarroni</w:t>
      </w:r>
      <w:proofErr w:type="spellEnd"/>
      <w:r w:rsidRPr="00C7132A">
        <w:rPr>
          <w:rFonts w:asciiTheme="majorBidi" w:hAnsiTheme="majorBidi" w:cstheme="majorBidi"/>
        </w:rPr>
        <w:t xml:space="preserve"> A, Bonanni A, et al. Apoptosis and myofibroblast proliferation in human nephrosclerosis. Kidney Int. 2002;62(1):174-83.</w:t>
      </w:r>
    </w:p>
    <w:p w14:paraId="53275889"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Torres VE, Harris PC, </w:t>
      </w:r>
      <w:proofErr w:type="spellStart"/>
      <w:r w:rsidRPr="00C7132A">
        <w:rPr>
          <w:rFonts w:asciiTheme="majorBidi" w:hAnsiTheme="majorBidi" w:cstheme="majorBidi"/>
        </w:rPr>
        <w:t>Pirson</w:t>
      </w:r>
      <w:proofErr w:type="spellEnd"/>
      <w:r w:rsidRPr="00C7132A">
        <w:rPr>
          <w:rFonts w:asciiTheme="majorBidi" w:hAnsiTheme="majorBidi" w:cstheme="majorBidi"/>
        </w:rPr>
        <w:t xml:space="preserve"> Y. Autosomal dominant polycystic kidney disease. Lancet. 2007;369(9569):1287-301.</w:t>
      </w:r>
    </w:p>
    <w:p w14:paraId="277C6C7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Woo D. Apoptosis and loss of renal tissue in polycystic kidney diseases. N Engl J Med. 1995;333(1):18-25.</w:t>
      </w:r>
    </w:p>
    <w:p w14:paraId="6B5AE6C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lastRenderedPageBreak/>
        <w:t>Okada H, Ban S, Nagao S, Takahashi H, Suzuki H, Neilson EG. Progressive renal fibrosis in murine polycystic kidney disease: an immunohistochemical observation. Kidney Int. 2000;58(2):587-97.</w:t>
      </w:r>
    </w:p>
    <w:p w14:paraId="195350C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Takasato</w:t>
      </w:r>
      <w:proofErr w:type="spellEnd"/>
      <w:r w:rsidRPr="00C7132A">
        <w:rPr>
          <w:rFonts w:asciiTheme="majorBidi" w:hAnsiTheme="majorBidi" w:cstheme="majorBidi"/>
        </w:rPr>
        <w:t xml:space="preserve"> M, Er PX, Becroft M, Vanslambrouck JM, Stanley EG, </w:t>
      </w:r>
      <w:proofErr w:type="spellStart"/>
      <w:r w:rsidRPr="00C7132A">
        <w:rPr>
          <w:rFonts w:asciiTheme="majorBidi" w:hAnsiTheme="majorBidi" w:cstheme="majorBidi"/>
        </w:rPr>
        <w:t>Elefanty</w:t>
      </w:r>
      <w:proofErr w:type="spellEnd"/>
      <w:r w:rsidRPr="00C7132A">
        <w:rPr>
          <w:rFonts w:asciiTheme="majorBidi" w:hAnsiTheme="majorBidi" w:cstheme="majorBidi"/>
        </w:rPr>
        <w:t xml:space="preserve"> AG, et al. Directing human embryonic stem cell differentiation towards a renal lineage through a three-dimensional culture system. Nat Cell Biol. 2014;16(1):118-26.</w:t>
      </w:r>
    </w:p>
    <w:p w14:paraId="2C4FCED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Morizane</w:t>
      </w:r>
      <w:proofErr w:type="spellEnd"/>
      <w:r w:rsidRPr="00C7132A">
        <w:rPr>
          <w:rFonts w:asciiTheme="majorBidi" w:hAnsiTheme="majorBidi" w:cstheme="majorBidi"/>
        </w:rPr>
        <w:t xml:space="preserve"> R, Lam AQ, Freedman BS, Kishi S, Valerius MT, Bonventre JV. Nephron organoids derived from human pluripotent stem cells model kidney development and injury. Nat </w:t>
      </w:r>
      <w:proofErr w:type="spellStart"/>
      <w:r w:rsidRPr="00C7132A">
        <w:rPr>
          <w:rFonts w:asciiTheme="majorBidi" w:hAnsiTheme="majorBidi" w:cstheme="majorBidi"/>
        </w:rPr>
        <w:t>Biotechnol</w:t>
      </w:r>
      <w:proofErr w:type="spellEnd"/>
      <w:r w:rsidRPr="00C7132A">
        <w:rPr>
          <w:rFonts w:asciiTheme="majorBidi" w:hAnsiTheme="majorBidi" w:cstheme="majorBidi"/>
        </w:rPr>
        <w:t>. 2015;33(11):1193-200.</w:t>
      </w:r>
    </w:p>
    <w:p w14:paraId="0CBE1BE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Freedman BS, Brooks CR, Lam AQ, Fu H, </w:t>
      </w:r>
      <w:proofErr w:type="spellStart"/>
      <w:r w:rsidRPr="00C7132A">
        <w:rPr>
          <w:rFonts w:asciiTheme="majorBidi" w:hAnsiTheme="majorBidi" w:cstheme="majorBidi"/>
        </w:rPr>
        <w:t>Morizane</w:t>
      </w:r>
      <w:proofErr w:type="spellEnd"/>
      <w:r w:rsidRPr="00C7132A">
        <w:rPr>
          <w:rFonts w:asciiTheme="majorBidi" w:hAnsiTheme="majorBidi" w:cstheme="majorBidi"/>
        </w:rPr>
        <w:t xml:space="preserve"> R, Agrawal V, et al. Modelling kidney disease with CRISPR-mutant kidney organoids derived from human pluripotent epiblast spheroids. Nat Commun. </w:t>
      </w:r>
      <w:proofErr w:type="gramStart"/>
      <w:r w:rsidRPr="00C7132A">
        <w:rPr>
          <w:rFonts w:asciiTheme="majorBidi" w:hAnsiTheme="majorBidi" w:cstheme="majorBidi"/>
        </w:rPr>
        <w:t>2015;6:8715</w:t>
      </w:r>
      <w:proofErr w:type="gramEnd"/>
      <w:r w:rsidRPr="00C7132A">
        <w:rPr>
          <w:rFonts w:asciiTheme="majorBidi" w:hAnsiTheme="majorBidi" w:cstheme="majorBidi"/>
        </w:rPr>
        <w:t>.</w:t>
      </w:r>
    </w:p>
    <w:p w14:paraId="7441C0BD"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Perico N, Casiraghi F, </w:t>
      </w:r>
      <w:proofErr w:type="spellStart"/>
      <w:r w:rsidRPr="00C7132A">
        <w:rPr>
          <w:rFonts w:asciiTheme="majorBidi" w:hAnsiTheme="majorBidi" w:cstheme="majorBidi"/>
        </w:rPr>
        <w:t>Introna</w:t>
      </w:r>
      <w:proofErr w:type="spellEnd"/>
      <w:r w:rsidRPr="00C7132A">
        <w:rPr>
          <w:rFonts w:asciiTheme="majorBidi" w:hAnsiTheme="majorBidi" w:cstheme="majorBidi"/>
        </w:rPr>
        <w:t xml:space="preserve"> M, Gotti E, Todeschini M, Cavinato RA, et al. Autologous mesenchymal stromal cells and kidney transplantation: a pilot study of safety and clinical feasibility. Clin J Am Soc Nephrol. 2011;6(2):412-22.</w:t>
      </w:r>
    </w:p>
    <w:p w14:paraId="198BFF9C"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Imberti</w:t>
      </w:r>
      <w:proofErr w:type="spellEnd"/>
      <w:r w:rsidRPr="00C7132A">
        <w:rPr>
          <w:rFonts w:asciiTheme="majorBidi" w:hAnsiTheme="majorBidi" w:cstheme="majorBidi"/>
        </w:rPr>
        <w:t xml:space="preserve"> B, </w:t>
      </w:r>
      <w:proofErr w:type="spellStart"/>
      <w:r w:rsidRPr="00C7132A">
        <w:rPr>
          <w:rFonts w:asciiTheme="majorBidi" w:hAnsiTheme="majorBidi" w:cstheme="majorBidi"/>
        </w:rPr>
        <w:t>Morigi</w:t>
      </w:r>
      <w:proofErr w:type="spellEnd"/>
      <w:r w:rsidRPr="00C7132A">
        <w:rPr>
          <w:rFonts w:asciiTheme="majorBidi" w:hAnsiTheme="majorBidi" w:cstheme="majorBidi"/>
        </w:rPr>
        <w:t xml:space="preserve"> M, </w:t>
      </w:r>
      <w:proofErr w:type="spellStart"/>
      <w:r w:rsidRPr="00C7132A">
        <w:rPr>
          <w:rFonts w:asciiTheme="majorBidi" w:hAnsiTheme="majorBidi" w:cstheme="majorBidi"/>
        </w:rPr>
        <w:t>Tomasoni</w:t>
      </w:r>
      <w:proofErr w:type="spellEnd"/>
      <w:r w:rsidRPr="00C7132A">
        <w:rPr>
          <w:rFonts w:asciiTheme="majorBidi" w:hAnsiTheme="majorBidi" w:cstheme="majorBidi"/>
        </w:rPr>
        <w:t xml:space="preserve"> S, Rota C, Corna D, </w:t>
      </w:r>
      <w:proofErr w:type="spellStart"/>
      <w:r w:rsidRPr="00C7132A">
        <w:rPr>
          <w:rFonts w:asciiTheme="majorBidi" w:hAnsiTheme="majorBidi" w:cstheme="majorBidi"/>
        </w:rPr>
        <w:t>Longaretti</w:t>
      </w:r>
      <w:proofErr w:type="spellEnd"/>
      <w:r w:rsidRPr="00C7132A">
        <w:rPr>
          <w:rFonts w:asciiTheme="majorBidi" w:hAnsiTheme="majorBidi" w:cstheme="majorBidi"/>
        </w:rPr>
        <w:t xml:space="preserve"> L, et al. Insulin-like growth factor-1 sustains stem cell mediated renal repair. J Am Soc Nephrol. 2007;18(11):2921-8.</w:t>
      </w:r>
    </w:p>
    <w:p w14:paraId="2AD9BB5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Prodromidi</w:t>
      </w:r>
      <w:proofErr w:type="spellEnd"/>
      <w:r w:rsidRPr="00C7132A">
        <w:rPr>
          <w:rFonts w:asciiTheme="majorBidi" w:hAnsiTheme="majorBidi" w:cstheme="majorBidi"/>
        </w:rPr>
        <w:t xml:space="preserve"> EI, </w:t>
      </w:r>
      <w:proofErr w:type="spellStart"/>
      <w:r w:rsidRPr="00C7132A">
        <w:rPr>
          <w:rFonts w:asciiTheme="majorBidi" w:hAnsiTheme="majorBidi" w:cstheme="majorBidi"/>
        </w:rPr>
        <w:t>Poulsom</w:t>
      </w:r>
      <w:proofErr w:type="spellEnd"/>
      <w:r w:rsidRPr="00C7132A">
        <w:rPr>
          <w:rFonts w:asciiTheme="majorBidi" w:hAnsiTheme="majorBidi" w:cstheme="majorBidi"/>
        </w:rPr>
        <w:t xml:space="preserve"> R, Jeffery R, </w:t>
      </w:r>
      <w:proofErr w:type="spellStart"/>
      <w:r w:rsidRPr="00C7132A">
        <w:rPr>
          <w:rFonts w:asciiTheme="majorBidi" w:hAnsiTheme="majorBidi" w:cstheme="majorBidi"/>
        </w:rPr>
        <w:t>Roufosse</w:t>
      </w:r>
      <w:proofErr w:type="spellEnd"/>
      <w:r w:rsidRPr="00C7132A">
        <w:rPr>
          <w:rFonts w:asciiTheme="majorBidi" w:hAnsiTheme="majorBidi" w:cstheme="majorBidi"/>
        </w:rPr>
        <w:t xml:space="preserve"> CA, Pollard PJ, Pusey CD, et al. Bone marrow-derived cells contribute to podocyte regeneration and amelioration of renal disease in a mouse model of Alport syndrome. Stem Cells. 2006;24(11):2448-55.</w:t>
      </w:r>
    </w:p>
    <w:p w14:paraId="7DF4F73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Little MH, Combes AN. Kidney organoids: accurate models or fortunate accidents. Genes Dev. 2019;33(19-20):1319-45.</w:t>
      </w:r>
    </w:p>
    <w:p w14:paraId="39BD919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Przepiorski</w:t>
      </w:r>
      <w:proofErr w:type="spellEnd"/>
      <w:r w:rsidRPr="00C7132A">
        <w:rPr>
          <w:rFonts w:asciiTheme="majorBidi" w:hAnsiTheme="majorBidi" w:cstheme="majorBidi"/>
        </w:rPr>
        <w:t xml:space="preserve"> A, Sander V, Tran T, Hollywood JA, </w:t>
      </w:r>
      <w:proofErr w:type="spellStart"/>
      <w:r w:rsidRPr="00C7132A">
        <w:rPr>
          <w:rFonts w:asciiTheme="majorBidi" w:hAnsiTheme="majorBidi" w:cstheme="majorBidi"/>
        </w:rPr>
        <w:t>Sorrenson</w:t>
      </w:r>
      <w:proofErr w:type="spellEnd"/>
      <w:r w:rsidRPr="00C7132A">
        <w:rPr>
          <w:rFonts w:asciiTheme="majorBidi" w:hAnsiTheme="majorBidi" w:cstheme="majorBidi"/>
        </w:rPr>
        <w:t xml:space="preserve"> B, Shih JH, et al. A simple bioreactor-based method to generate kidney organoids from pluripotent stem cells. Stem Cell Reports. 2018;11(2):470-84.</w:t>
      </w:r>
    </w:p>
    <w:p w14:paraId="38870AC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van den Berg CW, </w:t>
      </w:r>
      <w:proofErr w:type="spellStart"/>
      <w:r w:rsidRPr="00C7132A">
        <w:rPr>
          <w:rFonts w:asciiTheme="majorBidi" w:hAnsiTheme="majorBidi" w:cstheme="majorBidi"/>
        </w:rPr>
        <w:t>Ritsma</w:t>
      </w:r>
      <w:proofErr w:type="spellEnd"/>
      <w:r w:rsidRPr="00C7132A">
        <w:rPr>
          <w:rFonts w:asciiTheme="majorBidi" w:hAnsiTheme="majorBidi" w:cstheme="majorBidi"/>
        </w:rPr>
        <w:t xml:space="preserve"> L, </w:t>
      </w:r>
      <w:proofErr w:type="spellStart"/>
      <w:r w:rsidRPr="00C7132A">
        <w:rPr>
          <w:rFonts w:asciiTheme="majorBidi" w:hAnsiTheme="majorBidi" w:cstheme="majorBidi"/>
        </w:rPr>
        <w:t>Avramut</w:t>
      </w:r>
      <w:proofErr w:type="spellEnd"/>
      <w:r w:rsidRPr="00C7132A">
        <w:rPr>
          <w:rFonts w:asciiTheme="majorBidi" w:hAnsiTheme="majorBidi" w:cstheme="majorBidi"/>
        </w:rPr>
        <w:t xml:space="preserve"> MC, Wiersma LE, van den Berg BM, Leuning DG, et al. Renal subcapsular transplantation of PSC-derived kidney organoids induces neo-</w:t>
      </w:r>
      <w:proofErr w:type="spellStart"/>
      <w:r w:rsidRPr="00C7132A">
        <w:rPr>
          <w:rFonts w:asciiTheme="majorBidi" w:hAnsiTheme="majorBidi" w:cstheme="majorBidi"/>
        </w:rPr>
        <w:t>vasculogenesis</w:t>
      </w:r>
      <w:proofErr w:type="spellEnd"/>
      <w:r w:rsidRPr="00C7132A">
        <w:rPr>
          <w:rFonts w:asciiTheme="majorBidi" w:hAnsiTheme="majorBidi" w:cstheme="majorBidi"/>
        </w:rPr>
        <w:t xml:space="preserve"> and significant glomerular and tubular maturation in vivo. Stem Cell Reports. 2018;10(3):751-65.</w:t>
      </w:r>
    </w:p>
    <w:p w14:paraId="2FB51B4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Gilbert RE. Proximal tubulopathy: prime mover and key therapeutic target in diabetic kidney disease. Diabetes. 2017;66(4):791-800.</w:t>
      </w:r>
    </w:p>
    <w:p w14:paraId="51E377D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Verzola D, Cappuccino L, D'Amato E, Villaggio B, </w:t>
      </w:r>
      <w:proofErr w:type="spellStart"/>
      <w:r w:rsidRPr="00C7132A">
        <w:rPr>
          <w:rFonts w:asciiTheme="majorBidi" w:hAnsiTheme="majorBidi" w:cstheme="majorBidi"/>
        </w:rPr>
        <w:t>Gianiorio</w:t>
      </w:r>
      <w:proofErr w:type="spellEnd"/>
      <w:r w:rsidRPr="00C7132A">
        <w:rPr>
          <w:rFonts w:asciiTheme="majorBidi" w:hAnsiTheme="majorBidi" w:cstheme="majorBidi"/>
        </w:rPr>
        <w:t xml:space="preserve"> F, </w:t>
      </w:r>
      <w:proofErr w:type="spellStart"/>
      <w:r w:rsidRPr="00C7132A">
        <w:rPr>
          <w:rFonts w:asciiTheme="majorBidi" w:hAnsiTheme="majorBidi" w:cstheme="majorBidi"/>
        </w:rPr>
        <w:t>Mij</w:t>
      </w:r>
      <w:proofErr w:type="spellEnd"/>
      <w:r w:rsidRPr="00C7132A">
        <w:rPr>
          <w:rFonts w:asciiTheme="majorBidi" w:hAnsiTheme="majorBidi" w:cstheme="majorBidi"/>
        </w:rPr>
        <w:t xml:space="preserve"> M, et al. Enhanced glomerular Toll-like receptor 4 expression and signaling in patients with type 2 diabetic nephropathy and microalbuminuria. Kidney Int. 2014;86(6):1229-43.</w:t>
      </w:r>
    </w:p>
    <w:p w14:paraId="1E7923D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Kang HM, Ahn SH, Choi P, Ko YA, Han SH, Chinga F, et al. Defective fatty acid oxidation in renal tubular epithelial cells has a key role in kidney fibrosis development. Nat Med. 2015;21(1):37-46.</w:t>
      </w:r>
    </w:p>
    <w:p w14:paraId="285F989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Bechtel W, McGoohan S, </w:t>
      </w:r>
      <w:proofErr w:type="spellStart"/>
      <w:r w:rsidRPr="00C7132A">
        <w:rPr>
          <w:rFonts w:asciiTheme="majorBidi" w:hAnsiTheme="majorBidi" w:cstheme="majorBidi"/>
        </w:rPr>
        <w:t>Zeisberg</w:t>
      </w:r>
      <w:proofErr w:type="spellEnd"/>
      <w:r w:rsidRPr="00C7132A">
        <w:rPr>
          <w:rFonts w:asciiTheme="majorBidi" w:hAnsiTheme="majorBidi" w:cstheme="majorBidi"/>
        </w:rPr>
        <w:t xml:space="preserve"> EM, Müller GA, Kalbacher H, Salant DJ, et al. Methylation determines fibroblast activation and fibrogenesis in the kidney. Nat Med. 2010;16(5):544-50.</w:t>
      </w:r>
    </w:p>
    <w:p w14:paraId="766D8AE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Reddy MA, Zhang E, Natarajan R. Epigenetic mechanisms in diabetic complications and metabolic memory. </w:t>
      </w:r>
      <w:proofErr w:type="spellStart"/>
      <w:r w:rsidRPr="00C7132A">
        <w:rPr>
          <w:rFonts w:asciiTheme="majorBidi" w:hAnsiTheme="majorBidi" w:cstheme="majorBidi"/>
        </w:rPr>
        <w:t>Diabetologia</w:t>
      </w:r>
      <w:proofErr w:type="spellEnd"/>
      <w:r w:rsidRPr="00C7132A">
        <w:rPr>
          <w:rFonts w:asciiTheme="majorBidi" w:hAnsiTheme="majorBidi" w:cstheme="majorBidi"/>
        </w:rPr>
        <w:t>. 2015;58(3):443-55.</w:t>
      </w:r>
    </w:p>
    <w:p w14:paraId="6376CD0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Advani A, Kelly DJ, Cox AJ, White KE, Advani SL, Thai K, et al. The (Pro)renin receptor: site-specific and functional linkage to the vacuolar H+-ATPase in the kidney. Hypertension. 2009;54(2):261-9.</w:t>
      </w:r>
    </w:p>
    <w:p w14:paraId="5FA3A0C3"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lastRenderedPageBreak/>
        <w:t xml:space="preserve">Lindblom P, Gerhardt H, Liebner S, Abramsson A, Enge M, Hellström M, et al. Endothelial PDGF-B retention is required for proper investment of pericytes in the </w:t>
      </w:r>
      <w:proofErr w:type="spellStart"/>
      <w:r w:rsidRPr="00C7132A">
        <w:rPr>
          <w:rFonts w:asciiTheme="majorBidi" w:hAnsiTheme="majorBidi" w:cstheme="majorBidi"/>
        </w:rPr>
        <w:t>microvessel</w:t>
      </w:r>
      <w:proofErr w:type="spellEnd"/>
      <w:r w:rsidRPr="00C7132A">
        <w:rPr>
          <w:rFonts w:asciiTheme="majorBidi" w:hAnsiTheme="majorBidi" w:cstheme="majorBidi"/>
        </w:rPr>
        <w:t xml:space="preserve"> wall. Genes Dev. 2003;17(15):1835-40.</w:t>
      </w:r>
    </w:p>
    <w:p w14:paraId="235B4D4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Kelly DJ, Wilkinson-Berka JL, Allen TJ, Cooper ME, Skinner SL. A new model of diabetic nephropathy with progressive renal impairment in the transgenic (mRen-2)27 rat (TGR). Kidney Int. 1998;54(2):343-52.</w:t>
      </w:r>
    </w:p>
    <w:p w14:paraId="00B080F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Ziyadeh FN, Hoffman BB, Han DC, Iglesias-De La Cruz MC, Hong SW, Isono M, et al. Long-term prevention of renal insufficiency, excess matrix gene expression, and glomerular mesangial matrix expansion by treatment with monoclonal </w:t>
      </w:r>
      <w:proofErr w:type="spellStart"/>
      <w:r w:rsidRPr="00C7132A">
        <w:rPr>
          <w:rFonts w:asciiTheme="majorBidi" w:hAnsiTheme="majorBidi" w:cstheme="majorBidi"/>
        </w:rPr>
        <w:t>antitransforming</w:t>
      </w:r>
      <w:proofErr w:type="spellEnd"/>
      <w:r w:rsidRPr="00C7132A">
        <w:rPr>
          <w:rFonts w:asciiTheme="majorBidi" w:hAnsiTheme="majorBidi" w:cstheme="majorBidi"/>
        </w:rPr>
        <w:t xml:space="preserve"> growth factor-beta antibody in </w:t>
      </w:r>
      <w:proofErr w:type="spellStart"/>
      <w:r w:rsidRPr="00C7132A">
        <w:rPr>
          <w:rFonts w:asciiTheme="majorBidi" w:hAnsiTheme="majorBidi" w:cstheme="majorBidi"/>
        </w:rPr>
        <w:t>db</w:t>
      </w:r>
      <w:proofErr w:type="spellEnd"/>
      <w:r w:rsidRPr="00C7132A">
        <w:rPr>
          <w:rFonts w:asciiTheme="majorBidi" w:hAnsiTheme="majorBidi" w:cstheme="majorBidi"/>
        </w:rPr>
        <w:t>/</w:t>
      </w:r>
      <w:proofErr w:type="spellStart"/>
      <w:r w:rsidRPr="00C7132A">
        <w:rPr>
          <w:rFonts w:asciiTheme="majorBidi" w:hAnsiTheme="majorBidi" w:cstheme="majorBidi"/>
        </w:rPr>
        <w:t>db</w:t>
      </w:r>
      <w:proofErr w:type="spellEnd"/>
      <w:r w:rsidRPr="00C7132A">
        <w:rPr>
          <w:rFonts w:asciiTheme="majorBidi" w:hAnsiTheme="majorBidi" w:cstheme="majorBidi"/>
        </w:rPr>
        <w:t xml:space="preserve"> diabetic mice. Proc Natl </w:t>
      </w:r>
      <w:proofErr w:type="spellStart"/>
      <w:r w:rsidRPr="00C7132A">
        <w:rPr>
          <w:rFonts w:asciiTheme="majorBidi" w:hAnsiTheme="majorBidi" w:cstheme="majorBidi"/>
        </w:rPr>
        <w:t>Acad</w:t>
      </w:r>
      <w:proofErr w:type="spellEnd"/>
      <w:r w:rsidRPr="00C7132A">
        <w:rPr>
          <w:rFonts w:asciiTheme="majorBidi" w:hAnsiTheme="majorBidi" w:cstheme="majorBidi"/>
        </w:rPr>
        <w:t xml:space="preserve"> Sci U S A. 2000;97(14):8015-20.</w:t>
      </w:r>
    </w:p>
    <w:p w14:paraId="0E50A4A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Böger</w:t>
      </w:r>
      <w:proofErr w:type="spellEnd"/>
      <w:r w:rsidRPr="00C7132A">
        <w:rPr>
          <w:rFonts w:asciiTheme="majorBidi" w:hAnsiTheme="majorBidi" w:cstheme="majorBidi"/>
        </w:rPr>
        <w:t xml:space="preserve"> CA, Gorski M, Li M, Hoffmann MM, Huang C, Yang Q, et al. Association of eGFR-related loci identified by GWAS with incident CKD and ESRD. </w:t>
      </w:r>
      <w:proofErr w:type="spellStart"/>
      <w:r w:rsidRPr="00C7132A">
        <w:rPr>
          <w:rFonts w:asciiTheme="majorBidi" w:hAnsiTheme="majorBidi" w:cstheme="majorBidi"/>
        </w:rPr>
        <w:t>PLoS</w:t>
      </w:r>
      <w:proofErr w:type="spellEnd"/>
      <w:r w:rsidRPr="00C7132A">
        <w:rPr>
          <w:rFonts w:asciiTheme="majorBidi" w:hAnsiTheme="majorBidi" w:cstheme="majorBidi"/>
        </w:rPr>
        <w:t xml:space="preserve"> Genet. 2011;7(9</w:t>
      </w:r>
      <w:proofErr w:type="gramStart"/>
      <w:r w:rsidRPr="00C7132A">
        <w:rPr>
          <w:rFonts w:asciiTheme="majorBidi" w:hAnsiTheme="majorBidi" w:cstheme="majorBidi"/>
        </w:rPr>
        <w:t>):e</w:t>
      </w:r>
      <w:proofErr w:type="gramEnd"/>
      <w:r w:rsidRPr="00C7132A">
        <w:rPr>
          <w:rFonts w:asciiTheme="majorBidi" w:hAnsiTheme="majorBidi" w:cstheme="majorBidi"/>
        </w:rPr>
        <w:t>1002292.</w:t>
      </w:r>
    </w:p>
    <w:p w14:paraId="46CA60F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Köttgen</w:t>
      </w:r>
      <w:proofErr w:type="spellEnd"/>
      <w:r w:rsidRPr="00C7132A">
        <w:rPr>
          <w:rFonts w:asciiTheme="majorBidi" w:hAnsiTheme="majorBidi" w:cstheme="majorBidi"/>
        </w:rPr>
        <w:t xml:space="preserve"> A, Glazer NL, Dehghan A, Hwang SJ, Katz R, Li M, et al. Multiple loci associated with indices of renal function and chronic kidney disease. Nat Genet. 2009;41(6):712-7.</w:t>
      </w:r>
    </w:p>
    <w:p w14:paraId="5CF7643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proofErr w:type="spellStart"/>
      <w:r w:rsidRPr="00C7132A">
        <w:rPr>
          <w:rFonts w:asciiTheme="majorBidi" w:hAnsiTheme="majorBidi" w:cstheme="majorBidi"/>
        </w:rPr>
        <w:t>Pattaro</w:t>
      </w:r>
      <w:proofErr w:type="spellEnd"/>
      <w:r w:rsidRPr="00C7132A">
        <w:rPr>
          <w:rFonts w:asciiTheme="majorBidi" w:hAnsiTheme="majorBidi" w:cstheme="majorBidi"/>
        </w:rPr>
        <w:t xml:space="preserve"> C, Teumer A, Gorski M, Chu AY, Li M, Mijatovic V, et al. Genetic associations at 53 loci highlight cell types and biological pathways relevant for kidney function. Nat Commun. </w:t>
      </w:r>
      <w:proofErr w:type="gramStart"/>
      <w:r w:rsidRPr="00C7132A">
        <w:rPr>
          <w:rFonts w:asciiTheme="majorBidi" w:hAnsiTheme="majorBidi" w:cstheme="majorBidi"/>
        </w:rPr>
        <w:t>2016;7:10023</w:t>
      </w:r>
      <w:proofErr w:type="gramEnd"/>
      <w:r w:rsidRPr="00C7132A">
        <w:rPr>
          <w:rFonts w:asciiTheme="majorBidi" w:hAnsiTheme="majorBidi" w:cstheme="majorBidi"/>
        </w:rPr>
        <w:t>.</w:t>
      </w:r>
    </w:p>
    <w:p w14:paraId="19CDABF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Coca SG, </w:t>
      </w:r>
      <w:proofErr w:type="spellStart"/>
      <w:r w:rsidRPr="00C7132A">
        <w:rPr>
          <w:rFonts w:asciiTheme="majorBidi" w:hAnsiTheme="majorBidi" w:cstheme="majorBidi"/>
        </w:rPr>
        <w:t>Singanamala</w:t>
      </w:r>
      <w:proofErr w:type="spellEnd"/>
      <w:r w:rsidRPr="00C7132A">
        <w:rPr>
          <w:rFonts w:asciiTheme="majorBidi" w:hAnsiTheme="majorBidi" w:cstheme="majorBidi"/>
        </w:rPr>
        <w:t xml:space="preserve"> S, Parikh CR. Chronic kidney disease after acute kidney injury: a systematic review and meta-analysis. Kidney Int. 2012;81(5):442-8.</w:t>
      </w:r>
    </w:p>
    <w:p w14:paraId="024BE05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Parikh CR, Coca SG, Thiessen-Philbrook H, </w:t>
      </w:r>
      <w:proofErr w:type="spellStart"/>
      <w:r w:rsidRPr="00C7132A">
        <w:rPr>
          <w:rFonts w:asciiTheme="majorBidi" w:hAnsiTheme="majorBidi" w:cstheme="majorBidi"/>
        </w:rPr>
        <w:t>Shlipak</w:t>
      </w:r>
      <w:proofErr w:type="spellEnd"/>
      <w:r w:rsidRPr="00C7132A">
        <w:rPr>
          <w:rFonts w:asciiTheme="majorBidi" w:hAnsiTheme="majorBidi" w:cstheme="majorBidi"/>
        </w:rPr>
        <w:t xml:space="preserve"> MG, </w:t>
      </w:r>
      <w:proofErr w:type="spellStart"/>
      <w:r w:rsidRPr="00C7132A">
        <w:rPr>
          <w:rFonts w:asciiTheme="majorBidi" w:hAnsiTheme="majorBidi" w:cstheme="majorBidi"/>
        </w:rPr>
        <w:t>Koyner</w:t>
      </w:r>
      <w:proofErr w:type="spellEnd"/>
      <w:r w:rsidRPr="00C7132A">
        <w:rPr>
          <w:rFonts w:asciiTheme="majorBidi" w:hAnsiTheme="majorBidi" w:cstheme="majorBidi"/>
        </w:rPr>
        <w:t xml:space="preserve"> JL, Wang Z, et al. Postoperative biomarkers predict acute kidney injury and poor outcomes after adult cardiac surgery. J Am Soc Nephrol. 2011;22(9):1748-57.</w:t>
      </w:r>
    </w:p>
    <w:p w14:paraId="33EAB59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Devarajan P. Update on mechanisms of ischemic acute kidney injury. J Am Soc Nephrol. 2006;17(6):1503-20.</w:t>
      </w:r>
    </w:p>
    <w:p w14:paraId="4E44192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Kidney Disease: Improving Global Outcomes (KDIGO) CKD Work Group. KDIGO 2012 Clinical Practice Guideline for the Evaluation and Management of Chronic Kidney Disease. Kidney Int Suppl. 2013;3(1):1-150.</w:t>
      </w:r>
    </w:p>
    <w:p w14:paraId="2584B9D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Kaplan JM, Kim SH, North KN, </w:t>
      </w:r>
      <w:proofErr w:type="spellStart"/>
      <w:r w:rsidRPr="00C7132A">
        <w:rPr>
          <w:rFonts w:asciiTheme="majorBidi" w:hAnsiTheme="majorBidi" w:cstheme="majorBidi"/>
        </w:rPr>
        <w:t>Rennke</w:t>
      </w:r>
      <w:proofErr w:type="spellEnd"/>
      <w:r w:rsidRPr="00C7132A">
        <w:rPr>
          <w:rFonts w:asciiTheme="majorBidi" w:hAnsiTheme="majorBidi" w:cstheme="majorBidi"/>
        </w:rPr>
        <w:t xml:space="preserve"> H, Correia LA, Tong HQ, et al. Mutations in ACTN4, encoding alpha-actinin-4, cause familial focal segmental glomerulosclerosis. Nat Genet. 2000;24(3):251-6.</w:t>
      </w:r>
    </w:p>
    <w:p w14:paraId="6FDB39E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Winn MP, Conlon PJ, Lynn KL, Farrington MK, Creazzo T, Hawkins AF, et al. A mutation in the TRPC6 cation channel causes familial focal segmental glomerulosclerosis. Science. 2005;308(5729):1801-4.</w:t>
      </w:r>
    </w:p>
    <w:p w14:paraId="484A802F" w14:textId="77777777" w:rsidR="00B87CD5" w:rsidRPr="00C7132A" w:rsidRDefault="00B87CD5" w:rsidP="00C7132A">
      <w:pPr>
        <w:pStyle w:val="BodyText"/>
        <w:spacing w:before="81"/>
        <w:ind w:left="0" w:right="142"/>
        <w:jc w:val="both"/>
        <w:rPr>
          <w:rFonts w:asciiTheme="majorBidi" w:hAnsiTheme="majorBidi" w:cstheme="majorBidi"/>
        </w:rPr>
      </w:pPr>
    </w:p>
    <w:sectPr w:rsidR="00B87CD5" w:rsidRPr="00C7132A" w:rsidSect="00C7132A">
      <w:headerReference w:type="even" r:id="rId7"/>
      <w:headerReference w:type="default" r:id="rId8"/>
      <w:footerReference w:type="even" r:id="rId9"/>
      <w:footerReference w:type="default" r:id="rId10"/>
      <w:headerReference w:type="first" r:id="rId11"/>
      <w:footerReference w:type="first" r:id="rId12"/>
      <w:pgSz w:w="12240" w:h="15840"/>
      <w:pgMar w:top="900" w:right="1608"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D0CA" w14:textId="77777777" w:rsidR="00540FDE" w:rsidRDefault="00540FDE" w:rsidP="002A2F16">
      <w:r>
        <w:separator/>
      </w:r>
    </w:p>
  </w:endnote>
  <w:endnote w:type="continuationSeparator" w:id="0">
    <w:p w14:paraId="18124369" w14:textId="77777777" w:rsidR="00540FDE" w:rsidRDefault="00540FDE" w:rsidP="002A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7F95" w14:textId="77777777" w:rsidR="002A2F16" w:rsidRDefault="002A2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3746" w14:textId="77777777" w:rsidR="002A2F16" w:rsidRDefault="002A2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A7CC" w14:textId="77777777" w:rsidR="002A2F16" w:rsidRDefault="002A2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1427" w14:textId="77777777" w:rsidR="00540FDE" w:rsidRDefault="00540FDE" w:rsidP="002A2F16">
      <w:r>
        <w:separator/>
      </w:r>
    </w:p>
  </w:footnote>
  <w:footnote w:type="continuationSeparator" w:id="0">
    <w:p w14:paraId="613E5938" w14:textId="77777777" w:rsidR="00540FDE" w:rsidRDefault="00540FDE" w:rsidP="002A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7C7C" w14:textId="7D62E943" w:rsidR="002A2F16" w:rsidRDefault="00000000">
    <w:pPr>
      <w:pStyle w:val="Header"/>
    </w:pPr>
    <w:r>
      <w:rPr>
        <w:noProof/>
      </w:rPr>
      <w:pict w14:anchorId="71E87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2" o:spid="_x0000_s1026" type="#_x0000_t136" style="position:absolute;margin-left:0;margin-top:0;width:560.85pt;height:88.55pt;rotation:315;z-index:-251655168;mso-position-horizontal:center;mso-position-horizontal-relative:margin;mso-position-vertical:center;mso-position-vertical-relative:margin" o:allowincell="f" fillcolor="silver" stroked="f">
          <v:fill opacity=".5"/>
          <v:textpath style="font-family:&quot;Segoe U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C09" w14:textId="14F6DA66" w:rsidR="002A2F16" w:rsidRDefault="00000000">
    <w:pPr>
      <w:pStyle w:val="Header"/>
    </w:pPr>
    <w:r>
      <w:rPr>
        <w:noProof/>
      </w:rPr>
      <w:pict w14:anchorId="1C76C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3" o:spid="_x0000_s1027" type="#_x0000_t136" style="position:absolute;margin-left:0;margin-top:0;width:560.85pt;height:88.55pt;rotation:315;z-index:-251653120;mso-position-horizontal:center;mso-position-horizontal-relative:margin;mso-position-vertical:center;mso-position-vertical-relative:margin" o:allowincell="f" fillcolor="silver" stroked="f">
          <v:fill opacity=".5"/>
          <v:textpath style="font-family:&quot;Segoe U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AE66" w14:textId="5A43FC99" w:rsidR="002A2F16" w:rsidRDefault="00000000">
    <w:pPr>
      <w:pStyle w:val="Header"/>
    </w:pPr>
    <w:r>
      <w:rPr>
        <w:noProof/>
      </w:rPr>
      <w:pict w14:anchorId="733BD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1" o:spid="_x0000_s1025" type="#_x0000_t136" style="position:absolute;margin-left:0;margin-top:0;width:560.85pt;height:88.55pt;rotation:315;z-index:-251657216;mso-position-horizontal:center;mso-position-horizontal-relative:margin;mso-position-vertical:center;mso-position-vertical-relative:margin" o:allowincell="f" fillcolor="silver" stroked="f">
          <v:fill opacity=".5"/>
          <v:textpath style="font-family:&quot;Segoe U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30BB"/>
    <w:multiLevelType w:val="multilevel"/>
    <w:tmpl w:val="9DE0117E"/>
    <w:lvl w:ilvl="0">
      <w:start w:val="1"/>
      <w:numFmt w:val="decimal"/>
      <w:lvlText w:val="%1."/>
      <w:lvlJc w:val="left"/>
      <w:pPr>
        <w:ind w:left="866" w:hanging="326"/>
      </w:pPr>
      <w:rPr>
        <w:rFonts w:ascii="Segoe UI" w:eastAsia="Segoe UI" w:hAnsi="Segoe UI" w:cs="Segoe UI" w:hint="default"/>
        <w:b/>
        <w:bCs/>
        <w:i w:val="0"/>
        <w:iCs w:val="0"/>
        <w:spacing w:val="-4"/>
        <w:w w:val="100"/>
        <w:sz w:val="30"/>
        <w:szCs w:val="30"/>
        <w:lang w:val="en-US" w:eastAsia="en-US" w:bidi="ar-SA"/>
      </w:rPr>
    </w:lvl>
    <w:lvl w:ilvl="1">
      <w:start w:val="1"/>
      <w:numFmt w:val="decimal"/>
      <w:lvlText w:val="%1.%2"/>
      <w:lvlJc w:val="left"/>
      <w:pPr>
        <w:ind w:left="984" w:hanging="444"/>
      </w:pPr>
      <w:rPr>
        <w:rFonts w:ascii="Segoe UI" w:eastAsia="Segoe UI" w:hAnsi="Segoe UI" w:cs="Segoe UI" w:hint="default"/>
        <w:b/>
        <w:bCs/>
        <w:i w:val="0"/>
        <w:iCs w:val="0"/>
        <w:spacing w:val="-4"/>
        <w:w w:val="100"/>
        <w:sz w:val="27"/>
        <w:szCs w:val="27"/>
        <w:lang w:val="en-US" w:eastAsia="en-US" w:bidi="ar-SA"/>
      </w:rPr>
    </w:lvl>
    <w:lvl w:ilvl="2">
      <w:numFmt w:val="bullet"/>
      <w:lvlText w:val="•"/>
      <w:lvlJc w:val="left"/>
      <w:pPr>
        <w:ind w:left="2172" w:hanging="444"/>
      </w:pPr>
      <w:rPr>
        <w:rFonts w:hint="default"/>
        <w:lang w:val="en-US" w:eastAsia="en-US" w:bidi="ar-SA"/>
      </w:rPr>
    </w:lvl>
    <w:lvl w:ilvl="3">
      <w:numFmt w:val="bullet"/>
      <w:lvlText w:val="•"/>
      <w:lvlJc w:val="left"/>
      <w:pPr>
        <w:ind w:left="3363" w:hanging="444"/>
      </w:pPr>
      <w:rPr>
        <w:rFonts w:hint="default"/>
        <w:lang w:val="en-US" w:eastAsia="en-US" w:bidi="ar-SA"/>
      </w:rPr>
    </w:lvl>
    <w:lvl w:ilvl="4">
      <w:numFmt w:val="bullet"/>
      <w:lvlText w:val="•"/>
      <w:lvlJc w:val="left"/>
      <w:pPr>
        <w:ind w:left="4554" w:hanging="444"/>
      </w:pPr>
      <w:rPr>
        <w:rFonts w:hint="default"/>
        <w:lang w:val="en-US" w:eastAsia="en-US" w:bidi="ar-SA"/>
      </w:rPr>
    </w:lvl>
    <w:lvl w:ilvl="5">
      <w:numFmt w:val="bullet"/>
      <w:lvlText w:val="•"/>
      <w:lvlJc w:val="left"/>
      <w:pPr>
        <w:ind w:left="5745" w:hanging="444"/>
      </w:pPr>
      <w:rPr>
        <w:rFonts w:hint="default"/>
        <w:lang w:val="en-US" w:eastAsia="en-US" w:bidi="ar-SA"/>
      </w:rPr>
    </w:lvl>
    <w:lvl w:ilvl="6">
      <w:numFmt w:val="bullet"/>
      <w:lvlText w:val="•"/>
      <w:lvlJc w:val="left"/>
      <w:pPr>
        <w:ind w:left="6936" w:hanging="444"/>
      </w:pPr>
      <w:rPr>
        <w:rFonts w:hint="default"/>
        <w:lang w:val="en-US" w:eastAsia="en-US" w:bidi="ar-SA"/>
      </w:rPr>
    </w:lvl>
    <w:lvl w:ilvl="7">
      <w:numFmt w:val="bullet"/>
      <w:lvlText w:val="•"/>
      <w:lvlJc w:val="left"/>
      <w:pPr>
        <w:ind w:left="8127" w:hanging="444"/>
      </w:pPr>
      <w:rPr>
        <w:rFonts w:hint="default"/>
        <w:lang w:val="en-US" w:eastAsia="en-US" w:bidi="ar-SA"/>
      </w:rPr>
    </w:lvl>
    <w:lvl w:ilvl="8">
      <w:numFmt w:val="bullet"/>
      <w:lvlText w:val="•"/>
      <w:lvlJc w:val="left"/>
      <w:pPr>
        <w:ind w:left="9318" w:hanging="444"/>
      </w:pPr>
      <w:rPr>
        <w:rFonts w:hint="default"/>
        <w:lang w:val="en-US" w:eastAsia="en-US" w:bidi="ar-SA"/>
      </w:rPr>
    </w:lvl>
  </w:abstractNum>
  <w:abstractNum w:abstractNumId="1" w15:restartNumberingAfterBreak="0">
    <w:nsid w:val="2ECE5E66"/>
    <w:multiLevelType w:val="hybridMultilevel"/>
    <w:tmpl w:val="5CA243AA"/>
    <w:lvl w:ilvl="0" w:tplc="2160D7EC">
      <w:start w:val="1"/>
      <w:numFmt w:val="decimal"/>
      <w:lvlText w:val="%1."/>
      <w:lvlJc w:val="left"/>
      <w:pPr>
        <w:ind w:left="420" w:hanging="237"/>
        <w:jc w:val="right"/>
      </w:pPr>
      <w:rPr>
        <w:rFonts w:ascii="Segoe UI" w:eastAsia="Segoe UI" w:hAnsi="Segoe UI" w:cs="Segoe UI" w:hint="default"/>
        <w:b w:val="0"/>
        <w:bCs w:val="0"/>
        <w:i w:val="0"/>
        <w:iCs w:val="0"/>
        <w:spacing w:val="-4"/>
        <w:w w:val="100"/>
        <w:sz w:val="24"/>
        <w:szCs w:val="24"/>
        <w:lang w:val="en-US" w:eastAsia="en-US" w:bidi="ar-SA"/>
      </w:rPr>
    </w:lvl>
    <w:lvl w:ilvl="1" w:tplc="29AC22A6">
      <w:numFmt w:val="bullet"/>
      <w:lvlText w:val="•"/>
      <w:lvlJc w:val="left"/>
      <w:pPr>
        <w:ind w:left="1494" w:hanging="237"/>
      </w:pPr>
      <w:rPr>
        <w:rFonts w:hint="default"/>
        <w:lang w:val="en-US" w:eastAsia="en-US" w:bidi="ar-SA"/>
      </w:rPr>
    </w:lvl>
    <w:lvl w:ilvl="2" w:tplc="9C865914">
      <w:numFmt w:val="bullet"/>
      <w:lvlText w:val="•"/>
      <w:lvlJc w:val="left"/>
      <w:pPr>
        <w:ind w:left="2568" w:hanging="237"/>
      </w:pPr>
      <w:rPr>
        <w:rFonts w:hint="default"/>
        <w:lang w:val="en-US" w:eastAsia="en-US" w:bidi="ar-SA"/>
      </w:rPr>
    </w:lvl>
    <w:lvl w:ilvl="3" w:tplc="DD4A1E1A">
      <w:numFmt w:val="bullet"/>
      <w:lvlText w:val="•"/>
      <w:lvlJc w:val="left"/>
      <w:pPr>
        <w:ind w:left="3642" w:hanging="237"/>
      </w:pPr>
      <w:rPr>
        <w:rFonts w:hint="default"/>
        <w:lang w:val="en-US" w:eastAsia="en-US" w:bidi="ar-SA"/>
      </w:rPr>
    </w:lvl>
    <w:lvl w:ilvl="4" w:tplc="4B4E8088">
      <w:numFmt w:val="bullet"/>
      <w:lvlText w:val="•"/>
      <w:lvlJc w:val="left"/>
      <w:pPr>
        <w:ind w:left="4716" w:hanging="237"/>
      </w:pPr>
      <w:rPr>
        <w:rFonts w:hint="default"/>
        <w:lang w:val="en-US" w:eastAsia="en-US" w:bidi="ar-SA"/>
      </w:rPr>
    </w:lvl>
    <w:lvl w:ilvl="5" w:tplc="72F0D6A0">
      <w:numFmt w:val="bullet"/>
      <w:lvlText w:val="•"/>
      <w:lvlJc w:val="left"/>
      <w:pPr>
        <w:ind w:left="5790" w:hanging="237"/>
      </w:pPr>
      <w:rPr>
        <w:rFonts w:hint="default"/>
        <w:lang w:val="en-US" w:eastAsia="en-US" w:bidi="ar-SA"/>
      </w:rPr>
    </w:lvl>
    <w:lvl w:ilvl="6" w:tplc="56EE5736">
      <w:numFmt w:val="bullet"/>
      <w:lvlText w:val="•"/>
      <w:lvlJc w:val="left"/>
      <w:pPr>
        <w:ind w:left="6864" w:hanging="237"/>
      </w:pPr>
      <w:rPr>
        <w:rFonts w:hint="default"/>
        <w:lang w:val="en-US" w:eastAsia="en-US" w:bidi="ar-SA"/>
      </w:rPr>
    </w:lvl>
    <w:lvl w:ilvl="7" w:tplc="260E59DE">
      <w:numFmt w:val="bullet"/>
      <w:lvlText w:val="•"/>
      <w:lvlJc w:val="left"/>
      <w:pPr>
        <w:ind w:left="7938" w:hanging="237"/>
      </w:pPr>
      <w:rPr>
        <w:rFonts w:hint="default"/>
        <w:lang w:val="en-US" w:eastAsia="en-US" w:bidi="ar-SA"/>
      </w:rPr>
    </w:lvl>
    <w:lvl w:ilvl="8" w:tplc="0FB29868">
      <w:numFmt w:val="bullet"/>
      <w:lvlText w:val="•"/>
      <w:lvlJc w:val="left"/>
      <w:pPr>
        <w:ind w:left="9012" w:hanging="237"/>
      </w:pPr>
      <w:rPr>
        <w:rFonts w:hint="default"/>
        <w:lang w:val="en-US" w:eastAsia="en-US" w:bidi="ar-SA"/>
      </w:rPr>
    </w:lvl>
  </w:abstractNum>
  <w:abstractNum w:abstractNumId="2" w15:restartNumberingAfterBreak="0">
    <w:nsid w:val="48285B94"/>
    <w:multiLevelType w:val="multilevel"/>
    <w:tmpl w:val="102E0C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FA91788"/>
    <w:multiLevelType w:val="hybridMultilevel"/>
    <w:tmpl w:val="EE4A0BBA"/>
    <w:lvl w:ilvl="0" w:tplc="24ECE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258353">
    <w:abstractNumId w:val="1"/>
  </w:num>
  <w:num w:numId="2" w16cid:durableId="710038201">
    <w:abstractNumId w:val="0"/>
  </w:num>
  <w:num w:numId="3" w16cid:durableId="408622108">
    <w:abstractNumId w:val="3"/>
  </w:num>
  <w:num w:numId="4" w16cid:durableId="30122976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226917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7CD5"/>
    <w:rsid w:val="000125F0"/>
    <w:rsid w:val="00016EBA"/>
    <w:rsid w:val="00027DBE"/>
    <w:rsid w:val="00043E07"/>
    <w:rsid w:val="00073EE2"/>
    <w:rsid w:val="00076FF2"/>
    <w:rsid w:val="000F43FA"/>
    <w:rsid w:val="00222CCD"/>
    <w:rsid w:val="00223731"/>
    <w:rsid w:val="002326BA"/>
    <w:rsid w:val="00235DE2"/>
    <w:rsid w:val="00284795"/>
    <w:rsid w:val="002A2F16"/>
    <w:rsid w:val="002A4DE7"/>
    <w:rsid w:val="002D0251"/>
    <w:rsid w:val="002F1337"/>
    <w:rsid w:val="00331D3F"/>
    <w:rsid w:val="00354281"/>
    <w:rsid w:val="003C7291"/>
    <w:rsid w:val="00430FAA"/>
    <w:rsid w:val="0044025A"/>
    <w:rsid w:val="00444E15"/>
    <w:rsid w:val="00466FB8"/>
    <w:rsid w:val="004B1C8D"/>
    <w:rsid w:val="004F5DA6"/>
    <w:rsid w:val="0052689A"/>
    <w:rsid w:val="00540FDE"/>
    <w:rsid w:val="00565739"/>
    <w:rsid w:val="005836C7"/>
    <w:rsid w:val="00597778"/>
    <w:rsid w:val="005B4AEB"/>
    <w:rsid w:val="00606756"/>
    <w:rsid w:val="00654C53"/>
    <w:rsid w:val="0065677D"/>
    <w:rsid w:val="006A11A6"/>
    <w:rsid w:val="00723C09"/>
    <w:rsid w:val="00743CC1"/>
    <w:rsid w:val="007950E4"/>
    <w:rsid w:val="007A010E"/>
    <w:rsid w:val="007D0915"/>
    <w:rsid w:val="00816543"/>
    <w:rsid w:val="0082491B"/>
    <w:rsid w:val="00856870"/>
    <w:rsid w:val="008A72AA"/>
    <w:rsid w:val="008E6904"/>
    <w:rsid w:val="00946BD8"/>
    <w:rsid w:val="009A2DBE"/>
    <w:rsid w:val="00A067E0"/>
    <w:rsid w:val="00A07D33"/>
    <w:rsid w:val="00A736EC"/>
    <w:rsid w:val="00AA0411"/>
    <w:rsid w:val="00B0176A"/>
    <w:rsid w:val="00B42C1A"/>
    <w:rsid w:val="00B51873"/>
    <w:rsid w:val="00B60B33"/>
    <w:rsid w:val="00B87CD5"/>
    <w:rsid w:val="00BC70D9"/>
    <w:rsid w:val="00BD4CBD"/>
    <w:rsid w:val="00BE6FCD"/>
    <w:rsid w:val="00C14105"/>
    <w:rsid w:val="00C7132A"/>
    <w:rsid w:val="00C972E2"/>
    <w:rsid w:val="00CA4925"/>
    <w:rsid w:val="00CC0FF2"/>
    <w:rsid w:val="00CC3CC2"/>
    <w:rsid w:val="00D23114"/>
    <w:rsid w:val="00D23180"/>
    <w:rsid w:val="00D42F62"/>
    <w:rsid w:val="00D50FB9"/>
    <w:rsid w:val="00D51921"/>
    <w:rsid w:val="00D54EE1"/>
    <w:rsid w:val="00D560BB"/>
    <w:rsid w:val="00DA5339"/>
    <w:rsid w:val="00DA6755"/>
    <w:rsid w:val="00E109AB"/>
    <w:rsid w:val="00E126B7"/>
    <w:rsid w:val="00E1600B"/>
    <w:rsid w:val="00E73767"/>
    <w:rsid w:val="00EB6FB7"/>
    <w:rsid w:val="00EE6946"/>
    <w:rsid w:val="00F161AC"/>
    <w:rsid w:val="00F2750E"/>
    <w:rsid w:val="00F611EB"/>
    <w:rsid w:val="00F83E17"/>
    <w:rsid w:val="00F910CA"/>
    <w:rsid w:val="00F91BA9"/>
    <w:rsid w:val="00FA1DB3"/>
    <w:rsid w:val="00FE6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33CD6"/>
  <w15:docId w15:val="{C6ECE3C7-BCDA-4F10-916A-2E7BAB57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link w:val="Heading1Char"/>
    <w:uiPriority w:val="1"/>
    <w:qFormat/>
    <w:pPr>
      <w:spacing w:before="396"/>
      <w:ind w:left="323" w:hanging="324"/>
      <w:outlineLvl w:val="0"/>
    </w:pPr>
    <w:rPr>
      <w:b/>
      <w:bCs/>
      <w:sz w:val="30"/>
      <w:szCs w:val="30"/>
    </w:rPr>
  </w:style>
  <w:style w:type="paragraph" w:styleId="Heading2">
    <w:name w:val="heading 2"/>
    <w:basedOn w:val="Normal"/>
    <w:link w:val="Heading2Char"/>
    <w:uiPriority w:val="1"/>
    <w:qFormat/>
    <w:pPr>
      <w:spacing w:before="278"/>
      <w:ind w:left="441" w:hanging="44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06"/>
      <w:ind w:left="-1" w:right="350"/>
    </w:pPr>
    <w:rPr>
      <w:sz w:val="24"/>
      <w:szCs w:val="24"/>
    </w:rPr>
  </w:style>
  <w:style w:type="paragraph" w:styleId="Title">
    <w:name w:val="Title"/>
    <w:basedOn w:val="Normal"/>
    <w:link w:val="TitleChar"/>
    <w:uiPriority w:val="1"/>
    <w:qFormat/>
    <w:pPr>
      <w:spacing w:before="76"/>
      <w:ind w:left="-1"/>
    </w:pPr>
    <w:rPr>
      <w:b/>
      <w:bCs/>
      <w:sz w:val="36"/>
      <w:szCs w:val="36"/>
    </w:rPr>
  </w:style>
  <w:style w:type="paragraph" w:styleId="ListParagraph">
    <w:name w:val="List Paragraph"/>
    <w:basedOn w:val="Normal"/>
    <w:uiPriority w:val="1"/>
    <w:qFormat/>
    <w:pPr>
      <w:spacing w:before="106"/>
      <w:ind w:left="419" w:hanging="363"/>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2A4DE7"/>
    <w:rPr>
      <w:rFonts w:ascii="Segoe UI" w:eastAsia="Segoe UI" w:hAnsi="Segoe UI" w:cs="Segoe UI"/>
      <w:b/>
      <w:bCs/>
      <w:sz w:val="30"/>
      <w:szCs w:val="30"/>
    </w:rPr>
  </w:style>
  <w:style w:type="character" w:customStyle="1" w:styleId="Heading2Char">
    <w:name w:val="Heading 2 Char"/>
    <w:basedOn w:val="DefaultParagraphFont"/>
    <w:link w:val="Heading2"/>
    <w:uiPriority w:val="1"/>
    <w:rsid w:val="002A4DE7"/>
    <w:rPr>
      <w:rFonts w:ascii="Segoe UI" w:eastAsia="Segoe UI" w:hAnsi="Segoe UI" w:cs="Segoe UI"/>
      <w:b/>
      <w:bCs/>
      <w:sz w:val="27"/>
      <w:szCs w:val="27"/>
    </w:rPr>
  </w:style>
  <w:style w:type="character" w:customStyle="1" w:styleId="BodyTextChar">
    <w:name w:val="Body Text Char"/>
    <w:basedOn w:val="DefaultParagraphFont"/>
    <w:link w:val="BodyText"/>
    <w:uiPriority w:val="1"/>
    <w:rsid w:val="002A4DE7"/>
    <w:rPr>
      <w:rFonts w:ascii="Segoe UI" w:eastAsia="Segoe UI" w:hAnsi="Segoe UI" w:cs="Segoe UI"/>
      <w:sz w:val="24"/>
      <w:szCs w:val="24"/>
    </w:rPr>
  </w:style>
  <w:style w:type="character" w:customStyle="1" w:styleId="TitleChar">
    <w:name w:val="Title Char"/>
    <w:basedOn w:val="DefaultParagraphFont"/>
    <w:link w:val="Title"/>
    <w:uiPriority w:val="1"/>
    <w:rsid w:val="002A4DE7"/>
    <w:rPr>
      <w:rFonts w:ascii="Segoe UI" w:eastAsia="Segoe UI" w:hAnsi="Segoe UI" w:cs="Segoe UI"/>
      <w:b/>
      <w:bCs/>
      <w:sz w:val="36"/>
      <w:szCs w:val="36"/>
    </w:rPr>
  </w:style>
  <w:style w:type="character" w:styleId="Hyperlink">
    <w:name w:val="Hyperlink"/>
    <w:basedOn w:val="DefaultParagraphFont"/>
    <w:uiPriority w:val="99"/>
    <w:unhideWhenUsed/>
    <w:rsid w:val="00C7132A"/>
    <w:rPr>
      <w:color w:val="0000FF" w:themeColor="hyperlink"/>
      <w:u w:val="single"/>
    </w:rPr>
  </w:style>
  <w:style w:type="character" w:customStyle="1" w:styleId="UnresolvedMention1">
    <w:name w:val="Unresolved Mention1"/>
    <w:basedOn w:val="DefaultParagraphFont"/>
    <w:uiPriority w:val="99"/>
    <w:semiHidden/>
    <w:unhideWhenUsed/>
    <w:rsid w:val="00A736EC"/>
    <w:rPr>
      <w:color w:val="605E5C"/>
      <w:shd w:val="clear" w:color="auto" w:fill="E1DFDD"/>
    </w:rPr>
  </w:style>
  <w:style w:type="paragraph" w:styleId="Header">
    <w:name w:val="header"/>
    <w:basedOn w:val="Normal"/>
    <w:link w:val="HeaderChar"/>
    <w:uiPriority w:val="99"/>
    <w:unhideWhenUsed/>
    <w:rsid w:val="002A2F16"/>
    <w:pPr>
      <w:tabs>
        <w:tab w:val="center" w:pos="4680"/>
        <w:tab w:val="right" w:pos="9360"/>
      </w:tabs>
    </w:pPr>
  </w:style>
  <w:style w:type="character" w:customStyle="1" w:styleId="HeaderChar">
    <w:name w:val="Header Char"/>
    <w:basedOn w:val="DefaultParagraphFont"/>
    <w:link w:val="Header"/>
    <w:uiPriority w:val="99"/>
    <w:rsid w:val="002A2F16"/>
    <w:rPr>
      <w:rFonts w:ascii="Segoe UI" w:eastAsia="Segoe UI" w:hAnsi="Segoe UI" w:cs="Segoe UI"/>
    </w:rPr>
  </w:style>
  <w:style w:type="paragraph" w:styleId="Footer">
    <w:name w:val="footer"/>
    <w:basedOn w:val="Normal"/>
    <w:link w:val="FooterChar"/>
    <w:uiPriority w:val="99"/>
    <w:unhideWhenUsed/>
    <w:rsid w:val="002A2F16"/>
    <w:pPr>
      <w:tabs>
        <w:tab w:val="center" w:pos="4680"/>
        <w:tab w:val="right" w:pos="9360"/>
      </w:tabs>
    </w:pPr>
  </w:style>
  <w:style w:type="character" w:customStyle="1" w:styleId="FooterChar">
    <w:name w:val="Footer Char"/>
    <w:basedOn w:val="DefaultParagraphFont"/>
    <w:link w:val="Footer"/>
    <w:uiPriority w:val="99"/>
    <w:rsid w:val="002A2F16"/>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134">
      <w:bodyDiv w:val="1"/>
      <w:marLeft w:val="0"/>
      <w:marRight w:val="0"/>
      <w:marTop w:val="0"/>
      <w:marBottom w:val="0"/>
      <w:divBdr>
        <w:top w:val="none" w:sz="0" w:space="0" w:color="auto"/>
        <w:left w:val="none" w:sz="0" w:space="0" w:color="auto"/>
        <w:bottom w:val="none" w:sz="0" w:space="0" w:color="auto"/>
        <w:right w:val="none" w:sz="0" w:space="0" w:color="auto"/>
      </w:divBdr>
    </w:div>
    <w:div w:id="989871371">
      <w:bodyDiv w:val="1"/>
      <w:marLeft w:val="0"/>
      <w:marRight w:val="0"/>
      <w:marTop w:val="0"/>
      <w:marBottom w:val="0"/>
      <w:divBdr>
        <w:top w:val="none" w:sz="0" w:space="0" w:color="auto"/>
        <w:left w:val="none" w:sz="0" w:space="0" w:color="auto"/>
        <w:bottom w:val="none" w:sz="0" w:space="0" w:color="auto"/>
        <w:right w:val="none" w:sz="0" w:space="0" w:color="auto"/>
      </w:divBdr>
    </w:div>
    <w:div w:id="1011644900">
      <w:bodyDiv w:val="1"/>
      <w:marLeft w:val="0"/>
      <w:marRight w:val="0"/>
      <w:marTop w:val="0"/>
      <w:marBottom w:val="0"/>
      <w:divBdr>
        <w:top w:val="none" w:sz="0" w:space="0" w:color="auto"/>
        <w:left w:val="none" w:sz="0" w:space="0" w:color="auto"/>
        <w:bottom w:val="none" w:sz="0" w:space="0" w:color="auto"/>
        <w:right w:val="none" w:sz="0" w:space="0" w:color="auto"/>
      </w:divBdr>
      <w:divsChild>
        <w:div w:id="535242593">
          <w:marLeft w:val="0"/>
          <w:marRight w:val="0"/>
          <w:marTop w:val="0"/>
          <w:marBottom w:val="0"/>
          <w:divBdr>
            <w:top w:val="none" w:sz="0" w:space="0" w:color="auto"/>
            <w:left w:val="none" w:sz="0" w:space="0" w:color="auto"/>
            <w:bottom w:val="none" w:sz="0" w:space="0" w:color="auto"/>
            <w:right w:val="none" w:sz="0" w:space="0" w:color="auto"/>
          </w:divBdr>
          <w:divsChild>
            <w:div w:id="16773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178">
      <w:bodyDiv w:val="1"/>
      <w:marLeft w:val="0"/>
      <w:marRight w:val="0"/>
      <w:marTop w:val="0"/>
      <w:marBottom w:val="0"/>
      <w:divBdr>
        <w:top w:val="none" w:sz="0" w:space="0" w:color="auto"/>
        <w:left w:val="none" w:sz="0" w:space="0" w:color="auto"/>
        <w:bottom w:val="none" w:sz="0" w:space="0" w:color="auto"/>
        <w:right w:val="none" w:sz="0" w:space="0" w:color="auto"/>
      </w:divBdr>
      <w:divsChild>
        <w:div w:id="1955601565">
          <w:marLeft w:val="0"/>
          <w:marRight w:val="0"/>
          <w:marTop w:val="0"/>
          <w:marBottom w:val="0"/>
          <w:divBdr>
            <w:top w:val="none" w:sz="0" w:space="0" w:color="auto"/>
            <w:left w:val="none" w:sz="0" w:space="0" w:color="auto"/>
            <w:bottom w:val="none" w:sz="0" w:space="0" w:color="auto"/>
            <w:right w:val="none" w:sz="0" w:space="0" w:color="auto"/>
          </w:divBdr>
          <w:divsChild>
            <w:div w:id="6100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183">
      <w:bodyDiv w:val="1"/>
      <w:marLeft w:val="0"/>
      <w:marRight w:val="0"/>
      <w:marTop w:val="0"/>
      <w:marBottom w:val="0"/>
      <w:divBdr>
        <w:top w:val="none" w:sz="0" w:space="0" w:color="auto"/>
        <w:left w:val="none" w:sz="0" w:space="0" w:color="auto"/>
        <w:bottom w:val="none" w:sz="0" w:space="0" w:color="auto"/>
        <w:right w:val="none" w:sz="0" w:space="0" w:color="auto"/>
      </w:divBdr>
    </w:div>
    <w:div w:id="209466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16</Pages>
  <Words>7988</Words>
  <Characters>45534</Characters>
  <Application>Microsoft Office Word</Application>
  <DocSecurity>0</DocSecurity>
  <Lines>379</Lines>
  <Paragraphs>106</Paragraphs>
  <ScaleCrop>false</ScaleCrop>
  <HeadingPairs>
    <vt:vector size="2" baseType="variant">
      <vt:variant>
        <vt:lpstr>العنوان</vt:lpstr>
      </vt:variant>
      <vt:variant>
        <vt:i4>1</vt:i4>
      </vt:variant>
    </vt:vector>
  </HeadingPairs>
  <TitlesOfParts>
    <vt:vector size="1" baseType="lpstr">
      <vt:lpstr>Role of Programmed Cell Death in Cyst Development: A Comprehensive Review</vt:lpstr>
    </vt:vector>
  </TitlesOfParts>
  <Company>Microsoft (C)</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Programmed Cell Death in Cyst Development: A Comprehensive Review</dc:title>
  <dc:creator>العالمية للحاسبات</dc:creator>
  <cp:lastModifiedBy>Editor GP 005</cp:lastModifiedBy>
  <cp:revision>72</cp:revision>
  <cp:lastPrinted>2025-09-15T22:11:00Z</cp:lastPrinted>
  <dcterms:created xsi:type="dcterms:W3CDTF">2025-09-13T11:38:00Z</dcterms:created>
  <dcterms:modified xsi:type="dcterms:W3CDTF">2025-09-25T11:17:00Z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2025-09-13T00:00:00Z</vt:filetime>
  </property>
  <property fmtid="{D5CDD505-2E9C-101B-9397-08002B2CF9AE}" pid="5" name="Producer">
    <vt:lpwstr>Skia/PDF m140</vt:lpwstr>
  </property>
</Properties>
</file>