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868B9" w14:textId="4DBC77CE" w:rsidR="0088594C" w:rsidRPr="00E62FE1" w:rsidRDefault="0088594C" w:rsidP="005C7441">
      <w:pPr>
        <w:spacing w:line="480" w:lineRule="auto"/>
        <w:jc w:val="center"/>
        <w:rPr>
          <w:rFonts w:ascii="Times New Roman" w:eastAsia="Times New Roman" w:hAnsi="Times New Roman" w:cs="Times New Roman"/>
          <w:b/>
          <w:bCs/>
          <w:color w:val="000000"/>
          <w:sz w:val="28"/>
          <w:szCs w:val="28"/>
        </w:rPr>
      </w:pPr>
      <w:r w:rsidRPr="00E62FE1">
        <w:rPr>
          <w:rFonts w:ascii="Times New Roman" w:eastAsia="Times New Roman" w:hAnsi="Times New Roman" w:cs="Times New Roman"/>
          <w:b/>
          <w:bCs/>
          <w:color w:val="000000"/>
          <w:sz w:val="28"/>
          <w:szCs w:val="28"/>
        </w:rPr>
        <w:t>Silver and Iron Oxide Nanoparticles as Potential Therapeutics for CAUT</w:t>
      </w:r>
      <w:r w:rsidR="00830632" w:rsidRPr="00E62FE1">
        <w:rPr>
          <w:rFonts w:ascii="Times New Roman" w:eastAsia="Times New Roman" w:hAnsi="Times New Roman" w:cs="Times New Roman"/>
          <w:b/>
          <w:bCs/>
          <w:color w:val="000000"/>
          <w:sz w:val="28"/>
          <w:szCs w:val="28"/>
        </w:rPr>
        <w:t xml:space="preserve">I    </w:t>
      </w:r>
      <w:r w:rsidRPr="00E62FE1">
        <w:rPr>
          <w:rFonts w:ascii="Times New Roman" w:eastAsia="Times New Roman" w:hAnsi="Times New Roman" w:cs="Times New Roman"/>
          <w:b/>
          <w:bCs/>
          <w:color w:val="000000"/>
          <w:sz w:val="28"/>
          <w:szCs w:val="28"/>
        </w:rPr>
        <w:t xml:space="preserve">Associated </w:t>
      </w:r>
      <w:r w:rsidRPr="00700635">
        <w:rPr>
          <w:rFonts w:ascii="Times New Roman" w:eastAsia="Times New Roman" w:hAnsi="Times New Roman" w:cs="Times New Roman"/>
          <w:b/>
          <w:bCs/>
          <w:i/>
          <w:iCs/>
          <w:color w:val="000000"/>
          <w:sz w:val="28"/>
          <w:szCs w:val="28"/>
        </w:rPr>
        <w:t>E. coli</w:t>
      </w:r>
      <w:r w:rsidRPr="00E62FE1">
        <w:rPr>
          <w:rFonts w:ascii="Times New Roman" w:eastAsia="Times New Roman" w:hAnsi="Times New Roman" w:cs="Times New Roman"/>
          <w:b/>
          <w:bCs/>
          <w:color w:val="000000"/>
          <w:sz w:val="28"/>
          <w:szCs w:val="28"/>
        </w:rPr>
        <w:t xml:space="preserve"> Biofilm</w:t>
      </w:r>
      <w:r w:rsidR="00700635">
        <w:rPr>
          <w:rFonts w:ascii="Times New Roman" w:eastAsia="Times New Roman" w:hAnsi="Times New Roman" w:cs="Times New Roman"/>
          <w:b/>
          <w:bCs/>
          <w:color w:val="000000"/>
          <w:sz w:val="28"/>
          <w:szCs w:val="28"/>
        </w:rPr>
        <w:t>s</w:t>
      </w:r>
    </w:p>
    <w:p w14:paraId="3BC65E31" w14:textId="77777777" w:rsidR="00D1379C" w:rsidRPr="00E62FE1" w:rsidRDefault="00D1379C" w:rsidP="005C7441">
      <w:pPr>
        <w:pStyle w:val="NormalWeb"/>
        <w:spacing w:line="480" w:lineRule="auto"/>
        <w:jc w:val="both"/>
        <w:rPr>
          <w:rStyle w:val="ai-insert"/>
          <w:color w:val="000000"/>
        </w:rPr>
      </w:pPr>
    </w:p>
    <w:p w14:paraId="628F30B0" w14:textId="71B4BF3D" w:rsidR="009D5A9D" w:rsidRPr="00043177" w:rsidRDefault="009D5A9D" w:rsidP="005C7441">
      <w:pPr>
        <w:pStyle w:val="NormalWeb"/>
        <w:spacing w:line="480" w:lineRule="auto"/>
        <w:jc w:val="both"/>
        <w:rPr>
          <w:color w:val="000000"/>
        </w:rPr>
      </w:pPr>
      <w:r w:rsidRPr="00E62FE1">
        <w:rPr>
          <w:rStyle w:val="ai-insert"/>
          <w:color w:val="000000"/>
        </w:rPr>
        <w:t>ABSTRAC</w:t>
      </w:r>
      <w:r w:rsidR="00D54590" w:rsidRPr="00E62FE1">
        <w:rPr>
          <w:rStyle w:val="ai-insert"/>
          <w:color w:val="000000"/>
        </w:rPr>
        <w:t xml:space="preserve">T </w:t>
      </w:r>
      <w:r w:rsidRPr="00E62FE1">
        <w:br/>
      </w:r>
      <w:r w:rsidR="00043177">
        <w:rPr>
          <w:rStyle w:val="ai-insert"/>
          <w:color w:val="000000"/>
        </w:rPr>
        <w:t xml:space="preserve">Catheter-associated urinary tract infections (CAUTIs) are a significant concern due to the formation of biofilms by pathogens such as </w:t>
      </w:r>
      <w:r w:rsidR="00043177" w:rsidRPr="00043177">
        <w:rPr>
          <w:rStyle w:val="ai-insert"/>
          <w:i/>
          <w:iCs/>
          <w:color w:val="000000"/>
        </w:rPr>
        <w:t>Escherichia coli</w:t>
      </w:r>
      <w:r w:rsidR="00043177">
        <w:rPr>
          <w:rStyle w:val="ai-insert"/>
          <w:color w:val="000000"/>
        </w:rPr>
        <w:t>. This study evaluates the antibiofilm efficacy of silver nanoparticles (</w:t>
      </w:r>
      <w:proofErr w:type="spellStart"/>
      <w:r w:rsidR="00043177">
        <w:rPr>
          <w:rStyle w:val="ai-insert"/>
          <w:color w:val="000000"/>
        </w:rPr>
        <w:t>AgNPs</w:t>
      </w:r>
      <w:proofErr w:type="spellEnd"/>
      <w:r w:rsidR="00043177">
        <w:rPr>
          <w:rStyle w:val="ai-insert"/>
          <w:color w:val="000000"/>
        </w:rPr>
        <w:t>) and iron oxide nanoparticles (</w:t>
      </w:r>
      <w:proofErr w:type="spellStart"/>
      <w:r w:rsidR="00043177">
        <w:rPr>
          <w:rStyle w:val="ai-insert"/>
          <w:color w:val="000000"/>
        </w:rPr>
        <w:t>FeONPs</w:t>
      </w:r>
      <w:proofErr w:type="spellEnd"/>
      <w:r w:rsidR="00043177">
        <w:rPr>
          <w:rStyle w:val="ai-insert"/>
          <w:color w:val="000000"/>
        </w:rPr>
        <w:t xml:space="preserve">) against clinical </w:t>
      </w:r>
      <w:r w:rsidR="00043177" w:rsidRPr="00043177">
        <w:rPr>
          <w:rStyle w:val="ai-insert"/>
          <w:i/>
          <w:iCs/>
          <w:color w:val="000000"/>
        </w:rPr>
        <w:t>E. coli</w:t>
      </w:r>
      <w:r w:rsidR="00043177">
        <w:rPr>
          <w:rStyle w:val="ai-insert"/>
          <w:color w:val="000000"/>
        </w:rPr>
        <w:t xml:space="preserve"> isolates from CAUTI patients. Clinical </w:t>
      </w:r>
      <w:r w:rsidR="00043177" w:rsidRPr="00043177">
        <w:rPr>
          <w:rStyle w:val="ai-insert"/>
          <w:i/>
          <w:iCs/>
          <w:color w:val="000000"/>
        </w:rPr>
        <w:t>E. coli</w:t>
      </w:r>
      <w:r w:rsidR="00043177">
        <w:rPr>
          <w:rStyle w:val="ai-insert"/>
          <w:color w:val="000000"/>
        </w:rPr>
        <w:t xml:space="preserve"> isolates were procured from catheterized patient urine samples and identified using </w:t>
      </w:r>
      <w:proofErr w:type="spellStart"/>
      <w:r w:rsidR="00043177">
        <w:rPr>
          <w:rStyle w:val="ai-insert"/>
          <w:color w:val="000000"/>
        </w:rPr>
        <w:t>HiCrome</w:t>
      </w:r>
      <w:proofErr w:type="spellEnd"/>
      <w:r w:rsidR="00043177">
        <w:rPr>
          <w:rStyle w:val="ai-insert"/>
          <w:color w:val="000000"/>
        </w:rPr>
        <w:t xml:space="preserve"> UTI Agar and VITEK 2 Compact system. </w:t>
      </w:r>
      <w:proofErr w:type="spellStart"/>
      <w:r w:rsidR="00043177">
        <w:rPr>
          <w:rStyle w:val="ai-insert"/>
          <w:color w:val="000000"/>
        </w:rPr>
        <w:t>AgNPs</w:t>
      </w:r>
      <w:proofErr w:type="spellEnd"/>
      <w:r w:rsidR="00043177">
        <w:rPr>
          <w:rStyle w:val="ai-insert"/>
          <w:color w:val="000000"/>
        </w:rPr>
        <w:t xml:space="preserve"> and </w:t>
      </w:r>
      <w:proofErr w:type="spellStart"/>
      <w:r w:rsidR="00043177">
        <w:rPr>
          <w:rStyle w:val="ai-insert"/>
          <w:color w:val="000000"/>
        </w:rPr>
        <w:t>FeONPs</w:t>
      </w:r>
      <w:proofErr w:type="spellEnd"/>
      <w:r w:rsidR="00043177">
        <w:rPr>
          <w:rStyle w:val="ai-insert"/>
          <w:color w:val="000000"/>
        </w:rPr>
        <w:t xml:space="preserve"> were prepared in DMSO and tested at concentrations from 5 to 100 µg/mL using a modified crystal violet assay. </w:t>
      </w:r>
      <w:proofErr w:type="spellStart"/>
      <w:r w:rsidR="00043177">
        <w:rPr>
          <w:rStyle w:val="ai-insert"/>
          <w:color w:val="000000"/>
        </w:rPr>
        <w:t>AgNPs</w:t>
      </w:r>
      <w:proofErr w:type="spellEnd"/>
      <w:r w:rsidR="00043177">
        <w:rPr>
          <w:rStyle w:val="ai-insert"/>
          <w:color w:val="000000"/>
        </w:rPr>
        <w:t xml:space="preserve"> exhibited superior </w:t>
      </w:r>
      <w:proofErr w:type="spellStart"/>
      <w:r w:rsidR="00043177">
        <w:rPr>
          <w:rStyle w:val="ai-insert"/>
          <w:color w:val="000000"/>
        </w:rPr>
        <w:t>antibiofilm</w:t>
      </w:r>
      <w:proofErr w:type="spellEnd"/>
      <w:r w:rsidR="00043177">
        <w:rPr>
          <w:rStyle w:val="ai-insert"/>
          <w:color w:val="000000"/>
        </w:rPr>
        <w:t xml:space="preserve"> activity compared to </w:t>
      </w:r>
      <w:proofErr w:type="spellStart"/>
      <w:r w:rsidR="00043177">
        <w:rPr>
          <w:rStyle w:val="ai-insert"/>
          <w:color w:val="000000"/>
        </w:rPr>
        <w:t>FeONPs</w:t>
      </w:r>
      <w:proofErr w:type="spellEnd"/>
      <w:r w:rsidR="00043177">
        <w:rPr>
          <w:rStyle w:val="ai-insert"/>
          <w:color w:val="000000"/>
        </w:rPr>
        <w:t xml:space="preserve">; at 5 µg/mL, </w:t>
      </w:r>
      <w:proofErr w:type="spellStart"/>
      <w:r w:rsidR="00043177">
        <w:rPr>
          <w:rStyle w:val="ai-insert"/>
          <w:color w:val="000000"/>
        </w:rPr>
        <w:t>AgNPs</w:t>
      </w:r>
      <w:proofErr w:type="spellEnd"/>
      <w:r w:rsidR="00043177">
        <w:rPr>
          <w:rStyle w:val="ai-insert"/>
          <w:color w:val="000000"/>
        </w:rPr>
        <w:t xml:space="preserve"> achieved 65.35% inhibition, rising to 92.38% at 100 µg/</w:t>
      </w:r>
      <w:proofErr w:type="spellStart"/>
      <w:r w:rsidR="00043177">
        <w:rPr>
          <w:rStyle w:val="ai-insert"/>
          <w:color w:val="000000"/>
        </w:rPr>
        <w:t>mL.</w:t>
      </w:r>
      <w:proofErr w:type="spellEnd"/>
      <w:r w:rsidR="00043177">
        <w:rPr>
          <w:rStyle w:val="ai-insert"/>
          <w:color w:val="000000"/>
        </w:rPr>
        <w:t xml:space="preserve"> </w:t>
      </w:r>
      <w:proofErr w:type="spellStart"/>
      <w:r w:rsidR="00043177">
        <w:rPr>
          <w:rStyle w:val="ai-insert"/>
          <w:color w:val="000000"/>
        </w:rPr>
        <w:t>FeONPs</w:t>
      </w:r>
      <w:proofErr w:type="spellEnd"/>
      <w:r w:rsidR="00043177">
        <w:rPr>
          <w:rStyle w:val="ai-insert"/>
          <w:color w:val="000000"/>
        </w:rPr>
        <w:t xml:space="preserve"> exhibited significantly lower inhibition, with a maximum of 63.47% at a concentration of 100 µg/</w:t>
      </w:r>
      <w:proofErr w:type="spellStart"/>
      <w:r w:rsidR="00043177">
        <w:rPr>
          <w:rStyle w:val="ai-insert"/>
          <w:color w:val="000000"/>
        </w:rPr>
        <w:t>mL.</w:t>
      </w:r>
      <w:proofErr w:type="spellEnd"/>
      <w:r w:rsidR="00043177">
        <w:rPr>
          <w:rStyle w:val="ai-insert"/>
          <w:color w:val="000000"/>
        </w:rPr>
        <w:t xml:space="preserve"> The minimum biofilm inhibitory concentrations (MBIC) indicated </w:t>
      </w:r>
      <w:proofErr w:type="spellStart"/>
      <w:r w:rsidR="00043177">
        <w:rPr>
          <w:rStyle w:val="ai-insert"/>
          <w:color w:val="000000"/>
        </w:rPr>
        <w:t>AgNPs</w:t>
      </w:r>
      <w:proofErr w:type="spellEnd"/>
      <w:r w:rsidR="00043177">
        <w:rPr>
          <w:rStyle w:val="ai-insert"/>
          <w:color w:val="000000"/>
        </w:rPr>
        <w:t xml:space="preserve"> had an MBIC₅₀ of 5 µg/mL, while </w:t>
      </w:r>
      <w:proofErr w:type="spellStart"/>
      <w:r w:rsidR="00043177">
        <w:rPr>
          <w:rStyle w:val="ai-insert"/>
          <w:color w:val="000000"/>
        </w:rPr>
        <w:t>FeONPs</w:t>
      </w:r>
      <w:proofErr w:type="spellEnd"/>
      <w:r w:rsidR="00043177">
        <w:rPr>
          <w:rStyle w:val="ai-insert"/>
          <w:color w:val="000000"/>
        </w:rPr>
        <w:t xml:space="preserve"> ranged from 40 to 80 µg/mL, highlighting the disparity in efficacy. </w:t>
      </w:r>
      <w:proofErr w:type="spellStart"/>
      <w:r w:rsidR="00043177">
        <w:rPr>
          <w:rStyle w:val="ai-insert"/>
          <w:color w:val="000000"/>
        </w:rPr>
        <w:t>AgNPs</w:t>
      </w:r>
      <w:proofErr w:type="spellEnd"/>
      <w:r w:rsidR="00043177">
        <w:rPr>
          <w:rStyle w:val="ai-insert"/>
          <w:color w:val="000000"/>
        </w:rPr>
        <w:t xml:space="preserve"> demonstrate promising potential as an alternative or adjunctive therapy for preventing and treating CAUTI-associated infections due to their superior antibiofilm properties.</w:t>
      </w:r>
    </w:p>
    <w:p w14:paraId="7B8885A8" w14:textId="731B3A98" w:rsidR="004072D2" w:rsidRPr="00E62FE1" w:rsidRDefault="00700635" w:rsidP="005C7441">
      <w:pPr>
        <w:pStyle w:val="NormalWeb"/>
        <w:spacing w:line="480" w:lineRule="auto"/>
        <w:jc w:val="both"/>
      </w:pPr>
      <w:r>
        <w:t>K</w:t>
      </w:r>
      <w:r w:rsidR="009D5A9D" w:rsidRPr="00E62FE1">
        <w:t>eywords: Silver nanoparticles, Iron oxide nanoparticles, Antibiofilm, Escherichia coli, Catheter-associated urinary tract infections</w:t>
      </w:r>
    </w:p>
    <w:p w14:paraId="17F9884C" w14:textId="6103421D" w:rsidR="002F28BA" w:rsidRPr="00E62FE1" w:rsidRDefault="00D206F3" w:rsidP="005C7441">
      <w:pPr>
        <w:pStyle w:val="Heading2"/>
        <w:spacing w:line="480" w:lineRule="auto"/>
        <w:jc w:val="both"/>
        <w:rPr>
          <w:rFonts w:ascii="Times New Roman" w:hAnsi="Times New Roman" w:cs="Times New Roman"/>
          <w:color w:val="000000"/>
          <w:sz w:val="24"/>
          <w:szCs w:val="24"/>
        </w:rPr>
      </w:pPr>
      <w:r w:rsidRPr="00E62FE1">
        <w:rPr>
          <w:rFonts w:ascii="Times New Roman" w:hAnsi="Times New Roman" w:cs="Times New Roman"/>
          <w:color w:val="000000"/>
          <w:sz w:val="24"/>
          <w:szCs w:val="24"/>
        </w:rPr>
        <w:lastRenderedPageBreak/>
        <w:t>INTRODUCTION</w:t>
      </w:r>
    </w:p>
    <w:p w14:paraId="324973B8" w14:textId="4D0B22A3" w:rsidR="002F28BA" w:rsidRPr="00E62FE1" w:rsidRDefault="002F28BA" w:rsidP="005C7441">
      <w:pPr>
        <w:spacing w:line="480" w:lineRule="auto"/>
        <w:jc w:val="both"/>
        <w:rPr>
          <w:rFonts w:ascii="Times New Roman" w:hAnsi="Times New Roman" w:cs="Times New Roman"/>
          <w:sz w:val="24"/>
          <w:szCs w:val="24"/>
        </w:rPr>
      </w:pPr>
      <w:r w:rsidRPr="00E62FE1">
        <w:rPr>
          <w:rFonts w:ascii="Times New Roman" w:hAnsi="Times New Roman" w:cs="Times New Roman"/>
          <w:color w:val="000000"/>
          <w:sz w:val="24"/>
          <w:szCs w:val="24"/>
        </w:rPr>
        <w:t xml:space="preserve">Biofilms pose a formidable challenge in healthcare, especially in catheter-associated urinary tract infections, where </w:t>
      </w:r>
      <w:r w:rsidRPr="00E62FE1">
        <w:rPr>
          <w:rFonts w:ascii="Times New Roman" w:hAnsi="Times New Roman" w:cs="Times New Roman"/>
          <w:i/>
          <w:iCs/>
          <w:color w:val="000000"/>
          <w:sz w:val="24"/>
          <w:szCs w:val="24"/>
        </w:rPr>
        <w:t>Escherichia coli</w:t>
      </w:r>
      <w:r w:rsidRPr="00E62FE1">
        <w:rPr>
          <w:rFonts w:ascii="Times New Roman" w:hAnsi="Times New Roman" w:cs="Times New Roman"/>
          <w:color w:val="000000"/>
          <w:sz w:val="24"/>
          <w:szCs w:val="24"/>
        </w:rPr>
        <w:t xml:space="preserve"> is notorious for forming highly resilient biofilms </w:t>
      </w:r>
      <w:hyperlink w:anchor="6181f84a6f14557f0a37b7ef531b9053"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Salwiczek</w:t>
        </w:r>
        <w:proofErr w:type="spellEnd"/>
        <w:r w:rsidRPr="00E62FE1">
          <w:rPr>
            <w:rStyle w:val="Hyperlink"/>
            <w:rFonts w:ascii="Times New Roman" w:hAnsi="Times New Roman" w:cs="Times New Roman"/>
            <w:sz w:val="24"/>
            <w:szCs w:val="24"/>
          </w:rPr>
          <w:t xml:space="preserve"> et al., 2013)</w:t>
        </w:r>
      </w:hyperlink>
      <w:r w:rsidRPr="00E62FE1">
        <w:rPr>
          <w:rFonts w:ascii="Times New Roman" w:hAnsi="Times New Roman" w:cs="Times New Roman"/>
          <w:color w:val="000000"/>
          <w:sz w:val="24"/>
          <w:szCs w:val="24"/>
        </w:rPr>
        <w:t xml:space="preserve">. </w:t>
      </w:r>
      <w:r w:rsidR="004D105D" w:rsidRPr="00E62FE1">
        <w:rPr>
          <w:rFonts w:ascii="Times New Roman" w:hAnsi="Times New Roman" w:cs="Times New Roman"/>
          <w:sz w:val="24"/>
          <w:szCs w:val="24"/>
        </w:rPr>
        <w:t xml:space="preserve">Biofilms pose a significant challenge in healthcare-associated infections, particularly CAUTIs, by forming a protective matrix that enhances bacterial persistence, resists antibiotics, and contributes to multidrug resistance </w:t>
      </w:r>
      <w:hyperlink w:anchor="002f951a9717c907e9bd0b491169f784" w:history="1">
        <w:r w:rsidR="004D105D" w:rsidRPr="00E62FE1">
          <w:rPr>
            <w:rStyle w:val="Hyperlink"/>
            <w:rFonts w:ascii="Times New Roman" w:hAnsi="Times New Roman" w:cs="Times New Roman"/>
            <w:sz w:val="24"/>
            <w:szCs w:val="24"/>
          </w:rPr>
          <w:t>(</w:t>
        </w:r>
        <w:proofErr w:type="spellStart"/>
        <w:r w:rsidR="004D105D" w:rsidRPr="00E62FE1">
          <w:rPr>
            <w:rStyle w:val="Hyperlink"/>
            <w:rFonts w:ascii="Times New Roman" w:hAnsi="Times New Roman" w:cs="Times New Roman"/>
            <w:sz w:val="24"/>
            <w:szCs w:val="24"/>
          </w:rPr>
          <w:t>Swolana</w:t>
        </w:r>
        <w:proofErr w:type="spellEnd"/>
        <w:r w:rsidR="004D105D" w:rsidRPr="00E62FE1">
          <w:rPr>
            <w:rStyle w:val="Hyperlink"/>
            <w:rFonts w:ascii="Times New Roman" w:hAnsi="Times New Roman" w:cs="Times New Roman"/>
            <w:sz w:val="24"/>
            <w:szCs w:val="24"/>
          </w:rPr>
          <w:t xml:space="preserve"> et al., 2020</w:t>
        </w:r>
      </w:hyperlink>
      <w:r w:rsidR="004D105D" w:rsidRPr="00E62FE1">
        <w:rPr>
          <w:rFonts w:ascii="Times New Roman" w:hAnsi="Times New Roman" w:cs="Times New Roman"/>
          <w:color w:val="000000"/>
          <w:sz w:val="24"/>
          <w:szCs w:val="24"/>
        </w:rPr>
        <w:t xml:space="preserve">; </w:t>
      </w:r>
      <w:r w:rsidRPr="00E62FE1">
        <w:rPr>
          <w:rFonts w:ascii="Times New Roman" w:hAnsi="Times New Roman" w:cs="Times New Roman"/>
          <w:color w:val="000000"/>
          <w:sz w:val="24"/>
          <w:szCs w:val="24"/>
        </w:rPr>
        <w:t>El-</w:t>
      </w:r>
      <w:proofErr w:type="spellStart"/>
      <w:r w:rsidRPr="00E62FE1">
        <w:rPr>
          <w:rFonts w:ascii="Times New Roman" w:hAnsi="Times New Roman" w:cs="Times New Roman"/>
          <w:color w:val="000000"/>
          <w:sz w:val="24"/>
          <w:szCs w:val="24"/>
        </w:rPr>
        <w:t>Saadony</w:t>
      </w:r>
      <w:proofErr w:type="spellEnd"/>
      <w:r w:rsidRPr="00E62FE1">
        <w:rPr>
          <w:rFonts w:ascii="Times New Roman" w:hAnsi="Times New Roman" w:cs="Times New Roman"/>
          <w:color w:val="000000"/>
          <w:sz w:val="24"/>
          <w:szCs w:val="24"/>
        </w:rPr>
        <w:t xml:space="preserve"> et al., 2025). </w:t>
      </w:r>
      <w:r w:rsidR="00EA5690" w:rsidRPr="00E62FE1">
        <w:rPr>
          <w:rFonts w:ascii="Times New Roman" w:hAnsi="Times New Roman" w:cs="Times New Roman"/>
          <w:sz w:val="24"/>
          <w:szCs w:val="24"/>
        </w:rPr>
        <w:t xml:space="preserve"> </w:t>
      </w:r>
      <w:r w:rsidRPr="00E62FE1">
        <w:rPr>
          <w:rFonts w:ascii="Times New Roman" w:hAnsi="Times New Roman" w:cs="Times New Roman"/>
          <w:color w:val="000000"/>
          <w:sz w:val="24"/>
          <w:szCs w:val="24"/>
        </w:rPr>
        <w:t xml:space="preserve">Consequently, novel therapeutic strategies, such as the deployment of engineered nanoparticles, are crucial for disrupting biofilm architectures and resensitizing bacterial populations to conventional antimicrobial treatments. </w:t>
      </w:r>
      <w:r w:rsidR="00070BE9" w:rsidRPr="00E62FE1">
        <w:rPr>
          <w:rFonts w:ascii="Times New Roman" w:hAnsi="Times New Roman" w:cs="Times New Roman"/>
          <w:sz w:val="24"/>
          <w:szCs w:val="24"/>
        </w:rPr>
        <w:t xml:space="preserve">The ability of </w:t>
      </w:r>
      <w:proofErr w:type="spellStart"/>
      <w:r w:rsidR="00070BE9" w:rsidRPr="00E62FE1">
        <w:rPr>
          <w:rFonts w:ascii="Times New Roman" w:hAnsi="Times New Roman" w:cs="Times New Roman"/>
          <w:sz w:val="24"/>
          <w:szCs w:val="24"/>
        </w:rPr>
        <w:t>uropathogens</w:t>
      </w:r>
      <w:proofErr w:type="spellEnd"/>
      <w:r w:rsidR="00070BE9" w:rsidRPr="00E62FE1">
        <w:rPr>
          <w:rFonts w:ascii="Times New Roman" w:hAnsi="Times New Roman" w:cs="Times New Roman"/>
          <w:sz w:val="24"/>
          <w:szCs w:val="24"/>
        </w:rPr>
        <w:t xml:space="preserve"> to form biofilms on catheters contributes to the chronic nature of CAUTIs, limiting treatment efficacy and conferring</w:t>
      </w:r>
      <w:r w:rsidRPr="00E62FE1">
        <w:rPr>
          <w:rFonts w:ascii="Times New Roman" w:hAnsi="Times New Roman" w:cs="Times New Roman"/>
          <w:color w:val="000000"/>
          <w:sz w:val="24"/>
          <w:szCs w:val="24"/>
        </w:rPr>
        <w:t xml:space="preserve"> resistance to conventional antimicrobial agents and host immune responses </w:t>
      </w:r>
      <w:hyperlink w:anchor="b80c48c970535bf78869439540e6962e" w:history="1">
        <w:r w:rsidRPr="00E62FE1">
          <w:rPr>
            <w:rStyle w:val="Hyperlink"/>
            <w:rFonts w:ascii="Times New Roman" w:hAnsi="Times New Roman" w:cs="Times New Roman"/>
            <w:sz w:val="24"/>
            <w:szCs w:val="24"/>
          </w:rPr>
          <w:t>(Sánchez et al., 2021)</w:t>
        </w:r>
      </w:hyperlink>
      <w:r w:rsidRPr="00E62FE1">
        <w:rPr>
          <w:rFonts w:ascii="Times New Roman" w:hAnsi="Times New Roman" w:cs="Times New Roman"/>
          <w:color w:val="000000"/>
          <w:sz w:val="24"/>
          <w:szCs w:val="24"/>
        </w:rPr>
        <w:t xml:space="preserve">. Consequently, the search for alternative antimicrobial strategies, particularly those targeting biofilm eradication, has become crucial to combat recurrent urinary tract infections caused by multidrug-resistant, biofilm-forming </w:t>
      </w:r>
      <w:r w:rsidRPr="00E62FE1">
        <w:rPr>
          <w:rFonts w:ascii="Times New Roman" w:hAnsi="Times New Roman" w:cs="Times New Roman"/>
          <w:i/>
          <w:iCs/>
          <w:color w:val="000000"/>
          <w:sz w:val="24"/>
          <w:szCs w:val="24"/>
        </w:rPr>
        <w:t>E. coli</w:t>
      </w:r>
      <w:r w:rsidRPr="00E62FE1">
        <w:rPr>
          <w:rFonts w:ascii="Times New Roman" w:hAnsi="Times New Roman" w:cs="Times New Roman"/>
          <w:color w:val="000000"/>
          <w:sz w:val="24"/>
          <w:szCs w:val="24"/>
        </w:rPr>
        <w:t xml:space="preserve"> </w:t>
      </w:r>
      <w:hyperlink w:anchor="1af44a6e8b146a8f3b1732be02164375" w:history="1">
        <w:r w:rsidRPr="00E62FE1">
          <w:rPr>
            <w:rStyle w:val="Hyperlink"/>
            <w:rFonts w:ascii="Times New Roman" w:hAnsi="Times New Roman" w:cs="Times New Roman"/>
            <w:sz w:val="24"/>
            <w:szCs w:val="24"/>
          </w:rPr>
          <w:t>(Jubair et al., 2022)</w:t>
        </w:r>
      </w:hyperlink>
      <w:r w:rsidRPr="00E62FE1">
        <w:rPr>
          <w:rFonts w:ascii="Times New Roman" w:hAnsi="Times New Roman" w:cs="Times New Roman"/>
          <w:color w:val="000000"/>
          <w:sz w:val="24"/>
          <w:szCs w:val="24"/>
        </w:rPr>
        <w:t xml:space="preserve">. Nanoparticles are emerging as promising candidates for this purpose, given their unique </w:t>
      </w:r>
      <w:r w:rsidR="008907FC" w:rsidRPr="00E62FE1">
        <w:rPr>
          <w:rFonts w:ascii="Times New Roman" w:hAnsi="Times New Roman" w:cs="Times New Roman"/>
          <w:color w:val="000000"/>
          <w:sz w:val="24"/>
          <w:szCs w:val="24"/>
        </w:rPr>
        <w:t>physicochemical</w:t>
      </w:r>
      <w:r w:rsidRPr="00E62FE1">
        <w:rPr>
          <w:rFonts w:ascii="Times New Roman" w:hAnsi="Times New Roman" w:cs="Times New Roman"/>
          <w:color w:val="000000"/>
          <w:sz w:val="24"/>
          <w:szCs w:val="24"/>
        </w:rPr>
        <w:t xml:space="preserve"> properties that enable novel mechanisms of action against bacteria and their biofilms </w:t>
      </w:r>
      <w:hyperlink w:anchor="4aaee6442c64068cf7bdff919e12e1c3" w:history="1">
        <w:r w:rsidRPr="00E62FE1">
          <w:rPr>
            <w:rStyle w:val="Hyperlink"/>
            <w:rFonts w:ascii="Times New Roman" w:hAnsi="Times New Roman" w:cs="Times New Roman"/>
            <w:sz w:val="24"/>
            <w:szCs w:val="24"/>
          </w:rPr>
          <w:t>(Mancuso et al., 2024; Thomas et al., 2014)</w:t>
        </w:r>
      </w:hyperlink>
      <w:r w:rsidRPr="00E62FE1">
        <w:rPr>
          <w:rFonts w:ascii="Times New Roman" w:hAnsi="Times New Roman" w:cs="Times New Roman"/>
          <w:color w:val="000000"/>
          <w:sz w:val="24"/>
          <w:szCs w:val="24"/>
        </w:rPr>
        <w:t>.</w:t>
      </w:r>
    </w:p>
    <w:p w14:paraId="779F3E37" w14:textId="3507A03B" w:rsidR="002F28BA" w:rsidRPr="00E62FE1" w:rsidRDefault="00070BE9" w:rsidP="005C7441">
      <w:pPr>
        <w:pStyle w:val="Heading3"/>
        <w:spacing w:line="480" w:lineRule="auto"/>
        <w:jc w:val="both"/>
        <w:rPr>
          <w:b w:val="0"/>
          <w:bCs w:val="0"/>
          <w:sz w:val="24"/>
          <w:szCs w:val="24"/>
        </w:rPr>
      </w:pPr>
      <w:r w:rsidRPr="00E62FE1">
        <w:rPr>
          <w:b w:val="0"/>
          <w:bCs w:val="0"/>
          <w:color w:val="000000"/>
          <w:sz w:val="24"/>
          <w:szCs w:val="24"/>
        </w:rPr>
        <w:t>The</w:t>
      </w:r>
      <w:r w:rsidR="002F28BA" w:rsidRPr="00E62FE1">
        <w:rPr>
          <w:b w:val="0"/>
          <w:bCs w:val="0"/>
          <w:color w:val="000000"/>
          <w:sz w:val="24"/>
          <w:szCs w:val="24"/>
        </w:rPr>
        <w:t xml:space="preserve"> limitations of conventional antibiotics against these structured communities have necessitated the exploration of novel antimicrobial agents </w:t>
      </w:r>
      <w:hyperlink w:anchor="3661d8d50345b59dbfd6e09d09356823" w:history="1">
        <w:r w:rsidR="002F28BA" w:rsidRPr="00E62FE1">
          <w:rPr>
            <w:rStyle w:val="Hyperlink"/>
            <w:b w:val="0"/>
            <w:bCs w:val="0"/>
            <w:sz w:val="24"/>
            <w:szCs w:val="24"/>
          </w:rPr>
          <w:t>(Patra et al., 2024)</w:t>
        </w:r>
      </w:hyperlink>
      <w:r w:rsidR="002F28BA" w:rsidRPr="00E62FE1">
        <w:rPr>
          <w:b w:val="0"/>
          <w:bCs w:val="0"/>
          <w:color w:val="000000"/>
          <w:sz w:val="24"/>
          <w:szCs w:val="24"/>
        </w:rPr>
        <w:t xml:space="preserve">. This growing concern over multidrug-resistant bacterial strains and biofilm-associated infections has led to increased interest in nanoparticle-based materials as an alternative </w:t>
      </w:r>
      <w:r w:rsidR="008907FC" w:rsidRPr="00E62FE1">
        <w:rPr>
          <w:b w:val="0"/>
          <w:bCs w:val="0"/>
          <w:color w:val="000000"/>
          <w:sz w:val="24"/>
          <w:szCs w:val="24"/>
        </w:rPr>
        <w:t>approach to antimicrobial therapy</w:t>
      </w:r>
      <w:r w:rsidR="002F28BA" w:rsidRPr="00E62FE1">
        <w:rPr>
          <w:b w:val="0"/>
          <w:bCs w:val="0"/>
          <w:color w:val="000000"/>
          <w:sz w:val="24"/>
          <w:szCs w:val="24"/>
        </w:rPr>
        <w:t xml:space="preserve"> </w:t>
      </w:r>
      <w:hyperlink w:anchor="d58b5c9dedcd255ebed74ac16be00a79" w:history="1">
        <w:r w:rsidR="002F28BA" w:rsidRPr="00E62FE1">
          <w:rPr>
            <w:rStyle w:val="Hyperlink"/>
            <w:b w:val="0"/>
            <w:bCs w:val="0"/>
            <w:sz w:val="24"/>
            <w:szCs w:val="24"/>
          </w:rPr>
          <w:t>(Beyth et al., 2015)</w:t>
        </w:r>
      </w:hyperlink>
      <w:r w:rsidR="002F28BA" w:rsidRPr="00E62FE1">
        <w:rPr>
          <w:b w:val="0"/>
          <w:bCs w:val="0"/>
          <w:color w:val="000000"/>
          <w:sz w:val="24"/>
          <w:szCs w:val="24"/>
        </w:rPr>
        <w:t xml:space="preserve">. Specifically, silver nanoparticles and iron oxide nanoparticles have garnered considerable attention due to their established antimicrobial properties. Nanoparticles' distinct size and physical characteristics enable them to target biofilms and treat resistant pathogens </w:t>
      </w:r>
      <w:hyperlink w:anchor="4a45f519c3f42237efa38b12134f0254" w:history="1">
        <w:r w:rsidR="002F28BA" w:rsidRPr="00E62FE1">
          <w:rPr>
            <w:rStyle w:val="Hyperlink"/>
            <w:b w:val="0"/>
            <w:bCs w:val="0"/>
            <w:sz w:val="24"/>
            <w:szCs w:val="24"/>
          </w:rPr>
          <w:t>(Hetta et al., 2023)</w:t>
        </w:r>
      </w:hyperlink>
      <w:r w:rsidR="002F28BA" w:rsidRPr="00E62FE1">
        <w:rPr>
          <w:b w:val="0"/>
          <w:bCs w:val="0"/>
          <w:color w:val="000000"/>
          <w:sz w:val="24"/>
          <w:szCs w:val="24"/>
        </w:rPr>
        <w:t xml:space="preserve">. </w:t>
      </w:r>
      <w:r w:rsidR="002F28BA" w:rsidRPr="00E62FE1">
        <w:rPr>
          <w:b w:val="0"/>
          <w:bCs w:val="0"/>
          <w:color w:val="000000"/>
          <w:sz w:val="24"/>
          <w:szCs w:val="24"/>
        </w:rPr>
        <w:lastRenderedPageBreak/>
        <w:t>Moreover, the incorporation of antimicrobial agents</w:t>
      </w:r>
      <w:r w:rsidR="00994E13" w:rsidRPr="00E62FE1">
        <w:rPr>
          <w:b w:val="0"/>
          <w:bCs w:val="0"/>
          <w:color w:val="000000"/>
          <w:sz w:val="24"/>
          <w:szCs w:val="24"/>
        </w:rPr>
        <w:t>, such as nanoparticles,</w:t>
      </w:r>
      <w:r w:rsidR="002F28BA" w:rsidRPr="00E62FE1">
        <w:rPr>
          <w:b w:val="0"/>
          <w:bCs w:val="0"/>
          <w:color w:val="000000"/>
          <w:sz w:val="24"/>
          <w:szCs w:val="24"/>
        </w:rPr>
        <w:t xml:space="preserve"> into the catheter itself presents a promising solution for CAUTI </w:t>
      </w:r>
      <w:hyperlink w:anchor="957ae4e3189f7d8997ddefe82dd8729f" w:history="1">
        <w:r w:rsidR="002F28BA" w:rsidRPr="00E62FE1">
          <w:rPr>
            <w:rStyle w:val="Hyperlink"/>
            <w:b w:val="0"/>
            <w:bCs w:val="0"/>
            <w:sz w:val="24"/>
            <w:szCs w:val="24"/>
          </w:rPr>
          <w:t>(</w:t>
        </w:r>
        <w:proofErr w:type="spellStart"/>
        <w:r w:rsidR="002F28BA" w:rsidRPr="00E62FE1">
          <w:rPr>
            <w:rStyle w:val="Hyperlink"/>
            <w:b w:val="0"/>
            <w:bCs w:val="0"/>
            <w:sz w:val="24"/>
            <w:szCs w:val="24"/>
          </w:rPr>
          <w:t>Crintea</w:t>
        </w:r>
        <w:proofErr w:type="spellEnd"/>
        <w:r w:rsidR="002F28BA" w:rsidRPr="00E62FE1">
          <w:rPr>
            <w:rStyle w:val="Hyperlink"/>
            <w:b w:val="0"/>
            <w:bCs w:val="0"/>
            <w:sz w:val="24"/>
            <w:szCs w:val="24"/>
          </w:rPr>
          <w:t xml:space="preserve"> et al., 2023)</w:t>
        </w:r>
      </w:hyperlink>
      <w:r w:rsidR="002F28BA" w:rsidRPr="00E62FE1">
        <w:rPr>
          <w:b w:val="0"/>
          <w:bCs w:val="0"/>
          <w:color w:val="000000"/>
          <w:sz w:val="24"/>
          <w:szCs w:val="24"/>
        </w:rPr>
        <w:t>.</w:t>
      </w:r>
    </w:p>
    <w:p w14:paraId="1B9CDFB8" w14:textId="469C80CB" w:rsidR="002F28BA" w:rsidRPr="00E62FE1" w:rsidRDefault="002F28BA" w:rsidP="005C7441">
      <w:pPr>
        <w:spacing w:line="480" w:lineRule="auto"/>
        <w:jc w:val="both"/>
        <w:rPr>
          <w:rFonts w:ascii="Times New Roman" w:hAnsi="Times New Roman" w:cs="Times New Roman"/>
          <w:sz w:val="24"/>
          <w:szCs w:val="24"/>
        </w:rPr>
      </w:pPr>
      <w:r w:rsidRPr="00E62FE1">
        <w:rPr>
          <w:rFonts w:ascii="Times New Roman" w:hAnsi="Times New Roman" w:cs="Times New Roman"/>
          <w:color w:val="000000"/>
          <w:sz w:val="24"/>
          <w:szCs w:val="24"/>
        </w:rPr>
        <w:t xml:space="preserve">Nanoparticles have demonstrated significant potential as antibiofilm agents due to their unique properties that allow for enhanced penetration into biofilm matrices and multifaceted mechanisms of action against embedded microorganisms </w:t>
      </w:r>
      <w:hyperlink w:anchor="f6fc8c7929747d06641cdafea40f45dd" w:history="1">
        <w:r w:rsidRPr="00E62FE1">
          <w:rPr>
            <w:rStyle w:val="Hyperlink"/>
            <w:rFonts w:ascii="Times New Roman" w:hAnsi="Times New Roman" w:cs="Times New Roman"/>
            <w:sz w:val="24"/>
            <w:szCs w:val="24"/>
          </w:rPr>
          <w:t>(Hetta et al., 2023; Pinto et al., 2019)</w:t>
        </w:r>
      </w:hyperlink>
      <w:r w:rsidRPr="00E62FE1">
        <w:rPr>
          <w:rFonts w:ascii="Times New Roman" w:hAnsi="Times New Roman" w:cs="Times New Roman"/>
          <w:color w:val="000000"/>
          <w:sz w:val="24"/>
          <w:szCs w:val="24"/>
        </w:rPr>
        <w:t xml:space="preserve">. This includes disrupting cell membranes, generating reactive oxygen species, and interfering with essential bacterial processes, thereby reducing the likelihood of resistance development compared to conventional antibiotics </w:t>
      </w:r>
      <w:hyperlink w:anchor="b80c48c970535bf78869439540e6962e" w:history="1">
        <w:r w:rsidRPr="00E62FE1">
          <w:rPr>
            <w:rStyle w:val="Hyperlink"/>
            <w:rFonts w:ascii="Times New Roman" w:hAnsi="Times New Roman" w:cs="Times New Roman"/>
            <w:sz w:val="24"/>
            <w:szCs w:val="24"/>
          </w:rPr>
          <w:t>(Sánchez et al., 2021)</w:t>
        </w:r>
      </w:hyperlink>
      <w:r w:rsidRPr="00E62FE1">
        <w:rPr>
          <w:rFonts w:ascii="Times New Roman" w:hAnsi="Times New Roman" w:cs="Times New Roman"/>
          <w:color w:val="000000"/>
          <w:sz w:val="24"/>
          <w:szCs w:val="24"/>
        </w:rPr>
        <w:t xml:space="preserve">. Their small size also facilitates localized drug delivery and sustained release, offering a more effective approach to combat persistent infections </w:t>
      </w:r>
      <w:hyperlink w:anchor="a8624cc241a92ceaa232ec8a940d483d"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AlQurashi</w:t>
        </w:r>
        <w:proofErr w:type="spellEnd"/>
        <w:r w:rsidRPr="00E62FE1">
          <w:rPr>
            <w:rStyle w:val="Hyperlink"/>
            <w:rFonts w:ascii="Times New Roman" w:hAnsi="Times New Roman" w:cs="Times New Roman"/>
            <w:sz w:val="24"/>
            <w:szCs w:val="24"/>
          </w:rPr>
          <w:t xml:space="preserve"> et al., 2025)</w:t>
        </w:r>
      </w:hyperlink>
      <w:r w:rsidRPr="00E62FE1">
        <w:rPr>
          <w:rFonts w:ascii="Times New Roman" w:hAnsi="Times New Roman" w:cs="Times New Roman"/>
          <w:color w:val="000000"/>
          <w:sz w:val="24"/>
          <w:szCs w:val="24"/>
        </w:rPr>
        <w:t xml:space="preserve">. </w:t>
      </w:r>
      <w:r w:rsidR="00994E13" w:rsidRPr="00E62FE1">
        <w:rPr>
          <w:rFonts w:ascii="Times New Roman" w:hAnsi="Times New Roman" w:cs="Times New Roman"/>
          <w:sz w:val="24"/>
          <w:szCs w:val="24"/>
        </w:rPr>
        <w:t>Given these advantages, nanoparticles offer a promising strategy against biofilm-encased, drug-resistant bacteria</w:t>
      </w:r>
      <w:r w:rsidRPr="00E62FE1">
        <w:rPr>
          <w:rFonts w:ascii="Times New Roman" w:hAnsi="Times New Roman" w:cs="Times New Roman"/>
          <w:color w:val="000000"/>
          <w:sz w:val="24"/>
          <w:szCs w:val="24"/>
        </w:rPr>
        <w:t xml:space="preserve">. This </w:t>
      </w:r>
      <w:r w:rsidR="00EA5690" w:rsidRPr="00E62FE1">
        <w:rPr>
          <w:rFonts w:ascii="Times New Roman" w:hAnsi="Times New Roman" w:cs="Times New Roman"/>
          <w:color w:val="000000"/>
          <w:sz w:val="24"/>
          <w:szCs w:val="24"/>
        </w:rPr>
        <w:t xml:space="preserve">enables the improved delivery of active compounds to bacterial cells, thereby </w:t>
      </w:r>
      <w:r w:rsidRPr="00E62FE1">
        <w:rPr>
          <w:rFonts w:ascii="Times New Roman" w:hAnsi="Times New Roman" w:cs="Times New Roman"/>
          <w:color w:val="000000"/>
          <w:sz w:val="24"/>
          <w:szCs w:val="24"/>
        </w:rPr>
        <w:t xml:space="preserve">significantly enhancing the efficacy of antibiofilm treatments </w:t>
      </w:r>
      <w:hyperlink w:anchor="5541c1b8134bb97b44f01177414de4de" w:history="1">
        <w:r w:rsidRPr="00E62FE1">
          <w:rPr>
            <w:rStyle w:val="Hyperlink"/>
            <w:rFonts w:ascii="Times New Roman" w:hAnsi="Times New Roman" w:cs="Times New Roman"/>
            <w:sz w:val="24"/>
            <w:szCs w:val="24"/>
          </w:rPr>
          <w:t>(Iaconis et al., 2024)</w:t>
        </w:r>
      </w:hyperlink>
      <w:r w:rsidRPr="00E62FE1">
        <w:rPr>
          <w:rFonts w:ascii="Times New Roman" w:hAnsi="Times New Roman" w:cs="Times New Roman"/>
          <w:color w:val="000000"/>
          <w:sz w:val="24"/>
          <w:szCs w:val="24"/>
        </w:rPr>
        <w:t xml:space="preserve">. Given these advantages and their ability to overcome barriers like biofilm resistance, nanoparticles present a viable strategy for combating the inherent resistance of biofilm-encased bacteria to conventional antimicrobial treatments </w:t>
      </w:r>
      <w:hyperlink w:anchor="ae88a2a97d55d3c1234863100ec5cd9d" w:history="1">
        <w:r w:rsidRPr="00E62FE1">
          <w:rPr>
            <w:rStyle w:val="Hyperlink"/>
            <w:rFonts w:ascii="Times New Roman" w:hAnsi="Times New Roman" w:cs="Times New Roman"/>
            <w:sz w:val="24"/>
            <w:szCs w:val="24"/>
          </w:rPr>
          <w:t>(</w:t>
        </w:r>
        <w:proofErr w:type="spellStart"/>
        <w:r w:rsidRPr="00E62FE1">
          <w:rPr>
            <w:rStyle w:val="Hyperlink"/>
            <w:rFonts w:ascii="Times New Roman" w:hAnsi="Times New Roman" w:cs="Times New Roman"/>
            <w:sz w:val="24"/>
            <w:szCs w:val="24"/>
          </w:rPr>
          <w:t>AlQurashi</w:t>
        </w:r>
        <w:proofErr w:type="spellEnd"/>
        <w:r w:rsidRPr="00E62FE1">
          <w:rPr>
            <w:rStyle w:val="Hyperlink"/>
            <w:rFonts w:ascii="Times New Roman" w:hAnsi="Times New Roman" w:cs="Times New Roman"/>
            <w:sz w:val="24"/>
            <w:szCs w:val="24"/>
          </w:rPr>
          <w:t xml:space="preserve"> et al., 2025; Xie et al., 2025)</w:t>
        </w:r>
      </w:hyperlink>
      <w:r w:rsidRPr="00E62FE1">
        <w:rPr>
          <w:rFonts w:ascii="Times New Roman" w:hAnsi="Times New Roman" w:cs="Times New Roman"/>
          <w:color w:val="000000"/>
          <w:sz w:val="24"/>
          <w:szCs w:val="24"/>
        </w:rPr>
        <w:t>.</w:t>
      </w:r>
    </w:p>
    <w:p w14:paraId="602BFD33" w14:textId="1C874C96" w:rsidR="002F28BA" w:rsidRPr="00E62FE1" w:rsidRDefault="00893BA9"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Numerous mechanisms, such as the disruption of bacterial cell membranes, the production of reactive oxygen species, and the disruption of metabolic pathways, all contribute to the powerful antibacterial and antibiofilm properties of silver nanoparticles, which have attracted a lot of </w:t>
      </w:r>
      <w:proofErr w:type="spellStart"/>
      <w:r w:rsidRPr="00E62FE1">
        <w:rPr>
          <w:rFonts w:ascii="Times New Roman" w:eastAsia="Times New Roman" w:hAnsi="Times New Roman" w:cs="Times New Roman"/>
          <w:sz w:val="24"/>
          <w:szCs w:val="24"/>
        </w:rPr>
        <w:t>attention.This</w:t>
      </w:r>
      <w:proofErr w:type="spellEnd"/>
      <w:r w:rsidRPr="00E62FE1">
        <w:rPr>
          <w:rFonts w:ascii="Times New Roman" w:eastAsia="Times New Roman" w:hAnsi="Times New Roman" w:cs="Times New Roman"/>
          <w:sz w:val="24"/>
          <w:szCs w:val="24"/>
        </w:rPr>
        <w:t xml:space="preserve"> multifaceted </w:t>
      </w:r>
      <w:r w:rsidR="00713C20">
        <w:rPr>
          <w:rFonts w:ascii="Times New Roman" w:eastAsia="Times New Roman" w:hAnsi="Times New Roman" w:cs="Times New Roman"/>
          <w:sz w:val="24"/>
          <w:szCs w:val="24"/>
        </w:rPr>
        <w:t>approach reduces the emergence of bacterial resistance, a significant advantage over conventional antibiotics, particularly in combating</w:t>
      </w:r>
      <w:r w:rsidRPr="00E62FE1">
        <w:rPr>
          <w:rFonts w:ascii="Times New Roman" w:eastAsia="Times New Roman" w:hAnsi="Times New Roman" w:cs="Times New Roman"/>
          <w:sz w:val="24"/>
          <w:szCs w:val="24"/>
        </w:rPr>
        <w:t xml:space="preserve"> drug-resistant pathogens such as E. coli. </w:t>
      </w:r>
      <w:hyperlink w:anchor="a735a95d35483bf203846c32354edad9" w:history="1">
        <w:r w:rsidR="002F28BA" w:rsidRPr="00E62FE1">
          <w:rPr>
            <w:rStyle w:val="Hyperlink"/>
            <w:rFonts w:ascii="Times New Roman" w:hAnsi="Times New Roman" w:cs="Times New Roman"/>
            <w:sz w:val="24"/>
            <w:szCs w:val="24"/>
          </w:rPr>
          <w:t>(Kumar et al., 2023)</w:t>
        </w:r>
      </w:hyperlink>
      <w:r w:rsidR="002F28BA" w:rsidRPr="00E62FE1">
        <w:rPr>
          <w:rFonts w:ascii="Times New Roman" w:hAnsi="Times New Roman" w:cs="Times New Roman"/>
          <w:color w:val="000000"/>
          <w:sz w:val="24"/>
          <w:szCs w:val="24"/>
        </w:rPr>
        <w:t xml:space="preserve">. </w:t>
      </w:r>
      <w:r w:rsidRPr="00E62FE1">
        <w:rPr>
          <w:rFonts w:ascii="Times New Roman" w:eastAsia="Times New Roman" w:hAnsi="Times New Roman" w:cs="Times New Roman"/>
          <w:sz w:val="24"/>
          <w:szCs w:val="24"/>
        </w:rPr>
        <w:t xml:space="preserve">It is important to note that the antibacterial activity of silver nanoparticles depends on their shape. Some shapes work better against Gram-negative bacteria like </w:t>
      </w:r>
      <w:r w:rsidRPr="00E62FE1">
        <w:rPr>
          <w:rFonts w:ascii="Times New Roman" w:eastAsia="Times New Roman" w:hAnsi="Times New Roman" w:cs="Times New Roman"/>
          <w:sz w:val="24"/>
          <w:szCs w:val="24"/>
        </w:rPr>
        <w:lastRenderedPageBreak/>
        <w:t xml:space="preserve">Escherichia coli. </w:t>
      </w:r>
      <w:hyperlink w:anchor="48aa6923c9704d424e16bedb463c8290" w:history="1">
        <w:r w:rsidR="002F28BA" w:rsidRPr="00E62FE1">
          <w:rPr>
            <w:rStyle w:val="Hyperlink"/>
            <w:rFonts w:ascii="Times New Roman" w:hAnsi="Times New Roman" w:cs="Times New Roman"/>
            <w:sz w:val="24"/>
            <w:szCs w:val="24"/>
          </w:rPr>
          <w:t>(Casals et al., 2025)</w:t>
        </w:r>
      </w:hyperlink>
      <w:r w:rsidR="002F28BA" w:rsidRPr="00E62FE1">
        <w:rPr>
          <w:rFonts w:ascii="Times New Roman" w:hAnsi="Times New Roman" w:cs="Times New Roman"/>
          <w:color w:val="000000"/>
          <w:sz w:val="24"/>
          <w:szCs w:val="24"/>
        </w:rPr>
        <w:t xml:space="preserve">  For instance, studies have demonstrated that silver nanoparticles </w:t>
      </w:r>
      <w:r w:rsidR="00EA5690" w:rsidRPr="00E62FE1">
        <w:rPr>
          <w:rFonts w:ascii="Times New Roman" w:hAnsi="Times New Roman" w:cs="Times New Roman"/>
          <w:sz w:val="24"/>
          <w:szCs w:val="24"/>
        </w:rPr>
        <w:t xml:space="preserve">effectively inhibit this common </w:t>
      </w:r>
      <w:proofErr w:type="spellStart"/>
      <w:r w:rsidR="00EA5690" w:rsidRPr="00E62FE1">
        <w:rPr>
          <w:rFonts w:ascii="Times New Roman" w:hAnsi="Times New Roman" w:cs="Times New Roman"/>
          <w:sz w:val="24"/>
          <w:szCs w:val="24"/>
        </w:rPr>
        <w:t>uropathogen</w:t>
      </w:r>
      <w:proofErr w:type="spellEnd"/>
      <w:r w:rsidR="00EA5690" w:rsidRPr="00E62FE1">
        <w:rPr>
          <w:rFonts w:ascii="Times New Roman" w:hAnsi="Times New Roman" w:cs="Times New Roman"/>
          <w:sz w:val="24"/>
          <w:szCs w:val="24"/>
        </w:rPr>
        <w:t xml:space="preserve"> even at low concentrations </w:t>
      </w:r>
      <w:hyperlink w:anchor="97c7ec65652b631edd24cd8ad2d32f3d" w:history="1">
        <w:r w:rsidR="002F28BA" w:rsidRPr="00E62FE1">
          <w:rPr>
            <w:rStyle w:val="Hyperlink"/>
            <w:rFonts w:ascii="Times New Roman" w:hAnsi="Times New Roman" w:cs="Times New Roman"/>
            <w:sz w:val="24"/>
            <w:szCs w:val="24"/>
          </w:rPr>
          <w:t xml:space="preserve">(Kolte et al., </w:t>
        </w:r>
        <w:r w:rsidR="00713C20">
          <w:rPr>
            <w:rStyle w:val="Hyperlink"/>
            <w:rFonts w:ascii="Times New Roman" w:hAnsi="Times New Roman" w:cs="Times New Roman"/>
            <w:sz w:val="24"/>
            <w:szCs w:val="24"/>
          </w:rPr>
          <w:t>2017</w:t>
        </w:r>
        <w:r w:rsidR="002F28BA" w:rsidRPr="00E62FE1">
          <w:rPr>
            <w:rStyle w:val="Hyperlink"/>
            <w:rFonts w:ascii="Times New Roman" w:hAnsi="Times New Roman" w:cs="Times New Roman"/>
            <w:sz w:val="24"/>
            <w:szCs w:val="24"/>
          </w:rPr>
          <w:t>.)</w:t>
        </w:r>
      </w:hyperlink>
      <w:r w:rsidR="002F28BA" w:rsidRPr="00E62FE1">
        <w:rPr>
          <w:rFonts w:ascii="Times New Roman" w:hAnsi="Times New Roman" w:cs="Times New Roman"/>
          <w:color w:val="000000"/>
          <w:sz w:val="24"/>
          <w:szCs w:val="24"/>
        </w:rPr>
        <w:t>, by attaching to the surface of the cell membrane</w:t>
      </w:r>
      <w:r w:rsidR="00713C20">
        <w:rPr>
          <w:rFonts w:ascii="Times New Roman" w:hAnsi="Times New Roman" w:cs="Times New Roman"/>
          <w:color w:val="000000"/>
          <w:sz w:val="24"/>
          <w:szCs w:val="24"/>
        </w:rPr>
        <w:t>, disturbing permeability and respiration functions of the cell (</w:t>
      </w:r>
      <w:proofErr w:type="spellStart"/>
      <w:r w:rsidR="00713C20">
        <w:rPr>
          <w:rFonts w:ascii="Times New Roman" w:hAnsi="Times New Roman" w:cs="Times New Roman"/>
          <w:color w:val="000000"/>
          <w:sz w:val="24"/>
          <w:szCs w:val="24"/>
        </w:rPr>
        <w:t>AlQurashi</w:t>
      </w:r>
      <w:proofErr w:type="spellEnd"/>
      <w:r w:rsidR="00713C20">
        <w:rPr>
          <w:rFonts w:ascii="Times New Roman" w:hAnsi="Times New Roman" w:cs="Times New Roman"/>
          <w:color w:val="000000"/>
          <w:sz w:val="24"/>
          <w:szCs w:val="24"/>
        </w:rPr>
        <w:t xml:space="preserve"> et al., 2025), </w:t>
      </w:r>
      <w:r w:rsidR="002F28BA" w:rsidRPr="00E62FE1">
        <w:rPr>
          <w:rFonts w:ascii="Times New Roman" w:hAnsi="Times New Roman" w:cs="Times New Roman"/>
          <w:color w:val="000000"/>
          <w:sz w:val="24"/>
          <w:szCs w:val="24"/>
        </w:rPr>
        <w:t xml:space="preserve">making them a potent agent against this common </w:t>
      </w:r>
      <w:proofErr w:type="spellStart"/>
      <w:r w:rsidR="002F28BA" w:rsidRPr="00E62FE1">
        <w:rPr>
          <w:rFonts w:ascii="Times New Roman" w:hAnsi="Times New Roman" w:cs="Times New Roman"/>
          <w:color w:val="000000"/>
          <w:sz w:val="24"/>
          <w:szCs w:val="24"/>
        </w:rPr>
        <w:t>uropathogen</w:t>
      </w:r>
      <w:proofErr w:type="spellEnd"/>
      <w:r w:rsidR="002F28BA" w:rsidRPr="00E62FE1">
        <w:rPr>
          <w:rFonts w:ascii="Times New Roman" w:hAnsi="Times New Roman" w:cs="Times New Roman"/>
          <w:color w:val="000000"/>
          <w:sz w:val="24"/>
          <w:szCs w:val="24"/>
        </w:rPr>
        <w:t>. Despite their efficacy, concerns have emerged regarding the potential for bacterial resistance to silver nanoparticles, highlighting the need for continued investigation into their long-term applicability and synergistic combinations</w:t>
      </w:r>
      <w:hyperlink w:anchor="cfa2a01dcdc451c1e96c593c576cf9d2" w:history="1">
        <w:r w:rsidR="002F28BA" w:rsidRPr="00E62FE1">
          <w:rPr>
            <w:rStyle w:val="Hyperlink"/>
            <w:rFonts w:ascii="Times New Roman" w:hAnsi="Times New Roman" w:cs="Times New Roman"/>
            <w:sz w:val="24"/>
            <w:szCs w:val="24"/>
          </w:rPr>
          <w:t>(Panáček et al., 2017)</w:t>
        </w:r>
      </w:hyperlink>
      <w:r w:rsidR="002F28BA" w:rsidRPr="00E62FE1">
        <w:rPr>
          <w:rFonts w:ascii="Times New Roman" w:hAnsi="Times New Roman" w:cs="Times New Roman"/>
          <w:color w:val="000000"/>
          <w:sz w:val="24"/>
          <w:szCs w:val="24"/>
        </w:rPr>
        <w:t xml:space="preserve">. </w:t>
      </w:r>
    </w:p>
    <w:p w14:paraId="2DB56DBE" w14:textId="13762339" w:rsidR="002F28BA" w:rsidRPr="00713C20" w:rsidRDefault="007E25E0" w:rsidP="005C7441">
      <w:pPr>
        <w:spacing w:after="0" w:line="480" w:lineRule="auto"/>
        <w:jc w:val="both"/>
        <w:rPr>
          <w:rFonts w:ascii="Times New Roman" w:hAnsi="Times New Roman" w:cs="Times New Roman"/>
          <w:color w:val="000000"/>
          <w:sz w:val="24"/>
          <w:szCs w:val="24"/>
        </w:rPr>
      </w:pPr>
      <w:r w:rsidRPr="00E62FE1">
        <w:rPr>
          <w:rFonts w:ascii="Times New Roman" w:hAnsi="Times New Roman" w:cs="Times New Roman"/>
          <w:sz w:val="24"/>
          <w:szCs w:val="24"/>
        </w:rPr>
        <w:t xml:space="preserve">Iron oxide nanoparticles also hold promise as antibiofilm agents due to their magnetic properties, low toxicity, and ability to disrupt biofilm matrices through oxidative and </w:t>
      </w:r>
      <w:proofErr w:type="spellStart"/>
      <w:r w:rsidRPr="00E62FE1">
        <w:rPr>
          <w:rFonts w:ascii="Times New Roman" w:hAnsi="Times New Roman" w:cs="Times New Roman"/>
          <w:sz w:val="24"/>
          <w:szCs w:val="24"/>
        </w:rPr>
        <w:t>hyperthermic</w:t>
      </w:r>
      <w:proofErr w:type="spellEnd"/>
      <w:r w:rsidRPr="00E62FE1">
        <w:rPr>
          <w:rFonts w:ascii="Times New Roman" w:hAnsi="Times New Roman" w:cs="Times New Roman"/>
          <w:sz w:val="24"/>
          <w:szCs w:val="24"/>
        </w:rPr>
        <w:t xml:space="preserve"> mechanisms </w:t>
      </w:r>
      <w:hyperlink w:anchor="553b2da4c50cef566015ce8b92c7404f" w:history="1">
        <w:r w:rsidR="002F28BA" w:rsidRPr="00E62FE1">
          <w:rPr>
            <w:rStyle w:val="Hyperlink"/>
            <w:rFonts w:ascii="Times New Roman" w:hAnsi="Times New Roman" w:cs="Times New Roman"/>
            <w:sz w:val="24"/>
            <w:szCs w:val="24"/>
          </w:rPr>
          <w:t>(</w:t>
        </w:r>
        <w:proofErr w:type="spellStart"/>
        <w:r w:rsidR="002F28BA" w:rsidRPr="00E62FE1">
          <w:rPr>
            <w:rStyle w:val="Hyperlink"/>
            <w:rFonts w:ascii="Times New Roman" w:hAnsi="Times New Roman" w:cs="Times New Roman"/>
            <w:sz w:val="24"/>
            <w:szCs w:val="24"/>
          </w:rPr>
          <w:t>Olawade</w:t>
        </w:r>
        <w:proofErr w:type="spellEnd"/>
        <w:r w:rsidR="002F28BA" w:rsidRPr="00E62FE1">
          <w:rPr>
            <w:rStyle w:val="Hyperlink"/>
            <w:rFonts w:ascii="Times New Roman" w:hAnsi="Times New Roman" w:cs="Times New Roman"/>
            <w:sz w:val="24"/>
            <w:szCs w:val="24"/>
          </w:rPr>
          <w:t xml:space="preserve"> et al., 2024)</w:t>
        </w:r>
      </w:hyperlink>
      <w:r w:rsidRPr="00E62FE1">
        <w:rPr>
          <w:rFonts w:ascii="Times New Roman" w:hAnsi="Times New Roman" w:cs="Times New Roman"/>
          <w:color w:val="000000"/>
          <w:sz w:val="24"/>
          <w:szCs w:val="24"/>
        </w:rPr>
        <w:t xml:space="preserve">. </w:t>
      </w:r>
      <w:r w:rsidR="00893BA9" w:rsidRPr="00E62FE1">
        <w:rPr>
          <w:rFonts w:ascii="Times New Roman" w:eastAsia="Times New Roman" w:hAnsi="Times New Roman" w:cs="Times New Roman"/>
          <w:sz w:val="24"/>
          <w:szCs w:val="24"/>
        </w:rPr>
        <w:t xml:space="preserve">They are among the least studied nanoparticles for use as antimicrobials. Their magnetic properties </w:t>
      </w:r>
      <w:r w:rsidR="001A0007">
        <w:rPr>
          <w:rFonts w:ascii="Times New Roman" w:eastAsia="Times New Roman" w:hAnsi="Times New Roman" w:cs="Times New Roman"/>
          <w:sz w:val="24"/>
          <w:szCs w:val="24"/>
        </w:rPr>
        <w:t xml:space="preserve">enable external manipulation, </w:t>
      </w:r>
      <w:r w:rsidR="00713C20">
        <w:rPr>
          <w:rFonts w:ascii="Times New Roman" w:eastAsia="Times New Roman" w:hAnsi="Times New Roman" w:cs="Times New Roman"/>
          <w:sz w:val="24"/>
          <w:szCs w:val="24"/>
        </w:rPr>
        <w:t>facilitating their collection at infection sites. Additionally, their inherent catalytic activity generates</w:t>
      </w:r>
      <w:r w:rsidR="00893BA9" w:rsidRPr="00E62FE1">
        <w:rPr>
          <w:rFonts w:ascii="Times New Roman" w:eastAsia="Times New Roman" w:hAnsi="Times New Roman" w:cs="Times New Roman"/>
          <w:sz w:val="24"/>
          <w:szCs w:val="24"/>
        </w:rPr>
        <w:t xml:space="preserve"> reactive oxygen species that break down bacterial membranes and biofilm structures. Additionally, their superparamagnetic nature makes them effective at killing bacteria through hyperthermia-based methods and breaking down the extracellular polymeric substance matrix, </w:t>
      </w:r>
      <w:r w:rsidR="001A0007">
        <w:rPr>
          <w:rFonts w:ascii="Times New Roman" w:eastAsia="Times New Roman" w:hAnsi="Times New Roman" w:cs="Times New Roman"/>
          <w:sz w:val="24"/>
          <w:szCs w:val="24"/>
        </w:rPr>
        <w:t>thereby increasing their potential to combat biofilms</w:t>
      </w:r>
      <w:r w:rsidR="00893BA9" w:rsidRPr="00E62FE1">
        <w:rPr>
          <w:rFonts w:ascii="Times New Roman" w:eastAsia="Times New Roman" w:hAnsi="Times New Roman" w:cs="Times New Roman"/>
          <w:sz w:val="24"/>
          <w:szCs w:val="24"/>
        </w:rPr>
        <w:t>.</w:t>
      </w:r>
      <w:hyperlink w:anchor="b3fb178c3e34ae6a000c4ad4e053e398" w:history="1">
        <w:r w:rsidR="002F28BA" w:rsidRPr="00E62FE1">
          <w:rPr>
            <w:rStyle w:val="Hyperlink"/>
            <w:rFonts w:ascii="Times New Roman" w:hAnsi="Times New Roman" w:cs="Times New Roman"/>
            <w:sz w:val="24"/>
            <w:szCs w:val="24"/>
          </w:rPr>
          <w:t>(Wasfi et al., 2020)</w:t>
        </w:r>
      </w:hyperlink>
      <w:r w:rsidR="002F28BA" w:rsidRPr="00E62FE1">
        <w:rPr>
          <w:rFonts w:ascii="Times New Roman" w:hAnsi="Times New Roman" w:cs="Times New Roman"/>
          <w:color w:val="000000"/>
          <w:sz w:val="24"/>
          <w:szCs w:val="24"/>
        </w:rPr>
        <w:t xml:space="preserve">. </w:t>
      </w:r>
      <w:r w:rsidR="00893BA9" w:rsidRPr="00E62FE1">
        <w:rPr>
          <w:rFonts w:ascii="Times New Roman" w:eastAsia="Times New Roman" w:hAnsi="Times New Roman" w:cs="Times New Roman"/>
          <w:sz w:val="24"/>
          <w:szCs w:val="24"/>
        </w:rPr>
        <w:t xml:space="preserve">Iron oxide nanoparticles </w:t>
      </w:r>
      <w:r w:rsidR="001A0007">
        <w:rPr>
          <w:rFonts w:ascii="Times New Roman" w:eastAsia="Times New Roman" w:hAnsi="Times New Roman" w:cs="Times New Roman"/>
          <w:sz w:val="24"/>
          <w:szCs w:val="24"/>
        </w:rPr>
        <w:t>possess natural antimicrobial properties; however, their primary application in anti-biofilm strategies is often to deliver drugs directly to specific areas and enhance the effectiveness of other antimicrobial agents when used in combination</w:t>
      </w:r>
      <w:r w:rsidR="00893BA9" w:rsidRPr="00E62FE1">
        <w:rPr>
          <w:rFonts w:ascii="Times New Roman" w:eastAsia="Times New Roman" w:hAnsi="Times New Roman" w:cs="Times New Roman"/>
          <w:sz w:val="24"/>
          <w:szCs w:val="24"/>
        </w:rPr>
        <w:t>.</w:t>
      </w:r>
      <w:r w:rsidR="001A0007">
        <w:rPr>
          <w:rFonts w:ascii="Times New Roman" w:eastAsia="Times New Roman" w:hAnsi="Times New Roman" w:cs="Times New Roman"/>
          <w:sz w:val="24"/>
          <w:szCs w:val="24"/>
        </w:rPr>
        <w:t xml:space="preserve"> </w:t>
      </w:r>
      <w:hyperlink w:anchor="b3fb178c3e34ae6a000c4ad4e053e398" w:history="1">
        <w:r w:rsidR="002F28BA" w:rsidRPr="00E62FE1">
          <w:rPr>
            <w:rStyle w:val="Hyperlink"/>
            <w:rFonts w:ascii="Times New Roman" w:hAnsi="Times New Roman" w:cs="Times New Roman"/>
            <w:sz w:val="24"/>
            <w:szCs w:val="24"/>
          </w:rPr>
          <w:t>(Wasfi et al., 2020)</w:t>
        </w:r>
      </w:hyperlink>
      <w:r w:rsidR="002F28BA" w:rsidRPr="00E62FE1">
        <w:rPr>
          <w:rFonts w:ascii="Times New Roman" w:hAnsi="Times New Roman" w:cs="Times New Roman"/>
          <w:color w:val="000000"/>
          <w:sz w:val="24"/>
          <w:szCs w:val="24"/>
        </w:rPr>
        <w:t>.</w:t>
      </w:r>
    </w:p>
    <w:p w14:paraId="023AADD3" w14:textId="11EC3C15" w:rsidR="004072D2" w:rsidRPr="00E62FE1" w:rsidRDefault="007E25E0" w:rsidP="005C7441">
      <w:pPr>
        <w:spacing w:line="480" w:lineRule="auto"/>
        <w:jc w:val="both"/>
        <w:rPr>
          <w:rFonts w:ascii="Times New Roman" w:eastAsia="Times New Roman" w:hAnsi="Times New Roman" w:cs="Times New Roman"/>
          <w:sz w:val="24"/>
          <w:szCs w:val="24"/>
        </w:rPr>
      </w:pPr>
      <w:r w:rsidRPr="00E62FE1">
        <w:rPr>
          <w:rFonts w:ascii="Times New Roman" w:hAnsi="Times New Roman" w:cs="Times New Roman"/>
          <w:sz w:val="24"/>
          <w:szCs w:val="24"/>
        </w:rPr>
        <w:t xml:space="preserve">This study evaluates the antibiofilm efficacy of silver and iron oxide nanoparticles against </w:t>
      </w:r>
      <w:r w:rsidRPr="00E62FE1">
        <w:rPr>
          <w:rStyle w:val="Emphasis"/>
          <w:rFonts w:ascii="Times New Roman" w:hAnsi="Times New Roman" w:cs="Times New Roman"/>
          <w:sz w:val="24"/>
          <w:szCs w:val="24"/>
        </w:rPr>
        <w:t>Escherichia coli</w:t>
      </w:r>
      <w:r w:rsidRPr="00E62FE1">
        <w:rPr>
          <w:rFonts w:ascii="Times New Roman" w:hAnsi="Times New Roman" w:cs="Times New Roman"/>
          <w:sz w:val="24"/>
          <w:szCs w:val="24"/>
        </w:rPr>
        <w:t xml:space="preserve"> isolates from </w:t>
      </w:r>
      <w:r w:rsidR="00F47789" w:rsidRPr="00E62FE1">
        <w:rPr>
          <w:rFonts w:ascii="Times New Roman" w:hAnsi="Times New Roman" w:cs="Times New Roman"/>
          <w:sz w:val="24"/>
          <w:szCs w:val="24"/>
        </w:rPr>
        <w:t>patients with CAUTI</w:t>
      </w:r>
      <w:r w:rsidRPr="00E62FE1">
        <w:rPr>
          <w:rFonts w:ascii="Times New Roman" w:hAnsi="Times New Roman" w:cs="Times New Roman"/>
          <w:sz w:val="24"/>
          <w:szCs w:val="24"/>
        </w:rPr>
        <w:t xml:space="preserve"> in Chandrapur. </w:t>
      </w:r>
      <w:bookmarkStart w:id="0" w:name="_GoBack"/>
      <w:r w:rsidRPr="002D4367">
        <w:rPr>
          <w:rFonts w:ascii="Times New Roman" w:hAnsi="Times New Roman" w:cs="Times New Roman"/>
          <w:color w:val="FF0000"/>
          <w:sz w:val="24"/>
          <w:szCs w:val="24"/>
        </w:rPr>
        <w:t xml:space="preserve">We </w:t>
      </w:r>
      <w:proofErr w:type="spellStart"/>
      <w:r w:rsidR="00F47789" w:rsidRPr="002D4367">
        <w:rPr>
          <w:rFonts w:ascii="Times New Roman" w:hAnsi="Times New Roman" w:cs="Times New Roman"/>
          <w:color w:val="FF0000"/>
          <w:sz w:val="24"/>
          <w:szCs w:val="24"/>
        </w:rPr>
        <w:t>hypothesise</w:t>
      </w:r>
      <w:proofErr w:type="spellEnd"/>
      <w:r w:rsidRPr="002D4367">
        <w:rPr>
          <w:rFonts w:ascii="Times New Roman" w:hAnsi="Times New Roman" w:cs="Times New Roman"/>
          <w:color w:val="FF0000"/>
          <w:sz w:val="24"/>
          <w:szCs w:val="24"/>
        </w:rPr>
        <w:t xml:space="preserve"> </w:t>
      </w:r>
      <w:bookmarkEnd w:id="0"/>
      <w:r w:rsidRPr="00E62FE1">
        <w:rPr>
          <w:rFonts w:ascii="Times New Roman" w:hAnsi="Times New Roman" w:cs="Times New Roman"/>
          <w:sz w:val="24"/>
          <w:szCs w:val="24"/>
        </w:rPr>
        <w:t>that both nanopar</w:t>
      </w:r>
      <w:r w:rsidRPr="00E62FE1">
        <w:rPr>
          <w:rFonts w:ascii="Times New Roman" w:hAnsi="Times New Roman" w:cs="Times New Roman"/>
          <w:sz w:val="24"/>
          <w:szCs w:val="24"/>
        </w:rPr>
        <w:lastRenderedPageBreak/>
        <w:t>ticles will significantly inhibit biofilm formation and facilitate the eradication of established biofilms. The goal is to identify effective concentrations and elucidate underlying mechanisms to support nanoparticle-based therapeutic strategies for CAUTI.</w:t>
      </w:r>
    </w:p>
    <w:p w14:paraId="31EBF0A1" w14:textId="3679808A" w:rsidR="004072D2" w:rsidRPr="00E62FE1" w:rsidRDefault="00051765" w:rsidP="005C7441">
      <w:pPr>
        <w:spacing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MATERIAL AND METHOD</w:t>
      </w:r>
    </w:p>
    <w:p w14:paraId="6DE69495" w14:textId="77777777" w:rsidR="00F9259D" w:rsidRDefault="005414D7" w:rsidP="005C7441">
      <w:pPr>
        <w:spacing w:after="0" w:line="480" w:lineRule="auto"/>
        <w:rPr>
          <w:rFonts w:ascii="Times New Roman" w:hAnsi="Times New Roman" w:cs="Times New Roman"/>
          <w:b/>
          <w:bCs/>
          <w:sz w:val="24"/>
          <w:szCs w:val="24"/>
          <w:u w:val="single"/>
        </w:rPr>
      </w:pPr>
      <w:r w:rsidRPr="00E62FE1">
        <w:rPr>
          <w:rFonts w:ascii="Times New Roman" w:hAnsi="Times New Roman" w:cs="Times New Roman"/>
          <w:b/>
          <w:bCs/>
          <w:sz w:val="24"/>
          <w:szCs w:val="24"/>
          <w:u w:val="single"/>
        </w:rPr>
        <w:t xml:space="preserve">Isolation of </w:t>
      </w:r>
      <w:r w:rsidRPr="00E62FE1">
        <w:rPr>
          <w:rStyle w:val="Emphasis"/>
          <w:rFonts w:ascii="Times New Roman" w:hAnsi="Times New Roman" w:cs="Times New Roman"/>
          <w:b/>
          <w:bCs/>
          <w:sz w:val="24"/>
          <w:szCs w:val="24"/>
          <w:u w:val="single"/>
        </w:rPr>
        <w:t>E. coli</w:t>
      </w:r>
      <w:r w:rsidRPr="00E62FE1">
        <w:rPr>
          <w:rFonts w:ascii="Times New Roman" w:hAnsi="Times New Roman" w:cs="Times New Roman"/>
          <w:b/>
          <w:bCs/>
          <w:sz w:val="24"/>
          <w:szCs w:val="24"/>
          <w:u w:val="single"/>
        </w:rPr>
        <w:t xml:space="preserve"> and Nanoparticle Preparation</w:t>
      </w:r>
    </w:p>
    <w:p w14:paraId="7B4B6665" w14:textId="6B1A26D0" w:rsidR="00D377D1" w:rsidRPr="00E62FE1" w:rsidRDefault="00D377D1"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Urine specimens were aseptically obtained from </w:t>
      </w:r>
      <w:proofErr w:type="spellStart"/>
      <w:r w:rsidR="00F47789" w:rsidRPr="00E62FE1">
        <w:rPr>
          <w:rFonts w:ascii="Times New Roman" w:eastAsia="Times New Roman" w:hAnsi="Times New Roman" w:cs="Times New Roman"/>
          <w:sz w:val="24"/>
          <w:szCs w:val="24"/>
        </w:rPr>
        <w:t>catheterised</w:t>
      </w:r>
      <w:proofErr w:type="spellEnd"/>
      <w:r w:rsidRPr="00E62FE1">
        <w:rPr>
          <w:rFonts w:ascii="Times New Roman" w:eastAsia="Times New Roman" w:hAnsi="Times New Roman" w:cs="Times New Roman"/>
          <w:sz w:val="24"/>
          <w:szCs w:val="24"/>
        </w:rPr>
        <w:t xml:space="preserve"> patients clinically diagnosed with urinary tract infections in</w:t>
      </w:r>
      <w:r w:rsidR="00792BB4" w:rsidRPr="00E62FE1">
        <w:rPr>
          <w:rFonts w:ascii="Times New Roman" w:eastAsia="Times New Roman" w:hAnsi="Times New Roman" w:cs="Times New Roman"/>
          <w:sz w:val="24"/>
          <w:szCs w:val="24"/>
        </w:rPr>
        <w:t xml:space="preserve"> hospitals of</w:t>
      </w:r>
      <w:r w:rsidRPr="00E62FE1">
        <w:rPr>
          <w:rFonts w:ascii="Times New Roman" w:eastAsia="Times New Roman" w:hAnsi="Times New Roman" w:cs="Times New Roman"/>
          <w:sz w:val="24"/>
          <w:szCs w:val="24"/>
        </w:rPr>
        <w:t xml:space="preserve"> Chandrapur, Maharashtra. Samples were inoculated onto </w:t>
      </w:r>
      <w:proofErr w:type="spellStart"/>
      <w:r w:rsidRPr="00E62FE1">
        <w:rPr>
          <w:rFonts w:ascii="Times New Roman" w:eastAsia="Times New Roman" w:hAnsi="Times New Roman" w:cs="Times New Roman"/>
          <w:sz w:val="24"/>
          <w:szCs w:val="24"/>
        </w:rPr>
        <w:t>HiCrome</w:t>
      </w:r>
      <w:proofErr w:type="spellEnd"/>
      <w:r w:rsidRPr="00E62FE1">
        <w:rPr>
          <w:rFonts w:ascii="Times New Roman" w:eastAsia="Times New Roman" w:hAnsi="Times New Roman" w:cs="Times New Roman"/>
          <w:sz w:val="24"/>
          <w:szCs w:val="24"/>
        </w:rPr>
        <w:t xml:space="preserve"> UTI Agar and incubated at 37°C for 24 hours. Colonies exhibiting the characteristic shape of </w:t>
      </w:r>
      <w:r w:rsidRPr="00E62FE1">
        <w:rPr>
          <w:rFonts w:ascii="Times New Roman" w:eastAsia="Times New Roman" w:hAnsi="Times New Roman" w:cs="Times New Roman"/>
          <w:i/>
          <w:iCs/>
          <w:sz w:val="24"/>
          <w:szCs w:val="24"/>
        </w:rPr>
        <w:t>Escherichia coli</w:t>
      </w:r>
      <w:r w:rsidRPr="00E62FE1">
        <w:rPr>
          <w:rFonts w:ascii="Times New Roman" w:eastAsia="Times New Roman" w:hAnsi="Times New Roman" w:cs="Times New Roman"/>
          <w:sz w:val="24"/>
          <w:szCs w:val="24"/>
        </w:rPr>
        <w:t xml:space="preserve"> (pink to purple with a halo) were subsequently identified using </w:t>
      </w:r>
      <w:r w:rsidR="00792BB4" w:rsidRPr="00E62FE1">
        <w:rPr>
          <w:rFonts w:ascii="Times New Roman" w:eastAsia="Times New Roman" w:hAnsi="Times New Roman" w:cs="Times New Roman"/>
          <w:sz w:val="24"/>
          <w:szCs w:val="24"/>
        </w:rPr>
        <w:t xml:space="preserve">the </w:t>
      </w:r>
      <w:r w:rsidRPr="00E62FE1">
        <w:rPr>
          <w:rFonts w:ascii="Times New Roman" w:eastAsia="Times New Roman" w:hAnsi="Times New Roman" w:cs="Times New Roman"/>
          <w:sz w:val="24"/>
          <w:szCs w:val="24"/>
        </w:rPr>
        <w:t xml:space="preserve">VITEK 2 Compact system. </w:t>
      </w:r>
      <w:r w:rsidR="008D788C" w:rsidRPr="00E62FE1">
        <w:rPr>
          <w:rFonts w:ascii="Times New Roman" w:hAnsi="Times New Roman" w:cs="Times New Roman"/>
          <w:sz w:val="24"/>
          <w:szCs w:val="24"/>
        </w:rPr>
        <w:t>Silver and iron oxide nanoparticles were obtained from Sai Biosystem, Nagpur</w:t>
      </w:r>
      <w:r w:rsidR="004B5F28" w:rsidRPr="00E62FE1">
        <w:rPr>
          <w:rFonts w:ascii="Times New Roman" w:hAnsi="Times New Roman" w:cs="Times New Roman"/>
          <w:sz w:val="24"/>
          <w:szCs w:val="24"/>
        </w:rPr>
        <w:t xml:space="preserve"> and characterized by EDAX and SEM </w:t>
      </w:r>
      <w:r w:rsidR="008D788C" w:rsidRPr="00E62FE1">
        <w:rPr>
          <w:rFonts w:ascii="Times New Roman" w:hAnsi="Times New Roman" w:cs="Times New Roman"/>
          <w:sz w:val="24"/>
          <w:szCs w:val="24"/>
        </w:rPr>
        <w:t xml:space="preserve">suspensions were prepared in dimethyl sulfoxide (DMSO) and sonicated to ensure homogeneity. Working concentrations ranging from 5 to 100 µg/mL were prepared for </w:t>
      </w:r>
      <w:r w:rsidR="00051765" w:rsidRPr="00E62FE1">
        <w:rPr>
          <w:rFonts w:ascii="Times New Roman" w:hAnsi="Times New Roman" w:cs="Times New Roman"/>
          <w:sz w:val="24"/>
          <w:szCs w:val="24"/>
        </w:rPr>
        <w:t>use in the experiment.</w:t>
      </w:r>
    </w:p>
    <w:p w14:paraId="25289879" w14:textId="77777777" w:rsidR="00F9259D" w:rsidRDefault="005414D7" w:rsidP="005C7441">
      <w:pPr>
        <w:spacing w:after="0" w:line="480" w:lineRule="auto"/>
        <w:rPr>
          <w:rFonts w:ascii="Times New Roman" w:hAnsi="Times New Roman" w:cs="Times New Roman"/>
          <w:b/>
          <w:bCs/>
          <w:sz w:val="24"/>
          <w:szCs w:val="24"/>
          <w:u w:val="single"/>
        </w:rPr>
      </w:pPr>
      <w:r w:rsidRPr="00E62FE1">
        <w:rPr>
          <w:rFonts w:ascii="Times New Roman" w:hAnsi="Times New Roman" w:cs="Times New Roman"/>
          <w:b/>
          <w:bCs/>
          <w:sz w:val="24"/>
          <w:szCs w:val="24"/>
          <w:u w:val="single"/>
        </w:rPr>
        <w:t>Biofilm Formation and Treatment Assay</w:t>
      </w:r>
    </w:p>
    <w:p w14:paraId="142DB99A" w14:textId="26357F4B" w:rsidR="00893BA9" w:rsidRPr="00E62FE1" w:rsidRDefault="00893BA9"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A modified crystal violet assay in 96-well microtiter plates was used to evaluate the effectiveness of metal nanoparticles against biofilms. Clinical isolates of Escherichia coli were reactivated and cultured on UTI agar and nutrient agar, followed by incubation at 37 °C for 24 hours. A loopful of well-separated colonies was inoculated into nutrient broth and adjusted to a 0.5 McFarland standard to ensure a uniform bacterial density for the experiment. To test how well biofilms form, 10 µL of the bacterial suspension was added to 190 µL of sterile tryptic soy broth (TSB) in each well of a sterile, flat-bottom 96-well microtiter plate. To </w:t>
      </w:r>
      <w:r w:rsidR="001A0007" w:rsidRPr="00E62FE1">
        <w:rPr>
          <w:rFonts w:ascii="Times New Roman" w:eastAsia="Times New Roman" w:hAnsi="Times New Roman" w:cs="Times New Roman"/>
          <w:sz w:val="24"/>
          <w:szCs w:val="24"/>
        </w:rPr>
        <w:t>minimize</w:t>
      </w:r>
      <w:r w:rsidRPr="00E62FE1">
        <w:rPr>
          <w:rFonts w:ascii="Times New Roman" w:eastAsia="Times New Roman" w:hAnsi="Times New Roman" w:cs="Times New Roman"/>
          <w:sz w:val="24"/>
          <w:szCs w:val="24"/>
        </w:rPr>
        <w:t xml:space="preserve"> edge effects caused by evaporation, sterile distilled water was used to fill all peripheral wells. After that, the plates were incubated at 37°C for 24 hours without any movement to facilitate the growth of the biofilm.</w:t>
      </w:r>
    </w:p>
    <w:p w14:paraId="24A22BC0" w14:textId="77777777" w:rsidR="00F9259D"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lastRenderedPageBreak/>
        <w:t xml:space="preserve">Following incubation, the culture medium was aspirated to exclude planktonic cells, and the wells were rinsed three times with sterile phosphate-buffered saline (PBS, pH 7.4). The pre-formed biofilms were subsequently subjected to different quantities (5–100 µg/mL) of silver and iron oxide nanoparticles, which were produced in DMSO. </w:t>
      </w:r>
      <w:r w:rsidR="004B1CE5" w:rsidRPr="00E62FE1">
        <w:rPr>
          <w:rFonts w:ascii="Times New Roman" w:eastAsia="Times New Roman" w:hAnsi="Times New Roman" w:cs="Times New Roman"/>
          <w:sz w:val="24"/>
          <w:szCs w:val="24"/>
        </w:rPr>
        <w:t>Following treatment, the plates were incubated at 37°C for an additional</w:t>
      </w:r>
      <w:r w:rsidRPr="00E62FE1">
        <w:rPr>
          <w:rFonts w:ascii="Times New Roman" w:eastAsia="Times New Roman" w:hAnsi="Times New Roman" w:cs="Times New Roman"/>
          <w:sz w:val="24"/>
          <w:szCs w:val="24"/>
        </w:rPr>
        <w:t xml:space="preserve"> 24 hours. </w:t>
      </w:r>
    </w:p>
    <w:p w14:paraId="53FA7537" w14:textId="7C7517FF" w:rsidR="008D788C" w:rsidRPr="00E62FE1"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biomass of the biofilm was assessed utilizing the crystal violet staining technique. Following treatment, wells were rinsed with PBS, and the adherent biofilm was preserved with 99% methanol for 15 minutes. Following air-drying, 200 µL of a 0.2% crystal violet solution was dispensed into each well and incubated for 5 minutes. Surplus stain was eliminated by rinsing with distilled water, and the wells were air-dried. The bound dye was </w:t>
      </w:r>
      <w:proofErr w:type="spellStart"/>
      <w:r w:rsidR="00792BB4" w:rsidRPr="00E62FE1">
        <w:rPr>
          <w:rFonts w:ascii="Times New Roman" w:eastAsia="Times New Roman" w:hAnsi="Times New Roman" w:cs="Times New Roman"/>
          <w:sz w:val="24"/>
          <w:szCs w:val="24"/>
        </w:rPr>
        <w:t>solubilised</w:t>
      </w:r>
      <w:proofErr w:type="spellEnd"/>
      <w:r w:rsidRPr="00E62FE1">
        <w:rPr>
          <w:rFonts w:ascii="Times New Roman" w:eastAsia="Times New Roman" w:hAnsi="Times New Roman" w:cs="Times New Roman"/>
          <w:sz w:val="24"/>
          <w:szCs w:val="24"/>
        </w:rPr>
        <w:t xml:space="preserve"> with 200 µL of 33% glacial acetic acid, and the absorbance was measured at 570 nm using a microplate reader. The biofilm inhibition percentage was determined using the formula: Inhibition (%) = [1 – (OD₅₇₀ treatment / OD₅₇₀ control)] × 100 </w:t>
      </w:r>
    </w:p>
    <w:p w14:paraId="09C0A798" w14:textId="77777777" w:rsidR="00F9259D" w:rsidRDefault="005414D7" w:rsidP="005C7441">
      <w:pPr>
        <w:spacing w:after="0" w:line="480" w:lineRule="auto"/>
        <w:rPr>
          <w:rFonts w:ascii="Times New Roman" w:hAnsi="Times New Roman" w:cs="Times New Roman"/>
          <w:b/>
          <w:bCs/>
          <w:sz w:val="24"/>
          <w:szCs w:val="24"/>
          <w:u w:val="single"/>
        </w:rPr>
      </w:pPr>
      <w:r w:rsidRPr="00F9259D">
        <w:rPr>
          <w:rFonts w:ascii="Times New Roman" w:hAnsi="Times New Roman" w:cs="Times New Roman"/>
          <w:b/>
          <w:bCs/>
          <w:sz w:val="24"/>
          <w:szCs w:val="24"/>
          <w:u w:val="single"/>
        </w:rPr>
        <w:t>Biofilm Quantification and Data Analysis</w:t>
      </w:r>
    </w:p>
    <w:p w14:paraId="0A76C31B" w14:textId="143D1770" w:rsidR="00544AB4" w:rsidRPr="00E62FE1" w:rsidRDefault="00544AB4"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minimum biofilm inhibitory concentrations (MBIC₅₀ and MBIC₉₀) were </w:t>
      </w:r>
      <w:r w:rsidR="00E12C79" w:rsidRPr="00E62FE1">
        <w:rPr>
          <w:rFonts w:ascii="Times New Roman" w:eastAsia="Times New Roman" w:hAnsi="Times New Roman" w:cs="Times New Roman"/>
          <w:sz w:val="24"/>
          <w:szCs w:val="24"/>
        </w:rPr>
        <w:t>determined, indicating the concentrations at which 50% and 90% biofilm inhibition occurred</w:t>
      </w:r>
      <w:r w:rsidRPr="00E62FE1">
        <w:rPr>
          <w:rFonts w:ascii="Times New Roman" w:eastAsia="Times New Roman" w:hAnsi="Times New Roman" w:cs="Times New Roman"/>
          <w:sz w:val="24"/>
          <w:szCs w:val="24"/>
        </w:rPr>
        <w:t>, respectively.</w:t>
      </w:r>
    </w:p>
    <w:p w14:paraId="39E7457E" w14:textId="39BB1D1E" w:rsidR="00F748C3" w:rsidRPr="00E62FE1" w:rsidRDefault="007D518B" w:rsidP="00232150">
      <w:pPr>
        <w:spacing w:after="0"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percentage inhibition values for each </w:t>
      </w:r>
      <w:r w:rsidRPr="00E62FE1">
        <w:rPr>
          <w:rFonts w:ascii="Times New Roman" w:eastAsia="Times New Roman" w:hAnsi="Times New Roman" w:cs="Times New Roman"/>
          <w:i/>
          <w:iCs/>
          <w:sz w:val="24"/>
          <w:szCs w:val="24"/>
        </w:rPr>
        <w:t>E. coli</w:t>
      </w:r>
      <w:r w:rsidRPr="00E62FE1">
        <w:rPr>
          <w:rFonts w:ascii="Times New Roman" w:eastAsia="Times New Roman" w:hAnsi="Times New Roman" w:cs="Times New Roman"/>
          <w:sz w:val="24"/>
          <w:szCs w:val="24"/>
        </w:rPr>
        <w:t xml:space="preserve"> isolate at varying doses of iron oxide and silver nanoparticles (</w:t>
      </w:r>
      <w:r w:rsidR="008D788C" w:rsidRPr="00E62FE1">
        <w:rPr>
          <w:rFonts w:ascii="Times New Roman" w:eastAsia="Times New Roman" w:hAnsi="Times New Roman" w:cs="Times New Roman"/>
          <w:sz w:val="24"/>
          <w:szCs w:val="24"/>
        </w:rPr>
        <w:t>ranging from 5 µg/mL to 100 µg/mL) were recorded using a</w:t>
      </w:r>
      <w:r w:rsidRPr="00E62FE1">
        <w:rPr>
          <w:rFonts w:ascii="Times New Roman" w:eastAsia="Times New Roman" w:hAnsi="Times New Roman" w:cs="Times New Roman"/>
          <w:sz w:val="24"/>
          <w:szCs w:val="24"/>
        </w:rPr>
        <w:t xml:space="preserve"> microtiter plate-based crystal violet test. To ensure reproducibility, the assay was run in triplicate for each concentration.</w:t>
      </w:r>
      <w:r w:rsidRPr="00E62FE1">
        <w:rPr>
          <w:rFonts w:ascii="Times New Roman" w:eastAsia="Times New Roman" w:hAnsi="Times New Roman" w:cs="Times New Roman"/>
          <w:sz w:val="24"/>
          <w:szCs w:val="24"/>
        </w:rPr>
        <w:br/>
        <w:t>Using Microsoft Excel, the results were presented as mean ± standard deviation (SD). The antibiofilm activity trend was found by calculating the average percentage inhibition for each concentration among isolates.</w:t>
      </w:r>
      <w:r w:rsidRPr="00E62FE1">
        <w:rPr>
          <w:rFonts w:ascii="Times New Roman" w:eastAsia="Times New Roman" w:hAnsi="Times New Roman" w:cs="Times New Roman"/>
          <w:sz w:val="24"/>
          <w:szCs w:val="24"/>
        </w:rPr>
        <w:br/>
      </w:r>
      <w:r w:rsidRPr="00E62FE1">
        <w:rPr>
          <w:rFonts w:ascii="Times New Roman" w:eastAsia="Times New Roman" w:hAnsi="Times New Roman" w:cs="Times New Roman"/>
          <w:sz w:val="24"/>
          <w:szCs w:val="24"/>
        </w:rPr>
        <w:lastRenderedPageBreak/>
        <w:t xml:space="preserve">The </w:t>
      </w:r>
      <w:r w:rsidR="00E86644" w:rsidRPr="00E62FE1">
        <w:rPr>
          <w:rFonts w:ascii="Times New Roman" w:eastAsia="Times New Roman" w:hAnsi="Times New Roman" w:cs="Times New Roman"/>
          <w:sz w:val="24"/>
          <w:szCs w:val="24"/>
        </w:rPr>
        <w:t xml:space="preserve">concentrations of nanoparticles required to prevent 50% and 90% of biofilm development, respectively, are </w:t>
      </w:r>
      <w:r w:rsidRPr="00E62FE1">
        <w:rPr>
          <w:rFonts w:ascii="Times New Roman" w:eastAsia="Times New Roman" w:hAnsi="Times New Roman" w:cs="Times New Roman"/>
          <w:sz w:val="24"/>
          <w:szCs w:val="24"/>
        </w:rPr>
        <w:t xml:space="preserve">the Minimum Biofilm Inhibitory Concentration 50 (MBIC₅₀) and MBIC₉₀ for each isolate. These figures were then combined to provide an overview of </w:t>
      </w:r>
      <w:r w:rsidR="00E86644" w:rsidRPr="00E62FE1">
        <w:rPr>
          <w:rFonts w:ascii="Times New Roman" w:eastAsia="Times New Roman" w:hAnsi="Times New Roman" w:cs="Times New Roman"/>
          <w:sz w:val="24"/>
          <w:szCs w:val="24"/>
        </w:rPr>
        <w:t>the antibiofilm effectiveness of each nanoparticle</w:t>
      </w:r>
      <w:r w:rsidRPr="00E62FE1">
        <w:rPr>
          <w:rFonts w:ascii="Times New Roman" w:eastAsia="Times New Roman" w:hAnsi="Times New Roman" w:cs="Times New Roman"/>
          <w:sz w:val="24"/>
          <w:szCs w:val="24"/>
        </w:rPr>
        <w:t>.</w:t>
      </w:r>
    </w:p>
    <w:p w14:paraId="08F02284" w14:textId="77777777" w:rsidR="00232150" w:rsidRDefault="00F748C3"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RESULT</w:t>
      </w:r>
    </w:p>
    <w:p w14:paraId="5E6A1BEA" w14:textId="0E5C6089" w:rsidR="00FF77BC" w:rsidRPr="00232150" w:rsidRDefault="00F748C3" w:rsidP="005C7441">
      <w:pPr>
        <w:spacing w:line="480" w:lineRule="auto"/>
        <w:jc w:val="both"/>
        <w:rPr>
          <w:rFonts w:ascii="Times New Roman" w:hAnsi="Times New Roman" w:cs="Times New Roman"/>
          <w:b/>
          <w:bCs/>
          <w:sz w:val="24"/>
          <w:szCs w:val="24"/>
        </w:rPr>
      </w:pPr>
      <w:r w:rsidRPr="00232150">
        <w:rPr>
          <w:rFonts w:ascii="Times New Roman" w:hAnsi="Times New Roman" w:cs="Times New Roman"/>
          <w:b/>
          <w:bCs/>
          <w:sz w:val="24"/>
          <w:szCs w:val="24"/>
          <w:u w:val="single"/>
        </w:rPr>
        <w:t xml:space="preserve">Isolation of </w:t>
      </w:r>
      <w:r w:rsidR="00D206F4" w:rsidRPr="00232150">
        <w:rPr>
          <w:rStyle w:val="ai-insert"/>
          <w:rFonts w:ascii="Times New Roman" w:hAnsi="Times New Roman" w:cs="Times New Roman"/>
          <w:b/>
          <w:bCs/>
          <w:i/>
          <w:iCs/>
          <w:sz w:val="24"/>
          <w:szCs w:val="24"/>
          <w:u w:val="single"/>
        </w:rPr>
        <w:t>Escherichia</w:t>
      </w:r>
      <w:r w:rsidR="00D206F4" w:rsidRPr="00232150">
        <w:rPr>
          <w:rStyle w:val="ai-insert"/>
          <w:rFonts w:ascii="Times New Roman" w:hAnsi="Times New Roman" w:cs="Times New Roman"/>
          <w:b/>
          <w:bCs/>
          <w:i/>
          <w:iCs/>
          <w:sz w:val="24"/>
          <w:szCs w:val="24"/>
        </w:rPr>
        <w:t xml:space="preserve"> </w:t>
      </w:r>
      <w:r w:rsidR="00D206F4" w:rsidRPr="00232150">
        <w:rPr>
          <w:rStyle w:val="ai-insert"/>
          <w:rFonts w:ascii="Times New Roman" w:hAnsi="Times New Roman" w:cs="Times New Roman"/>
          <w:b/>
          <w:bCs/>
          <w:i/>
          <w:iCs/>
          <w:sz w:val="24"/>
          <w:szCs w:val="24"/>
          <w:u w:val="single"/>
        </w:rPr>
        <w:t>coli</w:t>
      </w:r>
      <w:r w:rsidR="00D206F4" w:rsidRPr="00232150">
        <w:rPr>
          <w:rStyle w:val="ai-insert"/>
          <w:rFonts w:ascii="Times New Roman" w:hAnsi="Times New Roman" w:cs="Times New Roman"/>
          <w:b/>
          <w:bCs/>
          <w:i/>
          <w:iCs/>
          <w:sz w:val="24"/>
          <w:szCs w:val="24"/>
        </w:rPr>
        <w:t xml:space="preserve"> </w:t>
      </w:r>
      <w:r w:rsidRPr="00232150">
        <w:rPr>
          <w:rFonts w:ascii="Times New Roman" w:hAnsi="Times New Roman" w:cs="Times New Roman"/>
          <w:b/>
          <w:bCs/>
          <w:sz w:val="24"/>
          <w:szCs w:val="24"/>
          <w:u w:val="single"/>
        </w:rPr>
        <w:t>and Nanoparticle Preparation</w:t>
      </w:r>
    </w:p>
    <w:p w14:paraId="6D9D443A" w14:textId="28A35971" w:rsidR="00F748C3" w:rsidRPr="00FF77BC" w:rsidRDefault="004B5F28" w:rsidP="005C7441">
      <w:pPr>
        <w:spacing w:line="480" w:lineRule="auto"/>
        <w:jc w:val="both"/>
        <w:rPr>
          <w:rFonts w:ascii="Times New Roman" w:hAnsi="Times New Roman" w:cs="Times New Roman"/>
          <w:sz w:val="24"/>
          <w:szCs w:val="24"/>
        </w:rPr>
      </w:pPr>
      <w:r w:rsidRPr="00E62FE1">
        <w:rPr>
          <w:rStyle w:val="ai-insert"/>
          <w:rFonts w:ascii="Times New Roman" w:hAnsi="Times New Roman" w:cs="Times New Roman"/>
          <w:sz w:val="24"/>
          <w:szCs w:val="24"/>
        </w:rPr>
        <w:t xml:space="preserve">A total of ten clinical isolates of Escherichia coli were successfully collected from urine samples of </w:t>
      </w:r>
      <w:proofErr w:type="spellStart"/>
      <w:r w:rsidRPr="00E62FE1">
        <w:rPr>
          <w:rStyle w:val="ai-insert"/>
          <w:rFonts w:ascii="Times New Roman" w:hAnsi="Times New Roman" w:cs="Times New Roman"/>
          <w:sz w:val="24"/>
          <w:szCs w:val="24"/>
        </w:rPr>
        <w:t>catheterised</w:t>
      </w:r>
      <w:proofErr w:type="spellEnd"/>
      <w:r w:rsidRPr="00E62FE1">
        <w:rPr>
          <w:rStyle w:val="ai-insert"/>
          <w:rFonts w:ascii="Times New Roman" w:hAnsi="Times New Roman" w:cs="Times New Roman"/>
          <w:sz w:val="24"/>
          <w:szCs w:val="24"/>
        </w:rPr>
        <w:t xml:space="preserve"> patients diagnosed with catheter-associated urinary tract infections (CAUTI). On </w:t>
      </w:r>
      <w:proofErr w:type="spellStart"/>
      <w:r w:rsidRPr="00E62FE1">
        <w:rPr>
          <w:rStyle w:val="ai-insert"/>
          <w:rFonts w:ascii="Times New Roman" w:hAnsi="Times New Roman" w:cs="Times New Roman"/>
          <w:sz w:val="24"/>
          <w:szCs w:val="24"/>
        </w:rPr>
        <w:t>HiCrome</w:t>
      </w:r>
      <w:proofErr w:type="spellEnd"/>
      <w:r w:rsidRPr="00E62FE1">
        <w:rPr>
          <w:rStyle w:val="ai-insert"/>
          <w:rFonts w:ascii="Times New Roman" w:hAnsi="Times New Roman" w:cs="Times New Roman"/>
          <w:sz w:val="24"/>
          <w:szCs w:val="24"/>
        </w:rPr>
        <w:t xml:space="preserve"> UTI Agar, the isolates produced pink to purple colonies with an adjacent halo, a distinctive characteristic of </w:t>
      </w:r>
      <w:r w:rsidR="00D206F4" w:rsidRPr="00D206F4">
        <w:rPr>
          <w:rStyle w:val="ai-insert"/>
          <w:rFonts w:ascii="Times New Roman" w:hAnsi="Times New Roman" w:cs="Times New Roman"/>
          <w:i/>
          <w:iCs/>
          <w:sz w:val="24"/>
          <w:szCs w:val="24"/>
        </w:rPr>
        <w:t>Escherichia coli</w:t>
      </w:r>
      <w:r w:rsidRPr="00E62FE1">
        <w:rPr>
          <w:rStyle w:val="ai-insert"/>
          <w:rFonts w:ascii="Times New Roman" w:hAnsi="Times New Roman" w:cs="Times New Roman"/>
          <w:sz w:val="24"/>
          <w:szCs w:val="24"/>
        </w:rPr>
        <w:t>. Biochemical identification conducted with the VITEK 2 Compact system confirmed their identity with high confidence scores. Silver nanoparticles (</w:t>
      </w:r>
      <w:proofErr w:type="spellStart"/>
      <w:r w:rsidRPr="00E62FE1">
        <w:rPr>
          <w:rStyle w:val="ai-insert"/>
          <w:rFonts w:ascii="Times New Roman" w:hAnsi="Times New Roman" w:cs="Times New Roman"/>
          <w:sz w:val="24"/>
          <w:szCs w:val="24"/>
        </w:rPr>
        <w:t>AgNPs</w:t>
      </w:r>
      <w:proofErr w:type="spellEnd"/>
      <w:r w:rsidRPr="00E62FE1">
        <w:rPr>
          <w:rStyle w:val="ai-insert"/>
          <w:rFonts w:ascii="Times New Roman" w:hAnsi="Times New Roman" w:cs="Times New Roman"/>
          <w:sz w:val="24"/>
          <w:szCs w:val="24"/>
        </w:rPr>
        <w:t>) and iron oxide nanoparticles (</w:t>
      </w:r>
      <w:proofErr w:type="spellStart"/>
      <w:r w:rsidRPr="00E62FE1">
        <w:rPr>
          <w:rStyle w:val="ai-insert"/>
          <w:rFonts w:ascii="Times New Roman" w:hAnsi="Times New Roman" w:cs="Times New Roman"/>
          <w:sz w:val="24"/>
          <w:szCs w:val="24"/>
        </w:rPr>
        <w:t>FeONPs</w:t>
      </w:r>
      <w:proofErr w:type="spellEnd"/>
      <w:r w:rsidRPr="00E62FE1">
        <w:rPr>
          <w:rStyle w:val="ai-insert"/>
          <w:rFonts w:ascii="Times New Roman" w:hAnsi="Times New Roman" w:cs="Times New Roman"/>
          <w:sz w:val="24"/>
          <w:szCs w:val="24"/>
        </w:rPr>
        <w:t xml:space="preserve">) were obtained in their pure form and formulated as stock suspensions in DMSO. Sonication ensured that the particles were evenly dispersed before use. EDAX analysis confirmed that  </w:t>
      </w:r>
      <w:proofErr w:type="spellStart"/>
      <w:r w:rsidRPr="00E62FE1">
        <w:rPr>
          <w:rStyle w:val="ai-insert"/>
          <w:rFonts w:ascii="Times New Roman" w:hAnsi="Times New Roman" w:cs="Times New Roman"/>
          <w:sz w:val="24"/>
          <w:szCs w:val="24"/>
        </w:rPr>
        <w:t>AgNPs</w:t>
      </w:r>
      <w:proofErr w:type="spellEnd"/>
      <w:r w:rsidRPr="00E62FE1">
        <w:rPr>
          <w:rStyle w:val="ai-insert"/>
          <w:rFonts w:ascii="Times New Roman" w:hAnsi="Times New Roman" w:cs="Times New Roman"/>
          <w:sz w:val="24"/>
          <w:szCs w:val="24"/>
        </w:rPr>
        <w:t xml:space="preserve"> showed up to 100% silver purity</w:t>
      </w:r>
      <w:r w:rsidR="000E6EFF">
        <w:rPr>
          <w:rStyle w:val="ai-insert"/>
          <w:rFonts w:ascii="Times New Roman" w:hAnsi="Times New Roman" w:cs="Times New Roman"/>
          <w:sz w:val="24"/>
          <w:szCs w:val="24"/>
        </w:rPr>
        <w:t xml:space="preserve"> (Figure 2A)while  FeO nanoparticles contained 25.6–28.0% oxygen and 72.0–74.4% iron (Figure 2B)</w:t>
      </w:r>
      <w:r w:rsidRPr="00E62FE1">
        <w:rPr>
          <w:rStyle w:val="ai-insert"/>
          <w:rFonts w:ascii="Times New Roman" w:hAnsi="Times New Roman" w:cs="Times New Roman"/>
          <w:sz w:val="24"/>
          <w:szCs w:val="24"/>
        </w:rPr>
        <w:t xml:space="preserve">. SEM imaging revealed that </w:t>
      </w:r>
      <w:r w:rsidR="000E6EFF">
        <w:rPr>
          <w:rStyle w:val="ai-insert"/>
          <w:rFonts w:ascii="Times New Roman" w:hAnsi="Times New Roman" w:cs="Times New Roman"/>
          <w:sz w:val="24"/>
          <w:szCs w:val="24"/>
        </w:rPr>
        <w:t xml:space="preserve">the average particle size of </w:t>
      </w:r>
      <w:proofErr w:type="spellStart"/>
      <w:r w:rsidR="000E6EFF">
        <w:rPr>
          <w:rStyle w:val="ai-insert"/>
          <w:rFonts w:ascii="Times New Roman" w:hAnsi="Times New Roman" w:cs="Times New Roman"/>
          <w:sz w:val="24"/>
          <w:szCs w:val="24"/>
        </w:rPr>
        <w:t>AgNPs</w:t>
      </w:r>
      <w:proofErr w:type="spellEnd"/>
      <w:r w:rsidR="000E6EFF">
        <w:rPr>
          <w:rStyle w:val="ai-insert"/>
          <w:rFonts w:ascii="Times New Roman" w:hAnsi="Times New Roman" w:cs="Times New Roman"/>
          <w:sz w:val="24"/>
          <w:szCs w:val="24"/>
        </w:rPr>
        <w:t xml:space="preserve"> was 6.66 nm and that of FeO nanoparticles was 78.63 nm, with both types primarily exhibiting a spherical shape, as </w:t>
      </w:r>
      <w:r w:rsidRPr="00E62FE1">
        <w:rPr>
          <w:rStyle w:val="ai-insert"/>
          <w:rFonts w:ascii="Times New Roman" w:hAnsi="Times New Roman" w:cs="Times New Roman"/>
          <w:sz w:val="24"/>
          <w:szCs w:val="24"/>
        </w:rPr>
        <w:t>captured at an accelerating voltage of 20 kV. Working concentrations ranging from 5 to 100 µg/mL were freshly prepared for the antibiofilm assay.</w:t>
      </w:r>
    </w:p>
    <w:p w14:paraId="454F4C19" w14:textId="77777777" w:rsidR="00F748C3" w:rsidRPr="00232150" w:rsidRDefault="00F748C3" w:rsidP="005C7441">
      <w:pPr>
        <w:pStyle w:val="Heading3"/>
        <w:spacing w:line="480" w:lineRule="auto"/>
        <w:rPr>
          <w:sz w:val="24"/>
          <w:szCs w:val="24"/>
          <w:u w:val="single"/>
        </w:rPr>
      </w:pPr>
      <w:r w:rsidRPr="00232150">
        <w:rPr>
          <w:sz w:val="24"/>
          <w:szCs w:val="24"/>
          <w:u w:val="single"/>
        </w:rPr>
        <w:t>Antibiofilm Activity of Silver and Iron Oxide Nanoparticles</w:t>
      </w:r>
    </w:p>
    <w:p w14:paraId="0E272BA2" w14:textId="3DDDB43D" w:rsidR="00F748C3" w:rsidRPr="00E62FE1" w:rsidRDefault="00F748C3" w:rsidP="005C7441">
      <w:pPr>
        <w:pStyle w:val="NormalWeb"/>
        <w:spacing w:line="480" w:lineRule="auto"/>
        <w:jc w:val="both"/>
      </w:pPr>
      <w:r w:rsidRPr="00E62FE1">
        <w:rPr>
          <w:rStyle w:val="ai-insert"/>
        </w:rPr>
        <w:t>The antibiofilm efficacy of silver nanoparticles (</w:t>
      </w:r>
      <w:proofErr w:type="spellStart"/>
      <w:r w:rsidRPr="00E62FE1">
        <w:rPr>
          <w:rStyle w:val="ai-insert"/>
        </w:rPr>
        <w:t>AgNPs</w:t>
      </w:r>
      <w:proofErr w:type="spellEnd"/>
      <w:r w:rsidRPr="00E62FE1">
        <w:rPr>
          <w:rStyle w:val="ai-insert"/>
        </w:rPr>
        <w:t>) and iron oxide nanoparticles (</w:t>
      </w:r>
      <w:proofErr w:type="spellStart"/>
      <w:r w:rsidRPr="00E62FE1">
        <w:rPr>
          <w:rStyle w:val="ai-insert"/>
        </w:rPr>
        <w:t>FeONPs</w:t>
      </w:r>
      <w:proofErr w:type="spellEnd"/>
      <w:r w:rsidRPr="00E62FE1">
        <w:rPr>
          <w:rStyle w:val="ai-insert"/>
        </w:rPr>
        <w:t xml:space="preserve">) against </w:t>
      </w:r>
      <w:r w:rsidR="00BB58F0" w:rsidRPr="00E62FE1">
        <w:rPr>
          <w:rStyle w:val="ai-insert"/>
          <w:i/>
          <w:iCs/>
        </w:rPr>
        <w:t>Escherichia coli</w:t>
      </w:r>
      <w:r w:rsidR="00BB58F0" w:rsidRPr="00E62FE1">
        <w:rPr>
          <w:rStyle w:val="ai-insert"/>
        </w:rPr>
        <w:t xml:space="preserve"> </w:t>
      </w:r>
      <w:r w:rsidRPr="00E62FE1">
        <w:rPr>
          <w:rStyle w:val="ai-insert"/>
        </w:rPr>
        <w:t xml:space="preserve">isolates is presented in Table 1. </w:t>
      </w:r>
      <w:proofErr w:type="spellStart"/>
      <w:r w:rsidRPr="00E62FE1">
        <w:rPr>
          <w:rStyle w:val="ai-insert"/>
        </w:rPr>
        <w:t>AgNPs</w:t>
      </w:r>
      <w:proofErr w:type="spellEnd"/>
      <w:r w:rsidRPr="00E62FE1">
        <w:rPr>
          <w:rStyle w:val="ai-insert"/>
        </w:rPr>
        <w:t xml:space="preserve"> demonstrated a significantly </w:t>
      </w:r>
      <w:r w:rsidRPr="00E62FE1">
        <w:rPr>
          <w:rStyle w:val="ai-insert"/>
        </w:rPr>
        <w:lastRenderedPageBreak/>
        <w:t xml:space="preserve">higher inhibitory capacity compared to </w:t>
      </w:r>
      <w:proofErr w:type="spellStart"/>
      <w:r w:rsidRPr="00E62FE1">
        <w:rPr>
          <w:rStyle w:val="ai-insert"/>
        </w:rPr>
        <w:t>FeONPs</w:t>
      </w:r>
      <w:proofErr w:type="spellEnd"/>
      <w:r w:rsidRPr="00E62FE1">
        <w:rPr>
          <w:rStyle w:val="ai-insert"/>
        </w:rPr>
        <w:t xml:space="preserve"> across all concentrations tested. At a concentration of 5 µg/mL, </w:t>
      </w:r>
      <w:proofErr w:type="spellStart"/>
      <w:r w:rsidRPr="00E62FE1">
        <w:rPr>
          <w:rStyle w:val="ai-insert"/>
        </w:rPr>
        <w:t>AgNPs</w:t>
      </w:r>
      <w:proofErr w:type="spellEnd"/>
      <w:r w:rsidRPr="00E62FE1">
        <w:rPr>
          <w:rStyle w:val="ai-insert"/>
        </w:rPr>
        <w:t xml:space="preserve"> achieved an inhibition rate of 65.35 ± 6.26%, which progressively increased to 92.38 ± 3.85% at 100 µg/</w:t>
      </w:r>
      <w:proofErr w:type="spellStart"/>
      <w:r w:rsidRPr="00E62FE1">
        <w:rPr>
          <w:rStyle w:val="ai-insert"/>
        </w:rPr>
        <w:t>mL.</w:t>
      </w:r>
      <w:proofErr w:type="spellEnd"/>
      <w:r w:rsidRPr="00E62FE1">
        <w:rPr>
          <w:rStyle w:val="ai-insert"/>
        </w:rPr>
        <w:t xml:space="preserve"> Conversely, </w:t>
      </w:r>
      <w:proofErr w:type="spellStart"/>
      <w:r w:rsidRPr="00E62FE1">
        <w:rPr>
          <w:rStyle w:val="ai-insert"/>
        </w:rPr>
        <w:t>FeONPs</w:t>
      </w:r>
      <w:proofErr w:type="spellEnd"/>
      <w:r w:rsidRPr="00E62FE1">
        <w:rPr>
          <w:rStyle w:val="ai-insert"/>
        </w:rPr>
        <w:t xml:space="preserve"> exhibited considerably lower inhibition at lower concentrations, with only 12.15 ± 4.93% inhibition at 5 µg/</w:t>
      </w:r>
      <w:proofErr w:type="spellStart"/>
      <w:r w:rsidRPr="00E62FE1">
        <w:rPr>
          <w:rStyle w:val="ai-insert"/>
        </w:rPr>
        <w:t>mL.</w:t>
      </w:r>
      <w:proofErr w:type="spellEnd"/>
      <w:r w:rsidRPr="00E62FE1">
        <w:rPr>
          <w:rStyle w:val="ai-insert"/>
        </w:rPr>
        <w:t xml:space="preserve"> However, their inhibitory activity gradually increased, reaching 63.47 ± 17.28% at a concentration of 100 µg/</w:t>
      </w:r>
      <w:proofErr w:type="spellStart"/>
      <w:r w:rsidRPr="00E62FE1">
        <w:rPr>
          <w:rStyle w:val="ai-insert"/>
        </w:rPr>
        <w:t>mL.</w:t>
      </w:r>
      <w:proofErr w:type="spellEnd"/>
      <w:r w:rsidRPr="00E62FE1">
        <w:rPr>
          <w:rStyle w:val="ai-insert"/>
        </w:rPr>
        <w:t xml:space="preserve"> The </w:t>
      </w:r>
      <w:r w:rsidR="00CA2099" w:rsidRPr="00E62FE1">
        <w:rPr>
          <w:rStyle w:val="ai-insert"/>
        </w:rPr>
        <w:t xml:space="preserve">concentration-response trends </w:t>
      </w:r>
      <w:r w:rsidRPr="00E62FE1">
        <w:rPr>
          <w:rStyle w:val="ai-insert"/>
        </w:rPr>
        <w:t xml:space="preserve">indicate that </w:t>
      </w:r>
      <w:proofErr w:type="spellStart"/>
      <w:r w:rsidRPr="00E62FE1">
        <w:rPr>
          <w:rStyle w:val="ai-insert"/>
        </w:rPr>
        <w:t>AgNPs</w:t>
      </w:r>
      <w:proofErr w:type="spellEnd"/>
      <w:r w:rsidRPr="00E62FE1">
        <w:rPr>
          <w:rStyle w:val="ai-insert"/>
        </w:rPr>
        <w:t xml:space="preserve"> achieved more than 70% inhibition at a concentration of 30 µg/</w:t>
      </w:r>
      <w:proofErr w:type="spellStart"/>
      <w:r w:rsidRPr="00E62FE1">
        <w:rPr>
          <w:rStyle w:val="ai-insert"/>
        </w:rPr>
        <w:t>mL.</w:t>
      </w:r>
      <w:proofErr w:type="spellEnd"/>
      <w:r w:rsidRPr="00E62FE1">
        <w:rPr>
          <w:rStyle w:val="ai-insert"/>
        </w:rPr>
        <w:t xml:space="preserve"> In contrast, </w:t>
      </w:r>
      <w:proofErr w:type="spellStart"/>
      <w:r w:rsidRPr="00E62FE1">
        <w:rPr>
          <w:rStyle w:val="ai-insert"/>
        </w:rPr>
        <w:t>FeONPs</w:t>
      </w:r>
      <w:proofErr w:type="spellEnd"/>
      <w:r w:rsidRPr="00E62FE1">
        <w:rPr>
          <w:rStyle w:val="ai-insert"/>
        </w:rPr>
        <w:t xml:space="preserve"> required concentrations of 80 µg/mL or higher to attain similar levels of inhibition.</w:t>
      </w:r>
    </w:p>
    <w:p w14:paraId="0FC1A372" w14:textId="6E1EBBE0" w:rsidR="00F748C3" w:rsidRPr="00E62FE1" w:rsidRDefault="00F748C3" w:rsidP="005C7441">
      <w:pPr>
        <w:pStyle w:val="Heading3"/>
        <w:spacing w:line="480" w:lineRule="auto"/>
        <w:jc w:val="both"/>
        <w:rPr>
          <w:b w:val="0"/>
          <w:bCs w:val="0"/>
          <w:sz w:val="24"/>
          <w:szCs w:val="24"/>
        </w:rPr>
      </w:pPr>
      <w:r w:rsidRPr="00E62FE1">
        <w:rPr>
          <w:rStyle w:val="ai-insert"/>
          <w:b w:val="0"/>
          <w:bCs w:val="0"/>
          <w:sz w:val="24"/>
          <w:szCs w:val="24"/>
        </w:rPr>
        <w:t xml:space="preserve">The Minimum Biofilm Inhibitory Concentrations (MBIC) for individual isolates are detailed in Table </w:t>
      </w:r>
      <w:r w:rsidR="00CA2099" w:rsidRPr="00E62FE1">
        <w:rPr>
          <w:rStyle w:val="ai-insert"/>
          <w:b w:val="0"/>
          <w:bCs w:val="0"/>
          <w:sz w:val="24"/>
          <w:szCs w:val="24"/>
        </w:rPr>
        <w:t>2</w:t>
      </w:r>
      <w:r w:rsidRPr="00E62FE1">
        <w:rPr>
          <w:rStyle w:val="ai-insert"/>
          <w:b w:val="0"/>
          <w:bCs w:val="0"/>
          <w:sz w:val="24"/>
          <w:szCs w:val="24"/>
        </w:rPr>
        <w:t>. Silver nanoparticles (</w:t>
      </w:r>
      <w:proofErr w:type="spellStart"/>
      <w:r w:rsidRPr="00E62FE1">
        <w:rPr>
          <w:rStyle w:val="ai-insert"/>
          <w:b w:val="0"/>
          <w:bCs w:val="0"/>
          <w:sz w:val="24"/>
          <w:szCs w:val="24"/>
        </w:rPr>
        <w:t>AgNPs</w:t>
      </w:r>
      <w:proofErr w:type="spellEnd"/>
      <w:r w:rsidRPr="00E62FE1">
        <w:rPr>
          <w:rStyle w:val="ai-insert"/>
          <w:b w:val="0"/>
          <w:bCs w:val="0"/>
          <w:sz w:val="24"/>
          <w:szCs w:val="24"/>
        </w:rPr>
        <w:t xml:space="preserve">) exhibited </w:t>
      </w:r>
      <w:r w:rsidR="00BB58F0" w:rsidRPr="00E62FE1">
        <w:rPr>
          <w:rStyle w:val="ai-insert"/>
          <w:b w:val="0"/>
          <w:bCs w:val="0"/>
          <w:sz w:val="24"/>
          <w:szCs w:val="24"/>
        </w:rPr>
        <w:t>an</w:t>
      </w:r>
      <w:r w:rsidRPr="00E62FE1">
        <w:rPr>
          <w:rStyle w:val="ai-insert"/>
          <w:b w:val="0"/>
          <w:bCs w:val="0"/>
          <w:sz w:val="24"/>
          <w:szCs w:val="24"/>
        </w:rPr>
        <w:t xml:space="preserve"> MBIC₅₀ </w:t>
      </w:r>
      <w:r w:rsidR="00766986" w:rsidRPr="00E62FE1">
        <w:rPr>
          <w:rStyle w:val="ai-insert"/>
          <w:b w:val="0"/>
          <w:bCs w:val="0"/>
          <w:sz w:val="24"/>
          <w:szCs w:val="24"/>
        </w:rPr>
        <w:t>(</w:t>
      </w:r>
      <w:r w:rsidR="00CC467D">
        <w:rPr>
          <w:rStyle w:val="ai-insert"/>
          <w:b w:val="0"/>
          <w:bCs w:val="0"/>
          <w:sz w:val="24"/>
          <w:szCs w:val="24"/>
        </w:rPr>
        <w:t>G</w:t>
      </w:r>
      <w:r w:rsidR="00766986" w:rsidRPr="00E62FE1">
        <w:rPr>
          <w:rStyle w:val="ai-insert"/>
          <w:b w:val="0"/>
          <w:bCs w:val="0"/>
          <w:sz w:val="24"/>
          <w:szCs w:val="24"/>
        </w:rPr>
        <w:t>raph 1)</w:t>
      </w:r>
      <w:r w:rsidR="001F10D5" w:rsidRPr="00E62FE1">
        <w:rPr>
          <w:rStyle w:val="ai-insert"/>
          <w:b w:val="0"/>
          <w:bCs w:val="0"/>
          <w:sz w:val="24"/>
          <w:szCs w:val="24"/>
        </w:rPr>
        <w:t xml:space="preserve"> </w:t>
      </w:r>
      <w:r w:rsidRPr="00E62FE1">
        <w:rPr>
          <w:rStyle w:val="ai-insert"/>
          <w:b w:val="0"/>
          <w:bCs w:val="0"/>
          <w:sz w:val="24"/>
          <w:szCs w:val="24"/>
        </w:rPr>
        <w:t>at the lowest tested concentration of 5 µg/mL for all isolates, with MBIC₉₀ values ranging from 90 to 100 µg/</w:t>
      </w:r>
      <w:proofErr w:type="spellStart"/>
      <w:r w:rsidRPr="00E62FE1">
        <w:rPr>
          <w:rStyle w:val="ai-insert"/>
          <w:b w:val="0"/>
          <w:bCs w:val="0"/>
          <w:sz w:val="24"/>
          <w:szCs w:val="24"/>
        </w:rPr>
        <w:t>mL.</w:t>
      </w:r>
      <w:proofErr w:type="spellEnd"/>
      <w:r w:rsidRPr="00E62FE1">
        <w:rPr>
          <w:rStyle w:val="ai-insert"/>
          <w:b w:val="0"/>
          <w:bCs w:val="0"/>
          <w:sz w:val="24"/>
          <w:szCs w:val="24"/>
        </w:rPr>
        <w:t xml:space="preserve"> Conversely, iron oxide nanoparticles (</w:t>
      </w:r>
      <w:proofErr w:type="spellStart"/>
      <w:r w:rsidRPr="00E62FE1">
        <w:rPr>
          <w:rStyle w:val="ai-insert"/>
          <w:b w:val="0"/>
          <w:bCs w:val="0"/>
          <w:sz w:val="24"/>
          <w:szCs w:val="24"/>
        </w:rPr>
        <w:t>FeONPs</w:t>
      </w:r>
      <w:proofErr w:type="spellEnd"/>
      <w:r w:rsidRPr="00E62FE1">
        <w:rPr>
          <w:rStyle w:val="ai-insert"/>
          <w:b w:val="0"/>
          <w:bCs w:val="0"/>
          <w:sz w:val="24"/>
          <w:szCs w:val="24"/>
        </w:rPr>
        <w:t xml:space="preserve">) demonstrated higher MBIC thresholds, with MBIC₅₀ values </w:t>
      </w:r>
      <w:r w:rsidR="00BB58F0" w:rsidRPr="00E62FE1">
        <w:rPr>
          <w:rStyle w:val="ai-insert"/>
          <w:b w:val="0"/>
          <w:bCs w:val="0"/>
          <w:sz w:val="24"/>
          <w:szCs w:val="24"/>
        </w:rPr>
        <w:t>ranging from 40 to</w:t>
      </w:r>
      <w:r w:rsidRPr="00E62FE1">
        <w:rPr>
          <w:rStyle w:val="ai-insert"/>
          <w:b w:val="0"/>
          <w:bCs w:val="0"/>
          <w:sz w:val="24"/>
          <w:szCs w:val="24"/>
        </w:rPr>
        <w:t xml:space="preserve"> 80 µg/</w:t>
      </w:r>
      <w:proofErr w:type="spellStart"/>
      <w:r w:rsidRPr="00E62FE1">
        <w:rPr>
          <w:rStyle w:val="ai-insert"/>
          <w:b w:val="0"/>
          <w:bCs w:val="0"/>
          <w:sz w:val="24"/>
          <w:szCs w:val="24"/>
        </w:rPr>
        <w:t>mL.</w:t>
      </w:r>
      <w:proofErr w:type="spellEnd"/>
      <w:r w:rsidRPr="00E62FE1">
        <w:rPr>
          <w:rStyle w:val="ai-insert"/>
          <w:b w:val="0"/>
          <w:bCs w:val="0"/>
          <w:sz w:val="24"/>
          <w:szCs w:val="24"/>
        </w:rPr>
        <w:t xml:space="preserve"> Notably, only one isolate, ECU58, achieved </w:t>
      </w:r>
      <w:r w:rsidR="00BB58F0" w:rsidRPr="00E62FE1">
        <w:rPr>
          <w:rStyle w:val="ai-insert"/>
          <w:b w:val="0"/>
          <w:bCs w:val="0"/>
          <w:sz w:val="24"/>
          <w:szCs w:val="24"/>
        </w:rPr>
        <w:t xml:space="preserve">an MBIC₉₀ at 90 µg/mL, while most other isolates did not reach an </w:t>
      </w:r>
      <w:r w:rsidRPr="00E62FE1">
        <w:rPr>
          <w:rStyle w:val="ai-insert"/>
          <w:b w:val="0"/>
          <w:bCs w:val="0"/>
          <w:sz w:val="24"/>
          <w:szCs w:val="24"/>
        </w:rPr>
        <w:t xml:space="preserve">MBIC₉₀ within the tested range. These results substantiate the superior </w:t>
      </w:r>
      <w:proofErr w:type="spellStart"/>
      <w:r w:rsidRPr="00E62FE1">
        <w:rPr>
          <w:rStyle w:val="ai-insert"/>
          <w:b w:val="0"/>
          <w:bCs w:val="0"/>
          <w:sz w:val="24"/>
          <w:szCs w:val="24"/>
        </w:rPr>
        <w:t>antibiofilm</w:t>
      </w:r>
      <w:proofErr w:type="spellEnd"/>
      <w:r w:rsidRPr="00E62FE1">
        <w:rPr>
          <w:rStyle w:val="ai-insert"/>
          <w:b w:val="0"/>
          <w:bCs w:val="0"/>
          <w:sz w:val="24"/>
          <w:szCs w:val="24"/>
        </w:rPr>
        <w:t xml:space="preserve"> efficacy of </w:t>
      </w:r>
      <w:proofErr w:type="spellStart"/>
      <w:r w:rsidRPr="00E62FE1">
        <w:rPr>
          <w:rStyle w:val="ai-insert"/>
          <w:b w:val="0"/>
          <w:bCs w:val="0"/>
          <w:sz w:val="24"/>
          <w:szCs w:val="24"/>
        </w:rPr>
        <w:t>AgNPs</w:t>
      </w:r>
      <w:proofErr w:type="spellEnd"/>
      <w:r w:rsidRPr="00E62FE1">
        <w:rPr>
          <w:rStyle w:val="ai-insert"/>
          <w:b w:val="0"/>
          <w:bCs w:val="0"/>
          <w:sz w:val="24"/>
          <w:szCs w:val="24"/>
        </w:rPr>
        <w:t xml:space="preserve"> compared to </w:t>
      </w:r>
      <w:proofErr w:type="spellStart"/>
      <w:r w:rsidRPr="00E62FE1">
        <w:rPr>
          <w:rStyle w:val="ai-insert"/>
          <w:b w:val="0"/>
          <w:bCs w:val="0"/>
          <w:sz w:val="24"/>
          <w:szCs w:val="24"/>
        </w:rPr>
        <w:t>FeONPs</w:t>
      </w:r>
      <w:proofErr w:type="spellEnd"/>
      <w:r w:rsidRPr="00E62FE1">
        <w:rPr>
          <w:rStyle w:val="ai-insert"/>
          <w:b w:val="0"/>
          <w:bCs w:val="0"/>
          <w:sz w:val="24"/>
          <w:szCs w:val="24"/>
        </w:rPr>
        <w:t>.</w:t>
      </w:r>
    </w:p>
    <w:p w14:paraId="12A80BBB" w14:textId="77777777" w:rsidR="00F748C3" w:rsidRPr="00232150" w:rsidRDefault="00F748C3" w:rsidP="005C7441">
      <w:pPr>
        <w:pStyle w:val="Heading3"/>
        <w:spacing w:line="480" w:lineRule="auto"/>
        <w:jc w:val="both"/>
        <w:rPr>
          <w:sz w:val="24"/>
          <w:szCs w:val="24"/>
          <w:u w:val="single"/>
        </w:rPr>
      </w:pPr>
      <w:r w:rsidRPr="00232150">
        <w:rPr>
          <w:sz w:val="24"/>
          <w:szCs w:val="24"/>
          <w:u w:val="single"/>
        </w:rPr>
        <w:t>Comparative Efficacy Analysis</w:t>
      </w:r>
    </w:p>
    <w:p w14:paraId="5D11D19A" w14:textId="56FFF79D" w:rsidR="00DC06CF" w:rsidRPr="00E62FE1" w:rsidRDefault="008A1DBF" w:rsidP="005C7441">
      <w:pPr>
        <w:pStyle w:val="NormalWeb"/>
        <w:spacing w:line="480" w:lineRule="auto"/>
        <w:jc w:val="both"/>
      </w:pPr>
      <w:r w:rsidRPr="00E62FE1">
        <w:t>The biofilm inhibition profile of Silver and iron oxide nanoparticles (</w:t>
      </w:r>
      <w:r w:rsidR="00CC467D">
        <w:t>G</w:t>
      </w:r>
      <w:r w:rsidRPr="00E62FE1">
        <w:t>raph 2) across various concentrations indicates</w:t>
      </w:r>
      <w:r w:rsidR="00F748C3" w:rsidRPr="00E62FE1">
        <w:rPr>
          <w:rStyle w:val="ai-insert"/>
        </w:rPr>
        <w:t xml:space="preserve"> that silver nanoparticles (</w:t>
      </w:r>
      <w:proofErr w:type="spellStart"/>
      <w:r w:rsidR="00F748C3" w:rsidRPr="00E62FE1">
        <w:rPr>
          <w:rStyle w:val="ai-insert"/>
        </w:rPr>
        <w:t>AgNPs</w:t>
      </w:r>
      <w:proofErr w:type="spellEnd"/>
      <w:r w:rsidR="00F748C3" w:rsidRPr="00E62FE1">
        <w:rPr>
          <w:rStyle w:val="ai-insert"/>
        </w:rPr>
        <w:t>) exhibit rapid and consistent antibiofilm activity, achieving over 70% inhibition at relatively low concentrations. Conversely, iron oxide nanoparticles (</w:t>
      </w:r>
      <w:proofErr w:type="spellStart"/>
      <w:r w:rsidR="00F748C3" w:rsidRPr="00E62FE1">
        <w:rPr>
          <w:rStyle w:val="ai-insert"/>
        </w:rPr>
        <w:t>FeONPs</w:t>
      </w:r>
      <w:proofErr w:type="spellEnd"/>
      <w:r w:rsidR="00F748C3" w:rsidRPr="00E62FE1">
        <w:rPr>
          <w:rStyle w:val="ai-insert"/>
        </w:rPr>
        <w:t xml:space="preserve">) display a slower and more variable response. </w:t>
      </w:r>
      <w:r w:rsidR="00231F97" w:rsidRPr="00E62FE1">
        <w:rPr>
          <w:rStyle w:val="ai-insert"/>
        </w:rPr>
        <w:t>Further</w:t>
      </w:r>
      <w:r w:rsidR="00F748C3" w:rsidRPr="00E62FE1">
        <w:rPr>
          <w:rStyle w:val="ai-insert"/>
        </w:rPr>
        <w:t xml:space="preserve"> demonstrates that </w:t>
      </w:r>
      <w:proofErr w:type="spellStart"/>
      <w:r w:rsidR="00F748C3" w:rsidRPr="00E62FE1">
        <w:rPr>
          <w:rStyle w:val="ai-insert"/>
        </w:rPr>
        <w:t>AgNPs</w:t>
      </w:r>
      <w:proofErr w:type="spellEnd"/>
      <w:r w:rsidR="00F748C3" w:rsidRPr="00E62FE1">
        <w:rPr>
          <w:rStyle w:val="ai-insert"/>
        </w:rPr>
        <w:t xml:space="preserve"> maintain high inhibition levels (greater than 80%) across most isolates at moderate to high </w:t>
      </w:r>
      <w:r w:rsidR="00F748C3" w:rsidRPr="00E62FE1">
        <w:rPr>
          <w:rStyle w:val="ai-insert"/>
        </w:rPr>
        <w:lastRenderedPageBreak/>
        <w:t xml:space="preserve">concentrations. In contrast, </w:t>
      </w:r>
      <w:proofErr w:type="spellStart"/>
      <w:r w:rsidR="00F748C3" w:rsidRPr="00E62FE1">
        <w:rPr>
          <w:rStyle w:val="ai-insert"/>
        </w:rPr>
        <w:t>FeONPs</w:t>
      </w:r>
      <w:proofErr w:type="spellEnd"/>
      <w:r w:rsidR="00F748C3" w:rsidRPr="00E62FE1">
        <w:rPr>
          <w:rStyle w:val="ai-insert"/>
        </w:rPr>
        <w:t xml:space="preserve"> </w:t>
      </w:r>
      <w:r w:rsidR="00BB58F0" w:rsidRPr="00E62FE1">
        <w:rPr>
          <w:rStyle w:val="ai-insert"/>
        </w:rPr>
        <w:t>exhibit variability dependent on the isolate, with some strains showing only moderate inhibition,</w:t>
      </w:r>
      <w:r w:rsidR="00F748C3" w:rsidRPr="00E62FE1">
        <w:rPr>
          <w:rStyle w:val="ai-insert"/>
        </w:rPr>
        <w:t xml:space="preserve"> even at maximum concentrations.</w:t>
      </w:r>
    </w:p>
    <w:tbl>
      <w:tblPr>
        <w:tblStyle w:val="TableGrid"/>
        <w:tblW w:w="9498" w:type="dxa"/>
        <w:tblInd w:w="-5" w:type="dxa"/>
        <w:tblLook w:val="04A0" w:firstRow="1" w:lastRow="0" w:firstColumn="1" w:lastColumn="0" w:noHBand="0" w:noVBand="1"/>
      </w:tblPr>
      <w:tblGrid>
        <w:gridCol w:w="2515"/>
        <w:gridCol w:w="3245"/>
        <w:gridCol w:w="3738"/>
      </w:tblGrid>
      <w:tr w:rsidR="00BC5EB4" w:rsidRPr="00E62FE1" w14:paraId="72BF081E" w14:textId="77777777" w:rsidTr="00FF77BC">
        <w:trPr>
          <w:trHeight w:val="291"/>
        </w:trPr>
        <w:tc>
          <w:tcPr>
            <w:tcW w:w="9498" w:type="dxa"/>
            <w:gridSpan w:val="3"/>
          </w:tcPr>
          <w:p w14:paraId="013BEB50" w14:textId="5E8618BA" w:rsidR="00BC5EB4" w:rsidRPr="00E62FE1" w:rsidRDefault="00CC467D" w:rsidP="005C744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Table 1: </w:t>
            </w:r>
            <w:r w:rsidR="00BC5EB4" w:rsidRPr="00E62FE1">
              <w:rPr>
                <w:rFonts w:ascii="Times New Roman" w:hAnsi="Times New Roman" w:cs="Times New Roman"/>
                <w:sz w:val="24"/>
                <w:szCs w:val="24"/>
              </w:rPr>
              <w:t>Antibiofilm Activity of Silver and Iron Oxide Nanoparticles</w:t>
            </w:r>
          </w:p>
        </w:tc>
      </w:tr>
      <w:tr w:rsidR="00BC5EB4" w:rsidRPr="00E62FE1" w14:paraId="74993C61" w14:textId="77777777" w:rsidTr="00FF77BC">
        <w:trPr>
          <w:trHeight w:val="327"/>
        </w:trPr>
        <w:tc>
          <w:tcPr>
            <w:tcW w:w="2515" w:type="dxa"/>
          </w:tcPr>
          <w:p w14:paraId="471B03B3"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Concentration (µg/mL)</w:t>
            </w:r>
          </w:p>
        </w:tc>
        <w:tc>
          <w:tcPr>
            <w:tcW w:w="3245" w:type="dxa"/>
          </w:tcPr>
          <w:p w14:paraId="7269B361"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Silver (% Inhibition ± SD)</w:t>
            </w:r>
          </w:p>
        </w:tc>
        <w:tc>
          <w:tcPr>
            <w:tcW w:w="3738" w:type="dxa"/>
          </w:tcPr>
          <w:p w14:paraId="5C1389C5" w14:textId="77777777" w:rsidR="00BC5EB4" w:rsidRPr="00E62FE1" w:rsidRDefault="00BC5EB4"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Iron Oxide (% Inhibition ± SD)</w:t>
            </w:r>
          </w:p>
        </w:tc>
      </w:tr>
      <w:tr w:rsidR="00BC5EB4" w:rsidRPr="00E62FE1" w14:paraId="159AE99E" w14:textId="77777777" w:rsidTr="00FF77BC">
        <w:tc>
          <w:tcPr>
            <w:tcW w:w="2515" w:type="dxa"/>
          </w:tcPr>
          <w:p w14:paraId="35AE5212"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3245" w:type="dxa"/>
          </w:tcPr>
          <w:p w14:paraId="7B8F47B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65.35 ± 6.26</w:t>
            </w:r>
          </w:p>
        </w:tc>
        <w:tc>
          <w:tcPr>
            <w:tcW w:w="3738" w:type="dxa"/>
          </w:tcPr>
          <w:p w14:paraId="42BE3242"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12.15 ± 4.93</w:t>
            </w:r>
          </w:p>
        </w:tc>
      </w:tr>
      <w:tr w:rsidR="00BC5EB4" w:rsidRPr="00E62FE1" w14:paraId="30C7B80E" w14:textId="77777777" w:rsidTr="00FF77BC">
        <w:tc>
          <w:tcPr>
            <w:tcW w:w="2515" w:type="dxa"/>
          </w:tcPr>
          <w:p w14:paraId="73010B7E"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w:t>
            </w:r>
          </w:p>
        </w:tc>
        <w:tc>
          <w:tcPr>
            <w:tcW w:w="3245" w:type="dxa"/>
          </w:tcPr>
          <w:p w14:paraId="0A22CA5A"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66.51 ± 5.58</w:t>
            </w:r>
          </w:p>
        </w:tc>
        <w:tc>
          <w:tcPr>
            <w:tcW w:w="3738" w:type="dxa"/>
          </w:tcPr>
          <w:p w14:paraId="73B98F9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14.57 ± 5.37</w:t>
            </w:r>
          </w:p>
        </w:tc>
      </w:tr>
      <w:tr w:rsidR="00BC5EB4" w:rsidRPr="00E62FE1" w14:paraId="2FD974AA" w14:textId="77777777" w:rsidTr="00FF77BC">
        <w:tc>
          <w:tcPr>
            <w:tcW w:w="2515" w:type="dxa"/>
          </w:tcPr>
          <w:p w14:paraId="78ECBD2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20</w:t>
            </w:r>
          </w:p>
        </w:tc>
        <w:tc>
          <w:tcPr>
            <w:tcW w:w="3245" w:type="dxa"/>
          </w:tcPr>
          <w:p w14:paraId="2D20CF9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69.11 ± 6.22</w:t>
            </w:r>
          </w:p>
        </w:tc>
        <w:tc>
          <w:tcPr>
            <w:tcW w:w="3738" w:type="dxa"/>
          </w:tcPr>
          <w:p w14:paraId="5EC7BE39"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18.14 ± 2.95</w:t>
            </w:r>
          </w:p>
        </w:tc>
      </w:tr>
      <w:tr w:rsidR="00BC5EB4" w:rsidRPr="00E62FE1" w14:paraId="610431CF" w14:textId="77777777" w:rsidTr="00FF77BC">
        <w:tc>
          <w:tcPr>
            <w:tcW w:w="2515" w:type="dxa"/>
          </w:tcPr>
          <w:p w14:paraId="445D5D1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30</w:t>
            </w:r>
          </w:p>
        </w:tc>
        <w:tc>
          <w:tcPr>
            <w:tcW w:w="3245" w:type="dxa"/>
          </w:tcPr>
          <w:p w14:paraId="4CC86809"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72.15 ± 4.77</w:t>
            </w:r>
          </w:p>
        </w:tc>
        <w:tc>
          <w:tcPr>
            <w:tcW w:w="3738" w:type="dxa"/>
          </w:tcPr>
          <w:p w14:paraId="3F4BFBB5"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21.12 ± 4.42</w:t>
            </w:r>
          </w:p>
        </w:tc>
      </w:tr>
      <w:tr w:rsidR="00BC5EB4" w:rsidRPr="00E62FE1" w14:paraId="4F56152D" w14:textId="77777777" w:rsidTr="00FF77BC">
        <w:tc>
          <w:tcPr>
            <w:tcW w:w="2515" w:type="dxa"/>
          </w:tcPr>
          <w:p w14:paraId="78F7B0FB"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40</w:t>
            </w:r>
          </w:p>
        </w:tc>
        <w:tc>
          <w:tcPr>
            <w:tcW w:w="3245" w:type="dxa"/>
          </w:tcPr>
          <w:p w14:paraId="514D84C5"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73.3 ± 7.18</w:t>
            </w:r>
          </w:p>
        </w:tc>
        <w:tc>
          <w:tcPr>
            <w:tcW w:w="3738" w:type="dxa"/>
          </w:tcPr>
          <w:p w14:paraId="25EB4F8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26.98 ± 10.3</w:t>
            </w:r>
          </w:p>
        </w:tc>
      </w:tr>
      <w:tr w:rsidR="00BC5EB4" w:rsidRPr="00E62FE1" w14:paraId="2D62F527" w14:textId="77777777" w:rsidTr="00FF77BC">
        <w:tc>
          <w:tcPr>
            <w:tcW w:w="2515" w:type="dxa"/>
          </w:tcPr>
          <w:p w14:paraId="34774F37"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3245" w:type="dxa"/>
          </w:tcPr>
          <w:p w14:paraId="6026D216"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75.74 ± 7.28</w:t>
            </w:r>
          </w:p>
        </w:tc>
        <w:tc>
          <w:tcPr>
            <w:tcW w:w="3738" w:type="dxa"/>
          </w:tcPr>
          <w:p w14:paraId="4C567F6A"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32.16 ± 12.76</w:t>
            </w:r>
          </w:p>
        </w:tc>
      </w:tr>
      <w:tr w:rsidR="00BC5EB4" w:rsidRPr="00E62FE1" w14:paraId="6E5E45BC" w14:textId="77777777" w:rsidTr="00FF77BC">
        <w:tc>
          <w:tcPr>
            <w:tcW w:w="2515" w:type="dxa"/>
          </w:tcPr>
          <w:p w14:paraId="4863A55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60</w:t>
            </w:r>
          </w:p>
        </w:tc>
        <w:tc>
          <w:tcPr>
            <w:tcW w:w="3245" w:type="dxa"/>
          </w:tcPr>
          <w:p w14:paraId="31CBFCF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79.73 ± 6.88</w:t>
            </w:r>
          </w:p>
        </w:tc>
        <w:tc>
          <w:tcPr>
            <w:tcW w:w="3738" w:type="dxa"/>
          </w:tcPr>
          <w:p w14:paraId="79B34B57"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36.03 ± 13.38</w:t>
            </w:r>
          </w:p>
        </w:tc>
      </w:tr>
      <w:tr w:rsidR="00BC5EB4" w:rsidRPr="00E62FE1" w14:paraId="791594DC" w14:textId="77777777" w:rsidTr="00FF77BC">
        <w:tc>
          <w:tcPr>
            <w:tcW w:w="2515" w:type="dxa"/>
          </w:tcPr>
          <w:p w14:paraId="31A6245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70</w:t>
            </w:r>
          </w:p>
        </w:tc>
        <w:tc>
          <w:tcPr>
            <w:tcW w:w="3245" w:type="dxa"/>
          </w:tcPr>
          <w:p w14:paraId="4DCC54B3"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77.94 ± 7.52</w:t>
            </w:r>
          </w:p>
        </w:tc>
        <w:tc>
          <w:tcPr>
            <w:tcW w:w="3738" w:type="dxa"/>
          </w:tcPr>
          <w:p w14:paraId="32DA3AFC"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47.72 ± 13.45</w:t>
            </w:r>
          </w:p>
        </w:tc>
      </w:tr>
      <w:tr w:rsidR="00BC5EB4" w:rsidRPr="00E62FE1" w14:paraId="700F82E5" w14:textId="77777777" w:rsidTr="00FF77BC">
        <w:trPr>
          <w:trHeight w:val="409"/>
        </w:trPr>
        <w:tc>
          <w:tcPr>
            <w:tcW w:w="2515" w:type="dxa"/>
          </w:tcPr>
          <w:p w14:paraId="4BFCA86B"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3245" w:type="dxa"/>
          </w:tcPr>
          <w:p w14:paraId="36D5EB4F"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75.79 ± 4.8</w:t>
            </w:r>
          </w:p>
        </w:tc>
        <w:tc>
          <w:tcPr>
            <w:tcW w:w="3738" w:type="dxa"/>
          </w:tcPr>
          <w:p w14:paraId="47B118C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59.77 ± 13.37</w:t>
            </w:r>
          </w:p>
        </w:tc>
      </w:tr>
      <w:tr w:rsidR="00BC5EB4" w:rsidRPr="00E62FE1" w14:paraId="269ED568" w14:textId="77777777" w:rsidTr="00FF77BC">
        <w:tc>
          <w:tcPr>
            <w:tcW w:w="2515" w:type="dxa"/>
          </w:tcPr>
          <w:p w14:paraId="1E1D82C8"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w:t>
            </w:r>
          </w:p>
        </w:tc>
        <w:tc>
          <w:tcPr>
            <w:tcW w:w="3245" w:type="dxa"/>
          </w:tcPr>
          <w:p w14:paraId="6D2EE23C"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80.2 ± 7.05</w:t>
            </w:r>
          </w:p>
        </w:tc>
        <w:tc>
          <w:tcPr>
            <w:tcW w:w="3738" w:type="dxa"/>
          </w:tcPr>
          <w:p w14:paraId="3AA9FEC0"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59.93 ± 11.84</w:t>
            </w:r>
          </w:p>
        </w:tc>
      </w:tr>
      <w:tr w:rsidR="00BC5EB4" w:rsidRPr="00E62FE1" w14:paraId="2517C846" w14:textId="77777777" w:rsidTr="00FF77BC">
        <w:trPr>
          <w:trHeight w:val="274"/>
        </w:trPr>
        <w:tc>
          <w:tcPr>
            <w:tcW w:w="2515" w:type="dxa"/>
          </w:tcPr>
          <w:p w14:paraId="366DBF76"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w:t>
            </w:r>
          </w:p>
        </w:tc>
        <w:tc>
          <w:tcPr>
            <w:tcW w:w="3245" w:type="dxa"/>
          </w:tcPr>
          <w:p w14:paraId="2B56F30D"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92.38 ± 3.85</w:t>
            </w:r>
          </w:p>
        </w:tc>
        <w:tc>
          <w:tcPr>
            <w:tcW w:w="3738" w:type="dxa"/>
          </w:tcPr>
          <w:p w14:paraId="41B703C1" w14:textId="77777777" w:rsidR="00BC5EB4" w:rsidRPr="00E62FE1" w:rsidRDefault="00BC5EB4"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63.47 ± 17.28</w:t>
            </w:r>
          </w:p>
        </w:tc>
      </w:tr>
    </w:tbl>
    <w:p w14:paraId="4440E3D3" w14:textId="77777777" w:rsidR="009B3F6D" w:rsidRPr="00E62FE1" w:rsidRDefault="009B3F6D" w:rsidP="005C7441">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1"/>
        <w:tblW w:w="8635" w:type="dxa"/>
        <w:tblLook w:val="04A0" w:firstRow="1" w:lastRow="0" w:firstColumn="1" w:lastColumn="0" w:noHBand="0" w:noVBand="1"/>
      </w:tblPr>
      <w:tblGrid>
        <w:gridCol w:w="1728"/>
        <w:gridCol w:w="1728"/>
        <w:gridCol w:w="1728"/>
        <w:gridCol w:w="1728"/>
        <w:gridCol w:w="1723"/>
      </w:tblGrid>
      <w:tr w:rsidR="00FF77BC" w:rsidRPr="00E62FE1" w14:paraId="11948243" w14:textId="77777777" w:rsidTr="001A0007">
        <w:tc>
          <w:tcPr>
            <w:tcW w:w="8635" w:type="dxa"/>
            <w:gridSpan w:val="5"/>
          </w:tcPr>
          <w:p w14:paraId="297F3EAF" w14:textId="5CD656D1" w:rsidR="00FF77BC" w:rsidRPr="00E62FE1" w:rsidRDefault="00CC467D" w:rsidP="005C744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2: </w:t>
            </w:r>
            <w:r w:rsidR="00FF77BC" w:rsidRPr="00E62FE1">
              <w:rPr>
                <w:rFonts w:ascii="Times New Roman" w:hAnsi="Times New Roman" w:cs="Times New Roman"/>
                <w:sz w:val="24"/>
                <w:szCs w:val="24"/>
              </w:rPr>
              <w:t xml:space="preserve">MBIC </w:t>
            </w:r>
            <w:r w:rsidR="000E6EFF">
              <w:rPr>
                <w:rFonts w:ascii="Times New Roman" w:hAnsi="Times New Roman" w:cs="Times New Roman"/>
                <w:sz w:val="24"/>
                <w:szCs w:val="24"/>
              </w:rPr>
              <w:t>of</w:t>
            </w:r>
            <w:r w:rsidR="00FF77BC" w:rsidRPr="00E62FE1">
              <w:rPr>
                <w:rFonts w:ascii="Times New Roman" w:hAnsi="Times New Roman" w:cs="Times New Roman"/>
                <w:sz w:val="24"/>
                <w:szCs w:val="24"/>
              </w:rPr>
              <w:t xml:space="preserve"> Silver and Iron Oxide Nanoparticles</w:t>
            </w:r>
          </w:p>
        </w:tc>
      </w:tr>
      <w:tr w:rsidR="001A0007" w:rsidRPr="00E62FE1" w14:paraId="79D6488E" w14:textId="77777777" w:rsidTr="001A0007">
        <w:tc>
          <w:tcPr>
            <w:tcW w:w="1728" w:type="dxa"/>
            <w:vMerge w:val="restart"/>
          </w:tcPr>
          <w:p w14:paraId="2F19FD07" w14:textId="0257F28F"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Isolate</w:t>
            </w:r>
          </w:p>
        </w:tc>
        <w:tc>
          <w:tcPr>
            <w:tcW w:w="3456" w:type="dxa"/>
            <w:gridSpan w:val="2"/>
          </w:tcPr>
          <w:p w14:paraId="6C1E040C" w14:textId="7DE0BBED"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Silver</w:t>
            </w:r>
          </w:p>
        </w:tc>
        <w:tc>
          <w:tcPr>
            <w:tcW w:w="3451" w:type="dxa"/>
            <w:gridSpan w:val="2"/>
          </w:tcPr>
          <w:p w14:paraId="2AD99FDA" w14:textId="6E84D634"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Iron Oxide</w:t>
            </w:r>
          </w:p>
        </w:tc>
      </w:tr>
      <w:tr w:rsidR="001A0007" w:rsidRPr="00E62FE1" w14:paraId="3C0233DF" w14:textId="77777777" w:rsidTr="001A0007">
        <w:tc>
          <w:tcPr>
            <w:tcW w:w="1728" w:type="dxa"/>
            <w:vMerge/>
          </w:tcPr>
          <w:p w14:paraId="09561125" w14:textId="72A6C171" w:rsidR="001A0007" w:rsidRPr="00E62FE1" w:rsidRDefault="001A0007" w:rsidP="005C7441">
            <w:pPr>
              <w:spacing w:line="480" w:lineRule="auto"/>
              <w:jc w:val="center"/>
              <w:rPr>
                <w:rFonts w:ascii="Times New Roman" w:hAnsi="Times New Roman" w:cs="Times New Roman"/>
                <w:sz w:val="24"/>
                <w:szCs w:val="24"/>
              </w:rPr>
            </w:pPr>
          </w:p>
        </w:tc>
        <w:tc>
          <w:tcPr>
            <w:tcW w:w="1728" w:type="dxa"/>
          </w:tcPr>
          <w:p w14:paraId="45DC72E3" w14:textId="0785F874"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MBIC50</w:t>
            </w:r>
            <w:r>
              <w:rPr>
                <w:rFonts w:ascii="Times New Roman" w:hAnsi="Times New Roman" w:cs="Times New Roman"/>
                <w:sz w:val="24"/>
                <w:szCs w:val="24"/>
              </w:rPr>
              <w:t xml:space="preserve"> </w:t>
            </w:r>
            <w:r w:rsidRPr="00E62FE1">
              <w:rPr>
                <w:rFonts w:ascii="Times New Roman" w:hAnsi="Times New Roman" w:cs="Times New Roman"/>
                <w:sz w:val="24"/>
                <w:szCs w:val="24"/>
              </w:rPr>
              <w:t>(µg/ml)</w:t>
            </w:r>
          </w:p>
        </w:tc>
        <w:tc>
          <w:tcPr>
            <w:tcW w:w="1728" w:type="dxa"/>
          </w:tcPr>
          <w:p w14:paraId="35303C04" w14:textId="39994033"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MBIC90 (µg/ml)</w:t>
            </w:r>
          </w:p>
        </w:tc>
        <w:tc>
          <w:tcPr>
            <w:tcW w:w="1728" w:type="dxa"/>
          </w:tcPr>
          <w:p w14:paraId="167B3F38" w14:textId="4740B7FF"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MBIC50 (µg/ml)</w:t>
            </w:r>
          </w:p>
        </w:tc>
        <w:tc>
          <w:tcPr>
            <w:tcW w:w="1723" w:type="dxa"/>
          </w:tcPr>
          <w:p w14:paraId="1135120D" w14:textId="18DF98D1" w:rsidR="001A0007" w:rsidRPr="00E62FE1" w:rsidRDefault="001A0007"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MBIC90 (µg/ml)</w:t>
            </w:r>
          </w:p>
        </w:tc>
      </w:tr>
      <w:tr w:rsidR="00FF77BC" w:rsidRPr="00E62FE1" w14:paraId="0CAAF4CC" w14:textId="77777777" w:rsidTr="001A0007">
        <w:tc>
          <w:tcPr>
            <w:tcW w:w="1728" w:type="dxa"/>
          </w:tcPr>
          <w:p w14:paraId="3B8CBF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ECU31</w:t>
            </w:r>
          </w:p>
        </w:tc>
        <w:tc>
          <w:tcPr>
            <w:tcW w:w="1728" w:type="dxa"/>
          </w:tcPr>
          <w:p w14:paraId="21A9509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77845E8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2C2B666B"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1723" w:type="dxa"/>
          </w:tcPr>
          <w:p w14:paraId="1804D6A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r>
      <w:tr w:rsidR="00FF77BC" w:rsidRPr="00E62FE1" w14:paraId="50510518" w14:textId="77777777" w:rsidTr="001A0007">
        <w:tc>
          <w:tcPr>
            <w:tcW w:w="1728" w:type="dxa"/>
          </w:tcPr>
          <w:p w14:paraId="157DF7D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ECU08</w:t>
            </w:r>
          </w:p>
        </w:tc>
        <w:tc>
          <w:tcPr>
            <w:tcW w:w="1728" w:type="dxa"/>
          </w:tcPr>
          <w:p w14:paraId="1C991898"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85148E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90.0</w:t>
            </w:r>
          </w:p>
        </w:tc>
        <w:tc>
          <w:tcPr>
            <w:tcW w:w="1728" w:type="dxa"/>
          </w:tcPr>
          <w:p w14:paraId="2165820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70</w:t>
            </w:r>
          </w:p>
        </w:tc>
        <w:tc>
          <w:tcPr>
            <w:tcW w:w="1723" w:type="dxa"/>
          </w:tcPr>
          <w:p w14:paraId="4E3B3444"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D6E9C34" w14:textId="77777777" w:rsidTr="001A0007">
        <w:tc>
          <w:tcPr>
            <w:tcW w:w="1728" w:type="dxa"/>
          </w:tcPr>
          <w:p w14:paraId="4F3D553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ECU41</w:t>
            </w:r>
          </w:p>
        </w:tc>
        <w:tc>
          <w:tcPr>
            <w:tcW w:w="1728" w:type="dxa"/>
          </w:tcPr>
          <w:p w14:paraId="7EFBF81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2369C95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2C5E355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35306A6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532D2F14" w14:textId="77777777" w:rsidTr="001A0007">
        <w:tc>
          <w:tcPr>
            <w:tcW w:w="1728" w:type="dxa"/>
          </w:tcPr>
          <w:p w14:paraId="376B45D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ECU15</w:t>
            </w:r>
          </w:p>
        </w:tc>
        <w:tc>
          <w:tcPr>
            <w:tcW w:w="1728" w:type="dxa"/>
          </w:tcPr>
          <w:p w14:paraId="29641A5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054048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323F79D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483277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E067E08" w14:textId="77777777" w:rsidTr="001A0007">
        <w:tc>
          <w:tcPr>
            <w:tcW w:w="1728" w:type="dxa"/>
          </w:tcPr>
          <w:p w14:paraId="0773EB4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ECU38</w:t>
            </w:r>
          </w:p>
        </w:tc>
        <w:tc>
          <w:tcPr>
            <w:tcW w:w="1728" w:type="dxa"/>
          </w:tcPr>
          <w:p w14:paraId="0515FAE8"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747504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45DF7DE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60</w:t>
            </w:r>
          </w:p>
        </w:tc>
        <w:tc>
          <w:tcPr>
            <w:tcW w:w="1723" w:type="dxa"/>
          </w:tcPr>
          <w:p w14:paraId="29EDACA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618D55F7" w14:textId="77777777" w:rsidTr="001A0007">
        <w:tc>
          <w:tcPr>
            <w:tcW w:w="1728" w:type="dxa"/>
          </w:tcPr>
          <w:p w14:paraId="7A1DC52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ECU72</w:t>
            </w:r>
          </w:p>
        </w:tc>
        <w:tc>
          <w:tcPr>
            <w:tcW w:w="1728" w:type="dxa"/>
          </w:tcPr>
          <w:p w14:paraId="63227277"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3B8E29B4"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c>
          <w:tcPr>
            <w:tcW w:w="1728" w:type="dxa"/>
          </w:tcPr>
          <w:p w14:paraId="57E2BC8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306659B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1D449402" w14:textId="77777777" w:rsidTr="001A0007">
        <w:tc>
          <w:tcPr>
            <w:tcW w:w="1728" w:type="dxa"/>
          </w:tcPr>
          <w:p w14:paraId="0627C85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ECU28</w:t>
            </w:r>
          </w:p>
        </w:tc>
        <w:tc>
          <w:tcPr>
            <w:tcW w:w="1728" w:type="dxa"/>
          </w:tcPr>
          <w:p w14:paraId="3F3C67E6"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B6ABD4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18ECBED0"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4D60FFD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3715801B" w14:textId="77777777" w:rsidTr="001A0007">
        <w:tc>
          <w:tcPr>
            <w:tcW w:w="1728" w:type="dxa"/>
          </w:tcPr>
          <w:p w14:paraId="6AEED895"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ECU01</w:t>
            </w:r>
          </w:p>
        </w:tc>
        <w:tc>
          <w:tcPr>
            <w:tcW w:w="1728" w:type="dxa"/>
          </w:tcPr>
          <w:p w14:paraId="67F7AD62"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23C3801D"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1E16A78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50</w:t>
            </w:r>
          </w:p>
        </w:tc>
        <w:tc>
          <w:tcPr>
            <w:tcW w:w="1723" w:type="dxa"/>
          </w:tcPr>
          <w:p w14:paraId="6625114C"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r w:rsidR="00FF77BC" w:rsidRPr="00E62FE1" w14:paraId="5793CA1E" w14:textId="77777777" w:rsidTr="001A0007">
        <w:tc>
          <w:tcPr>
            <w:tcW w:w="1728" w:type="dxa"/>
          </w:tcPr>
          <w:p w14:paraId="4EE04A13"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ECU58</w:t>
            </w:r>
          </w:p>
        </w:tc>
        <w:tc>
          <w:tcPr>
            <w:tcW w:w="1728" w:type="dxa"/>
          </w:tcPr>
          <w:p w14:paraId="0D869292"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7EB1B271"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02179D3A"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40</w:t>
            </w:r>
          </w:p>
        </w:tc>
        <w:tc>
          <w:tcPr>
            <w:tcW w:w="1723" w:type="dxa"/>
          </w:tcPr>
          <w:p w14:paraId="5EF77D6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90.0</w:t>
            </w:r>
          </w:p>
        </w:tc>
      </w:tr>
      <w:tr w:rsidR="00FF77BC" w:rsidRPr="00E62FE1" w14:paraId="2CA7CDDE" w14:textId="77777777" w:rsidTr="001A0007">
        <w:tc>
          <w:tcPr>
            <w:tcW w:w="1728" w:type="dxa"/>
          </w:tcPr>
          <w:p w14:paraId="5BBDB39E"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ECU118</w:t>
            </w:r>
          </w:p>
        </w:tc>
        <w:tc>
          <w:tcPr>
            <w:tcW w:w="1728" w:type="dxa"/>
          </w:tcPr>
          <w:p w14:paraId="17A0A29F"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5</w:t>
            </w:r>
          </w:p>
        </w:tc>
        <w:tc>
          <w:tcPr>
            <w:tcW w:w="1728" w:type="dxa"/>
          </w:tcPr>
          <w:p w14:paraId="088B68A9"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100.0</w:t>
            </w:r>
          </w:p>
        </w:tc>
        <w:tc>
          <w:tcPr>
            <w:tcW w:w="1728" w:type="dxa"/>
          </w:tcPr>
          <w:p w14:paraId="673AC607" w14:textId="1EDEF3A8"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80</w:t>
            </w:r>
          </w:p>
        </w:tc>
        <w:tc>
          <w:tcPr>
            <w:tcW w:w="1723" w:type="dxa"/>
          </w:tcPr>
          <w:p w14:paraId="54CBE1F1" w14:textId="77777777" w:rsidR="00FF77BC" w:rsidRPr="00E62FE1" w:rsidRDefault="00FF77BC" w:rsidP="005C7441">
            <w:pPr>
              <w:spacing w:line="480" w:lineRule="auto"/>
              <w:jc w:val="center"/>
              <w:rPr>
                <w:rFonts w:ascii="Times New Roman" w:hAnsi="Times New Roman" w:cs="Times New Roman"/>
                <w:sz w:val="24"/>
                <w:szCs w:val="24"/>
              </w:rPr>
            </w:pPr>
            <w:r w:rsidRPr="00E62FE1">
              <w:rPr>
                <w:rFonts w:ascii="Times New Roman" w:hAnsi="Times New Roman" w:cs="Times New Roman"/>
                <w:sz w:val="24"/>
                <w:szCs w:val="24"/>
              </w:rPr>
              <w:t>-</w:t>
            </w:r>
          </w:p>
        </w:tc>
      </w:tr>
    </w:tbl>
    <w:p w14:paraId="17F0E3D3" w14:textId="77777777" w:rsidR="00937A18" w:rsidRPr="00E62FE1" w:rsidRDefault="00937A18" w:rsidP="005C7441">
      <w:pPr>
        <w:spacing w:line="480" w:lineRule="auto"/>
        <w:jc w:val="both"/>
        <w:rPr>
          <w:rFonts w:ascii="Times New Roman" w:hAnsi="Times New Roman" w:cs="Times New Roman"/>
          <w:sz w:val="24"/>
          <w:szCs w:val="24"/>
        </w:rPr>
      </w:pPr>
    </w:p>
    <w:p w14:paraId="0F1F2804" w14:textId="77777777" w:rsidR="00937A18" w:rsidRPr="00E62FE1" w:rsidRDefault="00937A18" w:rsidP="005C7441">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XSpec="center" w:tblpY="-768"/>
        <w:tblW w:w="11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5"/>
        <w:gridCol w:w="2869"/>
      </w:tblGrid>
      <w:tr w:rsidR="00766986" w:rsidRPr="00E62FE1" w14:paraId="7C9C1964" w14:textId="77777777" w:rsidTr="005C7441">
        <w:trPr>
          <w:trHeight w:val="6049"/>
        </w:trPr>
        <w:tc>
          <w:tcPr>
            <w:tcW w:w="8315" w:type="dxa"/>
          </w:tcPr>
          <w:p w14:paraId="58FAD934" w14:textId="70D3C5B7" w:rsidR="00231F97" w:rsidRPr="00E62FE1" w:rsidRDefault="00766986" w:rsidP="005C7441">
            <w:pPr>
              <w:spacing w:line="480" w:lineRule="auto"/>
              <w:jc w:val="center"/>
              <w:rPr>
                <w:rFonts w:ascii="Times New Roman" w:hAnsi="Times New Roman" w:cs="Times New Roman"/>
                <w:sz w:val="24"/>
                <w:szCs w:val="24"/>
              </w:rPr>
            </w:pPr>
            <w:r w:rsidRPr="00E62FE1">
              <w:rPr>
                <w:rFonts w:ascii="Times New Roman" w:hAnsi="Times New Roman" w:cs="Times New Roman"/>
                <w:noProof/>
                <w:sz w:val="24"/>
                <w:szCs w:val="24"/>
                <w:lang w:val="en-IN" w:eastAsia="en-IN"/>
              </w:rPr>
              <w:lastRenderedPageBreak/>
              <w:drawing>
                <wp:inline distT="0" distB="0" distL="0" distR="0" wp14:anchorId="0754EC01" wp14:editId="78D0641F">
                  <wp:extent cx="4247530" cy="3380105"/>
                  <wp:effectExtent l="0" t="0" r="635" b="0"/>
                  <wp:docPr id="78651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11960" name="Picture 7865119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9559" cy="3397635"/>
                          </a:xfrm>
                          <a:prstGeom prst="rect">
                            <a:avLst/>
                          </a:prstGeom>
                        </pic:spPr>
                      </pic:pic>
                    </a:graphicData>
                  </a:graphic>
                </wp:inline>
              </w:drawing>
            </w:r>
          </w:p>
        </w:tc>
        <w:tc>
          <w:tcPr>
            <w:tcW w:w="2869" w:type="dxa"/>
          </w:tcPr>
          <w:p w14:paraId="2A6B9767" w14:textId="01C3BD11" w:rsidR="00231F97" w:rsidRPr="00E62FE1" w:rsidRDefault="00766986"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 xml:space="preserve">Graph 1: MBIC₅₀-Based Sensitivity of </w:t>
            </w:r>
            <w:r w:rsidRPr="00E62FE1">
              <w:rPr>
                <w:rStyle w:val="Emphasis"/>
                <w:rFonts w:ascii="Times New Roman" w:hAnsi="Times New Roman" w:cs="Times New Roman"/>
                <w:sz w:val="24"/>
                <w:szCs w:val="24"/>
              </w:rPr>
              <w:t>E. coli</w:t>
            </w:r>
            <w:r w:rsidRPr="00E62FE1">
              <w:rPr>
                <w:rFonts w:ascii="Times New Roman" w:hAnsi="Times New Roman" w:cs="Times New Roman"/>
                <w:sz w:val="24"/>
                <w:szCs w:val="24"/>
              </w:rPr>
              <w:t xml:space="preserve"> Isolates to Silver and Iron Oxide Nanoparticles</w:t>
            </w:r>
          </w:p>
        </w:tc>
      </w:tr>
      <w:tr w:rsidR="00766986" w:rsidRPr="00E62FE1" w14:paraId="5DBCF35B" w14:textId="77777777" w:rsidTr="005C7441">
        <w:trPr>
          <w:trHeight w:val="6604"/>
        </w:trPr>
        <w:tc>
          <w:tcPr>
            <w:tcW w:w="8315" w:type="dxa"/>
          </w:tcPr>
          <w:p w14:paraId="0B86FC67" w14:textId="77777777" w:rsidR="00231F97" w:rsidRPr="00E62FE1" w:rsidRDefault="00231F97" w:rsidP="005C7441">
            <w:pPr>
              <w:spacing w:line="480" w:lineRule="auto"/>
              <w:jc w:val="center"/>
              <w:rPr>
                <w:rFonts w:ascii="Times New Roman" w:hAnsi="Times New Roman" w:cs="Times New Roman"/>
                <w:sz w:val="24"/>
                <w:szCs w:val="24"/>
              </w:rPr>
            </w:pPr>
            <w:r w:rsidRPr="00E62FE1">
              <w:rPr>
                <w:rFonts w:ascii="Times New Roman" w:hAnsi="Times New Roman" w:cs="Times New Roman"/>
                <w:noProof/>
                <w:sz w:val="24"/>
                <w:szCs w:val="24"/>
                <w:lang w:val="en-IN" w:eastAsia="en-IN"/>
              </w:rPr>
              <w:drawing>
                <wp:inline distT="0" distB="0" distL="0" distR="0" wp14:anchorId="72B233A9" wp14:editId="0E61D495">
                  <wp:extent cx="4241800" cy="3680460"/>
                  <wp:effectExtent l="0" t="0" r="6350" b="0"/>
                  <wp:docPr id="198904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6739" cy="3684745"/>
                          </a:xfrm>
                          <a:prstGeom prst="rect">
                            <a:avLst/>
                          </a:prstGeom>
                          <a:noFill/>
                          <a:ln>
                            <a:noFill/>
                          </a:ln>
                        </pic:spPr>
                      </pic:pic>
                    </a:graphicData>
                  </a:graphic>
                </wp:inline>
              </w:drawing>
            </w:r>
          </w:p>
        </w:tc>
        <w:tc>
          <w:tcPr>
            <w:tcW w:w="2869" w:type="dxa"/>
          </w:tcPr>
          <w:p w14:paraId="548DC49F" w14:textId="7EA30155" w:rsidR="00231F97" w:rsidRPr="00E62FE1" w:rsidRDefault="00766986" w:rsidP="005C7441">
            <w:pPr>
              <w:spacing w:line="480" w:lineRule="auto"/>
              <w:jc w:val="both"/>
              <w:rPr>
                <w:rFonts w:ascii="Times New Roman" w:hAnsi="Times New Roman" w:cs="Times New Roman"/>
                <w:sz w:val="24"/>
                <w:szCs w:val="24"/>
              </w:rPr>
            </w:pPr>
            <w:r w:rsidRPr="00E62FE1">
              <w:rPr>
                <w:rFonts w:ascii="Times New Roman" w:hAnsi="Times New Roman" w:cs="Times New Roman"/>
                <w:sz w:val="24"/>
                <w:szCs w:val="24"/>
              </w:rPr>
              <w:t xml:space="preserve">Graph 2: </w:t>
            </w:r>
            <w:r w:rsidR="008A1DBF" w:rsidRPr="00E62FE1">
              <w:rPr>
                <w:rFonts w:ascii="Times New Roman" w:hAnsi="Times New Roman" w:cs="Times New Roman"/>
                <w:sz w:val="24"/>
                <w:szCs w:val="24"/>
              </w:rPr>
              <w:t>Biofilm Inhibition Profile of Silver and Iron Oxide</w:t>
            </w:r>
            <w:r w:rsidR="00FF77BC">
              <w:rPr>
                <w:rFonts w:ascii="Times New Roman" w:hAnsi="Times New Roman" w:cs="Times New Roman"/>
                <w:sz w:val="24"/>
                <w:szCs w:val="24"/>
              </w:rPr>
              <w:t xml:space="preserve"> </w:t>
            </w:r>
            <w:r w:rsidR="008A1DBF" w:rsidRPr="00E62FE1">
              <w:rPr>
                <w:rFonts w:ascii="Times New Roman" w:hAnsi="Times New Roman" w:cs="Times New Roman"/>
                <w:sz w:val="24"/>
                <w:szCs w:val="24"/>
              </w:rPr>
              <w:t>Nanoparticles Across Concentrations</w:t>
            </w:r>
          </w:p>
        </w:tc>
      </w:tr>
    </w:tbl>
    <w:p w14:paraId="386C9065" w14:textId="45441F03" w:rsidR="0003258A" w:rsidRPr="00E62FE1" w:rsidRDefault="0003258A" w:rsidP="005C7441">
      <w:pPr>
        <w:spacing w:line="480" w:lineRule="auto"/>
        <w:jc w:val="both"/>
        <w:rPr>
          <w:rFonts w:ascii="Times New Roman" w:hAnsi="Times New Roman" w:cs="Times New Roman"/>
          <w:sz w:val="24"/>
          <w:szCs w:val="24"/>
        </w:rPr>
      </w:pPr>
    </w:p>
    <w:tbl>
      <w:tblPr>
        <w:tblpPr w:leftFromText="180" w:rightFromText="180" w:vertAnchor="text" w:horzAnchor="margin" w:tblpY="510"/>
        <w:tblW w:w="10020" w:type="dxa"/>
        <w:tblLayout w:type="fixed"/>
        <w:tblLook w:val="0400" w:firstRow="0" w:lastRow="0" w:firstColumn="0" w:lastColumn="0" w:noHBand="0" w:noVBand="1"/>
      </w:tblPr>
      <w:tblGrid>
        <w:gridCol w:w="4876"/>
        <w:gridCol w:w="5144"/>
      </w:tblGrid>
      <w:tr w:rsidR="00E02B10" w:rsidRPr="00E62FE1" w14:paraId="17F1405B" w14:textId="77777777" w:rsidTr="005C7441">
        <w:trPr>
          <w:trHeight w:val="303"/>
        </w:trPr>
        <w:tc>
          <w:tcPr>
            <w:tcW w:w="4876" w:type="dxa"/>
          </w:tcPr>
          <w:p w14:paraId="36D4A1B7"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lastRenderedPageBreak/>
              <w:t>A</w:t>
            </w:r>
          </w:p>
        </w:tc>
        <w:tc>
          <w:tcPr>
            <w:tcW w:w="5144" w:type="dxa"/>
          </w:tcPr>
          <w:p w14:paraId="164CB61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B</w:t>
            </w:r>
          </w:p>
        </w:tc>
      </w:tr>
      <w:tr w:rsidR="00E02B10" w:rsidRPr="00E62FE1" w14:paraId="5A250894" w14:textId="77777777" w:rsidTr="005C7441">
        <w:trPr>
          <w:trHeight w:val="303"/>
        </w:trPr>
        <w:tc>
          <w:tcPr>
            <w:tcW w:w="4876" w:type="dxa"/>
          </w:tcPr>
          <w:p w14:paraId="1D3EB3E9" w14:textId="45BEEDE0" w:rsidR="00E02B10" w:rsidRPr="00E62FE1" w:rsidRDefault="00091B9E" w:rsidP="005C7441">
            <w:pPr>
              <w:spacing w:line="480" w:lineRule="auto"/>
              <w:jc w:val="center"/>
              <w:rPr>
                <w:rFonts w:ascii="Times New Roman" w:eastAsia="Times New Roman" w:hAnsi="Times New Roman" w:cs="Times New Roman"/>
                <w:sz w:val="24"/>
                <w:szCs w:val="24"/>
              </w:rPr>
            </w:pPr>
            <w:r w:rsidRPr="00E62FE1">
              <w:rPr>
                <w:rFonts w:ascii="Times New Roman" w:hAnsi="Times New Roman" w:cs="Times New Roman"/>
                <w:noProof/>
                <w:lang w:val="en-IN" w:eastAsia="en-IN"/>
              </w:rPr>
              <w:drawing>
                <wp:inline distT="0" distB="0" distL="0" distR="0" wp14:anchorId="554CDD14" wp14:editId="4DFC1AB3">
                  <wp:extent cx="2447925" cy="1835309"/>
                  <wp:effectExtent l="0" t="0" r="0" b="0"/>
                  <wp:docPr id="15444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260" cy="1840058"/>
                          </a:xfrm>
                          <a:prstGeom prst="rect">
                            <a:avLst/>
                          </a:prstGeom>
                          <a:noFill/>
                          <a:ln>
                            <a:noFill/>
                          </a:ln>
                        </pic:spPr>
                      </pic:pic>
                    </a:graphicData>
                  </a:graphic>
                </wp:inline>
              </w:drawing>
            </w:r>
          </w:p>
        </w:tc>
        <w:tc>
          <w:tcPr>
            <w:tcW w:w="5144" w:type="dxa"/>
          </w:tcPr>
          <w:p w14:paraId="0988A4C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noProof/>
                <w:sz w:val="24"/>
                <w:szCs w:val="24"/>
                <w:lang w:val="en-IN" w:eastAsia="en-IN"/>
              </w:rPr>
              <w:drawing>
                <wp:inline distT="0" distB="0" distL="0" distR="0" wp14:anchorId="30DCF5F7" wp14:editId="27D4E431">
                  <wp:extent cx="2439443" cy="1828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439443" cy="1828800"/>
                          </a:xfrm>
                          <a:prstGeom prst="rect">
                            <a:avLst/>
                          </a:prstGeom>
                          <a:ln/>
                        </pic:spPr>
                      </pic:pic>
                    </a:graphicData>
                  </a:graphic>
                </wp:inline>
              </w:drawing>
            </w:r>
          </w:p>
        </w:tc>
      </w:tr>
      <w:tr w:rsidR="00E02B10" w:rsidRPr="00E62FE1" w14:paraId="5D8E6129" w14:textId="77777777" w:rsidTr="005C7441">
        <w:trPr>
          <w:trHeight w:val="303"/>
        </w:trPr>
        <w:tc>
          <w:tcPr>
            <w:tcW w:w="10020" w:type="dxa"/>
            <w:gridSpan w:val="2"/>
          </w:tcPr>
          <w:p w14:paraId="59C703C2" w14:textId="13967F4C" w:rsidR="00E02B10" w:rsidRPr="00E62FE1" w:rsidRDefault="00E02B10" w:rsidP="005C7441">
            <w:pPr>
              <w:spacing w:line="480" w:lineRule="auto"/>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Fig. 1 Representative scanning electron microscopy image of (A) </w:t>
            </w:r>
            <w:proofErr w:type="spellStart"/>
            <w:r w:rsidR="00700635">
              <w:rPr>
                <w:rFonts w:ascii="Times New Roman" w:eastAsia="Times New Roman" w:hAnsi="Times New Roman" w:cs="Times New Roman"/>
                <w:sz w:val="24"/>
                <w:szCs w:val="24"/>
              </w:rPr>
              <w:t>Fe</w:t>
            </w:r>
            <w:r w:rsidRPr="00E62FE1">
              <w:rPr>
                <w:rFonts w:ascii="Times New Roman" w:eastAsia="Times New Roman" w:hAnsi="Times New Roman" w:cs="Times New Roman"/>
                <w:sz w:val="24"/>
                <w:szCs w:val="24"/>
              </w:rPr>
              <w:t>ONPs</w:t>
            </w:r>
            <w:proofErr w:type="spellEnd"/>
            <w:r w:rsidRPr="00E62FE1">
              <w:rPr>
                <w:rFonts w:ascii="Times New Roman" w:eastAsia="Times New Roman" w:hAnsi="Times New Roman" w:cs="Times New Roman"/>
                <w:sz w:val="24"/>
                <w:szCs w:val="24"/>
              </w:rPr>
              <w:t xml:space="preserve"> and (B) </w:t>
            </w:r>
            <w:proofErr w:type="spellStart"/>
            <w:r w:rsidRPr="00E62FE1">
              <w:rPr>
                <w:rFonts w:ascii="Times New Roman" w:eastAsia="Times New Roman" w:hAnsi="Times New Roman" w:cs="Times New Roman"/>
                <w:sz w:val="24"/>
                <w:szCs w:val="24"/>
              </w:rPr>
              <w:t>AgNPs</w:t>
            </w:r>
            <w:proofErr w:type="spellEnd"/>
          </w:p>
          <w:p w14:paraId="42E81C31" w14:textId="77777777" w:rsidR="00E02B10" w:rsidRPr="00E62FE1" w:rsidRDefault="00E02B10" w:rsidP="005C7441">
            <w:pPr>
              <w:spacing w:line="480" w:lineRule="auto"/>
              <w:jc w:val="center"/>
              <w:rPr>
                <w:rFonts w:ascii="Times New Roman" w:eastAsia="Times New Roman" w:hAnsi="Times New Roman" w:cs="Times New Roman"/>
                <w:sz w:val="24"/>
                <w:szCs w:val="24"/>
              </w:rPr>
            </w:pPr>
          </w:p>
        </w:tc>
      </w:tr>
      <w:tr w:rsidR="00E02B10" w:rsidRPr="00E62FE1" w14:paraId="5C4BE955" w14:textId="77777777" w:rsidTr="005C7441">
        <w:trPr>
          <w:trHeight w:val="303"/>
        </w:trPr>
        <w:tc>
          <w:tcPr>
            <w:tcW w:w="4876" w:type="dxa"/>
          </w:tcPr>
          <w:p w14:paraId="3A32482C"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A</w:t>
            </w:r>
          </w:p>
        </w:tc>
        <w:tc>
          <w:tcPr>
            <w:tcW w:w="5144" w:type="dxa"/>
          </w:tcPr>
          <w:p w14:paraId="36079780"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B</w:t>
            </w:r>
          </w:p>
        </w:tc>
      </w:tr>
      <w:tr w:rsidR="00E02B10" w:rsidRPr="00E62FE1" w14:paraId="69D2B485" w14:textId="77777777" w:rsidTr="005C7441">
        <w:trPr>
          <w:trHeight w:val="2836"/>
        </w:trPr>
        <w:tc>
          <w:tcPr>
            <w:tcW w:w="4876" w:type="dxa"/>
          </w:tcPr>
          <w:p w14:paraId="674347EE" w14:textId="77777777" w:rsidR="00E02B10" w:rsidRPr="00E62FE1" w:rsidRDefault="00E02B10" w:rsidP="005C7441">
            <w:pPr>
              <w:spacing w:line="480" w:lineRule="auto"/>
              <w:jc w:val="center"/>
              <w:rPr>
                <w:rFonts w:ascii="Times New Roman" w:eastAsia="Times New Roman" w:hAnsi="Times New Roman" w:cs="Times New Roman"/>
                <w:sz w:val="24"/>
                <w:szCs w:val="24"/>
              </w:rPr>
            </w:pPr>
            <w:r w:rsidRPr="00E62FE1">
              <w:rPr>
                <w:rFonts w:ascii="Times New Roman" w:eastAsia="Times New Roman" w:hAnsi="Times New Roman" w:cs="Times New Roman"/>
                <w:noProof/>
                <w:sz w:val="24"/>
                <w:szCs w:val="24"/>
                <w:lang w:val="en-IN" w:eastAsia="en-IN"/>
              </w:rPr>
              <w:drawing>
                <wp:inline distT="0" distB="0" distL="0" distR="0" wp14:anchorId="2D42EF03" wp14:editId="7BD81D4E">
                  <wp:extent cx="2743767" cy="150526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743767" cy="1505261"/>
                          </a:xfrm>
                          <a:prstGeom prst="rect">
                            <a:avLst/>
                          </a:prstGeom>
                          <a:ln/>
                        </pic:spPr>
                      </pic:pic>
                    </a:graphicData>
                  </a:graphic>
                </wp:inline>
              </w:drawing>
            </w:r>
          </w:p>
        </w:tc>
        <w:tc>
          <w:tcPr>
            <w:tcW w:w="5144" w:type="dxa"/>
          </w:tcPr>
          <w:p w14:paraId="1B2B5E70" w14:textId="69A1316A" w:rsidR="00E02B10" w:rsidRPr="00E62FE1" w:rsidRDefault="00091B9E" w:rsidP="005C7441">
            <w:pPr>
              <w:spacing w:line="480" w:lineRule="auto"/>
              <w:jc w:val="center"/>
              <w:rPr>
                <w:rFonts w:ascii="Times New Roman" w:eastAsia="Times New Roman" w:hAnsi="Times New Roman" w:cs="Times New Roman"/>
                <w:sz w:val="24"/>
                <w:szCs w:val="24"/>
              </w:rPr>
            </w:pPr>
            <w:r w:rsidRPr="00E62FE1">
              <w:rPr>
                <w:rFonts w:ascii="Times New Roman" w:hAnsi="Times New Roman" w:cs="Times New Roman"/>
                <w:noProof/>
                <w:sz w:val="20"/>
                <w:lang w:val="en-IN" w:eastAsia="en-IN"/>
              </w:rPr>
              <w:drawing>
                <wp:inline distT="0" distB="0" distL="0" distR="0" wp14:anchorId="67F18CDE" wp14:editId="3B82FA56">
                  <wp:extent cx="3086100" cy="146685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3095801" cy="1471461"/>
                          </a:xfrm>
                          <a:prstGeom prst="rect">
                            <a:avLst/>
                          </a:prstGeom>
                        </pic:spPr>
                      </pic:pic>
                    </a:graphicData>
                  </a:graphic>
                </wp:inline>
              </w:drawing>
            </w:r>
          </w:p>
        </w:tc>
      </w:tr>
      <w:tr w:rsidR="00E02B10" w:rsidRPr="00E62FE1" w14:paraId="46A83910" w14:textId="77777777" w:rsidTr="005C7441">
        <w:trPr>
          <w:trHeight w:val="609"/>
        </w:trPr>
        <w:tc>
          <w:tcPr>
            <w:tcW w:w="10020" w:type="dxa"/>
            <w:gridSpan w:val="2"/>
          </w:tcPr>
          <w:p w14:paraId="5364373E" w14:textId="0273B7A4" w:rsidR="00E02B10" w:rsidRPr="00E62FE1" w:rsidRDefault="00E02B10" w:rsidP="005C7441">
            <w:pPr>
              <w:spacing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Fig. 2 Representative ED</w:t>
            </w:r>
            <w:r w:rsidR="000E6EFF">
              <w:rPr>
                <w:rFonts w:ascii="Times New Roman" w:eastAsia="Times New Roman" w:hAnsi="Times New Roman" w:cs="Times New Roman"/>
                <w:sz w:val="24"/>
                <w:szCs w:val="24"/>
              </w:rPr>
              <w:t>A</w:t>
            </w:r>
            <w:r w:rsidRPr="00E62FE1">
              <w:rPr>
                <w:rFonts w:ascii="Times New Roman" w:eastAsia="Times New Roman" w:hAnsi="Times New Roman" w:cs="Times New Roman"/>
                <w:sz w:val="24"/>
                <w:szCs w:val="24"/>
              </w:rPr>
              <w:t xml:space="preserve">X spectrum of (A) Silver and (B) </w:t>
            </w:r>
            <w:r w:rsidR="00091B9E" w:rsidRPr="00E62FE1">
              <w:rPr>
                <w:rFonts w:ascii="Times New Roman" w:eastAsia="Times New Roman" w:hAnsi="Times New Roman" w:cs="Times New Roman"/>
                <w:sz w:val="24"/>
                <w:szCs w:val="24"/>
              </w:rPr>
              <w:t>Iron</w:t>
            </w:r>
            <w:r w:rsidRPr="00E62FE1">
              <w:rPr>
                <w:rFonts w:ascii="Times New Roman" w:eastAsia="Times New Roman" w:hAnsi="Times New Roman" w:cs="Times New Roman"/>
                <w:sz w:val="24"/>
                <w:szCs w:val="24"/>
              </w:rPr>
              <w:t xml:space="preserve"> oxide nanoparticle</w:t>
            </w:r>
          </w:p>
        </w:tc>
      </w:tr>
    </w:tbl>
    <w:p w14:paraId="0A7DBDF7" w14:textId="77777777" w:rsidR="00AE1D2C" w:rsidRDefault="00AE1D2C" w:rsidP="005C7441">
      <w:pPr>
        <w:pStyle w:val="Heading1"/>
        <w:spacing w:line="480" w:lineRule="auto"/>
        <w:rPr>
          <w:rFonts w:ascii="Times New Roman" w:hAnsi="Times New Roman" w:cs="Times New Roman"/>
          <w:sz w:val="24"/>
          <w:szCs w:val="24"/>
        </w:rPr>
      </w:pPr>
    </w:p>
    <w:p w14:paraId="73E3404C" w14:textId="284881F1" w:rsidR="0077670A" w:rsidRPr="00AE1D2C" w:rsidRDefault="00AE1D2C" w:rsidP="005C7441">
      <w:pPr>
        <w:pStyle w:val="Heading1"/>
        <w:shd w:val="clear" w:color="auto" w:fill="FFFFFF" w:themeFill="background1"/>
        <w:spacing w:line="480" w:lineRule="auto"/>
        <w:rPr>
          <w:rFonts w:ascii="Times New Roman" w:eastAsia="Times New Roman" w:hAnsi="Times New Roman" w:cs="Times New Roman"/>
          <w:color w:val="000000" w:themeColor="text1"/>
          <w:sz w:val="24"/>
          <w:szCs w:val="24"/>
        </w:rPr>
      </w:pPr>
      <w:r w:rsidRPr="00AE1D2C">
        <w:rPr>
          <w:rFonts w:ascii="Times New Roman" w:hAnsi="Times New Roman" w:cs="Times New Roman"/>
          <w:color w:val="000000" w:themeColor="text1"/>
          <w:sz w:val="24"/>
          <w:szCs w:val="24"/>
        </w:rPr>
        <w:t>DISCUSSION</w:t>
      </w:r>
    </w:p>
    <w:p w14:paraId="7026A216" w14:textId="77777777" w:rsidR="0077670A" w:rsidRPr="00E62FE1" w:rsidRDefault="0077670A" w:rsidP="005C7441">
      <w:pPr>
        <w:pStyle w:val="NormalWeb"/>
        <w:spacing w:line="480" w:lineRule="auto"/>
        <w:jc w:val="both"/>
      </w:pPr>
      <w:r w:rsidRPr="00E62FE1">
        <w:t xml:space="preserve">This study investigated the comparative efficacy of silver nanoparticles and iron oxide nanoparticles as antibiofilm agents, particularly against clinical isolates relevant to catheter-associated urinary tract infections. Our findings demonstrate a significant and consistent superior </w:t>
      </w:r>
      <w:proofErr w:type="spellStart"/>
      <w:r w:rsidRPr="00E62FE1">
        <w:t>antibiofilm</w:t>
      </w:r>
      <w:proofErr w:type="spellEnd"/>
      <w:r w:rsidRPr="00E62FE1">
        <w:t xml:space="preserve"> activity of </w:t>
      </w:r>
      <w:proofErr w:type="spellStart"/>
      <w:r w:rsidRPr="00E62FE1">
        <w:t>AgNPs</w:t>
      </w:r>
      <w:proofErr w:type="spellEnd"/>
      <w:r w:rsidRPr="00E62FE1">
        <w:t xml:space="preserve"> over </w:t>
      </w:r>
      <w:proofErr w:type="spellStart"/>
      <w:r w:rsidRPr="00E62FE1">
        <w:t>FeONPs</w:t>
      </w:r>
      <w:proofErr w:type="spellEnd"/>
      <w:r w:rsidRPr="00E62FE1">
        <w:t xml:space="preserve">, even at considerably lower concentrations. This research contributes to the growing body of evidence supporting the critical role of </w:t>
      </w:r>
      <w:proofErr w:type="spellStart"/>
      <w:r w:rsidRPr="00E62FE1">
        <w:t>AgNPs</w:t>
      </w:r>
      <w:proofErr w:type="spellEnd"/>
      <w:r w:rsidRPr="00E62FE1">
        <w:t xml:space="preserve"> as a potent antimicrobial alternative in an era challenged by increasing antimicrobial resistance.</w:t>
      </w:r>
    </w:p>
    <w:p w14:paraId="4AF837C7" w14:textId="6D3B17FC" w:rsidR="0077670A" w:rsidRPr="00E62FE1" w:rsidRDefault="0077670A" w:rsidP="005C7441">
      <w:pPr>
        <w:pStyle w:val="NormalWeb"/>
        <w:spacing w:line="480" w:lineRule="auto"/>
        <w:jc w:val="both"/>
      </w:pPr>
      <w:proofErr w:type="spellStart"/>
      <w:r w:rsidRPr="00E62FE1">
        <w:t>AgNPs</w:t>
      </w:r>
      <w:proofErr w:type="spellEnd"/>
      <w:r w:rsidRPr="00E62FE1">
        <w:t xml:space="preserve"> consistently exhibited potent antibiofilm action, achieving over 70% inhibition at concentrations as low as 30 µg/</w:t>
      </w:r>
      <w:proofErr w:type="spellStart"/>
      <w:r w:rsidRPr="00E62FE1">
        <w:t>mL.</w:t>
      </w:r>
      <w:proofErr w:type="spellEnd"/>
      <w:r w:rsidRPr="00E62FE1">
        <w:t xml:space="preserve"> This aligns with extensive literature supporting the rapid, broad-spectrum antibiofilm capabilities of silver nanoparticles, often effective at lower doses compared to other metallic nanoparticles (Yao et al., 2025</w:t>
      </w:r>
      <w:proofErr w:type="gramStart"/>
      <w:r w:rsidRPr="00E62FE1">
        <w:t>) .</w:t>
      </w:r>
      <w:proofErr w:type="gramEnd"/>
      <w:r w:rsidRPr="00E62FE1">
        <w:t xml:space="preserve"> A notable strength of </w:t>
      </w:r>
      <w:proofErr w:type="spellStart"/>
      <w:r w:rsidRPr="00E62FE1">
        <w:t>AgNPs</w:t>
      </w:r>
      <w:proofErr w:type="spellEnd"/>
      <w:r w:rsidRPr="00E62FE1">
        <w:t xml:space="preserve"> in our study was their uniform inhibitory effect, with a consistent MBIC₅₀ of 5 µg/mL across all tested isolates. This uniformity suggests a high degree of reliability for </w:t>
      </w:r>
      <w:proofErr w:type="spellStart"/>
      <w:r w:rsidRPr="00E62FE1">
        <w:t>AgNPs</w:t>
      </w:r>
      <w:proofErr w:type="spellEnd"/>
      <w:r w:rsidRPr="00E62FE1">
        <w:t xml:space="preserve"> in clinical applications, where variability in pathogen susceptibility often presents a challenge. The potent antimicrobial activity of </w:t>
      </w:r>
      <w:proofErr w:type="spellStart"/>
      <w:r w:rsidRPr="00E62FE1">
        <w:t>AgNPs</w:t>
      </w:r>
      <w:proofErr w:type="spellEnd"/>
      <w:r w:rsidRPr="00E62FE1">
        <w:t xml:space="preserve"> stems from their multifaceted mechanisms of action, including disruption of cellular processes, targeting the plasma membrane, release of Ag+ ions, interference with cell wall synthesis, and inhibition of DNA replication and ribosomal protein expression (Jangid et al., 2024) . These mechanisms underscore the broad-spectrum applicability of </w:t>
      </w:r>
      <w:proofErr w:type="spellStart"/>
      <w:r w:rsidRPr="00E62FE1">
        <w:t>AgNPs</w:t>
      </w:r>
      <w:proofErr w:type="spellEnd"/>
      <w:r w:rsidRPr="00E62FE1">
        <w:t xml:space="preserve"> and position Them as a promising alternative, especially against difficult-to-treat infections like those found in CAUTI patients, where biofilm formation and multidrug resistance are prevalent (</w:t>
      </w:r>
      <w:proofErr w:type="spellStart"/>
      <w:r w:rsidRPr="00E62FE1">
        <w:t>AlQurashi</w:t>
      </w:r>
      <w:proofErr w:type="spellEnd"/>
      <w:r w:rsidRPr="00E62FE1">
        <w:t xml:space="preserve"> et al., 2025; Rodrigues </w:t>
      </w:r>
      <w:r w:rsidRPr="00E62FE1">
        <w:lastRenderedPageBreak/>
        <w:t xml:space="preserve">et al., 2024). Furthermore, the literature suggests that combining </w:t>
      </w:r>
      <w:proofErr w:type="spellStart"/>
      <w:r w:rsidRPr="00E62FE1">
        <w:t>AgNPs</w:t>
      </w:r>
      <w:proofErr w:type="spellEnd"/>
      <w:r w:rsidRPr="00E62FE1">
        <w:t xml:space="preserve"> with conventional antibiotics can enhance efficacy and mitigate the development of resistance, offering a promising avenue for further research to improve treatment outcomes</w:t>
      </w:r>
      <w:r w:rsidR="00CA2099" w:rsidRPr="00E62FE1">
        <w:t xml:space="preserve"> </w:t>
      </w:r>
      <w:r w:rsidRPr="00E62FE1">
        <w:t>(Fahmy et al., 2025)</w:t>
      </w:r>
    </w:p>
    <w:p w14:paraId="739BCBE9" w14:textId="0FD015D0" w:rsidR="0077670A" w:rsidRPr="00E62FE1" w:rsidRDefault="0077670A" w:rsidP="005C7441">
      <w:pPr>
        <w:pStyle w:val="NormalWeb"/>
        <w:spacing w:line="480" w:lineRule="auto"/>
        <w:jc w:val="both"/>
      </w:pPr>
      <w:r w:rsidRPr="00E62FE1">
        <w:t xml:space="preserve">In contrast, </w:t>
      </w:r>
      <w:proofErr w:type="spellStart"/>
      <w:r w:rsidRPr="00E62FE1">
        <w:t>FeONPs</w:t>
      </w:r>
      <w:proofErr w:type="spellEnd"/>
      <w:r w:rsidRPr="00E62FE1">
        <w:t xml:space="preserve"> demonstrated comparatively limited efficacy, requiring concentrations of 80 µg/mL or higher to achieve inhibition comparable to </w:t>
      </w:r>
      <w:proofErr w:type="spellStart"/>
      <w:r w:rsidRPr="00E62FE1">
        <w:t>AgNPs</w:t>
      </w:r>
      <w:proofErr w:type="spellEnd"/>
      <w:r w:rsidRPr="00E62FE1">
        <w:t xml:space="preserve">. Most isolates treated with </w:t>
      </w:r>
      <w:proofErr w:type="spellStart"/>
      <w:r w:rsidRPr="00E62FE1">
        <w:t>FeONPs</w:t>
      </w:r>
      <w:proofErr w:type="spellEnd"/>
      <w:r w:rsidRPr="00E62FE1">
        <w:t xml:space="preserve"> did not reach MBIC₉₀ within the tested concentration range, highlighting their less potent antibiofilm activity in this context. Moreover, </w:t>
      </w:r>
      <w:proofErr w:type="spellStart"/>
      <w:r w:rsidRPr="00E62FE1">
        <w:t>FeONPs</w:t>
      </w:r>
      <w:proofErr w:type="spellEnd"/>
      <w:r w:rsidRPr="00E62FE1">
        <w:t xml:space="preserve"> exhibited marked variability in their efficacy between isolates, with some showing only moderate inhibition even at maximum concentrations. This variability </w:t>
      </w:r>
      <w:r w:rsidR="00CA2099" w:rsidRPr="00E62FE1">
        <w:t>underscores the substantial impact of bacterial strain-specific factors on FeONP efficacy, suggesting a less reliable and narrower-spectrum</w:t>
      </w:r>
      <w:r w:rsidRPr="00E62FE1">
        <w:t xml:space="preserve"> action compared to </w:t>
      </w:r>
      <w:proofErr w:type="spellStart"/>
      <w:r w:rsidRPr="00E62FE1">
        <w:t>AgNPs</w:t>
      </w:r>
      <w:proofErr w:type="spellEnd"/>
      <w:r w:rsidRPr="00E62FE1">
        <w:t xml:space="preserve"> (</w:t>
      </w:r>
      <w:proofErr w:type="spellStart"/>
      <w:r w:rsidRPr="00E62FE1">
        <w:t>Es‐haghi</w:t>
      </w:r>
      <w:proofErr w:type="spellEnd"/>
      <w:r w:rsidRPr="00E62FE1">
        <w:t xml:space="preserve"> et al., 2024).</w:t>
      </w:r>
    </w:p>
    <w:p w14:paraId="4CCF33FC" w14:textId="2FA89D2C" w:rsidR="00BC4A43" w:rsidRPr="00E62FE1" w:rsidRDefault="00BC4A43" w:rsidP="005C7441">
      <w:pPr>
        <w:spacing w:after="0" w:line="480" w:lineRule="auto"/>
        <w:jc w:val="both"/>
        <w:rPr>
          <w:rFonts w:ascii="Times New Roman" w:eastAsia="Times New Roman" w:hAnsi="Times New Roman" w:cs="Times New Roman"/>
          <w:sz w:val="24"/>
          <w:szCs w:val="24"/>
        </w:rPr>
      </w:pPr>
      <w:r w:rsidRPr="00E62FE1">
        <w:rPr>
          <w:rFonts w:ascii="Times New Roman" w:eastAsia="Times New Roman" w:hAnsi="Times New Roman" w:cs="Times New Roman"/>
          <w:sz w:val="24"/>
          <w:szCs w:val="24"/>
        </w:rPr>
        <w:t xml:space="preserve">The superior performance of </w:t>
      </w:r>
      <w:proofErr w:type="spellStart"/>
      <w:r w:rsidRPr="00E62FE1">
        <w:rPr>
          <w:rFonts w:ascii="Times New Roman" w:eastAsia="Times New Roman" w:hAnsi="Times New Roman" w:cs="Times New Roman"/>
          <w:sz w:val="24"/>
          <w:szCs w:val="24"/>
        </w:rPr>
        <w:t>AgNPs</w:t>
      </w:r>
      <w:proofErr w:type="spellEnd"/>
      <w:r w:rsidRPr="00E62FE1">
        <w:rPr>
          <w:rFonts w:ascii="Times New Roman" w:eastAsia="Times New Roman" w:hAnsi="Times New Roman" w:cs="Times New Roman"/>
          <w:sz w:val="24"/>
          <w:szCs w:val="24"/>
        </w:rPr>
        <w:t xml:space="preserve"> strongly supports their consideration as an alternative or adjunctive therapy for infections prevalent in CAUTI patients, reinforcing their suitability for incorporation into advanced antimicrobial catheter coatings. Our results corroborate findings that the incorporation of nanoparticles into catheter surfaces can effectively inhibit biofilm formation. </w:t>
      </w:r>
      <w:r w:rsidR="0077670A" w:rsidRPr="00E62FE1">
        <w:rPr>
          <w:rFonts w:ascii="Times New Roman" w:hAnsi="Times New Roman" w:cs="Times New Roman"/>
          <w:sz w:val="24"/>
          <w:szCs w:val="24"/>
        </w:rPr>
        <w:t>(</w:t>
      </w:r>
      <w:proofErr w:type="spellStart"/>
      <w:r w:rsidR="0077670A" w:rsidRPr="00E62FE1">
        <w:rPr>
          <w:rFonts w:ascii="Times New Roman" w:hAnsi="Times New Roman" w:cs="Times New Roman"/>
          <w:sz w:val="24"/>
          <w:szCs w:val="24"/>
        </w:rPr>
        <w:t>Almatroudi</w:t>
      </w:r>
      <w:proofErr w:type="spellEnd"/>
      <w:r w:rsidR="0077670A" w:rsidRPr="00E62FE1">
        <w:rPr>
          <w:rFonts w:ascii="Times New Roman" w:hAnsi="Times New Roman" w:cs="Times New Roman"/>
          <w:sz w:val="24"/>
          <w:szCs w:val="24"/>
        </w:rPr>
        <w:t xml:space="preserve">, 2025). </w:t>
      </w:r>
      <w:proofErr w:type="spellStart"/>
      <w:r w:rsidRPr="00E62FE1">
        <w:rPr>
          <w:rFonts w:ascii="Times New Roman" w:eastAsia="Times New Roman" w:hAnsi="Times New Roman" w:cs="Times New Roman"/>
          <w:sz w:val="24"/>
          <w:szCs w:val="24"/>
        </w:rPr>
        <w:t>FeONPs</w:t>
      </w:r>
      <w:proofErr w:type="spellEnd"/>
      <w:r w:rsidRPr="00E62FE1">
        <w:rPr>
          <w:rFonts w:ascii="Times New Roman" w:eastAsia="Times New Roman" w:hAnsi="Times New Roman" w:cs="Times New Roman"/>
          <w:sz w:val="24"/>
          <w:szCs w:val="24"/>
        </w:rPr>
        <w:t xml:space="preserve"> were not as effective on their own, but their unique magnetic properties and ability to be guided from the outside could be </w:t>
      </w:r>
      <w:proofErr w:type="spellStart"/>
      <w:r w:rsidRPr="00E62FE1">
        <w:rPr>
          <w:rFonts w:ascii="Times New Roman" w:eastAsia="Times New Roman" w:hAnsi="Times New Roman" w:cs="Times New Roman"/>
          <w:sz w:val="24"/>
          <w:szCs w:val="24"/>
        </w:rPr>
        <w:t>utilised</w:t>
      </w:r>
      <w:proofErr w:type="spellEnd"/>
      <w:r w:rsidRPr="00E62FE1">
        <w:rPr>
          <w:rFonts w:ascii="Times New Roman" w:eastAsia="Times New Roman" w:hAnsi="Times New Roman" w:cs="Times New Roman"/>
          <w:sz w:val="24"/>
          <w:szCs w:val="24"/>
        </w:rPr>
        <w:t xml:space="preserve"> in targeted drug delivery systems or as co-agents in combination therapies to specifically overcome biofilm resistance.</w:t>
      </w:r>
      <w:r w:rsidR="00281568">
        <w:rPr>
          <w:rFonts w:ascii="Times New Roman" w:eastAsia="Times New Roman" w:hAnsi="Times New Roman" w:cs="Times New Roman"/>
          <w:sz w:val="24"/>
          <w:szCs w:val="24"/>
        </w:rPr>
        <w:t xml:space="preserve"> </w:t>
      </w:r>
      <w:r w:rsidR="0077670A" w:rsidRPr="00E62FE1">
        <w:rPr>
          <w:rFonts w:ascii="Times New Roman" w:hAnsi="Times New Roman" w:cs="Times New Roman"/>
          <w:sz w:val="24"/>
          <w:szCs w:val="24"/>
        </w:rPr>
        <w:t>(Álvarez et al., 2021</w:t>
      </w:r>
      <w:r w:rsidR="00CA2099" w:rsidRPr="00E62FE1">
        <w:rPr>
          <w:rFonts w:ascii="Times New Roman" w:hAnsi="Times New Roman" w:cs="Times New Roman"/>
          <w:sz w:val="24"/>
          <w:szCs w:val="24"/>
        </w:rPr>
        <w:t>).</w:t>
      </w:r>
      <w:r w:rsidR="0077670A" w:rsidRPr="00E62FE1">
        <w:rPr>
          <w:rFonts w:ascii="Times New Roman" w:hAnsi="Times New Roman" w:cs="Times New Roman"/>
          <w:sz w:val="24"/>
          <w:szCs w:val="24"/>
        </w:rPr>
        <w:t xml:space="preserve"> Future research should explore optimizing </w:t>
      </w:r>
      <w:proofErr w:type="spellStart"/>
      <w:r w:rsidR="0077670A" w:rsidRPr="00E62FE1">
        <w:rPr>
          <w:rFonts w:ascii="Times New Roman" w:hAnsi="Times New Roman" w:cs="Times New Roman"/>
          <w:sz w:val="24"/>
          <w:szCs w:val="24"/>
        </w:rPr>
        <w:t>FeONPs</w:t>
      </w:r>
      <w:proofErr w:type="spellEnd"/>
      <w:r w:rsidR="0077670A" w:rsidRPr="00E62FE1">
        <w:rPr>
          <w:rFonts w:ascii="Times New Roman" w:hAnsi="Times New Roman" w:cs="Times New Roman"/>
          <w:sz w:val="24"/>
          <w:szCs w:val="24"/>
        </w:rPr>
        <w:t xml:space="preserve"> through surface modification or novel combination strategies to enhance their therapeutic potential.</w:t>
      </w:r>
    </w:p>
    <w:p w14:paraId="7E9B650A" w14:textId="6C45CCD0" w:rsidR="0077670A" w:rsidRPr="00E62FE1" w:rsidRDefault="0077670A" w:rsidP="005C7441">
      <w:pPr>
        <w:pStyle w:val="NormalWeb"/>
        <w:spacing w:line="480" w:lineRule="auto"/>
        <w:jc w:val="both"/>
      </w:pPr>
      <w:r w:rsidRPr="00E62FE1">
        <w:t xml:space="preserve">Despite the demonstrated potency of silver nanoparticles, it is crucial to acknowledge concerns regarding the potential for bacterial adaptation and the development of resistance over time (Casals </w:t>
      </w:r>
      <w:r w:rsidRPr="00E62FE1">
        <w:lastRenderedPageBreak/>
        <w:t xml:space="preserve">et al., 2025). Therefore, long-term studies are essential to assess whether clinical application might select for reduced susceptibility to </w:t>
      </w:r>
      <w:proofErr w:type="spellStart"/>
      <w:r w:rsidRPr="00E62FE1">
        <w:t>AgNPs</w:t>
      </w:r>
      <w:proofErr w:type="spellEnd"/>
      <w:r w:rsidRPr="00E62FE1">
        <w:t xml:space="preserve">. Continuous surveillance of </w:t>
      </w:r>
      <w:proofErr w:type="spellStart"/>
      <w:r w:rsidRPr="00E62FE1">
        <w:t>AgNP</w:t>
      </w:r>
      <w:proofErr w:type="spellEnd"/>
      <w:r w:rsidRPr="00E62FE1">
        <w:t>-resistant strains is paramount to maintain their therapeutic effectiveness and to inform future antimicrobial strategies, ensuring their sustained utility in combating the persistent challenge of antimicrobial resistance.</w:t>
      </w:r>
    </w:p>
    <w:p w14:paraId="7ECCB360" w14:textId="77777777" w:rsidR="005C7441" w:rsidRDefault="005C7441" w:rsidP="005C7441">
      <w:pPr>
        <w:pStyle w:val="Heading3"/>
        <w:spacing w:line="480" w:lineRule="auto"/>
        <w:rPr>
          <w:b w:val="0"/>
          <w:bCs w:val="0"/>
          <w:sz w:val="24"/>
          <w:szCs w:val="24"/>
        </w:rPr>
      </w:pPr>
    </w:p>
    <w:p w14:paraId="1229C022" w14:textId="77C5EAC6" w:rsidR="0077670A" w:rsidRPr="00E62FE1" w:rsidRDefault="00AE1D2C" w:rsidP="005C7441">
      <w:pPr>
        <w:pStyle w:val="Heading3"/>
        <w:spacing w:line="480" w:lineRule="auto"/>
        <w:rPr>
          <w:b w:val="0"/>
          <w:bCs w:val="0"/>
          <w:sz w:val="24"/>
          <w:szCs w:val="24"/>
        </w:rPr>
      </w:pPr>
      <w:r w:rsidRPr="00E62FE1">
        <w:rPr>
          <w:b w:val="0"/>
          <w:bCs w:val="0"/>
          <w:sz w:val="24"/>
          <w:szCs w:val="24"/>
        </w:rPr>
        <w:t>CONCLUSION</w:t>
      </w:r>
    </w:p>
    <w:p w14:paraId="66BC93B1" w14:textId="626614D8" w:rsidR="0077670A" w:rsidRPr="00E62FE1" w:rsidRDefault="0077670A" w:rsidP="005C7441">
      <w:pPr>
        <w:pStyle w:val="NormalWeb"/>
        <w:spacing w:line="480" w:lineRule="auto"/>
        <w:jc w:val="both"/>
      </w:pPr>
      <w:r w:rsidRPr="00E62FE1">
        <w:t xml:space="preserve">This study systematically compared the antibiofilm efficacy of silver nanoparticles and iron oxide nanoparticles against clinically relevant bacterial isolates. Our findings unequivocally demonstrate the superior and consistent </w:t>
      </w:r>
      <w:proofErr w:type="spellStart"/>
      <w:r w:rsidRPr="00E62FE1">
        <w:t>antibiofilm</w:t>
      </w:r>
      <w:proofErr w:type="spellEnd"/>
      <w:r w:rsidRPr="00E62FE1">
        <w:t xml:space="preserve"> activity of </w:t>
      </w:r>
      <w:proofErr w:type="spellStart"/>
      <w:r w:rsidRPr="00E62FE1">
        <w:t>AgNPs</w:t>
      </w:r>
      <w:proofErr w:type="spellEnd"/>
      <w:r w:rsidRPr="00E62FE1">
        <w:t xml:space="preserve"> at significantly lower concentrations compared to </w:t>
      </w:r>
      <w:proofErr w:type="spellStart"/>
      <w:proofErr w:type="gramStart"/>
      <w:r w:rsidRPr="00E62FE1">
        <w:t>FeONPs</w:t>
      </w:r>
      <w:proofErr w:type="spellEnd"/>
      <w:r w:rsidRPr="00E62FE1">
        <w:t>(</w:t>
      </w:r>
      <w:proofErr w:type="spellStart"/>
      <w:proofErr w:type="gramEnd"/>
      <w:r w:rsidRPr="00E62FE1">
        <w:t>Fahmy</w:t>
      </w:r>
      <w:proofErr w:type="spellEnd"/>
      <w:r w:rsidRPr="00E62FE1">
        <w:t xml:space="preserve"> et al., 2025) . </w:t>
      </w:r>
      <w:proofErr w:type="spellStart"/>
      <w:r w:rsidRPr="00E62FE1">
        <w:t>AgNPs</w:t>
      </w:r>
      <w:proofErr w:type="spellEnd"/>
      <w:r w:rsidRPr="00E62FE1">
        <w:t xml:space="preserve"> exhibited potent, broad-spectrum inhibition, attributed to their multifaceted mechanisms of action and a notable uniformity in their minimum biofilm inhibitory concentrations</w:t>
      </w:r>
      <w:r w:rsidR="00CA2099" w:rsidRPr="00E62FE1">
        <w:t xml:space="preserve"> </w:t>
      </w:r>
      <w:r w:rsidRPr="00E62FE1">
        <w:t>(Trzcińska-Wencel et al., 2023).</w:t>
      </w:r>
    </w:p>
    <w:p w14:paraId="6B7AE81B" w14:textId="77777777" w:rsidR="0077670A" w:rsidRPr="00E62FE1" w:rsidRDefault="0077670A" w:rsidP="005C7441">
      <w:pPr>
        <w:pStyle w:val="NormalWeb"/>
        <w:spacing w:line="480" w:lineRule="auto"/>
        <w:jc w:val="both"/>
      </w:pPr>
      <w:r w:rsidRPr="00E62FE1">
        <w:t xml:space="preserve">While </w:t>
      </w:r>
      <w:proofErr w:type="spellStart"/>
      <w:r w:rsidRPr="00E62FE1">
        <w:t>FeONPs</w:t>
      </w:r>
      <w:proofErr w:type="spellEnd"/>
      <w:r w:rsidRPr="00E62FE1">
        <w:t xml:space="preserve"> showed limited </w:t>
      </w:r>
      <w:proofErr w:type="spellStart"/>
      <w:r w:rsidRPr="00E62FE1">
        <w:t>antibiofilm</w:t>
      </w:r>
      <w:proofErr w:type="spellEnd"/>
      <w:r w:rsidRPr="00E62FE1">
        <w:t xml:space="preserve"> efficacy, requiring higher concentrations and exhibiting greater variability, their unique properties suggest potential for targeted drug delivery or as components in combination therapies (</w:t>
      </w:r>
      <w:proofErr w:type="spellStart"/>
      <w:r w:rsidRPr="00E62FE1">
        <w:t>Es‐haghi</w:t>
      </w:r>
      <w:proofErr w:type="spellEnd"/>
      <w:r w:rsidRPr="00E62FE1">
        <w:t xml:space="preserve"> et al., 2024</w:t>
      </w:r>
      <w:proofErr w:type="gramStart"/>
      <w:r w:rsidRPr="00E62FE1">
        <w:t>) .</w:t>
      </w:r>
      <w:proofErr w:type="gramEnd"/>
      <w:r w:rsidRPr="00E62FE1">
        <w:t xml:space="preserve"> The robust performance of </w:t>
      </w:r>
      <w:proofErr w:type="spellStart"/>
      <w:r w:rsidRPr="00E62FE1">
        <w:t>AgNPs</w:t>
      </w:r>
      <w:proofErr w:type="spellEnd"/>
      <w:r w:rsidRPr="00E62FE1">
        <w:t xml:space="preserve"> underscores their significant promise as a reliable alternative or adjunctive therapy for preventing and treating infections, particularly those associated with catheter-related biofilms, and reinforces their suitability for incorporation into advanced antimicrobial coatings (Frippiat et al., 2025).</w:t>
      </w:r>
    </w:p>
    <w:p w14:paraId="3DBA33DD" w14:textId="373B3FE0" w:rsidR="005C7441" w:rsidRDefault="0077670A" w:rsidP="005C7441">
      <w:pPr>
        <w:pStyle w:val="NormalWeb"/>
        <w:spacing w:line="480" w:lineRule="auto"/>
        <w:jc w:val="both"/>
      </w:pPr>
      <w:r w:rsidRPr="00E62FE1">
        <w:t xml:space="preserve">Ultimately, this research contributes valuable data to the ongoing effort to combat antimicrobial resistance. However, continued surveillance and long-term studies are crucial to monitor potential </w:t>
      </w:r>
      <w:r w:rsidRPr="00E62FE1">
        <w:lastRenderedPageBreak/>
        <w:t xml:space="preserve">resistance development against </w:t>
      </w:r>
      <w:proofErr w:type="spellStart"/>
      <w:r w:rsidRPr="00E62FE1">
        <w:t>AgNPs</w:t>
      </w:r>
      <w:proofErr w:type="spellEnd"/>
      <w:r w:rsidRPr="00E62FE1">
        <w:t>, ensuring their sustained effectiveness and guiding future strategies in the ever-evolving landscape of antimicrobial therapeutics (Jangid et al., 2024).</w:t>
      </w:r>
    </w:p>
    <w:p w14:paraId="77F00746" w14:textId="77777777" w:rsidR="005C7441" w:rsidRPr="005C7441" w:rsidRDefault="005C7441" w:rsidP="005C7441">
      <w:pPr>
        <w:pStyle w:val="NormalWeb"/>
        <w:spacing w:line="480" w:lineRule="auto"/>
        <w:jc w:val="both"/>
      </w:pPr>
    </w:p>
    <w:p w14:paraId="61A94EA7" w14:textId="77777777" w:rsidR="005C7441" w:rsidRDefault="005C7441" w:rsidP="005C7441">
      <w:pPr>
        <w:pStyle w:val="Heading2"/>
        <w:spacing w:line="480" w:lineRule="auto"/>
        <w:rPr>
          <w:rFonts w:ascii="Times New Roman" w:hAnsi="Times New Roman" w:cs="Times New Roman"/>
          <w:color w:val="000000"/>
          <w:sz w:val="24"/>
          <w:szCs w:val="24"/>
        </w:rPr>
      </w:pPr>
    </w:p>
    <w:p w14:paraId="2A0CB493" w14:textId="63B99581" w:rsidR="000A0B7B" w:rsidRPr="00E62FE1" w:rsidRDefault="00AE1D2C" w:rsidP="005C7441">
      <w:pPr>
        <w:pStyle w:val="Heading2"/>
        <w:spacing w:line="480" w:lineRule="auto"/>
        <w:rPr>
          <w:rFonts w:ascii="Times New Roman" w:hAnsi="Times New Roman" w:cs="Times New Roman"/>
          <w:sz w:val="24"/>
          <w:szCs w:val="24"/>
        </w:rPr>
      </w:pPr>
      <w:r w:rsidRPr="00E62FE1">
        <w:rPr>
          <w:rFonts w:ascii="Times New Roman" w:hAnsi="Times New Roman" w:cs="Times New Roman"/>
          <w:color w:val="000000"/>
          <w:sz w:val="24"/>
          <w:szCs w:val="24"/>
        </w:rPr>
        <w:t>REFERENCES</w:t>
      </w:r>
    </w:p>
    <w:p w14:paraId="1E5E5715"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Almatroudi</w:t>
      </w:r>
      <w:proofErr w:type="spellEnd"/>
      <w:r w:rsidRPr="00293613">
        <w:rPr>
          <w:rFonts w:ascii="Times New Roman" w:hAnsi="Times New Roman" w:cs="Times New Roman"/>
          <w:sz w:val="24"/>
          <w:szCs w:val="24"/>
        </w:rPr>
        <w:t>, A. (2025). Biofilm resilience: Molecular mechanisms driving antibiotic resistance in clinical contexts. Biology, 14(2), 165. https://doi.org/10.3390/biology14020165</w:t>
      </w:r>
    </w:p>
    <w:p w14:paraId="243F8138"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AlQurashi</w:t>
      </w:r>
      <w:proofErr w:type="spellEnd"/>
      <w:r w:rsidRPr="00293613">
        <w:rPr>
          <w:rFonts w:ascii="Times New Roman" w:hAnsi="Times New Roman" w:cs="Times New Roman"/>
          <w:sz w:val="24"/>
          <w:szCs w:val="24"/>
        </w:rPr>
        <w:t xml:space="preserve">, D. M., </w:t>
      </w:r>
      <w:proofErr w:type="spellStart"/>
      <w:r w:rsidRPr="00293613">
        <w:rPr>
          <w:rFonts w:ascii="Times New Roman" w:hAnsi="Times New Roman" w:cs="Times New Roman"/>
          <w:sz w:val="24"/>
          <w:szCs w:val="24"/>
        </w:rPr>
        <w:t>AlQurashi</w:t>
      </w:r>
      <w:proofErr w:type="spellEnd"/>
      <w:r w:rsidRPr="00293613">
        <w:rPr>
          <w:rFonts w:ascii="Times New Roman" w:hAnsi="Times New Roman" w:cs="Times New Roman"/>
          <w:sz w:val="24"/>
          <w:szCs w:val="24"/>
        </w:rPr>
        <w:t xml:space="preserve">, T. F., Alam, R., Shaikh, S., &amp; Tarkistani, M. A. M. (2025). Advanced nanoparticles in combating antibiotic resistance: Current innovations and future directions. Journal of </w:t>
      </w:r>
      <w:proofErr w:type="spellStart"/>
      <w:r w:rsidRPr="00293613">
        <w:rPr>
          <w:rFonts w:ascii="Times New Roman" w:hAnsi="Times New Roman" w:cs="Times New Roman"/>
          <w:sz w:val="24"/>
          <w:szCs w:val="24"/>
        </w:rPr>
        <w:t>Nanotheranostics</w:t>
      </w:r>
      <w:proofErr w:type="spellEnd"/>
      <w:r w:rsidRPr="00293613">
        <w:rPr>
          <w:rFonts w:ascii="Times New Roman" w:hAnsi="Times New Roman" w:cs="Times New Roman"/>
          <w:sz w:val="24"/>
          <w:szCs w:val="24"/>
        </w:rPr>
        <w:t>, 6(2), 9. https://doi.org/10.3390/jnt6020009</w:t>
      </w:r>
    </w:p>
    <w:p w14:paraId="334D0AD9"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Álvarez, E., Estévez, M., Jiménez‐Jiménez, C., </w:t>
      </w:r>
      <w:proofErr w:type="spellStart"/>
      <w:r w:rsidRPr="00293613">
        <w:rPr>
          <w:rFonts w:ascii="Times New Roman" w:hAnsi="Times New Roman" w:cs="Times New Roman"/>
          <w:sz w:val="24"/>
          <w:szCs w:val="24"/>
        </w:rPr>
        <w:t>Colilla</w:t>
      </w:r>
      <w:proofErr w:type="spellEnd"/>
      <w:r w:rsidRPr="00293613">
        <w:rPr>
          <w:rFonts w:ascii="Times New Roman" w:hAnsi="Times New Roman" w:cs="Times New Roman"/>
          <w:sz w:val="24"/>
          <w:szCs w:val="24"/>
        </w:rPr>
        <w:t xml:space="preserve">, M., Izquierdo‐Barba, I., González, B., &amp; </w:t>
      </w:r>
      <w:proofErr w:type="spellStart"/>
      <w:r w:rsidRPr="00293613">
        <w:rPr>
          <w:rFonts w:ascii="Times New Roman" w:hAnsi="Times New Roman" w:cs="Times New Roman"/>
          <w:sz w:val="24"/>
          <w:szCs w:val="24"/>
        </w:rPr>
        <w:t>Vallet‐Regí</w:t>
      </w:r>
      <w:proofErr w:type="spellEnd"/>
      <w:r w:rsidRPr="00293613">
        <w:rPr>
          <w:rFonts w:ascii="Times New Roman" w:hAnsi="Times New Roman" w:cs="Times New Roman"/>
          <w:sz w:val="24"/>
          <w:szCs w:val="24"/>
        </w:rPr>
        <w:t xml:space="preserve">, M. (2021). A versatile multicomponent </w:t>
      </w:r>
      <w:proofErr w:type="spellStart"/>
      <w:r w:rsidRPr="00293613">
        <w:rPr>
          <w:rFonts w:ascii="Times New Roman" w:hAnsi="Times New Roman" w:cs="Times New Roman"/>
          <w:sz w:val="24"/>
          <w:szCs w:val="24"/>
        </w:rPr>
        <w:t>mesoporous</w:t>
      </w:r>
      <w:proofErr w:type="spellEnd"/>
      <w:r w:rsidRPr="00293613">
        <w:rPr>
          <w:rFonts w:ascii="Times New Roman" w:hAnsi="Times New Roman" w:cs="Times New Roman"/>
          <w:sz w:val="24"/>
          <w:szCs w:val="24"/>
        </w:rPr>
        <w:t xml:space="preserve"> silica </w:t>
      </w:r>
      <w:proofErr w:type="spellStart"/>
      <w:r w:rsidRPr="00293613">
        <w:rPr>
          <w:rFonts w:ascii="Times New Roman" w:hAnsi="Times New Roman" w:cs="Times New Roman"/>
          <w:sz w:val="24"/>
          <w:szCs w:val="24"/>
        </w:rPr>
        <w:t>nanosystem</w:t>
      </w:r>
      <w:proofErr w:type="spellEnd"/>
      <w:r w:rsidRPr="00293613">
        <w:rPr>
          <w:rFonts w:ascii="Times New Roman" w:hAnsi="Times New Roman" w:cs="Times New Roman"/>
          <w:sz w:val="24"/>
          <w:szCs w:val="24"/>
        </w:rPr>
        <w:t xml:space="preserve"> with dual antimicrobial and osteogenic effects. </w:t>
      </w:r>
      <w:proofErr w:type="spellStart"/>
      <w:r w:rsidRPr="00293613">
        <w:rPr>
          <w:rFonts w:ascii="Times New Roman" w:hAnsi="Times New Roman" w:cs="Times New Roman"/>
          <w:sz w:val="24"/>
          <w:szCs w:val="24"/>
        </w:rPr>
        <w:t>Acta</w:t>
      </w:r>
      <w:proofErr w:type="spellEnd"/>
      <w:r w:rsidRPr="00293613">
        <w:rPr>
          <w:rFonts w:ascii="Times New Roman" w:hAnsi="Times New Roman" w:cs="Times New Roman"/>
          <w:sz w:val="24"/>
          <w:szCs w:val="24"/>
        </w:rPr>
        <w:t xml:space="preserve"> </w:t>
      </w:r>
      <w:proofErr w:type="spellStart"/>
      <w:r w:rsidRPr="00293613">
        <w:rPr>
          <w:rFonts w:ascii="Times New Roman" w:hAnsi="Times New Roman" w:cs="Times New Roman"/>
          <w:sz w:val="24"/>
          <w:szCs w:val="24"/>
        </w:rPr>
        <w:t>Biomaterialia</w:t>
      </w:r>
      <w:proofErr w:type="spellEnd"/>
      <w:r w:rsidRPr="00293613">
        <w:rPr>
          <w:rFonts w:ascii="Times New Roman" w:hAnsi="Times New Roman" w:cs="Times New Roman"/>
          <w:sz w:val="24"/>
          <w:szCs w:val="24"/>
        </w:rPr>
        <w:t>, 136, 570–582. https://doi.org/10.1016/j.actbio.2021.09.027</w:t>
      </w:r>
    </w:p>
    <w:p w14:paraId="2DA607F1"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Beyth, N., Houri‐Haddad, Y., Domb, A. J., Khan, W., &amp; Hazan, R. (2015). Alternative antimicrobial approach: Nano-antimicrobial materials. Evidence-Based Complementary and Alternative Medicine, 2015, 246012. https://doi.org/10.1155/2015/246012</w:t>
      </w:r>
    </w:p>
    <w:p w14:paraId="558B6B9C"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Casals, E., </w:t>
      </w:r>
      <w:proofErr w:type="spellStart"/>
      <w:r w:rsidRPr="00293613">
        <w:rPr>
          <w:rFonts w:ascii="Times New Roman" w:hAnsi="Times New Roman" w:cs="Times New Roman"/>
          <w:sz w:val="24"/>
          <w:szCs w:val="24"/>
        </w:rPr>
        <w:t>Gustà</w:t>
      </w:r>
      <w:proofErr w:type="spellEnd"/>
      <w:r w:rsidRPr="00293613">
        <w:rPr>
          <w:rFonts w:ascii="Times New Roman" w:hAnsi="Times New Roman" w:cs="Times New Roman"/>
          <w:sz w:val="24"/>
          <w:szCs w:val="24"/>
        </w:rPr>
        <w:t xml:space="preserve">, M. F., </w:t>
      </w:r>
      <w:proofErr w:type="spellStart"/>
      <w:r w:rsidRPr="00293613">
        <w:rPr>
          <w:rFonts w:ascii="Times New Roman" w:hAnsi="Times New Roman" w:cs="Times New Roman"/>
          <w:sz w:val="24"/>
          <w:szCs w:val="24"/>
        </w:rPr>
        <w:t>Bastús</w:t>
      </w:r>
      <w:proofErr w:type="spellEnd"/>
      <w:r w:rsidRPr="00293613">
        <w:rPr>
          <w:rFonts w:ascii="Times New Roman" w:hAnsi="Times New Roman" w:cs="Times New Roman"/>
          <w:sz w:val="24"/>
          <w:szCs w:val="24"/>
        </w:rPr>
        <w:t xml:space="preserve">, N. G., Rello, J., &amp; </w:t>
      </w:r>
      <w:proofErr w:type="spellStart"/>
      <w:r w:rsidRPr="00293613">
        <w:rPr>
          <w:rFonts w:ascii="Times New Roman" w:hAnsi="Times New Roman" w:cs="Times New Roman"/>
          <w:sz w:val="24"/>
          <w:szCs w:val="24"/>
        </w:rPr>
        <w:t>Puntes</w:t>
      </w:r>
      <w:proofErr w:type="spellEnd"/>
      <w:r w:rsidRPr="00293613">
        <w:rPr>
          <w:rFonts w:ascii="Times New Roman" w:hAnsi="Times New Roman" w:cs="Times New Roman"/>
          <w:sz w:val="24"/>
          <w:szCs w:val="24"/>
        </w:rPr>
        <w:t>, V. (2025). Silver nanoparticles and antibiotics: A promising synergistic approach to multidrug-resistant infections. Microorganisms, 13(4), 952. https://doi.org/10.3390/microorganisms13040952</w:t>
      </w:r>
    </w:p>
    <w:p w14:paraId="60AC2F50"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lastRenderedPageBreak/>
        <w:t>Crintea</w:t>
      </w:r>
      <w:proofErr w:type="spellEnd"/>
      <w:r w:rsidRPr="00293613">
        <w:rPr>
          <w:rFonts w:ascii="Times New Roman" w:hAnsi="Times New Roman" w:cs="Times New Roman"/>
          <w:sz w:val="24"/>
          <w:szCs w:val="24"/>
        </w:rPr>
        <w:t xml:space="preserve">, A., </w:t>
      </w:r>
      <w:proofErr w:type="spellStart"/>
      <w:r w:rsidRPr="00293613">
        <w:rPr>
          <w:rFonts w:ascii="Times New Roman" w:hAnsi="Times New Roman" w:cs="Times New Roman"/>
          <w:sz w:val="24"/>
          <w:szCs w:val="24"/>
        </w:rPr>
        <w:t>Carpa</w:t>
      </w:r>
      <w:proofErr w:type="spellEnd"/>
      <w:r w:rsidRPr="00293613">
        <w:rPr>
          <w:rFonts w:ascii="Times New Roman" w:hAnsi="Times New Roman" w:cs="Times New Roman"/>
          <w:sz w:val="24"/>
          <w:szCs w:val="24"/>
        </w:rPr>
        <w:t xml:space="preserve">, R., </w:t>
      </w:r>
      <w:proofErr w:type="spellStart"/>
      <w:r w:rsidRPr="00293613">
        <w:rPr>
          <w:rFonts w:ascii="Times New Roman" w:hAnsi="Times New Roman" w:cs="Times New Roman"/>
          <w:sz w:val="24"/>
          <w:szCs w:val="24"/>
        </w:rPr>
        <w:t>Mitre</w:t>
      </w:r>
      <w:proofErr w:type="spellEnd"/>
      <w:r w:rsidRPr="00293613">
        <w:rPr>
          <w:rFonts w:ascii="Times New Roman" w:hAnsi="Times New Roman" w:cs="Times New Roman"/>
          <w:sz w:val="24"/>
          <w:szCs w:val="24"/>
        </w:rPr>
        <w:t xml:space="preserve">, A.-O., Petho, R. I., Chelaru, V.-F., </w:t>
      </w:r>
      <w:proofErr w:type="spellStart"/>
      <w:r w:rsidRPr="00293613">
        <w:rPr>
          <w:rFonts w:ascii="Times New Roman" w:hAnsi="Times New Roman" w:cs="Times New Roman"/>
          <w:sz w:val="24"/>
          <w:szCs w:val="24"/>
        </w:rPr>
        <w:t>Nădășan</w:t>
      </w:r>
      <w:proofErr w:type="spellEnd"/>
      <w:r w:rsidRPr="00293613">
        <w:rPr>
          <w:rFonts w:ascii="Times New Roman" w:hAnsi="Times New Roman" w:cs="Times New Roman"/>
          <w:sz w:val="24"/>
          <w:szCs w:val="24"/>
        </w:rPr>
        <w:t xml:space="preserve">, S.-M., </w:t>
      </w:r>
      <w:proofErr w:type="spellStart"/>
      <w:r w:rsidRPr="00293613">
        <w:rPr>
          <w:rFonts w:ascii="Times New Roman" w:hAnsi="Times New Roman" w:cs="Times New Roman"/>
          <w:sz w:val="24"/>
          <w:szCs w:val="24"/>
        </w:rPr>
        <w:t>Neamți</w:t>
      </w:r>
      <w:proofErr w:type="spellEnd"/>
      <w:r w:rsidRPr="00293613">
        <w:rPr>
          <w:rFonts w:ascii="Times New Roman" w:hAnsi="Times New Roman" w:cs="Times New Roman"/>
          <w:sz w:val="24"/>
          <w:szCs w:val="24"/>
        </w:rPr>
        <w:t xml:space="preserve">, L., &amp; </w:t>
      </w:r>
      <w:proofErr w:type="spellStart"/>
      <w:r w:rsidRPr="00293613">
        <w:rPr>
          <w:rFonts w:ascii="Times New Roman" w:hAnsi="Times New Roman" w:cs="Times New Roman"/>
          <w:sz w:val="24"/>
          <w:szCs w:val="24"/>
        </w:rPr>
        <w:t>Duţu</w:t>
      </w:r>
      <w:proofErr w:type="spellEnd"/>
      <w:r w:rsidRPr="00293613">
        <w:rPr>
          <w:rFonts w:ascii="Times New Roman" w:hAnsi="Times New Roman" w:cs="Times New Roman"/>
          <w:sz w:val="24"/>
          <w:szCs w:val="24"/>
        </w:rPr>
        <w:t>, A. (2023). Nanotechnology involved in treating urinary tract infections: An overview. Nanomaterials, 13(3), 555. https://doi.org/10.3390/nano13030555</w:t>
      </w:r>
    </w:p>
    <w:p w14:paraId="48A002A1"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Dutt, A., Sharma, N., Singh, R., &amp; Verma, A. (2022). Multifaceted antibacterial and antibiofilm potential of silver nanoparticles: Mechanisms and biomedical applications. Journal of Applied Microbiology, 132(4), 2445–2459. https://doi.org/10.1111/jam.15329</w:t>
      </w:r>
    </w:p>
    <w:p w14:paraId="3D91A9EA"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El‐</w:t>
      </w:r>
      <w:proofErr w:type="spellStart"/>
      <w:r w:rsidRPr="00293613">
        <w:rPr>
          <w:rFonts w:ascii="Times New Roman" w:hAnsi="Times New Roman" w:cs="Times New Roman"/>
          <w:sz w:val="24"/>
          <w:szCs w:val="24"/>
        </w:rPr>
        <w:t>Saadony</w:t>
      </w:r>
      <w:proofErr w:type="spellEnd"/>
      <w:r w:rsidRPr="00293613">
        <w:rPr>
          <w:rFonts w:ascii="Times New Roman" w:hAnsi="Times New Roman" w:cs="Times New Roman"/>
          <w:sz w:val="24"/>
          <w:szCs w:val="24"/>
        </w:rPr>
        <w:t>, M. T., Saad, A. M., Mohammed, D. M., Korma, S. A., Alshahrani, M. Y., Ahmed, A. E., et al. (2025). Medicinal plants: Bioactive compounds, biological activities, combating multidrug-resistant microorganisms, and human health benefits—A comprehensive review. Frontiers in Immunology, 16, 1491777. https://doi.org/10.3389/fimmu.2025.1491777</w:t>
      </w:r>
    </w:p>
    <w:p w14:paraId="18303E2B"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Es‐haghi</w:t>
      </w:r>
      <w:proofErr w:type="spellEnd"/>
      <w:r w:rsidRPr="00293613">
        <w:rPr>
          <w:rFonts w:ascii="Times New Roman" w:hAnsi="Times New Roman" w:cs="Times New Roman"/>
          <w:sz w:val="24"/>
          <w:szCs w:val="24"/>
        </w:rPr>
        <w:t xml:space="preserve">, A., Amiri, M. S., &amp; Yazdi, M. E. T. (2024). Ferula </w:t>
      </w:r>
      <w:proofErr w:type="spellStart"/>
      <w:r w:rsidRPr="00293613">
        <w:rPr>
          <w:rFonts w:ascii="Times New Roman" w:hAnsi="Times New Roman" w:cs="Times New Roman"/>
          <w:sz w:val="24"/>
          <w:szCs w:val="24"/>
        </w:rPr>
        <w:t>latisecta</w:t>
      </w:r>
      <w:proofErr w:type="spellEnd"/>
      <w:r w:rsidRPr="00293613">
        <w:rPr>
          <w:rFonts w:ascii="Times New Roman" w:hAnsi="Times New Roman" w:cs="Times New Roman"/>
          <w:sz w:val="24"/>
          <w:szCs w:val="24"/>
        </w:rPr>
        <w:t xml:space="preserve"> gels for synthesis of zinc/silver binary nanoparticles: Antibacterial effects against gram-negative and gram-positive bacteria and physicochemical characteristics. BMC Biotechnology, 24(1). https://doi.org/10.1186/s12896-024-00878-x</w:t>
      </w:r>
    </w:p>
    <w:p w14:paraId="0DCDA807"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Fahmy, N., Abdel-Kareem, M., Ahmed, H. A., Helmy, M., &amp; Mahmoud, E. (2025). Evaluation of particles and their synergistic effect with antibiotics on nosocomial bacteria. Microbial Cell Factories, 24(1). https://doi.org/10.1186/s12934-024-02604-w</w:t>
      </w:r>
    </w:p>
    <w:p w14:paraId="25B3D50F"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Frippiat, T., Art, T., &amp; </w:t>
      </w:r>
      <w:proofErr w:type="spellStart"/>
      <w:r w:rsidRPr="00293613">
        <w:rPr>
          <w:rFonts w:ascii="Times New Roman" w:hAnsi="Times New Roman" w:cs="Times New Roman"/>
          <w:sz w:val="24"/>
          <w:szCs w:val="24"/>
        </w:rPr>
        <w:t>Delguste</w:t>
      </w:r>
      <w:proofErr w:type="spellEnd"/>
      <w:r w:rsidRPr="00293613">
        <w:rPr>
          <w:rFonts w:ascii="Times New Roman" w:hAnsi="Times New Roman" w:cs="Times New Roman"/>
          <w:sz w:val="24"/>
          <w:szCs w:val="24"/>
        </w:rPr>
        <w:t>, C. (2025). Silver nanoparticles as antimicrobial agents in veterinary medicine: Current applications and future perspectives. Nanomaterials, 15(3), 202. https://doi.org/10.3390/nano15030202</w:t>
      </w:r>
    </w:p>
    <w:p w14:paraId="7F0162F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lastRenderedPageBreak/>
        <w:t xml:space="preserve">Hetta, H. F., Ramadan, Y. N., Al-Harbi, A. I., Ahmed, E. A., Battah, B., Ellah, N. H. A., Zanetti, S., &amp; </w:t>
      </w:r>
      <w:proofErr w:type="spellStart"/>
      <w:r w:rsidRPr="00293613">
        <w:rPr>
          <w:rFonts w:ascii="Times New Roman" w:hAnsi="Times New Roman" w:cs="Times New Roman"/>
          <w:sz w:val="24"/>
          <w:szCs w:val="24"/>
        </w:rPr>
        <w:t>Donadu</w:t>
      </w:r>
      <w:proofErr w:type="spellEnd"/>
      <w:r w:rsidRPr="00293613">
        <w:rPr>
          <w:rFonts w:ascii="Times New Roman" w:hAnsi="Times New Roman" w:cs="Times New Roman"/>
          <w:sz w:val="24"/>
          <w:szCs w:val="24"/>
        </w:rPr>
        <w:t>, M. G. (2023). Nanotechnology as a promising approach to combat multidrug resistant bacteria: A comprehensive review and future perspectives. Biomedicines, 11(2), 413. https://doi.org/10.3390/biomedicines11020413</w:t>
      </w:r>
    </w:p>
    <w:p w14:paraId="733F42C6"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Iaconis, A., Plano, L. M. D., Caccamo, A., Franco, D., &amp; </w:t>
      </w:r>
      <w:proofErr w:type="spellStart"/>
      <w:r w:rsidRPr="00293613">
        <w:rPr>
          <w:rFonts w:ascii="Times New Roman" w:hAnsi="Times New Roman" w:cs="Times New Roman"/>
          <w:sz w:val="24"/>
          <w:szCs w:val="24"/>
        </w:rPr>
        <w:t>Conoci</w:t>
      </w:r>
      <w:proofErr w:type="spellEnd"/>
      <w:r w:rsidRPr="00293613">
        <w:rPr>
          <w:rFonts w:ascii="Times New Roman" w:hAnsi="Times New Roman" w:cs="Times New Roman"/>
          <w:sz w:val="24"/>
          <w:szCs w:val="24"/>
        </w:rPr>
        <w:t>, S. (2024). Anti-biofilm strategies: A focused review on innovative approaches. Microorganisms, 12(4), 639. https://doi.org/10.3390/microorganisms12040639</w:t>
      </w:r>
    </w:p>
    <w:p w14:paraId="5CF18F0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Jangid, H., Singh, S., Kashyap, P., Singh, A., &amp; Kumar, G. (2024). Advancing biomedical applications: An in-depth analysis of silver nanoparticles in antimicrobial, anticancer, and wound healing roles. Frontiers in Pharmacology, 15, 1438227. https://doi.org/10.3389/fphar.2024.1438227</w:t>
      </w:r>
    </w:p>
    <w:p w14:paraId="3A09DFEE"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Jubair, N., Rajagopal, M., Fatima, A., Mahdi, Y. K., &amp; Abdullah, N. H. (2022). Evaluation of catechin synergistic and antibacterial efficacy on biofilm formation and </w:t>
      </w:r>
      <w:proofErr w:type="spellStart"/>
      <w:r w:rsidRPr="00293613">
        <w:rPr>
          <w:rFonts w:ascii="Times New Roman" w:hAnsi="Times New Roman" w:cs="Times New Roman"/>
          <w:sz w:val="24"/>
          <w:szCs w:val="24"/>
        </w:rPr>
        <w:t>acrA</w:t>
      </w:r>
      <w:proofErr w:type="spellEnd"/>
      <w:r w:rsidRPr="00293613">
        <w:rPr>
          <w:rFonts w:ascii="Times New Roman" w:hAnsi="Times New Roman" w:cs="Times New Roman"/>
          <w:sz w:val="24"/>
          <w:szCs w:val="24"/>
        </w:rPr>
        <w:t xml:space="preserve"> gene expression of </w:t>
      </w:r>
      <w:proofErr w:type="spellStart"/>
      <w:r w:rsidRPr="00293613">
        <w:rPr>
          <w:rFonts w:ascii="Times New Roman" w:hAnsi="Times New Roman" w:cs="Times New Roman"/>
          <w:sz w:val="24"/>
          <w:szCs w:val="24"/>
        </w:rPr>
        <w:t>uropathogenic</w:t>
      </w:r>
      <w:proofErr w:type="spellEnd"/>
      <w:r w:rsidRPr="00293613">
        <w:rPr>
          <w:rFonts w:ascii="Times New Roman" w:hAnsi="Times New Roman" w:cs="Times New Roman"/>
          <w:sz w:val="24"/>
          <w:szCs w:val="24"/>
        </w:rPr>
        <w:t xml:space="preserve"> E. coli clinical isolates. Antibiotics, 11(9), 1223. https://doi.org/10.3390/antibiotics11091223</w:t>
      </w:r>
    </w:p>
    <w:p w14:paraId="27E0911E"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Kolte, N. A., </w:t>
      </w:r>
      <w:proofErr w:type="spellStart"/>
      <w:r w:rsidRPr="00293613">
        <w:rPr>
          <w:rFonts w:ascii="Times New Roman" w:hAnsi="Times New Roman" w:cs="Times New Roman"/>
          <w:sz w:val="24"/>
          <w:szCs w:val="24"/>
        </w:rPr>
        <w:t>Tumane</w:t>
      </w:r>
      <w:proofErr w:type="spellEnd"/>
      <w:r w:rsidRPr="00293613">
        <w:rPr>
          <w:rFonts w:ascii="Times New Roman" w:hAnsi="Times New Roman" w:cs="Times New Roman"/>
          <w:sz w:val="24"/>
          <w:szCs w:val="24"/>
        </w:rPr>
        <w:t>, P. M., &amp; Wasnik, D. D. (2017). Extracellular biosynthesis and characterization of silver nanoparticles by Bacillus cereus GAD20 and their antibacterial potential against E. coli and S. aureus. International Journal of Current Research, 9(11), 61849–61856.</w:t>
      </w:r>
    </w:p>
    <w:p w14:paraId="6D2BF5B3"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Kumar, L., Bisen, M., </w:t>
      </w:r>
      <w:proofErr w:type="spellStart"/>
      <w:r w:rsidRPr="00293613">
        <w:rPr>
          <w:rFonts w:ascii="Times New Roman" w:hAnsi="Times New Roman" w:cs="Times New Roman"/>
          <w:sz w:val="24"/>
          <w:szCs w:val="24"/>
        </w:rPr>
        <w:t>Harjai</w:t>
      </w:r>
      <w:proofErr w:type="spellEnd"/>
      <w:r w:rsidRPr="00293613">
        <w:rPr>
          <w:rFonts w:ascii="Times New Roman" w:hAnsi="Times New Roman" w:cs="Times New Roman"/>
          <w:sz w:val="24"/>
          <w:szCs w:val="24"/>
        </w:rPr>
        <w:t xml:space="preserve">, K., Chhibber, S., Azizov, S., </w:t>
      </w:r>
      <w:proofErr w:type="spellStart"/>
      <w:r w:rsidRPr="00293613">
        <w:rPr>
          <w:rFonts w:ascii="Times New Roman" w:hAnsi="Times New Roman" w:cs="Times New Roman"/>
          <w:sz w:val="24"/>
          <w:szCs w:val="24"/>
        </w:rPr>
        <w:t>Lalhlenmawia</w:t>
      </w:r>
      <w:proofErr w:type="spellEnd"/>
      <w:r w:rsidRPr="00293613">
        <w:rPr>
          <w:rFonts w:ascii="Times New Roman" w:hAnsi="Times New Roman" w:cs="Times New Roman"/>
          <w:sz w:val="24"/>
          <w:szCs w:val="24"/>
        </w:rPr>
        <w:t>, H., &amp; Kumar, D. (2023). Advances in nanotechnology for biofilm inhibition. ACS Omega, 8(24), 21391–21402. https://doi.org/10.1021/acsomega.3c02239</w:t>
      </w:r>
    </w:p>
    <w:p w14:paraId="4A7DD102"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lastRenderedPageBreak/>
        <w:t xml:space="preserve">Mancuso, G., </w:t>
      </w:r>
      <w:proofErr w:type="spellStart"/>
      <w:r w:rsidRPr="00293613">
        <w:rPr>
          <w:rFonts w:ascii="Times New Roman" w:hAnsi="Times New Roman" w:cs="Times New Roman"/>
          <w:sz w:val="24"/>
          <w:szCs w:val="24"/>
        </w:rPr>
        <w:t>Trinchera</w:t>
      </w:r>
      <w:proofErr w:type="spellEnd"/>
      <w:r w:rsidRPr="00293613">
        <w:rPr>
          <w:rFonts w:ascii="Times New Roman" w:hAnsi="Times New Roman" w:cs="Times New Roman"/>
          <w:sz w:val="24"/>
          <w:szCs w:val="24"/>
        </w:rPr>
        <w:t>, M., Midiri, A., Zummo, S., Vitale, G., &amp; Biondo, C. (2024). Novel antimicrobial approaches to combat bacterial biofilms associated with urinary tract infections. Antibiotics, 13(2), 154. https://doi.org/10.3390/antibiotics13020154</w:t>
      </w:r>
    </w:p>
    <w:p w14:paraId="57C812AA"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Olawade</w:t>
      </w:r>
      <w:proofErr w:type="spellEnd"/>
      <w:r w:rsidRPr="00293613">
        <w:rPr>
          <w:rFonts w:ascii="Times New Roman" w:hAnsi="Times New Roman" w:cs="Times New Roman"/>
          <w:sz w:val="24"/>
          <w:szCs w:val="24"/>
        </w:rPr>
        <w:t xml:space="preserve">, D. B., Wada, O. Z., </w:t>
      </w:r>
      <w:proofErr w:type="spellStart"/>
      <w:r w:rsidRPr="00293613">
        <w:rPr>
          <w:rFonts w:ascii="Times New Roman" w:hAnsi="Times New Roman" w:cs="Times New Roman"/>
          <w:sz w:val="24"/>
          <w:szCs w:val="24"/>
        </w:rPr>
        <w:t>Fapohunda</w:t>
      </w:r>
      <w:proofErr w:type="spellEnd"/>
      <w:r w:rsidRPr="00293613">
        <w:rPr>
          <w:rFonts w:ascii="Times New Roman" w:hAnsi="Times New Roman" w:cs="Times New Roman"/>
          <w:sz w:val="24"/>
          <w:szCs w:val="24"/>
        </w:rPr>
        <w:t xml:space="preserve">, O., </w:t>
      </w:r>
      <w:proofErr w:type="spellStart"/>
      <w:r w:rsidRPr="00293613">
        <w:rPr>
          <w:rFonts w:ascii="Times New Roman" w:hAnsi="Times New Roman" w:cs="Times New Roman"/>
          <w:sz w:val="24"/>
          <w:szCs w:val="24"/>
        </w:rPr>
        <w:t>Egbewole</w:t>
      </w:r>
      <w:proofErr w:type="spellEnd"/>
      <w:r w:rsidRPr="00293613">
        <w:rPr>
          <w:rFonts w:ascii="Times New Roman" w:hAnsi="Times New Roman" w:cs="Times New Roman"/>
          <w:sz w:val="24"/>
          <w:szCs w:val="24"/>
        </w:rPr>
        <w:t xml:space="preserve">, B. I., </w:t>
      </w:r>
      <w:proofErr w:type="spellStart"/>
      <w:r w:rsidRPr="00293613">
        <w:rPr>
          <w:rFonts w:ascii="Times New Roman" w:hAnsi="Times New Roman" w:cs="Times New Roman"/>
          <w:sz w:val="24"/>
          <w:szCs w:val="24"/>
        </w:rPr>
        <w:t>Ajisafe</w:t>
      </w:r>
      <w:proofErr w:type="spellEnd"/>
      <w:r w:rsidRPr="00293613">
        <w:rPr>
          <w:rFonts w:ascii="Times New Roman" w:hAnsi="Times New Roman" w:cs="Times New Roman"/>
          <w:sz w:val="24"/>
          <w:szCs w:val="24"/>
        </w:rPr>
        <w:t>, O., &amp; Ige, A. O. (2024). Nanoparticles for microbial control in water: Mechanisms, applications, and ecological implications. Frontiers in Nanotechnology, 6, 1427843. https://doi.org/10.3389/fnano.2024.1427843</w:t>
      </w:r>
    </w:p>
    <w:p w14:paraId="3180F4E7"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Panáček, A., </w:t>
      </w:r>
      <w:proofErr w:type="spellStart"/>
      <w:r w:rsidRPr="00293613">
        <w:rPr>
          <w:rFonts w:ascii="Times New Roman" w:hAnsi="Times New Roman" w:cs="Times New Roman"/>
          <w:sz w:val="24"/>
          <w:szCs w:val="24"/>
        </w:rPr>
        <w:t>Kvı́tek</w:t>
      </w:r>
      <w:proofErr w:type="spellEnd"/>
      <w:r w:rsidRPr="00293613">
        <w:rPr>
          <w:rFonts w:ascii="Times New Roman" w:hAnsi="Times New Roman" w:cs="Times New Roman"/>
          <w:sz w:val="24"/>
          <w:szCs w:val="24"/>
        </w:rPr>
        <w:t xml:space="preserve">, L., </w:t>
      </w:r>
      <w:proofErr w:type="spellStart"/>
      <w:r w:rsidRPr="00293613">
        <w:rPr>
          <w:rFonts w:ascii="Times New Roman" w:hAnsi="Times New Roman" w:cs="Times New Roman"/>
          <w:sz w:val="24"/>
          <w:szCs w:val="24"/>
        </w:rPr>
        <w:t>Smékalová</w:t>
      </w:r>
      <w:proofErr w:type="spellEnd"/>
      <w:r w:rsidRPr="00293613">
        <w:rPr>
          <w:rFonts w:ascii="Times New Roman" w:hAnsi="Times New Roman" w:cs="Times New Roman"/>
          <w:sz w:val="24"/>
          <w:szCs w:val="24"/>
        </w:rPr>
        <w:t xml:space="preserve">, M., Večeřová, R., Kolář, M., Röderová, M., </w:t>
      </w:r>
      <w:proofErr w:type="spellStart"/>
      <w:r w:rsidRPr="00293613">
        <w:rPr>
          <w:rFonts w:ascii="Times New Roman" w:hAnsi="Times New Roman" w:cs="Times New Roman"/>
          <w:sz w:val="24"/>
          <w:szCs w:val="24"/>
        </w:rPr>
        <w:t>Dyčka</w:t>
      </w:r>
      <w:proofErr w:type="spellEnd"/>
      <w:r w:rsidRPr="00293613">
        <w:rPr>
          <w:rFonts w:ascii="Times New Roman" w:hAnsi="Times New Roman" w:cs="Times New Roman"/>
          <w:sz w:val="24"/>
          <w:szCs w:val="24"/>
        </w:rPr>
        <w:t xml:space="preserve">, F., Šebela, M., Prucek, R., </w:t>
      </w:r>
      <w:proofErr w:type="spellStart"/>
      <w:r w:rsidRPr="00293613">
        <w:rPr>
          <w:rFonts w:ascii="Times New Roman" w:hAnsi="Times New Roman" w:cs="Times New Roman"/>
          <w:sz w:val="24"/>
          <w:szCs w:val="24"/>
        </w:rPr>
        <w:t>Tomanec</w:t>
      </w:r>
      <w:proofErr w:type="spellEnd"/>
      <w:r w:rsidRPr="00293613">
        <w:rPr>
          <w:rFonts w:ascii="Times New Roman" w:hAnsi="Times New Roman" w:cs="Times New Roman"/>
          <w:sz w:val="24"/>
          <w:szCs w:val="24"/>
        </w:rPr>
        <w:t>, O., &amp; Zbořil, R. (2017). Bacterial resistance to silver nanoparticles and how to overcome it. Nature Nanotechnology, 13(1), 65–71. https://doi.org/10.1038/s41565-017-0013-y</w:t>
      </w:r>
    </w:p>
    <w:p w14:paraId="3B400009"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Patra, D., Ghosh, S., Mukherjee, S., Acharya, Y., Mukherjee, R., &amp; Haldar, J. (2024). Antimicrobial nanocomposite coatings for rapid intervention against catheter-associated urinary tract infections. Nanoscale, 16(23), 11109–11121. https://doi.org/10.1039/d4nr00653d</w:t>
      </w:r>
    </w:p>
    <w:p w14:paraId="214E2300"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Pinto, R. M., Lopes, D., Martins, M. C. L., Dijck, P. V., Nunes, C., &amp; Reis, S. (2019). Impact of </w:t>
      </w:r>
      <w:proofErr w:type="spellStart"/>
      <w:r w:rsidRPr="00293613">
        <w:rPr>
          <w:rFonts w:ascii="Times New Roman" w:hAnsi="Times New Roman" w:cs="Times New Roman"/>
          <w:sz w:val="24"/>
          <w:szCs w:val="24"/>
        </w:rPr>
        <w:t>nanosystems</w:t>
      </w:r>
      <w:proofErr w:type="spellEnd"/>
      <w:r w:rsidRPr="00293613">
        <w:rPr>
          <w:rFonts w:ascii="Times New Roman" w:hAnsi="Times New Roman" w:cs="Times New Roman"/>
          <w:sz w:val="24"/>
          <w:szCs w:val="24"/>
        </w:rPr>
        <w:t xml:space="preserve"> in Staphylococcus </w:t>
      </w:r>
      <w:proofErr w:type="spellStart"/>
      <w:r w:rsidRPr="00293613">
        <w:rPr>
          <w:rFonts w:ascii="Times New Roman" w:hAnsi="Times New Roman" w:cs="Times New Roman"/>
          <w:sz w:val="24"/>
          <w:szCs w:val="24"/>
        </w:rPr>
        <w:t>aureus</w:t>
      </w:r>
      <w:proofErr w:type="spellEnd"/>
      <w:r w:rsidRPr="00293613">
        <w:rPr>
          <w:rFonts w:ascii="Times New Roman" w:hAnsi="Times New Roman" w:cs="Times New Roman"/>
          <w:sz w:val="24"/>
          <w:szCs w:val="24"/>
        </w:rPr>
        <w:t xml:space="preserve"> biofilms treatment. FEMS Microbiology Reviews, 43(6), 622–637. https://doi.org/10.1093/femsre/fuz021</w:t>
      </w:r>
    </w:p>
    <w:p w14:paraId="4DA186A6"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Rodrigues, A. S., Batista, J. G. S., Rodrigues, M. Á. V., Thipe, V. C., Minarini, L. A. da R., Lopes, P. S., &amp; </w:t>
      </w:r>
      <w:proofErr w:type="spellStart"/>
      <w:r w:rsidRPr="00293613">
        <w:rPr>
          <w:rFonts w:ascii="Times New Roman" w:hAnsi="Times New Roman" w:cs="Times New Roman"/>
          <w:sz w:val="24"/>
          <w:szCs w:val="24"/>
        </w:rPr>
        <w:t>Lugão</w:t>
      </w:r>
      <w:proofErr w:type="spellEnd"/>
      <w:r w:rsidRPr="00293613">
        <w:rPr>
          <w:rFonts w:ascii="Times New Roman" w:hAnsi="Times New Roman" w:cs="Times New Roman"/>
          <w:sz w:val="24"/>
          <w:szCs w:val="24"/>
        </w:rPr>
        <w:t>, A. B. (2024). Advances in silver nanoparticles: A comprehensive review on their potential as antimicrobial agents and their mechanisms of action elucidated by proteomics. Frontiers in Microbiology, 15, 1440065. https://doi.org/10.3389/fmicb.2024.1440065</w:t>
      </w:r>
    </w:p>
    <w:p w14:paraId="48B76B5E"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lastRenderedPageBreak/>
        <w:t>Salwiczek</w:t>
      </w:r>
      <w:proofErr w:type="spellEnd"/>
      <w:r w:rsidRPr="00293613">
        <w:rPr>
          <w:rFonts w:ascii="Times New Roman" w:hAnsi="Times New Roman" w:cs="Times New Roman"/>
          <w:sz w:val="24"/>
          <w:szCs w:val="24"/>
        </w:rPr>
        <w:t xml:space="preserve">, M., Qu, Y., Gardiner, J., </w:t>
      </w:r>
      <w:proofErr w:type="spellStart"/>
      <w:r w:rsidRPr="00293613">
        <w:rPr>
          <w:rFonts w:ascii="Times New Roman" w:hAnsi="Times New Roman" w:cs="Times New Roman"/>
          <w:sz w:val="24"/>
          <w:szCs w:val="24"/>
        </w:rPr>
        <w:t>Strugnell</w:t>
      </w:r>
      <w:proofErr w:type="spellEnd"/>
      <w:r w:rsidRPr="00293613">
        <w:rPr>
          <w:rFonts w:ascii="Times New Roman" w:hAnsi="Times New Roman" w:cs="Times New Roman"/>
          <w:sz w:val="24"/>
          <w:szCs w:val="24"/>
        </w:rPr>
        <w:t>, R. A., Lithgow, T., McLean, K. M., &amp; Thissen, H. (2013). Emerging rules for effective antimicrobial coatings. Trends in Biotechnology, 32(2), 82–90. https://doi.org/10.1016/j.tibtech.2013.09.008</w:t>
      </w:r>
    </w:p>
    <w:p w14:paraId="3F9EBF8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Sánchez, S. V., Navarro, N. A. G., Catalan, J., &amp; Morales, J. (2021). Nanoparticles as potential novel therapies for urinary tract infections. Frontiers in Cellular and Infection Microbiology, 11, 656496. https://doi.org/10.3389/fcimb.2021.656496</w:t>
      </w:r>
    </w:p>
    <w:p w14:paraId="48276C39" w14:textId="77777777" w:rsidR="00613348" w:rsidRPr="00293613" w:rsidRDefault="00613348" w:rsidP="005C7441">
      <w:pPr>
        <w:pStyle w:val="ListBullet"/>
        <w:spacing w:line="480" w:lineRule="auto"/>
        <w:jc w:val="both"/>
        <w:rPr>
          <w:rFonts w:ascii="Times New Roman" w:hAnsi="Times New Roman" w:cs="Times New Roman"/>
          <w:sz w:val="24"/>
          <w:szCs w:val="24"/>
        </w:rPr>
      </w:pPr>
      <w:proofErr w:type="spellStart"/>
      <w:r w:rsidRPr="00293613">
        <w:rPr>
          <w:rFonts w:ascii="Times New Roman" w:hAnsi="Times New Roman" w:cs="Times New Roman"/>
          <w:sz w:val="24"/>
          <w:szCs w:val="24"/>
        </w:rPr>
        <w:t>Swolana</w:t>
      </w:r>
      <w:proofErr w:type="spellEnd"/>
      <w:r w:rsidRPr="00293613">
        <w:rPr>
          <w:rFonts w:ascii="Times New Roman" w:hAnsi="Times New Roman" w:cs="Times New Roman"/>
          <w:sz w:val="24"/>
          <w:szCs w:val="24"/>
        </w:rPr>
        <w:t xml:space="preserve">, D., </w:t>
      </w:r>
      <w:proofErr w:type="spellStart"/>
      <w:r w:rsidRPr="00293613">
        <w:rPr>
          <w:rFonts w:ascii="Times New Roman" w:hAnsi="Times New Roman" w:cs="Times New Roman"/>
          <w:sz w:val="24"/>
          <w:szCs w:val="24"/>
        </w:rPr>
        <w:t>Kępa</w:t>
      </w:r>
      <w:proofErr w:type="spellEnd"/>
      <w:r w:rsidRPr="00293613">
        <w:rPr>
          <w:rFonts w:ascii="Times New Roman" w:hAnsi="Times New Roman" w:cs="Times New Roman"/>
          <w:sz w:val="24"/>
          <w:szCs w:val="24"/>
        </w:rPr>
        <w:t xml:space="preserve">, M., Idzik, D., Dziedzic, A., </w:t>
      </w:r>
      <w:proofErr w:type="spellStart"/>
      <w:r w:rsidRPr="00293613">
        <w:rPr>
          <w:rFonts w:ascii="Times New Roman" w:hAnsi="Times New Roman" w:cs="Times New Roman"/>
          <w:sz w:val="24"/>
          <w:szCs w:val="24"/>
        </w:rPr>
        <w:t>Kabała‐Dzik</w:t>
      </w:r>
      <w:proofErr w:type="spellEnd"/>
      <w:r w:rsidRPr="00293613">
        <w:rPr>
          <w:rFonts w:ascii="Times New Roman" w:hAnsi="Times New Roman" w:cs="Times New Roman"/>
          <w:sz w:val="24"/>
          <w:szCs w:val="24"/>
        </w:rPr>
        <w:t xml:space="preserve">, A., </w:t>
      </w:r>
      <w:proofErr w:type="spellStart"/>
      <w:r w:rsidRPr="00293613">
        <w:rPr>
          <w:rFonts w:ascii="Times New Roman" w:hAnsi="Times New Roman" w:cs="Times New Roman"/>
          <w:sz w:val="24"/>
          <w:szCs w:val="24"/>
        </w:rPr>
        <w:t>Wąsik</w:t>
      </w:r>
      <w:proofErr w:type="spellEnd"/>
      <w:r w:rsidRPr="00293613">
        <w:rPr>
          <w:rFonts w:ascii="Times New Roman" w:hAnsi="Times New Roman" w:cs="Times New Roman"/>
          <w:sz w:val="24"/>
          <w:szCs w:val="24"/>
        </w:rPr>
        <w:t>, T. J., &amp; Wojtyczka, R. D. (2020). The antibacterial effect of silver nanoparticles on Staphylococcus epidermidis strains with different biofilm-forming ability. Nanomaterials, 10(5), 1010. https://doi.org/10.3390/nano10051010</w:t>
      </w:r>
    </w:p>
    <w:p w14:paraId="2B6FA50B"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Thomas, R., Nair, A. P., K. R., Mathew, J., &amp; EK, R. (2014). Antibacterial activity and synergistic effect of biosynthesized </w:t>
      </w:r>
      <w:proofErr w:type="spellStart"/>
      <w:r w:rsidRPr="00293613">
        <w:rPr>
          <w:rFonts w:ascii="Times New Roman" w:hAnsi="Times New Roman" w:cs="Times New Roman"/>
          <w:sz w:val="24"/>
          <w:szCs w:val="24"/>
        </w:rPr>
        <w:t>AgNPs</w:t>
      </w:r>
      <w:proofErr w:type="spellEnd"/>
      <w:r w:rsidRPr="00293613">
        <w:rPr>
          <w:rFonts w:ascii="Times New Roman" w:hAnsi="Times New Roman" w:cs="Times New Roman"/>
          <w:sz w:val="24"/>
          <w:szCs w:val="24"/>
        </w:rPr>
        <w:t xml:space="preserve"> with antibiotics against multidrug-resistant biofilm-forming coagulase-negative staphylococci isolated from clinical samples. Applied Biochemistry and Biotechnology, 173(2), 449–460. https://doi.org/10.1007/s12010-014-0852-z</w:t>
      </w:r>
    </w:p>
    <w:p w14:paraId="751B64C5"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 xml:space="preserve">Trzcińska-Wencel, J., </w:t>
      </w:r>
      <w:proofErr w:type="spellStart"/>
      <w:r w:rsidRPr="00293613">
        <w:rPr>
          <w:rFonts w:ascii="Times New Roman" w:hAnsi="Times New Roman" w:cs="Times New Roman"/>
          <w:sz w:val="24"/>
          <w:szCs w:val="24"/>
        </w:rPr>
        <w:t>Wypij</w:t>
      </w:r>
      <w:proofErr w:type="spellEnd"/>
      <w:r w:rsidRPr="00293613">
        <w:rPr>
          <w:rFonts w:ascii="Times New Roman" w:hAnsi="Times New Roman" w:cs="Times New Roman"/>
          <w:sz w:val="24"/>
          <w:szCs w:val="24"/>
        </w:rPr>
        <w:t xml:space="preserve">, M., Rai, M., &amp; Golińska, P. (2023). Biogenic </w:t>
      </w:r>
      <w:proofErr w:type="spellStart"/>
      <w:r w:rsidRPr="00293613">
        <w:rPr>
          <w:rFonts w:ascii="Times New Roman" w:hAnsi="Times New Roman" w:cs="Times New Roman"/>
          <w:sz w:val="24"/>
          <w:szCs w:val="24"/>
        </w:rPr>
        <w:t>nanosilver</w:t>
      </w:r>
      <w:proofErr w:type="spellEnd"/>
      <w:r w:rsidRPr="00293613">
        <w:rPr>
          <w:rFonts w:ascii="Times New Roman" w:hAnsi="Times New Roman" w:cs="Times New Roman"/>
          <w:sz w:val="24"/>
          <w:szCs w:val="24"/>
        </w:rPr>
        <w:t xml:space="preserve"> bearing antimicrobial and antibiofilm activities and its potential for application in agriculture and industry. Frontiers in Microbiology, 14, 1125685. https://doi.org/10.3389/fmicb.2023.1125685</w:t>
      </w:r>
    </w:p>
    <w:p w14:paraId="36F5C83D"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Wasfi, R., Hamed, S. M., Amer, M. A., &amp; Fahmy, L. I. (2020). Proteus mirabilis biofilm: Development and therapeutic strategies. Frontiers in Cellular and Infection Microbiology, 10, 414. https://doi.org/10.3389/fcimb.2020.00414</w:t>
      </w:r>
    </w:p>
    <w:p w14:paraId="0E0F8A94"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t>Xie, Y., Liu, H., Teng, Z., Ma, J., &amp; Liu, G. (2025). Nanomaterial-enabled anti-biofilm strategies: New opportunities for treatment of bacterial infections. Nanoscale. https://doi.org/10.1039/d4nr04774e</w:t>
      </w:r>
    </w:p>
    <w:p w14:paraId="05440F02" w14:textId="77777777" w:rsidR="00613348" w:rsidRPr="00293613" w:rsidRDefault="00613348" w:rsidP="005C7441">
      <w:pPr>
        <w:pStyle w:val="ListBullet"/>
        <w:spacing w:line="480" w:lineRule="auto"/>
        <w:jc w:val="both"/>
        <w:rPr>
          <w:rFonts w:ascii="Times New Roman" w:hAnsi="Times New Roman" w:cs="Times New Roman"/>
          <w:sz w:val="24"/>
          <w:szCs w:val="24"/>
        </w:rPr>
      </w:pPr>
      <w:r w:rsidRPr="00293613">
        <w:rPr>
          <w:rFonts w:ascii="Times New Roman" w:hAnsi="Times New Roman" w:cs="Times New Roman"/>
          <w:sz w:val="24"/>
          <w:szCs w:val="24"/>
        </w:rPr>
        <w:lastRenderedPageBreak/>
        <w:t>Yao, L., Yuan, L., Guo, X., Jiang, N., Xu, L., Zhao, Q., Xu, Y., &amp; Li, J. (2025). Curcumin biosynthesized silver nanoparticles-loaded polycaprolactone nanofibers for antibacterial applications. Materials Technology, 40(1). https://doi.org/10.1080/10667857.2024.2445641</w:t>
      </w:r>
    </w:p>
    <w:p w14:paraId="3DA3EF75" w14:textId="77777777" w:rsidR="00613348" w:rsidRPr="00613348" w:rsidRDefault="00613348" w:rsidP="005C7441">
      <w:pPr>
        <w:spacing w:line="480" w:lineRule="auto"/>
        <w:rPr>
          <w:rFonts w:ascii="Times New Roman" w:hAnsi="Times New Roman" w:cs="Times New Roman"/>
          <w:sz w:val="24"/>
          <w:szCs w:val="24"/>
        </w:rPr>
      </w:pPr>
    </w:p>
    <w:sectPr w:rsidR="00613348" w:rsidRPr="0061334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DF751" w14:textId="77777777" w:rsidR="00396BC7" w:rsidRDefault="00396BC7" w:rsidP="00E67CA0">
      <w:pPr>
        <w:spacing w:after="0" w:line="240" w:lineRule="auto"/>
      </w:pPr>
      <w:r>
        <w:separator/>
      </w:r>
    </w:p>
  </w:endnote>
  <w:endnote w:type="continuationSeparator" w:id="0">
    <w:p w14:paraId="2FA0DC55" w14:textId="77777777" w:rsidR="00396BC7" w:rsidRDefault="00396BC7" w:rsidP="00E67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77833" w14:textId="77777777" w:rsidR="00E67CA0" w:rsidRDefault="00E67C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CCFFB" w14:textId="77777777" w:rsidR="00E67CA0" w:rsidRDefault="00E67C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8836E" w14:textId="77777777" w:rsidR="00E67CA0" w:rsidRDefault="00E67C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E369C" w14:textId="77777777" w:rsidR="00396BC7" w:rsidRDefault="00396BC7" w:rsidP="00E67CA0">
      <w:pPr>
        <w:spacing w:after="0" w:line="240" w:lineRule="auto"/>
      </w:pPr>
      <w:r>
        <w:separator/>
      </w:r>
    </w:p>
  </w:footnote>
  <w:footnote w:type="continuationSeparator" w:id="0">
    <w:p w14:paraId="179CC2FD" w14:textId="77777777" w:rsidR="00396BC7" w:rsidRDefault="00396BC7" w:rsidP="00E67C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485FB" w14:textId="67FB23E3" w:rsidR="00E67CA0" w:rsidRDefault="00396BC7">
    <w:pPr>
      <w:pStyle w:val="Header"/>
    </w:pPr>
    <w:r>
      <w:rPr>
        <w:noProof/>
      </w:rPr>
      <w:pict w14:anchorId="7B2C2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84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CB2CA" w14:textId="79C2FE0F" w:rsidR="00E67CA0" w:rsidRDefault="00396BC7">
    <w:pPr>
      <w:pStyle w:val="Header"/>
    </w:pPr>
    <w:r>
      <w:rPr>
        <w:noProof/>
      </w:rPr>
      <w:pict w14:anchorId="24C37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84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521CC" w14:textId="16CE7720" w:rsidR="00E67CA0" w:rsidRDefault="00396BC7">
    <w:pPr>
      <w:pStyle w:val="Header"/>
    </w:pPr>
    <w:r>
      <w:rPr>
        <w:noProof/>
      </w:rPr>
      <w:pict w14:anchorId="75494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84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F160A7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EFF3255"/>
    <w:multiLevelType w:val="hybridMultilevel"/>
    <w:tmpl w:val="3D5678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tDC3MDI0Nzc2MzcwtzBW0lEKTi0uzszPAykwNKkFAM5nnIstAAAA"/>
  </w:docVars>
  <w:rsids>
    <w:rsidRoot w:val="007731A4"/>
    <w:rsid w:val="00026621"/>
    <w:rsid w:val="00032045"/>
    <w:rsid w:val="0003258A"/>
    <w:rsid w:val="00043177"/>
    <w:rsid w:val="00050C9B"/>
    <w:rsid w:val="00051765"/>
    <w:rsid w:val="00061781"/>
    <w:rsid w:val="00064FD1"/>
    <w:rsid w:val="00070BE9"/>
    <w:rsid w:val="00091B9E"/>
    <w:rsid w:val="000A0582"/>
    <w:rsid w:val="000A0B7B"/>
    <w:rsid w:val="000C1C7F"/>
    <w:rsid w:val="000D21F9"/>
    <w:rsid w:val="000D6F7B"/>
    <w:rsid w:val="000E6EFF"/>
    <w:rsid w:val="001303BD"/>
    <w:rsid w:val="001468F1"/>
    <w:rsid w:val="001A0007"/>
    <w:rsid w:val="001D2EE2"/>
    <w:rsid w:val="001E0B7F"/>
    <w:rsid w:val="001E4BAC"/>
    <w:rsid w:val="001F10D5"/>
    <w:rsid w:val="001F4072"/>
    <w:rsid w:val="00220944"/>
    <w:rsid w:val="00231F97"/>
    <w:rsid w:val="00232150"/>
    <w:rsid w:val="00236CF0"/>
    <w:rsid w:val="00244822"/>
    <w:rsid w:val="00281568"/>
    <w:rsid w:val="002B645F"/>
    <w:rsid w:val="002D4367"/>
    <w:rsid w:val="002F28BA"/>
    <w:rsid w:val="00357CBE"/>
    <w:rsid w:val="00394358"/>
    <w:rsid w:val="00396BC7"/>
    <w:rsid w:val="003C6B11"/>
    <w:rsid w:val="003E0556"/>
    <w:rsid w:val="003E1597"/>
    <w:rsid w:val="004072D2"/>
    <w:rsid w:val="004351C4"/>
    <w:rsid w:val="00436C15"/>
    <w:rsid w:val="004871ED"/>
    <w:rsid w:val="004B1CE5"/>
    <w:rsid w:val="004B29BC"/>
    <w:rsid w:val="004B5F28"/>
    <w:rsid w:val="004B7568"/>
    <w:rsid w:val="004D105D"/>
    <w:rsid w:val="00500D51"/>
    <w:rsid w:val="005414D7"/>
    <w:rsid w:val="00544AB4"/>
    <w:rsid w:val="0057725C"/>
    <w:rsid w:val="00592259"/>
    <w:rsid w:val="005C7441"/>
    <w:rsid w:val="00613348"/>
    <w:rsid w:val="00632EBE"/>
    <w:rsid w:val="0064398E"/>
    <w:rsid w:val="006E02F5"/>
    <w:rsid w:val="006E358B"/>
    <w:rsid w:val="00700635"/>
    <w:rsid w:val="00713C20"/>
    <w:rsid w:val="00743159"/>
    <w:rsid w:val="00766986"/>
    <w:rsid w:val="007731A4"/>
    <w:rsid w:val="0077670A"/>
    <w:rsid w:val="00792BB4"/>
    <w:rsid w:val="007943AC"/>
    <w:rsid w:val="007A0050"/>
    <w:rsid w:val="007B69C3"/>
    <w:rsid w:val="007D518B"/>
    <w:rsid w:val="007E25E0"/>
    <w:rsid w:val="00830632"/>
    <w:rsid w:val="00860CCE"/>
    <w:rsid w:val="0088594C"/>
    <w:rsid w:val="008907FC"/>
    <w:rsid w:val="00893BA9"/>
    <w:rsid w:val="008A1DBF"/>
    <w:rsid w:val="008D3550"/>
    <w:rsid w:val="008D788C"/>
    <w:rsid w:val="008E1B9A"/>
    <w:rsid w:val="009257BB"/>
    <w:rsid w:val="00934629"/>
    <w:rsid w:val="00937A18"/>
    <w:rsid w:val="00994E13"/>
    <w:rsid w:val="00997247"/>
    <w:rsid w:val="009B3F6D"/>
    <w:rsid w:val="009D5A9D"/>
    <w:rsid w:val="009E6BF2"/>
    <w:rsid w:val="00A65882"/>
    <w:rsid w:val="00AA3D8B"/>
    <w:rsid w:val="00AB2C42"/>
    <w:rsid w:val="00AE1D2C"/>
    <w:rsid w:val="00B64CC6"/>
    <w:rsid w:val="00BB58F0"/>
    <w:rsid w:val="00BC4A43"/>
    <w:rsid w:val="00BC5EB4"/>
    <w:rsid w:val="00BC75CB"/>
    <w:rsid w:val="00C34643"/>
    <w:rsid w:val="00CA2099"/>
    <w:rsid w:val="00CC467D"/>
    <w:rsid w:val="00CD12EE"/>
    <w:rsid w:val="00CF3092"/>
    <w:rsid w:val="00D0403B"/>
    <w:rsid w:val="00D1379C"/>
    <w:rsid w:val="00D17242"/>
    <w:rsid w:val="00D206F3"/>
    <w:rsid w:val="00D206F4"/>
    <w:rsid w:val="00D377D1"/>
    <w:rsid w:val="00D54590"/>
    <w:rsid w:val="00D67B3D"/>
    <w:rsid w:val="00DC005F"/>
    <w:rsid w:val="00DC06CF"/>
    <w:rsid w:val="00DD095D"/>
    <w:rsid w:val="00E02B10"/>
    <w:rsid w:val="00E12519"/>
    <w:rsid w:val="00E12C79"/>
    <w:rsid w:val="00E4549E"/>
    <w:rsid w:val="00E62FE1"/>
    <w:rsid w:val="00E67CA0"/>
    <w:rsid w:val="00E86644"/>
    <w:rsid w:val="00EA5690"/>
    <w:rsid w:val="00EE5D3F"/>
    <w:rsid w:val="00EF00D4"/>
    <w:rsid w:val="00F0798B"/>
    <w:rsid w:val="00F252EE"/>
    <w:rsid w:val="00F32BB6"/>
    <w:rsid w:val="00F47789"/>
    <w:rsid w:val="00F713C4"/>
    <w:rsid w:val="00F748C3"/>
    <w:rsid w:val="00F9259D"/>
    <w:rsid w:val="00FB7812"/>
    <w:rsid w:val="00FD49B7"/>
    <w:rsid w:val="00FF708D"/>
    <w:rsid w:val="00FF7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A1DB33"/>
  <w15:chartTrackingRefBased/>
  <w15:docId w15:val="{2B794D39-A6A7-49A2-9BDB-D9CDC52C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C7F"/>
    <w:pPr>
      <w:spacing w:after="200" w:line="276" w:lineRule="auto"/>
    </w:pPr>
    <w:rPr>
      <w:rFonts w:eastAsiaTheme="minorEastAsia"/>
    </w:rPr>
  </w:style>
  <w:style w:type="paragraph" w:styleId="Heading1">
    <w:name w:val="heading 1"/>
    <w:basedOn w:val="Normal"/>
    <w:next w:val="Normal"/>
    <w:link w:val="Heading1Char"/>
    <w:uiPriority w:val="9"/>
    <w:qFormat/>
    <w:rsid w:val="006E35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F28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3D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C7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325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258A"/>
    <w:rPr>
      <w:b/>
      <w:bCs/>
    </w:rPr>
  </w:style>
  <w:style w:type="character" w:customStyle="1" w:styleId="Heading3Char">
    <w:name w:val="Heading 3 Char"/>
    <w:basedOn w:val="DefaultParagraphFont"/>
    <w:link w:val="Heading3"/>
    <w:uiPriority w:val="9"/>
    <w:rsid w:val="00AA3D8B"/>
    <w:rPr>
      <w:rFonts w:ascii="Times New Roman" w:eastAsia="Times New Roman" w:hAnsi="Times New Roman" w:cs="Times New Roman"/>
      <w:b/>
      <w:bCs/>
      <w:sz w:val="27"/>
      <w:szCs w:val="27"/>
    </w:rPr>
  </w:style>
  <w:style w:type="character" w:styleId="Emphasis">
    <w:name w:val="Emphasis"/>
    <w:basedOn w:val="DefaultParagraphFont"/>
    <w:uiPriority w:val="20"/>
    <w:qFormat/>
    <w:rsid w:val="00AA3D8B"/>
    <w:rPr>
      <w:i/>
      <w:iCs/>
    </w:rPr>
  </w:style>
  <w:style w:type="character" w:customStyle="1" w:styleId="katex-mathml">
    <w:name w:val="katex-mathml"/>
    <w:basedOn w:val="DefaultParagraphFont"/>
    <w:rsid w:val="00AA3D8B"/>
  </w:style>
  <w:style w:type="character" w:customStyle="1" w:styleId="mord">
    <w:name w:val="mord"/>
    <w:basedOn w:val="DefaultParagraphFont"/>
    <w:rsid w:val="00AA3D8B"/>
  </w:style>
  <w:style w:type="character" w:customStyle="1" w:styleId="mrel">
    <w:name w:val="mrel"/>
    <w:basedOn w:val="DefaultParagraphFont"/>
    <w:rsid w:val="00AA3D8B"/>
  </w:style>
  <w:style w:type="character" w:customStyle="1" w:styleId="delimsizing">
    <w:name w:val="delimsizing"/>
    <w:basedOn w:val="DefaultParagraphFont"/>
    <w:rsid w:val="00AA3D8B"/>
  </w:style>
  <w:style w:type="character" w:customStyle="1" w:styleId="mbin">
    <w:name w:val="mbin"/>
    <w:basedOn w:val="DefaultParagraphFont"/>
    <w:rsid w:val="00AA3D8B"/>
  </w:style>
  <w:style w:type="character" w:customStyle="1" w:styleId="mtight">
    <w:name w:val="mtight"/>
    <w:basedOn w:val="DefaultParagraphFont"/>
    <w:rsid w:val="00AA3D8B"/>
  </w:style>
  <w:style w:type="character" w:customStyle="1" w:styleId="vlist-s">
    <w:name w:val="vlist-s"/>
    <w:basedOn w:val="DefaultParagraphFont"/>
    <w:rsid w:val="00AA3D8B"/>
  </w:style>
  <w:style w:type="character" w:customStyle="1" w:styleId="Heading1Char">
    <w:name w:val="Heading 1 Char"/>
    <w:basedOn w:val="DefaultParagraphFont"/>
    <w:link w:val="Heading1"/>
    <w:uiPriority w:val="9"/>
    <w:rsid w:val="006E358B"/>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792BB4"/>
    <w:pPr>
      <w:spacing w:after="0" w:line="240" w:lineRule="auto"/>
    </w:pPr>
    <w:rPr>
      <w:rFonts w:eastAsiaTheme="minorEastAsia"/>
    </w:rPr>
  </w:style>
  <w:style w:type="character" w:styleId="Hyperlink">
    <w:name w:val="Hyperlink"/>
    <w:uiPriority w:val="99"/>
    <w:unhideWhenUsed/>
    <w:rsid w:val="004072D2"/>
    <w:rPr>
      <w:color w:val="0563C1"/>
      <w:u w:val="single"/>
    </w:rPr>
  </w:style>
  <w:style w:type="character" w:customStyle="1" w:styleId="Heading2Char">
    <w:name w:val="Heading 2 Char"/>
    <w:basedOn w:val="DefaultParagraphFont"/>
    <w:link w:val="Heading2"/>
    <w:uiPriority w:val="9"/>
    <w:rsid w:val="002F28BA"/>
    <w:rPr>
      <w:rFonts w:asciiTheme="majorHAnsi" w:eastAsiaTheme="majorEastAsia" w:hAnsiTheme="majorHAnsi" w:cstheme="majorBidi"/>
      <w:color w:val="2E74B5" w:themeColor="accent1" w:themeShade="BF"/>
      <w:sz w:val="26"/>
      <w:szCs w:val="26"/>
    </w:rPr>
  </w:style>
  <w:style w:type="character" w:customStyle="1" w:styleId="ai-insert">
    <w:name w:val="ai-insert"/>
    <w:basedOn w:val="DefaultParagraphFont"/>
    <w:rsid w:val="00F748C3"/>
  </w:style>
  <w:style w:type="paragraph" w:styleId="ListParagraph">
    <w:name w:val="List Paragraph"/>
    <w:basedOn w:val="Normal"/>
    <w:uiPriority w:val="34"/>
    <w:qFormat/>
    <w:rsid w:val="00FD49B7"/>
    <w:pPr>
      <w:ind w:left="720"/>
      <w:contextualSpacing/>
    </w:pPr>
  </w:style>
  <w:style w:type="paragraph" w:styleId="ListBullet">
    <w:name w:val="List Bullet"/>
    <w:basedOn w:val="Normal"/>
    <w:uiPriority w:val="99"/>
    <w:unhideWhenUsed/>
    <w:rsid w:val="00613348"/>
    <w:pPr>
      <w:numPr>
        <w:numId w:val="2"/>
      </w:numPr>
      <w:contextualSpacing/>
    </w:pPr>
  </w:style>
  <w:style w:type="paragraph" w:styleId="Header">
    <w:name w:val="header"/>
    <w:basedOn w:val="Normal"/>
    <w:link w:val="HeaderChar"/>
    <w:uiPriority w:val="99"/>
    <w:unhideWhenUsed/>
    <w:rsid w:val="00E67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CA0"/>
    <w:rPr>
      <w:rFonts w:eastAsiaTheme="minorEastAsia"/>
    </w:rPr>
  </w:style>
  <w:style w:type="paragraph" w:styleId="Footer">
    <w:name w:val="footer"/>
    <w:basedOn w:val="Normal"/>
    <w:link w:val="FooterChar"/>
    <w:uiPriority w:val="99"/>
    <w:unhideWhenUsed/>
    <w:rsid w:val="00E67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CA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557">
      <w:bodyDiv w:val="1"/>
      <w:marLeft w:val="0"/>
      <w:marRight w:val="0"/>
      <w:marTop w:val="0"/>
      <w:marBottom w:val="0"/>
      <w:divBdr>
        <w:top w:val="none" w:sz="0" w:space="0" w:color="auto"/>
        <w:left w:val="none" w:sz="0" w:space="0" w:color="auto"/>
        <w:bottom w:val="none" w:sz="0" w:space="0" w:color="auto"/>
        <w:right w:val="none" w:sz="0" w:space="0" w:color="auto"/>
      </w:divBdr>
    </w:div>
    <w:div w:id="213588125">
      <w:bodyDiv w:val="1"/>
      <w:marLeft w:val="0"/>
      <w:marRight w:val="0"/>
      <w:marTop w:val="0"/>
      <w:marBottom w:val="0"/>
      <w:divBdr>
        <w:top w:val="none" w:sz="0" w:space="0" w:color="auto"/>
        <w:left w:val="none" w:sz="0" w:space="0" w:color="auto"/>
        <w:bottom w:val="none" w:sz="0" w:space="0" w:color="auto"/>
        <w:right w:val="none" w:sz="0" w:space="0" w:color="auto"/>
      </w:divBdr>
    </w:div>
    <w:div w:id="237906224">
      <w:bodyDiv w:val="1"/>
      <w:marLeft w:val="0"/>
      <w:marRight w:val="0"/>
      <w:marTop w:val="0"/>
      <w:marBottom w:val="0"/>
      <w:divBdr>
        <w:top w:val="none" w:sz="0" w:space="0" w:color="auto"/>
        <w:left w:val="none" w:sz="0" w:space="0" w:color="auto"/>
        <w:bottom w:val="none" w:sz="0" w:space="0" w:color="auto"/>
        <w:right w:val="none" w:sz="0" w:space="0" w:color="auto"/>
      </w:divBdr>
    </w:div>
    <w:div w:id="372661379">
      <w:bodyDiv w:val="1"/>
      <w:marLeft w:val="0"/>
      <w:marRight w:val="0"/>
      <w:marTop w:val="0"/>
      <w:marBottom w:val="0"/>
      <w:divBdr>
        <w:top w:val="none" w:sz="0" w:space="0" w:color="auto"/>
        <w:left w:val="none" w:sz="0" w:space="0" w:color="auto"/>
        <w:bottom w:val="none" w:sz="0" w:space="0" w:color="auto"/>
        <w:right w:val="none" w:sz="0" w:space="0" w:color="auto"/>
      </w:divBdr>
    </w:div>
    <w:div w:id="375860735">
      <w:bodyDiv w:val="1"/>
      <w:marLeft w:val="0"/>
      <w:marRight w:val="0"/>
      <w:marTop w:val="0"/>
      <w:marBottom w:val="0"/>
      <w:divBdr>
        <w:top w:val="none" w:sz="0" w:space="0" w:color="auto"/>
        <w:left w:val="none" w:sz="0" w:space="0" w:color="auto"/>
        <w:bottom w:val="none" w:sz="0" w:space="0" w:color="auto"/>
        <w:right w:val="none" w:sz="0" w:space="0" w:color="auto"/>
      </w:divBdr>
    </w:div>
    <w:div w:id="523061266">
      <w:bodyDiv w:val="1"/>
      <w:marLeft w:val="0"/>
      <w:marRight w:val="0"/>
      <w:marTop w:val="0"/>
      <w:marBottom w:val="0"/>
      <w:divBdr>
        <w:top w:val="none" w:sz="0" w:space="0" w:color="auto"/>
        <w:left w:val="none" w:sz="0" w:space="0" w:color="auto"/>
        <w:bottom w:val="none" w:sz="0" w:space="0" w:color="auto"/>
        <w:right w:val="none" w:sz="0" w:space="0" w:color="auto"/>
      </w:divBdr>
    </w:div>
    <w:div w:id="651446660">
      <w:bodyDiv w:val="1"/>
      <w:marLeft w:val="0"/>
      <w:marRight w:val="0"/>
      <w:marTop w:val="0"/>
      <w:marBottom w:val="0"/>
      <w:divBdr>
        <w:top w:val="none" w:sz="0" w:space="0" w:color="auto"/>
        <w:left w:val="none" w:sz="0" w:space="0" w:color="auto"/>
        <w:bottom w:val="none" w:sz="0" w:space="0" w:color="auto"/>
        <w:right w:val="none" w:sz="0" w:space="0" w:color="auto"/>
      </w:divBdr>
    </w:div>
    <w:div w:id="793983540">
      <w:bodyDiv w:val="1"/>
      <w:marLeft w:val="0"/>
      <w:marRight w:val="0"/>
      <w:marTop w:val="0"/>
      <w:marBottom w:val="0"/>
      <w:divBdr>
        <w:top w:val="none" w:sz="0" w:space="0" w:color="auto"/>
        <w:left w:val="none" w:sz="0" w:space="0" w:color="auto"/>
        <w:bottom w:val="none" w:sz="0" w:space="0" w:color="auto"/>
        <w:right w:val="none" w:sz="0" w:space="0" w:color="auto"/>
      </w:divBdr>
    </w:div>
    <w:div w:id="910428134">
      <w:bodyDiv w:val="1"/>
      <w:marLeft w:val="0"/>
      <w:marRight w:val="0"/>
      <w:marTop w:val="0"/>
      <w:marBottom w:val="0"/>
      <w:divBdr>
        <w:top w:val="none" w:sz="0" w:space="0" w:color="auto"/>
        <w:left w:val="none" w:sz="0" w:space="0" w:color="auto"/>
        <w:bottom w:val="none" w:sz="0" w:space="0" w:color="auto"/>
        <w:right w:val="none" w:sz="0" w:space="0" w:color="auto"/>
      </w:divBdr>
    </w:div>
    <w:div w:id="988290813">
      <w:bodyDiv w:val="1"/>
      <w:marLeft w:val="0"/>
      <w:marRight w:val="0"/>
      <w:marTop w:val="0"/>
      <w:marBottom w:val="0"/>
      <w:divBdr>
        <w:top w:val="none" w:sz="0" w:space="0" w:color="auto"/>
        <w:left w:val="none" w:sz="0" w:space="0" w:color="auto"/>
        <w:bottom w:val="none" w:sz="0" w:space="0" w:color="auto"/>
        <w:right w:val="none" w:sz="0" w:space="0" w:color="auto"/>
      </w:divBdr>
    </w:div>
    <w:div w:id="1036781841">
      <w:bodyDiv w:val="1"/>
      <w:marLeft w:val="0"/>
      <w:marRight w:val="0"/>
      <w:marTop w:val="0"/>
      <w:marBottom w:val="0"/>
      <w:divBdr>
        <w:top w:val="none" w:sz="0" w:space="0" w:color="auto"/>
        <w:left w:val="none" w:sz="0" w:space="0" w:color="auto"/>
        <w:bottom w:val="none" w:sz="0" w:space="0" w:color="auto"/>
        <w:right w:val="none" w:sz="0" w:space="0" w:color="auto"/>
      </w:divBdr>
    </w:div>
    <w:div w:id="1137186821">
      <w:bodyDiv w:val="1"/>
      <w:marLeft w:val="0"/>
      <w:marRight w:val="0"/>
      <w:marTop w:val="0"/>
      <w:marBottom w:val="0"/>
      <w:divBdr>
        <w:top w:val="none" w:sz="0" w:space="0" w:color="auto"/>
        <w:left w:val="none" w:sz="0" w:space="0" w:color="auto"/>
        <w:bottom w:val="none" w:sz="0" w:space="0" w:color="auto"/>
        <w:right w:val="none" w:sz="0" w:space="0" w:color="auto"/>
      </w:divBdr>
    </w:div>
    <w:div w:id="1150437890">
      <w:bodyDiv w:val="1"/>
      <w:marLeft w:val="0"/>
      <w:marRight w:val="0"/>
      <w:marTop w:val="0"/>
      <w:marBottom w:val="0"/>
      <w:divBdr>
        <w:top w:val="none" w:sz="0" w:space="0" w:color="auto"/>
        <w:left w:val="none" w:sz="0" w:space="0" w:color="auto"/>
        <w:bottom w:val="none" w:sz="0" w:space="0" w:color="auto"/>
        <w:right w:val="none" w:sz="0" w:space="0" w:color="auto"/>
      </w:divBdr>
    </w:div>
    <w:div w:id="1202938512">
      <w:bodyDiv w:val="1"/>
      <w:marLeft w:val="0"/>
      <w:marRight w:val="0"/>
      <w:marTop w:val="0"/>
      <w:marBottom w:val="0"/>
      <w:divBdr>
        <w:top w:val="none" w:sz="0" w:space="0" w:color="auto"/>
        <w:left w:val="none" w:sz="0" w:space="0" w:color="auto"/>
        <w:bottom w:val="none" w:sz="0" w:space="0" w:color="auto"/>
        <w:right w:val="none" w:sz="0" w:space="0" w:color="auto"/>
      </w:divBdr>
    </w:div>
    <w:div w:id="1218515448">
      <w:bodyDiv w:val="1"/>
      <w:marLeft w:val="0"/>
      <w:marRight w:val="0"/>
      <w:marTop w:val="0"/>
      <w:marBottom w:val="0"/>
      <w:divBdr>
        <w:top w:val="none" w:sz="0" w:space="0" w:color="auto"/>
        <w:left w:val="none" w:sz="0" w:space="0" w:color="auto"/>
        <w:bottom w:val="none" w:sz="0" w:space="0" w:color="auto"/>
        <w:right w:val="none" w:sz="0" w:space="0" w:color="auto"/>
      </w:divBdr>
    </w:div>
    <w:div w:id="1259406915">
      <w:bodyDiv w:val="1"/>
      <w:marLeft w:val="0"/>
      <w:marRight w:val="0"/>
      <w:marTop w:val="0"/>
      <w:marBottom w:val="0"/>
      <w:divBdr>
        <w:top w:val="none" w:sz="0" w:space="0" w:color="auto"/>
        <w:left w:val="none" w:sz="0" w:space="0" w:color="auto"/>
        <w:bottom w:val="none" w:sz="0" w:space="0" w:color="auto"/>
        <w:right w:val="none" w:sz="0" w:space="0" w:color="auto"/>
      </w:divBdr>
    </w:div>
    <w:div w:id="1393120825">
      <w:bodyDiv w:val="1"/>
      <w:marLeft w:val="0"/>
      <w:marRight w:val="0"/>
      <w:marTop w:val="0"/>
      <w:marBottom w:val="0"/>
      <w:divBdr>
        <w:top w:val="none" w:sz="0" w:space="0" w:color="auto"/>
        <w:left w:val="none" w:sz="0" w:space="0" w:color="auto"/>
        <w:bottom w:val="none" w:sz="0" w:space="0" w:color="auto"/>
        <w:right w:val="none" w:sz="0" w:space="0" w:color="auto"/>
      </w:divBdr>
    </w:div>
    <w:div w:id="1409767850">
      <w:bodyDiv w:val="1"/>
      <w:marLeft w:val="0"/>
      <w:marRight w:val="0"/>
      <w:marTop w:val="0"/>
      <w:marBottom w:val="0"/>
      <w:divBdr>
        <w:top w:val="none" w:sz="0" w:space="0" w:color="auto"/>
        <w:left w:val="none" w:sz="0" w:space="0" w:color="auto"/>
        <w:bottom w:val="none" w:sz="0" w:space="0" w:color="auto"/>
        <w:right w:val="none" w:sz="0" w:space="0" w:color="auto"/>
      </w:divBdr>
    </w:div>
    <w:div w:id="1512917221">
      <w:bodyDiv w:val="1"/>
      <w:marLeft w:val="0"/>
      <w:marRight w:val="0"/>
      <w:marTop w:val="0"/>
      <w:marBottom w:val="0"/>
      <w:divBdr>
        <w:top w:val="none" w:sz="0" w:space="0" w:color="auto"/>
        <w:left w:val="none" w:sz="0" w:space="0" w:color="auto"/>
        <w:bottom w:val="none" w:sz="0" w:space="0" w:color="auto"/>
        <w:right w:val="none" w:sz="0" w:space="0" w:color="auto"/>
      </w:divBdr>
    </w:div>
    <w:div w:id="1613316060">
      <w:bodyDiv w:val="1"/>
      <w:marLeft w:val="0"/>
      <w:marRight w:val="0"/>
      <w:marTop w:val="0"/>
      <w:marBottom w:val="0"/>
      <w:divBdr>
        <w:top w:val="none" w:sz="0" w:space="0" w:color="auto"/>
        <w:left w:val="none" w:sz="0" w:space="0" w:color="auto"/>
        <w:bottom w:val="none" w:sz="0" w:space="0" w:color="auto"/>
        <w:right w:val="none" w:sz="0" w:space="0" w:color="auto"/>
      </w:divBdr>
    </w:div>
    <w:div w:id="1638220439">
      <w:bodyDiv w:val="1"/>
      <w:marLeft w:val="0"/>
      <w:marRight w:val="0"/>
      <w:marTop w:val="0"/>
      <w:marBottom w:val="0"/>
      <w:divBdr>
        <w:top w:val="none" w:sz="0" w:space="0" w:color="auto"/>
        <w:left w:val="none" w:sz="0" w:space="0" w:color="auto"/>
        <w:bottom w:val="none" w:sz="0" w:space="0" w:color="auto"/>
        <w:right w:val="none" w:sz="0" w:space="0" w:color="auto"/>
      </w:divBdr>
    </w:div>
    <w:div w:id="1751346329">
      <w:bodyDiv w:val="1"/>
      <w:marLeft w:val="0"/>
      <w:marRight w:val="0"/>
      <w:marTop w:val="0"/>
      <w:marBottom w:val="0"/>
      <w:divBdr>
        <w:top w:val="none" w:sz="0" w:space="0" w:color="auto"/>
        <w:left w:val="none" w:sz="0" w:space="0" w:color="auto"/>
        <w:bottom w:val="none" w:sz="0" w:space="0" w:color="auto"/>
        <w:right w:val="none" w:sz="0" w:space="0" w:color="auto"/>
      </w:divBdr>
    </w:div>
    <w:div w:id="1792091401">
      <w:bodyDiv w:val="1"/>
      <w:marLeft w:val="0"/>
      <w:marRight w:val="0"/>
      <w:marTop w:val="0"/>
      <w:marBottom w:val="0"/>
      <w:divBdr>
        <w:top w:val="none" w:sz="0" w:space="0" w:color="auto"/>
        <w:left w:val="none" w:sz="0" w:space="0" w:color="auto"/>
        <w:bottom w:val="none" w:sz="0" w:space="0" w:color="auto"/>
        <w:right w:val="none" w:sz="0" w:space="0" w:color="auto"/>
      </w:divBdr>
    </w:div>
    <w:div w:id="1803964367">
      <w:bodyDiv w:val="1"/>
      <w:marLeft w:val="0"/>
      <w:marRight w:val="0"/>
      <w:marTop w:val="0"/>
      <w:marBottom w:val="0"/>
      <w:divBdr>
        <w:top w:val="none" w:sz="0" w:space="0" w:color="auto"/>
        <w:left w:val="none" w:sz="0" w:space="0" w:color="auto"/>
        <w:bottom w:val="none" w:sz="0" w:space="0" w:color="auto"/>
        <w:right w:val="none" w:sz="0" w:space="0" w:color="auto"/>
      </w:divBdr>
    </w:div>
    <w:div w:id="1906604489">
      <w:bodyDiv w:val="1"/>
      <w:marLeft w:val="0"/>
      <w:marRight w:val="0"/>
      <w:marTop w:val="0"/>
      <w:marBottom w:val="0"/>
      <w:divBdr>
        <w:top w:val="none" w:sz="0" w:space="0" w:color="auto"/>
        <w:left w:val="none" w:sz="0" w:space="0" w:color="auto"/>
        <w:bottom w:val="none" w:sz="0" w:space="0" w:color="auto"/>
        <w:right w:val="none" w:sz="0" w:space="0" w:color="auto"/>
      </w:divBdr>
    </w:div>
    <w:div w:id="1916818238">
      <w:bodyDiv w:val="1"/>
      <w:marLeft w:val="0"/>
      <w:marRight w:val="0"/>
      <w:marTop w:val="0"/>
      <w:marBottom w:val="0"/>
      <w:divBdr>
        <w:top w:val="none" w:sz="0" w:space="0" w:color="auto"/>
        <w:left w:val="none" w:sz="0" w:space="0" w:color="auto"/>
        <w:bottom w:val="none" w:sz="0" w:space="0" w:color="auto"/>
        <w:right w:val="none" w:sz="0" w:space="0" w:color="auto"/>
      </w:divBdr>
    </w:div>
    <w:div w:id="1929121595">
      <w:bodyDiv w:val="1"/>
      <w:marLeft w:val="0"/>
      <w:marRight w:val="0"/>
      <w:marTop w:val="0"/>
      <w:marBottom w:val="0"/>
      <w:divBdr>
        <w:top w:val="none" w:sz="0" w:space="0" w:color="auto"/>
        <w:left w:val="none" w:sz="0" w:space="0" w:color="auto"/>
        <w:bottom w:val="none" w:sz="0" w:space="0" w:color="auto"/>
        <w:right w:val="none" w:sz="0" w:space="0" w:color="auto"/>
      </w:divBdr>
    </w:div>
    <w:div w:id="1991668555">
      <w:bodyDiv w:val="1"/>
      <w:marLeft w:val="0"/>
      <w:marRight w:val="0"/>
      <w:marTop w:val="0"/>
      <w:marBottom w:val="0"/>
      <w:divBdr>
        <w:top w:val="none" w:sz="0" w:space="0" w:color="auto"/>
        <w:left w:val="none" w:sz="0" w:space="0" w:color="auto"/>
        <w:bottom w:val="none" w:sz="0" w:space="0" w:color="auto"/>
        <w:right w:val="none" w:sz="0" w:space="0" w:color="auto"/>
      </w:divBdr>
    </w:div>
    <w:div w:id="1994793262">
      <w:bodyDiv w:val="1"/>
      <w:marLeft w:val="0"/>
      <w:marRight w:val="0"/>
      <w:marTop w:val="0"/>
      <w:marBottom w:val="0"/>
      <w:divBdr>
        <w:top w:val="none" w:sz="0" w:space="0" w:color="auto"/>
        <w:left w:val="none" w:sz="0" w:space="0" w:color="auto"/>
        <w:bottom w:val="none" w:sz="0" w:space="0" w:color="auto"/>
        <w:right w:val="none" w:sz="0" w:space="0" w:color="auto"/>
      </w:divBdr>
    </w:div>
    <w:div w:id="1996520283">
      <w:bodyDiv w:val="1"/>
      <w:marLeft w:val="0"/>
      <w:marRight w:val="0"/>
      <w:marTop w:val="0"/>
      <w:marBottom w:val="0"/>
      <w:divBdr>
        <w:top w:val="none" w:sz="0" w:space="0" w:color="auto"/>
        <w:left w:val="none" w:sz="0" w:space="0" w:color="auto"/>
        <w:bottom w:val="none" w:sz="0" w:space="0" w:color="auto"/>
        <w:right w:val="none" w:sz="0" w:space="0" w:color="auto"/>
      </w:divBdr>
    </w:div>
    <w:div w:id="2038851884">
      <w:bodyDiv w:val="1"/>
      <w:marLeft w:val="0"/>
      <w:marRight w:val="0"/>
      <w:marTop w:val="0"/>
      <w:marBottom w:val="0"/>
      <w:divBdr>
        <w:top w:val="none" w:sz="0" w:space="0" w:color="auto"/>
        <w:left w:val="none" w:sz="0" w:space="0" w:color="auto"/>
        <w:bottom w:val="none" w:sz="0" w:space="0" w:color="auto"/>
        <w:right w:val="none" w:sz="0" w:space="0" w:color="auto"/>
      </w:divBdr>
    </w:div>
    <w:div w:id="20505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218D1-2EDC-4E4B-9C48-2EA980848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4725</Words>
  <Characters>26938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pidadi</dc:creator>
  <cp:keywords/>
  <dc:description/>
  <cp:lastModifiedBy>Windows User</cp:lastModifiedBy>
  <cp:revision>4</cp:revision>
  <dcterms:created xsi:type="dcterms:W3CDTF">2025-10-07T17:26:00Z</dcterms:created>
  <dcterms:modified xsi:type="dcterms:W3CDTF">2025-10-07T17:34:00Z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66a38b32-5871-4aa6-9671-e4d5e71fb500</vt:lpwstr>
  </property>
</Properties>
</file>