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E375B" w14:textId="77777777" w:rsidR="00DD1E00" w:rsidRDefault="00DD1E00">
      <w:pPr>
        <w:pStyle w:val="NormalWeb"/>
      </w:pPr>
    </w:p>
    <w:p w14:paraId="454AB63A" w14:textId="65F9563C" w:rsidR="00C2747B" w:rsidRDefault="003916DB">
      <w:pPr>
        <w:pStyle w:val="NormalWeb"/>
      </w:pPr>
      <w:r>
        <w:t xml:space="preserve"> </w:t>
      </w:r>
    </w:p>
    <w:p w14:paraId="6B75090E" w14:textId="77777777" w:rsidR="00DD1E00" w:rsidRDefault="00DD1E00">
      <w:pPr>
        <w:pStyle w:val="NormalWeb"/>
      </w:pPr>
    </w:p>
    <w:p w14:paraId="5E3DB4E5" w14:textId="7158C00E" w:rsidR="00C2747B" w:rsidRDefault="00797819">
      <w:pPr>
        <w:pStyle w:val="NormalWeb"/>
        <w:rPr>
          <w:rStyle w:val="Strong"/>
        </w:rPr>
      </w:pPr>
      <w:r>
        <w:rPr>
          <w:rStyle w:val="Strong"/>
        </w:rPr>
        <w:t>Multidimensional Evaluation of Underground Water Quality in R</w:t>
      </w:r>
      <w:r w:rsidR="003F5D88">
        <w:rPr>
          <w:rStyle w:val="Strong"/>
        </w:rPr>
        <w:t>oo</w:t>
      </w:r>
      <w:r>
        <w:rPr>
          <w:rStyle w:val="Strong"/>
        </w:rPr>
        <w:t>ma, Kanpur (U.P.): A Physico-Chemical and Microbiological Approach</w:t>
      </w:r>
    </w:p>
    <w:p w14:paraId="3CF7B812" w14:textId="77777777" w:rsidR="00EB78CC" w:rsidRDefault="00EB78CC">
      <w:pPr>
        <w:pStyle w:val="NormalWeb"/>
      </w:pPr>
    </w:p>
    <w:p w14:paraId="0051AFA1" w14:textId="77777777" w:rsidR="00C2747B" w:rsidRDefault="00C2747B">
      <w:pPr>
        <w:rPr>
          <w:rFonts w:ascii="Times New Roman" w:eastAsia="Times New Roman" w:hAnsi="Times New Roman" w:cs="Times New Roman"/>
          <w:sz w:val="24"/>
          <w:szCs w:val="24"/>
          <w:lang w:bidi="hi-IN"/>
        </w:rPr>
      </w:pPr>
    </w:p>
    <w:p w14:paraId="58CB5F52" w14:textId="49832A2D" w:rsidR="00C2747B" w:rsidRPr="004F47B3" w:rsidRDefault="004F47B3">
      <w:pPr>
        <w:pStyle w:val="Heading3"/>
        <w:rPr>
          <w:rFonts w:ascii="Arial" w:eastAsia="Times New Roman" w:hAnsi="Arial" w:cs="Arial"/>
          <w:color w:val="000000"/>
          <w:lang w:bidi="hi-IN"/>
        </w:rPr>
      </w:pPr>
      <w:r w:rsidRPr="004F47B3">
        <w:rPr>
          <w:rStyle w:val="Strong"/>
          <w:rFonts w:ascii="Arial" w:eastAsia="Times New Roman" w:hAnsi="Arial" w:cs="Arial"/>
          <w:b/>
          <w:bCs/>
          <w:color w:val="000000"/>
          <w:lang w:bidi="hi-IN"/>
        </w:rPr>
        <w:t>ABSTRACT</w:t>
      </w:r>
    </w:p>
    <w:p w14:paraId="0D14B099" w14:textId="62FBA6D5" w:rsidR="00C2747B" w:rsidRDefault="00797819">
      <w:pPr>
        <w:pStyle w:val="NormalWeb"/>
      </w:pPr>
      <w:r w:rsidRPr="004F47B3">
        <w:rPr>
          <w:rFonts w:ascii="Arial" w:hAnsi="Arial" w:cs="Arial"/>
          <w:sz w:val="22"/>
          <w:szCs w:val="22"/>
        </w:rPr>
        <w:t>This study aims to assess the underground water quality of R</w:t>
      </w:r>
      <w:r w:rsidR="00F949E9" w:rsidRPr="004F47B3">
        <w:rPr>
          <w:rFonts w:ascii="Arial" w:hAnsi="Arial" w:cs="Arial"/>
          <w:sz w:val="22"/>
          <w:szCs w:val="22"/>
        </w:rPr>
        <w:t>oo</w:t>
      </w:r>
      <w:r w:rsidRPr="004F47B3">
        <w:rPr>
          <w:rFonts w:ascii="Arial" w:hAnsi="Arial" w:cs="Arial"/>
          <w:sz w:val="22"/>
          <w:szCs w:val="22"/>
        </w:rPr>
        <w:t xml:space="preserve">ma, an industrial and semi-urban area in Kanpur, Uttar Pradesh. With growing urbanization and industrial activities, concerns about groundwater pollution have increased. The research focuses on key physical and chemical parameters such as pH, alkalinity, </w:t>
      </w:r>
      <w:r w:rsidR="00D05528" w:rsidRPr="004F47B3">
        <w:rPr>
          <w:rFonts w:ascii="Arial" w:hAnsi="Arial" w:cs="Arial"/>
          <w:sz w:val="22"/>
          <w:szCs w:val="22"/>
        </w:rPr>
        <w:t xml:space="preserve">total </w:t>
      </w:r>
      <w:r w:rsidRPr="004F47B3">
        <w:rPr>
          <w:rFonts w:ascii="Arial" w:hAnsi="Arial" w:cs="Arial"/>
          <w:sz w:val="22"/>
          <w:szCs w:val="22"/>
        </w:rPr>
        <w:t>hardness, fluoride, iron, and arsenic to understand the current status of water quality. Biological indicators were also considered to provide a more complete picture of water safety. Samples were collected from various hand pumps and borewells across the area. Laboratory analysis revealed that while some parameters were within permissible limits, others—especially fluoride, iron, and arsenic—exceeded safe levels recommended by the BIS and WHO. The findings suggest a potential risk to public health and the urgent need for regular monitoring and treatment of groundwater in the region</w:t>
      </w:r>
      <w:r>
        <w:t>.</w:t>
      </w:r>
    </w:p>
    <w:p w14:paraId="6DC79D58" w14:textId="42078F52" w:rsidR="00C2747B" w:rsidRPr="00786883" w:rsidRDefault="00E926C7" w:rsidP="000C11DF">
      <w:pPr>
        <w:pStyle w:val="NormalWeb"/>
        <w:jc w:val="both"/>
        <w:rPr>
          <w:rFonts w:ascii="Arial" w:hAnsi="Arial" w:cs="Arial"/>
          <w:i/>
          <w:iCs/>
          <w:color w:val="FF0000"/>
          <w:sz w:val="20"/>
          <w:szCs w:val="20"/>
        </w:rPr>
      </w:pPr>
      <w:r w:rsidRPr="00786883">
        <w:rPr>
          <w:rFonts w:ascii="Arial" w:hAnsi="Arial" w:cs="Arial"/>
          <w:i/>
          <w:iCs/>
          <w:color w:val="FF0000"/>
          <w:sz w:val="20"/>
          <w:szCs w:val="20"/>
        </w:rPr>
        <w:t xml:space="preserve">Keywords- </w:t>
      </w:r>
      <w:commentRangeStart w:id="0"/>
      <w:r w:rsidR="00ED467E" w:rsidRPr="00786883">
        <w:rPr>
          <w:rFonts w:ascii="Arial" w:hAnsi="Arial" w:cs="Arial"/>
          <w:i/>
          <w:iCs/>
          <w:color w:val="FF0000"/>
          <w:sz w:val="20"/>
          <w:szCs w:val="20"/>
        </w:rPr>
        <w:t>Ground</w:t>
      </w:r>
      <w:r w:rsidR="003C72C8" w:rsidRPr="00786883">
        <w:rPr>
          <w:rFonts w:ascii="Arial" w:hAnsi="Arial" w:cs="Arial"/>
          <w:i/>
          <w:iCs/>
          <w:color w:val="FF0000"/>
          <w:sz w:val="20"/>
          <w:szCs w:val="20"/>
        </w:rPr>
        <w:t xml:space="preserve"> </w:t>
      </w:r>
      <w:r w:rsidR="00ED467E" w:rsidRPr="00786883">
        <w:rPr>
          <w:rFonts w:ascii="Arial" w:hAnsi="Arial" w:cs="Arial"/>
          <w:i/>
          <w:iCs/>
          <w:color w:val="FF0000"/>
          <w:sz w:val="20"/>
          <w:szCs w:val="20"/>
        </w:rPr>
        <w:t>water quality</w:t>
      </w:r>
      <w:r w:rsidR="00D6332A" w:rsidRPr="00786883">
        <w:rPr>
          <w:rFonts w:ascii="Arial" w:hAnsi="Arial" w:cs="Arial"/>
          <w:i/>
          <w:iCs/>
          <w:color w:val="FF0000"/>
          <w:sz w:val="20"/>
          <w:szCs w:val="20"/>
        </w:rPr>
        <w:t>,</w:t>
      </w:r>
      <w:r w:rsidR="006535A0" w:rsidRPr="00786883">
        <w:rPr>
          <w:rFonts w:ascii="Arial" w:hAnsi="Arial" w:cs="Arial"/>
          <w:i/>
          <w:iCs/>
          <w:color w:val="FF0000"/>
          <w:sz w:val="20"/>
          <w:szCs w:val="20"/>
        </w:rPr>
        <w:t xml:space="preserve"> </w:t>
      </w:r>
      <w:r w:rsidR="00ED467E" w:rsidRPr="00786883">
        <w:rPr>
          <w:rFonts w:ascii="Arial" w:hAnsi="Arial" w:cs="Arial"/>
          <w:i/>
          <w:iCs/>
          <w:color w:val="FF0000"/>
          <w:sz w:val="20"/>
          <w:szCs w:val="20"/>
        </w:rPr>
        <w:t xml:space="preserve">Physico-chemical </w:t>
      </w:r>
      <w:r w:rsidR="009D0A48" w:rsidRPr="00786883">
        <w:rPr>
          <w:rFonts w:ascii="Arial" w:hAnsi="Arial" w:cs="Arial"/>
          <w:i/>
          <w:iCs/>
          <w:color w:val="FF0000"/>
          <w:sz w:val="20"/>
          <w:szCs w:val="20"/>
        </w:rPr>
        <w:t>P</w:t>
      </w:r>
      <w:r w:rsidR="00ED467E" w:rsidRPr="00786883">
        <w:rPr>
          <w:rFonts w:ascii="Arial" w:hAnsi="Arial" w:cs="Arial"/>
          <w:i/>
          <w:iCs/>
          <w:color w:val="FF0000"/>
          <w:sz w:val="20"/>
          <w:szCs w:val="20"/>
        </w:rPr>
        <w:t>arameters</w:t>
      </w:r>
      <w:r w:rsidR="00D6332A" w:rsidRPr="00786883">
        <w:rPr>
          <w:rFonts w:ascii="Arial" w:hAnsi="Arial" w:cs="Arial"/>
          <w:i/>
          <w:iCs/>
          <w:color w:val="FF0000"/>
          <w:sz w:val="20"/>
          <w:szCs w:val="20"/>
        </w:rPr>
        <w:t>,</w:t>
      </w:r>
      <w:r w:rsidR="009D0A48" w:rsidRPr="00786883">
        <w:rPr>
          <w:rFonts w:ascii="Arial" w:hAnsi="Arial" w:cs="Arial"/>
          <w:i/>
          <w:iCs/>
          <w:color w:val="FF0000"/>
          <w:sz w:val="20"/>
          <w:szCs w:val="20"/>
        </w:rPr>
        <w:t xml:space="preserve"> </w:t>
      </w:r>
      <w:r w:rsidR="00A508E5" w:rsidRPr="00786883">
        <w:rPr>
          <w:rFonts w:ascii="Arial" w:hAnsi="Arial" w:cs="Arial"/>
          <w:i/>
          <w:iCs/>
          <w:color w:val="FF0000"/>
          <w:sz w:val="20"/>
          <w:szCs w:val="20"/>
        </w:rPr>
        <w:t>BIS,</w:t>
      </w:r>
      <w:r w:rsidR="009D0A48" w:rsidRPr="00786883">
        <w:rPr>
          <w:rFonts w:ascii="Arial" w:hAnsi="Arial" w:cs="Arial"/>
          <w:i/>
          <w:iCs/>
          <w:color w:val="FF0000"/>
          <w:sz w:val="20"/>
          <w:szCs w:val="20"/>
        </w:rPr>
        <w:t xml:space="preserve"> </w:t>
      </w:r>
      <w:r w:rsidR="00A508E5" w:rsidRPr="00786883">
        <w:rPr>
          <w:rFonts w:ascii="Arial" w:hAnsi="Arial" w:cs="Arial"/>
          <w:i/>
          <w:iCs/>
          <w:color w:val="FF0000"/>
          <w:sz w:val="20"/>
          <w:szCs w:val="20"/>
        </w:rPr>
        <w:t>WHO</w:t>
      </w:r>
      <w:r w:rsidR="00905CBD" w:rsidRPr="00786883">
        <w:rPr>
          <w:rFonts w:ascii="Arial" w:hAnsi="Arial" w:cs="Arial"/>
          <w:i/>
          <w:iCs/>
          <w:color w:val="FF0000"/>
          <w:sz w:val="20"/>
          <w:szCs w:val="20"/>
        </w:rPr>
        <w:t>,</w:t>
      </w:r>
      <w:r w:rsidR="006535A0" w:rsidRPr="00786883">
        <w:rPr>
          <w:rFonts w:ascii="Arial" w:hAnsi="Arial" w:cs="Arial"/>
          <w:i/>
          <w:iCs/>
          <w:color w:val="FF0000"/>
          <w:sz w:val="20"/>
          <w:szCs w:val="20"/>
        </w:rPr>
        <w:t xml:space="preserve"> </w:t>
      </w:r>
      <w:r w:rsidR="00ED467E" w:rsidRPr="00786883">
        <w:rPr>
          <w:rFonts w:ascii="Arial" w:hAnsi="Arial" w:cs="Arial"/>
          <w:i/>
          <w:iCs/>
          <w:color w:val="FF0000"/>
          <w:sz w:val="20"/>
          <w:szCs w:val="20"/>
        </w:rPr>
        <w:t>Microbiological analysis</w:t>
      </w:r>
      <w:r w:rsidR="00D6332A" w:rsidRPr="00786883">
        <w:rPr>
          <w:rFonts w:ascii="Arial" w:hAnsi="Arial" w:cs="Arial"/>
          <w:i/>
          <w:iCs/>
          <w:color w:val="FF0000"/>
          <w:sz w:val="20"/>
          <w:szCs w:val="20"/>
        </w:rPr>
        <w:t>,</w:t>
      </w:r>
      <w:r w:rsidR="00ED467E" w:rsidRPr="00786883">
        <w:rPr>
          <w:rFonts w:ascii="Arial" w:hAnsi="Arial" w:cs="Arial"/>
          <w:i/>
          <w:iCs/>
          <w:color w:val="FF0000"/>
          <w:sz w:val="20"/>
          <w:szCs w:val="20"/>
        </w:rPr>
        <w:t xml:space="preserve"> Water safety</w:t>
      </w:r>
      <w:r w:rsidR="00D6332A" w:rsidRPr="00786883">
        <w:rPr>
          <w:rFonts w:ascii="Arial" w:hAnsi="Arial" w:cs="Arial"/>
          <w:i/>
          <w:iCs/>
          <w:color w:val="FF0000"/>
          <w:sz w:val="20"/>
          <w:szCs w:val="20"/>
        </w:rPr>
        <w:t>,</w:t>
      </w:r>
      <w:r w:rsidR="00ED467E" w:rsidRPr="00786883">
        <w:rPr>
          <w:rFonts w:ascii="Arial" w:hAnsi="Arial" w:cs="Arial"/>
          <w:i/>
          <w:iCs/>
          <w:color w:val="FF0000"/>
          <w:sz w:val="20"/>
          <w:szCs w:val="20"/>
        </w:rPr>
        <w:t xml:space="preserve"> Rooma, Kanpur</w:t>
      </w:r>
      <w:r w:rsidR="00E96B0F" w:rsidRPr="00786883">
        <w:rPr>
          <w:rFonts w:ascii="Arial" w:hAnsi="Arial" w:cs="Arial"/>
          <w:i/>
          <w:iCs/>
          <w:color w:val="FF0000"/>
          <w:sz w:val="20"/>
          <w:szCs w:val="20"/>
        </w:rPr>
        <w:t>,</w:t>
      </w:r>
      <w:r w:rsidR="00ED467E" w:rsidRPr="00786883">
        <w:rPr>
          <w:rFonts w:ascii="Arial" w:hAnsi="Arial" w:cs="Arial"/>
          <w:i/>
          <w:iCs/>
          <w:color w:val="FF0000"/>
          <w:sz w:val="20"/>
          <w:szCs w:val="20"/>
        </w:rPr>
        <w:t xml:space="preserve"> Water pollution</w:t>
      </w:r>
      <w:r w:rsidR="00BD2BFB" w:rsidRPr="00786883">
        <w:rPr>
          <w:rFonts w:ascii="Arial" w:hAnsi="Arial" w:cs="Arial"/>
          <w:i/>
          <w:iCs/>
          <w:color w:val="FF0000"/>
          <w:sz w:val="20"/>
          <w:szCs w:val="20"/>
        </w:rPr>
        <w:t>,</w:t>
      </w:r>
      <w:r w:rsidR="00ED467E" w:rsidRPr="00786883">
        <w:rPr>
          <w:rFonts w:ascii="Arial" w:hAnsi="Arial" w:cs="Arial"/>
          <w:i/>
          <w:iCs/>
          <w:color w:val="FF0000"/>
          <w:sz w:val="20"/>
          <w:szCs w:val="20"/>
        </w:rPr>
        <w:t xml:space="preserve"> Industrial and semi-urban areas</w:t>
      </w:r>
      <w:r w:rsidR="00BD2BFB" w:rsidRPr="00786883">
        <w:rPr>
          <w:rFonts w:ascii="Arial" w:hAnsi="Arial" w:cs="Arial"/>
          <w:i/>
          <w:iCs/>
          <w:color w:val="FF0000"/>
          <w:sz w:val="20"/>
          <w:szCs w:val="20"/>
        </w:rPr>
        <w:t>,</w:t>
      </w:r>
      <w:r w:rsidR="006535A0" w:rsidRPr="00786883">
        <w:rPr>
          <w:rFonts w:ascii="Arial" w:hAnsi="Arial" w:cs="Arial"/>
          <w:i/>
          <w:iCs/>
          <w:color w:val="FF0000"/>
          <w:sz w:val="20"/>
          <w:szCs w:val="20"/>
        </w:rPr>
        <w:t xml:space="preserve"> </w:t>
      </w:r>
      <w:r w:rsidR="00ED467E" w:rsidRPr="00786883">
        <w:rPr>
          <w:rFonts w:ascii="Arial" w:hAnsi="Arial" w:cs="Arial"/>
          <w:i/>
          <w:iCs/>
          <w:color w:val="FF0000"/>
          <w:sz w:val="20"/>
          <w:szCs w:val="20"/>
        </w:rPr>
        <w:t>Water quality assessment</w:t>
      </w:r>
      <w:r w:rsidR="00A70FDF" w:rsidRPr="00786883">
        <w:rPr>
          <w:rFonts w:ascii="Arial" w:hAnsi="Arial" w:cs="Arial"/>
          <w:i/>
          <w:iCs/>
          <w:color w:val="FF0000"/>
          <w:sz w:val="20"/>
          <w:szCs w:val="20"/>
        </w:rPr>
        <w:t>,</w:t>
      </w:r>
      <w:r w:rsidR="00ED467E" w:rsidRPr="00786883">
        <w:rPr>
          <w:rFonts w:ascii="Arial" w:hAnsi="Arial" w:cs="Arial"/>
          <w:i/>
          <w:iCs/>
          <w:color w:val="FF0000"/>
          <w:sz w:val="20"/>
          <w:szCs w:val="20"/>
        </w:rPr>
        <w:t xml:space="preserve"> </w:t>
      </w:r>
      <w:r w:rsidR="003C72C8" w:rsidRPr="00786883">
        <w:rPr>
          <w:rFonts w:ascii="Arial" w:hAnsi="Arial" w:cs="Arial"/>
          <w:i/>
          <w:iCs/>
          <w:color w:val="FF0000"/>
          <w:sz w:val="20"/>
          <w:szCs w:val="20"/>
        </w:rPr>
        <w:t>p</w:t>
      </w:r>
      <w:r w:rsidR="00ED467E" w:rsidRPr="00786883">
        <w:rPr>
          <w:rFonts w:ascii="Arial" w:hAnsi="Arial" w:cs="Arial"/>
          <w:i/>
          <w:iCs/>
          <w:color w:val="FF0000"/>
          <w:sz w:val="20"/>
          <w:szCs w:val="20"/>
        </w:rPr>
        <w:t>ublic health risks</w:t>
      </w:r>
      <w:r w:rsidR="00992622" w:rsidRPr="00786883">
        <w:rPr>
          <w:rFonts w:ascii="Arial" w:hAnsi="Arial" w:cs="Arial"/>
          <w:i/>
          <w:iCs/>
          <w:color w:val="FF0000"/>
          <w:sz w:val="20"/>
          <w:szCs w:val="20"/>
        </w:rPr>
        <w:t xml:space="preserve"> </w:t>
      </w:r>
      <w:r w:rsidR="00F80381" w:rsidRPr="00786883">
        <w:rPr>
          <w:rFonts w:ascii="Arial" w:hAnsi="Arial" w:cs="Arial"/>
          <w:i/>
          <w:iCs/>
          <w:color w:val="FF0000"/>
          <w:sz w:val="20"/>
          <w:szCs w:val="20"/>
        </w:rPr>
        <w:t>etc</w:t>
      </w:r>
      <w:commentRangeEnd w:id="0"/>
      <w:r w:rsidR="00AF65BF">
        <w:rPr>
          <w:rStyle w:val="CommentReference"/>
          <w:rFonts w:ascii="Cambria" w:hAnsi="Cambria" w:cs="Mangal"/>
          <w:lang w:val="en-US" w:bidi="ar-SA"/>
        </w:rPr>
        <w:commentReference w:id="0"/>
      </w:r>
      <w:r w:rsidR="00F80381" w:rsidRPr="00786883">
        <w:rPr>
          <w:rFonts w:ascii="Arial" w:hAnsi="Arial" w:cs="Arial"/>
          <w:i/>
          <w:iCs/>
          <w:color w:val="FF0000"/>
          <w:sz w:val="20"/>
          <w:szCs w:val="20"/>
        </w:rPr>
        <w:t>.</w:t>
      </w:r>
    </w:p>
    <w:p w14:paraId="59400FF7" w14:textId="2F7A546A" w:rsidR="00BF119B" w:rsidRPr="00BF119B" w:rsidRDefault="00BF119B" w:rsidP="00A85BC4">
      <w:pPr>
        <w:pStyle w:val="Heading3"/>
        <w:numPr>
          <w:ilvl w:val="0"/>
          <w:numId w:val="17"/>
        </w:numPr>
        <w:jc w:val="both"/>
      </w:pPr>
      <w:r w:rsidRPr="00BF119B">
        <w:rPr>
          <w:rFonts w:ascii="Arial" w:hAnsi="Arial" w:cs="Arial"/>
          <w:color w:val="000000"/>
        </w:rPr>
        <w:t>INTRODUCTION</w:t>
      </w:r>
    </w:p>
    <w:p w14:paraId="79D707B9" w14:textId="77777777" w:rsidR="00E25699" w:rsidRPr="00DD1E00" w:rsidRDefault="00797819" w:rsidP="00BF119B">
      <w:pPr>
        <w:rPr>
          <w:rFonts w:ascii="Arial" w:hAnsi="Arial" w:cs="Arial"/>
          <w:sz w:val="20"/>
          <w:szCs w:val="20"/>
        </w:rPr>
      </w:pPr>
      <w:r w:rsidRPr="00DD1E00">
        <w:rPr>
          <w:rFonts w:ascii="Arial" w:hAnsi="Arial" w:cs="Arial"/>
          <w:sz w:val="20"/>
          <w:szCs w:val="20"/>
        </w:rPr>
        <w:t xml:space="preserve">Groundwater is one of the most critical natural resources for sustaining life, agriculture, and industry in India. In urban and semi-urban regions like </w:t>
      </w:r>
      <w:r w:rsidR="00663D3D" w:rsidRPr="00DD1E00">
        <w:rPr>
          <w:rFonts w:ascii="Arial" w:hAnsi="Arial" w:cs="Arial"/>
          <w:sz w:val="20"/>
          <w:szCs w:val="20"/>
        </w:rPr>
        <w:t>Rooma</w:t>
      </w:r>
      <w:r w:rsidRPr="00DD1E00">
        <w:rPr>
          <w:rFonts w:ascii="Arial" w:hAnsi="Arial" w:cs="Arial"/>
          <w:sz w:val="20"/>
          <w:szCs w:val="20"/>
        </w:rPr>
        <w:t xml:space="preserve"> in Kanpur district, groundwater is the principal source of drinking and domestic use due to the lack of continuous piped water supply (Singh &amp; Kumar, 2023; BIS, 2021). However, growing industrialization and unregulated waste disposal have raised serious concerns over groundwater quality in such areas (Gupta &amp; Verma, 2021).</w:t>
      </w:r>
      <w:r w:rsidR="00E25699" w:rsidRPr="00DD1E00">
        <w:rPr>
          <w:rFonts w:ascii="Arial" w:hAnsi="Arial" w:cs="Arial"/>
          <w:sz w:val="20"/>
          <w:szCs w:val="20"/>
        </w:rPr>
        <w:t xml:space="preserve"> </w:t>
      </w:r>
    </w:p>
    <w:p w14:paraId="44A72A26" w14:textId="0E414A96" w:rsidR="00C2747B" w:rsidRPr="00DD1E00" w:rsidRDefault="00797819" w:rsidP="00BF119B">
      <w:pPr>
        <w:rPr>
          <w:rFonts w:ascii="Arial" w:hAnsi="Arial" w:cs="Arial"/>
          <w:sz w:val="20"/>
          <w:szCs w:val="20"/>
        </w:rPr>
      </w:pPr>
      <w:r w:rsidRPr="00DD1E00">
        <w:rPr>
          <w:rFonts w:ascii="Arial" w:hAnsi="Arial" w:cs="Arial"/>
          <w:sz w:val="20"/>
          <w:szCs w:val="20"/>
        </w:rPr>
        <w:br/>
      </w:r>
      <w:r w:rsidR="00663D3D" w:rsidRPr="00DD1E00">
        <w:rPr>
          <w:rFonts w:ascii="Arial" w:hAnsi="Arial" w:cs="Arial"/>
          <w:sz w:val="20"/>
          <w:szCs w:val="20"/>
        </w:rPr>
        <w:t>Rooma</w:t>
      </w:r>
      <w:r w:rsidRPr="00DD1E00">
        <w:rPr>
          <w:rFonts w:ascii="Arial" w:hAnsi="Arial" w:cs="Arial"/>
          <w:sz w:val="20"/>
          <w:szCs w:val="20"/>
        </w:rPr>
        <w:t xml:space="preserve"> is a rapidly developing locality located on the southern periphery of Kanpur city. Over the past two decades, several small- and medium-scale industries, including leather processing, textile dyeing, plastic manufacturing, electroplating, and chemical units, have emerged in and around this region (Katiyar &amp; Khan, 2021; Khan &amp; Jha, 2020). These units often release untreated or partially treated effluents directly into the surrounding environment, increasing the risk of groundwater contamination through percolation (Tyagi &amp; Bansal, 2021).</w:t>
      </w:r>
      <w:r w:rsidRPr="00DD1E00">
        <w:rPr>
          <w:rFonts w:ascii="Arial" w:hAnsi="Arial" w:cs="Arial"/>
          <w:sz w:val="20"/>
          <w:szCs w:val="20"/>
        </w:rPr>
        <w:br/>
      </w:r>
      <w:r w:rsidRPr="00DD1E00">
        <w:rPr>
          <w:rFonts w:ascii="Arial" w:hAnsi="Arial" w:cs="Arial"/>
          <w:sz w:val="20"/>
          <w:szCs w:val="20"/>
        </w:rPr>
        <w:br/>
        <w:t xml:space="preserve">The presence of toxic substances such as fluoride, iron, and arsenic, along with increased hardness, alkalinity, and microbial load, can severely degrade water quality and pose long-term health risks (Mishra &amp; Tiwari, 2022; Sharma &amp; Chauhan, 2020). Studies have shown that prolonged consumption of water with high fluoride leads to dental and skeletal fluorosis, while arsenic is linked with skin disorders, </w:t>
      </w:r>
      <w:r w:rsidRPr="00DD1E00">
        <w:rPr>
          <w:rFonts w:ascii="Arial" w:hAnsi="Arial" w:cs="Arial"/>
          <w:sz w:val="20"/>
          <w:szCs w:val="20"/>
        </w:rPr>
        <w:lastRenderedPageBreak/>
        <w:t xml:space="preserve">cancers, and neurological issues (Kumari &amp; Singh, 2022; WHO, 2022). Therefore, assessing the physical, chemical, and biological characteristics of groundwater in areas like </w:t>
      </w:r>
      <w:r w:rsidR="00663D3D" w:rsidRPr="00DD1E00">
        <w:rPr>
          <w:rFonts w:ascii="Arial" w:hAnsi="Arial" w:cs="Arial"/>
          <w:sz w:val="20"/>
          <w:szCs w:val="20"/>
        </w:rPr>
        <w:t>Rooma</w:t>
      </w:r>
      <w:r w:rsidRPr="00DD1E00">
        <w:rPr>
          <w:rFonts w:ascii="Arial" w:hAnsi="Arial" w:cs="Arial"/>
          <w:sz w:val="20"/>
          <w:szCs w:val="20"/>
        </w:rPr>
        <w:t xml:space="preserve"> is essential to understand the pollution levels and provide evidence-based recommendations for safe water use (Singh &amp; Shukla, 2023).</w:t>
      </w:r>
    </w:p>
    <w:p w14:paraId="5C08BD75" w14:textId="5FF2912A" w:rsidR="00C2747B" w:rsidRPr="00DD1E00" w:rsidRDefault="00BF119B" w:rsidP="00BF119B">
      <w:pPr>
        <w:pStyle w:val="Heading1"/>
        <w:numPr>
          <w:ilvl w:val="0"/>
          <w:numId w:val="17"/>
        </w:numPr>
        <w:rPr>
          <w:rFonts w:ascii="Arial" w:hAnsi="Arial" w:cs="Arial"/>
          <w:color w:val="000000"/>
          <w:sz w:val="20"/>
          <w:szCs w:val="20"/>
        </w:rPr>
      </w:pPr>
      <w:commentRangeStart w:id="1"/>
      <w:r w:rsidRPr="00DD1E00">
        <w:rPr>
          <w:rFonts w:ascii="Arial" w:hAnsi="Arial" w:cs="Arial"/>
          <w:color w:val="000000"/>
          <w:sz w:val="20"/>
          <w:szCs w:val="20"/>
        </w:rPr>
        <w:t>METHODOLOGY</w:t>
      </w:r>
      <w:commentRangeEnd w:id="1"/>
      <w:r w:rsidR="00753293">
        <w:rPr>
          <w:rStyle w:val="CommentReference"/>
          <w:rFonts w:ascii="Cambria" w:eastAsia="MS Mincho" w:hAnsi="Cambria"/>
          <w:b w:val="0"/>
          <w:bCs w:val="0"/>
          <w:color w:val="auto"/>
        </w:rPr>
        <w:commentReference w:id="1"/>
      </w:r>
    </w:p>
    <w:p w14:paraId="5659208C" w14:textId="77777777" w:rsidR="00C2747B" w:rsidRPr="00DD1E00" w:rsidRDefault="00C2747B">
      <w:pPr>
        <w:framePr w:wrap="auto" w:vAnchor="page" w:hAnchor="page" w:x="1" w:y="15409"/>
        <w:rPr>
          <w:rFonts w:ascii="Arial" w:hAnsi="Arial" w:cs="Arial"/>
          <w:sz w:val="20"/>
          <w:szCs w:val="20"/>
          <w:lang w:val="en-IN"/>
        </w:rPr>
      </w:pPr>
    </w:p>
    <w:p w14:paraId="670DAB1A" w14:textId="77777777" w:rsidR="00E44F6C" w:rsidRPr="00DD1E00" w:rsidRDefault="00797819">
      <w:pPr>
        <w:rPr>
          <w:rFonts w:ascii="Arial" w:hAnsi="Arial" w:cs="Arial"/>
          <w:sz w:val="20"/>
          <w:szCs w:val="20"/>
        </w:rPr>
      </w:pPr>
      <w:r w:rsidRPr="00DD1E00">
        <w:rPr>
          <w:rFonts w:ascii="Arial" w:hAnsi="Arial" w:cs="Arial"/>
          <w:sz w:val="20"/>
          <w:szCs w:val="20"/>
        </w:rPr>
        <w:t xml:space="preserve">This study was conducted in </w:t>
      </w:r>
      <w:r w:rsidR="00663D3D" w:rsidRPr="00DD1E00">
        <w:rPr>
          <w:rFonts w:ascii="Arial" w:hAnsi="Arial" w:cs="Arial"/>
          <w:sz w:val="20"/>
          <w:szCs w:val="20"/>
        </w:rPr>
        <w:t>Rooma</w:t>
      </w:r>
      <w:r w:rsidRPr="00DD1E00">
        <w:rPr>
          <w:rFonts w:ascii="Arial" w:hAnsi="Arial" w:cs="Arial"/>
          <w:sz w:val="20"/>
          <w:szCs w:val="20"/>
        </w:rPr>
        <w:t xml:space="preserve">, a semi-urban and rapidly industrializing locality located in the southern fringe of Kanpur city, Uttar Pradesh, India. Geographically, </w:t>
      </w:r>
      <w:r w:rsidR="00663D3D" w:rsidRPr="00DD1E00">
        <w:rPr>
          <w:rFonts w:ascii="Arial" w:hAnsi="Arial" w:cs="Arial"/>
          <w:sz w:val="20"/>
          <w:szCs w:val="20"/>
        </w:rPr>
        <w:t>Rooma</w:t>
      </w:r>
      <w:r w:rsidRPr="00DD1E00">
        <w:rPr>
          <w:rFonts w:ascii="Arial" w:hAnsi="Arial" w:cs="Arial"/>
          <w:sz w:val="20"/>
          <w:szCs w:val="20"/>
        </w:rPr>
        <w:t xml:space="preserve"> lies between </w:t>
      </w:r>
      <w:commentRangeStart w:id="3"/>
      <w:r w:rsidRPr="00786883">
        <w:rPr>
          <w:rFonts w:ascii="Arial" w:hAnsi="Arial" w:cs="Arial"/>
          <w:color w:val="FF0000"/>
          <w:sz w:val="20"/>
          <w:szCs w:val="20"/>
        </w:rPr>
        <w:t>latitude 26.35°N and longitude 80.27°E</w:t>
      </w:r>
      <w:commentRangeEnd w:id="3"/>
      <w:r w:rsidR="00AF65BF">
        <w:rPr>
          <w:rStyle w:val="CommentReference"/>
        </w:rPr>
        <w:commentReference w:id="3"/>
      </w:r>
      <w:r w:rsidRPr="00DD1E00">
        <w:rPr>
          <w:rFonts w:ascii="Arial" w:hAnsi="Arial" w:cs="Arial"/>
          <w:sz w:val="20"/>
          <w:szCs w:val="20"/>
        </w:rPr>
        <w:t>, covering an area of approximately 6 to 8 square kilometers. The average elevation is around 125 meters above sea level, and the region falls under the alluvial p</w:t>
      </w:r>
      <w:r w:rsidR="00E44F6C" w:rsidRPr="00DD1E00">
        <w:rPr>
          <w:rFonts w:ascii="Arial" w:hAnsi="Arial" w:cs="Arial"/>
          <w:sz w:val="20"/>
          <w:szCs w:val="20"/>
        </w:rPr>
        <w:t>lains of the upper Ganga basin (Photograph 1).</w:t>
      </w:r>
    </w:p>
    <w:p w14:paraId="41D36B21" w14:textId="081EA788" w:rsidR="002C6548" w:rsidRPr="00DD1E00" w:rsidRDefault="00797819">
      <w:pPr>
        <w:rPr>
          <w:rFonts w:ascii="Arial" w:hAnsi="Arial" w:cs="Arial"/>
          <w:sz w:val="20"/>
          <w:szCs w:val="20"/>
        </w:rPr>
      </w:pPr>
      <w:r w:rsidRPr="00DD1E00">
        <w:rPr>
          <w:rFonts w:ascii="Arial" w:hAnsi="Arial" w:cs="Arial"/>
          <w:sz w:val="20"/>
          <w:szCs w:val="20"/>
        </w:rPr>
        <w:t xml:space="preserve">The area experiences a moderate climate with hot summers and mild </w:t>
      </w:r>
      <w:proofErr w:type="spellStart"/>
      <w:proofErr w:type="gramStart"/>
      <w:r w:rsidRPr="00DD1E00">
        <w:rPr>
          <w:rFonts w:ascii="Arial" w:hAnsi="Arial" w:cs="Arial"/>
          <w:sz w:val="20"/>
          <w:szCs w:val="20"/>
        </w:rPr>
        <w:t>winters.Over</w:t>
      </w:r>
      <w:proofErr w:type="spellEnd"/>
      <w:proofErr w:type="gramEnd"/>
      <w:r w:rsidRPr="00DD1E00">
        <w:rPr>
          <w:rFonts w:ascii="Arial" w:hAnsi="Arial" w:cs="Arial"/>
          <w:sz w:val="20"/>
          <w:szCs w:val="20"/>
        </w:rPr>
        <w:t xml:space="preserve"> the past two decades, </w:t>
      </w:r>
      <w:r w:rsidR="00663D3D" w:rsidRPr="00DD1E00">
        <w:rPr>
          <w:rFonts w:ascii="Arial" w:hAnsi="Arial" w:cs="Arial"/>
          <w:sz w:val="20"/>
          <w:szCs w:val="20"/>
        </w:rPr>
        <w:t>Rooma</w:t>
      </w:r>
      <w:r w:rsidRPr="00DD1E00">
        <w:rPr>
          <w:rFonts w:ascii="Arial" w:hAnsi="Arial" w:cs="Arial"/>
          <w:sz w:val="20"/>
          <w:szCs w:val="20"/>
        </w:rPr>
        <w:t xml:space="preserve"> has witnessed significant industrial expansion. The locality is home to various small and medium-scale industries, including leather tanning units, textile dyeing and printing factories, electroplating and metal processing industries, rubber, foam, and plastic molding units, and chemical-based manufacturing plants. These industries, often located close to residential areas, discharge waste into the environment, contributing to soil and groundwater contamination. The main source of water for residents is groundwater, accessed through hand pumps and deep borewells. The groundwater depth varies between 25 and 45 meters, depending on the season and usage patterns (Singh &amp; Srivastava, 2023; Dixit &amp; Kumar, 2022).</w:t>
      </w:r>
    </w:p>
    <w:p w14:paraId="0B8B5B16" w14:textId="77777777" w:rsidR="002C6548" w:rsidRPr="00DD1E00" w:rsidRDefault="002C6548">
      <w:pPr>
        <w:rPr>
          <w:rFonts w:ascii="Arial" w:hAnsi="Arial" w:cs="Arial"/>
          <w:sz w:val="20"/>
          <w:szCs w:val="20"/>
        </w:rPr>
      </w:pPr>
      <w:r w:rsidRPr="00DD1E00">
        <w:rPr>
          <w:rFonts w:ascii="Arial" w:hAnsi="Arial" w:cs="Arial"/>
          <w:noProof/>
          <w:sz w:val="20"/>
          <w:szCs w:val="20"/>
        </w:rPr>
        <w:drawing>
          <wp:inline distT="0" distB="0" distL="0" distR="0" wp14:anchorId="36763E19" wp14:editId="2CD3ED4D">
            <wp:extent cx="3724275" cy="2428875"/>
            <wp:effectExtent l="0" t="0" r="9525" b="9525"/>
            <wp:docPr id="1" name="Picture 1" descr="C:\Users\Saras\Downloads\Screenshot_20250916_123442_Ma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s\Downloads\Screenshot_20250916_123442_Map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26891" cy="2430581"/>
                    </a:xfrm>
                    <a:prstGeom prst="rect">
                      <a:avLst/>
                    </a:prstGeom>
                    <a:noFill/>
                    <a:ln>
                      <a:noFill/>
                    </a:ln>
                  </pic:spPr>
                </pic:pic>
              </a:graphicData>
            </a:graphic>
          </wp:inline>
        </w:drawing>
      </w:r>
    </w:p>
    <w:p w14:paraId="565B54F5" w14:textId="49D941E5" w:rsidR="001255AA" w:rsidRPr="00DD1E00" w:rsidRDefault="002C6548">
      <w:pPr>
        <w:rPr>
          <w:rFonts w:ascii="Arial" w:hAnsi="Arial" w:cs="Arial"/>
          <w:sz w:val="20"/>
          <w:szCs w:val="20"/>
        </w:rPr>
      </w:pPr>
      <w:r w:rsidRPr="00DD1E00">
        <w:rPr>
          <w:rFonts w:ascii="Arial" w:hAnsi="Arial" w:cs="Arial"/>
          <w:sz w:val="20"/>
          <w:szCs w:val="20"/>
        </w:rPr>
        <w:t xml:space="preserve">Photograph 1- Satellite view of </w:t>
      </w:r>
      <w:r w:rsidR="00E44F6C" w:rsidRPr="00DD1E00">
        <w:rPr>
          <w:rFonts w:ascii="Arial" w:hAnsi="Arial" w:cs="Arial"/>
          <w:sz w:val="20"/>
          <w:szCs w:val="20"/>
        </w:rPr>
        <w:t xml:space="preserve">the </w:t>
      </w:r>
      <w:r w:rsidRPr="00DD1E00">
        <w:rPr>
          <w:rFonts w:ascii="Arial" w:hAnsi="Arial" w:cs="Arial"/>
          <w:sz w:val="20"/>
          <w:szCs w:val="20"/>
        </w:rPr>
        <w:t xml:space="preserve">site Rooma </w:t>
      </w:r>
      <w:r w:rsidR="00797819" w:rsidRPr="00DD1E00">
        <w:rPr>
          <w:rFonts w:ascii="Arial" w:hAnsi="Arial" w:cs="Arial"/>
          <w:sz w:val="20"/>
          <w:szCs w:val="20"/>
        </w:rPr>
        <w:br/>
      </w:r>
      <w:r w:rsidR="00797819" w:rsidRPr="00DD1E00">
        <w:rPr>
          <w:rFonts w:ascii="Arial" w:hAnsi="Arial" w:cs="Arial"/>
          <w:sz w:val="20"/>
          <w:szCs w:val="20"/>
        </w:rPr>
        <w:br/>
        <w:t xml:space="preserve">To evaluate the quality of groundwater in this area, </w:t>
      </w:r>
      <w:r w:rsidR="00DC50F3" w:rsidRPr="00DD1E00">
        <w:rPr>
          <w:rFonts w:ascii="Arial" w:hAnsi="Arial" w:cs="Arial"/>
          <w:sz w:val="20"/>
          <w:szCs w:val="20"/>
        </w:rPr>
        <w:t>w</w:t>
      </w:r>
      <w:r w:rsidR="00797819" w:rsidRPr="00DD1E00">
        <w:rPr>
          <w:rFonts w:ascii="Arial" w:hAnsi="Arial" w:cs="Arial"/>
          <w:sz w:val="20"/>
          <w:szCs w:val="20"/>
        </w:rPr>
        <w:t xml:space="preserve">ater samples were collected from public hand pumps and private borewells </w:t>
      </w:r>
      <w:r w:rsidR="00D93CAA" w:rsidRPr="00DD1E00">
        <w:rPr>
          <w:rFonts w:ascii="Arial" w:hAnsi="Arial" w:cs="Arial"/>
          <w:sz w:val="20"/>
          <w:szCs w:val="20"/>
        </w:rPr>
        <w:t>monthly</w:t>
      </w:r>
      <w:r w:rsidR="00DC50F3" w:rsidRPr="00DD1E00">
        <w:rPr>
          <w:rFonts w:ascii="Arial" w:hAnsi="Arial" w:cs="Arial"/>
          <w:sz w:val="20"/>
          <w:szCs w:val="20"/>
        </w:rPr>
        <w:t xml:space="preserve"> from residential, industrial, and semi-rural zones</w:t>
      </w:r>
      <w:r w:rsidR="00797819" w:rsidRPr="00DD1E00">
        <w:rPr>
          <w:rFonts w:ascii="Arial" w:hAnsi="Arial" w:cs="Arial"/>
          <w:sz w:val="20"/>
          <w:szCs w:val="20"/>
        </w:rPr>
        <w:t xml:space="preserve">, as </w:t>
      </w:r>
      <w:r w:rsidR="00D93CAA" w:rsidRPr="00DD1E00">
        <w:rPr>
          <w:rFonts w:ascii="Arial" w:hAnsi="Arial" w:cs="Arial"/>
          <w:sz w:val="20"/>
          <w:szCs w:val="20"/>
        </w:rPr>
        <w:t xml:space="preserve">we get complete picture on variation in parameters and </w:t>
      </w:r>
      <w:r w:rsidR="00DC50F3" w:rsidRPr="00DD1E00">
        <w:rPr>
          <w:rFonts w:ascii="Arial" w:hAnsi="Arial" w:cs="Arial"/>
          <w:sz w:val="20"/>
          <w:szCs w:val="20"/>
        </w:rPr>
        <w:t xml:space="preserve">during </w:t>
      </w:r>
      <w:r w:rsidR="00475CD4" w:rsidRPr="00DD1E00">
        <w:rPr>
          <w:rFonts w:ascii="Arial" w:hAnsi="Arial" w:cs="Arial"/>
          <w:sz w:val="20"/>
          <w:szCs w:val="20"/>
        </w:rPr>
        <w:t>post monsoon season</w:t>
      </w:r>
      <w:r w:rsidR="00D5480F" w:rsidRPr="00DD1E00">
        <w:rPr>
          <w:rFonts w:ascii="Arial" w:hAnsi="Arial" w:cs="Arial"/>
          <w:sz w:val="20"/>
          <w:szCs w:val="20"/>
        </w:rPr>
        <w:t>, it</w:t>
      </w:r>
      <w:r w:rsidR="00475CD4" w:rsidRPr="00DD1E00">
        <w:rPr>
          <w:rFonts w:ascii="Arial" w:hAnsi="Arial" w:cs="Arial"/>
          <w:sz w:val="20"/>
          <w:szCs w:val="20"/>
        </w:rPr>
        <w:t xml:space="preserve"> </w:t>
      </w:r>
      <w:r w:rsidR="00797819" w:rsidRPr="00DD1E00">
        <w:rPr>
          <w:rFonts w:ascii="Arial" w:hAnsi="Arial" w:cs="Arial"/>
          <w:sz w:val="20"/>
          <w:szCs w:val="20"/>
        </w:rPr>
        <w:t>reflects a relatively stabilized aquifer condition after natural recharge.</w:t>
      </w:r>
      <w:r w:rsidR="00D5480F" w:rsidRPr="00DD1E00">
        <w:rPr>
          <w:rFonts w:ascii="Arial" w:hAnsi="Arial" w:cs="Arial"/>
          <w:sz w:val="20"/>
          <w:szCs w:val="20"/>
        </w:rPr>
        <w:t xml:space="preserve"> </w:t>
      </w:r>
      <w:r w:rsidR="00797819" w:rsidRPr="00DD1E00">
        <w:rPr>
          <w:rFonts w:ascii="Arial" w:hAnsi="Arial" w:cs="Arial"/>
          <w:sz w:val="20"/>
          <w:szCs w:val="20"/>
        </w:rPr>
        <w:t>The collected samples were stored in pre-cleaned, sterilized polyethylene bottles and labeled accurately for laboratory testing. The analysis focused on key physical, chemical, and biological parameters, which are important indicators of groundwater quality.</w:t>
      </w:r>
      <w:r w:rsidR="00797819" w:rsidRPr="00DD1E00">
        <w:rPr>
          <w:rFonts w:ascii="Arial" w:hAnsi="Arial" w:cs="Arial"/>
          <w:sz w:val="20"/>
          <w:szCs w:val="20"/>
        </w:rPr>
        <w:br/>
      </w:r>
      <w:r w:rsidR="00E4067F" w:rsidRPr="00DD1E00">
        <w:rPr>
          <w:rFonts w:ascii="Arial" w:hAnsi="Arial" w:cs="Arial"/>
          <w:sz w:val="20"/>
          <w:szCs w:val="20"/>
        </w:rPr>
        <w:t xml:space="preserve">Temperature and </w:t>
      </w:r>
      <w:r w:rsidR="000115D9" w:rsidRPr="00DD1E00">
        <w:rPr>
          <w:rFonts w:ascii="Arial" w:hAnsi="Arial" w:cs="Arial"/>
          <w:sz w:val="20"/>
          <w:szCs w:val="20"/>
        </w:rPr>
        <w:t>pH was measured using a calibrated (digital</w:t>
      </w:r>
      <w:r w:rsidR="00A85925" w:rsidRPr="00DD1E00">
        <w:rPr>
          <w:rFonts w:ascii="Arial" w:hAnsi="Arial" w:cs="Arial"/>
          <w:sz w:val="20"/>
          <w:szCs w:val="20"/>
        </w:rPr>
        <w:t xml:space="preserve"> </w:t>
      </w:r>
      <w:r w:rsidR="000115D9" w:rsidRPr="00DD1E00">
        <w:rPr>
          <w:rFonts w:ascii="Arial" w:hAnsi="Arial" w:cs="Arial"/>
          <w:sz w:val="20"/>
          <w:szCs w:val="20"/>
        </w:rPr>
        <w:t xml:space="preserve">meter) to assess the acidity or alkalinity of water. Acceptable limits </w:t>
      </w:r>
      <w:r w:rsidR="008677E1" w:rsidRPr="00DD1E00">
        <w:rPr>
          <w:rFonts w:ascii="Arial" w:hAnsi="Arial" w:cs="Arial"/>
          <w:sz w:val="20"/>
          <w:szCs w:val="20"/>
        </w:rPr>
        <w:t xml:space="preserve">for pH </w:t>
      </w:r>
      <w:r w:rsidR="000115D9" w:rsidRPr="00DD1E00">
        <w:rPr>
          <w:rFonts w:ascii="Arial" w:hAnsi="Arial" w:cs="Arial"/>
          <w:sz w:val="20"/>
          <w:szCs w:val="20"/>
        </w:rPr>
        <w:t>lie between 6.5 to 8.5 as per BIS (2021) and WHO (2022) guidelines.</w:t>
      </w:r>
    </w:p>
    <w:p w14:paraId="2EC1CDCD" w14:textId="77777777" w:rsidR="00D44A3A" w:rsidRPr="00DD1E00" w:rsidRDefault="00D44A3A">
      <w:pPr>
        <w:rPr>
          <w:rFonts w:ascii="Arial" w:hAnsi="Arial" w:cs="Arial"/>
          <w:sz w:val="20"/>
          <w:szCs w:val="20"/>
        </w:rPr>
      </w:pPr>
    </w:p>
    <w:p w14:paraId="024D5CA0" w14:textId="68800E9B" w:rsidR="001255AA" w:rsidRPr="00DD1E00" w:rsidRDefault="001255AA">
      <w:pPr>
        <w:rPr>
          <w:rFonts w:ascii="Arial" w:hAnsi="Arial" w:cs="Arial"/>
          <w:sz w:val="20"/>
          <w:szCs w:val="20"/>
          <w:lang w:val="en-IN"/>
        </w:rPr>
      </w:pPr>
      <w:r w:rsidRPr="00DD1E00">
        <w:rPr>
          <w:rFonts w:ascii="Arial" w:hAnsi="Arial" w:cs="Arial"/>
          <w:sz w:val="20"/>
          <w:szCs w:val="20"/>
          <w:lang w:val="en-IN"/>
        </w:rPr>
        <w:lastRenderedPageBreak/>
        <w:t xml:space="preserve">The </w:t>
      </w:r>
      <w:commentRangeStart w:id="4"/>
      <w:r w:rsidRPr="00DD1E00">
        <w:rPr>
          <w:rFonts w:ascii="Arial" w:hAnsi="Arial" w:cs="Arial"/>
          <w:sz w:val="20"/>
          <w:szCs w:val="20"/>
          <w:lang w:val="en-IN"/>
        </w:rPr>
        <w:t xml:space="preserve">APHA (2012) </w:t>
      </w:r>
      <w:commentRangeEnd w:id="4"/>
      <w:r w:rsidR="00753293">
        <w:rPr>
          <w:rStyle w:val="CommentReference"/>
        </w:rPr>
        <w:commentReference w:id="4"/>
      </w:r>
      <w:r w:rsidRPr="00DD1E00">
        <w:rPr>
          <w:rFonts w:ascii="Arial" w:hAnsi="Arial" w:cs="Arial"/>
          <w:sz w:val="20"/>
          <w:szCs w:val="20"/>
          <w:lang w:val="en-IN"/>
        </w:rPr>
        <w:t>standard operating procedures will be used to the analysis of some chemical parameters</w:t>
      </w:r>
      <w:r w:rsidR="00EA3166" w:rsidRPr="00DD1E00">
        <w:rPr>
          <w:rFonts w:ascii="Arial" w:hAnsi="Arial" w:cs="Arial"/>
          <w:sz w:val="20"/>
          <w:szCs w:val="20"/>
          <w:lang w:val="en-IN"/>
        </w:rPr>
        <w:t xml:space="preserve"> by laboratory procedures and few</w:t>
      </w:r>
      <w:r w:rsidRPr="00DD1E00">
        <w:rPr>
          <w:rFonts w:ascii="Arial" w:hAnsi="Arial" w:cs="Arial"/>
          <w:sz w:val="20"/>
          <w:szCs w:val="20"/>
          <w:lang w:val="en-IN"/>
        </w:rPr>
        <w:t xml:space="preserve"> parameters will be ascertained using analytical kits</w:t>
      </w:r>
      <w:r w:rsidR="00D5480F" w:rsidRPr="00DD1E00">
        <w:rPr>
          <w:rFonts w:ascii="Arial" w:hAnsi="Arial" w:cs="Arial"/>
          <w:sz w:val="20"/>
          <w:szCs w:val="20"/>
          <w:lang w:val="en-IN"/>
        </w:rPr>
        <w:t>.</w:t>
      </w:r>
      <w:r w:rsidR="004C70B9" w:rsidRPr="00DD1E00">
        <w:rPr>
          <w:rFonts w:ascii="Arial" w:hAnsi="Arial" w:cs="Arial"/>
          <w:sz w:val="20"/>
          <w:szCs w:val="20"/>
          <w:lang w:val="en-IN"/>
        </w:rPr>
        <w:t xml:space="preserve"> </w:t>
      </w:r>
      <w:r w:rsidR="00DD2C99" w:rsidRPr="00DD1E00">
        <w:rPr>
          <w:rFonts w:ascii="Arial" w:hAnsi="Arial" w:cs="Arial"/>
          <w:sz w:val="20"/>
          <w:szCs w:val="20"/>
          <w:lang w:val="en-IN"/>
        </w:rPr>
        <w:t>F</w:t>
      </w:r>
      <w:r w:rsidR="00D93CAA" w:rsidRPr="00DD1E00">
        <w:rPr>
          <w:rFonts w:ascii="Arial" w:hAnsi="Arial" w:cs="Arial"/>
          <w:sz w:val="20"/>
          <w:szCs w:val="20"/>
          <w:lang w:val="en-IN"/>
        </w:rPr>
        <w:t>or</w:t>
      </w:r>
      <w:r w:rsidRPr="00DD1E00">
        <w:rPr>
          <w:rFonts w:ascii="Arial" w:hAnsi="Arial" w:cs="Arial"/>
          <w:sz w:val="20"/>
          <w:szCs w:val="20"/>
          <w:lang w:val="en-IN"/>
        </w:rPr>
        <w:t xml:space="preserve"> several metrics, such as hardness, total alkalinity, free carbon dioxide, and chloride, titration techniques will be employed. Using digital meters and analysis kits, other parameters including TDS (measured with a TDS meter)</w:t>
      </w:r>
      <w:r w:rsidR="00A61D0C" w:rsidRPr="00DD1E00">
        <w:rPr>
          <w:rFonts w:ascii="Arial" w:hAnsi="Arial" w:cs="Arial"/>
          <w:sz w:val="20"/>
          <w:szCs w:val="20"/>
          <w:lang w:val="en-IN"/>
        </w:rPr>
        <w:t>, Total alkalinity, Total hardness,</w:t>
      </w:r>
      <w:r w:rsidRPr="00DD1E00">
        <w:rPr>
          <w:rFonts w:ascii="Arial" w:hAnsi="Arial" w:cs="Arial"/>
          <w:sz w:val="20"/>
          <w:szCs w:val="20"/>
          <w:lang w:val="en-IN"/>
        </w:rPr>
        <w:t xml:space="preserve"> </w:t>
      </w:r>
      <w:r w:rsidR="00A61D0C" w:rsidRPr="00DD1E00">
        <w:rPr>
          <w:rFonts w:ascii="Arial" w:hAnsi="Arial" w:cs="Arial"/>
          <w:sz w:val="20"/>
          <w:szCs w:val="20"/>
          <w:lang w:val="en-IN"/>
        </w:rPr>
        <w:t>chloride,</w:t>
      </w:r>
      <w:r w:rsidR="00A61D0C" w:rsidRPr="00DD1E00">
        <w:rPr>
          <w:rFonts w:ascii="Arial" w:hAnsi="Arial" w:cs="Arial"/>
          <w:b/>
          <w:bCs/>
          <w:sz w:val="20"/>
          <w:szCs w:val="20"/>
          <w:lang w:val="en-IN"/>
        </w:rPr>
        <w:t xml:space="preserve"> </w:t>
      </w:r>
      <w:r w:rsidR="00A61D0C" w:rsidRPr="00DD1E00">
        <w:rPr>
          <w:rFonts w:ascii="Arial" w:hAnsi="Arial" w:cs="Arial"/>
          <w:sz w:val="20"/>
          <w:szCs w:val="20"/>
          <w:lang w:val="en-IN"/>
        </w:rPr>
        <w:t>fluoride, nitrate, iron, arsenic</w:t>
      </w:r>
      <w:r w:rsidRPr="00DD1E00">
        <w:rPr>
          <w:rFonts w:ascii="Arial" w:hAnsi="Arial" w:cs="Arial"/>
          <w:sz w:val="20"/>
          <w:szCs w:val="20"/>
          <w:lang w:val="en-IN"/>
        </w:rPr>
        <w:t>, potassium, magnesium</w:t>
      </w:r>
      <w:r w:rsidR="00A61D0C" w:rsidRPr="00DD1E00">
        <w:rPr>
          <w:rFonts w:ascii="Arial" w:hAnsi="Arial" w:cs="Arial"/>
          <w:sz w:val="20"/>
          <w:szCs w:val="20"/>
          <w:lang w:val="en-IN"/>
        </w:rPr>
        <w:t>, sulphates</w:t>
      </w:r>
      <w:r w:rsidRPr="00DD1E00">
        <w:rPr>
          <w:rFonts w:ascii="Arial" w:hAnsi="Arial" w:cs="Arial"/>
          <w:sz w:val="20"/>
          <w:szCs w:val="20"/>
          <w:lang w:val="en-IN"/>
        </w:rPr>
        <w:t>,</w:t>
      </w:r>
      <w:r w:rsidR="00A61D0C" w:rsidRPr="00DD1E00">
        <w:rPr>
          <w:rFonts w:ascii="Arial" w:hAnsi="Arial" w:cs="Arial"/>
          <w:sz w:val="20"/>
          <w:szCs w:val="20"/>
          <w:lang w:val="en-IN"/>
        </w:rPr>
        <w:t xml:space="preserve"> carbon dioxide, </w:t>
      </w:r>
      <w:r w:rsidR="008677E1" w:rsidRPr="00DD1E00">
        <w:rPr>
          <w:rFonts w:ascii="Arial" w:hAnsi="Arial" w:cs="Arial"/>
          <w:sz w:val="20"/>
          <w:szCs w:val="20"/>
          <w:lang w:val="en-IN"/>
        </w:rPr>
        <w:t>analysed</w:t>
      </w:r>
      <w:r w:rsidRPr="00DD1E00">
        <w:rPr>
          <w:rFonts w:ascii="Arial" w:hAnsi="Arial" w:cs="Arial"/>
          <w:sz w:val="20"/>
          <w:szCs w:val="20"/>
          <w:lang w:val="en-IN"/>
        </w:rPr>
        <w:t xml:space="preserve">.  </w:t>
      </w:r>
    </w:p>
    <w:p w14:paraId="58D6FB65" w14:textId="5C471124" w:rsidR="00770238" w:rsidRPr="00DD1E00" w:rsidRDefault="0080210F">
      <w:pPr>
        <w:rPr>
          <w:rFonts w:ascii="Arial" w:hAnsi="Arial" w:cs="Arial"/>
          <w:sz w:val="20"/>
          <w:szCs w:val="20"/>
        </w:rPr>
      </w:pPr>
      <w:r w:rsidRPr="00DD1E00">
        <w:rPr>
          <w:rFonts w:ascii="Arial" w:hAnsi="Arial" w:cs="Arial"/>
          <w:sz w:val="20"/>
          <w:szCs w:val="20"/>
        </w:rPr>
        <w:t>Microbiological analysis was performed using a BACTASLYDE(BS101) method to detect coliform bacteria.</w:t>
      </w:r>
      <w:r w:rsidR="00FB2D3E" w:rsidRPr="00DD1E00">
        <w:rPr>
          <w:rFonts w:ascii="Arial" w:hAnsi="Arial" w:cs="Arial"/>
          <w:sz w:val="20"/>
          <w:szCs w:val="20"/>
        </w:rPr>
        <w:t xml:space="preserve"> </w:t>
      </w:r>
      <w:r w:rsidR="00797819" w:rsidRPr="00DD1E00">
        <w:rPr>
          <w:rFonts w:ascii="Arial" w:hAnsi="Arial" w:cs="Arial"/>
          <w:sz w:val="20"/>
          <w:szCs w:val="20"/>
        </w:rPr>
        <w:t>All the values obtained were compared with permissible limits set by the Bureau of Indian Standards (IS 10500:2021) and the World Health Organization (2022). The data were analyzed to determine pollutant distribution and identify risk-prone zones.</w:t>
      </w:r>
    </w:p>
    <w:p w14:paraId="693A6A5D" w14:textId="3AB847CF" w:rsidR="00D16DD4" w:rsidRPr="00DD1E00" w:rsidRDefault="00D16DD4" w:rsidP="00D16DD4">
      <w:pPr>
        <w:pStyle w:val="ListParagraph"/>
        <w:numPr>
          <w:ilvl w:val="0"/>
          <w:numId w:val="17"/>
        </w:numPr>
        <w:rPr>
          <w:rFonts w:ascii="Arial" w:hAnsi="Arial" w:cs="Arial"/>
          <w:b/>
          <w:bCs/>
          <w:sz w:val="20"/>
          <w:szCs w:val="20"/>
        </w:rPr>
      </w:pPr>
      <w:r w:rsidRPr="00DD1E00">
        <w:rPr>
          <w:rFonts w:ascii="Arial" w:hAnsi="Arial" w:cs="Arial"/>
          <w:b/>
          <w:bCs/>
          <w:sz w:val="20"/>
          <w:szCs w:val="20"/>
        </w:rPr>
        <w:t>RESULTS AND DISCUSSION</w:t>
      </w:r>
    </w:p>
    <w:p w14:paraId="74F73542" w14:textId="206B8EB5" w:rsidR="005A38FF" w:rsidRPr="00DD1E00" w:rsidRDefault="00A86A1F" w:rsidP="0055374D">
      <w:pPr>
        <w:rPr>
          <w:rFonts w:ascii="Arial" w:hAnsi="Arial" w:cs="Arial"/>
          <w:sz w:val="20"/>
          <w:szCs w:val="20"/>
        </w:rPr>
      </w:pPr>
      <w:r w:rsidRPr="00DD1E00">
        <w:rPr>
          <w:rFonts w:ascii="Arial" w:hAnsi="Arial" w:cs="Arial"/>
          <w:sz w:val="20"/>
          <w:szCs w:val="20"/>
        </w:rPr>
        <w:t xml:space="preserve">The analysis of groundwater samples from Rooma, Kanpur provides a comprehensive picture of its </w:t>
      </w:r>
      <w:r w:rsidR="00A61D0C" w:rsidRPr="00DD1E00">
        <w:rPr>
          <w:rFonts w:ascii="Arial" w:hAnsi="Arial" w:cs="Arial"/>
          <w:sz w:val="20"/>
          <w:szCs w:val="20"/>
        </w:rPr>
        <w:t>P</w:t>
      </w:r>
      <w:r w:rsidRPr="00DD1E00">
        <w:rPr>
          <w:rFonts w:ascii="Arial" w:hAnsi="Arial" w:cs="Arial"/>
          <w:sz w:val="20"/>
          <w:szCs w:val="20"/>
        </w:rPr>
        <w:t xml:space="preserve">hysico-chemical and microbial quality. </w:t>
      </w:r>
      <w:r w:rsidR="00D16DD4" w:rsidRPr="00DD1E00">
        <w:rPr>
          <w:rFonts w:ascii="Arial" w:hAnsi="Arial" w:cs="Arial"/>
          <w:sz w:val="20"/>
          <w:szCs w:val="20"/>
        </w:rPr>
        <w:t xml:space="preserve">Physico-chemical parameters offer insights into the inorganic pollution load and long-term geochemical processes affecting groundwater. </w:t>
      </w:r>
      <w:r w:rsidRPr="00DD1E00">
        <w:rPr>
          <w:rFonts w:ascii="Arial" w:hAnsi="Arial" w:cs="Arial"/>
          <w:sz w:val="20"/>
          <w:szCs w:val="20"/>
        </w:rPr>
        <w:t xml:space="preserve">The finding </w:t>
      </w:r>
      <w:r w:rsidR="00A61D0C" w:rsidRPr="00DD1E00">
        <w:rPr>
          <w:rFonts w:ascii="Arial" w:hAnsi="Arial" w:cs="Arial"/>
          <w:sz w:val="20"/>
          <w:szCs w:val="20"/>
        </w:rPr>
        <w:t>h</w:t>
      </w:r>
      <w:r w:rsidRPr="00DD1E00">
        <w:rPr>
          <w:rFonts w:ascii="Arial" w:hAnsi="Arial" w:cs="Arial"/>
          <w:sz w:val="20"/>
          <w:szCs w:val="20"/>
        </w:rPr>
        <w:t>ighlight</w:t>
      </w:r>
      <w:r w:rsidR="00A61D0C" w:rsidRPr="00DD1E00">
        <w:rPr>
          <w:rFonts w:ascii="Arial" w:hAnsi="Arial" w:cs="Arial"/>
          <w:sz w:val="20"/>
          <w:szCs w:val="20"/>
        </w:rPr>
        <w:t>s</w:t>
      </w:r>
      <w:r w:rsidRPr="00DD1E00">
        <w:rPr>
          <w:rFonts w:ascii="Arial" w:hAnsi="Arial" w:cs="Arial"/>
          <w:sz w:val="20"/>
          <w:szCs w:val="20"/>
        </w:rPr>
        <w:t xml:space="preserve"> seasonal fluctuations as well as the influence of local industrial and domestic</w:t>
      </w:r>
      <w:r w:rsidR="005A38FF" w:rsidRPr="00DD1E00">
        <w:rPr>
          <w:rFonts w:ascii="Arial" w:hAnsi="Arial" w:cs="Arial"/>
          <w:sz w:val="20"/>
          <w:szCs w:val="20"/>
        </w:rPr>
        <w:t xml:space="preserve"> activities on water parameter</w:t>
      </w:r>
      <w:r w:rsidR="00C37982" w:rsidRPr="00DD1E00">
        <w:rPr>
          <w:rFonts w:ascii="Arial" w:hAnsi="Arial" w:cs="Arial"/>
          <w:sz w:val="20"/>
          <w:szCs w:val="20"/>
        </w:rPr>
        <w:t>s.</w:t>
      </w:r>
    </w:p>
    <w:p w14:paraId="3E915EE7" w14:textId="491FEA2D" w:rsidR="003277BE" w:rsidRPr="00DD1E00" w:rsidRDefault="007D6D30" w:rsidP="005A38FF">
      <w:pPr>
        <w:jc w:val="both"/>
        <w:rPr>
          <w:rFonts w:ascii="Arial" w:hAnsi="Arial" w:cs="Arial"/>
          <w:sz w:val="20"/>
          <w:szCs w:val="20"/>
        </w:rPr>
      </w:pPr>
      <w:r w:rsidRPr="00DD1E00">
        <w:rPr>
          <w:rFonts w:ascii="Arial" w:hAnsi="Arial" w:cs="Arial"/>
          <w:sz w:val="20"/>
          <w:szCs w:val="20"/>
        </w:rPr>
        <w:t>Table 1: Month wise water quality parameters monitoring data</w:t>
      </w:r>
      <w:r w:rsidR="001C11BE" w:rsidRPr="00DD1E00">
        <w:rPr>
          <w:rFonts w:ascii="Arial" w:hAnsi="Arial" w:cs="Arial"/>
          <w:sz w:val="20"/>
          <w:szCs w:val="20"/>
        </w:rPr>
        <w:t xml:space="preserve"> </w:t>
      </w:r>
      <w:r w:rsidR="00E623A0" w:rsidRPr="00DD1E00">
        <w:rPr>
          <w:rFonts w:ascii="Arial" w:hAnsi="Arial" w:cs="Arial"/>
          <w:sz w:val="20"/>
          <w:szCs w:val="20"/>
        </w:rPr>
        <w:t>(M</w:t>
      </w:r>
      <w:r w:rsidRPr="00DD1E00">
        <w:rPr>
          <w:rFonts w:ascii="Arial" w:hAnsi="Arial" w:cs="Arial"/>
          <w:sz w:val="20"/>
          <w:szCs w:val="20"/>
        </w:rPr>
        <w:t>ay2024-</w:t>
      </w:r>
      <w:r w:rsidR="00E623A0" w:rsidRPr="00DD1E00">
        <w:rPr>
          <w:rFonts w:ascii="Arial" w:hAnsi="Arial" w:cs="Arial"/>
          <w:sz w:val="20"/>
          <w:szCs w:val="20"/>
        </w:rPr>
        <w:t>A</w:t>
      </w:r>
      <w:r w:rsidRPr="00DD1E00">
        <w:rPr>
          <w:rFonts w:ascii="Arial" w:hAnsi="Arial" w:cs="Arial"/>
          <w:sz w:val="20"/>
          <w:szCs w:val="20"/>
        </w:rPr>
        <w:t>pril</w:t>
      </w:r>
      <w:r w:rsidR="00E6147D" w:rsidRPr="00DD1E00">
        <w:rPr>
          <w:rFonts w:ascii="Arial" w:hAnsi="Arial" w:cs="Arial"/>
          <w:sz w:val="20"/>
          <w:szCs w:val="20"/>
        </w:rPr>
        <w:t xml:space="preserve"> 20</w:t>
      </w:r>
      <w:r w:rsidR="00C37982" w:rsidRPr="00DD1E00">
        <w:rPr>
          <w:rFonts w:ascii="Arial" w:hAnsi="Arial" w:cs="Arial"/>
          <w:sz w:val="20"/>
          <w:szCs w:val="20"/>
        </w:rPr>
        <w:t>25)</w:t>
      </w:r>
    </w:p>
    <w:tbl>
      <w:tblPr>
        <w:tblStyle w:val="TableGrid"/>
        <w:tblpPr w:leftFromText="180" w:rightFromText="180" w:vertAnchor="text" w:horzAnchor="margin" w:tblpX="-758" w:tblpY="383"/>
        <w:tblW w:w="11174" w:type="dxa"/>
        <w:tblLayout w:type="fixed"/>
        <w:tblCellMar>
          <w:left w:w="57" w:type="dxa"/>
          <w:right w:w="57" w:type="dxa"/>
        </w:tblCellMar>
        <w:tblLook w:val="04A0" w:firstRow="1" w:lastRow="0" w:firstColumn="1" w:lastColumn="0" w:noHBand="0" w:noVBand="1"/>
      </w:tblPr>
      <w:tblGrid>
        <w:gridCol w:w="1255"/>
        <w:gridCol w:w="720"/>
        <w:gridCol w:w="720"/>
        <w:gridCol w:w="630"/>
        <w:gridCol w:w="810"/>
        <w:gridCol w:w="905"/>
        <w:gridCol w:w="900"/>
        <w:gridCol w:w="1170"/>
        <w:gridCol w:w="900"/>
        <w:gridCol w:w="900"/>
        <w:gridCol w:w="900"/>
        <w:gridCol w:w="720"/>
        <w:gridCol w:w="644"/>
      </w:tblGrid>
      <w:tr w:rsidR="00C7144D" w:rsidRPr="00DD1E00" w14:paraId="6F954C87" w14:textId="77777777" w:rsidTr="00E060BA">
        <w:trPr>
          <w:trHeight w:val="20"/>
        </w:trPr>
        <w:tc>
          <w:tcPr>
            <w:tcW w:w="1255" w:type="dxa"/>
            <w:tcBorders>
              <w:top w:val="single" w:sz="4" w:space="0" w:color="auto"/>
              <w:left w:val="single" w:sz="4" w:space="0" w:color="auto"/>
              <w:bottom w:val="single" w:sz="4" w:space="0" w:color="auto"/>
              <w:right w:val="single" w:sz="4" w:space="0" w:color="auto"/>
            </w:tcBorders>
            <w:hideMark/>
          </w:tcPr>
          <w:p w14:paraId="21C6DE6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Months/   Parameters       </w:t>
            </w:r>
          </w:p>
        </w:tc>
        <w:tc>
          <w:tcPr>
            <w:tcW w:w="720" w:type="dxa"/>
            <w:tcBorders>
              <w:top w:val="single" w:sz="4" w:space="0" w:color="auto"/>
              <w:left w:val="single" w:sz="4" w:space="0" w:color="auto"/>
              <w:bottom w:val="single" w:sz="4" w:space="0" w:color="auto"/>
              <w:right w:val="single" w:sz="4" w:space="0" w:color="auto"/>
            </w:tcBorders>
            <w:hideMark/>
          </w:tcPr>
          <w:p w14:paraId="654F260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May</w:t>
            </w:r>
          </w:p>
          <w:p w14:paraId="2872CA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720" w:type="dxa"/>
            <w:tcBorders>
              <w:top w:val="single" w:sz="4" w:space="0" w:color="auto"/>
              <w:left w:val="single" w:sz="4" w:space="0" w:color="auto"/>
              <w:bottom w:val="single" w:sz="4" w:space="0" w:color="auto"/>
              <w:right w:val="single" w:sz="4" w:space="0" w:color="auto"/>
            </w:tcBorders>
            <w:hideMark/>
          </w:tcPr>
          <w:p w14:paraId="56C07FC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June</w:t>
            </w:r>
          </w:p>
          <w:p w14:paraId="31F27C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630" w:type="dxa"/>
            <w:tcBorders>
              <w:top w:val="single" w:sz="4" w:space="0" w:color="auto"/>
              <w:left w:val="single" w:sz="4" w:space="0" w:color="auto"/>
              <w:bottom w:val="single" w:sz="4" w:space="0" w:color="auto"/>
              <w:right w:val="single" w:sz="4" w:space="0" w:color="auto"/>
            </w:tcBorders>
            <w:hideMark/>
          </w:tcPr>
          <w:p w14:paraId="3E902C5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July</w:t>
            </w:r>
          </w:p>
          <w:p w14:paraId="3C00F9B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810" w:type="dxa"/>
            <w:tcBorders>
              <w:top w:val="single" w:sz="4" w:space="0" w:color="auto"/>
              <w:left w:val="single" w:sz="4" w:space="0" w:color="auto"/>
              <w:bottom w:val="single" w:sz="4" w:space="0" w:color="auto"/>
              <w:right w:val="single" w:sz="4" w:space="0" w:color="auto"/>
            </w:tcBorders>
            <w:hideMark/>
          </w:tcPr>
          <w:p w14:paraId="0C78B69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August</w:t>
            </w:r>
          </w:p>
          <w:p w14:paraId="0E01F29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5" w:type="dxa"/>
            <w:tcBorders>
              <w:top w:val="single" w:sz="4" w:space="0" w:color="auto"/>
              <w:left w:val="single" w:sz="4" w:space="0" w:color="auto"/>
              <w:bottom w:val="single" w:sz="4" w:space="0" w:color="auto"/>
              <w:right w:val="single" w:sz="4" w:space="0" w:color="auto"/>
            </w:tcBorders>
            <w:hideMark/>
          </w:tcPr>
          <w:p w14:paraId="7BC51B2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September</w:t>
            </w:r>
          </w:p>
          <w:p w14:paraId="53AF376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0" w:type="dxa"/>
            <w:tcBorders>
              <w:top w:val="single" w:sz="4" w:space="0" w:color="auto"/>
              <w:left w:val="single" w:sz="4" w:space="0" w:color="auto"/>
              <w:bottom w:val="single" w:sz="4" w:space="0" w:color="auto"/>
              <w:right w:val="single" w:sz="4" w:space="0" w:color="auto"/>
            </w:tcBorders>
            <w:hideMark/>
          </w:tcPr>
          <w:p w14:paraId="03EE3A7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October</w:t>
            </w:r>
          </w:p>
          <w:p w14:paraId="654600A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1170" w:type="dxa"/>
            <w:tcBorders>
              <w:top w:val="single" w:sz="4" w:space="0" w:color="auto"/>
              <w:left w:val="single" w:sz="4" w:space="0" w:color="auto"/>
              <w:bottom w:val="single" w:sz="4" w:space="0" w:color="auto"/>
              <w:right w:val="single" w:sz="4" w:space="0" w:color="auto"/>
            </w:tcBorders>
            <w:hideMark/>
          </w:tcPr>
          <w:p w14:paraId="4995136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November</w:t>
            </w:r>
          </w:p>
          <w:p w14:paraId="77169B2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 2024 </w:t>
            </w:r>
          </w:p>
        </w:tc>
        <w:tc>
          <w:tcPr>
            <w:tcW w:w="900" w:type="dxa"/>
            <w:tcBorders>
              <w:top w:val="single" w:sz="4" w:space="0" w:color="auto"/>
              <w:left w:val="single" w:sz="4" w:space="0" w:color="auto"/>
              <w:bottom w:val="single" w:sz="4" w:space="0" w:color="auto"/>
              <w:right w:val="single" w:sz="4" w:space="0" w:color="auto"/>
            </w:tcBorders>
            <w:hideMark/>
          </w:tcPr>
          <w:p w14:paraId="394C0D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December </w:t>
            </w:r>
          </w:p>
          <w:p w14:paraId="359F6CB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0" w:type="dxa"/>
            <w:tcBorders>
              <w:top w:val="single" w:sz="4" w:space="0" w:color="auto"/>
              <w:left w:val="single" w:sz="4" w:space="0" w:color="auto"/>
              <w:bottom w:val="single" w:sz="4" w:space="0" w:color="auto"/>
              <w:right w:val="single" w:sz="4" w:space="0" w:color="auto"/>
            </w:tcBorders>
            <w:hideMark/>
          </w:tcPr>
          <w:p w14:paraId="401BAE1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January</w:t>
            </w:r>
          </w:p>
          <w:p w14:paraId="00F3300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2025</w:t>
            </w:r>
          </w:p>
        </w:tc>
        <w:tc>
          <w:tcPr>
            <w:tcW w:w="900" w:type="dxa"/>
            <w:tcBorders>
              <w:top w:val="single" w:sz="4" w:space="0" w:color="auto"/>
              <w:left w:val="single" w:sz="4" w:space="0" w:color="auto"/>
              <w:bottom w:val="single" w:sz="4" w:space="0" w:color="auto"/>
              <w:right w:val="single" w:sz="4" w:space="0" w:color="auto"/>
            </w:tcBorders>
            <w:hideMark/>
          </w:tcPr>
          <w:p w14:paraId="0C865DC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February</w:t>
            </w:r>
          </w:p>
          <w:p w14:paraId="19C9527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2025</w:t>
            </w:r>
          </w:p>
        </w:tc>
        <w:tc>
          <w:tcPr>
            <w:tcW w:w="720" w:type="dxa"/>
            <w:tcBorders>
              <w:top w:val="single" w:sz="4" w:space="0" w:color="auto"/>
              <w:left w:val="single" w:sz="4" w:space="0" w:color="auto"/>
              <w:bottom w:val="single" w:sz="4" w:space="0" w:color="auto"/>
              <w:right w:val="single" w:sz="4" w:space="0" w:color="auto"/>
            </w:tcBorders>
            <w:hideMark/>
          </w:tcPr>
          <w:p w14:paraId="5B6DB87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march</w:t>
            </w:r>
          </w:p>
          <w:p w14:paraId="1B4BBBB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2025 </w:t>
            </w:r>
          </w:p>
        </w:tc>
        <w:tc>
          <w:tcPr>
            <w:tcW w:w="644" w:type="dxa"/>
            <w:tcBorders>
              <w:top w:val="single" w:sz="4" w:space="0" w:color="auto"/>
              <w:left w:val="single" w:sz="4" w:space="0" w:color="auto"/>
              <w:bottom w:val="single" w:sz="4" w:space="0" w:color="auto"/>
              <w:right w:val="single" w:sz="4" w:space="0" w:color="auto"/>
            </w:tcBorders>
            <w:hideMark/>
          </w:tcPr>
          <w:p w14:paraId="436E0A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April 2025</w:t>
            </w:r>
          </w:p>
        </w:tc>
      </w:tr>
      <w:tr w:rsidR="00C7144D" w:rsidRPr="00DD1E00" w14:paraId="5AE1A75F" w14:textId="77777777" w:rsidTr="00E060BA">
        <w:trPr>
          <w:trHeight w:val="366"/>
        </w:trPr>
        <w:tc>
          <w:tcPr>
            <w:tcW w:w="1255" w:type="dxa"/>
            <w:tcBorders>
              <w:top w:val="single" w:sz="4" w:space="0" w:color="auto"/>
              <w:left w:val="single" w:sz="4" w:space="0" w:color="auto"/>
              <w:bottom w:val="single" w:sz="4" w:space="0" w:color="auto"/>
              <w:right w:val="single" w:sz="4" w:space="0" w:color="auto"/>
            </w:tcBorders>
            <w:hideMark/>
          </w:tcPr>
          <w:p w14:paraId="4DA5BF31" w14:textId="4EA003A7" w:rsidR="003277BE" w:rsidRPr="00DD1E00" w:rsidRDefault="00DD1E00" w:rsidP="00E060BA">
            <w:pPr>
              <w:spacing w:after="200" w:line="276" w:lineRule="auto"/>
              <w:rPr>
                <w:rFonts w:ascii="Arial" w:hAnsi="Arial" w:cs="Arial"/>
                <w:sz w:val="20"/>
                <w:szCs w:val="20"/>
                <w:lang w:val="en-IN"/>
              </w:rPr>
            </w:pPr>
            <w:commentRangeStart w:id="5"/>
            <w:proofErr w:type="spellStart"/>
            <w:r w:rsidRPr="00786883">
              <w:rPr>
                <w:rFonts w:ascii="Arial" w:hAnsi="Arial" w:cs="Arial"/>
                <w:color w:val="FF0000"/>
                <w:sz w:val="20"/>
                <w:szCs w:val="20"/>
                <w:lang w:val="en-IN"/>
              </w:rPr>
              <w:t>Ph</w:t>
            </w:r>
            <w:commentRangeEnd w:id="5"/>
            <w:proofErr w:type="spellEnd"/>
            <w:r w:rsidR="00913FED">
              <w:rPr>
                <w:rStyle w:val="CommentReference"/>
              </w:rPr>
              <w:commentReference w:id="5"/>
            </w:r>
          </w:p>
        </w:tc>
        <w:tc>
          <w:tcPr>
            <w:tcW w:w="720" w:type="dxa"/>
            <w:tcBorders>
              <w:top w:val="single" w:sz="4" w:space="0" w:color="auto"/>
              <w:left w:val="single" w:sz="4" w:space="0" w:color="auto"/>
              <w:bottom w:val="single" w:sz="4" w:space="0" w:color="auto"/>
              <w:right w:val="single" w:sz="4" w:space="0" w:color="auto"/>
            </w:tcBorders>
            <w:hideMark/>
          </w:tcPr>
          <w:p w14:paraId="6AA4A738"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7.2</w:t>
            </w:r>
          </w:p>
        </w:tc>
        <w:tc>
          <w:tcPr>
            <w:tcW w:w="720" w:type="dxa"/>
            <w:tcBorders>
              <w:top w:val="single" w:sz="4" w:space="0" w:color="auto"/>
              <w:left w:val="single" w:sz="4" w:space="0" w:color="auto"/>
              <w:bottom w:val="single" w:sz="4" w:space="0" w:color="auto"/>
              <w:right w:val="single" w:sz="4" w:space="0" w:color="auto"/>
            </w:tcBorders>
            <w:hideMark/>
          </w:tcPr>
          <w:p w14:paraId="49B0092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7.4</w:t>
            </w:r>
          </w:p>
        </w:tc>
        <w:tc>
          <w:tcPr>
            <w:tcW w:w="630" w:type="dxa"/>
            <w:tcBorders>
              <w:top w:val="single" w:sz="4" w:space="0" w:color="auto"/>
              <w:left w:val="single" w:sz="4" w:space="0" w:color="auto"/>
              <w:bottom w:val="single" w:sz="4" w:space="0" w:color="auto"/>
              <w:right w:val="single" w:sz="4" w:space="0" w:color="auto"/>
            </w:tcBorders>
            <w:hideMark/>
          </w:tcPr>
          <w:p w14:paraId="015CEA8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7.3</w:t>
            </w:r>
          </w:p>
        </w:tc>
        <w:tc>
          <w:tcPr>
            <w:tcW w:w="810" w:type="dxa"/>
            <w:tcBorders>
              <w:top w:val="single" w:sz="4" w:space="0" w:color="auto"/>
              <w:left w:val="single" w:sz="4" w:space="0" w:color="auto"/>
              <w:bottom w:val="single" w:sz="4" w:space="0" w:color="auto"/>
              <w:right w:val="single" w:sz="4" w:space="0" w:color="auto"/>
            </w:tcBorders>
            <w:hideMark/>
          </w:tcPr>
          <w:p w14:paraId="649DF51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8.4</w:t>
            </w:r>
          </w:p>
        </w:tc>
        <w:tc>
          <w:tcPr>
            <w:tcW w:w="905" w:type="dxa"/>
            <w:tcBorders>
              <w:top w:val="single" w:sz="4" w:space="0" w:color="auto"/>
              <w:left w:val="single" w:sz="4" w:space="0" w:color="auto"/>
              <w:bottom w:val="single" w:sz="4" w:space="0" w:color="auto"/>
              <w:right w:val="single" w:sz="4" w:space="0" w:color="auto"/>
            </w:tcBorders>
            <w:hideMark/>
          </w:tcPr>
          <w:p w14:paraId="1AD048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7.9</w:t>
            </w:r>
          </w:p>
        </w:tc>
        <w:tc>
          <w:tcPr>
            <w:tcW w:w="900" w:type="dxa"/>
            <w:tcBorders>
              <w:top w:val="single" w:sz="4" w:space="0" w:color="auto"/>
              <w:left w:val="single" w:sz="4" w:space="0" w:color="auto"/>
              <w:bottom w:val="single" w:sz="4" w:space="0" w:color="auto"/>
              <w:right w:val="single" w:sz="4" w:space="0" w:color="auto"/>
            </w:tcBorders>
            <w:hideMark/>
          </w:tcPr>
          <w:p w14:paraId="436ADD1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7.8</w:t>
            </w:r>
          </w:p>
        </w:tc>
        <w:tc>
          <w:tcPr>
            <w:tcW w:w="1170" w:type="dxa"/>
            <w:tcBorders>
              <w:top w:val="single" w:sz="4" w:space="0" w:color="auto"/>
              <w:left w:val="single" w:sz="4" w:space="0" w:color="auto"/>
              <w:bottom w:val="single" w:sz="4" w:space="0" w:color="auto"/>
              <w:right w:val="single" w:sz="4" w:space="0" w:color="auto"/>
            </w:tcBorders>
            <w:hideMark/>
          </w:tcPr>
          <w:p w14:paraId="75B0BEC7"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9.5</w:t>
            </w:r>
          </w:p>
        </w:tc>
        <w:tc>
          <w:tcPr>
            <w:tcW w:w="900" w:type="dxa"/>
            <w:tcBorders>
              <w:top w:val="single" w:sz="4" w:space="0" w:color="auto"/>
              <w:left w:val="single" w:sz="4" w:space="0" w:color="auto"/>
              <w:bottom w:val="single" w:sz="4" w:space="0" w:color="auto"/>
              <w:right w:val="single" w:sz="4" w:space="0" w:color="auto"/>
            </w:tcBorders>
            <w:hideMark/>
          </w:tcPr>
          <w:p w14:paraId="1893C91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8.3</w:t>
            </w:r>
          </w:p>
        </w:tc>
        <w:tc>
          <w:tcPr>
            <w:tcW w:w="900" w:type="dxa"/>
            <w:tcBorders>
              <w:top w:val="single" w:sz="4" w:space="0" w:color="auto"/>
              <w:left w:val="single" w:sz="4" w:space="0" w:color="auto"/>
              <w:bottom w:val="single" w:sz="4" w:space="0" w:color="auto"/>
              <w:right w:val="single" w:sz="4" w:space="0" w:color="auto"/>
            </w:tcBorders>
            <w:hideMark/>
          </w:tcPr>
          <w:p w14:paraId="78952C8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8.5</w:t>
            </w:r>
          </w:p>
        </w:tc>
        <w:tc>
          <w:tcPr>
            <w:tcW w:w="900" w:type="dxa"/>
            <w:tcBorders>
              <w:top w:val="single" w:sz="4" w:space="0" w:color="auto"/>
              <w:left w:val="single" w:sz="4" w:space="0" w:color="auto"/>
              <w:bottom w:val="single" w:sz="4" w:space="0" w:color="auto"/>
              <w:right w:val="single" w:sz="4" w:space="0" w:color="auto"/>
            </w:tcBorders>
            <w:hideMark/>
          </w:tcPr>
          <w:p w14:paraId="0DD9F5F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8.36</w:t>
            </w:r>
          </w:p>
        </w:tc>
        <w:tc>
          <w:tcPr>
            <w:tcW w:w="720" w:type="dxa"/>
            <w:tcBorders>
              <w:top w:val="single" w:sz="4" w:space="0" w:color="auto"/>
              <w:left w:val="single" w:sz="4" w:space="0" w:color="auto"/>
              <w:bottom w:val="single" w:sz="4" w:space="0" w:color="auto"/>
              <w:right w:val="single" w:sz="4" w:space="0" w:color="auto"/>
            </w:tcBorders>
            <w:hideMark/>
          </w:tcPr>
          <w:p w14:paraId="7DBE8E3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8.03</w:t>
            </w:r>
          </w:p>
        </w:tc>
        <w:tc>
          <w:tcPr>
            <w:tcW w:w="644" w:type="dxa"/>
            <w:tcBorders>
              <w:top w:val="single" w:sz="4" w:space="0" w:color="auto"/>
              <w:left w:val="single" w:sz="4" w:space="0" w:color="auto"/>
              <w:bottom w:val="single" w:sz="4" w:space="0" w:color="auto"/>
              <w:right w:val="single" w:sz="4" w:space="0" w:color="auto"/>
            </w:tcBorders>
            <w:hideMark/>
          </w:tcPr>
          <w:p w14:paraId="1262299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8.5</w:t>
            </w:r>
          </w:p>
        </w:tc>
      </w:tr>
      <w:tr w:rsidR="00C7144D" w:rsidRPr="00DD1E00" w14:paraId="3860DB60"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1DDEBF7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TDS</w:t>
            </w:r>
          </w:p>
        </w:tc>
        <w:tc>
          <w:tcPr>
            <w:tcW w:w="720" w:type="dxa"/>
            <w:tcBorders>
              <w:top w:val="single" w:sz="4" w:space="0" w:color="auto"/>
              <w:left w:val="single" w:sz="4" w:space="0" w:color="auto"/>
              <w:bottom w:val="single" w:sz="4" w:space="0" w:color="auto"/>
              <w:right w:val="single" w:sz="4" w:space="0" w:color="auto"/>
            </w:tcBorders>
            <w:hideMark/>
          </w:tcPr>
          <w:p w14:paraId="05648E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220</w:t>
            </w:r>
          </w:p>
        </w:tc>
        <w:tc>
          <w:tcPr>
            <w:tcW w:w="720" w:type="dxa"/>
            <w:tcBorders>
              <w:top w:val="single" w:sz="4" w:space="0" w:color="auto"/>
              <w:left w:val="single" w:sz="4" w:space="0" w:color="auto"/>
              <w:bottom w:val="single" w:sz="4" w:space="0" w:color="auto"/>
              <w:right w:val="single" w:sz="4" w:space="0" w:color="auto"/>
            </w:tcBorders>
            <w:hideMark/>
          </w:tcPr>
          <w:p w14:paraId="7DBF774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265</w:t>
            </w:r>
          </w:p>
        </w:tc>
        <w:tc>
          <w:tcPr>
            <w:tcW w:w="630" w:type="dxa"/>
            <w:tcBorders>
              <w:top w:val="single" w:sz="4" w:space="0" w:color="auto"/>
              <w:left w:val="single" w:sz="4" w:space="0" w:color="auto"/>
              <w:bottom w:val="single" w:sz="4" w:space="0" w:color="auto"/>
              <w:right w:val="single" w:sz="4" w:space="0" w:color="auto"/>
            </w:tcBorders>
            <w:hideMark/>
          </w:tcPr>
          <w:p w14:paraId="354F7D4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810" w:type="dxa"/>
            <w:tcBorders>
              <w:top w:val="single" w:sz="4" w:space="0" w:color="auto"/>
              <w:left w:val="single" w:sz="4" w:space="0" w:color="auto"/>
              <w:bottom w:val="single" w:sz="4" w:space="0" w:color="auto"/>
              <w:right w:val="single" w:sz="4" w:space="0" w:color="auto"/>
            </w:tcBorders>
            <w:hideMark/>
          </w:tcPr>
          <w:p w14:paraId="4586570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302</w:t>
            </w:r>
          </w:p>
        </w:tc>
        <w:tc>
          <w:tcPr>
            <w:tcW w:w="905" w:type="dxa"/>
            <w:tcBorders>
              <w:top w:val="single" w:sz="4" w:space="0" w:color="auto"/>
              <w:left w:val="single" w:sz="4" w:space="0" w:color="auto"/>
              <w:bottom w:val="single" w:sz="4" w:space="0" w:color="auto"/>
              <w:right w:val="single" w:sz="4" w:space="0" w:color="auto"/>
            </w:tcBorders>
            <w:hideMark/>
          </w:tcPr>
          <w:p w14:paraId="4DC5648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28AEB01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170</w:t>
            </w:r>
          </w:p>
        </w:tc>
        <w:tc>
          <w:tcPr>
            <w:tcW w:w="1170" w:type="dxa"/>
            <w:tcBorders>
              <w:top w:val="single" w:sz="4" w:space="0" w:color="auto"/>
              <w:left w:val="single" w:sz="4" w:space="0" w:color="auto"/>
              <w:bottom w:val="single" w:sz="4" w:space="0" w:color="auto"/>
              <w:right w:val="single" w:sz="4" w:space="0" w:color="auto"/>
            </w:tcBorders>
            <w:hideMark/>
          </w:tcPr>
          <w:p w14:paraId="50A53CE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180</w:t>
            </w:r>
          </w:p>
        </w:tc>
        <w:tc>
          <w:tcPr>
            <w:tcW w:w="900" w:type="dxa"/>
            <w:tcBorders>
              <w:top w:val="single" w:sz="4" w:space="0" w:color="auto"/>
              <w:left w:val="single" w:sz="4" w:space="0" w:color="auto"/>
              <w:bottom w:val="single" w:sz="4" w:space="0" w:color="auto"/>
              <w:right w:val="single" w:sz="4" w:space="0" w:color="auto"/>
            </w:tcBorders>
            <w:hideMark/>
          </w:tcPr>
          <w:p w14:paraId="6E1EB47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2AFD78A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460</w:t>
            </w:r>
          </w:p>
        </w:tc>
        <w:tc>
          <w:tcPr>
            <w:tcW w:w="900" w:type="dxa"/>
            <w:tcBorders>
              <w:top w:val="single" w:sz="4" w:space="0" w:color="auto"/>
              <w:left w:val="single" w:sz="4" w:space="0" w:color="auto"/>
              <w:bottom w:val="single" w:sz="4" w:space="0" w:color="auto"/>
              <w:right w:val="single" w:sz="4" w:space="0" w:color="auto"/>
            </w:tcBorders>
            <w:hideMark/>
          </w:tcPr>
          <w:p w14:paraId="590A15E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436</w:t>
            </w:r>
          </w:p>
        </w:tc>
        <w:tc>
          <w:tcPr>
            <w:tcW w:w="720" w:type="dxa"/>
            <w:tcBorders>
              <w:top w:val="single" w:sz="4" w:space="0" w:color="auto"/>
              <w:left w:val="single" w:sz="4" w:space="0" w:color="auto"/>
              <w:bottom w:val="single" w:sz="4" w:space="0" w:color="auto"/>
              <w:right w:val="single" w:sz="4" w:space="0" w:color="auto"/>
            </w:tcBorders>
            <w:hideMark/>
          </w:tcPr>
          <w:p w14:paraId="72F70F1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225</w:t>
            </w:r>
          </w:p>
        </w:tc>
        <w:tc>
          <w:tcPr>
            <w:tcW w:w="644" w:type="dxa"/>
            <w:tcBorders>
              <w:top w:val="single" w:sz="4" w:space="0" w:color="auto"/>
              <w:left w:val="single" w:sz="4" w:space="0" w:color="auto"/>
              <w:bottom w:val="single" w:sz="4" w:space="0" w:color="auto"/>
              <w:right w:val="single" w:sz="4" w:space="0" w:color="auto"/>
            </w:tcBorders>
            <w:hideMark/>
          </w:tcPr>
          <w:p w14:paraId="0B0ACCD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r>
      <w:tr w:rsidR="00C7144D" w:rsidRPr="00DD1E00" w14:paraId="4A7EC7F2"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76CCBD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Temp</w:t>
            </w:r>
          </w:p>
        </w:tc>
        <w:tc>
          <w:tcPr>
            <w:tcW w:w="720" w:type="dxa"/>
            <w:tcBorders>
              <w:top w:val="single" w:sz="4" w:space="0" w:color="auto"/>
              <w:left w:val="single" w:sz="4" w:space="0" w:color="auto"/>
              <w:bottom w:val="single" w:sz="4" w:space="0" w:color="auto"/>
              <w:right w:val="single" w:sz="4" w:space="0" w:color="auto"/>
            </w:tcBorders>
            <w:hideMark/>
          </w:tcPr>
          <w:p w14:paraId="277F765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5FECF1F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630" w:type="dxa"/>
            <w:tcBorders>
              <w:top w:val="single" w:sz="4" w:space="0" w:color="auto"/>
              <w:left w:val="single" w:sz="4" w:space="0" w:color="auto"/>
              <w:bottom w:val="single" w:sz="4" w:space="0" w:color="auto"/>
              <w:right w:val="single" w:sz="4" w:space="0" w:color="auto"/>
            </w:tcBorders>
            <w:hideMark/>
          </w:tcPr>
          <w:p w14:paraId="200AF68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F9F9D0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905" w:type="dxa"/>
            <w:tcBorders>
              <w:top w:val="single" w:sz="4" w:space="0" w:color="auto"/>
              <w:left w:val="single" w:sz="4" w:space="0" w:color="auto"/>
              <w:bottom w:val="single" w:sz="4" w:space="0" w:color="auto"/>
              <w:right w:val="single" w:sz="4" w:space="0" w:color="auto"/>
            </w:tcBorders>
            <w:hideMark/>
          </w:tcPr>
          <w:p w14:paraId="09584AE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w:t>
            </w:r>
          </w:p>
        </w:tc>
        <w:tc>
          <w:tcPr>
            <w:tcW w:w="900" w:type="dxa"/>
            <w:tcBorders>
              <w:top w:val="single" w:sz="4" w:space="0" w:color="auto"/>
              <w:left w:val="single" w:sz="4" w:space="0" w:color="auto"/>
              <w:bottom w:val="single" w:sz="4" w:space="0" w:color="auto"/>
              <w:right w:val="single" w:sz="4" w:space="0" w:color="auto"/>
            </w:tcBorders>
            <w:hideMark/>
          </w:tcPr>
          <w:p w14:paraId="1B3D165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1170" w:type="dxa"/>
            <w:tcBorders>
              <w:top w:val="single" w:sz="4" w:space="0" w:color="auto"/>
              <w:left w:val="single" w:sz="4" w:space="0" w:color="auto"/>
              <w:bottom w:val="single" w:sz="4" w:space="0" w:color="auto"/>
              <w:right w:val="single" w:sz="4" w:space="0" w:color="auto"/>
            </w:tcBorders>
            <w:hideMark/>
          </w:tcPr>
          <w:p w14:paraId="118FE75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58AA001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900" w:type="dxa"/>
            <w:tcBorders>
              <w:top w:val="single" w:sz="4" w:space="0" w:color="auto"/>
              <w:left w:val="single" w:sz="4" w:space="0" w:color="auto"/>
              <w:bottom w:val="single" w:sz="4" w:space="0" w:color="auto"/>
              <w:right w:val="single" w:sz="4" w:space="0" w:color="auto"/>
            </w:tcBorders>
            <w:hideMark/>
          </w:tcPr>
          <w:p w14:paraId="0CD2614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900" w:type="dxa"/>
            <w:tcBorders>
              <w:top w:val="single" w:sz="4" w:space="0" w:color="auto"/>
              <w:left w:val="single" w:sz="4" w:space="0" w:color="auto"/>
              <w:bottom w:val="single" w:sz="4" w:space="0" w:color="auto"/>
              <w:right w:val="single" w:sz="4" w:space="0" w:color="auto"/>
            </w:tcBorders>
            <w:hideMark/>
          </w:tcPr>
          <w:p w14:paraId="7DE9A7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21</w:t>
            </w:r>
          </w:p>
        </w:tc>
        <w:tc>
          <w:tcPr>
            <w:tcW w:w="720" w:type="dxa"/>
            <w:tcBorders>
              <w:top w:val="single" w:sz="4" w:space="0" w:color="auto"/>
              <w:left w:val="single" w:sz="4" w:space="0" w:color="auto"/>
              <w:bottom w:val="single" w:sz="4" w:space="0" w:color="auto"/>
              <w:right w:val="single" w:sz="4" w:space="0" w:color="auto"/>
            </w:tcBorders>
            <w:hideMark/>
          </w:tcPr>
          <w:p w14:paraId="07CB856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44" w:type="dxa"/>
            <w:tcBorders>
              <w:top w:val="single" w:sz="4" w:space="0" w:color="auto"/>
              <w:left w:val="single" w:sz="4" w:space="0" w:color="auto"/>
              <w:bottom w:val="single" w:sz="4" w:space="0" w:color="auto"/>
              <w:right w:val="single" w:sz="4" w:space="0" w:color="auto"/>
            </w:tcBorders>
            <w:hideMark/>
          </w:tcPr>
          <w:p w14:paraId="25C9D1B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3FB62929" w14:textId="77777777" w:rsidTr="00E060BA">
        <w:trPr>
          <w:trHeight w:val="702"/>
        </w:trPr>
        <w:tc>
          <w:tcPr>
            <w:tcW w:w="1255" w:type="dxa"/>
            <w:tcBorders>
              <w:top w:val="single" w:sz="4" w:space="0" w:color="auto"/>
              <w:left w:val="single" w:sz="4" w:space="0" w:color="auto"/>
              <w:bottom w:val="single" w:sz="4" w:space="0" w:color="auto"/>
              <w:right w:val="single" w:sz="4" w:space="0" w:color="auto"/>
            </w:tcBorders>
            <w:hideMark/>
          </w:tcPr>
          <w:p w14:paraId="7CC97BC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Total alkalinity</w:t>
            </w:r>
          </w:p>
        </w:tc>
        <w:tc>
          <w:tcPr>
            <w:tcW w:w="720" w:type="dxa"/>
            <w:tcBorders>
              <w:top w:val="single" w:sz="4" w:space="0" w:color="auto"/>
              <w:left w:val="single" w:sz="4" w:space="0" w:color="auto"/>
              <w:bottom w:val="single" w:sz="4" w:space="0" w:color="auto"/>
              <w:right w:val="single" w:sz="4" w:space="0" w:color="auto"/>
            </w:tcBorders>
            <w:hideMark/>
          </w:tcPr>
          <w:p w14:paraId="589EA4E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250</w:t>
            </w:r>
          </w:p>
        </w:tc>
        <w:tc>
          <w:tcPr>
            <w:tcW w:w="720" w:type="dxa"/>
            <w:tcBorders>
              <w:top w:val="single" w:sz="4" w:space="0" w:color="auto"/>
              <w:left w:val="single" w:sz="4" w:space="0" w:color="auto"/>
              <w:bottom w:val="single" w:sz="4" w:space="0" w:color="auto"/>
              <w:right w:val="single" w:sz="4" w:space="0" w:color="auto"/>
            </w:tcBorders>
            <w:hideMark/>
          </w:tcPr>
          <w:p w14:paraId="592A59A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30" w:type="dxa"/>
            <w:tcBorders>
              <w:top w:val="single" w:sz="4" w:space="0" w:color="auto"/>
              <w:left w:val="single" w:sz="4" w:space="0" w:color="auto"/>
              <w:bottom w:val="single" w:sz="4" w:space="0" w:color="auto"/>
              <w:right w:val="single" w:sz="4" w:space="0" w:color="auto"/>
            </w:tcBorders>
            <w:hideMark/>
          </w:tcPr>
          <w:p w14:paraId="48BDA2D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525</w:t>
            </w:r>
          </w:p>
        </w:tc>
        <w:tc>
          <w:tcPr>
            <w:tcW w:w="810" w:type="dxa"/>
            <w:tcBorders>
              <w:top w:val="single" w:sz="4" w:space="0" w:color="auto"/>
              <w:left w:val="single" w:sz="4" w:space="0" w:color="auto"/>
              <w:bottom w:val="single" w:sz="4" w:space="0" w:color="auto"/>
              <w:right w:val="single" w:sz="4" w:space="0" w:color="auto"/>
            </w:tcBorders>
            <w:hideMark/>
          </w:tcPr>
          <w:p w14:paraId="2E1E2AF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905" w:type="dxa"/>
            <w:tcBorders>
              <w:top w:val="single" w:sz="4" w:space="0" w:color="auto"/>
              <w:left w:val="single" w:sz="4" w:space="0" w:color="auto"/>
              <w:bottom w:val="single" w:sz="4" w:space="0" w:color="auto"/>
              <w:right w:val="single" w:sz="4" w:space="0" w:color="auto"/>
            </w:tcBorders>
            <w:hideMark/>
          </w:tcPr>
          <w:p w14:paraId="56640DE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5776BA5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300</w:t>
            </w:r>
          </w:p>
        </w:tc>
        <w:tc>
          <w:tcPr>
            <w:tcW w:w="1170" w:type="dxa"/>
            <w:tcBorders>
              <w:top w:val="single" w:sz="4" w:space="0" w:color="auto"/>
              <w:left w:val="single" w:sz="4" w:space="0" w:color="auto"/>
              <w:bottom w:val="single" w:sz="4" w:space="0" w:color="auto"/>
              <w:right w:val="single" w:sz="4" w:space="0" w:color="auto"/>
            </w:tcBorders>
            <w:hideMark/>
          </w:tcPr>
          <w:p w14:paraId="00D6E6B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c>
          <w:tcPr>
            <w:tcW w:w="900" w:type="dxa"/>
            <w:tcBorders>
              <w:top w:val="single" w:sz="4" w:space="0" w:color="auto"/>
              <w:left w:val="single" w:sz="4" w:space="0" w:color="auto"/>
              <w:bottom w:val="single" w:sz="4" w:space="0" w:color="auto"/>
              <w:right w:val="single" w:sz="4" w:space="0" w:color="auto"/>
            </w:tcBorders>
            <w:hideMark/>
          </w:tcPr>
          <w:p w14:paraId="4F5D7E7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c>
          <w:tcPr>
            <w:tcW w:w="900" w:type="dxa"/>
            <w:tcBorders>
              <w:top w:val="single" w:sz="4" w:space="0" w:color="auto"/>
              <w:left w:val="single" w:sz="4" w:space="0" w:color="auto"/>
              <w:bottom w:val="single" w:sz="4" w:space="0" w:color="auto"/>
              <w:right w:val="single" w:sz="4" w:space="0" w:color="auto"/>
            </w:tcBorders>
            <w:hideMark/>
          </w:tcPr>
          <w:p w14:paraId="50C8F3A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900" w:type="dxa"/>
            <w:tcBorders>
              <w:top w:val="single" w:sz="4" w:space="0" w:color="auto"/>
              <w:left w:val="single" w:sz="4" w:space="0" w:color="auto"/>
              <w:bottom w:val="single" w:sz="4" w:space="0" w:color="auto"/>
              <w:right w:val="single" w:sz="4" w:space="0" w:color="auto"/>
            </w:tcBorders>
            <w:hideMark/>
          </w:tcPr>
          <w:p w14:paraId="4838D00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720" w:type="dxa"/>
            <w:tcBorders>
              <w:top w:val="single" w:sz="4" w:space="0" w:color="auto"/>
              <w:left w:val="single" w:sz="4" w:space="0" w:color="auto"/>
              <w:bottom w:val="single" w:sz="4" w:space="0" w:color="auto"/>
              <w:right w:val="single" w:sz="4" w:space="0" w:color="auto"/>
            </w:tcBorders>
            <w:hideMark/>
          </w:tcPr>
          <w:p w14:paraId="4691350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44" w:type="dxa"/>
            <w:tcBorders>
              <w:top w:val="single" w:sz="4" w:space="0" w:color="auto"/>
              <w:left w:val="single" w:sz="4" w:space="0" w:color="auto"/>
              <w:bottom w:val="single" w:sz="4" w:space="0" w:color="auto"/>
              <w:right w:val="single" w:sz="4" w:space="0" w:color="auto"/>
            </w:tcBorders>
            <w:hideMark/>
          </w:tcPr>
          <w:p w14:paraId="4BACD00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r>
      <w:tr w:rsidR="00C7144D" w:rsidRPr="00DD1E00" w14:paraId="69A33194" w14:textId="77777777" w:rsidTr="00E060BA">
        <w:trPr>
          <w:trHeight w:val="719"/>
        </w:trPr>
        <w:tc>
          <w:tcPr>
            <w:tcW w:w="1255" w:type="dxa"/>
            <w:tcBorders>
              <w:top w:val="single" w:sz="4" w:space="0" w:color="auto"/>
              <w:left w:val="single" w:sz="4" w:space="0" w:color="auto"/>
              <w:bottom w:val="single" w:sz="4" w:space="0" w:color="auto"/>
              <w:right w:val="single" w:sz="4" w:space="0" w:color="auto"/>
            </w:tcBorders>
            <w:hideMark/>
          </w:tcPr>
          <w:p w14:paraId="4A55EAB4" w14:textId="355AB94E" w:rsidR="003277BE" w:rsidRPr="00DD1E00" w:rsidRDefault="003277BE" w:rsidP="00E060BA">
            <w:pPr>
              <w:spacing w:after="200" w:line="276" w:lineRule="auto"/>
              <w:ind w:left="-540" w:firstLine="540"/>
              <w:rPr>
                <w:rFonts w:ascii="Arial" w:hAnsi="Arial" w:cs="Arial"/>
                <w:sz w:val="20"/>
                <w:szCs w:val="20"/>
                <w:lang w:val="en-IN"/>
              </w:rPr>
            </w:pPr>
            <w:r w:rsidRPr="00DD1E00">
              <w:rPr>
                <w:rFonts w:ascii="Arial" w:hAnsi="Arial" w:cs="Arial"/>
                <w:sz w:val="20"/>
                <w:szCs w:val="20"/>
                <w:lang w:val="en-IN"/>
              </w:rPr>
              <w:t xml:space="preserve">Total </w:t>
            </w:r>
            <w:proofErr w:type="spellStart"/>
            <w:r w:rsidR="00C7144D" w:rsidRPr="00DD1E00">
              <w:rPr>
                <w:rFonts w:ascii="Arial" w:hAnsi="Arial" w:cs="Arial"/>
                <w:sz w:val="20"/>
                <w:szCs w:val="20"/>
                <w:lang w:val="en-IN"/>
              </w:rPr>
              <w:t>Hard</w:t>
            </w:r>
            <w:r w:rsidRPr="00DD1E00">
              <w:rPr>
                <w:rFonts w:ascii="Arial" w:hAnsi="Arial" w:cs="Arial"/>
                <w:sz w:val="20"/>
                <w:szCs w:val="20"/>
                <w:lang w:val="en-IN"/>
              </w:rPr>
              <w:t>Hardness</w:t>
            </w:r>
            <w:proofErr w:type="spellEnd"/>
          </w:p>
        </w:tc>
        <w:tc>
          <w:tcPr>
            <w:tcW w:w="720" w:type="dxa"/>
            <w:tcBorders>
              <w:top w:val="single" w:sz="4" w:space="0" w:color="auto"/>
              <w:left w:val="single" w:sz="4" w:space="0" w:color="auto"/>
              <w:bottom w:val="single" w:sz="4" w:space="0" w:color="auto"/>
              <w:right w:val="single" w:sz="4" w:space="0" w:color="auto"/>
            </w:tcBorders>
            <w:hideMark/>
          </w:tcPr>
          <w:p w14:paraId="5D19C8F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300</w:t>
            </w:r>
          </w:p>
        </w:tc>
        <w:tc>
          <w:tcPr>
            <w:tcW w:w="720" w:type="dxa"/>
            <w:tcBorders>
              <w:top w:val="single" w:sz="4" w:space="0" w:color="auto"/>
              <w:left w:val="single" w:sz="4" w:space="0" w:color="auto"/>
              <w:bottom w:val="single" w:sz="4" w:space="0" w:color="auto"/>
              <w:right w:val="single" w:sz="4" w:space="0" w:color="auto"/>
            </w:tcBorders>
            <w:hideMark/>
          </w:tcPr>
          <w:p w14:paraId="413E9F5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30" w:type="dxa"/>
            <w:tcBorders>
              <w:top w:val="single" w:sz="4" w:space="0" w:color="auto"/>
              <w:left w:val="single" w:sz="4" w:space="0" w:color="auto"/>
              <w:bottom w:val="single" w:sz="4" w:space="0" w:color="auto"/>
              <w:right w:val="single" w:sz="4" w:space="0" w:color="auto"/>
            </w:tcBorders>
            <w:hideMark/>
          </w:tcPr>
          <w:p w14:paraId="1A72B12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600</w:t>
            </w:r>
          </w:p>
        </w:tc>
        <w:tc>
          <w:tcPr>
            <w:tcW w:w="810" w:type="dxa"/>
            <w:tcBorders>
              <w:top w:val="single" w:sz="4" w:space="0" w:color="auto"/>
              <w:left w:val="single" w:sz="4" w:space="0" w:color="auto"/>
              <w:bottom w:val="single" w:sz="4" w:space="0" w:color="auto"/>
              <w:right w:val="single" w:sz="4" w:space="0" w:color="auto"/>
            </w:tcBorders>
            <w:hideMark/>
          </w:tcPr>
          <w:p w14:paraId="3D021C8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750</w:t>
            </w:r>
          </w:p>
        </w:tc>
        <w:tc>
          <w:tcPr>
            <w:tcW w:w="905" w:type="dxa"/>
            <w:tcBorders>
              <w:top w:val="single" w:sz="4" w:space="0" w:color="auto"/>
              <w:left w:val="single" w:sz="4" w:space="0" w:color="auto"/>
              <w:bottom w:val="single" w:sz="4" w:space="0" w:color="auto"/>
              <w:right w:val="single" w:sz="4" w:space="0" w:color="auto"/>
            </w:tcBorders>
            <w:hideMark/>
          </w:tcPr>
          <w:p w14:paraId="150C285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650</w:t>
            </w:r>
          </w:p>
        </w:tc>
        <w:tc>
          <w:tcPr>
            <w:tcW w:w="900" w:type="dxa"/>
            <w:tcBorders>
              <w:top w:val="single" w:sz="4" w:space="0" w:color="auto"/>
              <w:left w:val="single" w:sz="4" w:space="0" w:color="auto"/>
              <w:bottom w:val="single" w:sz="4" w:space="0" w:color="auto"/>
              <w:right w:val="single" w:sz="4" w:space="0" w:color="auto"/>
            </w:tcBorders>
            <w:hideMark/>
          </w:tcPr>
          <w:p w14:paraId="0E74D3F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550</w:t>
            </w:r>
          </w:p>
        </w:tc>
        <w:tc>
          <w:tcPr>
            <w:tcW w:w="1170" w:type="dxa"/>
            <w:tcBorders>
              <w:top w:val="single" w:sz="4" w:space="0" w:color="auto"/>
              <w:left w:val="single" w:sz="4" w:space="0" w:color="auto"/>
              <w:bottom w:val="single" w:sz="4" w:space="0" w:color="auto"/>
              <w:right w:val="single" w:sz="4" w:space="0" w:color="auto"/>
            </w:tcBorders>
            <w:hideMark/>
          </w:tcPr>
          <w:p w14:paraId="32F4B1A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750</w:t>
            </w:r>
          </w:p>
        </w:tc>
        <w:tc>
          <w:tcPr>
            <w:tcW w:w="900" w:type="dxa"/>
            <w:tcBorders>
              <w:top w:val="single" w:sz="4" w:space="0" w:color="auto"/>
              <w:left w:val="single" w:sz="4" w:space="0" w:color="auto"/>
              <w:bottom w:val="single" w:sz="4" w:space="0" w:color="auto"/>
              <w:right w:val="single" w:sz="4" w:space="0" w:color="auto"/>
            </w:tcBorders>
            <w:hideMark/>
          </w:tcPr>
          <w:p w14:paraId="705118D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500</w:t>
            </w:r>
          </w:p>
        </w:tc>
        <w:tc>
          <w:tcPr>
            <w:tcW w:w="900" w:type="dxa"/>
            <w:tcBorders>
              <w:top w:val="single" w:sz="4" w:space="0" w:color="auto"/>
              <w:left w:val="single" w:sz="4" w:space="0" w:color="auto"/>
              <w:bottom w:val="single" w:sz="4" w:space="0" w:color="auto"/>
              <w:right w:val="single" w:sz="4" w:space="0" w:color="auto"/>
            </w:tcBorders>
            <w:hideMark/>
          </w:tcPr>
          <w:p w14:paraId="72336FA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760</w:t>
            </w:r>
          </w:p>
        </w:tc>
        <w:tc>
          <w:tcPr>
            <w:tcW w:w="900" w:type="dxa"/>
            <w:tcBorders>
              <w:top w:val="single" w:sz="4" w:space="0" w:color="auto"/>
              <w:left w:val="single" w:sz="4" w:space="0" w:color="auto"/>
              <w:bottom w:val="single" w:sz="4" w:space="0" w:color="auto"/>
              <w:right w:val="single" w:sz="4" w:space="0" w:color="auto"/>
            </w:tcBorders>
            <w:hideMark/>
          </w:tcPr>
          <w:p w14:paraId="3A507C9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600</w:t>
            </w:r>
          </w:p>
        </w:tc>
        <w:tc>
          <w:tcPr>
            <w:tcW w:w="720" w:type="dxa"/>
            <w:tcBorders>
              <w:top w:val="single" w:sz="4" w:space="0" w:color="auto"/>
              <w:left w:val="single" w:sz="4" w:space="0" w:color="auto"/>
              <w:bottom w:val="single" w:sz="4" w:space="0" w:color="auto"/>
              <w:right w:val="single" w:sz="4" w:space="0" w:color="auto"/>
            </w:tcBorders>
            <w:hideMark/>
          </w:tcPr>
          <w:p w14:paraId="3CC89BF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450</w:t>
            </w:r>
          </w:p>
        </w:tc>
        <w:tc>
          <w:tcPr>
            <w:tcW w:w="644" w:type="dxa"/>
            <w:tcBorders>
              <w:top w:val="single" w:sz="4" w:space="0" w:color="auto"/>
              <w:left w:val="single" w:sz="4" w:space="0" w:color="auto"/>
              <w:bottom w:val="single" w:sz="4" w:space="0" w:color="auto"/>
              <w:right w:val="single" w:sz="4" w:space="0" w:color="auto"/>
            </w:tcBorders>
            <w:hideMark/>
          </w:tcPr>
          <w:p w14:paraId="771487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r>
      <w:tr w:rsidR="00C7144D" w:rsidRPr="00DD1E00" w14:paraId="0129B44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34B1E6B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Chloride</w:t>
            </w:r>
          </w:p>
        </w:tc>
        <w:tc>
          <w:tcPr>
            <w:tcW w:w="720" w:type="dxa"/>
            <w:tcBorders>
              <w:top w:val="single" w:sz="4" w:space="0" w:color="auto"/>
              <w:left w:val="single" w:sz="4" w:space="0" w:color="auto"/>
              <w:bottom w:val="single" w:sz="4" w:space="0" w:color="auto"/>
              <w:right w:val="single" w:sz="4" w:space="0" w:color="auto"/>
            </w:tcBorders>
            <w:hideMark/>
          </w:tcPr>
          <w:p w14:paraId="27EDB0A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720" w:type="dxa"/>
            <w:tcBorders>
              <w:top w:val="single" w:sz="4" w:space="0" w:color="auto"/>
              <w:left w:val="single" w:sz="4" w:space="0" w:color="auto"/>
              <w:bottom w:val="single" w:sz="4" w:space="0" w:color="auto"/>
              <w:right w:val="single" w:sz="4" w:space="0" w:color="auto"/>
            </w:tcBorders>
            <w:hideMark/>
          </w:tcPr>
          <w:p w14:paraId="64A003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630" w:type="dxa"/>
            <w:tcBorders>
              <w:top w:val="single" w:sz="4" w:space="0" w:color="auto"/>
              <w:left w:val="single" w:sz="4" w:space="0" w:color="auto"/>
              <w:bottom w:val="single" w:sz="4" w:space="0" w:color="auto"/>
              <w:right w:val="single" w:sz="4" w:space="0" w:color="auto"/>
            </w:tcBorders>
            <w:hideMark/>
          </w:tcPr>
          <w:p w14:paraId="69A44BB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100</w:t>
            </w:r>
          </w:p>
        </w:tc>
        <w:tc>
          <w:tcPr>
            <w:tcW w:w="810" w:type="dxa"/>
            <w:tcBorders>
              <w:top w:val="single" w:sz="4" w:space="0" w:color="auto"/>
              <w:left w:val="single" w:sz="4" w:space="0" w:color="auto"/>
              <w:bottom w:val="single" w:sz="4" w:space="0" w:color="auto"/>
              <w:right w:val="single" w:sz="4" w:space="0" w:color="auto"/>
            </w:tcBorders>
            <w:hideMark/>
          </w:tcPr>
          <w:p w14:paraId="5EF8D58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905" w:type="dxa"/>
            <w:tcBorders>
              <w:top w:val="single" w:sz="4" w:space="0" w:color="auto"/>
              <w:left w:val="single" w:sz="4" w:space="0" w:color="auto"/>
              <w:bottom w:val="single" w:sz="4" w:space="0" w:color="auto"/>
              <w:right w:val="single" w:sz="4" w:space="0" w:color="auto"/>
            </w:tcBorders>
            <w:hideMark/>
          </w:tcPr>
          <w:p w14:paraId="0B24DBDD"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160</w:t>
            </w:r>
          </w:p>
        </w:tc>
        <w:tc>
          <w:tcPr>
            <w:tcW w:w="900" w:type="dxa"/>
            <w:tcBorders>
              <w:top w:val="single" w:sz="4" w:space="0" w:color="auto"/>
              <w:left w:val="single" w:sz="4" w:space="0" w:color="auto"/>
              <w:bottom w:val="single" w:sz="4" w:space="0" w:color="auto"/>
              <w:right w:val="single" w:sz="4" w:space="0" w:color="auto"/>
            </w:tcBorders>
            <w:hideMark/>
          </w:tcPr>
          <w:p w14:paraId="201360C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1170" w:type="dxa"/>
            <w:tcBorders>
              <w:top w:val="single" w:sz="4" w:space="0" w:color="auto"/>
              <w:left w:val="single" w:sz="4" w:space="0" w:color="auto"/>
              <w:bottom w:val="single" w:sz="4" w:space="0" w:color="auto"/>
              <w:right w:val="single" w:sz="4" w:space="0" w:color="auto"/>
            </w:tcBorders>
            <w:hideMark/>
          </w:tcPr>
          <w:p w14:paraId="2273EA84"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160</w:t>
            </w:r>
          </w:p>
        </w:tc>
        <w:tc>
          <w:tcPr>
            <w:tcW w:w="900" w:type="dxa"/>
            <w:tcBorders>
              <w:top w:val="single" w:sz="4" w:space="0" w:color="auto"/>
              <w:left w:val="single" w:sz="4" w:space="0" w:color="auto"/>
              <w:bottom w:val="single" w:sz="4" w:space="0" w:color="auto"/>
              <w:right w:val="single" w:sz="4" w:space="0" w:color="auto"/>
            </w:tcBorders>
            <w:hideMark/>
          </w:tcPr>
          <w:p w14:paraId="53F87CF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900" w:type="dxa"/>
            <w:tcBorders>
              <w:top w:val="single" w:sz="4" w:space="0" w:color="auto"/>
              <w:left w:val="single" w:sz="4" w:space="0" w:color="auto"/>
              <w:bottom w:val="single" w:sz="4" w:space="0" w:color="auto"/>
              <w:right w:val="single" w:sz="4" w:space="0" w:color="auto"/>
            </w:tcBorders>
            <w:hideMark/>
          </w:tcPr>
          <w:p w14:paraId="7EDF776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900" w:type="dxa"/>
            <w:tcBorders>
              <w:top w:val="single" w:sz="4" w:space="0" w:color="auto"/>
              <w:left w:val="single" w:sz="4" w:space="0" w:color="auto"/>
              <w:bottom w:val="single" w:sz="4" w:space="0" w:color="auto"/>
              <w:right w:val="single" w:sz="4" w:space="0" w:color="auto"/>
            </w:tcBorders>
            <w:hideMark/>
          </w:tcPr>
          <w:p w14:paraId="5DF4C2E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100</w:t>
            </w:r>
          </w:p>
        </w:tc>
        <w:tc>
          <w:tcPr>
            <w:tcW w:w="720" w:type="dxa"/>
            <w:tcBorders>
              <w:top w:val="single" w:sz="4" w:space="0" w:color="auto"/>
              <w:left w:val="single" w:sz="4" w:space="0" w:color="auto"/>
              <w:bottom w:val="single" w:sz="4" w:space="0" w:color="auto"/>
              <w:right w:val="single" w:sz="4" w:space="0" w:color="auto"/>
            </w:tcBorders>
            <w:hideMark/>
          </w:tcPr>
          <w:p w14:paraId="11E5BD9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644" w:type="dxa"/>
            <w:tcBorders>
              <w:top w:val="single" w:sz="4" w:space="0" w:color="auto"/>
              <w:left w:val="single" w:sz="4" w:space="0" w:color="auto"/>
              <w:bottom w:val="single" w:sz="4" w:space="0" w:color="auto"/>
              <w:right w:val="single" w:sz="4" w:space="0" w:color="auto"/>
            </w:tcBorders>
            <w:hideMark/>
          </w:tcPr>
          <w:p w14:paraId="35A7CB2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r>
      <w:tr w:rsidR="00C7144D" w:rsidRPr="00DD1E00" w14:paraId="2F69494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37F677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Fluoride</w:t>
            </w:r>
          </w:p>
        </w:tc>
        <w:tc>
          <w:tcPr>
            <w:tcW w:w="720" w:type="dxa"/>
            <w:tcBorders>
              <w:top w:val="single" w:sz="4" w:space="0" w:color="auto"/>
              <w:left w:val="single" w:sz="4" w:space="0" w:color="auto"/>
              <w:bottom w:val="single" w:sz="4" w:space="0" w:color="auto"/>
              <w:right w:val="single" w:sz="4" w:space="0" w:color="auto"/>
            </w:tcBorders>
            <w:hideMark/>
          </w:tcPr>
          <w:p w14:paraId="054A33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720" w:type="dxa"/>
            <w:tcBorders>
              <w:top w:val="single" w:sz="4" w:space="0" w:color="auto"/>
              <w:left w:val="single" w:sz="4" w:space="0" w:color="auto"/>
              <w:bottom w:val="single" w:sz="4" w:space="0" w:color="auto"/>
              <w:right w:val="single" w:sz="4" w:space="0" w:color="auto"/>
            </w:tcBorders>
            <w:hideMark/>
          </w:tcPr>
          <w:p w14:paraId="0A9D623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630" w:type="dxa"/>
            <w:tcBorders>
              <w:top w:val="single" w:sz="4" w:space="0" w:color="auto"/>
              <w:left w:val="single" w:sz="4" w:space="0" w:color="auto"/>
              <w:bottom w:val="single" w:sz="4" w:space="0" w:color="auto"/>
              <w:right w:val="single" w:sz="4" w:space="0" w:color="auto"/>
            </w:tcBorders>
            <w:hideMark/>
          </w:tcPr>
          <w:p w14:paraId="52CCA4E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0.6</w:t>
            </w:r>
          </w:p>
        </w:tc>
        <w:tc>
          <w:tcPr>
            <w:tcW w:w="810" w:type="dxa"/>
            <w:tcBorders>
              <w:top w:val="single" w:sz="4" w:space="0" w:color="auto"/>
              <w:left w:val="single" w:sz="4" w:space="0" w:color="auto"/>
              <w:bottom w:val="single" w:sz="4" w:space="0" w:color="auto"/>
              <w:right w:val="single" w:sz="4" w:space="0" w:color="auto"/>
            </w:tcBorders>
            <w:hideMark/>
          </w:tcPr>
          <w:p w14:paraId="0FDF07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905" w:type="dxa"/>
            <w:tcBorders>
              <w:top w:val="single" w:sz="4" w:space="0" w:color="auto"/>
              <w:left w:val="single" w:sz="4" w:space="0" w:color="auto"/>
              <w:bottom w:val="single" w:sz="4" w:space="0" w:color="auto"/>
              <w:right w:val="single" w:sz="4" w:space="0" w:color="auto"/>
            </w:tcBorders>
            <w:hideMark/>
          </w:tcPr>
          <w:p w14:paraId="7A20AB2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c>
          <w:tcPr>
            <w:tcW w:w="900" w:type="dxa"/>
            <w:tcBorders>
              <w:top w:val="single" w:sz="4" w:space="0" w:color="auto"/>
              <w:left w:val="single" w:sz="4" w:space="0" w:color="auto"/>
              <w:bottom w:val="single" w:sz="4" w:space="0" w:color="auto"/>
              <w:right w:val="single" w:sz="4" w:space="0" w:color="auto"/>
            </w:tcBorders>
            <w:hideMark/>
          </w:tcPr>
          <w:p w14:paraId="52535CF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1170" w:type="dxa"/>
            <w:tcBorders>
              <w:top w:val="single" w:sz="4" w:space="0" w:color="auto"/>
              <w:left w:val="single" w:sz="4" w:space="0" w:color="auto"/>
              <w:bottom w:val="single" w:sz="4" w:space="0" w:color="auto"/>
              <w:right w:val="single" w:sz="4" w:space="0" w:color="auto"/>
            </w:tcBorders>
            <w:hideMark/>
          </w:tcPr>
          <w:p w14:paraId="632299E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900" w:type="dxa"/>
            <w:tcBorders>
              <w:top w:val="single" w:sz="4" w:space="0" w:color="auto"/>
              <w:left w:val="single" w:sz="4" w:space="0" w:color="auto"/>
              <w:bottom w:val="single" w:sz="4" w:space="0" w:color="auto"/>
              <w:right w:val="single" w:sz="4" w:space="0" w:color="auto"/>
            </w:tcBorders>
            <w:hideMark/>
          </w:tcPr>
          <w:p w14:paraId="4176AD1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900" w:type="dxa"/>
            <w:tcBorders>
              <w:top w:val="single" w:sz="4" w:space="0" w:color="auto"/>
              <w:left w:val="single" w:sz="4" w:space="0" w:color="auto"/>
              <w:bottom w:val="single" w:sz="4" w:space="0" w:color="auto"/>
              <w:right w:val="single" w:sz="4" w:space="0" w:color="auto"/>
            </w:tcBorders>
            <w:hideMark/>
          </w:tcPr>
          <w:p w14:paraId="00DA854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c>
          <w:tcPr>
            <w:tcW w:w="900" w:type="dxa"/>
            <w:tcBorders>
              <w:top w:val="single" w:sz="4" w:space="0" w:color="auto"/>
              <w:left w:val="single" w:sz="4" w:space="0" w:color="auto"/>
              <w:bottom w:val="single" w:sz="4" w:space="0" w:color="auto"/>
              <w:right w:val="single" w:sz="4" w:space="0" w:color="auto"/>
            </w:tcBorders>
            <w:hideMark/>
          </w:tcPr>
          <w:p w14:paraId="5A3894D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0.6</w:t>
            </w:r>
          </w:p>
        </w:tc>
        <w:tc>
          <w:tcPr>
            <w:tcW w:w="720" w:type="dxa"/>
            <w:tcBorders>
              <w:top w:val="single" w:sz="4" w:space="0" w:color="auto"/>
              <w:left w:val="single" w:sz="4" w:space="0" w:color="auto"/>
              <w:bottom w:val="single" w:sz="4" w:space="0" w:color="auto"/>
              <w:right w:val="single" w:sz="4" w:space="0" w:color="auto"/>
            </w:tcBorders>
            <w:hideMark/>
          </w:tcPr>
          <w:p w14:paraId="47B1F87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0.8</w:t>
            </w:r>
          </w:p>
        </w:tc>
        <w:tc>
          <w:tcPr>
            <w:tcW w:w="644" w:type="dxa"/>
            <w:tcBorders>
              <w:top w:val="single" w:sz="4" w:space="0" w:color="auto"/>
              <w:left w:val="single" w:sz="4" w:space="0" w:color="auto"/>
              <w:bottom w:val="single" w:sz="4" w:space="0" w:color="auto"/>
              <w:right w:val="single" w:sz="4" w:space="0" w:color="auto"/>
            </w:tcBorders>
            <w:hideMark/>
          </w:tcPr>
          <w:p w14:paraId="1195805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r>
      <w:tr w:rsidR="00C7144D" w:rsidRPr="00DD1E00" w14:paraId="42E477A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752DAB3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Nitrate</w:t>
            </w:r>
          </w:p>
        </w:tc>
        <w:tc>
          <w:tcPr>
            <w:tcW w:w="720" w:type="dxa"/>
            <w:tcBorders>
              <w:top w:val="single" w:sz="4" w:space="0" w:color="auto"/>
              <w:left w:val="single" w:sz="4" w:space="0" w:color="auto"/>
              <w:bottom w:val="single" w:sz="4" w:space="0" w:color="auto"/>
              <w:right w:val="single" w:sz="4" w:space="0" w:color="auto"/>
            </w:tcBorders>
            <w:hideMark/>
          </w:tcPr>
          <w:p w14:paraId="740E6F8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720" w:type="dxa"/>
            <w:tcBorders>
              <w:top w:val="single" w:sz="4" w:space="0" w:color="auto"/>
              <w:left w:val="single" w:sz="4" w:space="0" w:color="auto"/>
              <w:bottom w:val="single" w:sz="4" w:space="0" w:color="auto"/>
              <w:right w:val="single" w:sz="4" w:space="0" w:color="auto"/>
            </w:tcBorders>
            <w:hideMark/>
          </w:tcPr>
          <w:p w14:paraId="68D9E60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630" w:type="dxa"/>
            <w:tcBorders>
              <w:top w:val="single" w:sz="4" w:space="0" w:color="auto"/>
              <w:left w:val="single" w:sz="4" w:space="0" w:color="auto"/>
              <w:bottom w:val="single" w:sz="4" w:space="0" w:color="auto"/>
              <w:right w:val="single" w:sz="4" w:space="0" w:color="auto"/>
            </w:tcBorders>
            <w:hideMark/>
          </w:tcPr>
          <w:p w14:paraId="0A5BC11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0.5</w:t>
            </w:r>
          </w:p>
        </w:tc>
        <w:tc>
          <w:tcPr>
            <w:tcW w:w="810" w:type="dxa"/>
            <w:tcBorders>
              <w:top w:val="single" w:sz="4" w:space="0" w:color="auto"/>
              <w:left w:val="single" w:sz="4" w:space="0" w:color="auto"/>
              <w:bottom w:val="single" w:sz="4" w:space="0" w:color="auto"/>
              <w:right w:val="single" w:sz="4" w:space="0" w:color="auto"/>
            </w:tcBorders>
            <w:hideMark/>
          </w:tcPr>
          <w:p w14:paraId="7D0A671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1320D25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0.5</w:t>
            </w:r>
          </w:p>
        </w:tc>
        <w:tc>
          <w:tcPr>
            <w:tcW w:w="900" w:type="dxa"/>
            <w:tcBorders>
              <w:top w:val="single" w:sz="4" w:space="0" w:color="auto"/>
              <w:left w:val="single" w:sz="4" w:space="0" w:color="auto"/>
              <w:bottom w:val="single" w:sz="4" w:space="0" w:color="auto"/>
              <w:right w:val="single" w:sz="4" w:space="0" w:color="auto"/>
            </w:tcBorders>
            <w:hideMark/>
          </w:tcPr>
          <w:p w14:paraId="6D3315D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1.5</w:t>
            </w:r>
          </w:p>
        </w:tc>
        <w:tc>
          <w:tcPr>
            <w:tcW w:w="1170" w:type="dxa"/>
            <w:tcBorders>
              <w:top w:val="single" w:sz="4" w:space="0" w:color="auto"/>
              <w:left w:val="single" w:sz="4" w:space="0" w:color="auto"/>
              <w:bottom w:val="single" w:sz="4" w:space="0" w:color="auto"/>
              <w:right w:val="single" w:sz="4" w:space="0" w:color="auto"/>
            </w:tcBorders>
            <w:hideMark/>
          </w:tcPr>
          <w:p w14:paraId="5BDAEEE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790C7E3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6F5303C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5EC5F18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6AD0372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5.0</w:t>
            </w:r>
          </w:p>
        </w:tc>
        <w:tc>
          <w:tcPr>
            <w:tcW w:w="644" w:type="dxa"/>
            <w:tcBorders>
              <w:top w:val="single" w:sz="4" w:space="0" w:color="auto"/>
              <w:left w:val="single" w:sz="4" w:space="0" w:color="auto"/>
              <w:bottom w:val="single" w:sz="4" w:space="0" w:color="auto"/>
              <w:right w:val="single" w:sz="4" w:space="0" w:color="auto"/>
            </w:tcBorders>
            <w:hideMark/>
          </w:tcPr>
          <w:p w14:paraId="50E02B2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6D55CDDF"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51CFC8A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Iron</w:t>
            </w:r>
          </w:p>
        </w:tc>
        <w:tc>
          <w:tcPr>
            <w:tcW w:w="720" w:type="dxa"/>
            <w:tcBorders>
              <w:top w:val="single" w:sz="4" w:space="0" w:color="auto"/>
              <w:left w:val="single" w:sz="4" w:space="0" w:color="auto"/>
              <w:bottom w:val="single" w:sz="4" w:space="0" w:color="auto"/>
              <w:right w:val="single" w:sz="4" w:space="0" w:color="auto"/>
            </w:tcBorders>
            <w:hideMark/>
          </w:tcPr>
          <w:p w14:paraId="2B52110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720" w:type="dxa"/>
            <w:tcBorders>
              <w:top w:val="single" w:sz="4" w:space="0" w:color="auto"/>
              <w:left w:val="single" w:sz="4" w:space="0" w:color="auto"/>
              <w:bottom w:val="single" w:sz="4" w:space="0" w:color="auto"/>
              <w:right w:val="single" w:sz="4" w:space="0" w:color="auto"/>
            </w:tcBorders>
            <w:hideMark/>
          </w:tcPr>
          <w:p w14:paraId="0664094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630" w:type="dxa"/>
            <w:tcBorders>
              <w:top w:val="single" w:sz="4" w:space="0" w:color="auto"/>
              <w:left w:val="single" w:sz="4" w:space="0" w:color="auto"/>
              <w:bottom w:val="single" w:sz="4" w:space="0" w:color="auto"/>
              <w:right w:val="single" w:sz="4" w:space="0" w:color="auto"/>
            </w:tcBorders>
            <w:hideMark/>
          </w:tcPr>
          <w:p w14:paraId="46C459B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810" w:type="dxa"/>
            <w:tcBorders>
              <w:top w:val="single" w:sz="4" w:space="0" w:color="auto"/>
              <w:left w:val="single" w:sz="4" w:space="0" w:color="auto"/>
              <w:bottom w:val="single" w:sz="4" w:space="0" w:color="auto"/>
              <w:right w:val="single" w:sz="4" w:space="0" w:color="auto"/>
            </w:tcBorders>
            <w:hideMark/>
          </w:tcPr>
          <w:p w14:paraId="75B3479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5" w:type="dxa"/>
            <w:tcBorders>
              <w:top w:val="single" w:sz="4" w:space="0" w:color="auto"/>
              <w:left w:val="single" w:sz="4" w:space="0" w:color="auto"/>
              <w:bottom w:val="single" w:sz="4" w:space="0" w:color="auto"/>
              <w:right w:val="single" w:sz="4" w:space="0" w:color="auto"/>
            </w:tcBorders>
            <w:hideMark/>
          </w:tcPr>
          <w:p w14:paraId="79CDE12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6A42FCF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1170" w:type="dxa"/>
            <w:tcBorders>
              <w:top w:val="single" w:sz="4" w:space="0" w:color="auto"/>
              <w:left w:val="single" w:sz="4" w:space="0" w:color="auto"/>
              <w:bottom w:val="single" w:sz="4" w:space="0" w:color="auto"/>
              <w:right w:val="single" w:sz="4" w:space="0" w:color="auto"/>
            </w:tcBorders>
            <w:hideMark/>
          </w:tcPr>
          <w:p w14:paraId="26EF764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4B9A81B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016F8BE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2F579DE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720" w:type="dxa"/>
            <w:tcBorders>
              <w:top w:val="single" w:sz="4" w:space="0" w:color="auto"/>
              <w:left w:val="single" w:sz="4" w:space="0" w:color="auto"/>
              <w:bottom w:val="single" w:sz="4" w:space="0" w:color="auto"/>
              <w:right w:val="single" w:sz="4" w:space="0" w:color="auto"/>
            </w:tcBorders>
            <w:hideMark/>
          </w:tcPr>
          <w:p w14:paraId="4F52419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644" w:type="dxa"/>
            <w:tcBorders>
              <w:top w:val="single" w:sz="4" w:space="0" w:color="auto"/>
              <w:left w:val="single" w:sz="4" w:space="0" w:color="auto"/>
              <w:bottom w:val="single" w:sz="4" w:space="0" w:color="auto"/>
              <w:right w:val="single" w:sz="4" w:space="0" w:color="auto"/>
            </w:tcBorders>
            <w:hideMark/>
          </w:tcPr>
          <w:p w14:paraId="21AC62C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r>
      <w:tr w:rsidR="00C7144D" w:rsidRPr="00DD1E00" w14:paraId="146DE9FF"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0FC7C79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Arsenic</w:t>
            </w:r>
          </w:p>
        </w:tc>
        <w:tc>
          <w:tcPr>
            <w:tcW w:w="720" w:type="dxa"/>
            <w:tcBorders>
              <w:top w:val="single" w:sz="4" w:space="0" w:color="auto"/>
              <w:left w:val="single" w:sz="4" w:space="0" w:color="auto"/>
              <w:bottom w:val="single" w:sz="4" w:space="0" w:color="auto"/>
              <w:right w:val="single" w:sz="4" w:space="0" w:color="auto"/>
            </w:tcBorders>
            <w:hideMark/>
          </w:tcPr>
          <w:p w14:paraId="7E40D52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183D34B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30" w:type="dxa"/>
            <w:tcBorders>
              <w:top w:val="single" w:sz="4" w:space="0" w:color="auto"/>
              <w:left w:val="single" w:sz="4" w:space="0" w:color="auto"/>
              <w:bottom w:val="single" w:sz="4" w:space="0" w:color="auto"/>
              <w:right w:val="single" w:sz="4" w:space="0" w:color="auto"/>
            </w:tcBorders>
            <w:hideMark/>
          </w:tcPr>
          <w:p w14:paraId="7F1B651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902B1D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576DA12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23CD49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1170" w:type="dxa"/>
            <w:tcBorders>
              <w:top w:val="single" w:sz="4" w:space="0" w:color="auto"/>
              <w:left w:val="single" w:sz="4" w:space="0" w:color="auto"/>
              <w:bottom w:val="single" w:sz="4" w:space="0" w:color="auto"/>
              <w:right w:val="single" w:sz="4" w:space="0" w:color="auto"/>
            </w:tcBorders>
            <w:hideMark/>
          </w:tcPr>
          <w:p w14:paraId="15806A3B"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1.2</w:t>
            </w:r>
          </w:p>
        </w:tc>
        <w:tc>
          <w:tcPr>
            <w:tcW w:w="900" w:type="dxa"/>
            <w:tcBorders>
              <w:top w:val="single" w:sz="4" w:space="0" w:color="auto"/>
              <w:left w:val="single" w:sz="4" w:space="0" w:color="auto"/>
              <w:bottom w:val="single" w:sz="4" w:space="0" w:color="auto"/>
              <w:right w:val="single" w:sz="4" w:space="0" w:color="auto"/>
            </w:tcBorders>
            <w:hideMark/>
          </w:tcPr>
          <w:p w14:paraId="7A78199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6C79E27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1AF19C6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420A565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44" w:type="dxa"/>
            <w:tcBorders>
              <w:top w:val="single" w:sz="4" w:space="0" w:color="auto"/>
              <w:left w:val="single" w:sz="4" w:space="0" w:color="auto"/>
              <w:bottom w:val="single" w:sz="4" w:space="0" w:color="auto"/>
              <w:right w:val="single" w:sz="4" w:space="0" w:color="auto"/>
            </w:tcBorders>
            <w:hideMark/>
          </w:tcPr>
          <w:p w14:paraId="21A00F0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3B89BB4D"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57B69CA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Potassium</w:t>
            </w:r>
          </w:p>
        </w:tc>
        <w:tc>
          <w:tcPr>
            <w:tcW w:w="720" w:type="dxa"/>
            <w:tcBorders>
              <w:top w:val="single" w:sz="4" w:space="0" w:color="auto"/>
              <w:left w:val="single" w:sz="4" w:space="0" w:color="auto"/>
              <w:bottom w:val="single" w:sz="4" w:space="0" w:color="auto"/>
              <w:right w:val="single" w:sz="4" w:space="0" w:color="auto"/>
            </w:tcBorders>
            <w:hideMark/>
          </w:tcPr>
          <w:p w14:paraId="13A565C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720" w:type="dxa"/>
            <w:tcBorders>
              <w:top w:val="single" w:sz="4" w:space="0" w:color="auto"/>
              <w:left w:val="single" w:sz="4" w:space="0" w:color="auto"/>
              <w:bottom w:val="single" w:sz="4" w:space="0" w:color="auto"/>
              <w:right w:val="single" w:sz="4" w:space="0" w:color="auto"/>
            </w:tcBorders>
            <w:hideMark/>
          </w:tcPr>
          <w:p w14:paraId="4B3F31D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630" w:type="dxa"/>
            <w:tcBorders>
              <w:top w:val="single" w:sz="4" w:space="0" w:color="auto"/>
              <w:left w:val="single" w:sz="4" w:space="0" w:color="auto"/>
              <w:bottom w:val="single" w:sz="4" w:space="0" w:color="auto"/>
              <w:right w:val="single" w:sz="4" w:space="0" w:color="auto"/>
            </w:tcBorders>
            <w:hideMark/>
          </w:tcPr>
          <w:p w14:paraId="526863D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810" w:type="dxa"/>
            <w:tcBorders>
              <w:top w:val="single" w:sz="4" w:space="0" w:color="auto"/>
              <w:left w:val="single" w:sz="4" w:space="0" w:color="auto"/>
              <w:bottom w:val="single" w:sz="4" w:space="0" w:color="auto"/>
              <w:right w:val="single" w:sz="4" w:space="0" w:color="auto"/>
            </w:tcBorders>
            <w:hideMark/>
          </w:tcPr>
          <w:p w14:paraId="09CC162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5" w:type="dxa"/>
            <w:tcBorders>
              <w:top w:val="single" w:sz="4" w:space="0" w:color="auto"/>
              <w:left w:val="single" w:sz="4" w:space="0" w:color="auto"/>
              <w:bottom w:val="single" w:sz="4" w:space="0" w:color="auto"/>
              <w:right w:val="single" w:sz="4" w:space="0" w:color="auto"/>
            </w:tcBorders>
            <w:hideMark/>
          </w:tcPr>
          <w:p w14:paraId="757B0CE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18</w:t>
            </w:r>
          </w:p>
        </w:tc>
        <w:tc>
          <w:tcPr>
            <w:tcW w:w="900" w:type="dxa"/>
            <w:tcBorders>
              <w:top w:val="single" w:sz="4" w:space="0" w:color="auto"/>
              <w:left w:val="single" w:sz="4" w:space="0" w:color="auto"/>
              <w:bottom w:val="single" w:sz="4" w:space="0" w:color="auto"/>
              <w:right w:val="single" w:sz="4" w:space="0" w:color="auto"/>
            </w:tcBorders>
            <w:hideMark/>
          </w:tcPr>
          <w:p w14:paraId="0CAB6E0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1170" w:type="dxa"/>
            <w:tcBorders>
              <w:top w:val="single" w:sz="4" w:space="0" w:color="auto"/>
              <w:left w:val="single" w:sz="4" w:space="0" w:color="auto"/>
              <w:bottom w:val="single" w:sz="4" w:space="0" w:color="auto"/>
              <w:right w:val="single" w:sz="4" w:space="0" w:color="auto"/>
            </w:tcBorders>
            <w:hideMark/>
          </w:tcPr>
          <w:p w14:paraId="27A9210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900" w:type="dxa"/>
            <w:tcBorders>
              <w:top w:val="single" w:sz="4" w:space="0" w:color="auto"/>
              <w:left w:val="single" w:sz="4" w:space="0" w:color="auto"/>
              <w:bottom w:val="single" w:sz="4" w:space="0" w:color="auto"/>
              <w:right w:val="single" w:sz="4" w:space="0" w:color="auto"/>
            </w:tcBorders>
            <w:hideMark/>
          </w:tcPr>
          <w:p w14:paraId="1E6476D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0" w:type="dxa"/>
            <w:tcBorders>
              <w:top w:val="single" w:sz="4" w:space="0" w:color="auto"/>
              <w:left w:val="single" w:sz="4" w:space="0" w:color="auto"/>
              <w:bottom w:val="single" w:sz="4" w:space="0" w:color="auto"/>
              <w:right w:val="single" w:sz="4" w:space="0" w:color="auto"/>
            </w:tcBorders>
            <w:hideMark/>
          </w:tcPr>
          <w:p w14:paraId="0F2ED3A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0" w:type="dxa"/>
            <w:tcBorders>
              <w:top w:val="single" w:sz="4" w:space="0" w:color="auto"/>
              <w:left w:val="single" w:sz="4" w:space="0" w:color="auto"/>
              <w:bottom w:val="single" w:sz="4" w:space="0" w:color="auto"/>
              <w:right w:val="single" w:sz="4" w:space="0" w:color="auto"/>
            </w:tcBorders>
            <w:hideMark/>
          </w:tcPr>
          <w:p w14:paraId="127B1340"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720" w:type="dxa"/>
            <w:tcBorders>
              <w:top w:val="single" w:sz="4" w:space="0" w:color="auto"/>
              <w:left w:val="single" w:sz="4" w:space="0" w:color="auto"/>
              <w:bottom w:val="single" w:sz="4" w:space="0" w:color="auto"/>
              <w:right w:val="single" w:sz="4" w:space="0" w:color="auto"/>
            </w:tcBorders>
            <w:hideMark/>
          </w:tcPr>
          <w:p w14:paraId="169E46B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18</w:t>
            </w:r>
          </w:p>
        </w:tc>
        <w:tc>
          <w:tcPr>
            <w:tcW w:w="644" w:type="dxa"/>
            <w:tcBorders>
              <w:top w:val="single" w:sz="4" w:space="0" w:color="auto"/>
              <w:left w:val="single" w:sz="4" w:space="0" w:color="auto"/>
              <w:bottom w:val="single" w:sz="4" w:space="0" w:color="auto"/>
              <w:right w:val="single" w:sz="4" w:space="0" w:color="auto"/>
            </w:tcBorders>
            <w:hideMark/>
          </w:tcPr>
          <w:p w14:paraId="510B5A08"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r>
      <w:tr w:rsidR="00C7144D" w:rsidRPr="00DD1E00" w14:paraId="038A4727"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2DE33D0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lastRenderedPageBreak/>
              <w:t>Magnesium</w:t>
            </w:r>
          </w:p>
        </w:tc>
        <w:tc>
          <w:tcPr>
            <w:tcW w:w="720" w:type="dxa"/>
            <w:tcBorders>
              <w:top w:val="single" w:sz="4" w:space="0" w:color="auto"/>
              <w:left w:val="single" w:sz="4" w:space="0" w:color="auto"/>
              <w:bottom w:val="single" w:sz="4" w:space="0" w:color="auto"/>
              <w:right w:val="single" w:sz="4" w:space="0" w:color="auto"/>
            </w:tcBorders>
            <w:hideMark/>
          </w:tcPr>
          <w:p w14:paraId="01A84CD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130</w:t>
            </w:r>
          </w:p>
        </w:tc>
        <w:tc>
          <w:tcPr>
            <w:tcW w:w="720" w:type="dxa"/>
            <w:tcBorders>
              <w:top w:val="single" w:sz="4" w:space="0" w:color="auto"/>
              <w:left w:val="single" w:sz="4" w:space="0" w:color="auto"/>
              <w:bottom w:val="single" w:sz="4" w:space="0" w:color="auto"/>
              <w:right w:val="single" w:sz="4" w:space="0" w:color="auto"/>
            </w:tcBorders>
            <w:hideMark/>
          </w:tcPr>
          <w:p w14:paraId="3099C40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630" w:type="dxa"/>
            <w:tcBorders>
              <w:top w:val="single" w:sz="4" w:space="0" w:color="auto"/>
              <w:left w:val="single" w:sz="4" w:space="0" w:color="auto"/>
              <w:bottom w:val="single" w:sz="4" w:space="0" w:color="auto"/>
              <w:right w:val="single" w:sz="4" w:space="0" w:color="auto"/>
            </w:tcBorders>
            <w:hideMark/>
          </w:tcPr>
          <w:p w14:paraId="16012EA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810" w:type="dxa"/>
            <w:tcBorders>
              <w:top w:val="single" w:sz="4" w:space="0" w:color="auto"/>
              <w:left w:val="single" w:sz="4" w:space="0" w:color="auto"/>
              <w:bottom w:val="single" w:sz="4" w:space="0" w:color="auto"/>
              <w:right w:val="single" w:sz="4" w:space="0" w:color="auto"/>
            </w:tcBorders>
            <w:hideMark/>
          </w:tcPr>
          <w:p w14:paraId="4667D5A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126</w:t>
            </w:r>
          </w:p>
        </w:tc>
        <w:tc>
          <w:tcPr>
            <w:tcW w:w="905" w:type="dxa"/>
            <w:tcBorders>
              <w:top w:val="single" w:sz="4" w:space="0" w:color="auto"/>
              <w:left w:val="single" w:sz="4" w:space="0" w:color="auto"/>
              <w:bottom w:val="single" w:sz="4" w:space="0" w:color="auto"/>
              <w:right w:val="single" w:sz="4" w:space="0" w:color="auto"/>
            </w:tcBorders>
            <w:hideMark/>
          </w:tcPr>
          <w:p w14:paraId="187B8DF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900" w:type="dxa"/>
            <w:tcBorders>
              <w:top w:val="single" w:sz="4" w:space="0" w:color="auto"/>
              <w:left w:val="single" w:sz="4" w:space="0" w:color="auto"/>
              <w:bottom w:val="single" w:sz="4" w:space="0" w:color="auto"/>
              <w:right w:val="single" w:sz="4" w:space="0" w:color="auto"/>
            </w:tcBorders>
            <w:hideMark/>
          </w:tcPr>
          <w:p w14:paraId="57012FD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1170" w:type="dxa"/>
            <w:tcBorders>
              <w:top w:val="single" w:sz="4" w:space="0" w:color="auto"/>
              <w:left w:val="single" w:sz="4" w:space="0" w:color="auto"/>
              <w:bottom w:val="single" w:sz="4" w:space="0" w:color="auto"/>
              <w:right w:val="single" w:sz="4" w:space="0" w:color="auto"/>
            </w:tcBorders>
            <w:hideMark/>
          </w:tcPr>
          <w:p w14:paraId="63961EE7"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134</w:t>
            </w:r>
          </w:p>
        </w:tc>
        <w:tc>
          <w:tcPr>
            <w:tcW w:w="900" w:type="dxa"/>
            <w:tcBorders>
              <w:top w:val="single" w:sz="4" w:space="0" w:color="auto"/>
              <w:left w:val="single" w:sz="4" w:space="0" w:color="auto"/>
              <w:bottom w:val="single" w:sz="4" w:space="0" w:color="auto"/>
              <w:right w:val="single" w:sz="4" w:space="0" w:color="auto"/>
            </w:tcBorders>
            <w:hideMark/>
          </w:tcPr>
          <w:p w14:paraId="112C7A2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900" w:type="dxa"/>
            <w:tcBorders>
              <w:top w:val="single" w:sz="4" w:space="0" w:color="auto"/>
              <w:left w:val="single" w:sz="4" w:space="0" w:color="auto"/>
              <w:bottom w:val="single" w:sz="4" w:space="0" w:color="auto"/>
              <w:right w:val="single" w:sz="4" w:space="0" w:color="auto"/>
            </w:tcBorders>
            <w:hideMark/>
          </w:tcPr>
          <w:p w14:paraId="72571C2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900" w:type="dxa"/>
            <w:tcBorders>
              <w:top w:val="single" w:sz="4" w:space="0" w:color="auto"/>
              <w:left w:val="single" w:sz="4" w:space="0" w:color="auto"/>
              <w:bottom w:val="single" w:sz="4" w:space="0" w:color="auto"/>
              <w:right w:val="single" w:sz="4" w:space="0" w:color="auto"/>
            </w:tcBorders>
            <w:hideMark/>
          </w:tcPr>
          <w:p w14:paraId="12DF28C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127</w:t>
            </w:r>
          </w:p>
        </w:tc>
        <w:tc>
          <w:tcPr>
            <w:tcW w:w="720" w:type="dxa"/>
            <w:tcBorders>
              <w:top w:val="single" w:sz="4" w:space="0" w:color="auto"/>
              <w:left w:val="single" w:sz="4" w:space="0" w:color="auto"/>
              <w:bottom w:val="single" w:sz="4" w:space="0" w:color="auto"/>
              <w:right w:val="single" w:sz="4" w:space="0" w:color="auto"/>
            </w:tcBorders>
            <w:hideMark/>
          </w:tcPr>
          <w:p w14:paraId="162B5D3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122</w:t>
            </w:r>
          </w:p>
        </w:tc>
        <w:tc>
          <w:tcPr>
            <w:tcW w:w="644" w:type="dxa"/>
            <w:tcBorders>
              <w:top w:val="single" w:sz="4" w:space="0" w:color="auto"/>
              <w:left w:val="single" w:sz="4" w:space="0" w:color="auto"/>
              <w:bottom w:val="single" w:sz="4" w:space="0" w:color="auto"/>
              <w:right w:val="single" w:sz="4" w:space="0" w:color="auto"/>
            </w:tcBorders>
            <w:hideMark/>
          </w:tcPr>
          <w:p w14:paraId="18A4C0E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r>
      <w:tr w:rsidR="00C7144D" w:rsidRPr="00DD1E00" w14:paraId="6172B2D8"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6AD84AB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Sulphate</w:t>
            </w:r>
          </w:p>
        </w:tc>
        <w:tc>
          <w:tcPr>
            <w:tcW w:w="720" w:type="dxa"/>
            <w:tcBorders>
              <w:top w:val="single" w:sz="4" w:space="0" w:color="auto"/>
              <w:left w:val="single" w:sz="4" w:space="0" w:color="auto"/>
              <w:bottom w:val="single" w:sz="4" w:space="0" w:color="auto"/>
              <w:right w:val="single" w:sz="4" w:space="0" w:color="auto"/>
            </w:tcBorders>
            <w:hideMark/>
          </w:tcPr>
          <w:p w14:paraId="06B7BE2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27</w:t>
            </w:r>
          </w:p>
        </w:tc>
        <w:tc>
          <w:tcPr>
            <w:tcW w:w="720" w:type="dxa"/>
            <w:tcBorders>
              <w:top w:val="single" w:sz="4" w:space="0" w:color="auto"/>
              <w:left w:val="single" w:sz="4" w:space="0" w:color="auto"/>
              <w:bottom w:val="single" w:sz="4" w:space="0" w:color="auto"/>
              <w:right w:val="single" w:sz="4" w:space="0" w:color="auto"/>
            </w:tcBorders>
            <w:hideMark/>
          </w:tcPr>
          <w:p w14:paraId="5207A0E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28</w:t>
            </w:r>
          </w:p>
        </w:tc>
        <w:tc>
          <w:tcPr>
            <w:tcW w:w="630" w:type="dxa"/>
            <w:tcBorders>
              <w:top w:val="single" w:sz="4" w:space="0" w:color="auto"/>
              <w:left w:val="single" w:sz="4" w:space="0" w:color="auto"/>
              <w:bottom w:val="single" w:sz="4" w:space="0" w:color="auto"/>
              <w:right w:val="single" w:sz="4" w:space="0" w:color="auto"/>
            </w:tcBorders>
            <w:hideMark/>
          </w:tcPr>
          <w:p w14:paraId="09B3E47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55014A0"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20</w:t>
            </w:r>
          </w:p>
        </w:tc>
        <w:tc>
          <w:tcPr>
            <w:tcW w:w="905" w:type="dxa"/>
            <w:tcBorders>
              <w:top w:val="single" w:sz="4" w:space="0" w:color="auto"/>
              <w:left w:val="single" w:sz="4" w:space="0" w:color="auto"/>
              <w:bottom w:val="single" w:sz="4" w:space="0" w:color="auto"/>
              <w:right w:val="single" w:sz="4" w:space="0" w:color="auto"/>
            </w:tcBorders>
            <w:hideMark/>
          </w:tcPr>
          <w:p w14:paraId="7C3419D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75D00D2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1170" w:type="dxa"/>
            <w:tcBorders>
              <w:top w:val="single" w:sz="4" w:space="0" w:color="auto"/>
              <w:left w:val="single" w:sz="4" w:space="0" w:color="auto"/>
              <w:bottom w:val="single" w:sz="4" w:space="0" w:color="auto"/>
              <w:right w:val="single" w:sz="4" w:space="0" w:color="auto"/>
            </w:tcBorders>
            <w:hideMark/>
          </w:tcPr>
          <w:p w14:paraId="4996102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21</w:t>
            </w:r>
          </w:p>
        </w:tc>
        <w:tc>
          <w:tcPr>
            <w:tcW w:w="900" w:type="dxa"/>
            <w:tcBorders>
              <w:top w:val="single" w:sz="4" w:space="0" w:color="auto"/>
              <w:left w:val="single" w:sz="4" w:space="0" w:color="auto"/>
              <w:bottom w:val="single" w:sz="4" w:space="0" w:color="auto"/>
              <w:right w:val="single" w:sz="4" w:space="0" w:color="auto"/>
            </w:tcBorders>
            <w:hideMark/>
          </w:tcPr>
          <w:p w14:paraId="1CF6607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28</w:t>
            </w:r>
          </w:p>
        </w:tc>
        <w:tc>
          <w:tcPr>
            <w:tcW w:w="900" w:type="dxa"/>
            <w:tcBorders>
              <w:top w:val="single" w:sz="4" w:space="0" w:color="auto"/>
              <w:left w:val="single" w:sz="4" w:space="0" w:color="auto"/>
              <w:bottom w:val="single" w:sz="4" w:space="0" w:color="auto"/>
              <w:right w:val="single" w:sz="4" w:space="0" w:color="auto"/>
            </w:tcBorders>
            <w:hideMark/>
          </w:tcPr>
          <w:p w14:paraId="32DE925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27</w:t>
            </w:r>
          </w:p>
        </w:tc>
        <w:tc>
          <w:tcPr>
            <w:tcW w:w="900" w:type="dxa"/>
            <w:tcBorders>
              <w:top w:val="single" w:sz="4" w:space="0" w:color="auto"/>
              <w:left w:val="single" w:sz="4" w:space="0" w:color="auto"/>
              <w:bottom w:val="single" w:sz="4" w:space="0" w:color="auto"/>
              <w:right w:val="single" w:sz="4" w:space="0" w:color="auto"/>
            </w:tcBorders>
            <w:hideMark/>
          </w:tcPr>
          <w:p w14:paraId="1FA0CB6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76A8FACC"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55</w:t>
            </w:r>
          </w:p>
        </w:tc>
        <w:tc>
          <w:tcPr>
            <w:tcW w:w="644" w:type="dxa"/>
            <w:tcBorders>
              <w:top w:val="single" w:sz="4" w:space="0" w:color="auto"/>
              <w:left w:val="single" w:sz="4" w:space="0" w:color="auto"/>
              <w:bottom w:val="single" w:sz="4" w:space="0" w:color="auto"/>
              <w:right w:val="single" w:sz="4" w:space="0" w:color="auto"/>
            </w:tcBorders>
            <w:hideMark/>
          </w:tcPr>
          <w:p w14:paraId="4BAA5B0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7F4E71AB" w14:textId="77777777" w:rsidTr="00E060BA">
        <w:trPr>
          <w:trHeight w:val="331"/>
        </w:trPr>
        <w:tc>
          <w:tcPr>
            <w:tcW w:w="1255" w:type="dxa"/>
            <w:tcBorders>
              <w:top w:val="single" w:sz="4" w:space="0" w:color="auto"/>
              <w:left w:val="single" w:sz="4" w:space="0" w:color="auto"/>
              <w:bottom w:val="single" w:sz="4" w:space="0" w:color="auto"/>
              <w:right w:val="single" w:sz="4" w:space="0" w:color="auto"/>
            </w:tcBorders>
            <w:hideMark/>
          </w:tcPr>
          <w:p w14:paraId="0843F51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sz w:val="20"/>
                <w:szCs w:val="20"/>
                <w:lang w:val="en-IN"/>
              </w:rPr>
              <w:t xml:space="preserve">Carbon dioxide </w:t>
            </w:r>
          </w:p>
        </w:tc>
        <w:tc>
          <w:tcPr>
            <w:tcW w:w="720" w:type="dxa"/>
            <w:tcBorders>
              <w:top w:val="single" w:sz="4" w:space="0" w:color="auto"/>
              <w:left w:val="single" w:sz="4" w:space="0" w:color="auto"/>
              <w:bottom w:val="single" w:sz="4" w:space="0" w:color="auto"/>
              <w:right w:val="single" w:sz="4" w:space="0" w:color="auto"/>
            </w:tcBorders>
            <w:hideMark/>
          </w:tcPr>
          <w:p w14:paraId="321F41E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74306274"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10</w:t>
            </w:r>
          </w:p>
        </w:tc>
        <w:tc>
          <w:tcPr>
            <w:tcW w:w="630" w:type="dxa"/>
            <w:tcBorders>
              <w:top w:val="single" w:sz="4" w:space="0" w:color="auto"/>
              <w:left w:val="single" w:sz="4" w:space="0" w:color="auto"/>
              <w:bottom w:val="single" w:sz="4" w:space="0" w:color="auto"/>
              <w:right w:val="single" w:sz="4" w:space="0" w:color="auto"/>
            </w:tcBorders>
            <w:hideMark/>
          </w:tcPr>
          <w:p w14:paraId="7F3E020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w:t>
            </w:r>
          </w:p>
        </w:tc>
        <w:tc>
          <w:tcPr>
            <w:tcW w:w="810" w:type="dxa"/>
            <w:tcBorders>
              <w:top w:val="single" w:sz="4" w:space="0" w:color="auto"/>
              <w:left w:val="single" w:sz="4" w:space="0" w:color="auto"/>
              <w:bottom w:val="single" w:sz="4" w:space="0" w:color="auto"/>
              <w:right w:val="single" w:sz="4" w:space="0" w:color="auto"/>
            </w:tcBorders>
            <w:hideMark/>
          </w:tcPr>
          <w:p w14:paraId="08E103E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3B5EF5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900" w:type="dxa"/>
            <w:tcBorders>
              <w:top w:val="single" w:sz="4" w:space="0" w:color="auto"/>
              <w:left w:val="single" w:sz="4" w:space="0" w:color="auto"/>
              <w:bottom w:val="single" w:sz="4" w:space="0" w:color="auto"/>
              <w:right w:val="single" w:sz="4" w:space="0" w:color="auto"/>
            </w:tcBorders>
            <w:hideMark/>
          </w:tcPr>
          <w:p w14:paraId="450102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1170" w:type="dxa"/>
            <w:tcBorders>
              <w:top w:val="single" w:sz="4" w:space="0" w:color="auto"/>
              <w:left w:val="single" w:sz="4" w:space="0" w:color="auto"/>
              <w:bottom w:val="single" w:sz="4" w:space="0" w:color="auto"/>
              <w:right w:val="single" w:sz="4" w:space="0" w:color="auto"/>
            </w:tcBorders>
            <w:hideMark/>
          </w:tcPr>
          <w:p w14:paraId="52C964A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45</w:t>
            </w:r>
          </w:p>
        </w:tc>
        <w:tc>
          <w:tcPr>
            <w:tcW w:w="900" w:type="dxa"/>
            <w:tcBorders>
              <w:top w:val="single" w:sz="4" w:space="0" w:color="auto"/>
              <w:left w:val="single" w:sz="4" w:space="0" w:color="auto"/>
              <w:bottom w:val="single" w:sz="4" w:space="0" w:color="auto"/>
              <w:right w:val="single" w:sz="4" w:space="0" w:color="auto"/>
            </w:tcBorders>
            <w:hideMark/>
          </w:tcPr>
          <w:p w14:paraId="132836F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900" w:type="dxa"/>
            <w:tcBorders>
              <w:top w:val="single" w:sz="4" w:space="0" w:color="auto"/>
              <w:left w:val="single" w:sz="4" w:space="0" w:color="auto"/>
              <w:bottom w:val="single" w:sz="4" w:space="0" w:color="auto"/>
              <w:right w:val="single" w:sz="4" w:space="0" w:color="auto"/>
            </w:tcBorders>
            <w:hideMark/>
          </w:tcPr>
          <w:p w14:paraId="08D052D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3B0761D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25415D7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b/>
                <w:bCs/>
                <w:sz w:val="20"/>
                <w:szCs w:val="20"/>
                <w:lang w:val="en-IN"/>
              </w:rPr>
              <w:t>10</w:t>
            </w:r>
          </w:p>
        </w:tc>
        <w:tc>
          <w:tcPr>
            <w:tcW w:w="644" w:type="dxa"/>
            <w:tcBorders>
              <w:top w:val="single" w:sz="4" w:space="0" w:color="auto"/>
              <w:left w:val="single" w:sz="4" w:space="0" w:color="auto"/>
              <w:bottom w:val="single" w:sz="4" w:space="0" w:color="auto"/>
              <w:right w:val="single" w:sz="4" w:space="0" w:color="auto"/>
            </w:tcBorders>
            <w:hideMark/>
          </w:tcPr>
          <w:p w14:paraId="57AC127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r>
    </w:tbl>
    <w:p w14:paraId="1A253DF7" w14:textId="0236221F" w:rsidR="003277BE" w:rsidRPr="00DD1E00" w:rsidRDefault="003277BE" w:rsidP="0055374D">
      <w:pPr>
        <w:rPr>
          <w:rFonts w:ascii="Arial" w:hAnsi="Arial" w:cs="Arial"/>
          <w:sz w:val="20"/>
          <w:szCs w:val="20"/>
        </w:rPr>
      </w:pPr>
    </w:p>
    <w:p w14:paraId="4FED718B" w14:textId="3A751262" w:rsidR="00426324" w:rsidRPr="00DD1E00" w:rsidRDefault="00426324" w:rsidP="00426324">
      <w:pPr>
        <w:spacing w:after="160" w:line="259" w:lineRule="auto"/>
        <w:rPr>
          <w:rFonts w:ascii="Arial" w:hAnsi="Arial" w:cs="Arial"/>
          <w:sz w:val="20"/>
          <w:szCs w:val="20"/>
        </w:rPr>
      </w:pPr>
    </w:p>
    <w:p w14:paraId="3BE1A6D1" w14:textId="0FAC8425" w:rsidR="00B11A98" w:rsidRPr="00DD1E00" w:rsidRDefault="00426324" w:rsidP="00426324">
      <w:pPr>
        <w:spacing w:after="160" w:line="259" w:lineRule="auto"/>
        <w:rPr>
          <w:rFonts w:ascii="Arial" w:hAnsi="Arial" w:cs="Arial"/>
          <w:sz w:val="20"/>
          <w:szCs w:val="20"/>
        </w:rPr>
      </w:pPr>
      <w:r w:rsidRPr="00DD1E00">
        <w:rPr>
          <w:rFonts w:ascii="Arial" w:hAnsi="Arial" w:cs="Arial"/>
          <w:sz w:val="20"/>
          <w:szCs w:val="20"/>
        </w:rPr>
        <w:t xml:space="preserve">pH Indicates acidity/alkalinity. Extreme pH alters taste, corrodes pipelines, and changes solubility of toxic metals. pH of water samples analyzed was ranged from 7.2 (May 2024) to 9.5 (November 2024). Common rage of </w:t>
      </w:r>
      <w:commentRangeStart w:id="6"/>
      <w:r w:rsidRPr="00DD1E00">
        <w:rPr>
          <w:rFonts w:ascii="Arial" w:hAnsi="Arial" w:cs="Arial"/>
          <w:sz w:val="20"/>
          <w:szCs w:val="20"/>
        </w:rPr>
        <w:t>pH</w:t>
      </w:r>
      <w:commentRangeEnd w:id="6"/>
      <w:r w:rsidR="00152925">
        <w:rPr>
          <w:rStyle w:val="CommentReference"/>
        </w:rPr>
        <w:commentReference w:id="6"/>
      </w:r>
      <w:r w:rsidRPr="00DD1E00">
        <w:rPr>
          <w:rFonts w:ascii="Arial" w:hAnsi="Arial" w:cs="Arial"/>
          <w:sz w:val="20"/>
          <w:szCs w:val="20"/>
        </w:rPr>
        <w:t xml:space="preserve"> is 7.3-8.5 for monthly water samples. Values beyond 8.5 in multiple months indicate alkaline water, possibly due to dissolution of carbonate-rich strata or industrial effluent discharge. Mostly values were within permissible BIS/WHO limits, but exceed only in November (BIS/WHO-6.5–8.5). Reflects total inorganic salts and organic matter. High </w:t>
      </w:r>
      <w:r w:rsidRPr="00152925">
        <w:rPr>
          <w:rFonts w:ascii="Arial" w:hAnsi="Arial" w:cs="Arial"/>
          <w:sz w:val="20"/>
          <w:szCs w:val="20"/>
        </w:rPr>
        <w:t>TDS affects taste, scaling in pipes, and may indicate pollution. Likewise, TDS values vary from 170 (October) to 460(January), with most values between 220 and 302. Mostly values were within permissible BIS limits (500 mg/L). TDS increases post-monsoon suggest leaching of salts and industrial pollutants into the aquifer (Fig.1).</w:t>
      </w:r>
    </w:p>
    <w:p w14:paraId="1031FDA4" w14:textId="68DC3359" w:rsidR="00426324" w:rsidRPr="00DD1E00" w:rsidRDefault="00426324" w:rsidP="00426324">
      <w:pPr>
        <w:spacing w:after="160" w:line="259" w:lineRule="auto"/>
        <w:rPr>
          <w:rFonts w:ascii="Arial" w:hAnsi="Arial" w:cs="Arial"/>
          <w:sz w:val="20"/>
          <w:szCs w:val="20"/>
        </w:rPr>
      </w:pPr>
      <w:r w:rsidRPr="00DD1E00">
        <w:rPr>
          <w:rFonts w:ascii="Arial" w:hAnsi="Arial" w:cs="Arial"/>
          <w:noProof/>
          <w:sz w:val="20"/>
          <w:szCs w:val="20"/>
        </w:rPr>
        <w:drawing>
          <wp:anchor distT="0" distB="0" distL="114300" distR="114300" simplePos="0" relativeHeight="251665408" behindDoc="0" locked="0" layoutInCell="1" allowOverlap="1" wp14:anchorId="62AAD511" wp14:editId="4B2273DA">
            <wp:simplePos x="0" y="0"/>
            <wp:positionH relativeFrom="column">
              <wp:posOffset>0</wp:posOffset>
            </wp:positionH>
            <wp:positionV relativeFrom="paragraph">
              <wp:posOffset>261620</wp:posOffset>
            </wp:positionV>
            <wp:extent cx="3305175" cy="1828800"/>
            <wp:effectExtent l="0" t="0" r="9525" b="0"/>
            <wp:wrapSquare wrapText="bothSides"/>
            <wp:docPr id="542220940"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6004018D" w14:textId="14BC6973" w:rsidR="00FD2AAA" w:rsidRPr="00DD1E00" w:rsidRDefault="00FD2AAA" w:rsidP="0055374D">
      <w:pPr>
        <w:rPr>
          <w:rFonts w:ascii="Arial" w:hAnsi="Arial" w:cs="Arial"/>
          <w:sz w:val="20"/>
          <w:szCs w:val="20"/>
        </w:rPr>
      </w:pPr>
    </w:p>
    <w:p w14:paraId="1B26117C" w14:textId="77777777" w:rsidR="00FD2AAA" w:rsidRPr="00DD1E00" w:rsidRDefault="00FD2AAA" w:rsidP="0055374D">
      <w:pPr>
        <w:rPr>
          <w:rFonts w:ascii="Arial" w:hAnsi="Arial" w:cs="Arial"/>
          <w:sz w:val="20"/>
          <w:szCs w:val="20"/>
        </w:rPr>
      </w:pPr>
    </w:p>
    <w:p w14:paraId="6FE23446" w14:textId="53FC4B3A" w:rsidR="005A38FF" w:rsidRPr="00DD1E00" w:rsidRDefault="005A38FF" w:rsidP="0055374D">
      <w:pPr>
        <w:rPr>
          <w:rFonts w:ascii="Arial" w:hAnsi="Arial" w:cs="Arial"/>
          <w:sz w:val="20"/>
          <w:szCs w:val="20"/>
        </w:rPr>
      </w:pPr>
    </w:p>
    <w:p w14:paraId="10DEDC32" w14:textId="50B221C3" w:rsidR="005A38FF" w:rsidRPr="00DD1E00" w:rsidRDefault="005A38FF" w:rsidP="0055374D">
      <w:pPr>
        <w:rPr>
          <w:rFonts w:ascii="Arial" w:hAnsi="Arial" w:cs="Arial"/>
          <w:sz w:val="20"/>
          <w:szCs w:val="20"/>
        </w:rPr>
      </w:pPr>
    </w:p>
    <w:p w14:paraId="5CC60723" w14:textId="77777777" w:rsidR="005A38FF" w:rsidRPr="00DD1E00" w:rsidRDefault="005A38FF" w:rsidP="0055374D">
      <w:pPr>
        <w:rPr>
          <w:rFonts w:ascii="Arial" w:hAnsi="Arial" w:cs="Arial"/>
          <w:sz w:val="20"/>
          <w:szCs w:val="20"/>
        </w:rPr>
      </w:pPr>
    </w:p>
    <w:p w14:paraId="5801E560" w14:textId="5BC98B29" w:rsidR="005A38FF" w:rsidRPr="00DD1E00" w:rsidRDefault="005A38FF" w:rsidP="0055374D">
      <w:pPr>
        <w:rPr>
          <w:rFonts w:ascii="Arial" w:hAnsi="Arial" w:cs="Arial"/>
          <w:sz w:val="20"/>
          <w:szCs w:val="20"/>
        </w:rPr>
      </w:pPr>
    </w:p>
    <w:p w14:paraId="635E164F" w14:textId="07251280" w:rsidR="00D93CAA" w:rsidRPr="00DD1E00" w:rsidRDefault="00D93CAA" w:rsidP="00371914">
      <w:pPr>
        <w:spacing w:after="160" w:line="259" w:lineRule="auto"/>
        <w:rPr>
          <w:rFonts w:ascii="Arial" w:hAnsi="Arial" w:cs="Arial"/>
          <w:sz w:val="20"/>
          <w:szCs w:val="20"/>
        </w:rPr>
      </w:pPr>
      <w:r w:rsidRPr="00DD1E00">
        <w:rPr>
          <w:rFonts w:ascii="Arial" w:hAnsi="Arial" w:cs="Arial"/>
          <w:sz w:val="20"/>
          <w:szCs w:val="20"/>
        </w:rPr>
        <w:t xml:space="preserve"> </w:t>
      </w:r>
    </w:p>
    <w:p w14:paraId="37744423" w14:textId="75E230E7" w:rsidR="00A61D0C" w:rsidRPr="00DD1E00" w:rsidRDefault="00014312" w:rsidP="00371914">
      <w:pPr>
        <w:spacing w:after="160" w:line="259" w:lineRule="auto"/>
        <w:rPr>
          <w:rFonts w:ascii="Arial" w:hAnsi="Arial" w:cs="Arial"/>
          <w:sz w:val="20"/>
          <w:szCs w:val="20"/>
        </w:rPr>
      </w:pPr>
      <w:r w:rsidRPr="00DD1E00">
        <w:rPr>
          <w:rFonts w:ascii="Arial" w:hAnsi="Arial" w:cs="Arial"/>
          <w:sz w:val="20"/>
          <w:szCs w:val="20"/>
        </w:rPr>
        <w:t>Fig.</w:t>
      </w:r>
      <w:r w:rsidR="00D94975" w:rsidRPr="00DD1E00">
        <w:rPr>
          <w:rFonts w:ascii="Arial" w:hAnsi="Arial" w:cs="Arial"/>
          <w:sz w:val="20"/>
          <w:szCs w:val="20"/>
        </w:rPr>
        <w:t>1- Monthly Fluctuation TDS and pH</w:t>
      </w:r>
    </w:p>
    <w:p w14:paraId="724AE06E" w14:textId="05900B22" w:rsidR="00585C35" w:rsidRPr="00DD1E00" w:rsidRDefault="008A4825" w:rsidP="00E31C45">
      <w:pPr>
        <w:spacing w:after="160" w:line="259" w:lineRule="auto"/>
        <w:rPr>
          <w:rFonts w:ascii="Arial" w:hAnsi="Arial" w:cs="Arial"/>
          <w:sz w:val="20"/>
          <w:szCs w:val="20"/>
        </w:rPr>
      </w:pPr>
      <w:r w:rsidRPr="00DD1E00">
        <w:rPr>
          <w:rFonts w:ascii="Arial" w:hAnsi="Arial" w:cs="Arial"/>
          <w:sz w:val="20"/>
          <w:szCs w:val="20"/>
        </w:rPr>
        <w:t xml:space="preserve">Temperature </w:t>
      </w:r>
      <w:r w:rsidR="00B50352" w:rsidRPr="00DD1E00">
        <w:rPr>
          <w:rFonts w:ascii="Arial" w:hAnsi="Arial" w:cs="Arial"/>
          <w:sz w:val="20"/>
          <w:szCs w:val="20"/>
        </w:rPr>
        <w:t>a</w:t>
      </w:r>
      <w:r w:rsidR="00BE59A3" w:rsidRPr="00DD1E00">
        <w:rPr>
          <w:rFonts w:ascii="Arial" w:hAnsi="Arial" w:cs="Arial"/>
          <w:sz w:val="20"/>
          <w:szCs w:val="20"/>
        </w:rPr>
        <w:t>ffects palatability, microbial growth, and solubility of gases/minerals. Warm water favors bac</w:t>
      </w:r>
      <w:r w:rsidRPr="00DD1E00">
        <w:rPr>
          <w:rFonts w:ascii="Arial" w:hAnsi="Arial" w:cs="Arial"/>
          <w:sz w:val="20"/>
          <w:szCs w:val="20"/>
        </w:rPr>
        <w:t>t</w:t>
      </w:r>
      <w:r w:rsidR="00BE59A3" w:rsidRPr="00DD1E00">
        <w:rPr>
          <w:rFonts w:ascii="Arial" w:hAnsi="Arial" w:cs="Arial"/>
          <w:sz w:val="20"/>
          <w:szCs w:val="20"/>
        </w:rPr>
        <w:t xml:space="preserve">erial </w:t>
      </w:r>
      <w:r w:rsidR="005F308E" w:rsidRPr="00DD1E00">
        <w:rPr>
          <w:rFonts w:ascii="Arial" w:hAnsi="Arial" w:cs="Arial"/>
          <w:sz w:val="20"/>
          <w:szCs w:val="20"/>
        </w:rPr>
        <w:t xml:space="preserve">contamination. </w:t>
      </w:r>
      <w:r w:rsidR="00B50352" w:rsidRPr="00DD1E00">
        <w:rPr>
          <w:rFonts w:ascii="Arial" w:hAnsi="Arial" w:cs="Arial"/>
          <w:sz w:val="20"/>
          <w:szCs w:val="20"/>
        </w:rPr>
        <w:t xml:space="preserve">It </w:t>
      </w:r>
      <w:r w:rsidR="002F3D54" w:rsidRPr="00DD1E00">
        <w:rPr>
          <w:rFonts w:ascii="Arial" w:hAnsi="Arial" w:cs="Arial"/>
          <w:sz w:val="20"/>
          <w:szCs w:val="20"/>
        </w:rPr>
        <w:t>ranges from 20 to 25 degrees Celsius.</w:t>
      </w:r>
      <w:r w:rsidR="00C838DD" w:rsidRPr="00DD1E00">
        <w:rPr>
          <w:rFonts w:ascii="Arial" w:hAnsi="Arial" w:cs="Arial"/>
          <w:sz w:val="20"/>
          <w:szCs w:val="20"/>
        </w:rPr>
        <w:t xml:space="preserve"> </w:t>
      </w:r>
      <w:r w:rsidR="005F308E" w:rsidRPr="00DD1E00">
        <w:rPr>
          <w:rFonts w:ascii="Arial" w:hAnsi="Arial" w:cs="Arial"/>
          <w:sz w:val="20"/>
          <w:szCs w:val="20"/>
        </w:rPr>
        <w:t xml:space="preserve">Generally, warmer in </w:t>
      </w:r>
      <w:r w:rsidR="00D4456F" w:rsidRPr="00DD1E00">
        <w:rPr>
          <w:rFonts w:ascii="Arial" w:hAnsi="Arial" w:cs="Arial"/>
          <w:sz w:val="20"/>
          <w:szCs w:val="20"/>
        </w:rPr>
        <w:t>Monsoon</w:t>
      </w:r>
      <w:r w:rsidR="005F308E" w:rsidRPr="00DD1E00">
        <w:rPr>
          <w:rFonts w:ascii="Arial" w:hAnsi="Arial" w:cs="Arial"/>
          <w:sz w:val="20"/>
          <w:szCs w:val="20"/>
        </w:rPr>
        <w:t xml:space="preserve"> and Spring. There</w:t>
      </w:r>
      <w:r w:rsidR="00973FA8" w:rsidRPr="00DD1E00">
        <w:rPr>
          <w:rFonts w:ascii="Arial" w:hAnsi="Arial" w:cs="Arial"/>
          <w:sz w:val="20"/>
          <w:szCs w:val="20"/>
        </w:rPr>
        <w:t xml:space="preserve"> was no significant role of temperature in evaluation of water quality directly.</w:t>
      </w:r>
      <w:r w:rsidR="00051A6B" w:rsidRPr="00DD1E00">
        <w:rPr>
          <w:rFonts w:ascii="Arial" w:hAnsi="Arial" w:cs="Arial"/>
          <w:sz w:val="20"/>
          <w:szCs w:val="20"/>
        </w:rPr>
        <w:t xml:space="preserve"> </w:t>
      </w:r>
      <w:r w:rsidR="00EB0A1A" w:rsidRPr="00DD1E00">
        <w:rPr>
          <w:rFonts w:ascii="Arial" w:hAnsi="Arial" w:cs="Arial"/>
          <w:sz w:val="20"/>
          <w:szCs w:val="20"/>
        </w:rPr>
        <w:t xml:space="preserve">There is </w:t>
      </w:r>
      <w:r w:rsidR="00854724" w:rsidRPr="00DD1E00">
        <w:rPr>
          <w:rFonts w:ascii="Arial" w:hAnsi="Arial" w:cs="Arial"/>
          <w:sz w:val="20"/>
          <w:szCs w:val="20"/>
        </w:rPr>
        <w:t>no strict limit for this.</w:t>
      </w:r>
      <w:r w:rsidR="003412A3" w:rsidRPr="00DD1E00">
        <w:rPr>
          <w:rFonts w:ascii="Arial" w:hAnsi="Arial" w:cs="Arial"/>
          <w:sz w:val="20"/>
          <w:szCs w:val="20"/>
        </w:rPr>
        <w:t xml:space="preserve"> </w:t>
      </w:r>
      <w:r w:rsidR="00531108" w:rsidRPr="00DD1E00">
        <w:rPr>
          <w:rFonts w:ascii="Arial" w:hAnsi="Arial" w:cs="Arial"/>
          <w:sz w:val="20"/>
          <w:szCs w:val="20"/>
        </w:rPr>
        <w:t>Total a</w:t>
      </w:r>
      <w:r w:rsidR="00E31C45" w:rsidRPr="00DD1E00">
        <w:rPr>
          <w:rFonts w:ascii="Arial" w:hAnsi="Arial" w:cs="Arial"/>
          <w:sz w:val="20"/>
          <w:szCs w:val="20"/>
        </w:rPr>
        <w:t>lka</w:t>
      </w:r>
      <w:r w:rsidR="00BA0EB3" w:rsidRPr="00DD1E00">
        <w:rPr>
          <w:rFonts w:ascii="Arial" w:hAnsi="Arial" w:cs="Arial"/>
          <w:sz w:val="20"/>
          <w:szCs w:val="20"/>
        </w:rPr>
        <w:t>li</w:t>
      </w:r>
      <w:r w:rsidR="00E31C45" w:rsidRPr="00DD1E00">
        <w:rPr>
          <w:rFonts w:ascii="Arial" w:hAnsi="Arial" w:cs="Arial"/>
          <w:sz w:val="20"/>
          <w:szCs w:val="20"/>
        </w:rPr>
        <w:t>nity sh</w:t>
      </w:r>
      <w:r w:rsidR="00024444" w:rsidRPr="00DD1E00">
        <w:rPr>
          <w:rFonts w:ascii="Arial" w:hAnsi="Arial" w:cs="Arial"/>
          <w:sz w:val="20"/>
          <w:szCs w:val="20"/>
        </w:rPr>
        <w:t>ows buffering capacity due to carbonates/bicarbonates. High alkalinity can affect solubility and toxicity of pollutants.</w:t>
      </w:r>
      <w:r w:rsidR="00E31C45" w:rsidRPr="00DD1E00">
        <w:rPr>
          <w:rFonts w:ascii="Arial" w:hAnsi="Arial" w:cs="Arial"/>
          <w:sz w:val="20"/>
          <w:szCs w:val="20"/>
        </w:rPr>
        <w:t xml:space="preserve"> </w:t>
      </w:r>
      <w:proofErr w:type="gramStart"/>
      <w:r w:rsidR="00B50352" w:rsidRPr="00DD1E00">
        <w:rPr>
          <w:rFonts w:ascii="Arial" w:hAnsi="Arial" w:cs="Arial"/>
          <w:sz w:val="20"/>
          <w:szCs w:val="20"/>
        </w:rPr>
        <w:t>It</w:t>
      </w:r>
      <w:r w:rsidR="00525061" w:rsidRPr="00DD1E00">
        <w:rPr>
          <w:rFonts w:ascii="Arial" w:hAnsi="Arial" w:cs="Arial"/>
          <w:sz w:val="20"/>
          <w:szCs w:val="20"/>
        </w:rPr>
        <w:t>’</w:t>
      </w:r>
      <w:r w:rsidR="00B50352" w:rsidRPr="00DD1E00">
        <w:rPr>
          <w:rFonts w:ascii="Arial" w:hAnsi="Arial" w:cs="Arial"/>
          <w:sz w:val="20"/>
          <w:szCs w:val="20"/>
        </w:rPr>
        <w:t>s</w:t>
      </w:r>
      <w:proofErr w:type="gramEnd"/>
      <w:r w:rsidR="002F3D54" w:rsidRPr="00DD1E00">
        <w:rPr>
          <w:rFonts w:ascii="Arial" w:hAnsi="Arial" w:cs="Arial"/>
          <w:sz w:val="20"/>
          <w:szCs w:val="20"/>
        </w:rPr>
        <w:t xml:space="preserve"> values range from 250 to 525, with most values between 250 and 400.</w:t>
      </w:r>
      <w:r w:rsidR="00973FA8" w:rsidRPr="00DD1E00">
        <w:rPr>
          <w:rFonts w:ascii="Arial" w:hAnsi="Arial" w:cs="Arial"/>
          <w:sz w:val="20"/>
          <w:szCs w:val="20"/>
        </w:rPr>
        <w:t xml:space="preserve"> Total alkalinity also crossed 500 mg/L (July 2024), supporting the observation of alkaline water chemistry</w:t>
      </w:r>
      <w:r w:rsidR="00051A6B" w:rsidRPr="00DD1E00">
        <w:rPr>
          <w:rFonts w:ascii="Arial" w:hAnsi="Arial" w:cs="Arial"/>
          <w:sz w:val="20"/>
          <w:szCs w:val="20"/>
        </w:rPr>
        <w:t xml:space="preserve">. </w:t>
      </w:r>
      <w:r w:rsidR="00973FA8" w:rsidRPr="00DD1E00">
        <w:rPr>
          <w:rFonts w:ascii="Arial" w:hAnsi="Arial" w:cs="Arial"/>
          <w:sz w:val="20"/>
          <w:szCs w:val="20"/>
        </w:rPr>
        <w:t>Alkalinity, although not toxic, can alter the solubility and toxicity of other compounds like ammonia, metals, and arsenic (Singh &amp; Srivastava, 2023)</w:t>
      </w:r>
      <w:r w:rsidR="00577DCD" w:rsidRPr="00DD1E00">
        <w:rPr>
          <w:rFonts w:ascii="Arial" w:hAnsi="Arial" w:cs="Arial"/>
          <w:sz w:val="20"/>
          <w:szCs w:val="20"/>
        </w:rPr>
        <w:t xml:space="preserve">, </w:t>
      </w:r>
      <w:r w:rsidR="00A85925" w:rsidRPr="00DD1E00">
        <w:rPr>
          <w:rFonts w:ascii="Arial" w:hAnsi="Arial" w:cs="Arial"/>
          <w:sz w:val="20"/>
          <w:szCs w:val="20"/>
        </w:rPr>
        <w:t xml:space="preserve">Mostly values were within permissible BIS limits (200-600 mg/L) </w:t>
      </w:r>
      <w:r w:rsidR="00577DCD" w:rsidRPr="00DD1E00">
        <w:rPr>
          <w:rFonts w:ascii="Arial" w:hAnsi="Arial" w:cs="Arial"/>
          <w:sz w:val="20"/>
          <w:szCs w:val="20"/>
        </w:rPr>
        <w:t>(</w:t>
      </w:r>
      <w:r w:rsidR="00014312" w:rsidRPr="00DD1E00">
        <w:rPr>
          <w:rFonts w:ascii="Arial" w:hAnsi="Arial" w:cs="Arial"/>
          <w:sz w:val="20"/>
          <w:szCs w:val="20"/>
        </w:rPr>
        <w:t>Fig.</w:t>
      </w:r>
      <w:r w:rsidR="00786BCB" w:rsidRPr="00DD1E00">
        <w:rPr>
          <w:rFonts w:ascii="Arial" w:hAnsi="Arial" w:cs="Arial"/>
          <w:sz w:val="20"/>
          <w:szCs w:val="20"/>
        </w:rPr>
        <w:t>2</w:t>
      </w:r>
      <w:r w:rsidR="00577DCD" w:rsidRPr="00DD1E00">
        <w:rPr>
          <w:rFonts w:ascii="Arial" w:hAnsi="Arial" w:cs="Arial"/>
          <w:sz w:val="20"/>
          <w:szCs w:val="20"/>
        </w:rPr>
        <w:t>).</w:t>
      </w:r>
    </w:p>
    <w:p w14:paraId="04F39B21" w14:textId="77777777" w:rsidR="0071636E" w:rsidRPr="00DD1E00" w:rsidRDefault="00EC4D5F" w:rsidP="00506224">
      <w:pPr>
        <w:rPr>
          <w:rFonts w:ascii="Arial" w:hAnsi="Arial" w:cs="Arial"/>
          <w:sz w:val="20"/>
          <w:szCs w:val="20"/>
        </w:rPr>
      </w:pPr>
      <w:r w:rsidRPr="00DD1E00">
        <w:rPr>
          <w:rFonts w:ascii="Arial" w:hAnsi="Arial" w:cs="Arial"/>
          <w:noProof/>
          <w:sz w:val="20"/>
          <w:szCs w:val="20"/>
        </w:rPr>
        <w:lastRenderedPageBreak/>
        <w:drawing>
          <wp:inline distT="0" distB="0" distL="0" distR="0" wp14:anchorId="291593A8" wp14:editId="0CBB400F">
            <wp:extent cx="3248025" cy="2006600"/>
            <wp:effectExtent l="0" t="0" r="9525" b="12700"/>
            <wp:docPr id="1502572394" name="Chart 1">
              <a:extLst xmlns:a="http://schemas.openxmlformats.org/drawingml/2006/main">
                <a:ext uri="{FF2B5EF4-FFF2-40B4-BE49-F238E27FC236}">
                  <a16:creationId xmlns:a16="http://schemas.microsoft.com/office/drawing/2014/main" id="{9256D15C-5B79-4B94-8C75-6B0E3DB541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57FCCC0" w14:textId="0433F55D" w:rsidR="00426324" w:rsidRPr="00DD1E00" w:rsidRDefault="0071636E" w:rsidP="00B11A98">
      <w:pPr>
        <w:rPr>
          <w:rFonts w:ascii="Arial" w:hAnsi="Arial" w:cs="Arial"/>
          <w:sz w:val="20"/>
          <w:szCs w:val="20"/>
        </w:rPr>
      </w:pPr>
      <w:r w:rsidRPr="00DD1E00">
        <w:rPr>
          <w:rFonts w:ascii="Arial" w:hAnsi="Arial" w:cs="Arial"/>
          <w:sz w:val="20"/>
          <w:szCs w:val="20"/>
        </w:rPr>
        <w:t>Fig</w:t>
      </w:r>
      <w:r w:rsidR="00506224" w:rsidRPr="00DD1E00">
        <w:rPr>
          <w:rFonts w:ascii="Arial" w:hAnsi="Arial" w:cs="Arial"/>
          <w:sz w:val="20"/>
          <w:szCs w:val="20"/>
        </w:rPr>
        <w:t>.2 -Monthly Fluctuation Temperature and Total Alkalinity</w:t>
      </w:r>
    </w:p>
    <w:p w14:paraId="1459B124" w14:textId="77777777" w:rsidR="00426324" w:rsidRPr="00DD1E00" w:rsidRDefault="00426324" w:rsidP="00C0670B">
      <w:pPr>
        <w:spacing w:after="160" w:line="259" w:lineRule="auto"/>
        <w:rPr>
          <w:rFonts w:ascii="Arial" w:hAnsi="Arial" w:cs="Arial"/>
          <w:sz w:val="20"/>
          <w:szCs w:val="20"/>
        </w:rPr>
      </w:pPr>
    </w:p>
    <w:p w14:paraId="32404DB3" w14:textId="183507FA" w:rsidR="002F3D54" w:rsidRPr="00DD1E00" w:rsidRDefault="0026143A" w:rsidP="00C0670B">
      <w:pPr>
        <w:spacing w:after="160" w:line="259" w:lineRule="auto"/>
        <w:rPr>
          <w:rFonts w:ascii="Arial" w:hAnsi="Arial" w:cs="Arial"/>
          <w:sz w:val="20"/>
          <w:szCs w:val="20"/>
        </w:rPr>
      </w:pPr>
      <w:r w:rsidRPr="00DD1E00">
        <w:rPr>
          <w:rFonts w:ascii="Arial" w:hAnsi="Arial" w:cs="Arial"/>
          <w:sz w:val="20"/>
          <w:szCs w:val="20"/>
        </w:rPr>
        <w:t xml:space="preserve">Total </w:t>
      </w:r>
      <w:r w:rsidRPr="00152925">
        <w:rPr>
          <w:rFonts w:ascii="Arial" w:hAnsi="Arial" w:cs="Arial"/>
          <w:sz w:val="20"/>
          <w:szCs w:val="20"/>
        </w:rPr>
        <w:t>hardness</w:t>
      </w:r>
      <w:r w:rsidR="00C0670B" w:rsidRPr="00152925">
        <w:rPr>
          <w:rFonts w:ascii="Arial" w:hAnsi="Arial" w:cs="Arial"/>
          <w:sz w:val="20"/>
          <w:szCs w:val="20"/>
        </w:rPr>
        <w:t xml:space="preserve"> caused by</w:t>
      </w:r>
      <w:r w:rsidR="008E5ABA" w:rsidRPr="00152925">
        <w:rPr>
          <w:rFonts w:ascii="Arial" w:hAnsi="Arial" w:cs="Arial"/>
          <w:sz w:val="20"/>
          <w:szCs w:val="20"/>
        </w:rPr>
        <w:t xml:space="preserve"> calcium and magnesium salts. Hard water causes kidney stone risk, poor soap lathering, and scaling in household use</w:t>
      </w:r>
      <w:r w:rsidR="000342E7" w:rsidRPr="00152925">
        <w:rPr>
          <w:rFonts w:ascii="Arial" w:hAnsi="Arial" w:cs="Arial"/>
          <w:sz w:val="20"/>
          <w:szCs w:val="20"/>
        </w:rPr>
        <w:t xml:space="preserve"> (Tyagi &amp; Bansal, 2021)</w:t>
      </w:r>
      <w:r w:rsidR="008E5ABA" w:rsidRPr="00152925">
        <w:rPr>
          <w:rFonts w:ascii="Arial" w:hAnsi="Arial" w:cs="Arial"/>
          <w:sz w:val="20"/>
          <w:szCs w:val="20"/>
        </w:rPr>
        <w:t>.</w:t>
      </w:r>
      <w:r w:rsidR="00C0670B" w:rsidRPr="00152925">
        <w:rPr>
          <w:rFonts w:ascii="Arial" w:hAnsi="Arial" w:cs="Arial"/>
          <w:sz w:val="20"/>
          <w:szCs w:val="20"/>
        </w:rPr>
        <w:t xml:space="preserve"> Its</w:t>
      </w:r>
      <w:r w:rsidR="00051A6B" w:rsidRPr="00152925">
        <w:rPr>
          <w:rFonts w:ascii="Arial" w:hAnsi="Arial" w:cs="Arial"/>
          <w:sz w:val="20"/>
          <w:szCs w:val="20"/>
        </w:rPr>
        <w:t xml:space="preserve"> values vary from 300 to 760, with most values between 350 and 650. </w:t>
      </w:r>
      <w:r w:rsidR="00973FA8" w:rsidRPr="00152925">
        <w:rPr>
          <w:rFonts w:ascii="Arial" w:hAnsi="Arial" w:cs="Arial"/>
          <w:sz w:val="20"/>
          <w:szCs w:val="20"/>
        </w:rPr>
        <w:t>Hardness peaked at 760 mg/L (January 2025), much above the BIS safe limit (</w:t>
      </w:r>
      <w:r w:rsidR="00A85925" w:rsidRPr="00152925">
        <w:rPr>
          <w:rFonts w:ascii="Arial" w:hAnsi="Arial" w:cs="Arial"/>
          <w:sz w:val="20"/>
          <w:szCs w:val="20"/>
        </w:rPr>
        <w:t>3</w:t>
      </w:r>
      <w:r w:rsidR="00973FA8" w:rsidRPr="00152925">
        <w:rPr>
          <w:rFonts w:ascii="Arial" w:hAnsi="Arial" w:cs="Arial"/>
          <w:sz w:val="20"/>
          <w:szCs w:val="20"/>
        </w:rPr>
        <w:t xml:space="preserve">00-600 mg/L), indicating high calcium and magnesium </w:t>
      </w:r>
      <w:r w:rsidR="00853317" w:rsidRPr="00152925">
        <w:rPr>
          <w:rFonts w:ascii="Arial" w:hAnsi="Arial" w:cs="Arial"/>
          <w:sz w:val="20"/>
          <w:szCs w:val="20"/>
        </w:rPr>
        <w:t>content.</w:t>
      </w:r>
      <w:r w:rsidR="00F71CB4" w:rsidRPr="00152925">
        <w:rPr>
          <w:rFonts w:ascii="Arial" w:hAnsi="Arial" w:cs="Arial"/>
          <w:sz w:val="20"/>
          <w:szCs w:val="20"/>
        </w:rPr>
        <w:t xml:space="preserve"> Chloride i</w:t>
      </w:r>
      <w:r w:rsidR="00B96D70" w:rsidRPr="00152925">
        <w:rPr>
          <w:rFonts w:ascii="Arial" w:hAnsi="Arial" w:cs="Arial"/>
          <w:sz w:val="20"/>
          <w:szCs w:val="20"/>
        </w:rPr>
        <w:t>ndicates mineral content; excess often linked with sewage/industrial discharge. High levels cause salty taste and corrosion.</w:t>
      </w:r>
      <w:r w:rsidR="00F71CB4" w:rsidRPr="00152925">
        <w:rPr>
          <w:rFonts w:ascii="Arial" w:hAnsi="Arial" w:cs="Arial"/>
          <w:sz w:val="20"/>
          <w:szCs w:val="20"/>
        </w:rPr>
        <w:t xml:space="preserve"> Chloride values range from 60 to 160, with most values between 60 and 100</w:t>
      </w:r>
      <w:r w:rsidR="00AF35D9" w:rsidRPr="00152925">
        <w:rPr>
          <w:rFonts w:ascii="Arial" w:hAnsi="Arial" w:cs="Arial"/>
          <w:sz w:val="20"/>
          <w:szCs w:val="20"/>
        </w:rPr>
        <w:t xml:space="preserve">. </w:t>
      </w:r>
      <w:r w:rsidR="007D31CD" w:rsidRPr="00152925">
        <w:rPr>
          <w:rFonts w:ascii="Arial" w:hAnsi="Arial" w:cs="Arial"/>
          <w:sz w:val="20"/>
          <w:szCs w:val="20"/>
        </w:rPr>
        <w:t xml:space="preserve">Its peak values found in </w:t>
      </w:r>
      <w:r w:rsidR="00AF35D9" w:rsidRPr="00DD1E00">
        <w:rPr>
          <w:rFonts w:ascii="Arial" w:hAnsi="Arial" w:cs="Arial"/>
          <w:sz w:val="20"/>
          <w:szCs w:val="20"/>
        </w:rPr>
        <w:t>Post-monsoon &amp; winter (Sep–Nov).</w:t>
      </w:r>
      <w:r w:rsidR="007D31CD" w:rsidRPr="00DD1E00">
        <w:rPr>
          <w:rFonts w:ascii="Arial" w:hAnsi="Arial" w:cs="Arial"/>
          <w:sz w:val="20"/>
          <w:szCs w:val="20"/>
        </w:rPr>
        <w:t xml:space="preserve"> </w:t>
      </w:r>
      <w:r w:rsidR="00B96D70" w:rsidRPr="00DD1E00">
        <w:rPr>
          <w:rFonts w:ascii="Arial" w:hAnsi="Arial" w:cs="Arial"/>
          <w:sz w:val="20"/>
          <w:szCs w:val="20"/>
        </w:rPr>
        <w:t>Safe limit</w:t>
      </w:r>
      <w:r w:rsidR="00EE42A9" w:rsidRPr="00DD1E00">
        <w:rPr>
          <w:rFonts w:ascii="Arial" w:hAnsi="Arial" w:cs="Arial"/>
          <w:sz w:val="20"/>
          <w:szCs w:val="20"/>
        </w:rPr>
        <w:t>,</w:t>
      </w:r>
      <w:r w:rsidR="00B96D70" w:rsidRPr="00DD1E00">
        <w:rPr>
          <w:rFonts w:ascii="Arial" w:hAnsi="Arial" w:cs="Arial"/>
          <w:sz w:val="20"/>
          <w:szCs w:val="20"/>
        </w:rPr>
        <w:t>250 mg/L (desirable), 1000 mg/L</w:t>
      </w:r>
      <w:r w:rsidR="00B96D70" w:rsidRPr="00DD1E00">
        <w:rPr>
          <w:rFonts w:ascii="Arial" w:hAnsi="Arial" w:cs="Arial"/>
          <w:b/>
          <w:bCs/>
          <w:sz w:val="20"/>
          <w:szCs w:val="20"/>
        </w:rPr>
        <w:t xml:space="preserve"> </w:t>
      </w:r>
      <w:r w:rsidR="00B96D70" w:rsidRPr="00DD1E00">
        <w:rPr>
          <w:rFonts w:ascii="Arial" w:hAnsi="Arial" w:cs="Arial"/>
          <w:sz w:val="20"/>
          <w:szCs w:val="20"/>
        </w:rPr>
        <w:t>(permissible)</w:t>
      </w:r>
      <w:r w:rsidR="0071636E" w:rsidRPr="00DD1E00">
        <w:rPr>
          <w:rFonts w:ascii="Arial" w:hAnsi="Arial" w:cs="Arial"/>
          <w:sz w:val="20"/>
          <w:szCs w:val="20"/>
        </w:rPr>
        <w:t>(Fig.</w:t>
      </w:r>
      <w:r w:rsidR="00150782" w:rsidRPr="00DD1E00">
        <w:rPr>
          <w:rFonts w:ascii="Arial" w:hAnsi="Arial" w:cs="Arial"/>
          <w:sz w:val="20"/>
          <w:szCs w:val="20"/>
        </w:rPr>
        <w:t>3)</w:t>
      </w:r>
      <w:r w:rsidR="002F3D54" w:rsidRPr="00DD1E00">
        <w:rPr>
          <w:rFonts w:ascii="Arial" w:hAnsi="Arial" w:cs="Arial"/>
          <w:sz w:val="20"/>
          <w:szCs w:val="20"/>
        </w:rPr>
        <w:t xml:space="preserve">. </w:t>
      </w:r>
    </w:p>
    <w:p w14:paraId="008809BE" w14:textId="77777777" w:rsidR="00B621A0" w:rsidRPr="00DD1E00" w:rsidRDefault="00B621A0" w:rsidP="002F3D54">
      <w:pPr>
        <w:rPr>
          <w:rFonts w:ascii="Arial" w:hAnsi="Arial" w:cs="Arial"/>
          <w:sz w:val="20"/>
          <w:szCs w:val="20"/>
        </w:rPr>
      </w:pPr>
    </w:p>
    <w:p w14:paraId="67FFBFBE" w14:textId="021F2982" w:rsidR="0056243C" w:rsidRPr="00DD1E00" w:rsidRDefault="00853317" w:rsidP="002F3D54">
      <w:pPr>
        <w:rPr>
          <w:rFonts w:ascii="Arial" w:hAnsi="Arial" w:cs="Arial"/>
          <w:sz w:val="20"/>
          <w:szCs w:val="20"/>
        </w:rPr>
      </w:pPr>
      <w:r w:rsidRPr="00DD1E00">
        <w:rPr>
          <w:rFonts w:ascii="Arial" w:hAnsi="Arial" w:cs="Arial"/>
          <w:noProof/>
          <w:sz w:val="20"/>
          <w:szCs w:val="20"/>
        </w:rPr>
        <w:drawing>
          <wp:anchor distT="0" distB="0" distL="114300" distR="114300" simplePos="0" relativeHeight="251660288" behindDoc="0" locked="0" layoutInCell="1" allowOverlap="1" wp14:anchorId="3C65529E" wp14:editId="348582B9">
            <wp:simplePos x="0" y="0"/>
            <wp:positionH relativeFrom="column">
              <wp:align>left</wp:align>
            </wp:positionH>
            <wp:positionV relativeFrom="paragraph">
              <wp:align>top</wp:align>
            </wp:positionV>
            <wp:extent cx="3326765" cy="2208468"/>
            <wp:effectExtent l="0" t="0" r="6985" b="1905"/>
            <wp:wrapSquare wrapText="bothSides"/>
            <wp:docPr id="99428553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1829230D" w14:textId="77777777" w:rsidR="0056243C" w:rsidRPr="00DD1E00" w:rsidRDefault="0056243C" w:rsidP="0056243C">
      <w:pPr>
        <w:rPr>
          <w:rFonts w:ascii="Arial" w:hAnsi="Arial" w:cs="Arial"/>
          <w:sz w:val="20"/>
          <w:szCs w:val="20"/>
        </w:rPr>
      </w:pPr>
    </w:p>
    <w:p w14:paraId="0F56A8E7" w14:textId="77777777" w:rsidR="0056243C" w:rsidRPr="00DD1E00" w:rsidRDefault="0056243C" w:rsidP="0056243C">
      <w:pPr>
        <w:rPr>
          <w:rFonts w:ascii="Arial" w:hAnsi="Arial" w:cs="Arial"/>
          <w:sz w:val="20"/>
          <w:szCs w:val="20"/>
        </w:rPr>
      </w:pPr>
    </w:p>
    <w:p w14:paraId="5EA94642" w14:textId="77777777" w:rsidR="0056243C" w:rsidRPr="00DD1E00" w:rsidRDefault="0056243C" w:rsidP="0056243C">
      <w:pPr>
        <w:ind w:firstLine="720"/>
        <w:rPr>
          <w:rFonts w:ascii="Arial" w:hAnsi="Arial" w:cs="Arial"/>
          <w:sz w:val="20"/>
          <w:szCs w:val="20"/>
        </w:rPr>
      </w:pPr>
    </w:p>
    <w:p w14:paraId="68AA17FB" w14:textId="77777777" w:rsidR="00B621A0" w:rsidRPr="00DD1E00" w:rsidRDefault="0056243C" w:rsidP="007D6D30">
      <w:pPr>
        <w:rPr>
          <w:rFonts w:ascii="Arial" w:hAnsi="Arial" w:cs="Arial"/>
          <w:sz w:val="20"/>
          <w:szCs w:val="20"/>
        </w:rPr>
      </w:pPr>
      <w:r w:rsidRPr="00DD1E00">
        <w:rPr>
          <w:rFonts w:ascii="Arial" w:hAnsi="Arial" w:cs="Arial"/>
          <w:sz w:val="20"/>
          <w:szCs w:val="20"/>
        </w:rPr>
        <w:br w:type="textWrapping" w:clear="all"/>
      </w:r>
    </w:p>
    <w:p w14:paraId="4CC1473C" w14:textId="594E6AF4" w:rsidR="000C11DF" w:rsidRPr="00DD1E00" w:rsidRDefault="0071636E" w:rsidP="007D6D30">
      <w:pPr>
        <w:rPr>
          <w:rFonts w:ascii="Arial" w:hAnsi="Arial" w:cs="Arial"/>
          <w:sz w:val="20"/>
          <w:szCs w:val="20"/>
        </w:rPr>
      </w:pPr>
      <w:r w:rsidRPr="00DD1E00">
        <w:rPr>
          <w:rFonts w:ascii="Arial" w:hAnsi="Arial" w:cs="Arial"/>
          <w:sz w:val="20"/>
          <w:szCs w:val="20"/>
        </w:rPr>
        <w:t>Fig</w:t>
      </w:r>
      <w:r w:rsidR="00853317" w:rsidRPr="00DD1E00">
        <w:rPr>
          <w:rFonts w:ascii="Arial" w:hAnsi="Arial" w:cs="Arial"/>
          <w:sz w:val="20"/>
          <w:szCs w:val="20"/>
        </w:rPr>
        <w:t>.3-Monthly Fluctuation-Total Hardness and Chloride.</w:t>
      </w:r>
    </w:p>
    <w:p w14:paraId="45348CBA" w14:textId="77777777" w:rsidR="00BF1F6D" w:rsidRPr="00DD1E00" w:rsidRDefault="00A13656" w:rsidP="002F3D54">
      <w:pPr>
        <w:rPr>
          <w:rFonts w:ascii="Arial" w:hAnsi="Arial" w:cs="Arial"/>
          <w:sz w:val="20"/>
          <w:szCs w:val="20"/>
        </w:rPr>
      </w:pPr>
      <w:r w:rsidRPr="00DD1E00">
        <w:rPr>
          <w:rFonts w:ascii="Arial" w:hAnsi="Arial" w:cs="Arial"/>
          <w:sz w:val="20"/>
          <w:szCs w:val="20"/>
        </w:rPr>
        <w:t xml:space="preserve">Fluoride is essential in trace amounts for maintaining dental health, but excessive intake can lead to adverse health effects, including dental fluorosis and skeletal fluorosis, highlighting the importance of optimal fluoride levels. </w:t>
      </w:r>
      <w:r w:rsidR="002F3D54" w:rsidRPr="00DD1E00">
        <w:rPr>
          <w:rFonts w:ascii="Arial" w:hAnsi="Arial" w:cs="Arial"/>
          <w:sz w:val="20"/>
          <w:szCs w:val="20"/>
        </w:rPr>
        <w:t>Fluoride values vary from 0.2 to 0.8, with most values between 0.2 and 0.6.</w:t>
      </w:r>
      <w:r w:rsidR="007D6D30" w:rsidRPr="00DD1E00">
        <w:rPr>
          <w:rFonts w:ascii="Arial" w:hAnsi="Arial" w:cs="Arial"/>
          <w:sz w:val="20"/>
          <w:szCs w:val="20"/>
        </w:rPr>
        <w:t xml:space="preserve"> levels were moderate (0.2–0.8 mg/L), mostly within safe ranges, but occasional spikes (March 2025: 0.8 mg/L) Fluoride require monitoring.</w:t>
      </w:r>
      <w:r w:rsidR="00C838DD" w:rsidRPr="00DD1E00">
        <w:rPr>
          <w:rFonts w:ascii="Arial" w:hAnsi="Arial" w:cs="Arial"/>
          <w:sz w:val="20"/>
          <w:szCs w:val="20"/>
        </w:rPr>
        <w:t xml:space="preserve"> </w:t>
      </w:r>
    </w:p>
    <w:p w14:paraId="36AECC21" w14:textId="3069EB22" w:rsidR="00D93CAA" w:rsidRPr="00DD1E00" w:rsidRDefault="00B41F8D" w:rsidP="002F3D54">
      <w:pPr>
        <w:rPr>
          <w:rFonts w:ascii="Arial" w:hAnsi="Arial" w:cs="Arial"/>
          <w:sz w:val="20"/>
          <w:szCs w:val="20"/>
        </w:rPr>
      </w:pPr>
      <w:r w:rsidRPr="00DD1E00">
        <w:rPr>
          <w:rFonts w:ascii="Arial" w:hAnsi="Arial" w:cs="Arial"/>
          <w:sz w:val="20"/>
          <w:szCs w:val="20"/>
        </w:rPr>
        <w:lastRenderedPageBreak/>
        <w:t>Nitrate</w:t>
      </w:r>
      <w:r w:rsidR="001E1CE5" w:rsidRPr="00DD1E00">
        <w:rPr>
          <w:rFonts w:ascii="Arial" w:hAnsi="Arial" w:cs="Arial"/>
          <w:sz w:val="20"/>
          <w:szCs w:val="20"/>
        </w:rPr>
        <w:t>,</w:t>
      </w:r>
      <w:r w:rsidR="00BE5B02" w:rsidRPr="00DD1E00">
        <w:rPr>
          <w:rFonts w:ascii="Arial" w:hAnsi="Arial" w:cs="Arial"/>
          <w:sz w:val="20"/>
          <w:szCs w:val="20"/>
        </w:rPr>
        <w:t xml:space="preserve"> </w:t>
      </w:r>
      <w:r w:rsidRPr="00DD1E00">
        <w:rPr>
          <w:rFonts w:ascii="Arial" w:hAnsi="Arial" w:cs="Arial"/>
          <w:sz w:val="20"/>
          <w:szCs w:val="20"/>
        </w:rPr>
        <w:t xml:space="preserve">From fertilizers, sewage, and leaching. High nitrate causes “blue baby syndrome” (methemoglobinemia) in infants </w:t>
      </w:r>
      <w:r w:rsidR="002F3D54" w:rsidRPr="00DD1E00">
        <w:rPr>
          <w:rFonts w:ascii="Arial" w:hAnsi="Arial" w:cs="Arial"/>
          <w:sz w:val="20"/>
          <w:szCs w:val="20"/>
        </w:rPr>
        <w:t>Nitrate values range from 0.5 to 5.0, with most values between 0.5 and 2.5</w:t>
      </w:r>
      <w:r w:rsidR="00BE5B02" w:rsidRPr="00DD1E00">
        <w:rPr>
          <w:rFonts w:ascii="Arial" w:hAnsi="Arial" w:cs="Arial"/>
          <w:sz w:val="20"/>
          <w:szCs w:val="20"/>
        </w:rPr>
        <w:t xml:space="preserve"> Nitrate levels, ranging from 0.5 to 5.0 mg/L with common </w:t>
      </w:r>
      <w:r w:rsidR="00BE5B02" w:rsidRPr="00152925">
        <w:rPr>
          <w:rFonts w:ascii="Arial" w:hAnsi="Arial" w:cs="Arial"/>
          <w:sz w:val="20"/>
          <w:szCs w:val="20"/>
        </w:rPr>
        <w:t>values below 2.5 mg/L and seasonal peaks during monsoon and spring (May, June, November, and March), are considered safe according to BIS/WHO guidelines, as they fall well below the permissible limit of 45 mg/L</w:t>
      </w:r>
      <w:r w:rsidR="0056243C" w:rsidRPr="00152925">
        <w:rPr>
          <w:rFonts w:ascii="Arial" w:hAnsi="Arial" w:cs="Arial"/>
          <w:sz w:val="20"/>
          <w:szCs w:val="20"/>
        </w:rPr>
        <w:t xml:space="preserve"> (</w:t>
      </w:r>
      <w:r w:rsidR="0071636E" w:rsidRPr="00152925">
        <w:rPr>
          <w:rFonts w:ascii="Arial" w:hAnsi="Arial" w:cs="Arial"/>
          <w:sz w:val="20"/>
          <w:szCs w:val="20"/>
        </w:rPr>
        <w:t>Fig.</w:t>
      </w:r>
      <w:r w:rsidR="0056243C" w:rsidRPr="00152925">
        <w:rPr>
          <w:rFonts w:ascii="Arial" w:hAnsi="Arial" w:cs="Arial"/>
          <w:sz w:val="20"/>
          <w:szCs w:val="20"/>
        </w:rPr>
        <w:t>4).</w:t>
      </w:r>
    </w:p>
    <w:p w14:paraId="118B208B" w14:textId="48E86977" w:rsidR="000735E6" w:rsidRPr="00DD1E00" w:rsidRDefault="000735E6" w:rsidP="000735E6">
      <w:pPr>
        <w:rPr>
          <w:rFonts w:ascii="Arial" w:hAnsi="Arial" w:cs="Arial"/>
          <w:sz w:val="20"/>
          <w:szCs w:val="20"/>
        </w:rPr>
      </w:pPr>
      <w:r w:rsidRPr="00DD1E00">
        <w:rPr>
          <w:rFonts w:ascii="Arial" w:hAnsi="Arial" w:cs="Arial"/>
          <w:noProof/>
          <w:sz w:val="20"/>
          <w:szCs w:val="20"/>
        </w:rPr>
        <w:drawing>
          <wp:inline distT="0" distB="0" distL="0" distR="0" wp14:anchorId="72A4A835" wp14:editId="686D9C28">
            <wp:extent cx="3416489" cy="2219960"/>
            <wp:effectExtent l="0" t="0" r="12700" b="8890"/>
            <wp:docPr id="150765588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6C232E" w14:textId="5B8FB894" w:rsidR="000735E6" w:rsidRPr="00DD1E00" w:rsidRDefault="0071636E" w:rsidP="000735E6">
      <w:pPr>
        <w:rPr>
          <w:rFonts w:ascii="Arial" w:hAnsi="Arial" w:cs="Arial"/>
          <w:sz w:val="20"/>
          <w:szCs w:val="20"/>
        </w:rPr>
      </w:pPr>
      <w:r w:rsidRPr="00DD1E00">
        <w:rPr>
          <w:rFonts w:ascii="Arial" w:hAnsi="Arial" w:cs="Arial"/>
          <w:sz w:val="20"/>
          <w:szCs w:val="20"/>
        </w:rPr>
        <w:t>Fig</w:t>
      </w:r>
      <w:r w:rsidR="000735E6" w:rsidRPr="00DD1E00">
        <w:rPr>
          <w:rFonts w:ascii="Arial" w:hAnsi="Arial" w:cs="Arial"/>
          <w:sz w:val="20"/>
          <w:szCs w:val="20"/>
        </w:rPr>
        <w:t>.4- Monthly Fluctuation -Fluoride and Nitrate</w:t>
      </w:r>
    </w:p>
    <w:p w14:paraId="69F9BDCF" w14:textId="177D8BD7" w:rsidR="008736F1" w:rsidRPr="00DD1E00" w:rsidRDefault="00B11A98" w:rsidP="002F3D54">
      <w:pPr>
        <w:rPr>
          <w:rFonts w:ascii="Arial" w:hAnsi="Arial" w:cs="Arial"/>
          <w:sz w:val="20"/>
          <w:szCs w:val="20"/>
        </w:rPr>
      </w:pPr>
      <w:r w:rsidRPr="00DD1E00">
        <w:rPr>
          <w:rFonts w:ascii="Arial" w:hAnsi="Arial" w:cs="Arial"/>
          <w:sz w:val="20"/>
          <w:szCs w:val="20"/>
        </w:rPr>
        <w:t xml:space="preserve">Iron was consistently absent (0 mg/L) throughout the study, suggestion-bearing strata or corroded pipelines </w:t>
      </w:r>
      <w:r w:rsidR="00A6337F" w:rsidRPr="00DD1E00">
        <w:rPr>
          <w:rFonts w:ascii="Arial" w:hAnsi="Arial" w:cs="Arial"/>
          <w:sz w:val="20"/>
          <w:szCs w:val="20"/>
        </w:rPr>
        <w:t>A toxic metalloid. Long-term exposure linked to cancers, skin lesions, and neurological disorders.</w:t>
      </w:r>
      <w:r w:rsidR="00452498" w:rsidRPr="00DD1E00">
        <w:rPr>
          <w:rFonts w:ascii="Arial" w:hAnsi="Arial" w:cs="Arial"/>
          <w:sz w:val="20"/>
          <w:szCs w:val="20"/>
        </w:rPr>
        <w:t xml:space="preserve"> </w:t>
      </w:r>
      <w:r w:rsidR="008736F1" w:rsidRPr="00DD1E00">
        <w:rPr>
          <w:rFonts w:ascii="Arial" w:hAnsi="Arial" w:cs="Arial"/>
          <w:sz w:val="20"/>
          <w:szCs w:val="20"/>
        </w:rPr>
        <w:t xml:space="preserve">Arsenic remained persistently high (25–50 µg/L), with November 2024 peaking at 50 µg/L, which exceeds both BIS (10 µg/L) and WHO (10 µg/L) limits. Arsenic values range from 1.2 to 50, with most values at 25. </w:t>
      </w:r>
      <w:r w:rsidR="006C5350" w:rsidRPr="00DD1E00">
        <w:rPr>
          <w:rFonts w:ascii="Arial" w:hAnsi="Arial" w:cs="Arial"/>
          <w:sz w:val="20"/>
          <w:szCs w:val="20"/>
        </w:rPr>
        <w:t>Chronic arsenic exposure is a serious public health hazard associated with cancers, skin lesions, and neurological dysfunction (Kumari &amp; Singh, 2022</w:t>
      </w:r>
      <w:r w:rsidR="0071636E" w:rsidRPr="00DD1E00">
        <w:rPr>
          <w:rFonts w:ascii="Arial" w:hAnsi="Arial" w:cs="Arial"/>
          <w:sz w:val="20"/>
          <w:szCs w:val="20"/>
        </w:rPr>
        <w:t>(Fig.5)</w:t>
      </w:r>
      <w:r w:rsidR="00DD5570" w:rsidRPr="00DD1E00">
        <w:rPr>
          <w:rFonts w:ascii="Arial" w:hAnsi="Arial" w:cs="Arial"/>
          <w:sz w:val="20"/>
          <w:szCs w:val="20"/>
        </w:rPr>
        <w:t>.</w:t>
      </w:r>
    </w:p>
    <w:p w14:paraId="182C3CFC" w14:textId="742C54C7" w:rsidR="008736F1" w:rsidRPr="00DD1E00" w:rsidRDefault="008736F1" w:rsidP="002F3D54">
      <w:pPr>
        <w:rPr>
          <w:rFonts w:ascii="Arial" w:hAnsi="Arial" w:cs="Arial"/>
          <w:sz w:val="20"/>
          <w:szCs w:val="20"/>
        </w:rPr>
      </w:pPr>
      <w:r w:rsidRPr="00DD1E00">
        <w:rPr>
          <w:rFonts w:ascii="Arial" w:hAnsi="Arial" w:cs="Arial"/>
          <w:noProof/>
          <w:sz w:val="20"/>
          <w:szCs w:val="20"/>
        </w:rPr>
        <w:drawing>
          <wp:inline distT="0" distB="0" distL="0" distR="0" wp14:anchorId="63BD5033" wp14:editId="3BA6257B">
            <wp:extent cx="3309538" cy="2132965"/>
            <wp:effectExtent l="0" t="0" r="5715" b="635"/>
            <wp:docPr id="1401550635"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4D35E1E" w14:textId="448C8F58" w:rsidR="008F0DB3" w:rsidRPr="00DD1E00" w:rsidRDefault="0071636E" w:rsidP="002F3D54">
      <w:pPr>
        <w:rPr>
          <w:rFonts w:ascii="Arial" w:hAnsi="Arial" w:cs="Arial"/>
          <w:sz w:val="20"/>
          <w:szCs w:val="20"/>
        </w:rPr>
      </w:pPr>
      <w:r w:rsidRPr="00DD1E00">
        <w:rPr>
          <w:rFonts w:ascii="Arial" w:hAnsi="Arial" w:cs="Arial"/>
          <w:sz w:val="20"/>
          <w:szCs w:val="20"/>
        </w:rPr>
        <w:t>Fig</w:t>
      </w:r>
      <w:r w:rsidR="008736F1" w:rsidRPr="00DD1E00">
        <w:rPr>
          <w:rFonts w:ascii="Arial" w:hAnsi="Arial" w:cs="Arial"/>
          <w:sz w:val="20"/>
          <w:szCs w:val="20"/>
        </w:rPr>
        <w:t>.5- Monthly Fluctuation -Iron and Arsenic</w:t>
      </w:r>
    </w:p>
    <w:p w14:paraId="38BAA770" w14:textId="77777777" w:rsidR="00BB0477" w:rsidRDefault="00636962" w:rsidP="008F0DB3">
      <w:pPr>
        <w:rPr>
          <w:rFonts w:ascii="Arial" w:hAnsi="Arial" w:cs="Arial"/>
          <w:sz w:val="20"/>
          <w:szCs w:val="20"/>
        </w:rPr>
      </w:pPr>
      <w:r w:rsidRPr="00DD1E00">
        <w:rPr>
          <w:rFonts w:ascii="Arial" w:hAnsi="Arial" w:cs="Arial"/>
          <w:sz w:val="20"/>
          <w:szCs w:val="20"/>
        </w:rPr>
        <w:t>A natural mineral. Normally harmless, but very high levels may affect individuals with kidney/cardiac problems.</w:t>
      </w:r>
      <w:r w:rsidR="007E2022" w:rsidRPr="00DD1E00">
        <w:rPr>
          <w:rFonts w:ascii="Arial" w:hAnsi="Arial" w:cs="Arial"/>
          <w:sz w:val="20"/>
          <w:szCs w:val="20"/>
        </w:rPr>
        <w:t xml:space="preserve"> </w:t>
      </w:r>
      <w:r w:rsidR="002F3D54" w:rsidRPr="00DD1E00">
        <w:rPr>
          <w:rFonts w:ascii="Arial" w:hAnsi="Arial" w:cs="Arial"/>
          <w:sz w:val="20"/>
          <w:szCs w:val="20"/>
        </w:rPr>
        <w:t>Potassium values vary from 15 to 18</w:t>
      </w:r>
      <w:r w:rsidR="00DB3347" w:rsidRPr="00DD1E00">
        <w:rPr>
          <w:rFonts w:ascii="Arial" w:hAnsi="Arial" w:cs="Arial"/>
          <w:sz w:val="20"/>
          <w:szCs w:val="20"/>
        </w:rPr>
        <w:t xml:space="preserve"> mg/L</w:t>
      </w:r>
      <w:r w:rsidR="002F3D54" w:rsidRPr="00DD1E00">
        <w:rPr>
          <w:rFonts w:ascii="Arial" w:hAnsi="Arial" w:cs="Arial"/>
          <w:sz w:val="20"/>
          <w:szCs w:val="20"/>
        </w:rPr>
        <w:t xml:space="preserve">, with most values between 15 and </w:t>
      </w:r>
      <w:r w:rsidR="008F0DB3" w:rsidRPr="00DD1E00">
        <w:rPr>
          <w:rFonts w:ascii="Arial" w:hAnsi="Arial" w:cs="Arial"/>
          <w:sz w:val="20"/>
          <w:szCs w:val="20"/>
        </w:rPr>
        <w:t xml:space="preserve">17. Slight rise in Sep &amp; January may affect kidney patients if in excess, and according to BIS/WHO guidelines, there's no strict limit making it acceptable. </w:t>
      </w:r>
    </w:p>
    <w:p w14:paraId="600F9BE7" w14:textId="77777777" w:rsidR="00406006" w:rsidRDefault="008F0DB3" w:rsidP="00936142">
      <w:pPr>
        <w:rPr>
          <w:rFonts w:ascii="Arial" w:hAnsi="Arial" w:cs="Arial"/>
          <w:sz w:val="20"/>
          <w:szCs w:val="20"/>
        </w:rPr>
      </w:pPr>
      <w:r w:rsidRPr="00DD1E00">
        <w:rPr>
          <w:rFonts w:ascii="Arial" w:hAnsi="Arial" w:cs="Arial"/>
          <w:sz w:val="20"/>
          <w:szCs w:val="20"/>
        </w:rPr>
        <w:lastRenderedPageBreak/>
        <w:t>Elevated concentrations of this essential nutrient can paradoxically contribute to increased water hardness, gastrointestinal disturbances characterized by laxative effects, and the formation of scales, underscoring the complex relationship between nutrient levels and water quality dynamics. It is with a range of 117–134 mg/L and a common range of 125–130 mg/L, exhibits a peak concentration in November (134 mg/L), and according to BIS guidelines, the levels are slightly high, exceeding the desirable limit of 30–100 mg/L but within the permissible limit of 200 mg/L (Fig.6).</w:t>
      </w:r>
    </w:p>
    <w:p w14:paraId="5D099526" w14:textId="08CDF3D3" w:rsidR="008F0DB3" w:rsidRPr="00DD1E00" w:rsidRDefault="008F0DB3" w:rsidP="00936142">
      <w:pPr>
        <w:rPr>
          <w:rFonts w:ascii="Arial" w:hAnsi="Arial" w:cs="Arial"/>
          <w:sz w:val="20"/>
          <w:szCs w:val="20"/>
        </w:rPr>
      </w:pPr>
      <w:r w:rsidRPr="00DD1E00">
        <w:rPr>
          <w:rFonts w:ascii="Arial" w:hAnsi="Arial" w:cs="Arial"/>
          <w:noProof/>
          <w:sz w:val="20"/>
          <w:szCs w:val="20"/>
        </w:rPr>
        <w:drawing>
          <wp:anchor distT="0" distB="0" distL="114300" distR="114300" simplePos="0" relativeHeight="251667456" behindDoc="0" locked="0" layoutInCell="1" allowOverlap="1" wp14:anchorId="7EC8680E" wp14:editId="694CD8BF">
            <wp:simplePos x="0" y="0"/>
            <wp:positionH relativeFrom="column">
              <wp:posOffset>0</wp:posOffset>
            </wp:positionH>
            <wp:positionV relativeFrom="paragraph">
              <wp:posOffset>314325</wp:posOffset>
            </wp:positionV>
            <wp:extent cx="3347156" cy="2277110"/>
            <wp:effectExtent l="0" t="0" r="5715" b="8890"/>
            <wp:wrapTopAndBottom/>
            <wp:docPr id="124793364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anchor>
        </w:drawing>
      </w:r>
    </w:p>
    <w:p w14:paraId="1E641666" w14:textId="77777777" w:rsidR="008F0DB3" w:rsidRPr="00DD1E00" w:rsidRDefault="008F0DB3" w:rsidP="00936142">
      <w:pPr>
        <w:rPr>
          <w:rFonts w:ascii="Arial" w:hAnsi="Arial" w:cs="Arial"/>
          <w:sz w:val="20"/>
          <w:szCs w:val="20"/>
        </w:rPr>
      </w:pPr>
    </w:p>
    <w:p w14:paraId="762B2849" w14:textId="020895B6" w:rsidR="005A38FF" w:rsidRPr="00DD1E00" w:rsidRDefault="005A38FF" w:rsidP="00936142">
      <w:pPr>
        <w:rPr>
          <w:rFonts w:ascii="Arial" w:hAnsi="Arial" w:cs="Arial"/>
          <w:sz w:val="20"/>
          <w:szCs w:val="20"/>
        </w:rPr>
      </w:pPr>
      <w:r w:rsidRPr="00DD1E00">
        <w:rPr>
          <w:rFonts w:ascii="Arial" w:hAnsi="Arial" w:cs="Arial"/>
          <w:sz w:val="20"/>
          <w:szCs w:val="20"/>
        </w:rPr>
        <w:t>Fig.6- Monthly Fluctuation-Potassium and Magnesium.</w:t>
      </w:r>
    </w:p>
    <w:p w14:paraId="050EE774" w14:textId="6BB8FB07" w:rsidR="00851574" w:rsidRPr="00DD1E00" w:rsidRDefault="007C0E6F" w:rsidP="00C838DD">
      <w:pPr>
        <w:rPr>
          <w:rFonts w:ascii="Arial" w:hAnsi="Arial" w:cs="Arial"/>
          <w:sz w:val="20"/>
          <w:szCs w:val="20"/>
        </w:rPr>
      </w:pPr>
      <w:r w:rsidRPr="00DD1E00">
        <w:rPr>
          <w:rFonts w:ascii="Arial" w:hAnsi="Arial" w:cs="Arial"/>
          <w:sz w:val="20"/>
          <w:szCs w:val="20"/>
        </w:rPr>
        <w:t xml:space="preserve">Sulphate concentrations exceeding permissible limits can lead to a bitter taste in water, promote corrosion of infrastructure, and cause gastrointestinal issues, including laxative effects such as diarrhea, thereby impacting both water quality and public health. </w:t>
      </w:r>
      <w:r w:rsidR="003F7E28" w:rsidRPr="00DD1E00">
        <w:rPr>
          <w:rFonts w:ascii="Arial" w:hAnsi="Arial" w:cs="Arial"/>
          <w:sz w:val="20"/>
          <w:szCs w:val="20"/>
        </w:rPr>
        <w:t>Sulphate levels in the water range from 20 to 55 mg/L, typically between 25-28 mg/L, with a peak of 55 mg/L in March, and are considered safe according to BIS standards, as they fall well below the desirable limit of 200 mg/L and the permissible limit of 400 mg/L, posing no risk of bitter taste or laxative effects.</w:t>
      </w:r>
      <w:r w:rsidR="00D13230" w:rsidRPr="00DD1E00">
        <w:rPr>
          <w:rFonts w:ascii="Arial" w:hAnsi="Arial" w:cs="Arial"/>
          <w:sz w:val="20"/>
          <w:szCs w:val="20"/>
        </w:rPr>
        <w:t xml:space="preserve">) </w:t>
      </w:r>
      <w:r w:rsidR="00C838DD" w:rsidRPr="00DD1E00">
        <w:rPr>
          <w:rFonts w:ascii="Arial" w:hAnsi="Arial" w:cs="Arial"/>
          <w:sz w:val="20"/>
          <w:szCs w:val="20"/>
        </w:rPr>
        <w:t xml:space="preserve">Carbon dioxide </w:t>
      </w:r>
      <w:r w:rsidR="00676086" w:rsidRPr="00DD1E00">
        <w:rPr>
          <w:rFonts w:ascii="Arial" w:hAnsi="Arial" w:cs="Arial"/>
          <w:sz w:val="20"/>
          <w:szCs w:val="20"/>
        </w:rPr>
        <w:t xml:space="preserve">is </w:t>
      </w:r>
      <w:proofErr w:type="gramStart"/>
      <w:r w:rsidR="00676086" w:rsidRPr="00DD1E00">
        <w:rPr>
          <w:rFonts w:ascii="Arial" w:hAnsi="Arial" w:cs="Arial"/>
          <w:sz w:val="20"/>
          <w:szCs w:val="20"/>
        </w:rPr>
        <w:t>a dissolved gases</w:t>
      </w:r>
      <w:proofErr w:type="gramEnd"/>
      <w:r w:rsidR="00676086" w:rsidRPr="00DD1E00">
        <w:rPr>
          <w:rFonts w:ascii="Arial" w:hAnsi="Arial" w:cs="Arial"/>
          <w:sz w:val="20"/>
          <w:szCs w:val="20"/>
        </w:rPr>
        <w:t xml:space="preserve"> indicates a potential impact on water chemistry, as high levels can lower pH, increase corrosiveness, and alter aquatic chemistry, thereby affecting the overall water quality and ecosystem balance.</w:t>
      </w:r>
      <w:r w:rsidR="000F1820" w:rsidRPr="00DD1E00">
        <w:rPr>
          <w:rFonts w:ascii="Arial" w:hAnsi="Arial" w:cs="Arial"/>
          <w:sz w:val="20"/>
          <w:szCs w:val="20"/>
        </w:rPr>
        <w:t xml:space="preserve"> its </w:t>
      </w:r>
      <w:r w:rsidR="00C838DD" w:rsidRPr="00DD1E00">
        <w:rPr>
          <w:rFonts w:ascii="Arial" w:hAnsi="Arial" w:cs="Arial"/>
          <w:sz w:val="20"/>
          <w:szCs w:val="20"/>
        </w:rPr>
        <w:t>values vary from 10 to 45.</w:t>
      </w:r>
      <w:r w:rsidR="00D13230" w:rsidRPr="00DD1E00">
        <w:rPr>
          <w:rFonts w:ascii="Arial" w:hAnsi="Arial" w:cs="Arial"/>
          <w:sz w:val="20"/>
          <w:szCs w:val="20"/>
        </w:rPr>
        <w:t xml:space="preserve"> mostly range 25 to 35 mg/L,</w:t>
      </w:r>
      <w:r w:rsidR="00716BD3" w:rsidRPr="00DD1E00">
        <w:rPr>
          <w:rFonts w:ascii="Arial" w:hAnsi="Arial" w:cs="Arial"/>
          <w:sz w:val="20"/>
          <w:szCs w:val="20"/>
        </w:rPr>
        <w:t xml:space="preserve"> with higher concentrations observed post-monsoon in November, and are considered acceptable as per BIS/WHO guidelines, which do not specify a f</w:t>
      </w:r>
      <w:r w:rsidR="00FD2AAA" w:rsidRPr="00DD1E00">
        <w:rPr>
          <w:rFonts w:ascii="Arial" w:hAnsi="Arial" w:cs="Arial"/>
          <w:sz w:val="20"/>
          <w:szCs w:val="20"/>
        </w:rPr>
        <w:t>ixed limit for these parameters</w:t>
      </w:r>
      <w:r w:rsidR="00480B16" w:rsidRPr="00DD1E00">
        <w:rPr>
          <w:rFonts w:ascii="Arial" w:hAnsi="Arial" w:cs="Arial"/>
          <w:sz w:val="20"/>
          <w:szCs w:val="20"/>
        </w:rPr>
        <w:t xml:space="preserve"> (</w:t>
      </w:r>
      <w:r w:rsidR="00AE340C" w:rsidRPr="00DD1E00">
        <w:rPr>
          <w:rFonts w:ascii="Arial" w:hAnsi="Arial" w:cs="Arial"/>
          <w:sz w:val="20"/>
          <w:szCs w:val="20"/>
        </w:rPr>
        <w:t>Fig No.7)</w:t>
      </w:r>
      <w:r w:rsidR="00FD2AAA" w:rsidRPr="00DD1E00">
        <w:rPr>
          <w:rFonts w:ascii="Arial" w:hAnsi="Arial" w:cs="Arial"/>
          <w:sz w:val="20"/>
          <w:szCs w:val="20"/>
        </w:rPr>
        <w:t>.</w:t>
      </w:r>
      <w:r w:rsidR="00DD1E00">
        <w:rPr>
          <w:rFonts w:ascii="Arial" w:hAnsi="Arial" w:cs="Arial"/>
          <w:sz w:val="20"/>
          <w:szCs w:val="20"/>
        </w:rPr>
        <w:t xml:space="preserve"> </w:t>
      </w:r>
    </w:p>
    <w:p w14:paraId="78F3957C" w14:textId="4555B91F" w:rsidR="00D13230" w:rsidRPr="00DD1E00" w:rsidRDefault="003277BE" w:rsidP="00C838DD">
      <w:pPr>
        <w:rPr>
          <w:rFonts w:ascii="Arial" w:hAnsi="Arial" w:cs="Arial"/>
          <w:sz w:val="20"/>
          <w:szCs w:val="20"/>
        </w:rPr>
      </w:pPr>
      <w:r w:rsidRPr="00DD1E00">
        <w:rPr>
          <w:rFonts w:ascii="Arial" w:hAnsi="Arial" w:cs="Arial"/>
          <w:noProof/>
          <w:sz w:val="20"/>
          <w:szCs w:val="20"/>
        </w:rPr>
        <w:lastRenderedPageBreak/>
        <w:drawing>
          <wp:anchor distT="0" distB="0" distL="114300" distR="114300" simplePos="0" relativeHeight="251658240" behindDoc="0" locked="0" layoutInCell="1" allowOverlap="1" wp14:anchorId="52BD24AA" wp14:editId="41297372">
            <wp:simplePos x="0" y="0"/>
            <wp:positionH relativeFrom="column">
              <wp:align>left</wp:align>
            </wp:positionH>
            <wp:positionV relativeFrom="paragraph">
              <wp:align>top</wp:align>
            </wp:positionV>
            <wp:extent cx="3503930" cy="2253553"/>
            <wp:effectExtent l="0" t="0" r="1270" b="13970"/>
            <wp:wrapSquare wrapText="bothSides"/>
            <wp:docPr id="68855012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475D5B52" w14:textId="77777777" w:rsidR="000643FA" w:rsidRPr="00DD1E00" w:rsidRDefault="000643FA" w:rsidP="00C838DD">
      <w:pPr>
        <w:rPr>
          <w:rFonts w:ascii="Arial" w:hAnsi="Arial" w:cs="Arial"/>
          <w:sz w:val="20"/>
          <w:szCs w:val="20"/>
        </w:rPr>
      </w:pPr>
    </w:p>
    <w:p w14:paraId="06700D9F" w14:textId="77777777" w:rsidR="000643FA" w:rsidRPr="00DD1E00" w:rsidRDefault="000643FA" w:rsidP="00C838DD">
      <w:pPr>
        <w:rPr>
          <w:rFonts w:ascii="Arial" w:hAnsi="Arial" w:cs="Arial"/>
          <w:sz w:val="20"/>
          <w:szCs w:val="20"/>
        </w:rPr>
      </w:pPr>
    </w:p>
    <w:p w14:paraId="60C9B55F" w14:textId="77777777" w:rsidR="000643FA" w:rsidRPr="00DD1E00" w:rsidRDefault="000643FA" w:rsidP="00C838DD">
      <w:pPr>
        <w:rPr>
          <w:rFonts w:ascii="Arial" w:hAnsi="Arial" w:cs="Arial"/>
          <w:sz w:val="20"/>
          <w:szCs w:val="20"/>
        </w:rPr>
      </w:pPr>
    </w:p>
    <w:p w14:paraId="6D5AC7AF" w14:textId="77777777" w:rsidR="000643FA" w:rsidRPr="00DD1E00" w:rsidRDefault="000643FA" w:rsidP="00C838DD">
      <w:pPr>
        <w:rPr>
          <w:rFonts w:ascii="Arial" w:hAnsi="Arial" w:cs="Arial"/>
          <w:sz w:val="20"/>
          <w:szCs w:val="20"/>
        </w:rPr>
      </w:pPr>
    </w:p>
    <w:p w14:paraId="22B8D325" w14:textId="77777777" w:rsidR="000643FA" w:rsidRPr="00DD1E00" w:rsidRDefault="000643FA" w:rsidP="00C838DD">
      <w:pPr>
        <w:rPr>
          <w:rFonts w:ascii="Arial" w:hAnsi="Arial" w:cs="Arial"/>
          <w:sz w:val="20"/>
          <w:szCs w:val="20"/>
        </w:rPr>
      </w:pPr>
    </w:p>
    <w:p w14:paraId="4E86A4E4" w14:textId="77777777" w:rsidR="000643FA" w:rsidRPr="00DD1E00" w:rsidRDefault="000643FA" w:rsidP="00C838DD">
      <w:pPr>
        <w:rPr>
          <w:rFonts w:ascii="Arial" w:hAnsi="Arial" w:cs="Arial"/>
          <w:sz w:val="20"/>
          <w:szCs w:val="20"/>
        </w:rPr>
      </w:pPr>
    </w:p>
    <w:p w14:paraId="5FAF1486" w14:textId="77777777" w:rsidR="000643FA" w:rsidRPr="00DD1E00" w:rsidRDefault="000643FA" w:rsidP="00C838DD">
      <w:pPr>
        <w:rPr>
          <w:rFonts w:ascii="Arial" w:hAnsi="Arial" w:cs="Arial"/>
          <w:noProof/>
          <w:sz w:val="20"/>
          <w:szCs w:val="20"/>
        </w:rPr>
      </w:pPr>
    </w:p>
    <w:p w14:paraId="3BB9BE3D" w14:textId="007A0461" w:rsidR="00851574" w:rsidRPr="00DD1E00" w:rsidRDefault="000C6BDC">
      <w:pPr>
        <w:rPr>
          <w:rFonts w:ascii="Arial" w:hAnsi="Arial" w:cs="Arial"/>
          <w:noProof/>
          <w:sz w:val="20"/>
          <w:szCs w:val="20"/>
        </w:rPr>
      </w:pPr>
      <w:r>
        <w:rPr>
          <w:rFonts w:ascii="Arial" w:hAnsi="Arial" w:cs="Arial"/>
          <w:noProof/>
          <w:sz w:val="20"/>
          <w:szCs w:val="20"/>
        </w:rPr>
        <w:t xml:space="preserve">Fig 7 </w:t>
      </w:r>
      <w:r w:rsidR="003277BE" w:rsidRPr="00DD1E00">
        <w:rPr>
          <w:rFonts w:ascii="Arial" w:hAnsi="Arial" w:cs="Arial"/>
          <w:noProof/>
          <w:sz w:val="20"/>
          <w:szCs w:val="20"/>
        </w:rPr>
        <w:t xml:space="preserve"> -Monthly Flactuation – Sulphate and Carbon-dioxide</w:t>
      </w:r>
    </w:p>
    <w:p w14:paraId="27711FEA" w14:textId="001E8035" w:rsidR="00BA698F" w:rsidRPr="00152925" w:rsidRDefault="00BA698F" w:rsidP="00E7644C">
      <w:pPr>
        <w:spacing w:after="160" w:line="259" w:lineRule="auto"/>
        <w:rPr>
          <w:rFonts w:ascii="Arial" w:hAnsi="Arial" w:cs="Arial"/>
          <w:noProof/>
          <w:sz w:val="20"/>
          <w:szCs w:val="20"/>
        </w:rPr>
      </w:pPr>
      <w:r w:rsidRPr="00DD1E00">
        <w:rPr>
          <w:rFonts w:ascii="Arial" w:hAnsi="Arial" w:cs="Arial"/>
          <w:sz w:val="20"/>
          <w:szCs w:val="20"/>
        </w:rPr>
        <w:t xml:space="preserve">Microbial contamination is one of the most critical indicators of drinking water safety. The presence of bacteria (especially coliforms), yeasts, and other microorganisms directly threatens public health. Unlike chemical contaminants that usually cause long-term effects, microbes can cause immediate illnesses such as diarrhea, cholera, </w:t>
      </w:r>
      <w:r w:rsidRPr="00152925">
        <w:rPr>
          <w:rFonts w:ascii="Arial" w:hAnsi="Arial" w:cs="Arial"/>
          <w:sz w:val="20"/>
          <w:szCs w:val="20"/>
        </w:rPr>
        <w:t>dysentery, typhoid, and gastrointestinal infections. WHO recommends zero coliform bacteria in 100 ml of drinking water, as even a small presence can be unsafe for</w:t>
      </w:r>
      <w:r w:rsidR="00E57DCD" w:rsidRPr="00152925">
        <w:rPr>
          <w:rFonts w:ascii="Arial" w:hAnsi="Arial" w:cs="Arial"/>
          <w:sz w:val="20"/>
          <w:szCs w:val="20"/>
        </w:rPr>
        <w:t xml:space="preserve"> mankind</w:t>
      </w:r>
      <w:r w:rsidRPr="00152925">
        <w:rPr>
          <w:rFonts w:ascii="Arial" w:hAnsi="Arial" w:cs="Arial"/>
          <w:sz w:val="20"/>
          <w:szCs w:val="20"/>
        </w:rPr>
        <w:t>.</w:t>
      </w:r>
    </w:p>
    <w:p w14:paraId="0C6D49DF" w14:textId="20130367" w:rsidR="00C515B9" w:rsidRPr="00152925" w:rsidRDefault="00E7644C">
      <w:pPr>
        <w:rPr>
          <w:rFonts w:ascii="Arial" w:hAnsi="Arial" w:cs="Arial"/>
          <w:noProof/>
          <w:sz w:val="20"/>
          <w:szCs w:val="20"/>
        </w:rPr>
      </w:pPr>
      <w:r w:rsidRPr="00152925">
        <w:rPr>
          <w:rFonts w:ascii="Arial" w:hAnsi="Arial" w:cs="Arial"/>
          <w:sz w:val="20"/>
          <w:szCs w:val="20"/>
        </w:rPr>
        <w:t>Table 2: Microbial</w:t>
      </w:r>
      <w:r w:rsidR="0021700B" w:rsidRPr="00152925">
        <w:rPr>
          <w:rFonts w:ascii="Arial" w:hAnsi="Arial" w:cs="Arial"/>
          <w:sz w:val="20"/>
          <w:szCs w:val="20"/>
        </w:rPr>
        <w:t xml:space="preserve"> contamination level in water samples.</w:t>
      </w:r>
    </w:p>
    <w:tbl>
      <w:tblPr>
        <w:tblStyle w:val="TableGrid"/>
        <w:tblpPr w:leftFromText="180" w:rightFromText="180" w:vertAnchor="text" w:tblpY="1"/>
        <w:tblOverlap w:val="never"/>
        <w:tblW w:w="0" w:type="auto"/>
        <w:tblLook w:val="04A0" w:firstRow="1" w:lastRow="0" w:firstColumn="1" w:lastColumn="0" w:noHBand="0" w:noVBand="1"/>
      </w:tblPr>
      <w:tblGrid>
        <w:gridCol w:w="2239"/>
        <w:gridCol w:w="1929"/>
        <w:gridCol w:w="2733"/>
        <w:gridCol w:w="2449"/>
      </w:tblGrid>
      <w:tr w:rsidR="00152925" w:rsidRPr="00152925" w14:paraId="5627EC8A" w14:textId="77777777" w:rsidTr="00F84EF0">
        <w:trPr>
          <w:trHeight w:val="805"/>
        </w:trPr>
        <w:tc>
          <w:tcPr>
            <w:tcW w:w="2274" w:type="dxa"/>
            <w:hideMark/>
          </w:tcPr>
          <w:p w14:paraId="7BC1D494"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Month (2024-2025)</w:t>
            </w:r>
          </w:p>
        </w:tc>
        <w:tc>
          <w:tcPr>
            <w:tcW w:w="1985" w:type="dxa"/>
            <w:hideMark/>
          </w:tcPr>
          <w:p w14:paraId="56053497" w14:textId="258F4AD5"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Tot</w:t>
            </w:r>
            <w:r w:rsidR="007444E5" w:rsidRPr="00152925">
              <w:rPr>
                <w:rFonts w:ascii="Arial" w:hAnsi="Arial" w:cs="Arial"/>
                <w:sz w:val="20"/>
                <w:szCs w:val="20"/>
                <w:lang w:val="en-IN"/>
              </w:rPr>
              <w:t>a</w:t>
            </w:r>
            <w:r w:rsidRPr="00152925">
              <w:rPr>
                <w:rFonts w:ascii="Arial" w:hAnsi="Arial" w:cs="Arial"/>
                <w:sz w:val="20"/>
                <w:szCs w:val="20"/>
                <w:lang w:val="en-IN"/>
              </w:rPr>
              <w:t>l yeast count/ml</w:t>
            </w:r>
          </w:p>
        </w:tc>
        <w:tc>
          <w:tcPr>
            <w:tcW w:w="2835" w:type="dxa"/>
            <w:hideMark/>
          </w:tcPr>
          <w:p w14:paraId="20BF643E" w14:textId="3FE099BF"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 xml:space="preserve">Total </w:t>
            </w:r>
            <w:r w:rsidR="00322C0A" w:rsidRPr="00152925">
              <w:rPr>
                <w:rFonts w:ascii="Arial" w:hAnsi="Arial" w:cs="Arial"/>
                <w:sz w:val="20"/>
                <w:szCs w:val="20"/>
                <w:lang w:val="en-IN"/>
              </w:rPr>
              <w:t>B</w:t>
            </w:r>
            <w:r w:rsidRPr="00152925">
              <w:rPr>
                <w:rFonts w:ascii="Arial" w:hAnsi="Arial" w:cs="Arial"/>
                <w:sz w:val="20"/>
                <w:szCs w:val="20"/>
                <w:lang w:val="en-IN"/>
              </w:rPr>
              <w:t>acterial count /ml</w:t>
            </w:r>
          </w:p>
        </w:tc>
        <w:tc>
          <w:tcPr>
            <w:tcW w:w="2551" w:type="dxa"/>
            <w:hideMark/>
          </w:tcPr>
          <w:p w14:paraId="69755AC3"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Time</w:t>
            </w:r>
          </w:p>
        </w:tc>
      </w:tr>
      <w:tr w:rsidR="00152925" w:rsidRPr="00152925" w14:paraId="2563DC52" w14:textId="77777777" w:rsidTr="00F84EF0">
        <w:trPr>
          <w:trHeight w:val="482"/>
        </w:trPr>
        <w:tc>
          <w:tcPr>
            <w:tcW w:w="2274" w:type="dxa"/>
            <w:hideMark/>
          </w:tcPr>
          <w:p w14:paraId="54AA5415"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May2024</w:t>
            </w:r>
          </w:p>
        </w:tc>
        <w:tc>
          <w:tcPr>
            <w:tcW w:w="1985" w:type="dxa"/>
            <w:hideMark/>
          </w:tcPr>
          <w:p w14:paraId="25687D53" w14:textId="32BE05B7" w:rsidR="00C2747B" w:rsidRPr="00152925" w:rsidRDefault="00C838DD" w:rsidP="006B366E">
            <w:pPr>
              <w:spacing w:after="200" w:line="276" w:lineRule="auto"/>
              <w:rPr>
                <w:rFonts w:ascii="Arial" w:hAnsi="Arial" w:cs="Arial"/>
                <w:sz w:val="20"/>
                <w:szCs w:val="20"/>
                <w:lang w:val="en-IN"/>
              </w:rPr>
            </w:pPr>
            <w:r w:rsidRPr="00152925">
              <w:rPr>
                <w:rFonts w:ascii="Arial" w:hAnsi="Arial" w:cs="Arial"/>
                <w:sz w:val="20"/>
                <w:szCs w:val="20"/>
                <w:lang w:val="en-IN"/>
              </w:rPr>
              <w:t>&lt; 10</w:t>
            </w:r>
            <w:r w:rsidRPr="00152925">
              <w:rPr>
                <w:rFonts w:ascii="Arial" w:hAnsi="Arial" w:cs="Arial"/>
                <w:sz w:val="20"/>
                <w:szCs w:val="20"/>
                <w:vertAlign w:val="superscript"/>
                <w:lang w:val="en-IN"/>
              </w:rPr>
              <w:t>2</w:t>
            </w:r>
          </w:p>
        </w:tc>
        <w:tc>
          <w:tcPr>
            <w:tcW w:w="2835" w:type="dxa"/>
            <w:hideMark/>
          </w:tcPr>
          <w:p w14:paraId="349CAEDF" w14:textId="68E85AA8" w:rsidR="00C2747B" w:rsidRPr="00152925" w:rsidRDefault="00C838DD" w:rsidP="006B366E">
            <w:pPr>
              <w:spacing w:after="200" w:line="276" w:lineRule="auto"/>
              <w:rPr>
                <w:rFonts w:ascii="Arial" w:hAnsi="Arial" w:cs="Arial"/>
                <w:sz w:val="20"/>
                <w:szCs w:val="20"/>
                <w:lang w:val="en-IN"/>
              </w:rPr>
            </w:pPr>
            <w:r w:rsidRPr="00152925">
              <w:rPr>
                <w:rFonts w:ascii="Arial" w:hAnsi="Arial" w:cs="Arial"/>
                <w:sz w:val="20"/>
                <w:szCs w:val="20"/>
                <w:lang w:val="en-IN"/>
              </w:rPr>
              <w:t>&lt; 10</w:t>
            </w:r>
            <w:r w:rsidRPr="00152925">
              <w:rPr>
                <w:rFonts w:ascii="Arial" w:hAnsi="Arial" w:cs="Arial"/>
                <w:sz w:val="20"/>
                <w:szCs w:val="20"/>
                <w:vertAlign w:val="superscript"/>
                <w:lang w:val="en-IN"/>
              </w:rPr>
              <w:t>2</w:t>
            </w:r>
          </w:p>
        </w:tc>
        <w:tc>
          <w:tcPr>
            <w:tcW w:w="2551" w:type="dxa"/>
            <w:hideMark/>
          </w:tcPr>
          <w:p w14:paraId="79ED730E" w14:textId="2D7E009F" w:rsidR="002A283D"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w:t>
            </w:r>
            <w:r w:rsidR="00D734CE" w:rsidRPr="00152925">
              <w:rPr>
                <w:rFonts w:ascii="Arial" w:hAnsi="Arial" w:cs="Arial"/>
                <w:sz w:val="20"/>
                <w:szCs w:val="20"/>
                <w:lang w:val="en-IN"/>
              </w:rPr>
              <w:t>rs</w:t>
            </w:r>
          </w:p>
        </w:tc>
      </w:tr>
      <w:tr w:rsidR="00152925" w:rsidRPr="00152925" w14:paraId="161B8FC5" w14:textId="77777777" w:rsidTr="00F84EF0">
        <w:trPr>
          <w:trHeight w:val="496"/>
        </w:trPr>
        <w:tc>
          <w:tcPr>
            <w:tcW w:w="2274" w:type="dxa"/>
            <w:hideMark/>
          </w:tcPr>
          <w:p w14:paraId="0307EF6A"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June2024</w:t>
            </w:r>
          </w:p>
        </w:tc>
        <w:tc>
          <w:tcPr>
            <w:tcW w:w="1985" w:type="dxa"/>
            <w:hideMark/>
          </w:tcPr>
          <w:p w14:paraId="62785CC5"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 10</w:t>
            </w:r>
            <w:r w:rsidRPr="00152925">
              <w:rPr>
                <w:rFonts w:ascii="Arial" w:hAnsi="Arial" w:cs="Arial"/>
                <w:sz w:val="20"/>
                <w:szCs w:val="20"/>
                <w:vertAlign w:val="superscript"/>
                <w:lang w:val="en-IN"/>
              </w:rPr>
              <w:t>2</w:t>
            </w:r>
          </w:p>
        </w:tc>
        <w:tc>
          <w:tcPr>
            <w:tcW w:w="2835" w:type="dxa"/>
            <w:hideMark/>
          </w:tcPr>
          <w:p w14:paraId="3E8BD24D"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 10</w:t>
            </w:r>
            <w:r w:rsidRPr="00152925">
              <w:rPr>
                <w:rFonts w:ascii="Arial" w:hAnsi="Arial" w:cs="Arial"/>
                <w:sz w:val="20"/>
                <w:szCs w:val="20"/>
                <w:vertAlign w:val="superscript"/>
                <w:lang w:val="en-IN"/>
              </w:rPr>
              <w:t>2</w:t>
            </w:r>
          </w:p>
        </w:tc>
        <w:tc>
          <w:tcPr>
            <w:tcW w:w="2551" w:type="dxa"/>
            <w:hideMark/>
          </w:tcPr>
          <w:p w14:paraId="150FB190"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r w:rsidR="00152925" w:rsidRPr="00152925" w14:paraId="0EB18949" w14:textId="77777777" w:rsidTr="00F84EF0">
        <w:trPr>
          <w:trHeight w:val="496"/>
        </w:trPr>
        <w:tc>
          <w:tcPr>
            <w:tcW w:w="2274" w:type="dxa"/>
            <w:hideMark/>
          </w:tcPr>
          <w:p w14:paraId="3A6743B8"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July2024</w:t>
            </w:r>
          </w:p>
        </w:tc>
        <w:tc>
          <w:tcPr>
            <w:tcW w:w="1985" w:type="dxa"/>
            <w:hideMark/>
          </w:tcPr>
          <w:p w14:paraId="269DCACE"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 10</w:t>
            </w:r>
            <w:r w:rsidRPr="00152925">
              <w:rPr>
                <w:rFonts w:ascii="Arial" w:hAnsi="Arial" w:cs="Arial"/>
                <w:sz w:val="20"/>
                <w:szCs w:val="20"/>
                <w:vertAlign w:val="superscript"/>
                <w:lang w:val="en-IN"/>
              </w:rPr>
              <w:t>2</w:t>
            </w:r>
          </w:p>
        </w:tc>
        <w:tc>
          <w:tcPr>
            <w:tcW w:w="2835" w:type="dxa"/>
            <w:hideMark/>
          </w:tcPr>
          <w:p w14:paraId="0E79F5F7" w14:textId="77777777" w:rsidR="00C2747B" w:rsidRPr="00152925" w:rsidRDefault="00797819" w:rsidP="006B366E">
            <w:pPr>
              <w:spacing w:after="200" w:line="276" w:lineRule="auto"/>
              <w:rPr>
                <w:rFonts w:ascii="Arial" w:hAnsi="Arial" w:cs="Arial"/>
                <w:b/>
                <w:bCs/>
                <w:sz w:val="20"/>
                <w:szCs w:val="20"/>
                <w:lang w:val="en-IN"/>
              </w:rPr>
            </w:pPr>
            <w:r w:rsidRPr="00152925">
              <w:rPr>
                <w:rFonts w:ascii="Arial" w:hAnsi="Arial" w:cs="Arial"/>
                <w:b/>
                <w:bCs/>
                <w:sz w:val="20"/>
                <w:szCs w:val="20"/>
                <w:lang w:val="en-IN"/>
              </w:rPr>
              <w:t xml:space="preserve"> 10</w:t>
            </w:r>
            <w:r w:rsidRPr="00152925">
              <w:rPr>
                <w:rFonts w:ascii="Arial" w:hAnsi="Arial" w:cs="Arial"/>
                <w:b/>
                <w:bCs/>
                <w:sz w:val="20"/>
                <w:szCs w:val="20"/>
                <w:vertAlign w:val="superscript"/>
                <w:lang w:val="en-IN"/>
              </w:rPr>
              <w:t>2</w:t>
            </w:r>
          </w:p>
        </w:tc>
        <w:tc>
          <w:tcPr>
            <w:tcW w:w="2551" w:type="dxa"/>
            <w:hideMark/>
          </w:tcPr>
          <w:p w14:paraId="77DDAFE3"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r w:rsidR="00152925" w:rsidRPr="00152925" w14:paraId="1E4F9BA6" w14:textId="77777777" w:rsidTr="00F84EF0">
        <w:trPr>
          <w:trHeight w:val="482"/>
        </w:trPr>
        <w:tc>
          <w:tcPr>
            <w:tcW w:w="2274" w:type="dxa"/>
            <w:hideMark/>
          </w:tcPr>
          <w:p w14:paraId="4BEC65B3"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August2024</w:t>
            </w:r>
          </w:p>
        </w:tc>
        <w:tc>
          <w:tcPr>
            <w:tcW w:w="1985" w:type="dxa"/>
            <w:hideMark/>
          </w:tcPr>
          <w:p w14:paraId="47065600"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835" w:type="dxa"/>
            <w:hideMark/>
          </w:tcPr>
          <w:p w14:paraId="591E0CE6" w14:textId="77777777" w:rsidR="00C2747B" w:rsidRPr="00152925" w:rsidRDefault="00797819" w:rsidP="006B366E">
            <w:pPr>
              <w:spacing w:after="200" w:line="276" w:lineRule="auto"/>
              <w:rPr>
                <w:rFonts w:ascii="Arial" w:hAnsi="Arial" w:cs="Arial"/>
                <w:b/>
                <w:bCs/>
                <w:sz w:val="20"/>
                <w:szCs w:val="20"/>
                <w:vertAlign w:val="superscript"/>
                <w:lang w:val="en-IN"/>
              </w:rPr>
            </w:pPr>
            <w:r w:rsidRPr="00152925">
              <w:rPr>
                <w:rFonts w:ascii="Arial" w:hAnsi="Arial" w:cs="Arial"/>
                <w:b/>
                <w:bCs/>
                <w:sz w:val="20"/>
                <w:szCs w:val="20"/>
                <w:lang w:val="en-IN"/>
              </w:rPr>
              <w:t>10</w:t>
            </w:r>
            <w:r w:rsidRPr="00152925">
              <w:rPr>
                <w:rFonts w:ascii="Arial" w:hAnsi="Arial" w:cs="Arial"/>
                <w:b/>
                <w:bCs/>
                <w:sz w:val="20"/>
                <w:szCs w:val="20"/>
                <w:vertAlign w:val="superscript"/>
                <w:lang w:val="en-IN"/>
              </w:rPr>
              <w:t>3</w:t>
            </w:r>
          </w:p>
        </w:tc>
        <w:tc>
          <w:tcPr>
            <w:tcW w:w="2551" w:type="dxa"/>
            <w:hideMark/>
          </w:tcPr>
          <w:p w14:paraId="70E1B7A8"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r w:rsidR="00152925" w:rsidRPr="00152925" w14:paraId="04F3B3A4" w14:textId="77777777" w:rsidTr="00F84EF0">
        <w:trPr>
          <w:trHeight w:val="496"/>
        </w:trPr>
        <w:tc>
          <w:tcPr>
            <w:tcW w:w="2274" w:type="dxa"/>
            <w:hideMark/>
          </w:tcPr>
          <w:p w14:paraId="6F12ED45"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September2024</w:t>
            </w:r>
          </w:p>
        </w:tc>
        <w:tc>
          <w:tcPr>
            <w:tcW w:w="1985" w:type="dxa"/>
            <w:hideMark/>
          </w:tcPr>
          <w:p w14:paraId="44255239"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 10</w:t>
            </w:r>
            <w:r w:rsidRPr="00152925">
              <w:rPr>
                <w:rFonts w:ascii="Arial" w:hAnsi="Arial" w:cs="Arial"/>
                <w:sz w:val="20"/>
                <w:szCs w:val="20"/>
                <w:vertAlign w:val="superscript"/>
                <w:lang w:val="en-IN"/>
              </w:rPr>
              <w:t>2</w:t>
            </w:r>
          </w:p>
        </w:tc>
        <w:tc>
          <w:tcPr>
            <w:tcW w:w="2835" w:type="dxa"/>
            <w:hideMark/>
          </w:tcPr>
          <w:p w14:paraId="66D02C99" w14:textId="0713CFD7" w:rsidR="00C2747B" w:rsidRPr="00152925" w:rsidRDefault="0037166B" w:rsidP="006B366E">
            <w:pPr>
              <w:spacing w:after="200" w:line="276" w:lineRule="auto"/>
              <w:rPr>
                <w:rFonts w:ascii="Arial" w:hAnsi="Arial" w:cs="Arial"/>
                <w:sz w:val="20"/>
                <w:szCs w:val="20"/>
                <w:vertAlign w:val="superscript"/>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551" w:type="dxa"/>
            <w:hideMark/>
          </w:tcPr>
          <w:p w14:paraId="5B4BC5E4"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r w:rsidR="00152925" w:rsidRPr="00152925" w14:paraId="19C9A2E4" w14:textId="77777777" w:rsidTr="00F84EF0">
        <w:trPr>
          <w:trHeight w:val="496"/>
        </w:trPr>
        <w:tc>
          <w:tcPr>
            <w:tcW w:w="2274" w:type="dxa"/>
            <w:hideMark/>
          </w:tcPr>
          <w:p w14:paraId="143F5F11"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October2024</w:t>
            </w:r>
          </w:p>
        </w:tc>
        <w:tc>
          <w:tcPr>
            <w:tcW w:w="1985" w:type="dxa"/>
            <w:hideMark/>
          </w:tcPr>
          <w:p w14:paraId="5E2EC366"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 10</w:t>
            </w:r>
            <w:r w:rsidRPr="00152925">
              <w:rPr>
                <w:rFonts w:ascii="Arial" w:hAnsi="Arial" w:cs="Arial"/>
                <w:sz w:val="20"/>
                <w:szCs w:val="20"/>
                <w:vertAlign w:val="superscript"/>
                <w:lang w:val="en-IN"/>
              </w:rPr>
              <w:t>2</w:t>
            </w:r>
          </w:p>
        </w:tc>
        <w:tc>
          <w:tcPr>
            <w:tcW w:w="2835" w:type="dxa"/>
            <w:hideMark/>
          </w:tcPr>
          <w:p w14:paraId="430B110C" w14:textId="04B3F6E8" w:rsidR="00C2747B" w:rsidRPr="00152925" w:rsidRDefault="0037166B" w:rsidP="006B366E">
            <w:pPr>
              <w:spacing w:after="200" w:line="276" w:lineRule="auto"/>
              <w:rPr>
                <w:rFonts w:ascii="Arial" w:hAnsi="Arial" w:cs="Arial"/>
                <w:sz w:val="20"/>
                <w:szCs w:val="20"/>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551" w:type="dxa"/>
            <w:hideMark/>
          </w:tcPr>
          <w:p w14:paraId="1A99CFE7"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r w:rsidR="00152925" w:rsidRPr="00152925" w14:paraId="7662F14C" w14:textId="77777777" w:rsidTr="00F84EF0">
        <w:trPr>
          <w:trHeight w:val="482"/>
        </w:trPr>
        <w:tc>
          <w:tcPr>
            <w:tcW w:w="2274" w:type="dxa"/>
            <w:hideMark/>
          </w:tcPr>
          <w:p w14:paraId="677AD3BA"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Novmber2024</w:t>
            </w:r>
          </w:p>
        </w:tc>
        <w:tc>
          <w:tcPr>
            <w:tcW w:w="1985" w:type="dxa"/>
            <w:hideMark/>
          </w:tcPr>
          <w:p w14:paraId="6E196AAC"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835" w:type="dxa"/>
            <w:hideMark/>
          </w:tcPr>
          <w:p w14:paraId="601E3C19"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551" w:type="dxa"/>
            <w:hideMark/>
          </w:tcPr>
          <w:p w14:paraId="02F46F6A"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r w:rsidR="00152925" w:rsidRPr="00152925" w14:paraId="4A29E72A" w14:textId="77777777" w:rsidTr="00F84EF0">
        <w:trPr>
          <w:trHeight w:val="496"/>
        </w:trPr>
        <w:tc>
          <w:tcPr>
            <w:tcW w:w="2274" w:type="dxa"/>
            <w:hideMark/>
          </w:tcPr>
          <w:p w14:paraId="4CCFEEDE"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December2024</w:t>
            </w:r>
          </w:p>
        </w:tc>
        <w:tc>
          <w:tcPr>
            <w:tcW w:w="1985" w:type="dxa"/>
            <w:hideMark/>
          </w:tcPr>
          <w:p w14:paraId="600B8799"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835" w:type="dxa"/>
            <w:hideMark/>
          </w:tcPr>
          <w:p w14:paraId="355DE754"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551" w:type="dxa"/>
            <w:hideMark/>
          </w:tcPr>
          <w:p w14:paraId="6E8046D2"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r w:rsidR="00152925" w:rsidRPr="00152925" w14:paraId="7EA739CF" w14:textId="77777777" w:rsidTr="00F84EF0">
        <w:trPr>
          <w:trHeight w:val="496"/>
        </w:trPr>
        <w:tc>
          <w:tcPr>
            <w:tcW w:w="2274" w:type="dxa"/>
            <w:hideMark/>
          </w:tcPr>
          <w:p w14:paraId="44962048"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January2025</w:t>
            </w:r>
          </w:p>
        </w:tc>
        <w:tc>
          <w:tcPr>
            <w:tcW w:w="1985" w:type="dxa"/>
            <w:hideMark/>
          </w:tcPr>
          <w:p w14:paraId="4E6144D2"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835" w:type="dxa"/>
            <w:hideMark/>
          </w:tcPr>
          <w:p w14:paraId="0499FDE4"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551" w:type="dxa"/>
            <w:hideMark/>
          </w:tcPr>
          <w:p w14:paraId="22ADBFE3"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r w:rsidR="00152925" w:rsidRPr="00152925" w14:paraId="4983D955" w14:textId="77777777" w:rsidTr="00F84EF0">
        <w:trPr>
          <w:trHeight w:val="482"/>
        </w:trPr>
        <w:tc>
          <w:tcPr>
            <w:tcW w:w="2274" w:type="dxa"/>
            <w:hideMark/>
          </w:tcPr>
          <w:p w14:paraId="7061ABF0"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February2025</w:t>
            </w:r>
          </w:p>
        </w:tc>
        <w:tc>
          <w:tcPr>
            <w:tcW w:w="1985" w:type="dxa"/>
            <w:hideMark/>
          </w:tcPr>
          <w:p w14:paraId="6E0E0C0C"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 10</w:t>
            </w:r>
            <w:r w:rsidRPr="00152925">
              <w:rPr>
                <w:rFonts w:ascii="Arial" w:hAnsi="Arial" w:cs="Arial"/>
                <w:sz w:val="20"/>
                <w:szCs w:val="20"/>
                <w:vertAlign w:val="superscript"/>
                <w:lang w:val="en-IN"/>
              </w:rPr>
              <w:t>2</w:t>
            </w:r>
          </w:p>
        </w:tc>
        <w:tc>
          <w:tcPr>
            <w:tcW w:w="2835" w:type="dxa"/>
            <w:hideMark/>
          </w:tcPr>
          <w:p w14:paraId="2BF11DEC"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 xml:space="preserve"> &lt;10</w:t>
            </w:r>
            <w:r w:rsidRPr="00152925">
              <w:rPr>
                <w:rFonts w:ascii="Arial" w:hAnsi="Arial" w:cs="Arial"/>
                <w:sz w:val="20"/>
                <w:szCs w:val="20"/>
                <w:vertAlign w:val="superscript"/>
                <w:lang w:val="en-IN"/>
              </w:rPr>
              <w:t>2</w:t>
            </w:r>
          </w:p>
        </w:tc>
        <w:tc>
          <w:tcPr>
            <w:tcW w:w="2551" w:type="dxa"/>
            <w:hideMark/>
          </w:tcPr>
          <w:p w14:paraId="5C15C06C"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r w:rsidR="00152925" w:rsidRPr="00152925" w14:paraId="109FC64C" w14:textId="77777777" w:rsidTr="00F84EF0">
        <w:trPr>
          <w:trHeight w:val="496"/>
        </w:trPr>
        <w:tc>
          <w:tcPr>
            <w:tcW w:w="2274" w:type="dxa"/>
            <w:hideMark/>
          </w:tcPr>
          <w:p w14:paraId="62357382"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March2025</w:t>
            </w:r>
          </w:p>
        </w:tc>
        <w:tc>
          <w:tcPr>
            <w:tcW w:w="1985" w:type="dxa"/>
            <w:hideMark/>
          </w:tcPr>
          <w:p w14:paraId="379D3611"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835" w:type="dxa"/>
            <w:hideMark/>
          </w:tcPr>
          <w:p w14:paraId="252FFCF9"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 10</w:t>
            </w:r>
            <w:r w:rsidRPr="00152925">
              <w:rPr>
                <w:rFonts w:ascii="Arial" w:hAnsi="Arial" w:cs="Arial"/>
                <w:sz w:val="20"/>
                <w:szCs w:val="20"/>
                <w:vertAlign w:val="superscript"/>
                <w:lang w:val="en-IN"/>
              </w:rPr>
              <w:t>2</w:t>
            </w:r>
          </w:p>
        </w:tc>
        <w:tc>
          <w:tcPr>
            <w:tcW w:w="2551" w:type="dxa"/>
            <w:hideMark/>
          </w:tcPr>
          <w:p w14:paraId="3D08AB48"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r w:rsidR="00152925" w:rsidRPr="00152925" w14:paraId="4E5C3EF6" w14:textId="77777777" w:rsidTr="00F84EF0">
        <w:trPr>
          <w:trHeight w:val="482"/>
        </w:trPr>
        <w:tc>
          <w:tcPr>
            <w:tcW w:w="2274" w:type="dxa"/>
            <w:hideMark/>
          </w:tcPr>
          <w:p w14:paraId="5C86FC9E"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April2025</w:t>
            </w:r>
          </w:p>
        </w:tc>
        <w:tc>
          <w:tcPr>
            <w:tcW w:w="1985" w:type="dxa"/>
            <w:hideMark/>
          </w:tcPr>
          <w:p w14:paraId="41961D47" w14:textId="77777777" w:rsidR="00C2747B" w:rsidRPr="00152925" w:rsidRDefault="00797819" w:rsidP="00D16DD4">
            <w:pPr>
              <w:spacing w:after="200" w:line="276" w:lineRule="auto"/>
              <w:jc w:val="both"/>
              <w:rPr>
                <w:rFonts w:ascii="Arial" w:hAnsi="Arial" w:cs="Arial"/>
                <w:sz w:val="20"/>
                <w:szCs w:val="20"/>
                <w:lang w:val="en-IN"/>
              </w:rPr>
            </w:pPr>
            <w:r w:rsidRPr="00152925">
              <w:rPr>
                <w:rFonts w:ascii="Arial" w:hAnsi="Arial" w:cs="Arial"/>
                <w:sz w:val="20"/>
                <w:szCs w:val="20"/>
                <w:lang w:val="en-IN"/>
              </w:rPr>
              <w:t>&lt; 10</w:t>
            </w:r>
            <w:r w:rsidRPr="00152925">
              <w:rPr>
                <w:rFonts w:ascii="Arial" w:hAnsi="Arial" w:cs="Arial"/>
                <w:sz w:val="20"/>
                <w:szCs w:val="20"/>
                <w:vertAlign w:val="superscript"/>
                <w:lang w:val="en-IN"/>
              </w:rPr>
              <w:t>2</w:t>
            </w:r>
          </w:p>
        </w:tc>
        <w:tc>
          <w:tcPr>
            <w:tcW w:w="2835" w:type="dxa"/>
            <w:hideMark/>
          </w:tcPr>
          <w:p w14:paraId="36EE0B81"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&lt;10</w:t>
            </w:r>
            <w:r w:rsidRPr="00152925">
              <w:rPr>
                <w:rFonts w:ascii="Arial" w:hAnsi="Arial" w:cs="Arial"/>
                <w:sz w:val="20"/>
                <w:szCs w:val="20"/>
                <w:vertAlign w:val="superscript"/>
                <w:lang w:val="en-IN"/>
              </w:rPr>
              <w:t>2</w:t>
            </w:r>
          </w:p>
        </w:tc>
        <w:tc>
          <w:tcPr>
            <w:tcW w:w="2551" w:type="dxa"/>
            <w:hideMark/>
          </w:tcPr>
          <w:p w14:paraId="653C1E1E" w14:textId="77777777" w:rsidR="00C2747B" w:rsidRPr="00152925" w:rsidRDefault="00797819" w:rsidP="006B366E">
            <w:pPr>
              <w:spacing w:after="200" w:line="276" w:lineRule="auto"/>
              <w:rPr>
                <w:rFonts w:ascii="Arial" w:hAnsi="Arial" w:cs="Arial"/>
                <w:sz w:val="20"/>
                <w:szCs w:val="20"/>
                <w:lang w:val="en-IN"/>
              </w:rPr>
            </w:pPr>
            <w:r w:rsidRPr="00152925">
              <w:rPr>
                <w:rFonts w:ascii="Arial" w:hAnsi="Arial" w:cs="Arial"/>
                <w:sz w:val="20"/>
                <w:szCs w:val="20"/>
                <w:lang w:val="en-IN"/>
              </w:rPr>
              <w:t>24 hours</w:t>
            </w:r>
          </w:p>
        </w:tc>
      </w:tr>
    </w:tbl>
    <w:p w14:paraId="642C5A1D" w14:textId="5456BDA7" w:rsidR="000A5E90" w:rsidRPr="00146454" w:rsidRDefault="006F2CAE">
      <w:pPr>
        <w:rPr>
          <w:rFonts w:ascii="Arial" w:hAnsi="Arial" w:cs="Arial"/>
          <w:sz w:val="20"/>
          <w:szCs w:val="20"/>
        </w:rPr>
      </w:pPr>
      <w:r w:rsidRPr="00DD1E00">
        <w:rPr>
          <w:rFonts w:ascii="Arial" w:hAnsi="Arial" w:cs="Arial"/>
          <w:sz w:val="20"/>
          <w:szCs w:val="20"/>
        </w:rPr>
        <w:lastRenderedPageBreak/>
        <w:t>M</w:t>
      </w:r>
      <w:r w:rsidR="001932E5" w:rsidRPr="00DD1E00">
        <w:rPr>
          <w:rFonts w:ascii="Arial" w:hAnsi="Arial" w:cs="Arial"/>
          <w:sz w:val="20"/>
          <w:szCs w:val="20"/>
        </w:rPr>
        <w:t>icrobial contamination levels in water samples over a year, from</w:t>
      </w:r>
      <w:r w:rsidR="007366B4" w:rsidRPr="00DD1E00">
        <w:rPr>
          <w:rFonts w:ascii="Arial" w:hAnsi="Arial" w:cs="Arial"/>
          <w:sz w:val="20"/>
          <w:szCs w:val="20"/>
        </w:rPr>
        <w:t xml:space="preserve"> </w:t>
      </w:r>
      <w:r w:rsidR="0083554E" w:rsidRPr="00DD1E00">
        <w:rPr>
          <w:rFonts w:ascii="Arial" w:hAnsi="Arial" w:cs="Arial"/>
          <w:sz w:val="20"/>
          <w:szCs w:val="20"/>
        </w:rPr>
        <w:t>(</w:t>
      </w:r>
      <w:r w:rsidR="001932E5" w:rsidRPr="00DD1E00">
        <w:rPr>
          <w:rFonts w:ascii="Arial" w:hAnsi="Arial" w:cs="Arial"/>
          <w:sz w:val="20"/>
          <w:szCs w:val="20"/>
        </w:rPr>
        <w:t>May2024 to April 2025</w:t>
      </w:r>
      <w:r w:rsidR="0083554E" w:rsidRPr="00DD1E00">
        <w:rPr>
          <w:rFonts w:ascii="Arial" w:hAnsi="Arial" w:cs="Arial"/>
          <w:sz w:val="20"/>
          <w:szCs w:val="20"/>
        </w:rPr>
        <w:t>)</w:t>
      </w:r>
      <w:r w:rsidR="00C017C5" w:rsidRPr="00DD1E00">
        <w:rPr>
          <w:rFonts w:ascii="Arial" w:hAnsi="Arial" w:cs="Arial"/>
          <w:sz w:val="20"/>
          <w:szCs w:val="20"/>
        </w:rPr>
        <w:t xml:space="preserve"> showed in </w:t>
      </w:r>
      <w:r w:rsidR="00C017C5" w:rsidRPr="00146454">
        <w:rPr>
          <w:rFonts w:ascii="Arial" w:hAnsi="Arial" w:cs="Arial"/>
          <w:sz w:val="20"/>
          <w:szCs w:val="20"/>
        </w:rPr>
        <w:t xml:space="preserve">terms of </w:t>
      </w:r>
      <w:r w:rsidR="000C3A48" w:rsidRPr="00146454">
        <w:rPr>
          <w:rFonts w:ascii="Arial" w:hAnsi="Arial" w:cs="Arial"/>
          <w:sz w:val="20"/>
          <w:szCs w:val="20"/>
        </w:rPr>
        <w:t>t</w:t>
      </w:r>
      <w:r w:rsidR="00C017C5" w:rsidRPr="00146454">
        <w:rPr>
          <w:rFonts w:ascii="Arial" w:hAnsi="Arial" w:cs="Arial"/>
          <w:sz w:val="20"/>
          <w:szCs w:val="20"/>
        </w:rPr>
        <w:t xml:space="preserve">otal yeast count and </w:t>
      </w:r>
      <w:r w:rsidR="000C3A48" w:rsidRPr="00146454">
        <w:rPr>
          <w:rFonts w:ascii="Arial" w:hAnsi="Arial" w:cs="Arial"/>
          <w:sz w:val="20"/>
          <w:szCs w:val="20"/>
        </w:rPr>
        <w:t>t</w:t>
      </w:r>
      <w:r w:rsidR="00C017C5" w:rsidRPr="00146454">
        <w:rPr>
          <w:rFonts w:ascii="Arial" w:hAnsi="Arial" w:cs="Arial"/>
          <w:sz w:val="20"/>
          <w:szCs w:val="20"/>
        </w:rPr>
        <w:t>otal Bacterial count</w:t>
      </w:r>
      <w:r w:rsidR="005E532D" w:rsidRPr="00146454">
        <w:rPr>
          <w:rFonts w:ascii="Arial" w:hAnsi="Arial" w:cs="Arial"/>
          <w:sz w:val="20"/>
          <w:szCs w:val="20"/>
        </w:rPr>
        <w:t>.</w:t>
      </w:r>
      <w:r w:rsidR="001932E5" w:rsidRPr="00146454">
        <w:rPr>
          <w:rFonts w:ascii="Arial" w:hAnsi="Arial" w:cs="Arial"/>
          <w:sz w:val="20"/>
          <w:szCs w:val="20"/>
        </w:rPr>
        <w:t xml:space="preserve"> The total yeast count per milliliter remains consistently below </w:t>
      </w:r>
      <w:r w:rsidR="004C5D5E" w:rsidRPr="00146454">
        <w:rPr>
          <w:rFonts w:ascii="Arial" w:hAnsi="Arial" w:cs="Arial"/>
          <w:sz w:val="20"/>
          <w:szCs w:val="20"/>
        </w:rPr>
        <w:t>&lt;</w:t>
      </w:r>
      <w:r w:rsidR="001932E5" w:rsidRPr="00146454">
        <w:rPr>
          <w:rFonts w:ascii="Arial" w:hAnsi="Arial" w:cs="Arial"/>
          <w:sz w:val="20"/>
          <w:szCs w:val="20"/>
        </w:rPr>
        <w:t>10</w:t>
      </w:r>
      <w:r w:rsidR="004C5D5E" w:rsidRPr="00146454">
        <w:rPr>
          <w:rFonts w:ascii="Arial" w:hAnsi="Arial" w:cs="Arial"/>
          <w:sz w:val="20"/>
          <w:szCs w:val="20"/>
          <w:vertAlign w:val="superscript"/>
        </w:rPr>
        <w:t>2</w:t>
      </w:r>
      <w:r w:rsidR="001932E5" w:rsidRPr="00146454">
        <w:rPr>
          <w:rFonts w:ascii="Arial" w:hAnsi="Arial" w:cs="Arial"/>
          <w:sz w:val="20"/>
          <w:szCs w:val="20"/>
        </w:rPr>
        <w:t xml:space="preserve"> throughout the year</w:t>
      </w:r>
      <w:r w:rsidR="00AF704A" w:rsidRPr="00146454">
        <w:rPr>
          <w:rFonts w:ascii="Arial" w:hAnsi="Arial" w:cs="Arial"/>
          <w:sz w:val="20"/>
          <w:szCs w:val="20"/>
        </w:rPr>
        <w:t>,</w:t>
      </w:r>
      <w:r w:rsidR="00FD28B2" w:rsidRPr="00146454">
        <w:rPr>
          <w:rFonts w:ascii="Arial" w:hAnsi="Arial" w:cs="Arial"/>
          <w:sz w:val="20"/>
          <w:szCs w:val="20"/>
        </w:rPr>
        <w:t xml:space="preserve"> Yeasts are generally non-pathogenic, but their persistent presence in groundwater may point towards Organic matter contamination, possibly from decomposing waste or industrial sludge. Biofilm development within hand-pump infrastructure due to irregular cleaning.</w:t>
      </w:r>
      <w:r w:rsidR="000A5E90" w:rsidRPr="00146454">
        <w:rPr>
          <w:rFonts w:ascii="Arial" w:hAnsi="Arial" w:cs="Arial"/>
          <w:sz w:val="20"/>
          <w:szCs w:val="20"/>
        </w:rPr>
        <w:t xml:space="preserve"> </w:t>
      </w:r>
      <w:r w:rsidR="00FD28B2" w:rsidRPr="00146454">
        <w:rPr>
          <w:rFonts w:ascii="Arial" w:hAnsi="Arial" w:cs="Arial"/>
          <w:sz w:val="20"/>
          <w:szCs w:val="20"/>
        </w:rPr>
        <w:t>Persistent low-level yeast detection necessitates regular disinfection of water extraction points and infrastructure to prevent biofilm-associated infections.</w:t>
      </w:r>
    </w:p>
    <w:p w14:paraId="5A05575F" w14:textId="41B4081B" w:rsidR="00B30F0A" w:rsidRPr="00DD1E00" w:rsidRDefault="000A5E90" w:rsidP="00B30F0A">
      <w:pPr>
        <w:rPr>
          <w:rFonts w:ascii="Arial" w:hAnsi="Arial" w:cs="Arial"/>
          <w:sz w:val="20"/>
          <w:szCs w:val="20"/>
        </w:rPr>
      </w:pPr>
      <w:r w:rsidRPr="00146454">
        <w:rPr>
          <w:rFonts w:ascii="Arial" w:hAnsi="Arial" w:cs="Arial"/>
          <w:sz w:val="20"/>
          <w:szCs w:val="20"/>
        </w:rPr>
        <w:t xml:space="preserve">Likewise, </w:t>
      </w:r>
      <w:r w:rsidR="001932E5" w:rsidRPr="00146454">
        <w:rPr>
          <w:rFonts w:ascii="Arial" w:hAnsi="Arial" w:cs="Arial"/>
          <w:sz w:val="20"/>
          <w:szCs w:val="20"/>
        </w:rPr>
        <w:t xml:space="preserve">total bacterial count per milliliter is also generally below </w:t>
      </w:r>
      <w:r w:rsidR="001B609D" w:rsidRPr="00146454">
        <w:rPr>
          <w:rFonts w:ascii="Arial" w:hAnsi="Arial" w:cs="Arial"/>
          <w:sz w:val="20"/>
          <w:szCs w:val="20"/>
        </w:rPr>
        <w:t>&lt;</w:t>
      </w:r>
      <w:r w:rsidR="001932E5" w:rsidRPr="00146454">
        <w:rPr>
          <w:rFonts w:ascii="Arial" w:hAnsi="Arial" w:cs="Arial"/>
          <w:sz w:val="20"/>
          <w:szCs w:val="20"/>
        </w:rPr>
        <w:t>10</w:t>
      </w:r>
      <w:r w:rsidR="004C5D5E" w:rsidRPr="00146454">
        <w:rPr>
          <w:rFonts w:ascii="Arial" w:hAnsi="Arial" w:cs="Arial"/>
          <w:sz w:val="20"/>
          <w:szCs w:val="20"/>
          <w:vertAlign w:val="superscript"/>
        </w:rPr>
        <w:t>2</w:t>
      </w:r>
      <w:r w:rsidR="001932E5" w:rsidRPr="00146454">
        <w:rPr>
          <w:rFonts w:ascii="Arial" w:hAnsi="Arial" w:cs="Arial"/>
          <w:sz w:val="20"/>
          <w:szCs w:val="20"/>
        </w:rPr>
        <w:t xml:space="preserve">, except for July and August 2024, where it reaches </w:t>
      </w:r>
      <w:r w:rsidR="00582D49" w:rsidRPr="00146454">
        <w:rPr>
          <w:rFonts w:ascii="Arial" w:hAnsi="Arial" w:cs="Arial"/>
          <w:sz w:val="20"/>
          <w:szCs w:val="20"/>
        </w:rPr>
        <w:t>&lt;</w:t>
      </w:r>
      <w:r w:rsidR="001932E5" w:rsidRPr="00146454">
        <w:rPr>
          <w:rFonts w:ascii="Arial" w:hAnsi="Arial" w:cs="Arial"/>
          <w:sz w:val="20"/>
          <w:szCs w:val="20"/>
        </w:rPr>
        <w:t>10</w:t>
      </w:r>
      <w:r w:rsidR="00582D49" w:rsidRPr="00146454">
        <w:rPr>
          <w:rFonts w:ascii="Arial" w:hAnsi="Arial" w:cs="Arial"/>
          <w:sz w:val="20"/>
          <w:szCs w:val="20"/>
          <w:vertAlign w:val="superscript"/>
        </w:rPr>
        <w:t>2</w:t>
      </w:r>
      <w:r w:rsidR="001932E5" w:rsidRPr="00146454">
        <w:rPr>
          <w:rFonts w:ascii="Arial" w:hAnsi="Arial" w:cs="Arial"/>
          <w:sz w:val="20"/>
          <w:szCs w:val="20"/>
        </w:rPr>
        <w:t xml:space="preserve"> and </w:t>
      </w:r>
      <w:r w:rsidR="001B609D" w:rsidRPr="00146454">
        <w:rPr>
          <w:rFonts w:ascii="Arial" w:hAnsi="Arial" w:cs="Arial"/>
          <w:sz w:val="20"/>
          <w:szCs w:val="20"/>
        </w:rPr>
        <w:t>&lt;</w:t>
      </w:r>
      <w:r w:rsidR="001932E5" w:rsidRPr="00146454">
        <w:rPr>
          <w:rFonts w:ascii="Arial" w:hAnsi="Arial" w:cs="Arial"/>
          <w:sz w:val="20"/>
          <w:szCs w:val="20"/>
        </w:rPr>
        <w:t>10</w:t>
      </w:r>
      <w:r w:rsidR="001B609D" w:rsidRPr="00146454">
        <w:rPr>
          <w:rFonts w:ascii="Arial" w:hAnsi="Arial" w:cs="Arial"/>
          <w:sz w:val="20"/>
          <w:szCs w:val="20"/>
          <w:vertAlign w:val="superscript"/>
        </w:rPr>
        <w:t>3</w:t>
      </w:r>
      <w:r w:rsidR="001932E5" w:rsidRPr="00146454">
        <w:rPr>
          <w:rFonts w:ascii="Arial" w:hAnsi="Arial" w:cs="Arial"/>
          <w:sz w:val="20"/>
          <w:szCs w:val="20"/>
        </w:rPr>
        <w:t>, respectively</w:t>
      </w:r>
      <w:r w:rsidR="00F42132" w:rsidRPr="00146454">
        <w:rPr>
          <w:rFonts w:ascii="Arial" w:hAnsi="Arial" w:cs="Arial"/>
          <w:sz w:val="20"/>
          <w:szCs w:val="20"/>
        </w:rPr>
        <w:t xml:space="preserve"> </w:t>
      </w:r>
      <w:r w:rsidR="005E2F57" w:rsidRPr="00146454">
        <w:rPr>
          <w:rFonts w:ascii="Arial" w:hAnsi="Arial" w:cs="Arial"/>
          <w:sz w:val="20"/>
          <w:szCs w:val="20"/>
        </w:rPr>
        <w:t>t</w:t>
      </w:r>
      <w:r w:rsidR="00FC7AFF" w:rsidRPr="00146454">
        <w:rPr>
          <w:rFonts w:ascii="Arial" w:hAnsi="Arial" w:cs="Arial"/>
          <w:sz w:val="20"/>
          <w:szCs w:val="20"/>
        </w:rPr>
        <w:t>ime</w:t>
      </w:r>
      <w:r w:rsidR="00F42132" w:rsidRPr="00146454">
        <w:rPr>
          <w:rFonts w:ascii="Arial" w:hAnsi="Arial" w:cs="Arial"/>
          <w:sz w:val="20"/>
          <w:szCs w:val="20"/>
        </w:rPr>
        <w:t xml:space="preserve"> measurement</w:t>
      </w:r>
      <w:r w:rsidR="00203328" w:rsidRPr="00146454">
        <w:rPr>
          <w:rFonts w:ascii="Arial" w:hAnsi="Arial" w:cs="Arial"/>
          <w:sz w:val="20"/>
          <w:szCs w:val="20"/>
        </w:rPr>
        <w:t xml:space="preserve"> </w:t>
      </w:r>
      <w:r w:rsidR="00F42132" w:rsidRPr="00146454">
        <w:rPr>
          <w:rFonts w:ascii="Arial" w:hAnsi="Arial" w:cs="Arial"/>
          <w:sz w:val="20"/>
          <w:szCs w:val="20"/>
        </w:rPr>
        <w:t xml:space="preserve">taken within 24 </w:t>
      </w:r>
      <w:r w:rsidR="00451529" w:rsidRPr="00146454">
        <w:rPr>
          <w:rFonts w:ascii="Arial" w:hAnsi="Arial" w:cs="Arial"/>
          <w:sz w:val="20"/>
          <w:szCs w:val="20"/>
        </w:rPr>
        <w:t>hours,</w:t>
      </w:r>
      <w:r w:rsidR="00140036" w:rsidRPr="00146454">
        <w:rPr>
          <w:rFonts w:ascii="Arial" w:hAnsi="Arial" w:cs="Arial"/>
          <w:sz w:val="20"/>
          <w:szCs w:val="20"/>
        </w:rPr>
        <w:t xml:space="preserve"> </w:t>
      </w:r>
      <w:r w:rsidR="00451529" w:rsidRPr="00146454">
        <w:rPr>
          <w:rFonts w:ascii="Arial" w:hAnsi="Arial" w:cs="Arial"/>
          <w:sz w:val="20"/>
          <w:szCs w:val="20"/>
        </w:rPr>
        <w:t>indicating a stand</w:t>
      </w:r>
      <w:r w:rsidR="007F5F98" w:rsidRPr="00146454">
        <w:rPr>
          <w:rFonts w:ascii="Arial" w:hAnsi="Arial" w:cs="Arial"/>
          <w:sz w:val="20"/>
          <w:szCs w:val="20"/>
        </w:rPr>
        <w:t>ardized testing protoc</w:t>
      </w:r>
      <w:r w:rsidR="00140036" w:rsidRPr="00146454">
        <w:rPr>
          <w:rFonts w:ascii="Arial" w:hAnsi="Arial" w:cs="Arial"/>
          <w:sz w:val="20"/>
          <w:szCs w:val="20"/>
        </w:rPr>
        <w:t>ol.</w:t>
      </w:r>
      <w:r w:rsidR="005265E4" w:rsidRPr="00146454">
        <w:rPr>
          <w:rFonts w:ascii="Arial" w:hAnsi="Arial" w:cs="Arial"/>
          <w:sz w:val="20"/>
          <w:szCs w:val="20"/>
        </w:rPr>
        <w:t xml:space="preserve"> </w:t>
      </w:r>
      <w:r w:rsidR="00B30F0A" w:rsidRPr="00146454">
        <w:rPr>
          <w:rFonts w:ascii="Arial" w:hAnsi="Arial" w:cs="Arial"/>
          <w:sz w:val="20"/>
          <w:szCs w:val="20"/>
        </w:rPr>
        <w:t>This fluctuation may be attributed to</w:t>
      </w:r>
      <w:r w:rsidR="005E2F57" w:rsidRPr="00146454">
        <w:rPr>
          <w:rFonts w:ascii="Arial" w:hAnsi="Arial" w:cs="Arial"/>
          <w:sz w:val="20"/>
          <w:szCs w:val="20"/>
        </w:rPr>
        <w:t xml:space="preserve"> m</w:t>
      </w:r>
      <w:r w:rsidR="00B30F0A" w:rsidRPr="00146454">
        <w:rPr>
          <w:rFonts w:ascii="Arial" w:hAnsi="Arial" w:cs="Arial"/>
          <w:sz w:val="20"/>
          <w:szCs w:val="20"/>
        </w:rPr>
        <w:t>onsoonal runoff and leaching of surface contaminants into shallow aquifers.</w:t>
      </w:r>
      <w:r w:rsidR="00077C0D" w:rsidRPr="00146454">
        <w:rPr>
          <w:rFonts w:ascii="Arial" w:hAnsi="Arial" w:cs="Arial"/>
          <w:sz w:val="20"/>
          <w:szCs w:val="20"/>
        </w:rPr>
        <w:t xml:space="preserve"> Sometimes, o</w:t>
      </w:r>
      <w:r w:rsidR="00B30F0A" w:rsidRPr="00146454">
        <w:rPr>
          <w:rFonts w:ascii="Arial" w:hAnsi="Arial" w:cs="Arial"/>
          <w:sz w:val="20"/>
          <w:szCs w:val="20"/>
        </w:rPr>
        <w:t>verflow or seepage from improperly constructed septic tanks, common in semi-urban zones.</w:t>
      </w:r>
      <w:r w:rsidR="009D590E" w:rsidRPr="00146454">
        <w:rPr>
          <w:rFonts w:ascii="Arial" w:hAnsi="Arial" w:cs="Arial"/>
          <w:sz w:val="20"/>
          <w:szCs w:val="20"/>
        </w:rPr>
        <w:t xml:space="preserve"> </w:t>
      </w:r>
      <w:r w:rsidR="00B30F0A" w:rsidRPr="00146454">
        <w:rPr>
          <w:rFonts w:ascii="Arial" w:hAnsi="Arial" w:cs="Arial"/>
          <w:sz w:val="20"/>
          <w:szCs w:val="20"/>
        </w:rPr>
        <w:t>Increased anthropogenic activity and poor waste management during wet seasons</w:t>
      </w:r>
      <w:r w:rsidR="009D590E" w:rsidRPr="00146454">
        <w:rPr>
          <w:rFonts w:ascii="Arial" w:hAnsi="Arial" w:cs="Arial"/>
          <w:sz w:val="20"/>
          <w:szCs w:val="20"/>
        </w:rPr>
        <w:t xml:space="preserve"> also</w:t>
      </w:r>
      <w:r w:rsidR="00CA05B0" w:rsidRPr="00146454">
        <w:rPr>
          <w:rFonts w:ascii="Arial" w:hAnsi="Arial" w:cs="Arial"/>
          <w:sz w:val="20"/>
          <w:szCs w:val="20"/>
        </w:rPr>
        <w:t xml:space="preserve"> responsible for contamination</w:t>
      </w:r>
      <w:r w:rsidR="00B30F0A" w:rsidRPr="00146454">
        <w:rPr>
          <w:rFonts w:ascii="Arial" w:hAnsi="Arial" w:cs="Arial"/>
          <w:sz w:val="20"/>
          <w:szCs w:val="20"/>
        </w:rPr>
        <w:t>.</w:t>
      </w:r>
      <w:r w:rsidR="00002CD9" w:rsidRPr="00146454">
        <w:rPr>
          <w:rFonts w:ascii="Arial" w:hAnsi="Arial" w:cs="Arial"/>
          <w:sz w:val="20"/>
          <w:szCs w:val="20"/>
        </w:rPr>
        <w:t xml:space="preserve"> </w:t>
      </w:r>
      <w:r w:rsidR="00B30F0A" w:rsidRPr="00146454">
        <w:rPr>
          <w:rFonts w:ascii="Arial" w:hAnsi="Arial" w:cs="Arial"/>
          <w:sz w:val="20"/>
          <w:szCs w:val="20"/>
        </w:rPr>
        <w:t xml:space="preserve">According to WHO (2022) guidelines, zero coliform or pathogenic bacterial presence is desirable in drinking water. Although </w:t>
      </w:r>
      <w:r w:rsidR="00B30F0A" w:rsidRPr="00DD1E00">
        <w:rPr>
          <w:rFonts w:ascii="Arial" w:hAnsi="Arial" w:cs="Arial"/>
          <w:sz w:val="20"/>
          <w:szCs w:val="20"/>
        </w:rPr>
        <w:t>the bacterial levels were generally low, the observed seasonal peaks reflect a moderate microbial threat, especially for immunocompromised individuals.</w:t>
      </w:r>
    </w:p>
    <w:p w14:paraId="4387E904" w14:textId="1E47B08D" w:rsidR="00432A78" w:rsidRPr="00DD1E00" w:rsidRDefault="005265E4" w:rsidP="0085440C">
      <w:pPr>
        <w:rPr>
          <w:rFonts w:ascii="Arial" w:hAnsi="Arial" w:cs="Arial"/>
          <w:sz w:val="20"/>
          <w:szCs w:val="20"/>
        </w:rPr>
      </w:pPr>
      <w:r w:rsidRPr="00DD1E00">
        <w:rPr>
          <w:rFonts w:ascii="Arial" w:hAnsi="Arial" w:cs="Arial"/>
          <w:sz w:val="20"/>
          <w:szCs w:val="20"/>
        </w:rPr>
        <w:t xml:space="preserve">Generally, </w:t>
      </w:r>
      <w:r w:rsidR="003D1B4F" w:rsidRPr="00DD1E00">
        <w:rPr>
          <w:rFonts w:ascii="Arial" w:hAnsi="Arial" w:cs="Arial"/>
          <w:sz w:val="20"/>
          <w:szCs w:val="20"/>
        </w:rPr>
        <w:t>post-monsoon</w:t>
      </w:r>
      <w:r w:rsidR="00432A78" w:rsidRPr="00DD1E00">
        <w:rPr>
          <w:rFonts w:ascii="Arial" w:hAnsi="Arial" w:cs="Arial"/>
          <w:sz w:val="20"/>
          <w:szCs w:val="20"/>
        </w:rPr>
        <w:t xml:space="preserve"> months (August–October 2024) showed increased microbial counts, TDS, and alkalinity, suggesting percolation from industrial and surface runoff sources</w:t>
      </w:r>
      <w:r w:rsidR="006346A4" w:rsidRPr="00DD1E00">
        <w:rPr>
          <w:rFonts w:ascii="Arial" w:hAnsi="Arial" w:cs="Arial"/>
          <w:sz w:val="20"/>
          <w:szCs w:val="20"/>
        </w:rPr>
        <w:t xml:space="preserve"> and </w:t>
      </w:r>
      <w:r w:rsidR="00432A78" w:rsidRPr="00DD1E00">
        <w:rPr>
          <w:rFonts w:ascii="Arial" w:hAnsi="Arial" w:cs="Arial"/>
          <w:sz w:val="20"/>
          <w:szCs w:val="20"/>
        </w:rPr>
        <w:t xml:space="preserve">Winter months recorded peak </w:t>
      </w:r>
      <w:r w:rsidR="006346A4" w:rsidRPr="00DD1E00">
        <w:rPr>
          <w:rFonts w:ascii="Arial" w:hAnsi="Arial" w:cs="Arial"/>
          <w:sz w:val="20"/>
          <w:szCs w:val="20"/>
        </w:rPr>
        <w:t xml:space="preserve">values of </w:t>
      </w:r>
      <w:r w:rsidR="00432A78" w:rsidRPr="00DD1E00">
        <w:rPr>
          <w:rFonts w:ascii="Arial" w:hAnsi="Arial" w:cs="Arial"/>
          <w:sz w:val="20"/>
          <w:szCs w:val="20"/>
        </w:rPr>
        <w:t>hardness and arsenic, which may be linked to low groundwater recharge and increased concentration of dissolved salts.</w:t>
      </w:r>
    </w:p>
    <w:p w14:paraId="052FCFBF" w14:textId="5E4CD4CC" w:rsidR="00AC545C" w:rsidRPr="00DD1E00" w:rsidRDefault="00BB0477" w:rsidP="00851574">
      <w:pPr>
        <w:divId w:val="1956717318"/>
        <w:rPr>
          <w:rFonts w:ascii="Arial" w:hAnsi="Arial" w:cs="Arial"/>
          <w:b/>
          <w:bCs/>
          <w:sz w:val="20"/>
          <w:szCs w:val="20"/>
        </w:rPr>
      </w:pPr>
      <w:r w:rsidRPr="00DD1E00">
        <w:rPr>
          <w:rFonts w:ascii="Arial" w:hAnsi="Arial" w:cs="Arial"/>
          <w:b/>
          <w:bCs/>
          <w:sz w:val="20"/>
          <w:szCs w:val="20"/>
        </w:rPr>
        <w:t>CONCLUSION</w:t>
      </w:r>
    </w:p>
    <w:p w14:paraId="16417F92" w14:textId="4D9C89A1" w:rsidR="00AC545C" w:rsidRPr="006A0AD9" w:rsidRDefault="00AC545C" w:rsidP="004D2647">
      <w:pPr>
        <w:divId w:val="1956717318"/>
        <w:rPr>
          <w:rFonts w:ascii="Arial" w:eastAsiaTheme="minorEastAsia" w:hAnsi="Arial" w:cs="Arial"/>
          <w:color w:val="000000" w:themeColor="text1"/>
          <w:sz w:val="20"/>
          <w:szCs w:val="20"/>
        </w:rPr>
      </w:pPr>
      <w:r w:rsidRPr="006A0AD9">
        <w:rPr>
          <w:rFonts w:ascii="Arial" w:hAnsi="Arial" w:cs="Arial"/>
          <w:color w:val="000000" w:themeColor="text1"/>
          <w:sz w:val="20"/>
          <w:szCs w:val="20"/>
        </w:rPr>
        <w:t xml:space="preserve">The findings of this study reveal a complex and concerning picture of groundwater quality in the </w:t>
      </w:r>
      <w:r w:rsidR="00663D3D" w:rsidRPr="006A0AD9">
        <w:rPr>
          <w:rFonts w:ascii="Arial" w:hAnsi="Arial" w:cs="Arial"/>
          <w:color w:val="000000" w:themeColor="text1"/>
          <w:sz w:val="20"/>
          <w:szCs w:val="20"/>
        </w:rPr>
        <w:t>Rooma</w:t>
      </w:r>
      <w:r w:rsidRPr="006A0AD9">
        <w:rPr>
          <w:rFonts w:ascii="Arial" w:hAnsi="Arial" w:cs="Arial"/>
          <w:color w:val="000000" w:themeColor="text1"/>
          <w:sz w:val="20"/>
          <w:szCs w:val="20"/>
        </w:rPr>
        <w:t xml:space="preserve"> area of Kanpur. While some </w:t>
      </w:r>
      <w:r w:rsidR="00684CC7" w:rsidRPr="006A0AD9">
        <w:rPr>
          <w:rFonts w:ascii="Arial" w:hAnsi="Arial" w:cs="Arial"/>
          <w:color w:val="000000" w:themeColor="text1"/>
          <w:sz w:val="20"/>
          <w:szCs w:val="20"/>
        </w:rPr>
        <w:t>P</w:t>
      </w:r>
      <w:r w:rsidRPr="006A0AD9">
        <w:rPr>
          <w:rFonts w:ascii="Arial" w:hAnsi="Arial" w:cs="Arial"/>
          <w:color w:val="000000" w:themeColor="text1"/>
          <w:sz w:val="20"/>
          <w:szCs w:val="20"/>
        </w:rPr>
        <w:t>hysico-chemical parameters</w:t>
      </w:r>
      <w:r w:rsidR="006A0AD9">
        <w:rPr>
          <w:rFonts w:ascii="Arial" w:hAnsi="Arial" w:cs="Arial"/>
          <w:color w:val="000000" w:themeColor="text1"/>
          <w:sz w:val="20"/>
          <w:szCs w:val="20"/>
        </w:rPr>
        <w:t>,</w:t>
      </w:r>
      <w:r w:rsidRPr="006A0AD9">
        <w:rPr>
          <w:rFonts w:ascii="Arial" w:hAnsi="Arial" w:cs="Arial"/>
          <w:color w:val="000000" w:themeColor="text1"/>
          <w:sz w:val="20"/>
          <w:szCs w:val="20"/>
        </w:rPr>
        <w:t xml:space="preserve"> such as </w:t>
      </w:r>
      <w:r w:rsidR="006A0AD9">
        <w:rPr>
          <w:rFonts w:ascii="Arial" w:hAnsi="Arial" w:cs="Arial"/>
          <w:color w:val="000000" w:themeColor="text1"/>
          <w:sz w:val="20"/>
          <w:szCs w:val="20"/>
        </w:rPr>
        <w:t>pH</w:t>
      </w:r>
      <w:r w:rsidRPr="006A0AD9">
        <w:rPr>
          <w:rFonts w:ascii="Arial" w:hAnsi="Arial" w:cs="Arial"/>
          <w:color w:val="000000" w:themeColor="text1"/>
          <w:sz w:val="20"/>
          <w:szCs w:val="20"/>
        </w:rPr>
        <w:t>, TDS, and chloride</w:t>
      </w:r>
      <w:r w:rsidR="006A0AD9">
        <w:rPr>
          <w:rFonts w:ascii="Arial" w:hAnsi="Arial" w:cs="Arial"/>
          <w:color w:val="000000" w:themeColor="text1"/>
          <w:sz w:val="20"/>
          <w:szCs w:val="20"/>
        </w:rPr>
        <w:t>,</w:t>
      </w:r>
      <w:r w:rsidRPr="006A0AD9">
        <w:rPr>
          <w:rFonts w:ascii="Arial" w:hAnsi="Arial" w:cs="Arial"/>
          <w:color w:val="000000" w:themeColor="text1"/>
          <w:sz w:val="20"/>
          <w:szCs w:val="20"/>
        </w:rPr>
        <w:t xml:space="preserve"> remained within acceptable limits, several critical indicators—particularly </w:t>
      </w:r>
      <w:r w:rsidRPr="006A0AD9">
        <w:rPr>
          <w:rStyle w:val="Strong"/>
          <w:rFonts w:ascii="Arial" w:hAnsi="Arial" w:cs="Arial"/>
          <w:b w:val="0"/>
          <w:bCs w:val="0"/>
          <w:color w:val="000000" w:themeColor="text1"/>
          <w:sz w:val="20"/>
          <w:szCs w:val="20"/>
        </w:rPr>
        <w:t>total hardness</w:t>
      </w:r>
      <w:r w:rsidRPr="006A0AD9">
        <w:rPr>
          <w:rFonts w:ascii="Arial" w:hAnsi="Arial" w:cs="Arial"/>
          <w:b/>
          <w:bCs/>
          <w:color w:val="000000" w:themeColor="text1"/>
          <w:sz w:val="20"/>
          <w:szCs w:val="20"/>
        </w:rPr>
        <w:t xml:space="preserve">, </w:t>
      </w:r>
      <w:r w:rsidRPr="006A0AD9">
        <w:rPr>
          <w:rStyle w:val="Strong"/>
          <w:rFonts w:ascii="Arial" w:hAnsi="Arial" w:cs="Arial"/>
          <w:b w:val="0"/>
          <w:bCs w:val="0"/>
          <w:color w:val="000000" w:themeColor="text1"/>
          <w:sz w:val="20"/>
          <w:szCs w:val="20"/>
        </w:rPr>
        <w:t>alkalinity</w:t>
      </w:r>
      <w:r w:rsidRPr="006A0AD9">
        <w:rPr>
          <w:rFonts w:ascii="Arial" w:hAnsi="Arial" w:cs="Arial"/>
          <w:b/>
          <w:bCs/>
          <w:color w:val="000000" w:themeColor="text1"/>
          <w:sz w:val="20"/>
          <w:szCs w:val="20"/>
        </w:rPr>
        <w:t xml:space="preserve">, and </w:t>
      </w:r>
      <w:r w:rsidRPr="006A0AD9">
        <w:rPr>
          <w:rStyle w:val="Strong"/>
          <w:rFonts w:ascii="Arial" w:hAnsi="Arial" w:cs="Arial"/>
          <w:b w:val="0"/>
          <w:bCs w:val="0"/>
          <w:color w:val="000000" w:themeColor="text1"/>
          <w:sz w:val="20"/>
          <w:szCs w:val="20"/>
        </w:rPr>
        <w:t>arsenic levels</w:t>
      </w:r>
      <w:r w:rsidRPr="006A0AD9">
        <w:rPr>
          <w:rFonts w:ascii="Arial" w:hAnsi="Arial" w:cs="Arial"/>
          <w:color w:val="000000" w:themeColor="text1"/>
          <w:sz w:val="20"/>
          <w:szCs w:val="20"/>
        </w:rPr>
        <w:t>—consistently exceeded safe thresholds. This indicates a growing chemical burden in the local aquifer, likely driven by unregulated industrial activity and inadequate environmental safeguards.</w:t>
      </w:r>
    </w:p>
    <w:p w14:paraId="69C7CBD1" w14:textId="77777777" w:rsidR="00AC545C" w:rsidRPr="006A0AD9" w:rsidRDefault="00AC545C">
      <w:pPr>
        <w:pStyle w:val="NormalWeb"/>
        <w:divId w:val="1956717318"/>
        <w:rPr>
          <w:rFonts w:ascii="Arial" w:hAnsi="Arial" w:cs="Arial"/>
          <w:color w:val="000000" w:themeColor="text1"/>
          <w:sz w:val="20"/>
          <w:szCs w:val="20"/>
        </w:rPr>
      </w:pPr>
      <w:r w:rsidRPr="006A0AD9">
        <w:rPr>
          <w:rFonts w:ascii="Arial" w:hAnsi="Arial" w:cs="Arial"/>
          <w:color w:val="000000" w:themeColor="text1"/>
          <w:sz w:val="20"/>
          <w:szCs w:val="20"/>
        </w:rPr>
        <w:t xml:space="preserve">What makes the situation more alarming is the </w:t>
      </w:r>
      <w:r w:rsidRPr="006A0AD9">
        <w:rPr>
          <w:rStyle w:val="Strong"/>
          <w:rFonts w:ascii="Arial" w:hAnsi="Arial" w:cs="Arial"/>
          <w:b w:val="0"/>
          <w:bCs w:val="0"/>
          <w:color w:val="000000" w:themeColor="text1"/>
          <w:sz w:val="20"/>
          <w:szCs w:val="20"/>
        </w:rPr>
        <w:t>biological assessment</w:t>
      </w:r>
      <w:r w:rsidRPr="006A0AD9">
        <w:rPr>
          <w:rFonts w:ascii="Arial" w:hAnsi="Arial" w:cs="Arial"/>
          <w:color w:val="000000" w:themeColor="text1"/>
          <w:sz w:val="20"/>
          <w:szCs w:val="20"/>
        </w:rPr>
        <w:t xml:space="preserve">, which, although showing relatively low levels of microbial contamination, exposed </w:t>
      </w:r>
      <w:r w:rsidRPr="006A0AD9">
        <w:rPr>
          <w:rStyle w:val="Strong"/>
          <w:rFonts w:ascii="Arial" w:hAnsi="Arial" w:cs="Arial"/>
          <w:b w:val="0"/>
          <w:bCs w:val="0"/>
          <w:color w:val="000000" w:themeColor="text1"/>
          <w:sz w:val="20"/>
          <w:szCs w:val="20"/>
        </w:rPr>
        <w:t>seasonal spikes in bacterial load</w:t>
      </w:r>
      <w:r w:rsidRPr="006A0AD9">
        <w:rPr>
          <w:rFonts w:ascii="Arial" w:hAnsi="Arial" w:cs="Arial"/>
          <w:color w:val="000000" w:themeColor="text1"/>
          <w:sz w:val="20"/>
          <w:szCs w:val="20"/>
        </w:rPr>
        <w:t xml:space="preserve">—especially during and after the monsoon season. Even these low or moderate microbial presences are unacceptable in drinking water, especially for vulnerable populations like children and the elderly. Such contamination hints at </w:t>
      </w:r>
      <w:r w:rsidRPr="006A0AD9">
        <w:rPr>
          <w:rStyle w:val="Strong"/>
          <w:rFonts w:ascii="Arial" w:hAnsi="Arial" w:cs="Arial"/>
          <w:b w:val="0"/>
          <w:bCs w:val="0"/>
          <w:color w:val="000000" w:themeColor="text1"/>
          <w:sz w:val="20"/>
          <w:szCs w:val="20"/>
        </w:rPr>
        <w:t>leakages from sanitation systems, surface runoff, or poor infrastructure hygiene</w:t>
      </w:r>
      <w:r w:rsidRPr="006A0AD9">
        <w:rPr>
          <w:rFonts w:ascii="Arial" w:hAnsi="Arial" w:cs="Arial"/>
          <w:color w:val="000000" w:themeColor="text1"/>
          <w:sz w:val="20"/>
          <w:szCs w:val="20"/>
        </w:rPr>
        <w:t>, all of which reflect systemic neglect.</w:t>
      </w:r>
    </w:p>
    <w:p w14:paraId="30E31194" w14:textId="77777777" w:rsidR="00AC545C" w:rsidRPr="006A0AD9" w:rsidRDefault="00AC545C">
      <w:pPr>
        <w:pStyle w:val="NormalWeb"/>
        <w:divId w:val="1956717318"/>
        <w:rPr>
          <w:rFonts w:ascii="Arial" w:hAnsi="Arial" w:cs="Arial"/>
          <w:color w:val="000000" w:themeColor="text1"/>
          <w:sz w:val="20"/>
          <w:szCs w:val="20"/>
        </w:rPr>
      </w:pPr>
      <w:r w:rsidRPr="006A0AD9">
        <w:rPr>
          <w:rFonts w:ascii="Arial" w:hAnsi="Arial" w:cs="Arial"/>
          <w:color w:val="000000" w:themeColor="text1"/>
          <w:sz w:val="20"/>
          <w:szCs w:val="20"/>
        </w:rPr>
        <w:t xml:space="preserve">The recurring presence of </w:t>
      </w:r>
      <w:r w:rsidRPr="006A0AD9">
        <w:rPr>
          <w:rStyle w:val="Strong"/>
          <w:rFonts w:ascii="Arial" w:hAnsi="Arial" w:cs="Arial"/>
          <w:b w:val="0"/>
          <w:bCs w:val="0"/>
          <w:color w:val="000000" w:themeColor="text1"/>
          <w:sz w:val="20"/>
          <w:szCs w:val="20"/>
        </w:rPr>
        <w:t>arsenic in elevated concentrations</w:t>
      </w:r>
      <w:r w:rsidRPr="006A0AD9">
        <w:rPr>
          <w:rFonts w:ascii="Arial" w:hAnsi="Arial" w:cs="Arial"/>
          <w:color w:val="000000" w:themeColor="text1"/>
          <w:sz w:val="20"/>
          <w:szCs w:val="20"/>
        </w:rPr>
        <w:t xml:space="preserve">, along with episodic increases in </w:t>
      </w:r>
      <w:r w:rsidRPr="006A0AD9">
        <w:rPr>
          <w:rStyle w:val="Strong"/>
          <w:rFonts w:ascii="Arial" w:hAnsi="Arial" w:cs="Arial"/>
          <w:b w:val="0"/>
          <w:bCs w:val="0"/>
          <w:color w:val="000000" w:themeColor="text1"/>
          <w:sz w:val="20"/>
          <w:szCs w:val="20"/>
        </w:rPr>
        <w:t>fluoride</w:t>
      </w:r>
      <w:r w:rsidRPr="006A0AD9">
        <w:rPr>
          <w:rFonts w:ascii="Arial" w:hAnsi="Arial" w:cs="Arial"/>
          <w:b/>
          <w:bCs/>
          <w:color w:val="000000" w:themeColor="text1"/>
          <w:sz w:val="20"/>
          <w:szCs w:val="20"/>
        </w:rPr>
        <w:t>,</w:t>
      </w:r>
      <w:r w:rsidRPr="006A0AD9">
        <w:rPr>
          <w:rFonts w:ascii="Arial" w:hAnsi="Arial" w:cs="Arial"/>
          <w:color w:val="000000" w:themeColor="text1"/>
          <w:sz w:val="20"/>
          <w:szCs w:val="20"/>
        </w:rPr>
        <w:t xml:space="preserve"> poses </w:t>
      </w:r>
      <w:r w:rsidRPr="006A0AD9">
        <w:rPr>
          <w:rFonts w:ascii="Arial" w:hAnsi="Arial" w:cs="Arial"/>
          <w:b/>
          <w:bCs/>
          <w:color w:val="000000" w:themeColor="text1"/>
          <w:sz w:val="20"/>
          <w:szCs w:val="20"/>
        </w:rPr>
        <w:t xml:space="preserve">a </w:t>
      </w:r>
      <w:r w:rsidRPr="006A0AD9">
        <w:rPr>
          <w:rStyle w:val="Strong"/>
          <w:rFonts w:ascii="Arial" w:hAnsi="Arial" w:cs="Arial"/>
          <w:b w:val="0"/>
          <w:bCs w:val="0"/>
          <w:color w:val="000000" w:themeColor="text1"/>
          <w:sz w:val="20"/>
          <w:szCs w:val="20"/>
        </w:rPr>
        <w:t>long-term public health threat</w:t>
      </w:r>
      <w:r w:rsidRPr="006A0AD9">
        <w:rPr>
          <w:rFonts w:ascii="Arial" w:hAnsi="Arial" w:cs="Arial"/>
          <w:color w:val="000000" w:themeColor="text1"/>
          <w:sz w:val="20"/>
          <w:szCs w:val="20"/>
        </w:rPr>
        <w:t>. These toxic elements are linked to irreversible conditions, including skin disorders, bone deformities, and various cancers. If left unchecked, continued reliance on this water source without treatment could silently fuel chronic health crises in the region.</w:t>
      </w:r>
    </w:p>
    <w:p w14:paraId="12262FE3" w14:textId="72047901" w:rsidR="00AC545C" w:rsidRDefault="00AC545C">
      <w:pPr>
        <w:pStyle w:val="NormalWeb"/>
        <w:divId w:val="1956717318"/>
        <w:rPr>
          <w:rFonts w:ascii="Arial" w:hAnsi="Arial" w:cs="Arial"/>
          <w:color w:val="000000" w:themeColor="text1"/>
          <w:sz w:val="20"/>
          <w:szCs w:val="20"/>
        </w:rPr>
      </w:pPr>
      <w:r w:rsidRPr="006A0AD9">
        <w:rPr>
          <w:rFonts w:ascii="Arial" w:hAnsi="Arial" w:cs="Arial"/>
          <w:color w:val="000000" w:themeColor="text1"/>
          <w:sz w:val="20"/>
          <w:szCs w:val="20"/>
        </w:rPr>
        <w:t xml:space="preserve">In conclusion, while the groundwater in </w:t>
      </w:r>
      <w:r w:rsidR="00663D3D" w:rsidRPr="006A0AD9">
        <w:rPr>
          <w:rFonts w:ascii="Arial" w:hAnsi="Arial" w:cs="Arial"/>
          <w:color w:val="000000" w:themeColor="text1"/>
          <w:sz w:val="20"/>
          <w:szCs w:val="20"/>
        </w:rPr>
        <w:t>Rooma</w:t>
      </w:r>
      <w:r w:rsidRPr="006A0AD9">
        <w:rPr>
          <w:rFonts w:ascii="Arial" w:hAnsi="Arial" w:cs="Arial"/>
          <w:color w:val="000000" w:themeColor="text1"/>
          <w:sz w:val="20"/>
          <w:szCs w:val="20"/>
        </w:rPr>
        <w:t xml:space="preserve"> remains a vital lifeline for the local community, its quality is under serious stress from both </w:t>
      </w:r>
      <w:r w:rsidRPr="006A0AD9">
        <w:rPr>
          <w:rStyle w:val="Strong"/>
          <w:rFonts w:ascii="Arial" w:hAnsi="Arial" w:cs="Arial"/>
          <w:b w:val="0"/>
          <w:bCs w:val="0"/>
          <w:color w:val="000000" w:themeColor="text1"/>
          <w:sz w:val="20"/>
          <w:szCs w:val="20"/>
        </w:rPr>
        <w:t>industrial</w:t>
      </w:r>
      <w:r w:rsidRPr="006A0AD9">
        <w:rPr>
          <w:rStyle w:val="Strong"/>
          <w:rFonts w:ascii="Arial" w:hAnsi="Arial" w:cs="Arial"/>
          <w:color w:val="000000" w:themeColor="text1"/>
          <w:sz w:val="20"/>
          <w:szCs w:val="20"/>
        </w:rPr>
        <w:t xml:space="preserve"> </w:t>
      </w:r>
      <w:r w:rsidRPr="006A0AD9">
        <w:rPr>
          <w:rStyle w:val="Strong"/>
          <w:rFonts w:ascii="Arial" w:hAnsi="Arial" w:cs="Arial"/>
          <w:b w:val="0"/>
          <w:bCs w:val="0"/>
          <w:color w:val="000000" w:themeColor="text1"/>
          <w:sz w:val="20"/>
          <w:szCs w:val="20"/>
        </w:rPr>
        <w:t>pollutants and microbial threats</w:t>
      </w:r>
      <w:r w:rsidRPr="006A0AD9">
        <w:rPr>
          <w:rFonts w:ascii="Arial" w:hAnsi="Arial" w:cs="Arial"/>
          <w:color w:val="000000" w:themeColor="text1"/>
          <w:sz w:val="20"/>
          <w:szCs w:val="20"/>
        </w:rPr>
        <w:t xml:space="preserve">. There is an urgent need for </w:t>
      </w:r>
      <w:r w:rsidRPr="006A0AD9">
        <w:rPr>
          <w:rStyle w:val="Strong"/>
          <w:rFonts w:ascii="Arial" w:hAnsi="Arial" w:cs="Arial"/>
          <w:b w:val="0"/>
          <w:bCs w:val="0"/>
          <w:color w:val="000000" w:themeColor="text1"/>
          <w:sz w:val="20"/>
          <w:szCs w:val="20"/>
        </w:rPr>
        <w:t>regula</w:t>
      </w:r>
      <w:r w:rsidRPr="006A0AD9">
        <w:rPr>
          <w:rStyle w:val="Strong"/>
          <w:rFonts w:ascii="Arial" w:hAnsi="Arial" w:cs="Arial"/>
          <w:color w:val="000000" w:themeColor="text1"/>
          <w:sz w:val="20"/>
          <w:szCs w:val="20"/>
        </w:rPr>
        <w:t xml:space="preserve">r, </w:t>
      </w:r>
      <w:r w:rsidRPr="006A0AD9">
        <w:rPr>
          <w:rStyle w:val="Strong"/>
          <w:rFonts w:ascii="Arial" w:hAnsi="Arial" w:cs="Arial"/>
          <w:b w:val="0"/>
          <w:bCs w:val="0"/>
          <w:color w:val="000000" w:themeColor="text1"/>
          <w:sz w:val="20"/>
          <w:szCs w:val="20"/>
        </w:rPr>
        <w:t>multi-parameter monitoring</w:t>
      </w:r>
      <w:r w:rsidRPr="006A0AD9">
        <w:rPr>
          <w:rFonts w:ascii="Arial" w:hAnsi="Arial" w:cs="Arial"/>
          <w:b/>
          <w:bCs/>
          <w:color w:val="000000" w:themeColor="text1"/>
          <w:sz w:val="20"/>
          <w:szCs w:val="20"/>
        </w:rPr>
        <w:t xml:space="preserve">, </w:t>
      </w:r>
      <w:r w:rsidRPr="006A0AD9">
        <w:rPr>
          <w:rStyle w:val="Strong"/>
          <w:rFonts w:ascii="Arial" w:hAnsi="Arial" w:cs="Arial"/>
          <w:b w:val="0"/>
          <w:bCs w:val="0"/>
          <w:color w:val="000000" w:themeColor="text1"/>
          <w:sz w:val="20"/>
          <w:szCs w:val="20"/>
        </w:rPr>
        <w:t>community-level awareness</w:t>
      </w:r>
      <w:r w:rsidRPr="006A0AD9">
        <w:rPr>
          <w:rFonts w:ascii="Arial" w:hAnsi="Arial" w:cs="Arial"/>
          <w:color w:val="000000" w:themeColor="text1"/>
          <w:sz w:val="20"/>
          <w:szCs w:val="20"/>
        </w:rPr>
        <w:t>, and</w:t>
      </w:r>
      <w:r w:rsidRPr="006A0AD9">
        <w:rPr>
          <w:rFonts w:ascii="Arial" w:hAnsi="Arial" w:cs="Arial"/>
          <w:b/>
          <w:bCs/>
          <w:color w:val="000000" w:themeColor="text1"/>
          <w:sz w:val="20"/>
          <w:szCs w:val="20"/>
        </w:rPr>
        <w:t xml:space="preserve"> </w:t>
      </w:r>
      <w:r w:rsidRPr="006A0AD9">
        <w:rPr>
          <w:rStyle w:val="Strong"/>
          <w:rFonts w:ascii="Arial" w:hAnsi="Arial" w:cs="Arial"/>
          <w:b w:val="0"/>
          <w:bCs w:val="0"/>
          <w:color w:val="000000" w:themeColor="text1"/>
          <w:sz w:val="20"/>
          <w:szCs w:val="20"/>
        </w:rPr>
        <w:t>sustainable water</w:t>
      </w:r>
      <w:r w:rsidRPr="006A0AD9">
        <w:rPr>
          <w:rStyle w:val="Strong"/>
          <w:rFonts w:ascii="Arial" w:hAnsi="Arial" w:cs="Arial"/>
          <w:color w:val="000000" w:themeColor="text1"/>
          <w:sz w:val="20"/>
          <w:szCs w:val="20"/>
        </w:rPr>
        <w:t xml:space="preserve"> </w:t>
      </w:r>
      <w:r w:rsidRPr="006A0AD9">
        <w:rPr>
          <w:rStyle w:val="Strong"/>
          <w:rFonts w:ascii="Arial" w:hAnsi="Arial" w:cs="Arial"/>
          <w:b w:val="0"/>
          <w:bCs w:val="0"/>
          <w:color w:val="000000" w:themeColor="text1"/>
          <w:sz w:val="20"/>
          <w:szCs w:val="20"/>
        </w:rPr>
        <w:t>management strategies</w:t>
      </w:r>
      <w:r w:rsidRPr="006A0AD9">
        <w:rPr>
          <w:rFonts w:ascii="Arial" w:hAnsi="Arial" w:cs="Arial"/>
          <w:color w:val="000000" w:themeColor="text1"/>
          <w:sz w:val="20"/>
          <w:szCs w:val="20"/>
        </w:rPr>
        <w:t xml:space="preserve">. Safe drinking water should not be a privilege—it is a basic right. For </w:t>
      </w:r>
      <w:r w:rsidR="00663D3D" w:rsidRPr="006A0AD9">
        <w:rPr>
          <w:rFonts w:ascii="Arial" w:hAnsi="Arial" w:cs="Arial"/>
          <w:color w:val="000000" w:themeColor="text1"/>
          <w:sz w:val="20"/>
          <w:szCs w:val="20"/>
        </w:rPr>
        <w:t>Rooma</w:t>
      </w:r>
      <w:r w:rsidRPr="006A0AD9">
        <w:rPr>
          <w:rFonts w:ascii="Arial" w:hAnsi="Arial" w:cs="Arial"/>
          <w:color w:val="000000" w:themeColor="text1"/>
          <w:sz w:val="20"/>
          <w:szCs w:val="20"/>
        </w:rPr>
        <w:t>, that right can only be protected through science-backed policies, better infrastructure, and community participation in safeguarding this essential resource.</w:t>
      </w:r>
    </w:p>
    <w:p w14:paraId="30A30277" w14:textId="77777777" w:rsidR="00C94A27" w:rsidRPr="006A0AD9" w:rsidRDefault="00C94A27">
      <w:pPr>
        <w:pStyle w:val="NormalWeb"/>
        <w:divId w:val="1956717318"/>
        <w:rPr>
          <w:rFonts w:ascii="Arial" w:hAnsi="Arial" w:cs="Arial"/>
          <w:color w:val="000000" w:themeColor="text1"/>
          <w:sz w:val="20"/>
          <w:szCs w:val="20"/>
        </w:rPr>
      </w:pPr>
    </w:p>
    <w:p w14:paraId="6B3DF92A" w14:textId="517F5358" w:rsidR="00C2747B" w:rsidRDefault="001E3A3C">
      <w:pPr>
        <w:pStyle w:val="Heading1"/>
        <w:rPr>
          <w:rFonts w:ascii="Arial" w:hAnsi="Arial" w:cs="Arial"/>
          <w:color w:val="000000"/>
          <w:sz w:val="20"/>
          <w:szCs w:val="20"/>
        </w:rPr>
      </w:pPr>
      <w:r w:rsidRPr="00DD1E00">
        <w:rPr>
          <w:rFonts w:ascii="Arial" w:hAnsi="Arial" w:cs="Arial"/>
          <w:color w:val="000000"/>
          <w:sz w:val="20"/>
          <w:szCs w:val="20"/>
        </w:rPr>
        <w:lastRenderedPageBreak/>
        <w:t>REFERENCES</w:t>
      </w:r>
    </w:p>
    <w:p w14:paraId="3E77D77A" w14:textId="77777777" w:rsidR="00250426" w:rsidRPr="00250426" w:rsidRDefault="00250426" w:rsidP="00250426"/>
    <w:p w14:paraId="438CACAE" w14:textId="1CAD28CB" w:rsidR="00C2747B" w:rsidRDefault="00797819" w:rsidP="001E3A3C">
      <w:pPr>
        <w:pStyle w:val="ListNumber"/>
        <w:spacing w:line="360" w:lineRule="auto"/>
        <w:rPr>
          <w:rFonts w:ascii="Arial" w:hAnsi="Arial" w:cs="Arial"/>
          <w:sz w:val="20"/>
          <w:szCs w:val="20"/>
        </w:rPr>
      </w:pPr>
      <w:r w:rsidRPr="00DD1E00">
        <w:rPr>
          <w:rFonts w:ascii="Arial" w:hAnsi="Arial" w:cs="Arial"/>
          <w:sz w:val="20"/>
          <w:szCs w:val="20"/>
        </w:rPr>
        <w:t>BIS. (2021). IS 10500: Drinking Water — Specification (Second Revision). Bureau of Indian Standards.</w:t>
      </w:r>
    </w:p>
    <w:p w14:paraId="06C962C3"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Dixit, A., &amp; Kumar, S. (2022). Assessment of groundwater contamination due to industrial waste in Kanpur industrial zones. Journal of Environmental Monitoring and Assessment, 194(5), 65–72.</w:t>
      </w:r>
    </w:p>
    <w:p w14:paraId="76DE7441"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Environmental Protection Agency. (2021). National Primary Drinking Water Regulations. United States EPA.</w:t>
      </w:r>
    </w:p>
    <w:p w14:paraId="4F1EE244"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Gupta, A., &amp; Verma, S. (2021). A review on arsenic and fluoride contamination in the groundwater of Indo-Gangetic plains. Water Resources and Pollution Research, 3(1), 25–33.</w:t>
      </w:r>
    </w:p>
    <w:p w14:paraId="6EDB1FE5"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Jain, R., &amp; Agrawal, A. (2023). Bacterial indicators in drinking water: A case study of peri-urban Kanpur. Indian Journal of Environmental Health, 65(2), 105–112.</w:t>
      </w:r>
    </w:p>
    <w:p w14:paraId="6763822F"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Katiyar, R., &amp; Khan, M. I. (2021). Industrial effluent impact on groundwater chemistry in Kanpur: A GIS-based study. Asian Journal of Water, Environment and Pollution, 18(4), 75–83.</w:t>
      </w:r>
    </w:p>
    <w:p w14:paraId="6F8637C9"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Khan, T., &amp; Jha, P. (2020). Elevated iron levels in groundwater and associated health risks in industrial belts of Kanpur. Environmental Earth Sciences, 79(17), 415.</w:t>
      </w:r>
    </w:p>
    <w:p w14:paraId="0B171DBF"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Kumari, P., &amp; Singh, R. (2022). Arsenic contamination in groundwater: A silent threat to public health in Uttar Pradesh. International Journal of Environmental Safety, 10(3), 211–219.</w:t>
      </w:r>
    </w:p>
    <w:p w14:paraId="10DCE84E"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Mishra, S., &amp; Tiwari, R. (2022). Physico-chemical evaluation of drinking water in Kanpur rural zones. Journal of Groundwater Science and Engineering, 10(2), 87–93.</w:t>
      </w:r>
    </w:p>
    <w:p w14:paraId="05C8A97E"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NGT. (2023). Groundwater pollution and compliance in Kanpur: Tribunal report. National Green Tribunal, India.</w:t>
      </w:r>
    </w:p>
    <w:p w14:paraId="7E1B003D"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Patel, M., &amp; Meena, H. (2020). Study on water alkalinity and its health impacts in Indian households. Journal of Applied Water Science, 9(3), 211–217.</w:t>
      </w:r>
    </w:p>
    <w:p w14:paraId="6CE53093"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Sahu, D., &amp; Chaturvedi, P. (2022). Microbial load in groundwater: Urban vs rural comparisons in Northern India. Microbiology and Public Health, 11(2), 56–63.</w:t>
      </w:r>
    </w:p>
    <w:p w14:paraId="2F856061"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Sharma, P., &amp; Chauhan, S. (2020). Health impacts of high fluoride levels in rural Uttar Pradesh. Journal of Public Health and Hygiene, 18(4), 149–156.</w:t>
      </w:r>
    </w:p>
    <w:p w14:paraId="2ACF2F26"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Singh, A., &amp; Kumar, M. (2023). Water quality analysis and health risk assessment in industrial fringe areas of Kanpur. Environmental Reviews, 31(1), 22–30.</w:t>
      </w:r>
    </w:p>
    <w:p w14:paraId="69508A56"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Singh, R., &amp; Pandey, S. (2023). Groundwater pollution in Ganga basin: An overview of heavy metal contamination. Earth and Environmental Sciences, 15(1), 88–97.</w:t>
      </w:r>
    </w:p>
    <w:p w14:paraId="51D7F4A9"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 xml:space="preserve">Singh, V., &amp; Shukla, A. (2023). Fluoride content in groundwater and associated health issues: A study from Kanpur </w:t>
      </w:r>
      <w:proofErr w:type="spellStart"/>
      <w:r w:rsidRPr="00DD1E00">
        <w:rPr>
          <w:rFonts w:ascii="Arial" w:hAnsi="Arial" w:cs="Arial"/>
          <w:sz w:val="20"/>
          <w:szCs w:val="20"/>
        </w:rPr>
        <w:t>Dehat</w:t>
      </w:r>
      <w:proofErr w:type="spellEnd"/>
      <w:r w:rsidRPr="00DD1E00">
        <w:rPr>
          <w:rFonts w:ascii="Arial" w:hAnsi="Arial" w:cs="Arial"/>
          <w:sz w:val="20"/>
          <w:szCs w:val="20"/>
        </w:rPr>
        <w:t>. International Journal of Environmental Health Research, 33(1), 40–49.</w:t>
      </w:r>
    </w:p>
    <w:p w14:paraId="64D1D50E"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Singh, V., &amp; Srivastava, P. (2023). pH variability in urban groundwater: Effects of industrialization in Kanpur. Water Research and Quality Bulletin, 45(1), 28–34.</w:t>
      </w:r>
    </w:p>
    <w:p w14:paraId="60E755DF"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lastRenderedPageBreak/>
        <w:t xml:space="preserve">Tyagi, R., &amp; Bansal, A. (2021). Evaluation of groundwater hardness and its household impacts in urban India. </w:t>
      </w:r>
      <w:proofErr w:type="spellStart"/>
      <w:r w:rsidRPr="00DD1E00">
        <w:rPr>
          <w:rFonts w:ascii="Arial" w:hAnsi="Arial" w:cs="Arial"/>
          <w:sz w:val="20"/>
          <w:szCs w:val="20"/>
        </w:rPr>
        <w:t>HydroScience</w:t>
      </w:r>
      <w:proofErr w:type="spellEnd"/>
      <w:r w:rsidRPr="00DD1E00">
        <w:rPr>
          <w:rFonts w:ascii="Arial" w:hAnsi="Arial" w:cs="Arial"/>
          <w:sz w:val="20"/>
          <w:szCs w:val="20"/>
        </w:rPr>
        <w:t xml:space="preserve"> Journal, 13(4), 243–250.</w:t>
      </w:r>
    </w:p>
    <w:p w14:paraId="25D63969"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WHO. (2022). Guidelines for drinking-water quality (4th ed., updated 2022). World Health Organization.</w:t>
      </w:r>
    </w:p>
    <w:p w14:paraId="26652C1D"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Yadav, N., &amp; Tripathi, S. (2021). Groundwater vulnerability mapping in the Kanpur region using DRASTIC model. Geoscience Frontiers India, 6(3), 67–75.</w:t>
      </w:r>
    </w:p>
    <w:p w14:paraId="05B3CF9D" w14:textId="110F40EF" w:rsidR="00A815AC" w:rsidRPr="00DD1E00" w:rsidRDefault="00A815AC" w:rsidP="001E3A3C">
      <w:pPr>
        <w:pStyle w:val="ListNumber"/>
        <w:numPr>
          <w:ilvl w:val="0"/>
          <w:numId w:val="0"/>
        </w:numPr>
        <w:spacing w:line="360" w:lineRule="auto"/>
        <w:ind w:left="360"/>
        <w:rPr>
          <w:rFonts w:ascii="Arial" w:hAnsi="Arial" w:cs="Arial"/>
          <w:sz w:val="20"/>
          <w:szCs w:val="20"/>
        </w:rPr>
      </w:pPr>
    </w:p>
    <w:p w14:paraId="0B1A7536"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14F16203"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28D1BC50"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49891F93"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3F241FA4"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66817AC3"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55E97E6D" w14:textId="77777777" w:rsidR="00A815AC" w:rsidRPr="00DD1E00" w:rsidRDefault="00A815AC" w:rsidP="00A815AC">
      <w:pPr>
        <w:pStyle w:val="ListNumber"/>
        <w:numPr>
          <w:ilvl w:val="0"/>
          <w:numId w:val="0"/>
        </w:numPr>
        <w:ind w:left="360"/>
        <w:rPr>
          <w:rFonts w:ascii="Arial" w:hAnsi="Arial" w:cs="Arial"/>
          <w:sz w:val="20"/>
          <w:szCs w:val="20"/>
        </w:rPr>
      </w:pPr>
    </w:p>
    <w:p w14:paraId="2489BEA7" w14:textId="77777777" w:rsidR="00A815AC" w:rsidRPr="00DD1E00" w:rsidRDefault="00A815AC" w:rsidP="00A815AC">
      <w:pPr>
        <w:pStyle w:val="ListNumber"/>
        <w:numPr>
          <w:ilvl w:val="0"/>
          <w:numId w:val="0"/>
        </w:numPr>
        <w:ind w:left="360"/>
        <w:rPr>
          <w:rFonts w:ascii="Arial" w:hAnsi="Arial" w:cs="Arial"/>
          <w:sz w:val="20"/>
          <w:szCs w:val="20"/>
        </w:rPr>
      </w:pPr>
    </w:p>
    <w:p w14:paraId="359E13CE" w14:textId="77777777" w:rsidR="00A815AC" w:rsidRPr="00DD1E00" w:rsidRDefault="00A815AC" w:rsidP="00A815AC">
      <w:pPr>
        <w:pStyle w:val="ListNumber"/>
        <w:numPr>
          <w:ilvl w:val="0"/>
          <w:numId w:val="0"/>
        </w:numPr>
        <w:ind w:left="360"/>
        <w:rPr>
          <w:rFonts w:ascii="Arial" w:hAnsi="Arial" w:cs="Arial"/>
          <w:sz w:val="20"/>
          <w:szCs w:val="20"/>
        </w:rPr>
      </w:pPr>
    </w:p>
    <w:p w14:paraId="6D3272EB" w14:textId="38B01478" w:rsidR="00A815AC" w:rsidRDefault="00025354" w:rsidP="00A815AC">
      <w:pPr>
        <w:pStyle w:val="ListNumber"/>
        <w:numPr>
          <w:ilvl w:val="0"/>
          <w:numId w:val="0"/>
        </w:numPr>
        <w:ind w:left="360"/>
        <w:rPr>
          <w:rFonts w:ascii="Arial" w:hAnsi="Arial" w:cs="Arial"/>
          <w:sz w:val="20"/>
          <w:szCs w:val="20"/>
        </w:rPr>
      </w:pPr>
      <w:r>
        <w:rPr>
          <w:rFonts w:ascii="Arial" w:hAnsi="Arial" w:cs="Arial"/>
          <w:sz w:val="20"/>
          <w:szCs w:val="20"/>
        </w:rPr>
        <w:t>Bore hole depth?</w:t>
      </w:r>
    </w:p>
    <w:p w14:paraId="560E0B1F" w14:textId="1B12631A" w:rsidR="00025354" w:rsidRDefault="00025354" w:rsidP="00A815AC">
      <w:pPr>
        <w:pStyle w:val="ListNumber"/>
        <w:numPr>
          <w:ilvl w:val="0"/>
          <w:numId w:val="0"/>
        </w:numPr>
        <w:ind w:left="360"/>
        <w:rPr>
          <w:rFonts w:ascii="Arial" w:hAnsi="Arial" w:cs="Arial"/>
          <w:sz w:val="20"/>
          <w:szCs w:val="20"/>
        </w:rPr>
      </w:pPr>
    </w:p>
    <w:p w14:paraId="2B7093AB" w14:textId="3D1090CE" w:rsidR="00382CD8" w:rsidRDefault="00382CD8" w:rsidP="00A815AC">
      <w:pPr>
        <w:pStyle w:val="ListNumber"/>
        <w:numPr>
          <w:ilvl w:val="0"/>
          <w:numId w:val="0"/>
        </w:numPr>
        <w:ind w:left="360"/>
        <w:rPr>
          <w:rFonts w:ascii="Arial" w:hAnsi="Arial" w:cs="Arial"/>
          <w:sz w:val="20"/>
          <w:szCs w:val="20"/>
        </w:rPr>
      </w:pPr>
      <w:r>
        <w:rPr>
          <w:rFonts w:ascii="Arial" w:hAnsi="Arial" w:cs="Arial"/>
          <w:sz w:val="20"/>
          <w:szCs w:val="20"/>
        </w:rPr>
        <w:t>Testing methods ref</w:t>
      </w:r>
    </w:p>
    <w:p w14:paraId="3F9011AB" w14:textId="0F888263" w:rsidR="00382CD8" w:rsidRDefault="00382CD8" w:rsidP="00A815AC">
      <w:pPr>
        <w:pStyle w:val="ListNumber"/>
        <w:numPr>
          <w:ilvl w:val="0"/>
          <w:numId w:val="0"/>
        </w:numPr>
        <w:ind w:left="360"/>
        <w:rPr>
          <w:rFonts w:ascii="Arial" w:hAnsi="Arial" w:cs="Arial"/>
          <w:sz w:val="20"/>
          <w:szCs w:val="20"/>
        </w:rPr>
      </w:pPr>
      <w:r>
        <w:rPr>
          <w:rFonts w:ascii="Arial" w:hAnsi="Arial" w:cs="Arial"/>
          <w:sz w:val="20"/>
          <w:szCs w:val="20"/>
        </w:rPr>
        <w:t>Location? area</w:t>
      </w:r>
    </w:p>
    <w:p w14:paraId="39A1472E" w14:textId="77777777" w:rsidR="00382CD8" w:rsidRPr="00DD1E00" w:rsidRDefault="00382CD8" w:rsidP="00A815AC">
      <w:pPr>
        <w:pStyle w:val="ListNumber"/>
        <w:numPr>
          <w:ilvl w:val="0"/>
          <w:numId w:val="0"/>
        </w:numPr>
        <w:ind w:left="360"/>
        <w:rPr>
          <w:rFonts w:ascii="Arial" w:hAnsi="Arial" w:cs="Arial"/>
          <w:sz w:val="20"/>
          <w:szCs w:val="20"/>
        </w:rPr>
      </w:pPr>
    </w:p>
    <w:p w14:paraId="2CB8D499" w14:textId="77777777" w:rsidR="00A815AC" w:rsidRPr="00DD1E00" w:rsidRDefault="00A815AC" w:rsidP="00A815AC">
      <w:pPr>
        <w:pStyle w:val="ListNumber"/>
        <w:numPr>
          <w:ilvl w:val="0"/>
          <w:numId w:val="0"/>
        </w:numPr>
        <w:ind w:left="360"/>
        <w:rPr>
          <w:rFonts w:ascii="Arial" w:hAnsi="Arial" w:cs="Arial"/>
          <w:sz w:val="20"/>
          <w:szCs w:val="20"/>
        </w:rPr>
      </w:pPr>
    </w:p>
    <w:p w14:paraId="039967CD" w14:textId="77777777" w:rsidR="00A815AC" w:rsidRPr="00DD1E00" w:rsidRDefault="00A815AC" w:rsidP="00A815AC">
      <w:pPr>
        <w:pStyle w:val="ListNumber"/>
        <w:numPr>
          <w:ilvl w:val="0"/>
          <w:numId w:val="0"/>
        </w:numPr>
        <w:ind w:left="360"/>
        <w:rPr>
          <w:rFonts w:ascii="Arial" w:hAnsi="Arial" w:cs="Arial"/>
          <w:sz w:val="20"/>
          <w:szCs w:val="20"/>
        </w:rPr>
      </w:pPr>
    </w:p>
    <w:p w14:paraId="56B27857" w14:textId="77777777" w:rsidR="00A815AC" w:rsidRPr="00DD1E00" w:rsidRDefault="00A815AC" w:rsidP="00A815AC">
      <w:pPr>
        <w:pStyle w:val="ListNumber"/>
        <w:numPr>
          <w:ilvl w:val="0"/>
          <w:numId w:val="0"/>
        </w:numPr>
        <w:ind w:left="360"/>
        <w:rPr>
          <w:rFonts w:ascii="Arial" w:hAnsi="Arial" w:cs="Arial"/>
          <w:sz w:val="20"/>
          <w:szCs w:val="20"/>
        </w:rPr>
      </w:pPr>
    </w:p>
    <w:p w14:paraId="2945A6B3" w14:textId="77777777" w:rsidR="00A815AC" w:rsidRPr="00DD1E00" w:rsidRDefault="00A815AC" w:rsidP="00A815AC">
      <w:pPr>
        <w:pStyle w:val="ListNumber"/>
        <w:numPr>
          <w:ilvl w:val="0"/>
          <w:numId w:val="0"/>
        </w:numPr>
        <w:ind w:left="360"/>
        <w:rPr>
          <w:rFonts w:ascii="Arial" w:hAnsi="Arial" w:cs="Arial"/>
          <w:sz w:val="20"/>
          <w:szCs w:val="20"/>
        </w:rPr>
      </w:pPr>
    </w:p>
    <w:p w14:paraId="04CAFCF6" w14:textId="77777777" w:rsidR="00A815AC" w:rsidRPr="00DD1E00" w:rsidRDefault="00A815AC" w:rsidP="00A815AC">
      <w:pPr>
        <w:pStyle w:val="ListNumber"/>
        <w:numPr>
          <w:ilvl w:val="0"/>
          <w:numId w:val="0"/>
        </w:numPr>
        <w:ind w:left="360"/>
        <w:rPr>
          <w:rFonts w:ascii="Arial" w:hAnsi="Arial" w:cs="Arial"/>
          <w:sz w:val="20"/>
          <w:szCs w:val="20"/>
        </w:rPr>
      </w:pPr>
    </w:p>
    <w:p w14:paraId="7950EF47" w14:textId="77777777" w:rsidR="00A815AC" w:rsidRPr="00DD1E00" w:rsidRDefault="00A815AC" w:rsidP="00A815AC">
      <w:pPr>
        <w:pStyle w:val="ListNumber"/>
        <w:numPr>
          <w:ilvl w:val="0"/>
          <w:numId w:val="0"/>
        </w:numPr>
        <w:ind w:left="360"/>
        <w:rPr>
          <w:rFonts w:ascii="Arial" w:hAnsi="Arial" w:cs="Arial"/>
          <w:sz w:val="20"/>
          <w:szCs w:val="20"/>
        </w:rPr>
      </w:pPr>
    </w:p>
    <w:p w14:paraId="4658EDA0" w14:textId="77777777" w:rsidR="00A815AC" w:rsidRDefault="00A815AC" w:rsidP="00A815AC">
      <w:pPr>
        <w:pStyle w:val="ListNumber"/>
        <w:numPr>
          <w:ilvl w:val="0"/>
          <w:numId w:val="0"/>
        </w:numPr>
        <w:ind w:left="360"/>
        <w:rPr>
          <w:rFonts w:ascii="Times New Roman" w:hAnsi="Times New Roman" w:cs="Times New Roman"/>
          <w:sz w:val="24"/>
          <w:szCs w:val="24"/>
        </w:rPr>
      </w:pPr>
    </w:p>
    <w:p w14:paraId="25C0A51E" w14:textId="77777777" w:rsidR="00A815AC" w:rsidRDefault="00A815AC" w:rsidP="00A815AC">
      <w:pPr>
        <w:pStyle w:val="ListNumber"/>
        <w:numPr>
          <w:ilvl w:val="0"/>
          <w:numId w:val="0"/>
        </w:numPr>
        <w:ind w:left="360"/>
        <w:rPr>
          <w:rFonts w:ascii="Times New Roman" w:hAnsi="Times New Roman" w:cs="Times New Roman"/>
          <w:sz w:val="24"/>
          <w:szCs w:val="24"/>
        </w:rPr>
      </w:pPr>
    </w:p>
    <w:p w14:paraId="7B5997AF" w14:textId="77777777" w:rsidR="00A815AC" w:rsidRDefault="00A815AC" w:rsidP="00A815AC">
      <w:pPr>
        <w:pStyle w:val="ListNumber"/>
        <w:numPr>
          <w:ilvl w:val="0"/>
          <w:numId w:val="0"/>
        </w:numPr>
        <w:ind w:left="360"/>
        <w:rPr>
          <w:rFonts w:ascii="Times New Roman" w:hAnsi="Times New Roman" w:cs="Times New Roman"/>
          <w:sz w:val="24"/>
          <w:szCs w:val="24"/>
        </w:rPr>
      </w:pPr>
    </w:p>
    <w:sectPr w:rsidR="00A815AC" w:rsidSect="000B65F5">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Dr. Hashibul Islam" w:date="2025-09-20T23:00:00Z" w:initials="DHI">
    <w:p w14:paraId="269282F9" w14:textId="187248AE" w:rsidR="00AF65BF" w:rsidRDefault="00AF65BF">
      <w:pPr>
        <w:pStyle w:val="CommentText"/>
      </w:pPr>
      <w:r>
        <w:rPr>
          <w:rStyle w:val="CommentReference"/>
        </w:rPr>
        <w:annotationRef/>
      </w:r>
      <w:r>
        <w:t>Key words should be within 5 words</w:t>
      </w:r>
    </w:p>
  </w:comment>
  <w:comment w:id="1" w:author="Dr. Hashibul Islam" w:date="2025-09-20T23:29:00Z" w:initials="DHI">
    <w:p w14:paraId="29267503" w14:textId="5235C7F4" w:rsidR="00753293" w:rsidRDefault="00753293">
      <w:pPr>
        <w:pStyle w:val="CommentText"/>
      </w:pPr>
      <w:r>
        <w:rPr>
          <w:rStyle w:val="CommentReference"/>
        </w:rPr>
        <w:annotationRef/>
      </w:r>
      <w:r>
        <w:t xml:space="preserve">Methodology part should be more </w:t>
      </w:r>
      <w:r>
        <w:t>details</w:t>
      </w:r>
      <w:bookmarkStart w:id="2" w:name="_GoBack"/>
      <w:bookmarkEnd w:id="2"/>
    </w:p>
  </w:comment>
  <w:comment w:id="3" w:author="Dr. Hashibul Islam" w:date="2025-09-20T22:59:00Z" w:initials="DHI">
    <w:p w14:paraId="27288807" w14:textId="738DEB8D" w:rsidR="00AF65BF" w:rsidRDefault="00AF65BF">
      <w:pPr>
        <w:pStyle w:val="CommentText"/>
      </w:pPr>
      <w:r>
        <w:rPr>
          <w:rStyle w:val="CommentReference"/>
        </w:rPr>
        <w:annotationRef/>
      </w:r>
      <w:r>
        <w:t>Should mention area corner coordinates.</w:t>
      </w:r>
    </w:p>
  </w:comment>
  <w:comment w:id="4" w:author="Dr. Hashibul Islam" w:date="2025-09-20T23:29:00Z" w:initials="DHI">
    <w:p w14:paraId="7F9E1707" w14:textId="5009F5C5" w:rsidR="00753293" w:rsidRDefault="00753293">
      <w:pPr>
        <w:pStyle w:val="CommentText"/>
      </w:pPr>
      <w:r>
        <w:rPr>
          <w:rStyle w:val="CommentReference"/>
        </w:rPr>
        <w:annotationRef/>
      </w:r>
      <w:r>
        <w:t>Reference absence</w:t>
      </w:r>
    </w:p>
  </w:comment>
  <w:comment w:id="5" w:author="Dr. Hashibul Islam" w:date="2025-09-20T23:28:00Z" w:initials="DHI">
    <w:p w14:paraId="2B4A7F5E" w14:textId="64051250" w:rsidR="00913FED" w:rsidRDefault="00913FED">
      <w:pPr>
        <w:pStyle w:val="CommentText"/>
      </w:pPr>
      <w:r>
        <w:rPr>
          <w:rStyle w:val="CommentReference"/>
        </w:rPr>
        <w:annotationRef/>
      </w:r>
    </w:p>
  </w:comment>
  <w:comment w:id="6" w:author="Dr. Hashibul Islam" w:date="2025-09-20T23:25:00Z" w:initials="DHI">
    <w:p w14:paraId="2351A708" w14:textId="0693A700" w:rsidR="00152925" w:rsidRDefault="00152925">
      <w:pPr>
        <w:pStyle w:val="CommentText"/>
      </w:pPr>
      <w:r>
        <w:rPr>
          <w:rStyle w:val="CommentReference"/>
        </w:rPr>
        <w:annotationRef/>
      </w:r>
      <w:r>
        <w:t>pH write up</w:t>
      </w:r>
      <w:r w:rsidR="00146454">
        <w:t xml:space="preserve"> should be same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69282F9" w15:done="0"/>
  <w15:commentEx w15:paraId="29267503" w15:done="0"/>
  <w15:commentEx w15:paraId="27288807" w15:done="0"/>
  <w15:commentEx w15:paraId="7F9E1707" w15:done="0"/>
  <w15:commentEx w15:paraId="2B4A7F5E" w15:done="0"/>
  <w15:commentEx w15:paraId="2351A708"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B45F6" w14:textId="77777777" w:rsidR="00747C9F" w:rsidRDefault="00747C9F" w:rsidP="005844B0">
      <w:pPr>
        <w:spacing w:after="0" w:line="240" w:lineRule="auto"/>
      </w:pPr>
      <w:r>
        <w:separator/>
      </w:r>
    </w:p>
  </w:endnote>
  <w:endnote w:type="continuationSeparator" w:id="0">
    <w:p w14:paraId="01BEFE12" w14:textId="77777777" w:rsidR="00747C9F" w:rsidRDefault="00747C9F" w:rsidP="00584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angal">
    <w:altName w:val="SolaimanLipi"/>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D7BDD" w14:textId="77777777" w:rsidR="00A47325" w:rsidRDefault="00A4732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14458" w14:textId="77777777" w:rsidR="00A47325" w:rsidRDefault="00A4732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17DC9" w14:textId="77777777" w:rsidR="00A47325" w:rsidRDefault="00A473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D4431" w14:textId="77777777" w:rsidR="00747C9F" w:rsidRDefault="00747C9F" w:rsidP="005844B0">
      <w:pPr>
        <w:spacing w:after="0" w:line="240" w:lineRule="auto"/>
      </w:pPr>
      <w:r>
        <w:separator/>
      </w:r>
    </w:p>
  </w:footnote>
  <w:footnote w:type="continuationSeparator" w:id="0">
    <w:p w14:paraId="26C2A1A2" w14:textId="77777777" w:rsidR="00747C9F" w:rsidRDefault="00747C9F" w:rsidP="005844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DA6C2" w14:textId="783C8383" w:rsidR="00A47325" w:rsidRDefault="00747C9F">
    <w:pPr>
      <w:pStyle w:val="Header"/>
    </w:pPr>
    <w:r>
      <w:rPr>
        <w:noProof/>
      </w:rPr>
      <w:pict w14:anchorId="200844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7" o:spid="_x0000_s2050" type="#_x0000_t136" style="position:absolute;margin-left:0;margin-top:0;width:586.55pt;height:73.3pt;rotation:315;z-index:-251655168;mso-position-horizontal:center;mso-position-horizontal-relative:margin;mso-position-vertical:center;mso-position-vertical-relative:margin" o:allowincell="f" fillcolor="silver" stroked="f">
          <v:fill opacity=".5"/>
          <v:textpath style="font-family:&quot;Cambria&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BF3A6" w14:textId="4E20D5B1" w:rsidR="00A47325" w:rsidRDefault="00747C9F">
    <w:pPr>
      <w:pStyle w:val="Header"/>
    </w:pPr>
    <w:r>
      <w:rPr>
        <w:noProof/>
      </w:rPr>
      <w:pict w14:anchorId="1E661A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8" o:spid="_x0000_s2051" type="#_x0000_t136" style="position:absolute;margin-left:0;margin-top:0;width:586.55pt;height:73.3pt;rotation:315;z-index:-251653120;mso-position-horizontal:center;mso-position-horizontal-relative:margin;mso-position-vertical:center;mso-position-vertical-relative:margin" o:allowincell="f" fillcolor="silver" stroked="f">
          <v:fill opacity=".5"/>
          <v:textpath style="font-family:&quot;Cambria&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DB3C5" w14:textId="7AB2ED61" w:rsidR="00A47325" w:rsidRDefault="00747C9F">
    <w:pPr>
      <w:pStyle w:val="Header"/>
    </w:pPr>
    <w:r>
      <w:rPr>
        <w:noProof/>
      </w:rPr>
      <w:pict w14:anchorId="3F1DF0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6" o:spid="_x0000_s2049" type="#_x0000_t136" style="position:absolute;margin-left:0;margin-top:0;width:586.55pt;height:73.3pt;rotation:315;z-index:-251657216;mso-position-horizontal:center;mso-position-horizontal-relative:margin;mso-position-vertical:center;mso-position-vertical-relative:margin" o:allowincell="f" fillcolor="silver" stroked="f">
          <v:fill opacity=".5"/>
          <v:textpath style="font-family:&quot;Cambria&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E4089024"/>
    <w:lvl w:ilvl="0">
      <w:start w:val="1"/>
      <w:numFmt w:val="decimal"/>
      <w:lvlText w:val="%1."/>
      <w:lvlJc w:val="left"/>
      <w:pPr>
        <w:tabs>
          <w:tab w:val="left" w:pos="1440"/>
        </w:tabs>
        <w:ind w:left="1440" w:hanging="360"/>
      </w:pPr>
    </w:lvl>
  </w:abstractNum>
  <w:abstractNum w:abstractNumId="1" w15:restartNumberingAfterBreak="0">
    <w:nsid w:val="00000002"/>
    <w:multiLevelType w:val="singleLevel"/>
    <w:tmpl w:val="FB12693A"/>
    <w:lvl w:ilvl="0">
      <w:start w:val="1"/>
      <w:numFmt w:val="decimal"/>
      <w:pStyle w:val="ListNumber3"/>
      <w:lvlText w:val="%1."/>
      <w:lvlJc w:val="left"/>
      <w:pPr>
        <w:tabs>
          <w:tab w:val="left" w:pos="1080"/>
        </w:tabs>
        <w:ind w:left="1080" w:hanging="360"/>
      </w:pPr>
    </w:lvl>
  </w:abstractNum>
  <w:abstractNum w:abstractNumId="2" w15:restartNumberingAfterBreak="0">
    <w:nsid w:val="00000003"/>
    <w:multiLevelType w:val="singleLevel"/>
    <w:tmpl w:val="38441652"/>
    <w:lvl w:ilvl="0">
      <w:start w:val="1"/>
      <w:numFmt w:val="decimal"/>
      <w:pStyle w:val="ListNumber2"/>
      <w:lvlText w:val="%1."/>
      <w:lvlJc w:val="left"/>
      <w:pPr>
        <w:tabs>
          <w:tab w:val="left" w:pos="720"/>
        </w:tabs>
        <w:ind w:left="720" w:hanging="360"/>
      </w:pPr>
    </w:lvl>
  </w:abstractNum>
  <w:abstractNum w:abstractNumId="3" w15:restartNumberingAfterBreak="0">
    <w:nsid w:val="00000004"/>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4" w15:restartNumberingAfterBreak="0">
    <w:nsid w:val="00000005"/>
    <w:multiLevelType w:val="singleLevel"/>
    <w:tmpl w:val="F3EAFDEC"/>
    <w:lvl w:ilvl="0">
      <w:start w:val="1"/>
      <w:numFmt w:val="bullet"/>
      <w:pStyle w:val="ListBullet3"/>
      <w:lvlText w:val=""/>
      <w:lvlJc w:val="left"/>
      <w:pPr>
        <w:tabs>
          <w:tab w:val="left" w:pos="1080"/>
        </w:tabs>
        <w:ind w:left="1080" w:hanging="360"/>
      </w:pPr>
      <w:rPr>
        <w:rFonts w:ascii="Symbol" w:hAnsi="Symbol" w:hint="default"/>
      </w:rPr>
    </w:lvl>
  </w:abstractNum>
  <w:abstractNum w:abstractNumId="5" w15:restartNumberingAfterBreak="0">
    <w:nsid w:val="00000006"/>
    <w:multiLevelType w:val="singleLevel"/>
    <w:tmpl w:val="3D1EFFD4"/>
    <w:lvl w:ilvl="0">
      <w:start w:val="1"/>
      <w:numFmt w:val="bullet"/>
      <w:pStyle w:val="ListBullet2"/>
      <w:lvlText w:val=""/>
      <w:lvlJc w:val="left"/>
      <w:pPr>
        <w:tabs>
          <w:tab w:val="left" w:pos="720"/>
        </w:tabs>
        <w:ind w:left="720" w:hanging="360"/>
      </w:pPr>
      <w:rPr>
        <w:rFonts w:ascii="Symbol" w:hAnsi="Symbol" w:hint="default"/>
      </w:rPr>
    </w:lvl>
  </w:abstractNum>
  <w:abstractNum w:abstractNumId="6" w15:restartNumberingAfterBreak="0">
    <w:nsid w:val="00000007"/>
    <w:multiLevelType w:val="singleLevel"/>
    <w:tmpl w:val="D0A62B40"/>
    <w:lvl w:ilvl="0">
      <w:start w:val="1"/>
      <w:numFmt w:val="decimal"/>
      <w:pStyle w:val="ListNumber"/>
      <w:lvlText w:val="%1."/>
      <w:lvlJc w:val="left"/>
      <w:pPr>
        <w:tabs>
          <w:tab w:val="left" w:pos="360"/>
        </w:tabs>
        <w:ind w:left="360" w:hanging="360"/>
      </w:pPr>
    </w:lvl>
  </w:abstractNum>
  <w:abstractNum w:abstractNumId="7" w15:restartNumberingAfterBreak="0">
    <w:nsid w:val="00000008"/>
    <w:multiLevelType w:val="singleLevel"/>
    <w:tmpl w:val="29761A62"/>
    <w:lvl w:ilvl="0">
      <w:start w:val="1"/>
      <w:numFmt w:val="bullet"/>
      <w:pStyle w:val="ListBullet"/>
      <w:lvlText w:val=""/>
      <w:lvlJc w:val="left"/>
      <w:pPr>
        <w:tabs>
          <w:tab w:val="left" w:pos="360"/>
        </w:tabs>
        <w:ind w:left="360" w:hanging="360"/>
      </w:pPr>
      <w:rPr>
        <w:rFonts w:ascii="Symbol" w:hAnsi="Symbol" w:hint="default"/>
      </w:rPr>
    </w:lvl>
  </w:abstractNum>
  <w:abstractNum w:abstractNumId="8" w15:restartNumberingAfterBreak="0">
    <w:nsid w:val="0000000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80A138D"/>
    <w:multiLevelType w:val="singleLevel"/>
    <w:tmpl w:val="C310EC42"/>
    <w:lvl w:ilvl="0">
      <w:start w:val="1"/>
      <w:numFmt w:val="decimal"/>
      <w:lvlText w:val="%1."/>
      <w:lvlJc w:val="left"/>
      <w:pPr>
        <w:tabs>
          <w:tab w:val="left" w:pos="1800"/>
        </w:tabs>
        <w:ind w:left="1800" w:hanging="360"/>
      </w:pPr>
    </w:lvl>
  </w:abstractNum>
  <w:abstractNum w:abstractNumId="10" w15:restartNumberingAfterBreak="0">
    <w:nsid w:val="1EC40AB4"/>
    <w:multiLevelType w:val="hybridMultilevel"/>
    <w:tmpl w:val="B36A82C4"/>
    <w:lvl w:ilvl="0" w:tplc="08EA58A2">
      <w:start w:val="1"/>
      <w:numFmt w:val="decimal"/>
      <w:lvlText w:val="%1."/>
      <w:lvlJc w:val="left"/>
      <w:pPr>
        <w:ind w:left="720" w:hanging="360"/>
      </w:pPr>
      <w:rPr>
        <w:rFonts w:eastAsia="MS Gothic" w:hint="default"/>
        <w:color w:val="000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168436F"/>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64E4467"/>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30D14B8"/>
    <w:multiLevelType w:val="hybridMultilevel"/>
    <w:tmpl w:val="02FA8412"/>
    <w:lvl w:ilvl="0" w:tplc="FFFFFFFF">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242652"/>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93D5362"/>
    <w:multiLevelType w:val="hybridMultilevel"/>
    <w:tmpl w:val="4E92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777649"/>
    <w:multiLevelType w:val="hybridMultilevel"/>
    <w:tmpl w:val="23C6D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6"/>
  </w:num>
  <w:num w:numId="5">
    <w:abstractNumId w:val="2"/>
  </w:num>
  <w:num w:numId="6">
    <w:abstractNumId w:val="1"/>
  </w:num>
  <w:num w:numId="7">
    <w:abstractNumId w:val="3"/>
  </w:num>
  <w:num w:numId="8">
    <w:abstractNumId w:val="0"/>
  </w:num>
  <w:num w:numId="9">
    <w:abstractNumId w:val="9"/>
  </w:num>
  <w:num w:numId="10">
    <w:abstractNumId w:val="8"/>
  </w:num>
  <w:num w:numId="11">
    <w:abstractNumId w:val="14"/>
  </w:num>
  <w:num w:numId="12">
    <w:abstractNumId w:val="13"/>
  </w:num>
  <w:num w:numId="13">
    <w:abstractNumId w:val="16"/>
  </w:num>
  <w:num w:numId="14">
    <w:abstractNumId w:val="15"/>
  </w:num>
  <w:num w:numId="15">
    <w:abstractNumId w:val="12"/>
  </w:num>
  <w:num w:numId="16">
    <w:abstractNumId w:val="11"/>
  </w:num>
  <w:num w:numId="17">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 Hashibul Islam">
    <w15:presenceInfo w15:providerId="None" w15:userId="Dr. Hashibul Isl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47B"/>
    <w:rsid w:val="00002CD9"/>
    <w:rsid w:val="00006549"/>
    <w:rsid w:val="00007768"/>
    <w:rsid w:val="000115D9"/>
    <w:rsid w:val="00014312"/>
    <w:rsid w:val="00024444"/>
    <w:rsid w:val="00025354"/>
    <w:rsid w:val="00032132"/>
    <w:rsid w:val="000342E7"/>
    <w:rsid w:val="000430F0"/>
    <w:rsid w:val="00051A6B"/>
    <w:rsid w:val="00051D96"/>
    <w:rsid w:val="000630AA"/>
    <w:rsid w:val="000643FA"/>
    <w:rsid w:val="000735E6"/>
    <w:rsid w:val="00074366"/>
    <w:rsid w:val="00076692"/>
    <w:rsid w:val="00077C0D"/>
    <w:rsid w:val="00091F57"/>
    <w:rsid w:val="00092103"/>
    <w:rsid w:val="000A2AC6"/>
    <w:rsid w:val="000A5E90"/>
    <w:rsid w:val="000B23A4"/>
    <w:rsid w:val="000B65F5"/>
    <w:rsid w:val="000C11DF"/>
    <w:rsid w:val="000C3A48"/>
    <w:rsid w:val="000C6BDC"/>
    <w:rsid w:val="000D3E56"/>
    <w:rsid w:val="000F1820"/>
    <w:rsid w:val="000F32AE"/>
    <w:rsid w:val="001255AA"/>
    <w:rsid w:val="00130DC9"/>
    <w:rsid w:val="001352AA"/>
    <w:rsid w:val="00140036"/>
    <w:rsid w:val="00146454"/>
    <w:rsid w:val="00150782"/>
    <w:rsid w:val="00152925"/>
    <w:rsid w:val="00152E3D"/>
    <w:rsid w:val="00162764"/>
    <w:rsid w:val="00192C08"/>
    <w:rsid w:val="001932E5"/>
    <w:rsid w:val="0019334A"/>
    <w:rsid w:val="001946F0"/>
    <w:rsid w:val="00197E95"/>
    <w:rsid w:val="001A7D53"/>
    <w:rsid w:val="001B609D"/>
    <w:rsid w:val="001C0599"/>
    <w:rsid w:val="001C11BE"/>
    <w:rsid w:val="001C29AD"/>
    <w:rsid w:val="001D4489"/>
    <w:rsid w:val="001D6E89"/>
    <w:rsid w:val="001E0B07"/>
    <w:rsid w:val="001E1CE5"/>
    <w:rsid w:val="001E3A3C"/>
    <w:rsid w:val="001E6B20"/>
    <w:rsid w:val="001F00DB"/>
    <w:rsid w:val="00201F88"/>
    <w:rsid w:val="00203328"/>
    <w:rsid w:val="0021700B"/>
    <w:rsid w:val="002221D5"/>
    <w:rsid w:val="00222689"/>
    <w:rsid w:val="002329C0"/>
    <w:rsid w:val="00234556"/>
    <w:rsid w:val="00250426"/>
    <w:rsid w:val="0026143A"/>
    <w:rsid w:val="00262D7A"/>
    <w:rsid w:val="0027627A"/>
    <w:rsid w:val="0027670B"/>
    <w:rsid w:val="00290906"/>
    <w:rsid w:val="002A283D"/>
    <w:rsid w:val="002C6548"/>
    <w:rsid w:val="002F3D54"/>
    <w:rsid w:val="00300A1C"/>
    <w:rsid w:val="0030396A"/>
    <w:rsid w:val="00322C0A"/>
    <w:rsid w:val="003277BE"/>
    <w:rsid w:val="00336AA4"/>
    <w:rsid w:val="003412A3"/>
    <w:rsid w:val="003444E4"/>
    <w:rsid w:val="00352763"/>
    <w:rsid w:val="003613E7"/>
    <w:rsid w:val="0037166B"/>
    <w:rsid w:val="00371914"/>
    <w:rsid w:val="00382CD8"/>
    <w:rsid w:val="00386118"/>
    <w:rsid w:val="003862F8"/>
    <w:rsid w:val="00387F14"/>
    <w:rsid w:val="003916DB"/>
    <w:rsid w:val="00393DCE"/>
    <w:rsid w:val="003A7321"/>
    <w:rsid w:val="003B71AA"/>
    <w:rsid w:val="003C724A"/>
    <w:rsid w:val="003C72C8"/>
    <w:rsid w:val="003D1B4F"/>
    <w:rsid w:val="003E0B3F"/>
    <w:rsid w:val="003F2997"/>
    <w:rsid w:val="003F40E4"/>
    <w:rsid w:val="003F5D88"/>
    <w:rsid w:val="003F7E28"/>
    <w:rsid w:val="00406006"/>
    <w:rsid w:val="00416EFE"/>
    <w:rsid w:val="00425F86"/>
    <w:rsid w:val="00426324"/>
    <w:rsid w:val="00430B8A"/>
    <w:rsid w:val="004326B7"/>
    <w:rsid w:val="00432A78"/>
    <w:rsid w:val="00451529"/>
    <w:rsid w:val="00452498"/>
    <w:rsid w:val="004623E6"/>
    <w:rsid w:val="00471134"/>
    <w:rsid w:val="00475CD4"/>
    <w:rsid w:val="004772AF"/>
    <w:rsid w:val="00480B16"/>
    <w:rsid w:val="004911B4"/>
    <w:rsid w:val="004919C3"/>
    <w:rsid w:val="00494C1F"/>
    <w:rsid w:val="00495883"/>
    <w:rsid w:val="004B62C2"/>
    <w:rsid w:val="004B699F"/>
    <w:rsid w:val="004C3B74"/>
    <w:rsid w:val="004C5D5E"/>
    <w:rsid w:val="004C70B9"/>
    <w:rsid w:val="004D01B7"/>
    <w:rsid w:val="004D0437"/>
    <w:rsid w:val="004D2647"/>
    <w:rsid w:val="004F47B3"/>
    <w:rsid w:val="00506224"/>
    <w:rsid w:val="00506F9B"/>
    <w:rsid w:val="00525061"/>
    <w:rsid w:val="005265E4"/>
    <w:rsid w:val="00531108"/>
    <w:rsid w:val="00532B1F"/>
    <w:rsid w:val="00533221"/>
    <w:rsid w:val="00542885"/>
    <w:rsid w:val="005461A3"/>
    <w:rsid w:val="005462AC"/>
    <w:rsid w:val="00546E90"/>
    <w:rsid w:val="0055230F"/>
    <w:rsid w:val="0055374D"/>
    <w:rsid w:val="00556DD1"/>
    <w:rsid w:val="0056243C"/>
    <w:rsid w:val="00577DCD"/>
    <w:rsid w:val="005811D2"/>
    <w:rsid w:val="00582D49"/>
    <w:rsid w:val="005844B0"/>
    <w:rsid w:val="0058473F"/>
    <w:rsid w:val="00585C35"/>
    <w:rsid w:val="00593AEA"/>
    <w:rsid w:val="005A38FF"/>
    <w:rsid w:val="005A5451"/>
    <w:rsid w:val="005B19E0"/>
    <w:rsid w:val="005B19E8"/>
    <w:rsid w:val="005E2F57"/>
    <w:rsid w:val="005E4BC0"/>
    <w:rsid w:val="005E532D"/>
    <w:rsid w:val="005F1DAF"/>
    <w:rsid w:val="005F308E"/>
    <w:rsid w:val="005F5064"/>
    <w:rsid w:val="00610594"/>
    <w:rsid w:val="006113B0"/>
    <w:rsid w:val="0063232E"/>
    <w:rsid w:val="006346A4"/>
    <w:rsid w:val="00635CA7"/>
    <w:rsid w:val="00636962"/>
    <w:rsid w:val="00640022"/>
    <w:rsid w:val="006535A0"/>
    <w:rsid w:val="00663D3D"/>
    <w:rsid w:val="00670790"/>
    <w:rsid w:val="00676086"/>
    <w:rsid w:val="00684CC7"/>
    <w:rsid w:val="006864DE"/>
    <w:rsid w:val="006868C6"/>
    <w:rsid w:val="00692462"/>
    <w:rsid w:val="00692691"/>
    <w:rsid w:val="00697623"/>
    <w:rsid w:val="006A0AD9"/>
    <w:rsid w:val="006A176C"/>
    <w:rsid w:val="006A7AA1"/>
    <w:rsid w:val="006B366E"/>
    <w:rsid w:val="006C36BB"/>
    <w:rsid w:val="006C5350"/>
    <w:rsid w:val="006D2352"/>
    <w:rsid w:val="006E69D0"/>
    <w:rsid w:val="006E716F"/>
    <w:rsid w:val="006F2CAE"/>
    <w:rsid w:val="006F36CB"/>
    <w:rsid w:val="007065EC"/>
    <w:rsid w:val="0071636E"/>
    <w:rsid w:val="00716BD3"/>
    <w:rsid w:val="00730A17"/>
    <w:rsid w:val="007366B4"/>
    <w:rsid w:val="00742F4A"/>
    <w:rsid w:val="007444E5"/>
    <w:rsid w:val="00747C9F"/>
    <w:rsid w:val="00753293"/>
    <w:rsid w:val="007641E1"/>
    <w:rsid w:val="00770238"/>
    <w:rsid w:val="00775371"/>
    <w:rsid w:val="007776D4"/>
    <w:rsid w:val="0078248D"/>
    <w:rsid w:val="00786883"/>
    <w:rsid w:val="00786BCB"/>
    <w:rsid w:val="00796AF6"/>
    <w:rsid w:val="00797819"/>
    <w:rsid w:val="007A164F"/>
    <w:rsid w:val="007A5007"/>
    <w:rsid w:val="007A7177"/>
    <w:rsid w:val="007B4203"/>
    <w:rsid w:val="007C0E6F"/>
    <w:rsid w:val="007C2A3C"/>
    <w:rsid w:val="007C74E0"/>
    <w:rsid w:val="007D31CD"/>
    <w:rsid w:val="007D6AAC"/>
    <w:rsid w:val="007D6D30"/>
    <w:rsid w:val="007E2022"/>
    <w:rsid w:val="007E6CBA"/>
    <w:rsid w:val="007E7866"/>
    <w:rsid w:val="007F1160"/>
    <w:rsid w:val="007F300D"/>
    <w:rsid w:val="007F4454"/>
    <w:rsid w:val="007F5F98"/>
    <w:rsid w:val="0080210F"/>
    <w:rsid w:val="0083554E"/>
    <w:rsid w:val="00844E11"/>
    <w:rsid w:val="00851574"/>
    <w:rsid w:val="00853317"/>
    <w:rsid w:val="0085440C"/>
    <w:rsid w:val="00854724"/>
    <w:rsid w:val="008550E4"/>
    <w:rsid w:val="0085641B"/>
    <w:rsid w:val="00865792"/>
    <w:rsid w:val="008677E1"/>
    <w:rsid w:val="008736F1"/>
    <w:rsid w:val="00873A99"/>
    <w:rsid w:val="00886626"/>
    <w:rsid w:val="00891D6A"/>
    <w:rsid w:val="008A4825"/>
    <w:rsid w:val="008A5112"/>
    <w:rsid w:val="008A7FEE"/>
    <w:rsid w:val="008C280E"/>
    <w:rsid w:val="008C6678"/>
    <w:rsid w:val="008C6A91"/>
    <w:rsid w:val="008D4091"/>
    <w:rsid w:val="008E5ABA"/>
    <w:rsid w:val="008E7969"/>
    <w:rsid w:val="008F0DB3"/>
    <w:rsid w:val="0090474B"/>
    <w:rsid w:val="00905CBD"/>
    <w:rsid w:val="0090610E"/>
    <w:rsid w:val="009114A1"/>
    <w:rsid w:val="00913FED"/>
    <w:rsid w:val="009174C1"/>
    <w:rsid w:val="00917A31"/>
    <w:rsid w:val="00921A7C"/>
    <w:rsid w:val="00936142"/>
    <w:rsid w:val="00940160"/>
    <w:rsid w:val="009407B1"/>
    <w:rsid w:val="00973FA8"/>
    <w:rsid w:val="00983677"/>
    <w:rsid w:val="009836AF"/>
    <w:rsid w:val="00992622"/>
    <w:rsid w:val="009A20C4"/>
    <w:rsid w:val="009B674A"/>
    <w:rsid w:val="009C7DFA"/>
    <w:rsid w:val="009D0A48"/>
    <w:rsid w:val="009D1C46"/>
    <w:rsid w:val="009D2EB7"/>
    <w:rsid w:val="009D58E5"/>
    <w:rsid w:val="009D590E"/>
    <w:rsid w:val="00A13656"/>
    <w:rsid w:val="00A162E7"/>
    <w:rsid w:val="00A25576"/>
    <w:rsid w:val="00A44192"/>
    <w:rsid w:val="00A47325"/>
    <w:rsid w:val="00A508E5"/>
    <w:rsid w:val="00A51266"/>
    <w:rsid w:val="00A61D0C"/>
    <w:rsid w:val="00A6337F"/>
    <w:rsid w:val="00A70FDF"/>
    <w:rsid w:val="00A765F2"/>
    <w:rsid w:val="00A815AC"/>
    <w:rsid w:val="00A81FDC"/>
    <w:rsid w:val="00A85925"/>
    <w:rsid w:val="00A86A1F"/>
    <w:rsid w:val="00A92DEC"/>
    <w:rsid w:val="00A96EDB"/>
    <w:rsid w:val="00A9714A"/>
    <w:rsid w:val="00AA2643"/>
    <w:rsid w:val="00AA2B7D"/>
    <w:rsid w:val="00AA5A2C"/>
    <w:rsid w:val="00AB0B34"/>
    <w:rsid w:val="00AB6782"/>
    <w:rsid w:val="00AC545C"/>
    <w:rsid w:val="00AD2FB7"/>
    <w:rsid w:val="00AE090E"/>
    <w:rsid w:val="00AE340C"/>
    <w:rsid w:val="00AE5AD1"/>
    <w:rsid w:val="00AF35D9"/>
    <w:rsid w:val="00AF4432"/>
    <w:rsid w:val="00AF65BF"/>
    <w:rsid w:val="00AF704A"/>
    <w:rsid w:val="00B11A98"/>
    <w:rsid w:val="00B1285C"/>
    <w:rsid w:val="00B1324F"/>
    <w:rsid w:val="00B20B4E"/>
    <w:rsid w:val="00B30F0A"/>
    <w:rsid w:val="00B32736"/>
    <w:rsid w:val="00B41F8D"/>
    <w:rsid w:val="00B42F21"/>
    <w:rsid w:val="00B431BD"/>
    <w:rsid w:val="00B50352"/>
    <w:rsid w:val="00B621A0"/>
    <w:rsid w:val="00B641C2"/>
    <w:rsid w:val="00B64B07"/>
    <w:rsid w:val="00B8349C"/>
    <w:rsid w:val="00B90FE0"/>
    <w:rsid w:val="00B96D70"/>
    <w:rsid w:val="00BA0C92"/>
    <w:rsid w:val="00BA0EB3"/>
    <w:rsid w:val="00BA698F"/>
    <w:rsid w:val="00BB0477"/>
    <w:rsid w:val="00BB4650"/>
    <w:rsid w:val="00BD2BFB"/>
    <w:rsid w:val="00BE59A3"/>
    <w:rsid w:val="00BE5A4D"/>
    <w:rsid w:val="00BE5B02"/>
    <w:rsid w:val="00BE5BCE"/>
    <w:rsid w:val="00BF01A7"/>
    <w:rsid w:val="00BF0802"/>
    <w:rsid w:val="00BF119B"/>
    <w:rsid w:val="00BF1F6D"/>
    <w:rsid w:val="00C017C5"/>
    <w:rsid w:val="00C02E35"/>
    <w:rsid w:val="00C02EEF"/>
    <w:rsid w:val="00C0670B"/>
    <w:rsid w:val="00C07D1B"/>
    <w:rsid w:val="00C125CE"/>
    <w:rsid w:val="00C13D29"/>
    <w:rsid w:val="00C1665C"/>
    <w:rsid w:val="00C17D29"/>
    <w:rsid w:val="00C2747B"/>
    <w:rsid w:val="00C37982"/>
    <w:rsid w:val="00C42A6F"/>
    <w:rsid w:val="00C515B9"/>
    <w:rsid w:val="00C64392"/>
    <w:rsid w:val="00C7144D"/>
    <w:rsid w:val="00C72AAF"/>
    <w:rsid w:val="00C825CB"/>
    <w:rsid w:val="00C838DD"/>
    <w:rsid w:val="00C94A27"/>
    <w:rsid w:val="00C973C1"/>
    <w:rsid w:val="00CA05B0"/>
    <w:rsid w:val="00CA2740"/>
    <w:rsid w:val="00CA30CF"/>
    <w:rsid w:val="00CD6068"/>
    <w:rsid w:val="00CD612E"/>
    <w:rsid w:val="00D038C9"/>
    <w:rsid w:val="00D05528"/>
    <w:rsid w:val="00D06F52"/>
    <w:rsid w:val="00D13230"/>
    <w:rsid w:val="00D16DD4"/>
    <w:rsid w:val="00D224F6"/>
    <w:rsid w:val="00D3417D"/>
    <w:rsid w:val="00D3505C"/>
    <w:rsid w:val="00D359D7"/>
    <w:rsid w:val="00D4456F"/>
    <w:rsid w:val="00D44A3A"/>
    <w:rsid w:val="00D51921"/>
    <w:rsid w:val="00D53E3B"/>
    <w:rsid w:val="00D5480F"/>
    <w:rsid w:val="00D62033"/>
    <w:rsid w:val="00D6332A"/>
    <w:rsid w:val="00D71EFB"/>
    <w:rsid w:val="00D734CE"/>
    <w:rsid w:val="00D86BC4"/>
    <w:rsid w:val="00D90AC4"/>
    <w:rsid w:val="00D93CAA"/>
    <w:rsid w:val="00D94975"/>
    <w:rsid w:val="00D95F56"/>
    <w:rsid w:val="00DB3347"/>
    <w:rsid w:val="00DC50F3"/>
    <w:rsid w:val="00DD1E00"/>
    <w:rsid w:val="00DD2C99"/>
    <w:rsid w:val="00DD5570"/>
    <w:rsid w:val="00DE5477"/>
    <w:rsid w:val="00DE73E9"/>
    <w:rsid w:val="00E002F7"/>
    <w:rsid w:val="00E060BA"/>
    <w:rsid w:val="00E1621F"/>
    <w:rsid w:val="00E25699"/>
    <w:rsid w:val="00E31C45"/>
    <w:rsid w:val="00E328E8"/>
    <w:rsid w:val="00E34C84"/>
    <w:rsid w:val="00E4067F"/>
    <w:rsid w:val="00E416AE"/>
    <w:rsid w:val="00E425ED"/>
    <w:rsid w:val="00E44F6C"/>
    <w:rsid w:val="00E57DCD"/>
    <w:rsid w:val="00E6147D"/>
    <w:rsid w:val="00E623A0"/>
    <w:rsid w:val="00E62DF9"/>
    <w:rsid w:val="00E648DF"/>
    <w:rsid w:val="00E7644C"/>
    <w:rsid w:val="00E845D5"/>
    <w:rsid w:val="00E926C7"/>
    <w:rsid w:val="00E96B0F"/>
    <w:rsid w:val="00EA179E"/>
    <w:rsid w:val="00EA3166"/>
    <w:rsid w:val="00EB0A1A"/>
    <w:rsid w:val="00EB78CC"/>
    <w:rsid w:val="00EC34AF"/>
    <w:rsid w:val="00EC3750"/>
    <w:rsid w:val="00EC4D5F"/>
    <w:rsid w:val="00ED0E0F"/>
    <w:rsid w:val="00ED467E"/>
    <w:rsid w:val="00EE0AC0"/>
    <w:rsid w:val="00EE42A9"/>
    <w:rsid w:val="00EF001F"/>
    <w:rsid w:val="00EF567A"/>
    <w:rsid w:val="00EF6788"/>
    <w:rsid w:val="00EF6E4D"/>
    <w:rsid w:val="00F176C9"/>
    <w:rsid w:val="00F22F9B"/>
    <w:rsid w:val="00F37C5F"/>
    <w:rsid w:val="00F40BEF"/>
    <w:rsid w:val="00F42132"/>
    <w:rsid w:val="00F4689B"/>
    <w:rsid w:val="00F6622E"/>
    <w:rsid w:val="00F70DC4"/>
    <w:rsid w:val="00F71CB4"/>
    <w:rsid w:val="00F80381"/>
    <w:rsid w:val="00F84EF0"/>
    <w:rsid w:val="00F93F40"/>
    <w:rsid w:val="00F949E9"/>
    <w:rsid w:val="00F97F69"/>
    <w:rsid w:val="00FA7587"/>
    <w:rsid w:val="00FB2D3E"/>
    <w:rsid w:val="00FC6734"/>
    <w:rsid w:val="00FC7AFF"/>
    <w:rsid w:val="00FD28B2"/>
    <w:rsid w:val="00FD2AAA"/>
    <w:rsid w:val="00FE1076"/>
    <w:rsid w:val="00FE4D11"/>
    <w:rsid w:val="00FF157E"/>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4F28CBC2"/>
  <w15:docId w15:val="{B31D91D4-5860-B341-AEEA-49D8A0D76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Mangal"/>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libri" w:eastAsia="MS Gothic" w:hAnsi="Calibri"/>
      <w:b/>
      <w:bCs/>
      <w:color w:val="365F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libri" w:eastAsia="MS Gothic" w:hAnsi="Calibri"/>
      <w:b/>
      <w:bCs/>
      <w:color w:val="4F81BD"/>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Calibri" w:eastAsia="MS Gothic" w:hAnsi="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MS Gothic" w:hAnsi="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MS Gothic" w:hAnsi="Calibri"/>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uiPriority w:val="9"/>
    <w:qFormat/>
    <w:pPr>
      <w:keepNext/>
      <w:keepLines/>
      <w:spacing w:before="200" w:after="0"/>
      <w:outlineLvl w:val="6"/>
    </w:pPr>
    <w:rPr>
      <w:rFonts w:ascii="Calibri" w:eastAsia="MS Gothic" w:hAnsi="Calibri"/>
      <w:i/>
      <w:iCs/>
      <w:color w:val="404040"/>
    </w:rPr>
  </w:style>
  <w:style w:type="paragraph" w:styleId="Heading8">
    <w:name w:val="heading 8"/>
    <w:basedOn w:val="Normal"/>
    <w:next w:val="Normal"/>
    <w:link w:val="Heading8Char"/>
    <w:uiPriority w:val="9"/>
    <w:qFormat/>
    <w:pPr>
      <w:keepNext/>
      <w:keepLines/>
      <w:spacing w:before="200" w:after="0"/>
      <w:outlineLvl w:val="7"/>
    </w:pPr>
    <w:rPr>
      <w:rFonts w:ascii="Calibri" w:eastAsia="MS Gothic" w:hAnsi="Calibri"/>
      <w:color w:val="4F81BD"/>
      <w:sz w:val="20"/>
      <w:szCs w:val="20"/>
    </w:rPr>
  </w:style>
  <w:style w:type="paragraph" w:styleId="Heading9">
    <w:name w:val="heading 9"/>
    <w:basedOn w:val="Normal"/>
    <w:next w:val="Normal"/>
    <w:link w:val="Heading9Char"/>
    <w:uiPriority w:val="9"/>
    <w:qFormat/>
    <w:pPr>
      <w:keepNext/>
      <w:keepLines/>
      <w:spacing w:before="200" w:after="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Calibri" w:eastAsia="MS Gothic" w:hAnsi="Calibri" w:cs="Mangal"/>
      <w:b/>
      <w:bCs/>
      <w:color w:val="365F91"/>
      <w:sz w:val="28"/>
      <w:szCs w:val="28"/>
    </w:rPr>
  </w:style>
  <w:style w:type="character" w:customStyle="1" w:styleId="Heading2Char">
    <w:name w:val="Heading 2 Char"/>
    <w:basedOn w:val="DefaultParagraphFont"/>
    <w:link w:val="Heading2"/>
    <w:uiPriority w:val="9"/>
    <w:rPr>
      <w:rFonts w:ascii="Calibri" w:eastAsia="MS Gothic" w:hAnsi="Calibri" w:cs="Mangal"/>
      <w:b/>
      <w:bCs/>
      <w:color w:val="4F81BD"/>
      <w:sz w:val="26"/>
      <w:szCs w:val="26"/>
    </w:rPr>
  </w:style>
  <w:style w:type="character" w:customStyle="1" w:styleId="Heading3Char">
    <w:name w:val="Heading 3 Char"/>
    <w:basedOn w:val="DefaultParagraphFont"/>
    <w:link w:val="Heading3"/>
    <w:uiPriority w:val="9"/>
    <w:rPr>
      <w:rFonts w:ascii="Calibri" w:eastAsia="MS Gothic" w:hAnsi="Calibri" w:cs="Mangal"/>
      <w:b/>
      <w:bCs/>
      <w:color w:val="4F81BD"/>
    </w:rPr>
  </w:style>
  <w:style w:type="paragraph" w:styleId="Title">
    <w:name w:val="Title"/>
    <w:basedOn w:val="Normal"/>
    <w:next w:val="Normal"/>
    <w:link w:val="TitleChar"/>
    <w:uiPriority w:val="10"/>
    <w:qFormat/>
    <w:pPr>
      <w:pBdr>
        <w:bottom w:val="single" w:sz="8" w:space="4" w:color="4F81BD"/>
      </w:pBdr>
      <w:spacing w:after="300" w:line="240" w:lineRule="auto"/>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Pr>
      <w:rFonts w:ascii="Calibri" w:eastAsia="MS Gothic" w:hAnsi="Calibri" w:cs="Mangal"/>
      <w:color w:val="17365D"/>
      <w:spacing w:val="5"/>
      <w:kern w:val="28"/>
      <w:sz w:val="52"/>
      <w:szCs w:val="52"/>
    </w:rPr>
  </w:style>
  <w:style w:type="paragraph" w:styleId="Subtitle">
    <w:name w:val="Subtitle"/>
    <w:basedOn w:val="Normal"/>
    <w:next w:val="Normal"/>
    <w:link w:val="SubtitleChar"/>
    <w:uiPriority w:val="11"/>
    <w:qFormat/>
    <w:pPr>
      <w:numPr>
        <w:ilvl w:val="1"/>
      </w:numPr>
    </w:pPr>
    <w:rPr>
      <w:rFonts w:ascii="Calibri" w:eastAsia="MS Gothic" w:hAnsi="Calibri"/>
      <w:i/>
      <w:iCs/>
      <w:color w:val="4F81BD"/>
      <w:spacing w:val="15"/>
      <w:sz w:val="24"/>
      <w:szCs w:val="24"/>
    </w:rPr>
  </w:style>
  <w:style w:type="character" w:customStyle="1" w:styleId="SubtitleChar">
    <w:name w:val="Subtitle Char"/>
    <w:basedOn w:val="DefaultParagraphFont"/>
    <w:link w:val="Subtitle"/>
    <w:uiPriority w:val="11"/>
    <w:rPr>
      <w:rFonts w:ascii="Calibri" w:eastAsia="MS Gothic" w:hAnsi="Calibri" w:cs="Mangal"/>
      <w:i/>
      <w:iCs/>
      <w:color w:val="4F81BD"/>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pPr>
      <w:ind w:left="360" w:hanging="360"/>
      <w:contextualSpacing/>
    </w:pPr>
  </w:style>
  <w:style w:type="paragraph" w:styleId="List2">
    <w:name w:val="List 2"/>
    <w:basedOn w:val="Normal"/>
    <w:uiPriority w:val="99"/>
    <w:pPr>
      <w:ind w:left="720" w:hanging="360"/>
      <w:contextualSpacing/>
    </w:pPr>
  </w:style>
  <w:style w:type="paragraph" w:styleId="List3">
    <w:name w:val="List 3"/>
    <w:basedOn w:val="Normal"/>
    <w:uiPriority w:val="99"/>
    <w:pPr>
      <w:ind w:left="1080" w:hanging="360"/>
      <w:contextualSpacing/>
    </w:pPr>
  </w:style>
  <w:style w:type="paragraph" w:styleId="ListBullet">
    <w:name w:val="List Bullet"/>
    <w:basedOn w:val="Normal"/>
    <w:uiPriority w:val="99"/>
    <w:pPr>
      <w:numPr>
        <w:numId w:val="1"/>
      </w:numPr>
      <w:contextualSpacing/>
    </w:pPr>
  </w:style>
  <w:style w:type="paragraph" w:styleId="ListBullet2">
    <w:name w:val="List Bullet 2"/>
    <w:basedOn w:val="Normal"/>
    <w:uiPriority w:val="99"/>
    <w:pPr>
      <w:numPr>
        <w:numId w:val="2"/>
      </w:numPr>
      <w:contextualSpacing/>
    </w:pPr>
  </w:style>
  <w:style w:type="paragraph" w:styleId="ListBullet3">
    <w:name w:val="List Bullet 3"/>
    <w:basedOn w:val="Normal"/>
    <w:uiPriority w:val="99"/>
    <w:pPr>
      <w:numPr>
        <w:numId w:val="3"/>
      </w:numPr>
      <w:contextualSpacing/>
    </w:pPr>
  </w:style>
  <w:style w:type="paragraph" w:styleId="ListNumber">
    <w:name w:val="List Number"/>
    <w:basedOn w:val="Normal"/>
    <w:uiPriority w:val="99"/>
    <w:pPr>
      <w:numPr>
        <w:numId w:val="4"/>
      </w:numPr>
      <w:contextualSpacing/>
    </w:pPr>
  </w:style>
  <w:style w:type="paragraph" w:styleId="ListNumber2">
    <w:name w:val="List Number 2"/>
    <w:basedOn w:val="Normal"/>
    <w:uiPriority w:val="99"/>
    <w:pPr>
      <w:numPr>
        <w:numId w:val="5"/>
      </w:numPr>
      <w:contextualSpacing/>
    </w:pPr>
  </w:style>
  <w:style w:type="paragraph" w:styleId="ListNumber3">
    <w:name w:val="List Number 3"/>
    <w:basedOn w:val="Normal"/>
    <w:uiPriority w:val="99"/>
    <w:pPr>
      <w:numPr>
        <w:numId w:val="6"/>
      </w:numPr>
      <w:contextualSpacing/>
    </w:pPr>
  </w:style>
  <w:style w:type="paragraph" w:styleId="ListContinue">
    <w:name w:val="List Continue"/>
    <w:basedOn w:val="Normal"/>
    <w:uiPriority w:val="99"/>
    <w:pPr>
      <w:spacing w:after="120"/>
      <w:ind w:left="360"/>
      <w:contextualSpacing/>
    </w:pPr>
  </w:style>
  <w:style w:type="paragraph" w:styleId="ListContinue2">
    <w:name w:val="List Continue 2"/>
    <w:basedOn w:val="Normal"/>
    <w:uiPriority w:val="99"/>
    <w:pPr>
      <w:spacing w:after="120"/>
      <w:ind w:left="720"/>
      <w:contextualSpacing/>
    </w:pPr>
  </w:style>
  <w:style w:type="paragraph" w:styleId="ListContinue3">
    <w:name w:val="List Continue 3"/>
    <w:basedOn w:val="Normal"/>
    <w:uiPriority w:val="99"/>
    <w:pPr>
      <w:spacing w:after="120"/>
      <w:ind w:left="1080"/>
      <w:contextualSpacing/>
    </w:pPr>
  </w:style>
  <w:style w:type="paragraph" w:styleId="MacroText">
    <w:name w:val="macro"/>
    <w:link w:val="MacroTextChar"/>
    <w:uiPriority w:val="99"/>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rPr>
  </w:style>
  <w:style w:type="character" w:customStyle="1" w:styleId="QuoteChar">
    <w:name w:val="Quote Char"/>
    <w:basedOn w:val="DefaultParagraphFont"/>
    <w:link w:val="Quote"/>
    <w:uiPriority w:val="29"/>
    <w:rPr>
      <w:i/>
      <w:iCs/>
      <w:color w:val="000000"/>
    </w:rPr>
  </w:style>
  <w:style w:type="character" w:customStyle="1" w:styleId="Heading4Char">
    <w:name w:val="Heading 4 Char"/>
    <w:basedOn w:val="DefaultParagraphFont"/>
    <w:link w:val="Heading4"/>
    <w:uiPriority w:val="9"/>
    <w:rPr>
      <w:rFonts w:ascii="Calibri" w:eastAsia="MS Gothic" w:hAnsi="Calibri" w:cs="Mangal"/>
      <w:b/>
      <w:bCs/>
      <w:i/>
      <w:iCs/>
      <w:color w:val="4F81BD"/>
    </w:rPr>
  </w:style>
  <w:style w:type="character" w:customStyle="1" w:styleId="Heading5Char">
    <w:name w:val="Heading 5 Char"/>
    <w:basedOn w:val="DefaultParagraphFont"/>
    <w:link w:val="Heading5"/>
    <w:uiPriority w:val="9"/>
    <w:rPr>
      <w:rFonts w:ascii="Calibri" w:eastAsia="MS Gothic" w:hAnsi="Calibri" w:cs="Mangal"/>
      <w:color w:val="243F60"/>
    </w:rPr>
  </w:style>
  <w:style w:type="character" w:customStyle="1" w:styleId="Heading6Char">
    <w:name w:val="Heading 6 Char"/>
    <w:basedOn w:val="DefaultParagraphFont"/>
    <w:link w:val="Heading6"/>
    <w:uiPriority w:val="9"/>
    <w:rPr>
      <w:rFonts w:ascii="Calibri" w:eastAsia="MS Gothic" w:hAnsi="Calibri" w:cs="Mangal"/>
      <w:i/>
      <w:iCs/>
      <w:color w:val="243F60"/>
    </w:rPr>
  </w:style>
  <w:style w:type="character" w:customStyle="1" w:styleId="Heading7Char">
    <w:name w:val="Heading 7 Char"/>
    <w:basedOn w:val="DefaultParagraphFont"/>
    <w:link w:val="Heading7"/>
    <w:uiPriority w:val="9"/>
    <w:rPr>
      <w:rFonts w:ascii="Calibri" w:eastAsia="MS Gothic" w:hAnsi="Calibri" w:cs="Mangal"/>
      <w:i/>
      <w:iCs/>
      <w:color w:val="404040"/>
    </w:rPr>
  </w:style>
  <w:style w:type="character" w:customStyle="1" w:styleId="Heading8Char">
    <w:name w:val="Heading 8 Char"/>
    <w:basedOn w:val="DefaultParagraphFont"/>
    <w:link w:val="Heading8"/>
    <w:uiPriority w:val="9"/>
    <w:rPr>
      <w:rFonts w:ascii="Calibri" w:eastAsia="MS Gothic" w:hAnsi="Calibri" w:cs="Mangal"/>
      <w:color w:val="4F81BD"/>
      <w:sz w:val="20"/>
      <w:szCs w:val="20"/>
    </w:rPr>
  </w:style>
  <w:style w:type="character" w:customStyle="1" w:styleId="Heading9Char">
    <w:name w:val="Heading 9 Char"/>
    <w:basedOn w:val="DefaultParagraphFont"/>
    <w:link w:val="Heading9"/>
    <w:uiPriority w:val="9"/>
    <w:rPr>
      <w:rFonts w:ascii="Calibri" w:eastAsia="MS Gothic" w:hAnsi="Calibri" w:cs="Mangal"/>
      <w:i/>
      <w:iCs/>
      <w:color w:val="404040"/>
      <w:sz w:val="20"/>
      <w:szCs w:val="20"/>
    </w:rPr>
  </w:style>
  <w:style w:type="paragraph" w:styleId="Caption">
    <w:name w:val="caption"/>
    <w:basedOn w:val="Normal"/>
    <w:next w:val="Normal"/>
    <w:uiPriority w:val="35"/>
    <w:qFormat/>
    <w:pPr>
      <w:spacing w:line="240" w:lineRule="auto"/>
    </w:pPr>
    <w:rPr>
      <w:b/>
      <w:bCs/>
      <w:color w:val="4F81BD"/>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Pr>
      <w:b/>
      <w:bCs/>
      <w:i/>
      <w:iCs/>
      <w:color w:val="4F81BD"/>
    </w:rPr>
  </w:style>
  <w:style w:type="character" w:styleId="SubtleEmphasis">
    <w:name w:val="Subtle Emphasis"/>
    <w:basedOn w:val="DefaultParagraphFont"/>
    <w:uiPriority w:val="19"/>
    <w:qFormat/>
    <w:rPr>
      <w:i/>
      <w:iCs/>
      <w:color w:val="808080"/>
    </w:rPr>
  </w:style>
  <w:style w:type="character" w:styleId="IntenseEmphasis">
    <w:name w:val="Intense Emphasis"/>
    <w:basedOn w:val="DefaultParagraphFont"/>
    <w:uiPriority w:val="21"/>
    <w:qFormat/>
    <w:rPr>
      <w:b/>
      <w:bCs/>
      <w:i/>
      <w:iCs/>
      <w:color w:val="4F81BD"/>
    </w:rPr>
  </w:style>
  <w:style w:type="character" w:styleId="SubtleReference">
    <w:name w:val="Subtle Reference"/>
    <w:basedOn w:val="DefaultParagraphFont"/>
    <w:uiPriority w:val="31"/>
    <w:qFormat/>
    <w:rPr>
      <w:smallCaps/>
      <w:color w:val="C0504D"/>
      <w:u w:val="single"/>
    </w:rPr>
  </w:style>
  <w:style w:type="character" w:styleId="IntenseReference">
    <w:name w:val="Intense Reference"/>
    <w:basedOn w:val="DefaultParagraphFont"/>
    <w:uiPriority w:val="32"/>
    <w:qFormat/>
    <w:rPr>
      <w:b/>
      <w:bCs/>
      <w:smallCaps/>
      <w:color w:val="C0504D"/>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Mangal"/>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Mangal"/>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Mangal"/>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Mangal"/>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Mangal"/>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Mangal"/>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Mangal"/>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Mangal"/>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Mangal"/>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Mangal"/>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Mangal"/>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Mangal"/>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Mangal"/>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Mangal"/>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Mangal"/>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Mangal"/>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Mangal"/>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Mangal"/>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Mangal"/>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Mangal"/>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Mangal"/>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DarkList">
    <w:name w:val="Dark List"/>
    <w:basedOn w:val="TableNormal"/>
    <w:uiPriority w:val="70"/>
    <w:pPr>
      <w:spacing w:after="0" w:line="240" w:lineRule="auto"/>
    </w:pPr>
    <w:rPr>
      <w:color w:val="FFFFFF"/>
    </w:rPr>
    <w:tblPr>
      <w:tblStyleRowBandSize w:val="1"/>
      <w:tblStyleColBandSize w:val="1"/>
      <w:shd w:val="clear" w:color="auto" w:fill="000000"/>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pPr>
      <w:spacing w:after="0" w:line="240" w:lineRule="auto"/>
    </w:pPr>
    <w:rPr>
      <w:color w:val="FFFFFF"/>
    </w:rPr>
    <w:tblPr>
      <w:tblStyleRowBandSize w:val="1"/>
      <w:tblStyleColBandSize w:val="1"/>
      <w:shd w:val="clear" w:color="auto" w:fill="4F81BD"/>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pPr>
      <w:spacing w:after="0" w:line="240" w:lineRule="auto"/>
    </w:pPr>
    <w:rPr>
      <w:color w:val="FFFFFF"/>
    </w:rPr>
    <w:tblPr>
      <w:tblStyleRowBandSize w:val="1"/>
      <w:tblStyleColBandSize w:val="1"/>
      <w:shd w:val="clear" w:color="auto" w:fill="C0504D"/>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pPr>
      <w:spacing w:after="0" w:line="240" w:lineRule="auto"/>
    </w:pPr>
    <w:rPr>
      <w:color w:val="FFFFFF"/>
    </w:rPr>
    <w:tblPr>
      <w:tblStyleRowBandSize w:val="1"/>
      <w:tblStyleColBandSize w:val="1"/>
      <w:shd w:val="clear" w:color="auto" w:fill="9BBB59"/>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pPr>
      <w:spacing w:after="0" w:line="240" w:lineRule="auto"/>
    </w:pPr>
    <w:rPr>
      <w:color w:val="FFFFFF"/>
    </w:rPr>
    <w:tblPr>
      <w:tblStyleRowBandSize w:val="1"/>
      <w:tblStyleColBandSize w:val="1"/>
      <w:shd w:val="clear" w:color="auto" w:fill="8064A2"/>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pPr>
      <w:spacing w:after="0" w:line="240" w:lineRule="auto"/>
    </w:pPr>
    <w:rPr>
      <w:color w:val="FFFFFF"/>
    </w:rPr>
    <w:tblPr>
      <w:tblStyleRowBandSize w:val="1"/>
      <w:tblStyleColBandSize w:val="1"/>
      <w:shd w:val="clear" w:color="auto" w:fill="4BACC6"/>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pPr>
      <w:spacing w:after="0" w:line="240" w:lineRule="auto"/>
    </w:pPr>
    <w:rPr>
      <w:color w:val="FFFFFF"/>
    </w:rPr>
    <w:tblPr>
      <w:tblStyleRowBandSize w:val="1"/>
      <w:tblStyleColBandSize w:val="1"/>
      <w:shd w:val="clear" w:color="auto" w:fill="F79646"/>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pPr>
      <w:spacing w:after="0" w:line="240" w:lineRule="auto"/>
    </w:pPr>
    <w:rPr>
      <w:color w:val="000000"/>
    </w:rPr>
    <w:tblPr>
      <w:tblStyleRowBandSize w:val="1"/>
      <w:tblStyleColBandSize w:val="1"/>
      <w:shd w:val="clear" w:color="auto" w:fill="E6E6E6"/>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pPr>
      <w:spacing w:after="0" w:line="240" w:lineRule="auto"/>
    </w:pPr>
    <w:rPr>
      <w:color w:val="000000"/>
    </w:rPr>
    <w:tblPr>
      <w:tblStyleRowBandSize w:val="1"/>
      <w:tblStyleColBandSize w:val="1"/>
      <w:shd w:val="clear" w:color="auto" w:fill="EDF2F8"/>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pPr>
      <w:spacing w:after="0" w:line="240" w:lineRule="auto"/>
    </w:pPr>
    <w:rPr>
      <w:color w:val="000000"/>
    </w:rPr>
    <w:tblPr>
      <w:tblStyleRowBandSize w:val="1"/>
      <w:tblStyleColBandSize w:val="1"/>
      <w:shd w:val="clear" w:color="auto" w:fill="F8EDED"/>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pPr>
      <w:spacing w:after="0" w:line="240" w:lineRule="auto"/>
    </w:pPr>
    <w:rPr>
      <w:color w:val="000000"/>
    </w:rPr>
    <w:tblPr>
      <w:tblStyleRowBandSize w:val="1"/>
      <w:tblStyleColBandSize w:val="1"/>
      <w:shd w:val="clear" w:color="auto" w:fill="F5F8EE"/>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pPr>
      <w:spacing w:after="0" w:line="240" w:lineRule="auto"/>
    </w:pPr>
    <w:rPr>
      <w:color w:val="000000"/>
    </w:rPr>
    <w:tblPr>
      <w:tblStyleRowBandSize w:val="1"/>
      <w:tblStyleColBandSize w:val="1"/>
      <w:shd w:val="clear" w:color="auto" w:fill="F2EFF6"/>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pPr>
      <w:spacing w:after="0" w:line="240" w:lineRule="auto"/>
    </w:pPr>
    <w:rPr>
      <w:color w:val="000000"/>
    </w:rPr>
    <w:tblPr>
      <w:tblStyleRowBandSize w:val="1"/>
      <w:tblStyleColBandSize w:val="1"/>
      <w:shd w:val="clear" w:color="auto" w:fill="EDF6F9"/>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pPr>
      <w:spacing w:after="0" w:line="240" w:lineRule="auto"/>
    </w:pPr>
    <w:rPr>
      <w:color w:val="000000"/>
    </w:rPr>
    <w:tblPr>
      <w:tblStyleRowBandSize w:val="1"/>
      <w:tblStyleColBandSize w:val="1"/>
      <w:shd w:val="clear" w:color="auto" w:fill="FEF4EC"/>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NormalWeb">
    <w:name w:val="Normal (Web)"/>
    <w:basedOn w:val="Normal"/>
    <w:uiPriority w:val="99"/>
    <w:pPr>
      <w:spacing w:before="100" w:beforeAutospacing="1" w:after="100" w:afterAutospacing="1" w:line="240" w:lineRule="auto"/>
    </w:pPr>
    <w:rPr>
      <w:rFonts w:ascii="Times New Roman" w:hAnsi="Times New Roman" w:cs="Times New Roman"/>
      <w:sz w:val="24"/>
      <w:szCs w:val="24"/>
      <w:lang w:val="en-IN" w:bidi="hi-IN"/>
    </w:rPr>
  </w:style>
  <w:style w:type="table" w:customStyle="1" w:styleId="PlainTable11">
    <w:name w:val="Plain Table 11"/>
    <w:basedOn w:val="TableNormal"/>
    <w:uiPriority w:val="9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9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uiPriority w:val="99"/>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1">
    <w:name w:val="Plain Table 51"/>
    <w:basedOn w:val="TableNormal"/>
    <w:uiPriority w:val="99"/>
    <w:pPr>
      <w:spacing w:after="0" w:line="240" w:lineRule="auto"/>
    </w:pPr>
    <w:tblPr>
      <w:tblStyleRowBandSize w:val="1"/>
      <w:tblStyleColBandSize w:val="1"/>
    </w:tblPr>
    <w:tblStylePr w:type="firstRow">
      <w:rPr>
        <w:rFonts w:ascii="Calibri" w:eastAsia="MS Gothic" w:hAnsi="Calibri" w:cs="Mangal"/>
        <w:i/>
        <w:iCs/>
        <w:sz w:val="26"/>
      </w:rPr>
      <w:tblPr/>
      <w:tcPr>
        <w:tcBorders>
          <w:bottom w:val="single" w:sz="4" w:space="0" w:color="7F7F7F"/>
        </w:tcBorders>
        <w:shd w:val="clear" w:color="auto" w:fill="FFFFFF"/>
      </w:tcPr>
    </w:tblStylePr>
    <w:tblStylePr w:type="lastRow">
      <w:rPr>
        <w:rFonts w:ascii="Calibri" w:eastAsia="MS Gothic" w:hAnsi="Calibri" w:cs="Mangal"/>
        <w:i/>
        <w:iCs/>
        <w:sz w:val="26"/>
      </w:rPr>
      <w:tblPr/>
      <w:tcPr>
        <w:tcBorders>
          <w:top w:val="single" w:sz="4" w:space="0" w:color="7F7F7F"/>
        </w:tcBorders>
        <w:shd w:val="clear" w:color="auto" w:fill="FFFFFF"/>
      </w:tcPr>
    </w:tblStylePr>
    <w:tblStylePr w:type="firstCol">
      <w:pPr>
        <w:jc w:val="right"/>
      </w:pPr>
      <w:rPr>
        <w:rFonts w:ascii="Calibri" w:eastAsia="MS Gothic" w:hAnsi="Calibri" w:cs="Mangal"/>
        <w:i/>
        <w:iCs/>
        <w:sz w:val="26"/>
      </w:rPr>
      <w:tblPr/>
      <w:tcPr>
        <w:tcBorders>
          <w:right w:val="single" w:sz="4" w:space="0" w:color="7F7F7F"/>
        </w:tcBorders>
        <w:shd w:val="clear" w:color="auto" w:fill="FFFFFF"/>
      </w:tcPr>
    </w:tblStylePr>
    <w:tblStylePr w:type="lastCol">
      <w:rPr>
        <w:rFonts w:ascii="Calibri" w:eastAsia="MS Gothic" w:hAnsi="Calibri" w:cs="Mang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9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5Dark1">
    <w:name w:val="Grid Table 5 Dark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CCCCC"/>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rPr>
      <w:vertAlign w:val="superscript"/>
    </w:rPr>
  </w:style>
  <w:style w:type="character" w:styleId="Hyperlink">
    <w:name w:val="Hyperlink"/>
    <w:basedOn w:val="DefaultParagraphFont"/>
    <w:uiPriority w:val="99"/>
    <w:unhideWhenUsed/>
    <w:rsid w:val="00EB78CC"/>
    <w:rPr>
      <w:color w:val="0000FF" w:themeColor="hyperlink"/>
      <w:u w:val="single"/>
    </w:rPr>
  </w:style>
  <w:style w:type="character" w:styleId="CommentReference">
    <w:name w:val="annotation reference"/>
    <w:basedOn w:val="DefaultParagraphFont"/>
    <w:uiPriority w:val="99"/>
    <w:semiHidden/>
    <w:unhideWhenUsed/>
    <w:rsid w:val="00AF65BF"/>
    <w:rPr>
      <w:sz w:val="16"/>
      <w:szCs w:val="16"/>
    </w:rPr>
  </w:style>
  <w:style w:type="paragraph" w:styleId="CommentText">
    <w:name w:val="annotation text"/>
    <w:basedOn w:val="Normal"/>
    <w:link w:val="CommentTextChar"/>
    <w:uiPriority w:val="99"/>
    <w:semiHidden/>
    <w:unhideWhenUsed/>
    <w:rsid w:val="00AF65BF"/>
    <w:pPr>
      <w:spacing w:line="240" w:lineRule="auto"/>
    </w:pPr>
    <w:rPr>
      <w:sz w:val="20"/>
      <w:szCs w:val="20"/>
    </w:rPr>
  </w:style>
  <w:style w:type="character" w:customStyle="1" w:styleId="CommentTextChar">
    <w:name w:val="Comment Text Char"/>
    <w:basedOn w:val="DefaultParagraphFont"/>
    <w:link w:val="CommentText"/>
    <w:uiPriority w:val="99"/>
    <w:semiHidden/>
    <w:rsid w:val="00AF65BF"/>
    <w:rPr>
      <w:sz w:val="20"/>
      <w:szCs w:val="20"/>
    </w:rPr>
  </w:style>
  <w:style w:type="paragraph" w:styleId="CommentSubject">
    <w:name w:val="annotation subject"/>
    <w:basedOn w:val="CommentText"/>
    <w:next w:val="CommentText"/>
    <w:link w:val="CommentSubjectChar"/>
    <w:uiPriority w:val="99"/>
    <w:semiHidden/>
    <w:unhideWhenUsed/>
    <w:rsid w:val="00AF65BF"/>
    <w:rPr>
      <w:b/>
      <w:bCs/>
    </w:rPr>
  </w:style>
  <w:style w:type="character" w:customStyle="1" w:styleId="CommentSubjectChar">
    <w:name w:val="Comment Subject Char"/>
    <w:basedOn w:val="CommentTextChar"/>
    <w:link w:val="CommentSubject"/>
    <w:uiPriority w:val="99"/>
    <w:semiHidden/>
    <w:rsid w:val="00AF65BF"/>
    <w:rPr>
      <w:b/>
      <w:bCs/>
      <w:sz w:val="20"/>
      <w:szCs w:val="20"/>
    </w:rPr>
  </w:style>
  <w:style w:type="paragraph" w:styleId="BalloonText">
    <w:name w:val="Balloon Text"/>
    <w:basedOn w:val="Normal"/>
    <w:link w:val="BalloonTextChar"/>
    <w:uiPriority w:val="99"/>
    <w:semiHidden/>
    <w:unhideWhenUsed/>
    <w:rsid w:val="00AF65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65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7173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chart" Target="charts/chart3.xm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header" Target="header2.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chart" Target="charts/chart4.xml"/><Relationship Id="rId22"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yknp\Downloads\EXCE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yknp\AppData\Local\Temp\bad87861-38af-4f28-bddb-e01fb9934191_file.zip.191\EXCEL%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yknp\Downloads\EXCEL%2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yknp\Downloads\EXCEL%20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yknp\Downloads\EXCEL%205.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kyknp\AppData\Local\Temp\ede7409a-ff44-4c58-aa5d-ecbdfacb854d_file.zip.54d\EXCEL%20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kyknp\AppData\Local\Temp\fb644e17-fc7d-46c0-85dd-104a2e80878a_file.zip.78a\EXCEL%207.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 </a:t>
            </a:r>
            <a:r>
              <a:rPr lang="en-IN" sz="800">
                <a:solidFill>
                  <a:srgbClr val="FF0000"/>
                </a:solidFill>
                <a:latin typeface="Arial" panose="020B0604020202020204" pitchFamily="34" charset="0"/>
                <a:cs typeface="Arial" panose="020B0604020202020204" pitchFamily="34" charset="0"/>
              </a:rPr>
              <a:t>pH</a:t>
            </a:r>
            <a:r>
              <a:rPr lang="en-IN" sz="800">
                <a:latin typeface="Arial" panose="020B0604020202020204" pitchFamily="34" charset="0"/>
                <a:cs typeface="Arial" panose="020B0604020202020204" pitchFamily="34" charset="0"/>
              </a:rPr>
              <a:t> and TDS Level (May2024 to April 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039661708953049E-2"/>
          <c:y val="0.18496068494582832"/>
          <c:w val="0.8969233012540101"/>
          <c:h val="0.64520460885785502"/>
        </c:manualLayout>
      </c:layout>
      <c:barChart>
        <c:barDir val="col"/>
        <c:grouping val="clustered"/>
        <c:varyColors val="0"/>
        <c:ser>
          <c:idx val="0"/>
          <c:order val="0"/>
          <c:tx>
            <c:strRef>
              <c:f>Sheet1!$B$1</c:f>
              <c:strCache>
                <c:ptCount val="1"/>
                <c:pt idx="0">
                  <c:v>PH</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7.2</c:v>
                </c:pt>
                <c:pt idx="1">
                  <c:v>7.4</c:v>
                </c:pt>
                <c:pt idx="2">
                  <c:v>7.3</c:v>
                </c:pt>
                <c:pt idx="3">
                  <c:v>8.4</c:v>
                </c:pt>
                <c:pt idx="4">
                  <c:v>7.9</c:v>
                </c:pt>
                <c:pt idx="5">
                  <c:v>7.8</c:v>
                </c:pt>
                <c:pt idx="6">
                  <c:v>9.5</c:v>
                </c:pt>
                <c:pt idx="7">
                  <c:v>8.3000000000000007</c:v>
                </c:pt>
                <c:pt idx="8">
                  <c:v>8.5</c:v>
                </c:pt>
                <c:pt idx="9">
                  <c:v>8.36</c:v>
                </c:pt>
                <c:pt idx="10">
                  <c:v>8.0299999999999994</c:v>
                </c:pt>
                <c:pt idx="11">
                  <c:v>8.5</c:v>
                </c:pt>
              </c:numCache>
            </c:numRef>
          </c:val>
          <c:extLst>
            <c:ext xmlns:c16="http://schemas.microsoft.com/office/drawing/2014/chart" uri="{C3380CC4-5D6E-409C-BE32-E72D297353CC}">
              <c16:uniqueId val="{00000000-3F03-4604-AD9B-A5608205FE96}"/>
            </c:ext>
          </c:extLst>
        </c:ser>
        <c:ser>
          <c:idx val="1"/>
          <c:order val="1"/>
          <c:tx>
            <c:strRef>
              <c:f>Sheet1!$C$1</c:f>
              <c:strCache>
                <c:ptCount val="1"/>
                <c:pt idx="0">
                  <c:v>TDS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220</c:v>
                </c:pt>
                <c:pt idx="1">
                  <c:v>265</c:v>
                </c:pt>
                <c:pt idx="2">
                  <c:v>250</c:v>
                </c:pt>
                <c:pt idx="3">
                  <c:v>302</c:v>
                </c:pt>
                <c:pt idx="4">
                  <c:v>250</c:v>
                </c:pt>
                <c:pt idx="5">
                  <c:v>170</c:v>
                </c:pt>
                <c:pt idx="6">
                  <c:v>180</c:v>
                </c:pt>
                <c:pt idx="7">
                  <c:v>250</c:v>
                </c:pt>
                <c:pt idx="8">
                  <c:v>460</c:v>
                </c:pt>
                <c:pt idx="9">
                  <c:v>436</c:v>
                </c:pt>
                <c:pt idx="10">
                  <c:v>225</c:v>
                </c:pt>
                <c:pt idx="11">
                  <c:v>250</c:v>
                </c:pt>
              </c:numCache>
            </c:numRef>
          </c:val>
          <c:extLst>
            <c:ext xmlns:c16="http://schemas.microsoft.com/office/drawing/2014/chart" uri="{C3380CC4-5D6E-409C-BE32-E72D297353CC}">
              <c16:uniqueId val="{00000001-3F03-4604-AD9B-A5608205FE96}"/>
            </c:ext>
          </c:extLst>
        </c:ser>
        <c:dLbls>
          <c:dLblPos val="outEnd"/>
          <c:showLegendKey val="0"/>
          <c:showVal val="1"/>
          <c:showCatName val="0"/>
          <c:showSerName val="0"/>
          <c:showPercent val="0"/>
          <c:showBubbleSize val="0"/>
        </c:dLbls>
        <c:gapWidth val="444"/>
        <c:overlap val="-90"/>
        <c:axId val="420123216"/>
        <c:axId val="420123544"/>
      </c:barChart>
      <c:dateAx>
        <c:axId val="420123216"/>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20123544"/>
        <c:crosses val="autoZero"/>
        <c:auto val="1"/>
        <c:lblOffset val="100"/>
        <c:baseTimeUnit val="months"/>
      </c:dateAx>
      <c:valAx>
        <c:axId val="420123544"/>
        <c:scaling>
          <c:orientation val="minMax"/>
        </c:scaling>
        <c:delete val="1"/>
        <c:axPos val="l"/>
        <c:numFmt formatCode="General" sourceLinked="1"/>
        <c:majorTickMark val="none"/>
        <c:minorTickMark val="none"/>
        <c:tickLblPos val="nextTo"/>
        <c:crossAx val="4201232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a:t>
            </a:r>
            <a:r>
              <a:rPr lang="en-IN" sz="800" baseline="0">
                <a:latin typeface="Arial" panose="020B0604020202020204" pitchFamily="34" charset="0"/>
                <a:cs typeface="Arial" panose="020B0604020202020204" pitchFamily="34" charset="0"/>
              </a:rPr>
              <a:t> DATA TEMPeraTuRE AND ALKALINITY</a:t>
            </a:r>
            <a:r>
              <a:rPr lang="en-IN" sz="800" b="1" i="0" u="none" strike="noStrike" kern="1200" cap="all" spc="120" normalizeH="0" baseline="0">
                <a:solidFill>
                  <a:sysClr val="windowText" lastClr="000000">
                    <a:lumMod val="65000"/>
                    <a:lumOff val="35000"/>
                  </a:sysClr>
                </a:solidFill>
                <a:latin typeface="Arial" panose="020B0604020202020204" pitchFamily="34" charset="0"/>
                <a:cs typeface="Arial" panose="020B0604020202020204" pitchFamily="34" charset="0"/>
              </a:rPr>
              <a:t>(May2024-April2025)</a:t>
            </a:r>
            <a:endParaRPr lang="en-IN" sz="8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TEMP</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20</c:v>
                </c:pt>
                <c:pt idx="1">
                  <c:v>23</c:v>
                </c:pt>
                <c:pt idx="2">
                  <c:v>25</c:v>
                </c:pt>
                <c:pt idx="3">
                  <c:v>23</c:v>
                </c:pt>
                <c:pt idx="4">
                  <c:v>22</c:v>
                </c:pt>
                <c:pt idx="5">
                  <c:v>20</c:v>
                </c:pt>
                <c:pt idx="6">
                  <c:v>25</c:v>
                </c:pt>
                <c:pt idx="7">
                  <c:v>23</c:v>
                </c:pt>
                <c:pt idx="8">
                  <c:v>20</c:v>
                </c:pt>
                <c:pt idx="9">
                  <c:v>21</c:v>
                </c:pt>
                <c:pt idx="10">
                  <c:v>25</c:v>
                </c:pt>
                <c:pt idx="11">
                  <c:v>25</c:v>
                </c:pt>
              </c:numCache>
            </c:numRef>
          </c:val>
          <c:extLst>
            <c:ext xmlns:c16="http://schemas.microsoft.com/office/drawing/2014/chart" uri="{C3380CC4-5D6E-409C-BE32-E72D297353CC}">
              <c16:uniqueId val="{00000000-5688-488B-B07F-A2BC6372110F}"/>
            </c:ext>
          </c:extLst>
        </c:ser>
        <c:ser>
          <c:idx val="1"/>
          <c:order val="1"/>
          <c:tx>
            <c:strRef>
              <c:f>Sheet1!$C$1</c:f>
              <c:strCache>
                <c:ptCount val="1"/>
                <c:pt idx="0">
                  <c:v>TOTAL ALKALINITY</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250</c:v>
                </c:pt>
                <c:pt idx="1">
                  <c:v>350</c:v>
                </c:pt>
                <c:pt idx="2">
                  <c:v>525</c:v>
                </c:pt>
                <c:pt idx="3">
                  <c:v>350</c:v>
                </c:pt>
                <c:pt idx="4">
                  <c:v>250</c:v>
                </c:pt>
                <c:pt idx="5">
                  <c:v>300</c:v>
                </c:pt>
                <c:pt idx="6">
                  <c:v>400</c:v>
                </c:pt>
                <c:pt idx="7">
                  <c:v>400</c:v>
                </c:pt>
                <c:pt idx="8">
                  <c:v>350</c:v>
                </c:pt>
                <c:pt idx="9">
                  <c:v>350</c:v>
                </c:pt>
                <c:pt idx="10">
                  <c:v>350</c:v>
                </c:pt>
                <c:pt idx="11">
                  <c:v>350</c:v>
                </c:pt>
              </c:numCache>
            </c:numRef>
          </c:val>
          <c:extLst>
            <c:ext xmlns:c16="http://schemas.microsoft.com/office/drawing/2014/chart" uri="{C3380CC4-5D6E-409C-BE32-E72D297353CC}">
              <c16:uniqueId val="{00000001-5688-488B-B07F-A2BC6372110F}"/>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 Total Hardness And Chloride level(May2024-April2025)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'[EXCEL 3.xlsx]Sheet1'!$B$1</c:f>
              <c:strCache>
                <c:ptCount val="1"/>
                <c:pt idx="0">
                  <c:v>TOTAL HARDNESS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'[EXCEL 3.xlsx]Sheet1'!$A$2:$A$13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'[EXCEL 3.xlsx]Sheet1'!$B$2:$B$13</c:f>
              <c:numCache>
                <c:formatCode>General</c:formatCode>
                <c:ptCount val="12"/>
                <c:pt idx="0">
                  <c:v>300</c:v>
                </c:pt>
                <c:pt idx="1">
                  <c:v>350</c:v>
                </c:pt>
                <c:pt idx="2">
                  <c:v>600</c:v>
                </c:pt>
                <c:pt idx="3">
                  <c:v>750</c:v>
                </c:pt>
                <c:pt idx="4">
                  <c:v>650</c:v>
                </c:pt>
                <c:pt idx="5">
                  <c:v>550</c:v>
                </c:pt>
                <c:pt idx="6">
                  <c:v>750</c:v>
                </c:pt>
                <c:pt idx="7">
                  <c:v>500</c:v>
                </c:pt>
                <c:pt idx="8">
                  <c:v>760</c:v>
                </c:pt>
                <c:pt idx="9">
                  <c:v>600</c:v>
                </c:pt>
                <c:pt idx="10">
                  <c:v>450</c:v>
                </c:pt>
                <c:pt idx="11">
                  <c:v>400</c:v>
                </c:pt>
              </c:numCache>
            </c:numRef>
          </c:val>
          <c:extLst>
            <c:ext xmlns:c16="http://schemas.microsoft.com/office/drawing/2014/chart" uri="{C3380CC4-5D6E-409C-BE32-E72D297353CC}">
              <c16:uniqueId val="{00000000-633E-4772-8251-2A77569A2DA0}"/>
            </c:ext>
          </c:extLst>
        </c:ser>
        <c:ser>
          <c:idx val="1"/>
          <c:order val="1"/>
          <c:tx>
            <c:strRef>
              <c:f>'[EXCEL 3.xlsx]Sheet1'!$C$1</c:f>
              <c:strCache>
                <c:ptCount val="1"/>
                <c:pt idx="0">
                  <c:v>CHLORIDE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'[EXCEL 3.xlsx]Sheet1'!$A$2:$A$13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'[EXCEL 3.xlsx]Sheet1'!$C$2:$C$13</c:f>
              <c:numCache>
                <c:formatCode>General</c:formatCode>
                <c:ptCount val="12"/>
                <c:pt idx="0">
                  <c:v>60</c:v>
                </c:pt>
                <c:pt idx="1">
                  <c:v>80</c:v>
                </c:pt>
                <c:pt idx="2">
                  <c:v>100</c:v>
                </c:pt>
                <c:pt idx="3">
                  <c:v>80</c:v>
                </c:pt>
                <c:pt idx="4">
                  <c:v>160</c:v>
                </c:pt>
                <c:pt idx="5">
                  <c:v>60</c:v>
                </c:pt>
                <c:pt idx="6">
                  <c:v>160</c:v>
                </c:pt>
                <c:pt idx="7">
                  <c:v>60</c:v>
                </c:pt>
                <c:pt idx="8">
                  <c:v>80</c:v>
                </c:pt>
                <c:pt idx="9">
                  <c:v>100</c:v>
                </c:pt>
                <c:pt idx="10">
                  <c:v>80</c:v>
                </c:pt>
                <c:pt idx="11">
                  <c:v>60</c:v>
                </c:pt>
              </c:numCache>
            </c:numRef>
          </c:val>
          <c:extLst>
            <c:ext xmlns:c16="http://schemas.microsoft.com/office/drawing/2014/chart" uri="{C3380CC4-5D6E-409C-BE32-E72D297353CC}">
              <c16:uniqueId val="{00000001-633E-4772-8251-2A77569A2DA0}"/>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 Fluoride And Nitrate level (May2024 -April 2025)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FLUORIDE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0.5</c:v>
                </c:pt>
                <c:pt idx="1">
                  <c:v>0.2</c:v>
                </c:pt>
                <c:pt idx="2">
                  <c:v>0.6</c:v>
                </c:pt>
                <c:pt idx="3">
                  <c:v>0.5</c:v>
                </c:pt>
                <c:pt idx="4">
                  <c:v>0.3</c:v>
                </c:pt>
                <c:pt idx="5">
                  <c:v>0.2</c:v>
                </c:pt>
                <c:pt idx="6">
                  <c:v>0.5</c:v>
                </c:pt>
                <c:pt idx="7">
                  <c:v>0.2</c:v>
                </c:pt>
                <c:pt idx="8">
                  <c:v>0.3</c:v>
                </c:pt>
                <c:pt idx="9">
                  <c:v>0.6</c:v>
                </c:pt>
                <c:pt idx="10">
                  <c:v>0.8</c:v>
                </c:pt>
                <c:pt idx="11">
                  <c:v>0.3</c:v>
                </c:pt>
              </c:numCache>
            </c:numRef>
          </c:val>
          <c:extLst>
            <c:ext xmlns:c16="http://schemas.microsoft.com/office/drawing/2014/chart" uri="{C3380CC4-5D6E-409C-BE32-E72D297353CC}">
              <c16:uniqueId val="{00000000-3939-410C-BFFC-D11C671D7B04}"/>
            </c:ext>
          </c:extLst>
        </c:ser>
        <c:ser>
          <c:idx val="1"/>
          <c:order val="1"/>
          <c:tx>
            <c:strRef>
              <c:f>Sheet1!$C$1</c:f>
              <c:strCache>
                <c:ptCount val="1"/>
                <c:pt idx="0">
                  <c:v>NITRATE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5</c:v>
                </c:pt>
                <c:pt idx="1">
                  <c:v>5</c:v>
                </c:pt>
                <c:pt idx="2">
                  <c:v>0.5</c:v>
                </c:pt>
                <c:pt idx="3">
                  <c:v>2.5</c:v>
                </c:pt>
                <c:pt idx="4">
                  <c:v>0.5</c:v>
                </c:pt>
                <c:pt idx="5">
                  <c:v>1.5</c:v>
                </c:pt>
                <c:pt idx="6">
                  <c:v>5</c:v>
                </c:pt>
                <c:pt idx="7">
                  <c:v>5</c:v>
                </c:pt>
                <c:pt idx="8">
                  <c:v>2.5</c:v>
                </c:pt>
                <c:pt idx="9">
                  <c:v>2.5</c:v>
                </c:pt>
                <c:pt idx="10">
                  <c:v>5</c:v>
                </c:pt>
                <c:pt idx="11">
                  <c:v>2.5</c:v>
                </c:pt>
              </c:numCache>
            </c:numRef>
          </c:val>
          <c:extLst>
            <c:ext xmlns:c16="http://schemas.microsoft.com/office/drawing/2014/chart" uri="{C3380CC4-5D6E-409C-BE32-E72D297353CC}">
              <c16:uniqueId val="{00000001-3939-410C-BFFC-D11C671D7B04}"/>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 Iron And Arsenic levels (May24-April25)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IRON</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0A3D-4549-AA76-0595EC8C080F}"/>
            </c:ext>
          </c:extLst>
        </c:ser>
        <c:ser>
          <c:idx val="1"/>
          <c:order val="1"/>
          <c:tx>
            <c:strRef>
              <c:f>Sheet1!$C$1</c:f>
              <c:strCache>
                <c:ptCount val="1"/>
                <c:pt idx="0">
                  <c:v>ARSENIC</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25</c:v>
                </c:pt>
                <c:pt idx="1">
                  <c:v>25</c:v>
                </c:pt>
                <c:pt idx="2">
                  <c:v>25</c:v>
                </c:pt>
                <c:pt idx="3">
                  <c:v>25</c:v>
                </c:pt>
                <c:pt idx="4">
                  <c:v>25</c:v>
                </c:pt>
                <c:pt idx="5">
                  <c:v>25</c:v>
                </c:pt>
                <c:pt idx="6">
                  <c:v>1.2</c:v>
                </c:pt>
                <c:pt idx="7">
                  <c:v>50</c:v>
                </c:pt>
                <c:pt idx="8">
                  <c:v>25</c:v>
                </c:pt>
                <c:pt idx="9">
                  <c:v>25</c:v>
                </c:pt>
                <c:pt idx="10">
                  <c:v>25</c:v>
                </c:pt>
                <c:pt idx="11">
                  <c:v>25</c:v>
                </c:pt>
              </c:numCache>
            </c:numRef>
          </c:val>
          <c:extLst>
            <c:ext xmlns:c16="http://schemas.microsoft.com/office/drawing/2014/chart" uri="{C3380CC4-5D6E-409C-BE32-E72D297353CC}">
              <c16:uniqueId val="{00000001-0A3D-4549-AA76-0595EC8C080F}"/>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 potassium</a:t>
            </a:r>
            <a:r>
              <a:rPr lang="en-IN" sz="800" baseline="0">
                <a:latin typeface="Arial" panose="020B0604020202020204" pitchFamily="34" charset="0"/>
                <a:cs typeface="Arial" panose="020B0604020202020204" pitchFamily="34" charset="0"/>
              </a:rPr>
              <a:t> and magnesium</a:t>
            </a:r>
            <a:r>
              <a:rPr lang="en-IN" sz="800">
                <a:latin typeface="Arial" panose="020B0604020202020204" pitchFamily="34" charset="0"/>
                <a:cs typeface="Arial" panose="020B0604020202020204" pitchFamily="34" charset="0"/>
              </a:rPr>
              <a:t> (May24-April25)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245398055755285E-2"/>
          <c:y val="0.34169056391654334"/>
          <c:w val="0.87892312458715494"/>
          <c:h val="0.45070945189296957"/>
        </c:manualLayout>
      </c:layout>
      <c:barChart>
        <c:barDir val="col"/>
        <c:grouping val="clustered"/>
        <c:varyColors val="0"/>
        <c:ser>
          <c:idx val="2"/>
          <c:order val="0"/>
          <c:tx>
            <c:strRef>
              <c:f>Sheet1!$B$1</c:f>
              <c:strCache>
                <c:ptCount val="1"/>
                <c:pt idx="0">
                  <c:v>POTASSIUM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17</c:v>
                </c:pt>
                <c:pt idx="1">
                  <c:v>15</c:v>
                </c:pt>
                <c:pt idx="2">
                  <c:v>15</c:v>
                </c:pt>
                <c:pt idx="3">
                  <c:v>17</c:v>
                </c:pt>
                <c:pt idx="4">
                  <c:v>18</c:v>
                </c:pt>
                <c:pt idx="5">
                  <c:v>15</c:v>
                </c:pt>
                <c:pt idx="6">
                  <c:v>15</c:v>
                </c:pt>
                <c:pt idx="7">
                  <c:v>17</c:v>
                </c:pt>
                <c:pt idx="8">
                  <c:v>17</c:v>
                </c:pt>
                <c:pt idx="9">
                  <c:v>15</c:v>
                </c:pt>
                <c:pt idx="10">
                  <c:v>18</c:v>
                </c:pt>
                <c:pt idx="11">
                  <c:v>15</c:v>
                </c:pt>
              </c:numCache>
            </c:numRef>
          </c:val>
          <c:extLst>
            <c:ext xmlns:c16="http://schemas.microsoft.com/office/drawing/2014/chart" uri="{C3380CC4-5D6E-409C-BE32-E72D297353CC}">
              <c16:uniqueId val="{00000000-C117-4F8D-ACF3-65533196295F}"/>
            </c:ext>
          </c:extLst>
        </c:ser>
        <c:ser>
          <c:idx val="3"/>
          <c:order val="1"/>
          <c:tx>
            <c:strRef>
              <c:f>Sheet1!$C$1</c:f>
              <c:strCache>
                <c:ptCount val="1"/>
                <c:pt idx="0">
                  <c:v>MAGNESIUM</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130</c:v>
                </c:pt>
                <c:pt idx="1">
                  <c:v>125</c:v>
                </c:pt>
                <c:pt idx="2">
                  <c:v>117</c:v>
                </c:pt>
                <c:pt idx="3">
                  <c:v>126</c:v>
                </c:pt>
                <c:pt idx="4">
                  <c:v>117</c:v>
                </c:pt>
                <c:pt idx="5">
                  <c:v>125</c:v>
                </c:pt>
                <c:pt idx="6">
                  <c:v>134</c:v>
                </c:pt>
                <c:pt idx="7">
                  <c:v>125</c:v>
                </c:pt>
                <c:pt idx="8">
                  <c:v>117</c:v>
                </c:pt>
                <c:pt idx="9">
                  <c:v>127</c:v>
                </c:pt>
                <c:pt idx="10">
                  <c:v>122</c:v>
                </c:pt>
                <c:pt idx="11">
                  <c:v>125</c:v>
                </c:pt>
              </c:numCache>
            </c:numRef>
          </c:val>
          <c:extLst>
            <c:ext xmlns:c16="http://schemas.microsoft.com/office/drawing/2014/chart" uri="{C3380CC4-5D6E-409C-BE32-E72D297353CC}">
              <c16:uniqueId val="{00000001-C117-4F8D-ACF3-65533196295F}"/>
            </c:ext>
          </c:extLst>
        </c:ser>
        <c:ser>
          <c:idx val="0"/>
          <c:order val="2"/>
          <c:tx>
            <c:strRef>
              <c:f>'[Copy of EXCEL 2.xlsx]Sheet1'!$B$1</c:f>
              <c:strCache>
                <c:ptCount val="1"/>
                <c:pt idx="0">
                  <c:v>#REF!</c:v>
                </c:pt>
              </c:strCache>
            </c:strRef>
          </c:tx>
          <c:spPr>
            <a:solidFill>
              <a:schemeClr val="accent1"/>
            </a:solidFill>
            <a:ln>
              <a:noFill/>
            </a:ln>
            <a:effectLst/>
          </c:spPr>
          <c:invertIfNegative val="0"/>
          <c:dLbls>
            <c:spPr>
              <a:noFill/>
              <a:ln>
                <a:noFill/>
              </a:ln>
              <a:effectLst/>
            </c:spPr>
            <c:txPr>
              <a:bodyPr rot="-5400000" spcFirstLastPara="1" vertOverflow="clip" horzOverflow="clip"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numRef>
              <c:f>[1]Sheet1!$A$2:$A$13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cat>
          <c:val>
            <c:numRef>
              <c:f>[1]Sheet1!$B$2:$B$13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2-C117-4F8D-ACF3-65533196295F}"/>
            </c:ext>
          </c:extLst>
        </c:ser>
        <c:ser>
          <c:idx val="1"/>
          <c:order val="3"/>
          <c:tx>
            <c:strRef>
              <c:f>'[Copy of EXCEL 2.xlsx]Sheet1'!$C$1</c:f>
              <c:strCache>
                <c:ptCount val="1"/>
                <c:pt idx="0">
                  <c:v>#REF!</c:v>
                </c:pt>
              </c:strCache>
            </c:strRef>
          </c:tx>
          <c:spPr>
            <a:solidFill>
              <a:schemeClr val="accent2"/>
            </a:solidFill>
            <a:ln>
              <a:noFill/>
            </a:ln>
            <a:effectLst/>
          </c:spPr>
          <c:invertIfNegative val="0"/>
          <c:dLbls>
            <c:spPr>
              <a:noFill/>
              <a:ln>
                <a:noFill/>
              </a:ln>
              <a:effectLst/>
            </c:spPr>
            <c:txPr>
              <a:bodyPr rot="-5400000" spcFirstLastPara="1" vertOverflow="clip" horzOverflow="clip"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numRef>
              <c:f>[1]Sheet1!$A$2:$A$13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cat>
          <c:val>
            <c:numRef>
              <c:f>[1]Sheet1!$C$2:$C$13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3-C117-4F8D-ACF3-65533196295F}"/>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solidFill>
          <a:schemeClr val="bg1"/>
        </a:solidFill>
        <a:ln>
          <a:noFill/>
        </a:ln>
        <a:effectLst/>
      </c:spPr>
    </c:plotArea>
    <c:legend>
      <c:legendPos val="t"/>
      <c:layout>
        <c:manualLayout>
          <c:xMode val="edge"/>
          <c:yMode val="edge"/>
          <c:x val="0.24223500458879166"/>
          <c:y val="0.15976076555023924"/>
          <c:w val="0.5670489685448562"/>
          <c:h val="8.07421919150058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sz="800">
                <a:latin typeface="Arial" panose="020B0604020202020204" pitchFamily="34" charset="0"/>
                <a:cs typeface="Arial" panose="020B0604020202020204" pitchFamily="34" charset="0"/>
              </a:rPr>
              <a:t>Monthly sulphate and carbondioxide level(may24-april25)</a:t>
            </a:r>
          </a:p>
        </c:rich>
      </c:tx>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c:f>
              <c:strCache>
                <c:ptCount val="1"/>
                <c:pt idx="0">
                  <c:v>SULPHATE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27</c:v>
                </c:pt>
                <c:pt idx="1">
                  <c:v>28</c:v>
                </c:pt>
                <c:pt idx="2">
                  <c:v>25</c:v>
                </c:pt>
                <c:pt idx="3">
                  <c:v>20</c:v>
                </c:pt>
                <c:pt idx="4">
                  <c:v>25</c:v>
                </c:pt>
                <c:pt idx="5">
                  <c:v>25</c:v>
                </c:pt>
                <c:pt idx="6">
                  <c:v>21</c:v>
                </c:pt>
                <c:pt idx="7">
                  <c:v>28</c:v>
                </c:pt>
                <c:pt idx="8">
                  <c:v>27</c:v>
                </c:pt>
                <c:pt idx="9">
                  <c:v>25</c:v>
                </c:pt>
                <c:pt idx="10">
                  <c:v>55</c:v>
                </c:pt>
                <c:pt idx="11">
                  <c:v>25</c:v>
                </c:pt>
              </c:numCache>
            </c:numRef>
          </c:val>
          <c:extLst>
            <c:ext xmlns:c16="http://schemas.microsoft.com/office/drawing/2014/chart" uri="{C3380CC4-5D6E-409C-BE32-E72D297353CC}">
              <c16:uniqueId val="{00000000-FA77-42BF-A07E-D114DB42F99B}"/>
            </c:ext>
          </c:extLst>
        </c:ser>
        <c:ser>
          <c:idx val="1"/>
          <c:order val="1"/>
          <c:tx>
            <c:strRef>
              <c:f>Sheet1!$C$1</c:f>
              <c:strCache>
                <c:ptCount val="1"/>
                <c:pt idx="0">
                  <c:v>CARBON DIOXIDE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20</c:v>
                </c:pt>
                <c:pt idx="1">
                  <c:v>10</c:v>
                </c:pt>
                <c:pt idx="2">
                  <c:v>30</c:v>
                </c:pt>
                <c:pt idx="3">
                  <c:v>25</c:v>
                </c:pt>
                <c:pt idx="4">
                  <c:v>35</c:v>
                </c:pt>
                <c:pt idx="5">
                  <c:v>35</c:v>
                </c:pt>
                <c:pt idx="6">
                  <c:v>45</c:v>
                </c:pt>
                <c:pt idx="7">
                  <c:v>35</c:v>
                </c:pt>
                <c:pt idx="8">
                  <c:v>25</c:v>
                </c:pt>
                <c:pt idx="9">
                  <c:v>20</c:v>
                </c:pt>
                <c:pt idx="10">
                  <c:v>10</c:v>
                </c:pt>
                <c:pt idx="11">
                  <c:v>20</c:v>
                </c:pt>
              </c:numCache>
            </c:numRef>
          </c:val>
          <c:extLst>
            <c:ext xmlns:c16="http://schemas.microsoft.com/office/drawing/2014/chart" uri="{C3380CC4-5D6E-409C-BE32-E72D297353CC}">
              <c16:uniqueId val="{00000001-FA77-42BF-A07E-D114DB42F99B}"/>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87D3F-A4A0-4911-B024-39A0B5DFA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3272</Words>
  <Characters>18653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python-docx</dc:creator>
  <dc:description>generated by python-docx</dc:description>
  <cp:lastModifiedBy>Dr. Hashibul Islam</cp:lastModifiedBy>
  <cp:revision>10</cp:revision>
  <dcterms:created xsi:type="dcterms:W3CDTF">2025-09-16T07:40:00Z</dcterms:created>
  <dcterms:modified xsi:type="dcterms:W3CDTF">2025-09-20T17:30:00Z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b71218b86dda4229a7fb136e21885e30</vt:lpwstr>
  </property>
  <property fmtid="{D5CDD505-2E9C-101B-9397-08002B2CF9AE}" pid="3" name="GrammarlyDocumentId">
    <vt:lpwstr>c85ef184-7337-4bb9-aae6-ca64d4b834f4</vt:lpwstr>
  </property>
</Properties>
</file>