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55E0" w14:textId="77777777" w:rsidR="00A77B3E" w:rsidRDefault="00F100B6" w:rsidP="004D4ED2">
      <w:pPr>
        <w:spacing w:line="360" w:lineRule="auto"/>
        <w:jc w:val="both"/>
        <w:rPr>
          <w:color w:val="000000" w:themeColor="text1"/>
          <w:sz w:val="28"/>
          <w:szCs w:val="28"/>
        </w:rPr>
      </w:pPr>
      <w:r w:rsidRPr="004D4ED2">
        <w:rPr>
          <w:color w:val="000000" w:themeColor="text1"/>
          <w:sz w:val="28"/>
          <w:szCs w:val="28"/>
        </w:rPr>
        <w:t xml:space="preserve">A review and meta-analysis on the impact of </w:t>
      </w:r>
      <w:proofErr w:type="spellStart"/>
      <w:r w:rsidRPr="004D4ED2">
        <w:rPr>
          <w:color w:val="000000" w:themeColor="text1"/>
          <w:sz w:val="28"/>
          <w:szCs w:val="28"/>
        </w:rPr>
        <w:t>micropollutants</w:t>
      </w:r>
      <w:proofErr w:type="spellEnd"/>
      <w:r w:rsidRPr="004D4ED2">
        <w:rPr>
          <w:color w:val="000000" w:themeColor="text1"/>
          <w:sz w:val="28"/>
          <w:szCs w:val="28"/>
        </w:rPr>
        <w:t xml:space="preserve"> on aggressive behaviors of crustaceans</w:t>
      </w:r>
    </w:p>
    <w:p w14:paraId="6B7B8330" w14:textId="77777777" w:rsidR="00EA1410" w:rsidRPr="004D4ED2" w:rsidRDefault="00EA1410" w:rsidP="004D4ED2">
      <w:pPr>
        <w:spacing w:line="360" w:lineRule="auto"/>
        <w:jc w:val="both"/>
        <w:rPr>
          <w:color w:val="000000" w:themeColor="text1"/>
          <w:sz w:val="28"/>
          <w:szCs w:val="28"/>
        </w:rPr>
      </w:pPr>
    </w:p>
    <w:p w14:paraId="11844B44" w14:textId="77777777" w:rsidR="00A77B3E" w:rsidRPr="004D4ED2" w:rsidRDefault="00A77B3E" w:rsidP="004D4ED2">
      <w:pPr>
        <w:spacing w:line="360" w:lineRule="auto"/>
        <w:jc w:val="both"/>
        <w:rPr>
          <w:color w:val="000000" w:themeColor="text1"/>
          <w:sz w:val="28"/>
          <w:szCs w:val="28"/>
        </w:rPr>
      </w:pPr>
    </w:p>
    <w:p w14:paraId="3D4EACC9" w14:textId="65FF9BB8"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Abstract</w:t>
      </w:r>
    </w:p>
    <w:p w14:paraId="0E476ADC"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The aquatic environment is constantly polluted by point and non-point sources, endangering animals in these environments. For example, </w:t>
      </w:r>
      <w:proofErr w:type="spellStart"/>
      <w:r w:rsidRPr="004D4ED2">
        <w:rPr>
          <w:color w:val="000000" w:themeColor="text1"/>
          <w:sz w:val="28"/>
          <w:szCs w:val="28"/>
        </w:rPr>
        <w:t>micropollutants</w:t>
      </w:r>
      <w:proofErr w:type="spellEnd"/>
      <w:r w:rsidRPr="004D4ED2">
        <w:rPr>
          <w:color w:val="000000" w:themeColor="text1"/>
          <w:sz w:val="28"/>
          <w:szCs w:val="28"/>
        </w:rPr>
        <w:t xml:space="preserve"> and heavy metals have been demonstrated to influence the physiology and behavior of crustaceans. The aggressive behavior of crustaceans tends to change as an early warning sign of environmental contamination. A meta-analysis of the effects of </w:t>
      </w:r>
      <w:proofErr w:type="spellStart"/>
      <w:r w:rsidRPr="004D4ED2">
        <w:rPr>
          <w:color w:val="000000" w:themeColor="text1"/>
          <w:sz w:val="28"/>
          <w:szCs w:val="28"/>
        </w:rPr>
        <w:t>micropollutants</w:t>
      </w:r>
      <w:proofErr w:type="spellEnd"/>
      <w:r w:rsidRPr="004D4ED2">
        <w:rPr>
          <w:color w:val="000000" w:themeColor="text1"/>
          <w:sz w:val="28"/>
          <w:szCs w:val="28"/>
        </w:rPr>
        <w:t xml:space="preserve"> and heavy metals on crab behavior was conducted. The analysis concluded that aggressive behavior as an early warning sign for environmental contamination should be performed with caution because the levels required to trigger a response in some species are frequently insignificant regarding environmental relevance. Regardless of these limitations, it is evident that pollutants have a significant but variable impact on aggressive crustacean behavior, affecting their chances of survival in contaminated aquatic ecosystems. When the size effect values and standard mean differences in confidence intervals of the different investigations were considered, the review revealed a high heterogeneity of published results and a tendency to find publication bias. Future research should link environmental neuroscience to recorded changes in aggression within the context of dynamic behavioral mechanisms, and standardize the techniques utilized to investigate crustacean behavior during </w:t>
      </w:r>
      <w:proofErr w:type="spellStart"/>
      <w:r w:rsidRPr="004D4ED2">
        <w:rPr>
          <w:color w:val="000000" w:themeColor="text1"/>
          <w:sz w:val="28"/>
          <w:szCs w:val="28"/>
        </w:rPr>
        <w:t>ecotoxicological</w:t>
      </w:r>
      <w:proofErr w:type="spellEnd"/>
      <w:r w:rsidRPr="004D4ED2">
        <w:rPr>
          <w:color w:val="000000" w:themeColor="text1"/>
          <w:sz w:val="28"/>
          <w:szCs w:val="28"/>
        </w:rPr>
        <w:t xml:space="preserve"> assessments.</w:t>
      </w:r>
    </w:p>
    <w:p w14:paraId="64DB2ED2" w14:textId="77777777" w:rsidR="00A77B3E" w:rsidRPr="004D4ED2" w:rsidRDefault="00A77B3E" w:rsidP="004D4ED2">
      <w:pPr>
        <w:spacing w:line="360" w:lineRule="auto"/>
        <w:jc w:val="both"/>
        <w:rPr>
          <w:color w:val="000000" w:themeColor="text1"/>
          <w:sz w:val="28"/>
          <w:szCs w:val="28"/>
        </w:rPr>
      </w:pPr>
    </w:p>
    <w:p w14:paraId="47A01145" w14:textId="4065549A" w:rsidR="00A77B3E" w:rsidRPr="004D4ED2" w:rsidRDefault="0013220B" w:rsidP="004D4ED2">
      <w:pPr>
        <w:tabs>
          <w:tab w:val="left" w:pos="6065"/>
        </w:tabs>
        <w:spacing w:line="360" w:lineRule="auto"/>
        <w:jc w:val="both"/>
        <w:rPr>
          <w:color w:val="000000" w:themeColor="text1"/>
          <w:sz w:val="28"/>
          <w:szCs w:val="28"/>
        </w:rPr>
      </w:pPr>
      <w:r w:rsidRPr="0013220B">
        <w:rPr>
          <w:color w:val="FF0000"/>
          <w:sz w:val="28"/>
          <w:szCs w:val="28"/>
        </w:rPr>
        <w:t>Key words</w:t>
      </w:r>
      <w:r>
        <w:rPr>
          <w:color w:val="FF0000"/>
          <w:sz w:val="28"/>
          <w:szCs w:val="28"/>
        </w:rPr>
        <w:t>?</w:t>
      </w:r>
      <w:r w:rsidR="004D4ED2">
        <w:rPr>
          <w:color w:val="000000" w:themeColor="text1"/>
          <w:sz w:val="28"/>
          <w:szCs w:val="28"/>
        </w:rPr>
        <w:tab/>
      </w:r>
    </w:p>
    <w:p w14:paraId="62C35BE1" w14:textId="77777777" w:rsidR="00A77B3E" w:rsidRPr="004D4ED2" w:rsidRDefault="00A77B3E" w:rsidP="004D4ED2">
      <w:pPr>
        <w:spacing w:line="360" w:lineRule="auto"/>
        <w:jc w:val="both"/>
        <w:rPr>
          <w:color w:val="000000" w:themeColor="text1"/>
          <w:sz w:val="28"/>
          <w:szCs w:val="28"/>
        </w:rPr>
      </w:pPr>
    </w:p>
    <w:p w14:paraId="7BA8C271" w14:textId="77777777" w:rsidR="00A77B3E" w:rsidRPr="004D4ED2" w:rsidRDefault="00A77B3E" w:rsidP="004D4ED2">
      <w:pPr>
        <w:spacing w:line="360" w:lineRule="auto"/>
        <w:jc w:val="both"/>
        <w:rPr>
          <w:color w:val="000000" w:themeColor="text1"/>
          <w:sz w:val="28"/>
          <w:szCs w:val="28"/>
        </w:rPr>
      </w:pPr>
    </w:p>
    <w:p w14:paraId="143864FC" w14:textId="77777777" w:rsidR="00A77B3E" w:rsidRPr="004D4ED2" w:rsidRDefault="00A77B3E" w:rsidP="004D4ED2">
      <w:pPr>
        <w:spacing w:line="360" w:lineRule="auto"/>
        <w:jc w:val="both"/>
        <w:rPr>
          <w:color w:val="000000" w:themeColor="text1"/>
          <w:sz w:val="28"/>
          <w:szCs w:val="28"/>
        </w:rPr>
      </w:pPr>
    </w:p>
    <w:p w14:paraId="5286DBCE" w14:textId="77777777" w:rsidR="00A77B3E" w:rsidRPr="004D4ED2" w:rsidRDefault="00A77B3E" w:rsidP="004D4ED2">
      <w:pPr>
        <w:spacing w:line="360" w:lineRule="auto"/>
        <w:jc w:val="both"/>
        <w:rPr>
          <w:color w:val="000000" w:themeColor="text1"/>
          <w:sz w:val="28"/>
          <w:szCs w:val="28"/>
        </w:rPr>
      </w:pPr>
    </w:p>
    <w:p w14:paraId="1AAB59E3" w14:textId="77777777" w:rsidR="00A77B3E" w:rsidRPr="004D4ED2" w:rsidRDefault="00A77B3E" w:rsidP="004D4ED2">
      <w:pPr>
        <w:spacing w:line="360" w:lineRule="auto"/>
        <w:jc w:val="both"/>
        <w:rPr>
          <w:color w:val="000000" w:themeColor="text1"/>
          <w:sz w:val="28"/>
          <w:szCs w:val="28"/>
        </w:rPr>
      </w:pPr>
    </w:p>
    <w:p w14:paraId="3AA40A18" w14:textId="77777777" w:rsidR="00A77B3E" w:rsidRPr="004D4ED2" w:rsidRDefault="00A77B3E" w:rsidP="004D4ED2">
      <w:pPr>
        <w:spacing w:line="360" w:lineRule="auto"/>
        <w:jc w:val="both"/>
        <w:rPr>
          <w:color w:val="000000" w:themeColor="text1"/>
          <w:sz w:val="28"/>
          <w:szCs w:val="28"/>
        </w:rPr>
      </w:pPr>
    </w:p>
    <w:p w14:paraId="42241023" w14:textId="77777777" w:rsidR="00A77B3E" w:rsidRPr="004D4ED2" w:rsidRDefault="00A77B3E" w:rsidP="004D4ED2">
      <w:pPr>
        <w:spacing w:line="360" w:lineRule="auto"/>
        <w:jc w:val="both"/>
        <w:rPr>
          <w:color w:val="000000" w:themeColor="text1"/>
          <w:sz w:val="28"/>
          <w:szCs w:val="28"/>
        </w:rPr>
      </w:pPr>
    </w:p>
    <w:p w14:paraId="7C8BEB3F"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Introduction</w:t>
      </w:r>
    </w:p>
    <w:p w14:paraId="1ECCDC9B"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Life depends on water, which covers a large portion of the Earth’s surface and is home to various plants, animals, and microorganisms. Unfortunately, because dangerous compounds emitted by anthropogenic activities sink to the bottom of the aquatic environment, rivers, reservoirs, lakes, and oceans are plagued by chemicals and other pollutants. Environmental pollution caused by human activity can harm biodiversity (</w:t>
      </w:r>
      <w:proofErr w:type="spellStart"/>
      <w:r w:rsidRPr="004D4ED2">
        <w:rPr>
          <w:color w:val="000000" w:themeColor="text1"/>
          <w:sz w:val="28"/>
          <w:szCs w:val="28"/>
        </w:rPr>
        <w:t>Butnariu</w:t>
      </w:r>
      <w:proofErr w:type="spellEnd"/>
      <w:r w:rsidRPr="004D4ED2">
        <w:rPr>
          <w:color w:val="000000" w:themeColor="text1"/>
          <w:sz w:val="28"/>
          <w:szCs w:val="28"/>
        </w:rPr>
        <w:t xml:space="preserve"> 2022). Since anthropogenic chemicals are pervasive in the ecosystem, they are likely to reduce aquatic diversity and cause public health problems. Recently, </w:t>
      </w:r>
      <w:proofErr w:type="spellStart"/>
      <w:r w:rsidRPr="004D4ED2">
        <w:rPr>
          <w:color w:val="000000" w:themeColor="text1"/>
          <w:sz w:val="28"/>
          <w:szCs w:val="28"/>
        </w:rPr>
        <w:t>micropollutants</w:t>
      </w:r>
      <w:proofErr w:type="spellEnd"/>
      <w:r w:rsidRPr="004D4ED2">
        <w:rPr>
          <w:color w:val="000000" w:themeColor="text1"/>
          <w:sz w:val="28"/>
          <w:szCs w:val="28"/>
        </w:rPr>
        <w:t xml:space="preserve">, which consist of natural and anthropogenic substances, including pharmaceuticals, antibiotics, personal care products, pesticides, and industrial chemicals detected in the µg to below ng/l range, have raised global concern for their potentially damaging environmental impacts (Kim and </w:t>
      </w:r>
      <w:proofErr w:type="spellStart"/>
      <w:r w:rsidRPr="004D4ED2">
        <w:rPr>
          <w:color w:val="000000" w:themeColor="text1"/>
          <w:sz w:val="28"/>
          <w:szCs w:val="28"/>
        </w:rPr>
        <w:t>Zoh</w:t>
      </w:r>
      <w:proofErr w:type="spellEnd"/>
      <w:r w:rsidRPr="004D4ED2">
        <w:rPr>
          <w:color w:val="000000" w:themeColor="text1"/>
          <w:sz w:val="28"/>
          <w:szCs w:val="28"/>
        </w:rPr>
        <w:t xml:space="preserve">, 2016). </w:t>
      </w:r>
      <w:proofErr w:type="spellStart"/>
      <w:r w:rsidRPr="004D4ED2">
        <w:rPr>
          <w:color w:val="000000" w:themeColor="text1"/>
          <w:sz w:val="28"/>
          <w:szCs w:val="28"/>
        </w:rPr>
        <w:t>Micropollutants</w:t>
      </w:r>
      <w:proofErr w:type="spellEnd"/>
      <w:r w:rsidRPr="004D4ED2">
        <w:rPr>
          <w:color w:val="000000" w:themeColor="text1"/>
          <w:sz w:val="28"/>
          <w:szCs w:val="28"/>
        </w:rPr>
        <w:t xml:space="preserve"> are ubiquitous and are generally meant to improve human life, but they are poorly removed during the wastewater treatment process, which means that they commonly end up in natural waters. Despite their presence in the environment at sub-microgram levels, they have been recognized to possess high biological activities, which have been investigated using multiple </w:t>
      </w:r>
      <w:proofErr w:type="spellStart"/>
      <w:r w:rsidRPr="004D4ED2">
        <w:rPr>
          <w:color w:val="000000" w:themeColor="text1"/>
          <w:sz w:val="28"/>
          <w:szCs w:val="28"/>
        </w:rPr>
        <w:t>ecotoxicological</w:t>
      </w:r>
      <w:proofErr w:type="spellEnd"/>
      <w:r w:rsidRPr="004D4ED2">
        <w:rPr>
          <w:color w:val="000000" w:themeColor="text1"/>
          <w:sz w:val="28"/>
          <w:szCs w:val="28"/>
        </w:rPr>
        <w:t xml:space="preserve"> endpoints (</w:t>
      </w:r>
      <w:proofErr w:type="spellStart"/>
      <w:r w:rsidRPr="004D4ED2">
        <w:rPr>
          <w:color w:val="000000" w:themeColor="text1"/>
          <w:sz w:val="28"/>
          <w:szCs w:val="28"/>
        </w:rPr>
        <w:t>Macova</w:t>
      </w:r>
      <w:proofErr w:type="spellEnd"/>
      <w:r w:rsidRPr="004D4ED2">
        <w:rPr>
          <w:color w:val="000000" w:themeColor="text1"/>
          <w:sz w:val="28"/>
          <w:szCs w:val="28"/>
        </w:rPr>
        <w:t xml:space="preserve"> et al. 2010).</w:t>
      </w:r>
    </w:p>
    <w:p w14:paraId="3437DE95"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Given the current levels of industrialization and growth in the pharmaceutical, agricultural, and medical industries, coupled with the increasing human population, there are various routes by which heavy metals and </w:t>
      </w:r>
      <w:proofErr w:type="spellStart"/>
      <w:r w:rsidRPr="004D4ED2">
        <w:rPr>
          <w:color w:val="000000" w:themeColor="text1"/>
          <w:sz w:val="28"/>
          <w:szCs w:val="28"/>
        </w:rPr>
        <w:t>micropollutants</w:t>
      </w:r>
      <w:proofErr w:type="spellEnd"/>
      <w:r w:rsidRPr="004D4ED2">
        <w:rPr>
          <w:color w:val="000000" w:themeColor="text1"/>
          <w:sz w:val="28"/>
          <w:szCs w:val="28"/>
        </w:rPr>
        <w:t xml:space="preserve"> enter aquatic environments, for instance, via municipal sewer systems or with runoff from fields. General resistance to degradation makes wastewater one of the primary sources of </w:t>
      </w:r>
      <w:proofErr w:type="spellStart"/>
      <w:r w:rsidRPr="004D4ED2">
        <w:rPr>
          <w:color w:val="000000" w:themeColor="text1"/>
          <w:sz w:val="28"/>
          <w:szCs w:val="28"/>
        </w:rPr>
        <w:t>micropollutants</w:t>
      </w:r>
      <w:proofErr w:type="spellEnd"/>
      <w:r w:rsidRPr="004D4ED2">
        <w:rPr>
          <w:color w:val="000000" w:themeColor="text1"/>
          <w:sz w:val="28"/>
          <w:szCs w:val="28"/>
        </w:rPr>
        <w:t xml:space="preserve"> and heavy metals. Most current wastewater treatment plants cannot effectively remove them (Krishnan et al., 2021; </w:t>
      </w:r>
      <w:proofErr w:type="spellStart"/>
      <w:r w:rsidRPr="004D4ED2">
        <w:rPr>
          <w:color w:val="000000" w:themeColor="text1"/>
          <w:sz w:val="28"/>
          <w:szCs w:val="28"/>
        </w:rPr>
        <w:t>Macova</w:t>
      </w:r>
      <w:proofErr w:type="spellEnd"/>
      <w:r w:rsidRPr="004D4ED2">
        <w:rPr>
          <w:color w:val="000000" w:themeColor="text1"/>
          <w:sz w:val="28"/>
          <w:szCs w:val="28"/>
        </w:rPr>
        <w:t xml:space="preserve"> et al., 2010). Therefore, a vital part of the mitigation process is modern treatment technologies that utilize both abiotic and biotic methods. Additionally, it is necessary to compile information on the risk analysis of </w:t>
      </w:r>
      <w:proofErr w:type="spellStart"/>
      <w:r w:rsidRPr="004D4ED2">
        <w:rPr>
          <w:color w:val="000000" w:themeColor="text1"/>
          <w:sz w:val="28"/>
          <w:szCs w:val="28"/>
        </w:rPr>
        <w:t>microcontaminants</w:t>
      </w:r>
      <w:proofErr w:type="spellEnd"/>
      <w:r w:rsidRPr="004D4ED2">
        <w:rPr>
          <w:color w:val="000000" w:themeColor="text1"/>
          <w:sz w:val="28"/>
          <w:szCs w:val="28"/>
        </w:rPr>
        <w:t xml:space="preserve"> in the environment, particularly in aquatic environments used for multiple purposes. </w:t>
      </w:r>
    </w:p>
    <w:p w14:paraId="5E62BD6A"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Although widespread catastrophic pollutant events are uncommon, </w:t>
      </w:r>
      <w:proofErr w:type="spellStart"/>
      <w:r w:rsidRPr="004D4ED2">
        <w:rPr>
          <w:color w:val="000000" w:themeColor="text1"/>
          <w:sz w:val="28"/>
          <w:szCs w:val="28"/>
        </w:rPr>
        <w:t>sublethal</w:t>
      </w:r>
      <w:proofErr w:type="spellEnd"/>
      <w:r w:rsidRPr="004D4ED2">
        <w:rPr>
          <w:color w:val="000000" w:themeColor="text1"/>
          <w:sz w:val="28"/>
          <w:szCs w:val="28"/>
        </w:rPr>
        <w:t xml:space="preserve"> and chronic effects of exposure are frequent and can lead to decreased survival and reproductive success, both of which are crucial for the survival of aquatic animals (Wang et al., 2021). Among aquatic animals, micro- and macro-crustaceans are very sensitive to </w:t>
      </w:r>
      <w:proofErr w:type="spellStart"/>
      <w:r w:rsidRPr="004D4ED2">
        <w:rPr>
          <w:color w:val="000000" w:themeColor="text1"/>
          <w:sz w:val="28"/>
          <w:szCs w:val="28"/>
        </w:rPr>
        <w:t>micropollutants</w:t>
      </w:r>
      <w:proofErr w:type="spellEnd"/>
      <w:r w:rsidRPr="004D4ED2">
        <w:rPr>
          <w:color w:val="000000" w:themeColor="text1"/>
          <w:sz w:val="28"/>
          <w:szCs w:val="28"/>
        </w:rPr>
        <w:t xml:space="preserve"> and heavy metals and have been repeatedly captured in several studies and reviews (</w:t>
      </w:r>
      <w:proofErr w:type="spellStart"/>
      <w:r w:rsidRPr="004D4ED2">
        <w:rPr>
          <w:color w:val="000000" w:themeColor="text1"/>
          <w:sz w:val="28"/>
          <w:szCs w:val="28"/>
        </w:rPr>
        <w:t>Bonsignore</w:t>
      </w:r>
      <w:proofErr w:type="spellEnd"/>
      <w:r w:rsidRPr="004D4ED2">
        <w:rPr>
          <w:color w:val="000000" w:themeColor="text1"/>
          <w:sz w:val="28"/>
          <w:szCs w:val="28"/>
        </w:rPr>
        <w:t xml:space="preserve"> et al., 2018; Busch et al., 2016; Jeon et al., 2013). Crustaceans comprise a broad and varied group of arthropods, including amphipods, barnacles, branchiopods, copepods, decapods, fish lice, isopods, krill, mantis shrimp, </w:t>
      </w:r>
      <w:proofErr w:type="spellStart"/>
      <w:r w:rsidRPr="004D4ED2">
        <w:rPr>
          <w:color w:val="000000" w:themeColor="text1"/>
          <w:sz w:val="28"/>
          <w:szCs w:val="28"/>
        </w:rPr>
        <w:t>remipedes</w:t>
      </w:r>
      <w:proofErr w:type="spellEnd"/>
      <w:r w:rsidRPr="004D4ED2">
        <w:rPr>
          <w:color w:val="000000" w:themeColor="text1"/>
          <w:sz w:val="28"/>
          <w:szCs w:val="28"/>
        </w:rPr>
        <w:t>, and seed shrimps (</w:t>
      </w:r>
      <w:proofErr w:type="spellStart"/>
      <w:r w:rsidRPr="004D4ED2">
        <w:rPr>
          <w:color w:val="000000" w:themeColor="text1"/>
          <w:sz w:val="28"/>
          <w:szCs w:val="28"/>
        </w:rPr>
        <w:t>Rabet</w:t>
      </w:r>
      <w:proofErr w:type="spellEnd"/>
      <w:r w:rsidRPr="004D4ED2">
        <w:rPr>
          <w:color w:val="000000" w:themeColor="text1"/>
          <w:sz w:val="28"/>
          <w:szCs w:val="28"/>
        </w:rPr>
        <w:t xml:space="preserve">, 2021). Even in areas that appear to be free of pollution, pollutants have been detected in the tissues of several species or groups of crustaceans. They are known to </w:t>
      </w:r>
      <w:proofErr w:type="spellStart"/>
      <w:r w:rsidRPr="004D4ED2">
        <w:rPr>
          <w:color w:val="000000" w:themeColor="text1"/>
          <w:sz w:val="28"/>
          <w:szCs w:val="28"/>
        </w:rPr>
        <w:t>bioaccumulate</w:t>
      </w:r>
      <w:proofErr w:type="spellEnd"/>
      <w:r w:rsidRPr="004D4ED2">
        <w:rPr>
          <w:color w:val="000000" w:themeColor="text1"/>
          <w:sz w:val="28"/>
          <w:szCs w:val="28"/>
        </w:rPr>
        <w:t xml:space="preserve"> within tissues and can be passed down through generations, in addition to being transported and biomagnified across trophic levels (Jeon et al. 2013). To the best of our knowledge, pollutants impair the ecosystem health and overall well-being of crustaceans, even if pollution-induced extinction rates are unknown.</w:t>
      </w:r>
    </w:p>
    <w:p w14:paraId="0D0969B2"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Additionally, there is evidence that certain pollutants, particularly those that disrupt hormones, contribute to crustacean loss. Evidence suggests that pollutants are lowering many crustacean populations and modifying their evolutionary processes, in addition to placing some species on the verge of extinction (</w:t>
      </w:r>
      <w:proofErr w:type="spellStart"/>
      <w:r w:rsidRPr="004D4ED2">
        <w:rPr>
          <w:color w:val="000000" w:themeColor="text1"/>
          <w:sz w:val="28"/>
          <w:szCs w:val="28"/>
        </w:rPr>
        <w:t>Bundschuh</w:t>
      </w:r>
      <w:proofErr w:type="spellEnd"/>
      <w:r w:rsidRPr="004D4ED2">
        <w:rPr>
          <w:color w:val="000000" w:themeColor="text1"/>
          <w:sz w:val="28"/>
          <w:szCs w:val="28"/>
        </w:rPr>
        <w:t xml:space="preserve"> et al., 2011). The question then becomes: are there other early toxicological endpoints, such as behavioral alterations, that may significantly influence the survival and diversity of crustaceans in aquatic environments when exposure scenarios are chronic at low doses or acute at high concentrations? The objective of this study was to perform a systematic review and meta-analysis of aggressive behavior among crustacean populations during exposure to pollutants, such as </w:t>
      </w:r>
      <w:proofErr w:type="spellStart"/>
      <w:r w:rsidRPr="004D4ED2">
        <w:rPr>
          <w:color w:val="000000" w:themeColor="text1"/>
          <w:sz w:val="28"/>
          <w:szCs w:val="28"/>
        </w:rPr>
        <w:t>micropollutants</w:t>
      </w:r>
      <w:proofErr w:type="spellEnd"/>
      <w:r w:rsidRPr="004D4ED2">
        <w:rPr>
          <w:color w:val="000000" w:themeColor="text1"/>
          <w:sz w:val="28"/>
          <w:szCs w:val="28"/>
        </w:rPr>
        <w:t xml:space="preserve"> and heavy metals.</w:t>
      </w:r>
    </w:p>
    <w:p w14:paraId="3D289181"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Aggressive behavior of crustaceans</w:t>
      </w:r>
    </w:p>
    <w:p w14:paraId="5862D269"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Behavior was described by Scott and </w:t>
      </w:r>
      <w:proofErr w:type="spellStart"/>
      <w:r w:rsidRPr="004D4ED2">
        <w:rPr>
          <w:color w:val="000000" w:themeColor="text1"/>
          <w:sz w:val="28"/>
          <w:szCs w:val="28"/>
        </w:rPr>
        <w:t>Sloman</w:t>
      </w:r>
      <w:proofErr w:type="spellEnd"/>
      <w:r w:rsidRPr="004D4ED2">
        <w:rPr>
          <w:color w:val="000000" w:themeColor="text1"/>
          <w:sz w:val="28"/>
          <w:szCs w:val="28"/>
        </w:rPr>
        <w:t xml:space="preserve"> (2004) as both an adaptive and occasionally maladaptive reaction to environmental cues and a fitness test. Therefore, it is essential for the existence and survival of the population and community of an organism. Additionally, from an ecological perspective, it is intuitively clear how crucial it is for population maintenance. Numerous investigations have shown that contaminants severely affect various behaviors in crustaceans (Al-</w:t>
      </w:r>
      <w:proofErr w:type="spellStart"/>
      <w:r w:rsidRPr="004D4ED2">
        <w:rPr>
          <w:color w:val="000000" w:themeColor="text1"/>
          <w:sz w:val="28"/>
          <w:szCs w:val="28"/>
        </w:rPr>
        <w:t>Badran</w:t>
      </w:r>
      <w:proofErr w:type="spellEnd"/>
      <w:r w:rsidRPr="004D4ED2">
        <w:rPr>
          <w:color w:val="000000" w:themeColor="text1"/>
          <w:sz w:val="28"/>
          <w:szCs w:val="28"/>
        </w:rPr>
        <w:t xml:space="preserve"> et al., 2019; </w:t>
      </w:r>
      <w:proofErr w:type="spellStart"/>
      <w:r w:rsidRPr="004D4ED2">
        <w:rPr>
          <w:color w:val="000000" w:themeColor="text1"/>
          <w:sz w:val="28"/>
          <w:szCs w:val="28"/>
        </w:rPr>
        <w:t>Chabenat</w:t>
      </w:r>
      <w:proofErr w:type="spellEnd"/>
      <w:r w:rsidRPr="004D4ED2">
        <w:rPr>
          <w:color w:val="000000" w:themeColor="text1"/>
          <w:sz w:val="28"/>
          <w:szCs w:val="28"/>
        </w:rPr>
        <w:t xml:space="preserve"> et al., 2021; </w:t>
      </w:r>
      <w:proofErr w:type="spellStart"/>
      <w:r w:rsidRPr="004D4ED2">
        <w:rPr>
          <w:color w:val="000000" w:themeColor="text1"/>
          <w:sz w:val="28"/>
          <w:szCs w:val="28"/>
        </w:rPr>
        <w:t>Felten</w:t>
      </w:r>
      <w:proofErr w:type="spellEnd"/>
      <w:r w:rsidRPr="004D4ED2">
        <w:rPr>
          <w:color w:val="000000" w:themeColor="text1"/>
          <w:sz w:val="28"/>
          <w:szCs w:val="28"/>
        </w:rPr>
        <w:t xml:space="preserve"> et al., 2008). Despite individual studies demonstrating that pollutants harm crustacean behavior, no analysis has attempted to explain the broader implications of these modifications on the health and well-being of aquatic ecosystems. Despite the recent growth in the subject, behavioral ecotoxicology has not been extensively studied (</w:t>
      </w:r>
      <w:proofErr w:type="spellStart"/>
      <w:r w:rsidRPr="004D4ED2">
        <w:rPr>
          <w:color w:val="000000" w:themeColor="text1"/>
          <w:sz w:val="28"/>
          <w:szCs w:val="28"/>
        </w:rPr>
        <w:t>Brodin</w:t>
      </w:r>
      <w:proofErr w:type="spellEnd"/>
      <w:r w:rsidRPr="004D4ED2">
        <w:rPr>
          <w:color w:val="000000" w:themeColor="text1"/>
          <w:sz w:val="28"/>
          <w:szCs w:val="28"/>
        </w:rPr>
        <w:t xml:space="preserve"> et al., 2014; Moreira et al., 2022).</w:t>
      </w:r>
    </w:p>
    <w:p w14:paraId="622EEA19"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The ability to predict various levels of biological outcomes is one of the advantages of including behavior in </w:t>
      </w:r>
      <w:proofErr w:type="spellStart"/>
      <w:r w:rsidRPr="004D4ED2">
        <w:rPr>
          <w:color w:val="000000" w:themeColor="text1"/>
          <w:sz w:val="28"/>
          <w:szCs w:val="28"/>
        </w:rPr>
        <w:t>ecotoxicological</w:t>
      </w:r>
      <w:proofErr w:type="spellEnd"/>
      <w:r w:rsidRPr="004D4ED2">
        <w:rPr>
          <w:color w:val="000000" w:themeColor="text1"/>
          <w:sz w:val="28"/>
          <w:szCs w:val="28"/>
        </w:rPr>
        <w:t xml:space="preserve"> investigations (Scott &amp; </w:t>
      </w:r>
      <w:proofErr w:type="spellStart"/>
      <w:r w:rsidRPr="004D4ED2">
        <w:rPr>
          <w:color w:val="000000" w:themeColor="text1"/>
          <w:sz w:val="28"/>
          <w:szCs w:val="28"/>
        </w:rPr>
        <w:t>Sloman</w:t>
      </w:r>
      <w:proofErr w:type="spellEnd"/>
      <w:r w:rsidRPr="004D4ED2">
        <w:rPr>
          <w:color w:val="000000" w:themeColor="text1"/>
          <w:sz w:val="28"/>
          <w:szCs w:val="28"/>
        </w:rPr>
        <w:t xml:space="preserve">, 2004; Weis, 2014). Additionally, behavior is one of the most sensitive indicators of exposure impact, because there are observable changes in behavior at </w:t>
      </w:r>
      <w:proofErr w:type="spellStart"/>
      <w:r w:rsidRPr="004D4ED2">
        <w:rPr>
          <w:color w:val="000000" w:themeColor="text1"/>
          <w:sz w:val="28"/>
          <w:szCs w:val="28"/>
        </w:rPr>
        <w:t>sublethal</w:t>
      </w:r>
      <w:proofErr w:type="spellEnd"/>
      <w:r w:rsidRPr="004D4ED2">
        <w:rPr>
          <w:color w:val="000000" w:themeColor="text1"/>
          <w:sz w:val="28"/>
          <w:szCs w:val="28"/>
        </w:rPr>
        <w:t xml:space="preserve"> concentrations (Peterson et al., 2007; Peterson et al., 2017). Given these advantages, the current review concentrates on aggression, a critical behavioral feature, to provide an early indicator of toxins in the aquatic environment. Toxicologists may observe reactions in aggressive behavior before they do so in other phenotypes or the genome, since this behavior is constantly changing and adapting. This method is noninvasive, affordable, and does not always require a significant quantity of specialized equipment (</w:t>
      </w:r>
      <w:proofErr w:type="spellStart"/>
      <w:r w:rsidRPr="004D4ED2">
        <w:rPr>
          <w:color w:val="000000" w:themeColor="text1"/>
          <w:sz w:val="28"/>
          <w:szCs w:val="28"/>
        </w:rPr>
        <w:t>Hellou</w:t>
      </w:r>
      <w:proofErr w:type="spellEnd"/>
      <w:r w:rsidRPr="004D4ED2">
        <w:rPr>
          <w:color w:val="000000" w:themeColor="text1"/>
          <w:sz w:val="28"/>
          <w:szCs w:val="28"/>
        </w:rPr>
        <w:t>, 2011).</w:t>
      </w:r>
    </w:p>
    <w:p w14:paraId="3CD7A6C3"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We acknowledge that there are some restrictions on employing this behavior in ecotoxicology. For instance, aggressive behavior can be flexible, making its analysis more time-consuming, less reproducible, and potentially more variable than physiological examinations. However, it is important to remember that physiological measurements frequently have similar limitations. Despite these drawbacks, aggressive behavior can be seen as a flexible reaction to an environmental stressor that helps crustaceans survive in changing and polluted ecosystems. In addition to other behavioral changes observed in crustaceans, aggressive behavior can be used to study how anthropogenic chemicals affect the populations and communities of crustaceans and how these changes may have a domino effect on the overall health of aquatic ecosystems. By including several levels of biological structures, this strategy guarantees the dissemination of knowledge about conservation and sustainability.</w:t>
      </w:r>
    </w:p>
    <w:p w14:paraId="38254CF9"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Resource holding potential, resource value, and aggressiveness are three attributes hypothesized to be correlated in game theory models of aggressive conflict behavior (Hurd, 2006). When the two species share a place and scarce resources, conflicts arise over which animals receive priority in terms of control and access. Most of the time, these disputes are settled through battles, fights, threats, and other violent actions. Individuals frequently engage in aggressive behavior in social connections, known as social dominance. Individuals engage in a well-researched sequential sequence of exchanges with the ability of either party to end the interaction or contest at any point (</w:t>
      </w:r>
      <w:proofErr w:type="spellStart"/>
      <w:r w:rsidRPr="004D4ED2">
        <w:rPr>
          <w:color w:val="000000" w:themeColor="text1"/>
          <w:sz w:val="28"/>
          <w:szCs w:val="28"/>
        </w:rPr>
        <w:t>Bierbower</w:t>
      </w:r>
      <w:proofErr w:type="spellEnd"/>
      <w:r w:rsidRPr="004D4ED2">
        <w:rPr>
          <w:color w:val="000000" w:themeColor="text1"/>
          <w:sz w:val="28"/>
          <w:szCs w:val="28"/>
        </w:rPr>
        <w:t xml:space="preserve"> et al., 2013). Conspecifics frequently engage in antagonistic interactions that culminate in dominance, with one winning by forcing the other away and the other losing by retreating. The winner and loser effects can occur during agonistic interactions between animals. If an animal “wins” an agonistic conflict, they become dominant, and if they “lose,” they become subordinate. These exchanges affect future encounters, increasing the possibility of winning and losing (</w:t>
      </w:r>
      <w:proofErr w:type="spellStart"/>
      <w:r w:rsidRPr="004D4ED2">
        <w:rPr>
          <w:color w:val="000000" w:themeColor="text1"/>
          <w:sz w:val="28"/>
          <w:szCs w:val="28"/>
        </w:rPr>
        <w:t>Kravitz</w:t>
      </w:r>
      <w:proofErr w:type="spellEnd"/>
      <w:r w:rsidRPr="004D4ED2">
        <w:rPr>
          <w:color w:val="000000" w:themeColor="text1"/>
          <w:sz w:val="28"/>
          <w:szCs w:val="28"/>
        </w:rPr>
        <w:t xml:space="preserve"> and Huber, 2003; Weis, 2010).  Altered aggressive behavior can have repercussions not only for individuals but also for the viability of populations and survival of species. Changes in competitive ability can affect population dynamics by influencing key demographic parameters, resulting in a population decline. Such changes can affect species interactions and affect the structure and function of the ecological communities they inhabit.</w:t>
      </w:r>
    </w:p>
    <w:p w14:paraId="0A06C6E6" w14:textId="77777777" w:rsidR="00A77B3E" w:rsidRPr="004D4ED2" w:rsidRDefault="00A77B3E" w:rsidP="004D4ED2">
      <w:pPr>
        <w:spacing w:line="360" w:lineRule="auto"/>
        <w:jc w:val="both"/>
        <w:rPr>
          <w:color w:val="000000" w:themeColor="text1"/>
          <w:sz w:val="28"/>
          <w:szCs w:val="28"/>
        </w:rPr>
      </w:pPr>
    </w:p>
    <w:p w14:paraId="4109223F"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Methodology</w:t>
      </w:r>
    </w:p>
    <w:p w14:paraId="6E40FCB4" w14:textId="6A03DA7F"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How reliable is aggressive or agonistic behavior an important early behavioral endpoint for </w:t>
      </w:r>
      <w:proofErr w:type="spellStart"/>
      <w:r w:rsidRPr="004D4ED2">
        <w:rPr>
          <w:color w:val="000000" w:themeColor="text1"/>
          <w:sz w:val="28"/>
          <w:szCs w:val="28"/>
        </w:rPr>
        <w:t>ecotoxicological</w:t>
      </w:r>
      <w:proofErr w:type="spellEnd"/>
      <w:r w:rsidRPr="004D4ED2">
        <w:rPr>
          <w:color w:val="000000" w:themeColor="text1"/>
          <w:sz w:val="28"/>
          <w:szCs w:val="28"/>
        </w:rPr>
        <w:t xml:space="preserve"> investigations? </w:t>
      </w:r>
    </w:p>
    <w:p w14:paraId="4E2B81B2" w14:textId="4B9F13EC"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A systematic search and meta-analysis </w:t>
      </w:r>
      <w:r w:rsidR="007444D4">
        <w:rPr>
          <w:color w:val="000000" w:themeColor="text1"/>
          <w:sz w:val="28"/>
          <w:szCs w:val="28"/>
        </w:rPr>
        <w:t>were</w:t>
      </w:r>
      <w:r w:rsidRPr="004D4ED2">
        <w:rPr>
          <w:color w:val="000000" w:themeColor="text1"/>
          <w:sz w:val="28"/>
          <w:szCs w:val="28"/>
        </w:rPr>
        <w:t xml:space="preserve"> conducted following the PRISMA criteria to assess whether pollutants significantly impact the aggressive behavior of crustaceans (</w:t>
      </w:r>
      <w:proofErr w:type="spellStart"/>
      <w:r w:rsidRPr="004D4ED2">
        <w:rPr>
          <w:color w:val="000000" w:themeColor="text1"/>
          <w:sz w:val="28"/>
          <w:szCs w:val="28"/>
        </w:rPr>
        <w:t>Moher</w:t>
      </w:r>
      <w:proofErr w:type="spellEnd"/>
      <w:r w:rsidRPr="004D4ED2">
        <w:rPr>
          <w:color w:val="000000" w:themeColor="text1"/>
          <w:sz w:val="28"/>
          <w:szCs w:val="28"/>
        </w:rPr>
        <w:t xml:space="preserve"> et al., 2009). A systematic literature search was conducted in consecutive stages using keywords such as “</w:t>
      </w:r>
      <w:proofErr w:type="spellStart"/>
      <w:r w:rsidRPr="004D4ED2">
        <w:rPr>
          <w:color w:val="000000" w:themeColor="text1"/>
          <w:sz w:val="28"/>
          <w:szCs w:val="28"/>
        </w:rPr>
        <w:t>micropollutants</w:t>
      </w:r>
      <w:proofErr w:type="spellEnd"/>
      <w:r w:rsidRPr="004D4ED2">
        <w:rPr>
          <w:color w:val="000000" w:themeColor="text1"/>
          <w:sz w:val="28"/>
          <w:szCs w:val="28"/>
        </w:rPr>
        <w:t>,” “pharmaceuticals,” “pesticides,” “personal care products,” “metals,” “nutrients,” “aggression,” “agonistic behavior,” and “crustaceans” to find studies that investigated the influence of pollutants on aggressive behavior. PUBMED, Web of Science Core and Google Scholar were used for this search. The following conditions were applied to the search results: they had to be published theses or dissertations, full texts from books, or conference abstracts, and they had to be in English. The search was conducted between May</w:t>
      </w:r>
      <w:r w:rsidR="007444D4">
        <w:rPr>
          <w:color w:val="000000" w:themeColor="text1"/>
          <w:sz w:val="28"/>
          <w:szCs w:val="28"/>
        </w:rPr>
        <w:t xml:space="preserve"> </w:t>
      </w:r>
      <w:r w:rsidRPr="004D4ED2">
        <w:rPr>
          <w:color w:val="000000" w:themeColor="text1"/>
          <w:sz w:val="28"/>
          <w:szCs w:val="28"/>
        </w:rPr>
        <w:t xml:space="preserve">2022, and September 2022. The first 70 studies discovered in this review were relevant. A second iteration was performed to search for more relevant research in the cited articles and the reference lists of the included papers. Following retrieval, only 18 studies were judged appropriate for inclusion based on the authors’ criteria for effect sizes for the means and standard deviations for the number of assaults and the time in seconds of fights (Table 1). </w:t>
      </w:r>
    </w:p>
    <w:p w14:paraId="761B70B0" w14:textId="62C88BE4"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Based on pertinent studies, sample sizes</w:t>
      </w:r>
      <w:r w:rsidR="007444D4">
        <w:rPr>
          <w:color w:val="000000" w:themeColor="text1"/>
          <w:sz w:val="28"/>
          <w:szCs w:val="28"/>
        </w:rPr>
        <w:t>,</w:t>
      </w:r>
      <w:r w:rsidRPr="004D4ED2">
        <w:rPr>
          <w:color w:val="000000" w:themeColor="text1"/>
          <w:sz w:val="28"/>
          <w:szCs w:val="28"/>
        </w:rPr>
        <w:t xml:space="preserve"> and effect sizes were estimated. Some publications provided simple access to individual value tables, whereas others clearly stated the effect magnitude. Other research used graphs, such as plots, to represent individual values; in these instances, a web plot digitizer (</w:t>
      </w:r>
      <w:proofErr w:type="spellStart"/>
      <w:r w:rsidRPr="004D4ED2">
        <w:rPr>
          <w:color w:val="000000" w:themeColor="text1"/>
          <w:sz w:val="28"/>
          <w:szCs w:val="28"/>
        </w:rPr>
        <w:t>Rohatgi</w:t>
      </w:r>
      <w:proofErr w:type="spellEnd"/>
      <w:r w:rsidRPr="004D4ED2">
        <w:rPr>
          <w:color w:val="000000" w:themeColor="text1"/>
          <w:sz w:val="28"/>
          <w:szCs w:val="28"/>
        </w:rPr>
        <w:t xml:space="preserve">, 2015) was used to translate the graphs to numerical values. In a few studies, the effect sizes and individual statistics in tables or charts were irrelevant. </w:t>
      </w:r>
      <w:r w:rsidR="007444D4">
        <w:rPr>
          <w:color w:val="000000" w:themeColor="text1"/>
          <w:sz w:val="28"/>
          <w:szCs w:val="28"/>
        </w:rPr>
        <w:t>How</w:t>
      </w:r>
      <w:r w:rsidRPr="004D4ED2">
        <w:rPr>
          <w:color w:val="000000" w:themeColor="text1"/>
          <w:sz w:val="28"/>
          <w:szCs w:val="28"/>
        </w:rPr>
        <w:t xml:space="preserve"> the results were presented also lacked consistency; we mainly used two options: the number of fights and the length of the contests.</w:t>
      </w:r>
    </w:p>
    <w:p w14:paraId="15BF06C7"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The observed variation between studies may be due to both within-study variation and heterogeneity (i.e., differences in actual effect sizes between studies). To investigate the variation and heterogeneity among the effect sizes of the included studies, Q, significance, and I2 were computed. I2 levels of 25%, 50%, and 75% were considered poor, moderate, and high quality, respectively (Higgins et al., 2003). </w:t>
      </w:r>
    </w:p>
    <w:p w14:paraId="5C73B710"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Meta-regression models were developed to account for the heterogeneity of the continuous moderator factors. Egger’s regression test and visual inspection of a funnel plot were used to identify slight study bias, which included publication and research quality biases (Egger and Smith, 1998; Schulz et al., 1995). A substantial test revealed bias in the small study (p &lt; 0.05). </w:t>
      </w:r>
    </w:p>
    <w:p w14:paraId="5E42D88C"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Eighteen studies with effect sizes were included in the meta-analysis (Table 1; Fig. 1) (</w:t>
      </w:r>
      <w:proofErr w:type="spellStart"/>
      <w:r w:rsidRPr="004D4ED2">
        <w:rPr>
          <w:color w:val="000000" w:themeColor="text1"/>
          <w:sz w:val="28"/>
          <w:szCs w:val="28"/>
        </w:rPr>
        <w:t>Dissanayake</w:t>
      </w:r>
      <w:proofErr w:type="spellEnd"/>
      <w:r w:rsidRPr="004D4ED2">
        <w:rPr>
          <w:color w:val="000000" w:themeColor="text1"/>
          <w:sz w:val="28"/>
          <w:szCs w:val="28"/>
        </w:rPr>
        <w:t xml:space="preserve"> et al., 2009; </w:t>
      </w:r>
      <w:proofErr w:type="spellStart"/>
      <w:r w:rsidRPr="004D4ED2">
        <w:rPr>
          <w:color w:val="000000" w:themeColor="text1"/>
          <w:sz w:val="28"/>
          <w:szCs w:val="28"/>
        </w:rPr>
        <w:t>Dube</w:t>
      </w:r>
      <w:proofErr w:type="spellEnd"/>
      <w:r w:rsidRPr="004D4ED2">
        <w:rPr>
          <w:color w:val="000000" w:themeColor="text1"/>
          <w:sz w:val="28"/>
          <w:szCs w:val="28"/>
        </w:rPr>
        <w:t xml:space="preserve">, </w:t>
      </w:r>
      <w:proofErr w:type="spellStart"/>
      <w:r w:rsidRPr="004D4ED2">
        <w:rPr>
          <w:color w:val="000000" w:themeColor="text1"/>
          <w:sz w:val="28"/>
          <w:szCs w:val="28"/>
        </w:rPr>
        <w:t>n.d.</w:t>
      </w:r>
      <w:proofErr w:type="spellEnd"/>
      <w:r w:rsidRPr="004D4ED2">
        <w:rPr>
          <w:color w:val="000000" w:themeColor="text1"/>
          <w:sz w:val="28"/>
          <w:szCs w:val="28"/>
        </w:rPr>
        <w:t xml:space="preserve">). ; Hossain et al., 2020; </w:t>
      </w:r>
      <w:proofErr w:type="spellStart"/>
      <w:r w:rsidRPr="004D4ED2">
        <w:rPr>
          <w:color w:val="000000" w:themeColor="text1"/>
          <w:sz w:val="28"/>
          <w:szCs w:val="28"/>
        </w:rPr>
        <w:t>Krång</w:t>
      </w:r>
      <w:proofErr w:type="spellEnd"/>
      <w:r w:rsidRPr="004D4ED2">
        <w:rPr>
          <w:color w:val="000000" w:themeColor="text1"/>
          <w:sz w:val="28"/>
          <w:szCs w:val="28"/>
        </w:rPr>
        <w:t xml:space="preserve"> and </w:t>
      </w:r>
      <w:proofErr w:type="spellStart"/>
      <w:r w:rsidRPr="004D4ED2">
        <w:rPr>
          <w:color w:val="000000" w:themeColor="text1"/>
          <w:sz w:val="28"/>
          <w:szCs w:val="28"/>
        </w:rPr>
        <w:t>Ekerholm</w:t>
      </w:r>
      <w:proofErr w:type="spellEnd"/>
      <w:r w:rsidRPr="004D4ED2">
        <w:rPr>
          <w:color w:val="000000" w:themeColor="text1"/>
          <w:sz w:val="28"/>
          <w:szCs w:val="28"/>
        </w:rPr>
        <w:t xml:space="preserve">, 2006; </w:t>
      </w:r>
      <w:proofErr w:type="spellStart"/>
      <w:r w:rsidRPr="004D4ED2">
        <w:rPr>
          <w:color w:val="000000" w:themeColor="text1"/>
          <w:sz w:val="28"/>
          <w:szCs w:val="28"/>
        </w:rPr>
        <w:t>Mamdouh</w:t>
      </w:r>
      <w:proofErr w:type="spellEnd"/>
      <w:r w:rsidRPr="004D4ED2">
        <w:rPr>
          <w:color w:val="000000" w:themeColor="text1"/>
          <w:sz w:val="28"/>
          <w:szCs w:val="28"/>
        </w:rPr>
        <w:t xml:space="preserve"> et al., 2022; Mishra et al., 2020, 2018; Neal and Moore, 2017; Ortiz Lugo and Sosa </w:t>
      </w:r>
      <w:proofErr w:type="spellStart"/>
      <w:r w:rsidRPr="004D4ED2">
        <w:rPr>
          <w:color w:val="000000" w:themeColor="text1"/>
          <w:sz w:val="28"/>
          <w:szCs w:val="28"/>
        </w:rPr>
        <w:t>Lloréns</w:t>
      </w:r>
      <w:proofErr w:type="spellEnd"/>
      <w:r w:rsidRPr="004D4ED2">
        <w:rPr>
          <w:color w:val="000000" w:themeColor="text1"/>
          <w:sz w:val="28"/>
          <w:szCs w:val="28"/>
        </w:rPr>
        <w:t xml:space="preserve">, 2015; Peters et al., 2017; </w:t>
      </w:r>
      <w:proofErr w:type="spellStart"/>
      <w:r w:rsidRPr="004D4ED2">
        <w:rPr>
          <w:color w:val="000000" w:themeColor="text1"/>
          <w:sz w:val="28"/>
          <w:szCs w:val="28"/>
        </w:rPr>
        <w:t>Reichmuth</w:t>
      </w:r>
      <w:proofErr w:type="spellEnd"/>
      <w:r w:rsidRPr="004D4ED2">
        <w:rPr>
          <w:color w:val="000000" w:themeColor="text1"/>
          <w:sz w:val="28"/>
          <w:szCs w:val="28"/>
        </w:rPr>
        <w:t xml:space="preserve"> et al., 2011; Shirley, 2021; </w:t>
      </w:r>
      <w:proofErr w:type="spellStart"/>
      <w:r w:rsidRPr="004D4ED2">
        <w:rPr>
          <w:color w:val="000000" w:themeColor="text1"/>
          <w:sz w:val="28"/>
          <w:szCs w:val="28"/>
        </w:rPr>
        <w:t>Stara</w:t>
      </w:r>
      <w:proofErr w:type="spellEnd"/>
      <w:r w:rsidRPr="004D4ED2">
        <w:rPr>
          <w:color w:val="000000" w:themeColor="text1"/>
          <w:sz w:val="28"/>
          <w:szCs w:val="28"/>
        </w:rPr>
        <w:t xml:space="preserve"> et al., 2019; Tierney et al., 2016; </w:t>
      </w:r>
      <w:proofErr w:type="spellStart"/>
      <w:r w:rsidRPr="004D4ED2">
        <w:rPr>
          <w:color w:val="000000" w:themeColor="text1"/>
          <w:sz w:val="28"/>
          <w:szCs w:val="28"/>
        </w:rPr>
        <w:t>Tripathi</w:t>
      </w:r>
      <w:proofErr w:type="spellEnd"/>
      <w:r w:rsidRPr="004D4ED2">
        <w:rPr>
          <w:color w:val="000000" w:themeColor="text1"/>
          <w:sz w:val="28"/>
          <w:szCs w:val="28"/>
        </w:rPr>
        <w:t xml:space="preserve"> and Pandey, 2013; </w:t>
      </w:r>
      <w:proofErr w:type="spellStart"/>
      <w:r w:rsidRPr="004D4ED2">
        <w:rPr>
          <w:color w:val="000000" w:themeColor="text1"/>
          <w:sz w:val="28"/>
          <w:szCs w:val="28"/>
        </w:rPr>
        <w:t>Verma</w:t>
      </w:r>
      <w:proofErr w:type="spellEnd"/>
      <w:r w:rsidRPr="004D4ED2">
        <w:rPr>
          <w:color w:val="000000" w:themeColor="text1"/>
          <w:sz w:val="28"/>
          <w:szCs w:val="28"/>
        </w:rPr>
        <w:t xml:space="preserve">, 2012; White et al., 2013; Woodman et al., 2016). The total number of candidate crustaceans or subjects across the studies was 1101. Among them, 20 were </w:t>
      </w:r>
      <w:proofErr w:type="spellStart"/>
      <w:r w:rsidRPr="004D4ED2">
        <w:rPr>
          <w:color w:val="000000" w:themeColor="text1"/>
          <w:sz w:val="28"/>
          <w:szCs w:val="28"/>
        </w:rPr>
        <w:t>Barytelphusa</w:t>
      </w:r>
      <w:proofErr w:type="spellEnd"/>
      <w:r w:rsidRPr="004D4ED2">
        <w:rPr>
          <w:color w:val="000000" w:themeColor="text1"/>
          <w:sz w:val="28"/>
          <w:szCs w:val="28"/>
        </w:rPr>
        <w:t xml:space="preserve"> </w:t>
      </w:r>
      <w:proofErr w:type="spellStart"/>
      <w:r w:rsidRPr="004D4ED2">
        <w:rPr>
          <w:color w:val="000000" w:themeColor="text1"/>
          <w:sz w:val="28"/>
          <w:szCs w:val="28"/>
        </w:rPr>
        <w:t>guerini</w:t>
      </w:r>
      <w:proofErr w:type="spellEnd"/>
      <w:r w:rsidRPr="004D4ED2">
        <w:rPr>
          <w:color w:val="000000" w:themeColor="text1"/>
          <w:sz w:val="28"/>
          <w:szCs w:val="28"/>
        </w:rPr>
        <w:t xml:space="preserve">, 246 </w:t>
      </w:r>
      <w:proofErr w:type="spellStart"/>
      <w:r w:rsidRPr="004D4ED2">
        <w:rPr>
          <w:color w:val="000000" w:themeColor="text1"/>
          <w:sz w:val="28"/>
          <w:szCs w:val="28"/>
        </w:rPr>
        <w:t>Barytelphusa</w:t>
      </w:r>
      <w:proofErr w:type="spellEnd"/>
      <w:r w:rsidRPr="004D4ED2">
        <w:rPr>
          <w:color w:val="000000" w:themeColor="text1"/>
          <w:sz w:val="28"/>
          <w:szCs w:val="28"/>
        </w:rPr>
        <w:t xml:space="preserve"> </w:t>
      </w:r>
      <w:proofErr w:type="spellStart"/>
      <w:r w:rsidRPr="004D4ED2">
        <w:rPr>
          <w:color w:val="000000" w:themeColor="text1"/>
          <w:sz w:val="28"/>
          <w:szCs w:val="28"/>
        </w:rPr>
        <w:t>guerini</w:t>
      </w:r>
      <w:proofErr w:type="spellEnd"/>
      <w:r w:rsidRPr="004D4ED2">
        <w:rPr>
          <w:color w:val="000000" w:themeColor="text1"/>
          <w:sz w:val="28"/>
          <w:szCs w:val="28"/>
        </w:rPr>
        <w:t xml:space="preserve">, 596 </w:t>
      </w:r>
      <w:proofErr w:type="spellStart"/>
      <w:r w:rsidRPr="004D4ED2">
        <w:rPr>
          <w:color w:val="000000" w:themeColor="text1"/>
          <w:sz w:val="28"/>
          <w:szCs w:val="28"/>
        </w:rPr>
        <w:t>Hemigrapsus</w:t>
      </w:r>
      <w:proofErr w:type="spellEnd"/>
      <w:r w:rsidRPr="004D4ED2">
        <w:rPr>
          <w:color w:val="000000" w:themeColor="text1"/>
          <w:sz w:val="28"/>
          <w:szCs w:val="28"/>
        </w:rPr>
        <w:t xml:space="preserve"> </w:t>
      </w:r>
      <w:proofErr w:type="spellStart"/>
      <w:r w:rsidRPr="004D4ED2">
        <w:rPr>
          <w:color w:val="000000" w:themeColor="text1"/>
          <w:sz w:val="28"/>
          <w:szCs w:val="28"/>
        </w:rPr>
        <w:t>oregonensis</w:t>
      </w:r>
      <w:proofErr w:type="spellEnd"/>
      <w:r w:rsidRPr="004D4ED2">
        <w:rPr>
          <w:color w:val="000000" w:themeColor="text1"/>
          <w:sz w:val="28"/>
          <w:szCs w:val="28"/>
        </w:rPr>
        <w:t xml:space="preserve">, 96 </w:t>
      </w:r>
      <w:proofErr w:type="spellStart"/>
      <w:r w:rsidRPr="004D4ED2">
        <w:rPr>
          <w:color w:val="000000" w:themeColor="text1"/>
          <w:sz w:val="28"/>
          <w:szCs w:val="28"/>
        </w:rPr>
        <w:t>Macrobrachium</w:t>
      </w:r>
      <w:proofErr w:type="spellEnd"/>
      <w:r w:rsidRPr="004D4ED2">
        <w:rPr>
          <w:color w:val="000000" w:themeColor="text1"/>
          <w:sz w:val="28"/>
          <w:szCs w:val="28"/>
        </w:rPr>
        <w:t xml:space="preserve"> </w:t>
      </w:r>
      <w:proofErr w:type="spellStart"/>
      <w:r w:rsidRPr="004D4ED2">
        <w:rPr>
          <w:color w:val="000000" w:themeColor="text1"/>
          <w:sz w:val="28"/>
          <w:szCs w:val="28"/>
        </w:rPr>
        <w:t>carcinus</w:t>
      </w:r>
      <w:proofErr w:type="spellEnd"/>
      <w:r w:rsidRPr="004D4ED2">
        <w:rPr>
          <w:color w:val="000000" w:themeColor="text1"/>
          <w:sz w:val="28"/>
          <w:szCs w:val="28"/>
        </w:rPr>
        <w:t xml:space="preserve">, 55 </w:t>
      </w:r>
      <w:proofErr w:type="spellStart"/>
      <w:r w:rsidRPr="004D4ED2">
        <w:rPr>
          <w:color w:val="000000" w:themeColor="text1"/>
          <w:sz w:val="28"/>
          <w:szCs w:val="28"/>
        </w:rPr>
        <w:t>Orconectes</w:t>
      </w:r>
      <w:proofErr w:type="spellEnd"/>
      <w:r w:rsidRPr="004D4ED2">
        <w:rPr>
          <w:color w:val="000000" w:themeColor="text1"/>
          <w:sz w:val="28"/>
          <w:szCs w:val="28"/>
        </w:rPr>
        <w:t xml:space="preserve"> </w:t>
      </w:r>
      <w:proofErr w:type="spellStart"/>
      <w:r w:rsidRPr="004D4ED2">
        <w:rPr>
          <w:color w:val="000000" w:themeColor="text1"/>
          <w:sz w:val="28"/>
          <w:szCs w:val="28"/>
        </w:rPr>
        <w:t>virilis</w:t>
      </w:r>
      <w:proofErr w:type="spellEnd"/>
      <w:r w:rsidRPr="004D4ED2">
        <w:rPr>
          <w:color w:val="000000" w:themeColor="text1"/>
          <w:sz w:val="28"/>
          <w:szCs w:val="28"/>
        </w:rPr>
        <w:t xml:space="preserve">, 48 </w:t>
      </w:r>
      <w:proofErr w:type="spellStart"/>
      <w:r w:rsidRPr="004D4ED2">
        <w:rPr>
          <w:color w:val="000000" w:themeColor="text1"/>
          <w:sz w:val="28"/>
          <w:szCs w:val="28"/>
        </w:rPr>
        <w:t>Uca</w:t>
      </w:r>
      <w:proofErr w:type="spellEnd"/>
      <w:r w:rsidRPr="004D4ED2">
        <w:rPr>
          <w:color w:val="000000" w:themeColor="text1"/>
          <w:sz w:val="28"/>
          <w:szCs w:val="28"/>
        </w:rPr>
        <w:t xml:space="preserve"> </w:t>
      </w:r>
      <w:proofErr w:type="spellStart"/>
      <w:r w:rsidRPr="004D4ED2">
        <w:rPr>
          <w:color w:val="000000" w:themeColor="text1"/>
          <w:sz w:val="28"/>
          <w:szCs w:val="28"/>
        </w:rPr>
        <w:t>pugilator</w:t>
      </w:r>
      <w:proofErr w:type="spellEnd"/>
      <w:r w:rsidRPr="004D4ED2">
        <w:rPr>
          <w:color w:val="000000" w:themeColor="text1"/>
          <w:sz w:val="28"/>
          <w:szCs w:val="28"/>
        </w:rPr>
        <w:t xml:space="preserve">, and 40 </w:t>
      </w:r>
      <w:proofErr w:type="spellStart"/>
      <w:r w:rsidRPr="004D4ED2">
        <w:rPr>
          <w:color w:val="000000" w:themeColor="text1"/>
          <w:sz w:val="28"/>
          <w:szCs w:val="28"/>
        </w:rPr>
        <w:t>Macrobrachium</w:t>
      </w:r>
      <w:proofErr w:type="spellEnd"/>
      <w:r w:rsidRPr="004D4ED2">
        <w:rPr>
          <w:color w:val="000000" w:themeColor="text1"/>
          <w:sz w:val="28"/>
          <w:szCs w:val="28"/>
        </w:rPr>
        <w:t xml:space="preserve"> </w:t>
      </w:r>
      <w:proofErr w:type="spellStart"/>
      <w:r w:rsidRPr="004D4ED2">
        <w:rPr>
          <w:color w:val="000000" w:themeColor="text1"/>
          <w:sz w:val="28"/>
          <w:szCs w:val="28"/>
        </w:rPr>
        <w:t>dayanum</w:t>
      </w:r>
      <w:proofErr w:type="spellEnd"/>
      <w:r w:rsidRPr="004D4ED2">
        <w:rPr>
          <w:color w:val="000000" w:themeColor="text1"/>
          <w:sz w:val="28"/>
          <w:szCs w:val="28"/>
        </w:rPr>
        <w:t xml:space="preserve">. </w:t>
      </w:r>
    </w:p>
    <w:p w14:paraId="457A56BD"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Because a close examination of the forest plot revealed that crustaceans’ responses to various pollutants varied, the standardized mean difference with a 95 percent confidence interval of -1.26 to 0.64 in the meta-analysis of all studies combined for fight duration was not significant (Fig. 2, Table 2). A heterogeneity test revealed that the dataset was heterogeneous. There was no publication bias, even though the stimulation and inhibition of aggressive behavior depended on the type of pollutant, exposure concentration, and crustacean species. The effects of </w:t>
      </w:r>
      <w:proofErr w:type="spellStart"/>
      <w:r w:rsidRPr="004D4ED2">
        <w:rPr>
          <w:color w:val="000000" w:themeColor="text1"/>
          <w:sz w:val="28"/>
          <w:szCs w:val="28"/>
        </w:rPr>
        <w:t>micropollutants</w:t>
      </w:r>
      <w:proofErr w:type="spellEnd"/>
      <w:r w:rsidRPr="004D4ED2">
        <w:rPr>
          <w:color w:val="000000" w:themeColor="text1"/>
          <w:sz w:val="28"/>
          <w:szCs w:val="28"/>
        </w:rPr>
        <w:t xml:space="preserve"> are highly variable; for instance, Tierney et al. Tierney et al. (2016) reported that </w:t>
      </w:r>
      <w:proofErr w:type="spellStart"/>
      <w:r w:rsidRPr="004D4ED2">
        <w:rPr>
          <w:color w:val="000000" w:themeColor="text1"/>
          <w:sz w:val="28"/>
          <w:szCs w:val="28"/>
        </w:rPr>
        <w:t>Orconectes</w:t>
      </w:r>
      <w:proofErr w:type="spellEnd"/>
      <w:r w:rsidRPr="004D4ED2">
        <w:rPr>
          <w:color w:val="000000" w:themeColor="text1"/>
          <w:sz w:val="28"/>
          <w:szCs w:val="28"/>
        </w:rPr>
        <w:t xml:space="preserve"> </w:t>
      </w:r>
      <w:proofErr w:type="spellStart"/>
      <w:r w:rsidRPr="004D4ED2">
        <w:rPr>
          <w:color w:val="000000" w:themeColor="text1"/>
          <w:sz w:val="28"/>
          <w:szCs w:val="28"/>
        </w:rPr>
        <w:t>rusticus</w:t>
      </w:r>
      <w:proofErr w:type="spellEnd"/>
      <w:r w:rsidRPr="004D4ED2">
        <w:rPr>
          <w:color w:val="000000" w:themeColor="text1"/>
          <w:sz w:val="28"/>
          <w:szCs w:val="28"/>
        </w:rPr>
        <w:t xml:space="preserve"> displayed less aggressive behavior, whereas Hossain et al. Hossain et al. (2020) discovered that </w:t>
      </w:r>
      <w:proofErr w:type="spellStart"/>
      <w:r w:rsidRPr="004D4ED2">
        <w:rPr>
          <w:color w:val="000000" w:themeColor="text1"/>
          <w:sz w:val="28"/>
          <w:szCs w:val="28"/>
        </w:rPr>
        <w:t>Fazonius</w:t>
      </w:r>
      <w:proofErr w:type="spellEnd"/>
      <w:r w:rsidRPr="004D4ED2">
        <w:rPr>
          <w:color w:val="000000" w:themeColor="text1"/>
          <w:sz w:val="28"/>
          <w:szCs w:val="28"/>
        </w:rPr>
        <w:t xml:space="preserve"> </w:t>
      </w:r>
      <w:proofErr w:type="spellStart"/>
      <w:r w:rsidRPr="004D4ED2">
        <w:rPr>
          <w:color w:val="000000" w:themeColor="text1"/>
          <w:sz w:val="28"/>
          <w:szCs w:val="28"/>
        </w:rPr>
        <w:t>viridis</w:t>
      </w:r>
      <w:proofErr w:type="spellEnd"/>
      <w:r w:rsidRPr="004D4ED2">
        <w:rPr>
          <w:color w:val="000000" w:themeColor="text1"/>
          <w:sz w:val="28"/>
          <w:szCs w:val="28"/>
        </w:rPr>
        <w:t xml:space="preserve"> displays more aggressive behavior after exposure to fluoxetine. Six of the 11 studies included in the </w:t>
      </w:r>
      <w:proofErr w:type="spellStart"/>
      <w:r w:rsidRPr="004D4ED2">
        <w:rPr>
          <w:color w:val="000000" w:themeColor="text1"/>
          <w:sz w:val="28"/>
          <w:szCs w:val="28"/>
        </w:rPr>
        <w:t>micropollutant</w:t>
      </w:r>
      <w:proofErr w:type="spellEnd"/>
      <w:r w:rsidRPr="004D4ED2">
        <w:rPr>
          <w:color w:val="000000" w:themeColor="text1"/>
          <w:sz w:val="28"/>
          <w:szCs w:val="28"/>
        </w:rPr>
        <w:t xml:space="preserve"> forest plot showed longer-lasting aggressive behaviors in various crustaceans, as indicated by positive SMDs and their corresponding CIs (Fig. 4).</w:t>
      </w:r>
    </w:p>
    <w:p w14:paraId="0714398F" w14:textId="77777777" w:rsidR="002E25CC" w:rsidRDefault="00F100B6" w:rsidP="004D4ED2">
      <w:pPr>
        <w:spacing w:line="360" w:lineRule="auto"/>
        <w:jc w:val="both"/>
        <w:rPr>
          <w:color w:val="000000" w:themeColor="text1"/>
          <w:sz w:val="28"/>
          <w:szCs w:val="28"/>
        </w:rPr>
      </w:pPr>
      <w:r w:rsidRPr="004D4ED2">
        <w:rPr>
          <w:color w:val="000000" w:themeColor="text1"/>
          <w:sz w:val="28"/>
          <w:szCs w:val="28"/>
        </w:rPr>
        <w:t xml:space="preserve">The plot indicated that several studies had negative SMDs with large standard errors, whereas many others had negative SMDs with smaller standard errors. Egger’s p-value = 0.244 and </w:t>
      </w:r>
      <w:proofErr w:type="spellStart"/>
      <w:r w:rsidRPr="004D4ED2">
        <w:rPr>
          <w:color w:val="000000" w:themeColor="text1"/>
          <w:sz w:val="28"/>
          <w:szCs w:val="28"/>
        </w:rPr>
        <w:t>coeff</w:t>
      </w:r>
      <w:proofErr w:type="spellEnd"/>
      <w:r w:rsidRPr="004D4ED2">
        <w:rPr>
          <w:color w:val="000000" w:themeColor="text1"/>
          <w:sz w:val="28"/>
          <w:szCs w:val="28"/>
        </w:rPr>
        <w:t xml:space="preserve"> = −0.30, p = 0.27, and </w:t>
      </w:r>
      <w:proofErr w:type="spellStart"/>
      <w:r w:rsidRPr="004D4ED2">
        <w:rPr>
          <w:color w:val="000000" w:themeColor="text1"/>
          <w:sz w:val="28"/>
          <w:szCs w:val="28"/>
        </w:rPr>
        <w:t>coeff</w:t>
      </w:r>
      <w:proofErr w:type="spellEnd"/>
      <w:r w:rsidRPr="004D4ED2">
        <w:rPr>
          <w:color w:val="000000" w:themeColor="text1"/>
          <w:sz w:val="28"/>
          <w:szCs w:val="28"/>
        </w:rPr>
        <w:t xml:space="preserve"> = -1.11 for </w:t>
      </w:r>
      <w:proofErr w:type="spellStart"/>
      <w:r w:rsidRPr="004D4ED2">
        <w:rPr>
          <w:color w:val="000000" w:themeColor="text1"/>
          <w:sz w:val="28"/>
          <w:szCs w:val="28"/>
        </w:rPr>
        <w:t>micropollutants</w:t>
      </w:r>
      <w:proofErr w:type="spellEnd"/>
      <w:r w:rsidRPr="004D4ED2">
        <w:rPr>
          <w:color w:val="000000" w:themeColor="text1"/>
          <w:sz w:val="28"/>
          <w:szCs w:val="28"/>
        </w:rPr>
        <w:t xml:space="preserve"> and all the pollutants combined, respectively, for fight duration as an aggression endpoint, support the finding that, despite the heterogeneity of the research, there was no significant publication bias. However, the same could not be said when the number of fights was used as an endpoint as it gave Egger’s p-value &lt; 0.0001 and </w:t>
      </w:r>
      <w:proofErr w:type="spellStart"/>
      <w:r w:rsidRPr="004D4ED2">
        <w:rPr>
          <w:color w:val="000000" w:themeColor="text1"/>
          <w:sz w:val="28"/>
          <w:szCs w:val="28"/>
        </w:rPr>
        <w:t>coeff</w:t>
      </w:r>
      <w:proofErr w:type="spellEnd"/>
      <w:r w:rsidRPr="004D4ED2">
        <w:rPr>
          <w:color w:val="000000" w:themeColor="text1"/>
          <w:sz w:val="28"/>
          <w:szCs w:val="28"/>
        </w:rPr>
        <w:t xml:space="preserve"> = −4.30 and p-value &lt; 0.0001 and </w:t>
      </w:r>
      <w:proofErr w:type="spellStart"/>
      <w:r w:rsidRPr="004D4ED2">
        <w:rPr>
          <w:color w:val="000000" w:themeColor="text1"/>
          <w:sz w:val="28"/>
          <w:szCs w:val="28"/>
        </w:rPr>
        <w:t>coeff</w:t>
      </w:r>
      <w:proofErr w:type="spellEnd"/>
      <w:r w:rsidRPr="004D4ED2">
        <w:rPr>
          <w:color w:val="000000" w:themeColor="text1"/>
          <w:sz w:val="28"/>
          <w:szCs w:val="28"/>
        </w:rPr>
        <w:t xml:space="preserve"> = -5.29 for </w:t>
      </w:r>
      <w:proofErr w:type="spellStart"/>
      <w:r w:rsidRPr="004D4ED2">
        <w:rPr>
          <w:color w:val="000000" w:themeColor="text1"/>
          <w:sz w:val="28"/>
          <w:szCs w:val="28"/>
        </w:rPr>
        <w:t>micropollutants</w:t>
      </w:r>
      <w:proofErr w:type="spellEnd"/>
      <w:r w:rsidRPr="004D4ED2">
        <w:rPr>
          <w:color w:val="000000" w:themeColor="text1"/>
          <w:sz w:val="28"/>
          <w:szCs w:val="28"/>
        </w:rPr>
        <w:t xml:space="preserve"> and all the pollutants combined, respectively. These findings demonstrate a significant publishing bias when the total number of fights was used. Additionally, the Influence test revealed that the Woodman et al. (2008) study on the effect of sertraline significantly altered the results of </w:t>
      </w:r>
      <w:proofErr w:type="spellStart"/>
      <w:r w:rsidRPr="004D4ED2">
        <w:rPr>
          <w:color w:val="000000" w:themeColor="text1"/>
          <w:sz w:val="28"/>
          <w:szCs w:val="28"/>
        </w:rPr>
        <w:t>micropollutants</w:t>
      </w:r>
      <w:proofErr w:type="spellEnd"/>
      <w:r w:rsidRPr="004D4ED2">
        <w:rPr>
          <w:color w:val="000000" w:themeColor="text1"/>
          <w:sz w:val="28"/>
          <w:szCs w:val="28"/>
        </w:rPr>
        <w:t>. This influence relied on the endpoints for aggressive conduct (Figs. 3 and 5) and was only significant when the endpoint for fighting was chosen.</w:t>
      </w:r>
    </w:p>
    <w:p w14:paraId="0B5645A9" w14:textId="77777777" w:rsidR="002E25CC" w:rsidRDefault="002E25CC" w:rsidP="004D4ED2">
      <w:pPr>
        <w:spacing w:line="360" w:lineRule="auto"/>
        <w:jc w:val="both"/>
        <w:rPr>
          <w:color w:val="000000" w:themeColor="text1"/>
          <w:sz w:val="28"/>
          <w:szCs w:val="28"/>
        </w:rPr>
      </w:pPr>
    </w:p>
    <w:p w14:paraId="41110472" w14:textId="77777777" w:rsidR="002E25CC" w:rsidRDefault="002E25CC" w:rsidP="004D4ED2">
      <w:pPr>
        <w:spacing w:line="360" w:lineRule="auto"/>
        <w:jc w:val="both"/>
        <w:rPr>
          <w:color w:val="000000" w:themeColor="text1"/>
          <w:sz w:val="28"/>
          <w:szCs w:val="28"/>
        </w:rPr>
        <w:sectPr w:rsidR="002E25CC" w:rsidSect="00B26F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FC918CF" w14:textId="77777777" w:rsidR="002E25CC" w:rsidRDefault="002E25CC" w:rsidP="002E25CC">
      <w:pPr>
        <w:spacing w:after="120" w:line="480" w:lineRule="auto"/>
        <w:rPr>
          <w:lang w:eastAsia="en-GB"/>
        </w:rPr>
      </w:pPr>
      <w:r>
        <w:rPr>
          <w:lang w:eastAsia="en-GB"/>
        </w:rPr>
        <w:t>Table 1: An overview of studies included in the meta-analysis</w:t>
      </w:r>
    </w:p>
    <w:tbl>
      <w:tblPr>
        <w:tblStyle w:val="TableGridLight"/>
        <w:tblW w:w="13809" w:type="dxa"/>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317"/>
        <w:gridCol w:w="1638"/>
        <w:gridCol w:w="2858"/>
        <w:gridCol w:w="1840"/>
        <w:gridCol w:w="2627"/>
      </w:tblGrid>
      <w:tr w:rsidR="002E25CC" w14:paraId="302B23C0" w14:textId="77777777" w:rsidTr="002E25CC">
        <w:trPr>
          <w:trHeight w:val="321"/>
        </w:trPr>
        <w:tc>
          <w:tcPr>
            <w:tcW w:w="2584" w:type="dxa"/>
            <w:tcBorders>
              <w:top w:val="single" w:sz="4" w:space="0" w:color="auto"/>
              <w:left w:val="nil"/>
              <w:bottom w:val="single" w:sz="4" w:space="0" w:color="auto"/>
              <w:right w:val="nil"/>
            </w:tcBorders>
            <w:noWrap/>
            <w:hideMark/>
          </w:tcPr>
          <w:p w14:paraId="50C98B33" w14:textId="77777777" w:rsidR="002E25CC" w:rsidRDefault="002E25CC">
            <w:pPr>
              <w:rPr>
                <w:rFonts w:ascii="Calibri" w:eastAsia="Times New Roman" w:hAnsi="Calibri" w:cs="Calibri"/>
                <w:b/>
                <w:bCs/>
                <w:color w:val="000000" w:themeColor="text1"/>
                <w:lang w:eastAsia="en-GB"/>
              </w:rPr>
            </w:pPr>
            <w:r>
              <w:rPr>
                <w:rFonts w:ascii="Calibri" w:eastAsia="Times New Roman" w:hAnsi="Calibri" w:cs="Calibri"/>
                <w:b/>
                <w:bCs/>
                <w:color w:val="000000" w:themeColor="text1"/>
                <w:lang w:eastAsia="en-GB"/>
              </w:rPr>
              <w:t>Study</w:t>
            </w:r>
          </w:p>
        </w:tc>
        <w:tc>
          <w:tcPr>
            <w:tcW w:w="2317" w:type="dxa"/>
            <w:tcBorders>
              <w:top w:val="single" w:sz="4" w:space="0" w:color="auto"/>
              <w:left w:val="nil"/>
              <w:bottom w:val="single" w:sz="4" w:space="0" w:color="auto"/>
              <w:right w:val="nil"/>
            </w:tcBorders>
            <w:noWrap/>
            <w:hideMark/>
          </w:tcPr>
          <w:p w14:paraId="5EEE00BD" w14:textId="77777777" w:rsidR="002E25CC" w:rsidRDefault="002E25CC">
            <w:pPr>
              <w:rPr>
                <w:rFonts w:ascii="Calibri" w:eastAsia="Times New Roman" w:hAnsi="Calibri" w:cs="Calibri"/>
                <w:b/>
                <w:bCs/>
                <w:color w:val="000000" w:themeColor="text1"/>
                <w:lang w:eastAsia="en-GB"/>
              </w:rPr>
            </w:pPr>
            <w:r>
              <w:rPr>
                <w:rFonts w:ascii="Calibri" w:eastAsia="Times New Roman" w:hAnsi="Calibri" w:cs="Calibri"/>
                <w:b/>
                <w:bCs/>
                <w:color w:val="000000" w:themeColor="text1"/>
                <w:lang w:eastAsia="en-GB"/>
              </w:rPr>
              <w:t>Pollutant</w:t>
            </w:r>
          </w:p>
        </w:tc>
        <w:tc>
          <w:tcPr>
            <w:tcW w:w="1583" w:type="dxa"/>
            <w:tcBorders>
              <w:top w:val="single" w:sz="4" w:space="0" w:color="auto"/>
              <w:left w:val="nil"/>
              <w:bottom w:val="single" w:sz="4" w:space="0" w:color="auto"/>
              <w:right w:val="nil"/>
            </w:tcBorders>
            <w:hideMark/>
          </w:tcPr>
          <w:p w14:paraId="6B9F2B00" w14:textId="77777777" w:rsidR="002E25CC" w:rsidRDefault="002E25CC">
            <w:pPr>
              <w:jc w:val="center"/>
              <w:rPr>
                <w:rFonts w:ascii="Calibri" w:eastAsia="Times New Roman" w:hAnsi="Calibri" w:cs="Calibri"/>
                <w:b/>
                <w:bCs/>
                <w:color w:val="000000" w:themeColor="text1"/>
                <w:lang w:eastAsia="en-GB"/>
              </w:rPr>
            </w:pPr>
            <w:r>
              <w:rPr>
                <w:rFonts w:ascii="Calibri" w:eastAsia="Times New Roman" w:hAnsi="Calibri" w:cs="Calibri"/>
                <w:b/>
                <w:bCs/>
                <w:color w:val="000000" w:themeColor="text1"/>
                <w:lang w:eastAsia="en-GB"/>
              </w:rPr>
              <w:t>Concentration</w:t>
            </w:r>
          </w:p>
        </w:tc>
        <w:tc>
          <w:tcPr>
            <w:tcW w:w="2858" w:type="dxa"/>
            <w:tcBorders>
              <w:top w:val="single" w:sz="4" w:space="0" w:color="auto"/>
              <w:left w:val="nil"/>
              <w:bottom w:val="single" w:sz="4" w:space="0" w:color="auto"/>
              <w:right w:val="nil"/>
            </w:tcBorders>
            <w:noWrap/>
            <w:hideMark/>
          </w:tcPr>
          <w:p w14:paraId="54417EC2" w14:textId="77777777" w:rsidR="002E25CC" w:rsidRDefault="002E25CC">
            <w:pPr>
              <w:rPr>
                <w:rFonts w:ascii="Calibri" w:eastAsia="Times New Roman" w:hAnsi="Calibri" w:cs="Calibri"/>
                <w:b/>
                <w:bCs/>
                <w:color w:val="000000" w:themeColor="text1"/>
                <w:lang w:eastAsia="en-GB"/>
              </w:rPr>
            </w:pPr>
            <w:r>
              <w:rPr>
                <w:rFonts w:ascii="Calibri" w:eastAsia="Times New Roman" w:hAnsi="Calibri" w:cs="Calibri"/>
                <w:b/>
                <w:bCs/>
                <w:color w:val="000000" w:themeColor="text1"/>
                <w:lang w:eastAsia="en-GB"/>
              </w:rPr>
              <w:t>Crustacean</w:t>
            </w:r>
          </w:p>
        </w:tc>
        <w:tc>
          <w:tcPr>
            <w:tcW w:w="1840" w:type="dxa"/>
            <w:tcBorders>
              <w:top w:val="single" w:sz="4" w:space="0" w:color="auto"/>
              <w:left w:val="nil"/>
              <w:bottom w:val="single" w:sz="4" w:space="0" w:color="auto"/>
              <w:right w:val="nil"/>
            </w:tcBorders>
            <w:noWrap/>
            <w:hideMark/>
          </w:tcPr>
          <w:p w14:paraId="6FA8B7B5" w14:textId="77777777" w:rsidR="002E25CC" w:rsidRDefault="002E25CC">
            <w:pPr>
              <w:rPr>
                <w:rFonts w:ascii="Calibri" w:eastAsia="Times New Roman" w:hAnsi="Calibri" w:cs="Calibri"/>
                <w:b/>
                <w:bCs/>
                <w:color w:val="000000" w:themeColor="text1"/>
                <w:lang w:eastAsia="en-GB"/>
              </w:rPr>
            </w:pPr>
            <w:r>
              <w:rPr>
                <w:rFonts w:ascii="Calibri" w:eastAsia="Times New Roman" w:hAnsi="Calibri" w:cs="Calibri"/>
                <w:b/>
                <w:bCs/>
                <w:color w:val="000000" w:themeColor="text1"/>
                <w:lang w:eastAsia="en-GB"/>
              </w:rPr>
              <w:t>Habitat</w:t>
            </w:r>
          </w:p>
        </w:tc>
        <w:tc>
          <w:tcPr>
            <w:tcW w:w="2627" w:type="dxa"/>
            <w:tcBorders>
              <w:top w:val="single" w:sz="4" w:space="0" w:color="auto"/>
              <w:left w:val="nil"/>
              <w:bottom w:val="single" w:sz="4" w:space="0" w:color="auto"/>
              <w:right w:val="nil"/>
            </w:tcBorders>
            <w:noWrap/>
            <w:hideMark/>
          </w:tcPr>
          <w:p w14:paraId="369C95C9" w14:textId="77777777" w:rsidR="002E25CC" w:rsidRDefault="002E25CC">
            <w:pPr>
              <w:rPr>
                <w:rFonts w:ascii="Calibri" w:eastAsia="Times New Roman" w:hAnsi="Calibri" w:cs="Calibri"/>
                <w:b/>
                <w:bCs/>
                <w:color w:val="000000" w:themeColor="text1"/>
                <w:lang w:eastAsia="en-GB"/>
              </w:rPr>
            </w:pPr>
            <w:r>
              <w:rPr>
                <w:rFonts w:ascii="Calibri" w:eastAsia="Times New Roman" w:hAnsi="Calibri" w:cs="Calibri"/>
                <w:b/>
                <w:bCs/>
                <w:color w:val="000000" w:themeColor="text1"/>
                <w:lang w:eastAsia="en-GB"/>
              </w:rPr>
              <w:t>Treatment Aggression Response</w:t>
            </w:r>
          </w:p>
        </w:tc>
      </w:tr>
      <w:tr w:rsidR="002E25CC" w14:paraId="705F987E" w14:textId="77777777" w:rsidTr="002E25CC">
        <w:trPr>
          <w:trHeight w:val="321"/>
        </w:trPr>
        <w:tc>
          <w:tcPr>
            <w:tcW w:w="2584" w:type="dxa"/>
            <w:tcBorders>
              <w:top w:val="single" w:sz="4" w:space="0" w:color="auto"/>
              <w:left w:val="nil"/>
              <w:bottom w:val="nil"/>
              <w:right w:val="nil"/>
            </w:tcBorders>
            <w:noWrap/>
            <w:hideMark/>
          </w:tcPr>
          <w:p w14:paraId="02074D87"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Shirley 2021</w:t>
            </w:r>
          </w:p>
        </w:tc>
        <w:tc>
          <w:tcPr>
            <w:tcW w:w="2317" w:type="dxa"/>
            <w:tcBorders>
              <w:top w:val="single" w:sz="4" w:space="0" w:color="auto"/>
              <w:left w:val="nil"/>
              <w:bottom w:val="nil"/>
              <w:right w:val="nil"/>
            </w:tcBorders>
            <w:noWrap/>
            <w:hideMark/>
          </w:tcPr>
          <w:p w14:paraId="6D35E02C"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17α-</w:t>
            </w:r>
            <w:proofErr w:type="spellStart"/>
            <w:r>
              <w:rPr>
                <w:rFonts w:ascii="Calibri" w:eastAsia="Times New Roman" w:hAnsi="Calibri" w:cs="Calibri"/>
                <w:color w:val="000000"/>
                <w:lang w:eastAsia="en-GB"/>
              </w:rPr>
              <w:t>Ethinyl</w:t>
            </w:r>
            <w:proofErr w:type="spellEnd"/>
            <w:r>
              <w:rPr>
                <w:rFonts w:ascii="Calibri" w:eastAsia="Times New Roman" w:hAnsi="Calibri" w:cs="Calibri"/>
                <w:color w:val="000000"/>
                <w:lang w:eastAsia="en-GB"/>
              </w:rPr>
              <w:t xml:space="preserve"> Estradiol</w:t>
            </w:r>
          </w:p>
        </w:tc>
        <w:tc>
          <w:tcPr>
            <w:tcW w:w="1583" w:type="dxa"/>
            <w:tcBorders>
              <w:top w:val="single" w:sz="4" w:space="0" w:color="auto"/>
              <w:left w:val="nil"/>
              <w:bottom w:val="nil"/>
              <w:right w:val="nil"/>
            </w:tcBorders>
            <w:hideMark/>
          </w:tcPr>
          <w:p w14:paraId="46E5F7AA"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0.50 mg/l</w:t>
            </w:r>
          </w:p>
        </w:tc>
        <w:tc>
          <w:tcPr>
            <w:tcW w:w="2858" w:type="dxa"/>
            <w:tcBorders>
              <w:top w:val="single" w:sz="4" w:space="0" w:color="auto"/>
              <w:left w:val="nil"/>
              <w:bottom w:val="nil"/>
              <w:right w:val="nil"/>
            </w:tcBorders>
            <w:noWrap/>
            <w:hideMark/>
          </w:tcPr>
          <w:p w14:paraId="7F5B1317" w14:textId="77777777" w:rsidR="002E25CC" w:rsidRDefault="002E25CC">
            <w:pPr>
              <w:rPr>
                <w:rFonts w:ascii="Calibri" w:eastAsia="Times New Roman" w:hAnsi="Calibri" w:cs="Calibri"/>
                <w:i/>
                <w:iCs/>
                <w:color w:val="000000"/>
                <w:lang w:eastAsia="en-GB"/>
              </w:rPr>
            </w:pPr>
            <w:proofErr w:type="spellStart"/>
            <w:r>
              <w:rPr>
                <w:rFonts w:ascii="Calibri" w:eastAsia="Times New Roman" w:hAnsi="Calibri" w:cs="Calibri"/>
                <w:i/>
                <w:iCs/>
                <w:color w:val="000000"/>
                <w:lang w:eastAsia="en-GB"/>
              </w:rPr>
              <w:t>Uca</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pugilator</w:t>
            </w:r>
            <w:proofErr w:type="spellEnd"/>
          </w:p>
        </w:tc>
        <w:tc>
          <w:tcPr>
            <w:tcW w:w="1840" w:type="dxa"/>
            <w:tcBorders>
              <w:top w:val="single" w:sz="4" w:space="0" w:color="auto"/>
              <w:left w:val="nil"/>
              <w:bottom w:val="nil"/>
              <w:right w:val="nil"/>
            </w:tcBorders>
            <w:noWrap/>
            <w:hideMark/>
          </w:tcPr>
          <w:p w14:paraId="63F84D7E"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Marine</w:t>
            </w:r>
          </w:p>
        </w:tc>
        <w:tc>
          <w:tcPr>
            <w:tcW w:w="2627" w:type="dxa"/>
            <w:tcBorders>
              <w:top w:val="single" w:sz="4" w:space="0" w:color="auto"/>
              <w:left w:val="nil"/>
              <w:bottom w:val="nil"/>
              <w:right w:val="nil"/>
            </w:tcBorders>
            <w:noWrap/>
            <w:hideMark/>
          </w:tcPr>
          <w:p w14:paraId="47C1C998"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Decreased</w:t>
            </w:r>
          </w:p>
        </w:tc>
      </w:tr>
      <w:tr w:rsidR="002E25CC" w14:paraId="291ED75A" w14:textId="77777777" w:rsidTr="002E25CC">
        <w:trPr>
          <w:trHeight w:val="321"/>
        </w:trPr>
        <w:tc>
          <w:tcPr>
            <w:tcW w:w="2584" w:type="dxa"/>
            <w:tcBorders>
              <w:top w:val="nil"/>
              <w:left w:val="nil"/>
              <w:bottom w:val="nil"/>
              <w:right w:val="nil"/>
            </w:tcBorders>
            <w:noWrap/>
            <w:hideMark/>
          </w:tcPr>
          <w:p w14:paraId="1E6A1688"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Peters et al. 2017</w:t>
            </w:r>
          </w:p>
        </w:tc>
        <w:tc>
          <w:tcPr>
            <w:tcW w:w="2317" w:type="dxa"/>
            <w:tcBorders>
              <w:top w:val="nil"/>
              <w:left w:val="nil"/>
              <w:bottom w:val="nil"/>
              <w:right w:val="nil"/>
            </w:tcBorders>
            <w:noWrap/>
            <w:hideMark/>
          </w:tcPr>
          <w:p w14:paraId="66EF2384"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Fluoxetine</w:t>
            </w:r>
          </w:p>
        </w:tc>
        <w:tc>
          <w:tcPr>
            <w:tcW w:w="1583" w:type="dxa"/>
            <w:tcBorders>
              <w:top w:val="nil"/>
              <w:left w:val="nil"/>
              <w:bottom w:val="nil"/>
              <w:right w:val="nil"/>
            </w:tcBorders>
            <w:hideMark/>
          </w:tcPr>
          <w:p w14:paraId="7F325D0F"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3.00 &amp; 30 ng/l</w:t>
            </w:r>
          </w:p>
        </w:tc>
        <w:tc>
          <w:tcPr>
            <w:tcW w:w="2858" w:type="dxa"/>
            <w:tcBorders>
              <w:top w:val="nil"/>
              <w:left w:val="nil"/>
              <w:bottom w:val="nil"/>
              <w:right w:val="nil"/>
            </w:tcBorders>
            <w:noWrap/>
            <w:hideMark/>
          </w:tcPr>
          <w:p w14:paraId="4A290E0C" w14:textId="77777777" w:rsidR="002E25CC" w:rsidRDefault="002E25CC">
            <w:pPr>
              <w:rPr>
                <w:rFonts w:ascii="Arial,Italic" w:eastAsia="Times New Roman" w:hAnsi="Arial,Italic" w:cs="Calibri"/>
                <w:i/>
                <w:iCs/>
                <w:color w:val="000000"/>
                <w:lang w:eastAsia="en-GB"/>
              </w:rPr>
            </w:pPr>
            <w:proofErr w:type="spellStart"/>
            <w:r>
              <w:rPr>
                <w:rFonts w:ascii="Calibri" w:eastAsia="Times New Roman" w:hAnsi="Calibri" w:cs="Calibri"/>
                <w:i/>
                <w:iCs/>
                <w:color w:val="000000"/>
                <w:lang w:eastAsia="en-GB"/>
              </w:rPr>
              <w:t>Hemigrapsus</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oregonensis</w:t>
            </w:r>
            <w:proofErr w:type="spellEnd"/>
          </w:p>
        </w:tc>
        <w:tc>
          <w:tcPr>
            <w:tcW w:w="1840" w:type="dxa"/>
            <w:tcBorders>
              <w:top w:val="nil"/>
              <w:left w:val="nil"/>
              <w:bottom w:val="nil"/>
              <w:right w:val="nil"/>
            </w:tcBorders>
            <w:noWrap/>
            <w:hideMark/>
          </w:tcPr>
          <w:p w14:paraId="240CB71B"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Marine</w:t>
            </w:r>
          </w:p>
        </w:tc>
        <w:tc>
          <w:tcPr>
            <w:tcW w:w="2627" w:type="dxa"/>
            <w:tcBorders>
              <w:top w:val="nil"/>
              <w:left w:val="nil"/>
              <w:bottom w:val="nil"/>
              <w:right w:val="nil"/>
            </w:tcBorders>
            <w:noWrap/>
            <w:hideMark/>
          </w:tcPr>
          <w:p w14:paraId="16D94AFF"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Decreased</w:t>
            </w:r>
          </w:p>
        </w:tc>
      </w:tr>
      <w:tr w:rsidR="002E25CC" w14:paraId="69233140" w14:textId="77777777" w:rsidTr="002E25CC">
        <w:trPr>
          <w:trHeight w:val="321"/>
        </w:trPr>
        <w:tc>
          <w:tcPr>
            <w:tcW w:w="2584" w:type="dxa"/>
            <w:tcBorders>
              <w:top w:val="nil"/>
              <w:left w:val="nil"/>
              <w:bottom w:val="nil"/>
              <w:right w:val="nil"/>
            </w:tcBorders>
            <w:noWrap/>
            <w:hideMark/>
          </w:tcPr>
          <w:p w14:paraId="1F3872CF" w14:textId="77777777" w:rsidR="002E25CC" w:rsidRDefault="002E25CC">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Dube</w:t>
            </w:r>
            <w:proofErr w:type="spellEnd"/>
            <w:r>
              <w:rPr>
                <w:rFonts w:ascii="Calibri" w:eastAsia="Times New Roman" w:hAnsi="Calibri" w:cs="Calibri"/>
                <w:color w:val="000000"/>
                <w:lang w:eastAsia="en-GB"/>
              </w:rPr>
              <w:t xml:space="preserve"> 2019</w:t>
            </w:r>
          </w:p>
        </w:tc>
        <w:tc>
          <w:tcPr>
            <w:tcW w:w="2317" w:type="dxa"/>
            <w:tcBorders>
              <w:top w:val="nil"/>
              <w:left w:val="nil"/>
              <w:bottom w:val="nil"/>
              <w:right w:val="nil"/>
            </w:tcBorders>
            <w:noWrap/>
            <w:hideMark/>
          </w:tcPr>
          <w:p w14:paraId="5399443E"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Lead (Lead nitrate)</w:t>
            </w:r>
          </w:p>
        </w:tc>
        <w:tc>
          <w:tcPr>
            <w:tcW w:w="1583" w:type="dxa"/>
            <w:tcBorders>
              <w:top w:val="nil"/>
              <w:left w:val="nil"/>
              <w:bottom w:val="nil"/>
              <w:right w:val="nil"/>
            </w:tcBorders>
            <w:hideMark/>
          </w:tcPr>
          <w:p w14:paraId="39DBDE95"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1.40 mg/l</w:t>
            </w:r>
          </w:p>
        </w:tc>
        <w:tc>
          <w:tcPr>
            <w:tcW w:w="2858" w:type="dxa"/>
            <w:tcBorders>
              <w:top w:val="nil"/>
              <w:left w:val="nil"/>
              <w:bottom w:val="nil"/>
              <w:right w:val="nil"/>
            </w:tcBorders>
            <w:noWrap/>
            <w:hideMark/>
          </w:tcPr>
          <w:p w14:paraId="42F6CEB9" w14:textId="77777777" w:rsidR="002E25CC" w:rsidRDefault="002E25CC">
            <w:pPr>
              <w:rPr>
                <w:rFonts w:ascii="Arial,Italic" w:eastAsia="Times New Roman" w:hAnsi="Arial,Italic" w:cs="Calibri"/>
                <w:i/>
                <w:iCs/>
                <w:color w:val="000000"/>
                <w:lang w:eastAsia="en-GB"/>
              </w:rPr>
            </w:pPr>
            <w:proofErr w:type="spellStart"/>
            <w:r>
              <w:rPr>
                <w:rFonts w:ascii="Calibri" w:eastAsia="Times New Roman" w:hAnsi="Calibri" w:cs="Calibri"/>
                <w:i/>
                <w:iCs/>
                <w:color w:val="000000"/>
                <w:lang w:eastAsia="en-GB"/>
              </w:rPr>
              <w:t>Barytelphusa</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guerini</w:t>
            </w:r>
            <w:proofErr w:type="spellEnd"/>
          </w:p>
        </w:tc>
        <w:tc>
          <w:tcPr>
            <w:tcW w:w="1840" w:type="dxa"/>
            <w:tcBorders>
              <w:top w:val="nil"/>
              <w:left w:val="nil"/>
              <w:bottom w:val="nil"/>
              <w:right w:val="nil"/>
            </w:tcBorders>
            <w:noWrap/>
            <w:hideMark/>
          </w:tcPr>
          <w:p w14:paraId="11656BD2"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Freshwater</w:t>
            </w:r>
          </w:p>
        </w:tc>
        <w:tc>
          <w:tcPr>
            <w:tcW w:w="2627" w:type="dxa"/>
            <w:tcBorders>
              <w:top w:val="nil"/>
              <w:left w:val="nil"/>
              <w:bottom w:val="nil"/>
              <w:right w:val="nil"/>
            </w:tcBorders>
            <w:noWrap/>
            <w:hideMark/>
          </w:tcPr>
          <w:p w14:paraId="7AE61E3E"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0073CD97" w14:textId="77777777" w:rsidTr="002E25CC">
        <w:trPr>
          <w:trHeight w:val="321"/>
        </w:trPr>
        <w:tc>
          <w:tcPr>
            <w:tcW w:w="2584" w:type="dxa"/>
            <w:tcBorders>
              <w:top w:val="nil"/>
              <w:left w:val="nil"/>
              <w:bottom w:val="nil"/>
              <w:right w:val="nil"/>
            </w:tcBorders>
            <w:noWrap/>
            <w:hideMark/>
          </w:tcPr>
          <w:p w14:paraId="0625407E" w14:textId="77777777" w:rsidR="002E25CC" w:rsidRDefault="002E25CC">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Dissanayake</w:t>
            </w:r>
            <w:proofErr w:type="spellEnd"/>
            <w:r>
              <w:rPr>
                <w:rFonts w:ascii="Calibri" w:eastAsia="Times New Roman" w:hAnsi="Calibri" w:cs="Calibri"/>
                <w:color w:val="000000"/>
                <w:lang w:eastAsia="en-GB"/>
              </w:rPr>
              <w:t xml:space="preserve"> et al. 2009</w:t>
            </w:r>
          </w:p>
        </w:tc>
        <w:tc>
          <w:tcPr>
            <w:tcW w:w="2317" w:type="dxa"/>
            <w:tcBorders>
              <w:top w:val="nil"/>
              <w:left w:val="nil"/>
              <w:bottom w:val="nil"/>
              <w:right w:val="nil"/>
            </w:tcBorders>
            <w:noWrap/>
            <w:hideMark/>
          </w:tcPr>
          <w:p w14:paraId="5E27C5E3" w14:textId="77777777" w:rsidR="002E25CC" w:rsidRDefault="002E25CC">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Pyrene</w:t>
            </w:r>
            <w:proofErr w:type="spellEnd"/>
          </w:p>
        </w:tc>
        <w:tc>
          <w:tcPr>
            <w:tcW w:w="1583" w:type="dxa"/>
            <w:tcBorders>
              <w:top w:val="nil"/>
              <w:left w:val="nil"/>
              <w:bottom w:val="nil"/>
              <w:right w:val="nil"/>
            </w:tcBorders>
            <w:hideMark/>
          </w:tcPr>
          <w:p w14:paraId="36DF846F"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200 µg/l</w:t>
            </w:r>
          </w:p>
        </w:tc>
        <w:tc>
          <w:tcPr>
            <w:tcW w:w="2858" w:type="dxa"/>
            <w:tcBorders>
              <w:top w:val="nil"/>
              <w:left w:val="nil"/>
              <w:bottom w:val="nil"/>
              <w:right w:val="nil"/>
            </w:tcBorders>
            <w:noWrap/>
            <w:hideMark/>
          </w:tcPr>
          <w:p w14:paraId="37E8708A" w14:textId="77777777" w:rsidR="002E25CC" w:rsidRDefault="002E25CC">
            <w:pPr>
              <w:rPr>
                <w:rFonts w:ascii="Calibri" w:eastAsia="Times New Roman" w:hAnsi="Calibri" w:cs="Calibri"/>
                <w:i/>
                <w:iCs/>
                <w:color w:val="000000"/>
                <w:lang w:eastAsia="en-GB"/>
              </w:rPr>
            </w:pPr>
            <w:proofErr w:type="spellStart"/>
            <w:r>
              <w:rPr>
                <w:rFonts w:ascii="Calibri" w:eastAsia="Times New Roman" w:hAnsi="Calibri" w:cs="Calibri"/>
                <w:i/>
                <w:iCs/>
                <w:color w:val="000000"/>
                <w:lang w:eastAsia="en-GB"/>
              </w:rPr>
              <w:t>Carcinus</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maenus</w:t>
            </w:r>
            <w:proofErr w:type="spellEnd"/>
          </w:p>
        </w:tc>
        <w:tc>
          <w:tcPr>
            <w:tcW w:w="1840" w:type="dxa"/>
            <w:tcBorders>
              <w:top w:val="nil"/>
              <w:left w:val="nil"/>
              <w:bottom w:val="nil"/>
              <w:right w:val="nil"/>
            </w:tcBorders>
            <w:noWrap/>
            <w:hideMark/>
          </w:tcPr>
          <w:p w14:paraId="6B322C48"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Marine</w:t>
            </w:r>
          </w:p>
        </w:tc>
        <w:tc>
          <w:tcPr>
            <w:tcW w:w="2627" w:type="dxa"/>
            <w:tcBorders>
              <w:top w:val="nil"/>
              <w:left w:val="nil"/>
              <w:bottom w:val="nil"/>
              <w:right w:val="nil"/>
            </w:tcBorders>
            <w:noWrap/>
            <w:hideMark/>
          </w:tcPr>
          <w:p w14:paraId="7ED9B14D"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61A3F720" w14:textId="77777777" w:rsidTr="002E25CC">
        <w:trPr>
          <w:trHeight w:val="321"/>
        </w:trPr>
        <w:tc>
          <w:tcPr>
            <w:tcW w:w="2584" w:type="dxa"/>
            <w:tcBorders>
              <w:top w:val="nil"/>
              <w:left w:val="nil"/>
              <w:bottom w:val="nil"/>
              <w:right w:val="nil"/>
            </w:tcBorders>
            <w:noWrap/>
            <w:hideMark/>
          </w:tcPr>
          <w:p w14:paraId="75A2BBA5" w14:textId="77777777" w:rsidR="002E25CC" w:rsidRDefault="002E25CC">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Tripathi</w:t>
            </w:r>
            <w:proofErr w:type="spellEnd"/>
            <w:r>
              <w:rPr>
                <w:rFonts w:ascii="Calibri" w:eastAsia="Times New Roman" w:hAnsi="Calibri" w:cs="Calibri"/>
                <w:color w:val="000000"/>
                <w:lang w:eastAsia="en-GB"/>
              </w:rPr>
              <w:t xml:space="preserve"> and Pandey 2014</w:t>
            </w:r>
          </w:p>
        </w:tc>
        <w:tc>
          <w:tcPr>
            <w:tcW w:w="2317" w:type="dxa"/>
            <w:tcBorders>
              <w:top w:val="nil"/>
              <w:left w:val="nil"/>
              <w:bottom w:val="nil"/>
              <w:right w:val="nil"/>
            </w:tcBorders>
            <w:noWrap/>
            <w:hideMark/>
          </w:tcPr>
          <w:p w14:paraId="7F05A612"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Cadmium</w:t>
            </w:r>
          </w:p>
        </w:tc>
        <w:tc>
          <w:tcPr>
            <w:tcW w:w="1583" w:type="dxa"/>
            <w:tcBorders>
              <w:top w:val="nil"/>
              <w:left w:val="nil"/>
              <w:bottom w:val="nil"/>
              <w:right w:val="nil"/>
            </w:tcBorders>
            <w:hideMark/>
          </w:tcPr>
          <w:p w14:paraId="16C0F2F5"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37.50 µg/l</w:t>
            </w:r>
          </w:p>
        </w:tc>
        <w:tc>
          <w:tcPr>
            <w:tcW w:w="2858" w:type="dxa"/>
            <w:tcBorders>
              <w:top w:val="nil"/>
              <w:left w:val="nil"/>
              <w:bottom w:val="nil"/>
              <w:right w:val="nil"/>
            </w:tcBorders>
            <w:noWrap/>
            <w:hideMark/>
          </w:tcPr>
          <w:p w14:paraId="03356292" w14:textId="77777777" w:rsidR="002E25CC" w:rsidRDefault="002E25CC">
            <w:pPr>
              <w:rPr>
                <w:rFonts w:ascii="Calibri" w:eastAsia="Times New Roman" w:hAnsi="Calibri" w:cs="Calibri"/>
                <w:i/>
                <w:iCs/>
                <w:color w:val="000000"/>
                <w:lang w:eastAsia="en-GB"/>
              </w:rPr>
            </w:pPr>
            <w:proofErr w:type="spellStart"/>
            <w:r>
              <w:rPr>
                <w:rFonts w:ascii="Calibri" w:eastAsia="Times New Roman" w:hAnsi="Calibri" w:cs="Calibri"/>
                <w:i/>
                <w:iCs/>
                <w:color w:val="000000"/>
                <w:lang w:eastAsia="en-GB"/>
              </w:rPr>
              <w:t>Macrobrachium</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dayanum</w:t>
            </w:r>
            <w:proofErr w:type="spellEnd"/>
          </w:p>
        </w:tc>
        <w:tc>
          <w:tcPr>
            <w:tcW w:w="1840" w:type="dxa"/>
            <w:tcBorders>
              <w:top w:val="nil"/>
              <w:left w:val="nil"/>
              <w:bottom w:val="nil"/>
              <w:right w:val="nil"/>
            </w:tcBorders>
            <w:noWrap/>
            <w:hideMark/>
          </w:tcPr>
          <w:p w14:paraId="32132C0B"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Freshwater</w:t>
            </w:r>
          </w:p>
        </w:tc>
        <w:tc>
          <w:tcPr>
            <w:tcW w:w="2627" w:type="dxa"/>
            <w:tcBorders>
              <w:top w:val="nil"/>
              <w:left w:val="nil"/>
              <w:bottom w:val="nil"/>
              <w:right w:val="nil"/>
            </w:tcBorders>
            <w:noWrap/>
            <w:hideMark/>
          </w:tcPr>
          <w:p w14:paraId="248D73E6"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No significant change</w:t>
            </w:r>
          </w:p>
        </w:tc>
      </w:tr>
      <w:tr w:rsidR="002E25CC" w14:paraId="303D6EE9" w14:textId="77777777" w:rsidTr="002E25CC">
        <w:trPr>
          <w:trHeight w:val="321"/>
        </w:trPr>
        <w:tc>
          <w:tcPr>
            <w:tcW w:w="2584" w:type="dxa"/>
            <w:tcBorders>
              <w:top w:val="nil"/>
              <w:left w:val="nil"/>
              <w:bottom w:val="nil"/>
              <w:right w:val="nil"/>
            </w:tcBorders>
            <w:noWrap/>
            <w:hideMark/>
          </w:tcPr>
          <w:p w14:paraId="6A4C65C8"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Mishra et al. 2018</w:t>
            </w:r>
          </w:p>
        </w:tc>
        <w:tc>
          <w:tcPr>
            <w:tcW w:w="2317" w:type="dxa"/>
            <w:tcBorders>
              <w:top w:val="nil"/>
              <w:left w:val="nil"/>
              <w:bottom w:val="nil"/>
              <w:right w:val="nil"/>
            </w:tcBorders>
            <w:noWrap/>
            <w:hideMark/>
          </w:tcPr>
          <w:p w14:paraId="0FE99DB9"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Copper, Potassium</w:t>
            </w:r>
          </w:p>
        </w:tc>
        <w:tc>
          <w:tcPr>
            <w:tcW w:w="1583" w:type="dxa"/>
            <w:tcBorders>
              <w:top w:val="nil"/>
              <w:left w:val="nil"/>
              <w:bottom w:val="nil"/>
              <w:right w:val="nil"/>
            </w:tcBorders>
            <w:hideMark/>
          </w:tcPr>
          <w:p w14:paraId="1054838C"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0.37 mg/l, 0.016 mg/l</w:t>
            </w:r>
          </w:p>
        </w:tc>
        <w:tc>
          <w:tcPr>
            <w:tcW w:w="2858" w:type="dxa"/>
            <w:tcBorders>
              <w:top w:val="nil"/>
              <w:left w:val="nil"/>
              <w:bottom w:val="nil"/>
              <w:right w:val="nil"/>
            </w:tcBorders>
            <w:noWrap/>
            <w:hideMark/>
          </w:tcPr>
          <w:p w14:paraId="15475453" w14:textId="77777777" w:rsidR="002E25CC" w:rsidRDefault="002E25CC">
            <w:pPr>
              <w:rPr>
                <w:rFonts w:ascii="Calibri" w:eastAsia="Times New Roman" w:hAnsi="Calibri" w:cs="Calibri"/>
                <w:i/>
                <w:iCs/>
                <w:color w:val="000000"/>
                <w:lang w:eastAsia="en-GB"/>
              </w:rPr>
            </w:pPr>
            <w:proofErr w:type="spellStart"/>
            <w:r>
              <w:rPr>
                <w:rFonts w:ascii="Calibri" w:eastAsia="Times New Roman" w:hAnsi="Calibri" w:cs="Calibri"/>
                <w:i/>
                <w:iCs/>
                <w:color w:val="000000"/>
                <w:lang w:eastAsia="en-GB"/>
              </w:rPr>
              <w:t>Simocephalus</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vetulus</w:t>
            </w:r>
            <w:proofErr w:type="spellEnd"/>
          </w:p>
        </w:tc>
        <w:tc>
          <w:tcPr>
            <w:tcW w:w="1840" w:type="dxa"/>
            <w:tcBorders>
              <w:top w:val="nil"/>
              <w:left w:val="nil"/>
              <w:bottom w:val="nil"/>
              <w:right w:val="nil"/>
            </w:tcBorders>
            <w:noWrap/>
            <w:hideMark/>
          </w:tcPr>
          <w:p w14:paraId="6C7AAC0C"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Freshwater</w:t>
            </w:r>
          </w:p>
        </w:tc>
        <w:tc>
          <w:tcPr>
            <w:tcW w:w="2627" w:type="dxa"/>
            <w:tcBorders>
              <w:top w:val="nil"/>
              <w:left w:val="nil"/>
              <w:bottom w:val="nil"/>
              <w:right w:val="nil"/>
            </w:tcBorders>
            <w:noWrap/>
            <w:hideMark/>
          </w:tcPr>
          <w:p w14:paraId="39273588"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4DEC9343" w14:textId="77777777" w:rsidTr="002E25CC">
        <w:trPr>
          <w:trHeight w:val="321"/>
        </w:trPr>
        <w:tc>
          <w:tcPr>
            <w:tcW w:w="2584" w:type="dxa"/>
            <w:tcBorders>
              <w:top w:val="nil"/>
              <w:left w:val="nil"/>
              <w:bottom w:val="nil"/>
              <w:right w:val="nil"/>
            </w:tcBorders>
            <w:noWrap/>
            <w:hideMark/>
          </w:tcPr>
          <w:p w14:paraId="3FD4A594" w14:textId="77777777" w:rsidR="002E25CC" w:rsidRDefault="002E25CC">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Krang</w:t>
            </w:r>
            <w:proofErr w:type="spellEnd"/>
            <w:r>
              <w:rPr>
                <w:rFonts w:ascii="Calibri" w:eastAsia="Times New Roman" w:hAnsi="Calibri" w:cs="Calibri"/>
                <w:color w:val="000000"/>
                <w:lang w:eastAsia="en-GB"/>
              </w:rPr>
              <w:t xml:space="preserve"> and </w:t>
            </w:r>
            <w:proofErr w:type="spellStart"/>
            <w:r>
              <w:rPr>
                <w:rFonts w:ascii="Calibri" w:eastAsia="Times New Roman" w:hAnsi="Calibri" w:cs="Calibri"/>
                <w:color w:val="000000"/>
                <w:lang w:eastAsia="en-GB"/>
              </w:rPr>
              <w:t>Ekerholm</w:t>
            </w:r>
            <w:proofErr w:type="spellEnd"/>
            <w:r>
              <w:rPr>
                <w:rFonts w:ascii="Calibri" w:eastAsia="Times New Roman" w:hAnsi="Calibri" w:cs="Calibri"/>
                <w:color w:val="000000"/>
                <w:lang w:eastAsia="en-GB"/>
              </w:rPr>
              <w:t xml:space="preserve"> 2006</w:t>
            </w:r>
          </w:p>
        </w:tc>
        <w:tc>
          <w:tcPr>
            <w:tcW w:w="2317" w:type="dxa"/>
            <w:tcBorders>
              <w:top w:val="nil"/>
              <w:left w:val="nil"/>
              <w:bottom w:val="nil"/>
              <w:right w:val="nil"/>
            </w:tcBorders>
            <w:noWrap/>
            <w:hideMark/>
          </w:tcPr>
          <w:p w14:paraId="5BE0FCCD"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Copper</w:t>
            </w:r>
          </w:p>
        </w:tc>
        <w:tc>
          <w:tcPr>
            <w:tcW w:w="1583" w:type="dxa"/>
            <w:tcBorders>
              <w:top w:val="nil"/>
              <w:left w:val="nil"/>
              <w:bottom w:val="nil"/>
              <w:right w:val="nil"/>
            </w:tcBorders>
            <w:hideMark/>
          </w:tcPr>
          <w:p w14:paraId="614F1CBD"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100.00 &amp; 500.00 µg/l</w:t>
            </w:r>
          </w:p>
        </w:tc>
        <w:tc>
          <w:tcPr>
            <w:tcW w:w="2858" w:type="dxa"/>
            <w:tcBorders>
              <w:top w:val="nil"/>
              <w:left w:val="nil"/>
              <w:bottom w:val="nil"/>
              <w:right w:val="nil"/>
            </w:tcBorders>
            <w:noWrap/>
            <w:hideMark/>
          </w:tcPr>
          <w:p w14:paraId="330E5774" w14:textId="77777777" w:rsidR="002E25CC" w:rsidRDefault="002E25CC">
            <w:pPr>
              <w:rPr>
                <w:rFonts w:ascii="Calibri" w:eastAsia="Times New Roman" w:hAnsi="Calibri" w:cs="Calibri"/>
                <w:i/>
                <w:iCs/>
                <w:color w:val="000000"/>
                <w:lang w:eastAsia="en-GB"/>
              </w:rPr>
            </w:pPr>
            <w:proofErr w:type="spellStart"/>
            <w:r>
              <w:rPr>
                <w:rFonts w:ascii="Calibri" w:eastAsia="Times New Roman" w:hAnsi="Calibri" w:cs="Calibri"/>
                <w:i/>
                <w:iCs/>
                <w:color w:val="000000"/>
                <w:lang w:eastAsia="en-GB"/>
              </w:rPr>
              <w:t>Carcinus</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maenus</w:t>
            </w:r>
            <w:proofErr w:type="spellEnd"/>
          </w:p>
        </w:tc>
        <w:tc>
          <w:tcPr>
            <w:tcW w:w="1840" w:type="dxa"/>
            <w:tcBorders>
              <w:top w:val="nil"/>
              <w:left w:val="nil"/>
              <w:bottom w:val="nil"/>
              <w:right w:val="nil"/>
            </w:tcBorders>
            <w:noWrap/>
            <w:hideMark/>
          </w:tcPr>
          <w:p w14:paraId="483DB9FB"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Marine</w:t>
            </w:r>
          </w:p>
        </w:tc>
        <w:tc>
          <w:tcPr>
            <w:tcW w:w="2627" w:type="dxa"/>
            <w:tcBorders>
              <w:top w:val="nil"/>
              <w:left w:val="nil"/>
              <w:bottom w:val="nil"/>
              <w:right w:val="nil"/>
            </w:tcBorders>
            <w:noWrap/>
            <w:hideMark/>
          </w:tcPr>
          <w:p w14:paraId="0314BEE9"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255A7588" w14:textId="77777777" w:rsidTr="002E25CC">
        <w:trPr>
          <w:trHeight w:val="321"/>
        </w:trPr>
        <w:tc>
          <w:tcPr>
            <w:tcW w:w="2584" w:type="dxa"/>
            <w:tcBorders>
              <w:top w:val="nil"/>
              <w:left w:val="nil"/>
              <w:bottom w:val="nil"/>
              <w:right w:val="nil"/>
            </w:tcBorders>
            <w:noWrap/>
            <w:hideMark/>
          </w:tcPr>
          <w:p w14:paraId="07DA480A" w14:textId="77777777" w:rsidR="002E25CC" w:rsidRDefault="002E25CC">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Mamdouh</w:t>
            </w:r>
            <w:proofErr w:type="spellEnd"/>
            <w:r>
              <w:rPr>
                <w:rFonts w:ascii="Calibri" w:eastAsia="Times New Roman" w:hAnsi="Calibri" w:cs="Calibri"/>
                <w:color w:val="000000"/>
                <w:lang w:eastAsia="en-GB"/>
              </w:rPr>
              <w:t xml:space="preserve"> et al. 2022</w:t>
            </w:r>
          </w:p>
        </w:tc>
        <w:tc>
          <w:tcPr>
            <w:tcW w:w="2317" w:type="dxa"/>
            <w:tcBorders>
              <w:top w:val="nil"/>
              <w:left w:val="nil"/>
              <w:bottom w:val="nil"/>
              <w:right w:val="nil"/>
            </w:tcBorders>
            <w:noWrap/>
            <w:hideMark/>
          </w:tcPr>
          <w:p w14:paraId="5C0A51D1"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Zinc</w:t>
            </w:r>
          </w:p>
        </w:tc>
        <w:tc>
          <w:tcPr>
            <w:tcW w:w="1583" w:type="dxa"/>
            <w:tcBorders>
              <w:top w:val="nil"/>
              <w:left w:val="nil"/>
              <w:bottom w:val="nil"/>
              <w:right w:val="nil"/>
            </w:tcBorders>
            <w:hideMark/>
          </w:tcPr>
          <w:p w14:paraId="12F1A2E2"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46.03 &amp; 92.06 mg/l</w:t>
            </w:r>
          </w:p>
        </w:tc>
        <w:tc>
          <w:tcPr>
            <w:tcW w:w="2858" w:type="dxa"/>
            <w:tcBorders>
              <w:top w:val="nil"/>
              <w:left w:val="nil"/>
              <w:bottom w:val="nil"/>
              <w:right w:val="nil"/>
            </w:tcBorders>
            <w:noWrap/>
            <w:hideMark/>
          </w:tcPr>
          <w:p w14:paraId="5B02776A" w14:textId="77777777" w:rsidR="002E25CC" w:rsidRDefault="002E25CC">
            <w:pPr>
              <w:rPr>
                <w:rFonts w:ascii="Calibri" w:eastAsia="Times New Roman" w:hAnsi="Calibri" w:cs="Calibri"/>
                <w:i/>
                <w:iCs/>
                <w:color w:val="000000"/>
                <w:lang w:eastAsia="en-GB"/>
              </w:rPr>
            </w:pPr>
            <w:proofErr w:type="spellStart"/>
            <w:r>
              <w:rPr>
                <w:rFonts w:ascii="Calibri" w:eastAsia="Times New Roman" w:hAnsi="Calibri" w:cs="Calibri"/>
                <w:i/>
                <w:iCs/>
                <w:color w:val="000000"/>
                <w:lang w:eastAsia="en-GB"/>
              </w:rPr>
              <w:t>Procambarus</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clarkii</w:t>
            </w:r>
            <w:proofErr w:type="spellEnd"/>
          </w:p>
        </w:tc>
        <w:tc>
          <w:tcPr>
            <w:tcW w:w="1840" w:type="dxa"/>
            <w:tcBorders>
              <w:top w:val="nil"/>
              <w:left w:val="nil"/>
              <w:bottom w:val="nil"/>
              <w:right w:val="nil"/>
            </w:tcBorders>
            <w:noWrap/>
            <w:hideMark/>
          </w:tcPr>
          <w:p w14:paraId="08AC0A02" w14:textId="77777777" w:rsidR="002E25CC" w:rsidRDefault="002E25CC">
            <w:pPr>
              <w:rPr>
                <w:rFonts w:ascii="Calibri" w:eastAsia="Times New Roman" w:hAnsi="Calibri" w:cs="Calibri"/>
                <w:i/>
                <w:iCs/>
                <w:color w:val="000000"/>
                <w:lang w:eastAsia="en-GB"/>
              </w:rPr>
            </w:pPr>
          </w:p>
        </w:tc>
        <w:tc>
          <w:tcPr>
            <w:tcW w:w="2627" w:type="dxa"/>
            <w:tcBorders>
              <w:top w:val="nil"/>
              <w:left w:val="nil"/>
              <w:bottom w:val="nil"/>
              <w:right w:val="nil"/>
            </w:tcBorders>
            <w:noWrap/>
            <w:hideMark/>
          </w:tcPr>
          <w:p w14:paraId="4B08A2CD"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5A4FD582" w14:textId="77777777" w:rsidTr="002E25CC">
        <w:trPr>
          <w:trHeight w:val="321"/>
        </w:trPr>
        <w:tc>
          <w:tcPr>
            <w:tcW w:w="2584" w:type="dxa"/>
            <w:tcBorders>
              <w:top w:val="nil"/>
              <w:left w:val="nil"/>
              <w:bottom w:val="nil"/>
              <w:right w:val="nil"/>
            </w:tcBorders>
            <w:noWrap/>
            <w:hideMark/>
          </w:tcPr>
          <w:p w14:paraId="1A5B9AD4"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White et al. 2013</w:t>
            </w:r>
          </w:p>
        </w:tc>
        <w:tc>
          <w:tcPr>
            <w:tcW w:w="2317" w:type="dxa"/>
            <w:tcBorders>
              <w:top w:val="nil"/>
              <w:left w:val="nil"/>
              <w:bottom w:val="nil"/>
              <w:right w:val="nil"/>
            </w:tcBorders>
            <w:noWrap/>
            <w:hideMark/>
          </w:tcPr>
          <w:p w14:paraId="474F883D"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Copper</w:t>
            </w:r>
          </w:p>
        </w:tc>
        <w:tc>
          <w:tcPr>
            <w:tcW w:w="1583" w:type="dxa"/>
            <w:tcBorders>
              <w:top w:val="nil"/>
              <w:left w:val="nil"/>
              <w:bottom w:val="nil"/>
              <w:right w:val="nil"/>
            </w:tcBorders>
            <w:hideMark/>
          </w:tcPr>
          <w:p w14:paraId="512A621A"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0.90 mg/l</w:t>
            </w:r>
          </w:p>
        </w:tc>
        <w:tc>
          <w:tcPr>
            <w:tcW w:w="2858" w:type="dxa"/>
            <w:tcBorders>
              <w:top w:val="nil"/>
              <w:left w:val="nil"/>
              <w:bottom w:val="nil"/>
              <w:right w:val="nil"/>
            </w:tcBorders>
            <w:noWrap/>
            <w:hideMark/>
          </w:tcPr>
          <w:p w14:paraId="62026665" w14:textId="77777777" w:rsidR="002E25CC" w:rsidRDefault="002E25CC">
            <w:pPr>
              <w:rPr>
                <w:rFonts w:ascii="Calibri" w:eastAsia="Times New Roman" w:hAnsi="Calibri" w:cs="Calibri"/>
                <w:i/>
                <w:iCs/>
                <w:color w:val="000000"/>
                <w:lang w:eastAsia="en-GB"/>
              </w:rPr>
            </w:pPr>
            <w:proofErr w:type="spellStart"/>
            <w:r>
              <w:rPr>
                <w:rFonts w:ascii="Calibri" w:eastAsia="Times New Roman" w:hAnsi="Calibri" w:cs="Calibri"/>
                <w:i/>
                <w:iCs/>
                <w:color w:val="000000"/>
                <w:lang w:eastAsia="en-GB"/>
              </w:rPr>
              <w:t>Pagurus</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bernhardus</w:t>
            </w:r>
            <w:proofErr w:type="spellEnd"/>
          </w:p>
        </w:tc>
        <w:tc>
          <w:tcPr>
            <w:tcW w:w="1840" w:type="dxa"/>
            <w:tcBorders>
              <w:top w:val="nil"/>
              <w:left w:val="nil"/>
              <w:bottom w:val="nil"/>
              <w:right w:val="nil"/>
            </w:tcBorders>
            <w:noWrap/>
            <w:hideMark/>
          </w:tcPr>
          <w:p w14:paraId="111F2090" w14:textId="77777777" w:rsidR="002E25CC" w:rsidRDefault="002E25CC">
            <w:pPr>
              <w:rPr>
                <w:rFonts w:ascii="Calibri" w:eastAsia="Times New Roman" w:hAnsi="Calibri" w:cs="Calibri"/>
                <w:i/>
                <w:iCs/>
                <w:color w:val="000000"/>
                <w:lang w:eastAsia="en-GB"/>
              </w:rPr>
            </w:pPr>
          </w:p>
        </w:tc>
        <w:tc>
          <w:tcPr>
            <w:tcW w:w="2627" w:type="dxa"/>
            <w:tcBorders>
              <w:top w:val="nil"/>
              <w:left w:val="nil"/>
              <w:bottom w:val="nil"/>
              <w:right w:val="nil"/>
            </w:tcBorders>
            <w:noWrap/>
            <w:hideMark/>
          </w:tcPr>
          <w:p w14:paraId="7230EF0E"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Decreased</w:t>
            </w:r>
          </w:p>
        </w:tc>
      </w:tr>
      <w:tr w:rsidR="002E25CC" w14:paraId="43E0CD02" w14:textId="77777777" w:rsidTr="002E25CC">
        <w:trPr>
          <w:trHeight w:val="321"/>
        </w:trPr>
        <w:tc>
          <w:tcPr>
            <w:tcW w:w="2584" w:type="dxa"/>
            <w:tcBorders>
              <w:top w:val="nil"/>
              <w:left w:val="nil"/>
              <w:bottom w:val="nil"/>
              <w:right w:val="nil"/>
            </w:tcBorders>
            <w:noWrap/>
            <w:hideMark/>
          </w:tcPr>
          <w:p w14:paraId="43BECBF2"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Woodman et al. 2016</w:t>
            </w:r>
          </w:p>
        </w:tc>
        <w:tc>
          <w:tcPr>
            <w:tcW w:w="2317" w:type="dxa"/>
            <w:tcBorders>
              <w:top w:val="nil"/>
              <w:left w:val="nil"/>
              <w:bottom w:val="nil"/>
              <w:right w:val="nil"/>
            </w:tcBorders>
            <w:noWrap/>
            <w:hideMark/>
          </w:tcPr>
          <w:p w14:paraId="09A2D617"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Sertraline</w:t>
            </w:r>
          </w:p>
        </w:tc>
        <w:tc>
          <w:tcPr>
            <w:tcW w:w="1583" w:type="dxa"/>
            <w:tcBorders>
              <w:top w:val="nil"/>
              <w:left w:val="nil"/>
              <w:bottom w:val="nil"/>
              <w:right w:val="nil"/>
            </w:tcBorders>
            <w:hideMark/>
          </w:tcPr>
          <w:p w14:paraId="46FBD54C"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424.00 ng/l</w:t>
            </w:r>
          </w:p>
        </w:tc>
        <w:tc>
          <w:tcPr>
            <w:tcW w:w="2858" w:type="dxa"/>
            <w:tcBorders>
              <w:top w:val="nil"/>
              <w:left w:val="nil"/>
              <w:bottom w:val="nil"/>
              <w:right w:val="nil"/>
            </w:tcBorders>
            <w:noWrap/>
            <w:hideMark/>
          </w:tcPr>
          <w:p w14:paraId="46328D24" w14:textId="77777777" w:rsidR="002E25CC" w:rsidRDefault="002E25CC">
            <w:pPr>
              <w:rPr>
                <w:rFonts w:ascii="Calibri" w:eastAsia="Times New Roman" w:hAnsi="Calibri" w:cs="Calibri"/>
                <w:i/>
                <w:iCs/>
                <w:color w:val="000000"/>
                <w:lang w:eastAsia="en-GB"/>
              </w:rPr>
            </w:pPr>
            <w:proofErr w:type="spellStart"/>
            <w:r>
              <w:rPr>
                <w:rFonts w:ascii="Calibri" w:eastAsia="Times New Roman" w:hAnsi="Calibri" w:cs="Calibri"/>
                <w:i/>
                <w:iCs/>
                <w:color w:val="000000"/>
                <w:lang w:eastAsia="en-GB"/>
              </w:rPr>
              <w:t>Orconectes</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virilis</w:t>
            </w:r>
            <w:proofErr w:type="spellEnd"/>
          </w:p>
        </w:tc>
        <w:tc>
          <w:tcPr>
            <w:tcW w:w="1840" w:type="dxa"/>
            <w:tcBorders>
              <w:top w:val="nil"/>
              <w:left w:val="nil"/>
              <w:bottom w:val="nil"/>
              <w:right w:val="nil"/>
            </w:tcBorders>
            <w:noWrap/>
            <w:hideMark/>
          </w:tcPr>
          <w:p w14:paraId="1C5D7153" w14:textId="77777777" w:rsidR="002E25CC" w:rsidRDefault="002E25CC">
            <w:pPr>
              <w:rPr>
                <w:rFonts w:ascii="Calibri" w:eastAsia="Times New Roman" w:hAnsi="Calibri" w:cs="Calibri"/>
                <w:i/>
                <w:iCs/>
                <w:color w:val="000000"/>
                <w:lang w:eastAsia="en-GB"/>
              </w:rPr>
            </w:pPr>
          </w:p>
        </w:tc>
        <w:tc>
          <w:tcPr>
            <w:tcW w:w="2627" w:type="dxa"/>
            <w:tcBorders>
              <w:top w:val="nil"/>
              <w:left w:val="nil"/>
              <w:bottom w:val="nil"/>
              <w:right w:val="nil"/>
            </w:tcBorders>
            <w:noWrap/>
            <w:hideMark/>
          </w:tcPr>
          <w:p w14:paraId="47D14F6C"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1DC02097" w14:textId="77777777" w:rsidTr="002E25CC">
        <w:trPr>
          <w:trHeight w:val="321"/>
        </w:trPr>
        <w:tc>
          <w:tcPr>
            <w:tcW w:w="2584" w:type="dxa"/>
            <w:tcBorders>
              <w:top w:val="nil"/>
              <w:left w:val="nil"/>
              <w:bottom w:val="nil"/>
              <w:right w:val="nil"/>
            </w:tcBorders>
            <w:noWrap/>
            <w:hideMark/>
          </w:tcPr>
          <w:p w14:paraId="22259959" w14:textId="77777777" w:rsidR="002E25CC" w:rsidRDefault="002E25CC">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Reichmuth</w:t>
            </w:r>
            <w:proofErr w:type="spellEnd"/>
            <w:r>
              <w:rPr>
                <w:rFonts w:ascii="Calibri" w:eastAsia="Times New Roman" w:hAnsi="Calibri" w:cs="Calibri"/>
                <w:color w:val="000000"/>
                <w:lang w:eastAsia="en-GB"/>
              </w:rPr>
              <w:t xml:space="preserve"> et al. 2011</w:t>
            </w:r>
          </w:p>
        </w:tc>
        <w:tc>
          <w:tcPr>
            <w:tcW w:w="2317" w:type="dxa"/>
            <w:tcBorders>
              <w:top w:val="nil"/>
              <w:left w:val="nil"/>
              <w:bottom w:val="nil"/>
              <w:right w:val="nil"/>
            </w:tcBorders>
            <w:noWrap/>
            <w:hideMark/>
          </w:tcPr>
          <w:p w14:paraId="1778BA16"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Polluted sites</w:t>
            </w:r>
          </w:p>
        </w:tc>
        <w:tc>
          <w:tcPr>
            <w:tcW w:w="1583" w:type="dxa"/>
            <w:tcBorders>
              <w:top w:val="nil"/>
              <w:left w:val="nil"/>
              <w:bottom w:val="nil"/>
              <w:right w:val="nil"/>
            </w:tcBorders>
            <w:hideMark/>
          </w:tcPr>
          <w:p w14:paraId="0D878DCD"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NA</w:t>
            </w:r>
          </w:p>
        </w:tc>
        <w:tc>
          <w:tcPr>
            <w:tcW w:w="2858" w:type="dxa"/>
            <w:tcBorders>
              <w:top w:val="nil"/>
              <w:left w:val="nil"/>
              <w:bottom w:val="nil"/>
              <w:right w:val="nil"/>
            </w:tcBorders>
            <w:noWrap/>
            <w:hideMark/>
          </w:tcPr>
          <w:p w14:paraId="2457A09B" w14:textId="77777777" w:rsidR="002E25CC" w:rsidRDefault="002E25CC">
            <w:pPr>
              <w:rPr>
                <w:rFonts w:ascii="Calibri" w:eastAsia="Times New Roman" w:hAnsi="Calibri" w:cs="Calibri"/>
                <w:i/>
                <w:iCs/>
                <w:color w:val="000000"/>
                <w:lang w:eastAsia="en-GB"/>
              </w:rPr>
            </w:pPr>
            <w:proofErr w:type="spellStart"/>
            <w:r>
              <w:rPr>
                <w:rFonts w:ascii="Calibri" w:eastAsia="Times New Roman" w:hAnsi="Calibri" w:cs="Calibri"/>
                <w:i/>
                <w:iCs/>
                <w:color w:val="000000"/>
                <w:lang w:eastAsia="en-GB"/>
              </w:rPr>
              <w:t>Callinectes</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sapidus</w:t>
            </w:r>
            <w:proofErr w:type="spellEnd"/>
          </w:p>
        </w:tc>
        <w:tc>
          <w:tcPr>
            <w:tcW w:w="1840" w:type="dxa"/>
            <w:tcBorders>
              <w:top w:val="nil"/>
              <w:left w:val="nil"/>
              <w:bottom w:val="nil"/>
              <w:right w:val="nil"/>
            </w:tcBorders>
            <w:noWrap/>
            <w:hideMark/>
          </w:tcPr>
          <w:p w14:paraId="50B91773"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Marine</w:t>
            </w:r>
          </w:p>
        </w:tc>
        <w:tc>
          <w:tcPr>
            <w:tcW w:w="2627" w:type="dxa"/>
            <w:tcBorders>
              <w:top w:val="nil"/>
              <w:left w:val="nil"/>
              <w:bottom w:val="nil"/>
              <w:right w:val="nil"/>
            </w:tcBorders>
            <w:noWrap/>
            <w:hideMark/>
          </w:tcPr>
          <w:p w14:paraId="67C57902"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39CE7126" w14:textId="77777777" w:rsidTr="002E25CC">
        <w:trPr>
          <w:trHeight w:val="321"/>
        </w:trPr>
        <w:tc>
          <w:tcPr>
            <w:tcW w:w="2584" w:type="dxa"/>
            <w:tcBorders>
              <w:top w:val="nil"/>
              <w:left w:val="nil"/>
              <w:bottom w:val="nil"/>
              <w:right w:val="nil"/>
            </w:tcBorders>
            <w:noWrap/>
            <w:hideMark/>
          </w:tcPr>
          <w:p w14:paraId="6EAEF2AE"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Tierney et al. 2016</w:t>
            </w:r>
          </w:p>
        </w:tc>
        <w:tc>
          <w:tcPr>
            <w:tcW w:w="2317" w:type="dxa"/>
            <w:tcBorders>
              <w:top w:val="nil"/>
              <w:left w:val="nil"/>
              <w:bottom w:val="nil"/>
              <w:right w:val="nil"/>
            </w:tcBorders>
            <w:noWrap/>
            <w:hideMark/>
          </w:tcPr>
          <w:p w14:paraId="48A0F565"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Fluoxetine</w:t>
            </w:r>
          </w:p>
        </w:tc>
        <w:tc>
          <w:tcPr>
            <w:tcW w:w="1583" w:type="dxa"/>
            <w:tcBorders>
              <w:top w:val="nil"/>
              <w:left w:val="nil"/>
              <w:bottom w:val="nil"/>
              <w:right w:val="nil"/>
            </w:tcBorders>
            <w:hideMark/>
          </w:tcPr>
          <w:p w14:paraId="61F30B04"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2.00, 200.00, &amp; 500.00 µg/l</w:t>
            </w:r>
          </w:p>
        </w:tc>
        <w:tc>
          <w:tcPr>
            <w:tcW w:w="2858" w:type="dxa"/>
            <w:tcBorders>
              <w:top w:val="nil"/>
              <w:left w:val="nil"/>
              <w:bottom w:val="nil"/>
              <w:right w:val="nil"/>
            </w:tcBorders>
            <w:noWrap/>
            <w:hideMark/>
          </w:tcPr>
          <w:p w14:paraId="43FA84CD" w14:textId="77777777" w:rsidR="002E25CC" w:rsidRDefault="002E25CC">
            <w:pPr>
              <w:rPr>
                <w:rFonts w:ascii="Calibri" w:eastAsia="Times New Roman" w:hAnsi="Calibri" w:cs="Calibri"/>
                <w:i/>
                <w:iCs/>
                <w:color w:val="000000"/>
                <w:lang w:eastAsia="en-GB"/>
              </w:rPr>
            </w:pPr>
            <w:proofErr w:type="spellStart"/>
            <w:r>
              <w:rPr>
                <w:rFonts w:ascii="Calibri" w:eastAsia="Times New Roman" w:hAnsi="Calibri" w:cs="Calibri"/>
                <w:i/>
                <w:iCs/>
                <w:color w:val="000000"/>
                <w:lang w:eastAsia="en-GB"/>
              </w:rPr>
              <w:t>Orconectes</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rusticus</w:t>
            </w:r>
            <w:proofErr w:type="spellEnd"/>
          </w:p>
        </w:tc>
        <w:tc>
          <w:tcPr>
            <w:tcW w:w="1840" w:type="dxa"/>
            <w:tcBorders>
              <w:top w:val="nil"/>
              <w:left w:val="nil"/>
              <w:bottom w:val="nil"/>
              <w:right w:val="nil"/>
            </w:tcBorders>
            <w:noWrap/>
            <w:hideMark/>
          </w:tcPr>
          <w:p w14:paraId="7CC578F9" w14:textId="77777777" w:rsidR="002E25CC" w:rsidRDefault="002E25CC">
            <w:pPr>
              <w:rPr>
                <w:rFonts w:ascii="Calibri" w:eastAsia="Times New Roman" w:hAnsi="Calibri" w:cs="Calibri"/>
                <w:i/>
                <w:iCs/>
                <w:color w:val="000000"/>
                <w:lang w:eastAsia="en-GB"/>
              </w:rPr>
            </w:pPr>
          </w:p>
        </w:tc>
        <w:tc>
          <w:tcPr>
            <w:tcW w:w="2627" w:type="dxa"/>
            <w:tcBorders>
              <w:top w:val="nil"/>
              <w:left w:val="nil"/>
              <w:bottom w:val="nil"/>
              <w:right w:val="nil"/>
            </w:tcBorders>
            <w:noWrap/>
            <w:hideMark/>
          </w:tcPr>
          <w:p w14:paraId="3EBED3C1"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Decreased</w:t>
            </w:r>
          </w:p>
        </w:tc>
      </w:tr>
      <w:tr w:rsidR="002E25CC" w14:paraId="44EC3D1E" w14:textId="77777777" w:rsidTr="002E25CC">
        <w:trPr>
          <w:trHeight w:val="321"/>
        </w:trPr>
        <w:tc>
          <w:tcPr>
            <w:tcW w:w="2584" w:type="dxa"/>
            <w:tcBorders>
              <w:top w:val="nil"/>
              <w:left w:val="nil"/>
              <w:bottom w:val="nil"/>
              <w:right w:val="nil"/>
            </w:tcBorders>
            <w:noWrap/>
            <w:hideMark/>
          </w:tcPr>
          <w:p w14:paraId="3FD79712"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 xml:space="preserve">Lugo and </w:t>
            </w:r>
            <w:proofErr w:type="spellStart"/>
            <w:r>
              <w:rPr>
                <w:rFonts w:ascii="Calibri" w:eastAsia="Times New Roman" w:hAnsi="Calibri" w:cs="Calibri"/>
                <w:color w:val="000000"/>
                <w:lang w:eastAsia="en-GB"/>
              </w:rPr>
              <w:t>Llorens</w:t>
            </w:r>
            <w:proofErr w:type="spellEnd"/>
            <w:r>
              <w:rPr>
                <w:rFonts w:ascii="Calibri" w:eastAsia="Times New Roman" w:hAnsi="Calibri" w:cs="Calibri"/>
                <w:color w:val="000000"/>
                <w:lang w:eastAsia="en-GB"/>
              </w:rPr>
              <w:t xml:space="preserve"> 2015</w:t>
            </w:r>
          </w:p>
        </w:tc>
        <w:tc>
          <w:tcPr>
            <w:tcW w:w="2317" w:type="dxa"/>
            <w:tcBorders>
              <w:top w:val="nil"/>
              <w:left w:val="nil"/>
              <w:bottom w:val="nil"/>
              <w:right w:val="nil"/>
            </w:tcBorders>
            <w:noWrap/>
            <w:hideMark/>
          </w:tcPr>
          <w:p w14:paraId="4CCB6654" w14:textId="77777777" w:rsidR="002E25CC" w:rsidRDefault="002E25CC">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Dibuthyl</w:t>
            </w:r>
            <w:proofErr w:type="spellEnd"/>
            <w:r>
              <w:rPr>
                <w:rFonts w:ascii="Calibri" w:eastAsia="Times New Roman" w:hAnsi="Calibri" w:cs="Calibri"/>
                <w:color w:val="000000"/>
                <w:lang w:eastAsia="en-GB"/>
              </w:rPr>
              <w:t xml:space="preserve"> phthalate</w:t>
            </w:r>
          </w:p>
        </w:tc>
        <w:tc>
          <w:tcPr>
            <w:tcW w:w="1583" w:type="dxa"/>
            <w:tcBorders>
              <w:top w:val="nil"/>
              <w:left w:val="nil"/>
              <w:bottom w:val="nil"/>
              <w:right w:val="nil"/>
            </w:tcBorders>
            <w:hideMark/>
          </w:tcPr>
          <w:p w14:paraId="322187B9" w14:textId="77777777" w:rsidR="002E25CC" w:rsidRDefault="002E25CC">
            <w:pPr>
              <w:rPr>
                <w:rFonts w:ascii="Arial,Italic" w:eastAsia="Times New Roman" w:hAnsi="Arial,Italic" w:cs="Calibri"/>
                <w:color w:val="000000"/>
                <w:lang w:eastAsia="en-GB"/>
              </w:rPr>
            </w:pPr>
            <w:r>
              <w:rPr>
                <w:rFonts w:ascii="Arial,Italic" w:eastAsia="Times New Roman" w:hAnsi="Arial,Italic" w:cs="Calibri"/>
                <w:color w:val="000000"/>
                <w:lang w:eastAsia="en-GB"/>
              </w:rPr>
              <w:t>0.006 mg/l</w:t>
            </w:r>
          </w:p>
        </w:tc>
        <w:tc>
          <w:tcPr>
            <w:tcW w:w="2858" w:type="dxa"/>
            <w:tcBorders>
              <w:top w:val="nil"/>
              <w:left w:val="nil"/>
              <w:bottom w:val="nil"/>
              <w:right w:val="nil"/>
            </w:tcBorders>
            <w:noWrap/>
            <w:hideMark/>
          </w:tcPr>
          <w:p w14:paraId="4B608A90" w14:textId="77777777" w:rsidR="002E25CC" w:rsidRDefault="002E25CC">
            <w:pPr>
              <w:rPr>
                <w:rFonts w:ascii="Calibri" w:eastAsia="Times New Roman" w:hAnsi="Calibri" w:cs="Calibri"/>
                <w:i/>
                <w:iCs/>
                <w:color w:val="000000"/>
                <w:lang w:eastAsia="en-GB"/>
              </w:rPr>
            </w:pPr>
            <w:proofErr w:type="spellStart"/>
            <w:r>
              <w:rPr>
                <w:rFonts w:ascii="Arial,Italic" w:eastAsia="Times New Roman" w:hAnsi="Arial,Italic" w:cs="Calibri"/>
                <w:i/>
                <w:iCs/>
                <w:color w:val="000000"/>
                <w:lang w:eastAsia="en-GB"/>
              </w:rPr>
              <w:t>Macrobrachium</w:t>
            </w:r>
            <w:proofErr w:type="spellEnd"/>
            <w:r>
              <w:rPr>
                <w:rFonts w:ascii="Arial,Italic" w:eastAsia="Times New Roman" w:hAnsi="Arial,Italic" w:cs="Calibri"/>
                <w:i/>
                <w:iCs/>
                <w:color w:val="000000"/>
                <w:lang w:eastAsia="en-GB"/>
              </w:rPr>
              <w:t xml:space="preserve"> </w:t>
            </w:r>
            <w:proofErr w:type="spellStart"/>
            <w:r>
              <w:rPr>
                <w:rFonts w:ascii="Arial,Italic" w:eastAsia="Times New Roman" w:hAnsi="Arial,Italic" w:cs="Calibri"/>
                <w:i/>
                <w:iCs/>
                <w:color w:val="000000"/>
                <w:lang w:eastAsia="en-GB"/>
              </w:rPr>
              <w:t>carcinus</w:t>
            </w:r>
            <w:proofErr w:type="spellEnd"/>
            <w:r>
              <w:rPr>
                <w:rFonts w:ascii="Arial,Italic" w:eastAsia="Times New Roman" w:hAnsi="Arial,Italic" w:cs="Calibri"/>
                <w:i/>
                <w:iCs/>
                <w:color w:val="000000"/>
                <w:lang w:eastAsia="en-GB"/>
              </w:rPr>
              <w:t xml:space="preserve"> </w:t>
            </w:r>
          </w:p>
        </w:tc>
        <w:tc>
          <w:tcPr>
            <w:tcW w:w="1840" w:type="dxa"/>
            <w:tcBorders>
              <w:top w:val="nil"/>
              <w:left w:val="nil"/>
              <w:bottom w:val="nil"/>
              <w:right w:val="nil"/>
            </w:tcBorders>
            <w:noWrap/>
            <w:hideMark/>
          </w:tcPr>
          <w:p w14:paraId="51B0A5A8"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Freshwater</w:t>
            </w:r>
          </w:p>
        </w:tc>
        <w:tc>
          <w:tcPr>
            <w:tcW w:w="2627" w:type="dxa"/>
            <w:tcBorders>
              <w:top w:val="nil"/>
              <w:left w:val="nil"/>
              <w:bottom w:val="nil"/>
              <w:right w:val="nil"/>
            </w:tcBorders>
            <w:noWrap/>
            <w:hideMark/>
          </w:tcPr>
          <w:p w14:paraId="00CFF4BA"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5D6118EC" w14:textId="77777777" w:rsidTr="002E25CC">
        <w:trPr>
          <w:trHeight w:val="321"/>
        </w:trPr>
        <w:tc>
          <w:tcPr>
            <w:tcW w:w="2584" w:type="dxa"/>
            <w:tcBorders>
              <w:top w:val="nil"/>
              <w:left w:val="nil"/>
              <w:bottom w:val="nil"/>
              <w:right w:val="nil"/>
            </w:tcBorders>
            <w:noWrap/>
          </w:tcPr>
          <w:p w14:paraId="35F16E8F" w14:textId="77777777" w:rsidR="002E25CC" w:rsidRDefault="002E25CC">
            <w:pPr>
              <w:rPr>
                <w:rFonts w:ascii="Calibri" w:eastAsia="Times New Roman" w:hAnsi="Calibri" w:cs="Calibri"/>
                <w:color w:val="000000"/>
                <w:lang w:eastAsia="en-GB"/>
              </w:rPr>
            </w:pPr>
          </w:p>
        </w:tc>
        <w:tc>
          <w:tcPr>
            <w:tcW w:w="2317" w:type="dxa"/>
            <w:tcBorders>
              <w:top w:val="nil"/>
              <w:left w:val="nil"/>
              <w:bottom w:val="nil"/>
              <w:right w:val="nil"/>
            </w:tcBorders>
            <w:noWrap/>
            <w:hideMark/>
          </w:tcPr>
          <w:p w14:paraId="0A2B2DE8"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Chromium</w:t>
            </w:r>
          </w:p>
        </w:tc>
        <w:tc>
          <w:tcPr>
            <w:tcW w:w="1583" w:type="dxa"/>
            <w:tcBorders>
              <w:top w:val="nil"/>
              <w:left w:val="nil"/>
              <w:bottom w:val="nil"/>
              <w:right w:val="nil"/>
            </w:tcBorders>
            <w:hideMark/>
          </w:tcPr>
          <w:p w14:paraId="358CDB79" w14:textId="77777777" w:rsidR="002E25CC" w:rsidRDefault="002E25CC">
            <w:pPr>
              <w:rPr>
                <w:rFonts w:ascii="Arial,Italic" w:eastAsia="Times New Roman" w:hAnsi="Arial,Italic" w:cs="Calibri"/>
                <w:color w:val="000000"/>
                <w:lang w:eastAsia="en-GB"/>
              </w:rPr>
            </w:pPr>
            <w:r>
              <w:rPr>
                <w:rFonts w:ascii="Arial,Italic" w:eastAsia="Times New Roman" w:hAnsi="Arial,Italic" w:cs="Calibri"/>
                <w:color w:val="000000"/>
                <w:lang w:eastAsia="en-GB"/>
              </w:rPr>
              <w:t>0.10 mg/l</w:t>
            </w:r>
          </w:p>
        </w:tc>
        <w:tc>
          <w:tcPr>
            <w:tcW w:w="2858" w:type="dxa"/>
            <w:tcBorders>
              <w:top w:val="nil"/>
              <w:left w:val="nil"/>
              <w:bottom w:val="nil"/>
              <w:right w:val="nil"/>
            </w:tcBorders>
            <w:noWrap/>
            <w:hideMark/>
          </w:tcPr>
          <w:p w14:paraId="77CC81A7" w14:textId="77777777" w:rsidR="002E25CC" w:rsidRDefault="002E25CC">
            <w:pPr>
              <w:rPr>
                <w:rFonts w:ascii="Calibri" w:eastAsia="Times New Roman" w:hAnsi="Calibri" w:cs="Calibri"/>
                <w:i/>
                <w:iCs/>
                <w:color w:val="000000"/>
                <w:lang w:eastAsia="en-GB"/>
              </w:rPr>
            </w:pPr>
            <w:proofErr w:type="spellStart"/>
            <w:r>
              <w:rPr>
                <w:rFonts w:ascii="Arial,Italic" w:eastAsia="Times New Roman" w:hAnsi="Arial,Italic" w:cs="Calibri"/>
                <w:i/>
                <w:iCs/>
                <w:color w:val="000000"/>
                <w:lang w:eastAsia="en-GB"/>
              </w:rPr>
              <w:t>Macrobrachium</w:t>
            </w:r>
            <w:proofErr w:type="spellEnd"/>
            <w:r>
              <w:rPr>
                <w:rFonts w:ascii="Arial,Italic" w:eastAsia="Times New Roman" w:hAnsi="Arial,Italic" w:cs="Calibri"/>
                <w:i/>
                <w:iCs/>
                <w:color w:val="000000"/>
                <w:lang w:eastAsia="en-GB"/>
              </w:rPr>
              <w:t xml:space="preserve"> </w:t>
            </w:r>
            <w:proofErr w:type="spellStart"/>
            <w:r>
              <w:rPr>
                <w:rFonts w:ascii="Arial,Italic" w:eastAsia="Times New Roman" w:hAnsi="Arial,Italic" w:cs="Calibri"/>
                <w:i/>
                <w:iCs/>
                <w:color w:val="000000"/>
                <w:lang w:eastAsia="en-GB"/>
              </w:rPr>
              <w:t>carcinus</w:t>
            </w:r>
            <w:proofErr w:type="spellEnd"/>
            <w:r>
              <w:rPr>
                <w:rFonts w:ascii="Arial,Italic" w:eastAsia="Times New Roman" w:hAnsi="Arial,Italic" w:cs="Calibri"/>
                <w:i/>
                <w:iCs/>
                <w:color w:val="000000"/>
                <w:lang w:eastAsia="en-GB"/>
              </w:rPr>
              <w:t xml:space="preserve"> </w:t>
            </w:r>
          </w:p>
        </w:tc>
        <w:tc>
          <w:tcPr>
            <w:tcW w:w="1840" w:type="dxa"/>
            <w:tcBorders>
              <w:top w:val="nil"/>
              <w:left w:val="nil"/>
              <w:bottom w:val="nil"/>
              <w:right w:val="nil"/>
            </w:tcBorders>
            <w:noWrap/>
            <w:hideMark/>
          </w:tcPr>
          <w:p w14:paraId="7B96D58E"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Freshwater</w:t>
            </w:r>
          </w:p>
        </w:tc>
        <w:tc>
          <w:tcPr>
            <w:tcW w:w="2627" w:type="dxa"/>
            <w:tcBorders>
              <w:top w:val="nil"/>
              <w:left w:val="nil"/>
              <w:bottom w:val="nil"/>
              <w:right w:val="nil"/>
            </w:tcBorders>
            <w:noWrap/>
            <w:hideMark/>
          </w:tcPr>
          <w:p w14:paraId="648BAC62"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079FF60E" w14:textId="77777777" w:rsidTr="002E25CC">
        <w:trPr>
          <w:trHeight w:val="321"/>
        </w:trPr>
        <w:tc>
          <w:tcPr>
            <w:tcW w:w="2584" w:type="dxa"/>
            <w:tcBorders>
              <w:top w:val="nil"/>
              <w:left w:val="nil"/>
              <w:bottom w:val="nil"/>
              <w:right w:val="nil"/>
            </w:tcBorders>
            <w:noWrap/>
          </w:tcPr>
          <w:p w14:paraId="7105F018" w14:textId="77777777" w:rsidR="002E25CC" w:rsidRDefault="002E25CC">
            <w:pPr>
              <w:rPr>
                <w:rFonts w:ascii="Calibri" w:eastAsia="Times New Roman" w:hAnsi="Calibri" w:cs="Calibri"/>
                <w:color w:val="000000"/>
                <w:lang w:eastAsia="en-GB"/>
              </w:rPr>
            </w:pPr>
          </w:p>
        </w:tc>
        <w:tc>
          <w:tcPr>
            <w:tcW w:w="2317" w:type="dxa"/>
            <w:tcBorders>
              <w:top w:val="nil"/>
              <w:left w:val="nil"/>
              <w:bottom w:val="nil"/>
              <w:right w:val="nil"/>
            </w:tcBorders>
            <w:noWrap/>
            <w:hideMark/>
          </w:tcPr>
          <w:p w14:paraId="0BD8CB2C"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Cadmium</w:t>
            </w:r>
          </w:p>
        </w:tc>
        <w:tc>
          <w:tcPr>
            <w:tcW w:w="1583" w:type="dxa"/>
            <w:tcBorders>
              <w:top w:val="nil"/>
              <w:left w:val="nil"/>
              <w:bottom w:val="nil"/>
              <w:right w:val="nil"/>
            </w:tcBorders>
            <w:hideMark/>
          </w:tcPr>
          <w:p w14:paraId="16F7139B" w14:textId="77777777" w:rsidR="002E25CC" w:rsidRDefault="002E25CC">
            <w:pPr>
              <w:rPr>
                <w:rFonts w:ascii="Arial,Italic" w:eastAsia="Times New Roman" w:hAnsi="Arial,Italic" w:cs="Calibri"/>
                <w:color w:val="000000"/>
                <w:lang w:eastAsia="en-GB"/>
              </w:rPr>
            </w:pPr>
            <w:r>
              <w:rPr>
                <w:rFonts w:ascii="Arial,Italic" w:eastAsia="Times New Roman" w:hAnsi="Arial,Italic" w:cs="Calibri"/>
                <w:color w:val="000000"/>
                <w:lang w:eastAsia="en-GB"/>
              </w:rPr>
              <w:t>0.005 mg/l</w:t>
            </w:r>
          </w:p>
        </w:tc>
        <w:tc>
          <w:tcPr>
            <w:tcW w:w="2858" w:type="dxa"/>
            <w:tcBorders>
              <w:top w:val="nil"/>
              <w:left w:val="nil"/>
              <w:bottom w:val="nil"/>
              <w:right w:val="nil"/>
            </w:tcBorders>
            <w:noWrap/>
            <w:hideMark/>
          </w:tcPr>
          <w:p w14:paraId="1FB7D2C3" w14:textId="77777777" w:rsidR="002E25CC" w:rsidRDefault="002E25CC">
            <w:pPr>
              <w:rPr>
                <w:rFonts w:ascii="Calibri" w:eastAsia="Times New Roman" w:hAnsi="Calibri" w:cs="Calibri"/>
                <w:i/>
                <w:iCs/>
                <w:color w:val="000000"/>
                <w:lang w:eastAsia="en-GB"/>
              </w:rPr>
            </w:pPr>
            <w:proofErr w:type="spellStart"/>
            <w:r>
              <w:rPr>
                <w:rFonts w:ascii="Arial,Italic" w:eastAsia="Times New Roman" w:hAnsi="Arial,Italic" w:cs="Calibri"/>
                <w:i/>
                <w:iCs/>
                <w:color w:val="000000"/>
                <w:lang w:eastAsia="en-GB"/>
              </w:rPr>
              <w:t>Macrobrachium</w:t>
            </w:r>
            <w:proofErr w:type="spellEnd"/>
            <w:r>
              <w:rPr>
                <w:rFonts w:ascii="Arial,Italic" w:eastAsia="Times New Roman" w:hAnsi="Arial,Italic" w:cs="Calibri"/>
                <w:i/>
                <w:iCs/>
                <w:color w:val="000000"/>
                <w:lang w:eastAsia="en-GB"/>
              </w:rPr>
              <w:t xml:space="preserve"> </w:t>
            </w:r>
            <w:proofErr w:type="spellStart"/>
            <w:r>
              <w:rPr>
                <w:rFonts w:ascii="Arial,Italic" w:eastAsia="Times New Roman" w:hAnsi="Arial,Italic" w:cs="Calibri"/>
                <w:i/>
                <w:iCs/>
                <w:color w:val="000000"/>
                <w:lang w:eastAsia="en-GB"/>
              </w:rPr>
              <w:t>carcinus</w:t>
            </w:r>
            <w:proofErr w:type="spellEnd"/>
            <w:r>
              <w:rPr>
                <w:rFonts w:ascii="Arial,Italic" w:eastAsia="Times New Roman" w:hAnsi="Arial,Italic" w:cs="Calibri"/>
                <w:i/>
                <w:iCs/>
                <w:color w:val="000000"/>
                <w:lang w:eastAsia="en-GB"/>
              </w:rPr>
              <w:t xml:space="preserve"> </w:t>
            </w:r>
          </w:p>
        </w:tc>
        <w:tc>
          <w:tcPr>
            <w:tcW w:w="1840" w:type="dxa"/>
            <w:tcBorders>
              <w:top w:val="nil"/>
              <w:left w:val="nil"/>
              <w:bottom w:val="nil"/>
              <w:right w:val="nil"/>
            </w:tcBorders>
            <w:noWrap/>
            <w:hideMark/>
          </w:tcPr>
          <w:p w14:paraId="6A1D582E"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Freshwater</w:t>
            </w:r>
          </w:p>
        </w:tc>
        <w:tc>
          <w:tcPr>
            <w:tcW w:w="2627" w:type="dxa"/>
            <w:tcBorders>
              <w:top w:val="nil"/>
              <w:left w:val="nil"/>
              <w:bottom w:val="nil"/>
              <w:right w:val="nil"/>
            </w:tcBorders>
            <w:noWrap/>
            <w:hideMark/>
          </w:tcPr>
          <w:p w14:paraId="02CCD8A5"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Decreased</w:t>
            </w:r>
          </w:p>
        </w:tc>
      </w:tr>
      <w:tr w:rsidR="002E25CC" w14:paraId="0AB55FD9" w14:textId="77777777" w:rsidTr="002E25CC">
        <w:trPr>
          <w:trHeight w:val="321"/>
        </w:trPr>
        <w:tc>
          <w:tcPr>
            <w:tcW w:w="2584" w:type="dxa"/>
            <w:tcBorders>
              <w:top w:val="nil"/>
              <w:left w:val="nil"/>
              <w:bottom w:val="nil"/>
              <w:right w:val="nil"/>
            </w:tcBorders>
            <w:noWrap/>
          </w:tcPr>
          <w:p w14:paraId="1EAF2ED6" w14:textId="77777777" w:rsidR="002E25CC" w:rsidRDefault="002E25CC">
            <w:pPr>
              <w:rPr>
                <w:rFonts w:ascii="Calibri" w:eastAsia="Times New Roman" w:hAnsi="Calibri" w:cs="Calibri"/>
                <w:color w:val="000000"/>
                <w:lang w:eastAsia="en-GB"/>
              </w:rPr>
            </w:pPr>
          </w:p>
        </w:tc>
        <w:tc>
          <w:tcPr>
            <w:tcW w:w="2317" w:type="dxa"/>
            <w:tcBorders>
              <w:top w:val="nil"/>
              <w:left w:val="nil"/>
              <w:bottom w:val="nil"/>
              <w:right w:val="nil"/>
            </w:tcBorders>
            <w:noWrap/>
            <w:hideMark/>
          </w:tcPr>
          <w:p w14:paraId="41A4979B"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Manganese</w:t>
            </w:r>
          </w:p>
        </w:tc>
        <w:tc>
          <w:tcPr>
            <w:tcW w:w="1583" w:type="dxa"/>
            <w:tcBorders>
              <w:top w:val="nil"/>
              <w:left w:val="nil"/>
              <w:bottom w:val="nil"/>
              <w:right w:val="nil"/>
            </w:tcBorders>
            <w:hideMark/>
          </w:tcPr>
          <w:p w14:paraId="6258F806" w14:textId="77777777" w:rsidR="002E25CC" w:rsidRDefault="002E25CC">
            <w:pPr>
              <w:rPr>
                <w:rFonts w:ascii="Arial,Italic" w:eastAsia="Times New Roman" w:hAnsi="Arial,Italic" w:cs="Calibri"/>
                <w:color w:val="000000"/>
                <w:lang w:eastAsia="en-GB"/>
              </w:rPr>
            </w:pPr>
            <w:r>
              <w:rPr>
                <w:rFonts w:ascii="Arial,Italic" w:eastAsia="Times New Roman" w:hAnsi="Arial,Italic" w:cs="Calibri"/>
                <w:color w:val="000000"/>
                <w:lang w:eastAsia="en-GB"/>
              </w:rPr>
              <w:t>0.005 mg/l</w:t>
            </w:r>
          </w:p>
        </w:tc>
        <w:tc>
          <w:tcPr>
            <w:tcW w:w="2858" w:type="dxa"/>
            <w:tcBorders>
              <w:top w:val="nil"/>
              <w:left w:val="nil"/>
              <w:bottom w:val="nil"/>
              <w:right w:val="nil"/>
            </w:tcBorders>
            <w:noWrap/>
            <w:hideMark/>
          </w:tcPr>
          <w:p w14:paraId="0A2FF71E" w14:textId="77777777" w:rsidR="002E25CC" w:rsidRDefault="002E25CC">
            <w:pPr>
              <w:rPr>
                <w:rFonts w:ascii="Calibri" w:eastAsia="Times New Roman" w:hAnsi="Calibri" w:cs="Calibri"/>
                <w:i/>
                <w:iCs/>
                <w:color w:val="000000"/>
                <w:lang w:eastAsia="en-GB"/>
              </w:rPr>
            </w:pPr>
            <w:proofErr w:type="spellStart"/>
            <w:r>
              <w:rPr>
                <w:rFonts w:ascii="Arial,Italic" w:eastAsia="Times New Roman" w:hAnsi="Arial,Italic" w:cs="Calibri"/>
                <w:i/>
                <w:iCs/>
                <w:color w:val="000000"/>
                <w:lang w:eastAsia="en-GB"/>
              </w:rPr>
              <w:t>Macrobrachium</w:t>
            </w:r>
            <w:proofErr w:type="spellEnd"/>
            <w:r>
              <w:rPr>
                <w:rFonts w:ascii="Arial,Italic" w:eastAsia="Times New Roman" w:hAnsi="Arial,Italic" w:cs="Calibri"/>
                <w:i/>
                <w:iCs/>
                <w:color w:val="000000"/>
                <w:lang w:eastAsia="en-GB"/>
              </w:rPr>
              <w:t xml:space="preserve"> </w:t>
            </w:r>
            <w:proofErr w:type="spellStart"/>
            <w:r>
              <w:rPr>
                <w:rFonts w:ascii="Arial,Italic" w:eastAsia="Times New Roman" w:hAnsi="Arial,Italic" w:cs="Calibri"/>
                <w:i/>
                <w:iCs/>
                <w:color w:val="000000"/>
                <w:lang w:eastAsia="en-GB"/>
              </w:rPr>
              <w:t>carcinus</w:t>
            </w:r>
            <w:proofErr w:type="spellEnd"/>
            <w:r>
              <w:rPr>
                <w:rFonts w:ascii="Arial,Italic" w:eastAsia="Times New Roman" w:hAnsi="Arial,Italic" w:cs="Calibri"/>
                <w:i/>
                <w:iCs/>
                <w:color w:val="000000"/>
                <w:lang w:eastAsia="en-GB"/>
              </w:rPr>
              <w:t xml:space="preserve"> </w:t>
            </w:r>
          </w:p>
        </w:tc>
        <w:tc>
          <w:tcPr>
            <w:tcW w:w="1840" w:type="dxa"/>
            <w:tcBorders>
              <w:top w:val="nil"/>
              <w:left w:val="nil"/>
              <w:bottom w:val="nil"/>
              <w:right w:val="nil"/>
            </w:tcBorders>
            <w:noWrap/>
            <w:hideMark/>
          </w:tcPr>
          <w:p w14:paraId="6D27F3D1"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Freshwater</w:t>
            </w:r>
          </w:p>
        </w:tc>
        <w:tc>
          <w:tcPr>
            <w:tcW w:w="2627" w:type="dxa"/>
            <w:tcBorders>
              <w:top w:val="nil"/>
              <w:left w:val="nil"/>
              <w:bottom w:val="nil"/>
              <w:right w:val="nil"/>
            </w:tcBorders>
            <w:noWrap/>
            <w:hideMark/>
          </w:tcPr>
          <w:p w14:paraId="30C1826D"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Decreased</w:t>
            </w:r>
          </w:p>
        </w:tc>
      </w:tr>
      <w:tr w:rsidR="002E25CC" w14:paraId="5D28A4AD" w14:textId="77777777" w:rsidTr="002E25CC">
        <w:trPr>
          <w:trHeight w:val="321"/>
        </w:trPr>
        <w:tc>
          <w:tcPr>
            <w:tcW w:w="2584" w:type="dxa"/>
            <w:tcBorders>
              <w:top w:val="nil"/>
              <w:left w:val="nil"/>
              <w:bottom w:val="nil"/>
              <w:right w:val="nil"/>
            </w:tcBorders>
            <w:noWrap/>
          </w:tcPr>
          <w:p w14:paraId="6B2ACFE9" w14:textId="77777777" w:rsidR="002E25CC" w:rsidRDefault="002E25CC">
            <w:pPr>
              <w:rPr>
                <w:rFonts w:ascii="Calibri" w:eastAsia="Times New Roman" w:hAnsi="Calibri" w:cs="Calibri"/>
                <w:color w:val="000000"/>
                <w:lang w:eastAsia="en-GB"/>
              </w:rPr>
            </w:pPr>
          </w:p>
        </w:tc>
        <w:tc>
          <w:tcPr>
            <w:tcW w:w="2317" w:type="dxa"/>
            <w:tcBorders>
              <w:top w:val="nil"/>
              <w:left w:val="nil"/>
              <w:bottom w:val="nil"/>
              <w:right w:val="nil"/>
            </w:tcBorders>
            <w:noWrap/>
            <w:hideMark/>
          </w:tcPr>
          <w:p w14:paraId="647713CE"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DEB</w:t>
            </w:r>
          </w:p>
        </w:tc>
        <w:tc>
          <w:tcPr>
            <w:tcW w:w="1583" w:type="dxa"/>
            <w:tcBorders>
              <w:top w:val="nil"/>
              <w:left w:val="nil"/>
              <w:bottom w:val="nil"/>
              <w:right w:val="nil"/>
            </w:tcBorders>
            <w:hideMark/>
          </w:tcPr>
          <w:p w14:paraId="473FB0E9" w14:textId="77777777" w:rsidR="002E25CC" w:rsidRDefault="002E25CC">
            <w:pPr>
              <w:rPr>
                <w:rFonts w:ascii="Arial,Italic" w:eastAsia="Times New Roman" w:hAnsi="Arial,Italic" w:cs="Calibri"/>
                <w:color w:val="000000"/>
                <w:lang w:eastAsia="en-GB"/>
              </w:rPr>
            </w:pPr>
            <w:r>
              <w:rPr>
                <w:rFonts w:ascii="Arial,Italic" w:eastAsia="Times New Roman" w:hAnsi="Arial,Italic" w:cs="Calibri"/>
                <w:color w:val="000000"/>
                <w:lang w:eastAsia="en-GB"/>
              </w:rPr>
              <w:t>0.006 mg/l</w:t>
            </w:r>
          </w:p>
        </w:tc>
        <w:tc>
          <w:tcPr>
            <w:tcW w:w="2858" w:type="dxa"/>
            <w:tcBorders>
              <w:top w:val="nil"/>
              <w:left w:val="nil"/>
              <w:bottom w:val="nil"/>
              <w:right w:val="nil"/>
            </w:tcBorders>
            <w:noWrap/>
            <w:hideMark/>
          </w:tcPr>
          <w:p w14:paraId="7172A3C6" w14:textId="77777777" w:rsidR="002E25CC" w:rsidRDefault="002E25CC">
            <w:pPr>
              <w:rPr>
                <w:rFonts w:ascii="Calibri" w:eastAsia="Times New Roman" w:hAnsi="Calibri" w:cs="Calibri"/>
                <w:i/>
                <w:iCs/>
                <w:color w:val="000000"/>
                <w:lang w:eastAsia="en-GB"/>
              </w:rPr>
            </w:pPr>
            <w:proofErr w:type="spellStart"/>
            <w:r>
              <w:rPr>
                <w:rFonts w:ascii="Arial,Italic" w:eastAsia="Times New Roman" w:hAnsi="Arial,Italic" w:cs="Calibri"/>
                <w:i/>
                <w:iCs/>
                <w:color w:val="000000"/>
                <w:lang w:eastAsia="en-GB"/>
              </w:rPr>
              <w:t>Macrobrachium</w:t>
            </w:r>
            <w:proofErr w:type="spellEnd"/>
            <w:r>
              <w:rPr>
                <w:rFonts w:ascii="Arial,Italic" w:eastAsia="Times New Roman" w:hAnsi="Arial,Italic" w:cs="Calibri"/>
                <w:i/>
                <w:iCs/>
                <w:color w:val="000000"/>
                <w:lang w:eastAsia="en-GB"/>
              </w:rPr>
              <w:t xml:space="preserve"> </w:t>
            </w:r>
            <w:proofErr w:type="spellStart"/>
            <w:r>
              <w:rPr>
                <w:rFonts w:ascii="Arial,Italic" w:eastAsia="Times New Roman" w:hAnsi="Arial,Italic" w:cs="Calibri"/>
                <w:i/>
                <w:iCs/>
                <w:color w:val="000000"/>
                <w:lang w:eastAsia="en-GB"/>
              </w:rPr>
              <w:t>carcinus</w:t>
            </w:r>
            <w:proofErr w:type="spellEnd"/>
            <w:r>
              <w:rPr>
                <w:rFonts w:ascii="Arial,Italic" w:eastAsia="Times New Roman" w:hAnsi="Arial,Italic" w:cs="Calibri"/>
                <w:i/>
                <w:iCs/>
                <w:color w:val="000000"/>
                <w:lang w:eastAsia="en-GB"/>
              </w:rPr>
              <w:t xml:space="preserve"> </w:t>
            </w:r>
          </w:p>
        </w:tc>
        <w:tc>
          <w:tcPr>
            <w:tcW w:w="1840" w:type="dxa"/>
            <w:tcBorders>
              <w:top w:val="nil"/>
              <w:left w:val="nil"/>
              <w:bottom w:val="nil"/>
              <w:right w:val="nil"/>
            </w:tcBorders>
            <w:noWrap/>
            <w:hideMark/>
          </w:tcPr>
          <w:p w14:paraId="5601C78F"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Freshwater</w:t>
            </w:r>
          </w:p>
        </w:tc>
        <w:tc>
          <w:tcPr>
            <w:tcW w:w="2627" w:type="dxa"/>
            <w:tcBorders>
              <w:top w:val="nil"/>
              <w:left w:val="nil"/>
              <w:bottom w:val="nil"/>
              <w:right w:val="nil"/>
            </w:tcBorders>
            <w:noWrap/>
            <w:hideMark/>
          </w:tcPr>
          <w:p w14:paraId="1D5190B1"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Decreased</w:t>
            </w:r>
          </w:p>
        </w:tc>
      </w:tr>
      <w:tr w:rsidR="002E25CC" w14:paraId="06436321" w14:textId="77777777" w:rsidTr="002E25CC">
        <w:trPr>
          <w:trHeight w:val="321"/>
        </w:trPr>
        <w:tc>
          <w:tcPr>
            <w:tcW w:w="2584" w:type="dxa"/>
            <w:tcBorders>
              <w:top w:val="nil"/>
              <w:left w:val="nil"/>
              <w:bottom w:val="nil"/>
              <w:right w:val="nil"/>
            </w:tcBorders>
            <w:noWrap/>
          </w:tcPr>
          <w:p w14:paraId="7B425A89" w14:textId="77777777" w:rsidR="002E25CC" w:rsidRDefault="002E25CC">
            <w:pPr>
              <w:rPr>
                <w:rFonts w:ascii="Calibri" w:eastAsia="Times New Roman" w:hAnsi="Calibri" w:cs="Calibri"/>
                <w:color w:val="000000"/>
                <w:lang w:eastAsia="en-GB"/>
              </w:rPr>
            </w:pPr>
          </w:p>
        </w:tc>
        <w:tc>
          <w:tcPr>
            <w:tcW w:w="2317" w:type="dxa"/>
            <w:tcBorders>
              <w:top w:val="nil"/>
              <w:left w:val="nil"/>
              <w:bottom w:val="nil"/>
              <w:right w:val="nil"/>
            </w:tcBorders>
            <w:noWrap/>
            <w:hideMark/>
          </w:tcPr>
          <w:p w14:paraId="3B9823DE" w14:textId="77777777" w:rsidR="002E25CC" w:rsidRDefault="002E25CC">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BzBP</w:t>
            </w:r>
            <w:proofErr w:type="spellEnd"/>
          </w:p>
        </w:tc>
        <w:tc>
          <w:tcPr>
            <w:tcW w:w="1583" w:type="dxa"/>
            <w:tcBorders>
              <w:top w:val="nil"/>
              <w:left w:val="nil"/>
              <w:bottom w:val="nil"/>
              <w:right w:val="nil"/>
            </w:tcBorders>
            <w:hideMark/>
          </w:tcPr>
          <w:p w14:paraId="56A4DD47" w14:textId="77777777" w:rsidR="002E25CC" w:rsidRDefault="002E25CC">
            <w:pPr>
              <w:rPr>
                <w:rFonts w:ascii="Arial,Italic" w:eastAsia="Times New Roman" w:hAnsi="Arial,Italic" w:cs="Calibri"/>
                <w:color w:val="000000"/>
                <w:lang w:eastAsia="en-GB"/>
              </w:rPr>
            </w:pPr>
            <w:r>
              <w:rPr>
                <w:rFonts w:ascii="Arial,Italic" w:eastAsia="Times New Roman" w:hAnsi="Arial,Italic" w:cs="Calibri"/>
                <w:color w:val="000000"/>
                <w:lang w:eastAsia="en-GB"/>
              </w:rPr>
              <w:t>0.006 mg/l</w:t>
            </w:r>
          </w:p>
        </w:tc>
        <w:tc>
          <w:tcPr>
            <w:tcW w:w="2858" w:type="dxa"/>
            <w:tcBorders>
              <w:top w:val="nil"/>
              <w:left w:val="nil"/>
              <w:bottom w:val="nil"/>
              <w:right w:val="nil"/>
            </w:tcBorders>
            <w:noWrap/>
            <w:hideMark/>
          </w:tcPr>
          <w:p w14:paraId="0DC9E0A3" w14:textId="77777777" w:rsidR="002E25CC" w:rsidRDefault="002E25CC">
            <w:pPr>
              <w:rPr>
                <w:rFonts w:ascii="Arial,Italic" w:eastAsia="Times New Roman" w:hAnsi="Arial,Italic" w:cs="Calibri"/>
                <w:i/>
                <w:iCs/>
                <w:color w:val="000000"/>
                <w:lang w:eastAsia="en-GB"/>
              </w:rPr>
            </w:pPr>
            <w:proofErr w:type="spellStart"/>
            <w:r>
              <w:rPr>
                <w:rFonts w:ascii="Arial,Italic" w:eastAsia="Times New Roman" w:hAnsi="Arial,Italic" w:cs="Calibri"/>
                <w:i/>
                <w:iCs/>
                <w:color w:val="000000"/>
                <w:lang w:eastAsia="en-GB"/>
              </w:rPr>
              <w:t>Macrobrachium</w:t>
            </w:r>
            <w:proofErr w:type="spellEnd"/>
            <w:r>
              <w:rPr>
                <w:rFonts w:ascii="Arial,Italic" w:eastAsia="Times New Roman" w:hAnsi="Arial,Italic" w:cs="Calibri"/>
                <w:i/>
                <w:iCs/>
                <w:color w:val="000000"/>
                <w:lang w:eastAsia="en-GB"/>
              </w:rPr>
              <w:t xml:space="preserve"> </w:t>
            </w:r>
            <w:proofErr w:type="spellStart"/>
            <w:r>
              <w:rPr>
                <w:rFonts w:ascii="Arial,Italic" w:eastAsia="Times New Roman" w:hAnsi="Arial,Italic" w:cs="Calibri"/>
                <w:i/>
                <w:iCs/>
                <w:color w:val="000000"/>
                <w:lang w:eastAsia="en-GB"/>
              </w:rPr>
              <w:t>carcinus</w:t>
            </w:r>
            <w:proofErr w:type="spellEnd"/>
            <w:r>
              <w:rPr>
                <w:rFonts w:ascii="Arial,Italic" w:eastAsia="Times New Roman" w:hAnsi="Arial,Italic" w:cs="Calibri"/>
                <w:i/>
                <w:iCs/>
                <w:color w:val="000000"/>
                <w:lang w:eastAsia="en-GB"/>
              </w:rPr>
              <w:t xml:space="preserve"> </w:t>
            </w:r>
          </w:p>
        </w:tc>
        <w:tc>
          <w:tcPr>
            <w:tcW w:w="1840" w:type="dxa"/>
            <w:tcBorders>
              <w:top w:val="nil"/>
              <w:left w:val="nil"/>
              <w:bottom w:val="nil"/>
              <w:right w:val="nil"/>
            </w:tcBorders>
            <w:noWrap/>
            <w:hideMark/>
          </w:tcPr>
          <w:p w14:paraId="14BB79A6"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Freshwater</w:t>
            </w:r>
          </w:p>
        </w:tc>
        <w:tc>
          <w:tcPr>
            <w:tcW w:w="2627" w:type="dxa"/>
            <w:tcBorders>
              <w:top w:val="nil"/>
              <w:left w:val="nil"/>
              <w:bottom w:val="nil"/>
              <w:right w:val="nil"/>
            </w:tcBorders>
            <w:noWrap/>
            <w:hideMark/>
          </w:tcPr>
          <w:p w14:paraId="7736A420"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67CFEE91" w14:textId="77777777" w:rsidTr="002E25CC">
        <w:trPr>
          <w:trHeight w:val="321"/>
        </w:trPr>
        <w:tc>
          <w:tcPr>
            <w:tcW w:w="2584" w:type="dxa"/>
            <w:tcBorders>
              <w:top w:val="nil"/>
              <w:left w:val="nil"/>
              <w:bottom w:val="nil"/>
              <w:right w:val="nil"/>
            </w:tcBorders>
            <w:noWrap/>
            <w:hideMark/>
          </w:tcPr>
          <w:p w14:paraId="623E9412" w14:textId="77777777" w:rsidR="002E25CC" w:rsidRDefault="002E25CC">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Verma</w:t>
            </w:r>
            <w:proofErr w:type="spellEnd"/>
            <w:r>
              <w:rPr>
                <w:rFonts w:ascii="Calibri" w:eastAsia="Times New Roman" w:hAnsi="Calibri" w:cs="Calibri"/>
                <w:color w:val="000000"/>
                <w:lang w:eastAsia="en-GB"/>
              </w:rPr>
              <w:t xml:space="preserve"> 2011</w:t>
            </w:r>
          </w:p>
        </w:tc>
        <w:tc>
          <w:tcPr>
            <w:tcW w:w="2317" w:type="dxa"/>
            <w:tcBorders>
              <w:top w:val="nil"/>
              <w:left w:val="nil"/>
              <w:bottom w:val="nil"/>
              <w:right w:val="nil"/>
            </w:tcBorders>
            <w:noWrap/>
            <w:hideMark/>
          </w:tcPr>
          <w:p w14:paraId="15C36164"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Nickel</w:t>
            </w:r>
          </w:p>
        </w:tc>
        <w:tc>
          <w:tcPr>
            <w:tcW w:w="1583" w:type="dxa"/>
            <w:tcBorders>
              <w:top w:val="nil"/>
              <w:left w:val="nil"/>
              <w:bottom w:val="nil"/>
              <w:right w:val="nil"/>
            </w:tcBorders>
            <w:hideMark/>
          </w:tcPr>
          <w:p w14:paraId="037BED8F"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65.77 mg/l</w:t>
            </w:r>
          </w:p>
        </w:tc>
        <w:tc>
          <w:tcPr>
            <w:tcW w:w="2858" w:type="dxa"/>
            <w:tcBorders>
              <w:top w:val="nil"/>
              <w:left w:val="nil"/>
              <w:bottom w:val="nil"/>
              <w:right w:val="nil"/>
            </w:tcBorders>
            <w:noWrap/>
            <w:hideMark/>
          </w:tcPr>
          <w:p w14:paraId="44552B37" w14:textId="77777777" w:rsidR="002E25CC" w:rsidRDefault="002E25CC">
            <w:pPr>
              <w:rPr>
                <w:rFonts w:ascii="Arial,Italic" w:eastAsia="Times New Roman" w:hAnsi="Arial,Italic" w:cs="Calibri"/>
                <w:i/>
                <w:iCs/>
                <w:color w:val="000000"/>
                <w:lang w:eastAsia="en-GB"/>
              </w:rPr>
            </w:pPr>
            <w:proofErr w:type="spellStart"/>
            <w:r>
              <w:rPr>
                <w:rFonts w:ascii="Calibri" w:eastAsia="Times New Roman" w:hAnsi="Calibri" w:cs="Calibri"/>
                <w:i/>
                <w:iCs/>
                <w:color w:val="000000"/>
                <w:lang w:eastAsia="en-GB"/>
              </w:rPr>
              <w:t>Macrobrachium</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lamarrei</w:t>
            </w:r>
            <w:proofErr w:type="spellEnd"/>
          </w:p>
        </w:tc>
        <w:tc>
          <w:tcPr>
            <w:tcW w:w="1840" w:type="dxa"/>
            <w:tcBorders>
              <w:top w:val="nil"/>
              <w:left w:val="nil"/>
              <w:bottom w:val="nil"/>
              <w:right w:val="nil"/>
            </w:tcBorders>
            <w:noWrap/>
            <w:hideMark/>
          </w:tcPr>
          <w:p w14:paraId="1267B387" w14:textId="77777777" w:rsidR="002E25CC" w:rsidRDefault="002E25CC">
            <w:pPr>
              <w:rPr>
                <w:rFonts w:ascii="Arial,Italic" w:eastAsia="Times New Roman" w:hAnsi="Arial,Italic" w:cs="Calibri"/>
                <w:i/>
                <w:iCs/>
                <w:color w:val="000000"/>
                <w:lang w:eastAsia="en-GB"/>
              </w:rPr>
            </w:pPr>
          </w:p>
        </w:tc>
        <w:tc>
          <w:tcPr>
            <w:tcW w:w="2627" w:type="dxa"/>
            <w:tcBorders>
              <w:top w:val="nil"/>
              <w:left w:val="nil"/>
              <w:bottom w:val="nil"/>
              <w:right w:val="nil"/>
            </w:tcBorders>
            <w:noWrap/>
            <w:hideMark/>
          </w:tcPr>
          <w:p w14:paraId="2F5EEDA7"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500E244C" w14:textId="77777777" w:rsidTr="002E25CC">
        <w:trPr>
          <w:trHeight w:val="321"/>
        </w:trPr>
        <w:tc>
          <w:tcPr>
            <w:tcW w:w="2584" w:type="dxa"/>
            <w:tcBorders>
              <w:top w:val="nil"/>
              <w:left w:val="nil"/>
              <w:bottom w:val="nil"/>
              <w:right w:val="nil"/>
            </w:tcBorders>
            <w:noWrap/>
            <w:hideMark/>
          </w:tcPr>
          <w:p w14:paraId="2F0014C8" w14:textId="77777777" w:rsidR="002E25CC" w:rsidRDefault="002E25CC">
            <w:pPr>
              <w:rPr>
                <w:rFonts w:ascii="Calibri" w:eastAsia="Times New Roman" w:hAnsi="Calibri" w:cs="Calibri"/>
                <w:color w:val="000000"/>
                <w:lang w:eastAsia="en-GB"/>
              </w:rPr>
            </w:pPr>
          </w:p>
        </w:tc>
        <w:tc>
          <w:tcPr>
            <w:tcW w:w="2317" w:type="dxa"/>
            <w:tcBorders>
              <w:top w:val="nil"/>
              <w:left w:val="nil"/>
              <w:bottom w:val="nil"/>
              <w:right w:val="nil"/>
            </w:tcBorders>
            <w:noWrap/>
            <w:hideMark/>
          </w:tcPr>
          <w:p w14:paraId="312A09E9" w14:textId="77777777" w:rsidR="002E25CC" w:rsidRDefault="002E25CC">
            <w:pPr>
              <w:rPr>
                <w:rFonts w:eastAsiaTheme="minorHAnsi"/>
                <w:sz w:val="20"/>
                <w:szCs w:val="20"/>
                <w:lang w:val="en-AU" w:eastAsia="en-AU"/>
              </w:rPr>
            </w:pPr>
          </w:p>
        </w:tc>
        <w:tc>
          <w:tcPr>
            <w:tcW w:w="1583" w:type="dxa"/>
            <w:tcBorders>
              <w:top w:val="nil"/>
              <w:left w:val="nil"/>
              <w:bottom w:val="nil"/>
              <w:right w:val="nil"/>
            </w:tcBorders>
          </w:tcPr>
          <w:p w14:paraId="34CAED89" w14:textId="77777777" w:rsidR="002E25CC" w:rsidRDefault="002E25CC">
            <w:pPr>
              <w:rPr>
                <w:rFonts w:ascii="Calibri" w:eastAsia="Times New Roman" w:hAnsi="Calibri" w:cs="Calibri"/>
                <w:i/>
                <w:iCs/>
                <w:color w:val="000000"/>
                <w:lang w:eastAsia="en-GB"/>
              </w:rPr>
            </w:pPr>
          </w:p>
        </w:tc>
        <w:tc>
          <w:tcPr>
            <w:tcW w:w="2858" w:type="dxa"/>
            <w:tcBorders>
              <w:top w:val="nil"/>
              <w:left w:val="nil"/>
              <w:bottom w:val="nil"/>
              <w:right w:val="nil"/>
            </w:tcBorders>
            <w:noWrap/>
            <w:hideMark/>
          </w:tcPr>
          <w:p w14:paraId="68077BF5" w14:textId="77777777" w:rsidR="002E25CC" w:rsidRDefault="002E25CC">
            <w:pPr>
              <w:rPr>
                <w:rFonts w:ascii="Arial,Italic" w:eastAsia="Times New Roman" w:hAnsi="Arial,Italic" w:cs="Calibri"/>
                <w:i/>
                <w:iCs/>
                <w:color w:val="000000"/>
                <w:lang w:eastAsia="en-GB"/>
              </w:rPr>
            </w:pPr>
            <w:proofErr w:type="spellStart"/>
            <w:r>
              <w:rPr>
                <w:rFonts w:ascii="Calibri" w:eastAsia="Times New Roman" w:hAnsi="Calibri" w:cs="Calibri"/>
                <w:i/>
                <w:iCs/>
                <w:color w:val="000000"/>
                <w:lang w:eastAsia="en-GB"/>
              </w:rPr>
              <w:t>Macrobrachium</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dayanum</w:t>
            </w:r>
            <w:proofErr w:type="spellEnd"/>
          </w:p>
        </w:tc>
        <w:tc>
          <w:tcPr>
            <w:tcW w:w="1840" w:type="dxa"/>
            <w:tcBorders>
              <w:top w:val="nil"/>
              <w:left w:val="nil"/>
              <w:bottom w:val="nil"/>
              <w:right w:val="nil"/>
            </w:tcBorders>
            <w:noWrap/>
            <w:hideMark/>
          </w:tcPr>
          <w:p w14:paraId="022B4205" w14:textId="77777777" w:rsidR="002E25CC" w:rsidRDefault="002E25CC">
            <w:pPr>
              <w:rPr>
                <w:rFonts w:ascii="Arial,Italic" w:eastAsia="Times New Roman" w:hAnsi="Arial,Italic" w:cs="Calibri"/>
                <w:i/>
                <w:iCs/>
                <w:color w:val="000000"/>
                <w:lang w:eastAsia="en-GB"/>
              </w:rPr>
            </w:pPr>
          </w:p>
        </w:tc>
        <w:tc>
          <w:tcPr>
            <w:tcW w:w="2627" w:type="dxa"/>
            <w:tcBorders>
              <w:top w:val="nil"/>
              <w:left w:val="nil"/>
              <w:bottom w:val="nil"/>
              <w:right w:val="nil"/>
            </w:tcBorders>
            <w:noWrap/>
            <w:hideMark/>
          </w:tcPr>
          <w:p w14:paraId="50906F64"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Decreased</w:t>
            </w:r>
          </w:p>
        </w:tc>
      </w:tr>
      <w:tr w:rsidR="002E25CC" w14:paraId="4D355A59" w14:textId="77777777" w:rsidTr="002E25CC">
        <w:trPr>
          <w:trHeight w:val="321"/>
        </w:trPr>
        <w:tc>
          <w:tcPr>
            <w:tcW w:w="2584" w:type="dxa"/>
            <w:tcBorders>
              <w:top w:val="nil"/>
              <w:left w:val="nil"/>
              <w:bottom w:val="nil"/>
              <w:right w:val="nil"/>
            </w:tcBorders>
            <w:noWrap/>
            <w:hideMark/>
          </w:tcPr>
          <w:p w14:paraId="499367B4"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Neal and Moore 2017</w:t>
            </w:r>
          </w:p>
        </w:tc>
        <w:tc>
          <w:tcPr>
            <w:tcW w:w="2317" w:type="dxa"/>
            <w:tcBorders>
              <w:top w:val="nil"/>
              <w:left w:val="nil"/>
              <w:bottom w:val="nil"/>
              <w:right w:val="nil"/>
            </w:tcBorders>
            <w:noWrap/>
            <w:hideMark/>
          </w:tcPr>
          <w:p w14:paraId="36FE340A"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Naproxen</w:t>
            </w:r>
          </w:p>
        </w:tc>
        <w:tc>
          <w:tcPr>
            <w:tcW w:w="1583" w:type="dxa"/>
            <w:tcBorders>
              <w:top w:val="nil"/>
              <w:left w:val="nil"/>
              <w:bottom w:val="nil"/>
              <w:right w:val="nil"/>
            </w:tcBorders>
            <w:hideMark/>
          </w:tcPr>
          <w:p w14:paraId="511F40B1"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0.027-14.00 µg/l</w:t>
            </w:r>
          </w:p>
        </w:tc>
        <w:tc>
          <w:tcPr>
            <w:tcW w:w="2858" w:type="dxa"/>
            <w:tcBorders>
              <w:top w:val="nil"/>
              <w:left w:val="nil"/>
              <w:bottom w:val="nil"/>
              <w:right w:val="nil"/>
            </w:tcBorders>
            <w:noWrap/>
            <w:hideMark/>
          </w:tcPr>
          <w:p w14:paraId="3701B712" w14:textId="77777777" w:rsidR="002E25CC" w:rsidRDefault="002E25CC">
            <w:pPr>
              <w:rPr>
                <w:rFonts w:ascii="Arial,Italic" w:eastAsia="Times New Roman" w:hAnsi="Arial,Italic" w:cs="Calibri"/>
                <w:i/>
                <w:iCs/>
                <w:color w:val="000000"/>
                <w:lang w:eastAsia="en-GB"/>
              </w:rPr>
            </w:pPr>
            <w:proofErr w:type="spellStart"/>
            <w:r>
              <w:rPr>
                <w:rFonts w:ascii="Calibri" w:eastAsia="Times New Roman" w:hAnsi="Calibri" w:cs="Calibri"/>
                <w:i/>
                <w:iCs/>
                <w:color w:val="000000"/>
                <w:lang w:eastAsia="en-GB"/>
              </w:rPr>
              <w:t>Orconectes</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virilis</w:t>
            </w:r>
            <w:proofErr w:type="spellEnd"/>
          </w:p>
        </w:tc>
        <w:tc>
          <w:tcPr>
            <w:tcW w:w="1840" w:type="dxa"/>
            <w:tcBorders>
              <w:top w:val="nil"/>
              <w:left w:val="nil"/>
              <w:bottom w:val="nil"/>
              <w:right w:val="nil"/>
            </w:tcBorders>
            <w:noWrap/>
            <w:hideMark/>
          </w:tcPr>
          <w:p w14:paraId="57D8EF2D"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Freshwater</w:t>
            </w:r>
          </w:p>
        </w:tc>
        <w:tc>
          <w:tcPr>
            <w:tcW w:w="2627" w:type="dxa"/>
            <w:tcBorders>
              <w:top w:val="nil"/>
              <w:left w:val="nil"/>
              <w:bottom w:val="nil"/>
              <w:right w:val="nil"/>
            </w:tcBorders>
            <w:noWrap/>
            <w:hideMark/>
          </w:tcPr>
          <w:p w14:paraId="385C6FAF"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628185EA" w14:textId="77777777" w:rsidTr="002E25CC">
        <w:trPr>
          <w:trHeight w:val="321"/>
        </w:trPr>
        <w:tc>
          <w:tcPr>
            <w:tcW w:w="2584" w:type="dxa"/>
            <w:tcBorders>
              <w:top w:val="nil"/>
              <w:left w:val="nil"/>
              <w:bottom w:val="nil"/>
              <w:right w:val="nil"/>
            </w:tcBorders>
            <w:noWrap/>
            <w:hideMark/>
          </w:tcPr>
          <w:p w14:paraId="12D7F701"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Hossain et al. 2020</w:t>
            </w:r>
          </w:p>
        </w:tc>
        <w:tc>
          <w:tcPr>
            <w:tcW w:w="2317" w:type="dxa"/>
            <w:tcBorders>
              <w:top w:val="nil"/>
              <w:left w:val="nil"/>
              <w:bottom w:val="nil"/>
              <w:right w:val="nil"/>
            </w:tcBorders>
            <w:noWrap/>
            <w:hideMark/>
          </w:tcPr>
          <w:p w14:paraId="022B9FB5"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Fluoxetine</w:t>
            </w:r>
          </w:p>
        </w:tc>
        <w:tc>
          <w:tcPr>
            <w:tcW w:w="1583" w:type="dxa"/>
            <w:tcBorders>
              <w:top w:val="nil"/>
              <w:left w:val="nil"/>
              <w:bottom w:val="nil"/>
              <w:right w:val="nil"/>
            </w:tcBorders>
            <w:hideMark/>
          </w:tcPr>
          <w:p w14:paraId="5E9A9B06"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0.05-100.00 µg/l</w:t>
            </w:r>
          </w:p>
        </w:tc>
        <w:tc>
          <w:tcPr>
            <w:tcW w:w="2858" w:type="dxa"/>
            <w:tcBorders>
              <w:top w:val="nil"/>
              <w:left w:val="nil"/>
              <w:bottom w:val="nil"/>
              <w:right w:val="nil"/>
            </w:tcBorders>
            <w:noWrap/>
            <w:hideMark/>
          </w:tcPr>
          <w:p w14:paraId="6C3A1ED4" w14:textId="77777777" w:rsidR="002E25CC" w:rsidRDefault="002E25CC">
            <w:pPr>
              <w:rPr>
                <w:rFonts w:ascii="Arial,Italic" w:eastAsia="Times New Roman" w:hAnsi="Arial,Italic" w:cs="Calibri"/>
                <w:i/>
                <w:iCs/>
                <w:color w:val="000000"/>
                <w:lang w:eastAsia="en-GB"/>
              </w:rPr>
            </w:pPr>
            <w:proofErr w:type="spellStart"/>
            <w:r>
              <w:rPr>
                <w:rFonts w:ascii="Calibri" w:eastAsia="Times New Roman" w:hAnsi="Calibri" w:cs="Calibri"/>
                <w:i/>
                <w:iCs/>
                <w:color w:val="000000"/>
                <w:lang w:eastAsia="en-GB"/>
              </w:rPr>
              <w:t>Faxonius</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viridis</w:t>
            </w:r>
            <w:proofErr w:type="spellEnd"/>
          </w:p>
        </w:tc>
        <w:tc>
          <w:tcPr>
            <w:tcW w:w="1840" w:type="dxa"/>
            <w:tcBorders>
              <w:top w:val="nil"/>
              <w:left w:val="nil"/>
              <w:bottom w:val="nil"/>
              <w:right w:val="nil"/>
            </w:tcBorders>
            <w:noWrap/>
            <w:hideMark/>
          </w:tcPr>
          <w:p w14:paraId="0CBDA035" w14:textId="77777777" w:rsidR="002E25CC" w:rsidRDefault="002E25CC">
            <w:pPr>
              <w:rPr>
                <w:rFonts w:ascii="Arial,Italic" w:eastAsia="Times New Roman" w:hAnsi="Arial,Italic" w:cs="Calibri"/>
                <w:i/>
                <w:iCs/>
                <w:color w:val="000000"/>
                <w:lang w:eastAsia="en-GB"/>
              </w:rPr>
            </w:pPr>
          </w:p>
        </w:tc>
        <w:tc>
          <w:tcPr>
            <w:tcW w:w="2627" w:type="dxa"/>
            <w:tcBorders>
              <w:top w:val="nil"/>
              <w:left w:val="nil"/>
              <w:bottom w:val="nil"/>
              <w:right w:val="nil"/>
            </w:tcBorders>
            <w:noWrap/>
            <w:hideMark/>
          </w:tcPr>
          <w:p w14:paraId="61B7C806"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 under dynamic conditions but decreased under static conditions</w:t>
            </w:r>
          </w:p>
        </w:tc>
      </w:tr>
      <w:tr w:rsidR="002E25CC" w14:paraId="072578CA" w14:textId="77777777" w:rsidTr="002E25CC">
        <w:trPr>
          <w:trHeight w:val="321"/>
        </w:trPr>
        <w:tc>
          <w:tcPr>
            <w:tcW w:w="2584" w:type="dxa"/>
            <w:tcBorders>
              <w:top w:val="nil"/>
              <w:left w:val="nil"/>
              <w:bottom w:val="nil"/>
              <w:right w:val="nil"/>
            </w:tcBorders>
            <w:noWrap/>
            <w:hideMark/>
          </w:tcPr>
          <w:p w14:paraId="1DFB45E4"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Mishra et al. 2020</w:t>
            </w:r>
          </w:p>
        </w:tc>
        <w:tc>
          <w:tcPr>
            <w:tcW w:w="2317" w:type="dxa"/>
            <w:tcBorders>
              <w:top w:val="nil"/>
              <w:left w:val="nil"/>
              <w:bottom w:val="nil"/>
              <w:right w:val="nil"/>
            </w:tcBorders>
            <w:noWrap/>
            <w:hideMark/>
          </w:tcPr>
          <w:p w14:paraId="4BB4F42C"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Effluent</w:t>
            </w:r>
          </w:p>
        </w:tc>
        <w:tc>
          <w:tcPr>
            <w:tcW w:w="1583" w:type="dxa"/>
            <w:tcBorders>
              <w:top w:val="nil"/>
              <w:left w:val="nil"/>
              <w:bottom w:val="nil"/>
              <w:right w:val="nil"/>
            </w:tcBorders>
            <w:hideMark/>
          </w:tcPr>
          <w:p w14:paraId="78082C99"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NA</w:t>
            </w:r>
          </w:p>
        </w:tc>
        <w:tc>
          <w:tcPr>
            <w:tcW w:w="2858" w:type="dxa"/>
            <w:tcBorders>
              <w:top w:val="nil"/>
              <w:left w:val="nil"/>
              <w:bottom w:val="nil"/>
              <w:right w:val="nil"/>
            </w:tcBorders>
            <w:noWrap/>
            <w:hideMark/>
          </w:tcPr>
          <w:p w14:paraId="6CA3EA02" w14:textId="77777777" w:rsidR="002E25CC" w:rsidRDefault="002E25CC">
            <w:pPr>
              <w:rPr>
                <w:rFonts w:ascii="Calibri" w:eastAsia="Times New Roman" w:hAnsi="Calibri" w:cs="Calibri"/>
                <w:i/>
                <w:iCs/>
                <w:color w:val="000000"/>
                <w:lang w:eastAsia="en-GB"/>
              </w:rPr>
            </w:pPr>
            <w:proofErr w:type="spellStart"/>
            <w:r>
              <w:rPr>
                <w:rFonts w:ascii="Calibri" w:eastAsia="Times New Roman" w:hAnsi="Calibri" w:cs="Calibri"/>
                <w:i/>
                <w:iCs/>
                <w:color w:val="000000"/>
                <w:lang w:eastAsia="en-GB"/>
              </w:rPr>
              <w:t>Simocephalus</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vetulus</w:t>
            </w:r>
            <w:proofErr w:type="spellEnd"/>
          </w:p>
        </w:tc>
        <w:tc>
          <w:tcPr>
            <w:tcW w:w="1840" w:type="dxa"/>
            <w:tcBorders>
              <w:top w:val="nil"/>
              <w:left w:val="nil"/>
              <w:bottom w:val="nil"/>
              <w:right w:val="nil"/>
            </w:tcBorders>
            <w:noWrap/>
            <w:hideMark/>
          </w:tcPr>
          <w:p w14:paraId="67553574"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Freshwater</w:t>
            </w:r>
          </w:p>
        </w:tc>
        <w:tc>
          <w:tcPr>
            <w:tcW w:w="2627" w:type="dxa"/>
            <w:tcBorders>
              <w:top w:val="nil"/>
              <w:left w:val="nil"/>
              <w:bottom w:val="nil"/>
              <w:right w:val="nil"/>
            </w:tcBorders>
            <w:noWrap/>
            <w:hideMark/>
          </w:tcPr>
          <w:p w14:paraId="4AF07E2E"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56CE830B" w14:textId="77777777" w:rsidTr="002E25CC">
        <w:trPr>
          <w:trHeight w:val="321"/>
        </w:trPr>
        <w:tc>
          <w:tcPr>
            <w:tcW w:w="2584" w:type="dxa"/>
            <w:tcBorders>
              <w:top w:val="nil"/>
              <w:left w:val="nil"/>
              <w:bottom w:val="nil"/>
              <w:right w:val="nil"/>
            </w:tcBorders>
            <w:noWrap/>
            <w:hideMark/>
          </w:tcPr>
          <w:p w14:paraId="43979B33" w14:textId="77777777" w:rsidR="002E25CC" w:rsidRDefault="002E25CC">
            <w:pPr>
              <w:rPr>
                <w:rFonts w:ascii="Calibri" w:eastAsia="Times New Roman" w:hAnsi="Calibri" w:cs="Calibri"/>
                <w:color w:val="000000"/>
                <w:lang w:eastAsia="en-GB"/>
              </w:rPr>
            </w:pPr>
            <w:proofErr w:type="spellStart"/>
            <w:r>
              <w:rPr>
                <w:rFonts w:ascii="Calibri" w:eastAsia="Times New Roman" w:hAnsi="Calibri" w:cs="Calibri"/>
                <w:color w:val="000000"/>
                <w:lang w:eastAsia="en-GB"/>
              </w:rPr>
              <w:t>Stara</w:t>
            </w:r>
            <w:proofErr w:type="spellEnd"/>
            <w:r>
              <w:rPr>
                <w:rFonts w:ascii="Calibri" w:eastAsia="Times New Roman" w:hAnsi="Calibri" w:cs="Calibri"/>
                <w:color w:val="000000"/>
                <w:lang w:eastAsia="en-GB"/>
              </w:rPr>
              <w:t xml:space="preserve"> et al. 2019</w:t>
            </w:r>
          </w:p>
        </w:tc>
        <w:tc>
          <w:tcPr>
            <w:tcW w:w="2317" w:type="dxa"/>
            <w:tcBorders>
              <w:top w:val="nil"/>
              <w:left w:val="nil"/>
              <w:bottom w:val="nil"/>
              <w:right w:val="nil"/>
            </w:tcBorders>
            <w:noWrap/>
            <w:hideMark/>
          </w:tcPr>
          <w:p w14:paraId="2A29C7C0"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Calypso 480 SC (CAL)</w:t>
            </w:r>
          </w:p>
        </w:tc>
        <w:tc>
          <w:tcPr>
            <w:tcW w:w="1583" w:type="dxa"/>
            <w:tcBorders>
              <w:top w:val="nil"/>
              <w:left w:val="nil"/>
              <w:bottom w:val="nil"/>
              <w:right w:val="nil"/>
            </w:tcBorders>
            <w:hideMark/>
          </w:tcPr>
          <w:p w14:paraId="1FE0CA86"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1.00-100 µg/l</w:t>
            </w:r>
          </w:p>
        </w:tc>
        <w:tc>
          <w:tcPr>
            <w:tcW w:w="2858" w:type="dxa"/>
            <w:tcBorders>
              <w:top w:val="nil"/>
              <w:left w:val="nil"/>
              <w:bottom w:val="nil"/>
              <w:right w:val="nil"/>
            </w:tcBorders>
            <w:noWrap/>
            <w:hideMark/>
          </w:tcPr>
          <w:p w14:paraId="0DC62BE2" w14:textId="77777777" w:rsidR="002E25CC" w:rsidRDefault="002E25CC">
            <w:pPr>
              <w:rPr>
                <w:rFonts w:ascii="Calibri" w:eastAsia="Times New Roman" w:hAnsi="Calibri" w:cs="Calibri"/>
                <w:i/>
                <w:iCs/>
                <w:color w:val="000000"/>
                <w:lang w:eastAsia="en-GB"/>
              </w:rPr>
            </w:pPr>
            <w:proofErr w:type="spellStart"/>
            <w:r>
              <w:rPr>
                <w:rFonts w:ascii="Calibri" w:eastAsia="Times New Roman" w:hAnsi="Calibri" w:cs="Calibri"/>
                <w:i/>
                <w:iCs/>
                <w:color w:val="000000"/>
                <w:lang w:eastAsia="en-GB"/>
              </w:rPr>
              <w:t>Cherax</w:t>
            </w:r>
            <w:proofErr w:type="spellEnd"/>
            <w:r>
              <w:rPr>
                <w:rFonts w:ascii="Calibri" w:eastAsia="Times New Roman" w:hAnsi="Calibri" w:cs="Calibri"/>
                <w:i/>
                <w:iCs/>
                <w:color w:val="000000"/>
                <w:lang w:eastAsia="en-GB"/>
              </w:rPr>
              <w:t xml:space="preserve"> destructor</w:t>
            </w:r>
          </w:p>
        </w:tc>
        <w:tc>
          <w:tcPr>
            <w:tcW w:w="1840" w:type="dxa"/>
            <w:tcBorders>
              <w:top w:val="nil"/>
              <w:left w:val="nil"/>
              <w:bottom w:val="nil"/>
              <w:right w:val="nil"/>
            </w:tcBorders>
            <w:noWrap/>
            <w:hideMark/>
          </w:tcPr>
          <w:p w14:paraId="068E2F3C" w14:textId="77777777" w:rsidR="002E25CC" w:rsidRDefault="002E25CC">
            <w:pPr>
              <w:rPr>
                <w:rFonts w:ascii="Calibri" w:eastAsia="Times New Roman" w:hAnsi="Calibri" w:cs="Calibri"/>
                <w:i/>
                <w:iCs/>
                <w:color w:val="000000"/>
                <w:lang w:eastAsia="en-GB"/>
              </w:rPr>
            </w:pPr>
          </w:p>
        </w:tc>
        <w:tc>
          <w:tcPr>
            <w:tcW w:w="2627" w:type="dxa"/>
            <w:tcBorders>
              <w:top w:val="nil"/>
              <w:left w:val="nil"/>
              <w:bottom w:val="nil"/>
              <w:right w:val="nil"/>
            </w:tcBorders>
            <w:noWrap/>
            <w:hideMark/>
          </w:tcPr>
          <w:p w14:paraId="17B6B1C5"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Increased</w:t>
            </w:r>
          </w:p>
        </w:tc>
      </w:tr>
      <w:tr w:rsidR="002E25CC" w14:paraId="424B8C76" w14:textId="77777777" w:rsidTr="002E25CC">
        <w:trPr>
          <w:trHeight w:val="321"/>
        </w:trPr>
        <w:tc>
          <w:tcPr>
            <w:tcW w:w="2584" w:type="dxa"/>
            <w:tcBorders>
              <w:top w:val="nil"/>
              <w:left w:val="nil"/>
              <w:bottom w:val="single" w:sz="4" w:space="0" w:color="auto"/>
              <w:right w:val="nil"/>
            </w:tcBorders>
            <w:noWrap/>
            <w:hideMark/>
          </w:tcPr>
          <w:p w14:paraId="4B862AD7"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Hamilton et al. 2016</w:t>
            </w:r>
          </w:p>
        </w:tc>
        <w:tc>
          <w:tcPr>
            <w:tcW w:w="2317" w:type="dxa"/>
            <w:tcBorders>
              <w:top w:val="nil"/>
              <w:left w:val="nil"/>
              <w:bottom w:val="single" w:sz="4" w:space="0" w:color="auto"/>
              <w:right w:val="nil"/>
            </w:tcBorders>
            <w:noWrap/>
            <w:hideMark/>
          </w:tcPr>
          <w:p w14:paraId="75265EE2"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Fluoxetine</w:t>
            </w:r>
          </w:p>
        </w:tc>
        <w:tc>
          <w:tcPr>
            <w:tcW w:w="1583" w:type="dxa"/>
            <w:tcBorders>
              <w:top w:val="nil"/>
              <w:left w:val="nil"/>
              <w:bottom w:val="single" w:sz="4" w:space="0" w:color="auto"/>
              <w:right w:val="nil"/>
            </w:tcBorders>
            <w:hideMark/>
          </w:tcPr>
          <w:p w14:paraId="5C12E9B4"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5 &amp; 25 mg/l</w:t>
            </w:r>
          </w:p>
        </w:tc>
        <w:tc>
          <w:tcPr>
            <w:tcW w:w="2858" w:type="dxa"/>
            <w:tcBorders>
              <w:top w:val="nil"/>
              <w:left w:val="nil"/>
              <w:bottom w:val="single" w:sz="4" w:space="0" w:color="auto"/>
              <w:right w:val="nil"/>
            </w:tcBorders>
            <w:noWrap/>
            <w:hideMark/>
          </w:tcPr>
          <w:p w14:paraId="5C9C83EB" w14:textId="77777777" w:rsidR="002E25CC" w:rsidRDefault="002E25CC">
            <w:pPr>
              <w:rPr>
                <w:rFonts w:ascii="Calibri" w:eastAsia="Times New Roman" w:hAnsi="Calibri" w:cs="Calibri"/>
                <w:i/>
                <w:iCs/>
                <w:color w:val="000000"/>
                <w:lang w:eastAsia="en-GB"/>
              </w:rPr>
            </w:pPr>
            <w:proofErr w:type="spellStart"/>
            <w:r>
              <w:rPr>
                <w:rFonts w:ascii="Calibri" w:eastAsia="Times New Roman" w:hAnsi="Calibri" w:cs="Calibri"/>
                <w:i/>
                <w:iCs/>
                <w:color w:val="000000"/>
                <w:lang w:eastAsia="en-GB"/>
              </w:rPr>
              <w:t>Pachygrapsus</w:t>
            </w:r>
            <w:proofErr w:type="spellEnd"/>
            <w:r>
              <w:rPr>
                <w:rFonts w:ascii="Calibri" w:eastAsia="Times New Roman" w:hAnsi="Calibri" w:cs="Calibri"/>
                <w:i/>
                <w:iCs/>
                <w:color w:val="000000"/>
                <w:lang w:eastAsia="en-GB"/>
              </w:rPr>
              <w:t xml:space="preserve"> </w:t>
            </w:r>
            <w:proofErr w:type="spellStart"/>
            <w:r>
              <w:rPr>
                <w:rFonts w:ascii="Calibri" w:eastAsia="Times New Roman" w:hAnsi="Calibri" w:cs="Calibri"/>
                <w:i/>
                <w:iCs/>
                <w:color w:val="000000"/>
                <w:lang w:eastAsia="en-GB"/>
              </w:rPr>
              <w:t>crassipes</w:t>
            </w:r>
            <w:proofErr w:type="spellEnd"/>
          </w:p>
        </w:tc>
        <w:tc>
          <w:tcPr>
            <w:tcW w:w="1840" w:type="dxa"/>
            <w:tcBorders>
              <w:top w:val="nil"/>
              <w:left w:val="nil"/>
              <w:bottom w:val="single" w:sz="4" w:space="0" w:color="auto"/>
              <w:right w:val="nil"/>
            </w:tcBorders>
            <w:noWrap/>
          </w:tcPr>
          <w:p w14:paraId="7B7DACED" w14:textId="77777777" w:rsidR="002E25CC" w:rsidRDefault="002E25CC">
            <w:pPr>
              <w:rPr>
                <w:rFonts w:ascii="Calibri" w:eastAsia="Times New Roman" w:hAnsi="Calibri" w:cs="Calibri"/>
                <w:color w:val="000000"/>
                <w:lang w:eastAsia="en-GB"/>
              </w:rPr>
            </w:pPr>
          </w:p>
        </w:tc>
        <w:tc>
          <w:tcPr>
            <w:tcW w:w="2627" w:type="dxa"/>
            <w:tcBorders>
              <w:top w:val="nil"/>
              <w:left w:val="nil"/>
              <w:bottom w:val="single" w:sz="4" w:space="0" w:color="auto"/>
              <w:right w:val="nil"/>
            </w:tcBorders>
            <w:noWrap/>
            <w:hideMark/>
          </w:tcPr>
          <w:p w14:paraId="1F600925" w14:textId="77777777" w:rsidR="002E25CC" w:rsidRDefault="002E25CC">
            <w:pPr>
              <w:rPr>
                <w:rFonts w:ascii="Calibri" w:eastAsia="Times New Roman" w:hAnsi="Calibri" w:cs="Calibri"/>
                <w:color w:val="000000"/>
                <w:lang w:eastAsia="en-GB"/>
              </w:rPr>
            </w:pPr>
            <w:r>
              <w:rPr>
                <w:rFonts w:ascii="Calibri" w:eastAsia="Times New Roman" w:hAnsi="Calibri" w:cs="Calibri"/>
                <w:color w:val="000000"/>
                <w:lang w:eastAsia="en-GB"/>
              </w:rPr>
              <w:t>No significant change`</w:t>
            </w:r>
          </w:p>
        </w:tc>
      </w:tr>
    </w:tbl>
    <w:p w14:paraId="6758514C" w14:textId="77777777" w:rsidR="002E25CC" w:rsidRDefault="002E25CC" w:rsidP="002E25CC">
      <w:pPr>
        <w:spacing w:after="120" w:line="480" w:lineRule="auto"/>
        <w:rPr>
          <w:lang w:eastAsia="en-GB"/>
        </w:rPr>
      </w:pPr>
    </w:p>
    <w:p w14:paraId="4233C6EC" w14:textId="77777777" w:rsidR="002E25CC" w:rsidRDefault="002E25CC" w:rsidP="002E25CC">
      <w:pPr>
        <w:spacing w:after="120" w:line="480" w:lineRule="auto"/>
        <w:rPr>
          <w:lang w:eastAsia="en-GB"/>
        </w:rPr>
      </w:pPr>
    </w:p>
    <w:p w14:paraId="57631E4E" w14:textId="77777777" w:rsidR="002E25CC" w:rsidRDefault="002E25CC" w:rsidP="002E25CC">
      <w:pPr>
        <w:spacing w:after="120" w:line="480" w:lineRule="auto"/>
        <w:rPr>
          <w:lang w:eastAsia="en-GB"/>
        </w:rPr>
      </w:pPr>
    </w:p>
    <w:p w14:paraId="108E769F" w14:textId="77777777" w:rsidR="002E25CC" w:rsidRDefault="002E25CC" w:rsidP="002E25CC">
      <w:pPr>
        <w:spacing w:after="120" w:line="480" w:lineRule="auto"/>
        <w:rPr>
          <w:lang w:eastAsia="en-GB"/>
        </w:rPr>
      </w:pPr>
    </w:p>
    <w:p w14:paraId="446974E6" w14:textId="77777777" w:rsidR="002E25CC" w:rsidRDefault="002E25CC" w:rsidP="002E25CC">
      <w:pPr>
        <w:spacing w:after="120" w:line="480" w:lineRule="auto"/>
        <w:rPr>
          <w:lang w:eastAsia="en-GB"/>
        </w:rPr>
      </w:pPr>
    </w:p>
    <w:p w14:paraId="1CB66BCE" w14:textId="77777777" w:rsidR="002E25CC" w:rsidRDefault="002E25CC" w:rsidP="002E25CC">
      <w:pPr>
        <w:spacing w:after="120" w:line="480" w:lineRule="auto"/>
        <w:rPr>
          <w:lang w:eastAsia="en-GB"/>
        </w:rPr>
      </w:pPr>
    </w:p>
    <w:p w14:paraId="1D5285EB" w14:textId="77777777" w:rsidR="002E25CC" w:rsidRDefault="002E25CC" w:rsidP="002E25CC">
      <w:pPr>
        <w:spacing w:after="120" w:line="480" w:lineRule="auto"/>
        <w:rPr>
          <w:lang w:eastAsia="en-GB"/>
        </w:rPr>
      </w:pPr>
    </w:p>
    <w:p w14:paraId="01E8582D" w14:textId="77777777" w:rsidR="002E25CC" w:rsidRDefault="002E25CC" w:rsidP="002E25CC">
      <w:pPr>
        <w:spacing w:after="120" w:line="480" w:lineRule="auto"/>
        <w:rPr>
          <w:lang w:eastAsia="en-GB"/>
        </w:rPr>
      </w:pPr>
    </w:p>
    <w:p w14:paraId="498B549E" w14:textId="77777777" w:rsidR="002E25CC" w:rsidRDefault="002E25CC" w:rsidP="002E25CC">
      <w:pPr>
        <w:spacing w:after="120" w:line="480" w:lineRule="auto"/>
        <w:rPr>
          <w:lang w:eastAsia="en-GB"/>
        </w:rPr>
      </w:pPr>
    </w:p>
    <w:p w14:paraId="013A19EE" w14:textId="77777777" w:rsidR="002E25CC" w:rsidRDefault="002E25CC" w:rsidP="002E25CC">
      <w:pPr>
        <w:spacing w:after="120" w:line="480" w:lineRule="auto"/>
        <w:rPr>
          <w:lang w:eastAsia="en-GB"/>
        </w:rPr>
      </w:pPr>
    </w:p>
    <w:p w14:paraId="2D01727D" w14:textId="77777777" w:rsidR="002E25CC" w:rsidRDefault="002E25CC" w:rsidP="002E25CC">
      <w:pPr>
        <w:spacing w:after="120" w:line="480" w:lineRule="auto"/>
        <w:rPr>
          <w:lang w:eastAsia="en-GB"/>
        </w:rPr>
      </w:pPr>
      <w:r>
        <w:rPr>
          <w:lang w:eastAsia="en-GB"/>
        </w:rPr>
        <w:t>Table 2: Meta-analysis of aggressive or agonistic behavior of crustaceans exposed to common pollutants.</w:t>
      </w:r>
    </w:p>
    <w:tbl>
      <w:tblPr>
        <w:tblStyle w:val="TableGrid"/>
        <w:tblW w:w="13511"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67"/>
        <w:gridCol w:w="1653"/>
        <w:gridCol w:w="1667"/>
        <w:gridCol w:w="1654"/>
        <w:gridCol w:w="1831"/>
        <w:gridCol w:w="1636"/>
        <w:gridCol w:w="1676"/>
      </w:tblGrid>
      <w:tr w:rsidR="002E25CC" w14:paraId="76C88A62" w14:textId="77777777" w:rsidTr="002E25CC">
        <w:trPr>
          <w:trHeight w:val="1820"/>
        </w:trPr>
        <w:tc>
          <w:tcPr>
            <w:tcW w:w="2127" w:type="dxa"/>
            <w:vMerge w:val="restart"/>
            <w:tcBorders>
              <w:top w:val="single" w:sz="4" w:space="0" w:color="auto"/>
              <w:left w:val="nil"/>
              <w:bottom w:val="single" w:sz="4" w:space="0" w:color="auto"/>
              <w:right w:val="nil"/>
            </w:tcBorders>
            <w:hideMark/>
          </w:tcPr>
          <w:p w14:paraId="2B91F3A3"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Meta-analysis performed</w:t>
            </w:r>
          </w:p>
        </w:tc>
        <w:tc>
          <w:tcPr>
            <w:tcW w:w="1267" w:type="dxa"/>
            <w:vMerge w:val="restart"/>
            <w:tcBorders>
              <w:top w:val="single" w:sz="4" w:space="0" w:color="auto"/>
              <w:left w:val="nil"/>
              <w:bottom w:val="single" w:sz="4" w:space="0" w:color="auto"/>
              <w:right w:val="nil"/>
            </w:tcBorders>
            <w:hideMark/>
          </w:tcPr>
          <w:p w14:paraId="193C8B79"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No. of data sets</w:t>
            </w:r>
          </w:p>
        </w:tc>
        <w:tc>
          <w:tcPr>
            <w:tcW w:w="1653" w:type="dxa"/>
            <w:vMerge w:val="restart"/>
            <w:tcBorders>
              <w:top w:val="single" w:sz="4" w:space="0" w:color="auto"/>
              <w:left w:val="nil"/>
              <w:bottom w:val="single" w:sz="4" w:space="0" w:color="auto"/>
              <w:right w:val="nil"/>
            </w:tcBorders>
            <w:hideMark/>
          </w:tcPr>
          <w:p w14:paraId="42BF5538"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Effect size (95% CI)</w:t>
            </w:r>
          </w:p>
        </w:tc>
        <w:tc>
          <w:tcPr>
            <w:tcW w:w="1667" w:type="dxa"/>
            <w:vMerge w:val="restart"/>
            <w:tcBorders>
              <w:top w:val="single" w:sz="4" w:space="0" w:color="auto"/>
              <w:left w:val="nil"/>
              <w:bottom w:val="single" w:sz="4" w:space="0" w:color="auto"/>
              <w:right w:val="nil"/>
            </w:tcBorders>
            <w:hideMark/>
          </w:tcPr>
          <w:p w14:paraId="413526A3"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 of summary Effect Size</w:t>
            </w:r>
          </w:p>
        </w:tc>
        <w:tc>
          <w:tcPr>
            <w:tcW w:w="1654" w:type="dxa"/>
            <w:vMerge w:val="restart"/>
            <w:tcBorders>
              <w:top w:val="single" w:sz="4" w:space="0" w:color="auto"/>
              <w:left w:val="nil"/>
              <w:bottom w:val="single" w:sz="4" w:space="0" w:color="auto"/>
              <w:right w:val="nil"/>
            </w:tcBorders>
            <w:hideMark/>
          </w:tcPr>
          <w:p w14:paraId="2F1822EB"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Effect size </w:t>
            </w:r>
            <w:r>
              <w:rPr>
                <w:rFonts w:ascii="Times New Roman" w:eastAsia="Times New Roman" w:hAnsi="Times New Roman" w:cs="Times New Roman"/>
                <w:i/>
                <w:iCs/>
                <w:sz w:val="20"/>
                <w:szCs w:val="20"/>
                <w:lang w:eastAsia="en-GB"/>
              </w:rPr>
              <w:t>p</w:t>
            </w:r>
          </w:p>
        </w:tc>
        <w:tc>
          <w:tcPr>
            <w:tcW w:w="3467" w:type="dxa"/>
            <w:gridSpan w:val="2"/>
            <w:tcBorders>
              <w:top w:val="single" w:sz="4" w:space="0" w:color="auto"/>
              <w:left w:val="nil"/>
              <w:bottom w:val="single" w:sz="4" w:space="0" w:color="auto"/>
              <w:right w:val="nil"/>
            </w:tcBorders>
            <w:hideMark/>
          </w:tcPr>
          <w:p w14:paraId="4C0053D5" w14:textId="77777777" w:rsidR="002E25CC" w:rsidRDefault="002E25CC">
            <w:pPr>
              <w:spacing w:after="120" w:line="480" w:lineRule="auto"/>
              <w:rPr>
                <w:rFonts w:ascii="Times New Roman" w:eastAsia="Times New Roman" w:hAnsi="Times New Roman" w:cs="Times New Roman"/>
                <w:i/>
                <w:iCs/>
                <w:sz w:val="20"/>
                <w:szCs w:val="20"/>
                <w:lang w:eastAsia="en-GB"/>
              </w:rPr>
            </w:pPr>
            <w:r>
              <w:rPr>
                <w:rFonts w:ascii="Times New Roman" w:eastAsia="Times New Roman" w:hAnsi="Times New Roman" w:cs="Times New Roman"/>
                <w:sz w:val="20"/>
                <w:szCs w:val="20"/>
                <w:lang w:eastAsia="en-GB"/>
              </w:rPr>
              <w:t>Heterogeneity</w:t>
            </w:r>
          </w:p>
        </w:tc>
        <w:tc>
          <w:tcPr>
            <w:tcW w:w="1676" w:type="dxa"/>
            <w:vMerge w:val="restart"/>
            <w:tcBorders>
              <w:top w:val="single" w:sz="4" w:space="0" w:color="auto"/>
              <w:left w:val="nil"/>
              <w:bottom w:val="single" w:sz="4" w:space="0" w:color="auto"/>
              <w:right w:val="nil"/>
            </w:tcBorders>
            <w:hideMark/>
          </w:tcPr>
          <w:p w14:paraId="439CF0A4"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Publication Bias </w:t>
            </w:r>
            <w:r>
              <w:rPr>
                <w:rFonts w:ascii="Times New Roman" w:eastAsia="Times New Roman" w:hAnsi="Times New Roman" w:cs="Times New Roman"/>
                <w:i/>
                <w:iCs/>
                <w:sz w:val="20"/>
                <w:szCs w:val="20"/>
                <w:lang w:eastAsia="en-GB"/>
              </w:rPr>
              <w:t>p</w:t>
            </w:r>
          </w:p>
        </w:tc>
      </w:tr>
      <w:tr w:rsidR="002E25CC" w14:paraId="4C95430F" w14:textId="77777777" w:rsidTr="002E25CC">
        <w:trPr>
          <w:trHeight w:val="701"/>
        </w:trPr>
        <w:tc>
          <w:tcPr>
            <w:tcW w:w="0" w:type="auto"/>
            <w:vMerge/>
            <w:tcBorders>
              <w:top w:val="single" w:sz="4" w:space="0" w:color="auto"/>
              <w:left w:val="nil"/>
              <w:bottom w:val="single" w:sz="4" w:space="0" w:color="auto"/>
              <w:right w:val="nil"/>
            </w:tcBorders>
            <w:vAlign w:val="center"/>
            <w:hideMark/>
          </w:tcPr>
          <w:p w14:paraId="0671C465" w14:textId="77777777" w:rsidR="002E25CC" w:rsidRDefault="002E25CC">
            <w:pPr>
              <w:rPr>
                <w:rFonts w:ascii="Times New Roman" w:eastAsia="Times New Roman" w:hAnsi="Times New Roman" w:cs="Times New Roman"/>
                <w:sz w:val="20"/>
                <w:szCs w:val="20"/>
                <w:lang w:eastAsia="en-GB"/>
              </w:rPr>
            </w:pPr>
          </w:p>
        </w:tc>
        <w:tc>
          <w:tcPr>
            <w:tcW w:w="0" w:type="auto"/>
            <w:vMerge/>
            <w:tcBorders>
              <w:top w:val="single" w:sz="4" w:space="0" w:color="auto"/>
              <w:left w:val="nil"/>
              <w:bottom w:val="single" w:sz="4" w:space="0" w:color="auto"/>
              <w:right w:val="nil"/>
            </w:tcBorders>
            <w:vAlign w:val="center"/>
            <w:hideMark/>
          </w:tcPr>
          <w:p w14:paraId="558814A8" w14:textId="77777777" w:rsidR="002E25CC" w:rsidRDefault="002E25CC">
            <w:pPr>
              <w:rPr>
                <w:rFonts w:ascii="Times New Roman" w:eastAsia="Times New Roman" w:hAnsi="Times New Roman" w:cs="Times New Roman"/>
                <w:sz w:val="20"/>
                <w:szCs w:val="20"/>
                <w:lang w:eastAsia="en-GB"/>
              </w:rPr>
            </w:pPr>
          </w:p>
        </w:tc>
        <w:tc>
          <w:tcPr>
            <w:tcW w:w="0" w:type="auto"/>
            <w:vMerge/>
            <w:tcBorders>
              <w:top w:val="single" w:sz="4" w:space="0" w:color="auto"/>
              <w:left w:val="nil"/>
              <w:bottom w:val="single" w:sz="4" w:space="0" w:color="auto"/>
              <w:right w:val="nil"/>
            </w:tcBorders>
            <w:vAlign w:val="center"/>
            <w:hideMark/>
          </w:tcPr>
          <w:p w14:paraId="608D5330" w14:textId="77777777" w:rsidR="002E25CC" w:rsidRDefault="002E25CC">
            <w:pPr>
              <w:rPr>
                <w:rFonts w:ascii="Times New Roman" w:eastAsia="Times New Roman" w:hAnsi="Times New Roman" w:cs="Times New Roman"/>
                <w:sz w:val="20"/>
                <w:szCs w:val="20"/>
                <w:lang w:eastAsia="en-GB"/>
              </w:rPr>
            </w:pPr>
          </w:p>
        </w:tc>
        <w:tc>
          <w:tcPr>
            <w:tcW w:w="0" w:type="auto"/>
            <w:vMerge/>
            <w:tcBorders>
              <w:top w:val="single" w:sz="4" w:space="0" w:color="auto"/>
              <w:left w:val="nil"/>
              <w:bottom w:val="single" w:sz="4" w:space="0" w:color="auto"/>
              <w:right w:val="nil"/>
            </w:tcBorders>
            <w:vAlign w:val="center"/>
            <w:hideMark/>
          </w:tcPr>
          <w:p w14:paraId="28BD3055" w14:textId="77777777" w:rsidR="002E25CC" w:rsidRDefault="002E25CC">
            <w:pPr>
              <w:rPr>
                <w:rFonts w:ascii="Times New Roman" w:eastAsia="Times New Roman" w:hAnsi="Times New Roman" w:cs="Times New Roman"/>
                <w:sz w:val="20"/>
                <w:szCs w:val="20"/>
                <w:lang w:eastAsia="en-GB"/>
              </w:rPr>
            </w:pPr>
          </w:p>
        </w:tc>
        <w:tc>
          <w:tcPr>
            <w:tcW w:w="0" w:type="auto"/>
            <w:vMerge/>
            <w:tcBorders>
              <w:top w:val="single" w:sz="4" w:space="0" w:color="auto"/>
              <w:left w:val="nil"/>
              <w:bottom w:val="single" w:sz="4" w:space="0" w:color="auto"/>
              <w:right w:val="nil"/>
            </w:tcBorders>
            <w:vAlign w:val="center"/>
            <w:hideMark/>
          </w:tcPr>
          <w:p w14:paraId="7CF3E2D3" w14:textId="77777777" w:rsidR="002E25CC" w:rsidRDefault="002E25CC">
            <w:pPr>
              <w:rPr>
                <w:rFonts w:ascii="Times New Roman" w:eastAsia="Times New Roman" w:hAnsi="Times New Roman" w:cs="Times New Roman"/>
                <w:sz w:val="20"/>
                <w:szCs w:val="20"/>
                <w:lang w:eastAsia="en-GB"/>
              </w:rPr>
            </w:pPr>
          </w:p>
        </w:tc>
        <w:tc>
          <w:tcPr>
            <w:tcW w:w="1831" w:type="dxa"/>
            <w:tcBorders>
              <w:top w:val="single" w:sz="4" w:space="0" w:color="auto"/>
              <w:left w:val="nil"/>
              <w:bottom w:val="single" w:sz="4" w:space="0" w:color="auto"/>
              <w:right w:val="nil"/>
            </w:tcBorders>
            <w:hideMark/>
          </w:tcPr>
          <w:p w14:paraId="3351B077" w14:textId="77777777" w:rsidR="002E25CC" w:rsidRDefault="002E25CC">
            <w:pPr>
              <w:spacing w:after="120" w:line="48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i/>
                <w:iCs/>
                <w:sz w:val="20"/>
                <w:szCs w:val="20"/>
                <w:lang w:eastAsia="en-GB"/>
              </w:rPr>
              <w:t>Q</w:t>
            </w:r>
          </w:p>
        </w:tc>
        <w:tc>
          <w:tcPr>
            <w:tcW w:w="1636" w:type="dxa"/>
            <w:tcBorders>
              <w:top w:val="single" w:sz="4" w:space="0" w:color="auto"/>
              <w:left w:val="nil"/>
              <w:bottom w:val="single" w:sz="4" w:space="0" w:color="auto"/>
              <w:right w:val="nil"/>
            </w:tcBorders>
            <w:hideMark/>
          </w:tcPr>
          <w:p w14:paraId="5FEB89CA" w14:textId="77777777" w:rsidR="002E25CC" w:rsidRDefault="002E25CC">
            <w:pPr>
              <w:spacing w:after="120" w:line="480" w:lineRule="auto"/>
              <w:jc w:val="center"/>
              <w:rPr>
                <w:rFonts w:ascii="Times New Roman" w:eastAsia="Times New Roman" w:hAnsi="Times New Roman" w:cs="Times New Roman"/>
                <w:i/>
                <w:iCs/>
                <w:sz w:val="20"/>
                <w:szCs w:val="20"/>
                <w:lang w:eastAsia="en-GB"/>
              </w:rPr>
            </w:pPr>
            <w:r>
              <w:rPr>
                <w:rFonts w:ascii="Times New Roman" w:eastAsia="Times New Roman" w:hAnsi="Times New Roman" w:cs="Times New Roman"/>
                <w:i/>
                <w:iCs/>
                <w:sz w:val="20"/>
                <w:szCs w:val="20"/>
                <w:lang w:eastAsia="en-GB"/>
              </w:rPr>
              <w:t>p</w:t>
            </w:r>
          </w:p>
        </w:tc>
        <w:tc>
          <w:tcPr>
            <w:tcW w:w="0" w:type="auto"/>
            <w:vMerge/>
            <w:tcBorders>
              <w:top w:val="single" w:sz="4" w:space="0" w:color="auto"/>
              <w:left w:val="nil"/>
              <w:bottom w:val="single" w:sz="4" w:space="0" w:color="auto"/>
              <w:right w:val="nil"/>
            </w:tcBorders>
            <w:vAlign w:val="center"/>
            <w:hideMark/>
          </w:tcPr>
          <w:p w14:paraId="6A11EBF0" w14:textId="77777777" w:rsidR="002E25CC" w:rsidRDefault="002E25CC">
            <w:pPr>
              <w:rPr>
                <w:rFonts w:ascii="Times New Roman" w:eastAsia="Times New Roman" w:hAnsi="Times New Roman" w:cs="Times New Roman"/>
                <w:sz w:val="20"/>
                <w:szCs w:val="20"/>
                <w:lang w:eastAsia="en-GB"/>
              </w:rPr>
            </w:pPr>
          </w:p>
        </w:tc>
      </w:tr>
      <w:tr w:rsidR="002E25CC" w14:paraId="7781F710" w14:textId="77777777" w:rsidTr="002E25CC">
        <w:trPr>
          <w:trHeight w:val="1251"/>
        </w:trPr>
        <w:tc>
          <w:tcPr>
            <w:tcW w:w="2127" w:type="dxa"/>
            <w:tcBorders>
              <w:top w:val="single" w:sz="4" w:space="0" w:color="auto"/>
              <w:left w:val="nil"/>
              <w:bottom w:val="nil"/>
              <w:right w:val="nil"/>
            </w:tcBorders>
            <w:hideMark/>
          </w:tcPr>
          <w:p w14:paraId="153A6D5E"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All investigated pollutant effects fight duration</w:t>
            </w:r>
          </w:p>
        </w:tc>
        <w:tc>
          <w:tcPr>
            <w:tcW w:w="1267" w:type="dxa"/>
            <w:tcBorders>
              <w:top w:val="single" w:sz="4" w:space="0" w:color="auto"/>
              <w:left w:val="nil"/>
              <w:bottom w:val="nil"/>
              <w:right w:val="nil"/>
            </w:tcBorders>
            <w:hideMark/>
          </w:tcPr>
          <w:p w14:paraId="7D827D98"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18</w:t>
            </w:r>
          </w:p>
        </w:tc>
        <w:tc>
          <w:tcPr>
            <w:tcW w:w="1653" w:type="dxa"/>
            <w:tcBorders>
              <w:top w:val="single" w:sz="4" w:space="0" w:color="auto"/>
              <w:left w:val="nil"/>
              <w:bottom w:val="nil"/>
              <w:right w:val="nil"/>
            </w:tcBorders>
            <w:hideMark/>
          </w:tcPr>
          <w:p w14:paraId="1219373E"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-1.26 – 0.64 </w:t>
            </w:r>
          </w:p>
        </w:tc>
        <w:tc>
          <w:tcPr>
            <w:tcW w:w="1667" w:type="dxa"/>
            <w:tcBorders>
              <w:top w:val="single" w:sz="4" w:space="0" w:color="auto"/>
              <w:left w:val="nil"/>
              <w:bottom w:val="nil"/>
              <w:right w:val="nil"/>
            </w:tcBorders>
            <w:hideMark/>
          </w:tcPr>
          <w:p w14:paraId="6C690549"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0.48</w:t>
            </w:r>
          </w:p>
        </w:tc>
        <w:tc>
          <w:tcPr>
            <w:tcW w:w="1654" w:type="dxa"/>
            <w:tcBorders>
              <w:top w:val="single" w:sz="4" w:space="0" w:color="auto"/>
              <w:left w:val="nil"/>
              <w:bottom w:val="nil"/>
              <w:right w:val="nil"/>
            </w:tcBorders>
            <w:hideMark/>
          </w:tcPr>
          <w:p w14:paraId="13FCB177"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0.52</w:t>
            </w:r>
          </w:p>
        </w:tc>
        <w:tc>
          <w:tcPr>
            <w:tcW w:w="1831" w:type="dxa"/>
            <w:tcBorders>
              <w:top w:val="single" w:sz="4" w:space="0" w:color="auto"/>
              <w:left w:val="nil"/>
              <w:bottom w:val="nil"/>
              <w:right w:val="nil"/>
            </w:tcBorders>
            <w:hideMark/>
          </w:tcPr>
          <w:p w14:paraId="6030E417"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267.11</w:t>
            </w:r>
          </w:p>
        </w:tc>
        <w:tc>
          <w:tcPr>
            <w:tcW w:w="1636" w:type="dxa"/>
            <w:tcBorders>
              <w:top w:val="single" w:sz="4" w:space="0" w:color="auto"/>
              <w:left w:val="nil"/>
              <w:bottom w:val="nil"/>
              <w:right w:val="nil"/>
            </w:tcBorders>
            <w:hideMark/>
          </w:tcPr>
          <w:p w14:paraId="4EAB3998"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&lt;0.01</w:t>
            </w:r>
          </w:p>
        </w:tc>
        <w:tc>
          <w:tcPr>
            <w:tcW w:w="1676" w:type="dxa"/>
            <w:tcBorders>
              <w:top w:val="single" w:sz="4" w:space="0" w:color="auto"/>
              <w:left w:val="nil"/>
              <w:bottom w:val="nil"/>
              <w:right w:val="nil"/>
            </w:tcBorders>
            <w:hideMark/>
          </w:tcPr>
          <w:p w14:paraId="19CD63FF"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0.27</w:t>
            </w:r>
          </w:p>
        </w:tc>
      </w:tr>
      <w:tr w:rsidR="002E25CC" w14:paraId="72D22C0D" w14:textId="77777777" w:rsidTr="002E25CC">
        <w:trPr>
          <w:trHeight w:val="684"/>
        </w:trPr>
        <w:tc>
          <w:tcPr>
            <w:tcW w:w="2127" w:type="dxa"/>
            <w:tcBorders>
              <w:top w:val="nil"/>
              <w:left w:val="nil"/>
              <w:bottom w:val="nil"/>
              <w:right w:val="nil"/>
            </w:tcBorders>
            <w:hideMark/>
          </w:tcPr>
          <w:p w14:paraId="4FF02150" w14:textId="77777777" w:rsidR="002E25CC" w:rsidRDefault="002E25CC">
            <w:pPr>
              <w:spacing w:after="120" w:line="480" w:lineRule="auto"/>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Micropollutants</w:t>
            </w:r>
            <w:proofErr w:type="spellEnd"/>
            <w:r>
              <w:rPr>
                <w:rFonts w:ascii="Times New Roman" w:eastAsia="Times New Roman" w:hAnsi="Times New Roman" w:cs="Times New Roman"/>
                <w:sz w:val="20"/>
                <w:szCs w:val="20"/>
                <w:lang w:eastAsia="en-GB"/>
              </w:rPr>
              <w:t xml:space="preserve"> (fight duration)</w:t>
            </w:r>
          </w:p>
        </w:tc>
        <w:tc>
          <w:tcPr>
            <w:tcW w:w="1267" w:type="dxa"/>
            <w:tcBorders>
              <w:top w:val="nil"/>
              <w:left w:val="nil"/>
              <w:bottom w:val="nil"/>
              <w:right w:val="nil"/>
            </w:tcBorders>
            <w:hideMark/>
          </w:tcPr>
          <w:p w14:paraId="4A3AE7AF"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w:t>
            </w:r>
          </w:p>
        </w:tc>
        <w:tc>
          <w:tcPr>
            <w:tcW w:w="1653" w:type="dxa"/>
            <w:tcBorders>
              <w:top w:val="nil"/>
              <w:left w:val="nil"/>
              <w:bottom w:val="nil"/>
              <w:right w:val="nil"/>
            </w:tcBorders>
            <w:hideMark/>
          </w:tcPr>
          <w:p w14:paraId="50D6F472"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-1.41 – 1.02</w:t>
            </w:r>
          </w:p>
        </w:tc>
        <w:tc>
          <w:tcPr>
            <w:tcW w:w="1667" w:type="dxa"/>
            <w:tcBorders>
              <w:top w:val="nil"/>
              <w:left w:val="nil"/>
              <w:bottom w:val="nil"/>
              <w:right w:val="nil"/>
            </w:tcBorders>
            <w:hideMark/>
          </w:tcPr>
          <w:p w14:paraId="616CAB61"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0.62</w:t>
            </w:r>
          </w:p>
        </w:tc>
        <w:tc>
          <w:tcPr>
            <w:tcW w:w="1654" w:type="dxa"/>
            <w:tcBorders>
              <w:top w:val="nil"/>
              <w:left w:val="nil"/>
              <w:bottom w:val="nil"/>
              <w:right w:val="nil"/>
            </w:tcBorders>
            <w:hideMark/>
          </w:tcPr>
          <w:p w14:paraId="20F78CA5"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0.75</w:t>
            </w:r>
          </w:p>
        </w:tc>
        <w:tc>
          <w:tcPr>
            <w:tcW w:w="1831" w:type="dxa"/>
            <w:tcBorders>
              <w:top w:val="nil"/>
              <w:left w:val="nil"/>
              <w:bottom w:val="nil"/>
              <w:right w:val="nil"/>
            </w:tcBorders>
            <w:hideMark/>
          </w:tcPr>
          <w:p w14:paraId="53DB58B4"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182.82</w:t>
            </w:r>
          </w:p>
        </w:tc>
        <w:tc>
          <w:tcPr>
            <w:tcW w:w="1636" w:type="dxa"/>
            <w:tcBorders>
              <w:top w:val="nil"/>
              <w:left w:val="nil"/>
              <w:bottom w:val="nil"/>
              <w:right w:val="nil"/>
            </w:tcBorders>
            <w:hideMark/>
          </w:tcPr>
          <w:p w14:paraId="20E6C52A"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&lt;0.01</w:t>
            </w:r>
          </w:p>
        </w:tc>
        <w:tc>
          <w:tcPr>
            <w:tcW w:w="1676" w:type="dxa"/>
            <w:tcBorders>
              <w:top w:val="nil"/>
              <w:left w:val="nil"/>
              <w:bottom w:val="nil"/>
              <w:right w:val="nil"/>
            </w:tcBorders>
            <w:hideMark/>
          </w:tcPr>
          <w:p w14:paraId="50269295"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0.76</w:t>
            </w:r>
          </w:p>
        </w:tc>
      </w:tr>
      <w:tr w:rsidR="002E25CC" w14:paraId="2F3855D9" w14:textId="77777777" w:rsidTr="002E25CC">
        <w:trPr>
          <w:trHeight w:val="684"/>
        </w:trPr>
        <w:tc>
          <w:tcPr>
            <w:tcW w:w="2127" w:type="dxa"/>
            <w:tcBorders>
              <w:top w:val="nil"/>
              <w:left w:val="nil"/>
              <w:bottom w:val="nil"/>
              <w:right w:val="nil"/>
            </w:tcBorders>
            <w:hideMark/>
          </w:tcPr>
          <w:p w14:paraId="03F0EB55"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All investigated pollutant effects on number of fight</w:t>
            </w:r>
          </w:p>
        </w:tc>
        <w:tc>
          <w:tcPr>
            <w:tcW w:w="1267" w:type="dxa"/>
            <w:tcBorders>
              <w:top w:val="nil"/>
              <w:left w:val="nil"/>
              <w:bottom w:val="nil"/>
              <w:right w:val="nil"/>
            </w:tcBorders>
            <w:hideMark/>
          </w:tcPr>
          <w:p w14:paraId="4C80D20D"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10</w:t>
            </w:r>
          </w:p>
        </w:tc>
        <w:tc>
          <w:tcPr>
            <w:tcW w:w="1653" w:type="dxa"/>
            <w:tcBorders>
              <w:top w:val="nil"/>
              <w:left w:val="nil"/>
              <w:bottom w:val="nil"/>
              <w:right w:val="nil"/>
            </w:tcBorders>
            <w:hideMark/>
          </w:tcPr>
          <w:p w14:paraId="05072314"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-3.32 – -1.01 </w:t>
            </w:r>
          </w:p>
        </w:tc>
        <w:tc>
          <w:tcPr>
            <w:tcW w:w="1667" w:type="dxa"/>
            <w:tcBorders>
              <w:top w:val="nil"/>
              <w:left w:val="nil"/>
              <w:bottom w:val="nil"/>
              <w:right w:val="nil"/>
            </w:tcBorders>
            <w:hideMark/>
          </w:tcPr>
          <w:p w14:paraId="7DD96E62"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0.59</w:t>
            </w:r>
          </w:p>
        </w:tc>
        <w:tc>
          <w:tcPr>
            <w:tcW w:w="1654" w:type="dxa"/>
            <w:tcBorders>
              <w:top w:val="nil"/>
              <w:left w:val="nil"/>
              <w:bottom w:val="nil"/>
              <w:right w:val="nil"/>
            </w:tcBorders>
            <w:hideMark/>
          </w:tcPr>
          <w:p w14:paraId="196CA7AE"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0.0002</w:t>
            </w:r>
          </w:p>
        </w:tc>
        <w:tc>
          <w:tcPr>
            <w:tcW w:w="1831" w:type="dxa"/>
            <w:tcBorders>
              <w:top w:val="nil"/>
              <w:left w:val="nil"/>
              <w:bottom w:val="nil"/>
              <w:right w:val="nil"/>
            </w:tcBorders>
            <w:hideMark/>
          </w:tcPr>
          <w:p w14:paraId="78697E46"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83.37</w:t>
            </w:r>
          </w:p>
        </w:tc>
        <w:tc>
          <w:tcPr>
            <w:tcW w:w="1636" w:type="dxa"/>
            <w:tcBorders>
              <w:top w:val="nil"/>
              <w:left w:val="nil"/>
              <w:bottom w:val="nil"/>
              <w:right w:val="nil"/>
            </w:tcBorders>
            <w:hideMark/>
          </w:tcPr>
          <w:p w14:paraId="021E28E3"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&lt;0.01</w:t>
            </w:r>
          </w:p>
        </w:tc>
        <w:tc>
          <w:tcPr>
            <w:tcW w:w="1676" w:type="dxa"/>
            <w:tcBorders>
              <w:top w:val="nil"/>
              <w:left w:val="nil"/>
              <w:bottom w:val="nil"/>
              <w:right w:val="nil"/>
            </w:tcBorders>
            <w:hideMark/>
          </w:tcPr>
          <w:p w14:paraId="5A133DD7"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&lt;0.01</w:t>
            </w:r>
          </w:p>
        </w:tc>
      </w:tr>
      <w:tr w:rsidR="002E25CC" w14:paraId="46BCF6D1" w14:textId="77777777" w:rsidTr="002E25CC">
        <w:trPr>
          <w:trHeight w:val="684"/>
        </w:trPr>
        <w:tc>
          <w:tcPr>
            <w:tcW w:w="2127" w:type="dxa"/>
            <w:tcBorders>
              <w:top w:val="nil"/>
              <w:left w:val="nil"/>
              <w:bottom w:val="single" w:sz="4" w:space="0" w:color="auto"/>
              <w:right w:val="nil"/>
            </w:tcBorders>
            <w:hideMark/>
          </w:tcPr>
          <w:p w14:paraId="1F42302A" w14:textId="77777777" w:rsidR="002E25CC" w:rsidRDefault="002E25CC">
            <w:pPr>
              <w:spacing w:after="120" w:line="480" w:lineRule="auto"/>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Micropollutants</w:t>
            </w:r>
            <w:proofErr w:type="spellEnd"/>
            <w:r>
              <w:rPr>
                <w:rFonts w:ascii="Times New Roman" w:eastAsia="Times New Roman" w:hAnsi="Times New Roman" w:cs="Times New Roman"/>
                <w:sz w:val="20"/>
                <w:szCs w:val="20"/>
                <w:lang w:eastAsia="en-GB"/>
              </w:rPr>
              <w:t xml:space="preserve"> (number of fights)</w:t>
            </w:r>
          </w:p>
        </w:tc>
        <w:tc>
          <w:tcPr>
            <w:tcW w:w="1267" w:type="dxa"/>
            <w:tcBorders>
              <w:top w:val="nil"/>
              <w:left w:val="nil"/>
              <w:bottom w:val="single" w:sz="4" w:space="0" w:color="auto"/>
              <w:right w:val="nil"/>
            </w:tcBorders>
            <w:hideMark/>
          </w:tcPr>
          <w:p w14:paraId="493E75ED"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w:t>
            </w:r>
          </w:p>
        </w:tc>
        <w:tc>
          <w:tcPr>
            <w:tcW w:w="1653" w:type="dxa"/>
            <w:tcBorders>
              <w:top w:val="nil"/>
              <w:left w:val="nil"/>
              <w:bottom w:val="single" w:sz="4" w:space="0" w:color="auto"/>
              <w:right w:val="nil"/>
            </w:tcBorders>
            <w:hideMark/>
          </w:tcPr>
          <w:p w14:paraId="7C3EE78D"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-3.75 – -0.41</w:t>
            </w:r>
          </w:p>
        </w:tc>
        <w:tc>
          <w:tcPr>
            <w:tcW w:w="1667" w:type="dxa"/>
            <w:tcBorders>
              <w:top w:val="nil"/>
              <w:left w:val="nil"/>
              <w:bottom w:val="single" w:sz="4" w:space="0" w:color="auto"/>
              <w:right w:val="nil"/>
            </w:tcBorders>
            <w:hideMark/>
          </w:tcPr>
          <w:p w14:paraId="1445FFFD"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0.85</w:t>
            </w:r>
          </w:p>
        </w:tc>
        <w:tc>
          <w:tcPr>
            <w:tcW w:w="1654" w:type="dxa"/>
            <w:tcBorders>
              <w:top w:val="nil"/>
              <w:left w:val="nil"/>
              <w:bottom w:val="single" w:sz="4" w:space="0" w:color="auto"/>
              <w:right w:val="nil"/>
            </w:tcBorders>
            <w:hideMark/>
          </w:tcPr>
          <w:p w14:paraId="5C7A58D0"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0.0144</w:t>
            </w:r>
          </w:p>
        </w:tc>
        <w:tc>
          <w:tcPr>
            <w:tcW w:w="1831" w:type="dxa"/>
            <w:tcBorders>
              <w:top w:val="nil"/>
              <w:left w:val="nil"/>
              <w:bottom w:val="single" w:sz="4" w:space="0" w:color="auto"/>
              <w:right w:val="nil"/>
            </w:tcBorders>
            <w:hideMark/>
          </w:tcPr>
          <w:p w14:paraId="5CADFD7A"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77.32</w:t>
            </w:r>
          </w:p>
        </w:tc>
        <w:tc>
          <w:tcPr>
            <w:tcW w:w="1636" w:type="dxa"/>
            <w:tcBorders>
              <w:top w:val="nil"/>
              <w:left w:val="nil"/>
              <w:bottom w:val="single" w:sz="4" w:space="0" w:color="auto"/>
              <w:right w:val="nil"/>
            </w:tcBorders>
            <w:hideMark/>
          </w:tcPr>
          <w:p w14:paraId="19E209F7"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&lt;0.01</w:t>
            </w:r>
          </w:p>
        </w:tc>
        <w:tc>
          <w:tcPr>
            <w:tcW w:w="1676" w:type="dxa"/>
            <w:tcBorders>
              <w:top w:val="nil"/>
              <w:left w:val="nil"/>
              <w:bottom w:val="single" w:sz="4" w:space="0" w:color="auto"/>
              <w:right w:val="nil"/>
            </w:tcBorders>
            <w:hideMark/>
          </w:tcPr>
          <w:p w14:paraId="0FA4F7A4" w14:textId="77777777" w:rsidR="002E25CC" w:rsidRDefault="002E25CC">
            <w:pPr>
              <w:spacing w:after="12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&lt;0.01</w:t>
            </w:r>
          </w:p>
        </w:tc>
      </w:tr>
    </w:tbl>
    <w:p w14:paraId="4C4C3775" w14:textId="77777777" w:rsidR="002E25CC" w:rsidRDefault="002E25CC" w:rsidP="002E25CC">
      <w:pPr>
        <w:spacing w:after="120" w:line="480" w:lineRule="auto"/>
        <w:rPr>
          <w:lang w:eastAsia="en-GB"/>
        </w:rPr>
        <w:sectPr w:rsidR="002E25CC" w:rsidSect="00B26FED">
          <w:pgSz w:w="15840" w:h="12240" w:orient="landscape"/>
          <w:pgMar w:top="1440" w:right="1440" w:bottom="1440" w:left="1440" w:header="720" w:footer="720" w:gutter="0"/>
          <w:cols w:space="720"/>
          <w:docGrid w:linePitch="360"/>
        </w:sectPr>
      </w:pPr>
      <w:r>
        <w:rPr>
          <w:lang w:eastAsia="en-GB"/>
        </w:rPr>
        <w:t>CI, confidence interval</w:t>
      </w:r>
    </w:p>
    <w:p w14:paraId="5A557828" w14:textId="0AD426E8" w:rsidR="002E25CC" w:rsidRDefault="002E25CC" w:rsidP="002E25CC">
      <w:pPr>
        <w:spacing w:after="120" w:line="480" w:lineRule="auto"/>
        <w:rPr>
          <w:lang w:eastAsia="en-GB"/>
        </w:rPr>
      </w:pPr>
      <w:r>
        <w:rPr>
          <w:noProof/>
        </w:rPr>
        <w:drawing>
          <wp:inline distT="0" distB="0" distL="0" distR="0" wp14:anchorId="07E55199" wp14:editId="037820B8">
            <wp:extent cx="7905115" cy="38304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7915863" cy="3835608"/>
                    </a:xfrm>
                    <a:prstGeom prst="rect">
                      <a:avLst/>
                    </a:prstGeom>
                  </pic:spPr>
                </pic:pic>
              </a:graphicData>
            </a:graphic>
          </wp:inline>
        </w:drawing>
      </w:r>
    </w:p>
    <w:p w14:paraId="4B208594" w14:textId="77777777" w:rsidR="00D652E0" w:rsidRDefault="00D652E0" w:rsidP="004D4ED2">
      <w:pPr>
        <w:spacing w:line="360" w:lineRule="auto"/>
        <w:jc w:val="both"/>
        <w:rPr>
          <w:color w:val="000000" w:themeColor="text1"/>
          <w:sz w:val="28"/>
          <w:szCs w:val="28"/>
        </w:rPr>
      </w:pPr>
    </w:p>
    <w:p w14:paraId="43E2765D" w14:textId="2C49AC55" w:rsidR="002E25CC" w:rsidRPr="002E25CC" w:rsidRDefault="002E25CC" w:rsidP="002E25CC">
      <w:pPr>
        <w:spacing w:after="120" w:line="480" w:lineRule="auto"/>
        <w:rPr>
          <w:lang w:eastAsia="en-GB"/>
        </w:rPr>
      </w:pPr>
      <w:r>
        <w:rPr>
          <w:lang w:eastAsia="en-GB"/>
        </w:rPr>
        <w:t>Fig. 2: The differences in the aggressive behavior of crustaceans following exposure to different pollutants. For total fight duration data, Standard Mean Difference (SMD) estimations are shown as filled squares, with square sizes denoting the relative importance of each study’s effect size estimate in the analysis. The total summary effect size is shown by the filled diamond [SMD = 0.31, 95% CI (-1.26 to 0.64), p &gt; 0.05]. Error bars and diamond width indicate 95% CIs. RE = Random effects model.</w:t>
      </w:r>
    </w:p>
    <w:p w14:paraId="69351FAD" w14:textId="3BD7ABB5" w:rsidR="00D652E0" w:rsidRDefault="002E25CC" w:rsidP="004D4ED2">
      <w:pPr>
        <w:spacing w:line="360" w:lineRule="auto"/>
        <w:jc w:val="both"/>
        <w:rPr>
          <w:color w:val="000000" w:themeColor="text1"/>
          <w:sz w:val="28"/>
          <w:szCs w:val="28"/>
        </w:rPr>
      </w:pPr>
      <w:r>
        <w:rPr>
          <w:noProof/>
        </w:rPr>
        <w:drawing>
          <wp:inline distT="0" distB="0" distL="0" distR="0" wp14:anchorId="5BE30EDA" wp14:editId="07E877AA">
            <wp:extent cx="7739380" cy="41112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7746084" cy="4114761"/>
                    </a:xfrm>
                    <a:prstGeom prst="rect">
                      <a:avLst/>
                    </a:prstGeom>
                  </pic:spPr>
                </pic:pic>
              </a:graphicData>
            </a:graphic>
          </wp:inline>
        </w:drawing>
      </w:r>
    </w:p>
    <w:p w14:paraId="31136A40" w14:textId="77777777" w:rsidR="00D652E0" w:rsidRDefault="00D652E0" w:rsidP="004D4ED2">
      <w:pPr>
        <w:spacing w:line="360" w:lineRule="auto"/>
        <w:jc w:val="both"/>
        <w:rPr>
          <w:color w:val="000000" w:themeColor="text1"/>
          <w:sz w:val="28"/>
          <w:szCs w:val="28"/>
        </w:rPr>
      </w:pPr>
    </w:p>
    <w:p w14:paraId="4967CB01" w14:textId="77777777" w:rsidR="002E25CC" w:rsidRDefault="002E25CC" w:rsidP="002E25CC">
      <w:pPr>
        <w:spacing w:after="120" w:line="480" w:lineRule="auto"/>
        <w:rPr>
          <w:lang w:eastAsia="en-GB"/>
        </w:rPr>
      </w:pPr>
      <w:r>
        <w:rPr>
          <w:lang w:eastAsia="en-GB"/>
        </w:rPr>
        <w:t xml:space="preserve">Fig. 3: The differences in the aggressive behavior of crustaceans following exposure to </w:t>
      </w:r>
      <w:proofErr w:type="spellStart"/>
      <w:r>
        <w:rPr>
          <w:lang w:eastAsia="en-GB"/>
        </w:rPr>
        <w:t>micropollutants</w:t>
      </w:r>
      <w:proofErr w:type="spellEnd"/>
      <w:r>
        <w:rPr>
          <w:lang w:eastAsia="en-GB"/>
        </w:rPr>
        <w:t>. Standard Mean Difference (SMD) estimates for total fight duration data are depicted by filled squares, with square sizes indicating the relative weight of each study’s effect size estimate in the analysis. The filled diamond reflects the overall summary effect size [SMD = -0.19, 95% CI (-1.41 to 1.02), p = 0.75]. Error bars and diamond width indicate 95% CIs. RE = Random effects model.</w:t>
      </w:r>
    </w:p>
    <w:p w14:paraId="081E4085" w14:textId="49EE617C" w:rsidR="00D652E0" w:rsidRDefault="002E25CC" w:rsidP="004D4ED2">
      <w:pPr>
        <w:spacing w:line="360" w:lineRule="auto"/>
        <w:jc w:val="both"/>
        <w:rPr>
          <w:color w:val="000000" w:themeColor="text1"/>
          <w:sz w:val="28"/>
          <w:szCs w:val="28"/>
        </w:rPr>
      </w:pPr>
      <w:r>
        <w:rPr>
          <w:noProof/>
        </w:rPr>
        <w:drawing>
          <wp:inline distT="0" distB="0" distL="0" distR="0" wp14:anchorId="591EAD3C" wp14:editId="166E6D0D">
            <wp:extent cx="8978265" cy="33912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8983950" cy="3393347"/>
                    </a:xfrm>
                    <a:prstGeom prst="rect">
                      <a:avLst/>
                    </a:prstGeom>
                  </pic:spPr>
                </pic:pic>
              </a:graphicData>
            </a:graphic>
          </wp:inline>
        </w:drawing>
      </w:r>
    </w:p>
    <w:p w14:paraId="7ADE32E7" w14:textId="77777777" w:rsidR="00D652E0" w:rsidRDefault="00D652E0" w:rsidP="004D4ED2">
      <w:pPr>
        <w:spacing w:line="360" w:lineRule="auto"/>
        <w:jc w:val="both"/>
        <w:rPr>
          <w:color w:val="000000" w:themeColor="text1"/>
          <w:sz w:val="28"/>
          <w:szCs w:val="28"/>
        </w:rPr>
      </w:pPr>
    </w:p>
    <w:p w14:paraId="5E5F1CF0" w14:textId="7858F24A" w:rsidR="00D652E0" w:rsidRDefault="00D652E0" w:rsidP="004D4ED2">
      <w:pPr>
        <w:spacing w:line="360" w:lineRule="auto"/>
        <w:jc w:val="both"/>
        <w:rPr>
          <w:color w:val="000000" w:themeColor="text1"/>
          <w:sz w:val="28"/>
          <w:szCs w:val="28"/>
        </w:rPr>
      </w:pPr>
    </w:p>
    <w:p w14:paraId="55ADA95B" w14:textId="77777777" w:rsidR="002E25CC" w:rsidRDefault="002E25CC" w:rsidP="002E25CC">
      <w:pPr>
        <w:spacing w:after="120" w:line="480" w:lineRule="auto"/>
        <w:rPr>
          <w:lang w:eastAsia="en-GB"/>
        </w:rPr>
      </w:pPr>
      <w:r>
        <w:rPr>
          <w:lang w:eastAsia="en-GB"/>
        </w:rPr>
        <w:t>Fig. 4: The differences in the aggressive behavior of crustaceans following exposure to different pollutants. Standard Mean Difference (SMD) estimates for the total number of fight data are depicted by filled squares, with square sizes indicating the relative weight of each study’s effect size estimate in the analysis. The filled diamond reflects the overall summary effect size [SMD = -2.17, 95% CI (-3.22 to -1.01), p &lt; 0.01]. Error bars and diamond width indicate 95% CIs. RE = Random effects model.</w:t>
      </w:r>
    </w:p>
    <w:p w14:paraId="0246F323" w14:textId="77777777" w:rsidR="002E25CC" w:rsidRDefault="002E25CC" w:rsidP="002E25CC">
      <w:pPr>
        <w:spacing w:after="120" w:line="480" w:lineRule="auto"/>
        <w:rPr>
          <w:lang w:eastAsia="en-GB"/>
        </w:rPr>
      </w:pPr>
    </w:p>
    <w:p w14:paraId="359603C2" w14:textId="54F91849" w:rsidR="00D652E0" w:rsidRDefault="002E25CC" w:rsidP="004D4ED2">
      <w:pPr>
        <w:spacing w:line="360" w:lineRule="auto"/>
        <w:jc w:val="both"/>
        <w:rPr>
          <w:color w:val="000000" w:themeColor="text1"/>
          <w:sz w:val="28"/>
          <w:szCs w:val="28"/>
        </w:rPr>
      </w:pPr>
      <w:r>
        <w:rPr>
          <w:noProof/>
        </w:rPr>
        <w:drawing>
          <wp:inline distT="0" distB="0" distL="0" distR="0" wp14:anchorId="45B20CD7" wp14:editId="7976932D">
            <wp:extent cx="7739380" cy="30528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7746180" cy="3055482"/>
                    </a:xfrm>
                    <a:prstGeom prst="rect">
                      <a:avLst/>
                    </a:prstGeom>
                  </pic:spPr>
                </pic:pic>
              </a:graphicData>
            </a:graphic>
          </wp:inline>
        </w:drawing>
      </w:r>
    </w:p>
    <w:p w14:paraId="2E04A71A" w14:textId="2D87849F" w:rsidR="002E25CC" w:rsidRDefault="002E25CC" w:rsidP="00605F60">
      <w:pPr>
        <w:spacing w:after="120" w:line="480" w:lineRule="auto"/>
        <w:rPr>
          <w:lang w:eastAsia="en-GB"/>
        </w:rPr>
        <w:sectPr w:rsidR="002E25CC" w:rsidSect="00B26FED">
          <w:pgSz w:w="15840" w:h="12240" w:orient="landscape"/>
          <w:pgMar w:top="1440" w:right="1440" w:bottom="1440" w:left="1440" w:header="720" w:footer="720" w:gutter="0"/>
          <w:cols w:space="720"/>
        </w:sectPr>
      </w:pPr>
      <w:r>
        <w:rPr>
          <w:lang w:eastAsia="en-GB"/>
        </w:rPr>
        <w:t xml:space="preserve">Fig. 5: The differences in the aggressive behavior of crustaceans following exposure to different </w:t>
      </w:r>
      <w:proofErr w:type="spellStart"/>
      <w:r>
        <w:rPr>
          <w:lang w:eastAsia="en-GB"/>
        </w:rPr>
        <w:t>micropollutants</w:t>
      </w:r>
      <w:proofErr w:type="spellEnd"/>
      <w:r>
        <w:rPr>
          <w:lang w:eastAsia="en-GB"/>
        </w:rPr>
        <w:t>. Standard Mean Difference (SMD) estimates for the total number of fight data are depicted by filled squares, with square sizes indicating the relative weight of each study’s effect size estimate in the analysis. The filled diamond reflects the overall summary effect size [SMD = -2.08, 95% CI (-3.75 to -0.41), p &lt; 0.01]. Error bars and diamond width indicate 95% CIs. RE = Random effects model.</w:t>
      </w:r>
    </w:p>
    <w:p w14:paraId="5F8BC116" w14:textId="77777777" w:rsidR="004D4ED2" w:rsidRPr="004D4ED2" w:rsidRDefault="004D4ED2" w:rsidP="004D4ED2">
      <w:pPr>
        <w:spacing w:line="360" w:lineRule="auto"/>
        <w:jc w:val="both"/>
        <w:rPr>
          <w:color w:val="000000" w:themeColor="text1"/>
          <w:sz w:val="28"/>
          <w:szCs w:val="28"/>
        </w:rPr>
      </w:pPr>
    </w:p>
    <w:p w14:paraId="0B3203D7" w14:textId="77777777" w:rsidR="004D4ED2" w:rsidRPr="004D4ED2" w:rsidRDefault="004D4ED2" w:rsidP="004D4ED2">
      <w:pPr>
        <w:spacing w:line="360" w:lineRule="auto"/>
        <w:jc w:val="both"/>
        <w:rPr>
          <w:color w:val="000000" w:themeColor="text1"/>
          <w:sz w:val="28"/>
          <w:szCs w:val="28"/>
        </w:rPr>
      </w:pPr>
    </w:p>
    <w:p w14:paraId="39E52EF7" w14:textId="37878B81"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Discussion </w:t>
      </w:r>
    </w:p>
    <w:p w14:paraId="284787A8"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The findings of this meta-analysis showed that water pollutants can increase or decrease individual aggression, even temporarily flipping the dominant status rank. The relationship between behavior and ecological processes makes behavioral indicators of toxicity suitable for determining how aquatic contaminants affect the behavior and population dynamics of crustaceans. This review addresses a critical question regarding whether exposure to low or high concentrations of </w:t>
      </w:r>
      <w:proofErr w:type="spellStart"/>
      <w:r w:rsidRPr="004D4ED2">
        <w:rPr>
          <w:color w:val="000000" w:themeColor="text1"/>
          <w:sz w:val="28"/>
          <w:szCs w:val="28"/>
        </w:rPr>
        <w:t>micropollutants</w:t>
      </w:r>
      <w:proofErr w:type="spellEnd"/>
      <w:r w:rsidRPr="004D4ED2">
        <w:rPr>
          <w:color w:val="000000" w:themeColor="text1"/>
          <w:sz w:val="28"/>
          <w:szCs w:val="28"/>
        </w:rPr>
        <w:t>, nutrients, effluents, and heavy metals affects behavior and neural function differently. This is because, in the natural environment, these animals can be exposed to sudden changes in their ecosystems, frequent exposure to low and high concentrations of contaminants, and physical changes in water that could be detrimental. However, the lack of standardization in the techniques used to identify aggressive behavior in crustaceans makes it challenging to interpret the data.</w:t>
      </w:r>
    </w:p>
    <w:p w14:paraId="5B2C0E46"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To establish dominant positions inside their territory, animals must act aggressively. According to </w:t>
      </w:r>
      <w:proofErr w:type="spellStart"/>
      <w:r w:rsidRPr="004D4ED2">
        <w:rPr>
          <w:color w:val="000000" w:themeColor="text1"/>
          <w:sz w:val="28"/>
          <w:szCs w:val="28"/>
        </w:rPr>
        <w:t>DeVries</w:t>
      </w:r>
      <w:proofErr w:type="spellEnd"/>
      <w:r w:rsidRPr="004D4ED2">
        <w:rPr>
          <w:color w:val="000000" w:themeColor="text1"/>
          <w:sz w:val="28"/>
          <w:szCs w:val="28"/>
        </w:rPr>
        <w:t xml:space="preserve"> et al. (2021), many crustacean species exhibit pronounced territorial behavior, and the degree of dominance is observed in the phenotypic and physiological characteristics of each sex. However, exposure to contaminants by these species may cause considerable changes in aggression, which may significantly affect their dominance indices. Ortiz Lugo and Sosa </w:t>
      </w:r>
      <w:proofErr w:type="spellStart"/>
      <w:r w:rsidRPr="004D4ED2">
        <w:rPr>
          <w:color w:val="000000" w:themeColor="text1"/>
          <w:sz w:val="28"/>
          <w:szCs w:val="28"/>
        </w:rPr>
        <w:t>Lloréns</w:t>
      </w:r>
      <w:proofErr w:type="spellEnd"/>
      <w:r w:rsidRPr="004D4ED2">
        <w:rPr>
          <w:color w:val="000000" w:themeColor="text1"/>
          <w:sz w:val="28"/>
          <w:szCs w:val="28"/>
        </w:rPr>
        <w:t xml:space="preserve"> (2015) noted that some modifications included not all chemicals interacting concurrently. Several pollutants may affect social behavior, depending on how rapidly they interpret social cues and whether they reach their target locations within the nervous system. Although the effects manifest at different times, as shown by variations in the duration of aggressive behavior, this may imply that the mechanisms of action of contaminants affecting the general level of activity and modulating the aggressiveness of these crustaceans are similar or closely related. Owing to the significant heterogeneity found in this meta-analysis, care should be taken when interpreting these results.</w:t>
      </w:r>
    </w:p>
    <w:p w14:paraId="442C6FE4"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Interestingly, the meta-analysis performed in this review supports the idea that exposure to contaminants in aquatic habitats may affect agonistic dynamics and hierarchy in crustaceans. This is particularly true for crustaceans exposed to various heavy metals, which display lower levels of aggression than non-exposed animals (Ortiz Lugo and Sosa </w:t>
      </w:r>
      <w:proofErr w:type="spellStart"/>
      <w:r w:rsidRPr="004D4ED2">
        <w:rPr>
          <w:color w:val="000000" w:themeColor="text1"/>
          <w:sz w:val="28"/>
          <w:szCs w:val="28"/>
        </w:rPr>
        <w:t>Lloréns</w:t>
      </w:r>
      <w:proofErr w:type="spellEnd"/>
      <w:r w:rsidRPr="004D4ED2">
        <w:rPr>
          <w:color w:val="000000" w:themeColor="text1"/>
          <w:sz w:val="28"/>
          <w:szCs w:val="28"/>
        </w:rPr>
        <w:t xml:space="preserve">, 2015; </w:t>
      </w:r>
      <w:proofErr w:type="spellStart"/>
      <w:r w:rsidRPr="004D4ED2">
        <w:rPr>
          <w:color w:val="000000" w:themeColor="text1"/>
          <w:sz w:val="28"/>
          <w:szCs w:val="28"/>
        </w:rPr>
        <w:t>Verma</w:t>
      </w:r>
      <w:proofErr w:type="spellEnd"/>
      <w:r w:rsidRPr="004D4ED2">
        <w:rPr>
          <w:color w:val="000000" w:themeColor="text1"/>
          <w:sz w:val="28"/>
          <w:szCs w:val="28"/>
        </w:rPr>
        <w:t>, 2012). A population-level impact is likely to occur if exposure to heavy metals results in various distinct qualities such as a decreased degree of aggression, and population dynamics may shift as a result. Conspecific competing strategies that have changed because of contamination and social behaviors that have changed may have an enormous impact on the behavioral ecology of the species because they disturb individual genetic responses and the neurological system.</w:t>
      </w:r>
    </w:p>
    <w:p w14:paraId="77CD5D35"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Fluoxetine concentrations in freshwater habitats have been observed to range from 0.012 to 1.4 </w:t>
      </w:r>
      <w:proofErr w:type="spellStart"/>
      <w:r w:rsidRPr="004D4ED2">
        <w:rPr>
          <w:color w:val="000000" w:themeColor="text1"/>
          <w:sz w:val="28"/>
          <w:szCs w:val="28"/>
        </w:rPr>
        <w:t>μg</w:t>
      </w:r>
      <w:proofErr w:type="spellEnd"/>
      <w:r w:rsidRPr="004D4ED2">
        <w:rPr>
          <w:color w:val="000000" w:themeColor="text1"/>
          <w:sz w:val="28"/>
          <w:szCs w:val="28"/>
        </w:rPr>
        <w:t xml:space="preserve">/L (Weinberger II and </w:t>
      </w:r>
      <w:proofErr w:type="spellStart"/>
      <w:r w:rsidRPr="004D4ED2">
        <w:rPr>
          <w:color w:val="000000" w:themeColor="text1"/>
          <w:sz w:val="28"/>
          <w:szCs w:val="28"/>
        </w:rPr>
        <w:t>Klaper</w:t>
      </w:r>
      <w:proofErr w:type="spellEnd"/>
      <w:r w:rsidRPr="004D4ED2">
        <w:rPr>
          <w:color w:val="000000" w:themeColor="text1"/>
          <w:sz w:val="28"/>
          <w:szCs w:val="28"/>
        </w:rPr>
        <w:t xml:space="preserve">, 2014). Because significant increases in aggressive behavior occurred at exposure doses reaching the </w:t>
      </w:r>
      <w:proofErr w:type="spellStart"/>
      <w:r w:rsidRPr="004D4ED2">
        <w:rPr>
          <w:color w:val="000000" w:themeColor="text1"/>
          <w:sz w:val="28"/>
          <w:szCs w:val="28"/>
        </w:rPr>
        <w:t>μg</w:t>
      </w:r>
      <w:proofErr w:type="spellEnd"/>
      <w:r w:rsidRPr="004D4ED2">
        <w:rPr>
          <w:color w:val="000000" w:themeColor="text1"/>
          <w:sz w:val="28"/>
          <w:szCs w:val="28"/>
        </w:rPr>
        <w:t xml:space="preserve">/l range, the substance is classified as an endocrine disruptive agent if detected in sufficient amounts in the environment (Hossain et al., 2020). Fluoxetine alters intracellular signaling pathways, memory, cognitive function, activity, and development at environmentally relevant concentrations. These changes can collectively influence the behavior of aquatic animals (Ford and Fong, 2016). By increasing foraging and </w:t>
      </w:r>
      <w:proofErr w:type="spellStart"/>
      <w:r w:rsidRPr="004D4ED2">
        <w:rPr>
          <w:color w:val="000000" w:themeColor="text1"/>
          <w:sz w:val="28"/>
          <w:szCs w:val="28"/>
        </w:rPr>
        <w:t>locomotor</w:t>
      </w:r>
      <w:proofErr w:type="spellEnd"/>
      <w:r w:rsidRPr="004D4ED2">
        <w:rPr>
          <w:color w:val="000000" w:themeColor="text1"/>
          <w:sz w:val="28"/>
          <w:szCs w:val="28"/>
        </w:rPr>
        <w:t xml:space="preserve"> activity in the presence of predators, particularly during the day when these crabs are typically hidden, exposure of shore crabs </w:t>
      </w:r>
      <w:proofErr w:type="spellStart"/>
      <w:r w:rsidRPr="004D4ED2">
        <w:rPr>
          <w:color w:val="000000" w:themeColor="text1"/>
          <w:sz w:val="28"/>
          <w:szCs w:val="28"/>
        </w:rPr>
        <w:t>Hemigrapsus</w:t>
      </w:r>
      <w:proofErr w:type="spellEnd"/>
      <w:r w:rsidRPr="004D4ED2">
        <w:rPr>
          <w:color w:val="000000" w:themeColor="text1"/>
          <w:sz w:val="28"/>
          <w:szCs w:val="28"/>
        </w:rPr>
        <w:t xml:space="preserve"> </w:t>
      </w:r>
      <w:proofErr w:type="spellStart"/>
      <w:r w:rsidRPr="004D4ED2">
        <w:rPr>
          <w:color w:val="000000" w:themeColor="text1"/>
          <w:sz w:val="28"/>
          <w:szCs w:val="28"/>
        </w:rPr>
        <w:t>oregonensis</w:t>
      </w:r>
      <w:proofErr w:type="spellEnd"/>
      <w:r w:rsidRPr="004D4ED2">
        <w:rPr>
          <w:color w:val="000000" w:themeColor="text1"/>
          <w:sz w:val="28"/>
          <w:szCs w:val="28"/>
        </w:rPr>
        <w:t xml:space="preserve"> to fluoxetine at environmental concentrations of 0.03 </w:t>
      </w:r>
      <w:proofErr w:type="spellStart"/>
      <w:r w:rsidRPr="004D4ED2">
        <w:rPr>
          <w:color w:val="000000" w:themeColor="text1"/>
          <w:sz w:val="28"/>
          <w:szCs w:val="28"/>
        </w:rPr>
        <w:t>μg</w:t>
      </w:r>
      <w:proofErr w:type="spellEnd"/>
      <w:r w:rsidRPr="004D4ED2">
        <w:rPr>
          <w:color w:val="000000" w:themeColor="text1"/>
          <w:sz w:val="28"/>
          <w:szCs w:val="28"/>
        </w:rPr>
        <w:t>/L influenced both diurnal and nocturnal prey risk behaviors, according to Peters et al. (Peters et al., 2017). The current study showed that variations in the concentrations and species of exposed crustaceans greatly influence changes in aggressive behavior, and the crustacean response cannot be generalized. Therefore, such inferences should be made with caution. The unexpected finding of Hamilton et al. Hamilton et al. (2016) discovered that the aggressive behavior of exposed crustacean populations was significantly unaffected by doses up to the mg/L level. It is possible that fluoxetine might increase crab activity levels and cause them to act aggressively by modifying serotonin levels. However, this activity varies across studies (</w:t>
      </w:r>
      <w:proofErr w:type="spellStart"/>
      <w:r w:rsidRPr="004D4ED2">
        <w:rPr>
          <w:color w:val="000000" w:themeColor="text1"/>
          <w:sz w:val="28"/>
          <w:szCs w:val="28"/>
        </w:rPr>
        <w:t>Shaliutina-Kolešová</w:t>
      </w:r>
      <w:proofErr w:type="spellEnd"/>
      <w:r w:rsidRPr="004D4ED2">
        <w:rPr>
          <w:color w:val="000000" w:themeColor="text1"/>
          <w:sz w:val="28"/>
          <w:szCs w:val="28"/>
        </w:rPr>
        <w:t xml:space="preserve"> et al. 2020). </w:t>
      </w:r>
    </w:p>
    <w:p w14:paraId="1C7DC33A"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The observed high heterogeneity was most likely due to differences in exposure lengths, as some trials were acute, whereas others were chronic, which could have different behavioral repercussions. Other potential causes for the disparities between studies include neuronal tolerance to chronic fluoxetine and other pollutants, mechanisms of action of pollutants, species-specific changes in behavior and reaction to contaminants, and test settings. In a circular arena, for example, a crab cannot engage in ‘cornering’ behavior, which has previously been associated with dominant-subordinate classes in crayfish, with dominants cornering substantially more (May and Mercier, 2006). Thus, if investigators employ arenas with corners, crabs cannot move across the arena, resulting in biased and incorrect results.</w:t>
      </w:r>
    </w:p>
    <w:p w14:paraId="1FB73D0C" w14:textId="77777777"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Conclusions and recommendations</w:t>
      </w:r>
    </w:p>
    <w:p w14:paraId="53ADB8F2" w14:textId="7D9793B8" w:rsidR="00A77B3E" w:rsidRPr="004D4ED2" w:rsidRDefault="00F100B6" w:rsidP="004D4ED2">
      <w:pPr>
        <w:spacing w:line="360" w:lineRule="auto"/>
        <w:jc w:val="both"/>
        <w:rPr>
          <w:color w:val="000000" w:themeColor="text1"/>
          <w:sz w:val="28"/>
          <w:szCs w:val="28"/>
        </w:rPr>
      </w:pPr>
      <w:r w:rsidRPr="004D4ED2">
        <w:rPr>
          <w:color w:val="000000" w:themeColor="text1"/>
          <w:sz w:val="28"/>
          <w:szCs w:val="28"/>
        </w:rPr>
        <w:t xml:space="preserve">As this crucial component is currently unknown, it is necessary to assess the impact of pollutant mixes on the aggressive behavior of crustaceans. Aggressive behavior as an early warning sign for environmental contamination should be performed with caution because the amounts needed to elicit a response in some species are often not environmentally relevant. Despite these flaws, </w:t>
      </w:r>
      <w:r w:rsidR="00605F60" w:rsidRPr="004D4ED2">
        <w:rPr>
          <w:color w:val="000000" w:themeColor="text1"/>
          <w:sz w:val="28"/>
          <w:szCs w:val="28"/>
        </w:rPr>
        <w:t>pollutants</w:t>
      </w:r>
      <w:r w:rsidRPr="004D4ED2">
        <w:rPr>
          <w:color w:val="000000" w:themeColor="text1"/>
          <w:sz w:val="28"/>
          <w:szCs w:val="28"/>
        </w:rPr>
        <w:t xml:space="preserve"> have a significant but variable impact on aggressive crustacean behavior, impacting their chances of survival in contaminated aquatic habitats. The goal is to connect environmental neuroscience with documented changes in aggression within the context of dynamic behavioral mechanisms. This research helps us to understand the mechanisms involved in mediating and modifying aggressive behaviors linked to hyperactivity, anger, and violence. However, aggressive behavioral monitoring procedures must be standardized for this to happen.</w:t>
      </w:r>
    </w:p>
    <w:p w14:paraId="1B67020F" w14:textId="77777777" w:rsidR="004D4ED2" w:rsidRPr="004D4ED2" w:rsidRDefault="004D4ED2" w:rsidP="004D4ED2">
      <w:pPr>
        <w:spacing w:line="360" w:lineRule="auto"/>
        <w:jc w:val="both"/>
        <w:rPr>
          <w:color w:val="000000" w:themeColor="text1"/>
          <w:sz w:val="28"/>
          <w:szCs w:val="28"/>
        </w:rPr>
      </w:pPr>
    </w:p>
    <w:p w14:paraId="05D947DF" w14:textId="77777777" w:rsidR="00605F60" w:rsidRDefault="00605F60" w:rsidP="00605F60">
      <w:pPr>
        <w:spacing w:after="120" w:line="480" w:lineRule="auto"/>
        <w:rPr>
          <w:b/>
          <w:bCs/>
          <w:lang w:eastAsia="en-GB"/>
        </w:rPr>
      </w:pPr>
      <w:r>
        <w:rPr>
          <w:b/>
          <w:bCs/>
          <w:lang w:eastAsia="en-GB"/>
        </w:rPr>
        <w:t>REFERENCES</w:t>
      </w:r>
    </w:p>
    <w:p w14:paraId="12B0CDE3" w14:textId="77777777" w:rsidR="00B07EA9" w:rsidRDefault="00B07EA9" w:rsidP="00B07EA9">
      <w:pPr>
        <w:spacing w:after="120" w:line="480" w:lineRule="auto"/>
        <w:rPr>
          <w:b/>
          <w:bCs/>
          <w:lang w:eastAsia="en-GB"/>
        </w:rPr>
      </w:pPr>
    </w:p>
    <w:p w14:paraId="7BA6EE34" w14:textId="77777777" w:rsidR="00605F60" w:rsidRDefault="00605F60" w:rsidP="00FC7989">
      <w:pPr>
        <w:numPr>
          <w:ilvl w:val="0"/>
          <w:numId w:val="2"/>
        </w:numPr>
        <w:jc w:val="both"/>
        <w:rPr>
          <w:lang w:val="pt-BR" w:eastAsia="en-GB"/>
        </w:rPr>
      </w:pPr>
      <w:r>
        <w:rPr>
          <w:b/>
          <w:bCs/>
          <w:lang w:eastAsia="en-GB"/>
        </w:rPr>
        <w:fldChar w:fldCharType="begin"/>
      </w:r>
      <w:r>
        <w:rPr>
          <w:b/>
          <w:bCs/>
          <w:lang w:val="pt-BR" w:eastAsia="en-GB"/>
        </w:rPr>
        <w:instrText xml:space="preserve"> ADDIN ZOTERO_BIBL {"uncited":[],"omitted":[],"custom":[]} CSL_BIBLIOGRAPHY </w:instrText>
      </w:r>
      <w:r>
        <w:rPr>
          <w:b/>
          <w:bCs/>
          <w:lang w:eastAsia="en-GB"/>
        </w:rPr>
        <w:fldChar w:fldCharType="separate"/>
      </w:r>
      <w:r>
        <w:rPr>
          <w:lang w:val="pt-BR" w:eastAsia="en-GB"/>
        </w:rPr>
        <w:t xml:space="preserve">Al-Badran, A.A., Fujiwara, M., Mora, M.A., 2019. </w:t>
      </w:r>
      <w:r>
        <w:rPr>
          <w:lang w:val="en-GB" w:eastAsia="en-GB"/>
        </w:rPr>
        <w:t xml:space="preserve">Effects of insecticides, fipronil and imidacloprid, on the growth, survival, and behavior of brown shrimp Farfantepenaeus aztecus. </w:t>
      </w:r>
      <w:r>
        <w:rPr>
          <w:lang w:val="pt-BR" w:eastAsia="en-GB"/>
        </w:rPr>
        <w:t>PloS one 14, e0223641.</w:t>
      </w:r>
    </w:p>
    <w:p w14:paraId="4E0D49EF" w14:textId="77777777" w:rsidR="00605F60" w:rsidRDefault="00605F60" w:rsidP="00FC7989">
      <w:pPr>
        <w:numPr>
          <w:ilvl w:val="0"/>
          <w:numId w:val="2"/>
        </w:numPr>
        <w:jc w:val="both"/>
        <w:rPr>
          <w:lang w:val="en-GB" w:eastAsia="en-GB"/>
        </w:rPr>
      </w:pPr>
      <w:r>
        <w:rPr>
          <w:lang w:val="pt-BR" w:eastAsia="en-GB"/>
        </w:rPr>
        <w:t xml:space="preserve">Bierbower, S.M., Nadolski, J., Cooper, R.L., 2013. </w:t>
      </w:r>
      <w:r>
        <w:rPr>
          <w:lang w:val="en-GB" w:eastAsia="en-GB"/>
        </w:rPr>
        <w:t>Sensory systems and environmental change on behavior during social interactions. International Journal of Zoology 2013.</w:t>
      </w:r>
    </w:p>
    <w:p w14:paraId="6EDA3834" w14:textId="77777777" w:rsidR="00605F60" w:rsidRDefault="00605F60" w:rsidP="00FC7989">
      <w:pPr>
        <w:numPr>
          <w:ilvl w:val="0"/>
          <w:numId w:val="2"/>
        </w:numPr>
        <w:jc w:val="both"/>
        <w:rPr>
          <w:lang w:val="en-GB" w:eastAsia="en-GB"/>
        </w:rPr>
      </w:pPr>
      <w:r>
        <w:rPr>
          <w:lang w:val="en-GB" w:eastAsia="en-GB"/>
        </w:rPr>
        <w:t>Bonsignore, M., Manta, D.S., Mirto, S., Quinci, E.M., Ape, F., Montalto, V., Gristina, M., Traina, A., Sprovieri, M., 2018. Bioaccumulation of heavy metals in fish, crustaceans, molluscs and echinoderms from the Tuscany coast. Ecotoxicology and environmental safety 162, 554–562.</w:t>
      </w:r>
    </w:p>
    <w:p w14:paraId="44AB0FB0" w14:textId="77777777" w:rsidR="00605F60" w:rsidRDefault="00605F60" w:rsidP="00FC7989">
      <w:pPr>
        <w:numPr>
          <w:ilvl w:val="0"/>
          <w:numId w:val="2"/>
        </w:numPr>
        <w:jc w:val="both"/>
        <w:rPr>
          <w:lang w:val="en-GB" w:eastAsia="en-GB"/>
        </w:rPr>
      </w:pPr>
      <w:r>
        <w:rPr>
          <w:lang w:val="en-GB" w:eastAsia="en-GB"/>
        </w:rPr>
        <w:t>Brodin, T., Piovano, S., Fick, J., Klaminder, J., Heynen, M., Jonsson, M., 2014. Ecological effects of pharmaceuticals in aquatic systems—impacts through behavioural alterations. Philosophical Transactions of the Royal Society B: Biological Sciences 369, 20130580.</w:t>
      </w:r>
    </w:p>
    <w:p w14:paraId="7185A2E2" w14:textId="77777777" w:rsidR="00605F60" w:rsidRDefault="00605F60" w:rsidP="00FC7989">
      <w:pPr>
        <w:numPr>
          <w:ilvl w:val="0"/>
          <w:numId w:val="2"/>
        </w:numPr>
        <w:jc w:val="both"/>
        <w:rPr>
          <w:lang w:val="en-GB" w:eastAsia="en-GB"/>
        </w:rPr>
      </w:pPr>
      <w:r>
        <w:rPr>
          <w:lang w:val="en-GB" w:eastAsia="en-GB"/>
        </w:rPr>
        <w:t>Bundschuh, M., Zubrod, J.P., Schulz, R., 2011. The functional and physiological status of Gammarus fossarum (Crustacea; Amphipoda) exposed to secondary treated wastewater. Environmental Pollution 159, 244–249.</w:t>
      </w:r>
    </w:p>
    <w:p w14:paraId="2EC6B10A" w14:textId="77777777" w:rsidR="00605F60" w:rsidRDefault="00605F60" w:rsidP="00FC7989">
      <w:pPr>
        <w:numPr>
          <w:ilvl w:val="0"/>
          <w:numId w:val="2"/>
        </w:numPr>
        <w:jc w:val="both"/>
        <w:rPr>
          <w:lang w:val="en-GB" w:eastAsia="en-GB"/>
        </w:rPr>
      </w:pPr>
      <w:r>
        <w:rPr>
          <w:lang w:val="en-GB" w:eastAsia="en-GB"/>
        </w:rPr>
        <w:t>Busch, W., Schmidt, S., Kühne, R., Schulze, T., Krauss, M., Altenburger, R., 2016. Micropollutants in European rivers: A mode of action survey to support the development of effect-based tools for water monitoring. Environmental toxicology and chemistry 35, 1887–1899.</w:t>
      </w:r>
    </w:p>
    <w:p w14:paraId="178286B4" w14:textId="77777777" w:rsidR="00605F60" w:rsidRDefault="00605F60" w:rsidP="00FC7989">
      <w:pPr>
        <w:numPr>
          <w:ilvl w:val="0"/>
          <w:numId w:val="2"/>
        </w:numPr>
        <w:jc w:val="both"/>
        <w:rPr>
          <w:lang w:val="en-GB" w:eastAsia="en-GB"/>
        </w:rPr>
      </w:pPr>
      <w:r>
        <w:rPr>
          <w:lang w:val="en-GB" w:eastAsia="en-GB"/>
        </w:rPr>
        <w:t>Butnariu, M., 2022. Aquatic pollution and marine ecosystems, in: Bacterial Fish Diseases. Elsevier, pp. 1–29.</w:t>
      </w:r>
    </w:p>
    <w:p w14:paraId="05767878" w14:textId="77777777" w:rsidR="00605F60" w:rsidRDefault="00605F60" w:rsidP="00FC7989">
      <w:pPr>
        <w:numPr>
          <w:ilvl w:val="0"/>
          <w:numId w:val="2"/>
        </w:numPr>
        <w:jc w:val="both"/>
        <w:rPr>
          <w:lang w:val="en-GB" w:eastAsia="en-GB"/>
        </w:rPr>
      </w:pPr>
      <w:r>
        <w:rPr>
          <w:lang w:val="en-GB" w:eastAsia="en-GB"/>
        </w:rPr>
        <w:t>Chabenat, A., Bellanger, C., Knigge, T., 2021. Effects of environmental antidepressants on colour change and locomotor behaviour in juvenile shore crabs, Carcinus maenas. Aquatic Toxicology 234, 105808.</w:t>
      </w:r>
    </w:p>
    <w:p w14:paraId="2CF8353D" w14:textId="77777777" w:rsidR="00605F60" w:rsidRDefault="00605F60" w:rsidP="00FC7989">
      <w:pPr>
        <w:numPr>
          <w:ilvl w:val="0"/>
          <w:numId w:val="2"/>
        </w:numPr>
        <w:jc w:val="both"/>
        <w:rPr>
          <w:lang w:val="en-GB" w:eastAsia="en-GB"/>
        </w:rPr>
      </w:pPr>
      <w:r>
        <w:rPr>
          <w:lang w:val="en-GB" w:eastAsia="en-GB"/>
        </w:rPr>
        <w:t>DeVries, M.S., Lowder, K.B., Taylor, J.R., 2021. From telson to attack in mantis shrimp: Bridging biomechanics and behavior in crustacean contests. Integrative and Comparative Biology 61, 643–654.</w:t>
      </w:r>
    </w:p>
    <w:p w14:paraId="491F2DFD" w14:textId="77777777" w:rsidR="00605F60" w:rsidRDefault="00605F60" w:rsidP="00FC7989">
      <w:pPr>
        <w:numPr>
          <w:ilvl w:val="0"/>
          <w:numId w:val="2"/>
        </w:numPr>
        <w:jc w:val="both"/>
        <w:rPr>
          <w:lang w:val="en-GB" w:eastAsia="en-GB"/>
        </w:rPr>
      </w:pPr>
      <w:r>
        <w:rPr>
          <w:lang w:val="en-GB" w:eastAsia="en-GB"/>
        </w:rPr>
        <w:t>Dissanayake, A., Galloway, T.S., Jones, M.B., 2009. Physiological condition and intraspecific agonistic behaviour in Carcinus maenas (Crustacea: Decapoda). Journal of Experimental Marine Biology and Ecology 375, 57–63.</w:t>
      </w:r>
    </w:p>
    <w:p w14:paraId="4C343207" w14:textId="77777777" w:rsidR="00605F60" w:rsidRDefault="00605F60" w:rsidP="00FC7989">
      <w:pPr>
        <w:numPr>
          <w:ilvl w:val="0"/>
          <w:numId w:val="2"/>
        </w:numPr>
        <w:jc w:val="both"/>
        <w:rPr>
          <w:lang w:val="en-GB" w:eastAsia="en-GB"/>
        </w:rPr>
      </w:pPr>
      <w:r>
        <w:rPr>
          <w:lang w:val="en-GB" w:eastAsia="en-GB"/>
        </w:rPr>
        <w:t>Dube, K.V., n.d. Behavioural studies of Lead nitrate impact on crab Barytelphusa guerini.</w:t>
      </w:r>
    </w:p>
    <w:p w14:paraId="09701EB2" w14:textId="77777777" w:rsidR="00605F60" w:rsidRDefault="00605F60" w:rsidP="00FC7989">
      <w:pPr>
        <w:numPr>
          <w:ilvl w:val="0"/>
          <w:numId w:val="2"/>
        </w:numPr>
        <w:jc w:val="both"/>
        <w:rPr>
          <w:lang w:val="en-GB" w:eastAsia="en-GB"/>
        </w:rPr>
      </w:pPr>
      <w:r>
        <w:rPr>
          <w:lang w:val="en-GB" w:eastAsia="en-GB"/>
        </w:rPr>
        <w:t>Egger, M., Smith, G.D., 1998. Meta-analysis bias in location and selection of studies. Bmj 316, 61–66.</w:t>
      </w:r>
    </w:p>
    <w:p w14:paraId="2D565893" w14:textId="77777777" w:rsidR="00605F60" w:rsidRDefault="00605F60" w:rsidP="00FC7989">
      <w:pPr>
        <w:numPr>
          <w:ilvl w:val="0"/>
          <w:numId w:val="2"/>
        </w:numPr>
        <w:jc w:val="both"/>
        <w:rPr>
          <w:lang w:val="en-GB" w:eastAsia="en-GB"/>
        </w:rPr>
      </w:pPr>
      <w:r>
        <w:rPr>
          <w:lang w:val="en-GB" w:eastAsia="en-GB"/>
        </w:rPr>
        <w:t>Felten, V., Charmantier, G., Mons, R., Geffard, A., Rousselle, P., Coquery, M., Garric, J., Geffard, O., 2008. Physiological and behavioural responses of Gammarus pulex (Crustacea: Amphipoda) exposed to cadmium. Aquatic Toxicology 86, 413–425.</w:t>
      </w:r>
    </w:p>
    <w:p w14:paraId="6490C4EF" w14:textId="77777777" w:rsidR="00605F60" w:rsidRDefault="00605F60" w:rsidP="00FC7989">
      <w:pPr>
        <w:numPr>
          <w:ilvl w:val="0"/>
          <w:numId w:val="2"/>
        </w:numPr>
        <w:jc w:val="both"/>
        <w:rPr>
          <w:lang w:val="en-GB" w:eastAsia="en-GB"/>
        </w:rPr>
      </w:pPr>
      <w:r>
        <w:rPr>
          <w:lang w:val="en-GB" w:eastAsia="en-GB"/>
        </w:rPr>
        <w:t>Ford, A.T., Fong, P.P., 2016. The effects of antidepressants appear to be rapid and at environmentally relevant concentrations. Environmental toxicology and chemistry 35, 794–798.</w:t>
      </w:r>
    </w:p>
    <w:p w14:paraId="20DFF43F" w14:textId="77777777" w:rsidR="00605F60" w:rsidRDefault="00605F60" w:rsidP="00FC7989">
      <w:pPr>
        <w:numPr>
          <w:ilvl w:val="0"/>
          <w:numId w:val="2"/>
        </w:numPr>
        <w:jc w:val="both"/>
        <w:rPr>
          <w:lang w:val="en-GB" w:eastAsia="en-GB"/>
        </w:rPr>
      </w:pPr>
      <w:r>
        <w:rPr>
          <w:lang w:val="en-GB" w:eastAsia="en-GB"/>
        </w:rPr>
        <w:t>Hamilton, T.J., Kwan, G.T., Gallup, J., Tresguerres, M., 2016. Acute fluoxetine exposure alters crab anxiety-like behaviour, but not aggressiveness. Scientific reports 6, 1–6.</w:t>
      </w:r>
    </w:p>
    <w:p w14:paraId="4AA9CC2F" w14:textId="77777777" w:rsidR="00605F60" w:rsidRDefault="00605F60" w:rsidP="00FC7989">
      <w:pPr>
        <w:numPr>
          <w:ilvl w:val="0"/>
          <w:numId w:val="2"/>
        </w:numPr>
        <w:jc w:val="both"/>
        <w:rPr>
          <w:lang w:val="en-GB" w:eastAsia="en-GB"/>
        </w:rPr>
      </w:pPr>
      <w:r>
        <w:rPr>
          <w:lang w:val="en-GB" w:eastAsia="en-GB"/>
        </w:rPr>
        <w:t>Hellou, J., 2011. Behavioural ecotoxicology, an “early warning” signal to assess environmental quality. Environmental Science and Pollution Research 18, 1–11.</w:t>
      </w:r>
    </w:p>
    <w:p w14:paraId="6F0B02DC" w14:textId="77777777" w:rsidR="00605F60" w:rsidRDefault="00605F60" w:rsidP="00FC7989">
      <w:pPr>
        <w:numPr>
          <w:ilvl w:val="0"/>
          <w:numId w:val="2"/>
        </w:numPr>
        <w:jc w:val="both"/>
        <w:rPr>
          <w:lang w:val="en-GB" w:eastAsia="en-GB"/>
        </w:rPr>
      </w:pPr>
      <w:r>
        <w:rPr>
          <w:lang w:val="en-GB" w:eastAsia="en-GB"/>
        </w:rPr>
        <w:t>Higgins, J.P., Thompson, S.G., Deeks, J.J., Altman, D.G., 2003. Measuring inconsistency in meta-analyses. Bmj 327, 557–560.</w:t>
      </w:r>
    </w:p>
    <w:p w14:paraId="14799F52" w14:textId="77777777" w:rsidR="00605F60" w:rsidRDefault="00605F60" w:rsidP="00FC7989">
      <w:pPr>
        <w:numPr>
          <w:ilvl w:val="0"/>
          <w:numId w:val="2"/>
        </w:numPr>
        <w:jc w:val="both"/>
        <w:rPr>
          <w:lang w:val="en-GB" w:eastAsia="en-GB"/>
        </w:rPr>
      </w:pPr>
      <w:r>
        <w:rPr>
          <w:lang w:val="en-GB" w:eastAsia="en-GB"/>
        </w:rPr>
        <w:t>Hossain, M.S., Buřič, M., Moore, P.A., 2020. Exposure paradigm of fluoxetine impacted the Faxonius virilis agonistic behavior differently. Science of the Total Environment 699, 134300.</w:t>
      </w:r>
    </w:p>
    <w:p w14:paraId="18E1C7C3" w14:textId="77777777" w:rsidR="00605F60" w:rsidRDefault="00605F60" w:rsidP="00FC7989">
      <w:pPr>
        <w:numPr>
          <w:ilvl w:val="0"/>
          <w:numId w:val="2"/>
        </w:numPr>
        <w:jc w:val="both"/>
        <w:rPr>
          <w:lang w:val="en-GB" w:eastAsia="en-GB"/>
        </w:rPr>
      </w:pPr>
      <w:r>
        <w:rPr>
          <w:lang w:val="en-GB" w:eastAsia="en-GB"/>
        </w:rPr>
        <w:t>Hurd, P.L., 2006. Resource holding potential, subjective resource value, and game theoretical models of aggressiveness signalling. Journal of Theoretical Biology 241, 639–648.</w:t>
      </w:r>
    </w:p>
    <w:p w14:paraId="28B93572" w14:textId="77777777" w:rsidR="00605F60" w:rsidRDefault="00605F60" w:rsidP="00FC7989">
      <w:pPr>
        <w:numPr>
          <w:ilvl w:val="0"/>
          <w:numId w:val="2"/>
        </w:numPr>
        <w:jc w:val="both"/>
        <w:rPr>
          <w:lang w:val="en-GB" w:eastAsia="en-GB"/>
        </w:rPr>
      </w:pPr>
      <w:r>
        <w:rPr>
          <w:lang w:val="en-GB" w:eastAsia="en-GB"/>
        </w:rPr>
        <w:t>Jeon, J., Kurth, D., Ashauer, R., Hollender, J., 2013. Comparative toxicokinetics of organic micropollutants in freshwater crustaceans. Environmental science &amp; technology 47, 8809–8817.</w:t>
      </w:r>
    </w:p>
    <w:p w14:paraId="64441354" w14:textId="77777777" w:rsidR="00605F60" w:rsidRDefault="00605F60" w:rsidP="00FC7989">
      <w:pPr>
        <w:numPr>
          <w:ilvl w:val="0"/>
          <w:numId w:val="2"/>
        </w:numPr>
        <w:jc w:val="both"/>
        <w:rPr>
          <w:lang w:val="en-GB" w:eastAsia="en-GB"/>
        </w:rPr>
      </w:pPr>
      <w:r>
        <w:rPr>
          <w:lang w:val="en-GB" w:eastAsia="en-GB"/>
        </w:rPr>
        <w:t>Kim, M.-K., Zoh, K.-D., 2016. Occurrence and removals of micropollutants in water environment. Environmental Engineering Research 21, 319–332.</w:t>
      </w:r>
    </w:p>
    <w:p w14:paraId="22A67135" w14:textId="77777777" w:rsidR="00605F60" w:rsidRDefault="00605F60" w:rsidP="00FC7989">
      <w:pPr>
        <w:numPr>
          <w:ilvl w:val="0"/>
          <w:numId w:val="2"/>
        </w:numPr>
        <w:jc w:val="both"/>
        <w:rPr>
          <w:lang w:val="en-GB" w:eastAsia="en-GB"/>
        </w:rPr>
      </w:pPr>
      <w:r>
        <w:rPr>
          <w:lang w:val="en-GB" w:eastAsia="en-GB"/>
        </w:rPr>
        <w:t>Krång, A.-S., Ekerholm, M., 2006. Copper reduced mating behaviour in male shore crabs (Carcinus maenas (L.)). Aquatic toxicology 80, 60–69.</w:t>
      </w:r>
    </w:p>
    <w:p w14:paraId="6651C31C" w14:textId="77777777" w:rsidR="00605F60" w:rsidRDefault="00605F60" w:rsidP="00FC7989">
      <w:pPr>
        <w:numPr>
          <w:ilvl w:val="0"/>
          <w:numId w:val="2"/>
        </w:numPr>
        <w:jc w:val="both"/>
        <w:rPr>
          <w:lang w:val="en-GB" w:eastAsia="en-GB"/>
        </w:rPr>
      </w:pPr>
      <w:r>
        <w:rPr>
          <w:lang w:val="en-GB" w:eastAsia="en-GB"/>
        </w:rPr>
        <w:t>Kravitz, E.A., Huber, R., 2003. Aggression in invertebrates. Current opinion in neurobiology 13, 736–743.</w:t>
      </w:r>
    </w:p>
    <w:p w14:paraId="69B7069A" w14:textId="77777777" w:rsidR="00605F60" w:rsidRDefault="00605F60" w:rsidP="00FC7989">
      <w:pPr>
        <w:numPr>
          <w:ilvl w:val="0"/>
          <w:numId w:val="2"/>
        </w:numPr>
        <w:jc w:val="both"/>
        <w:rPr>
          <w:lang w:val="en-GB" w:eastAsia="en-GB"/>
        </w:rPr>
      </w:pPr>
      <w:r>
        <w:rPr>
          <w:lang w:val="en-GB" w:eastAsia="en-GB"/>
        </w:rPr>
        <w:t>Krishnan, R.Y., Manikandan, S., Subbaiya, R., Biruntha, M., Govarthanan, M., Karmegam, N., 2021. Removal of emerging micropollutants originating from pharmaceuticals and personal care products (PPCPs) in water and wastewater by advanced oxidation processes: A review. Environmental Technology &amp; Innovation 23, 101757.</w:t>
      </w:r>
    </w:p>
    <w:p w14:paraId="2D851E55" w14:textId="77777777" w:rsidR="00605F60" w:rsidRDefault="00605F60" w:rsidP="00FC7989">
      <w:pPr>
        <w:numPr>
          <w:ilvl w:val="0"/>
          <w:numId w:val="2"/>
        </w:numPr>
        <w:jc w:val="both"/>
        <w:rPr>
          <w:lang w:val="en-GB" w:eastAsia="en-GB"/>
        </w:rPr>
      </w:pPr>
      <w:r>
        <w:rPr>
          <w:lang w:val="en-GB" w:eastAsia="en-GB"/>
        </w:rPr>
        <w:t>Macova, M., Escher, B.I., Reungoat, J., Carswell, S., Chue, K.L., Keller, J., Mueller, J.F., 2010. Monitoring the biological activity of micropollutants during advanced wastewater treatment with ozonation and activated carbon filtration. Water research 44, 477–492.</w:t>
      </w:r>
    </w:p>
    <w:p w14:paraId="66E97B4B" w14:textId="77777777" w:rsidR="00605F60" w:rsidRDefault="00605F60" w:rsidP="00FC7989">
      <w:pPr>
        <w:numPr>
          <w:ilvl w:val="0"/>
          <w:numId w:val="2"/>
        </w:numPr>
        <w:jc w:val="both"/>
        <w:rPr>
          <w:lang w:val="en-GB" w:eastAsia="en-GB"/>
        </w:rPr>
      </w:pPr>
      <w:r>
        <w:rPr>
          <w:lang w:val="en-GB" w:eastAsia="en-GB"/>
        </w:rPr>
        <w:t>Mamdouh, S., Mohamed, A.S., Mohamed, H.A., Fahmy, W.S., 2022. Zn contamination stimulate agonistic behavior and oxidative stress of crayfishes (Procambarus clarkii). Journal of Trace Elements in Medicine and Biology 69, 126895.</w:t>
      </w:r>
    </w:p>
    <w:p w14:paraId="262BD2FA" w14:textId="77777777" w:rsidR="00605F60" w:rsidRDefault="00605F60" w:rsidP="00FC7989">
      <w:pPr>
        <w:numPr>
          <w:ilvl w:val="0"/>
          <w:numId w:val="2"/>
        </w:numPr>
        <w:jc w:val="both"/>
        <w:rPr>
          <w:lang w:val="en-GB" w:eastAsia="en-GB"/>
        </w:rPr>
      </w:pPr>
      <w:r>
        <w:rPr>
          <w:lang w:val="en-GB" w:eastAsia="en-GB"/>
        </w:rPr>
        <w:t>May, H.Y., Mercier, A.J., 2006. Responses of crayfish to a reflective environment depend on dominance status. Canadian journal of zoology 84, 1104–1111.</w:t>
      </w:r>
    </w:p>
    <w:p w14:paraId="7A49756B" w14:textId="77777777" w:rsidR="00605F60" w:rsidRDefault="00605F60" w:rsidP="00FC7989">
      <w:pPr>
        <w:numPr>
          <w:ilvl w:val="0"/>
          <w:numId w:val="2"/>
        </w:numPr>
        <w:jc w:val="both"/>
        <w:rPr>
          <w:lang w:val="en-GB" w:eastAsia="en-GB"/>
        </w:rPr>
      </w:pPr>
      <w:r>
        <w:rPr>
          <w:lang w:val="en-GB" w:eastAsia="en-GB"/>
        </w:rPr>
        <w:t>Mishra, A., Lodhi, H.S., Shukla, Sandeep, Shukla, Sanjive, Chopra, A.K., 2020. Effect Of Sidcul Industrial Estate Effluent On Morphology And Behaviour Of Tailless Fresh Water Flea Simocephalus Vetulus (Crustacea-Cladocera).(2020). Int J Pharm Sci 11, b46-54.</w:t>
      </w:r>
    </w:p>
    <w:p w14:paraId="6F2A7757" w14:textId="77777777" w:rsidR="00605F60" w:rsidRDefault="00605F60" w:rsidP="00FC7989">
      <w:pPr>
        <w:numPr>
          <w:ilvl w:val="0"/>
          <w:numId w:val="2"/>
        </w:numPr>
        <w:jc w:val="both"/>
        <w:rPr>
          <w:lang w:val="en-GB" w:eastAsia="en-GB"/>
        </w:rPr>
      </w:pPr>
      <w:r>
        <w:rPr>
          <w:lang w:val="en-GB" w:eastAsia="en-GB"/>
        </w:rPr>
        <w:t>Mishra, A., Shukla, S., Chopra, A.K., 2018. Effect of heavy metal, copper sulphate and potassium chromate on behaviour of “Tailless water flea” Simocephalus vetulus (Crustacea-Cladocera). Journal of Applied and Natural Science 10, 507–517.</w:t>
      </w:r>
    </w:p>
    <w:p w14:paraId="4B312CFB" w14:textId="77777777" w:rsidR="00605F60" w:rsidRDefault="00605F60" w:rsidP="00FC7989">
      <w:pPr>
        <w:numPr>
          <w:ilvl w:val="0"/>
          <w:numId w:val="2"/>
        </w:numPr>
        <w:jc w:val="both"/>
        <w:rPr>
          <w:lang w:val="pt-BR" w:eastAsia="en-GB"/>
        </w:rPr>
      </w:pPr>
      <w:r>
        <w:rPr>
          <w:lang w:val="en-GB" w:eastAsia="en-GB"/>
        </w:rPr>
        <w:t xml:space="preserve">Moher, D., Liberati, A., Tetzlaff, J., Altman, D.G., Group*, P., 2009. Preferred reporting items for systematic reviews and meta-analyses: the PRISMA statement. </w:t>
      </w:r>
      <w:r>
        <w:rPr>
          <w:lang w:val="pt-BR" w:eastAsia="en-GB"/>
        </w:rPr>
        <w:t>Annals of internal medicine 151, 264–269.</w:t>
      </w:r>
    </w:p>
    <w:p w14:paraId="38977413" w14:textId="77777777" w:rsidR="00605F60" w:rsidRDefault="00605F60" w:rsidP="00FC7989">
      <w:pPr>
        <w:numPr>
          <w:ilvl w:val="0"/>
          <w:numId w:val="2"/>
        </w:numPr>
        <w:jc w:val="both"/>
        <w:rPr>
          <w:lang w:val="en-GB" w:eastAsia="en-GB"/>
        </w:rPr>
      </w:pPr>
      <w:r>
        <w:rPr>
          <w:lang w:val="pt-BR" w:eastAsia="en-GB"/>
        </w:rPr>
        <w:t xml:space="preserve">Moreira, D.G., Aires, A., de Lourdes Pereira, M., Oliveira, M., 2022. </w:t>
      </w:r>
      <w:r>
        <w:rPr>
          <w:lang w:val="en-GB" w:eastAsia="en-GB"/>
        </w:rPr>
        <w:t>Levels and effects of antidepressant drugs to aquatic organisms. Comparative Biochemistry and Physiology Part C: Toxicology &amp; Pharmacology 109322.</w:t>
      </w:r>
    </w:p>
    <w:p w14:paraId="254CBD0B" w14:textId="77777777" w:rsidR="00605F60" w:rsidRDefault="00605F60" w:rsidP="00FC7989">
      <w:pPr>
        <w:numPr>
          <w:ilvl w:val="0"/>
          <w:numId w:val="2"/>
        </w:numPr>
        <w:jc w:val="both"/>
        <w:rPr>
          <w:lang w:val="en-GB" w:eastAsia="en-GB"/>
        </w:rPr>
      </w:pPr>
      <w:r>
        <w:rPr>
          <w:lang w:val="en-GB" w:eastAsia="en-GB"/>
        </w:rPr>
        <w:t>Neal, A.E., Moore, P.A., 2017. Mimicking natural systems: changes in behavior as a result of dynamic exposure to naproxen. Ecotoxicology and environmental safety 135, 347–357.</w:t>
      </w:r>
    </w:p>
    <w:p w14:paraId="0BFD150F" w14:textId="77777777" w:rsidR="00605F60" w:rsidRDefault="00605F60" w:rsidP="00FC7989">
      <w:pPr>
        <w:numPr>
          <w:ilvl w:val="0"/>
          <w:numId w:val="2"/>
        </w:numPr>
        <w:jc w:val="both"/>
        <w:rPr>
          <w:lang w:val="en-GB" w:eastAsia="en-GB"/>
        </w:rPr>
      </w:pPr>
      <w:r>
        <w:rPr>
          <w:lang w:val="en-GB" w:eastAsia="en-GB"/>
        </w:rPr>
        <w:t>Ortiz Lugo, J.L., Sosa Lloréns, M.A.C., 2015. Impacts of urbanization and river water contaminants on abundance, locomotion and aggression of a local freshwater crustacean.</w:t>
      </w:r>
    </w:p>
    <w:p w14:paraId="071D8D8F" w14:textId="77777777" w:rsidR="00605F60" w:rsidRDefault="00605F60" w:rsidP="00FC7989">
      <w:pPr>
        <w:numPr>
          <w:ilvl w:val="0"/>
          <w:numId w:val="2"/>
        </w:numPr>
        <w:jc w:val="both"/>
        <w:rPr>
          <w:lang w:val="en-GB" w:eastAsia="en-GB"/>
        </w:rPr>
      </w:pPr>
      <w:r>
        <w:rPr>
          <w:lang w:val="pt-BR" w:eastAsia="en-GB"/>
        </w:rPr>
        <w:t xml:space="preserve">Pestana, J.L.T., Ré, A., Nogueira, A.J.A., Soares, A., 2007. </w:t>
      </w:r>
      <w:r>
        <w:rPr>
          <w:lang w:val="en-GB" w:eastAsia="en-GB"/>
        </w:rPr>
        <w:t>Effects of Cadmium and Zinc on the feeding behaviour of two freshwater crustaceans: Atyaephyra desmarestii (Decapoda) and Echinogammarus meridionalis (Amphipoda). Chemosphere 68, 1556–1562.</w:t>
      </w:r>
    </w:p>
    <w:p w14:paraId="13CC67C4" w14:textId="77777777" w:rsidR="00605F60" w:rsidRDefault="00605F60" w:rsidP="00FC7989">
      <w:pPr>
        <w:numPr>
          <w:ilvl w:val="0"/>
          <w:numId w:val="2"/>
        </w:numPr>
        <w:jc w:val="both"/>
        <w:rPr>
          <w:lang w:val="en-GB" w:eastAsia="en-GB"/>
        </w:rPr>
      </w:pPr>
      <w:r>
        <w:rPr>
          <w:lang w:val="en-GB" w:eastAsia="en-GB"/>
        </w:rPr>
        <w:t>Peters, J.R., Granek, E.F., de Rivera, C.E., Rollins, M., 2017. Prozac in the water: Chronic fluoxetine exposure and predation risk interact to shape behaviors in an estuarine crab. Ecology and Evolution 7, 9151–9161.</w:t>
      </w:r>
    </w:p>
    <w:p w14:paraId="23B58240" w14:textId="77777777" w:rsidR="00605F60" w:rsidRDefault="00605F60" w:rsidP="00FC7989">
      <w:pPr>
        <w:numPr>
          <w:ilvl w:val="0"/>
          <w:numId w:val="2"/>
        </w:numPr>
        <w:jc w:val="both"/>
        <w:rPr>
          <w:lang w:val="en-GB" w:eastAsia="en-GB"/>
        </w:rPr>
      </w:pPr>
      <w:r>
        <w:rPr>
          <w:lang w:val="en-GB" w:eastAsia="en-GB"/>
        </w:rPr>
        <w:t>Peterson, E.K., Buchwalter, D.B., Kerby, J.L., LeFauve, M.K., Varian-Ramos, C.W., Swaddle, J.P., 2017. Integrative behavioral ecotoxicology: bringing together fields to establish new insight to behavioral ecology, toxicology, and conservation. Current Zoology 63, 185–194.</w:t>
      </w:r>
    </w:p>
    <w:p w14:paraId="0552A5FF" w14:textId="77777777" w:rsidR="00605F60" w:rsidRDefault="00605F60" w:rsidP="00FC7989">
      <w:pPr>
        <w:numPr>
          <w:ilvl w:val="0"/>
          <w:numId w:val="2"/>
        </w:numPr>
        <w:jc w:val="both"/>
        <w:rPr>
          <w:lang w:val="en-GB" w:eastAsia="en-GB"/>
        </w:rPr>
      </w:pPr>
      <w:r>
        <w:rPr>
          <w:lang w:val="en-GB" w:eastAsia="en-GB"/>
        </w:rPr>
        <w:t>Rabet, N., 2021. Crustaceans, in: Handbook of Marine Model Organisms in Experimental Biology. CRC Press, pp. 271–287.</w:t>
      </w:r>
    </w:p>
    <w:p w14:paraId="4EB6EBD2" w14:textId="77777777" w:rsidR="00605F60" w:rsidRDefault="00605F60" w:rsidP="00FC7989">
      <w:pPr>
        <w:numPr>
          <w:ilvl w:val="0"/>
          <w:numId w:val="2"/>
        </w:numPr>
        <w:jc w:val="both"/>
        <w:rPr>
          <w:lang w:val="en-GB" w:eastAsia="en-GB"/>
        </w:rPr>
      </w:pPr>
      <w:r>
        <w:rPr>
          <w:lang w:val="en-GB" w:eastAsia="en-GB"/>
        </w:rPr>
        <w:t>Reichmuth, J.M., MacDonald, J., Ramirez, J., Weis, J.S., 2011. Fight or flight: an investigation of aggressive behavior and predator avoidance in two populations of blue crabs (Callinectes sapidus Rathbun) in New Jersey. Hydrobiologia 658, 173–182.</w:t>
      </w:r>
    </w:p>
    <w:p w14:paraId="5A81BC5E" w14:textId="77777777" w:rsidR="00605F60" w:rsidRDefault="00605F60" w:rsidP="00FC7989">
      <w:pPr>
        <w:numPr>
          <w:ilvl w:val="0"/>
          <w:numId w:val="2"/>
        </w:numPr>
        <w:jc w:val="both"/>
        <w:rPr>
          <w:lang w:val="en-GB" w:eastAsia="en-GB"/>
        </w:rPr>
      </w:pPr>
      <w:r>
        <w:rPr>
          <w:lang w:val="en-GB" w:eastAsia="en-GB"/>
        </w:rPr>
        <w:t>Rohatgi, A., 2015. WebPlotDigitizer Version 3.9. Retrieved September 22, 2015.</w:t>
      </w:r>
    </w:p>
    <w:p w14:paraId="3E243D43" w14:textId="77777777" w:rsidR="00605F60" w:rsidRDefault="00605F60" w:rsidP="00FC7989">
      <w:pPr>
        <w:numPr>
          <w:ilvl w:val="0"/>
          <w:numId w:val="2"/>
        </w:numPr>
        <w:jc w:val="both"/>
        <w:rPr>
          <w:lang w:val="en-GB" w:eastAsia="en-GB"/>
        </w:rPr>
      </w:pPr>
      <w:r>
        <w:rPr>
          <w:lang w:val="en-GB" w:eastAsia="en-GB"/>
        </w:rPr>
        <w:t>Schulz, K.F., Chalmers, I., Hayes, R.J., Altman, D.G., 1995. Empirical evidence of bias: dimensions of methodological quality associated with estimates of treatment effects in controlled trials. Jama 273, 408–412.</w:t>
      </w:r>
    </w:p>
    <w:p w14:paraId="0F4F0863" w14:textId="77777777" w:rsidR="00605F60" w:rsidRDefault="00605F60" w:rsidP="00FC7989">
      <w:pPr>
        <w:numPr>
          <w:ilvl w:val="0"/>
          <w:numId w:val="2"/>
        </w:numPr>
        <w:jc w:val="both"/>
        <w:rPr>
          <w:lang w:val="en-GB" w:eastAsia="en-GB"/>
        </w:rPr>
      </w:pPr>
      <w:r>
        <w:rPr>
          <w:lang w:val="en-GB" w:eastAsia="en-GB"/>
        </w:rPr>
        <w:t>Scott, G.R., Sloman, K.A., 2004. The effects of environmental pollutants on complex fish behaviour: integrating behavioural and physiological indicators of toxicity. Aquatic toxicology 68, 369–392.</w:t>
      </w:r>
    </w:p>
    <w:p w14:paraId="660177A8" w14:textId="77777777" w:rsidR="00605F60" w:rsidRDefault="00605F60" w:rsidP="00FC7989">
      <w:pPr>
        <w:numPr>
          <w:ilvl w:val="0"/>
          <w:numId w:val="2"/>
        </w:numPr>
        <w:jc w:val="both"/>
        <w:rPr>
          <w:lang w:val="en-GB" w:eastAsia="en-GB"/>
        </w:rPr>
      </w:pPr>
      <w:r>
        <w:rPr>
          <w:lang w:val="en-GB" w:eastAsia="en-GB"/>
        </w:rPr>
        <w:t>Shaliutina-Kolešová, A., Shaliutina, O., Nian, R., 2020. The effects of environmental antidepressants on macroinvertebrates: a mini review. Water and Environment Journal 34, 153–159.</w:t>
      </w:r>
    </w:p>
    <w:p w14:paraId="615862FD" w14:textId="77777777" w:rsidR="00605F60" w:rsidRDefault="00605F60" w:rsidP="00FC7989">
      <w:pPr>
        <w:numPr>
          <w:ilvl w:val="0"/>
          <w:numId w:val="2"/>
        </w:numPr>
        <w:jc w:val="both"/>
        <w:rPr>
          <w:lang w:val="en-GB" w:eastAsia="en-GB"/>
        </w:rPr>
      </w:pPr>
      <w:r>
        <w:rPr>
          <w:lang w:val="en-GB" w:eastAsia="en-GB"/>
        </w:rPr>
        <w:t>Shirley, M., 2021. Effects of Synthetic Estrogen (17α-Ethinyl Estradiol) on Male Fiddler Crab Aggression.</w:t>
      </w:r>
    </w:p>
    <w:p w14:paraId="16DA6086" w14:textId="77777777" w:rsidR="00605F60" w:rsidRDefault="00605F60" w:rsidP="00FC7989">
      <w:pPr>
        <w:numPr>
          <w:ilvl w:val="0"/>
          <w:numId w:val="2"/>
        </w:numPr>
        <w:jc w:val="both"/>
        <w:rPr>
          <w:lang w:val="en-GB" w:eastAsia="en-GB"/>
        </w:rPr>
      </w:pPr>
      <w:r>
        <w:rPr>
          <w:lang w:val="pt-BR" w:eastAsia="en-GB"/>
        </w:rPr>
        <w:t xml:space="preserve">Stara, A., Bellinvia, R., Velisek, J., Strouhova, A., Kouba, A., Faggio, C., 2019. </w:t>
      </w:r>
      <w:r>
        <w:rPr>
          <w:lang w:val="en-GB" w:eastAsia="en-GB"/>
        </w:rPr>
        <w:t>Acute exposure of common yabby (Cherax destructor) to the neonicotinoid pesticide. Science of the total environment 665, 718–723.</w:t>
      </w:r>
    </w:p>
    <w:p w14:paraId="52B5BBA3" w14:textId="77777777" w:rsidR="00605F60" w:rsidRDefault="00605F60" w:rsidP="00FC7989">
      <w:pPr>
        <w:numPr>
          <w:ilvl w:val="0"/>
          <w:numId w:val="2"/>
        </w:numPr>
        <w:jc w:val="both"/>
        <w:rPr>
          <w:lang w:val="en-GB" w:eastAsia="en-GB"/>
        </w:rPr>
      </w:pPr>
      <w:r>
        <w:rPr>
          <w:lang w:val="en-GB" w:eastAsia="en-GB"/>
        </w:rPr>
        <w:t>Tierney, A.J., Hanzlik, K.N., Hathaway, R.M., Powers, C., Roy, M., 2016. Effects of fluoxetine on growth and behavior in the crayfish Orconectes rusticus. Marine and Freshwater Behaviour and Physiology 49, 133–145.</w:t>
      </w:r>
    </w:p>
    <w:p w14:paraId="20EC3695" w14:textId="77777777" w:rsidR="00605F60" w:rsidRDefault="00605F60" w:rsidP="00FC7989">
      <w:pPr>
        <w:numPr>
          <w:ilvl w:val="0"/>
          <w:numId w:val="2"/>
        </w:numPr>
        <w:jc w:val="both"/>
        <w:rPr>
          <w:lang w:val="en-GB" w:eastAsia="en-GB"/>
        </w:rPr>
      </w:pPr>
      <w:r>
        <w:rPr>
          <w:lang w:val="en-GB" w:eastAsia="en-GB"/>
        </w:rPr>
        <w:t>Tripathi, R., Pandey, A.K., 2013. Alterations in behaviour, scaphognathite oscillation and heart beat rate of freshwater prawn, Macrobrachium dayanum (Crustacea Decapoda), induced by cadmium chloride exposure.</w:t>
      </w:r>
    </w:p>
    <w:p w14:paraId="20F6A7DB" w14:textId="77777777" w:rsidR="00605F60" w:rsidRDefault="00605F60" w:rsidP="00FC7989">
      <w:pPr>
        <w:numPr>
          <w:ilvl w:val="0"/>
          <w:numId w:val="2"/>
        </w:numPr>
        <w:jc w:val="both"/>
        <w:rPr>
          <w:lang w:val="en-GB" w:eastAsia="en-GB"/>
        </w:rPr>
      </w:pPr>
      <w:r>
        <w:rPr>
          <w:lang w:val="en-GB" w:eastAsia="en-GB"/>
        </w:rPr>
        <w:t>Verma, R.S., 2012. Acute toxicity of nickel to fresh water prawns. Turkish Journal of Zoology 36, 534–542.</w:t>
      </w:r>
    </w:p>
    <w:p w14:paraId="3192391A" w14:textId="77777777" w:rsidR="00605F60" w:rsidRDefault="00605F60" w:rsidP="00FC7989">
      <w:pPr>
        <w:numPr>
          <w:ilvl w:val="0"/>
          <w:numId w:val="2"/>
        </w:numPr>
        <w:jc w:val="both"/>
        <w:rPr>
          <w:lang w:val="en-GB" w:eastAsia="en-GB"/>
        </w:rPr>
      </w:pPr>
      <w:r>
        <w:rPr>
          <w:lang w:val="en-GB" w:eastAsia="en-GB"/>
        </w:rPr>
        <w:t>Wang, H., Xi, H., Xu, L., Jin, M., Zhao, W., Liu, H., 2021. Ecotoxicological effects, environmental fate and risks of pharmaceutical and personal care products in the water environment: a review. Science of The Total Environment 788, 147819.</w:t>
      </w:r>
    </w:p>
    <w:p w14:paraId="51A56B4B" w14:textId="77777777" w:rsidR="00605F60" w:rsidRDefault="00605F60" w:rsidP="00FC7989">
      <w:pPr>
        <w:numPr>
          <w:ilvl w:val="0"/>
          <w:numId w:val="2"/>
        </w:numPr>
        <w:jc w:val="both"/>
        <w:rPr>
          <w:lang w:val="en-GB" w:eastAsia="en-GB"/>
        </w:rPr>
      </w:pPr>
      <w:r>
        <w:rPr>
          <w:lang w:val="en-GB" w:eastAsia="en-GB"/>
        </w:rPr>
        <w:t>Weinberger II, J., Klaper, R., 2014. Environmental concentrations of the selective serotonin reuptake inhibitor fluoxetine impact specific behaviors involved in reproduction, feeding and predator avoidance in the fish Pimephales promelas (fathead minnow). Aquatic toxicology 151, 77–83.</w:t>
      </w:r>
    </w:p>
    <w:p w14:paraId="5211F5B6" w14:textId="77777777" w:rsidR="00605F60" w:rsidRDefault="00605F60" w:rsidP="00FC7989">
      <w:pPr>
        <w:numPr>
          <w:ilvl w:val="0"/>
          <w:numId w:val="2"/>
        </w:numPr>
        <w:jc w:val="both"/>
        <w:rPr>
          <w:lang w:val="en-GB" w:eastAsia="en-GB"/>
        </w:rPr>
      </w:pPr>
      <w:r>
        <w:rPr>
          <w:lang w:val="en-GB" w:eastAsia="en-GB"/>
        </w:rPr>
        <w:t>Weis, J.S., 2014. Physiological, developmental and behavioral effects of marine pollution.</w:t>
      </w:r>
    </w:p>
    <w:p w14:paraId="160C1C50" w14:textId="77777777" w:rsidR="00605F60" w:rsidRDefault="00605F60" w:rsidP="00FC7989">
      <w:pPr>
        <w:numPr>
          <w:ilvl w:val="0"/>
          <w:numId w:val="2"/>
        </w:numPr>
        <w:jc w:val="both"/>
        <w:rPr>
          <w:lang w:val="en-GB" w:eastAsia="en-GB"/>
        </w:rPr>
      </w:pPr>
      <w:r>
        <w:rPr>
          <w:lang w:val="en-GB" w:eastAsia="en-GB"/>
        </w:rPr>
        <w:t>Weis, J.S., 2010. The role of behavior in the success of invasive crustaceans. Marine and Freshwater Behaviour and Physiology 43, 83–98.</w:t>
      </w:r>
    </w:p>
    <w:p w14:paraId="69A6F0B1" w14:textId="77777777" w:rsidR="00605F60" w:rsidRDefault="00605F60" w:rsidP="00FC7989">
      <w:pPr>
        <w:numPr>
          <w:ilvl w:val="0"/>
          <w:numId w:val="2"/>
        </w:numPr>
        <w:jc w:val="both"/>
        <w:rPr>
          <w:lang w:val="en-GB" w:eastAsia="en-GB"/>
        </w:rPr>
      </w:pPr>
      <w:r>
        <w:rPr>
          <w:lang w:val="en-GB" w:eastAsia="en-GB"/>
        </w:rPr>
        <w:t>White, S.J., Pipe, R.K., Fisher, A., Briffa, M., 2013. Asymmetric effects of contaminant exposure during asymmetric contests in the hermit crab Pagurus bernhardus. Animal Behaviour 86, 773–781.</w:t>
      </w:r>
    </w:p>
    <w:p w14:paraId="446CA904" w14:textId="77777777" w:rsidR="00605F60" w:rsidRDefault="00605F60" w:rsidP="00FC7989">
      <w:pPr>
        <w:numPr>
          <w:ilvl w:val="0"/>
          <w:numId w:val="2"/>
        </w:numPr>
        <w:jc w:val="both"/>
        <w:rPr>
          <w:lang w:val="en-GB" w:eastAsia="en-GB"/>
        </w:rPr>
      </w:pPr>
      <w:r>
        <w:rPr>
          <w:lang w:val="en-GB" w:eastAsia="en-GB"/>
        </w:rPr>
        <w:t>Woodman, S.G., Steinkey, D., Dew, W.A., Burket, S.R., Brooks, B.W., Pyle, G.G., 2016. Effects of sertraline on behavioral indices of crayfish Orconectes virilis. Ecotoxicology and Environmental Safety 134, 31–37.</w:t>
      </w:r>
    </w:p>
    <w:p w14:paraId="29FD19E8" w14:textId="77777777" w:rsidR="00B07EA9" w:rsidRDefault="00B07EA9" w:rsidP="00605F60">
      <w:pPr>
        <w:ind w:left="720" w:hanging="720"/>
        <w:jc w:val="both"/>
        <w:rPr>
          <w:lang w:val="en-GB" w:eastAsia="en-GB"/>
        </w:rPr>
      </w:pPr>
    </w:p>
    <w:p w14:paraId="3782BF26" w14:textId="25A75EE8" w:rsidR="004D4ED2" w:rsidRPr="004D4ED2" w:rsidRDefault="00605F60" w:rsidP="00896C8B">
      <w:pPr>
        <w:spacing w:line="360" w:lineRule="auto"/>
        <w:ind w:left="360"/>
        <w:jc w:val="both"/>
        <w:rPr>
          <w:color w:val="000000" w:themeColor="text1"/>
          <w:sz w:val="28"/>
          <w:szCs w:val="28"/>
        </w:rPr>
      </w:pPr>
      <w:r>
        <w:rPr>
          <w:b/>
          <w:bCs/>
          <w:lang w:eastAsia="en-GB"/>
        </w:rPr>
        <w:fldChar w:fldCharType="end"/>
      </w:r>
      <w:r>
        <w:rPr>
          <w:noProof/>
        </w:rPr>
        <w:drawing>
          <wp:inline distT="0" distB="0" distL="0" distR="0" wp14:anchorId="20F0AFD1" wp14:editId="5AE8E802">
            <wp:extent cx="5943600" cy="4939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939030"/>
                    </a:xfrm>
                    <a:prstGeom prst="rect">
                      <a:avLst/>
                    </a:prstGeom>
                    <a:noFill/>
                    <a:ln>
                      <a:noFill/>
                    </a:ln>
                  </pic:spPr>
                </pic:pic>
              </a:graphicData>
            </a:graphic>
          </wp:inline>
        </w:drawing>
      </w:r>
    </w:p>
    <w:p w14:paraId="4C6BE16D" w14:textId="77777777" w:rsidR="004D4ED2" w:rsidRPr="004D4ED2" w:rsidRDefault="004D4ED2" w:rsidP="004D4ED2">
      <w:pPr>
        <w:spacing w:line="360" w:lineRule="auto"/>
        <w:jc w:val="both"/>
        <w:rPr>
          <w:color w:val="000000" w:themeColor="text1"/>
          <w:sz w:val="28"/>
          <w:szCs w:val="28"/>
        </w:rPr>
      </w:pPr>
    </w:p>
    <w:p w14:paraId="29E8CDA0" w14:textId="4DCAEA18" w:rsidR="00A77B3E" w:rsidRPr="004D4ED2" w:rsidRDefault="00896C8B" w:rsidP="004D4ED2">
      <w:pPr>
        <w:spacing w:line="360" w:lineRule="auto"/>
        <w:jc w:val="both"/>
        <w:rPr>
          <w:color w:val="000000" w:themeColor="text1"/>
          <w:sz w:val="28"/>
          <w:szCs w:val="28"/>
        </w:rPr>
      </w:pPr>
      <w:r>
        <w:rPr>
          <w:color w:val="000000" w:themeColor="text1"/>
          <w:sz w:val="28"/>
          <w:szCs w:val="28"/>
        </w:rPr>
        <w:t xml:space="preserve">Chart 1 : </w:t>
      </w:r>
      <w:r w:rsidR="00CE7B3E">
        <w:rPr>
          <w:color w:val="000000" w:themeColor="text1"/>
          <w:sz w:val="28"/>
          <w:szCs w:val="28"/>
        </w:rPr>
        <w:t>Study protocol</w:t>
      </w:r>
    </w:p>
    <w:sectPr w:rsidR="00A77B3E" w:rsidRPr="004D4E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1B17E" w14:textId="77777777" w:rsidR="00B26FED" w:rsidRDefault="00B26FED" w:rsidP="00B33488">
      <w:r>
        <w:separator/>
      </w:r>
    </w:p>
  </w:endnote>
  <w:endnote w:type="continuationSeparator" w:id="0">
    <w:p w14:paraId="522D8A2A" w14:textId="77777777" w:rsidR="00B26FED" w:rsidRDefault="00B26FED" w:rsidP="00B3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Italic">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AA90" w14:textId="77777777" w:rsidR="00B33488" w:rsidRDefault="00B33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2116" w14:textId="77777777" w:rsidR="00B33488" w:rsidRDefault="00B33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8A5A" w14:textId="77777777" w:rsidR="00B33488" w:rsidRDefault="00B33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1289F" w14:textId="77777777" w:rsidR="00B26FED" w:rsidRDefault="00B26FED" w:rsidP="00B33488">
      <w:r>
        <w:separator/>
      </w:r>
    </w:p>
  </w:footnote>
  <w:footnote w:type="continuationSeparator" w:id="0">
    <w:p w14:paraId="31A8BEEE" w14:textId="77777777" w:rsidR="00B26FED" w:rsidRDefault="00B26FED" w:rsidP="00B3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D4F0" w14:textId="23139367" w:rsidR="00B33488" w:rsidRDefault="00E56E91">
    <w:pPr>
      <w:pStyle w:val="Header"/>
    </w:pPr>
    <w:r>
      <w:rPr>
        <w:noProof/>
      </w:rPr>
    </w:r>
    <w:r w:rsidR="00E56E91">
      <w:rPr>
        <w:noProof/>
      </w:rPr>
      <w:pict w14:anchorId="7859A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17422" o:spid="_x0000_s1026" type="#_x0000_t136" style="position:absolute;margin-left:0;margin-top:0;width:534.45pt;height:59.3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E1FD" w14:textId="51708B6C" w:rsidR="00B33488" w:rsidRDefault="00E56E91">
    <w:pPr>
      <w:pStyle w:val="Header"/>
    </w:pPr>
    <w:r>
      <w:rPr>
        <w:noProof/>
      </w:rPr>
    </w:r>
    <w:r w:rsidR="00E56E91">
      <w:rPr>
        <w:noProof/>
      </w:rPr>
      <w:pict w14:anchorId="6FC41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17423" o:spid="_x0000_s1027" type="#_x0000_t136" style="position:absolute;margin-left:0;margin-top:0;width:534.45pt;height:59.3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1901" w14:textId="269DADC4" w:rsidR="00B33488" w:rsidRDefault="00E56E91">
    <w:pPr>
      <w:pStyle w:val="Header"/>
    </w:pPr>
    <w:r>
      <w:rPr>
        <w:noProof/>
      </w:rPr>
    </w:r>
    <w:r w:rsidR="00E56E91">
      <w:rPr>
        <w:noProof/>
      </w:rPr>
      <w:pict w14:anchorId="53380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17421" o:spid="_x0000_s1025" type="#_x0000_t136" style="position:absolute;margin-left:0;margin-top:0;width:534.4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96433"/>
    <w:multiLevelType w:val="hybridMultilevel"/>
    <w:tmpl w:val="9B9AF1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D9B310F"/>
    <w:multiLevelType w:val="hybridMultilevel"/>
    <w:tmpl w:val="AFF4BE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7528920">
    <w:abstractNumId w:val="1"/>
  </w:num>
  <w:num w:numId="2" w16cid:durableId="99367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3220B"/>
    <w:rsid w:val="002E25CC"/>
    <w:rsid w:val="00306EE2"/>
    <w:rsid w:val="00432BF8"/>
    <w:rsid w:val="004D4ED2"/>
    <w:rsid w:val="005A6105"/>
    <w:rsid w:val="005D4E89"/>
    <w:rsid w:val="00605F60"/>
    <w:rsid w:val="00635583"/>
    <w:rsid w:val="007444D4"/>
    <w:rsid w:val="00896C8B"/>
    <w:rsid w:val="00A77B3E"/>
    <w:rsid w:val="00B07EA9"/>
    <w:rsid w:val="00B26FED"/>
    <w:rsid w:val="00B33488"/>
    <w:rsid w:val="00CA2A55"/>
    <w:rsid w:val="00CA588D"/>
    <w:rsid w:val="00CE7B3E"/>
    <w:rsid w:val="00D1280C"/>
    <w:rsid w:val="00D37106"/>
    <w:rsid w:val="00D652E0"/>
    <w:rsid w:val="00E56E91"/>
    <w:rsid w:val="00EA1410"/>
    <w:rsid w:val="00F100B6"/>
    <w:rsid w:val="00FC79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7555B"/>
  <w15:docId w15:val="{1063F6FA-97FD-4399-AC05-0A799B8F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07EA9"/>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A14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5CC"/>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E25CC"/>
    <w:rPr>
      <w:rFonts w:asciiTheme="minorHAnsi" w:eastAsiaTheme="minorEastAsia" w:hAnsiTheme="minorHAnsi" w:cstheme="minorBidi"/>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B07E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EA141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rsid w:val="00EA1410"/>
    <w:rPr>
      <w:color w:val="0563C1" w:themeColor="hyperlink"/>
      <w:u w:val="single"/>
    </w:rPr>
  </w:style>
  <w:style w:type="character" w:styleId="UnresolvedMention">
    <w:name w:val="Unresolved Mention"/>
    <w:basedOn w:val="DefaultParagraphFont"/>
    <w:uiPriority w:val="99"/>
    <w:semiHidden/>
    <w:unhideWhenUsed/>
    <w:rsid w:val="00EA1410"/>
    <w:rPr>
      <w:color w:val="605E5C"/>
      <w:shd w:val="clear" w:color="auto" w:fill="E1DFDD"/>
    </w:rPr>
  </w:style>
  <w:style w:type="paragraph" w:styleId="Header">
    <w:name w:val="header"/>
    <w:basedOn w:val="Normal"/>
    <w:link w:val="HeaderChar"/>
    <w:rsid w:val="00B33488"/>
    <w:pPr>
      <w:tabs>
        <w:tab w:val="center" w:pos="4513"/>
        <w:tab w:val="right" w:pos="9026"/>
      </w:tabs>
    </w:pPr>
  </w:style>
  <w:style w:type="character" w:customStyle="1" w:styleId="HeaderChar">
    <w:name w:val="Header Char"/>
    <w:basedOn w:val="DefaultParagraphFont"/>
    <w:link w:val="Header"/>
    <w:rsid w:val="00B33488"/>
    <w:rPr>
      <w:sz w:val="24"/>
      <w:szCs w:val="24"/>
    </w:rPr>
  </w:style>
  <w:style w:type="paragraph" w:styleId="Footer">
    <w:name w:val="footer"/>
    <w:basedOn w:val="Normal"/>
    <w:link w:val="FooterChar"/>
    <w:rsid w:val="00B33488"/>
    <w:pPr>
      <w:tabs>
        <w:tab w:val="center" w:pos="4513"/>
        <w:tab w:val="right" w:pos="9026"/>
      </w:tabs>
    </w:pPr>
  </w:style>
  <w:style w:type="character" w:customStyle="1" w:styleId="FooterChar">
    <w:name w:val="Footer Char"/>
    <w:basedOn w:val="DefaultParagraphFont"/>
    <w:link w:val="Footer"/>
    <w:rsid w:val="00B334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3037">
      <w:bodyDiv w:val="1"/>
      <w:marLeft w:val="0"/>
      <w:marRight w:val="0"/>
      <w:marTop w:val="0"/>
      <w:marBottom w:val="0"/>
      <w:divBdr>
        <w:top w:val="none" w:sz="0" w:space="0" w:color="auto"/>
        <w:left w:val="none" w:sz="0" w:space="0" w:color="auto"/>
        <w:bottom w:val="none" w:sz="0" w:space="0" w:color="auto"/>
        <w:right w:val="none" w:sz="0" w:space="0" w:color="auto"/>
      </w:divBdr>
    </w:div>
    <w:div w:id="194584438">
      <w:bodyDiv w:val="1"/>
      <w:marLeft w:val="0"/>
      <w:marRight w:val="0"/>
      <w:marTop w:val="0"/>
      <w:marBottom w:val="0"/>
      <w:divBdr>
        <w:top w:val="none" w:sz="0" w:space="0" w:color="auto"/>
        <w:left w:val="none" w:sz="0" w:space="0" w:color="auto"/>
        <w:bottom w:val="none" w:sz="0" w:space="0" w:color="auto"/>
        <w:right w:val="none" w:sz="0" w:space="0" w:color="auto"/>
      </w:divBdr>
    </w:div>
    <w:div w:id="269434307">
      <w:bodyDiv w:val="1"/>
      <w:marLeft w:val="0"/>
      <w:marRight w:val="0"/>
      <w:marTop w:val="0"/>
      <w:marBottom w:val="0"/>
      <w:divBdr>
        <w:top w:val="none" w:sz="0" w:space="0" w:color="auto"/>
        <w:left w:val="none" w:sz="0" w:space="0" w:color="auto"/>
        <w:bottom w:val="none" w:sz="0" w:space="0" w:color="auto"/>
        <w:right w:val="none" w:sz="0" w:space="0" w:color="auto"/>
      </w:divBdr>
    </w:div>
    <w:div w:id="352808305">
      <w:bodyDiv w:val="1"/>
      <w:marLeft w:val="0"/>
      <w:marRight w:val="0"/>
      <w:marTop w:val="0"/>
      <w:marBottom w:val="0"/>
      <w:divBdr>
        <w:top w:val="none" w:sz="0" w:space="0" w:color="auto"/>
        <w:left w:val="none" w:sz="0" w:space="0" w:color="auto"/>
        <w:bottom w:val="none" w:sz="0" w:space="0" w:color="auto"/>
        <w:right w:val="none" w:sz="0" w:space="0" w:color="auto"/>
      </w:divBdr>
    </w:div>
    <w:div w:id="362750952">
      <w:bodyDiv w:val="1"/>
      <w:marLeft w:val="0"/>
      <w:marRight w:val="0"/>
      <w:marTop w:val="0"/>
      <w:marBottom w:val="0"/>
      <w:divBdr>
        <w:top w:val="none" w:sz="0" w:space="0" w:color="auto"/>
        <w:left w:val="none" w:sz="0" w:space="0" w:color="auto"/>
        <w:bottom w:val="none" w:sz="0" w:space="0" w:color="auto"/>
        <w:right w:val="none" w:sz="0" w:space="0" w:color="auto"/>
      </w:divBdr>
    </w:div>
    <w:div w:id="403916466">
      <w:bodyDiv w:val="1"/>
      <w:marLeft w:val="0"/>
      <w:marRight w:val="0"/>
      <w:marTop w:val="0"/>
      <w:marBottom w:val="0"/>
      <w:divBdr>
        <w:top w:val="none" w:sz="0" w:space="0" w:color="auto"/>
        <w:left w:val="none" w:sz="0" w:space="0" w:color="auto"/>
        <w:bottom w:val="none" w:sz="0" w:space="0" w:color="auto"/>
        <w:right w:val="none" w:sz="0" w:space="0" w:color="auto"/>
      </w:divBdr>
    </w:div>
    <w:div w:id="456267436">
      <w:bodyDiv w:val="1"/>
      <w:marLeft w:val="0"/>
      <w:marRight w:val="0"/>
      <w:marTop w:val="0"/>
      <w:marBottom w:val="0"/>
      <w:divBdr>
        <w:top w:val="none" w:sz="0" w:space="0" w:color="auto"/>
        <w:left w:val="none" w:sz="0" w:space="0" w:color="auto"/>
        <w:bottom w:val="none" w:sz="0" w:space="0" w:color="auto"/>
        <w:right w:val="none" w:sz="0" w:space="0" w:color="auto"/>
      </w:divBdr>
    </w:div>
    <w:div w:id="980230825">
      <w:bodyDiv w:val="1"/>
      <w:marLeft w:val="0"/>
      <w:marRight w:val="0"/>
      <w:marTop w:val="0"/>
      <w:marBottom w:val="0"/>
      <w:divBdr>
        <w:top w:val="none" w:sz="0" w:space="0" w:color="auto"/>
        <w:left w:val="none" w:sz="0" w:space="0" w:color="auto"/>
        <w:bottom w:val="none" w:sz="0" w:space="0" w:color="auto"/>
        <w:right w:val="none" w:sz="0" w:space="0" w:color="auto"/>
      </w:divBdr>
    </w:div>
    <w:div w:id="1081876740">
      <w:bodyDiv w:val="1"/>
      <w:marLeft w:val="0"/>
      <w:marRight w:val="0"/>
      <w:marTop w:val="0"/>
      <w:marBottom w:val="0"/>
      <w:divBdr>
        <w:top w:val="none" w:sz="0" w:space="0" w:color="auto"/>
        <w:left w:val="none" w:sz="0" w:space="0" w:color="auto"/>
        <w:bottom w:val="none" w:sz="0" w:space="0" w:color="auto"/>
        <w:right w:val="none" w:sz="0" w:space="0" w:color="auto"/>
      </w:divBdr>
    </w:div>
    <w:div w:id="1135683423">
      <w:bodyDiv w:val="1"/>
      <w:marLeft w:val="0"/>
      <w:marRight w:val="0"/>
      <w:marTop w:val="0"/>
      <w:marBottom w:val="0"/>
      <w:divBdr>
        <w:top w:val="none" w:sz="0" w:space="0" w:color="auto"/>
        <w:left w:val="none" w:sz="0" w:space="0" w:color="auto"/>
        <w:bottom w:val="none" w:sz="0" w:space="0" w:color="auto"/>
        <w:right w:val="none" w:sz="0" w:space="0" w:color="auto"/>
      </w:divBdr>
    </w:div>
    <w:div w:id="1194463889">
      <w:bodyDiv w:val="1"/>
      <w:marLeft w:val="0"/>
      <w:marRight w:val="0"/>
      <w:marTop w:val="0"/>
      <w:marBottom w:val="0"/>
      <w:divBdr>
        <w:top w:val="none" w:sz="0" w:space="0" w:color="auto"/>
        <w:left w:val="none" w:sz="0" w:space="0" w:color="auto"/>
        <w:bottom w:val="none" w:sz="0" w:space="0" w:color="auto"/>
        <w:right w:val="none" w:sz="0" w:space="0" w:color="auto"/>
      </w:divBdr>
    </w:div>
    <w:div w:id="1774477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image" Target="media/image5.emf"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image" Target="media/image4.emf" /><Relationship Id="rId2" Type="http://schemas.openxmlformats.org/officeDocument/2006/relationships/numbering" Target="numbering.xml" /><Relationship Id="rId16" Type="http://schemas.openxmlformats.org/officeDocument/2006/relationships/image" Target="media/image3.emf"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image" Target="media/image2.emf"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FF207-9807-4AFA-834C-31C8FAD3700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5354</Words>
  <Characters>32088</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vardhana 23</cp:lastModifiedBy>
  <cp:revision>5</cp:revision>
  <dcterms:created xsi:type="dcterms:W3CDTF">2024-02-28T06:11:00Z</dcterms:created>
  <dcterms:modified xsi:type="dcterms:W3CDTF">2024-02-28T06:14:00Z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12e2daaac86dcdd077c7ae83f293fc4accf70fa7e5a69d1ee6001fb313b47f56</vt:lpwstr>
  </property>
</Properties>
</file>