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D95291A" w14:textId="77777777" w:rsidR="0059195C" w:rsidRPr="00411605" w:rsidRDefault="0059195C" w:rsidP="0059195C">
      <w:pPr>
        <w:spacing w:after="0" w:line="240" w:lineRule="auto"/>
        <w:jc w:val="both"/>
        <w:rPr>
          <w:rFonts w:ascii="Arial" w:hAnsi="Arial" w:cs="Arial"/>
          <w:sz w:val="22"/>
          <w:szCs w:val="22"/>
        </w:rPr>
      </w:pPr>
    </w:p>
    <w:p w14:paraId="079F16FB" w14:textId="77777777" w:rsidR="00411605" w:rsidRPr="00411605" w:rsidRDefault="0059195C" w:rsidP="00411605">
      <w:pPr>
        <w:spacing w:before="57"/>
        <w:ind w:left="227" w:right="237" w:hanging="227"/>
        <w:jc w:val="right"/>
        <w:rPr>
          <w:rFonts w:ascii="Arial" w:hAnsi="Arial" w:cs="Arial"/>
          <w:b/>
        </w:rPr>
      </w:pPr>
      <w:r w:rsidRPr="00411605">
        <w:rPr>
          <w:rFonts w:ascii="Arial" w:hAnsi="Arial" w:cs="Arial"/>
          <w:b/>
        </w:rPr>
        <w:t xml:space="preserve">A Study on the </w:t>
      </w:r>
      <w:r w:rsidR="00D32D67" w:rsidRPr="00411605">
        <w:rPr>
          <w:rFonts w:ascii="Arial" w:hAnsi="Arial" w:cs="Arial"/>
          <w:b/>
        </w:rPr>
        <w:t xml:space="preserve">Phototoxic </w:t>
      </w:r>
      <w:r w:rsidRPr="00411605">
        <w:rPr>
          <w:rFonts w:ascii="Arial" w:hAnsi="Arial" w:cs="Arial"/>
          <w:b/>
        </w:rPr>
        <w:t xml:space="preserve">effect of LED bulbs on the </w:t>
      </w:r>
    </w:p>
    <w:p w14:paraId="3CA7D654" w14:textId="5BAC9A0F" w:rsidR="0059195C" w:rsidRPr="00411605" w:rsidRDefault="0059195C" w:rsidP="00411605">
      <w:pPr>
        <w:spacing w:before="57"/>
        <w:ind w:left="227" w:right="237" w:hanging="227"/>
        <w:jc w:val="right"/>
        <w:rPr>
          <w:rFonts w:ascii="Arial" w:hAnsi="Arial" w:cs="Arial"/>
          <w:b/>
        </w:rPr>
      </w:pPr>
      <w:r w:rsidRPr="00411605">
        <w:rPr>
          <w:rFonts w:ascii="Arial" w:hAnsi="Arial" w:cs="Arial"/>
          <w:b/>
        </w:rPr>
        <w:t>Zebrafish</w:t>
      </w:r>
      <w:r w:rsidRPr="00411605">
        <w:rPr>
          <w:rFonts w:ascii="Arial" w:hAnsi="Arial" w:cs="Arial"/>
          <w:b/>
          <w:spacing w:val="-2"/>
        </w:rPr>
        <w:t xml:space="preserve"> </w:t>
      </w:r>
      <w:r w:rsidRPr="00411605">
        <w:rPr>
          <w:rFonts w:ascii="Arial" w:hAnsi="Arial" w:cs="Arial"/>
          <w:b/>
        </w:rPr>
        <w:t>(</w:t>
      </w:r>
      <w:r w:rsidRPr="00411605">
        <w:rPr>
          <w:rFonts w:ascii="Arial" w:hAnsi="Arial" w:cs="Arial"/>
          <w:b/>
          <w:i/>
        </w:rPr>
        <w:t>Danio</w:t>
      </w:r>
      <w:r w:rsidRPr="00411605">
        <w:rPr>
          <w:rFonts w:ascii="Arial" w:hAnsi="Arial" w:cs="Arial"/>
          <w:b/>
          <w:i/>
          <w:spacing w:val="1"/>
        </w:rPr>
        <w:t xml:space="preserve"> </w:t>
      </w:r>
      <w:r w:rsidRPr="00411605">
        <w:rPr>
          <w:rFonts w:ascii="Arial" w:hAnsi="Arial" w:cs="Arial"/>
          <w:b/>
          <w:i/>
        </w:rPr>
        <w:t>rerio</w:t>
      </w:r>
      <w:r w:rsidRPr="00411605">
        <w:rPr>
          <w:rFonts w:ascii="Arial" w:hAnsi="Arial" w:cs="Arial"/>
          <w:b/>
        </w:rPr>
        <w:t>) embryos</w:t>
      </w:r>
    </w:p>
    <w:p w14:paraId="3424194A" w14:textId="77777777" w:rsidR="00E4539A" w:rsidRPr="00411605" w:rsidRDefault="00E4539A" w:rsidP="0059195C">
      <w:pPr>
        <w:spacing w:after="0" w:line="240" w:lineRule="auto"/>
        <w:jc w:val="both"/>
        <w:rPr>
          <w:rFonts w:ascii="Arial" w:hAnsi="Arial" w:cs="Arial"/>
          <w:sz w:val="22"/>
          <w:szCs w:val="22"/>
        </w:rPr>
      </w:pPr>
      <w:bookmarkStart w:id="0" w:name="_bookmark0"/>
      <w:bookmarkStart w:id="1" w:name="_GoBack"/>
      <w:bookmarkEnd w:id="0"/>
      <w:bookmarkEnd w:id="1"/>
    </w:p>
    <w:p w14:paraId="75EBC8EA" w14:textId="77777777" w:rsidR="0059195C" w:rsidRPr="00411605" w:rsidRDefault="0059195C" w:rsidP="0059195C">
      <w:pPr>
        <w:spacing w:after="0" w:line="240" w:lineRule="auto"/>
        <w:jc w:val="both"/>
        <w:rPr>
          <w:rFonts w:ascii="Arial" w:hAnsi="Arial" w:cs="Arial"/>
          <w:sz w:val="22"/>
          <w:szCs w:val="22"/>
        </w:rPr>
      </w:pPr>
    </w:p>
    <w:p w14:paraId="001DEFAE" w14:textId="77777777" w:rsidR="0059195C" w:rsidRPr="00411605" w:rsidRDefault="0059195C" w:rsidP="0059195C">
      <w:pPr>
        <w:spacing w:after="0" w:line="240" w:lineRule="auto"/>
        <w:jc w:val="both"/>
        <w:rPr>
          <w:rFonts w:ascii="Arial" w:hAnsi="Arial" w:cs="Arial"/>
          <w:sz w:val="22"/>
          <w:szCs w:val="22"/>
        </w:rPr>
      </w:pPr>
    </w:p>
    <w:p w14:paraId="3ABA5071" w14:textId="11A8F6E2" w:rsidR="0059195C" w:rsidRPr="00411605" w:rsidRDefault="00DF36E2" w:rsidP="0059195C">
      <w:pPr>
        <w:spacing w:after="0" w:line="240" w:lineRule="auto"/>
        <w:jc w:val="both"/>
        <w:rPr>
          <w:rFonts w:ascii="Arial" w:hAnsi="Arial" w:cs="Arial"/>
          <w:b/>
          <w:bCs/>
          <w:sz w:val="22"/>
          <w:szCs w:val="22"/>
        </w:rPr>
      </w:pPr>
      <w:r w:rsidRPr="00411605">
        <w:rPr>
          <w:rFonts w:ascii="Arial" w:hAnsi="Arial" w:cs="Arial"/>
          <w:b/>
          <w:bCs/>
          <w:sz w:val="22"/>
          <w:szCs w:val="22"/>
        </w:rPr>
        <w:t>ABSTRACT</w:t>
      </w:r>
    </w:p>
    <w:p w14:paraId="5FC60B08" w14:textId="342033B9" w:rsidR="00FD27F2" w:rsidRDefault="00A63677" w:rsidP="0059195C">
      <w:pPr>
        <w:spacing w:after="0" w:line="240" w:lineRule="auto"/>
        <w:jc w:val="both"/>
        <w:rPr>
          <w:rFonts w:ascii="Arial" w:hAnsi="Arial" w:cs="Arial"/>
          <w:sz w:val="22"/>
          <w:szCs w:val="22"/>
        </w:rPr>
      </w:pPr>
      <w:r w:rsidRPr="00411605">
        <w:rPr>
          <w:rFonts w:ascii="Arial" w:hAnsi="Arial" w:cs="Arial"/>
          <w:sz w:val="22"/>
          <w:szCs w:val="22"/>
        </w:rPr>
        <w:t xml:space="preserve">Light emitting diodes (LEDs) constitute a recent light source </w:t>
      </w:r>
      <w:r w:rsidR="004153AF" w:rsidRPr="00411605">
        <w:rPr>
          <w:rFonts w:ascii="Arial" w:hAnsi="Arial" w:cs="Arial"/>
          <w:sz w:val="22"/>
          <w:szCs w:val="22"/>
        </w:rPr>
        <w:t>right from home, office lightings</w:t>
      </w:r>
      <w:r w:rsidRPr="00411605">
        <w:rPr>
          <w:rFonts w:ascii="Arial" w:hAnsi="Arial" w:cs="Arial"/>
          <w:sz w:val="22"/>
          <w:szCs w:val="22"/>
        </w:rPr>
        <w:t xml:space="preserve">. </w:t>
      </w:r>
      <w:r w:rsidR="004153AF" w:rsidRPr="00411605">
        <w:rPr>
          <w:rFonts w:ascii="Arial" w:hAnsi="Arial" w:cs="Arial"/>
          <w:sz w:val="22"/>
          <w:szCs w:val="22"/>
        </w:rPr>
        <w:t xml:space="preserve">The advantage of the LEDs </w:t>
      </w:r>
      <w:r w:rsidR="008310B0" w:rsidRPr="00411605">
        <w:rPr>
          <w:rFonts w:ascii="Arial" w:hAnsi="Arial" w:cs="Arial"/>
          <w:sz w:val="22"/>
          <w:szCs w:val="22"/>
        </w:rPr>
        <w:t>is</w:t>
      </w:r>
      <w:r w:rsidR="004153AF" w:rsidRPr="00411605">
        <w:rPr>
          <w:rFonts w:ascii="Arial" w:hAnsi="Arial" w:cs="Arial"/>
          <w:sz w:val="22"/>
          <w:szCs w:val="22"/>
        </w:rPr>
        <w:t xml:space="preserve"> that they </w:t>
      </w:r>
      <w:r w:rsidRPr="00411605">
        <w:rPr>
          <w:rFonts w:ascii="Arial" w:hAnsi="Arial" w:cs="Arial"/>
          <w:sz w:val="22"/>
          <w:szCs w:val="22"/>
        </w:rPr>
        <w:t>offer superior light intensity, efficiency</w:t>
      </w:r>
      <w:r w:rsidR="004153AF" w:rsidRPr="00411605">
        <w:rPr>
          <w:rFonts w:ascii="Arial" w:hAnsi="Arial" w:cs="Arial"/>
          <w:sz w:val="22"/>
          <w:szCs w:val="22"/>
        </w:rPr>
        <w:t xml:space="preserve"> even being </w:t>
      </w:r>
      <w:r w:rsidRPr="00411605">
        <w:rPr>
          <w:rFonts w:ascii="Arial" w:hAnsi="Arial" w:cs="Arial"/>
          <w:sz w:val="22"/>
          <w:szCs w:val="22"/>
        </w:rPr>
        <w:t>small</w:t>
      </w:r>
      <w:r w:rsidR="004153AF" w:rsidRPr="00411605">
        <w:rPr>
          <w:rFonts w:ascii="Arial" w:hAnsi="Arial" w:cs="Arial"/>
          <w:sz w:val="22"/>
          <w:szCs w:val="22"/>
        </w:rPr>
        <w:t>er than the traditional lighting system</w:t>
      </w:r>
      <w:r w:rsidRPr="00411605">
        <w:rPr>
          <w:rFonts w:ascii="Arial" w:hAnsi="Arial" w:cs="Arial"/>
          <w:sz w:val="22"/>
          <w:szCs w:val="22"/>
        </w:rPr>
        <w:t xml:space="preserve">. LEDs are </w:t>
      </w:r>
      <w:r w:rsidR="004153AF" w:rsidRPr="00411605">
        <w:rPr>
          <w:rFonts w:ascii="Arial" w:hAnsi="Arial" w:cs="Arial"/>
          <w:sz w:val="22"/>
          <w:szCs w:val="22"/>
        </w:rPr>
        <w:t>highly</w:t>
      </w:r>
      <w:r w:rsidRPr="00411605">
        <w:rPr>
          <w:rFonts w:ascii="Arial" w:hAnsi="Arial" w:cs="Arial"/>
          <w:sz w:val="22"/>
          <w:szCs w:val="22"/>
        </w:rPr>
        <w:t xml:space="preserve"> specific </w:t>
      </w:r>
      <w:r w:rsidR="004153AF" w:rsidRPr="00411605">
        <w:rPr>
          <w:rFonts w:ascii="Arial" w:hAnsi="Arial" w:cs="Arial"/>
          <w:sz w:val="22"/>
          <w:szCs w:val="22"/>
        </w:rPr>
        <w:t xml:space="preserve">when it comes to </w:t>
      </w:r>
      <w:r w:rsidRPr="00411605">
        <w:rPr>
          <w:rFonts w:ascii="Arial" w:hAnsi="Arial" w:cs="Arial"/>
          <w:sz w:val="22"/>
          <w:szCs w:val="22"/>
        </w:rPr>
        <w:t xml:space="preserve">wavelengths of light. </w:t>
      </w:r>
      <w:r w:rsidR="00682095" w:rsidRPr="00411605">
        <w:rPr>
          <w:rFonts w:ascii="Arial" w:hAnsi="Arial" w:cs="Arial"/>
          <w:sz w:val="22"/>
          <w:szCs w:val="22"/>
        </w:rPr>
        <w:t xml:space="preserve">The current investigation assessed the effects of various light wavelengths emitted by light-emitting diodes (LEDs) on the development of zebrafish at the embryo and larval stages. </w:t>
      </w:r>
      <w:r w:rsidR="00F22C00" w:rsidRPr="00411605">
        <w:rPr>
          <w:rFonts w:ascii="Arial" w:hAnsi="Arial" w:cs="Arial"/>
          <w:sz w:val="22"/>
          <w:szCs w:val="22"/>
        </w:rPr>
        <w:t xml:space="preserve">The coloured LEDs used had </w:t>
      </w:r>
      <w:r w:rsidR="00FD27F2" w:rsidRPr="00411605">
        <w:rPr>
          <w:rFonts w:ascii="Arial" w:hAnsi="Arial" w:cs="Arial"/>
          <w:sz w:val="22"/>
          <w:szCs w:val="22"/>
        </w:rPr>
        <w:t xml:space="preserve">the </w:t>
      </w:r>
      <w:r w:rsidR="00F22C00" w:rsidRPr="00411605">
        <w:rPr>
          <w:rFonts w:ascii="Arial" w:hAnsi="Arial" w:cs="Arial"/>
          <w:sz w:val="22"/>
          <w:szCs w:val="22"/>
        </w:rPr>
        <w:t>wavelength of 630 nm (red), 450nm (blue), 530nm (green) and yellow</w:t>
      </w:r>
      <w:r w:rsidR="00C3746A" w:rsidRPr="00411605">
        <w:rPr>
          <w:rFonts w:ascii="Arial" w:hAnsi="Arial" w:cs="Arial"/>
          <w:sz w:val="22"/>
          <w:szCs w:val="22"/>
        </w:rPr>
        <w:t xml:space="preserve"> (685)</w:t>
      </w:r>
      <w:r w:rsidR="00F22C00" w:rsidRPr="00411605">
        <w:rPr>
          <w:rFonts w:ascii="Arial" w:hAnsi="Arial" w:cs="Arial"/>
          <w:sz w:val="22"/>
          <w:szCs w:val="22"/>
        </w:rPr>
        <w:t xml:space="preserve"> white light (full spectra). </w:t>
      </w:r>
      <w:r w:rsidR="004153AF" w:rsidRPr="00411605">
        <w:rPr>
          <w:rFonts w:ascii="Arial" w:hAnsi="Arial" w:cs="Arial"/>
          <w:sz w:val="22"/>
          <w:szCs w:val="22"/>
        </w:rPr>
        <w:t xml:space="preserve">Zebrafish has become </w:t>
      </w:r>
      <w:r w:rsidR="00FD27F2" w:rsidRPr="00411605">
        <w:rPr>
          <w:rFonts w:ascii="Arial" w:hAnsi="Arial" w:cs="Arial"/>
          <w:sz w:val="22"/>
          <w:szCs w:val="22"/>
        </w:rPr>
        <w:t xml:space="preserve">the leading model organism in research </w:t>
      </w:r>
      <w:r w:rsidR="004153AF" w:rsidRPr="00411605">
        <w:rPr>
          <w:rFonts w:ascii="Arial" w:hAnsi="Arial" w:cs="Arial"/>
          <w:sz w:val="22"/>
          <w:szCs w:val="22"/>
        </w:rPr>
        <w:t xml:space="preserve">to investigate </w:t>
      </w:r>
      <w:r w:rsidR="00FD27F2" w:rsidRPr="00411605">
        <w:rPr>
          <w:rFonts w:ascii="Arial" w:hAnsi="Arial" w:cs="Arial"/>
          <w:sz w:val="22"/>
          <w:szCs w:val="22"/>
        </w:rPr>
        <w:t>human disease</w:t>
      </w:r>
      <w:r w:rsidR="004153AF" w:rsidRPr="00411605">
        <w:rPr>
          <w:rFonts w:ascii="Arial" w:hAnsi="Arial" w:cs="Arial"/>
          <w:sz w:val="22"/>
          <w:szCs w:val="22"/>
        </w:rPr>
        <w:t>s,</w:t>
      </w:r>
      <w:r w:rsidR="00FD27F2" w:rsidRPr="00411605">
        <w:rPr>
          <w:rFonts w:ascii="Arial" w:hAnsi="Arial" w:cs="Arial"/>
          <w:sz w:val="22"/>
          <w:szCs w:val="22"/>
        </w:rPr>
        <w:t xml:space="preserve"> high-throughput drug screening, </w:t>
      </w:r>
      <w:r w:rsidR="004153AF" w:rsidRPr="00411605">
        <w:rPr>
          <w:rFonts w:ascii="Arial" w:hAnsi="Arial" w:cs="Arial"/>
          <w:sz w:val="22"/>
          <w:szCs w:val="22"/>
        </w:rPr>
        <w:t xml:space="preserve">assessing </w:t>
      </w:r>
      <w:r w:rsidR="00FD27F2" w:rsidRPr="00411605">
        <w:rPr>
          <w:rFonts w:ascii="Arial" w:hAnsi="Arial" w:cs="Arial"/>
          <w:sz w:val="22"/>
          <w:szCs w:val="22"/>
        </w:rPr>
        <w:t xml:space="preserve">toxicity </w:t>
      </w:r>
      <w:r w:rsidR="004153AF" w:rsidRPr="00411605">
        <w:rPr>
          <w:rFonts w:ascii="Arial" w:hAnsi="Arial" w:cs="Arial"/>
          <w:sz w:val="22"/>
          <w:szCs w:val="22"/>
        </w:rPr>
        <w:t xml:space="preserve">and biological </w:t>
      </w:r>
      <w:r w:rsidR="00FD27F2" w:rsidRPr="00411605">
        <w:rPr>
          <w:rFonts w:ascii="Arial" w:hAnsi="Arial" w:cs="Arial"/>
          <w:sz w:val="22"/>
          <w:szCs w:val="22"/>
        </w:rPr>
        <w:t>rhythms</w:t>
      </w:r>
      <w:r w:rsidR="004153AF" w:rsidRPr="00411605">
        <w:rPr>
          <w:rFonts w:ascii="Arial" w:hAnsi="Arial" w:cs="Arial"/>
          <w:sz w:val="22"/>
          <w:szCs w:val="22"/>
        </w:rPr>
        <w:t xml:space="preserve">. </w:t>
      </w:r>
      <w:r w:rsidR="00FD27F2" w:rsidRPr="00411605">
        <w:rPr>
          <w:rFonts w:ascii="Arial" w:hAnsi="Arial" w:cs="Arial"/>
          <w:sz w:val="22"/>
          <w:szCs w:val="22"/>
        </w:rPr>
        <w:t xml:space="preserve">The large number of </w:t>
      </w:r>
      <w:r w:rsidR="004153AF" w:rsidRPr="00411605">
        <w:rPr>
          <w:rFonts w:ascii="Arial" w:hAnsi="Arial" w:cs="Arial"/>
          <w:sz w:val="22"/>
          <w:szCs w:val="22"/>
        </w:rPr>
        <w:t>eggs</w:t>
      </w:r>
      <w:r w:rsidR="00AA6769" w:rsidRPr="00411605">
        <w:rPr>
          <w:rFonts w:ascii="Arial" w:hAnsi="Arial" w:cs="Arial"/>
          <w:sz w:val="22"/>
          <w:szCs w:val="22"/>
        </w:rPr>
        <w:t xml:space="preserve"> which are transparent and </w:t>
      </w:r>
      <w:r w:rsidR="004153AF" w:rsidRPr="00411605">
        <w:rPr>
          <w:rFonts w:ascii="Arial" w:hAnsi="Arial" w:cs="Arial"/>
          <w:sz w:val="22"/>
          <w:szCs w:val="22"/>
        </w:rPr>
        <w:t xml:space="preserve">with its </w:t>
      </w:r>
      <w:r w:rsidR="00FD27F2" w:rsidRPr="00411605">
        <w:rPr>
          <w:rFonts w:ascii="Arial" w:hAnsi="Arial" w:cs="Arial"/>
          <w:sz w:val="22"/>
          <w:szCs w:val="22"/>
        </w:rPr>
        <w:t>low maintenance cos</w:t>
      </w:r>
      <w:r w:rsidR="00AA6769" w:rsidRPr="00411605">
        <w:rPr>
          <w:rFonts w:ascii="Arial" w:hAnsi="Arial" w:cs="Arial"/>
          <w:sz w:val="22"/>
          <w:szCs w:val="22"/>
        </w:rPr>
        <w:t xml:space="preserve">t makes </w:t>
      </w:r>
      <w:r w:rsidR="00FD27F2" w:rsidRPr="00411605">
        <w:rPr>
          <w:rFonts w:ascii="Arial" w:hAnsi="Arial" w:cs="Arial"/>
          <w:sz w:val="22"/>
          <w:szCs w:val="22"/>
        </w:rPr>
        <w:t>zebrafish a</w:t>
      </w:r>
      <w:r w:rsidR="00AA6769" w:rsidRPr="00411605">
        <w:rPr>
          <w:rFonts w:ascii="Arial" w:hAnsi="Arial" w:cs="Arial"/>
          <w:sz w:val="22"/>
          <w:szCs w:val="22"/>
        </w:rPr>
        <w:t>s a</w:t>
      </w:r>
      <w:r w:rsidR="00FD27F2" w:rsidRPr="00411605">
        <w:rPr>
          <w:rFonts w:ascii="Arial" w:hAnsi="Arial" w:cs="Arial"/>
          <w:sz w:val="22"/>
          <w:szCs w:val="22"/>
        </w:rPr>
        <w:t xml:space="preserve"> popular </w:t>
      </w:r>
      <w:r w:rsidR="00AA6769" w:rsidRPr="00411605">
        <w:rPr>
          <w:rFonts w:ascii="Arial" w:hAnsi="Arial" w:cs="Arial"/>
          <w:sz w:val="22"/>
          <w:szCs w:val="22"/>
        </w:rPr>
        <w:t xml:space="preserve">model </w:t>
      </w:r>
      <w:r w:rsidR="00FD27F2" w:rsidRPr="00411605">
        <w:rPr>
          <w:rFonts w:ascii="Arial" w:hAnsi="Arial" w:cs="Arial"/>
          <w:sz w:val="22"/>
          <w:szCs w:val="22"/>
        </w:rPr>
        <w:t>organism in contemporary biomedical research (</w:t>
      </w:r>
      <w:proofErr w:type="spellStart"/>
      <w:r w:rsidR="00FD27F2" w:rsidRPr="00411605">
        <w:rPr>
          <w:rFonts w:ascii="Arial" w:hAnsi="Arial" w:cs="Arial"/>
          <w:sz w:val="22"/>
          <w:szCs w:val="22"/>
        </w:rPr>
        <w:t>Lieschke</w:t>
      </w:r>
      <w:proofErr w:type="spellEnd"/>
      <w:r w:rsidR="00FD27F2" w:rsidRPr="00411605">
        <w:rPr>
          <w:rFonts w:ascii="Arial" w:hAnsi="Arial" w:cs="Arial"/>
          <w:sz w:val="22"/>
          <w:szCs w:val="22"/>
        </w:rPr>
        <w:t xml:space="preserve">, G. J., &amp; Currie, P. D., 2007). </w:t>
      </w:r>
      <w:r w:rsidR="00AA6769" w:rsidRPr="00411605">
        <w:rPr>
          <w:rFonts w:ascii="Arial" w:hAnsi="Arial" w:cs="Arial"/>
          <w:sz w:val="22"/>
          <w:szCs w:val="22"/>
        </w:rPr>
        <w:t xml:space="preserve">The present study </w:t>
      </w:r>
      <w:r w:rsidR="00D32D67" w:rsidRPr="00411605">
        <w:rPr>
          <w:rFonts w:ascii="Arial" w:hAnsi="Arial" w:cs="Arial"/>
          <w:sz w:val="22"/>
          <w:szCs w:val="22"/>
        </w:rPr>
        <w:t>investigated</w:t>
      </w:r>
      <w:r w:rsidR="00AA6769" w:rsidRPr="00411605">
        <w:rPr>
          <w:rFonts w:ascii="Arial" w:hAnsi="Arial" w:cs="Arial"/>
          <w:sz w:val="22"/>
          <w:szCs w:val="22"/>
        </w:rPr>
        <w:t xml:space="preserve"> </w:t>
      </w:r>
      <w:r w:rsidR="00D32D67" w:rsidRPr="00411605">
        <w:rPr>
          <w:rFonts w:ascii="Arial" w:hAnsi="Arial" w:cs="Arial"/>
          <w:sz w:val="22"/>
          <w:szCs w:val="22"/>
        </w:rPr>
        <w:t xml:space="preserve">the phototoxic effect of </w:t>
      </w:r>
      <w:r w:rsidR="00AA6769" w:rsidRPr="00411605">
        <w:rPr>
          <w:rFonts w:ascii="Arial" w:hAnsi="Arial" w:cs="Arial"/>
          <w:sz w:val="22"/>
          <w:szCs w:val="22"/>
        </w:rPr>
        <w:t xml:space="preserve">different wavelengths of light </w:t>
      </w:r>
      <w:r w:rsidR="00D32D67" w:rsidRPr="00411605">
        <w:rPr>
          <w:rFonts w:ascii="Arial" w:hAnsi="Arial" w:cs="Arial"/>
          <w:sz w:val="22"/>
          <w:szCs w:val="22"/>
        </w:rPr>
        <w:t>which induced</w:t>
      </w:r>
      <w:r w:rsidR="00AA6769" w:rsidRPr="00411605">
        <w:rPr>
          <w:rFonts w:ascii="Arial" w:hAnsi="Arial" w:cs="Arial"/>
          <w:sz w:val="22"/>
          <w:szCs w:val="22"/>
        </w:rPr>
        <w:t xml:space="preserve"> </w:t>
      </w:r>
      <w:r w:rsidR="0059195C" w:rsidRPr="00411605">
        <w:rPr>
          <w:rFonts w:ascii="Arial" w:hAnsi="Arial" w:cs="Arial"/>
          <w:sz w:val="22"/>
          <w:szCs w:val="22"/>
        </w:rPr>
        <w:t>apoptosis</w:t>
      </w:r>
      <w:r w:rsidR="00AA6769" w:rsidRPr="00411605">
        <w:rPr>
          <w:rFonts w:ascii="Arial" w:hAnsi="Arial" w:cs="Arial"/>
          <w:sz w:val="22"/>
          <w:szCs w:val="22"/>
        </w:rPr>
        <w:t xml:space="preserve"> in zebrafish</w:t>
      </w:r>
      <w:r w:rsidR="0059195C" w:rsidRPr="00411605">
        <w:rPr>
          <w:rFonts w:ascii="Arial" w:hAnsi="Arial" w:cs="Arial"/>
          <w:sz w:val="22"/>
          <w:szCs w:val="22"/>
        </w:rPr>
        <w:t xml:space="preserve"> </w:t>
      </w:r>
      <w:r w:rsidR="00AA6769" w:rsidRPr="00411605">
        <w:rPr>
          <w:rFonts w:ascii="Arial" w:hAnsi="Arial" w:cs="Arial"/>
          <w:sz w:val="22"/>
          <w:szCs w:val="22"/>
        </w:rPr>
        <w:t xml:space="preserve">5 </w:t>
      </w:r>
      <w:proofErr w:type="spellStart"/>
      <w:r w:rsidR="00AA6769" w:rsidRPr="00411605">
        <w:rPr>
          <w:rFonts w:ascii="Arial" w:hAnsi="Arial" w:cs="Arial"/>
          <w:sz w:val="22"/>
          <w:szCs w:val="22"/>
        </w:rPr>
        <w:t>dpf</w:t>
      </w:r>
      <w:proofErr w:type="spellEnd"/>
      <w:r w:rsidR="00AA6769" w:rsidRPr="00411605">
        <w:rPr>
          <w:rFonts w:ascii="Arial" w:hAnsi="Arial" w:cs="Arial"/>
          <w:sz w:val="22"/>
          <w:szCs w:val="22"/>
        </w:rPr>
        <w:t xml:space="preserve"> </w:t>
      </w:r>
      <w:r w:rsidR="0059195C" w:rsidRPr="00411605">
        <w:rPr>
          <w:rFonts w:ascii="Arial" w:hAnsi="Arial" w:cs="Arial"/>
          <w:sz w:val="22"/>
          <w:szCs w:val="22"/>
        </w:rPr>
        <w:t>larva</w:t>
      </w:r>
      <w:r w:rsidR="00D32D67" w:rsidRPr="00411605">
        <w:rPr>
          <w:rFonts w:ascii="Arial" w:hAnsi="Arial" w:cs="Arial"/>
          <w:sz w:val="22"/>
          <w:szCs w:val="22"/>
        </w:rPr>
        <w:t xml:space="preserve">. The apoptosis caused by the phototoxicity of LEDs were assessed by using the </w:t>
      </w:r>
      <w:r w:rsidR="0059195C" w:rsidRPr="00411605">
        <w:rPr>
          <w:rFonts w:ascii="Arial" w:hAnsi="Arial" w:cs="Arial"/>
          <w:sz w:val="22"/>
          <w:szCs w:val="22"/>
        </w:rPr>
        <w:t xml:space="preserve">vital dye </w:t>
      </w:r>
      <w:r w:rsidR="00FD27F2" w:rsidRPr="00411605">
        <w:rPr>
          <w:rFonts w:ascii="Arial" w:hAnsi="Arial" w:cs="Arial"/>
          <w:sz w:val="22"/>
          <w:szCs w:val="22"/>
        </w:rPr>
        <w:t>Acridine orange (AO)</w:t>
      </w:r>
      <w:r w:rsidR="0059195C" w:rsidRPr="00411605">
        <w:rPr>
          <w:rFonts w:ascii="Arial" w:hAnsi="Arial" w:cs="Arial"/>
          <w:sz w:val="22"/>
          <w:szCs w:val="22"/>
        </w:rPr>
        <w:t xml:space="preserve">. Often AO is used as </w:t>
      </w:r>
      <w:r w:rsidR="00FD27F2" w:rsidRPr="00411605">
        <w:rPr>
          <w:rFonts w:ascii="Arial" w:hAnsi="Arial" w:cs="Arial"/>
          <w:sz w:val="22"/>
          <w:szCs w:val="22"/>
        </w:rPr>
        <w:t>a marker of apoptotic cells</w:t>
      </w:r>
      <w:r w:rsidR="0059195C" w:rsidRPr="00411605">
        <w:rPr>
          <w:rFonts w:ascii="Arial" w:hAnsi="Arial" w:cs="Arial"/>
          <w:sz w:val="22"/>
          <w:szCs w:val="22"/>
        </w:rPr>
        <w:t xml:space="preserve"> (Ben Tucker, 2007). The </w:t>
      </w:r>
      <w:r w:rsidR="00DF36E2" w:rsidRPr="00411605">
        <w:rPr>
          <w:rFonts w:ascii="Arial" w:hAnsi="Arial" w:cs="Arial"/>
          <w:sz w:val="22"/>
          <w:szCs w:val="22"/>
        </w:rPr>
        <w:t>fluorescent images</w:t>
      </w:r>
      <w:r w:rsidR="0059195C" w:rsidRPr="00411605">
        <w:rPr>
          <w:rFonts w:ascii="Arial" w:hAnsi="Arial" w:cs="Arial"/>
          <w:sz w:val="22"/>
          <w:szCs w:val="22"/>
        </w:rPr>
        <w:t xml:space="preserve"> recorded were manipulated and </w:t>
      </w:r>
      <w:r w:rsidR="00DF36E2" w:rsidRPr="00411605">
        <w:rPr>
          <w:rFonts w:ascii="Arial" w:hAnsi="Arial" w:cs="Arial"/>
          <w:sz w:val="22"/>
          <w:szCs w:val="22"/>
        </w:rPr>
        <w:t>analysed</w:t>
      </w:r>
      <w:r w:rsidR="0059195C" w:rsidRPr="00411605">
        <w:rPr>
          <w:rFonts w:ascii="Arial" w:hAnsi="Arial" w:cs="Arial"/>
          <w:sz w:val="22"/>
          <w:szCs w:val="22"/>
        </w:rPr>
        <w:t xml:space="preserve"> using the ImageJ software. The results showed that among the different LEDs, blue light indeed caused more apoptosis in the 5dpf larva.</w:t>
      </w:r>
    </w:p>
    <w:p w14:paraId="3F02BDC0" w14:textId="77777777" w:rsidR="00411605" w:rsidRDefault="00411605" w:rsidP="00411605">
      <w:pPr>
        <w:spacing w:after="0" w:line="240" w:lineRule="auto"/>
        <w:jc w:val="both"/>
        <w:rPr>
          <w:rFonts w:ascii="Arial" w:hAnsi="Arial" w:cs="Arial"/>
          <w:sz w:val="20"/>
          <w:szCs w:val="20"/>
        </w:rPr>
      </w:pPr>
    </w:p>
    <w:p w14:paraId="54AD579A" w14:textId="28256E3C" w:rsidR="00411605" w:rsidRPr="00411605" w:rsidRDefault="00411605" w:rsidP="00411605">
      <w:pPr>
        <w:spacing w:after="0" w:line="240" w:lineRule="auto"/>
        <w:jc w:val="both"/>
        <w:rPr>
          <w:rFonts w:ascii="Arial" w:hAnsi="Arial" w:cs="Arial"/>
          <w:sz w:val="20"/>
          <w:szCs w:val="20"/>
        </w:rPr>
      </w:pPr>
      <w:r w:rsidRPr="00411605">
        <w:rPr>
          <w:rFonts w:ascii="Arial" w:hAnsi="Arial" w:cs="Arial"/>
          <w:sz w:val="20"/>
          <w:szCs w:val="20"/>
        </w:rPr>
        <w:t>Keywords:</w:t>
      </w:r>
      <w:r w:rsidRPr="00411605">
        <w:t xml:space="preserve"> </w:t>
      </w:r>
      <w:r w:rsidRPr="00411605">
        <w:rPr>
          <w:rFonts w:ascii="Arial" w:hAnsi="Arial" w:cs="Arial"/>
          <w:sz w:val="20"/>
          <w:szCs w:val="20"/>
        </w:rPr>
        <w:t>Zebrafish (Danio rerio)</w:t>
      </w:r>
      <w:r>
        <w:rPr>
          <w:rFonts w:ascii="Arial" w:hAnsi="Arial" w:cs="Arial"/>
          <w:sz w:val="20"/>
          <w:szCs w:val="20"/>
        </w:rPr>
        <w:t>,</w:t>
      </w:r>
      <w:r w:rsidRPr="00411605">
        <w:rPr>
          <w:rFonts w:ascii="Arial" w:hAnsi="Arial" w:cs="Arial"/>
          <w:sz w:val="20"/>
          <w:szCs w:val="20"/>
        </w:rPr>
        <w:t xml:space="preserve"> Light-emitting diodes (LEDs), Wavelength-specific phototoxicity, Apoptosis, Acridine Orange staining</w:t>
      </w:r>
      <w:r>
        <w:rPr>
          <w:rFonts w:ascii="Arial" w:hAnsi="Arial" w:cs="Arial"/>
          <w:sz w:val="20"/>
          <w:szCs w:val="20"/>
        </w:rPr>
        <w:t xml:space="preserve">, </w:t>
      </w:r>
      <w:r w:rsidRPr="00411605">
        <w:rPr>
          <w:rFonts w:ascii="Arial" w:hAnsi="Arial" w:cs="Arial"/>
          <w:sz w:val="20"/>
          <w:szCs w:val="20"/>
        </w:rPr>
        <w:t>Fluorescence imaging</w:t>
      </w:r>
    </w:p>
    <w:p w14:paraId="0C897993" w14:textId="77777777" w:rsidR="00D32D67" w:rsidRPr="00411605" w:rsidRDefault="00D32D67" w:rsidP="00FD27F2">
      <w:pPr>
        <w:jc w:val="both"/>
        <w:rPr>
          <w:rFonts w:ascii="Arial" w:hAnsi="Arial" w:cs="Arial"/>
          <w:highlight w:val="yellow"/>
        </w:rPr>
      </w:pPr>
    </w:p>
    <w:p w14:paraId="17A4B090" w14:textId="250A77A8" w:rsidR="00D32D67" w:rsidRPr="00411605" w:rsidRDefault="00DF36E2" w:rsidP="00FD27F2">
      <w:pPr>
        <w:jc w:val="both"/>
        <w:rPr>
          <w:rFonts w:ascii="Arial" w:hAnsi="Arial" w:cs="Arial"/>
          <w:b/>
          <w:bCs/>
          <w:sz w:val="22"/>
          <w:szCs w:val="22"/>
        </w:rPr>
      </w:pPr>
      <w:r w:rsidRPr="00411605">
        <w:rPr>
          <w:rFonts w:ascii="Arial" w:hAnsi="Arial" w:cs="Arial"/>
          <w:b/>
          <w:bCs/>
          <w:sz w:val="22"/>
          <w:szCs w:val="22"/>
        </w:rPr>
        <w:t>INTRODUCTION:</w:t>
      </w:r>
    </w:p>
    <w:p w14:paraId="42855792" w14:textId="108C9802" w:rsidR="00091AA9" w:rsidRPr="00411605" w:rsidRDefault="00A44B5A" w:rsidP="00311607">
      <w:pPr>
        <w:jc w:val="both"/>
        <w:rPr>
          <w:rFonts w:ascii="Arial" w:hAnsi="Arial" w:cs="Arial"/>
          <w:sz w:val="20"/>
          <w:szCs w:val="20"/>
        </w:rPr>
      </w:pPr>
      <w:bookmarkStart w:id="2" w:name="_Hlk207662542"/>
      <w:r w:rsidRPr="00411605">
        <w:rPr>
          <w:rFonts w:ascii="Arial" w:hAnsi="Arial" w:cs="Arial"/>
          <w:sz w:val="20"/>
          <w:szCs w:val="20"/>
        </w:rPr>
        <w:t xml:space="preserve">LED lights have </w:t>
      </w:r>
      <w:r w:rsidR="00091AA9" w:rsidRPr="00411605">
        <w:rPr>
          <w:rFonts w:ascii="Arial" w:hAnsi="Arial" w:cs="Arial"/>
          <w:sz w:val="20"/>
          <w:szCs w:val="20"/>
        </w:rPr>
        <w:t xml:space="preserve">grossly replaced the traditional lighting system </w:t>
      </w:r>
      <w:r w:rsidR="00822440" w:rsidRPr="00411605">
        <w:rPr>
          <w:rFonts w:ascii="Arial" w:hAnsi="Arial" w:cs="Arial"/>
          <w:sz w:val="20"/>
          <w:szCs w:val="20"/>
        </w:rPr>
        <w:t>and</w:t>
      </w:r>
      <w:r w:rsidR="00091AA9" w:rsidRPr="00411605">
        <w:rPr>
          <w:rFonts w:ascii="Arial" w:hAnsi="Arial" w:cs="Arial"/>
          <w:sz w:val="20"/>
          <w:szCs w:val="20"/>
        </w:rPr>
        <w:t xml:space="preserve"> has become the very integral part of daily living. </w:t>
      </w:r>
      <w:r w:rsidR="00822440" w:rsidRPr="00411605">
        <w:rPr>
          <w:rFonts w:ascii="Arial" w:hAnsi="Arial" w:cs="Arial"/>
          <w:sz w:val="20"/>
          <w:szCs w:val="20"/>
        </w:rPr>
        <w:t xml:space="preserve">The impact of the </w:t>
      </w:r>
      <w:r w:rsidR="00BF3594" w:rsidRPr="00411605">
        <w:rPr>
          <w:rFonts w:ascii="Arial" w:hAnsi="Arial" w:cs="Arial"/>
          <w:sz w:val="20"/>
          <w:szCs w:val="20"/>
        </w:rPr>
        <w:t>LEDs</w:t>
      </w:r>
      <w:r w:rsidR="00822440" w:rsidRPr="00411605">
        <w:rPr>
          <w:rFonts w:ascii="Arial" w:hAnsi="Arial" w:cs="Arial"/>
          <w:sz w:val="20"/>
          <w:szCs w:val="20"/>
        </w:rPr>
        <w:t xml:space="preserve"> and their </w:t>
      </w:r>
      <w:r w:rsidR="00BF3594" w:rsidRPr="00411605">
        <w:rPr>
          <w:rFonts w:ascii="Arial" w:hAnsi="Arial" w:cs="Arial"/>
          <w:sz w:val="20"/>
          <w:szCs w:val="20"/>
        </w:rPr>
        <w:t xml:space="preserve">effects have not been widely studied. </w:t>
      </w:r>
      <w:r w:rsidR="00822440" w:rsidRPr="00411605">
        <w:rPr>
          <w:rFonts w:ascii="Arial" w:hAnsi="Arial" w:cs="Arial"/>
          <w:sz w:val="20"/>
          <w:szCs w:val="20"/>
        </w:rPr>
        <w:t xml:space="preserve">Electronic items like mobile phones to large display screens have revolutionized usage of LEDs in our day today life. As it </w:t>
      </w:r>
      <w:r w:rsidR="007A7F8D" w:rsidRPr="00411605">
        <w:rPr>
          <w:rFonts w:ascii="Arial" w:hAnsi="Arial" w:cs="Arial"/>
          <w:sz w:val="20"/>
          <w:szCs w:val="20"/>
        </w:rPr>
        <w:t>cuts down</w:t>
      </w:r>
      <w:r w:rsidR="00822440" w:rsidRPr="00411605">
        <w:rPr>
          <w:rFonts w:ascii="Arial" w:hAnsi="Arial" w:cs="Arial"/>
          <w:sz w:val="20"/>
          <w:szCs w:val="20"/>
        </w:rPr>
        <w:t xml:space="preserve"> the </w:t>
      </w:r>
      <w:r w:rsidR="00BF3594" w:rsidRPr="00411605">
        <w:rPr>
          <w:rFonts w:ascii="Arial" w:hAnsi="Arial" w:cs="Arial"/>
          <w:sz w:val="20"/>
          <w:szCs w:val="20"/>
        </w:rPr>
        <w:t xml:space="preserve">power usage and electricity costs, and </w:t>
      </w:r>
      <w:r w:rsidR="00822440" w:rsidRPr="00411605">
        <w:rPr>
          <w:rFonts w:ascii="Arial" w:hAnsi="Arial" w:cs="Arial"/>
          <w:sz w:val="20"/>
          <w:szCs w:val="20"/>
        </w:rPr>
        <w:t>extended life, the usage has become very wide throughout the sphere</w:t>
      </w:r>
      <w:r w:rsidR="00BF3594" w:rsidRPr="00411605">
        <w:rPr>
          <w:rFonts w:ascii="Arial" w:hAnsi="Arial" w:cs="Arial"/>
          <w:sz w:val="20"/>
          <w:szCs w:val="20"/>
        </w:rPr>
        <w:t xml:space="preserve">. </w:t>
      </w:r>
      <w:r w:rsidR="00822440" w:rsidRPr="00411605">
        <w:rPr>
          <w:rFonts w:ascii="Arial" w:hAnsi="Arial" w:cs="Arial"/>
          <w:sz w:val="20"/>
          <w:szCs w:val="20"/>
        </w:rPr>
        <w:t xml:space="preserve">Since LEDs </w:t>
      </w:r>
      <w:r w:rsidR="007A7F8D" w:rsidRPr="00411605">
        <w:rPr>
          <w:rFonts w:ascii="Arial" w:hAnsi="Arial" w:cs="Arial"/>
          <w:sz w:val="20"/>
          <w:szCs w:val="20"/>
        </w:rPr>
        <w:t xml:space="preserve">it </w:t>
      </w:r>
      <w:r w:rsidR="00822440" w:rsidRPr="00411605">
        <w:rPr>
          <w:rFonts w:ascii="Arial" w:hAnsi="Arial" w:cs="Arial"/>
          <w:sz w:val="20"/>
          <w:szCs w:val="20"/>
        </w:rPr>
        <w:t>has a</w:t>
      </w:r>
      <w:r w:rsidR="00BF3594" w:rsidRPr="00411605">
        <w:rPr>
          <w:rFonts w:ascii="Arial" w:hAnsi="Arial" w:cs="Arial"/>
          <w:sz w:val="20"/>
          <w:szCs w:val="20"/>
        </w:rPr>
        <w:t xml:space="preserve"> speciﬁc</w:t>
      </w:r>
      <w:r w:rsidR="007A7F8D" w:rsidRPr="00411605">
        <w:rPr>
          <w:rFonts w:ascii="Arial" w:hAnsi="Arial" w:cs="Arial"/>
          <w:sz w:val="20"/>
          <w:szCs w:val="20"/>
        </w:rPr>
        <w:t xml:space="preserve"> output</w:t>
      </w:r>
      <w:r w:rsidR="00BF3594" w:rsidRPr="00411605">
        <w:rPr>
          <w:rFonts w:ascii="Arial" w:hAnsi="Arial" w:cs="Arial"/>
          <w:sz w:val="20"/>
          <w:szCs w:val="20"/>
        </w:rPr>
        <w:t xml:space="preserve">, narrow-band wavelengths, </w:t>
      </w:r>
      <w:r w:rsidR="00822440" w:rsidRPr="00411605">
        <w:rPr>
          <w:rFonts w:ascii="Arial" w:hAnsi="Arial" w:cs="Arial"/>
          <w:sz w:val="20"/>
          <w:szCs w:val="20"/>
        </w:rPr>
        <w:t xml:space="preserve">it can be used </w:t>
      </w:r>
      <w:r w:rsidR="007A7F8D" w:rsidRPr="00411605">
        <w:rPr>
          <w:rFonts w:ascii="Arial" w:hAnsi="Arial" w:cs="Arial"/>
          <w:sz w:val="20"/>
          <w:szCs w:val="20"/>
        </w:rPr>
        <w:t>to test or analyse the</w:t>
      </w:r>
      <w:r w:rsidR="00BF3594" w:rsidRPr="00411605">
        <w:rPr>
          <w:rFonts w:ascii="Arial" w:hAnsi="Arial" w:cs="Arial"/>
          <w:sz w:val="20"/>
          <w:szCs w:val="20"/>
        </w:rPr>
        <w:t xml:space="preserve"> physiological reactions to </w:t>
      </w:r>
      <w:r w:rsidR="007A7F8D" w:rsidRPr="00411605">
        <w:rPr>
          <w:rFonts w:ascii="Arial" w:hAnsi="Arial" w:cs="Arial"/>
          <w:sz w:val="20"/>
          <w:szCs w:val="20"/>
        </w:rPr>
        <w:t>varying</w:t>
      </w:r>
      <w:r w:rsidR="00BF3594" w:rsidRPr="00411605">
        <w:rPr>
          <w:rFonts w:ascii="Arial" w:hAnsi="Arial" w:cs="Arial"/>
          <w:sz w:val="20"/>
          <w:szCs w:val="20"/>
        </w:rPr>
        <w:t xml:space="preserve"> wavelengths through </w:t>
      </w:r>
      <w:r w:rsidR="007A7F8D" w:rsidRPr="00411605">
        <w:rPr>
          <w:rFonts w:ascii="Arial" w:hAnsi="Arial" w:cs="Arial"/>
          <w:sz w:val="20"/>
          <w:szCs w:val="20"/>
        </w:rPr>
        <w:t xml:space="preserve">the </w:t>
      </w:r>
      <w:r w:rsidR="00BF3594" w:rsidRPr="00411605">
        <w:rPr>
          <w:rFonts w:ascii="Arial" w:hAnsi="Arial" w:cs="Arial"/>
          <w:sz w:val="20"/>
          <w:szCs w:val="20"/>
        </w:rPr>
        <w:t xml:space="preserve">light treatments. Studies </w:t>
      </w:r>
      <w:r w:rsidR="00822440" w:rsidRPr="00411605">
        <w:rPr>
          <w:rFonts w:ascii="Arial" w:hAnsi="Arial" w:cs="Arial"/>
          <w:sz w:val="20"/>
          <w:szCs w:val="20"/>
        </w:rPr>
        <w:t>have concluded that the effect</w:t>
      </w:r>
      <w:r w:rsidR="00BF3594" w:rsidRPr="00411605">
        <w:rPr>
          <w:rFonts w:ascii="Arial" w:hAnsi="Arial" w:cs="Arial"/>
          <w:sz w:val="20"/>
          <w:szCs w:val="20"/>
        </w:rPr>
        <w:t xml:space="preserve"> of LED</w:t>
      </w:r>
      <w:r w:rsidR="007A7F8D" w:rsidRPr="00411605">
        <w:rPr>
          <w:rFonts w:ascii="Arial" w:hAnsi="Arial" w:cs="Arial"/>
          <w:sz w:val="20"/>
          <w:szCs w:val="20"/>
        </w:rPr>
        <w:t xml:space="preserve">s </w:t>
      </w:r>
      <w:r w:rsidR="00BF3594" w:rsidRPr="00411605">
        <w:rPr>
          <w:rFonts w:ascii="Arial" w:hAnsi="Arial" w:cs="Arial"/>
          <w:sz w:val="20"/>
          <w:szCs w:val="20"/>
        </w:rPr>
        <w:t xml:space="preserve">on aquatic animals </w:t>
      </w:r>
      <w:r w:rsidR="00822440" w:rsidRPr="00411605">
        <w:rPr>
          <w:rFonts w:ascii="Arial" w:hAnsi="Arial" w:cs="Arial"/>
          <w:sz w:val="20"/>
          <w:szCs w:val="20"/>
        </w:rPr>
        <w:t>has</w:t>
      </w:r>
      <w:r w:rsidR="00BF3594" w:rsidRPr="00411605">
        <w:rPr>
          <w:rFonts w:ascii="Arial" w:hAnsi="Arial" w:cs="Arial"/>
          <w:sz w:val="20"/>
          <w:szCs w:val="20"/>
        </w:rPr>
        <w:t xml:space="preserve"> both positive </w:t>
      </w:r>
      <w:r w:rsidR="007A7F8D" w:rsidRPr="00411605">
        <w:rPr>
          <w:rFonts w:ascii="Arial" w:hAnsi="Arial" w:cs="Arial"/>
          <w:sz w:val="20"/>
          <w:szCs w:val="20"/>
        </w:rPr>
        <w:t xml:space="preserve">as well as </w:t>
      </w:r>
      <w:r w:rsidR="00BF3594" w:rsidRPr="00411605">
        <w:rPr>
          <w:rFonts w:ascii="Arial" w:hAnsi="Arial" w:cs="Arial"/>
          <w:sz w:val="20"/>
          <w:szCs w:val="20"/>
        </w:rPr>
        <w:t>negative outcomes</w:t>
      </w:r>
      <w:r w:rsidR="007A7F8D" w:rsidRPr="00411605">
        <w:rPr>
          <w:rFonts w:ascii="Arial" w:hAnsi="Arial" w:cs="Arial"/>
          <w:sz w:val="20"/>
          <w:szCs w:val="20"/>
        </w:rPr>
        <w:t>,</w:t>
      </w:r>
      <w:r w:rsidR="00BF3594" w:rsidRPr="00411605">
        <w:rPr>
          <w:rFonts w:ascii="Arial" w:hAnsi="Arial" w:cs="Arial"/>
          <w:sz w:val="20"/>
          <w:szCs w:val="20"/>
        </w:rPr>
        <w:t xml:space="preserve"> for example </w:t>
      </w:r>
      <w:r w:rsidR="007A7F8D" w:rsidRPr="00411605">
        <w:rPr>
          <w:rFonts w:ascii="Arial" w:hAnsi="Arial" w:cs="Arial"/>
          <w:sz w:val="20"/>
          <w:szCs w:val="20"/>
        </w:rPr>
        <w:t xml:space="preserve">the </w:t>
      </w:r>
      <w:r w:rsidR="00BF3594" w:rsidRPr="00411605">
        <w:rPr>
          <w:rFonts w:ascii="Arial" w:hAnsi="Arial" w:cs="Arial"/>
          <w:sz w:val="20"/>
          <w:szCs w:val="20"/>
        </w:rPr>
        <w:t xml:space="preserve">green (530 nm) light regulates the </w:t>
      </w:r>
      <w:r w:rsidR="00822440" w:rsidRPr="00411605">
        <w:rPr>
          <w:rFonts w:ascii="Arial" w:hAnsi="Arial" w:cs="Arial"/>
          <w:sz w:val="20"/>
          <w:szCs w:val="20"/>
        </w:rPr>
        <w:t>hypothalamic</w:t>
      </w:r>
      <w:r w:rsidR="00BF3594" w:rsidRPr="00411605">
        <w:rPr>
          <w:rFonts w:ascii="Arial" w:hAnsi="Arial" w:cs="Arial"/>
          <w:sz w:val="20"/>
          <w:szCs w:val="20"/>
        </w:rPr>
        <w:t>–pituitary–gonadal axis</w:t>
      </w:r>
      <w:r w:rsidR="007A7F8D" w:rsidRPr="00411605">
        <w:rPr>
          <w:rFonts w:ascii="Arial" w:hAnsi="Arial" w:cs="Arial"/>
          <w:sz w:val="20"/>
          <w:szCs w:val="20"/>
        </w:rPr>
        <w:t xml:space="preserve"> and also</w:t>
      </w:r>
      <w:r w:rsidR="00BF3594" w:rsidRPr="00411605">
        <w:rPr>
          <w:rFonts w:ascii="Arial" w:hAnsi="Arial" w:cs="Arial"/>
          <w:sz w:val="20"/>
          <w:szCs w:val="20"/>
        </w:rPr>
        <w:t xml:space="preserve"> enhanc</w:t>
      </w:r>
      <w:r w:rsidR="00822440" w:rsidRPr="00411605">
        <w:rPr>
          <w:rFonts w:ascii="Arial" w:hAnsi="Arial" w:cs="Arial"/>
          <w:sz w:val="20"/>
          <w:szCs w:val="20"/>
        </w:rPr>
        <w:t>es</w:t>
      </w:r>
      <w:r w:rsidR="00BF3594" w:rsidRPr="00411605">
        <w:rPr>
          <w:rFonts w:ascii="Arial" w:hAnsi="Arial" w:cs="Arial"/>
          <w:sz w:val="20"/>
          <w:szCs w:val="20"/>
        </w:rPr>
        <w:t xml:space="preserve"> sexual matur</w:t>
      </w:r>
      <w:r w:rsidR="00822440" w:rsidRPr="00411605">
        <w:rPr>
          <w:rFonts w:ascii="Arial" w:hAnsi="Arial" w:cs="Arial"/>
          <w:sz w:val="20"/>
          <w:szCs w:val="20"/>
        </w:rPr>
        <w:t>ity</w:t>
      </w:r>
      <w:r w:rsidR="00BF3594" w:rsidRPr="00411605">
        <w:rPr>
          <w:rFonts w:ascii="Arial" w:hAnsi="Arial" w:cs="Arial"/>
          <w:sz w:val="20"/>
          <w:szCs w:val="20"/>
        </w:rPr>
        <w:t xml:space="preserve"> in goldﬁsh [H.S. Shin, 2014]</w:t>
      </w:r>
      <w:r w:rsidR="00822440" w:rsidRPr="00411605">
        <w:rPr>
          <w:rFonts w:ascii="Arial" w:hAnsi="Arial" w:cs="Arial"/>
          <w:sz w:val="20"/>
          <w:szCs w:val="20"/>
        </w:rPr>
        <w:t>. While the</w:t>
      </w:r>
      <w:r w:rsidR="00BF3594" w:rsidRPr="00411605">
        <w:rPr>
          <w:rFonts w:ascii="Arial" w:hAnsi="Arial" w:cs="Arial"/>
          <w:sz w:val="20"/>
          <w:szCs w:val="20"/>
        </w:rPr>
        <w:t xml:space="preserve"> infrared light</w:t>
      </w:r>
      <w:r w:rsidR="007A7F8D" w:rsidRPr="00411605">
        <w:rPr>
          <w:rFonts w:ascii="Arial" w:hAnsi="Arial" w:cs="Arial"/>
          <w:sz w:val="20"/>
          <w:szCs w:val="20"/>
        </w:rPr>
        <w:t xml:space="preserve"> (</w:t>
      </w:r>
      <w:r w:rsidR="00BF3594" w:rsidRPr="00411605">
        <w:rPr>
          <w:rFonts w:ascii="Arial" w:hAnsi="Arial" w:cs="Arial"/>
          <w:sz w:val="20"/>
          <w:szCs w:val="20"/>
        </w:rPr>
        <w:t>840 nm) does not inﬂuence the circadian rhythm of</w:t>
      </w:r>
      <w:r w:rsidR="007A7F8D" w:rsidRPr="00411605">
        <w:rPr>
          <w:rFonts w:ascii="Arial" w:hAnsi="Arial" w:cs="Arial"/>
          <w:sz w:val="20"/>
          <w:szCs w:val="20"/>
        </w:rPr>
        <w:t xml:space="preserve"> the</w:t>
      </w:r>
      <w:r w:rsidR="00BF3594" w:rsidRPr="00411605">
        <w:rPr>
          <w:rFonts w:ascii="Arial" w:hAnsi="Arial" w:cs="Arial"/>
          <w:sz w:val="20"/>
          <w:szCs w:val="20"/>
        </w:rPr>
        <w:t xml:space="preserve"> zebraﬁsh [M.P. Dekens, 2017]</w:t>
      </w:r>
      <w:r w:rsidR="00822440" w:rsidRPr="00411605">
        <w:rPr>
          <w:rFonts w:ascii="Arial" w:hAnsi="Arial" w:cs="Arial"/>
          <w:sz w:val="20"/>
          <w:szCs w:val="20"/>
        </w:rPr>
        <w:t>. It is found that the</w:t>
      </w:r>
      <w:r w:rsidR="00BF3594" w:rsidRPr="00411605">
        <w:rPr>
          <w:rFonts w:ascii="Arial" w:hAnsi="Arial" w:cs="Arial"/>
          <w:sz w:val="20"/>
          <w:szCs w:val="20"/>
        </w:rPr>
        <w:t xml:space="preserve"> red light (630 nm) induces</w:t>
      </w:r>
      <w:r w:rsidR="007A7F8D" w:rsidRPr="00411605">
        <w:rPr>
          <w:rFonts w:ascii="Arial" w:hAnsi="Arial" w:cs="Arial"/>
          <w:sz w:val="20"/>
          <w:szCs w:val="20"/>
        </w:rPr>
        <w:t xml:space="preserve"> the</w:t>
      </w:r>
      <w:r w:rsidR="00BF3594" w:rsidRPr="00411605">
        <w:rPr>
          <w:rFonts w:ascii="Arial" w:hAnsi="Arial" w:cs="Arial"/>
          <w:sz w:val="20"/>
          <w:szCs w:val="20"/>
        </w:rPr>
        <w:t xml:space="preserve"> oxidative stress </w:t>
      </w:r>
      <w:r w:rsidR="007A7F8D" w:rsidRPr="00411605">
        <w:rPr>
          <w:rFonts w:ascii="Arial" w:hAnsi="Arial" w:cs="Arial"/>
          <w:sz w:val="20"/>
          <w:szCs w:val="20"/>
        </w:rPr>
        <w:t>in</w:t>
      </w:r>
      <w:r w:rsidR="00BF3594" w:rsidRPr="00411605">
        <w:rPr>
          <w:rFonts w:ascii="Arial" w:hAnsi="Arial" w:cs="Arial"/>
          <w:sz w:val="20"/>
          <w:szCs w:val="20"/>
        </w:rPr>
        <w:t xml:space="preserve"> yellow clownﬁsh [H.S. Shin, 2011]</w:t>
      </w:r>
      <w:r w:rsidR="00822440" w:rsidRPr="00411605">
        <w:rPr>
          <w:rFonts w:ascii="Arial" w:hAnsi="Arial" w:cs="Arial"/>
          <w:sz w:val="20"/>
          <w:szCs w:val="20"/>
        </w:rPr>
        <w:t xml:space="preserve"> and </w:t>
      </w:r>
      <w:r w:rsidR="00BF3594" w:rsidRPr="00411605">
        <w:rPr>
          <w:rFonts w:ascii="Arial" w:hAnsi="Arial" w:cs="Arial"/>
          <w:sz w:val="20"/>
          <w:szCs w:val="20"/>
        </w:rPr>
        <w:t>blue light (455 nm)</w:t>
      </w:r>
      <w:r w:rsidR="00CF0F03" w:rsidRPr="00411605">
        <w:rPr>
          <w:rFonts w:ascii="Arial" w:hAnsi="Arial" w:cs="Arial"/>
          <w:sz w:val="20"/>
          <w:szCs w:val="20"/>
        </w:rPr>
        <w:t xml:space="preserve"> exposure on the tropical damselfish</w:t>
      </w:r>
      <w:r w:rsidR="00BF3594" w:rsidRPr="00411605">
        <w:rPr>
          <w:rFonts w:ascii="Arial" w:hAnsi="Arial" w:cs="Arial"/>
          <w:sz w:val="20"/>
          <w:szCs w:val="20"/>
        </w:rPr>
        <w:t xml:space="preserve"> signiﬁcantly </w:t>
      </w:r>
      <w:r w:rsidR="00CF0F03" w:rsidRPr="00411605">
        <w:rPr>
          <w:rFonts w:ascii="Arial" w:hAnsi="Arial" w:cs="Arial"/>
          <w:sz w:val="20"/>
          <w:szCs w:val="20"/>
        </w:rPr>
        <w:t>brings down the</w:t>
      </w:r>
      <w:r w:rsidR="00BF3594" w:rsidRPr="00411605">
        <w:rPr>
          <w:rFonts w:ascii="Arial" w:hAnsi="Arial" w:cs="Arial"/>
          <w:sz w:val="20"/>
          <w:szCs w:val="20"/>
        </w:rPr>
        <w:t xml:space="preserve"> ocular melatonin within 30 min of exposure [Y. Takeuchi, 2014]; and </w:t>
      </w:r>
      <w:r w:rsidR="00CF0F03" w:rsidRPr="00411605">
        <w:rPr>
          <w:rFonts w:ascii="Arial" w:hAnsi="Arial" w:cs="Arial"/>
          <w:sz w:val="20"/>
          <w:szCs w:val="20"/>
        </w:rPr>
        <w:t>it also</w:t>
      </w:r>
      <w:r w:rsidR="00BF3594" w:rsidRPr="00411605">
        <w:rPr>
          <w:rFonts w:ascii="Arial" w:hAnsi="Arial" w:cs="Arial"/>
          <w:sz w:val="20"/>
          <w:szCs w:val="20"/>
        </w:rPr>
        <w:t xml:space="preserve"> reduces stress in Nile tilapia [C.M. Maia, 2013].  </w:t>
      </w:r>
      <w:r w:rsidR="00CF0F03" w:rsidRPr="00411605">
        <w:rPr>
          <w:rFonts w:ascii="Arial" w:hAnsi="Arial" w:cs="Arial"/>
          <w:sz w:val="20"/>
          <w:szCs w:val="20"/>
        </w:rPr>
        <w:t xml:space="preserve">How ever long-term effects of the LEDs on the model animals have not been closely examined. </w:t>
      </w:r>
    </w:p>
    <w:p w14:paraId="0B1020C3" w14:textId="192F039D" w:rsidR="00CF0F03" w:rsidRPr="00411605" w:rsidRDefault="00A5600A" w:rsidP="00311607">
      <w:pPr>
        <w:jc w:val="both"/>
        <w:rPr>
          <w:rFonts w:ascii="Arial" w:hAnsi="Arial" w:cs="Arial"/>
          <w:sz w:val="20"/>
          <w:szCs w:val="20"/>
        </w:rPr>
      </w:pPr>
      <w:r w:rsidRPr="00411605">
        <w:rPr>
          <w:rFonts w:ascii="Arial" w:hAnsi="Arial" w:cs="Arial"/>
          <w:sz w:val="20"/>
          <w:szCs w:val="20"/>
        </w:rPr>
        <w:t xml:space="preserve">The zebraﬁsh provides is widely used as an animal model because its small size, and the ability to produce large number of transparent eggs (C.B. Kimmel </w:t>
      </w:r>
      <w:r w:rsidRPr="00411605">
        <w:rPr>
          <w:rFonts w:ascii="Arial" w:hAnsi="Arial" w:cs="Arial"/>
          <w:i/>
          <w:iCs/>
          <w:sz w:val="20"/>
          <w:szCs w:val="20"/>
        </w:rPr>
        <w:t>et.al</w:t>
      </w:r>
      <w:r w:rsidRPr="00411605">
        <w:rPr>
          <w:rFonts w:ascii="Arial" w:hAnsi="Arial" w:cs="Arial"/>
          <w:sz w:val="20"/>
          <w:szCs w:val="20"/>
        </w:rPr>
        <w:t xml:space="preserve">., 1995). Zebrafish is also widely used due to its whole genome being sequenced. The usage of Zebrafish is applied in many research fields such as </w:t>
      </w:r>
      <w:r w:rsidR="007A7F8D" w:rsidRPr="00411605">
        <w:rPr>
          <w:rFonts w:ascii="Arial" w:hAnsi="Arial" w:cs="Arial"/>
          <w:sz w:val="20"/>
          <w:szCs w:val="20"/>
        </w:rPr>
        <w:t xml:space="preserve">developmental biology, </w:t>
      </w:r>
      <w:r w:rsidRPr="00411605">
        <w:rPr>
          <w:rFonts w:ascii="Arial" w:hAnsi="Arial" w:cs="Arial"/>
          <w:sz w:val="20"/>
          <w:szCs w:val="20"/>
        </w:rPr>
        <w:t>biomedical research ﬁelds, toxicology, and drug development</w:t>
      </w:r>
      <w:r w:rsidR="00BD2001" w:rsidRPr="00411605">
        <w:rPr>
          <w:rFonts w:ascii="Arial" w:hAnsi="Arial" w:cs="Arial"/>
          <w:sz w:val="20"/>
          <w:szCs w:val="20"/>
        </w:rPr>
        <w:t xml:space="preserve"> as well as in</w:t>
      </w:r>
      <w:r w:rsidRPr="00411605">
        <w:rPr>
          <w:rFonts w:ascii="Arial" w:hAnsi="Arial" w:cs="Arial"/>
          <w:sz w:val="20"/>
          <w:szCs w:val="20"/>
        </w:rPr>
        <w:t xml:space="preserve"> behavioural studies. In </w:t>
      </w:r>
      <w:r w:rsidR="00E9188C" w:rsidRPr="00411605">
        <w:rPr>
          <w:rFonts w:ascii="Arial" w:hAnsi="Arial" w:cs="Arial"/>
          <w:sz w:val="20"/>
          <w:szCs w:val="20"/>
        </w:rPr>
        <w:t xml:space="preserve">the very </w:t>
      </w:r>
      <w:r w:rsidRPr="00411605">
        <w:rPr>
          <w:rFonts w:ascii="Arial" w:hAnsi="Arial" w:cs="Arial"/>
          <w:sz w:val="20"/>
          <w:szCs w:val="20"/>
        </w:rPr>
        <w:t xml:space="preserve">recent years, zebraﬁsh has become the third most </w:t>
      </w:r>
      <w:r w:rsidR="00E9188C" w:rsidRPr="00411605">
        <w:rPr>
          <w:rFonts w:ascii="Arial" w:hAnsi="Arial" w:cs="Arial"/>
          <w:sz w:val="20"/>
          <w:szCs w:val="20"/>
        </w:rPr>
        <w:t xml:space="preserve">sort </w:t>
      </w:r>
      <w:r w:rsidRPr="00411605">
        <w:rPr>
          <w:rFonts w:ascii="Arial" w:hAnsi="Arial" w:cs="Arial"/>
          <w:sz w:val="20"/>
          <w:szCs w:val="20"/>
        </w:rPr>
        <w:t xml:space="preserve">genetically well characterized animal </w:t>
      </w:r>
      <w:r w:rsidR="00E9188C" w:rsidRPr="00411605">
        <w:rPr>
          <w:rFonts w:ascii="Arial" w:hAnsi="Arial" w:cs="Arial"/>
          <w:sz w:val="20"/>
          <w:szCs w:val="20"/>
        </w:rPr>
        <w:t>species</w:t>
      </w:r>
      <w:r w:rsidRPr="00411605">
        <w:rPr>
          <w:rFonts w:ascii="Arial" w:hAnsi="Arial" w:cs="Arial"/>
          <w:sz w:val="20"/>
          <w:szCs w:val="20"/>
        </w:rPr>
        <w:t>, after the mouse and the fruit ﬂy [</w:t>
      </w:r>
      <w:r w:rsidR="00BD2001" w:rsidRPr="00411605">
        <w:rPr>
          <w:rFonts w:ascii="Arial" w:hAnsi="Arial" w:cs="Arial"/>
          <w:sz w:val="20"/>
          <w:szCs w:val="20"/>
        </w:rPr>
        <w:t>V. Grunwald, 2002</w:t>
      </w:r>
      <w:r w:rsidRPr="00411605">
        <w:rPr>
          <w:rFonts w:ascii="Arial" w:hAnsi="Arial" w:cs="Arial"/>
          <w:sz w:val="20"/>
          <w:szCs w:val="20"/>
        </w:rPr>
        <w:t xml:space="preserve">]. </w:t>
      </w:r>
    </w:p>
    <w:p w14:paraId="23587AE7" w14:textId="3A24DD4D" w:rsidR="00BD2001" w:rsidRDefault="00BD2001" w:rsidP="00311607">
      <w:pPr>
        <w:jc w:val="both"/>
        <w:rPr>
          <w:rFonts w:ascii="Arial" w:hAnsi="Arial" w:cs="Arial"/>
          <w:sz w:val="20"/>
          <w:szCs w:val="20"/>
        </w:rPr>
      </w:pPr>
      <w:r w:rsidRPr="00411605">
        <w:rPr>
          <w:rFonts w:ascii="Arial" w:hAnsi="Arial" w:cs="Arial"/>
          <w:sz w:val="20"/>
          <w:szCs w:val="20"/>
        </w:rPr>
        <w:lastRenderedPageBreak/>
        <w:t xml:space="preserve">Apoptosis in zebrafish embryos is commonly performed by staining </w:t>
      </w:r>
      <w:r w:rsidR="00E9188C" w:rsidRPr="00411605">
        <w:rPr>
          <w:rFonts w:ascii="Arial" w:hAnsi="Arial" w:cs="Arial"/>
          <w:sz w:val="20"/>
          <w:szCs w:val="20"/>
        </w:rPr>
        <w:t xml:space="preserve">the organism </w:t>
      </w:r>
      <w:r w:rsidRPr="00411605">
        <w:rPr>
          <w:rFonts w:ascii="Arial" w:hAnsi="Arial" w:cs="Arial"/>
          <w:sz w:val="20"/>
          <w:szCs w:val="20"/>
        </w:rPr>
        <w:t>with the vital dye acridine orange (Abrams JM, 1993) that permeates</w:t>
      </w:r>
      <w:r w:rsidR="00E9188C" w:rsidRPr="00411605">
        <w:rPr>
          <w:rFonts w:ascii="Arial" w:hAnsi="Arial" w:cs="Arial"/>
          <w:sz w:val="20"/>
          <w:szCs w:val="20"/>
        </w:rPr>
        <w:t xml:space="preserve"> into</w:t>
      </w:r>
      <w:r w:rsidRPr="00411605">
        <w:rPr>
          <w:rFonts w:ascii="Arial" w:hAnsi="Arial" w:cs="Arial"/>
          <w:sz w:val="20"/>
          <w:szCs w:val="20"/>
        </w:rPr>
        <w:t xml:space="preserve"> dying cells to bind chromatin, where the stained cells can be counted under a microscope. </w:t>
      </w:r>
      <w:r w:rsidR="00FA1BB5" w:rsidRPr="00411605">
        <w:rPr>
          <w:rFonts w:ascii="Arial" w:hAnsi="Arial" w:cs="Arial"/>
          <w:sz w:val="20"/>
          <w:szCs w:val="20"/>
        </w:rPr>
        <w:t xml:space="preserve">The fluorescence of the treated group of zebrafish embryos which has diffused apoptotic cells can be assessed by using by using </w:t>
      </w:r>
      <w:r w:rsidRPr="00411605">
        <w:rPr>
          <w:rFonts w:ascii="Arial" w:hAnsi="Arial" w:cs="Arial"/>
          <w:sz w:val="20"/>
          <w:szCs w:val="20"/>
        </w:rPr>
        <w:t>ImageJ</w:t>
      </w:r>
      <w:r w:rsidR="00FA1BB5" w:rsidRPr="00411605">
        <w:rPr>
          <w:rFonts w:ascii="Arial" w:hAnsi="Arial" w:cs="Arial"/>
          <w:sz w:val="20"/>
          <w:szCs w:val="20"/>
        </w:rPr>
        <w:t xml:space="preserve"> (Tucker, B., &amp; </w:t>
      </w:r>
      <w:proofErr w:type="spellStart"/>
      <w:r w:rsidR="00FA1BB5" w:rsidRPr="00411605">
        <w:rPr>
          <w:rFonts w:ascii="Arial" w:hAnsi="Arial" w:cs="Arial"/>
          <w:sz w:val="20"/>
          <w:szCs w:val="20"/>
        </w:rPr>
        <w:t>Lardelli</w:t>
      </w:r>
      <w:proofErr w:type="spellEnd"/>
      <w:r w:rsidR="00FA1BB5" w:rsidRPr="00411605">
        <w:rPr>
          <w:rFonts w:ascii="Arial" w:hAnsi="Arial" w:cs="Arial"/>
          <w:sz w:val="20"/>
          <w:szCs w:val="20"/>
        </w:rPr>
        <w:t>, M., 2007).</w:t>
      </w:r>
    </w:p>
    <w:p w14:paraId="5A5F573D" w14:textId="09F69CB2" w:rsidR="00FF54FB" w:rsidRPr="00411605" w:rsidRDefault="00FF54FB" w:rsidP="00311607">
      <w:pPr>
        <w:jc w:val="both"/>
        <w:rPr>
          <w:rFonts w:ascii="Arial" w:hAnsi="Arial" w:cs="Arial"/>
          <w:sz w:val="20"/>
          <w:szCs w:val="20"/>
        </w:rPr>
      </w:pPr>
      <w:r w:rsidRPr="00FF54FB">
        <w:rPr>
          <w:rFonts w:ascii="Arial" w:hAnsi="Arial" w:cs="Arial"/>
          <w:sz w:val="20"/>
          <w:szCs w:val="20"/>
        </w:rPr>
        <w:t xml:space="preserve">The systemic impact of LED exposure has also been documented, with very recent studies demonstrating a significant relationship between exposure to white LED light and the development of pericardial </w:t>
      </w:r>
      <w:proofErr w:type="spellStart"/>
      <w:r w:rsidRPr="00FF54FB">
        <w:rPr>
          <w:rFonts w:ascii="Arial" w:hAnsi="Arial" w:cs="Arial"/>
          <w:sz w:val="20"/>
          <w:szCs w:val="20"/>
        </w:rPr>
        <w:t>edema</w:t>
      </w:r>
      <w:proofErr w:type="spellEnd"/>
      <w:r w:rsidRPr="00FF54FB">
        <w:rPr>
          <w:rFonts w:ascii="Arial" w:hAnsi="Arial" w:cs="Arial"/>
          <w:sz w:val="20"/>
          <w:szCs w:val="20"/>
        </w:rPr>
        <w:t xml:space="preserve"> in zebrafish embryos (</w:t>
      </w:r>
      <w:proofErr w:type="spellStart"/>
      <w:r w:rsidRPr="00FF54FB">
        <w:rPr>
          <w:rFonts w:ascii="Arial" w:hAnsi="Arial" w:cs="Arial"/>
          <w:sz w:val="20"/>
          <w:szCs w:val="20"/>
        </w:rPr>
        <w:t>Stae</w:t>
      </w:r>
      <w:proofErr w:type="spellEnd"/>
      <w:r w:rsidRPr="00FF54FB">
        <w:rPr>
          <w:rFonts w:ascii="Arial" w:hAnsi="Arial" w:cs="Arial"/>
          <w:sz w:val="20"/>
          <w:szCs w:val="20"/>
        </w:rPr>
        <w:t xml:space="preserve"> &amp; Sisson, 2024), where the severity increased with exposure duration (</w:t>
      </w:r>
      <w:proofErr w:type="spellStart"/>
      <w:r w:rsidRPr="00FF54FB">
        <w:rPr>
          <w:rFonts w:ascii="Arial" w:hAnsi="Arial" w:cs="Arial"/>
          <w:sz w:val="20"/>
          <w:szCs w:val="20"/>
        </w:rPr>
        <w:t>Stae</w:t>
      </w:r>
      <w:proofErr w:type="spellEnd"/>
      <w:r w:rsidRPr="00FF54FB">
        <w:rPr>
          <w:rFonts w:ascii="Arial" w:hAnsi="Arial" w:cs="Arial"/>
          <w:sz w:val="20"/>
          <w:szCs w:val="20"/>
        </w:rPr>
        <w:t xml:space="preserve"> and Sisson, 2024) (</w:t>
      </w:r>
      <w:proofErr w:type="spellStart"/>
      <w:r w:rsidRPr="00FF54FB">
        <w:rPr>
          <w:rFonts w:ascii="Arial" w:hAnsi="Arial" w:cs="Arial"/>
          <w:sz w:val="20"/>
          <w:szCs w:val="20"/>
        </w:rPr>
        <w:t>Stae</w:t>
      </w:r>
      <w:proofErr w:type="spellEnd"/>
      <w:r w:rsidRPr="00FF54FB">
        <w:rPr>
          <w:rFonts w:ascii="Arial" w:hAnsi="Arial" w:cs="Arial"/>
          <w:sz w:val="20"/>
          <w:szCs w:val="20"/>
        </w:rPr>
        <w:t xml:space="preserve"> &amp; Sisson, 2024). Furthermore, another 2024 study showed that co-exposure to various </w:t>
      </w:r>
      <w:proofErr w:type="spellStart"/>
      <w:r w:rsidRPr="00FF54FB">
        <w:rPr>
          <w:rFonts w:ascii="Arial" w:hAnsi="Arial" w:cs="Arial"/>
          <w:sz w:val="20"/>
          <w:szCs w:val="20"/>
        </w:rPr>
        <w:t>colored</w:t>
      </w:r>
      <w:proofErr w:type="spellEnd"/>
      <w:r w:rsidRPr="00FF54FB">
        <w:rPr>
          <w:rFonts w:ascii="Arial" w:hAnsi="Arial" w:cs="Arial"/>
          <w:sz w:val="20"/>
          <w:szCs w:val="20"/>
        </w:rPr>
        <w:t xml:space="preserve"> LED lights and increasing temperature has combined effects on the early development of zebrafish larvae ("Co-exposure effect", 2024) (Pir et al., 2024) (Otsuka et al., 2024). This growing understanding of LED-induced damage is now being applied in therapeutic contexts, where phototoxicity models validate the safety of novel photosensitizers (Silva et al., 2023) ("BASHY Dyes", 2023) and explore phototoxicity avoidance as a treatment strategy. For instance, in an EYS-knockout zebrafish model of retinal dystrophy, exposure to white LED light caused drastic photoreceptor loss and retinal disruption (Otsuka et al., 2024), and related organoid models showed this cell death was especially pronounced under blue light exposure (Otsuka et al., 2024) (Otsuka et al., 2024) (Otsuka et al., 2024), suggesting that restricting high-energy short-wavelength light could be a viable therapeutic approach (Otsuka et al., 2024) (Otsuka et al., 2024) (Otsuka et al., 2024).</w:t>
      </w:r>
    </w:p>
    <w:p w14:paraId="72C385B2" w14:textId="77777777" w:rsidR="00FA1BB5" w:rsidRPr="00411605" w:rsidRDefault="00FA1BB5" w:rsidP="00311607">
      <w:pPr>
        <w:jc w:val="both"/>
        <w:rPr>
          <w:rFonts w:ascii="Arial" w:hAnsi="Arial" w:cs="Arial"/>
        </w:rPr>
      </w:pPr>
    </w:p>
    <w:p w14:paraId="0A640FF4" w14:textId="4C13C6A8" w:rsidR="00FA1BB5" w:rsidRPr="00411605" w:rsidRDefault="00B566BD" w:rsidP="00311607">
      <w:pPr>
        <w:jc w:val="both"/>
        <w:rPr>
          <w:rFonts w:ascii="Arial" w:hAnsi="Arial" w:cs="Arial"/>
          <w:b/>
          <w:bCs/>
          <w:sz w:val="22"/>
          <w:szCs w:val="22"/>
        </w:rPr>
      </w:pPr>
      <w:r w:rsidRPr="00411605">
        <w:rPr>
          <w:rFonts w:ascii="Arial" w:hAnsi="Arial" w:cs="Arial"/>
          <w:b/>
          <w:bCs/>
          <w:sz w:val="22"/>
          <w:szCs w:val="22"/>
        </w:rPr>
        <w:t>MATERIALS &amp; METHODS</w:t>
      </w:r>
    </w:p>
    <w:p w14:paraId="65327E72" w14:textId="25A51E92" w:rsidR="00256C4D" w:rsidRPr="00411605" w:rsidRDefault="00256C4D" w:rsidP="00256C4D">
      <w:pPr>
        <w:jc w:val="both"/>
        <w:rPr>
          <w:rFonts w:ascii="Arial" w:hAnsi="Arial" w:cs="Arial"/>
          <w:b/>
          <w:bCs/>
          <w:sz w:val="20"/>
          <w:szCs w:val="20"/>
        </w:rPr>
      </w:pPr>
      <w:r w:rsidRPr="00411605">
        <w:rPr>
          <w:rFonts w:ascii="Arial" w:hAnsi="Arial" w:cs="Arial"/>
          <w:b/>
          <w:bCs/>
          <w:sz w:val="20"/>
          <w:szCs w:val="20"/>
        </w:rPr>
        <w:t>Animals, Housing and Ethics</w:t>
      </w:r>
    </w:p>
    <w:p w14:paraId="5D29BF84" w14:textId="737B4F5B" w:rsidR="00256C4D" w:rsidRPr="00411605" w:rsidRDefault="00256C4D" w:rsidP="00256C4D">
      <w:pPr>
        <w:jc w:val="both"/>
        <w:rPr>
          <w:rFonts w:ascii="Arial" w:hAnsi="Arial" w:cs="Arial"/>
          <w:sz w:val="20"/>
          <w:szCs w:val="20"/>
        </w:rPr>
      </w:pPr>
      <w:r w:rsidRPr="00411605">
        <w:rPr>
          <w:rFonts w:ascii="Arial" w:hAnsi="Arial" w:cs="Arial"/>
          <w:sz w:val="20"/>
          <w:szCs w:val="20"/>
        </w:rPr>
        <w:t xml:space="preserve">The adult </w:t>
      </w:r>
      <w:r w:rsidR="00644069" w:rsidRPr="00411605">
        <w:rPr>
          <w:rFonts w:ascii="Arial" w:hAnsi="Arial" w:cs="Arial"/>
          <w:sz w:val="20"/>
          <w:szCs w:val="20"/>
        </w:rPr>
        <w:t xml:space="preserve">Zebrafish </w:t>
      </w:r>
      <w:r w:rsidR="00644069" w:rsidRPr="00411605">
        <w:rPr>
          <w:rFonts w:ascii="Arial" w:hAnsi="Arial" w:cs="Arial"/>
          <w:i/>
          <w:iCs/>
          <w:sz w:val="20"/>
          <w:szCs w:val="20"/>
        </w:rPr>
        <w:t>(Danio rerio)</w:t>
      </w:r>
      <w:r w:rsidRPr="00411605">
        <w:rPr>
          <w:rFonts w:ascii="Arial" w:hAnsi="Arial" w:cs="Arial"/>
          <w:sz w:val="20"/>
          <w:szCs w:val="20"/>
        </w:rPr>
        <w:t xml:space="preserve"> was obtained from a</w:t>
      </w:r>
      <w:r w:rsidR="00B0767F" w:rsidRPr="00411605">
        <w:rPr>
          <w:rFonts w:ascii="Arial" w:hAnsi="Arial" w:cs="Arial"/>
          <w:sz w:val="20"/>
          <w:szCs w:val="20"/>
        </w:rPr>
        <w:t xml:space="preserve"> local</w:t>
      </w:r>
      <w:r w:rsidRPr="00411605">
        <w:rPr>
          <w:rFonts w:ascii="Arial" w:hAnsi="Arial" w:cs="Arial"/>
          <w:sz w:val="20"/>
          <w:szCs w:val="20"/>
        </w:rPr>
        <w:t xml:space="preserve"> fish farm</w:t>
      </w:r>
      <w:r w:rsidR="00B0767F" w:rsidRPr="00411605">
        <w:rPr>
          <w:rFonts w:ascii="Arial" w:hAnsi="Arial" w:cs="Arial"/>
          <w:sz w:val="20"/>
          <w:szCs w:val="20"/>
        </w:rPr>
        <w:t xml:space="preserve"> and </w:t>
      </w:r>
      <w:r w:rsidRPr="00411605">
        <w:rPr>
          <w:rFonts w:ascii="Arial" w:hAnsi="Arial" w:cs="Arial"/>
          <w:sz w:val="20"/>
          <w:szCs w:val="20"/>
        </w:rPr>
        <w:t xml:space="preserve">the fishes were maintained </w:t>
      </w:r>
      <w:r w:rsidR="00644069" w:rsidRPr="00411605">
        <w:rPr>
          <w:rFonts w:ascii="Arial" w:hAnsi="Arial" w:cs="Arial"/>
          <w:sz w:val="20"/>
          <w:szCs w:val="20"/>
        </w:rPr>
        <w:t>as per the standards with</w:t>
      </w:r>
      <w:r w:rsidRPr="00411605">
        <w:rPr>
          <w:rFonts w:ascii="Arial" w:hAnsi="Arial" w:cs="Arial"/>
          <w:sz w:val="20"/>
          <w:szCs w:val="20"/>
        </w:rPr>
        <w:t xml:space="preserve">in a water system on a 14h light and 10h dark cycle </w:t>
      </w:r>
      <w:r w:rsidR="00E9188C" w:rsidRPr="00411605">
        <w:rPr>
          <w:rFonts w:ascii="Arial" w:hAnsi="Arial" w:cs="Arial"/>
          <w:sz w:val="20"/>
          <w:szCs w:val="20"/>
        </w:rPr>
        <w:t>(</w:t>
      </w:r>
      <w:r w:rsidR="00964EA8" w:rsidRPr="00411605">
        <w:rPr>
          <w:rFonts w:ascii="Arial" w:eastAsia="Times New Roman" w:hAnsi="Arial" w:cs="Arial"/>
          <w:kern w:val="0"/>
          <w:sz w:val="20"/>
          <w:szCs w:val="20"/>
          <w:lang w:eastAsia="en-IN" w:bidi="ta-IN"/>
          <w14:ligatures w14:val="none"/>
        </w:rPr>
        <w:t xml:space="preserve">H. </w:t>
      </w:r>
      <w:proofErr w:type="spellStart"/>
      <w:r w:rsidR="00964EA8" w:rsidRPr="00411605">
        <w:rPr>
          <w:rFonts w:ascii="Arial" w:eastAsia="Times New Roman" w:hAnsi="Arial" w:cs="Arial"/>
          <w:kern w:val="0"/>
          <w:sz w:val="20"/>
          <w:szCs w:val="20"/>
          <w:lang w:eastAsia="en-IN" w:bidi="ta-IN"/>
          <w14:ligatures w14:val="none"/>
        </w:rPr>
        <w:t>Daims</w:t>
      </w:r>
      <w:proofErr w:type="spellEnd"/>
      <w:r w:rsidR="00964EA8" w:rsidRPr="00411605">
        <w:rPr>
          <w:rFonts w:ascii="Arial" w:eastAsia="Times New Roman" w:hAnsi="Arial" w:cs="Arial"/>
          <w:kern w:val="0"/>
          <w:sz w:val="20"/>
          <w:szCs w:val="20"/>
          <w:lang w:eastAsia="en-IN" w:bidi="ta-IN"/>
          <w14:ligatures w14:val="none"/>
        </w:rPr>
        <w:t>, 2006</w:t>
      </w:r>
      <w:r w:rsidR="00E9188C" w:rsidRPr="00411605">
        <w:rPr>
          <w:rFonts w:ascii="Arial" w:hAnsi="Arial" w:cs="Arial"/>
          <w:sz w:val="20"/>
          <w:szCs w:val="20"/>
        </w:rPr>
        <w:t>)</w:t>
      </w:r>
      <w:r w:rsidRPr="00411605">
        <w:rPr>
          <w:rFonts w:ascii="Arial" w:hAnsi="Arial" w:cs="Arial"/>
          <w:sz w:val="20"/>
          <w:szCs w:val="20"/>
        </w:rPr>
        <w:t xml:space="preserve">. </w:t>
      </w:r>
      <w:r w:rsidR="00964EA8" w:rsidRPr="00411605">
        <w:rPr>
          <w:rFonts w:ascii="Arial" w:hAnsi="Arial" w:cs="Arial"/>
          <w:sz w:val="20"/>
          <w:szCs w:val="20"/>
        </w:rPr>
        <w:t>Breeding tanks were set and embryos were raised</w:t>
      </w:r>
      <w:r w:rsidRPr="00411605">
        <w:rPr>
          <w:rFonts w:ascii="Arial" w:hAnsi="Arial" w:cs="Arial"/>
          <w:sz w:val="20"/>
          <w:szCs w:val="20"/>
        </w:rPr>
        <w:t xml:space="preserve"> according to </w:t>
      </w:r>
      <w:r w:rsidR="00E9188C" w:rsidRPr="00411605">
        <w:rPr>
          <w:rFonts w:ascii="Arial" w:hAnsi="Arial" w:cs="Arial"/>
          <w:sz w:val="20"/>
          <w:szCs w:val="20"/>
        </w:rPr>
        <w:t>(</w:t>
      </w:r>
      <w:r w:rsidRPr="00411605">
        <w:rPr>
          <w:rFonts w:ascii="Arial" w:hAnsi="Arial" w:cs="Arial"/>
          <w:sz w:val="20"/>
          <w:szCs w:val="20"/>
        </w:rPr>
        <w:t>Kimmel et al</w:t>
      </w:r>
      <w:r w:rsidR="00E9188C" w:rsidRPr="00411605">
        <w:rPr>
          <w:rFonts w:ascii="Arial" w:hAnsi="Arial" w:cs="Arial"/>
          <w:sz w:val="20"/>
          <w:szCs w:val="20"/>
        </w:rPr>
        <w:t>., 1995)</w:t>
      </w:r>
      <w:r w:rsidRPr="00411605">
        <w:rPr>
          <w:rFonts w:ascii="Arial" w:hAnsi="Arial" w:cs="Arial"/>
          <w:sz w:val="20"/>
          <w:szCs w:val="20"/>
        </w:rPr>
        <w:t xml:space="preserve">. </w:t>
      </w:r>
      <w:r w:rsidR="00644069" w:rsidRPr="00411605">
        <w:rPr>
          <w:rFonts w:ascii="Arial" w:hAnsi="Arial" w:cs="Arial"/>
          <w:sz w:val="20"/>
          <w:szCs w:val="20"/>
        </w:rPr>
        <w:t>Zebrafish larvae at 5 days post fertilization (</w:t>
      </w:r>
      <w:proofErr w:type="spellStart"/>
      <w:r w:rsidR="00644069" w:rsidRPr="00411605">
        <w:rPr>
          <w:rFonts w:ascii="Arial" w:hAnsi="Arial" w:cs="Arial"/>
          <w:sz w:val="20"/>
          <w:szCs w:val="20"/>
        </w:rPr>
        <w:t>dpf</w:t>
      </w:r>
      <w:proofErr w:type="spellEnd"/>
      <w:r w:rsidR="00644069" w:rsidRPr="00411605">
        <w:rPr>
          <w:rFonts w:ascii="Arial" w:hAnsi="Arial" w:cs="Arial"/>
          <w:sz w:val="20"/>
          <w:szCs w:val="20"/>
        </w:rPr>
        <w:t>) were used for light exposure experiments. All experimental procedures on Zebrafish were approved by the Institutional Animal Care of Holy Cross College, Tiruchirappalli, Tamil Nadu, India (001/HCC/IAEC/RPP/2024) and carried out in accordance with the approved guidelines.</w:t>
      </w:r>
    </w:p>
    <w:p w14:paraId="316F9E8D" w14:textId="27CD9DAC" w:rsidR="00AF2C41" w:rsidRPr="00411605" w:rsidRDefault="008913FA" w:rsidP="00256C4D">
      <w:pPr>
        <w:jc w:val="both"/>
        <w:rPr>
          <w:rFonts w:ascii="Arial" w:hAnsi="Arial" w:cs="Arial"/>
        </w:rPr>
      </w:pPr>
      <w:r w:rsidRPr="00411605">
        <w:rPr>
          <w:rFonts w:ascii="Arial" w:hAnsi="Arial" w:cs="Arial"/>
          <w:noProof/>
        </w:rPr>
        <w:drawing>
          <wp:anchor distT="0" distB="0" distL="114300" distR="114300" simplePos="0" relativeHeight="251660288" behindDoc="0" locked="0" layoutInCell="1" allowOverlap="1" wp14:anchorId="58375394" wp14:editId="2B5200FA">
            <wp:simplePos x="0" y="0"/>
            <wp:positionH relativeFrom="margin">
              <wp:posOffset>1783080</wp:posOffset>
            </wp:positionH>
            <wp:positionV relativeFrom="paragraph">
              <wp:posOffset>92710</wp:posOffset>
            </wp:positionV>
            <wp:extent cx="2353310" cy="2019300"/>
            <wp:effectExtent l="0" t="0" r="8890" b="0"/>
            <wp:wrapNone/>
            <wp:docPr id="88692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4193"/>
                    <a:stretch>
                      <a:fillRect/>
                    </a:stretch>
                  </pic:blipFill>
                  <pic:spPr bwMode="auto">
                    <a:xfrm>
                      <a:off x="0" y="0"/>
                      <a:ext cx="2353733" cy="20196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BF3958" w14:textId="77777777" w:rsidR="00AF2C41" w:rsidRPr="00411605" w:rsidRDefault="00AF2C41" w:rsidP="00256C4D">
      <w:pPr>
        <w:jc w:val="both"/>
        <w:rPr>
          <w:rFonts w:ascii="Arial" w:hAnsi="Arial" w:cs="Arial"/>
        </w:rPr>
      </w:pPr>
    </w:p>
    <w:p w14:paraId="70E8571F" w14:textId="78DAA1C4" w:rsidR="00AF2C41" w:rsidRPr="00411605" w:rsidRDefault="00AF2C41" w:rsidP="00256C4D">
      <w:pPr>
        <w:jc w:val="both"/>
        <w:rPr>
          <w:rFonts w:ascii="Arial" w:hAnsi="Arial" w:cs="Arial"/>
        </w:rPr>
      </w:pPr>
    </w:p>
    <w:p w14:paraId="2581F46E" w14:textId="77777777" w:rsidR="00AF2C41" w:rsidRPr="00411605" w:rsidRDefault="00AF2C41" w:rsidP="00256C4D">
      <w:pPr>
        <w:jc w:val="both"/>
        <w:rPr>
          <w:rFonts w:ascii="Arial" w:hAnsi="Arial" w:cs="Arial"/>
        </w:rPr>
      </w:pPr>
    </w:p>
    <w:p w14:paraId="3BD54ABA" w14:textId="77777777" w:rsidR="00AF2C41" w:rsidRPr="00411605" w:rsidRDefault="00AF2C41" w:rsidP="00256C4D">
      <w:pPr>
        <w:jc w:val="both"/>
        <w:rPr>
          <w:rFonts w:ascii="Arial" w:hAnsi="Arial" w:cs="Arial"/>
        </w:rPr>
      </w:pPr>
    </w:p>
    <w:p w14:paraId="2D8DB046" w14:textId="718707DD" w:rsidR="00AF2C41" w:rsidRPr="00411605" w:rsidRDefault="00AF2C41" w:rsidP="00256C4D">
      <w:pPr>
        <w:jc w:val="both"/>
        <w:rPr>
          <w:rFonts w:ascii="Arial" w:hAnsi="Arial" w:cs="Arial"/>
        </w:rPr>
      </w:pPr>
    </w:p>
    <w:p w14:paraId="162FBBD3" w14:textId="77777777" w:rsidR="00AF2C41" w:rsidRPr="00411605" w:rsidRDefault="00AF2C41" w:rsidP="00256C4D">
      <w:pPr>
        <w:jc w:val="both"/>
        <w:rPr>
          <w:rFonts w:ascii="Arial" w:hAnsi="Arial" w:cs="Arial"/>
        </w:rPr>
      </w:pPr>
    </w:p>
    <w:p w14:paraId="393FB1D2" w14:textId="3209B3FA" w:rsidR="00AF2C41" w:rsidRPr="00411605" w:rsidRDefault="00FC7D08" w:rsidP="00256C4D">
      <w:pPr>
        <w:jc w:val="both"/>
        <w:rPr>
          <w:rFonts w:ascii="Arial" w:hAnsi="Arial" w:cs="Arial"/>
          <w:sz w:val="20"/>
          <w:szCs w:val="20"/>
        </w:rPr>
      </w:pPr>
      <w:r w:rsidRPr="00411605">
        <w:rPr>
          <w:rFonts w:ascii="Arial" w:hAnsi="Arial" w:cs="Arial"/>
          <w:sz w:val="20"/>
          <w:szCs w:val="20"/>
        </w:rPr>
        <w:t xml:space="preserve">Figure 1: LED simulation set up, where the larva kept under the E3 medium in a </w:t>
      </w:r>
      <w:proofErr w:type="spellStart"/>
      <w:r w:rsidRPr="00411605">
        <w:rPr>
          <w:rFonts w:ascii="Arial" w:hAnsi="Arial" w:cs="Arial"/>
          <w:sz w:val="20"/>
          <w:szCs w:val="20"/>
        </w:rPr>
        <w:t>petriplate</w:t>
      </w:r>
      <w:proofErr w:type="spellEnd"/>
      <w:r w:rsidRPr="00411605">
        <w:rPr>
          <w:rFonts w:ascii="Arial" w:hAnsi="Arial" w:cs="Arial"/>
          <w:sz w:val="20"/>
          <w:szCs w:val="20"/>
        </w:rPr>
        <w:t xml:space="preserve"> is placed over the wooden set up and underneath the LED is simulated.</w:t>
      </w:r>
    </w:p>
    <w:p w14:paraId="3309146F" w14:textId="2D8D7F6C" w:rsidR="00AF2C41" w:rsidRPr="00411605" w:rsidRDefault="00AF2C41" w:rsidP="00256C4D">
      <w:pPr>
        <w:jc w:val="both"/>
        <w:rPr>
          <w:rFonts w:ascii="Arial" w:hAnsi="Arial" w:cs="Arial"/>
        </w:rPr>
      </w:pPr>
    </w:p>
    <w:p w14:paraId="2F355690" w14:textId="72DE2DE7" w:rsidR="00B0767F" w:rsidRPr="00411605" w:rsidRDefault="003A3E4F" w:rsidP="00256C4D">
      <w:pPr>
        <w:jc w:val="both"/>
        <w:rPr>
          <w:rFonts w:ascii="Arial" w:hAnsi="Arial" w:cs="Arial"/>
          <w:sz w:val="20"/>
          <w:szCs w:val="20"/>
        </w:rPr>
      </w:pPr>
      <w:r w:rsidRPr="00411605">
        <w:rPr>
          <w:rFonts w:ascii="Arial" w:hAnsi="Arial" w:cs="Arial"/>
          <w:sz w:val="20"/>
          <w:szCs w:val="20"/>
        </w:rPr>
        <w:t>Within two hours of spawning, the fertilized eggs</w:t>
      </w:r>
      <w:r w:rsidR="00B0767F" w:rsidRPr="00411605">
        <w:rPr>
          <w:rFonts w:ascii="Arial" w:hAnsi="Arial" w:cs="Arial"/>
          <w:sz w:val="20"/>
          <w:szCs w:val="20"/>
        </w:rPr>
        <w:t xml:space="preserve"> were collected and pooled. </w:t>
      </w:r>
      <w:r w:rsidRPr="00411605">
        <w:rPr>
          <w:rFonts w:ascii="Arial" w:hAnsi="Arial" w:cs="Arial"/>
          <w:sz w:val="20"/>
          <w:szCs w:val="20"/>
        </w:rPr>
        <w:t>20</w:t>
      </w:r>
      <w:r w:rsidR="00B0767F" w:rsidRPr="00411605">
        <w:rPr>
          <w:rFonts w:ascii="Arial" w:hAnsi="Arial" w:cs="Arial"/>
          <w:sz w:val="20"/>
          <w:szCs w:val="20"/>
        </w:rPr>
        <w:t xml:space="preserve"> eggs were maintained into sterile Petri dishes (</w:t>
      </w:r>
      <w:r w:rsidR="009E71E3" w:rsidRPr="00411605">
        <w:rPr>
          <w:rFonts w:ascii="Arial" w:hAnsi="Arial" w:cs="Arial"/>
          <w:sz w:val="20"/>
          <w:szCs w:val="20"/>
        </w:rPr>
        <w:t>90x</w:t>
      </w:r>
      <w:r w:rsidR="00B0767F" w:rsidRPr="00411605">
        <w:rPr>
          <w:rFonts w:ascii="Arial" w:hAnsi="Arial" w:cs="Arial"/>
          <w:sz w:val="20"/>
          <w:szCs w:val="20"/>
        </w:rPr>
        <w:t xml:space="preserve">10 mm) ﬁlled with an </w:t>
      </w:r>
      <w:r w:rsidR="009E71E3" w:rsidRPr="00411605">
        <w:rPr>
          <w:rFonts w:ascii="Arial" w:hAnsi="Arial" w:cs="Arial"/>
          <w:sz w:val="20"/>
          <w:szCs w:val="20"/>
        </w:rPr>
        <w:t>E3</w:t>
      </w:r>
      <w:r w:rsidR="00B0767F" w:rsidRPr="00411605">
        <w:rPr>
          <w:rFonts w:ascii="Arial" w:hAnsi="Arial" w:cs="Arial"/>
          <w:sz w:val="20"/>
          <w:szCs w:val="20"/>
        </w:rPr>
        <w:t xml:space="preserve"> medium</w:t>
      </w:r>
      <w:r w:rsidRPr="00411605">
        <w:rPr>
          <w:rFonts w:ascii="Arial" w:hAnsi="Arial" w:cs="Arial"/>
          <w:sz w:val="20"/>
          <w:szCs w:val="20"/>
        </w:rPr>
        <w:t xml:space="preserve"> (</w:t>
      </w:r>
      <w:proofErr w:type="spellStart"/>
      <w:r w:rsidRPr="00411605">
        <w:rPr>
          <w:rFonts w:ascii="Arial" w:hAnsi="Arial" w:cs="Arial"/>
          <w:sz w:val="20"/>
          <w:szCs w:val="20"/>
        </w:rPr>
        <w:t>Nusslein</w:t>
      </w:r>
      <w:proofErr w:type="spellEnd"/>
      <w:r w:rsidRPr="00411605">
        <w:rPr>
          <w:rFonts w:ascii="Arial" w:hAnsi="Arial" w:cs="Arial"/>
          <w:sz w:val="20"/>
          <w:szCs w:val="20"/>
        </w:rPr>
        <w:t>-Volhard C</w:t>
      </w:r>
      <w:r w:rsidR="009E71E3" w:rsidRPr="00411605">
        <w:rPr>
          <w:rFonts w:ascii="Arial" w:hAnsi="Arial" w:cs="Arial"/>
          <w:sz w:val="20"/>
          <w:szCs w:val="20"/>
        </w:rPr>
        <w:t xml:space="preserve"> </w:t>
      </w:r>
      <w:r w:rsidR="009E71E3" w:rsidRPr="00411605">
        <w:rPr>
          <w:rFonts w:ascii="Arial" w:hAnsi="Arial" w:cs="Arial"/>
          <w:i/>
          <w:iCs/>
          <w:sz w:val="20"/>
          <w:szCs w:val="20"/>
        </w:rPr>
        <w:t>et.al.</w:t>
      </w:r>
      <w:r w:rsidRPr="00411605">
        <w:rPr>
          <w:rFonts w:ascii="Arial" w:hAnsi="Arial" w:cs="Arial"/>
          <w:i/>
          <w:iCs/>
          <w:sz w:val="20"/>
          <w:szCs w:val="20"/>
        </w:rPr>
        <w:t>,</w:t>
      </w:r>
      <w:r w:rsidRPr="00411605">
        <w:rPr>
          <w:rFonts w:ascii="Arial" w:hAnsi="Arial" w:cs="Arial"/>
          <w:sz w:val="20"/>
          <w:szCs w:val="20"/>
        </w:rPr>
        <w:t xml:space="preserve"> 2002).</w:t>
      </w:r>
      <w:r w:rsidR="00B0767F" w:rsidRPr="00411605">
        <w:rPr>
          <w:rFonts w:ascii="Arial" w:hAnsi="Arial" w:cs="Arial"/>
          <w:sz w:val="20"/>
          <w:szCs w:val="20"/>
        </w:rPr>
        <w:t xml:space="preserve"> </w:t>
      </w:r>
      <w:r w:rsidR="009E71E3" w:rsidRPr="00411605">
        <w:rPr>
          <w:rFonts w:ascii="Arial" w:hAnsi="Arial" w:cs="Arial"/>
          <w:sz w:val="20"/>
          <w:szCs w:val="20"/>
        </w:rPr>
        <w:t xml:space="preserve">LEDs </w:t>
      </w:r>
      <w:r w:rsidR="009E71E3" w:rsidRPr="00411605">
        <w:rPr>
          <w:rFonts w:ascii="Arial" w:hAnsi="Arial" w:cs="Arial"/>
          <w:sz w:val="20"/>
          <w:szCs w:val="20"/>
        </w:rPr>
        <w:lastRenderedPageBreak/>
        <w:t xml:space="preserve">bulbs with the spectral value of </w:t>
      </w:r>
      <w:r w:rsidR="00AF2C41" w:rsidRPr="00411605">
        <w:rPr>
          <w:rFonts w:ascii="Arial" w:hAnsi="Arial" w:cs="Arial"/>
          <w:sz w:val="20"/>
          <w:szCs w:val="20"/>
        </w:rPr>
        <w:t xml:space="preserve">630nm (Red), 685 (Yellow), 510 (Green), 460 (Blue) and White (wide range) was used for the exposure studies on the 5dpf larva of zebrafish. The lights were illuminated from the base </w:t>
      </w:r>
      <w:r w:rsidR="008913FA" w:rsidRPr="00411605">
        <w:rPr>
          <w:rFonts w:ascii="Arial" w:hAnsi="Arial" w:cs="Arial"/>
          <w:sz w:val="20"/>
          <w:szCs w:val="20"/>
        </w:rPr>
        <w:t xml:space="preserve">(fig </w:t>
      </w:r>
      <w:r w:rsidR="00FC7D08" w:rsidRPr="00411605">
        <w:rPr>
          <w:rFonts w:ascii="Arial" w:hAnsi="Arial" w:cs="Arial"/>
          <w:sz w:val="20"/>
          <w:szCs w:val="20"/>
        </w:rPr>
        <w:t>1</w:t>
      </w:r>
      <w:r w:rsidR="008913FA" w:rsidRPr="00411605">
        <w:rPr>
          <w:rFonts w:ascii="Arial" w:hAnsi="Arial" w:cs="Arial"/>
          <w:sz w:val="20"/>
          <w:szCs w:val="20"/>
        </w:rPr>
        <w:t>).</w:t>
      </w:r>
    </w:p>
    <w:p w14:paraId="7E9566DF" w14:textId="5B1A1F0D" w:rsidR="00FA1BB5" w:rsidRPr="00411605" w:rsidRDefault="00644069" w:rsidP="00311607">
      <w:pPr>
        <w:jc w:val="both"/>
        <w:rPr>
          <w:rFonts w:ascii="Arial" w:hAnsi="Arial" w:cs="Arial"/>
          <w:b/>
          <w:bCs/>
          <w:sz w:val="20"/>
          <w:szCs w:val="20"/>
        </w:rPr>
      </w:pPr>
      <w:r w:rsidRPr="00411605">
        <w:rPr>
          <w:rFonts w:ascii="Arial" w:hAnsi="Arial" w:cs="Arial"/>
          <w:b/>
          <w:bCs/>
          <w:sz w:val="20"/>
          <w:szCs w:val="20"/>
        </w:rPr>
        <w:t>Image processing</w:t>
      </w:r>
      <w:r w:rsidR="00C83DDD">
        <w:rPr>
          <w:rFonts w:ascii="Arial" w:hAnsi="Arial" w:cs="Arial"/>
          <w:b/>
          <w:bCs/>
          <w:sz w:val="20"/>
          <w:szCs w:val="20"/>
        </w:rPr>
        <w:t xml:space="preserve"> using ImageJ</w:t>
      </w:r>
      <w:r w:rsidRPr="00411605">
        <w:rPr>
          <w:rFonts w:ascii="Arial" w:hAnsi="Arial" w:cs="Arial"/>
          <w:b/>
          <w:bCs/>
          <w:sz w:val="20"/>
          <w:szCs w:val="20"/>
        </w:rPr>
        <w:t xml:space="preserve"> and</w:t>
      </w:r>
      <w:r w:rsidR="004B5D2B" w:rsidRPr="00411605">
        <w:rPr>
          <w:rFonts w:ascii="Arial" w:hAnsi="Arial" w:cs="Arial"/>
          <w:b/>
          <w:bCs/>
          <w:sz w:val="20"/>
          <w:szCs w:val="20"/>
        </w:rPr>
        <w:t xml:space="preserve"> ﬂuorescence intensity</w:t>
      </w:r>
      <w:r w:rsidRPr="00411605">
        <w:rPr>
          <w:rFonts w:ascii="Arial" w:hAnsi="Arial" w:cs="Arial"/>
          <w:b/>
          <w:bCs/>
          <w:sz w:val="20"/>
          <w:szCs w:val="20"/>
        </w:rPr>
        <w:t xml:space="preserve"> analysis</w:t>
      </w:r>
    </w:p>
    <w:p w14:paraId="7AA55052" w14:textId="36D49735" w:rsidR="00C83DDD" w:rsidRDefault="00C83DDD" w:rsidP="00311607">
      <w:pPr>
        <w:jc w:val="both"/>
        <w:rPr>
          <w:rFonts w:ascii="Arial" w:hAnsi="Arial" w:cs="Arial"/>
          <w:sz w:val="20"/>
          <w:szCs w:val="20"/>
        </w:rPr>
      </w:pPr>
      <w:r w:rsidRPr="00C83DDD">
        <w:rPr>
          <w:rFonts w:ascii="Arial" w:hAnsi="Arial" w:cs="Arial"/>
          <w:sz w:val="20"/>
          <w:szCs w:val="20"/>
        </w:rPr>
        <w:t>This foundational capability to turn images into numbers enabled researchers to quantitatively measure fluorescence intensity (Arena, E.</w:t>
      </w:r>
      <w:r>
        <w:rPr>
          <w:rFonts w:ascii="Arial" w:hAnsi="Arial" w:cs="Arial"/>
          <w:sz w:val="20"/>
          <w:szCs w:val="20"/>
        </w:rPr>
        <w:t xml:space="preserve"> </w:t>
      </w:r>
      <w:r w:rsidRPr="00C83DDD">
        <w:rPr>
          <w:rFonts w:ascii="Arial" w:hAnsi="Arial" w:cs="Arial"/>
          <w:i/>
          <w:iCs/>
          <w:sz w:val="20"/>
          <w:szCs w:val="20"/>
        </w:rPr>
        <w:t>et.al.,</w:t>
      </w:r>
      <w:r>
        <w:rPr>
          <w:rFonts w:ascii="Arial" w:hAnsi="Arial" w:cs="Arial"/>
          <w:sz w:val="20"/>
          <w:szCs w:val="20"/>
        </w:rPr>
        <w:t xml:space="preserve"> 2017</w:t>
      </w:r>
      <w:r w:rsidRPr="00C83DDD">
        <w:rPr>
          <w:rFonts w:ascii="Arial" w:hAnsi="Arial" w:cs="Arial"/>
          <w:sz w:val="20"/>
          <w:szCs w:val="20"/>
        </w:rPr>
        <w:t xml:space="preserve">). These general tools were soon applied to the zebrafish model, where ImageJ macros were developed for tasks like the automated analysis of larval avoidance </w:t>
      </w:r>
      <w:proofErr w:type="spellStart"/>
      <w:r w:rsidRPr="00C83DDD">
        <w:rPr>
          <w:rFonts w:ascii="Arial" w:hAnsi="Arial" w:cs="Arial"/>
          <w:sz w:val="20"/>
          <w:szCs w:val="20"/>
        </w:rPr>
        <w:t>behavior</w:t>
      </w:r>
      <w:proofErr w:type="spellEnd"/>
      <w:r w:rsidRPr="00C83DDD">
        <w:rPr>
          <w:rFonts w:ascii="Arial" w:hAnsi="Arial" w:cs="Arial"/>
          <w:sz w:val="20"/>
          <w:szCs w:val="20"/>
        </w:rPr>
        <w:t xml:space="preserve"> (</w:t>
      </w:r>
      <w:proofErr w:type="spellStart"/>
      <w:r w:rsidRPr="00C83DDD">
        <w:rPr>
          <w:rFonts w:ascii="Arial" w:hAnsi="Arial" w:cs="Arial"/>
          <w:sz w:val="20"/>
          <w:szCs w:val="20"/>
        </w:rPr>
        <w:t>Pelkowski</w:t>
      </w:r>
      <w:proofErr w:type="spellEnd"/>
      <w:r>
        <w:rPr>
          <w:rFonts w:ascii="Arial" w:hAnsi="Arial" w:cs="Arial"/>
          <w:sz w:val="20"/>
          <w:szCs w:val="20"/>
        </w:rPr>
        <w:t xml:space="preserve"> </w:t>
      </w:r>
      <w:r w:rsidRPr="00C83DDD">
        <w:rPr>
          <w:rFonts w:ascii="Arial" w:hAnsi="Arial" w:cs="Arial"/>
          <w:i/>
          <w:iCs/>
          <w:sz w:val="20"/>
          <w:szCs w:val="20"/>
        </w:rPr>
        <w:t>et.al.,</w:t>
      </w:r>
      <w:r>
        <w:rPr>
          <w:rFonts w:ascii="Arial" w:hAnsi="Arial" w:cs="Arial"/>
          <w:sz w:val="20"/>
          <w:szCs w:val="20"/>
        </w:rPr>
        <w:t xml:space="preserve"> </w:t>
      </w:r>
      <w:r w:rsidRPr="00C83DDD">
        <w:rPr>
          <w:rFonts w:ascii="Arial" w:hAnsi="Arial" w:cs="Arial"/>
          <w:sz w:val="20"/>
          <w:szCs w:val="20"/>
        </w:rPr>
        <w:t>2011)</w:t>
      </w:r>
      <w:r>
        <w:rPr>
          <w:rFonts w:ascii="Arial" w:hAnsi="Arial" w:cs="Arial"/>
          <w:sz w:val="20"/>
          <w:szCs w:val="20"/>
        </w:rPr>
        <w:t xml:space="preserve"> </w:t>
      </w:r>
      <w:r w:rsidRPr="00C83DDD">
        <w:rPr>
          <w:rFonts w:ascii="Arial" w:hAnsi="Arial" w:cs="Arial"/>
          <w:sz w:val="20"/>
          <w:szCs w:val="20"/>
        </w:rPr>
        <w:t>and quantifying fluorescence from novel probes like carbon quantum dots in embryos and larvae (Kang,</w:t>
      </w:r>
      <w:r>
        <w:rPr>
          <w:rFonts w:ascii="Arial" w:hAnsi="Arial" w:cs="Arial"/>
          <w:sz w:val="20"/>
          <w:szCs w:val="20"/>
        </w:rPr>
        <w:t xml:space="preserve"> </w:t>
      </w:r>
      <w:r w:rsidRPr="00C83DDD">
        <w:rPr>
          <w:rFonts w:ascii="Arial" w:hAnsi="Arial" w:cs="Arial"/>
          <w:i/>
          <w:iCs/>
          <w:sz w:val="20"/>
          <w:szCs w:val="20"/>
        </w:rPr>
        <w:t>et.al.,</w:t>
      </w:r>
      <w:r>
        <w:rPr>
          <w:rFonts w:ascii="Arial" w:hAnsi="Arial" w:cs="Arial"/>
          <w:i/>
          <w:iCs/>
          <w:sz w:val="20"/>
          <w:szCs w:val="20"/>
        </w:rPr>
        <w:t xml:space="preserve"> </w:t>
      </w:r>
      <w:r w:rsidRPr="00C83DDD">
        <w:rPr>
          <w:rFonts w:ascii="Arial" w:hAnsi="Arial" w:cs="Arial"/>
          <w:sz w:val="20"/>
          <w:szCs w:val="20"/>
        </w:rPr>
        <w:t xml:space="preserve">2015) This period established ImageJ's core role in moving biological imaging from qualitative observation to quantitative science, providing validated protocols for </w:t>
      </w:r>
      <w:proofErr w:type="spellStart"/>
      <w:r w:rsidRPr="00C83DDD">
        <w:rPr>
          <w:rFonts w:ascii="Arial" w:hAnsi="Arial" w:cs="Arial"/>
          <w:sz w:val="20"/>
          <w:szCs w:val="20"/>
        </w:rPr>
        <w:t>analyzing</w:t>
      </w:r>
      <w:proofErr w:type="spellEnd"/>
      <w:r w:rsidRPr="00C83DDD">
        <w:rPr>
          <w:rFonts w:ascii="Arial" w:hAnsi="Arial" w:cs="Arial"/>
          <w:sz w:val="20"/>
          <w:szCs w:val="20"/>
        </w:rPr>
        <w:t xml:space="preserve"> objects in fluorescence images (Miura, 2020) (Hartig, 2013).</w:t>
      </w:r>
    </w:p>
    <w:p w14:paraId="24F6CCC4" w14:textId="7C0CB229" w:rsidR="00FA1BB5" w:rsidRPr="00411605" w:rsidRDefault="00051EB0" w:rsidP="00311607">
      <w:pPr>
        <w:jc w:val="both"/>
        <w:rPr>
          <w:rFonts w:ascii="Arial" w:hAnsi="Arial" w:cs="Arial"/>
          <w:sz w:val="20"/>
          <w:szCs w:val="20"/>
        </w:rPr>
      </w:pPr>
      <w:r w:rsidRPr="00411605">
        <w:rPr>
          <w:rFonts w:ascii="Arial" w:hAnsi="Arial" w:cs="Arial"/>
          <w:sz w:val="20"/>
          <w:szCs w:val="20"/>
        </w:rPr>
        <w:t xml:space="preserve">The promising computerized image processing tool, </w:t>
      </w:r>
      <w:proofErr w:type="gramStart"/>
      <w:r w:rsidRPr="00411605">
        <w:rPr>
          <w:rFonts w:ascii="Arial" w:hAnsi="Arial" w:cs="Arial"/>
          <w:sz w:val="20"/>
          <w:szCs w:val="20"/>
        </w:rPr>
        <w:t>ImageJ</w:t>
      </w:r>
      <w:r w:rsidR="00644069" w:rsidRPr="00411605">
        <w:rPr>
          <w:rFonts w:ascii="Arial" w:hAnsi="Arial" w:cs="Arial"/>
          <w:sz w:val="20"/>
          <w:szCs w:val="20"/>
        </w:rPr>
        <w:t xml:space="preserve"> </w:t>
      </w:r>
      <w:r w:rsidRPr="00411605">
        <w:rPr>
          <w:rFonts w:ascii="Arial" w:hAnsi="Arial" w:cs="Arial"/>
          <w:sz w:val="20"/>
          <w:szCs w:val="20"/>
        </w:rPr>
        <w:t>,</w:t>
      </w:r>
      <w:proofErr w:type="gramEnd"/>
      <w:r w:rsidRPr="00411605">
        <w:rPr>
          <w:rFonts w:ascii="Arial" w:hAnsi="Arial" w:cs="Arial"/>
          <w:sz w:val="20"/>
          <w:szCs w:val="20"/>
        </w:rPr>
        <w:t xml:space="preserve"> is one of the most </w:t>
      </w:r>
      <w:r w:rsidR="00337EFD" w:rsidRPr="00411605">
        <w:rPr>
          <w:rFonts w:ascii="Arial" w:hAnsi="Arial" w:cs="Arial"/>
          <w:sz w:val="20"/>
          <w:szCs w:val="20"/>
        </w:rPr>
        <w:t>versatile and used for</w:t>
      </w:r>
      <w:r w:rsidRPr="00411605">
        <w:rPr>
          <w:rFonts w:ascii="Arial" w:hAnsi="Arial" w:cs="Arial"/>
          <w:sz w:val="20"/>
          <w:szCs w:val="20"/>
        </w:rPr>
        <w:t xml:space="preserve"> quantifying fluorescent intensity in a way that's valid and reliable across the image and for all images in a series (</w:t>
      </w:r>
      <w:proofErr w:type="spellStart"/>
      <w:r w:rsidRPr="00411605">
        <w:rPr>
          <w:rFonts w:ascii="Arial" w:hAnsi="Arial" w:cs="Arial"/>
          <w:sz w:val="20"/>
          <w:szCs w:val="20"/>
        </w:rPr>
        <w:t>Fontenete</w:t>
      </w:r>
      <w:proofErr w:type="spellEnd"/>
      <w:r w:rsidRPr="00411605">
        <w:rPr>
          <w:rFonts w:ascii="Arial" w:hAnsi="Arial" w:cs="Arial"/>
          <w:sz w:val="20"/>
          <w:szCs w:val="20"/>
        </w:rPr>
        <w:t xml:space="preserve"> </w:t>
      </w:r>
      <w:r w:rsidRPr="00411605">
        <w:rPr>
          <w:rFonts w:ascii="Arial" w:hAnsi="Arial" w:cs="Arial"/>
          <w:i/>
          <w:iCs/>
          <w:sz w:val="20"/>
          <w:szCs w:val="20"/>
        </w:rPr>
        <w:t>et al.</w:t>
      </w:r>
      <w:r w:rsidRPr="00411605">
        <w:rPr>
          <w:rFonts w:ascii="Arial" w:hAnsi="Arial" w:cs="Arial"/>
          <w:sz w:val="20"/>
          <w:szCs w:val="20"/>
        </w:rPr>
        <w:t>, 2016). Microscopic acquisition of the fluorescent images was followed by the analysis of the green channel (the wavelength at which the probe fluoresces) in order to obtain the Mean Fluorescence Intensity. With the command “</w:t>
      </w:r>
      <w:proofErr w:type="spellStart"/>
      <w:r w:rsidRPr="00411605">
        <w:rPr>
          <w:rFonts w:ascii="Arial" w:hAnsi="Arial" w:cs="Arial"/>
          <w:sz w:val="20"/>
          <w:szCs w:val="20"/>
        </w:rPr>
        <w:t>Analyze</w:t>
      </w:r>
      <w:proofErr w:type="spellEnd"/>
      <w:r w:rsidRPr="00411605">
        <w:rPr>
          <w:rFonts w:ascii="Arial" w:hAnsi="Arial" w:cs="Arial"/>
          <w:sz w:val="20"/>
          <w:szCs w:val="20"/>
        </w:rPr>
        <w:t xml:space="preserve"> Particles”, the ROIs were outlined. </w:t>
      </w:r>
      <w:r w:rsidR="00337EFD" w:rsidRPr="00411605">
        <w:rPr>
          <w:rFonts w:ascii="Arial" w:hAnsi="Arial" w:cs="Arial"/>
          <w:sz w:val="20"/>
          <w:szCs w:val="20"/>
        </w:rPr>
        <w:t>With</w:t>
      </w:r>
      <w:r w:rsidRPr="00411605">
        <w:rPr>
          <w:rFonts w:ascii="Arial" w:hAnsi="Arial" w:cs="Arial"/>
          <w:sz w:val="20"/>
          <w:szCs w:val="20"/>
        </w:rPr>
        <w:t xml:space="preserve"> the option “Measure” in the ROI interface, the fluorescence intensity of each ROI was provided</w:t>
      </w:r>
      <w:r w:rsidR="00281543" w:rsidRPr="00411605">
        <w:rPr>
          <w:rFonts w:ascii="Arial" w:hAnsi="Arial" w:cs="Arial"/>
          <w:sz w:val="20"/>
          <w:szCs w:val="20"/>
        </w:rPr>
        <w:t xml:space="preserve"> (Figure </w:t>
      </w:r>
      <w:r w:rsidR="00DB3498">
        <w:rPr>
          <w:rFonts w:ascii="Arial" w:hAnsi="Arial" w:cs="Arial"/>
          <w:sz w:val="20"/>
          <w:szCs w:val="20"/>
        </w:rPr>
        <w:t>2</w:t>
      </w:r>
      <w:r w:rsidR="00281543" w:rsidRPr="00411605">
        <w:rPr>
          <w:rFonts w:ascii="Arial" w:hAnsi="Arial" w:cs="Arial"/>
          <w:sz w:val="20"/>
          <w:szCs w:val="20"/>
        </w:rPr>
        <w:t>)</w:t>
      </w:r>
      <w:r w:rsidRPr="00411605">
        <w:rPr>
          <w:rFonts w:ascii="Arial" w:hAnsi="Arial" w:cs="Arial"/>
          <w:sz w:val="20"/>
          <w:szCs w:val="20"/>
        </w:rPr>
        <w:t>.</w:t>
      </w:r>
    </w:p>
    <w:p w14:paraId="232E1EA5" w14:textId="77777777" w:rsidR="00F35787" w:rsidRPr="00411605" w:rsidRDefault="00F35787" w:rsidP="00311607">
      <w:pPr>
        <w:jc w:val="both"/>
        <w:rPr>
          <w:rFonts w:ascii="Arial" w:hAnsi="Arial" w:cs="Arial"/>
        </w:rPr>
      </w:pPr>
    </w:p>
    <w:p w14:paraId="14951228" w14:textId="5DC6BCD1" w:rsidR="00F35787" w:rsidRPr="00411605" w:rsidRDefault="00F35787" w:rsidP="00311607">
      <w:pPr>
        <w:jc w:val="both"/>
        <w:rPr>
          <w:rFonts w:ascii="Arial" w:hAnsi="Arial" w:cs="Arial"/>
        </w:rPr>
      </w:pPr>
      <w:r w:rsidRPr="00411605">
        <w:rPr>
          <w:rFonts w:ascii="Arial" w:hAnsi="Arial" w:cs="Arial"/>
          <w:noProof/>
        </w:rPr>
        <w:drawing>
          <wp:inline distT="0" distB="0" distL="0" distR="0" wp14:anchorId="2C4692F7" wp14:editId="67A50CC7">
            <wp:extent cx="5731510" cy="3132667"/>
            <wp:effectExtent l="0" t="0" r="2540" b="0"/>
            <wp:docPr id="2075806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06719" name="Picture 2075806719"/>
                    <pic:cNvPicPr/>
                  </pic:nvPicPr>
                  <pic:blipFill rotWithShape="1">
                    <a:blip r:embed="rId9" cstate="print">
                      <a:extLst>
                        <a:ext uri="{28A0092B-C50C-407E-A947-70E740481C1C}">
                          <a14:useLocalDpi xmlns:a14="http://schemas.microsoft.com/office/drawing/2010/main" val="0"/>
                        </a:ext>
                      </a:extLst>
                    </a:blip>
                    <a:srcRect t="3971" b="57373"/>
                    <a:stretch>
                      <a:fillRect/>
                    </a:stretch>
                  </pic:blipFill>
                  <pic:spPr bwMode="auto">
                    <a:xfrm>
                      <a:off x="0" y="0"/>
                      <a:ext cx="5731510" cy="3132667"/>
                    </a:xfrm>
                    <a:prstGeom prst="rect">
                      <a:avLst/>
                    </a:prstGeom>
                    <a:ln>
                      <a:noFill/>
                    </a:ln>
                    <a:extLst>
                      <a:ext uri="{53640926-AAD7-44D8-BBD7-CCE9431645EC}">
                        <a14:shadowObscured xmlns:a14="http://schemas.microsoft.com/office/drawing/2010/main"/>
                      </a:ext>
                    </a:extLst>
                  </pic:spPr>
                </pic:pic>
              </a:graphicData>
            </a:graphic>
          </wp:inline>
        </w:drawing>
      </w:r>
    </w:p>
    <w:p w14:paraId="4D4C3BF7" w14:textId="59FC19D0" w:rsidR="00F35787" w:rsidRDefault="00F35787" w:rsidP="00311607">
      <w:pPr>
        <w:jc w:val="both"/>
        <w:rPr>
          <w:rFonts w:ascii="Arial" w:hAnsi="Arial" w:cs="Arial"/>
          <w:sz w:val="20"/>
          <w:szCs w:val="20"/>
        </w:rPr>
      </w:pPr>
      <w:r w:rsidRPr="00A4758D">
        <w:rPr>
          <w:rFonts w:ascii="Arial" w:hAnsi="Arial" w:cs="Arial"/>
          <w:sz w:val="20"/>
          <w:szCs w:val="20"/>
        </w:rPr>
        <w:t xml:space="preserve">Figure </w:t>
      </w:r>
      <w:r w:rsidR="00DB3498">
        <w:rPr>
          <w:rFonts w:ascii="Arial" w:hAnsi="Arial" w:cs="Arial"/>
          <w:sz w:val="20"/>
          <w:szCs w:val="20"/>
        </w:rPr>
        <w:t>2</w:t>
      </w:r>
      <w:r w:rsidRPr="00A4758D">
        <w:rPr>
          <w:rFonts w:ascii="Arial" w:hAnsi="Arial" w:cs="Arial"/>
          <w:sz w:val="20"/>
          <w:szCs w:val="20"/>
        </w:rPr>
        <w:t xml:space="preserve">: </w:t>
      </w:r>
      <w:r w:rsidR="007D3018" w:rsidRPr="00A4758D">
        <w:rPr>
          <w:rFonts w:ascii="Arial" w:hAnsi="Arial" w:cs="Arial"/>
          <w:sz w:val="20"/>
          <w:szCs w:val="20"/>
        </w:rPr>
        <w:t xml:space="preserve">Acridine orange which is used as a fluorescent dye detects the apoptosis by emitting green florescence. The intensity of the fluorescence is studied with the image processing software ImageJ. The image capture through the fluorescent camera is selected (A). Then the image is converted to 8 bit and the image is split into three channels (B). Among the three channels, the green channel is selected and the scale is set by drawing a rectangle on the intensity area to be measured (C). The scale was set to 700x700 pixels (D) and menu Analyse, the measure option is selected (E) and the </w:t>
      </w:r>
      <w:r w:rsidR="00B944DF" w:rsidRPr="00A4758D">
        <w:rPr>
          <w:rFonts w:ascii="Arial" w:hAnsi="Arial" w:cs="Arial"/>
          <w:sz w:val="20"/>
          <w:szCs w:val="20"/>
        </w:rPr>
        <w:t xml:space="preserve">mean </w:t>
      </w:r>
      <w:r w:rsidR="007D3018" w:rsidRPr="00A4758D">
        <w:rPr>
          <w:rFonts w:ascii="Arial" w:hAnsi="Arial" w:cs="Arial"/>
          <w:sz w:val="20"/>
          <w:szCs w:val="20"/>
        </w:rPr>
        <w:t xml:space="preserve">intensity data along with </w:t>
      </w:r>
      <w:r w:rsidR="00B944DF" w:rsidRPr="00A4758D">
        <w:rPr>
          <w:rFonts w:ascii="Arial" w:hAnsi="Arial" w:cs="Arial"/>
          <w:sz w:val="20"/>
          <w:szCs w:val="20"/>
        </w:rPr>
        <w:t>Kurt value is acquired (F)</w:t>
      </w:r>
      <w:r w:rsidR="00183247" w:rsidRPr="00A4758D">
        <w:rPr>
          <w:rFonts w:ascii="Arial" w:hAnsi="Arial" w:cs="Arial"/>
          <w:sz w:val="20"/>
          <w:szCs w:val="20"/>
        </w:rPr>
        <w:t>.</w:t>
      </w:r>
    </w:p>
    <w:p w14:paraId="415B6653" w14:textId="3DD7A34D" w:rsidR="004B5D2B" w:rsidRPr="00A4758D" w:rsidRDefault="00B566BD" w:rsidP="004B5D2B">
      <w:pPr>
        <w:jc w:val="both"/>
        <w:rPr>
          <w:rFonts w:ascii="Arial" w:hAnsi="Arial" w:cs="Arial"/>
          <w:b/>
          <w:bCs/>
          <w:sz w:val="22"/>
          <w:szCs w:val="22"/>
        </w:rPr>
      </w:pPr>
      <w:r w:rsidRPr="00A4758D">
        <w:rPr>
          <w:rFonts w:ascii="Arial" w:hAnsi="Arial" w:cs="Arial"/>
          <w:b/>
          <w:bCs/>
          <w:sz w:val="22"/>
          <w:szCs w:val="22"/>
        </w:rPr>
        <w:t>RESULTS AND DISCUSSION</w:t>
      </w:r>
    </w:p>
    <w:p w14:paraId="31C81F51" w14:textId="3BE2502C" w:rsidR="00183247" w:rsidRDefault="00BA2212" w:rsidP="00BA2212">
      <w:pPr>
        <w:jc w:val="both"/>
        <w:rPr>
          <w:rFonts w:ascii="Arial" w:hAnsi="Arial" w:cs="Arial"/>
          <w:sz w:val="20"/>
          <w:szCs w:val="20"/>
        </w:rPr>
      </w:pPr>
      <w:r w:rsidRPr="00A4758D">
        <w:rPr>
          <w:rFonts w:ascii="Arial" w:hAnsi="Arial" w:cs="Arial"/>
          <w:sz w:val="20"/>
          <w:szCs w:val="20"/>
        </w:rPr>
        <w:t>The 5dpf larva exposed to different wavelengths of light showed varying intensity of fluorescence through the acridine orange staining. The studies earlier have detected the impact of blue</w:t>
      </w:r>
      <w:r w:rsidR="00730B9C" w:rsidRPr="00A4758D">
        <w:rPr>
          <w:rFonts w:ascii="Arial" w:hAnsi="Arial" w:cs="Arial"/>
          <w:sz w:val="20"/>
          <w:szCs w:val="20"/>
        </w:rPr>
        <w:t xml:space="preserve"> </w:t>
      </w:r>
      <w:r w:rsidRPr="00A4758D">
        <w:rPr>
          <w:rFonts w:ascii="Arial" w:hAnsi="Arial" w:cs="Arial"/>
          <w:sz w:val="20"/>
          <w:szCs w:val="20"/>
        </w:rPr>
        <w:t>light</w:t>
      </w:r>
      <w:r w:rsidR="00730B9C" w:rsidRPr="00A4758D">
        <w:rPr>
          <w:rFonts w:ascii="Arial" w:hAnsi="Arial" w:cs="Arial"/>
          <w:sz w:val="20"/>
          <w:szCs w:val="20"/>
        </w:rPr>
        <w:t xml:space="preserve"> </w:t>
      </w:r>
      <w:r w:rsidRPr="00A4758D">
        <w:rPr>
          <w:rFonts w:ascii="Arial" w:hAnsi="Arial" w:cs="Arial"/>
          <w:sz w:val="20"/>
          <w:szCs w:val="20"/>
        </w:rPr>
        <w:t xml:space="preserve">induced </w:t>
      </w:r>
      <w:r w:rsidRPr="00A4758D">
        <w:rPr>
          <w:rFonts w:ascii="Arial" w:hAnsi="Arial" w:cs="Arial"/>
          <w:sz w:val="20"/>
          <w:szCs w:val="20"/>
        </w:rPr>
        <w:lastRenderedPageBreak/>
        <w:t xml:space="preserve">in retinal cell apoptosis during the early 1999 and 2001, Wu </w:t>
      </w:r>
      <w:r w:rsidRPr="00A4758D">
        <w:rPr>
          <w:rFonts w:ascii="Arial" w:hAnsi="Arial" w:cs="Arial"/>
          <w:i/>
          <w:iCs/>
          <w:sz w:val="20"/>
          <w:szCs w:val="20"/>
        </w:rPr>
        <w:t>et al</w:t>
      </w:r>
      <w:r w:rsidRPr="00A4758D">
        <w:rPr>
          <w:rFonts w:ascii="Arial" w:hAnsi="Arial" w:cs="Arial"/>
          <w:sz w:val="20"/>
          <w:szCs w:val="20"/>
        </w:rPr>
        <w:t>.</w:t>
      </w:r>
      <w:r w:rsidR="00FE4A96" w:rsidRPr="00A4758D">
        <w:rPr>
          <w:rFonts w:ascii="Arial" w:hAnsi="Arial" w:cs="Arial"/>
          <w:sz w:val="20"/>
          <w:szCs w:val="20"/>
        </w:rPr>
        <w:t>, (2016)</w:t>
      </w:r>
      <w:r w:rsidRPr="00A4758D">
        <w:rPr>
          <w:rFonts w:ascii="Arial" w:hAnsi="Arial" w:cs="Arial"/>
          <w:sz w:val="20"/>
          <w:szCs w:val="20"/>
        </w:rPr>
        <w:t xml:space="preserve"> and </w:t>
      </w:r>
      <w:r w:rsidR="00BC496B" w:rsidRPr="00A4758D">
        <w:rPr>
          <w:rFonts w:ascii="Arial" w:hAnsi="Arial" w:cs="Arial"/>
          <w:sz w:val="20"/>
          <w:szCs w:val="20"/>
        </w:rPr>
        <w:t xml:space="preserve">Takita, S., &amp; Seko, Y.  </w:t>
      </w:r>
      <w:r w:rsidR="00FE4A96" w:rsidRPr="00A4758D">
        <w:rPr>
          <w:rFonts w:ascii="Arial" w:hAnsi="Arial" w:cs="Arial"/>
          <w:sz w:val="20"/>
          <w:szCs w:val="20"/>
        </w:rPr>
        <w:t>(2024)</w:t>
      </w:r>
      <w:r w:rsidRPr="00A4758D">
        <w:rPr>
          <w:rFonts w:ascii="Arial" w:hAnsi="Arial" w:cs="Arial"/>
          <w:sz w:val="20"/>
          <w:szCs w:val="20"/>
        </w:rPr>
        <w:t xml:space="preserve"> showed evidence regarding </w:t>
      </w:r>
      <w:r w:rsidR="00730B9C" w:rsidRPr="00A4758D">
        <w:rPr>
          <w:rFonts w:ascii="Arial" w:hAnsi="Arial" w:cs="Arial"/>
          <w:sz w:val="20"/>
          <w:szCs w:val="20"/>
        </w:rPr>
        <w:t xml:space="preserve">the </w:t>
      </w:r>
      <w:r w:rsidRPr="00A4758D">
        <w:rPr>
          <w:rFonts w:ascii="Arial" w:hAnsi="Arial" w:cs="Arial"/>
          <w:sz w:val="20"/>
          <w:szCs w:val="20"/>
        </w:rPr>
        <w:t xml:space="preserve">rat retinal tissue apoptosis induced by blue light. </w:t>
      </w:r>
      <w:r w:rsidR="00BC496B" w:rsidRPr="00A4758D">
        <w:rPr>
          <w:rFonts w:ascii="Arial" w:hAnsi="Arial" w:cs="Arial"/>
          <w:sz w:val="20"/>
          <w:szCs w:val="20"/>
        </w:rPr>
        <w:t xml:space="preserve">It is more common that the </w:t>
      </w:r>
      <w:r w:rsidRPr="00A4758D">
        <w:rPr>
          <w:rFonts w:ascii="Arial" w:hAnsi="Arial" w:cs="Arial"/>
          <w:sz w:val="20"/>
          <w:szCs w:val="20"/>
        </w:rPr>
        <w:t xml:space="preserve">blue light screens are becoming more common </w:t>
      </w:r>
      <w:r w:rsidR="00730B9C" w:rsidRPr="00A4758D">
        <w:rPr>
          <w:rFonts w:ascii="Arial" w:hAnsi="Arial" w:cs="Arial"/>
          <w:sz w:val="20"/>
          <w:szCs w:val="20"/>
        </w:rPr>
        <w:t>which are in turn</w:t>
      </w:r>
      <w:r w:rsidR="00BC496B" w:rsidRPr="00A4758D">
        <w:rPr>
          <w:rFonts w:ascii="Arial" w:hAnsi="Arial" w:cs="Arial"/>
          <w:sz w:val="20"/>
          <w:szCs w:val="20"/>
        </w:rPr>
        <w:t xml:space="preserve"> very much </w:t>
      </w:r>
      <w:r w:rsidRPr="00A4758D">
        <w:rPr>
          <w:rFonts w:ascii="Arial" w:hAnsi="Arial" w:cs="Arial"/>
          <w:sz w:val="20"/>
          <w:szCs w:val="20"/>
        </w:rPr>
        <w:t>dependen</w:t>
      </w:r>
      <w:r w:rsidR="00BC496B" w:rsidRPr="00A4758D">
        <w:rPr>
          <w:rFonts w:ascii="Arial" w:hAnsi="Arial" w:cs="Arial"/>
          <w:sz w:val="20"/>
          <w:szCs w:val="20"/>
        </w:rPr>
        <w:t>t</w:t>
      </w:r>
      <w:r w:rsidRPr="00A4758D">
        <w:rPr>
          <w:rFonts w:ascii="Arial" w:hAnsi="Arial" w:cs="Arial"/>
          <w:sz w:val="20"/>
          <w:szCs w:val="20"/>
        </w:rPr>
        <w:t xml:space="preserve"> on light emitting diodes (LEDs) </w:t>
      </w:r>
      <w:r w:rsidR="00BC496B" w:rsidRPr="00A4758D">
        <w:rPr>
          <w:rFonts w:ascii="Arial" w:hAnsi="Arial" w:cs="Arial"/>
          <w:sz w:val="20"/>
          <w:szCs w:val="20"/>
        </w:rPr>
        <w:t>causes</w:t>
      </w:r>
      <w:r w:rsidRPr="00A4758D">
        <w:rPr>
          <w:rFonts w:ascii="Arial" w:hAnsi="Arial" w:cs="Arial"/>
          <w:sz w:val="20"/>
          <w:szCs w:val="20"/>
        </w:rPr>
        <w:t xml:space="preserve"> retinal tissue degeneration in humans </w:t>
      </w:r>
      <w:r w:rsidR="00BC496B" w:rsidRPr="00A4758D">
        <w:rPr>
          <w:rFonts w:ascii="Arial" w:hAnsi="Arial" w:cs="Arial"/>
          <w:sz w:val="20"/>
          <w:szCs w:val="20"/>
        </w:rPr>
        <w:t>is of a greater</w:t>
      </w:r>
      <w:r w:rsidRPr="00A4758D">
        <w:rPr>
          <w:rFonts w:ascii="Arial" w:hAnsi="Arial" w:cs="Arial"/>
          <w:sz w:val="20"/>
          <w:szCs w:val="20"/>
        </w:rPr>
        <w:t xml:space="preserve"> concern. </w:t>
      </w:r>
    </w:p>
    <w:p w14:paraId="1C7F264E" w14:textId="2E87D974" w:rsidR="000B6CD9" w:rsidRPr="00FD6FA2" w:rsidRDefault="000B6CD9" w:rsidP="000B6CD9">
      <w:pPr>
        <w:jc w:val="both"/>
        <w:rPr>
          <w:rFonts w:ascii="Arial" w:hAnsi="Arial" w:cs="Arial"/>
          <w:sz w:val="20"/>
          <w:szCs w:val="20"/>
        </w:rPr>
      </w:pPr>
      <w:r w:rsidRPr="00FD6FA2">
        <w:rPr>
          <w:rFonts w:ascii="Arial" w:hAnsi="Arial" w:cs="Arial"/>
          <w:sz w:val="20"/>
          <w:szCs w:val="20"/>
        </w:rPr>
        <w:t>Early visualization techniques involved chemical staining, where in vivo acridine orange (AO) staining was employed to visualize apoptotic events ("Zebrafish: A", 2002) in embryos treated with various compounds (</w:t>
      </w:r>
      <w:proofErr w:type="spellStart"/>
      <w:r w:rsidRPr="00FD6FA2">
        <w:rPr>
          <w:rFonts w:ascii="Arial" w:hAnsi="Arial" w:cs="Arial"/>
          <w:sz w:val="20"/>
          <w:szCs w:val="20"/>
        </w:rPr>
        <w:t>Parng</w:t>
      </w:r>
      <w:proofErr w:type="spellEnd"/>
      <w:r w:rsidRPr="00FD6FA2">
        <w:rPr>
          <w:rFonts w:ascii="Arial" w:hAnsi="Arial" w:cs="Arial"/>
          <w:sz w:val="20"/>
          <w:szCs w:val="20"/>
        </w:rPr>
        <w:t xml:space="preserve"> et al., 2002). This was later refined into a rapid, large-scale group fluorescence method for </w:t>
      </w:r>
      <w:proofErr w:type="spellStart"/>
      <w:r w:rsidRPr="00FD6FA2">
        <w:rPr>
          <w:rFonts w:ascii="Arial" w:hAnsi="Arial" w:cs="Arial"/>
          <w:sz w:val="20"/>
          <w:szCs w:val="20"/>
        </w:rPr>
        <w:t>analyzing</w:t>
      </w:r>
      <w:proofErr w:type="spellEnd"/>
      <w:r w:rsidRPr="00FD6FA2">
        <w:rPr>
          <w:rFonts w:ascii="Arial" w:hAnsi="Arial" w:cs="Arial"/>
          <w:sz w:val="20"/>
          <w:szCs w:val="20"/>
        </w:rPr>
        <w:t xml:space="preserve"> relative apoptosis levels based on densitometry (Tucker and </w:t>
      </w:r>
      <w:proofErr w:type="spellStart"/>
      <w:r w:rsidRPr="00FD6FA2">
        <w:rPr>
          <w:rFonts w:ascii="Arial" w:hAnsi="Arial" w:cs="Arial"/>
          <w:sz w:val="20"/>
          <w:szCs w:val="20"/>
        </w:rPr>
        <w:t>Lardelli</w:t>
      </w:r>
      <w:proofErr w:type="spellEnd"/>
      <w:r w:rsidRPr="00FD6FA2">
        <w:rPr>
          <w:rFonts w:ascii="Arial" w:hAnsi="Arial" w:cs="Arial"/>
          <w:sz w:val="20"/>
          <w:szCs w:val="20"/>
        </w:rPr>
        <w:t xml:space="preserve">, 2007). The model was subsequently used to study apoptosis induced by various toxicants, such as the synergistic effects of bisphenol A and heavy metals, which were shown to increase mRNA expression of pro-apoptotic genes like caspase-3, caspase-9, and </w:t>
      </w:r>
      <w:proofErr w:type="spellStart"/>
      <w:r w:rsidRPr="00FD6FA2">
        <w:rPr>
          <w:rFonts w:ascii="Arial" w:hAnsi="Arial" w:cs="Arial"/>
          <w:sz w:val="20"/>
          <w:szCs w:val="20"/>
        </w:rPr>
        <w:t>bax</w:t>
      </w:r>
      <w:proofErr w:type="spellEnd"/>
      <w:r w:rsidRPr="00FD6FA2">
        <w:rPr>
          <w:rFonts w:ascii="Arial" w:hAnsi="Arial" w:cs="Arial"/>
          <w:sz w:val="20"/>
          <w:szCs w:val="20"/>
        </w:rPr>
        <w:t xml:space="preserve"> (Paola et al., 2021). Other studies demonstrated that exposure to biosynthesized silver nanoparticles induced biogenicity- and concentration-dependent cytotoxicity via oxidative stress and apoptosis (Verma et al., 2018), and that zinc oxide nanoparticles reduced embryo hatching rates and activated apoptosis (Zhao et al., 2016). Crucially, phototoxicity studies emerged, demonstrating that light exposure is a key trigger for apoptosis. For example, methylene blue toxicity in a zebrafish cell line was shown to be dependent on light exposure (Costa and Monteiro, 2016), and a water-soluble photosensitizer was found to induce cell apoptosis and generate reactive oxygen species upon light illumination in zebrafish (Wang and Qian, 2019). More specifically, phototoxicity from silicon quantum dot nanoparticles was observed in zebrafish embryos illuminated with 450 nm blue LED light (Srivastava </w:t>
      </w:r>
      <w:r w:rsidRPr="007B34F3">
        <w:rPr>
          <w:rFonts w:ascii="Arial" w:hAnsi="Arial" w:cs="Arial"/>
          <w:i/>
          <w:iCs/>
          <w:sz w:val="20"/>
          <w:szCs w:val="20"/>
        </w:rPr>
        <w:t>et al.,</w:t>
      </w:r>
      <w:r w:rsidRPr="00FD6FA2">
        <w:rPr>
          <w:rFonts w:ascii="Arial" w:hAnsi="Arial" w:cs="Arial"/>
          <w:sz w:val="20"/>
          <w:szCs w:val="20"/>
        </w:rPr>
        <w:t xml:space="preserve"> 2019). This line of inquiry extended to mechanistic studies on blue-light-induced damage, which was found to cause early apoptosis in the retinal pigment epithelium through a phototoxic mechanism (Cheng et al., 2021) and, most recently, to the study of LiPF6 from batteries, where 40 µM exposure combined with AO staining revealed a significant increase in fluorescence, indicating an expanded apoptotic effect (Yang et al., 2024).</w:t>
      </w:r>
    </w:p>
    <w:p w14:paraId="154C50B8" w14:textId="2CADFE53" w:rsidR="00BA2212" w:rsidRPr="00411605" w:rsidRDefault="000B6CD9" w:rsidP="00BA2212">
      <w:pPr>
        <w:jc w:val="both"/>
        <w:rPr>
          <w:rFonts w:ascii="Arial" w:hAnsi="Arial" w:cs="Arial"/>
        </w:rPr>
      </w:pPr>
      <w:r w:rsidRPr="00411605">
        <w:rPr>
          <w:rFonts w:ascii="Arial" w:hAnsi="Arial" w:cs="Arial"/>
          <w:noProof/>
        </w:rPr>
        <w:drawing>
          <wp:anchor distT="0" distB="0" distL="114300" distR="114300" simplePos="0" relativeHeight="251661312" behindDoc="0" locked="0" layoutInCell="1" allowOverlap="1" wp14:anchorId="0430589B" wp14:editId="0666CF07">
            <wp:simplePos x="0" y="0"/>
            <wp:positionH relativeFrom="margin">
              <wp:posOffset>161925</wp:posOffset>
            </wp:positionH>
            <wp:positionV relativeFrom="paragraph">
              <wp:posOffset>90805</wp:posOffset>
            </wp:positionV>
            <wp:extent cx="5009473" cy="2352675"/>
            <wp:effectExtent l="0" t="0" r="1270" b="0"/>
            <wp:wrapNone/>
            <wp:docPr id="1192567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67212" name="Picture 1192567212"/>
                    <pic:cNvPicPr/>
                  </pic:nvPicPr>
                  <pic:blipFill rotWithShape="1">
                    <a:blip r:embed="rId10" cstate="print">
                      <a:extLst>
                        <a:ext uri="{28A0092B-C50C-407E-A947-70E740481C1C}">
                          <a14:useLocalDpi xmlns:a14="http://schemas.microsoft.com/office/drawing/2010/main" val="0"/>
                        </a:ext>
                      </a:extLst>
                    </a:blip>
                    <a:srcRect l="2327" t="4337" b="15873"/>
                    <a:stretch>
                      <a:fillRect/>
                    </a:stretch>
                  </pic:blipFill>
                  <pic:spPr bwMode="auto">
                    <a:xfrm>
                      <a:off x="0" y="0"/>
                      <a:ext cx="5018603" cy="23569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D1322C" w14:textId="77777777" w:rsidR="000B6CD9" w:rsidRDefault="000B6CD9" w:rsidP="004B5D2B">
      <w:pPr>
        <w:jc w:val="both"/>
        <w:rPr>
          <w:rFonts w:ascii="Arial" w:hAnsi="Arial" w:cs="Arial"/>
          <w:sz w:val="20"/>
          <w:szCs w:val="20"/>
        </w:rPr>
      </w:pPr>
    </w:p>
    <w:p w14:paraId="55B3ADBC" w14:textId="77777777" w:rsidR="000B6CD9" w:rsidRDefault="000B6CD9" w:rsidP="004B5D2B">
      <w:pPr>
        <w:jc w:val="both"/>
        <w:rPr>
          <w:rFonts w:ascii="Arial" w:hAnsi="Arial" w:cs="Arial"/>
          <w:sz w:val="20"/>
          <w:szCs w:val="20"/>
        </w:rPr>
      </w:pPr>
    </w:p>
    <w:p w14:paraId="15D6BA4D" w14:textId="77777777" w:rsidR="000B6CD9" w:rsidRDefault="000B6CD9" w:rsidP="004B5D2B">
      <w:pPr>
        <w:jc w:val="both"/>
        <w:rPr>
          <w:rFonts w:ascii="Arial" w:hAnsi="Arial" w:cs="Arial"/>
          <w:sz w:val="20"/>
          <w:szCs w:val="20"/>
        </w:rPr>
      </w:pPr>
    </w:p>
    <w:p w14:paraId="7FBEB69E" w14:textId="77777777" w:rsidR="000B6CD9" w:rsidRDefault="000B6CD9" w:rsidP="004B5D2B">
      <w:pPr>
        <w:jc w:val="both"/>
        <w:rPr>
          <w:rFonts w:ascii="Arial" w:hAnsi="Arial" w:cs="Arial"/>
          <w:sz w:val="20"/>
          <w:szCs w:val="20"/>
        </w:rPr>
      </w:pPr>
    </w:p>
    <w:p w14:paraId="4B3CF055" w14:textId="77777777" w:rsidR="000B6CD9" w:rsidRDefault="000B6CD9" w:rsidP="004B5D2B">
      <w:pPr>
        <w:jc w:val="both"/>
        <w:rPr>
          <w:rFonts w:ascii="Arial" w:hAnsi="Arial" w:cs="Arial"/>
          <w:sz w:val="20"/>
          <w:szCs w:val="20"/>
        </w:rPr>
      </w:pPr>
    </w:p>
    <w:p w14:paraId="5ED1BD40" w14:textId="77777777" w:rsidR="000B6CD9" w:rsidRDefault="000B6CD9" w:rsidP="004B5D2B">
      <w:pPr>
        <w:jc w:val="both"/>
        <w:rPr>
          <w:rFonts w:ascii="Arial" w:hAnsi="Arial" w:cs="Arial"/>
          <w:sz w:val="20"/>
          <w:szCs w:val="20"/>
        </w:rPr>
      </w:pPr>
    </w:p>
    <w:p w14:paraId="14A9BC3D" w14:textId="77777777" w:rsidR="000B6CD9" w:rsidRDefault="000B6CD9" w:rsidP="004B5D2B">
      <w:pPr>
        <w:jc w:val="both"/>
        <w:rPr>
          <w:rFonts w:ascii="Arial" w:hAnsi="Arial" w:cs="Arial"/>
          <w:sz w:val="20"/>
          <w:szCs w:val="20"/>
        </w:rPr>
      </w:pPr>
    </w:p>
    <w:p w14:paraId="7DE3AC50" w14:textId="77777777" w:rsidR="000B6CD9" w:rsidRDefault="000B6CD9" w:rsidP="004B5D2B">
      <w:pPr>
        <w:jc w:val="both"/>
        <w:rPr>
          <w:rFonts w:ascii="Arial" w:hAnsi="Arial" w:cs="Arial"/>
          <w:sz w:val="20"/>
          <w:szCs w:val="20"/>
        </w:rPr>
      </w:pPr>
    </w:p>
    <w:p w14:paraId="5434C49D" w14:textId="71B7F682" w:rsidR="00183247" w:rsidRPr="00A4758D" w:rsidRDefault="00B566BD" w:rsidP="004B5D2B">
      <w:pPr>
        <w:jc w:val="both"/>
        <w:rPr>
          <w:rFonts w:ascii="Arial" w:hAnsi="Arial" w:cs="Arial"/>
          <w:sz w:val="20"/>
          <w:szCs w:val="20"/>
        </w:rPr>
      </w:pPr>
      <w:r w:rsidRPr="00A4758D">
        <w:rPr>
          <w:rFonts w:ascii="Arial" w:hAnsi="Arial" w:cs="Arial"/>
          <w:sz w:val="20"/>
          <w:szCs w:val="20"/>
        </w:rPr>
        <w:t xml:space="preserve">Fig </w:t>
      </w:r>
      <w:r w:rsidR="00DB3498">
        <w:rPr>
          <w:rFonts w:ascii="Arial" w:hAnsi="Arial" w:cs="Arial"/>
          <w:sz w:val="20"/>
          <w:szCs w:val="20"/>
        </w:rPr>
        <w:t>3</w:t>
      </w:r>
      <w:r w:rsidRPr="00A4758D">
        <w:rPr>
          <w:rFonts w:ascii="Arial" w:hAnsi="Arial" w:cs="Arial"/>
          <w:sz w:val="20"/>
          <w:szCs w:val="20"/>
        </w:rPr>
        <w:t xml:space="preserve">: </w:t>
      </w:r>
      <w:r w:rsidR="00183247" w:rsidRPr="00A4758D">
        <w:rPr>
          <w:rFonts w:ascii="Arial" w:hAnsi="Arial" w:cs="Arial"/>
          <w:sz w:val="20"/>
          <w:szCs w:val="20"/>
        </w:rPr>
        <w:t xml:space="preserve">The apoptosis caused by the phototoxicity of LEDs were assessed by using the vital dye Acridine orange (AO). Often AO is used as a marker of apoptotic cells (Ben Tucker, 2007). </w:t>
      </w:r>
      <w:r w:rsidRPr="00A4758D">
        <w:rPr>
          <w:rFonts w:ascii="Arial" w:hAnsi="Arial" w:cs="Arial"/>
          <w:sz w:val="20"/>
          <w:szCs w:val="20"/>
        </w:rPr>
        <w:t xml:space="preserve">No apoptosis was seen in the Control. </w:t>
      </w:r>
      <w:r w:rsidR="00183247" w:rsidRPr="00A4758D">
        <w:rPr>
          <w:rFonts w:ascii="Arial" w:hAnsi="Arial" w:cs="Arial"/>
          <w:sz w:val="20"/>
          <w:szCs w:val="20"/>
        </w:rPr>
        <w:t>The</w:t>
      </w:r>
      <w:r w:rsidRPr="00A4758D">
        <w:rPr>
          <w:rFonts w:ascii="Arial" w:hAnsi="Arial" w:cs="Arial"/>
          <w:sz w:val="20"/>
          <w:szCs w:val="20"/>
        </w:rPr>
        <w:t xml:space="preserve"> other</w:t>
      </w:r>
      <w:r w:rsidR="00183247" w:rsidRPr="00A4758D">
        <w:rPr>
          <w:rFonts w:ascii="Arial" w:hAnsi="Arial" w:cs="Arial"/>
          <w:sz w:val="20"/>
          <w:szCs w:val="20"/>
        </w:rPr>
        <w:t xml:space="preserve"> fluorescent images result showed that among the different LEDs</w:t>
      </w:r>
      <w:r w:rsidRPr="00A4758D">
        <w:rPr>
          <w:rFonts w:ascii="Arial" w:hAnsi="Arial" w:cs="Arial"/>
          <w:sz w:val="20"/>
          <w:szCs w:val="20"/>
        </w:rPr>
        <w:t xml:space="preserve">, </w:t>
      </w:r>
      <w:r w:rsidR="00FC7D08" w:rsidRPr="00A4758D">
        <w:rPr>
          <w:rFonts w:ascii="Arial" w:hAnsi="Arial" w:cs="Arial"/>
          <w:sz w:val="20"/>
          <w:szCs w:val="20"/>
        </w:rPr>
        <w:t>Blue LED exposed (B)</w:t>
      </w:r>
      <w:r w:rsidRPr="00A4758D">
        <w:rPr>
          <w:rFonts w:ascii="Arial" w:hAnsi="Arial" w:cs="Arial"/>
          <w:sz w:val="20"/>
          <w:szCs w:val="20"/>
        </w:rPr>
        <w:t xml:space="preserve"> larvae</w:t>
      </w:r>
      <w:r w:rsidR="00FC7D08" w:rsidRPr="00A4758D">
        <w:rPr>
          <w:rFonts w:ascii="Arial" w:hAnsi="Arial" w:cs="Arial"/>
          <w:sz w:val="20"/>
          <w:szCs w:val="20"/>
        </w:rPr>
        <w:t xml:space="preserve"> </w:t>
      </w:r>
      <w:r w:rsidRPr="00A4758D">
        <w:rPr>
          <w:rFonts w:ascii="Arial" w:hAnsi="Arial" w:cs="Arial"/>
          <w:sz w:val="20"/>
          <w:szCs w:val="20"/>
        </w:rPr>
        <w:t xml:space="preserve">had </w:t>
      </w:r>
      <w:r w:rsidR="00FC7D08" w:rsidRPr="00A4758D">
        <w:rPr>
          <w:rFonts w:ascii="Arial" w:hAnsi="Arial" w:cs="Arial"/>
          <w:sz w:val="20"/>
          <w:szCs w:val="20"/>
        </w:rPr>
        <w:t xml:space="preserve">the highest intensity with more apoptotic region followed by </w:t>
      </w:r>
      <w:proofErr w:type="gramStart"/>
      <w:r w:rsidR="00FC7D08" w:rsidRPr="00A4758D">
        <w:rPr>
          <w:rFonts w:ascii="Arial" w:hAnsi="Arial" w:cs="Arial"/>
          <w:sz w:val="20"/>
          <w:szCs w:val="20"/>
        </w:rPr>
        <w:t xml:space="preserve">the </w:t>
      </w:r>
      <w:r w:rsidR="00183247" w:rsidRPr="00A4758D">
        <w:rPr>
          <w:rFonts w:ascii="Arial" w:hAnsi="Arial" w:cs="Arial"/>
          <w:sz w:val="20"/>
          <w:szCs w:val="20"/>
        </w:rPr>
        <w:t xml:space="preserve"> </w:t>
      </w:r>
      <w:r w:rsidRPr="00A4758D">
        <w:rPr>
          <w:rFonts w:ascii="Arial" w:hAnsi="Arial" w:cs="Arial"/>
          <w:sz w:val="20"/>
          <w:szCs w:val="20"/>
        </w:rPr>
        <w:t>Yellow</w:t>
      </w:r>
      <w:proofErr w:type="gramEnd"/>
      <w:r w:rsidRPr="00A4758D">
        <w:rPr>
          <w:rFonts w:ascii="Arial" w:hAnsi="Arial" w:cs="Arial"/>
          <w:sz w:val="20"/>
          <w:szCs w:val="20"/>
        </w:rPr>
        <w:t xml:space="preserve"> LED exposed (D), </w:t>
      </w:r>
      <w:r w:rsidR="00FC7D08" w:rsidRPr="00A4758D">
        <w:rPr>
          <w:rFonts w:ascii="Arial" w:hAnsi="Arial" w:cs="Arial"/>
          <w:sz w:val="20"/>
          <w:szCs w:val="20"/>
        </w:rPr>
        <w:t>Green LED exposed (C)</w:t>
      </w:r>
      <w:r w:rsidRPr="00A4758D">
        <w:rPr>
          <w:rFonts w:ascii="Arial" w:hAnsi="Arial" w:cs="Arial"/>
          <w:sz w:val="20"/>
          <w:szCs w:val="20"/>
        </w:rPr>
        <w:t xml:space="preserve"> Red LED exposed (A) while the</w:t>
      </w:r>
      <w:r w:rsidR="00FC7D08" w:rsidRPr="00A4758D">
        <w:rPr>
          <w:rFonts w:ascii="Arial" w:hAnsi="Arial" w:cs="Arial"/>
          <w:sz w:val="20"/>
          <w:szCs w:val="20"/>
        </w:rPr>
        <w:t xml:space="preserve"> White LED exposed (E)</w:t>
      </w:r>
      <w:r w:rsidRPr="00A4758D">
        <w:rPr>
          <w:rFonts w:ascii="Arial" w:hAnsi="Arial" w:cs="Arial"/>
          <w:sz w:val="20"/>
          <w:szCs w:val="20"/>
        </w:rPr>
        <w:t xml:space="preserve"> was indeed moderately favourable to the larva with limited apoptotic region. </w:t>
      </w:r>
    </w:p>
    <w:p w14:paraId="2C99950C" w14:textId="77777777" w:rsidR="00B566BD" w:rsidRPr="00411605" w:rsidRDefault="00B566BD" w:rsidP="004B5D2B">
      <w:pPr>
        <w:jc w:val="both"/>
        <w:rPr>
          <w:rFonts w:ascii="Arial" w:hAnsi="Arial" w:cs="Arial"/>
          <w:sz w:val="22"/>
          <w:szCs w:val="22"/>
        </w:rPr>
      </w:pPr>
    </w:p>
    <w:p w14:paraId="62E4AC50" w14:textId="4566781D" w:rsidR="00B566BD" w:rsidRPr="00411605" w:rsidRDefault="000B1461" w:rsidP="004B5D2B">
      <w:pPr>
        <w:jc w:val="both"/>
        <w:rPr>
          <w:rFonts w:ascii="Arial" w:hAnsi="Arial" w:cs="Arial"/>
          <w:sz w:val="22"/>
          <w:szCs w:val="22"/>
        </w:rPr>
      </w:pPr>
      <w:r>
        <w:rPr>
          <w:rFonts w:ascii="Arial" w:hAnsi="Arial" w:cs="Arial"/>
          <w:noProof/>
          <w:sz w:val="22"/>
          <w:szCs w:val="22"/>
        </w:rPr>
        <w:lastRenderedPageBreak/>
        <w:drawing>
          <wp:inline distT="0" distB="0" distL="0" distR="0" wp14:anchorId="071AC270" wp14:editId="53116889">
            <wp:extent cx="5731510" cy="5191125"/>
            <wp:effectExtent l="0" t="0" r="2540" b="9525"/>
            <wp:docPr id="102806819"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6819" name="Picture 1" descr="A graph of different colored lines&#10;&#10;AI-generated content may be incorrect."/>
                    <pic:cNvPicPr/>
                  </pic:nvPicPr>
                  <pic:blipFill rotWithShape="1">
                    <a:blip r:embed="rId11" cstate="print">
                      <a:extLst>
                        <a:ext uri="{28A0092B-C50C-407E-A947-70E740481C1C}">
                          <a14:useLocalDpi xmlns:a14="http://schemas.microsoft.com/office/drawing/2010/main" val="0"/>
                        </a:ext>
                      </a:extLst>
                    </a:blip>
                    <a:srcRect b="35968"/>
                    <a:stretch>
                      <a:fillRect/>
                    </a:stretch>
                  </pic:blipFill>
                  <pic:spPr bwMode="auto">
                    <a:xfrm>
                      <a:off x="0" y="0"/>
                      <a:ext cx="5731510" cy="5191125"/>
                    </a:xfrm>
                    <a:prstGeom prst="rect">
                      <a:avLst/>
                    </a:prstGeom>
                    <a:ln>
                      <a:noFill/>
                    </a:ln>
                    <a:extLst>
                      <a:ext uri="{53640926-AAD7-44D8-BBD7-CCE9431645EC}">
                        <a14:shadowObscured xmlns:a14="http://schemas.microsoft.com/office/drawing/2010/main"/>
                      </a:ext>
                    </a:extLst>
                  </pic:spPr>
                </pic:pic>
              </a:graphicData>
            </a:graphic>
          </wp:inline>
        </w:drawing>
      </w:r>
    </w:p>
    <w:p w14:paraId="6D738603" w14:textId="06469200" w:rsidR="000E3C56" w:rsidRDefault="00B566BD" w:rsidP="000E3C56">
      <w:pPr>
        <w:jc w:val="both"/>
        <w:rPr>
          <w:rFonts w:ascii="Arial" w:hAnsi="Arial" w:cs="Arial"/>
          <w:sz w:val="20"/>
          <w:szCs w:val="20"/>
        </w:rPr>
      </w:pPr>
      <w:r w:rsidRPr="00A4758D">
        <w:rPr>
          <w:rFonts w:ascii="Arial" w:hAnsi="Arial" w:cs="Arial"/>
          <w:b/>
          <w:bCs/>
          <w:sz w:val="20"/>
          <w:szCs w:val="20"/>
        </w:rPr>
        <w:t xml:space="preserve">Figure </w:t>
      </w:r>
      <w:r w:rsidR="00151725">
        <w:rPr>
          <w:rFonts w:ascii="Arial" w:hAnsi="Arial" w:cs="Arial"/>
          <w:b/>
          <w:bCs/>
          <w:sz w:val="20"/>
          <w:szCs w:val="20"/>
        </w:rPr>
        <w:t>4</w:t>
      </w:r>
      <w:r w:rsidRPr="00A4758D">
        <w:rPr>
          <w:rFonts w:ascii="Arial" w:hAnsi="Arial" w:cs="Arial"/>
          <w:b/>
          <w:bCs/>
          <w:sz w:val="20"/>
          <w:szCs w:val="20"/>
        </w:rPr>
        <w:t xml:space="preserve">: </w:t>
      </w:r>
      <w:r w:rsidRPr="00A4758D">
        <w:rPr>
          <w:rFonts w:ascii="Arial" w:hAnsi="Arial" w:cs="Arial"/>
          <w:sz w:val="20"/>
          <w:szCs w:val="20"/>
        </w:rPr>
        <w:t>The dat</w:t>
      </w:r>
      <w:r w:rsidR="000B1461">
        <w:rPr>
          <w:rFonts w:ascii="Arial" w:hAnsi="Arial" w:cs="Arial"/>
          <w:sz w:val="20"/>
          <w:szCs w:val="20"/>
        </w:rPr>
        <w:t>a</w:t>
      </w:r>
      <w:r w:rsidRPr="00A4758D">
        <w:rPr>
          <w:rFonts w:ascii="Arial" w:hAnsi="Arial" w:cs="Arial"/>
          <w:sz w:val="20"/>
          <w:szCs w:val="20"/>
        </w:rPr>
        <w:t xml:space="preserve"> acquisition </w:t>
      </w:r>
      <w:r w:rsidR="000B1461">
        <w:rPr>
          <w:rFonts w:ascii="Arial" w:hAnsi="Arial" w:cs="Arial"/>
          <w:sz w:val="20"/>
          <w:szCs w:val="20"/>
        </w:rPr>
        <w:t xml:space="preserve">through the ImageJ software shows </w:t>
      </w:r>
      <w:r w:rsidR="00063419">
        <w:rPr>
          <w:rFonts w:ascii="Arial" w:hAnsi="Arial" w:cs="Arial"/>
          <w:sz w:val="20"/>
          <w:szCs w:val="20"/>
        </w:rPr>
        <w:t>various</w:t>
      </w:r>
      <w:r w:rsidR="000B1461">
        <w:rPr>
          <w:rFonts w:ascii="Arial" w:hAnsi="Arial" w:cs="Arial"/>
          <w:sz w:val="20"/>
          <w:szCs w:val="20"/>
        </w:rPr>
        <w:t xml:space="preserve"> </w:t>
      </w:r>
      <w:r w:rsidR="000E3C56" w:rsidRPr="00A4758D">
        <w:rPr>
          <w:rFonts w:ascii="Arial" w:hAnsi="Arial" w:cs="Arial"/>
          <w:sz w:val="20"/>
          <w:szCs w:val="20"/>
        </w:rPr>
        <w:t xml:space="preserve">fluorescence </w:t>
      </w:r>
      <w:r w:rsidRPr="00A4758D">
        <w:rPr>
          <w:rFonts w:ascii="Arial" w:hAnsi="Arial" w:cs="Arial"/>
          <w:sz w:val="20"/>
          <w:szCs w:val="20"/>
        </w:rPr>
        <w:t>intensit</w:t>
      </w:r>
      <w:r w:rsidR="00063419">
        <w:rPr>
          <w:rFonts w:ascii="Arial" w:hAnsi="Arial" w:cs="Arial"/>
          <w:sz w:val="20"/>
          <w:szCs w:val="20"/>
        </w:rPr>
        <w:t xml:space="preserve">ies of the 5dpf larva exposed to red, blue, green, yellow and white LEDs. </w:t>
      </w:r>
      <w:r w:rsidRPr="00A4758D">
        <w:rPr>
          <w:rFonts w:ascii="Arial" w:hAnsi="Arial" w:cs="Arial"/>
          <w:sz w:val="20"/>
          <w:szCs w:val="20"/>
        </w:rPr>
        <w:t xml:space="preserve"> </w:t>
      </w:r>
      <w:r w:rsidR="00063419" w:rsidRPr="00063419">
        <w:rPr>
          <w:rFonts w:ascii="Arial" w:hAnsi="Arial" w:cs="Arial"/>
          <w:sz w:val="20"/>
          <w:szCs w:val="20"/>
          <w:lang w:val="en-US"/>
        </w:rPr>
        <w:t xml:space="preserve">The acridine orange fluorescence assay showed clear differences in apoptosis intensity among zebrafish larvae (5 </w:t>
      </w:r>
      <w:proofErr w:type="spellStart"/>
      <w:r w:rsidR="00063419" w:rsidRPr="00063419">
        <w:rPr>
          <w:rFonts w:ascii="Arial" w:hAnsi="Arial" w:cs="Arial"/>
          <w:sz w:val="20"/>
          <w:szCs w:val="20"/>
          <w:lang w:val="en-US"/>
        </w:rPr>
        <w:t>dpf</w:t>
      </w:r>
      <w:proofErr w:type="spellEnd"/>
      <w:r w:rsidR="00063419" w:rsidRPr="00063419">
        <w:rPr>
          <w:rFonts w:ascii="Arial" w:hAnsi="Arial" w:cs="Arial"/>
          <w:sz w:val="20"/>
          <w:szCs w:val="20"/>
          <w:lang w:val="en-US"/>
        </w:rPr>
        <w:t xml:space="preserve">) subjected to different LED wavelengths. Larvae exposed to blue LEDs exhibited the strongest apoptotic response, with fluorescence intensities consistently above 20 </w:t>
      </w:r>
      <w:proofErr w:type="spellStart"/>
      <w:r w:rsidR="00063419" w:rsidRPr="00063419">
        <w:rPr>
          <w:rFonts w:ascii="Arial" w:hAnsi="Arial" w:cs="Arial"/>
          <w:sz w:val="20"/>
          <w:szCs w:val="20"/>
          <w:lang w:val="en-US"/>
        </w:rPr>
        <w:t>a.u</w:t>
      </w:r>
      <w:proofErr w:type="spellEnd"/>
      <w:r w:rsidR="00063419" w:rsidRPr="00063419">
        <w:rPr>
          <w:rFonts w:ascii="Arial" w:hAnsi="Arial" w:cs="Arial"/>
          <w:sz w:val="20"/>
          <w:szCs w:val="20"/>
          <w:lang w:val="en-US"/>
        </w:rPr>
        <w:t xml:space="preserve">. Yellow LED exposure also generated markedly higher fluorescence than the control, indicating significant phototoxic stress. White LED exposure produced moderate to high apoptotic signals with some variability across replicates. In contrast, larvae under green and red LEDs displayed lower fluorescence levels, generally below 10 </w:t>
      </w:r>
      <w:proofErr w:type="spellStart"/>
      <w:r w:rsidR="00063419" w:rsidRPr="00063419">
        <w:rPr>
          <w:rFonts w:ascii="Arial" w:hAnsi="Arial" w:cs="Arial"/>
          <w:sz w:val="20"/>
          <w:szCs w:val="20"/>
          <w:lang w:val="en-US"/>
        </w:rPr>
        <w:t>a.u</w:t>
      </w:r>
      <w:proofErr w:type="spellEnd"/>
      <w:r w:rsidR="00063419" w:rsidRPr="00063419">
        <w:rPr>
          <w:rFonts w:ascii="Arial" w:hAnsi="Arial" w:cs="Arial"/>
          <w:sz w:val="20"/>
          <w:szCs w:val="20"/>
          <w:lang w:val="en-US"/>
        </w:rPr>
        <w:t>., suggesting minimal apoptotic activity. Overall, these findings reveal a wavelength-dependent phototoxic effect, where shorter wavelengths (blue and yellow light) induce stronger apoptosis, while longer wavelengths (red and green light) cause comparatively weaker responses.</w:t>
      </w:r>
      <w:r w:rsidR="00063419">
        <w:rPr>
          <w:rFonts w:ascii="Arial" w:hAnsi="Arial" w:cs="Arial"/>
          <w:sz w:val="20"/>
          <w:szCs w:val="20"/>
          <w:lang w:val="en-US"/>
        </w:rPr>
        <w:t xml:space="preserve"> </w:t>
      </w:r>
      <w:r w:rsidR="000E3C56" w:rsidRPr="00A4758D">
        <w:rPr>
          <w:rFonts w:ascii="Arial" w:hAnsi="Arial" w:cs="Arial"/>
          <w:sz w:val="20"/>
          <w:szCs w:val="20"/>
        </w:rPr>
        <w:t xml:space="preserve">Results are compared using </w:t>
      </w:r>
      <w:r w:rsidR="00063419">
        <w:rPr>
          <w:rFonts w:ascii="Arial" w:hAnsi="Arial" w:cs="Arial"/>
          <w:sz w:val="20"/>
          <w:szCs w:val="20"/>
        </w:rPr>
        <w:t>two</w:t>
      </w:r>
      <w:r w:rsidR="000E3C56" w:rsidRPr="00A4758D">
        <w:rPr>
          <w:rFonts w:ascii="Arial" w:hAnsi="Arial" w:cs="Arial"/>
          <w:sz w:val="20"/>
          <w:szCs w:val="20"/>
        </w:rPr>
        <w:t xml:space="preserve">-way analysis of variance (ANOVA) by applying Tukey multiple-comparisons test, using GraphPad Prism version 5 software (GraphPad </w:t>
      </w:r>
      <w:proofErr w:type="spellStart"/>
      <w:r w:rsidR="000E3C56" w:rsidRPr="00A4758D">
        <w:rPr>
          <w:rFonts w:ascii="Arial" w:hAnsi="Arial" w:cs="Arial"/>
          <w:sz w:val="20"/>
          <w:szCs w:val="20"/>
        </w:rPr>
        <w:t>Sofware</w:t>
      </w:r>
      <w:proofErr w:type="spellEnd"/>
      <w:r w:rsidR="000E3C56" w:rsidRPr="00A4758D">
        <w:rPr>
          <w:rFonts w:ascii="Arial" w:hAnsi="Arial" w:cs="Arial"/>
          <w:sz w:val="20"/>
          <w:szCs w:val="20"/>
        </w:rPr>
        <w:t>, San Diego, USA</w:t>
      </w:r>
      <w:r w:rsidR="004D0C5B" w:rsidRPr="00A4758D">
        <w:rPr>
          <w:rFonts w:ascii="Arial" w:hAnsi="Arial" w:cs="Arial"/>
          <w:sz w:val="20"/>
          <w:szCs w:val="20"/>
        </w:rPr>
        <w:t xml:space="preserve">, </w:t>
      </w:r>
      <w:r w:rsidR="004D0C5B" w:rsidRPr="000B1461">
        <w:rPr>
          <w:rFonts w:ascii="Arial" w:hAnsi="Arial" w:cs="Arial"/>
          <w:sz w:val="20"/>
          <w:szCs w:val="20"/>
        </w:rPr>
        <w:t>p</w:t>
      </w:r>
      <w:r w:rsidR="004D0C5B" w:rsidRPr="000B1461">
        <w:rPr>
          <w:rFonts w:ascii="Arial" w:eastAsia="Times New Roman" w:hAnsi="Arial" w:cs="Arial"/>
          <w:kern w:val="0"/>
          <w:sz w:val="20"/>
          <w:szCs w:val="20"/>
          <w:lang w:eastAsia="en-IN" w:bidi="ta-IN"/>
          <w14:ligatures w14:val="none"/>
        </w:rPr>
        <w:t>=</w:t>
      </w:r>
      <w:r w:rsidR="002006AC" w:rsidRPr="000B1461">
        <w:rPr>
          <w:rFonts w:ascii="Arial" w:eastAsia="Times New Roman" w:hAnsi="Arial" w:cs="Arial"/>
          <w:kern w:val="0"/>
          <w:sz w:val="20"/>
          <w:szCs w:val="20"/>
          <w:lang w:eastAsia="en-IN" w:bidi="ta-IN"/>
          <w14:ligatures w14:val="none"/>
        </w:rPr>
        <w:t>&lt;</w:t>
      </w:r>
      <w:r w:rsidR="004D0C5B" w:rsidRPr="000B1461">
        <w:rPr>
          <w:rFonts w:ascii="Arial" w:eastAsia="Times New Roman" w:hAnsi="Arial" w:cs="Arial"/>
          <w:kern w:val="0"/>
          <w:sz w:val="20"/>
          <w:szCs w:val="20"/>
          <w:lang w:eastAsia="en-IN" w:bidi="ta-IN"/>
          <w14:ligatures w14:val="none"/>
        </w:rPr>
        <w:t>0.</w:t>
      </w:r>
      <w:r w:rsidR="002006AC" w:rsidRPr="000B1461">
        <w:rPr>
          <w:rFonts w:ascii="Arial" w:eastAsia="Times New Roman" w:hAnsi="Arial" w:cs="Arial"/>
          <w:kern w:val="0"/>
          <w:sz w:val="20"/>
          <w:szCs w:val="20"/>
          <w:lang w:eastAsia="en-IN" w:bidi="ta-IN"/>
          <w14:ligatures w14:val="none"/>
        </w:rPr>
        <w:t>0001</w:t>
      </w:r>
      <w:r w:rsidR="000E3C56" w:rsidRPr="000B1461">
        <w:rPr>
          <w:rFonts w:ascii="Arial" w:hAnsi="Arial" w:cs="Arial"/>
          <w:sz w:val="20"/>
          <w:szCs w:val="20"/>
        </w:rPr>
        <w:t xml:space="preserve">). </w:t>
      </w:r>
    </w:p>
    <w:p w14:paraId="3A2CB42C" w14:textId="77777777" w:rsidR="0099078E" w:rsidRDefault="0099078E" w:rsidP="000E3C56">
      <w:pPr>
        <w:jc w:val="both"/>
        <w:rPr>
          <w:rFonts w:ascii="Arial" w:hAnsi="Arial" w:cs="Arial"/>
          <w:sz w:val="20"/>
          <w:szCs w:val="20"/>
        </w:rPr>
      </w:pPr>
    </w:p>
    <w:p w14:paraId="4D8CD67F" w14:textId="77777777" w:rsidR="0099078E" w:rsidRDefault="0099078E" w:rsidP="000E3C56">
      <w:pPr>
        <w:jc w:val="both"/>
        <w:rPr>
          <w:rFonts w:ascii="Arial" w:hAnsi="Arial" w:cs="Arial"/>
          <w:sz w:val="20"/>
          <w:szCs w:val="20"/>
        </w:rPr>
      </w:pPr>
    </w:p>
    <w:p w14:paraId="3A62B89C" w14:textId="77777777" w:rsidR="0099078E" w:rsidRDefault="0099078E" w:rsidP="000E3C56">
      <w:pPr>
        <w:jc w:val="both"/>
        <w:rPr>
          <w:rFonts w:ascii="Arial" w:hAnsi="Arial" w:cs="Arial"/>
          <w:sz w:val="20"/>
          <w:szCs w:val="20"/>
        </w:rPr>
      </w:pPr>
    </w:p>
    <w:p w14:paraId="5B006916" w14:textId="77777777" w:rsidR="0099078E" w:rsidRPr="00063419" w:rsidRDefault="0099078E" w:rsidP="000E3C56">
      <w:pPr>
        <w:jc w:val="both"/>
        <w:rPr>
          <w:rFonts w:ascii="Arial" w:hAnsi="Arial" w:cs="Arial"/>
          <w:sz w:val="20"/>
          <w:szCs w:val="20"/>
          <w:lang w:val="en-US"/>
        </w:rPr>
      </w:pPr>
    </w:p>
    <w:p w14:paraId="389FCD83" w14:textId="77777777" w:rsidR="000E3C56" w:rsidRPr="00411605" w:rsidRDefault="000E3C56" w:rsidP="00FC7D08">
      <w:pPr>
        <w:jc w:val="both"/>
        <w:rPr>
          <w:rFonts w:ascii="Arial" w:hAnsi="Arial" w:cs="Arial"/>
          <w:b/>
          <w:bCs/>
        </w:rPr>
      </w:pPr>
    </w:p>
    <w:p w14:paraId="6B8DC8A2" w14:textId="261617E7" w:rsidR="00B566BD" w:rsidRPr="00A4758D" w:rsidRDefault="00B566BD" w:rsidP="00FC7D08">
      <w:pPr>
        <w:jc w:val="both"/>
        <w:rPr>
          <w:rFonts w:ascii="Arial" w:hAnsi="Arial" w:cs="Arial"/>
          <w:b/>
          <w:bCs/>
          <w:sz w:val="22"/>
          <w:szCs w:val="22"/>
        </w:rPr>
      </w:pPr>
      <w:r w:rsidRPr="00A4758D">
        <w:rPr>
          <w:rFonts w:ascii="Arial" w:hAnsi="Arial" w:cs="Arial"/>
          <w:b/>
          <w:bCs/>
          <w:sz w:val="22"/>
          <w:szCs w:val="22"/>
        </w:rPr>
        <w:t>CONCLUSION:</w:t>
      </w:r>
    </w:p>
    <w:p w14:paraId="33B72A45" w14:textId="5070E9F7" w:rsidR="00667DD4" w:rsidRPr="00A4758D" w:rsidRDefault="00FC7D08" w:rsidP="00667DD4">
      <w:pPr>
        <w:spacing w:after="0" w:line="240" w:lineRule="auto"/>
        <w:jc w:val="both"/>
        <w:rPr>
          <w:rFonts w:ascii="Arial" w:hAnsi="Arial" w:cs="Arial"/>
          <w:sz w:val="20"/>
          <w:szCs w:val="20"/>
        </w:rPr>
      </w:pPr>
      <w:bookmarkStart w:id="3" w:name="_Hlk208131647"/>
      <w:r w:rsidRPr="00A4758D">
        <w:rPr>
          <w:rFonts w:ascii="Arial" w:hAnsi="Arial" w:cs="Arial"/>
          <w:sz w:val="20"/>
          <w:szCs w:val="20"/>
        </w:rPr>
        <w:t>The programmed cell death known as apoptosis is of critical importance in various biological contexts, playing key roles during embryogenesis, in maintaining the homeostatic balance of tissues, and in regulating the immune system. The zebrafish—an extraordinary vertebrate model organism that offers powerful experimental advantages—has been used extensively to examine apoptotic cell death in both normal developmental contexts and in various experimental paradigms that stress cells and tissues.</w:t>
      </w:r>
      <w:r w:rsidR="002A3F7D">
        <w:rPr>
          <w:rFonts w:ascii="Arial" w:hAnsi="Arial" w:cs="Arial"/>
          <w:sz w:val="20"/>
          <w:szCs w:val="20"/>
        </w:rPr>
        <w:t xml:space="preserve"> </w:t>
      </w:r>
      <w:r w:rsidR="007E55A8" w:rsidRPr="00A4758D">
        <w:rPr>
          <w:rFonts w:ascii="Arial" w:hAnsi="Arial" w:cs="Arial"/>
          <w:sz w:val="20"/>
          <w:szCs w:val="20"/>
        </w:rPr>
        <w:t xml:space="preserve">Under blue and yellow lights (Fig. 4.), zebrafish exhibited higher apoptosis rate. </w:t>
      </w:r>
      <w:r w:rsidR="00AF5BA9" w:rsidRPr="00A4758D">
        <w:rPr>
          <w:rFonts w:ascii="Arial" w:hAnsi="Arial" w:cs="Arial"/>
          <w:sz w:val="20"/>
          <w:szCs w:val="20"/>
        </w:rPr>
        <w:t>The increased apoptosis observed under blue and yellow LED illumination suggests potential mechanisms involving oxidative stress, similar to findings with nanoparticles (</w:t>
      </w:r>
      <w:r w:rsidR="00AF5BA9" w:rsidRPr="00A4758D">
        <w:rPr>
          <w:rFonts w:ascii="Arial" w:eastAsia="Times New Roman" w:hAnsi="Arial" w:cs="Arial"/>
          <w:kern w:val="0"/>
          <w:sz w:val="20"/>
          <w:szCs w:val="20"/>
          <w:lang w:eastAsia="en-IN" w:bidi="ta-IN"/>
          <w14:ligatures w14:val="none"/>
        </w:rPr>
        <w:t>Bar-Ilan et.al., 2011</w:t>
      </w:r>
      <w:proofErr w:type="gramStart"/>
      <w:r w:rsidR="00AF5BA9" w:rsidRPr="00A4758D">
        <w:rPr>
          <w:rFonts w:ascii="Arial" w:eastAsia="Times New Roman" w:hAnsi="Arial" w:cs="Arial"/>
          <w:kern w:val="0"/>
          <w:sz w:val="20"/>
          <w:szCs w:val="20"/>
          <w:lang w:eastAsia="en-IN" w:bidi="ta-IN"/>
          <w14:ligatures w14:val="none"/>
        </w:rPr>
        <w:t xml:space="preserve">) </w:t>
      </w:r>
      <w:r w:rsidR="00AF5BA9" w:rsidRPr="00A4758D">
        <w:rPr>
          <w:rFonts w:ascii="Arial" w:hAnsi="Arial" w:cs="Arial"/>
          <w:sz w:val="20"/>
          <w:szCs w:val="20"/>
        </w:rPr>
        <w:t xml:space="preserve"> or</w:t>
      </w:r>
      <w:proofErr w:type="gramEnd"/>
      <w:r w:rsidR="00AF5BA9" w:rsidRPr="00A4758D">
        <w:rPr>
          <w:rFonts w:ascii="Arial" w:hAnsi="Arial" w:cs="Arial"/>
          <w:sz w:val="20"/>
          <w:szCs w:val="20"/>
        </w:rPr>
        <w:t xml:space="preserve"> chemical phototoxicity (Reber </w:t>
      </w:r>
      <w:r w:rsidR="00AF5BA9" w:rsidRPr="00A4758D">
        <w:rPr>
          <w:rFonts w:ascii="Arial" w:hAnsi="Arial" w:cs="Arial"/>
          <w:i/>
          <w:iCs/>
          <w:sz w:val="20"/>
          <w:szCs w:val="20"/>
        </w:rPr>
        <w:t>et.al.,</w:t>
      </w:r>
      <w:r w:rsidR="00AF5BA9" w:rsidRPr="00A4758D">
        <w:rPr>
          <w:rFonts w:ascii="Arial" w:hAnsi="Arial" w:cs="Arial"/>
          <w:sz w:val="20"/>
          <w:szCs w:val="20"/>
        </w:rPr>
        <w:t xml:space="preserve"> 1994). Further theoretical contributions could involve hypothesizing that these wavelengths efficiently generate reactive oxygen species in developing zebrafish, thus providing a breakthrough insight into LED-specific phototoxic pathways. This novel methodology would directly test the hypothesis of oxidative stress as a primary mechanism, providing a deeper understanding of the observed differential apoptosis.</w:t>
      </w:r>
      <w:r w:rsidR="00667DD4" w:rsidRPr="00A4758D">
        <w:rPr>
          <w:rFonts w:ascii="Arial" w:hAnsi="Arial" w:cs="Arial"/>
          <w:sz w:val="20"/>
          <w:szCs w:val="20"/>
        </w:rPr>
        <w:t xml:space="preserve"> Collectively, our study emphasizes two key outcomes:</w:t>
      </w:r>
    </w:p>
    <w:p w14:paraId="14DD62F0" w14:textId="77777777" w:rsidR="00667DD4" w:rsidRPr="00A4758D" w:rsidRDefault="00667DD4" w:rsidP="00667DD4">
      <w:pPr>
        <w:spacing w:after="0" w:line="240" w:lineRule="auto"/>
        <w:jc w:val="both"/>
        <w:rPr>
          <w:rFonts w:ascii="Arial" w:hAnsi="Arial" w:cs="Arial"/>
          <w:sz w:val="20"/>
          <w:szCs w:val="20"/>
        </w:rPr>
      </w:pPr>
    </w:p>
    <w:p w14:paraId="0C295F87" w14:textId="77777777" w:rsidR="00667DD4" w:rsidRPr="00A4758D" w:rsidRDefault="00667DD4" w:rsidP="00667DD4">
      <w:pPr>
        <w:spacing w:after="0" w:line="240" w:lineRule="auto"/>
        <w:jc w:val="both"/>
        <w:rPr>
          <w:rFonts w:ascii="Arial" w:hAnsi="Arial" w:cs="Arial"/>
          <w:sz w:val="20"/>
          <w:szCs w:val="20"/>
        </w:rPr>
      </w:pPr>
      <w:r w:rsidRPr="00A4758D">
        <w:rPr>
          <w:rFonts w:ascii="Arial" w:hAnsi="Arial" w:cs="Arial"/>
          <w:sz w:val="20"/>
          <w:szCs w:val="20"/>
        </w:rPr>
        <w:t>1. Zebrafish as a sensitive model system to evaluate environmental stressors such as light-induced apoptosis.</w:t>
      </w:r>
    </w:p>
    <w:p w14:paraId="3F1CB39D" w14:textId="77777777" w:rsidR="00667DD4" w:rsidRPr="00A4758D" w:rsidRDefault="00667DD4" w:rsidP="00667DD4">
      <w:pPr>
        <w:spacing w:after="0" w:line="240" w:lineRule="auto"/>
        <w:jc w:val="both"/>
        <w:rPr>
          <w:rFonts w:ascii="Arial" w:hAnsi="Arial" w:cs="Arial"/>
          <w:sz w:val="20"/>
          <w:szCs w:val="20"/>
        </w:rPr>
      </w:pPr>
      <w:r w:rsidRPr="00A4758D">
        <w:rPr>
          <w:rFonts w:ascii="Arial" w:hAnsi="Arial" w:cs="Arial"/>
          <w:sz w:val="20"/>
          <w:szCs w:val="20"/>
        </w:rPr>
        <w:t>2. The importance of wavelength-specific effects of light exposure, with shorter wavelengths posing a significantly higher risk to cellular health.</w:t>
      </w:r>
    </w:p>
    <w:p w14:paraId="4B235D4F" w14:textId="77777777" w:rsidR="00667DD4" w:rsidRPr="00A4758D" w:rsidRDefault="00667DD4" w:rsidP="00667DD4">
      <w:pPr>
        <w:spacing w:after="0" w:line="240" w:lineRule="auto"/>
        <w:jc w:val="both"/>
        <w:rPr>
          <w:rFonts w:ascii="Arial" w:hAnsi="Arial" w:cs="Arial"/>
          <w:sz w:val="20"/>
          <w:szCs w:val="20"/>
        </w:rPr>
      </w:pPr>
    </w:p>
    <w:p w14:paraId="439D1663" w14:textId="77777777" w:rsidR="00667DD4" w:rsidRPr="00A4758D" w:rsidRDefault="00667DD4" w:rsidP="00667DD4">
      <w:pPr>
        <w:spacing w:after="0" w:line="240" w:lineRule="auto"/>
        <w:jc w:val="both"/>
        <w:rPr>
          <w:rFonts w:ascii="Arial" w:hAnsi="Arial" w:cs="Arial"/>
          <w:sz w:val="20"/>
          <w:szCs w:val="20"/>
        </w:rPr>
      </w:pPr>
      <w:r w:rsidRPr="00A4758D">
        <w:rPr>
          <w:rFonts w:ascii="Arial" w:hAnsi="Arial" w:cs="Arial"/>
          <w:sz w:val="20"/>
          <w:szCs w:val="20"/>
        </w:rPr>
        <w:t>Future studies should aim to dissect the molecular mechanisms underlying this wavelength-dependent apoptosis, particularly focusing on oxidative stress pathways, mitochondrial dysfunction and caspase activation. Moreover, long-term exposure experiments and protective strategies (e.g., light filters, antioxidants) could provide translational insights into mitigating the phototoxic effects of LEDs in humans.</w:t>
      </w:r>
    </w:p>
    <w:p w14:paraId="3D89E7E6" w14:textId="0758C593" w:rsidR="00AF5BA9" w:rsidRPr="00A4758D" w:rsidRDefault="00667DD4" w:rsidP="00667DD4">
      <w:pPr>
        <w:spacing w:after="0" w:line="240" w:lineRule="auto"/>
        <w:jc w:val="both"/>
        <w:rPr>
          <w:rFonts w:ascii="Arial" w:hAnsi="Arial" w:cs="Arial"/>
          <w:sz w:val="20"/>
          <w:szCs w:val="20"/>
        </w:rPr>
      </w:pPr>
      <w:r w:rsidRPr="00A4758D">
        <w:rPr>
          <w:rFonts w:ascii="Arial" w:hAnsi="Arial" w:cs="Arial"/>
          <w:sz w:val="20"/>
          <w:szCs w:val="20"/>
        </w:rPr>
        <w:t>Thus, this work not only advances our understanding of light-induced apoptosis in zebrafish development but also underscores the growing relevance of environmental light as a factor influencing vertebrate health, bridging experimental biology with public health concerns.</w:t>
      </w:r>
    </w:p>
    <w:p w14:paraId="6E92447C" w14:textId="77777777" w:rsidR="00AF5BA9" w:rsidRPr="00411605" w:rsidRDefault="00AF5BA9" w:rsidP="00AF5BA9">
      <w:pPr>
        <w:spacing w:after="0" w:line="240" w:lineRule="auto"/>
        <w:jc w:val="both"/>
        <w:rPr>
          <w:rFonts w:ascii="Arial" w:hAnsi="Arial" w:cs="Arial"/>
        </w:rPr>
      </w:pPr>
    </w:p>
    <w:p w14:paraId="4A9FBCF4" w14:textId="7C5A3265" w:rsidR="00AF5BA9" w:rsidRPr="00411605" w:rsidRDefault="00AF5BA9" w:rsidP="00AF5BA9">
      <w:pPr>
        <w:spacing w:after="0" w:line="240" w:lineRule="auto"/>
        <w:jc w:val="both"/>
        <w:rPr>
          <w:rFonts w:ascii="Arial" w:hAnsi="Arial" w:cs="Arial"/>
        </w:rPr>
      </w:pPr>
      <w:r w:rsidRPr="00411605">
        <w:rPr>
          <w:rFonts w:ascii="Arial" w:hAnsi="Arial" w:cs="Arial"/>
        </w:rPr>
        <w:t>.</w:t>
      </w:r>
    </w:p>
    <w:bookmarkEnd w:id="3"/>
    <w:p w14:paraId="7AAD3FD9" w14:textId="396731FE" w:rsidR="00BC496B" w:rsidRPr="00411605" w:rsidRDefault="00BC496B" w:rsidP="00BC496B">
      <w:pPr>
        <w:jc w:val="both"/>
        <w:rPr>
          <w:rFonts w:ascii="Arial" w:hAnsi="Arial" w:cs="Arial"/>
          <w:b/>
          <w:bCs/>
        </w:rPr>
      </w:pPr>
      <w:r w:rsidRPr="00411605">
        <w:rPr>
          <w:rFonts w:ascii="Arial" w:hAnsi="Arial" w:cs="Arial"/>
          <w:b/>
          <w:bCs/>
        </w:rPr>
        <w:t>REFERENCES:</w:t>
      </w:r>
    </w:p>
    <w:bookmarkEnd w:id="2"/>
    <w:p w14:paraId="557758E4" w14:textId="4823590D" w:rsidR="009A1E7F"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Abrams, J. M. (1993). Programmed cell death during </w:t>
      </w:r>
      <w:r w:rsidRPr="00A4758D">
        <w:rPr>
          <w:rFonts w:ascii="Arial" w:eastAsia="Times New Roman" w:hAnsi="Arial" w:cs="Arial"/>
          <w:i/>
          <w:iCs/>
          <w:kern w:val="0"/>
          <w:sz w:val="20"/>
          <w:szCs w:val="20"/>
          <w:lang w:eastAsia="en-IN" w:bidi="ta-IN"/>
          <w14:ligatures w14:val="none"/>
        </w:rPr>
        <w:t>Drosophila</w:t>
      </w:r>
      <w:r w:rsidRPr="00A4758D">
        <w:rPr>
          <w:rFonts w:ascii="Arial" w:eastAsia="Times New Roman" w:hAnsi="Arial" w:cs="Arial"/>
          <w:kern w:val="0"/>
          <w:sz w:val="20"/>
          <w:szCs w:val="20"/>
          <w:lang w:eastAsia="en-IN" w:bidi="ta-IN"/>
          <w14:ligatures w14:val="none"/>
        </w:rPr>
        <w:t xml:space="preserve"> embryogenesis. </w:t>
      </w:r>
      <w:r w:rsidRPr="00A4758D">
        <w:rPr>
          <w:rFonts w:ascii="Arial" w:eastAsia="Times New Roman" w:hAnsi="Arial" w:cs="Arial"/>
          <w:i/>
          <w:iCs/>
          <w:kern w:val="0"/>
          <w:sz w:val="20"/>
          <w:szCs w:val="20"/>
          <w:lang w:eastAsia="en-IN" w:bidi="ta-IN"/>
          <w14:ligatures w14:val="none"/>
        </w:rPr>
        <w:t>Development, 117</w:t>
      </w:r>
      <w:r w:rsidRPr="00A4758D">
        <w:rPr>
          <w:rFonts w:ascii="Arial" w:eastAsia="Times New Roman" w:hAnsi="Arial" w:cs="Arial"/>
          <w:kern w:val="0"/>
          <w:sz w:val="20"/>
          <w:szCs w:val="20"/>
          <w:lang w:eastAsia="en-IN" w:bidi="ta-IN"/>
          <w14:ligatures w14:val="none"/>
        </w:rPr>
        <w:t>(1), 29–43.</w:t>
      </w:r>
    </w:p>
    <w:p w14:paraId="567E5F57" w14:textId="01464695" w:rsidR="00C83DDD" w:rsidRPr="00A4758D" w:rsidRDefault="00C83DDD"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C83DDD">
        <w:rPr>
          <w:rFonts w:ascii="Arial" w:eastAsia="Times New Roman" w:hAnsi="Arial" w:cs="Arial"/>
          <w:kern w:val="0"/>
          <w:sz w:val="20"/>
          <w:szCs w:val="20"/>
          <w:lang w:eastAsia="en-IN" w:bidi="ta-IN"/>
          <w14:ligatures w14:val="none"/>
        </w:rPr>
        <w:t>Arena, E., Rueden, C., &amp; Hiner, M. (2017). Quantitating the cell: turning images into numbers with ImageJ. https://wires.onlinelibrary.wiley.com/doi/abs/10.1002/wdev.260</w:t>
      </w:r>
    </w:p>
    <w:p w14:paraId="1E4A7628" w14:textId="263F2CFC" w:rsidR="00AF5BA9" w:rsidRPr="00A4758D" w:rsidRDefault="00AF5BA9"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Bar-Ilan, O., Louis, K. M., Yang, S. P., Pedersen, J. A., Hamers, R. J., Peterson, R. E., &amp; Heideman, W. (2011). Titanium dioxide nanoparticles produce phototoxicity in the developing zebrafish. Nanotoxicology, 6(6), 670–679. https://doi.org/10.3109/17435390.2011.604438</w:t>
      </w:r>
    </w:p>
    <w:p w14:paraId="7D100A0C" w14:textId="6D05CF3B" w:rsidR="00FD6FA2" w:rsidRDefault="00FD6FA2"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FD6FA2">
        <w:rPr>
          <w:rFonts w:ascii="Arial" w:eastAsia="Times New Roman" w:hAnsi="Arial" w:cs="Arial"/>
          <w:kern w:val="0"/>
          <w:sz w:val="20"/>
          <w:szCs w:val="20"/>
          <w:lang w:eastAsia="en-IN" w:bidi="ta-IN"/>
          <w14:ligatures w14:val="none"/>
        </w:rPr>
        <w:t>Cheng, K., Hsu, Y., Liu, W., Huang, H., &amp; Chen, L. (2021). The role of oxidative stress and autophagy in blue-light-induced damage to the retinal pigment epithelium in zebrafish in vitro and in vivo. https://www.mdpi.com/1422-0067/22/3/1338</w:t>
      </w:r>
    </w:p>
    <w:p w14:paraId="5E9A0FFF" w14:textId="33D492C9" w:rsidR="009A1E7F" w:rsidRPr="00A4758D"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Dekens, M. P., Foulkes, N. S., &amp; </w:t>
      </w:r>
      <w:proofErr w:type="spellStart"/>
      <w:r w:rsidRPr="00A4758D">
        <w:rPr>
          <w:rFonts w:ascii="Arial" w:eastAsia="Times New Roman" w:hAnsi="Arial" w:cs="Arial"/>
          <w:kern w:val="0"/>
          <w:sz w:val="20"/>
          <w:szCs w:val="20"/>
          <w:lang w:eastAsia="en-IN" w:bidi="ta-IN"/>
          <w14:ligatures w14:val="none"/>
        </w:rPr>
        <w:t>Tessmar-Raible</w:t>
      </w:r>
      <w:proofErr w:type="spellEnd"/>
      <w:r w:rsidRPr="00A4758D">
        <w:rPr>
          <w:rFonts w:ascii="Arial" w:eastAsia="Times New Roman" w:hAnsi="Arial" w:cs="Arial"/>
          <w:kern w:val="0"/>
          <w:sz w:val="20"/>
          <w:szCs w:val="20"/>
          <w:lang w:eastAsia="en-IN" w:bidi="ta-IN"/>
          <w14:ligatures w14:val="none"/>
        </w:rPr>
        <w:t xml:space="preserve">, K. (2017). Instrument design and protocol for the study of light controlled processes in aquatic organisms, and its application to examine the effect of infrared light on zebrafish. </w:t>
      </w:r>
      <w:proofErr w:type="spellStart"/>
      <w:r w:rsidRPr="00A4758D">
        <w:rPr>
          <w:rFonts w:ascii="Arial" w:eastAsia="Times New Roman" w:hAnsi="Arial" w:cs="Arial"/>
          <w:i/>
          <w:iCs/>
          <w:kern w:val="0"/>
          <w:sz w:val="20"/>
          <w:szCs w:val="20"/>
          <w:lang w:eastAsia="en-IN" w:bidi="ta-IN"/>
          <w14:ligatures w14:val="none"/>
        </w:rPr>
        <w:t>PLoS</w:t>
      </w:r>
      <w:proofErr w:type="spellEnd"/>
      <w:r w:rsidRPr="00A4758D">
        <w:rPr>
          <w:rFonts w:ascii="Arial" w:eastAsia="Times New Roman" w:hAnsi="Arial" w:cs="Arial"/>
          <w:i/>
          <w:iCs/>
          <w:kern w:val="0"/>
          <w:sz w:val="20"/>
          <w:szCs w:val="20"/>
          <w:lang w:eastAsia="en-IN" w:bidi="ta-IN"/>
          <w14:ligatures w14:val="none"/>
        </w:rPr>
        <w:t xml:space="preserve"> ONE, 12</w:t>
      </w:r>
      <w:r w:rsidRPr="00A4758D">
        <w:rPr>
          <w:rFonts w:ascii="Arial" w:eastAsia="Times New Roman" w:hAnsi="Arial" w:cs="Arial"/>
          <w:kern w:val="0"/>
          <w:sz w:val="20"/>
          <w:szCs w:val="20"/>
          <w:lang w:eastAsia="en-IN" w:bidi="ta-IN"/>
          <w14:ligatures w14:val="none"/>
        </w:rPr>
        <w:t>(2), e0172038. https://doi.org/10.1371/journal.pone.0172038</w:t>
      </w:r>
    </w:p>
    <w:p w14:paraId="57649C6D" w14:textId="65FC2609" w:rsidR="009A1E7F" w:rsidRPr="00A4758D"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proofErr w:type="spellStart"/>
      <w:r w:rsidRPr="00A4758D">
        <w:rPr>
          <w:rFonts w:ascii="Arial" w:eastAsia="Times New Roman" w:hAnsi="Arial" w:cs="Arial"/>
          <w:kern w:val="0"/>
          <w:sz w:val="20"/>
          <w:szCs w:val="20"/>
          <w:lang w:eastAsia="en-IN" w:bidi="ta-IN"/>
          <w14:ligatures w14:val="none"/>
        </w:rPr>
        <w:t>Daims</w:t>
      </w:r>
      <w:proofErr w:type="spellEnd"/>
      <w:r w:rsidRPr="00A4758D">
        <w:rPr>
          <w:rFonts w:ascii="Arial" w:eastAsia="Times New Roman" w:hAnsi="Arial" w:cs="Arial"/>
          <w:kern w:val="0"/>
          <w:sz w:val="20"/>
          <w:szCs w:val="20"/>
          <w:lang w:eastAsia="en-IN" w:bidi="ta-IN"/>
          <w14:ligatures w14:val="none"/>
        </w:rPr>
        <w:t xml:space="preserve">, H., </w:t>
      </w:r>
      <w:proofErr w:type="spellStart"/>
      <w:r w:rsidRPr="00A4758D">
        <w:rPr>
          <w:rFonts w:ascii="Arial" w:eastAsia="Times New Roman" w:hAnsi="Arial" w:cs="Arial"/>
          <w:kern w:val="0"/>
          <w:sz w:val="20"/>
          <w:szCs w:val="20"/>
          <w:lang w:eastAsia="en-IN" w:bidi="ta-IN"/>
          <w14:ligatures w14:val="none"/>
        </w:rPr>
        <w:t>Lücker</w:t>
      </w:r>
      <w:proofErr w:type="spellEnd"/>
      <w:r w:rsidRPr="00A4758D">
        <w:rPr>
          <w:rFonts w:ascii="Arial" w:eastAsia="Times New Roman" w:hAnsi="Arial" w:cs="Arial"/>
          <w:kern w:val="0"/>
          <w:sz w:val="20"/>
          <w:szCs w:val="20"/>
          <w:lang w:eastAsia="en-IN" w:bidi="ta-IN"/>
          <w14:ligatures w14:val="none"/>
        </w:rPr>
        <w:t xml:space="preserve">, S., &amp; Wagner, M. (2006). </w:t>
      </w:r>
      <w:proofErr w:type="spellStart"/>
      <w:r w:rsidRPr="00A4758D">
        <w:rPr>
          <w:rFonts w:ascii="Arial" w:eastAsia="Times New Roman" w:hAnsi="Arial" w:cs="Arial"/>
          <w:kern w:val="0"/>
          <w:sz w:val="20"/>
          <w:szCs w:val="20"/>
          <w:lang w:eastAsia="en-IN" w:bidi="ta-IN"/>
          <w14:ligatures w14:val="none"/>
        </w:rPr>
        <w:t>daime</w:t>
      </w:r>
      <w:proofErr w:type="spellEnd"/>
      <w:r w:rsidRPr="00A4758D">
        <w:rPr>
          <w:rFonts w:ascii="Arial" w:eastAsia="Times New Roman" w:hAnsi="Arial" w:cs="Arial"/>
          <w:kern w:val="0"/>
          <w:sz w:val="20"/>
          <w:szCs w:val="20"/>
          <w:lang w:eastAsia="en-IN" w:bidi="ta-IN"/>
          <w14:ligatures w14:val="none"/>
        </w:rPr>
        <w:t xml:space="preserve">, a novel image analysis program for microbial ecology and biofilm research. </w:t>
      </w:r>
      <w:r w:rsidRPr="00A4758D">
        <w:rPr>
          <w:rFonts w:ascii="Arial" w:eastAsia="Times New Roman" w:hAnsi="Arial" w:cs="Arial"/>
          <w:i/>
          <w:iCs/>
          <w:kern w:val="0"/>
          <w:sz w:val="20"/>
          <w:szCs w:val="20"/>
          <w:lang w:eastAsia="en-IN" w:bidi="ta-IN"/>
          <w14:ligatures w14:val="none"/>
        </w:rPr>
        <w:t>Environmental Microbiology, 8</w:t>
      </w:r>
      <w:r w:rsidRPr="00A4758D">
        <w:rPr>
          <w:rFonts w:ascii="Arial" w:eastAsia="Times New Roman" w:hAnsi="Arial" w:cs="Arial"/>
          <w:kern w:val="0"/>
          <w:sz w:val="20"/>
          <w:szCs w:val="20"/>
          <w:lang w:eastAsia="en-IN" w:bidi="ta-IN"/>
          <w14:ligatures w14:val="none"/>
        </w:rPr>
        <w:t>(2), 200–213. https://doi.org/10.1111/j.1462-2920.2005.00880.x</w:t>
      </w:r>
    </w:p>
    <w:p w14:paraId="49D1E5ED" w14:textId="626FCBC2" w:rsidR="009A1E7F" w:rsidRPr="00A4758D"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proofErr w:type="spellStart"/>
      <w:r w:rsidRPr="00A4758D">
        <w:rPr>
          <w:rFonts w:ascii="Arial" w:eastAsia="Times New Roman" w:hAnsi="Arial" w:cs="Arial"/>
          <w:kern w:val="0"/>
          <w:sz w:val="20"/>
          <w:szCs w:val="20"/>
          <w:lang w:eastAsia="en-IN" w:bidi="ta-IN"/>
          <w14:ligatures w14:val="none"/>
        </w:rPr>
        <w:lastRenderedPageBreak/>
        <w:t>Fontenete</w:t>
      </w:r>
      <w:proofErr w:type="spellEnd"/>
      <w:r w:rsidRPr="00A4758D">
        <w:rPr>
          <w:rFonts w:ascii="Arial" w:eastAsia="Times New Roman" w:hAnsi="Arial" w:cs="Arial"/>
          <w:kern w:val="0"/>
          <w:sz w:val="20"/>
          <w:szCs w:val="20"/>
          <w:lang w:eastAsia="en-IN" w:bidi="ta-IN"/>
          <w14:ligatures w14:val="none"/>
        </w:rPr>
        <w:t xml:space="preserve">, S., Carvalho, D. T. O., Lourenço, A., Guimarães, N., Madureira, P., Figueiredo, C., &amp; Azevedo, N. F. (2016). </w:t>
      </w:r>
      <w:proofErr w:type="spellStart"/>
      <w:r w:rsidRPr="00A4758D">
        <w:rPr>
          <w:rFonts w:ascii="Arial" w:eastAsia="Times New Roman" w:hAnsi="Arial" w:cs="Arial"/>
          <w:kern w:val="0"/>
          <w:sz w:val="20"/>
          <w:szCs w:val="20"/>
          <w:lang w:eastAsia="en-IN" w:bidi="ta-IN"/>
          <w14:ligatures w14:val="none"/>
        </w:rPr>
        <w:t>FISHji</w:t>
      </w:r>
      <w:proofErr w:type="spellEnd"/>
      <w:r w:rsidRPr="00A4758D">
        <w:rPr>
          <w:rFonts w:ascii="Arial" w:eastAsia="Times New Roman" w:hAnsi="Arial" w:cs="Arial"/>
          <w:kern w:val="0"/>
          <w:sz w:val="20"/>
          <w:szCs w:val="20"/>
          <w:lang w:eastAsia="en-IN" w:bidi="ta-IN"/>
          <w14:ligatures w14:val="none"/>
        </w:rPr>
        <w:t xml:space="preserve">: New ImageJ macros for the quantification of fluorescence in epifluorescence images. </w:t>
      </w:r>
      <w:r w:rsidRPr="00A4758D">
        <w:rPr>
          <w:rFonts w:ascii="Arial" w:eastAsia="Times New Roman" w:hAnsi="Arial" w:cs="Arial"/>
          <w:i/>
          <w:iCs/>
          <w:kern w:val="0"/>
          <w:sz w:val="20"/>
          <w:szCs w:val="20"/>
          <w:lang w:eastAsia="en-IN" w:bidi="ta-IN"/>
          <w14:ligatures w14:val="none"/>
        </w:rPr>
        <w:t>Biochemical Engineering Journal, 112,</w:t>
      </w:r>
      <w:r w:rsidRPr="00A4758D">
        <w:rPr>
          <w:rFonts w:ascii="Arial" w:eastAsia="Times New Roman" w:hAnsi="Arial" w:cs="Arial"/>
          <w:kern w:val="0"/>
          <w:sz w:val="20"/>
          <w:szCs w:val="20"/>
          <w:lang w:eastAsia="en-IN" w:bidi="ta-IN"/>
          <w14:ligatures w14:val="none"/>
        </w:rPr>
        <w:t xml:space="preserve"> 61–69. </w:t>
      </w:r>
      <w:hyperlink r:id="rId12" w:tgtFrame="_new" w:history="1">
        <w:r w:rsidRPr="00A4758D">
          <w:rPr>
            <w:rFonts w:ascii="Arial" w:eastAsia="Times New Roman" w:hAnsi="Arial" w:cs="Arial"/>
            <w:color w:val="0000FF"/>
            <w:kern w:val="0"/>
            <w:sz w:val="20"/>
            <w:szCs w:val="20"/>
            <w:u w:val="single"/>
            <w:lang w:eastAsia="en-IN" w:bidi="ta-IN"/>
            <w14:ligatures w14:val="none"/>
          </w:rPr>
          <w:t>https://doi.org/10.1016/j.bej.2016.04.001</w:t>
        </w:r>
      </w:hyperlink>
    </w:p>
    <w:p w14:paraId="146E9742" w14:textId="2D38EC39" w:rsidR="009A1E7F"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Grunwald, V., DeGraffenried, L., Russel, D., Friedrichs, W. E., Ray, R. B., &amp; Hidalgo, M. (2002). Inhibitors of mTOR reverse doxorubicin resistance conferred by PTEN status in prostate cancer cells. </w:t>
      </w:r>
      <w:r w:rsidRPr="00A4758D">
        <w:rPr>
          <w:rFonts w:ascii="Arial" w:eastAsia="Times New Roman" w:hAnsi="Arial" w:cs="Arial"/>
          <w:i/>
          <w:iCs/>
          <w:kern w:val="0"/>
          <w:sz w:val="20"/>
          <w:szCs w:val="20"/>
          <w:lang w:eastAsia="en-IN" w:bidi="ta-IN"/>
          <w14:ligatures w14:val="none"/>
        </w:rPr>
        <w:t>Cancer Research, 62</w:t>
      </w:r>
      <w:r w:rsidRPr="00A4758D">
        <w:rPr>
          <w:rFonts w:ascii="Arial" w:eastAsia="Times New Roman" w:hAnsi="Arial" w:cs="Arial"/>
          <w:kern w:val="0"/>
          <w:sz w:val="20"/>
          <w:szCs w:val="20"/>
          <w:lang w:eastAsia="en-IN" w:bidi="ta-IN"/>
          <w14:ligatures w14:val="none"/>
        </w:rPr>
        <w:t>(21), 6141–6145.</w:t>
      </w:r>
    </w:p>
    <w:p w14:paraId="1BE8A7F5" w14:textId="3F765C3A" w:rsidR="007B34F3" w:rsidRPr="00A4758D" w:rsidRDefault="007B34F3"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7B34F3">
        <w:rPr>
          <w:rFonts w:ascii="Arial" w:eastAsia="Times New Roman" w:hAnsi="Arial" w:cs="Arial"/>
          <w:kern w:val="0"/>
          <w:sz w:val="20"/>
          <w:szCs w:val="20"/>
          <w:lang w:eastAsia="en-IN" w:bidi="ta-IN"/>
          <w14:ligatures w14:val="none"/>
        </w:rPr>
        <w:t>Hartig, S. M. (2013). Basic Image Analysis and Manipulation in ImageJ. Current Protocols in Molecular Biology. https://currentprotocols.onlinelibrary.wiley.com/doi/10.1002/0471142727.mb1415s102</w:t>
      </w:r>
    </w:p>
    <w:p w14:paraId="2D3CD67A" w14:textId="04C4D151" w:rsidR="007B34F3" w:rsidRDefault="007B34F3"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7B34F3">
        <w:rPr>
          <w:rFonts w:ascii="Arial" w:eastAsia="Times New Roman" w:hAnsi="Arial" w:cs="Arial"/>
          <w:kern w:val="0"/>
          <w:sz w:val="20"/>
          <w:szCs w:val="20"/>
          <w:lang w:eastAsia="en-IN" w:bidi="ta-IN"/>
          <w14:ligatures w14:val="none"/>
        </w:rPr>
        <w:t>Kang, Y., Li, Y., Fang, Y., Xu, Y., Wei, X., &amp; Yin, X. (2015). Carbon quantum dots for zebrafish fluorescence imaging. Scientific Reports. https://www.nature.com/articles/srep11835</w:t>
      </w:r>
    </w:p>
    <w:p w14:paraId="71AD7080" w14:textId="09A5806F" w:rsidR="009A1E7F" w:rsidRPr="00A4758D"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Kimmel, C. B., Ballard, W. W., Kimmel, S. R., Ullmann, B., &amp; Schilling, T. F. (1995). Stages of embryonic development of the zebrafish. </w:t>
      </w:r>
      <w:r w:rsidRPr="00A4758D">
        <w:rPr>
          <w:rFonts w:ascii="Arial" w:eastAsia="Times New Roman" w:hAnsi="Arial" w:cs="Arial"/>
          <w:i/>
          <w:iCs/>
          <w:kern w:val="0"/>
          <w:sz w:val="20"/>
          <w:szCs w:val="20"/>
          <w:lang w:eastAsia="en-IN" w:bidi="ta-IN"/>
          <w14:ligatures w14:val="none"/>
        </w:rPr>
        <w:t>Developmental Dynamics, 203</w:t>
      </w:r>
      <w:r w:rsidRPr="00A4758D">
        <w:rPr>
          <w:rFonts w:ascii="Arial" w:eastAsia="Times New Roman" w:hAnsi="Arial" w:cs="Arial"/>
          <w:kern w:val="0"/>
          <w:sz w:val="20"/>
          <w:szCs w:val="20"/>
          <w:lang w:eastAsia="en-IN" w:bidi="ta-IN"/>
          <w14:ligatures w14:val="none"/>
        </w:rPr>
        <w:t>(3), 253–310. https://doi.org/10.1002/aja.1002030302</w:t>
      </w:r>
    </w:p>
    <w:p w14:paraId="25C1E12D" w14:textId="2A34E50D" w:rsidR="009A1E7F" w:rsidRPr="00A4758D"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Lieschke, G. J., &amp; Currie, P. D. (2007). Animal models of human disease: Zebrafish swim into view. </w:t>
      </w:r>
      <w:r w:rsidRPr="00A4758D">
        <w:rPr>
          <w:rFonts w:ascii="Arial" w:eastAsia="Times New Roman" w:hAnsi="Arial" w:cs="Arial"/>
          <w:i/>
          <w:iCs/>
          <w:kern w:val="0"/>
          <w:sz w:val="20"/>
          <w:szCs w:val="20"/>
          <w:lang w:eastAsia="en-IN" w:bidi="ta-IN"/>
          <w14:ligatures w14:val="none"/>
        </w:rPr>
        <w:t>Nature Reviews Genetics, 8</w:t>
      </w:r>
      <w:r w:rsidRPr="00A4758D">
        <w:rPr>
          <w:rFonts w:ascii="Arial" w:eastAsia="Times New Roman" w:hAnsi="Arial" w:cs="Arial"/>
          <w:kern w:val="0"/>
          <w:sz w:val="20"/>
          <w:szCs w:val="20"/>
          <w:lang w:eastAsia="en-IN" w:bidi="ta-IN"/>
          <w14:ligatures w14:val="none"/>
        </w:rPr>
        <w:t xml:space="preserve">(5), 353–367. </w:t>
      </w:r>
      <w:hyperlink r:id="rId13" w:tgtFrame="_new" w:history="1">
        <w:r w:rsidRPr="00A4758D">
          <w:rPr>
            <w:rFonts w:ascii="Arial" w:eastAsia="Times New Roman" w:hAnsi="Arial" w:cs="Arial"/>
            <w:color w:val="0000FF"/>
            <w:kern w:val="0"/>
            <w:sz w:val="20"/>
            <w:szCs w:val="20"/>
            <w:u w:val="single"/>
            <w:lang w:eastAsia="en-IN" w:bidi="ta-IN"/>
            <w14:ligatures w14:val="none"/>
          </w:rPr>
          <w:t>https://doi.org/10.1038/nrg2091</w:t>
        </w:r>
      </w:hyperlink>
    </w:p>
    <w:p w14:paraId="19E84CCC" w14:textId="60D0CB4A" w:rsidR="009A1E7F" w:rsidRPr="00A4758D"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Maia, C. M., &amp; Volpato, G. L. (2013). Environmental light </w:t>
      </w:r>
      <w:proofErr w:type="spellStart"/>
      <w:r w:rsidRPr="00A4758D">
        <w:rPr>
          <w:rFonts w:ascii="Arial" w:eastAsia="Times New Roman" w:hAnsi="Arial" w:cs="Arial"/>
          <w:kern w:val="0"/>
          <w:sz w:val="20"/>
          <w:szCs w:val="20"/>
          <w:lang w:eastAsia="en-IN" w:bidi="ta-IN"/>
          <w14:ligatures w14:val="none"/>
        </w:rPr>
        <w:t>color</w:t>
      </w:r>
      <w:proofErr w:type="spellEnd"/>
      <w:r w:rsidRPr="00A4758D">
        <w:rPr>
          <w:rFonts w:ascii="Arial" w:eastAsia="Times New Roman" w:hAnsi="Arial" w:cs="Arial"/>
          <w:kern w:val="0"/>
          <w:sz w:val="20"/>
          <w:szCs w:val="20"/>
          <w:lang w:eastAsia="en-IN" w:bidi="ta-IN"/>
          <w14:ligatures w14:val="none"/>
        </w:rPr>
        <w:t xml:space="preserve"> affects the stress response of Nile tilapia. </w:t>
      </w:r>
      <w:r w:rsidRPr="00A4758D">
        <w:rPr>
          <w:rFonts w:ascii="Arial" w:eastAsia="Times New Roman" w:hAnsi="Arial" w:cs="Arial"/>
          <w:i/>
          <w:iCs/>
          <w:kern w:val="0"/>
          <w:sz w:val="20"/>
          <w:szCs w:val="20"/>
          <w:lang w:eastAsia="en-IN" w:bidi="ta-IN"/>
          <w14:ligatures w14:val="none"/>
        </w:rPr>
        <w:t>Zoology (Jena), 116</w:t>
      </w:r>
      <w:r w:rsidRPr="00A4758D">
        <w:rPr>
          <w:rFonts w:ascii="Arial" w:eastAsia="Times New Roman" w:hAnsi="Arial" w:cs="Arial"/>
          <w:kern w:val="0"/>
          <w:sz w:val="20"/>
          <w:szCs w:val="20"/>
          <w:lang w:eastAsia="en-IN" w:bidi="ta-IN"/>
          <w14:ligatures w14:val="none"/>
        </w:rPr>
        <w:t>(1), 64–66. https://doi.org/10.1016/j.zool.2012.09.002</w:t>
      </w:r>
    </w:p>
    <w:p w14:paraId="7FD6F297" w14:textId="413893EA" w:rsidR="009A1E7F" w:rsidRPr="00A4758D"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proofErr w:type="spellStart"/>
      <w:r w:rsidRPr="00A4758D">
        <w:rPr>
          <w:rFonts w:ascii="Arial" w:eastAsia="Times New Roman" w:hAnsi="Arial" w:cs="Arial"/>
          <w:kern w:val="0"/>
          <w:sz w:val="20"/>
          <w:szCs w:val="20"/>
          <w:lang w:eastAsia="en-IN" w:bidi="ta-IN"/>
          <w14:ligatures w14:val="none"/>
        </w:rPr>
        <w:t>Nüsslein</w:t>
      </w:r>
      <w:proofErr w:type="spellEnd"/>
      <w:r w:rsidRPr="00A4758D">
        <w:rPr>
          <w:rFonts w:ascii="Arial" w:eastAsia="Times New Roman" w:hAnsi="Arial" w:cs="Arial"/>
          <w:kern w:val="0"/>
          <w:sz w:val="20"/>
          <w:szCs w:val="20"/>
          <w:lang w:eastAsia="en-IN" w:bidi="ta-IN"/>
          <w14:ligatures w14:val="none"/>
        </w:rPr>
        <w:t xml:space="preserve">-Volhard, C., &amp; Dahm, R. (2002). </w:t>
      </w:r>
      <w:r w:rsidRPr="00A4758D">
        <w:rPr>
          <w:rFonts w:ascii="Arial" w:eastAsia="Times New Roman" w:hAnsi="Arial" w:cs="Arial"/>
          <w:i/>
          <w:iCs/>
          <w:kern w:val="0"/>
          <w:sz w:val="20"/>
          <w:szCs w:val="20"/>
          <w:lang w:eastAsia="en-IN" w:bidi="ta-IN"/>
          <w14:ligatures w14:val="none"/>
        </w:rPr>
        <w:t>Zebrafish: A practical approach.</w:t>
      </w:r>
      <w:r w:rsidRPr="00A4758D">
        <w:rPr>
          <w:rFonts w:ascii="Arial" w:eastAsia="Times New Roman" w:hAnsi="Arial" w:cs="Arial"/>
          <w:kern w:val="0"/>
          <w:sz w:val="20"/>
          <w:szCs w:val="20"/>
          <w:lang w:eastAsia="en-IN" w:bidi="ta-IN"/>
          <w14:ligatures w14:val="none"/>
        </w:rPr>
        <w:t xml:space="preserve"> Oxford University Press.</w:t>
      </w:r>
    </w:p>
    <w:p w14:paraId="5E25519A" w14:textId="30B85BC5" w:rsidR="00AF5BA9" w:rsidRPr="00A4758D" w:rsidRDefault="00AF5BA9"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Reber, J., </w:t>
      </w:r>
      <w:proofErr w:type="spellStart"/>
      <w:r w:rsidRPr="00A4758D">
        <w:rPr>
          <w:rFonts w:ascii="Arial" w:eastAsia="Times New Roman" w:hAnsi="Arial" w:cs="Arial"/>
          <w:kern w:val="0"/>
          <w:sz w:val="20"/>
          <w:szCs w:val="20"/>
          <w:lang w:eastAsia="en-IN" w:bidi="ta-IN"/>
          <w14:ligatures w14:val="none"/>
        </w:rPr>
        <w:t>Spacie</w:t>
      </w:r>
      <w:proofErr w:type="spellEnd"/>
      <w:r w:rsidRPr="00A4758D">
        <w:rPr>
          <w:rFonts w:ascii="Arial" w:eastAsia="Times New Roman" w:hAnsi="Arial" w:cs="Arial"/>
          <w:kern w:val="0"/>
          <w:sz w:val="20"/>
          <w:szCs w:val="20"/>
          <w:lang w:eastAsia="en-IN" w:bidi="ta-IN"/>
          <w14:ligatures w14:val="none"/>
        </w:rPr>
        <w:t>, A., &amp; Collodi, P.R. (1994). Oxidative stress as a mechanism for PAH phototoxicity in cultured fish cells.</w:t>
      </w:r>
    </w:p>
    <w:p w14:paraId="74258BCE" w14:textId="1BDCB9B1" w:rsidR="009A1E7F" w:rsidRDefault="009A1E7F" w:rsidP="009A1E7F">
      <w:pPr>
        <w:spacing w:before="100" w:beforeAutospacing="1" w:after="100" w:afterAutospacing="1" w:line="240" w:lineRule="auto"/>
        <w:ind w:left="360"/>
      </w:pPr>
      <w:r w:rsidRPr="00A4758D">
        <w:rPr>
          <w:rFonts w:ascii="Arial" w:eastAsia="Times New Roman" w:hAnsi="Arial" w:cs="Arial"/>
          <w:kern w:val="0"/>
          <w:sz w:val="20"/>
          <w:szCs w:val="20"/>
          <w:lang w:eastAsia="en-IN" w:bidi="ta-IN"/>
          <w14:ligatures w14:val="none"/>
        </w:rPr>
        <w:t xml:space="preserve">Reimers, M. J., La Du, J. K., Periera, C. B., Giovanini, J., &amp; Tanguay, R. L. (2006). Ethanol-dependent toxicity in zebrafish is mediated by acetaldehyde. </w:t>
      </w:r>
      <w:r w:rsidRPr="00A4758D">
        <w:rPr>
          <w:rFonts w:ascii="Arial" w:eastAsia="Times New Roman" w:hAnsi="Arial" w:cs="Arial"/>
          <w:i/>
          <w:iCs/>
          <w:kern w:val="0"/>
          <w:sz w:val="20"/>
          <w:szCs w:val="20"/>
          <w:lang w:eastAsia="en-IN" w:bidi="ta-IN"/>
          <w14:ligatures w14:val="none"/>
        </w:rPr>
        <w:t>Neurotoxicology and Teratology, 28</w:t>
      </w:r>
      <w:r w:rsidRPr="00A4758D">
        <w:rPr>
          <w:rFonts w:ascii="Arial" w:eastAsia="Times New Roman" w:hAnsi="Arial" w:cs="Arial"/>
          <w:kern w:val="0"/>
          <w:sz w:val="20"/>
          <w:szCs w:val="20"/>
          <w:lang w:eastAsia="en-IN" w:bidi="ta-IN"/>
          <w14:ligatures w14:val="none"/>
        </w:rPr>
        <w:t xml:space="preserve">(3), 374–385. </w:t>
      </w:r>
      <w:hyperlink r:id="rId14" w:tgtFrame="_new" w:history="1">
        <w:r w:rsidRPr="00A4758D">
          <w:rPr>
            <w:rFonts w:ascii="Arial" w:eastAsia="Times New Roman" w:hAnsi="Arial" w:cs="Arial"/>
            <w:color w:val="0000FF"/>
            <w:kern w:val="0"/>
            <w:sz w:val="20"/>
            <w:szCs w:val="20"/>
            <w:u w:val="single"/>
            <w:lang w:eastAsia="en-IN" w:bidi="ta-IN"/>
            <w14:ligatures w14:val="none"/>
          </w:rPr>
          <w:t>https://doi.org/10.1016/j.ntt.2006.01.012</w:t>
        </w:r>
      </w:hyperlink>
    </w:p>
    <w:p w14:paraId="4172759F" w14:textId="188EF9E6" w:rsidR="00176A09" w:rsidRDefault="00176A09"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proofErr w:type="spellStart"/>
      <w:r w:rsidRPr="00176A09">
        <w:rPr>
          <w:rFonts w:ascii="Arial" w:eastAsia="Times New Roman" w:hAnsi="Arial" w:cs="Arial"/>
          <w:kern w:val="0"/>
          <w:sz w:val="20"/>
          <w:szCs w:val="20"/>
          <w:lang w:eastAsia="en-IN" w:bidi="ta-IN"/>
          <w14:ligatures w14:val="none"/>
        </w:rPr>
        <w:t>Parng</w:t>
      </w:r>
      <w:proofErr w:type="spellEnd"/>
      <w:r w:rsidRPr="00176A09">
        <w:rPr>
          <w:rFonts w:ascii="Arial" w:eastAsia="Times New Roman" w:hAnsi="Arial" w:cs="Arial"/>
          <w:kern w:val="0"/>
          <w:sz w:val="20"/>
          <w:szCs w:val="20"/>
          <w:lang w:eastAsia="en-IN" w:bidi="ta-IN"/>
          <w14:ligatures w14:val="none"/>
        </w:rPr>
        <w:t xml:space="preserve">, C., Seng, W. L., Semino, C. E., &amp; McGrath, P. (2002). Zebrafish: A Preclinical Model for Drug Screening. Assay and Drug Development Technologies. </w:t>
      </w:r>
      <w:hyperlink r:id="rId15" w:history="1">
        <w:r w:rsidRPr="00695B86">
          <w:rPr>
            <w:rStyle w:val="Hyperlink"/>
            <w:rFonts w:ascii="Arial" w:eastAsia="Times New Roman" w:hAnsi="Arial" w:cs="Arial"/>
            <w:kern w:val="0"/>
            <w:sz w:val="20"/>
            <w:szCs w:val="20"/>
            <w:lang w:eastAsia="en-IN" w:bidi="ta-IN"/>
            <w14:ligatures w14:val="none"/>
          </w:rPr>
          <w:t>https://doi.org/10.1089/154065802761001293</w:t>
        </w:r>
      </w:hyperlink>
    </w:p>
    <w:p w14:paraId="53EF0398" w14:textId="20F5E7BD" w:rsidR="00176A09" w:rsidRPr="00A4758D" w:rsidRDefault="00176A09"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176A09">
        <w:rPr>
          <w:rFonts w:ascii="Arial" w:eastAsia="Times New Roman" w:hAnsi="Arial" w:cs="Arial"/>
          <w:kern w:val="0"/>
          <w:sz w:val="20"/>
          <w:szCs w:val="20"/>
          <w:lang w:eastAsia="en-IN" w:bidi="ta-IN"/>
          <w14:ligatures w14:val="none"/>
        </w:rPr>
        <w:t xml:space="preserve">Paola, D. D., </w:t>
      </w:r>
      <w:proofErr w:type="spellStart"/>
      <w:r w:rsidRPr="00176A09">
        <w:rPr>
          <w:rFonts w:ascii="Arial" w:eastAsia="Times New Roman" w:hAnsi="Arial" w:cs="Arial"/>
          <w:kern w:val="0"/>
          <w:sz w:val="20"/>
          <w:szCs w:val="20"/>
          <w:lang w:eastAsia="en-IN" w:bidi="ta-IN"/>
          <w14:ligatures w14:val="none"/>
        </w:rPr>
        <w:t>Capparucci</w:t>
      </w:r>
      <w:proofErr w:type="spellEnd"/>
      <w:r w:rsidRPr="00176A09">
        <w:rPr>
          <w:rFonts w:ascii="Arial" w:eastAsia="Times New Roman" w:hAnsi="Arial" w:cs="Arial"/>
          <w:kern w:val="0"/>
          <w:sz w:val="20"/>
          <w:szCs w:val="20"/>
          <w:lang w:eastAsia="en-IN" w:bidi="ta-IN"/>
          <w14:ligatures w14:val="none"/>
        </w:rPr>
        <w:t xml:space="preserve">, F., Lanteri, G., Cordaro, M., Crupi, R., Siracusa, R., </w:t>
      </w:r>
      <w:proofErr w:type="spellStart"/>
      <w:r w:rsidRPr="00176A09">
        <w:rPr>
          <w:rFonts w:ascii="Arial" w:eastAsia="Times New Roman" w:hAnsi="Arial" w:cs="Arial"/>
          <w:kern w:val="0"/>
          <w:sz w:val="20"/>
          <w:szCs w:val="20"/>
          <w:lang w:eastAsia="en-IN" w:bidi="ta-IN"/>
          <w14:ligatures w14:val="none"/>
        </w:rPr>
        <w:t>D’amico</w:t>
      </w:r>
      <w:proofErr w:type="spellEnd"/>
      <w:r w:rsidRPr="00176A09">
        <w:rPr>
          <w:rFonts w:ascii="Arial" w:eastAsia="Times New Roman" w:hAnsi="Arial" w:cs="Arial"/>
          <w:kern w:val="0"/>
          <w:sz w:val="20"/>
          <w:szCs w:val="20"/>
          <w:lang w:eastAsia="en-IN" w:bidi="ta-IN"/>
          <w14:ligatures w14:val="none"/>
        </w:rPr>
        <w:t xml:space="preserve">, R., Fusco, R., Impellizzeri, D., </w:t>
      </w:r>
      <w:proofErr w:type="spellStart"/>
      <w:r w:rsidRPr="00176A09">
        <w:rPr>
          <w:rFonts w:ascii="Arial" w:eastAsia="Times New Roman" w:hAnsi="Arial" w:cs="Arial"/>
          <w:kern w:val="0"/>
          <w:sz w:val="20"/>
          <w:szCs w:val="20"/>
          <w:lang w:eastAsia="en-IN" w:bidi="ta-IN"/>
          <w14:ligatures w14:val="none"/>
        </w:rPr>
        <w:t>Cuzzocrea</w:t>
      </w:r>
      <w:proofErr w:type="spellEnd"/>
      <w:r w:rsidRPr="00176A09">
        <w:rPr>
          <w:rFonts w:ascii="Arial" w:eastAsia="Times New Roman" w:hAnsi="Arial" w:cs="Arial"/>
          <w:kern w:val="0"/>
          <w:sz w:val="20"/>
          <w:szCs w:val="20"/>
          <w:lang w:eastAsia="en-IN" w:bidi="ta-IN"/>
          <w14:ligatures w14:val="none"/>
        </w:rPr>
        <w:t>, S., Spanò, N., Gugliandolo, E., &amp; Peritore, A. (2021). RETRACTED: Combined Toxicity of Xenobiotics Bisphenol A and Heavy Metals on Zebrafish Embryos (Danio rerio). Toxics. https://www.mdpi.com/2305-6304/9/12/344</w:t>
      </w:r>
    </w:p>
    <w:p w14:paraId="26D10DE2" w14:textId="2BE992C5" w:rsidR="00C83DDD" w:rsidRDefault="00C83DDD"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C83DDD">
        <w:rPr>
          <w:rFonts w:ascii="Arial" w:eastAsia="Times New Roman" w:hAnsi="Arial" w:cs="Arial"/>
          <w:kern w:val="0"/>
          <w:sz w:val="20"/>
          <w:szCs w:val="20"/>
          <w:lang w:eastAsia="en-IN" w:bidi="ta-IN"/>
          <w14:ligatures w14:val="none"/>
        </w:rPr>
        <w:t xml:space="preserve">Pelkowski, S., Kapoor, M., &amp; </w:t>
      </w:r>
      <w:proofErr w:type="spellStart"/>
      <w:r w:rsidRPr="00C83DDD">
        <w:rPr>
          <w:rFonts w:ascii="Arial" w:eastAsia="Times New Roman" w:hAnsi="Arial" w:cs="Arial"/>
          <w:kern w:val="0"/>
          <w:sz w:val="20"/>
          <w:szCs w:val="20"/>
          <w:lang w:eastAsia="en-IN" w:bidi="ta-IN"/>
          <w14:ligatures w14:val="none"/>
        </w:rPr>
        <w:t>Richendrfer</w:t>
      </w:r>
      <w:proofErr w:type="spellEnd"/>
      <w:r w:rsidRPr="00C83DDD">
        <w:rPr>
          <w:rFonts w:ascii="Arial" w:eastAsia="Times New Roman" w:hAnsi="Arial" w:cs="Arial"/>
          <w:kern w:val="0"/>
          <w:sz w:val="20"/>
          <w:szCs w:val="20"/>
          <w:lang w:eastAsia="en-IN" w:bidi="ta-IN"/>
          <w14:ligatures w14:val="none"/>
        </w:rPr>
        <w:t xml:space="preserve">, H. (2011). A novel high-throughput imaging system for automated analyses of avoidance </w:t>
      </w:r>
      <w:proofErr w:type="spellStart"/>
      <w:r w:rsidRPr="00C83DDD">
        <w:rPr>
          <w:rFonts w:ascii="Arial" w:eastAsia="Times New Roman" w:hAnsi="Arial" w:cs="Arial"/>
          <w:kern w:val="0"/>
          <w:sz w:val="20"/>
          <w:szCs w:val="20"/>
          <w:lang w:eastAsia="en-IN" w:bidi="ta-IN"/>
          <w14:ligatures w14:val="none"/>
        </w:rPr>
        <w:t>behavior</w:t>
      </w:r>
      <w:proofErr w:type="spellEnd"/>
      <w:r w:rsidRPr="00C83DDD">
        <w:rPr>
          <w:rFonts w:ascii="Arial" w:eastAsia="Times New Roman" w:hAnsi="Arial" w:cs="Arial"/>
          <w:kern w:val="0"/>
          <w:sz w:val="20"/>
          <w:szCs w:val="20"/>
          <w:lang w:eastAsia="en-IN" w:bidi="ta-IN"/>
          <w14:ligatures w14:val="none"/>
        </w:rPr>
        <w:t xml:space="preserve"> in zebrafish larvae. https://www.sciencedirect.com/science/article/pii/S0166432811003433</w:t>
      </w:r>
    </w:p>
    <w:p w14:paraId="5F714EE7" w14:textId="34A13092" w:rsidR="009A1E7F" w:rsidRPr="00A4758D"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Shin, H. S., Habibi, H. R., &amp; Choi, C. Y. (2014). The environmental regulation of maturation in goldfish, </w:t>
      </w:r>
      <w:r w:rsidRPr="00A4758D">
        <w:rPr>
          <w:rFonts w:ascii="Arial" w:eastAsia="Times New Roman" w:hAnsi="Arial" w:cs="Arial"/>
          <w:i/>
          <w:iCs/>
          <w:kern w:val="0"/>
          <w:sz w:val="20"/>
          <w:szCs w:val="20"/>
          <w:lang w:eastAsia="en-IN" w:bidi="ta-IN"/>
          <w14:ligatures w14:val="none"/>
        </w:rPr>
        <w:t>Carassius auratus</w:t>
      </w:r>
      <w:r w:rsidRPr="00A4758D">
        <w:rPr>
          <w:rFonts w:ascii="Arial" w:eastAsia="Times New Roman" w:hAnsi="Arial" w:cs="Arial"/>
          <w:kern w:val="0"/>
          <w:sz w:val="20"/>
          <w:szCs w:val="20"/>
          <w:lang w:eastAsia="en-IN" w:bidi="ta-IN"/>
          <w14:ligatures w14:val="none"/>
        </w:rPr>
        <w:t xml:space="preserve">: Effects of various LED light spectra. </w:t>
      </w:r>
      <w:r w:rsidRPr="00A4758D">
        <w:rPr>
          <w:rFonts w:ascii="Arial" w:eastAsia="Times New Roman" w:hAnsi="Arial" w:cs="Arial"/>
          <w:i/>
          <w:iCs/>
          <w:kern w:val="0"/>
          <w:sz w:val="20"/>
          <w:szCs w:val="20"/>
          <w:lang w:eastAsia="en-IN" w:bidi="ta-IN"/>
          <w14:ligatures w14:val="none"/>
        </w:rPr>
        <w:t>Comparative Biochemistry and Physiology Part A: Molecular &amp; Integrative Physiology, 168,</w:t>
      </w:r>
      <w:r w:rsidRPr="00A4758D">
        <w:rPr>
          <w:rFonts w:ascii="Arial" w:eastAsia="Times New Roman" w:hAnsi="Arial" w:cs="Arial"/>
          <w:kern w:val="0"/>
          <w:sz w:val="20"/>
          <w:szCs w:val="20"/>
          <w:lang w:eastAsia="en-IN" w:bidi="ta-IN"/>
          <w14:ligatures w14:val="none"/>
        </w:rPr>
        <w:t xml:space="preserve"> 17–24. https://doi.org/10.1016/j.cbpa.2013.11.006</w:t>
      </w:r>
    </w:p>
    <w:p w14:paraId="18ECD182" w14:textId="41FB7BA0" w:rsidR="009A1E7F"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Shin, H. S., Lee, J., &amp; Choi, C. Y. (2011). Effects of LED light spectra on oxidative stress and the protective role of melatonin in relation to the daily rhythm of the yellowtail clownfish, </w:t>
      </w:r>
      <w:proofErr w:type="spellStart"/>
      <w:r w:rsidRPr="00A4758D">
        <w:rPr>
          <w:rFonts w:ascii="Arial" w:eastAsia="Times New Roman" w:hAnsi="Arial" w:cs="Arial"/>
          <w:i/>
          <w:iCs/>
          <w:kern w:val="0"/>
          <w:sz w:val="20"/>
          <w:szCs w:val="20"/>
          <w:lang w:eastAsia="en-IN" w:bidi="ta-IN"/>
          <w14:ligatures w14:val="none"/>
        </w:rPr>
        <w:t>Amphiprion</w:t>
      </w:r>
      <w:proofErr w:type="spellEnd"/>
      <w:r w:rsidRPr="00A4758D">
        <w:rPr>
          <w:rFonts w:ascii="Arial" w:eastAsia="Times New Roman" w:hAnsi="Arial" w:cs="Arial"/>
          <w:i/>
          <w:iCs/>
          <w:kern w:val="0"/>
          <w:sz w:val="20"/>
          <w:szCs w:val="20"/>
          <w:lang w:eastAsia="en-IN" w:bidi="ta-IN"/>
          <w14:ligatures w14:val="none"/>
        </w:rPr>
        <w:t xml:space="preserve"> </w:t>
      </w:r>
      <w:proofErr w:type="spellStart"/>
      <w:r w:rsidRPr="00A4758D">
        <w:rPr>
          <w:rFonts w:ascii="Arial" w:eastAsia="Times New Roman" w:hAnsi="Arial" w:cs="Arial"/>
          <w:i/>
          <w:iCs/>
          <w:kern w:val="0"/>
          <w:sz w:val="20"/>
          <w:szCs w:val="20"/>
          <w:lang w:eastAsia="en-IN" w:bidi="ta-IN"/>
          <w14:ligatures w14:val="none"/>
        </w:rPr>
        <w:lastRenderedPageBreak/>
        <w:t>clarkii</w:t>
      </w:r>
      <w:proofErr w:type="spellEnd"/>
      <w:r w:rsidRPr="00A4758D">
        <w:rPr>
          <w:rFonts w:ascii="Arial" w:eastAsia="Times New Roman" w:hAnsi="Arial" w:cs="Arial"/>
          <w:kern w:val="0"/>
          <w:sz w:val="20"/>
          <w:szCs w:val="20"/>
          <w:lang w:eastAsia="en-IN" w:bidi="ta-IN"/>
          <w14:ligatures w14:val="none"/>
        </w:rPr>
        <w:t xml:space="preserve">. </w:t>
      </w:r>
      <w:r w:rsidRPr="00A4758D">
        <w:rPr>
          <w:rFonts w:ascii="Arial" w:eastAsia="Times New Roman" w:hAnsi="Arial" w:cs="Arial"/>
          <w:i/>
          <w:iCs/>
          <w:kern w:val="0"/>
          <w:sz w:val="20"/>
          <w:szCs w:val="20"/>
          <w:lang w:eastAsia="en-IN" w:bidi="ta-IN"/>
          <w14:ligatures w14:val="none"/>
        </w:rPr>
        <w:t>Comparative Biochemistry and Physiology Part A: Molecular &amp; Integrative Physiology, 160</w:t>
      </w:r>
      <w:r w:rsidRPr="00A4758D">
        <w:rPr>
          <w:rFonts w:ascii="Arial" w:eastAsia="Times New Roman" w:hAnsi="Arial" w:cs="Arial"/>
          <w:kern w:val="0"/>
          <w:sz w:val="20"/>
          <w:szCs w:val="20"/>
          <w:lang w:eastAsia="en-IN" w:bidi="ta-IN"/>
          <w14:ligatures w14:val="none"/>
        </w:rPr>
        <w:t xml:space="preserve">(2), 221–228. </w:t>
      </w:r>
      <w:hyperlink r:id="rId16" w:history="1">
        <w:r w:rsidR="00C972B2" w:rsidRPr="00695B86">
          <w:rPr>
            <w:rStyle w:val="Hyperlink"/>
            <w:rFonts w:ascii="Arial" w:eastAsia="Times New Roman" w:hAnsi="Arial" w:cs="Arial"/>
            <w:kern w:val="0"/>
            <w:sz w:val="20"/>
            <w:szCs w:val="20"/>
            <w:lang w:eastAsia="en-IN" w:bidi="ta-IN"/>
            <w14:ligatures w14:val="none"/>
          </w:rPr>
          <w:t>https://doi.org/10.1016/j.cbpa.2011.06.005</w:t>
        </w:r>
      </w:hyperlink>
    </w:p>
    <w:p w14:paraId="7DEDBB9A" w14:textId="7D235857" w:rsidR="00C972B2" w:rsidRPr="00A4758D" w:rsidRDefault="00C972B2"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C972B2">
        <w:rPr>
          <w:rFonts w:ascii="Arial" w:eastAsia="Times New Roman" w:hAnsi="Arial" w:cs="Arial"/>
          <w:kern w:val="0"/>
          <w:sz w:val="20"/>
          <w:szCs w:val="20"/>
          <w:lang w:eastAsia="en-IN" w:bidi="ta-IN"/>
          <w14:ligatures w14:val="none"/>
        </w:rPr>
        <w:t>Srivastava, P., Han, S., Tu, C., &amp; Jing, L. (2019). Phototoxicity generated by silicon quantum dot nanoparticles on zebrafish embryos. ACS Applied Bio Materials. https://pubs.acs.org/doi/abs/10.1021/acsabm.9b00264</w:t>
      </w:r>
    </w:p>
    <w:p w14:paraId="502E16AE" w14:textId="4BC92DE9" w:rsidR="009A1E7F" w:rsidRPr="00A4758D"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Takita, S., &amp; Seko, Y. (2024). Zebrafish as an experimental model for inherited retinal diseases. </w:t>
      </w:r>
      <w:proofErr w:type="spellStart"/>
      <w:r w:rsidRPr="00A4758D">
        <w:rPr>
          <w:rFonts w:ascii="Arial" w:eastAsia="Times New Roman" w:hAnsi="Arial" w:cs="Arial"/>
          <w:i/>
          <w:iCs/>
          <w:kern w:val="0"/>
          <w:sz w:val="20"/>
          <w:szCs w:val="20"/>
          <w:lang w:eastAsia="en-IN" w:bidi="ta-IN"/>
          <w14:ligatures w14:val="none"/>
        </w:rPr>
        <w:t>IntechOpen</w:t>
      </w:r>
      <w:proofErr w:type="spellEnd"/>
      <w:r w:rsidRPr="00A4758D">
        <w:rPr>
          <w:rFonts w:ascii="Arial" w:eastAsia="Times New Roman" w:hAnsi="Arial" w:cs="Arial"/>
          <w:i/>
          <w:iCs/>
          <w:kern w:val="0"/>
          <w:sz w:val="20"/>
          <w:szCs w:val="20"/>
          <w:lang w:eastAsia="en-IN" w:bidi="ta-IN"/>
          <w14:ligatures w14:val="none"/>
        </w:rPr>
        <w:t>.</w:t>
      </w:r>
      <w:r w:rsidRPr="00A4758D">
        <w:rPr>
          <w:rFonts w:ascii="Arial" w:eastAsia="Times New Roman" w:hAnsi="Arial" w:cs="Arial"/>
          <w:kern w:val="0"/>
          <w:sz w:val="20"/>
          <w:szCs w:val="20"/>
          <w:lang w:eastAsia="en-IN" w:bidi="ta-IN"/>
          <w14:ligatures w14:val="none"/>
        </w:rPr>
        <w:t xml:space="preserve"> https://doi.org/10.5772/intechopen.1004858</w:t>
      </w:r>
    </w:p>
    <w:p w14:paraId="132902BB" w14:textId="570BEC76" w:rsidR="009A1E7F" w:rsidRPr="00A4758D"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Takeuchi, Y., Imamura, S., Sawada, Y., Hur, S. P., &amp; Takemura, A. (2014). Effects of different </w:t>
      </w:r>
      <w:proofErr w:type="spellStart"/>
      <w:r w:rsidRPr="00A4758D">
        <w:rPr>
          <w:rFonts w:ascii="Arial" w:eastAsia="Times New Roman" w:hAnsi="Arial" w:cs="Arial"/>
          <w:kern w:val="0"/>
          <w:sz w:val="20"/>
          <w:szCs w:val="20"/>
          <w:lang w:eastAsia="en-IN" w:bidi="ta-IN"/>
          <w14:ligatures w14:val="none"/>
        </w:rPr>
        <w:t>colors</w:t>
      </w:r>
      <w:proofErr w:type="spellEnd"/>
      <w:r w:rsidRPr="00A4758D">
        <w:rPr>
          <w:rFonts w:ascii="Arial" w:eastAsia="Times New Roman" w:hAnsi="Arial" w:cs="Arial"/>
          <w:kern w:val="0"/>
          <w:sz w:val="20"/>
          <w:szCs w:val="20"/>
          <w:lang w:eastAsia="en-IN" w:bidi="ta-IN"/>
          <w14:ligatures w14:val="none"/>
        </w:rPr>
        <w:t xml:space="preserve"> of light on melatonin suppression and expression analysis of Aanat1 and melanopsin in the eye of a tropical damselfish. </w:t>
      </w:r>
      <w:r w:rsidRPr="00A4758D">
        <w:rPr>
          <w:rFonts w:ascii="Arial" w:eastAsia="Times New Roman" w:hAnsi="Arial" w:cs="Arial"/>
          <w:i/>
          <w:iCs/>
          <w:kern w:val="0"/>
          <w:sz w:val="20"/>
          <w:szCs w:val="20"/>
          <w:lang w:eastAsia="en-IN" w:bidi="ta-IN"/>
          <w14:ligatures w14:val="none"/>
        </w:rPr>
        <w:t>General and Comparative Endocrinology, 204,</w:t>
      </w:r>
      <w:r w:rsidRPr="00A4758D">
        <w:rPr>
          <w:rFonts w:ascii="Arial" w:eastAsia="Times New Roman" w:hAnsi="Arial" w:cs="Arial"/>
          <w:kern w:val="0"/>
          <w:sz w:val="20"/>
          <w:szCs w:val="20"/>
          <w:lang w:eastAsia="en-IN" w:bidi="ta-IN"/>
          <w14:ligatures w14:val="none"/>
        </w:rPr>
        <w:t xml:space="preserve"> 158–165. https://doi.org/10.1016/j.ygcen.2014.04.038</w:t>
      </w:r>
    </w:p>
    <w:p w14:paraId="275A7A88" w14:textId="28BCA6B1" w:rsidR="009A1E7F" w:rsidRDefault="009A1E7F" w:rsidP="009A1E7F">
      <w:pPr>
        <w:spacing w:before="100" w:beforeAutospacing="1" w:after="100" w:afterAutospacing="1" w:line="240" w:lineRule="auto"/>
        <w:ind w:left="360"/>
      </w:pPr>
      <w:r w:rsidRPr="00A4758D">
        <w:rPr>
          <w:rFonts w:ascii="Arial" w:eastAsia="Times New Roman" w:hAnsi="Arial" w:cs="Arial"/>
          <w:kern w:val="0"/>
          <w:sz w:val="20"/>
          <w:szCs w:val="20"/>
          <w:lang w:eastAsia="en-IN" w:bidi="ta-IN"/>
          <w14:ligatures w14:val="none"/>
        </w:rPr>
        <w:t xml:space="preserve">Tucker, B., &amp; </w:t>
      </w:r>
      <w:proofErr w:type="spellStart"/>
      <w:r w:rsidRPr="00A4758D">
        <w:rPr>
          <w:rFonts w:ascii="Arial" w:eastAsia="Times New Roman" w:hAnsi="Arial" w:cs="Arial"/>
          <w:kern w:val="0"/>
          <w:sz w:val="20"/>
          <w:szCs w:val="20"/>
          <w:lang w:eastAsia="en-IN" w:bidi="ta-IN"/>
          <w14:ligatures w14:val="none"/>
        </w:rPr>
        <w:t>Lardelli</w:t>
      </w:r>
      <w:proofErr w:type="spellEnd"/>
      <w:r w:rsidRPr="00A4758D">
        <w:rPr>
          <w:rFonts w:ascii="Arial" w:eastAsia="Times New Roman" w:hAnsi="Arial" w:cs="Arial"/>
          <w:kern w:val="0"/>
          <w:sz w:val="20"/>
          <w:szCs w:val="20"/>
          <w:lang w:eastAsia="en-IN" w:bidi="ta-IN"/>
          <w14:ligatures w14:val="none"/>
        </w:rPr>
        <w:t xml:space="preserve">, M. (2007). A rapid apoptosis assay measuring relative acridine orange fluorescence in zebrafish embryos. </w:t>
      </w:r>
      <w:r w:rsidRPr="00A4758D">
        <w:rPr>
          <w:rFonts w:ascii="Arial" w:eastAsia="Times New Roman" w:hAnsi="Arial" w:cs="Arial"/>
          <w:i/>
          <w:iCs/>
          <w:kern w:val="0"/>
          <w:sz w:val="20"/>
          <w:szCs w:val="20"/>
          <w:lang w:eastAsia="en-IN" w:bidi="ta-IN"/>
          <w14:ligatures w14:val="none"/>
        </w:rPr>
        <w:t>Zebrafish, 4</w:t>
      </w:r>
      <w:r w:rsidRPr="00A4758D">
        <w:rPr>
          <w:rFonts w:ascii="Arial" w:eastAsia="Times New Roman" w:hAnsi="Arial" w:cs="Arial"/>
          <w:kern w:val="0"/>
          <w:sz w:val="20"/>
          <w:szCs w:val="20"/>
          <w:lang w:eastAsia="en-IN" w:bidi="ta-IN"/>
          <w14:ligatures w14:val="none"/>
        </w:rPr>
        <w:t xml:space="preserve">(2), 113–116. </w:t>
      </w:r>
      <w:hyperlink r:id="rId17" w:tgtFrame="_new" w:history="1">
        <w:r w:rsidRPr="00A4758D">
          <w:rPr>
            <w:rFonts w:ascii="Arial" w:eastAsia="Times New Roman" w:hAnsi="Arial" w:cs="Arial"/>
            <w:color w:val="0000FF"/>
            <w:kern w:val="0"/>
            <w:sz w:val="20"/>
            <w:szCs w:val="20"/>
            <w:u w:val="single"/>
            <w:lang w:eastAsia="en-IN" w:bidi="ta-IN"/>
            <w14:ligatures w14:val="none"/>
          </w:rPr>
          <w:t>https://doi.org/10.1089/zeb.2007.0508</w:t>
        </w:r>
      </w:hyperlink>
    </w:p>
    <w:p w14:paraId="1EAF2BEA" w14:textId="77777777" w:rsidR="00AE7E9E" w:rsidRPr="00AE7E9E" w:rsidRDefault="00AE7E9E" w:rsidP="00AE7E9E">
      <w:pPr>
        <w:spacing w:before="100" w:beforeAutospacing="1" w:after="100" w:afterAutospacing="1" w:line="240" w:lineRule="auto"/>
        <w:ind w:left="360"/>
        <w:rPr>
          <w:rFonts w:ascii="Arial" w:hAnsi="Arial" w:cs="Arial"/>
          <w:sz w:val="20"/>
          <w:szCs w:val="20"/>
          <w:lang w:val="en-US"/>
        </w:rPr>
      </w:pPr>
      <w:r w:rsidRPr="00AE7E9E">
        <w:rPr>
          <w:rFonts w:ascii="Arial" w:hAnsi="Arial" w:cs="Arial"/>
          <w:sz w:val="20"/>
          <w:szCs w:val="20"/>
          <w:lang w:val="en-US"/>
        </w:rPr>
        <w:t xml:space="preserve">Verma, S., Jha, E., Panda, P., Mishra, A., Thirumurugan, A., Das, B., Parashar, S., &amp; Suar, M. (2018). Rapid Novel Facile Biosynthesized Silver Nanoparticles </w:t>
      </w:r>
      <w:proofErr w:type="gramStart"/>
      <w:r w:rsidRPr="00AE7E9E">
        <w:rPr>
          <w:rFonts w:ascii="Arial" w:hAnsi="Arial" w:cs="Arial"/>
          <w:sz w:val="20"/>
          <w:szCs w:val="20"/>
          <w:lang w:val="en-US"/>
        </w:rPr>
        <w:t>From</w:t>
      </w:r>
      <w:proofErr w:type="gramEnd"/>
      <w:r w:rsidRPr="00AE7E9E">
        <w:rPr>
          <w:rFonts w:ascii="Arial" w:hAnsi="Arial" w:cs="Arial"/>
          <w:sz w:val="20"/>
          <w:szCs w:val="20"/>
          <w:lang w:val="en-US"/>
        </w:rPr>
        <w:t xml:space="preserve"> Bacterial Release Induce Biogenicity and Concentration Dependent In Vivo Cytotoxicity With Embryonic Zebrafish—A Mechanistic Insight. </w:t>
      </w:r>
      <w:r w:rsidRPr="00AE7E9E">
        <w:rPr>
          <w:rFonts w:ascii="Arial" w:hAnsi="Arial" w:cs="Arial"/>
          <w:i/>
          <w:iCs/>
          <w:sz w:val="20"/>
          <w:szCs w:val="20"/>
          <w:lang w:val="en-US"/>
        </w:rPr>
        <w:t>Toxicological Sciences</w:t>
      </w:r>
      <w:r w:rsidRPr="00AE7E9E">
        <w:rPr>
          <w:rFonts w:ascii="Arial" w:hAnsi="Arial" w:cs="Arial"/>
          <w:sz w:val="20"/>
          <w:szCs w:val="20"/>
          <w:lang w:val="en-US"/>
        </w:rPr>
        <w:t>. https://academic.oup.com/toxsci/article/161/1/125/4259877</w:t>
      </w:r>
    </w:p>
    <w:p w14:paraId="551B6888" w14:textId="3B0B22D4" w:rsidR="009A1E7F" w:rsidRDefault="009A1E7F" w:rsidP="009A1E7F">
      <w:pPr>
        <w:spacing w:before="100" w:beforeAutospacing="1" w:after="100" w:afterAutospacing="1" w:line="240" w:lineRule="auto"/>
        <w:ind w:left="360"/>
        <w:rPr>
          <w:rFonts w:ascii="Arial" w:eastAsia="Times New Roman" w:hAnsi="Arial" w:cs="Arial"/>
          <w:kern w:val="0"/>
          <w:sz w:val="20"/>
          <w:szCs w:val="20"/>
          <w:lang w:eastAsia="en-IN" w:bidi="ta-IN"/>
          <w14:ligatures w14:val="none"/>
        </w:rPr>
      </w:pPr>
      <w:r w:rsidRPr="00A4758D">
        <w:rPr>
          <w:rFonts w:ascii="Arial" w:eastAsia="Times New Roman" w:hAnsi="Arial" w:cs="Arial"/>
          <w:kern w:val="0"/>
          <w:sz w:val="20"/>
          <w:szCs w:val="20"/>
          <w:lang w:eastAsia="en-IN" w:bidi="ta-IN"/>
          <w14:ligatures w14:val="none"/>
        </w:rPr>
        <w:t xml:space="preserve">Wu, B. K., Yuan, R. Y., Lien, H. W., Hung, C. C., Hwang, P. P., Chen, R. P., Chang, C. C., Liao, Y. F., &amp; Huang, C. J. (2016). Multiple </w:t>
      </w:r>
      <w:proofErr w:type="spellStart"/>
      <w:r w:rsidRPr="00A4758D">
        <w:rPr>
          <w:rFonts w:ascii="Arial" w:eastAsia="Times New Roman" w:hAnsi="Arial" w:cs="Arial"/>
          <w:kern w:val="0"/>
          <w:sz w:val="20"/>
          <w:szCs w:val="20"/>
          <w:lang w:eastAsia="en-IN" w:bidi="ta-IN"/>
          <w14:ligatures w14:val="none"/>
        </w:rPr>
        <w:t>signaling</w:t>
      </w:r>
      <w:proofErr w:type="spellEnd"/>
      <w:r w:rsidRPr="00A4758D">
        <w:rPr>
          <w:rFonts w:ascii="Arial" w:eastAsia="Times New Roman" w:hAnsi="Arial" w:cs="Arial"/>
          <w:kern w:val="0"/>
          <w:sz w:val="20"/>
          <w:szCs w:val="20"/>
          <w:lang w:eastAsia="en-IN" w:bidi="ta-IN"/>
          <w14:ligatures w14:val="none"/>
        </w:rPr>
        <w:t xml:space="preserve"> factors and drugs alleviate neuronal death induced by expression of human and zebrafish tau proteins in vivo. </w:t>
      </w:r>
      <w:r w:rsidRPr="00A4758D">
        <w:rPr>
          <w:rFonts w:ascii="Arial" w:eastAsia="Times New Roman" w:hAnsi="Arial" w:cs="Arial"/>
          <w:i/>
          <w:iCs/>
          <w:kern w:val="0"/>
          <w:sz w:val="20"/>
          <w:szCs w:val="20"/>
          <w:lang w:eastAsia="en-IN" w:bidi="ta-IN"/>
          <w14:ligatures w14:val="none"/>
        </w:rPr>
        <w:t>Journal of Biomedical Science, 23,</w:t>
      </w:r>
      <w:r w:rsidRPr="00A4758D">
        <w:rPr>
          <w:rFonts w:ascii="Arial" w:eastAsia="Times New Roman" w:hAnsi="Arial" w:cs="Arial"/>
          <w:kern w:val="0"/>
          <w:sz w:val="20"/>
          <w:szCs w:val="20"/>
          <w:lang w:eastAsia="en-IN" w:bidi="ta-IN"/>
          <w14:ligatures w14:val="none"/>
        </w:rPr>
        <w:t xml:space="preserve"> 25. </w:t>
      </w:r>
      <w:hyperlink r:id="rId18" w:history="1">
        <w:r w:rsidR="00FD6FA2" w:rsidRPr="00695B86">
          <w:rPr>
            <w:rStyle w:val="Hyperlink"/>
            <w:rFonts w:ascii="Arial" w:eastAsia="Times New Roman" w:hAnsi="Arial" w:cs="Arial"/>
            <w:kern w:val="0"/>
            <w:sz w:val="20"/>
            <w:szCs w:val="20"/>
            <w:lang w:eastAsia="en-IN" w:bidi="ta-IN"/>
            <w14:ligatures w14:val="none"/>
          </w:rPr>
          <w:t>https://doi.org/10.1186/s12929-016-0241-6</w:t>
        </w:r>
      </w:hyperlink>
    </w:p>
    <w:p w14:paraId="05783F08" w14:textId="07490AED" w:rsidR="00A63677" w:rsidRPr="00A4758D" w:rsidRDefault="00FD6FA2" w:rsidP="009A1E7F">
      <w:pPr>
        <w:spacing w:before="100" w:beforeAutospacing="1" w:after="100" w:afterAutospacing="1" w:line="240" w:lineRule="auto"/>
        <w:ind w:left="360"/>
        <w:jc w:val="both"/>
        <w:rPr>
          <w:rFonts w:ascii="Arial" w:hAnsi="Arial" w:cs="Arial"/>
          <w:sz w:val="20"/>
          <w:szCs w:val="20"/>
        </w:rPr>
      </w:pPr>
      <w:r w:rsidRPr="00FD6FA2">
        <w:rPr>
          <w:rFonts w:ascii="Arial" w:hAnsi="Arial" w:cs="Arial"/>
          <w:sz w:val="20"/>
          <w:szCs w:val="20"/>
        </w:rPr>
        <w:t>Yang, B., Sun, L., Peng, Z., Zhang, Q., Lin, M., Peng, Z., &amp; Zheng, L. (2024). Developmental Toxicity and Apoptosis in Zebrafish: The Impact of Lithium Hexafluorophosphate (LiPF6) from Lithium-Ion Battery Electrolytes. International Journal of Molecular Sciences. https://www.mdpi.com/1422-0067/25/17/9307</w:t>
      </w:r>
    </w:p>
    <w:sectPr w:rsidR="00A63677" w:rsidRPr="00A4758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61D59" w14:textId="77777777" w:rsidR="00E7697E" w:rsidRDefault="00E7697E" w:rsidP="001D6DD2">
      <w:pPr>
        <w:spacing w:after="0" w:line="240" w:lineRule="auto"/>
      </w:pPr>
      <w:r>
        <w:separator/>
      </w:r>
    </w:p>
  </w:endnote>
  <w:endnote w:type="continuationSeparator" w:id="0">
    <w:p w14:paraId="75E44142" w14:textId="77777777" w:rsidR="00E7697E" w:rsidRDefault="00E7697E" w:rsidP="001D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4FBCF" w14:textId="77777777" w:rsidR="001D6DD2" w:rsidRDefault="001D6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3FD1" w14:textId="77777777" w:rsidR="001D6DD2" w:rsidRDefault="001D6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D1625" w14:textId="77777777" w:rsidR="001D6DD2" w:rsidRDefault="001D6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5F071" w14:textId="77777777" w:rsidR="00E7697E" w:rsidRDefault="00E7697E" w:rsidP="001D6DD2">
      <w:pPr>
        <w:spacing w:after="0" w:line="240" w:lineRule="auto"/>
      </w:pPr>
      <w:r>
        <w:separator/>
      </w:r>
    </w:p>
  </w:footnote>
  <w:footnote w:type="continuationSeparator" w:id="0">
    <w:p w14:paraId="1FA7E6EC" w14:textId="77777777" w:rsidR="00E7697E" w:rsidRDefault="00E7697E" w:rsidP="001D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1AA2" w14:textId="29FAA950" w:rsidR="001D6DD2" w:rsidRDefault="001D6DD2">
    <w:pPr>
      <w:pStyle w:val="Header"/>
    </w:pPr>
    <w:r>
      <w:rPr>
        <w:noProof/>
      </w:rPr>
      <w:pict w14:anchorId="0A0CD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15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0CD9" w14:textId="181FBD46" w:rsidR="001D6DD2" w:rsidRDefault="001D6DD2">
    <w:pPr>
      <w:pStyle w:val="Header"/>
    </w:pPr>
    <w:r>
      <w:rPr>
        <w:noProof/>
      </w:rPr>
      <w:pict w14:anchorId="6B0E2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15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6930" w14:textId="7D22062A" w:rsidR="001D6DD2" w:rsidRDefault="001D6DD2">
    <w:pPr>
      <w:pStyle w:val="Header"/>
    </w:pPr>
    <w:r>
      <w:rPr>
        <w:noProof/>
      </w:rPr>
      <w:pict w14:anchorId="77E73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15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74D2C"/>
    <w:multiLevelType w:val="multilevel"/>
    <w:tmpl w:val="C060D42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C4E7D"/>
    <w:multiLevelType w:val="hybridMultilevel"/>
    <w:tmpl w:val="9614EF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1550E70"/>
    <w:multiLevelType w:val="hybridMultilevel"/>
    <w:tmpl w:val="98A2F06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36046C"/>
    <w:multiLevelType w:val="hybridMultilevel"/>
    <w:tmpl w:val="0192B83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087627A"/>
    <w:multiLevelType w:val="hybridMultilevel"/>
    <w:tmpl w:val="4CC23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6847D2C"/>
    <w:multiLevelType w:val="multilevel"/>
    <w:tmpl w:val="BCFE0E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9A295F"/>
    <w:multiLevelType w:val="multilevel"/>
    <w:tmpl w:val="BE960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88"/>
    <w:rsid w:val="00037A12"/>
    <w:rsid w:val="00051EB0"/>
    <w:rsid w:val="00063419"/>
    <w:rsid w:val="00081F7C"/>
    <w:rsid w:val="00091AA9"/>
    <w:rsid w:val="000B1461"/>
    <w:rsid w:val="000B6CD9"/>
    <w:rsid w:val="000E3C56"/>
    <w:rsid w:val="00100C3C"/>
    <w:rsid w:val="00114B73"/>
    <w:rsid w:val="00151725"/>
    <w:rsid w:val="00176A09"/>
    <w:rsid w:val="00181229"/>
    <w:rsid w:val="00183247"/>
    <w:rsid w:val="001D6DD2"/>
    <w:rsid w:val="001F0702"/>
    <w:rsid w:val="001F5CD6"/>
    <w:rsid w:val="002006AC"/>
    <w:rsid w:val="002504B5"/>
    <w:rsid w:val="00256C4D"/>
    <w:rsid w:val="00281543"/>
    <w:rsid w:val="002A3F7D"/>
    <w:rsid w:val="00311607"/>
    <w:rsid w:val="00330636"/>
    <w:rsid w:val="00337EFD"/>
    <w:rsid w:val="003A3E4F"/>
    <w:rsid w:val="003D2C6A"/>
    <w:rsid w:val="00411605"/>
    <w:rsid w:val="004153AF"/>
    <w:rsid w:val="004B5D2B"/>
    <w:rsid w:val="004D0C5B"/>
    <w:rsid w:val="00523892"/>
    <w:rsid w:val="00543569"/>
    <w:rsid w:val="0059195C"/>
    <w:rsid w:val="005A6990"/>
    <w:rsid w:val="00644069"/>
    <w:rsid w:val="00667DD4"/>
    <w:rsid w:val="00682095"/>
    <w:rsid w:val="00730B9C"/>
    <w:rsid w:val="007A7F8D"/>
    <w:rsid w:val="007B34F3"/>
    <w:rsid w:val="007D3018"/>
    <w:rsid w:val="007E55A8"/>
    <w:rsid w:val="00822440"/>
    <w:rsid w:val="008310B0"/>
    <w:rsid w:val="00854388"/>
    <w:rsid w:val="0086716C"/>
    <w:rsid w:val="008913FA"/>
    <w:rsid w:val="00964EA8"/>
    <w:rsid w:val="0099078E"/>
    <w:rsid w:val="00992311"/>
    <w:rsid w:val="0099578B"/>
    <w:rsid w:val="009A1E7F"/>
    <w:rsid w:val="009D23AD"/>
    <w:rsid w:val="009E71E3"/>
    <w:rsid w:val="00A44B5A"/>
    <w:rsid w:val="00A4758D"/>
    <w:rsid w:val="00A5600A"/>
    <w:rsid w:val="00A6224B"/>
    <w:rsid w:val="00A63677"/>
    <w:rsid w:val="00AA6769"/>
    <w:rsid w:val="00AE7E9E"/>
    <w:rsid w:val="00AF2C41"/>
    <w:rsid w:val="00AF4B19"/>
    <w:rsid w:val="00AF5BA9"/>
    <w:rsid w:val="00B0767F"/>
    <w:rsid w:val="00B10097"/>
    <w:rsid w:val="00B23DE6"/>
    <w:rsid w:val="00B566BD"/>
    <w:rsid w:val="00B944DF"/>
    <w:rsid w:val="00BA2212"/>
    <w:rsid w:val="00BC255C"/>
    <w:rsid w:val="00BC496B"/>
    <w:rsid w:val="00BD2001"/>
    <w:rsid w:val="00BF3594"/>
    <w:rsid w:val="00C3746A"/>
    <w:rsid w:val="00C62000"/>
    <w:rsid w:val="00C77A54"/>
    <w:rsid w:val="00C83DDD"/>
    <w:rsid w:val="00C972B2"/>
    <w:rsid w:val="00CB2996"/>
    <w:rsid w:val="00CF0F03"/>
    <w:rsid w:val="00D02844"/>
    <w:rsid w:val="00D32D67"/>
    <w:rsid w:val="00D51D27"/>
    <w:rsid w:val="00DB3498"/>
    <w:rsid w:val="00DE33A6"/>
    <w:rsid w:val="00DF36E2"/>
    <w:rsid w:val="00E4539A"/>
    <w:rsid w:val="00E55E6B"/>
    <w:rsid w:val="00E7697E"/>
    <w:rsid w:val="00E9188C"/>
    <w:rsid w:val="00E92FD6"/>
    <w:rsid w:val="00F22C00"/>
    <w:rsid w:val="00F35787"/>
    <w:rsid w:val="00F9311F"/>
    <w:rsid w:val="00FA1BB5"/>
    <w:rsid w:val="00FC7D08"/>
    <w:rsid w:val="00FD27F2"/>
    <w:rsid w:val="00FD6FA2"/>
    <w:rsid w:val="00FE4A96"/>
    <w:rsid w:val="00FF54F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6EDFB"/>
  <w15:chartTrackingRefBased/>
  <w15:docId w15:val="{806C20BA-23F0-46A4-BFF0-9DCA198B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677"/>
  </w:style>
  <w:style w:type="paragraph" w:styleId="Heading1">
    <w:name w:val="heading 1"/>
    <w:basedOn w:val="Normal"/>
    <w:next w:val="Normal"/>
    <w:link w:val="Heading1Char"/>
    <w:uiPriority w:val="9"/>
    <w:qFormat/>
    <w:rsid w:val="00854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4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4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4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4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388"/>
    <w:rPr>
      <w:rFonts w:eastAsiaTheme="majorEastAsia" w:cstheme="majorBidi"/>
      <w:color w:val="272727" w:themeColor="text1" w:themeTint="D8"/>
    </w:rPr>
  </w:style>
  <w:style w:type="paragraph" w:styleId="Title">
    <w:name w:val="Title"/>
    <w:basedOn w:val="Normal"/>
    <w:next w:val="Normal"/>
    <w:link w:val="TitleChar"/>
    <w:uiPriority w:val="10"/>
    <w:qFormat/>
    <w:rsid w:val="00854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388"/>
    <w:pPr>
      <w:spacing w:before="160"/>
      <w:jc w:val="center"/>
    </w:pPr>
    <w:rPr>
      <w:i/>
      <w:iCs/>
      <w:color w:val="404040" w:themeColor="text1" w:themeTint="BF"/>
    </w:rPr>
  </w:style>
  <w:style w:type="character" w:customStyle="1" w:styleId="QuoteChar">
    <w:name w:val="Quote Char"/>
    <w:basedOn w:val="DefaultParagraphFont"/>
    <w:link w:val="Quote"/>
    <w:uiPriority w:val="29"/>
    <w:rsid w:val="00854388"/>
    <w:rPr>
      <w:i/>
      <w:iCs/>
      <w:color w:val="404040" w:themeColor="text1" w:themeTint="BF"/>
    </w:rPr>
  </w:style>
  <w:style w:type="paragraph" w:styleId="ListParagraph">
    <w:name w:val="List Paragraph"/>
    <w:basedOn w:val="Normal"/>
    <w:uiPriority w:val="34"/>
    <w:qFormat/>
    <w:rsid w:val="00854388"/>
    <w:pPr>
      <w:ind w:left="720"/>
      <w:contextualSpacing/>
    </w:pPr>
  </w:style>
  <w:style w:type="character" w:styleId="IntenseEmphasis">
    <w:name w:val="Intense Emphasis"/>
    <w:basedOn w:val="DefaultParagraphFont"/>
    <w:uiPriority w:val="21"/>
    <w:qFormat/>
    <w:rsid w:val="00854388"/>
    <w:rPr>
      <w:i/>
      <w:iCs/>
      <w:color w:val="0F4761" w:themeColor="accent1" w:themeShade="BF"/>
    </w:rPr>
  </w:style>
  <w:style w:type="paragraph" w:styleId="IntenseQuote">
    <w:name w:val="Intense Quote"/>
    <w:basedOn w:val="Normal"/>
    <w:next w:val="Normal"/>
    <w:link w:val="IntenseQuoteChar"/>
    <w:uiPriority w:val="30"/>
    <w:qFormat/>
    <w:rsid w:val="00854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388"/>
    <w:rPr>
      <w:i/>
      <w:iCs/>
      <w:color w:val="0F4761" w:themeColor="accent1" w:themeShade="BF"/>
    </w:rPr>
  </w:style>
  <w:style w:type="character" w:styleId="IntenseReference">
    <w:name w:val="Intense Reference"/>
    <w:basedOn w:val="DefaultParagraphFont"/>
    <w:uiPriority w:val="32"/>
    <w:qFormat/>
    <w:rsid w:val="00854388"/>
    <w:rPr>
      <w:b/>
      <w:bCs/>
      <w:smallCaps/>
      <w:color w:val="0F4761" w:themeColor="accent1" w:themeShade="BF"/>
      <w:spacing w:val="5"/>
    </w:rPr>
  </w:style>
  <w:style w:type="paragraph" w:styleId="NormalWeb">
    <w:name w:val="Normal (Web)"/>
    <w:basedOn w:val="Normal"/>
    <w:uiPriority w:val="99"/>
    <w:semiHidden/>
    <w:unhideWhenUsed/>
    <w:rsid w:val="00C77A54"/>
    <w:pPr>
      <w:spacing w:before="100" w:beforeAutospacing="1" w:after="100" w:afterAutospacing="1" w:line="240" w:lineRule="auto"/>
    </w:pPr>
    <w:rPr>
      <w:rFonts w:ascii="Times New Roman" w:eastAsia="Times New Roman" w:hAnsi="Times New Roman" w:cs="Times New Roman"/>
      <w:kern w:val="0"/>
      <w:lang w:eastAsia="en-IN" w:bidi="ta-IN"/>
      <w14:ligatures w14:val="none"/>
    </w:rPr>
  </w:style>
  <w:style w:type="character" w:styleId="Strong">
    <w:name w:val="Strong"/>
    <w:basedOn w:val="DefaultParagraphFont"/>
    <w:uiPriority w:val="22"/>
    <w:qFormat/>
    <w:rsid w:val="00C77A54"/>
    <w:rPr>
      <w:b/>
      <w:bCs/>
    </w:rPr>
  </w:style>
  <w:style w:type="character" w:styleId="Emphasis">
    <w:name w:val="Emphasis"/>
    <w:basedOn w:val="DefaultParagraphFont"/>
    <w:uiPriority w:val="20"/>
    <w:qFormat/>
    <w:rsid w:val="00C77A54"/>
    <w:rPr>
      <w:i/>
      <w:iCs/>
    </w:rPr>
  </w:style>
  <w:style w:type="character" w:styleId="Hyperlink">
    <w:name w:val="Hyperlink"/>
    <w:basedOn w:val="DefaultParagraphFont"/>
    <w:uiPriority w:val="99"/>
    <w:unhideWhenUsed/>
    <w:rsid w:val="00C77A54"/>
    <w:rPr>
      <w:color w:val="0000FF"/>
      <w:u w:val="single"/>
    </w:rPr>
  </w:style>
  <w:style w:type="character" w:styleId="UnresolvedMention">
    <w:name w:val="Unresolved Mention"/>
    <w:basedOn w:val="DefaultParagraphFont"/>
    <w:uiPriority w:val="99"/>
    <w:semiHidden/>
    <w:unhideWhenUsed/>
    <w:rsid w:val="00C77A54"/>
    <w:rPr>
      <w:color w:val="605E5C"/>
      <w:shd w:val="clear" w:color="auto" w:fill="E1DFDD"/>
    </w:rPr>
  </w:style>
  <w:style w:type="paragraph" w:styleId="Header">
    <w:name w:val="header"/>
    <w:basedOn w:val="Normal"/>
    <w:link w:val="HeaderChar"/>
    <w:uiPriority w:val="99"/>
    <w:unhideWhenUsed/>
    <w:rsid w:val="001D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DD2"/>
  </w:style>
  <w:style w:type="paragraph" w:styleId="Footer">
    <w:name w:val="footer"/>
    <w:basedOn w:val="Normal"/>
    <w:link w:val="FooterChar"/>
    <w:uiPriority w:val="99"/>
    <w:unhideWhenUsed/>
    <w:rsid w:val="001D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8/nrg2091" TargetMode="External"/><Relationship Id="rId18" Type="http://schemas.openxmlformats.org/officeDocument/2006/relationships/hyperlink" Target="https://doi.org/10.1186/s12929-016-0241-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bej.2016.04.001" TargetMode="External"/><Relationship Id="rId17" Type="http://schemas.openxmlformats.org/officeDocument/2006/relationships/hyperlink" Target="https://doi.org/10.1089/zeb.2007.050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cbpa.2011.06.00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89/154065802761001293"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ntt.2006.01.01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4AE9-1424-47CB-90EF-C3431DC9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Stephen</dc:creator>
  <cp:keywords/>
  <dc:description/>
  <cp:lastModifiedBy>SDI 1084</cp:lastModifiedBy>
  <cp:revision>14</cp:revision>
  <dcterms:created xsi:type="dcterms:W3CDTF">2025-09-26T15:53:00Z</dcterms:created>
  <dcterms:modified xsi:type="dcterms:W3CDTF">2025-09-27T10:40:00Z</dcterms:modified>
</cp:coreProperties>
</file>