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0224F" w14:textId="77777777" w:rsidR="00C2780F" w:rsidRPr="006B3721" w:rsidRDefault="003A241A" w:rsidP="003A241A">
      <w:pPr>
        <w:jc w:val="center"/>
        <w:rPr>
          <w:b/>
          <w:bCs/>
          <w:sz w:val="28"/>
          <w:szCs w:val="28"/>
        </w:rPr>
      </w:pPr>
      <w:r w:rsidRPr="006B3721">
        <w:rPr>
          <w:b/>
          <w:bCs/>
          <w:sz w:val="28"/>
          <w:szCs w:val="28"/>
        </w:rPr>
        <w:t>Temporal assessment of entomological indices of malaria vectors in Delta State</w:t>
      </w:r>
    </w:p>
    <w:p w14:paraId="738635FC" w14:textId="77777777" w:rsidR="00C2780F" w:rsidRPr="006B3721" w:rsidRDefault="00C2780F" w:rsidP="00C2780F">
      <w:pPr>
        <w:pStyle w:val="Heading2"/>
        <w:spacing w:line="360" w:lineRule="auto"/>
        <w:rPr>
          <w:rFonts w:ascii="Times New Roman" w:hAnsi="Times New Roman" w:cs="Times New Roman"/>
          <w:b w:val="0"/>
          <w:color w:val="auto"/>
          <w:sz w:val="24"/>
          <w:szCs w:val="24"/>
        </w:rPr>
      </w:pPr>
      <w:r w:rsidRPr="006B3721">
        <w:rPr>
          <w:rStyle w:val="Strong"/>
          <w:rFonts w:ascii="Times New Roman" w:hAnsi="Times New Roman" w:cs="Times New Roman"/>
          <w:b/>
          <w:bCs/>
          <w:color w:val="auto"/>
          <w:sz w:val="24"/>
          <w:szCs w:val="24"/>
        </w:rPr>
        <w:t>Abstract</w:t>
      </w:r>
    </w:p>
    <w:p w14:paraId="7ED20545" w14:textId="77777777" w:rsidR="00C2780F" w:rsidRPr="006B3721" w:rsidRDefault="00C2780F" w:rsidP="003A241A">
      <w:pPr>
        <w:pStyle w:val="NormalWeb"/>
        <w:jc w:val="both"/>
      </w:pPr>
      <w:r w:rsidRPr="006B3721">
        <w:t xml:space="preserve">Malaria remains a major public health burden in Nigeria, sustained by the widespread presence of efficient vectors such as </w:t>
      </w:r>
      <w:r w:rsidRPr="006B3721">
        <w:rPr>
          <w:rStyle w:val="Emphasis"/>
        </w:rPr>
        <w:t>Anopheles gambiae</w:t>
      </w:r>
      <w:r w:rsidRPr="006B3721">
        <w:t xml:space="preserve">. This study investigated the entomological indices of </w:t>
      </w:r>
      <w:r w:rsidRPr="006B3721">
        <w:rPr>
          <w:rStyle w:val="Emphasis"/>
        </w:rPr>
        <w:t>An. gambiae</w:t>
      </w:r>
      <w:r w:rsidRPr="006B3721">
        <w:t xml:space="preserve"> in three malaria-end</w:t>
      </w:r>
      <w:r w:rsidR="003F5B4E" w:rsidRPr="006B3721">
        <w:t xml:space="preserve">emic communities of Delta State; </w:t>
      </w:r>
      <w:proofErr w:type="spellStart"/>
      <w:r w:rsidRPr="006B3721">
        <w:t>Egbudu</w:t>
      </w:r>
      <w:r w:rsidR="003F5B4E" w:rsidRPr="006B3721">
        <w:t>-Akah</w:t>
      </w:r>
      <w:proofErr w:type="spellEnd"/>
      <w:r w:rsidR="003F5B4E" w:rsidRPr="006B3721">
        <w:t xml:space="preserve">, </w:t>
      </w:r>
      <w:proofErr w:type="spellStart"/>
      <w:r w:rsidR="003F5B4E" w:rsidRPr="006B3721">
        <w:t>Aghalokpe</w:t>
      </w:r>
      <w:proofErr w:type="spellEnd"/>
      <w:r w:rsidR="003F5B4E" w:rsidRPr="006B3721">
        <w:t xml:space="preserve">, and </w:t>
      </w:r>
      <w:proofErr w:type="spellStart"/>
      <w:r w:rsidR="003F5B4E" w:rsidRPr="006B3721">
        <w:t>Owhelogbo</w:t>
      </w:r>
      <w:proofErr w:type="spellEnd"/>
      <w:r w:rsidR="003F5B4E" w:rsidRPr="006B3721">
        <w:t xml:space="preserve">, </w:t>
      </w:r>
      <w:r w:rsidRPr="006B3721">
        <w:t>between July 2024 and March 2025. Mosquitoes were collected using Pyrethrum Spray Catch (PSC), molecularly</w:t>
      </w:r>
      <w:r w:rsidR="0034744D" w:rsidRPr="006B3721">
        <w:t xml:space="preserve"> assayed</w:t>
      </w:r>
      <w:r w:rsidRPr="006B3721">
        <w:t xml:space="preserve">, and examined for feeding characteristics, indoor resting density, human biting rate, and seasonal variations in relation to temperature and relative humidity. A total of 820 </w:t>
      </w:r>
      <w:r w:rsidRPr="006B3721">
        <w:rPr>
          <w:rStyle w:val="Emphasis"/>
        </w:rPr>
        <w:t>An. gambiae</w:t>
      </w:r>
      <w:r w:rsidRPr="006B3721">
        <w:t xml:space="preserve"> mosquitoes were collected and molecularly confirmed as </w:t>
      </w:r>
      <w:r w:rsidRPr="006B3721">
        <w:rPr>
          <w:rStyle w:val="Emphasis"/>
        </w:rPr>
        <w:t xml:space="preserve">An. </w:t>
      </w:r>
      <w:proofErr w:type="spellStart"/>
      <w:r w:rsidRPr="006B3721">
        <w:rPr>
          <w:rStyle w:val="Emphasis"/>
        </w:rPr>
        <w:t>coluzzii</w:t>
      </w:r>
      <w:proofErr w:type="spellEnd"/>
      <w:r w:rsidRPr="006B3721">
        <w:t xml:space="preserve">. </w:t>
      </w:r>
      <w:proofErr w:type="spellStart"/>
      <w:r w:rsidRPr="006B3721">
        <w:t>Egbudu-Akah</w:t>
      </w:r>
      <w:proofErr w:type="spellEnd"/>
      <w:r w:rsidRPr="006B3721">
        <w:t xml:space="preserve"> recorded the highest abundance (325), followed by </w:t>
      </w:r>
      <w:proofErr w:type="spellStart"/>
      <w:r w:rsidRPr="006B3721">
        <w:t>Aghalokpe</w:t>
      </w:r>
      <w:proofErr w:type="spellEnd"/>
      <w:r w:rsidRPr="006B3721">
        <w:t xml:space="preserve"> (269) and </w:t>
      </w:r>
      <w:proofErr w:type="spellStart"/>
      <w:r w:rsidRPr="006B3721">
        <w:t>Owhelogbo</w:t>
      </w:r>
      <w:proofErr w:type="spellEnd"/>
      <w:r w:rsidRPr="006B3721">
        <w:t xml:space="preserve"> (226). Blood-fed mosquitoes predominated across sites, while gravid females were more common in </w:t>
      </w:r>
      <w:proofErr w:type="spellStart"/>
      <w:r w:rsidRPr="006B3721">
        <w:t>Aghalokpe</w:t>
      </w:r>
      <w:proofErr w:type="spellEnd"/>
      <w:r w:rsidRPr="006B3721">
        <w:t xml:space="preserve"> and </w:t>
      </w:r>
      <w:proofErr w:type="spellStart"/>
      <w:r w:rsidRPr="006B3721">
        <w:t>Egbudu-Akah</w:t>
      </w:r>
      <w:proofErr w:type="spellEnd"/>
      <w:r w:rsidRPr="006B3721">
        <w:t xml:space="preserve">. Indoor resting density and human biting rate peaked in the wet season months, with July showing the highest values. Correspondence analysis revealed that relative humidity positively influenced blood-feeding, biting rates, and resting densities, particularly in March, July, and </w:t>
      </w:r>
      <w:bookmarkStart w:id="0" w:name="_GoBack"/>
      <w:bookmarkEnd w:id="0"/>
      <w:r w:rsidRPr="006B3721">
        <w:t xml:space="preserve">September. The findings underscore significant seasonal and ecological variations in </w:t>
      </w:r>
      <w:r w:rsidRPr="006B3721">
        <w:rPr>
          <w:rStyle w:val="Emphasis"/>
        </w:rPr>
        <w:t>An. gambiae</w:t>
      </w:r>
      <w:r w:rsidRPr="006B3721">
        <w:t xml:space="preserve"> dynamics, highlighting the species’ strong anthropophilic tendencies and the influence of climatic factors on malaria transmission risk. Th</w:t>
      </w:r>
      <w:r w:rsidR="002910D7" w:rsidRPr="006B3721">
        <w:t>is study</w:t>
      </w:r>
      <w:r w:rsidR="00A711D0">
        <w:t xml:space="preserve"> </w:t>
      </w:r>
      <w:r w:rsidR="002910D7" w:rsidRPr="006B3721">
        <w:t xml:space="preserve">implicates </w:t>
      </w:r>
      <w:r w:rsidRPr="006B3721">
        <w:t>critical insights for strengthening malaria surveillance and tailoring vector control strategies to the ecological realities of Delta State.</w:t>
      </w:r>
    </w:p>
    <w:p w14:paraId="5A212AAA" w14:textId="77777777" w:rsidR="003A241A" w:rsidRPr="006B3721" w:rsidRDefault="003A241A" w:rsidP="003A241A">
      <w:pPr>
        <w:pStyle w:val="NormalWeb"/>
        <w:jc w:val="both"/>
      </w:pPr>
      <w:proofErr w:type="spellStart"/>
      <w:proofErr w:type="gramStart"/>
      <w:r w:rsidRPr="006B3721">
        <w:rPr>
          <w:b/>
          <w:bCs/>
        </w:rPr>
        <w:t>Keywords:</w:t>
      </w:r>
      <w:r w:rsidRPr="006B3721">
        <w:t>Entomological</w:t>
      </w:r>
      <w:proofErr w:type="spellEnd"/>
      <w:proofErr w:type="gramEnd"/>
      <w:r w:rsidRPr="006B3721">
        <w:t xml:space="preserve"> indices, human biting rate, malaria vectors, sporozoite rate, temporal variation</w:t>
      </w:r>
    </w:p>
    <w:p w14:paraId="456EACAD" w14:textId="77777777" w:rsidR="00964DB5" w:rsidRPr="006B3721" w:rsidRDefault="00964DB5" w:rsidP="00F70E40">
      <w:pPr>
        <w:shd w:val="clear" w:color="auto" w:fill="FFFFFF"/>
        <w:spacing w:after="0" w:line="360" w:lineRule="auto"/>
        <w:rPr>
          <w:rFonts w:ascii="Arial" w:eastAsia="Times New Roman" w:hAnsi="Arial" w:cs="Arial"/>
          <w:b/>
          <w:kern w:val="0"/>
          <w:sz w:val="24"/>
          <w:lang w:eastAsia="en-US"/>
        </w:rPr>
      </w:pPr>
      <w:r w:rsidRPr="006B3721">
        <w:rPr>
          <w:rFonts w:ascii="Arial" w:eastAsia="Times New Roman" w:hAnsi="Arial" w:cs="Arial"/>
          <w:b/>
          <w:kern w:val="0"/>
          <w:sz w:val="24"/>
          <w:lang w:eastAsia="en-US"/>
        </w:rPr>
        <w:t>INTRODUCTION</w:t>
      </w:r>
    </w:p>
    <w:p w14:paraId="41E3386C" w14:textId="77777777" w:rsidR="00964DB5" w:rsidRPr="006B3721" w:rsidRDefault="00964DB5" w:rsidP="002910D7">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Mosquitoes remain one of the most medically important insect groups worldwide, serving as vectors of a wide array of parasitic and viral diseases. Among the</w:t>
      </w:r>
      <w:r w:rsidR="002910D7" w:rsidRPr="006B3721">
        <w:rPr>
          <w:rFonts w:ascii="Times New Roman" w:eastAsia="Times New Roman" w:hAnsi="Times New Roman" w:cs="Times New Roman"/>
          <w:kern w:val="0"/>
          <w:sz w:val="24"/>
          <w:szCs w:val="24"/>
          <w:lang w:eastAsia="en-US"/>
        </w:rPr>
        <w:t>se</w:t>
      </w:r>
      <w:r w:rsidR="008D44E8" w:rsidRPr="006B3721">
        <w:rPr>
          <w:rFonts w:ascii="Times New Roman" w:eastAsia="Times New Roman" w:hAnsi="Times New Roman" w:cs="Times New Roman"/>
          <w:kern w:val="0"/>
          <w:sz w:val="24"/>
          <w:szCs w:val="24"/>
          <w:lang w:eastAsia="en-US"/>
        </w:rPr>
        <w:t>,</w:t>
      </w:r>
      <w:r w:rsidR="002910D7" w:rsidRPr="006B3721">
        <w:rPr>
          <w:rFonts w:ascii="Times New Roman" w:eastAsia="Times New Roman" w:hAnsi="Times New Roman" w:cs="Times New Roman"/>
          <w:kern w:val="0"/>
          <w:sz w:val="24"/>
          <w:szCs w:val="24"/>
          <w:lang w:eastAsia="en-US"/>
        </w:rPr>
        <w:t xml:space="preserve"> mosquitoes</w:t>
      </w:r>
      <w:r w:rsidR="008D44E8" w:rsidRPr="006B3721">
        <w:rPr>
          <w:rFonts w:ascii="Times New Roman" w:eastAsia="Times New Roman" w:hAnsi="Times New Roman" w:cs="Times New Roman"/>
          <w:kern w:val="0"/>
          <w:sz w:val="24"/>
          <w:szCs w:val="24"/>
          <w:lang w:eastAsia="en-US"/>
        </w:rPr>
        <w:t xml:space="preserve"> in the genus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occupies a central role in the transmission of human malaria, a disease that continues to pose in formidable public health challenge, particularly in sub-</w:t>
      </w:r>
      <w:proofErr w:type="spellStart"/>
      <w:r w:rsidRPr="006B3721">
        <w:rPr>
          <w:rFonts w:ascii="Times New Roman" w:eastAsia="Times New Roman" w:hAnsi="Times New Roman" w:cs="Times New Roman"/>
          <w:kern w:val="0"/>
          <w:sz w:val="24"/>
          <w:szCs w:val="24"/>
          <w:lang w:eastAsia="en-US"/>
        </w:rPr>
        <w:t>Saharan</w:t>
      </w:r>
      <w:r w:rsidR="008D44E8" w:rsidRPr="006B3721">
        <w:rPr>
          <w:rFonts w:ascii="Times New Roman" w:eastAsia="Times New Roman" w:hAnsi="Times New Roman" w:cs="Times New Roman"/>
          <w:kern w:val="0"/>
          <w:sz w:val="24"/>
          <w:szCs w:val="24"/>
          <w:lang w:eastAsia="en-US"/>
        </w:rPr>
        <w:t>Africa</w:t>
      </w:r>
      <w:proofErr w:type="spellEnd"/>
      <w:r w:rsidR="008D44E8" w:rsidRPr="006B3721">
        <w:rPr>
          <w:rFonts w:ascii="Times New Roman" w:eastAsia="Times New Roman" w:hAnsi="Times New Roman" w:cs="Times New Roman"/>
          <w:kern w:val="0"/>
          <w:sz w:val="24"/>
          <w:szCs w:val="24"/>
          <w:lang w:eastAsia="en-US"/>
        </w:rPr>
        <w:t xml:space="preserve"> </w:t>
      </w:r>
      <w:r w:rsidR="00314E8A" w:rsidRPr="006B3721">
        <w:rPr>
          <w:rFonts w:ascii="Times New Roman" w:eastAsia="Times New Roman" w:hAnsi="Times New Roman" w:cs="Times New Roman"/>
          <w:kern w:val="0"/>
          <w:sz w:val="24"/>
          <w:szCs w:val="24"/>
          <w:lang w:eastAsia="en-US"/>
        </w:rPr>
        <w:t>(</w:t>
      </w:r>
      <w:r w:rsidR="00314E8A" w:rsidRPr="006B3721">
        <w:rPr>
          <w:rFonts w:ascii="Times New Roman" w:hAnsi="Times New Roman" w:cs="Times New Roman"/>
          <w:sz w:val="24"/>
          <w:szCs w:val="24"/>
          <w:shd w:val="clear" w:color="auto" w:fill="FFFFFF"/>
        </w:rPr>
        <w:t>Hernandez-</w:t>
      </w:r>
      <w:proofErr w:type="spellStart"/>
      <w:r w:rsidR="00314E8A" w:rsidRPr="006B3721">
        <w:rPr>
          <w:rFonts w:ascii="Times New Roman" w:hAnsi="Times New Roman" w:cs="Times New Roman"/>
          <w:sz w:val="24"/>
          <w:szCs w:val="24"/>
          <w:shd w:val="clear" w:color="auto" w:fill="FFFFFF"/>
        </w:rPr>
        <w:t>Valencia</w:t>
      </w:r>
      <w:r w:rsidR="00314E8A" w:rsidRPr="006B3721">
        <w:rPr>
          <w:rFonts w:ascii="Times New Roman" w:hAnsi="Times New Roman" w:cs="Times New Roman"/>
          <w:i/>
          <w:sz w:val="24"/>
          <w:szCs w:val="24"/>
          <w:shd w:val="clear" w:color="auto" w:fill="FFFFFF"/>
        </w:rPr>
        <w:t>et</w:t>
      </w:r>
      <w:proofErr w:type="spellEnd"/>
      <w:r w:rsidR="00314E8A" w:rsidRPr="006B3721">
        <w:rPr>
          <w:rFonts w:ascii="Times New Roman" w:hAnsi="Times New Roman" w:cs="Times New Roman"/>
          <w:i/>
          <w:sz w:val="24"/>
          <w:szCs w:val="24"/>
          <w:shd w:val="clear" w:color="auto" w:fill="FFFFFF"/>
        </w:rPr>
        <w:t xml:space="preserve"> al</w:t>
      </w:r>
      <w:r w:rsidR="008E484F" w:rsidRPr="006B3721">
        <w:rPr>
          <w:rFonts w:ascii="Times New Roman" w:eastAsia="Times New Roman" w:hAnsi="Times New Roman" w:cs="Times New Roman"/>
          <w:kern w:val="0"/>
          <w:sz w:val="24"/>
          <w:szCs w:val="24"/>
          <w:lang w:eastAsia="en-US"/>
        </w:rPr>
        <w:t>.</w:t>
      </w:r>
      <w:r w:rsidR="00314E8A" w:rsidRPr="006B3721">
        <w:rPr>
          <w:rFonts w:ascii="Times New Roman" w:eastAsia="Times New Roman" w:hAnsi="Times New Roman" w:cs="Times New Roman"/>
          <w:kern w:val="0"/>
          <w:sz w:val="24"/>
          <w:szCs w:val="24"/>
          <w:lang w:eastAsia="en-US"/>
        </w:rPr>
        <w:t>, 2023).</w:t>
      </w:r>
      <w:r w:rsidR="008E484F" w:rsidRPr="006B3721">
        <w:rPr>
          <w:rFonts w:ascii="Times New Roman" w:eastAsia="Times New Roman" w:hAnsi="Times New Roman" w:cs="Times New Roman"/>
          <w:kern w:val="0"/>
          <w:sz w:val="24"/>
          <w:szCs w:val="24"/>
          <w:lang w:eastAsia="en-US"/>
        </w:rPr>
        <w:t>Within the Anopheline</w:t>
      </w:r>
      <w:r w:rsidR="008D44E8" w:rsidRPr="006B3721">
        <w:rPr>
          <w:rFonts w:ascii="Times New Roman" w:eastAsia="Times New Roman" w:hAnsi="Times New Roman" w:cs="Times New Roman"/>
          <w:kern w:val="0"/>
          <w:sz w:val="24"/>
          <w:szCs w:val="24"/>
          <w:lang w:eastAsia="en-US"/>
        </w:rPr>
        <w:t xml:space="preserve"> group</w:t>
      </w:r>
      <w:r w:rsidRPr="006B3721">
        <w:rPr>
          <w:rFonts w:ascii="Times New Roman" w:eastAsia="Times New Roman" w:hAnsi="Times New Roman" w:cs="Times New Roman"/>
          <w:kern w:val="0"/>
          <w:sz w:val="24"/>
          <w:szCs w:val="24"/>
          <w:lang w:eastAsia="en-US"/>
        </w:rPr>
        <w:t xml:space="preserve">, the </w:t>
      </w:r>
      <w:r w:rsidRPr="006B3721">
        <w:rPr>
          <w:rFonts w:ascii="Times New Roman" w:eastAsia="Times New Roman" w:hAnsi="Times New Roman" w:cs="Times New Roman"/>
          <w:i/>
          <w:kern w:val="0"/>
          <w:sz w:val="24"/>
          <w:szCs w:val="24"/>
          <w:lang w:eastAsia="en-US"/>
        </w:rPr>
        <w:t>Anopheles gambiae</w:t>
      </w:r>
      <w:r w:rsidRPr="006B3721">
        <w:rPr>
          <w:rFonts w:ascii="Times New Roman" w:eastAsia="Times New Roman" w:hAnsi="Times New Roman" w:cs="Times New Roman"/>
          <w:kern w:val="0"/>
          <w:sz w:val="24"/>
          <w:szCs w:val="24"/>
          <w:lang w:eastAsia="en-US"/>
        </w:rPr>
        <w:t xml:space="preserve"> complex is regarded as the most efficient malaria vector, owing to its strong anthropophilic behavior, capacity for rapid breeding in diverse ecological habitats, and competence in </w:t>
      </w:r>
      <w:proofErr w:type="spellStart"/>
      <w:r w:rsidRPr="006B3721">
        <w:rPr>
          <w:rFonts w:ascii="Times New Roman" w:eastAsia="Times New Roman" w:hAnsi="Times New Roman" w:cs="Times New Roman"/>
          <w:kern w:val="0"/>
          <w:sz w:val="24"/>
          <w:szCs w:val="24"/>
          <w:lang w:eastAsia="en-US"/>
        </w:rPr>
        <w:t>transmitting</w:t>
      </w:r>
      <w:r w:rsidRPr="006B3721">
        <w:rPr>
          <w:rFonts w:ascii="Times New Roman" w:eastAsia="Times New Roman" w:hAnsi="Times New Roman" w:cs="Times New Roman"/>
          <w:i/>
          <w:kern w:val="0"/>
          <w:sz w:val="24"/>
          <w:szCs w:val="24"/>
          <w:lang w:eastAsia="en-US"/>
        </w:rPr>
        <w:t>Plasmodium</w:t>
      </w:r>
      <w:proofErr w:type="spellEnd"/>
      <w:r w:rsidRPr="006B3721">
        <w:rPr>
          <w:rFonts w:ascii="Times New Roman" w:eastAsia="Times New Roman" w:hAnsi="Times New Roman" w:cs="Times New Roman"/>
          <w:i/>
          <w:kern w:val="0"/>
          <w:sz w:val="24"/>
          <w:szCs w:val="24"/>
          <w:lang w:eastAsia="en-US"/>
        </w:rPr>
        <w:t xml:space="preserve"> falciparum</w:t>
      </w:r>
      <w:r w:rsidRPr="006B3721">
        <w:rPr>
          <w:rFonts w:ascii="Times New Roman" w:eastAsia="Times New Roman" w:hAnsi="Times New Roman" w:cs="Times New Roman"/>
          <w:kern w:val="0"/>
          <w:sz w:val="24"/>
          <w:szCs w:val="24"/>
          <w:lang w:eastAsia="en-US"/>
        </w:rPr>
        <w:t xml:space="preserve">, the deadliest of the </w:t>
      </w:r>
      <w:proofErr w:type="spellStart"/>
      <w:r w:rsidRPr="006B3721">
        <w:rPr>
          <w:rFonts w:ascii="Times New Roman" w:eastAsia="Times New Roman" w:hAnsi="Times New Roman" w:cs="Times New Roman"/>
          <w:kern w:val="0"/>
          <w:sz w:val="24"/>
          <w:szCs w:val="24"/>
          <w:lang w:eastAsia="en-US"/>
        </w:rPr>
        <w:t>humanmalaria</w:t>
      </w:r>
      <w:proofErr w:type="spellEnd"/>
      <w:r w:rsidRPr="006B3721">
        <w:rPr>
          <w:rFonts w:ascii="Times New Roman" w:eastAsia="Times New Roman" w:hAnsi="Times New Roman" w:cs="Times New Roman"/>
          <w:kern w:val="0"/>
          <w:sz w:val="24"/>
          <w:szCs w:val="24"/>
          <w:lang w:eastAsia="en-US"/>
        </w:rPr>
        <w:t xml:space="preserve"> parasites</w:t>
      </w:r>
      <w:r w:rsidR="008E484F" w:rsidRPr="006B3721">
        <w:rPr>
          <w:rFonts w:ascii="Times New Roman" w:eastAsia="Times New Roman" w:hAnsi="Times New Roman" w:cs="Times New Roman"/>
          <w:kern w:val="0"/>
          <w:sz w:val="24"/>
          <w:szCs w:val="24"/>
          <w:lang w:eastAsia="en-US"/>
        </w:rPr>
        <w:t>(</w:t>
      </w:r>
      <w:proofErr w:type="spellStart"/>
      <w:r w:rsidR="008E484F" w:rsidRPr="006B3721">
        <w:rPr>
          <w:rFonts w:ascii="Times New Roman" w:eastAsia="Times New Roman" w:hAnsi="Times New Roman" w:cs="Times New Roman"/>
          <w:kern w:val="0"/>
          <w:sz w:val="24"/>
          <w:szCs w:val="24"/>
          <w:lang w:eastAsia="en-US"/>
        </w:rPr>
        <w:t>Takken</w:t>
      </w:r>
      <w:r w:rsidR="008E484F" w:rsidRPr="006B3721">
        <w:rPr>
          <w:rFonts w:ascii="Times New Roman" w:eastAsia="Times New Roman" w:hAnsi="Times New Roman" w:cs="Times New Roman"/>
          <w:i/>
          <w:kern w:val="0"/>
          <w:sz w:val="24"/>
          <w:szCs w:val="24"/>
          <w:lang w:eastAsia="en-US"/>
        </w:rPr>
        <w:t>et</w:t>
      </w:r>
      <w:proofErr w:type="spellEnd"/>
      <w:r w:rsidR="008E484F" w:rsidRPr="006B3721">
        <w:rPr>
          <w:rFonts w:ascii="Times New Roman" w:eastAsia="Times New Roman" w:hAnsi="Times New Roman" w:cs="Times New Roman"/>
          <w:i/>
          <w:kern w:val="0"/>
          <w:sz w:val="24"/>
          <w:szCs w:val="24"/>
          <w:lang w:eastAsia="en-US"/>
        </w:rPr>
        <w:t xml:space="preserve"> al.,</w:t>
      </w:r>
      <w:r w:rsidR="008E484F" w:rsidRPr="006B3721">
        <w:rPr>
          <w:rFonts w:ascii="Times New Roman" w:eastAsia="Times New Roman" w:hAnsi="Times New Roman" w:cs="Times New Roman"/>
          <w:kern w:val="0"/>
          <w:sz w:val="24"/>
          <w:szCs w:val="24"/>
          <w:lang w:eastAsia="en-US"/>
        </w:rPr>
        <w:t>2024</w:t>
      </w:r>
      <w:r w:rsidR="00E31D21" w:rsidRPr="006B3721">
        <w:rPr>
          <w:rFonts w:ascii="Times New Roman" w:eastAsia="Times New Roman" w:hAnsi="Times New Roman" w:cs="Times New Roman"/>
          <w:kern w:val="0"/>
          <w:sz w:val="24"/>
          <w:szCs w:val="24"/>
          <w:lang w:eastAsia="en-US"/>
        </w:rPr>
        <w:t>)</w:t>
      </w:r>
      <w:r w:rsidR="008D44E8" w:rsidRPr="006B3721">
        <w:rPr>
          <w:rFonts w:ascii="Times New Roman" w:eastAsia="Times New Roman" w:hAnsi="Times New Roman" w:cs="Times New Roman"/>
          <w:kern w:val="0"/>
          <w:sz w:val="24"/>
          <w:szCs w:val="24"/>
          <w:lang w:eastAsia="en-US"/>
        </w:rPr>
        <w:t>.</w:t>
      </w:r>
    </w:p>
    <w:p w14:paraId="44F85D54" w14:textId="77777777" w:rsidR="00EB594B" w:rsidRPr="006B3721" w:rsidRDefault="00964DB5" w:rsidP="003B7E65">
      <w:pPr>
        <w:spacing w:line="360" w:lineRule="auto"/>
        <w:ind w:firstLine="720"/>
        <w:jc w:val="both"/>
        <w:rPr>
          <w:rFonts w:ascii="Times New Roman" w:hAnsi="Times New Roman" w:cs="Times New Roman"/>
          <w:sz w:val="24"/>
          <w:szCs w:val="24"/>
        </w:rPr>
      </w:pPr>
      <w:r w:rsidRPr="006B3721">
        <w:rPr>
          <w:rFonts w:ascii="Times New Roman" w:eastAsia="Times New Roman" w:hAnsi="Times New Roman" w:cs="Times New Roman"/>
          <w:kern w:val="0"/>
          <w:sz w:val="24"/>
          <w:szCs w:val="24"/>
          <w:lang w:eastAsia="en-US"/>
        </w:rPr>
        <w:t>Malaria transmission in endemic regions such as Nigeria is influenced not only by the presence of efficient vector species but also by ecological and socio-environmental conditions that sustain high mosquito densities</w:t>
      </w:r>
      <w:r w:rsidR="00D86D23" w:rsidRPr="006B3721">
        <w:rPr>
          <w:rFonts w:ascii="Times New Roman" w:eastAsia="Times New Roman" w:hAnsi="Times New Roman" w:cs="Times New Roman"/>
          <w:kern w:val="0"/>
          <w:sz w:val="24"/>
          <w:szCs w:val="24"/>
          <w:lang w:eastAsia="en-US"/>
        </w:rPr>
        <w:t xml:space="preserve"> (</w:t>
      </w:r>
      <w:proofErr w:type="spellStart"/>
      <w:r w:rsidR="00D86D23" w:rsidRPr="006B3721">
        <w:rPr>
          <w:rFonts w:ascii="Times New Roman" w:eastAsia="Times New Roman" w:hAnsi="Times New Roman" w:cs="Times New Roman"/>
          <w:kern w:val="0"/>
          <w:sz w:val="24"/>
          <w:szCs w:val="24"/>
          <w:lang w:eastAsia="en-US"/>
        </w:rPr>
        <w:t>Merga</w:t>
      </w:r>
      <w:r w:rsidR="00D86D23" w:rsidRPr="006B3721">
        <w:rPr>
          <w:rFonts w:ascii="Times New Roman" w:eastAsia="Times New Roman" w:hAnsi="Times New Roman" w:cs="Times New Roman"/>
          <w:i/>
          <w:kern w:val="0"/>
          <w:sz w:val="24"/>
          <w:szCs w:val="24"/>
          <w:lang w:eastAsia="en-US"/>
        </w:rPr>
        <w:t>et</w:t>
      </w:r>
      <w:proofErr w:type="spellEnd"/>
      <w:r w:rsidR="00D86D23" w:rsidRPr="006B3721">
        <w:rPr>
          <w:rFonts w:ascii="Times New Roman" w:eastAsia="Times New Roman" w:hAnsi="Times New Roman" w:cs="Times New Roman"/>
          <w:i/>
          <w:kern w:val="0"/>
          <w:sz w:val="24"/>
          <w:szCs w:val="24"/>
          <w:lang w:eastAsia="en-US"/>
        </w:rPr>
        <w:t xml:space="preserve"> al.,</w:t>
      </w:r>
      <w:r w:rsidR="00D86D23" w:rsidRPr="006B3721">
        <w:rPr>
          <w:rFonts w:ascii="Times New Roman" w:eastAsia="Times New Roman" w:hAnsi="Times New Roman" w:cs="Times New Roman"/>
          <w:kern w:val="0"/>
          <w:sz w:val="24"/>
          <w:szCs w:val="24"/>
          <w:lang w:eastAsia="en-US"/>
        </w:rPr>
        <w:t>2025</w:t>
      </w:r>
      <w:r w:rsidR="00E31D21" w:rsidRPr="006B3721">
        <w:rPr>
          <w:rFonts w:ascii="Times New Roman" w:eastAsia="Times New Roman" w:hAnsi="Times New Roman" w:cs="Times New Roman"/>
          <w:kern w:val="0"/>
          <w:sz w:val="24"/>
          <w:szCs w:val="24"/>
          <w:lang w:eastAsia="en-US"/>
        </w:rPr>
        <w:t>)</w:t>
      </w:r>
      <w:r w:rsidRPr="006B3721">
        <w:rPr>
          <w:rFonts w:ascii="Times New Roman" w:eastAsia="Times New Roman" w:hAnsi="Times New Roman" w:cs="Times New Roman"/>
          <w:kern w:val="0"/>
          <w:sz w:val="24"/>
          <w:szCs w:val="24"/>
          <w:lang w:eastAsia="en-US"/>
        </w:rPr>
        <w:t xml:space="preserve">. </w:t>
      </w:r>
      <w:r w:rsidR="00EB594B" w:rsidRPr="006B3721">
        <w:rPr>
          <w:rFonts w:ascii="Times New Roman" w:hAnsi="Times New Roman" w:cs="Times New Roman"/>
          <w:sz w:val="24"/>
          <w:szCs w:val="24"/>
        </w:rPr>
        <w:t xml:space="preserve">Nigeria has been marked as number one country with high and perennial malaria transmission possibly for the favorable environmental conditions such as tropical climate, presence of stagnant water bodies, and inadequate sanitation </w:t>
      </w:r>
      <w:r w:rsidR="00EB594B" w:rsidRPr="006B3721">
        <w:rPr>
          <w:rFonts w:ascii="Times New Roman" w:hAnsi="Times New Roman" w:cs="Times New Roman"/>
          <w:sz w:val="24"/>
          <w:szCs w:val="24"/>
        </w:rPr>
        <w:lastRenderedPageBreak/>
        <w:t>that sustains vector abundance (</w:t>
      </w:r>
      <w:proofErr w:type="spellStart"/>
      <w:r w:rsidR="00EB594B" w:rsidRPr="006B3721">
        <w:rPr>
          <w:rFonts w:ascii="Times New Roman" w:hAnsi="Times New Roman" w:cs="Times New Roman"/>
          <w:sz w:val="24"/>
          <w:szCs w:val="24"/>
        </w:rPr>
        <w:t>Ugwu</w:t>
      </w:r>
      <w:r w:rsidR="00EB594B" w:rsidRPr="006B3721">
        <w:rPr>
          <w:rFonts w:ascii="Times New Roman" w:hAnsi="Times New Roman" w:cs="Times New Roman"/>
          <w:i/>
          <w:iCs/>
          <w:sz w:val="24"/>
          <w:szCs w:val="24"/>
        </w:rPr>
        <w:t>et</w:t>
      </w:r>
      <w:proofErr w:type="spellEnd"/>
      <w:r w:rsidR="00EB594B" w:rsidRPr="006B3721">
        <w:rPr>
          <w:rFonts w:ascii="Times New Roman" w:hAnsi="Times New Roman" w:cs="Times New Roman"/>
          <w:i/>
          <w:iCs/>
          <w:sz w:val="24"/>
          <w:szCs w:val="24"/>
        </w:rPr>
        <w:t xml:space="preserve"> al.,</w:t>
      </w:r>
      <w:r w:rsidR="00EB594B" w:rsidRPr="006B3721">
        <w:rPr>
          <w:rFonts w:ascii="Times New Roman" w:hAnsi="Times New Roman" w:cs="Times New Roman"/>
          <w:sz w:val="24"/>
          <w:szCs w:val="24"/>
        </w:rPr>
        <w:t xml:space="preserve">2020). Nigeria faces significant challenges in malaria control, with high morbidity and mortality rates (Oladipo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2022). Despite efforts to distribute insecticide-treated nets (ITNs) and artemisinin-based combination therapies (ACTs), coverage remains inadequate. The National Malaria Control Program aims to reduce malaria burden through case management, intermittent preventive treatment, and vector control (CDC, 2024). However, drug resistance and self-administration of treatments pose additional obstacles (</w:t>
      </w:r>
      <w:proofErr w:type="spellStart"/>
      <w:r w:rsidR="00EB594B" w:rsidRPr="006B3721">
        <w:rPr>
          <w:rFonts w:ascii="Times New Roman" w:hAnsi="Times New Roman" w:cs="Times New Roman"/>
          <w:sz w:val="24"/>
          <w:szCs w:val="24"/>
        </w:rPr>
        <w:t>Akilimali</w:t>
      </w:r>
      <w:r w:rsidR="00EB594B" w:rsidRPr="006B3721">
        <w:rPr>
          <w:rFonts w:ascii="Times New Roman" w:hAnsi="Times New Roman" w:cs="Times New Roman"/>
          <w:i/>
          <w:iCs/>
          <w:sz w:val="24"/>
          <w:szCs w:val="24"/>
        </w:rPr>
        <w:t>et</w:t>
      </w:r>
      <w:proofErr w:type="spellEnd"/>
      <w:r w:rsidR="00EB594B" w:rsidRPr="006B3721">
        <w:rPr>
          <w:rFonts w:ascii="Times New Roman" w:hAnsi="Times New Roman" w:cs="Times New Roman"/>
          <w:i/>
          <w:iCs/>
          <w:sz w:val="24"/>
          <w:szCs w:val="24"/>
        </w:rPr>
        <w:t xml:space="preserve"> al.,</w:t>
      </w:r>
      <w:r w:rsidR="00EB594B" w:rsidRPr="006B3721">
        <w:rPr>
          <w:rFonts w:ascii="Times New Roman" w:hAnsi="Times New Roman" w:cs="Times New Roman"/>
          <w:sz w:val="24"/>
          <w:szCs w:val="24"/>
        </w:rPr>
        <w:t xml:space="preserve">2022). Integrated approaches, including ITNs, indoor residual spraying, and ACTs, are recommended for effective control (Pryce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 xml:space="preserve">2022). Health education and community-centered strategies are crucial for improving intervention uptake. The socio-economic implications of multi-drug resistant malaria are significant, and cost-effective analysis of control strategies is necessary (Ippolito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 xml:space="preserve">2021). To address these challenges, Nigeria must prioritize scaling up home management, community-based interventions, and adopt control strategies based on sound socio-economic judgments (Abubakar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2022).</w:t>
      </w:r>
    </w:p>
    <w:p w14:paraId="07212E0B" w14:textId="77777777" w:rsidR="00964DB5" w:rsidRPr="006B3721" w:rsidRDefault="00EB594B" w:rsidP="002910D7">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sz w:val="24"/>
          <w:szCs w:val="24"/>
        </w:rPr>
        <w:t>Traditional malaria control strategies have heavily relied on the use of chemical insecticides in different recommended classes such as organochlorine, pyrethroids, organophosphates, and carbamates. These insecticides have been innovatively applied through indoor residual spraying (IRS) and insecticide-treated nets (ITNs), insecticide treated other materials and so many other innovative approaches (</w:t>
      </w:r>
      <w:proofErr w:type="spellStart"/>
      <w:r w:rsidRPr="006B3721">
        <w:rPr>
          <w:rFonts w:ascii="Times New Roman" w:hAnsi="Times New Roman" w:cs="Times New Roman"/>
          <w:sz w:val="24"/>
          <w:szCs w:val="24"/>
        </w:rPr>
        <w:t>Tangena</w:t>
      </w:r>
      <w:proofErr w:type="spellEnd"/>
      <w:r w:rsidR="006B3721" w:rsidRPr="006B3721">
        <w:rPr>
          <w:rFonts w:ascii="Times New Roman" w:hAnsi="Times New Roman" w:cs="Times New Roman"/>
          <w:sz w:val="24"/>
          <w:szCs w:val="24"/>
        </w:rPr>
        <w:t xml:space="preserve"> </w:t>
      </w:r>
      <w:r w:rsidRPr="006B3721">
        <w:rPr>
          <w:rFonts w:ascii="Times New Roman" w:hAnsi="Times New Roman" w:cs="Times New Roman"/>
          <w:i/>
          <w:iCs/>
          <w:sz w:val="24"/>
          <w:szCs w:val="24"/>
        </w:rPr>
        <w:t>et al.,</w:t>
      </w:r>
      <w:r w:rsidRPr="006B3721">
        <w:rPr>
          <w:rFonts w:ascii="Times New Roman" w:hAnsi="Times New Roman" w:cs="Times New Roman"/>
          <w:sz w:val="24"/>
          <w:szCs w:val="24"/>
        </w:rPr>
        <w:t xml:space="preserve">2020; Pryce </w:t>
      </w:r>
      <w:r w:rsidRPr="006B3721">
        <w:rPr>
          <w:rFonts w:ascii="Times New Roman" w:hAnsi="Times New Roman" w:cs="Times New Roman"/>
          <w:i/>
          <w:iCs/>
          <w:sz w:val="24"/>
          <w:szCs w:val="24"/>
        </w:rPr>
        <w:t>et al.,</w:t>
      </w:r>
      <w:r w:rsidRPr="006B3721">
        <w:rPr>
          <w:rFonts w:ascii="Times New Roman" w:hAnsi="Times New Roman" w:cs="Times New Roman"/>
          <w:sz w:val="24"/>
          <w:szCs w:val="24"/>
        </w:rPr>
        <w:t>2022).</w:t>
      </w:r>
      <w:r w:rsidR="00964DB5" w:rsidRPr="006B3721">
        <w:rPr>
          <w:rFonts w:ascii="Times New Roman" w:eastAsia="Times New Roman" w:hAnsi="Times New Roman" w:cs="Times New Roman"/>
          <w:kern w:val="0"/>
          <w:sz w:val="24"/>
          <w:szCs w:val="24"/>
          <w:lang w:eastAsia="en-US"/>
        </w:rPr>
        <w:t xml:space="preserve">In Delta State, located within the Niger Delta region, environmental factors such as perennial water bodies, high rainfall, humid climate, </w:t>
      </w:r>
      <w:proofErr w:type="spellStart"/>
      <w:r w:rsidR="00964DB5" w:rsidRPr="006B3721">
        <w:rPr>
          <w:rFonts w:ascii="Times New Roman" w:eastAsia="Times New Roman" w:hAnsi="Times New Roman" w:cs="Times New Roman"/>
          <w:kern w:val="0"/>
          <w:sz w:val="24"/>
          <w:szCs w:val="24"/>
          <w:lang w:eastAsia="en-US"/>
        </w:rPr>
        <w:t>andhuman</w:t>
      </w:r>
      <w:proofErr w:type="spellEnd"/>
      <w:r w:rsidR="00964DB5" w:rsidRPr="006B3721">
        <w:rPr>
          <w:rFonts w:ascii="Times New Roman" w:eastAsia="Times New Roman" w:hAnsi="Times New Roman" w:cs="Times New Roman"/>
          <w:kern w:val="0"/>
          <w:sz w:val="24"/>
          <w:szCs w:val="24"/>
          <w:lang w:eastAsia="en-US"/>
        </w:rPr>
        <w:t xml:space="preserve"> activities that create larval habitats contribute significantly to mosquito abundance </w:t>
      </w:r>
      <w:proofErr w:type="spellStart"/>
      <w:r w:rsidR="00964DB5" w:rsidRPr="006B3721">
        <w:rPr>
          <w:rFonts w:ascii="Times New Roman" w:eastAsia="Times New Roman" w:hAnsi="Times New Roman" w:cs="Times New Roman"/>
          <w:kern w:val="0"/>
          <w:sz w:val="24"/>
          <w:szCs w:val="24"/>
          <w:lang w:eastAsia="en-US"/>
        </w:rPr>
        <w:t>andthe</w:t>
      </w:r>
      <w:proofErr w:type="spellEnd"/>
      <w:r w:rsidR="00964DB5" w:rsidRPr="006B3721">
        <w:rPr>
          <w:rFonts w:ascii="Times New Roman" w:eastAsia="Times New Roman" w:hAnsi="Times New Roman" w:cs="Times New Roman"/>
          <w:kern w:val="0"/>
          <w:sz w:val="24"/>
          <w:szCs w:val="24"/>
          <w:lang w:eastAsia="en-US"/>
        </w:rPr>
        <w:t xml:space="preserve"> perennial proliferation of malaria cases</w:t>
      </w:r>
      <w:r w:rsidR="0034744D" w:rsidRPr="006B3721">
        <w:rPr>
          <w:rFonts w:ascii="Times New Roman" w:eastAsia="Times New Roman" w:hAnsi="Times New Roman" w:cs="Times New Roman"/>
          <w:kern w:val="0"/>
          <w:sz w:val="24"/>
          <w:szCs w:val="24"/>
          <w:lang w:eastAsia="en-US"/>
        </w:rPr>
        <w:t xml:space="preserve"> (</w:t>
      </w:r>
      <w:proofErr w:type="spellStart"/>
      <w:r w:rsidR="0034744D" w:rsidRPr="006B3721">
        <w:rPr>
          <w:rFonts w:ascii="Times New Roman" w:eastAsia="Times New Roman" w:hAnsi="Times New Roman" w:cs="Times New Roman"/>
          <w:kern w:val="0"/>
          <w:sz w:val="24"/>
          <w:szCs w:val="24"/>
          <w:lang w:eastAsia="en-US"/>
        </w:rPr>
        <w:t>Ojianwuna</w:t>
      </w:r>
      <w:proofErr w:type="spellEnd"/>
      <w:r w:rsidR="0034744D" w:rsidRPr="006B3721">
        <w:rPr>
          <w:rFonts w:ascii="Times New Roman" w:eastAsia="Times New Roman" w:hAnsi="Times New Roman" w:cs="Times New Roman"/>
          <w:kern w:val="0"/>
          <w:sz w:val="24"/>
          <w:szCs w:val="24"/>
          <w:lang w:eastAsia="en-US"/>
        </w:rPr>
        <w:t xml:space="preserve"> </w:t>
      </w:r>
      <w:r w:rsidR="0034744D" w:rsidRPr="006B3721">
        <w:rPr>
          <w:rFonts w:ascii="Times New Roman" w:eastAsia="Times New Roman" w:hAnsi="Times New Roman" w:cs="Times New Roman"/>
          <w:i/>
          <w:kern w:val="0"/>
          <w:sz w:val="24"/>
          <w:szCs w:val="24"/>
          <w:lang w:eastAsia="en-US"/>
        </w:rPr>
        <w:t>et al.,</w:t>
      </w:r>
      <w:r w:rsidR="0034744D" w:rsidRPr="006B3721">
        <w:rPr>
          <w:rFonts w:ascii="Times New Roman" w:eastAsia="Times New Roman" w:hAnsi="Times New Roman" w:cs="Times New Roman"/>
          <w:kern w:val="0"/>
          <w:sz w:val="24"/>
          <w:szCs w:val="24"/>
          <w:lang w:eastAsia="en-US"/>
        </w:rPr>
        <w:t xml:space="preserve"> 2021)</w:t>
      </w:r>
      <w:r w:rsidR="00964DB5" w:rsidRPr="006B3721">
        <w:rPr>
          <w:rFonts w:ascii="Times New Roman" w:eastAsia="Times New Roman" w:hAnsi="Times New Roman" w:cs="Times New Roman"/>
          <w:kern w:val="0"/>
          <w:sz w:val="24"/>
          <w:szCs w:val="24"/>
          <w:lang w:eastAsia="en-US"/>
        </w:rPr>
        <w:t>.Despite ongoing control interventions, malaria persists as a major health burden in the state, underscoring the need for continuous monitoring of vector populations and transmission dynamics.</w:t>
      </w:r>
    </w:p>
    <w:p w14:paraId="1EF01D43" w14:textId="77777777" w:rsidR="00964DB5" w:rsidRPr="006B3721" w:rsidRDefault="00964DB5" w:rsidP="0034744D">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 xml:space="preserve">Entomological indices provide a quantitative framework for assessing vector ecology, behavior, and transmission </w:t>
      </w:r>
      <w:proofErr w:type="gramStart"/>
      <w:r w:rsidRPr="006B3721">
        <w:rPr>
          <w:rFonts w:ascii="Times New Roman" w:eastAsia="Times New Roman" w:hAnsi="Times New Roman" w:cs="Times New Roman"/>
          <w:kern w:val="0"/>
          <w:sz w:val="24"/>
          <w:szCs w:val="24"/>
          <w:lang w:eastAsia="en-US"/>
        </w:rPr>
        <w:t>potential</w:t>
      </w:r>
      <w:r w:rsidR="00222388" w:rsidRPr="006B3721">
        <w:rPr>
          <w:rFonts w:ascii="Times New Roman" w:eastAsia="Times New Roman" w:hAnsi="Times New Roman" w:cs="Times New Roman"/>
          <w:kern w:val="0"/>
          <w:sz w:val="24"/>
          <w:szCs w:val="24"/>
          <w:lang w:eastAsia="en-US"/>
        </w:rPr>
        <w:t>(</w:t>
      </w:r>
      <w:proofErr w:type="gramEnd"/>
      <w:r w:rsidR="00222388" w:rsidRPr="006B3721">
        <w:rPr>
          <w:rFonts w:ascii="Times New Roman" w:eastAsia="Times New Roman" w:hAnsi="Times New Roman" w:cs="Times New Roman"/>
          <w:kern w:val="0"/>
          <w:sz w:val="24"/>
          <w:szCs w:val="24"/>
          <w:lang w:eastAsia="en-US"/>
        </w:rPr>
        <w:t xml:space="preserve">Monroe </w:t>
      </w:r>
      <w:r w:rsidR="00222388" w:rsidRPr="006B3721">
        <w:rPr>
          <w:rFonts w:ascii="Times New Roman" w:eastAsia="Times New Roman" w:hAnsi="Times New Roman" w:cs="Times New Roman"/>
          <w:i/>
          <w:kern w:val="0"/>
          <w:sz w:val="24"/>
          <w:szCs w:val="24"/>
          <w:lang w:eastAsia="en-US"/>
        </w:rPr>
        <w:t>et al.,</w:t>
      </w:r>
      <w:r w:rsidR="00222388" w:rsidRPr="006B3721">
        <w:rPr>
          <w:rFonts w:ascii="Times New Roman" w:eastAsia="Times New Roman" w:hAnsi="Times New Roman" w:cs="Times New Roman"/>
          <w:kern w:val="0"/>
          <w:sz w:val="24"/>
          <w:szCs w:val="24"/>
          <w:lang w:eastAsia="en-US"/>
        </w:rPr>
        <w:t>2020</w:t>
      </w:r>
      <w:r w:rsidR="0034744D" w:rsidRPr="006B3721">
        <w:rPr>
          <w:rFonts w:ascii="Times New Roman" w:eastAsia="Times New Roman" w:hAnsi="Times New Roman" w:cs="Times New Roman"/>
          <w:kern w:val="0"/>
          <w:sz w:val="24"/>
          <w:szCs w:val="24"/>
          <w:lang w:eastAsia="en-US"/>
        </w:rPr>
        <w:t xml:space="preserve">, </w:t>
      </w:r>
      <w:proofErr w:type="spellStart"/>
      <w:r w:rsidR="0034744D" w:rsidRPr="006B3721">
        <w:rPr>
          <w:rFonts w:ascii="Times New Roman" w:eastAsia="Times New Roman" w:hAnsi="Times New Roman" w:cs="Times New Roman"/>
          <w:kern w:val="0"/>
          <w:sz w:val="24"/>
          <w:szCs w:val="24"/>
          <w:lang w:eastAsia="en-US"/>
        </w:rPr>
        <w:t>Eyeboka</w:t>
      </w:r>
      <w:proofErr w:type="spellEnd"/>
      <w:r w:rsidR="0034744D" w:rsidRPr="006B3721">
        <w:rPr>
          <w:rFonts w:ascii="Times New Roman" w:eastAsia="Times New Roman" w:hAnsi="Times New Roman" w:cs="Times New Roman"/>
          <w:kern w:val="0"/>
          <w:sz w:val="24"/>
          <w:szCs w:val="24"/>
          <w:lang w:eastAsia="en-US"/>
        </w:rPr>
        <w:t xml:space="preserve"> et al., 2024</w:t>
      </w:r>
      <w:r w:rsidR="00222388" w:rsidRPr="006B3721">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 xml:space="preserve"> Parameters such as the proportion of blood fed females indicate host feeding success and intensity of human vector contact, while gravidity rates reflect mosquito survival and reproductive potential. Similarly, the biting rate serves as a direct measure of human exposure to infective bites, whereas indoor resting density provides insights into the endophilic behavior of vectors and the likelihood of indoor transmission.</w:t>
      </w:r>
      <w:r w:rsidR="00222388" w:rsidRPr="006B3721">
        <w:rPr>
          <w:rFonts w:ascii="Times New Roman" w:eastAsia="Times New Roman" w:hAnsi="Times New Roman" w:cs="Times New Roman"/>
          <w:kern w:val="0"/>
          <w:sz w:val="24"/>
          <w:szCs w:val="24"/>
          <w:lang w:eastAsia="en-US"/>
        </w:rPr>
        <w:t xml:space="preserve"> (Blanken </w:t>
      </w:r>
      <w:r w:rsidR="00222388" w:rsidRPr="006B3721">
        <w:rPr>
          <w:rFonts w:ascii="Times New Roman" w:eastAsia="Times New Roman" w:hAnsi="Times New Roman" w:cs="Times New Roman"/>
          <w:i/>
          <w:kern w:val="0"/>
          <w:sz w:val="24"/>
          <w:szCs w:val="24"/>
          <w:lang w:eastAsia="en-US"/>
        </w:rPr>
        <w:t>et al</w:t>
      </w:r>
      <w:r w:rsidR="00222388" w:rsidRPr="006B3721">
        <w:rPr>
          <w:rFonts w:ascii="Times New Roman" w:eastAsia="Times New Roman" w:hAnsi="Times New Roman" w:cs="Times New Roman"/>
          <w:kern w:val="0"/>
          <w:sz w:val="24"/>
          <w:szCs w:val="24"/>
          <w:lang w:eastAsia="en-US"/>
        </w:rPr>
        <w:t xml:space="preserve"> 2024). </w:t>
      </w:r>
      <w:r w:rsidRPr="006B3721">
        <w:rPr>
          <w:rFonts w:ascii="Times New Roman" w:eastAsia="Times New Roman" w:hAnsi="Times New Roman" w:cs="Times New Roman"/>
          <w:kern w:val="0"/>
          <w:sz w:val="24"/>
          <w:szCs w:val="24"/>
          <w:lang w:eastAsia="en-US"/>
        </w:rPr>
        <w:t xml:space="preserve"> These indices, when analyzed together</w:t>
      </w:r>
      <w:r w:rsidR="00FC0E7C" w:rsidRPr="006B3721">
        <w:rPr>
          <w:rFonts w:ascii="Times New Roman" w:eastAsia="Times New Roman" w:hAnsi="Times New Roman" w:cs="Times New Roman"/>
          <w:kern w:val="0"/>
          <w:sz w:val="24"/>
          <w:szCs w:val="24"/>
          <w:lang w:eastAsia="en-US"/>
        </w:rPr>
        <w:t>, enable researchers and public</w:t>
      </w:r>
      <w:r w:rsidRPr="006B3721">
        <w:rPr>
          <w:rFonts w:ascii="Times New Roman" w:eastAsia="Times New Roman" w:hAnsi="Times New Roman" w:cs="Times New Roman"/>
          <w:kern w:val="0"/>
          <w:sz w:val="24"/>
          <w:szCs w:val="24"/>
          <w:lang w:eastAsia="en-US"/>
        </w:rPr>
        <w:t xml:space="preserve"> health practitioners to </w:t>
      </w:r>
      <w:proofErr w:type="spellStart"/>
      <w:r w:rsidRPr="006B3721">
        <w:rPr>
          <w:rFonts w:ascii="Times New Roman" w:eastAsia="Times New Roman" w:hAnsi="Times New Roman" w:cs="Times New Roman"/>
          <w:kern w:val="0"/>
          <w:sz w:val="24"/>
          <w:szCs w:val="24"/>
          <w:lang w:eastAsia="en-US"/>
        </w:rPr>
        <w:t>estimatemalaria</w:t>
      </w:r>
      <w:proofErr w:type="spellEnd"/>
      <w:r w:rsidRPr="006B3721">
        <w:rPr>
          <w:rFonts w:ascii="Times New Roman" w:eastAsia="Times New Roman" w:hAnsi="Times New Roman" w:cs="Times New Roman"/>
          <w:kern w:val="0"/>
          <w:sz w:val="24"/>
          <w:szCs w:val="24"/>
          <w:lang w:eastAsia="en-US"/>
        </w:rPr>
        <w:t xml:space="preserve"> transmission risk, evaluate </w:t>
      </w:r>
      <w:r w:rsidRPr="006B3721">
        <w:rPr>
          <w:rFonts w:ascii="Times New Roman" w:eastAsia="Times New Roman" w:hAnsi="Times New Roman" w:cs="Times New Roman"/>
          <w:kern w:val="0"/>
          <w:sz w:val="24"/>
          <w:szCs w:val="24"/>
          <w:lang w:eastAsia="en-US"/>
        </w:rPr>
        <w:lastRenderedPageBreak/>
        <w:t>intervention efficacy, and predict potential outbreaks.</w:t>
      </w:r>
      <w:r w:rsidR="0034744D" w:rsidRPr="006B3721">
        <w:rPr>
          <w:rFonts w:ascii="Times New Roman" w:eastAsia="Times New Roman" w:hAnsi="Times New Roman" w:cs="Times New Roman"/>
          <w:kern w:val="0"/>
          <w:sz w:val="24"/>
          <w:szCs w:val="24"/>
          <w:lang w:eastAsia="en-US"/>
        </w:rPr>
        <w:t xml:space="preserve"> There are limited studies on entomological indices of mosquitoes in indoor resting mosquitoes in Delta State. </w:t>
      </w:r>
      <w:r w:rsidRPr="006B3721">
        <w:rPr>
          <w:rFonts w:ascii="Times New Roman" w:eastAsia="Times New Roman" w:hAnsi="Times New Roman" w:cs="Times New Roman"/>
          <w:kern w:val="0"/>
          <w:sz w:val="24"/>
          <w:szCs w:val="24"/>
          <w:lang w:eastAsia="en-US"/>
        </w:rPr>
        <w:t xml:space="preserve">This study, therefore, focuses on the entomological indices assessment of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gambiae in Delta State, Nigeria. By examining blood-fed and gravid rates, biting frequency, indoor resting densities, and related parameters, the research seeks to provide critical insights into mosquito population dynamics and their implications for malaria transmission in the region. Such data are indispensable for strengthening vector surveillance systems and guiding evidence-based control strategies tailored to the ecological realities of Delta State.</w:t>
      </w:r>
    </w:p>
    <w:p w14:paraId="7C9F4ED4" w14:textId="77777777" w:rsidR="0034744D" w:rsidRPr="006B3721" w:rsidRDefault="0034744D" w:rsidP="00F70E40">
      <w:pPr>
        <w:spacing w:line="360" w:lineRule="auto"/>
        <w:rPr>
          <w:rFonts w:ascii="Times New Roman" w:hAnsi="Times New Roman" w:cs="Times New Roman"/>
          <w:b/>
          <w:bCs/>
          <w:sz w:val="24"/>
          <w:szCs w:val="24"/>
        </w:rPr>
      </w:pPr>
    </w:p>
    <w:p w14:paraId="06A023C3"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MATERIALS AND METHOD </w:t>
      </w:r>
    </w:p>
    <w:p w14:paraId="4888B659" w14:textId="77777777" w:rsidR="008F1E71" w:rsidRPr="006B3721" w:rsidRDefault="00964DB5"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Study area </w:t>
      </w:r>
    </w:p>
    <w:p w14:paraId="3FC84B40" w14:textId="77777777" w:rsidR="00964DB5" w:rsidRPr="006B3721" w:rsidRDefault="0034744D" w:rsidP="009E73AB">
      <w:pPr>
        <w:spacing w:line="360" w:lineRule="auto"/>
        <w:jc w:val="both"/>
        <w:rPr>
          <w:rStyle w:val="uv3um"/>
          <w:rFonts w:ascii="Times New Roman" w:hAnsi="Times New Roman" w:cs="Times New Roman"/>
          <w:sz w:val="24"/>
          <w:szCs w:val="24"/>
          <w:shd w:val="clear" w:color="auto" w:fill="FFFFFF"/>
        </w:rPr>
      </w:pPr>
      <w:r w:rsidRPr="006B3721">
        <w:rPr>
          <w:rFonts w:ascii="Times New Roman" w:hAnsi="Times New Roman" w:cs="Times New Roman"/>
          <w:sz w:val="24"/>
          <w:szCs w:val="24"/>
        </w:rPr>
        <w:t>The study was conducted in Delta State. Delta State is made up of twenty-five local government areas</w:t>
      </w:r>
      <w:r w:rsidR="009E73AB" w:rsidRPr="006B3721">
        <w:rPr>
          <w:rFonts w:ascii="Times New Roman" w:hAnsi="Times New Roman" w:cs="Times New Roman"/>
          <w:sz w:val="24"/>
          <w:szCs w:val="24"/>
        </w:rPr>
        <w:t xml:space="preserve"> (LGAs)</w:t>
      </w:r>
      <w:r w:rsidRPr="006B3721">
        <w:rPr>
          <w:rFonts w:ascii="Times New Roman" w:hAnsi="Times New Roman" w:cs="Times New Roman"/>
          <w:sz w:val="24"/>
          <w:szCs w:val="24"/>
        </w:rPr>
        <w:t>. Three malaria endemic</w:t>
      </w:r>
      <w:r w:rsidR="009E73AB" w:rsidRPr="006B3721">
        <w:rPr>
          <w:rFonts w:ascii="Times New Roman" w:hAnsi="Times New Roman" w:cs="Times New Roman"/>
          <w:sz w:val="24"/>
          <w:szCs w:val="24"/>
        </w:rPr>
        <w:t xml:space="preserve"> LGAs were selected for </w:t>
      </w:r>
      <w:proofErr w:type="spellStart"/>
      <w:r w:rsidR="009E73AB" w:rsidRPr="006B3721">
        <w:rPr>
          <w:rFonts w:ascii="Times New Roman" w:hAnsi="Times New Roman" w:cs="Times New Roman"/>
          <w:sz w:val="24"/>
          <w:szCs w:val="24"/>
        </w:rPr>
        <w:t>thestudy</w:t>
      </w:r>
      <w:proofErr w:type="spellEnd"/>
      <w:r w:rsidR="009E73AB" w:rsidRPr="006B3721">
        <w:rPr>
          <w:rFonts w:ascii="Times New Roman" w:hAnsi="Times New Roman" w:cs="Times New Roman"/>
          <w:sz w:val="24"/>
          <w:szCs w:val="24"/>
        </w:rPr>
        <w:t xml:space="preserve"> including </w:t>
      </w:r>
      <w:proofErr w:type="spellStart"/>
      <w:r w:rsidR="009E73AB" w:rsidRPr="006B3721">
        <w:rPr>
          <w:rFonts w:ascii="Times New Roman" w:hAnsi="Times New Roman" w:cs="Times New Roman"/>
          <w:sz w:val="24"/>
          <w:szCs w:val="24"/>
        </w:rPr>
        <w:t>Owhelogbo</w:t>
      </w:r>
      <w:proofErr w:type="spellEnd"/>
      <w:r w:rsidR="009E73AB" w:rsidRPr="006B3721">
        <w:rPr>
          <w:rFonts w:ascii="Times New Roman" w:hAnsi="Times New Roman" w:cs="Times New Roman"/>
          <w:sz w:val="24"/>
          <w:szCs w:val="24"/>
        </w:rPr>
        <w:t xml:space="preserve">, </w:t>
      </w:r>
      <w:proofErr w:type="spellStart"/>
      <w:r w:rsidR="009E73AB" w:rsidRPr="006B3721">
        <w:rPr>
          <w:rFonts w:ascii="Times New Roman" w:hAnsi="Times New Roman" w:cs="Times New Roman"/>
          <w:sz w:val="24"/>
          <w:szCs w:val="24"/>
        </w:rPr>
        <w:t>Egbudu-Akah</w:t>
      </w:r>
      <w:proofErr w:type="spellEnd"/>
      <w:r w:rsidR="009E73AB" w:rsidRPr="006B3721">
        <w:rPr>
          <w:rFonts w:ascii="Times New Roman" w:hAnsi="Times New Roman" w:cs="Times New Roman"/>
          <w:sz w:val="24"/>
          <w:szCs w:val="24"/>
        </w:rPr>
        <w:t xml:space="preserve">, and </w:t>
      </w:r>
      <w:proofErr w:type="spellStart"/>
      <w:r w:rsidR="009E73AB" w:rsidRPr="006B3721">
        <w:rPr>
          <w:rFonts w:ascii="Times New Roman" w:hAnsi="Times New Roman" w:cs="Times New Roman"/>
          <w:sz w:val="24"/>
          <w:szCs w:val="24"/>
        </w:rPr>
        <w:t>Aghalokpe</w:t>
      </w:r>
      <w:proofErr w:type="spellEnd"/>
      <w:r w:rsidR="00EB082D" w:rsidRPr="006B3721">
        <w:rPr>
          <w:rFonts w:ascii="Times New Roman" w:hAnsi="Times New Roman" w:cs="Times New Roman"/>
          <w:sz w:val="24"/>
          <w:szCs w:val="24"/>
        </w:rPr>
        <w:t xml:space="preserve"> (Figure 1)</w:t>
      </w:r>
      <w:r w:rsidR="009E73AB" w:rsidRPr="006B3721">
        <w:rPr>
          <w:rFonts w:ascii="Times New Roman" w:hAnsi="Times New Roman" w:cs="Times New Roman"/>
          <w:sz w:val="24"/>
          <w:szCs w:val="24"/>
        </w:rPr>
        <w:t xml:space="preserve">. </w:t>
      </w:r>
      <w:proofErr w:type="spellStart"/>
      <w:r w:rsidR="00964DB5" w:rsidRPr="006B3721">
        <w:rPr>
          <w:rFonts w:ascii="Times New Roman" w:eastAsia="Times New Roman" w:hAnsi="Times New Roman" w:cs="Times New Roman"/>
          <w:bCs/>
          <w:kern w:val="0"/>
          <w:sz w:val="24"/>
          <w:szCs w:val="24"/>
          <w:lang w:eastAsia="en-US"/>
        </w:rPr>
        <w:t>Owhelogbo</w:t>
      </w:r>
      <w:r w:rsidR="00964DB5" w:rsidRPr="006B3721">
        <w:rPr>
          <w:rFonts w:ascii="Times New Roman" w:eastAsia="Times New Roman" w:hAnsi="Times New Roman" w:cs="Times New Roman"/>
          <w:kern w:val="0"/>
          <w:sz w:val="24"/>
          <w:szCs w:val="24"/>
          <w:lang w:eastAsia="en-US"/>
        </w:rPr>
        <w:t>is</w:t>
      </w:r>
      <w:proofErr w:type="spellEnd"/>
      <w:r w:rsidR="00964DB5" w:rsidRPr="006B3721">
        <w:rPr>
          <w:rFonts w:ascii="Times New Roman" w:eastAsia="Times New Roman" w:hAnsi="Times New Roman" w:cs="Times New Roman"/>
          <w:kern w:val="0"/>
          <w:sz w:val="24"/>
          <w:szCs w:val="24"/>
          <w:lang w:eastAsia="en-US"/>
        </w:rPr>
        <w:t xml:space="preserve"> a community in Isoko North Local Government Area of Delta State, located </w:t>
      </w:r>
      <w:proofErr w:type="spellStart"/>
      <w:r w:rsidR="00964DB5" w:rsidRPr="006B3721">
        <w:rPr>
          <w:rFonts w:ascii="Times New Roman" w:eastAsia="Times New Roman" w:hAnsi="Times New Roman" w:cs="Times New Roman"/>
          <w:kern w:val="0"/>
          <w:sz w:val="24"/>
          <w:szCs w:val="24"/>
          <w:lang w:eastAsia="en-US"/>
        </w:rPr>
        <w:t>withinNigeria’s</w:t>
      </w:r>
      <w:proofErr w:type="spellEnd"/>
      <w:r w:rsidR="00964DB5" w:rsidRPr="006B3721">
        <w:rPr>
          <w:rFonts w:ascii="Times New Roman" w:eastAsia="Times New Roman" w:hAnsi="Times New Roman" w:cs="Times New Roman"/>
          <w:kern w:val="0"/>
          <w:sz w:val="24"/>
          <w:szCs w:val="24"/>
          <w:lang w:eastAsia="en-US"/>
        </w:rPr>
        <w:t xml:space="preserve"> Niger-Delta and classified as part of the humid forest ecozone. The area is geographically flat, shaped by alluvial deposits from creeks, </w:t>
      </w:r>
      <w:proofErr w:type="spellStart"/>
      <w:r w:rsidR="00964DB5" w:rsidRPr="006B3721">
        <w:rPr>
          <w:rFonts w:ascii="Times New Roman" w:eastAsia="Times New Roman" w:hAnsi="Times New Roman" w:cs="Times New Roman"/>
          <w:kern w:val="0"/>
          <w:sz w:val="24"/>
          <w:szCs w:val="24"/>
          <w:lang w:eastAsia="en-US"/>
        </w:rPr>
        <w:t>andhighly</w:t>
      </w:r>
      <w:proofErr w:type="spellEnd"/>
      <w:r w:rsidR="00964DB5" w:rsidRPr="006B3721">
        <w:rPr>
          <w:rFonts w:ascii="Times New Roman" w:eastAsia="Times New Roman" w:hAnsi="Times New Roman" w:cs="Times New Roman"/>
          <w:kern w:val="0"/>
          <w:sz w:val="24"/>
          <w:szCs w:val="24"/>
          <w:lang w:eastAsia="en-US"/>
        </w:rPr>
        <w:t xml:space="preserve"> </w:t>
      </w:r>
      <w:r w:rsidR="00E31D21" w:rsidRPr="006B3721">
        <w:rPr>
          <w:rFonts w:ascii="Times New Roman" w:eastAsia="Times New Roman" w:hAnsi="Times New Roman" w:cs="Times New Roman"/>
          <w:kern w:val="0"/>
          <w:sz w:val="24"/>
          <w:szCs w:val="24"/>
          <w:lang w:eastAsia="en-US"/>
        </w:rPr>
        <w:t xml:space="preserve">prone to flooding, </w:t>
      </w:r>
      <w:r w:rsidR="00964DB5" w:rsidRPr="006B3721">
        <w:rPr>
          <w:rFonts w:ascii="Times New Roman" w:eastAsia="Times New Roman" w:hAnsi="Times New Roman" w:cs="Times New Roman"/>
          <w:kern w:val="0"/>
          <w:sz w:val="24"/>
          <w:szCs w:val="24"/>
          <w:lang w:eastAsia="en-US"/>
        </w:rPr>
        <w:t xml:space="preserve">both from heavy local rainfall (Evo floods) and from Niger River overflow during the wet </w:t>
      </w:r>
      <w:proofErr w:type="spellStart"/>
      <w:proofErr w:type="gramStart"/>
      <w:r w:rsidR="00964DB5" w:rsidRPr="006B3721">
        <w:rPr>
          <w:rFonts w:ascii="Times New Roman" w:eastAsia="Times New Roman" w:hAnsi="Times New Roman" w:cs="Times New Roman"/>
          <w:kern w:val="0"/>
          <w:sz w:val="24"/>
          <w:szCs w:val="24"/>
          <w:lang w:eastAsia="en-US"/>
        </w:rPr>
        <w:t>season.The</w:t>
      </w:r>
      <w:proofErr w:type="spellEnd"/>
      <w:proofErr w:type="gramEnd"/>
      <w:r w:rsidR="00964DB5" w:rsidRPr="006B3721">
        <w:rPr>
          <w:rFonts w:ascii="Times New Roman" w:eastAsia="Times New Roman" w:hAnsi="Times New Roman" w:cs="Times New Roman"/>
          <w:kern w:val="0"/>
          <w:sz w:val="24"/>
          <w:szCs w:val="24"/>
          <w:lang w:eastAsia="en-US"/>
        </w:rPr>
        <w:t xml:space="preserve"> community’s economy is predominantly agricultural, with cassava and yams serving as staple crops. Palm oil and palm kernel production are also widespread, while limited hunting and fishing provide supplementary livelihoods. Beyond local activities, the wider Isoko area hosts petroleum-producing fields, linking the region to Nigeria’s oil </w:t>
      </w:r>
      <w:proofErr w:type="spellStart"/>
      <w:proofErr w:type="gramStart"/>
      <w:r w:rsidR="00964DB5" w:rsidRPr="006B3721">
        <w:rPr>
          <w:rFonts w:ascii="Times New Roman" w:eastAsia="Times New Roman" w:hAnsi="Times New Roman" w:cs="Times New Roman"/>
          <w:kern w:val="0"/>
          <w:sz w:val="24"/>
          <w:szCs w:val="24"/>
          <w:lang w:eastAsia="en-US"/>
        </w:rPr>
        <w:t>economy.Culturally</w:t>
      </w:r>
      <w:proofErr w:type="spellEnd"/>
      <w:proofErr w:type="gramEnd"/>
      <w:r w:rsidR="00964DB5" w:rsidRPr="006B3721">
        <w:rPr>
          <w:rFonts w:ascii="Times New Roman" w:eastAsia="Times New Roman" w:hAnsi="Times New Roman" w:cs="Times New Roman"/>
          <w:kern w:val="0"/>
          <w:sz w:val="24"/>
          <w:szCs w:val="24"/>
          <w:lang w:eastAsia="en-US"/>
        </w:rPr>
        <w:t xml:space="preserve">, </w:t>
      </w:r>
      <w:proofErr w:type="spellStart"/>
      <w:r w:rsidR="00964DB5" w:rsidRPr="006B3721">
        <w:rPr>
          <w:rFonts w:ascii="Times New Roman" w:eastAsia="Times New Roman" w:hAnsi="Times New Roman" w:cs="Times New Roman"/>
          <w:kern w:val="0"/>
          <w:sz w:val="24"/>
          <w:szCs w:val="24"/>
          <w:lang w:eastAsia="en-US"/>
        </w:rPr>
        <w:t>Owhelogbo</w:t>
      </w:r>
      <w:proofErr w:type="spellEnd"/>
      <w:r w:rsidR="00964DB5" w:rsidRPr="006B3721">
        <w:rPr>
          <w:rFonts w:ascii="Times New Roman" w:eastAsia="Times New Roman" w:hAnsi="Times New Roman" w:cs="Times New Roman"/>
          <w:kern w:val="0"/>
          <w:sz w:val="24"/>
          <w:szCs w:val="24"/>
          <w:lang w:eastAsia="en-US"/>
        </w:rPr>
        <w:t xml:space="preserve"> is inhabited primarily by the Isoko </w:t>
      </w:r>
      <w:proofErr w:type="spellStart"/>
      <w:r w:rsidR="00964DB5" w:rsidRPr="006B3721">
        <w:rPr>
          <w:rFonts w:ascii="Times New Roman" w:eastAsia="Times New Roman" w:hAnsi="Times New Roman" w:cs="Times New Roman"/>
          <w:kern w:val="0"/>
          <w:sz w:val="24"/>
          <w:szCs w:val="24"/>
          <w:lang w:eastAsia="en-US"/>
        </w:rPr>
        <w:t>people.</w:t>
      </w:r>
      <w:r w:rsidR="00964DB5" w:rsidRPr="006B3721">
        <w:rPr>
          <w:rFonts w:ascii="Times New Roman" w:hAnsi="Times New Roman" w:cs="Times New Roman"/>
          <w:bCs/>
          <w:sz w:val="24"/>
          <w:szCs w:val="24"/>
          <w:shd w:val="clear" w:color="auto" w:fill="FFFFFF"/>
        </w:rPr>
        <w:t>Aghalokpe</w:t>
      </w:r>
      <w:proofErr w:type="spellEnd"/>
      <w:r w:rsidR="00964DB5" w:rsidRPr="006B3721">
        <w:rPr>
          <w:rFonts w:ascii="Times New Roman" w:hAnsi="Times New Roman" w:cs="Times New Roman"/>
          <w:sz w:val="24"/>
          <w:szCs w:val="24"/>
          <w:shd w:val="clear" w:color="auto" w:fill="FFFFFF"/>
        </w:rPr>
        <w:t xml:space="preserve"> is a town and wetland within the Okpe Local Government Area of Delta State, Nigeria, characterized by its riverine and swampy environment, which is ecologically significant for aquatic life. Its geography is defined by water bodies and connects to the broader Niger Delta region, a location that influences the livelihoods of its predominantly agricultural and fishing communities. Key occupational activities include farming and fishing, supplemented by petty trading, reflecting the broader economic activities of the Okpe region.</w:t>
      </w:r>
      <w:r w:rsidR="00964DB5" w:rsidRPr="006B3721">
        <w:rPr>
          <w:rStyle w:val="uv3um"/>
          <w:rFonts w:ascii="Times New Roman" w:hAnsi="Times New Roman" w:cs="Times New Roman"/>
          <w:sz w:val="24"/>
          <w:szCs w:val="24"/>
          <w:shd w:val="clear" w:color="auto" w:fill="FFFFFF"/>
        </w:rPr>
        <w:t> </w:t>
      </w:r>
      <w:proofErr w:type="spellStart"/>
      <w:r w:rsidR="00964DB5" w:rsidRPr="006B3721">
        <w:rPr>
          <w:rFonts w:ascii="Times New Roman" w:hAnsi="Times New Roman" w:cs="Times New Roman"/>
          <w:bCs/>
          <w:sz w:val="24"/>
          <w:szCs w:val="24"/>
          <w:shd w:val="clear" w:color="auto" w:fill="FFFFFF"/>
        </w:rPr>
        <w:t>Egbudu-Akah</w:t>
      </w:r>
      <w:proofErr w:type="spellEnd"/>
      <w:r w:rsidR="00964DB5" w:rsidRPr="006B3721">
        <w:rPr>
          <w:rFonts w:ascii="Times New Roman" w:hAnsi="Times New Roman" w:cs="Times New Roman"/>
          <w:sz w:val="24"/>
          <w:szCs w:val="24"/>
          <w:shd w:val="clear" w:color="auto" w:fill="FFFFFF"/>
        </w:rPr>
        <w:t xml:space="preserve"> is an agrarian, community-focused settlement in Delta State, Nigeria, characterized by a large rubber plantation that is a significant economic driver, alongside the discovery of oil by Pan Ocean and access to River </w:t>
      </w:r>
      <w:proofErr w:type="spellStart"/>
      <w:r w:rsidR="00964DB5" w:rsidRPr="006B3721">
        <w:rPr>
          <w:rFonts w:ascii="Times New Roman" w:hAnsi="Times New Roman" w:cs="Times New Roman"/>
          <w:sz w:val="24"/>
          <w:szCs w:val="24"/>
          <w:shd w:val="clear" w:color="auto" w:fill="FFFFFF"/>
        </w:rPr>
        <w:lastRenderedPageBreak/>
        <w:t>Akihen</w:t>
      </w:r>
      <w:proofErr w:type="spellEnd"/>
      <w:r w:rsidR="00964DB5" w:rsidRPr="006B3721">
        <w:rPr>
          <w:rFonts w:ascii="Times New Roman" w:hAnsi="Times New Roman" w:cs="Times New Roman"/>
          <w:sz w:val="24"/>
          <w:szCs w:val="24"/>
          <w:shd w:val="clear" w:color="auto" w:fill="FFFFFF"/>
        </w:rPr>
        <w:t xml:space="preserve">, which provides water and recreation. Geographically situated within </w:t>
      </w:r>
      <w:proofErr w:type="spellStart"/>
      <w:r w:rsidR="00964DB5" w:rsidRPr="006B3721">
        <w:rPr>
          <w:rFonts w:ascii="Times New Roman" w:hAnsi="Times New Roman" w:cs="Times New Roman"/>
          <w:sz w:val="24"/>
          <w:szCs w:val="24"/>
          <w:shd w:val="clear" w:color="auto" w:fill="FFFFFF"/>
        </w:rPr>
        <w:t>Aniocha</w:t>
      </w:r>
      <w:proofErr w:type="spellEnd"/>
      <w:r w:rsidR="00964DB5" w:rsidRPr="006B3721">
        <w:rPr>
          <w:rFonts w:ascii="Times New Roman" w:hAnsi="Times New Roman" w:cs="Times New Roman"/>
          <w:sz w:val="24"/>
          <w:szCs w:val="24"/>
          <w:shd w:val="clear" w:color="auto" w:fill="FFFFFF"/>
        </w:rPr>
        <w:t xml:space="preserve"> South LGA, the community faces infrastructure challenges, particularly in road access, with the main routes being through neighboring Ika North East LGA. Occupations primarily center on farming and the management of the rubber plantation, with the potential for employment in the emerging oil sector.</w:t>
      </w:r>
      <w:r w:rsidR="00964DB5" w:rsidRPr="006B3721">
        <w:rPr>
          <w:rStyle w:val="uv3um"/>
          <w:rFonts w:ascii="Times New Roman" w:hAnsi="Times New Roman" w:cs="Times New Roman"/>
          <w:sz w:val="24"/>
          <w:szCs w:val="24"/>
          <w:shd w:val="clear" w:color="auto" w:fill="FFFFFF"/>
        </w:rPr>
        <w:t> </w:t>
      </w:r>
    </w:p>
    <w:p w14:paraId="01FBA4B4" w14:textId="77777777" w:rsidR="00E31D21" w:rsidRPr="006B3721" w:rsidRDefault="00E31D21" w:rsidP="00F70E40">
      <w:pPr>
        <w:spacing w:line="360" w:lineRule="auto"/>
        <w:rPr>
          <w:rStyle w:val="uv3um"/>
          <w:rFonts w:ascii="Times New Roman" w:hAnsi="Times New Roman" w:cs="Times New Roman"/>
          <w:sz w:val="24"/>
          <w:szCs w:val="24"/>
          <w:shd w:val="clear" w:color="auto" w:fill="FFFFFF"/>
        </w:rPr>
      </w:pPr>
      <w:r w:rsidRPr="006B3721">
        <w:rPr>
          <w:rStyle w:val="uv3um"/>
          <w:rFonts w:ascii="Times New Roman" w:hAnsi="Times New Roman" w:cs="Times New Roman"/>
          <w:noProof/>
          <w:sz w:val="24"/>
          <w:shd w:val="clear" w:color="auto" w:fill="FFFFFF"/>
          <w:lang w:eastAsia="en-US"/>
        </w:rPr>
        <w:drawing>
          <wp:inline distT="0" distB="0" distL="0" distR="0" wp14:anchorId="6E454EF7" wp14:editId="73F35C7A">
            <wp:extent cx="5942363" cy="3883231"/>
            <wp:effectExtent l="19050" t="0" r="1237" b="0"/>
            <wp:docPr id="2" name="Picture 1">
              <a:extLst xmlns:a="http://schemas.openxmlformats.org/drawingml/2006/main">
                <a:ext uri="{FF2B5EF4-FFF2-40B4-BE49-F238E27FC236}">
                  <a16:creationId xmlns:a16="http://schemas.microsoft.com/office/drawing/2014/main" id="{5BE1E9F3-802C-5838-223D-3ABCCB1DF80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BE1E9F3-802C-5838-223D-3ABCCB1DF80F}"/>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3884039"/>
                    </a:xfrm>
                    <a:prstGeom prst="rect">
                      <a:avLst/>
                    </a:prstGeom>
                  </pic:spPr>
                </pic:pic>
              </a:graphicData>
            </a:graphic>
          </wp:inline>
        </w:drawing>
      </w:r>
    </w:p>
    <w:p w14:paraId="2DEA47B0" w14:textId="77777777" w:rsidR="009E73AB" w:rsidRPr="006B3721" w:rsidRDefault="009E73AB" w:rsidP="00F70E40">
      <w:pPr>
        <w:spacing w:line="360" w:lineRule="auto"/>
        <w:rPr>
          <w:rStyle w:val="uv3um"/>
          <w:rFonts w:ascii="Times New Roman" w:hAnsi="Times New Roman" w:cs="Times New Roman"/>
          <w:sz w:val="24"/>
          <w:szCs w:val="24"/>
          <w:shd w:val="clear" w:color="auto" w:fill="FFFFFF"/>
        </w:rPr>
      </w:pPr>
      <w:r w:rsidRPr="006B3721">
        <w:rPr>
          <w:rStyle w:val="uv3um"/>
          <w:rFonts w:ascii="Times New Roman" w:hAnsi="Times New Roman" w:cs="Times New Roman"/>
          <w:b/>
          <w:bCs/>
          <w:sz w:val="24"/>
          <w:szCs w:val="24"/>
          <w:shd w:val="clear" w:color="auto" w:fill="FFFFFF"/>
        </w:rPr>
        <w:t>Figure 1</w:t>
      </w:r>
      <w:r w:rsidRPr="006B3721">
        <w:rPr>
          <w:rStyle w:val="uv3um"/>
          <w:rFonts w:ascii="Times New Roman" w:hAnsi="Times New Roman" w:cs="Times New Roman"/>
          <w:sz w:val="24"/>
          <w:szCs w:val="24"/>
          <w:shd w:val="clear" w:color="auto" w:fill="FFFFFF"/>
        </w:rPr>
        <w:t xml:space="preserve">. Map of Delta State showing the selected local government areas. </w:t>
      </w:r>
    </w:p>
    <w:p w14:paraId="0FCCEA8F" w14:textId="77777777" w:rsidR="00E31D21" w:rsidRPr="006B3721" w:rsidRDefault="00E31D21" w:rsidP="00F70E40">
      <w:pPr>
        <w:spacing w:line="360" w:lineRule="auto"/>
        <w:rPr>
          <w:rStyle w:val="uv3um"/>
          <w:rFonts w:ascii="Times New Roman" w:hAnsi="Times New Roman" w:cs="Times New Roman"/>
          <w:b/>
          <w:sz w:val="24"/>
          <w:szCs w:val="24"/>
          <w:shd w:val="clear" w:color="auto" w:fill="FFFFFF"/>
        </w:rPr>
      </w:pPr>
      <w:r w:rsidRPr="006B3721">
        <w:rPr>
          <w:rStyle w:val="uv3um"/>
          <w:rFonts w:ascii="Times New Roman" w:hAnsi="Times New Roman" w:cs="Times New Roman"/>
          <w:b/>
          <w:sz w:val="24"/>
          <w:szCs w:val="24"/>
          <w:shd w:val="clear" w:color="auto" w:fill="FFFFFF"/>
        </w:rPr>
        <w:t xml:space="preserve">Collection of </w:t>
      </w:r>
      <w:r w:rsidR="00C03FC0" w:rsidRPr="006B3721">
        <w:rPr>
          <w:rStyle w:val="uv3um"/>
          <w:rFonts w:ascii="Times New Roman" w:hAnsi="Times New Roman" w:cs="Times New Roman"/>
          <w:b/>
          <w:sz w:val="24"/>
          <w:szCs w:val="24"/>
          <w:shd w:val="clear" w:color="auto" w:fill="FFFFFF"/>
        </w:rPr>
        <w:t>mosquitoes</w:t>
      </w:r>
    </w:p>
    <w:p w14:paraId="434F1C3B" w14:textId="77777777" w:rsidR="0062126B" w:rsidRPr="006B3721" w:rsidRDefault="0062126B" w:rsidP="00E1231C">
      <w:pPr>
        <w:spacing w:line="360" w:lineRule="auto"/>
        <w:jc w:val="both"/>
        <w:rPr>
          <w:rFonts w:ascii="Times New Roman" w:hAnsi="Times New Roman" w:cs="Times New Roman"/>
          <w:b/>
          <w:bCs/>
          <w:sz w:val="24"/>
          <w:szCs w:val="24"/>
        </w:rPr>
      </w:pPr>
      <w:r w:rsidRPr="006B3721">
        <w:rPr>
          <w:rFonts w:ascii="Times New Roman" w:hAnsi="Times New Roman" w:cs="Times New Roman"/>
          <w:sz w:val="24"/>
          <w:szCs w:val="24"/>
        </w:rPr>
        <w:t xml:space="preserve">Adult </w:t>
      </w:r>
      <w:r w:rsidRPr="006B3721">
        <w:rPr>
          <w:rFonts w:ascii="Times New Roman" w:hAnsi="Times New Roman" w:cs="Times New Roman"/>
          <w:i/>
          <w:iCs/>
          <w:sz w:val="24"/>
          <w:szCs w:val="24"/>
        </w:rPr>
        <w:t>Anopheles</w:t>
      </w:r>
      <w:r w:rsidRPr="006B3721">
        <w:rPr>
          <w:rFonts w:ascii="Times New Roman" w:hAnsi="Times New Roman" w:cs="Times New Roman"/>
          <w:sz w:val="24"/>
          <w:szCs w:val="24"/>
        </w:rPr>
        <w:t xml:space="preserve"> mosquitoes for Entomological indices were collected using Pyrethroid Spray Catch (PSC) and stored in Eppendorf tubes with silica gel for sporozoite load testing. Collection for entomological indices were done for the duration of nine (9) months between July 2024- March 2025.  Twenty</w:t>
      </w:r>
      <w:r w:rsidR="00E1231C" w:rsidRPr="006B3721">
        <w:rPr>
          <w:rFonts w:ascii="Times New Roman" w:hAnsi="Times New Roman" w:cs="Times New Roman"/>
          <w:sz w:val="24"/>
          <w:szCs w:val="24"/>
        </w:rPr>
        <w:t>-</w:t>
      </w:r>
      <w:r w:rsidRPr="006B3721">
        <w:rPr>
          <w:rFonts w:ascii="Times New Roman" w:hAnsi="Times New Roman" w:cs="Times New Roman"/>
          <w:sz w:val="24"/>
          <w:szCs w:val="24"/>
        </w:rPr>
        <w:t xml:space="preserve">four houses each were sampled in all the three communities throughout the period of nine (9) months. </w:t>
      </w:r>
    </w:p>
    <w:p w14:paraId="4CFAEAAF" w14:textId="77777777" w:rsidR="006D6CFC" w:rsidRPr="006B3721" w:rsidRDefault="006D6CFC"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Entomological Indices</w:t>
      </w:r>
    </w:p>
    <w:p w14:paraId="510A20F4" w14:textId="77777777" w:rsidR="006D6CFC" w:rsidRPr="006B3721" w:rsidRDefault="006D6CFC"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lastRenderedPageBreak/>
        <w:t>For each selected house, the number of occupants and the number of rooms were recorded. This information was essential for calculating entomological indices for the study areas. The transmission and feeding rates of indoor-resting mosquitoes were determined using the following formulas:</w:t>
      </w:r>
    </w:p>
    <w:p w14:paraId="0C9F0144" w14:textId="77777777"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Human blood index (HBI) = </w:t>
      </w:r>
      <m:oMath>
        <m:f>
          <m:fPr>
            <m:ctrlPr>
              <w:rPr>
                <w:rFonts w:ascii="Cambria Math" w:hAnsi="Times New Roman" w:cs="Times New Roman"/>
                <w:i/>
                <w:sz w:val="24"/>
                <w:szCs w:val="24"/>
              </w:rPr>
            </m:ctrlPr>
          </m:fPr>
          <m:num>
            <m:r>
              <w:rPr>
                <w:rFonts w:ascii="Cambria Math" w:hAnsi="Cambria Math" w:cs="Times New Roman"/>
                <w:sz w:val="24"/>
                <w:szCs w:val="24"/>
              </w:rPr>
              <m:t>Totalnumberofmosquitoespostivefor</m:t>
            </m:r>
            <m:r>
              <w:rPr>
                <w:rFonts w:ascii="Times New Roman" w:hAnsi="Times New Roman" w:cs="Times New Roman"/>
                <w:sz w:val="24"/>
                <w:szCs w:val="24"/>
              </w:rPr>
              <m:t>h</m:t>
            </m:r>
            <m:r>
              <w:rPr>
                <w:rFonts w:ascii="Cambria Math" w:hAnsi="Cambria Math" w:cs="Times New Roman"/>
                <w:sz w:val="24"/>
                <w:szCs w:val="24"/>
              </w:rPr>
              <m:t>umanbloodinELISA</m:t>
            </m:r>
          </m:num>
          <m:den>
            <m:r>
              <w:rPr>
                <w:rFonts w:ascii="Cambria Math" w:hAnsi="Cambria Math" w:cs="Times New Roman"/>
                <w:sz w:val="24"/>
                <w:szCs w:val="24"/>
              </w:rPr>
              <m:t>Totalnumberofmosquitoestested</m:t>
            </m:r>
          </m:den>
        </m:f>
        <m:r>
          <w:rPr>
            <w:rFonts w:ascii="Cambria Math" w:hAnsi="Cambria Math" w:cs="Times New Roman"/>
            <w:sz w:val="24"/>
            <w:szCs w:val="24"/>
          </w:rPr>
          <m:t>X</m:t>
        </m:r>
        <m:r>
          <w:rPr>
            <w:rFonts w:ascii="Cambria Math" w:hAnsi="Times New Roman" w:cs="Times New Roman"/>
            <w:sz w:val="24"/>
            <w:szCs w:val="24"/>
          </w:rPr>
          <m:t xml:space="preserve"> 100</m:t>
        </m:r>
      </m:oMath>
    </w:p>
    <w:p w14:paraId="4B005243" w14:textId="77777777"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Human biting rate (HBR) = </w:t>
      </w:r>
      <m:oMath>
        <m:f>
          <m:fPr>
            <m:ctrlPr>
              <w:rPr>
                <w:rFonts w:ascii="Cambria Math" w:hAnsi="Times New Roman" w:cs="Times New Roman"/>
                <w:i/>
                <w:sz w:val="24"/>
                <w:szCs w:val="24"/>
              </w:rPr>
            </m:ctrlPr>
          </m:fPr>
          <m:num>
            <m:r>
              <w:rPr>
                <w:rFonts w:ascii="Cambria Math" w:hAnsi="Cambria Math" w:cs="Times New Roman"/>
                <w:sz w:val="24"/>
                <w:szCs w:val="24"/>
              </w:rPr>
              <m:t>Totalnumberoffres</m:t>
            </m:r>
            <m:r>
              <w:rPr>
                <w:rFonts w:ascii="Times New Roman" w:hAnsi="Times New Roman" w:cs="Times New Roman"/>
                <w:sz w:val="24"/>
                <w:szCs w:val="24"/>
              </w:rPr>
              <m:t>h</m:t>
            </m:r>
            <m:r>
              <w:rPr>
                <w:rFonts w:ascii="Cambria Math" w:hAnsi="Cambria Math" w:cs="Times New Roman"/>
                <w:sz w:val="24"/>
                <w:szCs w:val="24"/>
              </w:rPr>
              <m:t>lyfedmosquitoes</m:t>
            </m:r>
          </m:num>
          <m:den>
            <m:r>
              <w:rPr>
                <w:rFonts w:ascii="Cambria Math" w:hAnsi="Cambria Math" w:cs="Times New Roman"/>
                <w:sz w:val="24"/>
                <w:szCs w:val="24"/>
              </w:rPr>
              <m:t>Numberofpersonst</m:t>
            </m:r>
            <m:r>
              <w:rPr>
                <w:rFonts w:ascii="Times New Roman" w:hAnsi="Times New Roman" w:cs="Times New Roman"/>
                <w:sz w:val="24"/>
                <w:szCs w:val="24"/>
              </w:rPr>
              <m:t>h</m:t>
            </m:r>
            <m:r>
              <w:rPr>
                <w:rFonts w:ascii="Cambria Math" w:hAnsi="Cambria Math" w:cs="Times New Roman"/>
                <w:sz w:val="24"/>
                <w:szCs w:val="24"/>
              </w:rPr>
              <m:t>atsleptint</m:t>
            </m:r>
            <m:r>
              <w:rPr>
                <w:rFonts w:ascii="Times New Roman" w:hAnsi="Times New Roman" w:cs="Times New Roman"/>
                <w:sz w:val="24"/>
                <w:szCs w:val="24"/>
              </w:rPr>
              <m:t>h</m:t>
            </m:r>
            <m:r>
              <w:rPr>
                <w:rFonts w:ascii="Cambria Math" w:hAnsi="Cambria Math" w:cs="Times New Roman"/>
                <w:sz w:val="24"/>
                <w:szCs w:val="24"/>
              </w:rPr>
              <m:t>eroomt</m:t>
            </m:r>
            <m:r>
              <w:rPr>
                <w:rFonts w:ascii="Times New Roman" w:hAnsi="Times New Roman" w:cs="Times New Roman"/>
                <w:sz w:val="24"/>
                <w:szCs w:val="24"/>
              </w:rPr>
              <m:t>h</m:t>
            </m:r>
            <m:r>
              <w:rPr>
                <w:rFonts w:ascii="Cambria Math" w:hAnsi="Cambria Math" w:cs="Times New Roman"/>
                <w:sz w:val="24"/>
                <w:szCs w:val="24"/>
              </w:rPr>
              <m:t>epreviousnig</m:t>
            </m:r>
            <m:r>
              <w:rPr>
                <w:rFonts w:ascii="Times New Roman" w:hAnsi="Times New Roman" w:cs="Times New Roman"/>
                <w:sz w:val="24"/>
                <w:szCs w:val="24"/>
              </w:rPr>
              <m:t>h</m:t>
            </m:r>
            <m:r>
              <w:rPr>
                <w:rFonts w:ascii="Cambria Math" w:hAnsi="Cambria Math" w:cs="Times New Roman"/>
                <w:sz w:val="24"/>
                <w:szCs w:val="24"/>
              </w:rPr>
              <m:t>t</m:t>
            </m:r>
          </m:den>
        </m:f>
      </m:oMath>
    </w:p>
    <w:p w14:paraId="6660B5E5" w14:textId="77777777"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Sporozoite infection rate (SIR) = </w:t>
      </w:r>
      <m:oMath>
        <m:f>
          <m:fPr>
            <m:ctrlPr>
              <w:rPr>
                <w:rFonts w:ascii="Cambria Math" w:hAnsi="Times New Roman" w:cs="Times New Roman"/>
                <w:i/>
                <w:sz w:val="24"/>
                <w:szCs w:val="24"/>
              </w:rPr>
            </m:ctrlPr>
          </m:fPr>
          <m:num>
            <m:r>
              <w:rPr>
                <w:rFonts w:ascii="Cambria Math" w:hAnsi="Cambria Math" w:cs="Times New Roman"/>
                <w:sz w:val="24"/>
                <w:szCs w:val="24"/>
              </w:rPr>
              <m:t>TotalmosquitoespositiveinELISA</m:t>
            </m:r>
          </m:num>
          <m:den>
            <m:r>
              <w:rPr>
                <w:rFonts w:ascii="Cambria Math" w:hAnsi="Cambria Math" w:cs="Times New Roman"/>
                <w:sz w:val="24"/>
                <w:szCs w:val="24"/>
              </w:rPr>
              <m:t>Totaltested</m:t>
            </m:r>
          </m:den>
        </m:f>
      </m:oMath>
      <w:r w:rsidRPr="006B3721">
        <w:rPr>
          <w:rFonts w:ascii="Times New Roman" w:hAnsi="Times New Roman" w:cs="Times New Roman"/>
          <w:sz w:val="24"/>
          <w:szCs w:val="24"/>
        </w:rPr>
        <w:t xml:space="preserve"> X 100</w:t>
      </w:r>
    </w:p>
    <w:p w14:paraId="272EFF10" w14:textId="77777777"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Entomological inoculation rate (EIR) = </w:t>
      </w:r>
      <m:oMath>
        <m:r>
          <w:rPr>
            <w:rFonts w:ascii="Cambria Math" w:hAnsi="Cambria Math" w:cs="Times New Roman"/>
            <w:sz w:val="24"/>
            <w:szCs w:val="24"/>
          </w:rPr>
          <m:t>HRBx</m:t>
        </m:r>
        <m:f>
          <m:fPr>
            <m:ctrlPr>
              <w:rPr>
                <w:rFonts w:ascii="Cambria Math" w:hAnsi="Times New Roman" w:cs="Times New Roman"/>
                <w:i/>
                <w:sz w:val="24"/>
                <w:szCs w:val="24"/>
              </w:rPr>
            </m:ctrlPr>
          </m:fPr>
          <m:num>
            <m:r>
              <w:rPr>
                <w:rFonts w:ascii="Cambria Math" w:hAnsi="Cambria Math" w:cs="Times New Roman"/>
                <w:sz w:val="24"/>
                <w:szCs w:val="24"/>
              </w:rPr>
              <m:t>TotalmosquitoespositiveinELISA</m:t>
            </m:r>
          </m:num>
          <m:den>
            <m:r>
              <w:rPr>
                <w:rFonts w:ascii="Cambria Math" w:hAnsi="Cambria Math" w:cs="Times New Roman"/>
                <w:sz w:val="24"/>
                <w:szCs w:val="24"/>
              </w:rPr>
              <m:t>Totaltested</m:t>
            </m:r>
          </m:den>
        </m:f>
      </m:oMath>
    </w:p>
    <w:p w14:paraId="50FBDFBB" w14:textId="77777777"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The density of indoor resting mosquitoes would be determined using the formula:</w:t>
      </w:r>
    </w:p>
    <w:p w14:paraId="69C2D762" w14:textId="77777777" w:rsidR="00AB293C" w:rsidRPr="006B3721" w:rsidRDefault="006D6CFC" w:rsidP="00E1231C">
      <w:pPr>
        <w:spacing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sz w:val="24"/>
          <w:szCs w:val="24"/>
        </w:rPr>
        <w:t xml:space="preserve">Average Density of female mosquitoes per room = </w:t>
      </w:r>
      <m:oMath>
        <m:f>
          <m:fPr>
            <m:ctrlPr>
              <w:rPr>
                <w:rFonts w:ascii="Cambria Math" w:hAnsi="Times New Roman" w:cs="Times New Roman"/>
                <w:i/>
                <w:sz w:val="24"/>
                <w:szCs w:val="24"/>
              </w:rPr>
            </m:ctrlPr>
          </m:fPr>
          <m:num>
            <m:r>
              <w:rPr>
                <w:rFonts w:ascii="Cambria Math" w:hAnsi="Cambria Math" w:cs="Times New Roman"/>
                <w:sz w:val="24"/>
                <w:szCs w:val="24"/>
              </w:rPr>
              <m:t>Totalnumberofmosquitoescollected</m:t>
            </m:r>
          </m:num>
          <m:den>
            <m:r>
              <w:rPr>
                <w:rFonts w:ascii="Cambria Math" w:hAnsi="Cambria Math" w:cs="Times New Roman"/>
                <w:sz w:val="24"/>
                <w:szCs w:val="24"/>
              </w:rPr>
              <m:t>Totalnumberofrooms</m:t>
            </m:r>
          </m:den>
        </m:f>
      </m:oMath>
    </w:p>
    <w:p w14:paraId="72CDAB42" w14:textId="77777777" w:rsidR="006D6CFC" w:rsidRPr="006B3721" w:rsidRDefault="006D6CFC" w:rsidP="00E1231C">
      <w:pPr>
        <w:spacing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b/>
          <w:sz w:val="24"/>
          <w:szCs w:val="24"/>
        </w:rPr>
        <w:t xml:space="preserve"> Mosquito identification and preservation</w:t>
      </w:r>
    </w:p>
    <w:p w14:paraId="572FE8F4" w14:textId="77777777" w:rsidR="00E31D21" w:rsidRPr="006B3721" w:rsidRDefault="006D6CFC" w:rsidP="00E1231C">
      <w:pPr>
        <w:spacing w:line="360" w:lineRule="auto"/>
        <w:jc w:val="both"/>
        <w:rPr>
          <w:rFonts w:ascii="Times New Roman" w:hAnsi="Times New Roman" w:cs="Times New Roman"/>
          <w:b/>
          <w:bCs/>
          <w:sz w:val="24"/>
          <w:szCs w:val="24"/>
        </w:rPr>
      </w:pPr>
      <w:r w:rsidRPr="006B3721">
        <w:rPr>
          <w:rFonts w:ascii="Times New Roman" w:hAnsi="Times New Roman" w:cs="Times New Roman"/>
          <w:sz w:val="24"/>
          <w:szCs w:val="24"/>
        </w:rPr>
        <w:t xml:space="preserve">Mosquitoes collected indoors were numbered houses to house with regards to the communities. The feeding characteristics and gravidity of the mosquitoes were recorded and the mosquitoes were morphologically identified using the recent and detailed key of Coetzee (2020) under an electrified dissecting microscope at the Insectary of the Department of Animal and Environmental Biology, Delta State University, </w:t>
      </w:r>
      <w:proofErr w:type="spellStart"/>
      <w:r w:rsidRPr="006B3721">
        <w:rPr>
          <w:rFonts w:ascii="Times New Roman" w:hAnsi="Times New Roman" w:cs="Times New Roman"/>
          <w:sz w:val="24"/>
          <w:szCs w:val="24"/>
        </w:rPr>
        <w:t>Abraka.</w:t>
      </w:r>
      <w:r w:rsidR="00FA579C" w:rsidRPr="006B3721">
        <w:rPr>
          <w:rFonts w:ascii="Times New Roman" w:hAnsi="Times New Roman"/>
          <w:sz w:val="24"/>
          <w:szCs w:val="24"/>
        </w:rPr>
        <w:t>indoor</w:t>
      </w:r>
      <w:proofErr w:type="spellEnd"/>
      <w:r w:rsidR="00FA579C" w:rsidRPr="006B3721">
        <w:rPr>
          <w:rFonts w:ascii="Times New Roman" w:hAnsi="Times New Roman"/>
          <w:sz w:val="24"/>
          <w:szCs w:val="24"/>
        </w:rPr>
        <w:t xml:space="preserve"> resting mosquitoes were separated into unfed, blood fed, half-fed, half-gravid and gravid using the abdomen as a reference point. This feeding rate was separated and recorded monthly before they are kept in 1.5ml </w:t>
      </w:r>
      <w:proofErr w:type="spellStart"/>
      <w:r w:rsidR="00FA579C" w:rsidRPr="006B3721">
        <w:rPr>
          <w:rFonts w:ascii="Times New Roman" w:hAnsi="Times New Roman"/>
          <w:sz w:val="24"/>
          <w:szCs w:val="24"/>
        </w:rPr>
        <w:t>Eppendolf</w:t>
      </w:r>
      <w:proofErr w:type="spellEnd"/>
      <w:r w:rsidR="00FA579C" w:rsidRPr="006B3721">
        <w:rPr>
          <w:rFonts w:ascii="Times New Roman" w:hAnsi="Times New Roman"/>
          <w:sz w:val="24"/>
          <w:szCs w:val="24"/>
        </w:rPr>
        <w:t xml:space="preserve"> tubes containing silica gel</w:t>
      </w:r>
      <w:r w:rsidR="00DD1565" w:rsidRPr="006B3721">
        <w:rPr>
          <w:rFonts w:ascii="Times New Roman" w:hAnsi="Times New Roman"/>
          <w:sz w:val="24"/>
          <w:szCs w:val="24"/>
        </w:rPr>
        <w:t xml:space="preserve">. </w:t>
      </w:r>
    </w:p>
    <w:p w14:paraId="6408BAB8" w14:textId="77777777"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 xml:space="preserve">PCR Amplification of Sibling Species within the </w:t>
      </w:r>
      <w:r w:rsidRPr="006B3721">
        <w:rPr>
          <w:rFonts w:ascii="Times New Roman" w:eastAsia="Times New Roman" w:hAnsi="Times New Roman" w:cs="Times New Roman"/>
          <w:b/>
          <w:bCs/>
          <w:i/>
          <w:iCs/>
          <w:kern w:val="0"/>
          <w:sz w:val="24"/>
          <w:szCs w:val="24"/>
          <w:lang w:eastAsia="en-US"/>
        </w:rPr>
        <w:t xml:space="preserve">Anopheles </w:t>
      </w:r>
      <w:proofErr w:type="spellStart"/>
      <w:r w:rsidRPr="006B3721">
        <w:rPr>
          <w:rFonts w:ascii="Times New Roman" w:eastAsia="Times New Roman" w:hAnsi="Times New Roman" w:cs="Times New Roman"/>
          <w:b/>
          <w:bCs/>
          <w:i/>
          <w:iCs/>
          <w:kern w:val="0"/>
          <w:sz w:val="24"/>
          <w:szCs w:val="24"/>
          <w:lang w:eastAsia="en-US"/>
        </w:rPr>
        <w:t>gambiae</w:t>
      </w:r>
      <w:r w:rsidRPr="006B3721">
        <w:rPr>
          <w:rFonts w:ascii="Times New Roman" w:eastAsia="Times New Roman" w:hAnsi="Times New Roman" w:cs="Times New Roman"/>
          <w:b/>
          <w:bCs/>
          <w:kern w:val="0"/>
          <w:sz w:val="24"/>
          <w:szCs w:val="24"/>
          <w:lang w:eastAsia="en-US"/>
        </w:rPr>
        <w:t>s.l</w:t>
      </w:r>
      <w:proofErr w:type="spellEnd"/>
      <w:r w:rsidRPr="006B3721">
        <w:rPr>
          <w:rFonts w:ascii="Times New Roman" w:eastAsia="Times New Roman" w:hAnsi="Times New Roman" w:cs="Times New Roman"/>
          <w:b/>
          <w:bCs/>
          <w:kern w:val="0"/>
          <w:sz w:val="24"/>
          <w:szCs w:val="24"/>
          <w:lang w:eastAsia="en-US"/>
        </w:rPr>
        <w:t>. Complex</w:t>
      </w:r>
    </w:p>
    <w:p w14:paraId="3DF01C21" w14:textId="77777777"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 xml:space="preserve">The polymerase chain reaction (PCR) technique described by Scott </w:t>
      </w:r>
      <w:r w:rsidRPr="006B3721">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xml:space="preserve"> (1993) was employed for molecular identification of subspecies within the </w:t>
      </w:r>
      <w:r w:rsidRPr="006B3721">
        <w:rPr>
          <w:rFonts w:ascii="Times New Roman" w:eastAsia="Times New Roman" w:hAnsi="Times New Roman" w:cs="Times New Roman"/>
          <w:i/>
          <w:iCs/>
          <w:kern w:val="0"/>
          <w:sz w:val="24"/>
          <w:szCs w:val="24"/>
          <w:lang w:eastAsia="en-US"/>
        </w:rPr>
        <w:t xml:space="preserve">An. </w:t>
      </w:r>
      <w:proofErr w:type="spellStart"/>
      <w:r w:rsidRPr="006B3721">
        <w:rPr>
          <w:rFonts w:ascii="Times New Roman" w:eastAsia="Times New Roman" w:hAnsi="Times New Roman" w:cs="Times New Roman"/>
          <w:i/>
          <w:iCs/>
          <w:kern w:val="0"/>
          <w:sz w:val="24"/>
          <w:szCs w:val="24"/>
          <w:lang w:eastAsia="en-US"/>
        </w:rPr>
        <w:t>gambiae</w:t>
      </w:r>
      <w:r w:rsidRPr="006B3721">
        <w:rPr>
          <w:rFonts w:ascii="Times New Roman" w:eastAsia="Times New Roman" w:hAnsi="Times New Roman" w:cs="Times New Roman"/>
          <w:kern w:val="0"/>
          <w:sz w:val="24"/>
          <w:szCs w:val="24"/>
          <w:lang w:eastAsia="en-US"/>
        </w:rPr>
        <w:t>s.l</w:t>
      </w:r>
      <w:proofErr w:type="spellEnd"/>
      <w:r w:rsidRPr="006B3721">
        <w:rPr>
          <w:rFonts w:ascii="Times New Roman" w:eastAsia="Times New Roman" w:hAnsi="Times New Roman" w:cs="Times New Roman"/>
          <w:kern w:val="0"/>
          <w:sz w:val="24"/>
          <w:szCs w:val="24"/>
          <w:lang w:eastAsia="en-US"/>
        </w:rPr>
        <w:t xml:space="preserve">. complex. Genomic DNA from </w:t>
      </w:r>
      <w:r w:rsidRPr="006B3721">
        <w:rPr>
          <w:rFonts w:ascii="Times New Roman" w:eastAsia="Times New Roman" w:hAnsi="Times New Roman" w:cs="Times New Roman"/>
          <w:i/>
          <w:iCs/>
          <w:kern w:val="0"/>
          <w:sz w:val="24"/>
          <w:szCs w:val="24"/>
          <w:lang w:eastAsia="en-US"/>
        </w:rPr>
        <w:t xml:space="preserve">Anopheles </w:t>
      </w:r>
      <w:proofErr w:type="spellStart"/>
      <w:r w:rsidRPr="006B3721">
        <w:rPr>
          <w:rFonts w:ascii="Times New Roman" w:eastAsia="Times New Roman" w:hAnsi="Times New Roman" w:cs="Times New Roman"/>
          <w:i/>
          <w:iCs/>
          <w:kern w:val="0"/>
          <w:sz w:val="24"/>
          <w:szCs w:val="24"/>
          <w:lang w:eastAsia="en-US"/>
        </w:rPr>
        <w:t>gambiae</w:t>
      </w:r>
      <w:r w:rsidRPr="006B3721">
        <w:rPr>
          <w:rFonts w:ascii="Times New Roman" w:eastAsia="Times New Roman" w:hAnsi="Times New Roman" w:cs="Times New Roman"/>
          <w:kern w:val="0"/>
          <w:sz w:val="24"/>
          <w:szCs w:val="24"/>
          <w:lang w:eastAsia="en-US"/>
        </w:rPr>
        <w:t>s.s</w:t>
      </w:r>
      <w:proofErr w:type="spellEnd"/>
      <w:r w:rsidRPr="006B3721">
        <w:rPr>
          <w:rFonts w:ascii="Times New Roman" w:eastAsia="Times New Roman" w:hAnsi="Times New Roman" w:cs="Times New Roman"/>
          <w:kern w:val="0"/>
          <w:sz w:val="24"/>
          <w:szCs w:val="24"/>
          <w:lang w:eastAsia="en-US"/>
        </w:rPr>
        <w:t xml:space="preserve">. and </w:t>
      </w:r>
      <w:r w:rsidRPr="006B3721">
        <w:rPr>
          <w:rFonts w:ascii="Times New Roman" w:eastAsia="Times New Roman" w:hAnsi="Times New Roman" w:cs="Times New Roman"/>
          <w:i/>
          <w:iCs/>
          <w:kern w:val="0"/>
          <w:sz w:val="24"/>
          <w:szCs w:val="24"/>
          <w:lang w:eastAsia="en-US"/>
        </w:rPr>
        <w:t xml:space="preserve">An. </w:t>
      </w:r>
      <w:proofErr w:type="spellStart"/>
      <w:r w:rsidRPr="006B3721">
        <w:rPr>
          <w:rFonts w:ascii="Times New Roman" w:eastAsia="Times New Roman" w:hAnsi="Times New Roman" w:cs="Times New Roman"/>
          <w:i/>
          <w:iCs/>
          <w:kern w:val="0"/>
          <w:sz w:val="24"/>
          <w:szCs w:val="24"/>
          <w:lang w:eastAsia="en-US"/>
        </w:rPr>
        <w:t>coluzzii</w:t>
      </w:r>
      <w:proofErr w:type="spellEnd"/>
      <w:r w:rsidRPr="006B3721">
        <w:rPr>
          <w:rFonts w:ascii="Times New Roman" w:eastAsia="Times New Roman" w:hAnsi="Times New Roman" w:cs="Times New Roman"/>
          <w:kern w:val="0"/>
          <w:sz w:val="24"/>
          <w:szCs w:val="24"/>
          <w:lang w:eastAsia="en-US"/>
        </w:rPr>
        <w:t xml:space="preserve"> was further differentiated using the PCR–restriction fragment length polymorphism (RFLP) diagnostic method of Fanello et al. (2002) and the SINE </w:t>
      </w:r>
      <w:r w:rsidRPr="006B3721">
        <w:rPr>
          <w:rFonts w:ascii="Times New Roman" w:eastAsia="Times New Roman" w:hAnsi="Times New Roman" w:cs="Times New Roman"/>
          <w:kern w:val="0"/>
          <w:sz w:val="24"/>
          <w:szCs w:val="24"/>
          <w:lang w:eastAsia="en-US"/>
        </w:rPr>
        <w:lastRenderedPageBreak/>
        <w:t xml:space="preserve">200 PCR method of Weill et al. (2004). Members of the </w:t>
      </w:r>
      <w:r w:rsidRPr="006B3721">
        <w:rPr>
          <w:rFonts w:ascii="Times New Roman" w:eastAsia="Times New Roman" w:hAnsi="Times New Roman" w:cs="Times New Roman"/>
          <w:i/>
          <w:iCs/>
          <w:kern w:val="0"/>
          <w:sz w:val="24"/>
          <w:szCs w:val="24"/>
          <w:lang w:eastAsia="en-US"/>
        </w:rPr>
        <w:t xml:space="preserve">An. </w:t>
      </w:r>
      <w:proofErr w:type="spellStart"/>
      <w:r w:rsidRPr="006B3721">
        <w:rPr>
          <w:rFonts w:ascii="Times New Roman" w:eastAsia="Times New Roman" w:hAnsi="Times New Roman" w:cs="Times New Roman"/>
          <w:i/>
          <w:iCs/>
          <w:kern w:val="0"/>
          <w:sz w:val="24"/>
          <w:szCs w:val="24"/>
          <w:lang w:eastAsia="en-US"/>
        </w:rPr>
        <w:t>funestus</w:t>
      </w:r>
      <w:proofErr w:type="spellEnd"/>
      <w:r w:rsidRPr="006B3721">
        <w:rPr>
          <w:rFonts w:ascii="Times New Roman" w:eastAsia="Times New Roman" w:hAnsi="Times New Roman" w:cs="Times New Roman"/>
          <w:kern w:val="0"/>
          <w:sz w:val="24"/>
          <w:szCs w:val="24"/>
          <w:lang w:eastAsia="en-US"/>
        </w:rPr>
        <w:t xml:space="preserve"> group were identified following the protocol outlined by Koekemoer </w:t>
      </w:r>
      <w:r w:rsidRPr="006B3721">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(2002).</w:t>
      </w:r>
    </w:p>
    <w:p w14:paraId="3F73FE6C" w14:textId="77777777"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PCR Amplification for Detection of Sporozoites in Mosquitoes</w:t>
      </w:r>
    </w:p>
    <w:p w14:paraId="5FF4464E" w14:textId="77777777"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 xml:space="preserve">The head and thorax sections of preserved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mosquitoes were tested for </w:t>
      </w:r>
      <w:proofErr w:type="spellStart"/>
      <w:r w:rsidRPr="006B3721">
        <w:rPr>
          <w:rFonts w:ascii="Times New Roman" w:eastAsia="Times New Roman" w:hAnsi="Times New Roman" w:cs="Times New Roman"/>
          <w:i/>
          <w:iCs/>
          <w:kern w:val="0"/>
          <w:sz w:val="24"/>
          <w:szCs w:val="24"/>
          <w:lang w:eastAsia="en-US"/>
        </w:rPr>
        <w:t>Plasmodium</w:t>
      </w:r>
      <w:r w:rsidRPr="006B3721">
        <w:rPr>
          <w:rFonts w:ascii="Times New Roman" w:eastAsia="Times New Roman" w:hAnsi="Times New Roman" w:cs="Times New Roman"/>
          <w:kern w:val="0"/>
          <w:sz w:val="24"/>
          <w:szCs w:val="24"/>
          <w:lang w:eastAsia="en-US"/>
        </w:rPr>
        <w:t>circumsporozoite</w:t>
      </w:r>
      <w:proofErr w:type="spellEnd"/>
      <w:r w:rsidRPr="006B3721">
        <w:rPr>
          <w:rFonts w:ascii="Times New Roman" w:eastAsia="Times New Roman" w:hAnsi="Times New Roman" w:cs="Times New Roman"/>
          <w:kern w:val="0"/>
          <w:sz w:val="24"/>
          <w:szCs w:val="24"/>
          <w:lang w:eastAsia="en-US"/>
        </w:rPr>
        <w:t xml:space="preserve"> proteins (CSPs) using the ELISA method described by </w:t>
      </w:r>
      <w:proofErr w:type="spellStart"/>
      <w:r w:rsidRPr="006B3721">
        <w:rPr>
          <w:rFonts w:ascii="Times New Roman" w:eastAsia="Times New Roman" w:hAnsi="Times New Roman" w:cs="Times New Roman"/>
          <w:kern w:val="0"/>
          <w:sz w:val="24"/>
          <w:szCs w:val="24"/>
          <w:lang w:eastAsia="en-US"/>
        </w:rPr>
        <w:t>Beier</w:t>
      </w:r>
      <w:r w:rsidRPr="006B3721">
        <w:rPr>
          <w:rFonts w:ascii="Times New Roman" w:eastAsia="Times New Roman" w:hAnsi="Times New Roman" w:cs="Times New Roman"/>
          <w:i/>
          <w:kern w:val="0"/>
          <w:sz w:val="24"/>
          <w:szCs w:val="24"/>
          <w:lang w:eastAsia="en-US"/>
        </w:rPr>
        <w:t>et</w:t>
      </w:r>
      <w:proofErr w:type="spellEnd"/>
      <w:r w:rsidRPr="006B3721">
        <w:rPr>
          <w:rFonts w:ascii="Times New Roman" w:eastAsia="Times New Roman" w:hAnsi="Times New Roman" w:cs="Times New Roman"/>
          <w:i/>
          <w:kern w:val="0"/>
          <w:sz w:val="24"/>
          <w:szCs w:val="24"/>
          <w:lang w:eastAsia="en-US"/>
        </w:rPr>
        <w:t xml:space="preserve"> al.</w:t>
      </w:r>
      <w:r w:rsidRPr="006B3721">
        <w:rPr>
          <w:rFonts w:ascii="Times New Roman" w:eastAsia="Times New Roman" w:hAnsi="Times New Roman" w:cs="Times New Roman"/>
          <w:kern w:val="0"/>
          <w:sz w:val="24"/>
          <w:szCs w:val="24"/>
          <w:lang w:eastAsia="en-US"/>
        </w:rPr>
        <w:t xml:space="preserve"> (1988). In addition, a quantitative PCR (qPCR) assay was performed to detect </w:t>
      </w:r>
      <w:r w:rsidRPr="006B3721">
        <w:rPr>
          <w:rFonts w:ascii="Times New Roman" w:eastAsia="Times New Roman" w:hAnsi="Times New Roman" w:cs="Times New Roman"/>
          <w:i/>
          <w:iCs/>
          <w:kern w:val="0"/>
          <w:sz w:val="24"/>
          <w:szCs w:val="24"/>
          <w:lang w:eastAsia="en-US"/>
        </w:rPr>
        <w:t>Plasmodium</w:t>
      </w:r>
      <w:r w:rsidRPr="006B3721">
        <w:rPr>
          <w:rFonts w:ascii="Times New Roman" w:eastAsia="Times New Roman" w:hAnsi="Times New Roman" w:cs="Times New Roman"/>
          <w:kern w:val="0"/>
          <w:sz w:val="24"/>
          <w:szCs w:val="24"/>
          <w:lang w:eastAsia="en-US"/>
        </w:rPr>
        <w:t xml:space="preserve">-infected mosquitoes following the protocol of </w:t>
      </w:r>
      <w:proofErr w:type="spellStart"/>
      <w:r w:rsidRPr="006B3721">
        <w:rPr>
          <w:rFonts w:ascii="Times New Roman" w:eastAsia="Times New Roman" w:hAnsi="Times New Roman" w:cs="Times New Roman"/>
          <w:kern w:val="0"/>
          <w:sz w:val="24"/>
          <w:szCs w:val="24"/>
          <w:lang w:eastAsia="en-US"/>
        </w:rPr>
        <w:t>Boissière</w:t>
      </w:r>
      <w:proofErr w:type="spellEnd"/>
      <w:r w:rsidRPr="006B3721">
        <w:rPr>
          <w:rFonts w:ascii="Times New Roman" w:eastAsia="Times New Roman" w:hAnsi="Times New Roman" w:cs="Times New Roman"/>
          <w:kern w:val="0"/>
          <w:sz w:val="24"/>
          <w:szCs w:val="24"/>
          <w:lang w:eastAsia="en-US"/>
        </w:rPr>
        <w:t xml:space="preserve"> et al. (2013). qPCR products from </w:t>
      </w:r>
      <w:r w:rsidRPr="006B3721">
        <w:rPr>
          <w:rFonts w:ascii="Times New Roman" w:eastAsia="Times New Roman" w:hAnsi="Times New Roman" w:cs="Times New Roman"/>
          <w:i/>
          <w:iCs/>
          <w:kern w:val="0"/>
          <w:sz w:val="24"/>
          <w:szCs w:val="24"/>
          <w:lang w:eastAsia="en-US"/>
        </w:rPr>
        <w:t>Plasmodium</w:t>
      </w:r>
      <w:r w:rsidRPr="006B3721">
        <w:rPr>
          <w:rFonts w:ascii="Times New Roman" w:eastAsia="Times New Roman" w:hAnsi="Times New Roman" w:cs="Times New Roman"/>
          <w:kern w:val="0"/>
          <w:sz w:val="24"/>
          <w:szCs w:val="24"/>
          <w:lang w:eastAsia="en-US"/>
        </w:rPr>
        <w:t>-positive mosquitoes were subsequently sequenced using the Big Dye Terminator v3.1 Sequencing Kit (Applied Biosystems) and analyzed on an Applied Biosystems 3130xl Genetic Analyzer.</w:t>
      </w:r>
    </w:p>
    <w:p w14:paraId="393A0CB5" w14:textId="77777777" w:rsidR="00FA579C" w:rsidRPr="006B3721" w:rsidRDefault="00DD1565" w:rsidP="00E1231C">
      <w:pPr>
        <w:spacing w:line="360" w:lineRule="auto"/>
        <w:jc w:val="both"/>
        <w:rPr>
          <w:rFonts w:ascii="Times New Roman" w:hAnsi="Times New Roman" w:cs="Times New Roman"/>
          <w:b/>
          <w:bCs/>
          <w:sz w:val="24"/>
          <w:szCs w:val="24"/>
        </w:rPr>
      </w:pPr>
      <w:r w:rsidRPr="006B3721">
        <w:rPr>
          <w:rFonts w:ascii="Times New Roman" w:eastAsia="Times New Roman" w:hAnsi="Times New Roman" w:cs="Times New Roman"/>
          <w:kern w:val="0"/>
          <w:sz w:val="24"/>
          <w:szCs w:val="24"/>
          <w:lang w:eastAsia="en-US"/>
        </w:rPr>
        <w:t>All PCR reactions were carried out in a total volume of 20 µl. The first amplification used genus-specific primers: rPLU5 (CCTGTTGTTGCCTTAAACTTC) and rPLU6 (TTAAAATTGTTGCAGTTAAAACG). One microliter of purified template DNA was used for the first PCR reaction. From this initial amplification, 1 µl of the product served as the template for four separate species-specific reactions.</w:t>
      </w:r>
    </w:p>
    <w:p w14:paraId="03064497"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RESULT AND DISCUSSION </w:t>
      </w:r>
    </w:p>
    <w:p w14:paraId="2281F740" w14:textId="77777777" w:rsidR="008F1E71" w:rsidRPr="006B3721" w:rsidRDefault="008F1E71" w:rsidP="00F70E40">
      <w:pPr>
        <w:spacing w:line="360" w:lineRule="auto"/>
        <w:rPr>
          <w:rFonts w:ascii="Times New Roman" w:hAnsi="Times New Roman" w:cs="Times New Roman"/>
          <w:b/>
          <w:bCs/>
          <w:sz w:val="24"/>
          <w:szCs w:val="24"/>
        </w:rPr>
      </w:pPr>
    </w:p>
    <w:p w14:paraId="6EF7140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Abundance </w:t>
      </w:r>
      <w:proofErr w:type="spellStart"/>
      <w:r w:rsidRPr="006B3721">
        <w:rPr>
          <w:rFonts w:ascii="Times New Roman" w:hAnsi="Times New Roman" w:cs="Times New Roman"/>
          <w:b/>
          <w:bCs/>
          <w:sz w:val="24"/>
          <w:szCs w:val="24"/>
        </w:rPr>
        <w:t>of</w:t>
      </w:r>
      <w:r w:rsidRPr="006B3721">
        <w:rPr>
          <w:rFonts w:ascii="Times New Roman" w:hAnsi="Times New Roman" w:cs="Times New Roman"/>
          <w:b/>
          <w:bCs/>
          <w:i/>
          <w:iCs/>
          <w:sz w:val="24"/>
          <w:szCs w:val="24"/>
        </w:rPr>
        <w:t>An</w:t>
      </w:r>
      <w:proofErr w:type="spellEnd"/>
      <w:r w:rsidRPr="006B3721">
        <w:rPr>
          <w:rFonts w:ascii="Times New Roman" w:hAnsi="Times New Roman" w:cs="Times New Roman"/>
          <w:b/>
          <w:bCs/>
          <w:i/>
          <w:iCs/>
          <w:sz w:val="24"/>
          <w:szCs w:val="24"/>
        </w:rPr>
        <w:t>. gambiae</w:t>
      </w:r>
      <w:r w:rsidRPr="006B3721">
        <w:rPr>
          <w:rFonts w:ascii="Times New Roman" w:hAnsi="Times New Roman" w:cs="Times New Roman"/>
          <w:b/>
          <w:bCs/>
          <w:sz w:val="24"/>
          <w:szCs w:val="24"/>
        </w:rPr>
        <w:t xml:space="preserve"> mosquitoes indoor</w:t>
      </w:r>
    </w:p>
    <w:p w14:paraId="17C8A08C" w14:textId="77777777" w:rsidR="008F1E71" w:rsidRPr="006B3721" w:rsidRDefault="008F1E71" w:rsidP="00E1231C">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Eight hundred and twenty (820) </w:t>
      </w:r>
      <w:r w:rsidRPr="006B3721">
        <w:rPr>
          <w:rFonts w:ascii="Times New Roman" w:hAnsi="Times New Roman" w:cs="Times New Roman"/>
          <w:i/>
          <w:iCs/>
          <w:sz w:val="24"/>
          <w:szCs w:val="24"/>
        </w:rPr>
        <w:t>Anopheles</w:t>
      </w:r>
      <w:r w:rsidRPr="006B3721">
        <w:rPr>
          <w:rFonts w:ascii="Times New Roman" w:hAnsi="Times New Roman" w:cs="Times New Roman"/>
          <w:sz w:val="24"/>
          <w:szCs w:val="24"/>
        </w:rPr>
        <w:t xml:space="preserve"> mosquitoes were collected from three selected communities </w:t>
      </w:r>
      <w:proofErr w:type="spellStart"/>
      <w:r w:rsidRPr="006B3721">
        <w:rPr>
          <w:rFonts w:ascii="Times New Roman" w:hAnsi="Times New Roman" w:cs="Times New Roman"/>
          <w:sz w:val="24"/>
          <w:szCs w:val="24"/>
        </w:rPr>
        <w:t>usingPyrethrum</w:t>
      </w:r>
      <w:proofErr w:type="spellEnd"/>
      <w:r w:rsidRPr="006B3721">
        <w:rPr>
          <w:rFonts w:ascii="Times New Roman" w:hAnsi="Times New Roman" w:cs="Times New Roman"/>
          <w:sz w:val="24"/>
          <w:szCs w:val="24"/>
        </w:rPr>
        <w:t xml:space="preserve"> Spray Catch (PSC) method.</w:t>
      </w:r>
      <w:r w:rsidR="00B04BD4" w:rsidRPr="006B3721">
        <w:rPr>
          <w:rFonts w:ascii="Times New Roman" w:hAnsi="Times New Roman" w:cs="Times New Roman"/>
          <w:sz w:val="24"/>
          <w:szCs w:val="24"/>
        </w:rPr>
        <w:t xml:space="preserve"> Mosquitoes collected were Molecularly </w:t>
      </w:r>
      <w:proofErr w:type="spellStart"/>
      <w:r w:rsidR="00B04BD4" w:rsidRPr="006B3721">
        <w:rPr>
          <w:rFonts w:ascii="Times New Roman" w:hAnsi="Times New Roman" w:cs="Times New Roman"/>
          <w:sz w:val="24"/>
          <w:szCs w:val="24"/>
        </w:rPr>
        <w:t>identifiedas</w:t>
      </w:r>
      <w:proofErr w:type="spellEnd"/>
      <w:r w:rsidR="00B04BD4" w:rsidRPr="006B3721">
        <w:rPr>
          <w:rFonts w:ascii="Times New Roman" w:hAnsi="Times New Roman" w:cs="Times New Roman"/>
          <w:sz w:val="24"/>
          <w:szCs w:val="24"/>
        </w:rPr>
        <w:t xml:space="preserve"> </w:t>
      </w:r>
      <w:r w:rsidR="00B04BD4" w:rsidRPr="006B3721">
        <w:rPr>
          <w:rFonts w:ascii="Times New Roman" w:hAnsi="Times New Roman" w:cs="Times New Roman"/>
          <w:i/>
          <w:sz w:val="24"/>
          <w:szCs w:val="24"/>
        </w:rPr>
        <w:t xml:space="preserve">Anopheles </w:t>
      </w:r>
      <w:proofErr w:type="spellStart"/>
      <w:proofErr w:type="gramStart"/>
      <w:r w:rsidR="00B04BD4" w:rsidRPr="006B3721">
        <w:rPr>
          <w:rFonts w:ascii="Times New Roman" w:hAnsi="Times New Roman" w:cs="Times New Roman"/>
          <w:i/>
          <w:sz w:val="24"/>
          <w:szCs w:val="24"/>
        </w:rPr>
        <w:t>coluzzi.</w:t>
      </w:r>
      <w:r w:rsidRPr="006B3721">
        <w:rPr>
          <w:rFonts w:ascii="Times New Roman" w:hAnsi="Times New Roman" w:cs="Times New Roman"/>
          <w:sz w:val="24"/>
          <w:szCs w:val="24"/>
        </w:rPr>
        <w:t>The</w:t>
      </w:r>
      <w:proofErr w:type="spellEnd"/>
      <w:proofErr w:type="gramEnd"/>
      <w:r w:rsidRPr="006B3721">
        <w:rPr>
          <w:rFonts w:ascii="Times New Roman" w:hAnsi="Times New Roman" w:cs="Times New Roman"/>
          <w:sz w:val="24"/>
          <w:szCs w:val="24"/>
        </w:rPr>
        <w:t xml:space="preserve"> highest abundance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with three </w:t>
      </w:r>
      <w:proofErr w:type="spellStart"/>
      <w:r w:rsidRPr="006B3721">
        <w:rPr>
          <w:rFonts w:ascii="Times New Roman" w:hAnsi="Times New Roman" w:cs="Times New Roman"/>
          <w:sz w:val="24"/>
          <w:szCs w:val="24"/>
        </w:rPr>
        <w:t>hundredand</w:t>
      </w:r>
      <w:proofErr w:type="spellEnd"/>
      <w:r w:rsidRPr="006B3721">
        <w:rPr>
          <w:rFonts w:ascii="Times New Roman" w:hAnsi="Times New Roman" w:cs="Times New Roman"/>
          <w:sz w:val="24"/>
          <w:szCs w:val="24"/>
        </w:rPr>
        <w:t xml:space="preserve"> twenty-five (325) mosquitoes and this was followed by mosquito abundance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two hundred and sixty-n</w:t>
      </w:r>
      <w:r w:rsidR="00315286" w:rsidRPr="006B3721">
        <w:rPr>
          <w:rFonts w:ascii="Times New Roman" w:hAnsi="Times New Roman" w:cs="Times New Roman"/>
          <w:sz w:val="24"/>
          <w:szCs w:val="24"/>
        </w:rPr>
        <w:t xml:space="preserve">ine (269) mosquitoes (Figure </w:t>
      </w:r>
      <w:r w:rsidR="00E1231C" w:rsidRPr="006B3721">
        <w:rPr>
          <w:rFonts w:ascii="Times New Roman" w:hAnsi="Times New Roman" w:cs="Times New Roman"/>
          <w:sz w:val="24"/>
          <w:szCs w:val="24"/>
        </w:rPr>
        <w:t>2</w:t>
      </w:r>
      <w:r w:rsidRPr="006B3721">
        <w:rPr>
          <w:rFonts w:ascii="Times New Roman" w:hAnsi="Times New Roman" w:cs="Times New Roman"/>
          <w:sz w:val="24"/>
          <w:szCs w:val="24"/>
        </w:rPr>
        <w:t xml:space="preserve">). </w:t>
      </w:r>
    </w:p>
    <w:p w14:paraId="06C3D755" w14:textId="77777777" w:rsidR="008F1E71" w:rsidRPr="006B3721" w:rsidRDefault="008F1E71" w:rsidP="00E1231C">
      <w:pPr>
        <w:pStyle w:val="NormalWeb"/>
        <w:spacing w:line="360" w:lineRule="auto"/>
        <w:jc w:val="both"/>
      </w:pPr>
      <w:r w:rsidRPr="006B3721">
        <w:t>The abundance of mosquitoes in the selected communities follow</w:t>
      </w:r>
      <w:r w:rsidR="00C45B3F" w:rsidRPr="006B3721">
        <w:t xml:space="preserve">ed a regular pattern (Figure </w:t>
      </w:r>
      <w:r w:rsidR="00E1231C" w:rsidRPr="006B3721">
        <w:t>3</w:t>
      </w:r>
      <w:r w:rsidRPr="006B3721">
        <w:t xml:space="preserve">). The abundance of mosquitoes declined in August from July. In September, there was a slight increase in the abundance of mosquitoes which declined slightly to zero in December and January. There was a slight rise in abundance of mosquitoes from February to March. </w:t>
      </w:r>
      <w:r w:rsidRPr="006B3721">
        <w:lastRenderedPageBreak/>
        <w:t xml:space="preserve">Considering the communities and the variation in the sampled months, the highest abundance cut across all months in </w:t>
      </w:r>
      <w:proofErr w:type="spellStart"/>
      <w:r w:rsidRPr="006B3721">
        <w:t>Egbudu-Akah</w:t>
      </w:r>
      <w:proofErr w:type="spellEnd"/>
      <w:r w:rsidRPr="006B3721">
        <w:t xml:space="preserve">. This trend was closely followed by mosquito abundance in </w:t>
      </w:r>
      <w:proofErr w:type="spellStart"/>
      <w:r w:rsidRPr="006B3721">
        <w:t>Aghalokpe</w:t>
      </w:r>
      <w:proofErr w:type="spellEnd"/>
      <w:r w:rsidRPr="006B3721">
        <w:t xml:space="preserve"> from July to September. The abundance of mosquitoes in </w:t>
      </w:r>
      <w:proofErr w:type="spellStart"/>
      <w:r w:rsidRPr="006B3721">
        <w:t>Owhelogbo</w:t>
      </w:r>
      <w:proofErr w:type="spellEnd"/>
      <w:r w:rsidRPr="006B3721">
        <w:t xml:space="preserve"> and </w:t>
      </w:r>
      <w:proofErr w:type="spellStart"/>
      <w:r w:rsidRPr="006B3721">
        <w:t>Aghalokpe</w:t>
      </w:r>
      <w:proofErr w:type="spellEnd"/>
      <w:r w:rsidRPr="006B3721">
        <w:t xml:space="preserve"> followed similar trends from October to January, where a slight rise in mosquito abundance in </w:t>
      </w:r>
      <w:proofErr w:type="spellStart"/>
      <w:r w:rsidRPr="006B3721">
        <w:t>Aghalokpe</w:t>
      </w:r>
      <w:proofErr w:type="spellEnd"/>
      <w:r w:rsidRPr="006B3721">
        <w:t xml:space="preserve"> occurred from February to March. The differences between the abundance of mosquitoes in the sampled months and locations were significant (p&lt;0.05). These findings mirror observations in previous studies (e.g., Mwangangi et al., 2013), where vector abundance peaked during the wet season due to favorable breeding habitats.</w:t>
      </w:r>
    </w:p>
    <w:p w14:paraId="22287B66" w14:textId="77777777" w:rsidR="008F1E71" w:rsidRPr="006B3721" w:rsidRDefault="008F1E71" w:rsidP="00F70E40">
      <w:pPr>
        <w:spacing w:line="360" w:lineRule="auto"/>
        <w:jc w:val="both"/>
        <w:rPr>
          <w:rFonts w:ascii="Times New Roman" w:hAnsi="Times New Roman" w:cs="Times New Roman"/>
          <w:sz w:val="24"/>
          <w:szCs w:val="24"/>
        </w:rPr>
      </w:pPr>
    </w:p>
    <w:p w14:paraId="0612AF48" w14:textId="77777777" w:rsidR="008F1E71" w:rsidRPr="006B3721" w:rsidRDefault="008F1E71" w:rsidP="00F70E40">
      <w:pPr>
        <w:spacing w:line="360" w:lineRule="auto"/>
        <w:jc w:val="both"/>
        <w:rPr>
          <w:rFonts w:ascii="Times New Roman" w:hAnsi="Times New Roman" w:cs="Times New Roman"/>
          <w:sz w:val="24"/>
          <w:szCs w:val="24"/>
        </w:rPr>
      </w:pPr>
    </w:p>
    <w:p w14:paraId="15DB0B9D" w14:textId="77777777" w:rsidR="008F1E71" w:rsidRPr="006B3721" w:rsidRDefault="008F1E71" w:rsidP="00F70E40">
      <w:pPr>
        <w:spacing w:line="360" w:lineRule="auto"/>
        <w:jc w:val="both"/>
        <w:rPr>
          <w:rFonts w:ascii="Times New Roman" w:hAnsi="Times New Roman" w:cs="Times New Roman"/>
          <w:sz w:val="24"/>
          <w:szCs w:val="24"/>
        </w:rPr>
      </w:pPr>
    </w:p>
    <w:p w14:paraId="0F595131" w14:textId="77777777" w:rsidR="008F1E71" w:rsidRPr="006B3721" w:rsidRDefault="008F1E71" w:rsidP="00F70E40">
      <w:pPr>
        <w:spacing w:line="360" w:lineRule="auto"/>
        <w:jc w:val="both"/>
        <w:rPr>
          <w:rFonts w:ascii="Times New Roman" w:hAnsi="Times New Roman" w:cs="Times New Roman"/>
          <w:sz w:val="24"/>
          <w:szCs w:val="24"/>
        </w:rPr>
      </w:pPr>
    </w:p>
    <w:p w14:paraId="708C7F64" w14:textId="77777777" w:rsidR="008F1E71" w:rsidRPr="006B3721" w:rsidRDefault="008F1E71" w:rsidP="00F70E40">
      <w:pPr>
        <w:spacing w:line="360" w:lineRule="auto"/>
        <w:jc w:val="both"/>
        <w:rPr>
          <w:rFonts w:ascii="Times New Roman" w:hAnsi="Times New Roman" w:cs="Times New Roman"/>
          <w:sz w:val="24"/>
          <w:szCs w:val="24"/>
        </w:rPr>
      </w:pPr>
    </w:p>
    <w:p w14:paraId="5900212D" w14:textId="77777777" w:rsidR="008F1E71" w:rsidRPr="006B3721" w:rsidRDefault="008F1E71" w:rsidP="00F70E40">
      <w:pPr>
        <w:spacing w:line="360" w:lineRule="auto"/>
        <w:jc w:val="both"/>
        <w:rPr>
          <w:rFonts w:ascii="Times New Roman" w:hAnsi="Times New Roman" w:cs="Times New Roman"/>
          <w:sz w:val="24"/>
          <w:szCs w:val="24"/>
        </w:rPr>
      </w:pPr>
    </w:p>
    <w:p w14:paraId="7505B34E"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5A2FB32C" wp14:editId="72F98CC0">
            <wp:extent cx="4572000" cy="2743200"/>
            <wp:effectExtent l="0" t="0" r="0" b="0"/>
            <wp:docPr id="2132535799" name="Chart 8">
              <a:extLst xmlns:a="http://schemas.openxmlformats.org/drawingml/2006/main">
                <a:ext uri="{FF2B5EF4-FFF2-40B4-BE49-F238E27FC236}">
                  <a16:creationId xmlns:a16="http://schemas.microsoft.com/office/drawing/2014/main" id="{CA309920-2E26-4C51-9497-E52E8437E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BCB01E" w14:textId="77777777" w:rsidR="008F1E71" w:rsidRPr="006B3721" w:rsidRDefault="008F1E71" w:rsidP="00F70E40">
      <w:pPr>
        <w:spacing w:line="360" w:lineRule="auto"/>
        <w:rPr>
          <w:rFonts w:ascii="Times New Roman" w:hAnsi="Times New Roman" w:cs="Times New Roman"/>
          <w:sz w:val="24"/>
          <w:szCs w:val="24"/>
        </w:rPr>
      </w:pPr>
      <w:bookmarkStart w:id="1" w:name="_Hlk191944455"/>
      <w:r w:rsidRPr="006B3721">
        <w:rPr>
          <w:rFonts w:ascii="Times New Roman" w:hAnsi="Times New Roman" w:cs="Times New Roman"/>
          <w:b/>
          <w:sz w:val="24"/>
          <w:szCs w:val="24"/>
        </w:rPr>
        <w:t xml:space="preserve">Fig. </w:t>
      </w:r>
      <w:r w:rsidR="00E1231C" w:rsidRPr="006B3721">
        <w:rPr>
          <w:rFonts w:ascii="Times New Roman" w:hAnsi="Times New Roman" w:cs="Times New Roman"/>
          <w:b/>
          <w:sz w:val="24"/>
          <w:szCs w:val="24"/>
        </w:rPr>
        <w:t>2</w:t>
      </w:r>
      <w:r w:rsidRPr="006B3721">
        <w:rPr>
          <w:rFonts w:ascii="Times New Roman" w:hAnsi="Times New Roman" w:cs="Times New Roman"/>
          <w:b/>
          <w:sz w:val="24"/>
          <w:szCs w:val="24"/>
        </w:rPr>
        <w:t xml:space="preserve">. </w:t>
      </w:r>
      <w:r w:rsidRPr="006B3721">
        <w:rPr>
          <w:rFonts w:ascii="Times New Roman" w:hAnsi="Times New Roman" w:cs="Times New Roman"/>
          <w:sz w:val="24"/>
          <w:szCs w:val="24"/>
        </w:rPr>
        <w:t xml:space="preserve"> Abundance of </w:t>
      </w:r>
      <w:r w:rsidRPr="006B3721">
        <w:rPr>
          <w:rFonts w:ascii="Times New Roman" w:hAnsi="Times New Roman" w:cs="Times New Roman"/>
          <w:i/>
          <w:sz w:val="24"/>
          <w:szCs w:val="24"/>
        </w:rPr>
        <w:t xml:space="preserve">An. </w:t>
      </w:r>
      <w:proofErr w:type="spellStart"/>
      <w:r w:rsidRPr="006B3721">
        <w:rPr>
          <w:rFonts w:ascii="Times New Roman" w:hAnsi="Times New Roman" w:cs="Times New Roman"/>
          <w:i/>
          <w:sz w:val="24"/>
          <w:szCs w:val="24"/>
        </w:rPr>
        <w:t>gambiae</w:t>
      </w:r>
      <w:r w:rsidRPr="006B3721">
        <w:rPr>
          <w:rFonts w:ascii="Times New Roman" w:hAnsi="Times New Roman" w:cs="Times New Roman"/>
          <w:iCs/>
          <w:sz w:val="24"/>
          <w:szCs w:val="24"/>
        </w:rPr>
        <w:t>in</w:t>
      </w:r>
      <w:r w:rsidRPr="006B3721">
        <w:rPr>
          <w:rFonts w:ascii="Times New Roman" w:hAnsi="Times New Roman" w:cs="Times New Roman"/>
          <w:sz w:val="24"/>
          <w:szCs w:val="24"/>
        </w:rPr>
        <w:t>selected</w:t>
      </w:r>
      <w:proofErr w:type="spellEnd"/>
      <w:r w:rsidRPr="006B3721">
        <w:rPr>
          <w:rFonts w:ascii="Times New Roman" w:hAnsi="Times New Roman" w:cs="Times New Roman"/>
          <w:sz w:val="24"/>
          <w:szCs w:val="24"/>
        </w:rPr>
        <w:t xml:space="preserve"> communities, Delta State, Nigeria. (F-ANOVA </w:t>
      </w:r>
      <w:r w:rsidRPr="006B3721">
        <w:rPr>
          <w:rFonts w:ascii="Times New Roman" w:hAnsi="Times New Roman" w:cs="Times New Roman"/>
          <w:sz w:val="24"/>
          <w:szCs w:val="24"/>
          <w:vertAlign w:val="subscript"/>
        </w:rPr>
        <w:t>(locations)</w:t>
      </w:r>
      <w:r w:rsidRPr="006B3721">
        <w:rPr>
          <w:rFonts w:ascii="Times New Roman" w:hAnsi="Times New Roman" w:cs="Times New Roman"/>
          <w:sz w:val="24"/>
          <w:szCs w:val="24"/>
        </w:rPr>
        <w:t xml:space="preserve">= 16.37; </w:t>
      </w:r>
      <w:r w:rsidRPr="006B3721">
        <w:rPr>
          <w:rFonts w:ascii="Times New Roman" w:hAnsi="Times New Roman" w:cs="Times New Roman"/>
          <w:i/>
          <w:iCs/>
          <w:sz w:val="24"/>
          <w:szCs w:val="24"/>
        </w:rPr>
        <w:t>p</w:t>
      </w:r>
      <w:r w:rsidRPr="006B3721">
        <w:rPr>
          <w:rFonts w:ascii="Times New Roman" w:hAnsi="Times New Roman" w:cs="Times New Roman"/>
          <w:sz w:val="24"/>
          <w:szCs w:val="24"/>
        </w:rPr>
        <w:t>= 0.00014).</w:t>
      </w:r>
    </w:p>
    <w:bookmarkEnd w:id="1"/>
    <w:p w14:paraId="3FBD679C" w14:textId="77777777" w:rsidR="008F1E71" w:rsidRPr="006B3721" w:rsidRDefault="008F1E71" w:rsidP="00F70E40">
      <w:pPr>
        <w:spacing w:line="360" w:lineRule="auto"/>
        <w:rPr>
          <w:rFonts w:ascii="Times New Roman" w:hAnsi="Times New Roman" w:cs="Times New Roman"/>
          <w:b/>
          <w:bCs/>
          <w:sz w:val="24"/>
          <w:szCs w:val="24"/>
        </w:rPr>
      </w:pPr>
    </w:p>
    <w:p w14:paraId="603C971F"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6A99A5EC" wp14:editId="237F3876">
            <wp:extent cx="4572000" cy="2743200"/>
            <wp:effectExtent l="0" t="0" r="0" b="0"/>
            <wp:docPr id="2132535800" name="Chart 19">
              <a:extLst xmlns:a="http://schemas.openxmlformats.org/drawingml/2006/main">
                <a:ext uri="{FF2B5EF4-FFF2-40B4-BE49-F238E27FC236}">
                  <a16:creationId xmlns:a16="http://schemas.microsoft.com/office/drawing/2014/main" id="{A654ED4A-08FD-4E4F-9608-7CF50EABE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7E7D18" w14:textId="77777777" w:rsidR="008F1E71" w:rsidRPr="006B3721" w:rsidRDefault="00FF62E6"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t xml:space="preserve">Fig. </w:t>
      </w:r>
      <w:proofErr w:type="gramStart"/>
      <w:r w:rsidR="00E1231C" w:rsidRPr="006B3721">
        <w:rPr>
          <w:rFonts w:ascii="Times New Roman" w:hAnsi="Times New Roman" w:cs="Times New Roman"/>
          <w:b/>
          <w:bCs/>
          <w:sz w:val="24"/>
          <w:szCs w:val="24"/>
        </w:rPr>
        <w:t>3</w:t>
      </w:r>
      <w:r w:rsidR="008F1E71" w:rsidRPr="006B3721">
        <w:rPr>
          <w:rFonts w:ascii="Times New Roman" w:hAnsi="Times New Roman" w:cs="Times New Roman"/>
          <w:b/>
          <w:bCs/>
          <w:sz w:val="24"/>
          <w:szCs w:val="24"/>
        </w:rPr>
        <w:t>.</w:t>
      </w:r>
      <w:r w:rsidR="008F1E71" w:rsidRPr="006B3721">
        <w:rPr>
          <w:rFonts w:ascii="Times New Roman" w:hAnsi="Times New Roman" w:cs="Times New Roman"/>
          <w:sz w:val="24"/>
          <w:szCs w:val="24"/>
        </w:rPr>
        <w:t>Monthly</w:t>
      </w:r>
      <w:proofErr w:type="gramEnd"/>
      <w:r w:rsidR="008F1E71" w:rsidRPr="006B3721">
        <w:rPr>
          <w:rFonts w:ascii="Times New Roman" w:hAnsi="Times New Roman" w:cs="Times New Roman"/>
          <w:sz w:val="24"/>
          <w:szCs w:val="24"/>
        </w:rPr>
        <w:t xml:space="preserve"> variation in mosquito abundance </w:t>
      </w:r>
      <w:proofErr w:type="spellStart"/>
      <w:r w:rsidR="008F1E71" w:rsidRPr="006B3721">
        <w:rPr>
          <w:rFonts w:ascii="Times New Roman" w:hAnsi="Times New Roman" w:cs="Times New Roman"/>
          <w:sz w:val="24"/>
          <w:szCs w:val="24"/>
        </w:rPr>
        <w:t>inselected</w:t>
      </w:r>
      <w:proofErr w:type="spellEnd"/>
      <w:r w:rsidR="008F1E71" w:rsidRPr="006B3721">
        <w:rPr>
          <w:rFonts w:ascii="Times New Roman" w:hAnsi="Times New Roman" w:cs="Times New Roman"/>
          <w:sz w:val="24"/>
          <w:szCs w:val="24"/>
        </w:rPr>
        <w:t xml:space="preserve"> communities, Delta State, Nigeria. (F-ANOVA </w:t>
      </w:r>
      <w:r w:rsidR="008F1E71" w:rsidRPr="006B3721">
        <w:rPr>
          <w:rFonts w:ascii="Times New Roman" w:hAnsi="Times New Roman" w:cs="Times New Roman"/>
          <w:sz w:val="24"/>
          <w:szCs w:val="24"/>
          <w:vertAlign w:val="subscript"/>
        </w:rPr>
        <w:t>(months)</w:t>
      </w:r>
      <w:r w:rsidR="008F1E71" w:rsidRPr="006B3721">
        <w:rPr>
          <w:rFonts w:ascii="Times New Roman" w:hAnsi="Times New Roman" w:cs="Times New Roman"/>
          <w:sz w:val="24"/>
          <w:szCs w:val="24"/>
        </w:rPr>
        <w:t xml:space="preserve">= 92.72; </w:t>
      </w:r>
      <w:r w:rsidR="008F1E71" w:rsidRPr="006B3721">
        <w:rPr>
          <w:rFonts w:ascii="Times New Roman" w:hAnsi="Times New Roman" w:cs="Times New Roman"/>
          <w:i/>
          <w:iCs/>
          <w:sz w:val="24"/>
          <w:szCs w:val="24"/>
        </w:rPr>
        <w:t>p</w:t>
      </w:r>
      <w:r w:rsidR="008F1E71" w:rsidRPr="006B3721">
        <w:rPr>
          <w:rFonts w:ascii="Times New Roman" w:hAnsi="Times New Roman" w:cs="Times New Roman"/>
          <w:sz w:val="24"/>
          <w:szCs w:val="24"/>
        </w:rPr>
        <w:t>&lt; 0.0001).</w:t>
      </w:r>
    </w:p>
    <w:p w14:paraId="0291CCBA" w14:textId="77777777" w:rsidR="008F1E71" w:rsidRPr="006B3721" w:rsidRDefault="008F1E71" w:rsidP="00F70E40">
      <w:pPr>
        <w:spacing w:line="360" w:lineRule="auto"/>
        <w:rPr>
          <w:rFonts w:ascii="Times New Roman" w:hAnsi="Times New Roman" w:cs="Times New Roman"/>
          <w:b/>
          <w:bCs/>
          <w:sz w:val="24"/>
          <w:szCs w:val="24"/>
        </w:rPr>
      </w:pPr>
    </w:p>
    <w:p w14:paraId="2E67A83B" w14:textId="77777777" w:rsidR="00A217AF" w:rsidRPr="006B3721" w:rsidRDefault="00A217AF" w:rsidP="00F70E40">
      <w:pPr>
        <w:spacing w:after="0" w:line="360" w:lineRule="auto"/>
        <w:rPr>
          <w:rFonts w:ascii="Times New Roman" w:eastAsia="Times New Roman" w:hAnsi="Times New Roman" w:cs="Times New Roman"/>
          <w:kern w:val="0"/>
          <w:sz w:val="24"/>
          <w:szCs w:val="24"/>
          <w:shd w:val="clear" w:color="auto" w:fill="FFFFFF"/>
          <w:lang w:eastAsia="en-US"/>
        </w:rPr>
      </w:pPr>
      <w:r w:rsidRPr="006B3721">
        <w:rPr>
          <w:rFonts w:ascii="Times New Roman" w:eastAsia="Times New Roman" w:hAnsi="Times New Roman" w:cs="Times New Roman"/>
          <w:kern w:val="0"/>
          <w:sz w:val="24"/>
          <w:szCs w:val="24"/>
          <w:shd w:val="clear" w:color="auto" w:fill="FFFFFF"/>
          <w:lang w:eastAsia="en-US"/>
        </w:rPr>
        <w:t xml:space="preserve">Indoor abundance of </w:t>
      </w:r>
      <w:r w:rsidRPr="006B3721">
        <w:rPr>
          <w:rFonts w:ascii="Times New Roman" w:eastAsia="Times New Roman" w:hAnsi="Times New Roman" w:cs="Times New Roman"/>
          <w:i/>
          <w:kern w:val="0"/>
          <w:sz w:val="24"/>
          <w:szCs w:val="24"/>
          <w:shd w:val="clear" w:color="auto" w:fill="FFFFFF"/>
          <w:lang w:eastAsia="en-US"/>
        </w:rPr>
        <w:t>Anopheles gambiae</w:t>
      </w:r>
      <w:r w:rsidRPr="006B3721">
        <w:rPr>
          <w:rFonts w:ascii="Times New Roman" w:eastAsia="Times New Roman" w:hAnsi="Times New Roman" w:cs="Times New Roman"/>
          <w:kern w:val="0"/>
          <w:sz w:val="24"/>
          <w:szCs w:val="24"/>
          <w:shd w:val="clear" w:color="auto" w:fill="FFFFFF"/>
          <w:lang w:eastAsia="en-US"/>
        </w:rPr>
        <w:t xml:space="preserve"> mosquitoes varies significantly across different African regions and housing conditions. In Nigeria, </w:t>
      </w:r>
      <w:r w:rsidRPr="006B3721">
        <w:rPr>
          <w:rFonts w:ascii="Times New Roman" w:eastAsia="Times New Roman" w:hAnsi="Times New Roman" w:cs="Times New Roman"/>
          <w:i/>
          <w:kern w:val="0"/>
          <w:sz w:val="24"/>
          <w:szCs w:val="24"/>
          <w:shd w:val="clear" w:color="auto" w:fill="FFFFFF"/>
          <w:lang w:eastAsia="en-US"/>
        </w:rPr>
        <w:t>An. gambiae</w:t>
      </w:r>
      <w:r w:rsidRPr="006B3721">
        <w:rPr>
          <w:rFonts w:ascii="Times New Roman" w:eastAsia="Times New Roman" w:hAnsi="Times New Roman" w:cs="Times New Roman"/>
          <w:kern w:val="0"/>
          <w:sz w:val="24"/>
          <w:szCs w:val="24"/>
          <w:shd w:val="clear" w:color="auto" w:fill="FFFFFF"/>
          <w:lang w:eastAsia="en-US"/>
        </w:rPr>
        <w:t xml:space="preserve"> comprised 93.13% of indoor-collected mosquitoes in Uga rural community, with 149 specimens collected using pyrethrum knockdown methods (</w:t>
      </w:r>
      <w:proofErr w:type="spellStart"/>
      <w:r w:rsidRPr="006B3721">
        <w:rPr>
          <w:rFonts w:ascii="Times New Roman" w:eastAsia="Times New Roman" w:hAnsi="Times New Roman" w:cs="Times New Roman"/>
          <w:kern w:val="0"/>
          <w:sz w:val="24"/>
          <w:szCs w:val="24"/>
          <w:shd w:val="clear" w:color="auto" w:fill="FFFFFF"/>
          <w:lang w:eastAsia="en-US"/>
        </w:rPr>
        <w:t>Ekesiobi</w:t>
      </w:r>
      <w:proofErr w:type="spellEnd"/>
      <w:r w:rsidRPr="006B3721">
        <w:rPr>
          <w:rFonts w:ascii="Times New Roman" w:eastAsia="Times New Roman" w:hAnsi="Times New Roman" w:cs="Times New Roman"/>
          <w:kern w:val="0"/>
          <w:sz w:val="24"/>
          <w:szCs w:val="24"/>
          <w:shd w:val="clear" w:color="auto" w:fill="FFFFFF"/>
          <w:lang w:eastAsia="en-US"/>
        </w:rPr>
        <w:t xml:space="preserve">, 2025). Similarly, in Katsina State, Nigeria, </w:t>
      </w:r>
      <w:r w:rsidRPr="006B3721">
        <w:rPr>
          <w:rFonts w:ascii="Times New Roman" w:eastAsia="Times New Roman" w:hAnsi="Times New Roman" w:cs="Times New Roman"/>
          <w:i/>
          <w:kern w:val="0"/>
          <w:sz w:val="24"/>
          <w:szCs w:val="24"/>
          <w:shd w:val="clear" w:color="auto" w:fill="FFFFFF"/>
          <w:lang w:eastAsia="en-US"/>
        </w:rPr>
        <w:t xml:space="preserve">An. </w:t>
      </w:r>
      <w:proofErr w:type="spellStart"/>
      <w:r w:rsidRPr="006B3721">
        <w:rPr>
          <w:rFonts w:ascii="Times New Roman" w:eastAsia="Times New Roman" w:hAnsi="Times New Roman" w:cs="Times New Roman"/>
          <w:i/>
          <w:kern w:val="0"/>
          <w:sz w:val="24"/>
          <w:szCs w:val="24"/>
          <w:shd w:val="clear" w:color="auto" w:fill="FFFFFF"/>
          <w:lang w:eastAsia="en-US"/>
        </w:rPr>
        <w:t>gambiae</w:t>
      </w:r>
      <w:r w:rsidRPr="006B3721">
        <w:rPr>
          <w:rFonts w:ascii="Times New Roman" w:eastAsia="Times New Roman" w:hAnsi="Times New Roman" w:cs="Times New Roman"/>
          <w:kern w:val="0"/>
          <w:sz w:val="24"/>
          <w:szCs w:val="24"/>
          <w:shd w:val="clear" w:color="auto" w:fill="FFFFFF"/>
          <w:lang w:eastAsia="en-US"/>
        </w:rPr>
        <w:t>s.s</w:t>
      </w:r>
      <w:proofErr w:type="spellEnd"/>
      <w:r w:rsidRPr="006B3721">
        <w:rPr>
          <w:rFonts w:ascii="Times New Roman" w:eastAsia="Times New Roman" w:hAnsi="Times New Roman" w:cs="Times New Roman"/>
          <w:kern w:val="0"/>
          <w:sz w:val="24"/>
          <w:szCs w:val="24"/>
          <w:shd w:val="clear" w:color="auto" w:fill="FFFFFF"/>
          <w:lang w:eastAsia="en-US"/>
        </w:rPr>
        <w:t>. represented 95.1% of adult indoor collections, demonstrating its predominance in indoor environments (U. A. M &amp;</w:t>
      </w:r>
      <w:proofErr w:type="spellStart"/>
      <w:r w:rsidRPr="006B3721">
        <w:rPr>
          <w:rFonts w:ascii="Times New Roman" w:eastAsia="Times New Roman" w:hAnsi="Times New Roman" w:cs="Times New Roman"/>
          <w:kern w:val="0"/>
          <w:sz w:val="24"/>
          <w:szCs w:val="24"/>
          <w:shd w:val="clear" w:color="auto" w:fill="FFFFFF"/>
          <w:lang w:eastAsia="en-US"/>
        </w:rPr>
        <w:t>Ndams</w:t>
      </w:r>
      <w:proofErr w:type="spellEnd"/>
      <w:r w:rsidRPr="006B3721">
        <w:rPr>
          <w:rFonts w:ascii="Times New Roman" w:eastAsia="Times New Roman" w:hAnsi="Times New Roman" w:cs="Times New Roman"/>
          <w:kern w:val="0"/>
          <w:sz w:val="24"/>
          <w:szCs w:val="24"/>
          <w:shd w:val="clear" w:color="auto" w:fill="FFFFFF"/>
          <w:lang w:eastAsia="en-US"/>
        </w:rPr>
        <w:t xml:space="preserve">, 2022). </w:t>
      </w:r>
    </w:p>
    <w:p w14:paraId="59AD9CCD" w14:textId="77777777" w:rsidR="008F1E71" w:rsidRPr="006B3721" w:rsidRDefault="00A217AF" w:rsidP="002263B4">
      <w:pPr>
        <w:spacing w:line="360" w:lineRule="auto"/>
        <w:ind w:firstLine="720"/>
        <w:jc w:val="both"/>
        <w:rPr>
          <w:rFonts w:ascii="Times New Roman" w:hAnsi="Times New Roman" w:cs="Times New Roman"/>
          <w:b/>
          <w:bCs/>
          <w:sz w:val="24"/>
          <w:szCs w:val="24"/>
        </w:rPr>
      </w:pPr>
      <w:r w:rsidRPr="006B3721">
        <w:rPr>
          <w:rFonts w:ascii="Times New Roman" w:eastAsia="Times New Roman" w:hAnsi="Times New Roman" w:cs="Times New Roman"/>
          <w:kern w:val="0"/>
          <w:sz w:val="24"/>
          <w:szCs w:val="24"/>
          <w:shd w:val="clear" w:color="auto" w:fill="FFFFFF"/>
          <w:lang w:eastAsia="en-US"/>
        </w:rPr>
        <w:t xml:space="preserve">Environmental factors significantly influence indoor mosquito abundance. In Guinea Bissau, rooms with open eaves and houses with wells showed significantly greater numbers of resting </w:t>
      </w:r>
      <w:r w:rsidRPr="006B3721">
        <w:rPr>
          <w:rFonts w:ascii="Times New Roman" w:eastAsia="Times New Roman" w:hAnsi="Times New Roman" w:cs="Times New Roman"/>
          <w:i/>
          <w:kern w:val="0"/>
          <w:sz w:val="24"/>
          <w:szCs w:val="24"/>
          <w:shd w:val="clear" w:color="auto" w:fill="FFFFFF"/>
          <w:lang w:eastAsia="en-US"/>
        </w:rPr>
        <w:t xml:space="preserve">An. </w:t>
      </w:r>
      <w:proofErr w:type="spellStart"/>
      <w:r w:rsidRPr="006B3721">
        <w:rPr>
          <w:rFonts w:ascii="Times New Roman" w:eastAsia="Times New Roman" w:hAnsi="Times New Roman" w:cs="Times New Roman"/>
          <w:i/>
          <w:kern w:val="0"/>
          <w:sz w:val="24"/>
          <w:szCs w:val="24"/>
          <w:shd w:val="clear" w:color="auto" w:fill="FFFFFF"/>
          <w:lang w:eastAsia="en-US"/>
        </w:rPr>
        <w:t>gambiae</w:t>
      </w:r>
      <w:r w:rsidRPr="006B3721">
        <w:rPr>
          <w:rFonts w:ascii="Times New Roman" w:eastAsia="Times New Roman" w:hAnsi="Times New Roman" w:cs="Times New Roman"/>
          <w:kern w:val="0"/>
          <w:sz w:val="24"/>
          <w:szCs w:val="24"/>
          <w:shd w:val="clear" w:color="auto" w:fill="FFFFFF"/>
          <w:lang w:eastAsia="en-US"/>
        </w:rPr>
        <w:t>s.s</w:t>
      </w:r>
      <w:proofErr w:type="spellEnd"/>
      <w:r w:rsidRPr="006B3721">
        <w:rPr>
          <w:rFonts w:ascii="Times New Roman" w:eastAsia="Times New Roman" w:hAnsi="Times New Roman" w:cs="Times New Roman"/>
          <w:kern w:val="0"/>
          <w:sz w:val="24"/>
          <w:szCs w:val="24"/>
          <w:shd w:val="clear" w:color="auto" w:fill="FFFFFF"/>
          <w:lang w:eastAsia="en-US"/>
        </w:rPr>
        <w:t>., while pig presence and increased human biomass per bedroom area were associated with higher mosquito abundance (</w:t>
      </w:r>
      <w:proofErr w:type="spellStart"/>
      <w:r w:rsidRPr="006B3721">
        <w:rPr>
          <w:rFonts w:ascii="Times New Roman" w:eastAsia="Times New Roman" w:hAnsi="Times New Roman" w:cs="Times New Roman"/>
          <w:kern w:val="0"/>
          <w:sz w:val="24"/>
          <w:szCs w:val="24"/>
          <w:shd w:val="clear" w:color="auto" w:fill="FFFFFF"/>
          <w:lang w:eastAsia="en-US"/>
        </w:rPr>
        <w:t>Pålsson</w:t>
      </w:r>
      <w:r w:rsidRPr="006B3721">
        <w:rPr>
          <w:rFonts w:ascii="Times New Roman" w:eastAsia="Times New Roman" w:hAnsi="Times New Roman" w:cs="Times New Roman"/>
          <w:i/>
          <w:kern w:val="0"/>
          <w:sz w:val="24"/>
          <w:szCs w:val="24"/>
          <w:shd w:val="clear" w:color="auto" w:fill="FFFFFF"/>
          <w:lang w:eastAsia="en-US"/>
        </w:rPr>
        <w:t>et</w:t>
      </w:r>
      <w:proofErr w:type="spellEnd"/>
      <w:r w:rsidRPr="006B3721">
        <w:rPr>
          <w:rFonts w:ascii="Times New Roman" w:eastAsia="Times New Roman" w:hAnsi="Times New Roman" w:cs="Times New Roman"/>
          <w:i/>
          <w:kern w:val="0"/>
          <w:sz w:val="24"/>
          <w:szCs w:val="24"/>
          <w:shd w:val="clear" w:color="auto" w:fill="FFFFFF"/>
          <w:lang w:eastAsia="en-US"/>
        </w:rPr>
        <w:t xml:space="preserve"> al.,</w:t>
      </w:r>
      <w:r w:rsidRPr="006B3721">
        <w:rPr>
          <w:rFonts w:ascii="Times New Roman" w:eastAsia="Times New Roman" w:hAnsi="Times New Roman" w:cs="Times New Roman"/>
          <w:kern w:val="0"/>
          <w:sz w:val="24"/>
          <w:szCs w:val="24"/>
          <w:shd w:val="clear" w:color="auto" w:fill="FFFFFF"/>
          <w:lang w:eastAsia="en-US"/>
        </w:rPr>
        <w:t xml:space="preserve"> 2004). In northern Benin, </w:t>
      </w:r>
      <w:r w:rsidRPr="006B3721">
        <w:rPr>
          <w:rFonts w:ascii="Times New Roman" w:eastAsia="Times New Roman" w:hAnsi="Times New Roman" w:cs="Times New Roman"/>
          <w:i/>
          <w:kern w:val="0"/>
          <w:sz w:val="24"/>
          <w:szCs w:val="24"/>
          <w:shd w:val="clear" w:color="auto" w:fill="FFFFFF"/>
          <w:lang w:eastAsia="en-US"/>
        </w:rPr>
        <w:t xml:space="preserve">An. </w:t>
      </w:r>
      <w:proofErr w:type="spellStart"/>
      <w:r w:rsidRPr="006B3721">
        <w:rPr>
          <w:rFonts w:ascii="Times New Roman" w:eastAsia="Times New Roman" w:hAnsi="Times New Roman" w:cs="Times New Roman"/>
          <w:i/>
          <w:kern w:val="0"/>
          <w:sz w:val="24"/>
          <w:szCs w:val="24"/>
          <w:shd w:val="clear" w:color="auto" w:fill="FFFFFF"/>
          <w:lang w:eastAsia="en-US"/>
        </w:rPr>
        <w:t>gambiae</w:t>
      </w:r>
      <w:r w:rsidRPr="006B3721">
        <w:rPr>
          <w:rFonts w:ascii="Times New Roman" w:eastAsia="Times New Roman" w:hAnsi="Times New Roman" w:cs="Times New Roman"/>
          <w:kern w:val="0"/>
          <w:sz w:val="24"/>
          <w:szCs w:val="24"/>
          <w:shd w:val="clear" w:color="auto" w:fill="FFFFFF"/>
          <w:lang w:eastAsia="en-US"/>
        </w:rPr>
        <w:t>s.l</w:t>
      </w:r>
      <w:proofErr w:type="spellEnd"/>
      <w:r w:rsidRPr="006B3721">
        <w:rPr>
          <w:rFonts w:ascii="Times New Roman" w:eastAsia="Times New Roman" w:hAnsi="Times New Roman" w:cs="Times New Roman"/>
          <w:kern w:val="0"/>
          <w:sz w:val="24"/>
          <w:szCs w:val="24"/>
          <w:shd w:val="clear" w:color="auto" w:fill="FFFFFF"/>
          <w:lang w:eastAsia="en-US"/>
        </w:rPr>
        <w:t xml:space="preserve">. displayed predominantly </w:t>
      </w:r>
      <w:proofErr w:type="spellStart"/>
      <w:r w:rsidRPr="006B3721">
        <w:rPr>
          <w:rFonts w:ascii="Times New Roman" w:eastAsia="Times New Roman" w:hAnsi="Times New Roman" w:cs="Times New Roman"/>
          <w:kern w:val="0"/>
          <w:sz w:val="24"/>
          <w:szCs w:val="24"/>
          <w:shd w:val="clear" w:color="auto" w:fill="FFFFFF"/>
          <w:lang w:eastAsia="en-US"/>
        </w:rPr>
        <w:t>endophagic</w:t>
      </w:r>
      <w:proofErr w:type="spellEnd"/>
      <w:r w:rsidRPr="006B3721">
        <w:rPr>
          <w:rFonts w:ascii="Times New Roman" w:eastAsia="Times New Roman" w:hAnsi="Times New Roman" w:cs="Times New Roman"/>
          <w:kern w:val="0"/>
          <w:sz w:val="24"/>
          <w:szCs w:val="24"/>
          <w:shd w:val="clear" w:color="auto" w:fill="FFFFFF"/>
          <w:lang w:eastAsia="en-US"/>
        </w:rPr>
        <w:t xml:space="preserve"> behavior and higher blood feeding rates in rural areas compared to urban settings, suggesting rural environments support greater indoor mosquito populations (</w:t>
      </w:r>
      <w:proofErr w:type="spellStart"/>
      <w:r w:rsidRPr="006B3721">
        <w:rPr>
          <w:rFonts w:ascii="Times New Roman" w:eastAsia="Times New Roman" w:hAnsi="Times New Roman" w:cs="Times New Roman"/>
          <w:kern w:val="0"/>
          <w:sz w:val="24"/>
          <w:szCs w:val="24"/>
          <w:shd w:val="clear" w:color="auto" w:fill="FFFFFF"/>
          <w:lang w:eastAsia="en-US"/>
        </w:rPr>
        <w:t>Salako</w:t>
      </w:r>
      <w:r w:rsidRPr="006B3721">
        <w:rPr>
          <w:rFonts w:ascii="Times New Roman" w:eastAsia="Times New Roman" w:hAnsi="Times New Roman" w:cs="Times New Roman"/>
          <w:i/>
          <w:kern w:val="0"/>
          <w:sz w:val="24"/>
          <w:szCs w:val="24"/>
          <w:shd w:val="clear" w:color="auto" w:fill="FFFFFF"/>
          <w:lang w:eastAsia="en-US"/>
        </w:rPr>
        <w:t>et</w:t>
      </w:r>
      <w:proofErr w:type="spellEnd"/>
      <w:r w:rsidRPr="006B3721">
        <w:rPr>
          <w:rFonts w:ascii="Times New Roman" w:eastAsia="Times New Roman" w:hAnsi="Times New Roman" w:cs="Times New Roman"/>
          <w:i/>
          <w:kern w:val="0"/>
          <w:sz w:val="24"/>
          <w:szCs w:val="24"/>
          <w:shd w:val="clear" w:color="auto" w:fill="FFFFFF"/>
          <w:lang w:eastAsia="en-US"/>
        </w:rPr>
        <w:t xml:space="preserve"> al.,</w:t>
      </w:r>
      <w:r w:rsidRPr="006B3721">
        <w:rPr>
          <w:rFonts w:ascii="Times New Roman" w:eastAsia="Times New Roman" w:hAnsi="Times New Roman" w:cs="Times New Roman"/>
          <w:kern w:val="0"/>
          <w:sz w:val="24"/>
          <w:szCs w:val="24"/>
          <w:shd w:val="clear" w:color="auto" w:fill="FFFFFF"/>
          <w:lang w:eastAsia="en-US"/>
        </w:rPr>
        <w:t xml:space="preserve"> 2019).</w:t>
      </w:r>
    </w:p>
    <w:p w14:paraId="74654C3F"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Feeding characteristics of </w:t>
      </w:r>
      <w:proofErr w:type="spellStart"/>
      <w:r w:rsidRPr="006B3721">
        <w:rPr>
          <w:rFonts w:ascii="Times New Roman" w:hAnsi="Times New Roman" w:cs="Times New Roman"/>
          <w:b/>
          <w:bCs/>
          <w:i/>
          <w:iCs/>
          <w:sz w:val="24"/>
          <w:szCs w:val="24"/>
        </w:rPr>
        <w:t>Anophelesgambiae</w:t>
      </w:r>
      <w:proofErr w:type="spellEnd"/>
      <w:r w:rsidRPr="006B3721">
        <w:rPr>
          <w:rFonts w:ascii="Times New Roman" w:hAnsi="Times New Roman" w:cs="Times New Roman"/>
          <w:b/>
          <w:bCs/>
          <w:i/>
          <w:iCs/>
          <w:sz w:val="24"/>
          <w:szCs w:val="24"/>
        </w:rPr>
        <w:t xml:space="preserve"> </w:t>
      </w:r>
      <w:r w:rsidRPr="006B3721">
        <w:rPr>
          <w:rFonts w:ascii="Times New Roman" w:hAnsi="Times New Roman" w:cs="Times New Roman"/>
          <w:b/>
          <w:bCs/>
          <w:sz w:val="24"/>
          <w:szCs w:val="24"/>
        </w:rPr>
        <w:t>mosquitoes</w:t>
      </w:r>
    </w:p>
    <w:p w14:paraId="6D2AFCAD"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lastRenderedPageBreak/>
        <w:t xml:space="preserve">The overall feeding characteristics of </w:t>
      </w:r>
      <w:r w:rsidRPr="006B3721">
        <w:rPr>
          <w:rFonts w:ascii="Times New Roman" w:hAnsi="Times New Roman" w:cs="Times New Roman"/>
          <w:i/>
          <w:sz w:val="24"/>
          <w:szCs w:val="24"/>
        </w:rPr>
        <w:t xml:space="preserve">An. gambiae </w:t>
      </w:r>
      <w:r w:rsidRPr="006B3721">
        <w:rPr>
          <w:rFonts w:ascii="Times New Roman" w:hAnsi="Times New Roman" w:cs="Times New Roman"/>
          <w:sz w:val="24"/>
          <w:szCs w:val="24"/>
        </w:rPr>
        <w:t xml:space="preserve">mosquitoes in selected communities, Delta State is shown in Figure 4. There were more blood fed mosquitoes in this study and this was highest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(172 mosquitoes). This was closely followed by the blood fed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(127) and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(99). Gravid mosquitoes followed the feeding characteristics as there were high gravid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(55) and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(54). The other feeding characteristics were low. However, Half-fed mosquitoes were higher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(34), half-gravid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(39), and unfed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(38). The difference between the feeding characteristics of mosquitoes in the selected communities was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19.23; p= 0.00011).</w:t>
      </w:r>
    </w:p>
    <w:p w14:paraId="252C795A"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Monthly variation in feeding characteristics of </w:t>
      </w:r>
      <w:r w:rsidRPr="006B3721">
        <w:rPr>
          <w:rFonts w:ascii="Times New Roman" w:hAnsi="Times New Roman" w:cs="Times New Roman"/>
          <w:i/>
          <w:sz w:val="24"/>
          <w:szCs w:val="24"/>
        </w:rPr>
        <w:t>An. gambiae</w:t>
      </w:r>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Delta State is shown in Figure </w:t>
      </w:r>
      <w:r w:rsidR="002263B4" w:rsidRPr="006B3721">
        <w:rPr>
          <w:rFonts w:ascii="Times New Roman" w:hAnsi="Times New Roman" w:cs="Times New Roman"/>
          <w:sz w:val="24"/>
          <w:szCs w:val="24"/>
        </w:rPr>
        <w:t>5</w:t>
      </w:r>
      <w:r w:rsidRPr="006B3721">
        <w:rPr>
          <w:rFonts w:ascii="Times New Roman" w:hAnsi="Times New Roman" w:cs="Times New Roman"/>
          <w:sz w:val="24"/>
          <w:szCs w:val="24"/>
        </w:rPr>
        <w:t xml:space="preserve">. Blood fed mosquitoes were the highest recorded in all the sampled months except in January whereby mosquito abundance was zero. The highest blood fed mosquitoes were encountered in July (48). This is closely followed by those in March (28). The difference between the feeding characteristics of mosquitoes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was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xml:space="preserve">= 7.369; p= 0.00015). Similar trend of feeding characteristics was observed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(Figure </w:t>
      </w:r>
      <w:r w:rsidR="002263B4" w:rsidRPr="006B3721">
        <w:rPr>
          <w:rFonts w:ascii="Times New Roman" w:hAnsi="Times New Roman" w:cs="Times New Roman"/>
          <w:sz w:val="24"/>
          <w:szCs w:val="24"/>
        </w:rPr>
        <w:t>6</w:t>
      </w:r>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(Figure </w:t>
      </w:r>
      <w:r w:rsidR="002263B4" w:rsidRPr="006B3721">
        <w:rPr>
          <w:rFonts w:ascii="Times New Roman" w:hAnsi="Times New Roman" w:cs="Times New Roman"/>
          <w:sz w:val="24"/>
          <w:szCs w:val="24"/>
        </w:rPr>
        <w:t>7</w:t>
      </w:r>
      <w:r w:rsidRPr="006B3721">
        <w:rPr>
          <w:rFonts w:ascii="Times New Roman" w:hAnsi="Times New Roman" w:cs="Times New Roman"/>
          <w:sz w:val="24"/>
          <w:szCs w:val="24"/>
        </w:rPr>
        <w:t xml:space="preserve">). The difference between the feeding characteristics of mosquitoes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was significant respectively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4.268 and 5.996; p= 0.0057 and 0.00071).</w:t>
      </w:r>
    </w:p>
    <w:p w14:paraId="363838F4" w14:textId="77777777" w:rsidR="008F1E71" w:rsidRPr="006B3721" w:rsidRDefault="008F1E71" w:rsidP="00F70E40">
      <w:pPr>
        <w:spacing w:line="360" w:lineRule="auto"/>
        <w:jc w:val="both"/>
        <w:rPr>
          <w:rFonts w:ascii="Times New Roman" w:hAnsi="Times New Roman" w:cs="Times New Roman"/>
          <w:sz w:val="24"/>
          <w:szCs w:val="24"/>
        </w:rPr>
      </w:pPr>
    </w:p>
    <w:p w14:paraId="25EDB884" w14:textId="77777777" w:rsidR="008F1E71" w:rsidRPr="006B3721" w:rsidRDefault="008F1E71" w:rsidP="00F70E40">
      <w:pPr>
        <w:spacing w:line="360" w:lineRule="auto"/>
        <w:jc w:val="both"/>
        <w:rPr>
          <w:rFonts w:ascii="Times New Roman" w:hAnsi="Times New Roman" w:cs="Times New Roman"/>
          <w:sz w:val="24"/>
          <w:szCs w:val="24"/>
        </w:rPr>
      </w:pPr>
    </w:p>
    <w:p w14:paraId="2BCC6B8F" w14:textId="77777777" w:rsidR="008F1E71" w:rsidRPr="006B3721" w:rsidRDefault="008F1E71" w:rsidP="00F70E40">
      <w:pPr>
        <w:spacing w:line="360" w:lineRule="auto"/>
        <w:rPr>
          <w:rFonts w:ascii="Times New Roman" w:hAnsi="Times New Roman" w:cs="Times New Roman"/>
          <w:b/>
          <w:bCs/>
          <w:sz w:val="24"/>
          <w:szCs w:val="24"/>
        </w:rPr>
      </w:pPr>
    </w:p>
    <w:p w14:paraId="5C470AFD"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62A5C5A8" wp14:editId="0C9CA01E">
            <wp:extent cx="4572000" cy="2743200"/>
            <wp:effectExtent l="0" t="0" r="0" b="0"/>
            <wp:docPr id="2132535801" name="Chart 3">
              <a:extLst xmlns:a="http://schemas.openxmlformats.org/drawingml/2006/main">
                <a:ext uri="{FF2B5EF4-FFF2-40B4-BE49-F238E27FC236}">
                  <a16:creationId xmlns:a16="http://schemas.microsoft.com/office/drawing/2014/main" id="{E5CE7679-BBCB-4108-B73B-FC6C070390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7D750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Fig. </w:t>
      </w:r>
      <w:proofErr w:type="gramStart"/>
      <w:r w:rsidRPr="006B3721">
        <w:rPr>
          <w:rFonts w:ascii="Times New Roman" w:hAnsi="Times New Roman" w:cs="Times New Roman"/>
          <w:b/>
          <w:bCs/>
          <w:sz w:val="24"/>
          <w:szCs w:val="24"/>
        </w:rPr>
        <w:t>4.</w:t>
      </w:r>
      <w:r w:rsidRPr="006B3721">
        <w:rPr>
          <w:rFonts w:ascii="Times New Roman" w:hAnsi="Times New Roman" w:cs="Times New Roman"/>
          <w:sz w:val="24"/>
          <w:szCs w:val="24"/>
        </w:rPr>
        <w:t>Overall</w:t>
      </w:r>
      <w:proofErr w:type="gramEnd"/>
      <w:r w:rsidRPr="006B3721">
        <w:rPr>
          <w:rFonts w:ascii="Times New Roman" w:hAnsi="Times New Roman" w:cs="Times New Roman"/>
          <w:sz w:val="24"/>
          <w:szCs w:val="24"/>
        </w:rPr>
        <w:t xml:space="preserve"> feeding characteristics of </w:t>
      </w:r>
      <w:r w:rsidRPr="006B3721">
        <w:rPr>
          <w:rFonts w:ascii="Times New Roman" w:hAnsi="Times New Roman" w:cs="Times New Roman"/>
          <w:i/>
          <w:iCs/>
          <w:sz w:val="24"/>
          <w:szCs w:val="24"/>
        </w:rPr>
        <w:t>Anopheles gambiae</w:t>
      </w:r>
      <w:r w:rsidRPr="006B3721">
        <w:rPr>
          <w:rFonts w:ascii="Times New Roman" w:hAnsi="Times New Roman" w:cs="Times New Roman"/>
          <w:sz w:val="24"/>
          <w:szCs w:val="24"/>
        </w:rPr>
        <w:t xml:space="preserve"> mosquitoes </w:t>
      </w:r>
      <w:proofErr w:type="spellStart"/>
      <w:r w:rsidRPr="006B3721">
        <w:rPr>
          <w:rFonts w:ascii="Times New Roman" w:hAnsi="Times New Roman" w:cs="Times New Roman"/>
          <w:sz w:val="24"/>
          <w:szCs w:val="24"/>
        </w:rPr>
        <w:t>inselected</w:t>
      </w:r>
      <w:proofErr w:type="spellEnd"/>
      <w:r w:rsidRPr="006B3721">
        <w:rPr>
          <w:rFonts w:ascii="Times New Roman" w:hAnsi="Times New Roman" w:cs="Times New Roman"/>
          <w:sz w:val="24"/>
          <w:szCs w:val="24"/>
        </w:rPr>
        <w:t xml:space="preserve"> communities, Delta State, Nigeria.</w:t>
      </w:r>
    </w:p>
    <w:p w14:paraId="63FFAE0A"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6FB74975" wp14:editId="6589EDEF">
            <wp:extent cx="4572000" cy="2743200"/>
            <wp:effectExtent l="0" t="0" r="0" b="0"/>
            <wp:docPr id="2132535802" name="Chart 5">
              <a:extLst xmlns:a="http://schemas.openxmlformats.org/drawingml/2006/main">
                <a:ext uri="{FF2B5EF4-FFF2-40B4-BE49-F238E27FC236}">
                  <a16:creationId xmlns:a16="http://schemas.microsoft.com/office/drawing/2014/main" id="{D131DFA2-0E74-4536-9148-E64F6C659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C49251"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sz w:val="24"/>
          <w:szCs w:val="24"/>
        </w:rPr>
        <w:t>Fig</w:t>
      </w:r>
      <w:r w:rsidR="002263B4" w:rsidRPr="006B3721">
        <w:rPr>
          <w:rFonts w:ascii="Times New Roman" w:hAnsi="Times New Roman" w:cs="Times New Roman"/>
          <w:b/>
          <w:sz w:val="24"/>
          <w:szCs w:val="24"/>
        </w:rPr>
        <w:t>ure5</w:t>
      </w:r>
      <w:r w:rsidRPr="006B3721">
        <w:rPr>
          <w:rFonts w:ascii="Times New Roman" w:hAnsi="Times New Roman" w:cs="Times New Roman"/>
          <w:b/>
          <w:sz w:val="24"/>
          <w:szCs w:val="24"/>
        </w:rPr>
        <w:t xml:space="preserve">. </w:t>
      </w:r>
      <w:r w:rsidRPr="006B3721">
        <w:rPr>
          <w:rFonts w:ascii="Times New Roman" w:hAnsi="Times New Roman" w:cs="Times New Roman"/>
          <w:sz w:val="24"/>
          <w:szCs w:val="24"/>
        </w:rPr>
        <w:t xml:space="preserve">Monthly variation of feeding characteristics </w:t>
      </w:r>
      <w:proofErr w:type="spellStart"/>
      <w:r w:rsidRPr="006B3721">
        <w:rPr>
          <w:rFonts w:ascii="Times New Roman" w:hAnsi="Times New Roman" w:cs="Times New Roman"/>
          <w:sz w:val="24"/>
          <w:szCs w:val="24"/>
        </w:rPr>
        <w:t>inEgbudu-Akah</w:t>
      </w:r>
      <w:proofErr w:type="spellEnd"/>
      <w:r w:rsidRPr="006B3721">
        <w:rPr>
          <w:rFonts w:ascii="Times New Roman" w:hAnsi="Times New Roman" w:cs="Times New Roman"/>
          <w:sz w:val="24"/>
          <w:szCs w:val="24"/>
        </w:rPr>
        <w:t xml:space="preserve"> communities, Delta State, Nigeria</w:t>
      </w:r>
    </w:p>
    <w:p w14:paraId="2A2E21B7" w14:textId="77777777" w:rsidR="008F1E71" w:rsidRPr="006B3721" w:rsidRDefault="008F1E71" w:rsidP="00F70E40">
      <w:pPr>
        <w:spacing w:line="360" w:lineRule="auto"/>
        <w:rPr>
          <w:rFonts w:ascii="Times New Roman" w:hAnsi="Times New Roman" w:cs="Times New Roman"/>
          <w:b/>
          <w:bCs/>
          <w:sz w:val="24"/>
          <w:szCs w:val="24"/>
        </w:rPr>
      </w:pPr>
    </w:p>
    <w:p w14:paraId="46D03FB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7779E155" wp14:editId="19C66F38">
            <wp:extent cx="4572000" cy="2743200"/>
            <wp:effectExtent l="0" t="0" r="0" b="0"/>
            <wp:docPr id="2132535803" name="Chart 6">
              <a:extLst xmlns:a="http://schemas.openxmlformats.org/drawingml/2006/main">
                <a:ext uri="{FF2B5EF4-FFF2-40B4-BE49-F238E27FC236}">
                  <a16:creationId xmlns:a16="http://schemas.microsoft.com/office/drawing/2014/main" id="{03F68053-6D8E-4585-99CC-AAC0CF9C5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2978AB"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2263B4" w:rsidRPr="006B3721">
        <w:rPr>
          <w:rFonts w:ascii="Times New Roman" w:hAnsi="Times New Roman" w:cs="Times New Roman"/>
          <w:b/>
          <w:bCs/>
          <w:sz w:val="24"/>
          <w:szCs w:val="24"/>
        </w:rPr>
        <w:t>ure6</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 xml:space="preserve">Monthly variation of feeding characteristics </w:t>
      </w:r>
      <w:proofErr w:type="spellStart"/>
      <w:r w:rsidRPr="006B3721">
        <w:rPr>
          <w:rFonts w:ascii="Times New Roman" w:hAnsi="Times New Roman" w:cs="Times New Roman"/>
          <w:sz w:val="24"/>
          <w:szCs w:val="24"/>
        </w:rPr>
        <w:t>inOwhelogbocommunities</w:t>
      </w:r>
      <w:proofErr w:type="spellEnd"/>
      <w:r w:rsidRPr="006B3721">
        <w:rPr>
          <w:rFonts w:ascii="Times New Roman" w:hAnsi="Times New Roman" w:cs="Times New Roman"/>
          <w:sz w:val="24"/>
          <w:szCs w:val="24"/>
        </w:rPr>
        <w:t>, Delta State, Nigeria</w:t>
      </w:r>
    </w:p>
    <w:p w14:paraId="58071781"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6CA57C33" wp14:editId="239AADF6">
            <wp:extent cx="4572000" cy="2743200"/>
            <wp:effectExtent l="0" t="0" r="0" b="0"/>
            <wp:docPr id="2132535804" name="Chart 20">
              <a:extLst xmlns:a="http://schemas.openxmlformats.org/drawingml/2006/main">
                <a:ext uri="{FF2B5EF4-FFF2-40B4-BE49-F238E27FC236}">
                  <a16:creationId xmlns:a16="http://schemas.microsoft.com/office/drawing/2014/main" id="{018D7F49-B8A5-425F-975D-B4A2F44B3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D927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2263B4" w:rsidRPr="006B3721">
        <w:rPr>
          <w:rFonts w:ascii="Times New Roman" w:hAnsi="Times New Roman" w:cs="Times New Roman"/>
          <w:b/>
          <w:bCs/>
          <w:sz w:val="24"/>
          <w:szCs w:val="24"/>
        </w:rPr>
        <w:t>ure 7</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 xml:space="preserve">Monthly variation of feeding characteristics </w:t>
      </w:r>
      <w:proofErr w:type="spellStart"/>
      <w:r w:rsidRPr="006B3721">
        <w:rPr>
          <w:rFonts w:ascii="Times New Roman" w:hAnsi="Times New Roman" w:cs="Times New Roman"/>
          <w:sz w:val="24"/>
          <w:szCs w:val="24"/>
        </w:rPr>
        <w:t>inAghalokpecommunities</w:t>
      </w:r>
      <w:proofErr w:type="spellEnd"/>
      <w:r w:rsidRPr="006B3721">
        <w:rPr>
          <w:rFonts w:ascii="Times New Roman" w:hAnsi="Times New Roman" w:cs="Times New Roman"/>
          <w:sz w:val="24"/>
          <w:szCs w:val="24"/>
        </w:rPr>
        <w:t>, Delta State, Nigeria</w:t>
      </w:r>
    </w:p>
    <w:p w14:paraId="4088E0EE" w14:textId="77777777" w:rsidR="008F1E71" w:rsidRPr="006B3721" w:rsidRDefault="00192035" w:rsidP="00F70E40">
      <w:pPr>
        <w:spacing w:line="360" w:lineRule="auto"/>
        <w:rPr>
          <w:rFonts w:ascii="Times New Roman" w:hAnsi="Times New Roman" w:cs="Times New Roman"/>
          <w:sz w:val="24"/>
          <w:szCs w:val="24"/>
        </w:rPr>
      </w:pPr>
      <w:r w:rsidRPr="006B3721">
        <w:rPr>
          <w:rFonts w:ascii="Times New Roman" w:hAnsi="Times New Roman" w:cs="Times New Roman"/>
          <w:sz w:val="24"/>
          <w:szCs w:val="24"/>
        </w:rPr>
        <w:t xml:space="preserve"> Recent studies confirm strong anthropophilic tendencies, with humans comprising 45.8% of blood meal sources, though opportunistic feeding on multiple hosts occurs (Ajayi </w:t>
      </w:r>
      <w:r w:rsidRPr="006B3721">
        <w:rPr>
          <w:rFonts w:ascii="Times New Roman" w:hAnsi="Times New Roman" w:cs="Times New Roman"/>
          <w:i/>
          <w:sz w:val="24"/>
          <w:szCs w:val="24"/>
        </w:rPr>
        <w:t>et al.,</w:t>
      </w:r>
      <w:r w:rsidRPr="006B3721">
        <w:rPr>
          <w:rFonts w:ascii="Times New Roman" w:hAnsi="Times New Roman" w:cs="Times New Roman"/>
          <w:sz w:val="24"/>
          <w:szCs w:val="24"/>
        </w:rPr>
        <w:t xml:space="preserve"> 2025). These feeding patterns contribute significantly to malaria transmission dynamics.</w:t>
      </w:r>
    </w:p>
    <w:p w14:paraId="5E29F468" w14:textId="77777777" w:rsidR="00D91899" w:rsidRPr="006B3721" w:rsidRDefault="00D91899" w:rsidP="00F70E40">
      <w:pPr>
        <w:spacing w:line="360" w:lineRule="auto"/>
        <w:rPr>
          <w:rFonts w:ascii="Times New Roman" w:hAnsi="Times New Roman" w:cs="Times New Roman"/>
          <w:b/>
          <w:bCs/>
          <w:sz w:val="24"/>
          <w:szCs w:val="24"/>
        </w:rPr>
      </w:pPr>
    </w:p>
    <w:p w14:paraId="0A9233D8"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lastRenderedPageBreak/>
        <w:t>Indoor resting density</w:t>
      </w:r>
    </w:p>
    <w:p w14:paraId="25DB94D3"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indoor resting density of </w:t>
      </w:r>
      <w:r w:rsidRPr="006B3721">
        <w:rPr>
          <w:rFonts w:ascii="Times New Roman" w:hAnsi="Times New Roman" w:cs="Times New Roman"/>
          <w:i/>
          <w:sz w:val="24"/>
          <w:szCs w:val="24"/>
        </w:rPr>
        <w:t xml:space="preserve">An. gambiae </w:t>
      </w:r>
      <w:r w:rsidRPr="006B3721">
        <w:rPr>
          <w:rFonts w:ascii="Times New Roman" w:hAnsi="Times New Roman" w:cs="Times New Roman"/>
          <w:sz w:val="24"/>
          <w:szCs w:val="24"/>
        </w:rPr>
        <w:t xml:space="preserve">mosquitoes in selected communities, Delta State is shown in Figure </w:t>
      </w:r>
      <w:proofErr w:type="gramStart"/>
      <w:r w:rsidR="003E13C8" w:rsidRPr="006B3721">
        <w:rPr>
          <w:rFonts w:ascii="Times New Roman" w:hAnsi="Times New Roman" w:cs="Times New Roman"/>
          <w:sz w:val="24"/>
          <w:szCs w:val="24"/>
        </w:rPr>
        <w:t>8</w:t>
      </w:r>
      <w:r w:rsidRPr="006B3721">
        <w:rPr>
          <w:rFonts w:ascii="Times New Roman" w:hAnsi="Times New Roman" w:cs="Times New Roman"/>
          <w:sz w:val="24"/>
          <w:szCs w:val="24"/>
        </w:rPr>
        <w:t>.The</w:t>
      </w:r>
      <w:proofErr w:type="gramEnd"/>
      <w:r w:rsidRPr="006B3721">
        <w:rPr>
          <w:rFonts w:ascii="Times New Roman" w:hAnsi="Times New Roman" w:cs="Times New Roman"/>
          <w:sz w:val="24"/>
          <w:szCs w:val="24"/>
        </w:rPr>
        <w:t xml:space="preserve"> highest indoor resting density of mosquitoes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(6.771) and this was closely followed by the resting density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(5.604). The resting density recorded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the least (2.104).</w:t>
      </w:r>
    </w:p>
    <w:p w14:paraId="73E934B2"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Monthly variation in indoor resting density of </w:t>
      </w:r>
      <w:r w:rsidRPr="006B3721">
        <w:rPr>
          <w:rFonts w:ascii="Times New Roman" w:hAnsi="Times New Roman" w:cs="Times New Roman"/>
          <w:i/>
          <w:sz w:val="24"/>
          <w:szCs w:val="24"/>
        </w:rPr>
        <w:t>An. gambiae</w:t>
      </w:r>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community, Delta State is shown in Figure </w:t>
      </w:r>
      <w:r w:rsidR="003E13C8" w:rsidRPr="006B3721">
        <w:rPr>
          <w:rFonts w:ascii="Times New Roman" w:hAnsi="Times New Roman" w:cs="Times New Roman"/>
          <w:sz w:val="24"/>
          <w:szCs w:val="24"/>
        </w:rPr>
        <w:t>9</w:t>
      </w:r>
      <w:r w:rsidRPr="006B3721">
        <w:rPr>
          <w:rFonts w:ascii="Times New Roman" w:hAnsi="Times New Roman" w:cs="Times New Roman"/>
          <w:sz w:val="24"/>
          <w:szCs w:val="24"/>
        </w:rPr>
        <w:t>, 1</w:t>
      </w:r>
      <w:r w:rsidR="003E13C8" w:rsidRPr="006B3721">
        <w:rPr>
          <w:rFonts w:ascii="Times New Roman" w:hAnsi="Times New Roman" w:cs="Times New Roman"/>
          <w:sz w:val="24"/>
          <w:szCs w:val="24"/>
        </w:rPr>
        <w:t>0</w:t>
      </w:r>
      <w:r w:rsidRPr="006B3721">
        <w:rPr>
          <w:rFonts w:ascii="Times New Roman" w:hAnsi="Times New Roman" w:cs="Times New Roman"/>
          <w:sz w:val="24"/>
          <w:szCs w:val="24"/>
        </w:rPr>
        <w:t xml:space="preserve"> and </w:t>
      </w:r>
      <w:r w:rsidR="003E13C8" w:rsidRPr="006B3721">
        <w:rPr>
          <w:rFonts w:ascii="Times New Roman" w:hAnsi="Times New Roman" w:cs="Times New Roman"/>
          <w:sz w:val="24"/>
          <w:szCs w:val="24"/>
        </w:rPr>
        <w:t>11</w:t>
      </w:r>
      <w:r w:rsidRPr="006B3721">
        <w:rPr>
          <w:rFonts w:ascii="Times New Roman" w:hAnsi="Times New Roman" w:cs="Times New Roman"/>
          <w:sz w:val="24"/>
          <w:szCs w:val="24"/>
        </w:rPr>
        <w:t xml:space="preserve"> respectively. The highest indoor resting densities of the respective sampled communities were recorded in July (1.60, 1.33, and 1.50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communities respectively). This was closely followed by resting densities in September and March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respectively while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it was in March and September. January had the lowest resting density. The difference between the indoor resting densities in the selected community was not significant (FANOVA= 0.518; </w:t>
      </w:r>
      <w:r w:rsidRPr="006B3721">
        <w:rPr>
          <w:rFonts w:ascii="Times New Roman" w:hAnsi="Times New Roman" w:cs="Times New Roman"/>
          <w:i/>
          <w:iCs/>
          <w:sz w:val="24"/>
          <w:szCs w:val="24"/>
        </w:rPr>
        <w:t>p</w:t>
      </w:r>
      <w:r w:rsidRPr="006B3721">
        <w:rPr>
          <w:rFonts w:ascii="Times New Roman" w:hAnsi="Times New Roman" w:cs="Times New Roman"/>
          <w:sz w:val="24"/>
          <w:szCs w:val="24"/>
        </w:rPr>
        <w:t xml:space="preserve">= 0.602). </w:t>
      </w:r>
    </w:p>
    <w:p w14:paraId="54978CE5" w14:textId="77777777" w:rsidR="008F1E71" w:rsidRPr="006B3721" w:rsidRDefault="008F1E71" w:rsidP="00F70E40">
      <w:pPr>
        <w:spacing w:line="360" w:lineRule="auto"/>
        <w:jc w:val="both"/>
        <w:rPr>
          <w:rFonts w:ascii="Times New Roman" w:hAnsi="Times New Roman" w:cs="Times New Roman"/>
          <w:sz w:val="24"/>
          <w:szCs w:val="24"/>
        </w:rPr>
      </w:pPr>
    </w:p>
    <w:p w14:paraId="55050D53" w14:textId="77777777" w:rsidR="008F1E71" w:rsidRPr="006B3721" w:rsidRDefault="008F1E71" w:rsidP="00F70E40">
      <w:pPr>
        <w:spacing w:line="360" w:lineRule="auto"/>
        <w:jc w:val="both"/>
        <w:rPr>
          <w:rFonts w:ascii="Times New Roman" w:hAnsi="Times New Roman" w:cs="Times New Roman"/>
          <w:sz w:val="24"/>
          <w:szCs w:val="24"/>
        </w:rPr>
      </w:pPr>
    </w:p>
    <w:p w14:paraId="3DDD04B7" w14:textId="77777777" w:rsidR="008F1E71" w:rsidRPr="006B3721" w:rsidRDefault="008F1E71" w:rsidP="00F70E40">
      <w:pPr>
        <w:spacing w:line="360" w:lineRule="auto"/>
        <w:jc w:val="both"/>
        <w:rPr>
          <w:rFonts w:ascii="Times New Roman" w:hAnsi="Times New Roman" w:cs="Times New Roman"/>
          <w:sz w:val="24"/>
          <w:szCs w:val="24"/>
        </w:rPr>
      </w:pPr>
    </w:p>
    <w:p w14:paraId="630AB8F8" w14:textId="77777777" w:rsidR="008F1E71" w:rsidRPr="006B3721" w:rsidRDefault="008F1E71" w:rsidP="00F70E40">
      <w:pPr>
        <w:spacing w:line="360" w:lineRule="auto"/>
        <w:jc w:val="both"/>
        <w:rPr>
          <w:rFonts w:ascii="Times New Roman" w:hAnsi="Times New Roman" w:cs="Times New Roman"/>
          <w:sz w:val="24"/>
          <w:szCs w:val="24"/>
        </w:rPr>
      </w:pPr>
    </w:p>
    <w:p w14:paraId="2D66EFCA" w14:textId="77777777" w:rsidR="008F1E71" w:rsidRPr="006B3721" w:rsidRDefault="008F1E71" w:rsidP="00F70E40">
      <w:pPr>
        <w:spacing w:line="360" w:lineRule="auto"/>
        <w:jc w:val="both"/>
        <w:rPr>
          <w:rFonts w:ascii="Times New Roman" w:hAnsi="Times New Roman" w:cs="Times New Roman"/>
          <w:sz w:val="24"/>
          <w:szCs w:val="24"/>
        </w:rPr>
      </w:pPr>
    </w:p>
    <w:p w14:paraId="6109EF39" w14:textId="77777777" w:rsidR="008F1E71" w:rsidRPr="006B3721" w:rsidRDefault="008F1E71" w:rsidP="00F70E40">
      <w:pPr>
        <w:spacing w:line="360" w:lineRule="auto"/>
        <w:jc w:val="both"/>
        <w:rPr>
          <w:rFonts w:ascii="Times New Roman" w:hAnsi="Times New Roman" w:cs="Times New Roman"/>
          <w:sz w:val="24"/>
          <w:szCs w:val="24"/>
        </w:rPr>
      </w:pPr>
    </w:p>
    <w:p w14:paraId="552B4B8D" w14:textId="77777777" w:rsidR="008F1E71" w:rsidRPr="006B3721" w:rsidRDefault="008F1E71" w:rsidP="00F70E40">
      <w:pPr>
        <w:spacing w:line="360" w:lineRule="auto"/>
        <w:jc w:val="both"/>
        <w:rPr>
          <w:rFonts w:ascii="Times New Roman" w:hAnsi="Times New Roman" w:cs="Times New Roman"/>
          <w:sz w:val="24"/>
          <w:szCs w:val="24"/>
        </w:rPr>
      </w:pPr>
    </w:p>
    <w:p w14:paraId="78FE4500" w14:textId="77777777" w:rsidR="008F1E71" w:rsidRPr="006B3721" w:rsidRDefault="008F1E71" w:rsidP="00F70E40">
      <w:pPr>
        <w:spacing w:line="360" w:lineRule="auto"/>
        <w:jc w:val="both"/>
        <w:rPr>
          <w:rFonts w:ascii="Times New Roman" w:hAnsi="Times New Roman" w:cs="Times New Roman"/>
          <w:sz w:val="24"/>
          <w:szCs w:val="24"/>
        </w:rPr>
      </w:pPr>
    </w:p>
    <w:p w14:paraId="4DA9F69A" w14:textId="77777777" w:rsidR="008F1E71" w:rsidRPr="006B3721" w:rsidRDefault="008F1E71" w:rsidP="00F70E40">
      <w:pPr>
        <w:spacing w:line="360" w:lineRule="auto"/>
        <w:rPr>
          <w:rFonts w:ascii="Times New Roman" w:hAnsi="Times New Roman" w:cs="Times New Roman"/>
          <w:b/>
          <w:bCs/>
          <w:sz w:val="24"/>
          <w:szCs w:val="24"/>
        </w:rPr>
      </w:pPr>
    </w:p>
    <w:p w14:paraId="0C66577A"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00106C8B" wp14:editId="1120D07D">
            <wp:extent cx="4572000" cy="2743200"/>
            <wp:effectExtent l="0" t="0" r="0" b="0"/>
            <wp:docPr id="2132535805" name="Chart 9">
              <a:extLst xmlns:a="http://schemas.openxmlformats.org/drawingml/2006/main">
                <a:ext uri="{FF2B5EF4-FFF2-40B4-BE49-F238E27FC236}">
                  <a16:creationId xmlns:a16="http://schemas.microsoft.com/office/drawing/2014/main" id="{10ED0637-2F4F-433C-9F04-2961D687C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369B84"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 xml:space="preserve">ure </w:t>
      </w:r>
      <w:proofErr w:type="gramStart"/>
      <w:r w:rsidR="003E13C8" w:rsidRPr="006B3721">
        <w:rPr>
          <w:rFonts w:ascii="Times New Roman" w:hAnsi="Times New Roman" w:cs="Times New Roman"/>
          <w:b/>
          <w:bCs/>
          <w:sz w:val="24"/>
          <w:szCs w:val="24"/>
        </w:rPr>
        <w:t>8</w:t>
      </w:r>
      <w:r w:rsidRPr="006B3721">
        <w:rPr>
          <w:rFonts w:ascii="Times New Roman" w:hAnsi="Times New Roman" w:cs="Times New Roman"/>
          <w:sz w:val="24"/>
          <w:szCs w:val="24"/>
        </w:rPr>
        <w:t>.Indoor</w:t>
      </w:r>
      <w:proofErr w:type="gramEnd"/>
      <w:r w:rsidRPr="006B3721">
        <w:rPr>
          <w:rFonts w:ascii="Times New Roman" w:hAnsi="Times New Roman" w:cs="Times New Roman"/>
          <w:sz w:val="24"/>
          <w:szCs w:val="24"/>
        </w:rPr>
        <w:t xml:space="preserve"> resting density of mosquitoes in selected communities, Delta State.</w:t>
      </w:r>
    </w:p>
    <w:p w14:paraId="42F8F9A2"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32EB0389" wp14:editId="7CF361C5">
            <wp:extent cx="4572000" cy="2743200"/>
            <wp:effectExtent l="0" t="0" r="0" b="0"/>
            <wp:docPr id="2132535806" name="Chart 10">
              <a:extLst xmlns:a="http://schemas.openxmlformats.org/drawingml/2006/main">
                <a:ext uri="{FF2B5EF4-FFF2-40B4-BE49-F238E27FC236}">
                  <a16:creationId xmlns:a16="http://schemas.microsoft.com/office/drawing/2014/main" id="{71A7FAE3-BE83-46A0-95C2-E8AD5C6BE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8D9E28"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ure 9</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w:t>
      </w:r>
      <w:proofErr w:type="spellStart"/>
      <w:r w:rsidRPr="006B3721">
        <w:rPr>
          <w:rFonts w:ascii="Times New Roman" w:hAnsi="Times New Roman" w:cs="Times New Roman"/>
          <w:sz w:val="24"/>
          <w:szCs w:val="24"/>
        </w:rPr>
        <w:t>inEgbudu-Akahcommunities</w:t>
      </w:r>
      <w:proofErr w:type="spellEnd"/>
      <w:r w:rsidRPr="006B3721">
        <w:rPr>
          <w:rFonts w:ascii="Times New Roman" w:hAnsi="Times New Roman" w:cs="Times New Roman"/>
          <w:sz w:val="24"/>
          <w:szCs w:val="24"/>
        </w:rPr>
        <w:t>, Delta State, Nigeria</w:t>
      </w:r>
    </w:p>
    <w:p w14:paraId="27F94A5C" w14:textId="77777777" w:rsidR="008F1E71" w:rsidRPr="006B3721" w:rsidRDefault="008F1E71" w:rsidP="00F70E40">
      <w:pPr>
        <w:spacing w:line="360" w:lineRule="auto"/>
        <w:rPr>
          <w:rFonts w:ascii="Times New Roman" w:hAnsi="Times New Roman" w:cs="Times New Roman"/>
          <w:b/>
          <w:bCs/>
          <w:sz w:val="24"/>
          <w:szCs w:val="24"/>
        </w:rPr>
      </w:pPr>
    </w:p>
    <w:p w14:paraId="21A67F7E"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1FFAC9BD" wp14:editId="731A2535">
            <wp:extent cx="4572000" cy="2743200"/>
            <wp:effectExtent l="0" t="0" r="0" b="0"/>
            <wp:docPr id="2132535807" name="Chart 11">
              <a:extLst xmlns:a="http://schemas.openxmlformats.org/drawingml/2006/main">
                <a:ext uri="{FF2B5EF4-FFF2-40B4-BE49-F238E27FC236}">
                  <a16:creationId xmlns:a16="http://schemas.microsoft.com/office/drawing/2014/main" id="{108B49F8-BC94-47C6-9CD8-FEA6E5BE0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75D6F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 xml:space="preserve">ure </w:t>
      </w:r>
      <w:r w:rsidRPr="006B3721">
        <w:rPr>
          <w:rFonts w:ascii="Times New Roman" w:hAnsi="Times New Roman" w:cs="Times New Roman"/>
          <w:b/>
          <w:bCs/>
          <w:sz w:val="24"/>
          <w:szCs w:val="24"/>
        </w:rPr>
        <w:t>1</w:t>
      </w:r>
      <w:r w:rsidR="003E13C8" w:rsidRPr="006B3721">
        <w:rPr>
          <w:rFonts w:ascii="Times New Roman" w:hAnsi="Times New Roman" w:cs="Times New Roman"/>
          <w:b/>
          <w:bCs/>
          <w:sz w:val="24"/>
          <w:szCs w:val="24"/>
        </w:rPr>
        <w:t>0</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w:t>
      </w:r>
      <w:proofErr w:type="spellStart"/>
      <w:r w:rsidRPr="006B3721">
        <w:rPr>
          <w:rFonts w:ascii="Times New Roman" w:hAnsi="Times New Roman" w:cs="Times New Roman"/>
          <w:sz w:val="24"/>
          <w:szCs w:val="24"/>
        </w:rPr>
        <w:t>inOwhelogbocommunities</w:t>
      </w:r>
      <w:proofErr w:type="spellEnd"/>
      <w:r w:rsidRPr="006B3721">
        <w:rPr>
          <w:rFonts w:ascii="Times New Roman" w:hAnsi="Times New Roman" w:cs="Times New Roman"/>
          <w:sz w:val="24"/>
          <w:szCs w:val="24"/>
        </w:rPr>
        <w:t>, Delta State, Nigeria</w:t>
      </w:r>
    </w:p>
    <w:p w14:paraId="42C4CBE6"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4D126261" wp14:editId="55551474">
            <wp:extent cx="4572000" cy="2743200"/>
            <wp:effectExtent l="0" t="0" r="0" b="0"/>
            <wp:docPr id="2132535808" name="Chart 12">
              <a:extLst xmlns:a="http://schemas.openxmlformats.org/drawingml/2006/main">
                <a:ext uri="{FF2B5EF4-FFF2-40B4-BE49-F238E27FC236}">
                  <a16:creationId xmlns:a16="http://schemas.microsoft.com/office/drawing/2014/main" id="{9B9AB837-C6BF-4861-B997-961701F8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CF0E4C"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ure 11</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w:t>
      </w:r>
      <w:proofErr w:type="spellStart"/>
      <w:r w:rsidRPr="006B3721">
        <w:rPr>
          <w:rFonts w:ascii="Times New Roman" w:hAnsi="Times New Roman" w:cs="Times New Roman"/>
          <w:sz w:val="24"/>
          <w:szCs w:val="24"/>
        </w:rPr>
        <w:t>inAghalokpecommunities</w:t>
      </w:r>
      <w:proofErr w:type="spellEnd"/>
      <w:r w:rsidRPr="006B3721">
        <w:rPr>
          <w:rFonts w:ascii="Times New Roman" w:hAnsi="Times New Roman" w:cs="Times New Roman"/>
          <w:sz w:val="24"/>
          <w:szCs w:val="24"/>
        </w:rPr>
        <w:t>, Delta State, Nigeria</w:t>
      </w:r>
    </w:p>
    <w:p w14:paraId="2C6447FC" w14:textId="77777777" w:rsidR="008F1E71" w:rsidRPr="006B3721" w:rsidRDefault="00192035" w:rsidP="00221C7E">
      <w:pPr>
        <w:spacing w:line="360" w:lineRule="auto"/>
        <w:jc w:val="both"/>
        <w:rPr>
          <w:rFonts w:ascii="Times New Roman" w:hAnsi="Times New Roman" w:cs="Times New Roman"/>
          <w:b/>
          <w:bCs/>
          <w:sz w:val="24"/>
          <w:szCs w:val="24"/>
        </w:rPr>
      </w:pPr>
      <w:r w:rsidRPr="006B3721">
        <w:rPr>
          <w:rFonts w:ascii="Times New Roman" w:hAnsi="Times New Roman" w:cs="Times New Roman"/>
          <w:sz w:val="26"/>
          <w:szCs w:val="26"/>
          <w:shd w:val="clear" w:color="auto" w:fill="FFFFFF"/>
        </w:rPr>
        <w:t xml:space="preserve">Indoor resting density studies of Anopheles mosquitoes in Nigeria reveal significant spatial and temporal variations across different regions. In Anambra State, the overall mosquito indoor resting density was 1.2, with Anopheles density approximately 1.0, comprising 50.0% </w:t>
      </w:r>
      <w:r w:rsidRPr="006B3721">
        <w:rPr>
          <w:rFonts w:ascii="Times New Roman" w:hAnsi="Times New Roman" w:cs="Times New Roman"/>
          <w:i/>
          <w:sz w:val="26"/>
          <w:szCs w:val="26"/>
          <w:shd w:val="clear" w:color="auto" w:fill="FFFFFF"/>
        </w:rPr>
        <w:t>An. gambiae</w:t>
      </w:r>
      <w:r w:rsidRPr="006B3721">
        <w:rPr>
          <w:rFonts w:ascii="Times New Roman" w:hAnsi="Times New Roman" w:cs="Times New Roman"/>
          <w:sz w:val="26"/>
          <w:szCs w:val="26"/>
          <w:shd w:val="clear" w:color="auto" w:fill="FFFFFF"/>
        </w:rPr>
        <w:t xml:space="preserve"> and 35.7% </w:t>
      </w:r>
      <w:r w:rsidRPr="006B3721">
        <w:rPr>
          <w:rFonts w:ascii="Times New Roman" w:hAnsi="Times New Roman" w:cs="Times New Roman"/>
          <w:i/>
          <w:sz w:val="26"/>
          <w:szCs w:val="26"/>
          <w:shd w:val="clear" w:color="auto" w:fill="FFFFFF"/>
        </w:rPr>
        <w:t xml:space="preserve">An. </w:t>
      </w:r>
      <w:proofErr w:type="spellStart"/>
      <w:r w:rsidRPr="006B3721">
        <w:rPr>
          <w:rFonts w:ascii="Times New Roman" w:hAnsi="Times New Roman" w:cs="Times New Roman"/>
          <w:i/>
          <w:sz w:val="26"/>
          <w:szCs w:val="26"/>
          <w:shd w:val="clear" w:color="auto" w:fill="FFFFFF"/>
        </w:rPr>
        <w:t>funestus</w:t>
      </w:r>
      <w:proofErr w:type="spellEnd"/>
      <w:r w:rsidRPr="006B3721">
        <w:rPr>
          <w:rFonts w:ascii="Times New Roman" w:hAnsi="Times New Roman" w:cs="Times New Roman"/>
          <w:sz w:val="26"/>
          <w:szCs w:val="26"/>
          <w:shd w:val="clear" w:color="auto" w:fill="FFFFFF"/>
        </w:rPr>
        <w:t xml:space="preserve"> (</w:t>
      </w:r>
      <w:proofErr w:type="spellStart"/>
      <w:r w:rsidRPr="006B3721">
        <w:rPr>
          <w:rFonts w:ascii="Times New Roman" w:hAnsi="Times New Roman" w:cs="Times New Roman"/>
          <w:sz w:val="26"/>
          <w:szCs w:val="26"/>
          <w:shd w:val="clear" w:color="auto" w:fill="FFFFFF"/>
        </w:rPr>
        <w:t>Aribodor</w:t>
      </w:r>
      <w:r w:rsidRPr="006B3721">
        <w:rPr>
          <w:rFonts w:ascii="Times New Roman" w:hAnsi="Times New Roman" w:cs="Times New Roman"/>
          <w:i/>
          <w:sz w:val="26"/>
          <w:szCs w:val="26"/>
          <w:shd w:val="clear" w:color="auto" w:fill="FFFFFF"/>
        </w:rPr>
        <w:t>et</w:t>
      </w:r>
      <w:proofErr w:type="spellEnd"/>
      <w:r w:rsidRPr="006B3721">
        <w:rPr>
          <w:rFonts w:ascii="Times New Roman" w:hAnsi="Times New Roman" w:cs="Times New Roman"/>
          <w:i/>
          <w:sz w:val="26"/>
          <w:szCs w:val="26"/>
          <w:shd w:val="clear" w:color="auto" w:fill="FFFFFF"/>
        </w:rPr>
        <w:t xml:space="preserve"> al.,</w:t>
      </w:r>
      <w:r w:rsidRPr="006B3721">
        <w:rPr>
          <w:rFonts w:ascii="Times New Roman" w:hAnsi="Times New Roman" w:cs="Times New Roman"/>
          <w:sz w:val="26"/>
          <w:szCs w:val="26"/>
          <w:shd w:val="clear" w:color="auto" w:fill="FFFFFF"/>
        </w:rPr>
        <w:t xml:space="preserve"> 2011). In Taraba </w:t>
      </w:r>
      <w:r w:rsidRPr="006B3721">
        <w:rPr>
          <w:rFonts w:ascii="Times New Roman" w:hAnsi="Times New Roman" w:cs="Times New Roman"/>
          <w:sz w:val="26"/>
          <w:szCs w:val="26"/>
          <w:shd w:val="clear" w:color="auto" w:fill="FFFFFF"/>
        </w:rPr>
        <w:lastRenderedPageBreak/>
        <w:t xml:space="preserve">State, indoor resting densities were higher during wet season (1.38) compared to dry season (0.91), with An. gambiae being the predominant species at 51.0% (Lamidi </w:t>
      </w:r>
      <w:r w:rsidRPr="006B3721">
        <w:rPr>
          <w:rFonts w:ascii="Times New Roman" w:hAnsi="Times New Roman" w:cs="Times New Roman"/>
          <w:i/>
          <w:sz w:val="26"/>
          <w:szCs w:val="26"/>
          <w:shd w:val="clear" w:color="auto" w:fill="FFFFFF"/>
        </w:rPr>
        <w:t>et al.,</w:t>
      </w:r>
      <w:r w:rsidRPr="006B3721">
        <w:rPr>
          <w:rFonts w:ascii="Times New Roman" w:hAnsi="Times New Roman" w:cs="Times New Roman"/>
          <w:sz w:val="26"/>
          <w:szCs w:val="26"/>
          <w:shd w:val="clear" w:color="auto" w:fill="FFFFFF"/>
        </w:rPr>
        <w:t xml:space="preserve"> 2018). A comprehensive survey in Kano State identified 1,005 female mosquitoes across 21 species, showing significant seasonal and behavioral influences on density patterns (Abdullahi </w:t>
      </w:r>
      <w:r w:rsidRPr="006B3721">
        <w:rPr>
          <w:rFonts w:ascii="Times New Roman" w:hAnsi="Times New Roman" w:cs="Times New Roman"/>
          <w:i/>
          <w:sz w:val="26"/>
          <w:szCs w:val="26"/>
          <w:shd w:val="clear" w:color="auto" w:fill="FFFFFF"/>
        </w:rPr>
        <w:t>et al.,</w:t>
      </w:r>
      <w:r w:rsidRPr="006B3721">
        <w:rPr>
          <w:rFonts w:ascii="Times New Roman" w:hAnsi="Times New Roman" w:cs="Times New Roman"/>
          <w:sz w:val="26"/>
          <w:szCs w:val="26"/>
          <w:shd w:val="clear" w:color="auto" w:fill="FFFFFF"/>
        </w:rPr>
        <w:t xml:space="preserve"> 2024). Longitudinal studies in Kaduna demonstrated distinct seasonal species composition, with </w:t>
      </w:r>
      <w:r w:rsidRPr="006B3721">
        <w:rPr>
          <w:rFonts w:ascii="Times New Roman" w:hAnsi="Times New Roman" w:cs="Times New Roman"/>
          <w:i/>
          <w:sz w:val="26"/>
          <w:szCs w:val="26"/>
          <w:shd w:val="clear" w:color="auto" w:fill="FFFFFF"/>
        </w:rPr>
        <w:t>An. gambiae</w:t>
      </w:r>
      <w:r w:rsidRPr="006B3721">
        <w:rPr>
          <w:rFonts w:ascii="Times New Roman" w:hAnsi="Times New Roman" w:cs="Times New Roman"/>
          <w:sz w:val="26"/>
          <w:szCs w:val="26"/>
          <w:shd w:val="clear" w:color="auto" w:fill="FFFFFF"/>
        </w:rPr>
        <w:t xml:space="preserve"> predominating during wet seasons </w:t>
      </w:r>
      <w:r w:rsidRPr="006B3721">
        <w:rPr>
          <w:rFonts w:ascii="Times New Roman" w:hAnsi="Times New Roman" w:cs="Times New Roman"/>
          <w:i/>
          <w:sz w:val="26"/>
          <w:szCs w:val="26"/>
          <w:shd w:val="clear" w:color="auto" w:fill="FFFFFF"/>
        </w:rPr>
        <w:t xml:space="preserve">and An. </w:t>
      </w:r>
      <w:proofErr w:type="spellStart"/>
      <w:r w:rsidRPr="006B3721">
        <w:rPr>
          <w:rFonts w:ascii="Times New Roman" w:hAnsi="Times New Roman" w:cs="Times New Roman"/>
          <w:i/>
          <w:sz w:val="26"/>
          <w:szCs w:val="26"/>
          <w:shd w:val="clear" w:color="auto" w:fill="FFFFFF"/>
        </w:rPr>
        <w:t>arabiensis</w:t>
      </w:r>
      <w:proofErr w:type="spellEnd"/>
      <w:r w:rsidRPr="006B3721">
        <w:rPr>
          <w:rFonts w:ascii="Times New Roman" w:hAnsi="Times New Roman" w:cs="Times New Roman"/>
          <w:sz w:val="26"/>
          <w:szCs w:val="26"/>
          <w:shd w:val="clear" w:color="auto" w:fill="FFFFFF"/>
        </w:rPr>
        <w:t xml:space="preserve"> during dry seasons, linked to temperature and humidity variations (Rishikesh </w:t>
      </w:r>
      <w:r w:rsidRPr="006B3721">
        <w:rPr>
          <w:rFonts w:ascii="Times New Roman" w:hAnsi="Times New Roman" w:cs="Times New Roman"/>
          <w:sz w:val="24"/>
          <w:szCs w:val="24"/>
          <w:shd w:val="clear" w:color="auto" w:fill="FFFFFF"/>
        </w:rPr>
        <w:t>et al., 1985</w:t>
      </w:r>
      <w:r w:rsidR="005D4750" w:rsidRPr="006B3721">
        <w:rPr>
          <w:rFonts w:ascii="Times New Roman" w:hAnsi="Times New Roman" w:cs="Times New Roman"/>
          <w:sz w:val="24"/>
          <w:szCs w:val="24"/>
          <w:shd w:val="clear" w:color="auto" w:fill="FFFFFF"/>
        </w:rPr>
        <w:t xml:space="preserve">; Huestis and </w:t>
      </w:r>
      <w:proofErr w:type="spellStart"/>
      <w:r w:rsidR="005D4750" w:rsidRPr="006B3721">
        <w:rPr>
          <w:rFonts w:ascii="Times New Roman" w:hAnsi="Times New Roman" w:cs="Times New Roman"/>
          <w:sz w:val="24"/>
          <w:szCs w:val="24"/>
          <w:shd w:val="clear" w:color="auto" w:fill="FFFFFF"/>
        </w:rPr>
        <w:t>lehmann</w:t>
      </w:r>
      <w:proofErr w:type="spellEnd"/>
      <w:r w:rsidR="005D4750" w:rsidRPr="006B3721">
        <w:rPr>
          <w:rFonts w:ascii="Times New Roman" w:hAnsi="Times New Roman" w:cs="Times New Roman"/>
          <w:sz w:val="24"/>
          <w:szCs w:val="24"/>
          <w:shd w:val="clear" w:color="auto" w:fill="FFFFFF"/>
        </w:rPr>
        <w:t xml:space="preserve"> 2014</w:t>
      </w:r>
      <w:r w:rsidRPr="006B3721">
        <w:rPr>
          <w:rFonts w:ascii="Times New Roman" w:hAnsi="Times New Roman" w:cs="Times New Roman"/>
          <w:sz w:val="24"/>
          <w:szCs w:val="24"/>
          <w:shd w:val="clear" w:color="auto" w:fill="FFFFFF"/>
        </w:rPr>
        <w:t>). These findings highlight the importance of seasonal monitoring for effective malaria vector control strategies.</w:t>
      </w:r>
      <w:r w:rsidR="000C7A70" w:rsidRPr="006B3721">
        <w:rPr>
          <w:rFonts w:ascii="Times New Roman" w:hAnsi="Times New Roman" w:cs="Times New Roman"/>
          <w:sz w:val="24"/>
          <w:szCs w:val="24"/>
          <w:shd w:val="clear" w:color="auto" w:fill="FFFFFF"/>
        </w:rPr>
        <w:t xml:space="preserve"> At Federal University </w:t>
      </w:r>
      <w:proofErr w:type="spellStart"/>
      <w:r w:rsidR="000C7A70" w:rsidRPr="006B3721">
        <w:rPr>
          <w:rFonts w:ascii="Times New Roman" w:hAnsi="Times New Roman" w:cs="Times New Roman"/>
          <w:sz w:val="24"/>
          <w:szCs w:val="24"/>
          <w:shd w:val="clear" w:color="auto" w:fill="FFFFFF"/>
        </w:rPr>
        <w:t>Dutse</w:t>
      </w:r>
      <w:proofErr w:type="spellEnd"/>
      <w:r w:rsidR="000C7A70" w:rsidRPr="006B3721">
        <w:rPr>
          <w:rFonts w:ascii="Times New Roman" w:hAnsi="Times New Roman" w:cs="Times New Roman"/>
          <w:sz w:val="24"/>
          <w:szCs w:val="24"/>
          <w:shd w:val="clear" w:color="auto" w:fill="FFFFFF"/>
        </w:rPr>
        <w:t xml:space="preserve">, Jigawa State, indoor collections yielded 989 mosquitoes, with An. gambiae comprising 7.0% of specimens and showing significantly higher abundance on ground floor rooms (Adeniyi et al., 2024). Research on resting behavior patterns reveals that major African malaria vectors, including Anopheles species, do not display clear standardized resting preferences, complicating targeted control efforts (Irish et al., 2024). In southern Nigeria, sibling species within the An. gambiae complex demonstrate divergent habitat preferences, with An. gambiae </w:t>
      </w:r>
      <w:proofErr w:type="spellStart"/>
      <w:r w:rsidR="000C7A70" w:rsidRPr="006B3721">
        <w:rPr>
          <w:rFonts w:ascii="Times New Roman" w:hAnsi="Times New Roman" w:cs="Times New Roman"/>
          <w:sz w:val="24"/>
          <w:szCs w:val="24"/>
          <w:shd w:val="clear" w:color="auto" w:fill="FFFFFF"/>
        </w:rPr>
        <w:t>s.s.</w:t>
      </w:r>
      <w:proofErr w:type="spellEnd"/>
      <w:r w:rsidR="000C7A70" w:rsidRPr="006B3721">
        <w:rPr>
          <w:rFonts w:ascii="Times New Roman" w:hAnsi="Times New Roman" w:cs="Times New Roman"/>
          <w:sz w:val="24"/>
          <w:szCs w:val="24"/>
          <w:shd w:val="clear" w:color="auto" w:fill="FFFFFF"/>
        </w:rPr>
        <w:t xml:space="preserve"> and An. </w:t>
      </w:r>
      <w:proofErr w:type="spellStart"/>
      <w:r w:rsidR="000C7A70" w:rsidRPr="006B3721">
        <w:rPr>
          <w:rFonts w:ascii="Times New Roman" w:hAnsi="Times New Roman" w:cs="Times New Roman"/>
          <w:sz w:val="24"/>
          <w:szCs w:val="24"/>
          <w:shd w:val="clear" w:color="auto" w:fill="FFFFFF"/>
        </w:rPr>
        <w:t>coluzzii</w:t>
      </w:r>
      <w:proofErr w:type="spellEnd"/>
      <w:r w:rsidR="000C7A70" w:rsidRPr="006B3721">
        <w:rPr>
          <w:rFonts w:ascii="Times New Roman" w:hAnsi="Times New Roman" w:cs="Times New Roman"/>
          <w:sz w:val="24"/>
          <w:szCs w:val="24"/>
          <w:shd w:val="clear" w:color="auto" w:fill="FFFFFF"/>
        </w:rPr>
        <w:t xml:space="preserve"> more likely detected within 500m of households compared to An. </w:t>
      </w:r>
      <w:proofErr w:type="spellStart"/>
      <w:r w:rsidR="000C7A70" w:rsidRPr="006B3721">
        <w:rPr>
          <w:rFonts w:ascii="Times New Roman" w:hAnsi="Times New Roman" w:cs="Times New Roman"/>
          <w:sz w:val="24"/>
          <w:szCs w:val="24"/>
          <w:shd w:val="clear" w:color="auto" w:fill="FFFFFF"/>
        </w:rPr>
        <w:t>arabiensis</w:t>
      </w:r>
      <w:proofErr w:type="spellEnd"/>
      <w:r w:rsidR="000C7A70" w:rsidRPr="006B3721">
        <w:rPr>
          <w:rFonts w:ascii="Times New Roman" w:hAnsi="Times New Roman" w:cs="Times New Roman"/>
          <w:sz w:val="24"/>
          <w:szCs w:val="24"/>
          <w:shd w:val="clear" w:color="auto" w:fill="FFFFFF"/>
        </w:rPr>
        <w:t xml:space="preserve"> (</w:t>
      </w:r>
      <w:proofErr w:type="spellStart"/>
      <w:r w:rsidR="000C7A70" w:rsidRPr="006B3721">
        <w:rPr>
          <w:rFonts w:ascii="Times New Roman" w:hAnsi="Times New Roman" w:cs="Times New Roman"/>
          <w:sz w:val="24"/>
          <w:szCs w:val="24"/>
          <w:shd w:val="clear" w:color="auto" w:fill="FFFFFF"/>
        </w:rPr>
        <w:t>Ebhodaghe</w:t>
      </w:r>
      <w:proofErr w:type="spellEnd"/>
      <w:r w:rsidR="000C7A70" w:rsidRPr="006B3721">
        <w:rPr>
          <w:rFonts w:ascii="Times New Roman" w:hAnsi="Times New Roman" w:cs="Times New Roman"/>
          <w:sz w:val="24"/>
          <w:szCs w:val="24"/>
          <w:shd w:val="clear" w:color="auto" w:fill="FFFFFF"/>
        </w:rPr>
        <w:t xml:space="preserve"> et al., 2024).</w:t>
      </w:r>
    </w:p>
    <w:p w14:paraId="1E2A683D"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Human biting rate</w:t>
      </w:r>
    </w:p>
    <w:p w14:paraId="5BEDAFE5"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human biting rate of </w:t>
      </w:r>
      <w:r w:rsidRPr="006B3721">
        <w:rPr>
          <w:rFonts w:ascii="Times New Roman" w:hAnsi="Times New Roman" w:cs="Times New Roman"/>
          <w:i/>
          <w:sz w:val="24"/>
          <w:szCs w:val="24"/>
        </w:rPr>
        <w:t xml:space="preserve">An. gambiae </w:t>
      </w:r>
      <w:r w:rsidRPr="006B3721">
        <w:rPr>
          <w:rFonts w:ascii="Times New Roman" w:hAnsi="Times New Roman" w:cs="Times New Roman"/>
          <w:sz w:val="24"/>
          <w:szCs w:val="24"/>
        </w:rPr>
        <w:t xml:space="preserve">mosquitoes in selected communities, Delta State is shown in Figure </w:t>
      </w:r>
      <w:r w:rsidR="00221C7E" w:rsidRPr="006B3721">
        <w:rPr>
          <w:rFonts w:ascii="Times New Roman" w:hAnsi="Times New Roman" w:cs="Times New Roman"/>
          <w:sz w:val="24"/>
          <w:szCs w:val="24"/>
        </w:rPr>
        <w:t>12</w:t>
      </w:r>
      <w:r w:rsidRPr="006B3721">
        <w:rPr>
          <w:rFonts w:ascii="Times New Roman" w:hAnsi="Times New Roman" w:cs="Times New Roman"/>
          <w:sz w:val="24"/>
          <w:szCs w:val="24"/>
        </w:rPr>
        <w:t xml:space="preserve">. The highest human biting rate of mosquitoes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(1.811) and this was closely followed by the resting density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(1.283). The resting density recorded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the least (1.042).</w:t>
      </w:r>
    </w:p>
    <w:p w14:paraId="4881C5D3" w14:textId="77777777"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Monthly variation in human biting rate of </w:t>
      </w:r>
      <w:r w:rsidRPr="006B3721">
        <w:rPr>
          <w:rFonts w:ascii="Times New Roman" w:hAnsi="Times New Roman" w:cs="Times New Roman"/>
          <w:i/>
          <w:sz w:val="24"/>
          <w:szCs w:val="24"/>
        </w:rPr>
        <w:t>An. gambiae</w:t>
      </w:r>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community, Delta State is shown in Figure </w:t>
      </w:r>
      <w:r w:rsidR="00221C7E" w:rsidRPr="006B3721">
        <w:rPr>
          <w:rFonts w:ascii="Times New Roman" w:hAnsi="Times New Roman" w:cs="Times New Roman"/>
          <w:sz w:val="24"/>
          <w:szCs w:val="24"/>
        </w:rPr>
        <w:t>13,1</w:t>
      </w:r>
      <w:r w:rsidRPr="006B3721">
        <w:rPr>
          <w:rFonts w:ascii="Times New Roman" w:hAnsi="Times New Roman" w:cs="Times New Roman"/>
          <w:sz w:val="24"/>
          <w:szCs w:val="24"/>
        </w:rPr>
        <w:t>4and 1</w:t>
      </w:r>
      <w:r w:rsidR="00221C7E" w:rsidRPr="006B3721">
        <w:rPr>
          <w:rFonts w:ascii="Times New Roman" w:hAnsi="Times New Roman" w:cs="Times New Roman"/>
          <w:sz w:val="24"/>
          <w:szCs w:val="24"/>
        </w:rPr>
        <w:t>5</w:t>
      </w:r>
      <w:r w:rsidRPr="006B3721">
        <w:rPr>
          <w:rFonts w:ascii="Times New Roman" w:hAnsi="Times New Roman" w:cs="Times New Roman"/>
          <w:sz w:val="24"/>
          <w:szCs w:val="24"/>
        </w:rPr>
        <w:t xml:space="preserve"> respectively. The highest indoor resting densities of the respective sampled communities were recorded in July (0.505, 0.295 and 0.354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communities respectively). This was closely followed by resting densities in September and March for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respectively while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it was in March and September. January had the lowest human biting rate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while the lowest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in </w:t>
      </w:r>
      <w:r w:rsidRPr="006B3721">
        <w:rPr>
          <w:rFonts w:ascii="Times New Roman" w:hAnsi="Times New Roman" w:cs="Times New Roman"/>
          <w:sz w:val="24"/>
          <w:szCs w:val="24"/>
        </w:rPr>
        <w:lastRenderedPageBreak/>
        <w:t>December. The difference between the human biting rates in the selected community was not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xml:space="preserve">= 1.222; </w:t>
      </w:r>
      <w:r w:rsidRPr="006B3721">
        <w:rPr>
          <w:rFonts w:ascii="Times New Roman" w:hAnsi="Times New Roman" w:cs="Times New Roman"/>
          <w:i/>
          <w:iCs/>
          <w:sz w:val="24"/>
          <w:szCs w:val="24"/>
        </w:rPr>
        <w:t>p</w:t>
      </w:r>
      <w:r w:rsidRPr="006B3721">
        <w:rPr>
          <w:rFonts w:ascii="Times New Roman" w:hAnsi="Times New Roman" w:cs="Times New Roman"/>
          <w:sz w:val="24"/>
          <w:szCs w:val="24"/>
        </w:rPr>
        <w:t xml:space="preserve">= 0.312). </w:t>
      </w:r>
    </w:p>
    <w:p w14:paraId="358EFD21" w14:textId="77777777" w:rsidR="008F1E71" w:rsidRPr="006B3721" w:rsidRDefault="008F1E71" w:rsidP="00F70E40">
      <w:pPr>
        <w:spacing w:line="360" w:lineRule="auto"/>
        <w:rPr>
          <w:rFonts w:ascii="Times New Roman" w:hAnsi="Times New Roman" w:cs="Times New Roman"/>
          <w:b/>
          <w:bCs/>
          <w:sz w:val="24"/>
          <w:szCs w:val="24"/>
        </w:rPr>
      </w:pPr>
    </w:p>
    <w:p w14:paraId="4991ADC9"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3BFE9197" wp14:editId="30241377">
            <wp:extent cx="4572000" cy="2743200"/>
            <wp:effectExtent l="0" t="0" r="0" b="0"/>
            <wp:docPr id="2132535809" name="Chart 13">
              <a:extLst xmlns:a="http://schemas.openxmlformats.org/drawingml/2006/main">
                <a:ext uri="{FF2B5EF4-FFF2-40B4-BE49-F238E27FC236}">
                  <a16:creationId xmlns:a16="http://schemas.microsoft.com/office/drawing/2014/main" id="{FFB99747-F172-4A32-AE4A-5D3A4275A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C4C6D7"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12</w:t>
      </w:r>
      <w:r w:rsidRPr="006B3721">
        <w:rPr>
          <w:rFonts w:ascii="Times New Roman" w:hAnsi="Times New Roman" w:cs="Times New Roman"/>
          <w:sz w:val="24"/>
          <w:szCs w:val="24"/>
        </w:rPr>
        <w:t>. Human biting rate of mosquitoes in selected communities, Delta State.</w:t>
      </w:r>
    </w:p>
    <w:p w14:paraId="3C0D299B" w14:textId="77777777" w:rsidR="008F1E71" w:rsidRPr="006B3721" w:rsidRDefault="008F1E71" w:rsidP="00F70E40">
      <w:pPr>
        <w:spacing w:line="360" w:lineRule="auto"/>
        <w:rPr>
          <w:rFonts w:ascii="Times New Roman" w:hAnsi="Times New Roman" w:cs="Times New Roman"/>
          <w:b/>
          <w:bCs/>
          <w:sz w:val="24"/>
          <w:szCs w:val="24"/>
        </w:rPr>
      </w:pPr>
    </w:p>
    <w:p w14:paraId="6001F0C1"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730B8C40" wp14:editId="1D107328">
            <wp:extent cx="4572000" cy="2743200"/>
            <wp:effectExtent l="0" t="0" r="0" b="0"/>
            <wp:docPr id="2132535810" name="Chart 14">
              <a:extLst xmlns:a="http://schemas.openxmlformats.org/drawingml/2006/main">
                <a:ext uri="{FF2B5EF4-FFF2-40B4-BE49-F238E27FC236}">
                  <a16:creationId xmlns:a16="http://schemas.microsoft.com/office/drawing/2014/main" id="{6CC9D13D-4254-445F-8A73-921F12227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7E06F6"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13</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human biting rate </w:t>
      </w:r>
      <w:proofErr w:type="spellStart"/>
      <w:r w:rsidRPr="006B3721">
        <w:rPr>
          <w:rFonts w:ascii="Times New Roman" w:hAnsi="Times New Roman" w:cs="Times New Roman"/>
          <w:sz w:val="24"/>
          <w:szCs w:val="24"/>
        </w:rPr>
        <w:t>inEgbudu-Akahcommunities</w:t>
      </w:r>
      <w:proofErr w:type="spellEnd"/>
      <w:r w:rsidRPr="006B3721">
        <w:rPr>
          <w:rFonts w:ascii="Times New Roman" w:hAnsi="Times New Roman" w:cs="Times New Roman"/>
          <w:sz w:val="24"/>
          <w:szCs w:val="24"/>
        </w:rPr>
        <w:t>, Delta State, Nigeria</w:t>
      </w:r>
    </w:p>
    <w:p w14:paraId="0EDDE5F5"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14:anchorId="1B1E7B68" wp14:editId="7B710F42">
            <wp:extent cx="4572000" cy="2743200"/>
            <wp:effectExtent l="0" t="0" r="0" b="0"/>
            <wp:docPr id="2132535811" name="Chart 15">
              <a:extLst xmlns:a="http://schemas.openxmlformats.org/drawingml/2006/main">
                <a:ext uri="{FF2B5EF4-FFF2-40B4-BE49-F238E27FC236}">
                  <a16:creationId xmlns:a16="http://schemas.microsoft.com/office/drawing/2014/main" id="{E4B8D589-D05B-464F-8E81-8B6971389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BB2A1"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14.</w:t>
      </w:r>
      <w:r w:rsidRPr="006B3721">
        <w:rPr>
          <w:rFonts w:ascii="Times New Roman" w:hAnsi="Times New Roman" w:cs="Times New Roman"/>
          <w:sz w:val="24"/>
          <w:szCs w:val="24"/>
        </w:rPr>
        <w:t xml:space="preserve"> Monthly variation of human biting rate </w:t>
      </w:r>
      <w:proofErr w:type="spellStart"/>
      <w:r w:rsidRPr="006B3721">
        <w:rPr>
          <w:rFonts w:ascii="Times New Roman" w:hAnsi="Times New Roman" w:cs="Times New Roman"/>
          <w:sz w:val="24"/>
          <w:szCs w:val="24"/>
        </w:rPr>
        <w:t>inOwhelogbocommunities</w:t>
      </w:r>
      <w:proofErr w:type="spellEnd"/>
      <w:r w:rsidRPr="006B3721">
        <w:rPr>
          <w:rFonts w:ascii="Times New Roman" w:hAnsi="Times New Roman" w:cs="Times New Roman"/>
          <w:sz w:val="24"/>
          <w:szCs w:val="24"/>
        </w:rPr>
        <w:t>, Delta State, Nigeria</w:t>
      </w:r>
    </w:p>
    <w:p w14:paraId="2E90C765"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14:anchorId="3B6345F2" wp14:editId="6A7F2F33">
            <wp:extent cx="4572000" cy="2743200"/>
            <wp:effectExtent l="0" t="0" r="0" b="0"/>
            <wp:docPr id="2132535812" name="Chart 16">
              <a:extLst xmlns:a="http://schemas.openxmlformats.org/drawingml/2006/main">
                <a:ext uri="{FF2B5EF4-FFF2-40B4-BE49-F238E27FC236}">
                  <a16:creationId xmlns:a16="http://schemas.microsoft.com/office/drawing/2014/main" id="{1CD5ABB4-5546-4599-9348-775FDBEED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3E3FBE"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15</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human biting rate </w:t>
      </w:r>
      <w:proofErr w:type="spellStart"/>
      <w:r w:rsidRPr="006B3721">
        <w:rPr>
          <w:rFonts w:ascii="Times New Roman" w:hAnsi="Times New Roman" w:cs="Times New Roman"/>
          <w:sz w:val="24"/>
          <w:szCs w:val="24"/>
        </w:rPr>
        <w:t>inAghalokpecommunities</w:t>
      </w:r>
      <w:proofErr w:type="spellEnd"/>
      <w:r w:rsidRPr="006B3721">
        <w:rPr>
          <w:rFonts w:ascii="Times New Roman" w:hAnsi="Times New Roman" w:cs="Times New Roman"/>
          <w:sz w:val="24"/>
          <w:szCs w:val="24"/>
        </w:rPr>
        <w:t>, Delta State, Nigeria</w:t>
      </w:r>
      <w:r w:rsidRPr="006B3721">
        <w:rPr>
          <w:rFonts w:ascii="Times New Roman" w:hAnsi="Times New Roman" w:cs="Times New Roman"/>
          <w:b/>
          <w:bCs/>
          <w:sz w:val="24"/>
          <w:szCs w:val="24"/>
        </w:rPr>
        <w:t>.</w:t>
      </w:r>
    </w:p>
    <w:p w14:paraId="06200B88" w14:textId="77777777" w:rsidR="008F1E71" w:rsidRPr="006B3721" w:rsidRDefault="00DF015A" w:rsidP="00221C7E">
      <w:pPr>
        <w:spacing w:line="360" w:lineRule="auto"/>
        <w:jc w:val="both"/>
        <w:rPr>
          <w:rFonts w:ascii="Times New Roman" w:hAnsi="Times New Roman" w:cs="Times New Roman"/>
          <w:b/>
          <w:bCs/>
          <w:sz w:val="24"/>
          <w:szCs w:val="24"/>
        </w:rPr>
      </w:pPr>
      <w:r w:rsidRPr="006B3721">
        <w:rPr>
          <w:rFonts w:ascii="Times New Roman" w:hAnsi="Times New Roman" w:cs="Times New Roman"/>
          <w:sz w:val="24"/>
          <w:szCs w:val="24"/>
          <w:shd w:val="clear" w:color="auto" w:fill="FFFFFF"/>
        </w:rPr>
        <w:t xml:space="preserve">Studies across Nigeria reveal significant variation in Anopheles gambiae human biting rates. In Taraba State, northeastern Nigeria, </w:t>
      </w:r>
      <w:r w:rsidRPr="006B3721">
        <w:rPr>
          <w:rFonts w:ascii="Times New Roman" w:hAnsi="Times New Roman" w:cs="Times New Roman"/>
          <w:i/>
          <w:iCs/>
          <w:sz w:val="24"/>
          <w:szCs w:val="24"/>
          <w:shd w:val="clear" w:color="auto" w:fill="FFFFFF"/>
        </w:rPr>
        <w:t>An. gambiae</w:t>
      </w:r>
      <w:r w:rsidRPr="006B3721">
        <w:rPr>
          <w:rFonts w:ascii="Times New Roman" w:hAnsi="Times New Roman" w:cs="Times New Roman"/>
          <w:sz w:val="24"/>
          <w:szCs w:val="24"/>
          <w:shd w:val="clear" w:color="auto" w:fill="FFFFFF"/>
        </w:rPr>
        <w:t xml:space="preserve"> demonstrated the highest man-biting rate at 0.75 bites/person/night (51.0% of total bites), with rates being higher during wet season (0.78 bites/person/night) compared to dry season (0.69 bites/person/night) (Lamidi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2018). In </w:t>
      </w:r>
      <w:r w:rsidRPr="006B3721">
        <w:rPr>
          <w:rFonts w:ascii="Times New Roman" w:hAnsi="Times New Roman" w:cs="Times New Roman"/>
          <w:sz w:val="24"/>
          <w:szCs w:val="24"/>
          <w:shd w:val="clear" w:color="auto" w:fill="FFFFFF"/>
        </w:rPr>
        <w:lastRenderedPageBreak/>
        <w:t xml:space="preserve">urban Itu, Akwa Ibom State, An. gambiae </w:t>
      </w:r>
      <w:proofErr w:type="spellStart"/>
      <w:r w:rsidRPr="006B3721">
        <w:rPr>
          <w:rFonts w:ascii="Times New Roman" w:hAnsi="Times New Roman" w:cs="Times New Roman"/>
          <w:sz w:val="24"/>
          <w:szCs w:val="24"/>
          <w:shd w:val="clear" w:color="auto" w:fill="FFFFFF"/>
        </w:rPr>
        <w:t>s.l.</w:t>
      </w:r>
      <w:proofErr w:type="spellEnd"/>
      <w:r w:rsidRPr="006B3721">
        <w:rPr>
          <w:rFonts w:ascii="Times New Roman" w:hAnsi="Times New Roman" w:cs="Times New Roman"/>
          <w:sz w:val="24"/>
          <w:szCs w:val="24"/>
          <w:shd w:val="clear" w:color="auto" w:fill="FFFFFF"/>
        </w:rPr>
        <w:t xml:space="preserve"> comprised 87.49% of collected mosquitoes with an exceptionally high annual man-biting rate of 59.38 bites/person (Bassey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2024). Northwestern Nigeria showed peak biting activity between 9-10pm and 11pm-12am (Imam, 2020). In North-West Nigeria communities, human biting rates were considerably lower at 2.07 bites/person/night in Kargo, with An. gambiae and An. </w:t>
      </w:r>
      <w:proofErr w:type="spellStart"/>
      <w:r w:rsidRPr="006B3721">
        <w:rPr>
          <w:rFonts w:ascii="Times New Roman" w:hAnsi="Times New Roman" w:cs="Times New Roman"/>
          <w:sz w:val="24"/>
          <w:szCs w:val="24"/>
          <w:shd w:val="clear" w:color="auto" w:fill="FFFFFF"/>
        </w:rPr>
        <w:t>arabiensis</w:t>
      </w:r>
      <w:proofErr w:type="spellEnd"/>
      <w:r w:rsidRPr="006B3721">
        <w:rPr>
          <w:rFonts w:ascii="Times New Roman" w:hAnsi="Times New Roman" w:cs="Times New Roman"/>
          <w:sz w:val="24"/>
          <w:szCs w:val="24"/>
          <w:shd w:val="clear" w:color="auto" w:fill="FFFFFF"/>
        </w:rPr>
        <w:t xml:space="preserve"> being the only sibling species present (Hamza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2023). These findings demonstrate substantial regional variation in An. gambiae biting intensity across Nigerian ecological zones.</w:t>
      </w:r>
    </w:p>
    <w:p w14:paraId="16671A08"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Seasonal variation of temperature and relative humidity indoors</w:t>
      </w:r>
    </w:p>
    <w:p w14:paraId="0C5E632A" w14:textId="420EC56C"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mean monthly indoor variables of sampled houses in selected communities, Delta State is shown in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There were various gradients for temperature and relative humidity recorded in the sampled communities with months. These were within mosquito tolerable limits for survival and abundance. The highest temperature was recorded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in December (Mean of 35.00) and this was closely followed by high temperature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in February (Mean of 34.67). Likewise, the highest temperature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recorded in January (mean of 33.33). The lowest temperatures were recorded in July (Table </w:t>
      </w:r>
      <w:r w:rsidR="00FC6354" w:rsidRPr="006B3721">
        <w:rPr>
          <w:rFonts w:ascii="Times New Roman" w:hAnsi="Times New Roman" w:cs="Times New Roman"/>
          <w:sz w:val="24"/>
          <w:szCs w:val="24"/>
        </w:rPr>
        <w:t>1</w:t>
      </w:r>
      <w:r w:rsidRPr="006B3721">
        <w:rPr>
          <w:rFonts w:ascii="Times New Roman" w:hAnsi="Times New Roman" w:cs="Times New Roman"/>
          <w:sz w:val="24"/>
          <w:szCs w:val="24"/>
        </w:rPr>
        <w:t xml:space="preserve">) in all sampled communities and in August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(mean of 27.00). The difference within months of the temperatures in the sample communities was significant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Temperature did not vary greatly within the sampled communities (Figure </w:t>
      </w:r>
      <w:r w:rsidR="007C1EA6" w:rsidRPr="006B3721">
        <w:rPr>
          <w:rFonts w:ascii="Times New Roman" w:hAnsi="Times New Roman" w:cs="Times New Roman"/>
          <w:sz w:val="24"/>
          <w:szCs w:val="24"/>
        </w:rPr>
        <w:t>16</w:t>
      </w:r>
      <w:r w:rsidRPr="006B3721">
        <w:rPr>
          <w:rFonts w:ascii="Times New Roman" w:hAnsi="Times New Roman" w:cs="Times New Roman"/>
          <w:sz w:val="24"/>
          <w:szCs w:val="24"/>
        </w:rPr>
        <w:t xml:space="preserve">). </w:t>
      </w:r>
    </w:p>
    <w:p w14:paraId="1C0F0AAE" w14:textId="041D6072" w:rsidR="008F1E71" w:rsidRPr="006B3721" w:rsidRDefault="008F1E71" w:rsidP="00F70E40">
      <w:pPr>
        <w:spacing w:line="360" w:lineRule="auto"/>
        <w:ind w:firstLine="720"/>
        <w:jc w:val="both"/>
        <w:rPr>
          <w:rFonts w:ascii="Times New Roman" w:hAnsi="Times New Roman" w:cs="Times New Roman"/>
          <w:sz w:val="24"/>
          <w:szCs w:val="24"/>
        </w:rPr>
      </w:pPr>
      <w:r w:rsidRPr="006B3721">
        <w:rPr>
          <w:rFonts w:ascii="Times New Roman" w:hAnsi="Times New Roman" w:cs="Times New Roman"/>
          <w:sz w:val="24"/>
          <w:szCs w:val="24"/>
        </w:rPr>
        <w:t>Relative humidity in this study did not differ greatly (Figure</w:t>
      </w:r>
      <w:r w:rsidR="007C1EA6" w:rsidRPr="006B3721">
        <w:rPr>
          <w:rFonts w:ascii="Times New Roman" w:hAnsi="Times New Roman" w:cs="Times New Roman"/>
          <w:sz w:val="24"/>
          <w:szCs w:val="24"/>
        </w:rPr>
        <w:t>17</w:t>
      </w:r>
      <w:r w:rsidRPr="006B3721">
        <w:rPr>
          <w:rFonts w:ascii="Times New Roman" w:hAnsi="Times New Roman" w:cs="Times New Roman"/>
          <w:sz w:val="24"/>
          <w:szCs w:val="24"/>
        </w:rPr>
        <w:t xml:space="preserve">) in the sampled communities.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had the highest relative humidity recorded in December (mean of 80.67). The relative humidity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were equally high (Mean of 75.00 and 72.00) respectively in August and October. The closely followed humidity and the lowest humidity are shown in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The difference between the relative humidity sampled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was not significant while that of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was significant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w:t>
      </w:r>
    </w:p>
    <w:p w14:paraId="08196AD3" w14:textId="77777777" w:rsidR="008F1E71" w:rsidRPr="006B3721" w:rsidRDefault="008F1E71" w:rsidP="00F70E40">
      <w:pPr>
        <w:spacing w:line="360" w:lineRule="auto"/>
        <w:jc w:val="both"/>
        <w:rPr>
          <w:rFonts w:ascii="Times New Roman" w:hAnsi="Times New Roman" w:cs="Times New Roman"/>
          <w:sz w:val="24"/>
          <w:szCs w:val="24"/>
        </w:rPr>
      </w:pPr>
    </w:p>
    <w:p w14:paraId="5223E5EC" w14:textId="77777777" w:rsidR="008F1E71" w:rsidRPr="006B3721" w:rsidRDefault="008F1E71" w:rsidP="00F70E40">
      <w:pPr>
        <w:spacing w:line="360" w:lineRule="auto"/>
        <w:jc w:val="both"/>
      </w:pPr>
    </w:p>
    <w:p w14:paraId="463878F2" w14:textId="77777777" w:rsidR="008F1E71" w:rsidRPr="006B3721" w:rsidRDefault="008F1E71" w:rsidP="00F70E40">
      <w:pPr>
        <w:spacing w:line="360" w:lineRule="auto"/>
        <w:jc w:val="both"/>
      </w:pPr>
    </w:p>
    <w:p w14:paraId="7F84B4C7" w14:textId="77777777" w:rsidR="008F1E71" w:rsidRPr="006B3721" w:rsidRDefault="008F1E71" w:rsidP="00F70E40">
      <w:pPr>
        <w:spacing w:line="360" w:lineRule="auto"/>
        <w:jc w:val="both"/>
      </w:pPr>
    </w:p>
    <w:p w14:paraId="21182078" w14:textId="77777777" w:rsidR="008F1E71" w:rsidRPr="006B3721" w:rsidRDefault="008F1E71" w:rsidP="00F70E40">
      <w:pPr>
        <w:spacing w:line="360" w:lineRule="auto"/>
        <w:jc w:val="both"/>
      </w:pPr>
    </w:p>
    <w:p w14:paraId="35A25DE8" w14:textId="77777777" w:rsidR="008F1E71" w:rsidRPr="006B3721" w:rsidRDefault="008F1E71" w:rsidP="00F70E40">
      <w:pPr>
        <w:spacing w:line="360" w:lineRule="auto"/>
        <w:jc w:val="both"/>
      </w:pPr>
    </w:p>
    <w:p w14:paraId="30F95D9B" w14:textId="77777777" w:rsidR="008F1E71" w:rsidRPr="006B3721" w:rsidRDefault="008F1E71" w:rsidP="00F70E40">
      <w:pPr>
        <w:spacing w:line="360" w:lineRule="auto"/>
        <w:jc w:val="both"/>
      </w:pPr>
    </w:p>
    <w:p w14:paraId="6988D25B" w14:textId="77777777" w:rsidR="008F1E71" w:rsidRPr="006B3721" w:rsidRDefault="008F1E71" w:rsidP="00F70E40">
      <w:pPr>
        <w:spacing w:line="360" w:lineRule="auto"/>
        <w:jc w:val="both"/>
      </w:pPr>
    </w:p>
    <w:p w14:paraId="40FADF1A" w14:textId="77777777" w:rsidR="008F1E71" w:rsidRPr="006B3721" w:rsidRDefault="008F1E71" w:rsidP="00F70E40">
      <w:pPr>
        <w:spacing w:line="360" w:lineRule="auto"/>
        <w:jc w:val="both"/>
      </w:pPr>
    </w:p>
    <w:p w14:paraId="734DAD74" w14:textId="77777777" w:rsidR="008F1E71" w:rsidRPr="006B3721" w:rsidRDefault="008F1E71" w:rsidP="00F70E40">
      <w:pPr>
        <w:spacing w:line="360" w:lineRule="auto"/>
        <w:jc w:val="both"/>
      </w:pPr>
    </w:p>
    <w:p w14:paraId="06042026"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Table </w:t>
      </w:r>
      <w:proofErr w:type="gramStart"/>
      <w:r w:rsidR="00CC742D" w:rsidRPr="006B3721">
        <w:rPr>
          <w:rFonts w:ascii="Times New Roman" w:hAnsi="Times New Roman" w:cs="Times New Roman"/>
          <w:b/>
          <w:bCs/>
          <w:sz w:val="24"/>
          <w:szCs w:val="24"/>
        </w:rPr>
        <w:t>1.</w:t>
      </w:r>
      <w:r w:rsidRPr="006B3721">
        <w:rPr>
          <w:rFonts w:ascii="Times New Roman" w:hAnsi="Times New Roman" w:cs="Times New Roman"/>
          <w:sz w:val="24"/>
          <w:szCs w:val="24"/>
        </w:rPr>
        <w:t>Mean</w:t>
      </w:r>
      <w:proofErr w:type="gramEnd"/>
      <w:r w:rsidRPr="006B3721">
        <w:rPr>
          <w:rFonts w:ascii="Times New Roman" w:hAnsi="Times New Roman" w:cs="Times New Roman"/>
          <w:sz w:val="24"/>
          <w:szCs w:val="24"/>
        </w:rPr>
        <w:t xml:space="preserve"> monthly indoor variables of sampled houses in selected communities, Delta State.</w:t>
      </w:r>
    </w:p>
    <w:tbl>
      <w:tblPr>
        <w:tblStyle w:val="TableGrid"/>
        <w:tblW w:w="9990"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8"/>
        <w:gridCol w:w="1502"/>
        <w:gridCol w:w="1350"/>
        <w:gridCol w:w="1530"/>
        <w:gridCol w:w="1350"/>
        <w:gridCol w:w="1530"/>
        <w:gridCol w:w="1440"/>
      </w:tblGrid>
      <w:tr w:rsidR="008F1E71" w:rsidRPr="006B3721" w14:paraId="7B5F0089" w14:textId="77777777" w:rsidTr="00860BC6">
        <w:tc>
          <w:tcPr>
            <w:tcW w:w="1288" w:type="dxa"/>
            <w:tcBorders>
              <w:bottom w:val="nil"/>
            </w:tcBorders>
          </w:tcPr>
          <w:p w14:paraId="6751FF95" w14:textId="77777777" w:rsidR="008F1E71" w:rsidRPr="006B3721" w:rsidRDefault="008F1E71" w:rsidP="00F70E40">
            <w:pPr>
              <w:spacing w:line="360" w:lineRule="auto"/>
              <w:rPr>
                <w:rFonts w:ascii="Times New Roman" w:hAnsi="Times New Roman" w:cs="Times New Roman"/>
              </w:rPr>
            </w:pPr>
          </w:p>
        </w:tc>
        <w:tc>
          <w:tcPr>
            <w:tcW w:w="2852" w:type="dxa"/>
            <w:gridSpan w:val="2"/>
            <w:tcBorders>
              <w:bottom w:val="nil"/>
            </w:tcBorders>
          </w:tcPr>
          <w:p w14:paraId="4FC6F6A8" w14:textId="77777777"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Egbudu-Akah</w:t>
            </w:r>
            <w:proofErr w:type="spellEnd"/>
          </w:p>
        </w:tc>
        <w:tc>
          <w:tcPr>
            <w:tcW w:w="1530" w:type="dxa"/>
            <w:tcBorders>
              <w:bottom w:val="nil"/>
            </w:tcBorders>
          </w:tcPr>
          <w:p w14:paraId="1EF16AB8" w14:textId="77777777"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Owhelogbo</w:t>
            </w:r>
            <w:proofErr w:type="spellEnd"/>
          </w:p>
        </w:tc>
        <w:tc>
          <w:tcPr>
            <w:tcW w:w="1350" w:type="dxa"/>
            <w:tcBorders>
              <w:bottom w:val="nil"/>
            </w:tcBorders>
          </w:tcPr>
          <w:p w14:paraId="2E97C699" w14:textId="77777777" w:rsidR="008F1E71" w:rsidRPr="006B3721" w:rsidRDefault="008F1E71" w:rsidP="00F70E40">
            <w:pPr>
              <w:spacing w:line="360" w:lineRule="auto"/>
              <w:rPr>
                <w:rFonts w:ascii="Times New Roman" w:hAnsi="Times New Roman" w:cs="Times New Roman"/>
              </w:rPr>
            </w:pPr>
          </w:p>
        </w:tc>
        <w:tc>
          <w:tcPr>
            <w:tcW w:w="1530" w:type="dxa"/>
            <w:tcBorders>
              <w:bottom w:val="nil"/>
            </w:tcBorders>
          </w:tcPr>
          <w:p w14:paraId="0FAAA670" w14:textId="77777777"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Aghalokpe</w:t>
            </w:r>
            <w:proofErr w:type="spellEnd"/>
          </w:p>
        </w:tc>
        <w:tc>
          <w:tcPr>
            <w:tcW w:w="1440" w:type="dxa"/>
            <w:tcBorders>
              <w:bottom w:val="nil"/>
            </w:tcBorders>
          </w:tcPr>
          <w:p w14:paraId="20BFDBC6" w14:textId="77777777" w:rsidR="008F1E71" w:rsidRPr="006B3721" w:rsidRDefault="008F1E71" w:rsidP="00F70E40">
            <w:pPr>
              <w:spacing w:line="360" w:lineRule="auto"/>
              <w:rPr>
                <w:rFonts w:ascii="Times New Roman" w:hAnsi="Times New Roman" w:cs="Times New Roman"/>
              </w:rPr>
            </w:pPr>
          </w:p>
        </w:tc>
      </w:tr>
      <w:tr w:rsidR="008F1E71" w:rsidRPr="006B3721" w14:paraId="2D215DA5" w14:textId="77777777" w:rsidTr="00860BC6">
        <w:tc>
          <w:tcPr>
            <w:tcW w:w="1288" w:type="dxa"/>
            <w:tcBorders>
              <w:top w:val="nil"/>
              <w:bottom w:val="single" w:sz="4" w:space="0" w:color="auto"/>
            </w:tcBorders>
          </w:tcPr>
          <w:p w14:paraId="06A47E29"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Months</w:t>
            </w:r>
          </w:p>
        </w:tc>
        <w:tc>
          <w:tcPr>
            <w:tcW w:w="1502" w:type="dxa"/>
            <w:tcBorders>
              <w:top w:val="nil"/>
              <w:bottom w:val="single" w:sz="4" w:space="0" w:color="auto"/>
            </w:tcBorders>
          </w:tcPr>
          <w:p w14:paraId="6F889E11"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350" w:type="dxa"/>
            <w:tcBorders>
              <w:top w:val="nil"/>
              <w:bottom w:val="single" w:sz="4" w:space="0" w:color="auto"/>
            </w:tcBorders>
          </w:tcPr>
          <w:p w14:paraId="6724F4B3"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c>
          <w:tcPr>
            <w:tcW w:w="1530" w:type="dxa"/>
            <w:tcBorders>
              <w:top w:val="nil"/>
              <w:bottom w:val="single" w:sz="4" w:space="0" w:color="auto"/>
            </w:tcBorders>
          </w:tcPr>
          <w:p w14:paraId="0FCC610E"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350" w:type="dxa"/>
            <w:tcBorders>
              <w:top w:val="nil"/>
              <w:bottom w:val="single" w:sz="4" w:space="0" w:color="auto"/>
            </w:tcBorders>
          </w:tcPr>
          <w:p w14:paraId="2EB40A63"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c>
          <w:tcPr>
            <w:tcW w:w="1530" w:type="dxa"/>
            <w:tcBorders>
              <w:top w:val="nil"/>
              <w:bottom w:val="single" w:sz="4" w:space="0" w:color="auto"/>
            </w:tcBorders>
          </w:tcPr>
          <w:p w14:paraId="4BFF4990"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440" w:type="dxa"/>
            <w:tcBorders>
              <w:top w:val="nil"/>
              <w:bottom w:val="single" w:sz="4" w:space="0" w:color="auto"/>
            </w:tcBorders>
          </w:tcPr>
          <w:p w14:paraId="1BB5EBBC"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r>
      <w:tr w:rsidR="008F1E71" w:rsidRPr="006B3721" w14:paraId="2E4C1DCE" w14:textId="77777777" w:rsidTr="00860BC6">
        <w:tc>
          <w:tcPr>
            <w:tcW w:w="1288" w:type="dxa"/>
            <w:tcBorders>
              <w:top w:val="single" w:sz="4" w:space="0" w:color="auto"/>
            </w:tcBorders>
          </w:tcPr>
          <w:p w14:paraId="74124E5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July</w:t>
            </w:r>
          </w:p>
        </w:tc>
        <w:tc>
          <w:tcPr>
            <w:tcW w:w="1502" w:type="dxa"/>
            <w:tcBorders>
              <w:top w:val="single" w:sz="4" w:space="0" w:color="auto"/>
            </w:tcBorders>
          </w:tcPr>
          <w:p w14:paraId="7D536F4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27.00 ± 0.58</w:t>
            </w:r>
          </w:p>
        </w:tc>
        <w:tc>
          <w:tcPr>
            <w:tcW w:w="1350" w:type="dxa"/>
            <w:tcBorders>
              <w:top w:val="single" w:sz="4" w:space="0" w:color="auto"/>
            </w:tcBorders>
          </w:tcPr>
          <w:p w14:paraId="04E1391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64.67 ± 1.76</w:t>
            </w:r>
          </w:p>
        </w:tc>
        <w:tc>
          <w:tcPr>
            <w:tcW w:w="1530" w:type="dxa"/>
            <w:tcBorders>
              <w:top w:val="single" w:sz="4" w:space="0" w:color="auto"/>
            </w:tcBorders>
          </w:tcPr>
          <w:p w14:paraId="4F57B45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27.33 ± 0.33</w:t>
            </w:r>
          </w:p>
        </w:tc>
        <w:tc>
          <w:tcPr>
            <w:tcW w:w="1350" w:type="dxa"/>
            <w:tcBorders>
              <w:top w:val="single" w:sz="4" w:space="0" w:color="auto"/>
            </w:tcBorders>
          </w:tcPr>
          <w:p w14:paraId="72AD7185"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75.00 ± 2.89</w:t>
            </w:r>
          </w:p>
        </w:tc>
        <w:tc>
          <w:tcPr>
            <w:tcW w:w="1530" w:type="dxa"/>
            <w:tcBorders>
              <w:top w:val="single" w:sz="4" w:space="0" w:color="auto"/>
            </w:tcBorders>
          </w:tcPr>
          <w:p w14:paraId="02E9035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28.33 ± 0.33</w:t>
            </w:r>
          </w:p>
        </w:tc>
        <w:tc>
          <w:tcPr>
            <w:tcW w:w="1440" w:type="dxa"/>
            <w:tcBorders>
              <w:top w:val="single" w:sz="4" w:space="0" w:color="auto"/>
            </w:tcBorders>
          </w:tcPr>
          <w:p w14:paraId="4030E19D"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67.00 ± 6.51</w:t>
            </w:r>
          </w:p>
        </w:tc>
      </w:tr>
      <w:tr w:rsidR="008F1E71" w:rsidRPr="006B3721" w14:paraId="3370E7C4" w14:textId="77777777" w:rsidTr="00860BC6">
        <w:tc>
          <w:tcPr>
            <w:tcW w:w="1288" w:type="dxa"/>
          </w:tcPr>
          <w:p w14:paraId="3920232E"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August</w:t>
            </w:r>
          </w:p>
        </w:tc>
        <w:tc>
          <w:tcPr>
            <w:tcW w:w="1502" w:type="dxa"/>
          </w:tcPr>
          <w:p w14:paraId="20F2702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27.00 ± 0.58</w:t>
            </w:r>
          </w:p>
        </w:tc>
        <w:tc>
          <w:tcPr>
            <w:tcW w:w="1350" w:type="dxa"/>
          </w:tcPr>
          <w:p w14:paraId="0FC57D3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75.33 ± 2.60</w:t>
            </w:r>
          </w:p>
        </w:tc>
        <w:tc>
          <w:tcPr>
            <w:tcW w:w="1530" w:type="dxa"/>
          </w:tcPr>
          <w:p w14:paraId="2661297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28.33 ± 0.67</w:t>
            </w:r>
          </w:p>
        </w:tc>
        <w:tc>
          <w:tcPr>
            <w:tcW w:w="1350" w:type="dxa"/>
          </w:tcPr>
          <w:p w14:paraId="788020C0"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4.73</w:t>
            </w:r>
          </w:p>
        </w:tc>
        <w:tc>
          <w:tcPr>
            <w:tcW w:w="1530" w:type="dxa"/>
          </w:tcPr>
          <w:p w14:paraId="66756F3E"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29.00 ± 0.58</w:t>
            </w:r>
          </w:p>
        </w:tc>
        <w:tc>
          <w:tcPr>
            <w:tcW w:w="1440" w:type="dxa"/>
          </w:tcPr>
          <w:p w14:paraId="4239835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66.33 ± 4.49</w:t>
            </w:r>
          </w:p>
        </w:tc>
      </w:tr>
      <w:tr w:rsidR="008F1E71" w:rsidRPr="006B3721" w14:paraId="682BA127" w14:textId="77777777" w:rsidTr="00860BC6">
        <w:tc>
          <w:tcPr>
            <w:tcW w:w="1288" w:type="dxa"/>
          </w:tcPr>
          <w:p w14:paraId="0D781C67"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September</w:t>
            </w:r>
          </w:p>
        </w:tc>
        <w:tc>
          <w:tcPr>
            <w:tcW w:w="1502" w:type="dxa"/>
          </w:tcPr>
          <w:p w14:paraId="53E658D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29.33 ± 0.33</w:t>
            </w:r>
          </w:p>
        </w:tc>
        <w:tc>
          <w:tcPr>
            <w:tcW w:w="1350" w:type="dxa"/>
          </w:tcPr>
          <w:p w14:paraId="46EBC7A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70.33 ± 3.67</w:t>
            </w:r>
          </w:p>
        </w:tc>
        <w:tc>
          <w:tcPr>
            <w:tcW w:w="1530" w:type="dxa"/>
          </w:tcPr>
          <w:p w14:paraId="5E57932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28.67 ± 0.88</w:t>
            </w:r>
          </w:p>
        </w:tc>
        <w:tc>
          <w:tcPr>
            <w:tcW w:w="1350" w:type="dxa"/>
          </w:tcPr>
          <w:p w14:paraId="60B4590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71.00 ± 4.58</w:t>
            </w:r>
          </w:p>
        </w:tc>
        <w:tc>
          <w:tcPr>
            <w:tcW w:w="1530" w:type="dxa"/>
          </w:tcPr>
          <w:p w14:paraId="01C8BEB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29.33 ± 1.76</w:t>
            </w:r>
          </w:p>
        </w:tc>
        <w:tc>
          <w:tcPr>
            <w:tcW w:w="1440" w:type="dxa"/>
          </w:tcPr>
          <w:p w14:paraId="0D49ED9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68.00 ± 2.08</w:t>
            </w:r>
          </w:p>
        </w:tc>
      </w:tr>
      <w:tr w:rsidR="008F1E71" w:rsidRPr="006B3721" w14:paraId="4B970C6C" w14:textId="77777777" w:rsidTr="00860BC6">
        <w:tc>
          <w:tcPr>
            <w:tcW w:w="1288" w:type="dxa"/>
          </w:tcPr>
          <w:p w14:paraId="6CD23EF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October</w:t>
            </w:r>
          </w:p>
        </w:tc>
        <w:tc>
          <w:tcPr>
            <w:tcW w:w="1502" w:type="dxa"/>
          </w:tcPr>
          <w:p w14:paraId="58C619D7"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30.67 ± 0.33</w:t>
            </w:r>
          </w:p>
        </w:tc>
        <w:tc>
          <w:tcPr>
            <w:tcW w:w="1350" w:type="dxa"/>
          </w:tcPr>
          <w:p w14:paraId="42DA290B"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67.67 ± 1.20</w:t>
            </w:r>
          </w:p>
        </w:tc>
        <w:tc>
          <w:tcPr>
            <w:tcW w:w="1530" w:type="dxa"/>
          </w:tcPr>
          <w:p w14:paraId="46655FF7"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29.67 ± 0.33</w:t>
            </w:r>
          </w:p>
        </w:tc>
        <w:tc>
          <w:tcPr>
            <w:tcW w:w="1350" w:type="dxa"/>
          </w:tcPr>
          <w:p w14:paraId="3A1F5FD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68.33 ± 3.48</w:t>
            </w:r>
          </w:p>
        </w:tc>
        <w:tc>
          <w:tcPr>
            <w:tcW w:w="1530" w:type="dxa"/>
          </w:tcPr>
          <w:p w14:paraId="60ABD40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30.67 ± 0.67</w:t>
            </w:r>
          </w:p>
        </w:tc>
        <w:tc>
          <w:tcPr>
            <w:tcW w:w="1440" w:type="dxa"/>
          </w:tcPr>
          <w:p w14:paraId="3AF1069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1.73</w:t>
            </w:r>
          </w:p>
        </w:tc>
      </w:tr>
      <w:tr w:rsidR="008F1E71" w:rsidRPr="006B3721" w14:paraId="7501D147" w14:textId="77777777" w:rsidTr="00860BC6">
        <w:tc>
          <w:tcPr>
            <w:tcW w:w="1288" w:type="dxa"/>
          </w:tcPr>
          <w:p w14:paraId="7CC47A33"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November</w:t>
            </w:r>
          </w:p>
        </w:tc>
        <w:tc>
          <w:tcPr>
            <w:tcW w:w="1502" w:type="dxa"/>
          </w:tcPr>
          <w:p w14:paraId="1890F71B"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31.33 ± 0.33</w:t>
            </w:r>
          </w:p>
        </w:tc>
        <w:tc>
          <w:tcPr>
            <w:tcW w:w="1350" w:type="dxa"/>
          </w:tcPr>
          <w:p w14:paraId="0C6494F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65.67 ± 0.58</w:t>
            </w:r>
          </w:p>
        </w:tc>
        <w:tc>
          <w:tcPr>
            <w:tcW w:w="1530" w:type="dxa"/>
          </w:tcPr>
          <w:p w14:paraId="09B3662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31.67 ± 0.33</w:t>
            </w:r>
          </w:p>
        </w:tc>
        <w:tc>
          <w:tcPr>
            <w:tcW w:w="1350" w:type="dxa"/>
          </w:tcPr>
          <w:p w14:paraId="4262B64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2.31</w:t>
            </w:r>
          </w:p>
        </w:tc>
        <w:tc>
          <w:tcPr>
            <w:tcW w:w="1530" w:type="dxa"/>
          </w:tcPr>
          <w:p w14:paraId="5FF72F3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34.33 ± 1.20</w:t>
            </w:r>
          </w:p>
        </w:tc>
        <w:tc>
          <w:tcPr>
            <w:tcW w:w="1440" w:type="dxa"/>
          </w:tcPr>
          <w:p w14:paraId="28DB02A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69.33 ± 0.67</w:t>
            </w:r>
          </w:p>
        </w:tc>
      </w:tr>
      <w:tr w:rsidR="008F1E71" w:rsidRPr="006B3721" w14:paraId="5FF58E8C" w14:textId="77777777" w:rsidTr="00860BC6">
        <w:tc>
          <w:tcPr>
            <w:tcW w:w="1288" w:type="dxa"/>
          </w:tcPr>
          <w:p w14:paraId="61C6805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December</w:t>
            </w:r>
          </w:p>
        </w:tc>
        <w:tc>
          <w:tcPr>
            <w:tcW w:w="1502" w:type="dxa"/>
          </w:tcPr>
          <w:p w14:paraId="1737351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32.67 ± 0.33</w:t>
            </w:r>
          </w:p>
        </w:tc>
        <w:tc>
          <w:tcPr>
            <w:tcW w:w="1350" w:type="dxa"/>
          </w:tcPr>
          <w:p w14:paraId="3BFCB43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73.00 ± 6.03</w:t>
            </w:r>
          </w:p>
        </w:tc>
        <w:tc>
          <w:tcPr>
            <w:tcW w:w="1530" w:type="dxa"/>
          </w:tcPr>
          <w:p w14:paraId="689B257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31.67 ± 0.33</w:t>
            </w:r>
          </w:p>
        </w:tc>
        <w:tc>
          <w:tcPr>
            <w:tcW w:w="1350" w:type="dxa"/>
          </w:tcPr>
          <w:p w14:paraId="22F8D42B"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80.67 ± 0.67</w:t>
            </w:r>
          </w:p>
        </w:tc>
        <w:tc>
          <w:tcPr>
            <w:tcW w:w="1530" w:type="dxa"/>
          </w:tcPr>
          <w:p w14:paraId="3EF0473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35.00 ± 0.58</w:t>
            </w:r>
          </w:p>
        </w:tc>
        <w:tc>
          <w:tcPr>
            <w:tcW w:w="1440" w:type="dxa"/>
          </w:tcPr>
          <w:p w14:paraId="22E901C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66.33 ± 6.84</w:t>
            </w:r>
          </w:p>
        </w:tc>
      </w:tr>
      <w:tr w:rsidR="008F1E71" w:rsidRPr="006B3721" w14:paraId="6A335FA7" w14:textId="77777777" w:rsidTr="00860BC6">
        <w:tc>
          <w:tcPr>
            <w:tcW w:w="1288" w:type="dxa"/>
          </w:tcPr>
          <w:p w14:paraId="6A6A829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January</w:t>
            </w:r>
          </w:p>
        </w:tc>
        <w:tc>
          <w:tcPr>
            <w:tcW w:w="1502" w:type="dxa"/>
          </w:tcPr>
          <w:p w14:paraId="13211D73"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33.33 ± 0.33</w:t>
            </w:r>
          </w:p>
        </w:tc>
        <w:tc>
          <w:tcPr>
            <w:tcW w:w="1350" w:type="dxa"/>
          </w:tcPr>
          <w:p w14:paraId="78736D8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62.67 ± 1.20</w:t>
            </w:r>
          </w:p>
        </w:tc>
        <w:tc>
          <w:tcPr>
            <w:tcW w:w="1530" w:type="dxa"/>
          </w:tcPr>
          <w:p w14:paraId="7F3E19C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32.67 ± 0.33</w:t>
            </w:r>
          </w:p>
        </w:tc>
        <w:tc>
          <w:tcPr>
            <w:tcW w:w="1350" w:type="dxa"/>
          </w:tcPr>
          <w:p w14:paraId="0C6FCE9F"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77.00 ± 2.31</w:t>
            </w:r>
          </w:p>
        </w:tc>
        <w:tc>
          <w:tcPr>
            <w:tcW w:w="1530" w:type="dxa"/>
          </w:tcPr>
          <w:p w14:paraId="38566FD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34.00 ± 0.58</w:t>
            </w:r>
          </w:p>
        </w:tc>
        <w:tc>
          <w:tcPr>
            <w:tcW w:w="1440" w:type="dxa"/>
          </w:tcPr>
          <w:p w14:paraId="670C9EC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62.00 ± 2.08</w:t>
            </w:r>
          </w:p>
        </w:tc>
      </w:tr>
      <w:tr w:rsidR="008F1E71" w:rsidRPr="006B3721" w14:paraId="66D2F994" w14:textId="77777777" w:rsidTr="00860BC6">
        <w:tc>
          <w:tcPr>
            <w:tcW w:w="1288" w:type="dxa"/>
          </w:tcPr>
          <w:p w14:paraId="4FE96814"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February</w:t>
            </w:r>
          </w:p>
        </w:tc>
        <w:tc>
          <w:tcPr>
            <w:tcW w:w="1502" w:type="dxa"/>
          </w:tcPr>
          <w:p w14:paraId="484A9C02"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34.67 ± 0.33</w:t>
            </w:r>
          </w:p>
        </w:tc>
        <w:tc>
          <w:tcPr>
            <w:tcW w:w="1350" w:type="dxa"/>
          </w:tcPr>
          <w:p w14:paraId="714FE346"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rPr>
              <w:t>58.67 ± 0.67</w:t>
            </w:r>
          </w:p>
        </w:tc>
        <w:tc>
          <w:tcPr>
            <w:tcW w:w="1530" w:type="dxa"/>
          </w:tcPr>
          <w:p w14:paraId="20CED983"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33.33 ± 0.33</w:t>
            </w:r>
          </w:p>
        </w:tc>
        <w:tc>
          <w:tcPr>
            <w:tcW w:w="1350" w:type="dxa"/>
          </w:tcPr>
          <w:p w14:paraId="3A7B2B6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69.33 ± 3.38</w:t>
            </w:r>
          </w:p>
        </w:tc>
        <w:tc>
          <w:tcPr>
            <w:tcW w:w="1530" w:type="dxa"/>
          </w:tcPr>
          <w:p w14:paraId="223D5D86"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33.67 ± 1.33</w:t>
            </w:r>
          </w:p>
        </w:tc>
        <w:tc>
          <w:tcPr>
            <w:tcW w:w="1440" w:type="dxa"/>
          </w:tcPr>
          <w:p w14:paraId="2739934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63.67 ± 2.19</w:t>
            </w:r>
          </w:p>
        </w:tc>
      </w:tr>
      <w:tr w:rsidR="008F1E71" w:rsidRPr="006B3721" w14:paraId="373E2666" w14:textId="77777777" w:rsidTr="00860BC6">
        <w:tc>
          <w:tcPr>
            <w:tcW w:w="1288" w:type="dxa"/>
          </w:tcPr>
          <w:p w14:paraId="46BDA23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March</w:t>
            </w:r>
          </w:p>
        </w:tc>
        <w:tc>
          <w:tcPr>
            <w:tcW w:w="1502" w:type="dxa"/>
          </w:tcPr>
          <w:p w14:paraId="7405170E"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33.00 ± 0.58</w:t>
            </w:r>
          </w:p>
        </w:tc>
        <w:tc>
          <w:tcPr>
            <w:tcW w:w="1350" w:type="dxa"/>
          </w:tcPr>
          <w:p w14:paraId="025276B1"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66.00 ± 1.53</w:t>
            </w:r>
          </w:p>
        </w:tc>
        <w:tc>
          <w:tcPr>
            <w:tcW w:w="1530" w:type="dxa"/>
          </w:tcPr>
          <w:p w14:paraId="30A0087E" w14:textId="77777777"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rPr>
              <w:t>32.00 ± 0.58</w:t>
            </w:r>
          </w:p>
        </w:tc>
        <w:tc>
          <w:tcPr>
            <w:tcW w:w="1350" w:type="dxa"/>
          </w:tcPr>
          <w:p w14:paraId="0672995A"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67.67 ± 5.24</w:t>
            </w:r>
          </w:p>
        </w:tc>
        <w:tc>
          <w:tcPr>
            <w:tcW w:w="1530" w:type="dxa"/>
          </w:tcPr>
          <w:p w14:paraId="7571D86D"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33.67 ± 0.33</w:t>
            </w:r>
          </w:p>
        </w:tc>
        <w:tc>
          <w:tcPr>
            <w:tcW w:w="1440" w:type="dxa"/>
          </w:tcPr>
          <w:p w14:paraId="2B88B96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64.67 ± 2.03</w:t>
            </w:r>
          </w:p>
        </w:tc>
      </w:tr>
      <w:tr w:rsidR="008F1E71" w:rsidRPr="006B3721" w14:paraId="7F7F2E42" w14:textId="77777777" w:rsidTr="00860BC6">
        <w:tc>
          <w:tcPr>
            <w:tcW w:w="1288" w:type="dxa"/>
          </w:tcPr>
          <w:p w14:paraId="6653D970"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F-ANOVA</w:t>
            </w:r>
          </w:p>
        </w:tc>
        <w:tc>
          <w:tcPr>
            <w:tcW w:w="1502" w:type="dxa"/>
          </w:tcPr>
          <w:p w14:paraId="39C99B5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40.95</w:t>
            </w:r>
          </w:p>
        </w:tc>
        <w:tc>
          <w:tcPr>
            <w:tcW w:w="1350" w:type="dxa"/>
          </w:tcPr>
          <w:p w14:paraId="065949E7"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3.630</w:t>
            </w:r>
          </w:p>
        </w:tc>
        <w:tc>
          <w:tcPr>
            <w:tcW w:w="1530" w:type="dxa"/>
          </w:tcPr>
          <w:p w14:paraId="2A74C89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18.43</w:t>
            </w:r>
          </w:p>
        </w:tc>
        <w:tc>
          <w:tcPr>
            <w:tcW w:w="1350" w:type="dxa"/>
          </w:tcPr>
          <w:p w14:paraId="5D40CA28"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1.450</w:t>
            </w:r>
          </w:p>
        </w:tc>
        <w:tc>
          <w:tcPr>
            <w:tcW w:w="1530" w:type="dxa"/>
          </w:tcPr>
          <w:p w14:paraId="1998574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7.781</w:t>
            </w:r>
          </w:p>
        </w:tc>
        <w:tc>
          <w:tcPr>
            <w:tcW w:w="1440" w:type="dxa"/>
          </w:tcPr>
          <w:p w14:paraId="0459AE45"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0.625</w:t>
            </w:r>
          </w:p>
        </w:tc>
      </w:tr>
      <w:tr w:rsidR="008F1E71" w:rsidRPr="006B3721" w14:paraId="7E791D7A" w14:textId="77777777" w:rsidTr="00860BC6">
        <w:tc>
          <w:tcPr>
            <w:tcW w:w="1288" w:type="dxa"/>
          </w:tcPr>
          <w:p w14:paraId="4D1E85B9"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i/>
                <w:iCs/>
              </w:rPr>
              <w:t>p</w:t>
            </w:r>
            <w:r w:rsidRPr="006B3721">
              <w:rPr>
                <w:rFonts w:ascii="Times New Roman" w:hAnsi="Times New Roman" w:cs="Times New Roman"/>
              </w:rPr>
              <w:t>-value</w:t>
            </w:r>
          </w:p>
        </w:tc>
        <w:tc>
          <w:tcPr>
            <w:tcW w:w="1502" w:type="dxa"/>
          </w:tcPr>
          <w:p w14:paraId="26FCEBD7"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&lt;0.0001**</w:t>
            </w:r>
          </w:p>
        </w:tc>
        <w:tc>
          <w:tcPr>
            <w:tcW w:w="1350" w:type="dxa"/>
          </w:tcPr>
          <w:p w14:paraId="4FF06495"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0.011*</w:t>
            </w:r>
          </w:p>
        </w:tc>
        <w:tc>
          <w:tcPr>
            <w:tcW w:w="1530" w:type="dxa"/>
          </w:tcPr>
          <w:p w14:paraId="544F7AEC"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&lt;0.0001**</w:t>
            </w:r>
          </w:p>
        </w:tc>
        <w:tc>
          <w:tcPr>
            <w:tcW w:w="1350" w:type="dxa"/>
          </w:tcPr>
          <w:p w14:paraId="082BA4ED"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0.243</w:t>
            </w:r>
          </w:p>
        </w:tc>
        <w:tc>
          <w:tcPr>
            <w:tcW w:w="1530" w:type="dxa"/>
          </w:tcPr>
          <w:p w14:paraId="0D62CEE0"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0.00016**</w:t>
            </w:r>
          </w:p>
        </w:tc>
        <w:tc>
          <w:tcPr>
            <w:tcW w:w="1440" w:type="dxa"/>
          </w:tcPr>
          <w:p w14:paraId="22A71263" w14:textId="77777777"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0.746</w:t>
            </w:r>
          </w:p>
        </w:tc>
      </w:tr>
    </w:tbl>
    <w:p w14:paraId="076CD666" w14:textId="77777777"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sz w:val="18"/>
          <w:szCs w:val="18"/>
        </w:rPr>
        <w:t>Note: Rel. Hum means relative humidity, * show significant difference at p&lt;0.05 and ** highly significant at &lt;0.0001.</w:t>
      </w:r>
    </w:p>
    <w:p w14:paraId="7569AAF1" w14:textId="77777777" w:rsidR="008F1E71" w:rsidRPr="006B3721" w:rsidRDefault="008F1E71" w:rsidP="00F70E40">
      <w:pPr>
        <w:spacing w:line="360" w:lineRule="auto"/>
      </w:pPr>
    </w:p>
    <w:p w14:paraId="71CFDFFA" w14:textId="77777777" w:rsidR="008F1E71" w:rsidRPr="006B3721" w:rsidRDefault="008F1E71" w:rsidP="00F70E40">
      <w:pPr>
        <w:spacing w:line="360" w:lineRule="auto"/>
      </w:pPr>
    </w:p>
    <w:p w14:paraId="4ED0608C" w14:textId="77777777" w:rsidR="008F1E71" w:rsidRPr="006B3721" w:rsidRDefault="008F1E71" w:rsidP="00F70E40">
      <w:pPr>
        <w:spacing w:line="360" w:lineRule="auto"/>
      </w:pPr>
    </w:p>
    <w:p w14:paraId="2B14B5E6" w14:textId="77777777" w:rsidR="008F1E71" w:rsidRPr="006B3721" w:rsidRDefault="008F1E71" w:rsidP="00F70E40">
      <w:pPr>
        <w:spacing w:line="360" w:lineRule="auto"/>
      </w:pPr>
    </w:p>
    <w:p w14:paraId="549306A1" w14:textId="77777777" w:rsidR="008F1E71" w:rsidRPr="006B3721" w:rsidRDefault="008F1E71" w:rsidP="00F70E40">
      <w:pPr>
        <w:spacing w:line="360" w:lineRule="auto"/>
      </w:pPr>
    </w:p>
    <w:p w14:paraId="277232AB" w14:textId="77777777" w:rsidR="008F1E71" w:rsidRPr="006B3721" w:rsidRDefault="008F1E71" w:rsidP="00F70E40">
      <w:pPr>
        <w:spacing w:line="360" w:lineRule="auto"/>
      </w:pPr>
    </w:p>
    <w:p w14:paraId="630E9E57" w14:textId="77777777" w:rsidR="008F1E71" w:rsidRPr="006B3721" w:rsidRDefault="008F1E71" w:rsidP="00F70E40">
      <w:pPr>
        <w:spacing w:line="360" w:lineRule="auto"/>
      </w:pPr>
    </w:p>
    <w:p w14:paraId="42DD4FBD" w14:textId="77777777" w:rsidR="008F1E71" w:rsidRPr="006B3721" w:rsidRDefault="008F1E71" w:rsidP="00F70E40">
      <w:pPr>
        <w:spacing w:line="360" w:lineRule="auto"/>
      </w:pPr>
    </w:p>
    <w:p w14:paraId="3F48E139" w14:textId="77777777" w:rsidR="008F1E71" w:rsidRPr="006B3721" w:rsidRDefault="008F1E71" w:rsidP="00F70E40">
      <w:pPr>
        <w:spacing w:line="360" w:lineRule="auto"/>
      </w:pPr>
    </w:p>
    <w:p w14:paraId="69F52032" w14:textId="77777777" w:rsidR="008F1E71" w:rsidRPr="006B3721" w:rsidRDefault="008F1E71" w:rsidP="00F70E40">
      <w:pPr>
        <w:spacing w:line="360" w:lineRule="auto"/>
      </w:pPr>
    </w:p>
    <w:p w14:paraId="7BE10BDB" w14:textId="77777777" w:rsidR="008F1E71" w:rsidRPr="006B3721" w:rsidRDefault="008F1E71" w:rsidP="00F70E40">
      <w:pPr>
        <w:spacing w:line="360" w:lineRule="auto"/>
      </w:pPr>
    </w:p>
    <w:p w14:paraId="0390CDC5" w14:textId="77777777" w:rsidR="008F1E71" w:rsidRPr="006B3721" w:rsidRDefault="008F1E71" w:rsidP="00F70E40">
      <w:pPr>
        <w:spacing w:line="360" w:lineRule="auto"/>
      </w:pPr>
    </w:p>
    <w:p w14:paraId="65329FC2" w14:textId="77777777" w:rsidR="008F1E71" w:rsidRPr="006B3721" w:rsidRDefault="008F1E71" w:rsidP="00F70E40">
      <w:pPr>
        <w:spacing w:line="360" w:lineRule="auto"/>
      </w:pPr>
    </w:p>
    <w:p w14:paraId="6227C139" w14:textId="77777777" w:rsidR="008F1E71" w:rsidRPr="006B3721" w:rsidRDefault="008F1E71" w:rsidP="00F70E40">
      <w:pPr>
        <w:spacing w:line="360" w:lineRule="auto"/>
      </w:pPr>
      <w:r w:rsidRPr="006B3721">
        <w:rPr>
          <w:noProof/>
          <w:lang w:eastAsia="en-US"/>
        </w:rPr>
        <w:drawing>
          <wp:inline distT="0" distB="0" distL="0" distR="0" wp14:anchorId="2C42B303" wp14:editId="15DA3AC2">
            <wp:extent cx="4572000" cy="2743200"/>
            <wp:effectExtent l="0" t="0" r="0" b="0"/>
            <wp:docPr id="2132535813" name="Chart 17">
              <a:extLst xmlns:a="http://schemas.openxmlformats.org/drawingml/2006/main">
                <a:ext uri="{FF2B5EF4-FFF2-40B4-BE49-F238E27FC236}">
                  <a16:creationId xmlns:a16="http://schemas.microsoft.com/office/drawing/2014/main" id="{E89DB365-2B9E-4F37-8AD3-87DDF5468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2C8931" w14:textId="77777777" w:rsidR="008F1E71" w:rsidRPr="006B3721" w:rsidRDefault="008F1E71" w:rsidP="00F70E40">
      <w:pPr>
        <w:spacing w:line="360" w:lineRule="auto"/>
        <w:rPr>
          <w:b/>
          <w:bCs/>
        </w:rPr>
      </w:pPr>
      <w:r w:rsidRPr="006B3721">
        <w:rPr>
          <w:b/>
          <w:bCs/>
        </w:rPr>
        <w:t>Fig</w:t>
      </w:r>
      <w:r w:rsidR="007C1EA6" w:rsidRPr="006B3721">
        <w:rPr>
          <w:b/>
          <w:bCs/>
        </w:rPr>
        <w:t xml:space="preserve">ure </w:t>
      </w:r>
      <w:proofErr w:type="gramStart"/>
      <w:r w:rsidR="007C1EA6" w:rsidRPr="006B3721">
        <w:rPr>
          <w:b/>
          <w:bCs/>
        </w:rPr>
        <w:t>16</w:t>
      </w:r>
      <w:r w:rsidRPr="006B3721">
        <w:rPr>
          <w:b/>
          <w:bCs/>
        </w:rPr>
        <w:t>.</w:t>
      </w:r>
      <w:r w:rsidRPr="006B3721">
        <w:t>Monthly</w:t>
      </w:r>
      <w:proofErr w:type="gramEnd"/>
      <w:r w:rsidRPr="006B3721">
        <w:t xml:space="preserve"> variation of temperature </w:t>
      </w:r>
      <w:proofErr w:type="spellStart"/>
      <w:r w:rsidRPr="006B3721">
        <w:t>inselected</w:t>
      </w:r>
      <w:proofErr w:type="spellEnd"/>
      <w:r w:rsidRPr="006B3721">
        <w:t xml:space="preserve"> communities, Delta State, Nigeria</w:t>
      </w:r>
    </w:p>
    <w:p w14:paraId="0997DC58" w14:textId="77777777" w:rsidR="008F1E71" w:rsidRPr="006B3721" w:rsidRDefault="008F1E71" w:rsidP="00F70E40">
      <w:pPr>
        <w:spacing w:line="360" w:lineRule="auto"/>
      </w:pPr>
      <w:r w:rsidRPr="006B3721">
        <w:rPr>
          <w:noProof/>
          <w:lang w:eastAsia="en-US"/>
        </w:rPr>
        <w:lastRenderedPageBreak/>
        <w:drawing>
          <wp:inline distT="0" distB="0" distL="0" distR="0" wp14:anchorId="700CCE95" wp14:editId="365E2D7B">
            <wp:extent cx="4572000" cy="2743200"/>
            <wp:effectExtent l="0" t="0" r="0" b="0"/>
            <wp:docPr id="2132535814" name="Chart 18">
              <a:extLst xmlns:a="http://schemas.openxmlformats.org/drawingml/2006/main">
                <a:ext uri="{FF2B5EF4-FFF2-40B4-BE49-F238E27FC236}">
                  <a16:creationId xmlns:a16="http://schemas.microsoft.com/office/drawing/2014/main" id="{F7F32FE8-C021-4479-BEF4-BC0CEEB6A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1ECD0A5" w14:textId="77777777" w:rsidR="008F1E71" w:rsidRPr="006B3721" w:rsidRDefault="008F1E71" w:rsidP="00F70E40">
      <w:pPr>
        <w:spacing w:line="360" w:lineRule="auto"/>
        <w:rPr>
          <w:b/>
          <w:bCs/>
        </w:rPr>
      </w:pPr>
      <w:r w:rsidRPr="006B3721">
        <w:rPr>
          <w:b/>
          <w:bCs/>
        </w:rPr>
        <w:t>Fig</w:t>
      </w:r>
      <w:r w:rsidR="007C1EA6" w:rsidRPr="006B3721">
        <w:rPr>
          <w:b/>
          <w:bCs/>
        </w:rPr>
        <w:t xml:space="preserve">ure </w:t>
      </w:r>
      <w:proofErr w:type="gramStart"/>
      <w:r w:rsidR="007C1EA6" w:rsidRPr="006B3721">
        <w:rPr>
          <w:b/>
          <w:bCs/>
        </w:rPr>
        <w:t>17</w:t>
      </w:r>
      <w:r w:rsidRPr="006B3721">
        <w:rPr>
          <w:b/>
          <w:bCs/>
        </w:rPr>
        <w:t>.</w:t>
      </w:r>
      <w:r w:rsidRPr="006B3721">
        <w:t>Monthly</w:t>
      </w:r>
      <w:proofErr w:type="gramEnd"/>
      <w:r w:rsidRPr="006B3721">
        <w:t xml:space="preserve"> variation of relative humidity </w:t>
      </w:r>
      <w:proofErr w:type="spellStart"/>
      <w:r w:rsidRPr="006B3721">
        <w:t>inselected</w:t>
      </w:r>
      <w:proofErr w:type="spellEnd"/>
      <w:r w:rsidRPr="006B3721">
        <w:t xml:space="preserve"> communities, Delta State, Nigeria</w:t>
      </w:r>
    </w:p>
    <w:p w14:paraId="150D1805" w14:textId="77777777"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Correspondence analysis with indoor variable</w:t>
      </w:r>
    </w:p>
    <w:p w14:paraId="325F35A2" w14:textId="77777777" w:rsidR="008F1E71" w:rsidRPr="006B3721" w:rsidRDefault="008F1E71" w:rsidP="00F70E40">
      <w:pPr>
        <w:spacing w:line="360" w:lineRule="auto"/>
        <w:jc w:val="both"/>
      </w:pPr>
      <w:r w:rsidRPr="006B3721">
        <w:t xml:space="preserve">The correspondence analysis of mosquito feeding characteristics, human biting rate and indoor resting density with temperature and relative humidity indoor of the different </w:t>
      </w:r>
      <w:proofErr w:type="spellStart"/>
      <w:r w:rsidRPr="006B3721">
        <w:t>communitiesis</w:t>
      </w:r>
      <w:proofErr w:type="spellEnd"/>
      <w:r w:rsidRPr="006B3721">
        <w:t xml:space="preserve"> shown in Figure </w:t>
      </w:r>
      <w:r w:rsidR="00BC7EA3" w:rsidRPr="006B3721">
        <w:t xml:space="preserve">18 </w:t>
      </w:r>
      <w:r w:rsidRPr="006B3721">
        <w:t xml:space="preserve">and </w:t>
      </w:r>
      <w:r w:rsidR="00BC7EA3" w:rsidRPr="006B3721">
        <w:t>19</w:t>
      </w:r>
      <w:r w:rsidRPr="006B3721">
        <w:t>. The result show that the feeding characteristics of mosquitoes in the several communities are not correspondent to the indoor variables. Relative humidity positively influenced the abundance of blood fed mosquitoes in March, July and September in the various communities. Likewise, temperature and relative humidity equally influenced the human biting rate and indoor resting density of mosquitoes in July, September and October.</w:t>
      </w:r>
    </w:p>
    <w:p w14:paraId="09995C13" w14:textId="77777777" w:rsidR="008F1E71" w:rsidRPr="006B3721" w:rsidRDefault="008F1E71" w:rsidP="00F70E40">
      <w:pPr>
        <w:spacing w:line="360" w:lineRule="auto"/>
        <w:jc w:val="both"/>
      </w:pPr>
    </w:p>
    <w:p w14:paraId="5B6DFEAC" w14:textId="77777777" w:rsidR="008F1E71" w:rsidRPr="006B3721" w:rsidRDefault="008F1E71" w:rsidP="00F70E40">
      <w:pPr>
        <w:spacing w:line="360" w:lineRule="auto"/>
        <w:jc w:val="both"/>
      </w:pPr>
    </w:p>
    <w:p w14:paraId="25CFE80C" w14:textId="77777777" w:rsidR="008F1E71" w:rsidRPr="006B3721" w:rsidRDefault="008F1E71" w:rsidP="00F70E40">
      <w:pPr>
        <w:spacing w:line="360" w:lineRule="auto"/>
        <w:jc w:val="both"/>
      </w:pPr>
    </w:p>
    <w:p w14:paraId="3405ECDA" w14:textId="77777777" w:rsidR="008F1E71" w:rsidRPr="006B3721" w:rsidRDefault="008F1E71" w:rsidP="00F70E40">
      <w:pPr>
        <w:spacing w:line="360" w:lineRule="auto"/>
        <w:jc w:val="both"/>
      </w:pPr>
    </w:p>
    <w:p w14:paraId="625C2E86" w14:textId="77777777" w:rsidR="008F1E71" w:rsidRPr="006B3721" w:rsidRDefault="008F1E71" w:rsidP="00F70E40">
      <w:pPr>
        <w:spacing w:line="360" w:lineRule="auto"/>
        <w:jc w:val="both"/>
      </w:pPr>
    </w:p>
    <w:p w14:paraId="0571C7E4" w14:textId="77777777" w:rsidR="008F1E71" w:rsidRPr="006B3721" w:rsidRDefault="008F1E71" w:rsidP="00F70E40">
      <w:pPr>
        <w:spacing w:line="360" w:lineRule="auto"/>
        <w:jc w:val="both"/>
      </w:pPr>
    </w:p>
    <w:p w14:paraId="790E16F1" w14:textId="77777777" w:rsidR="008F1E71" w:rsidRPr="006B3721" w:rsidRDefault="008F1E71" w:rsidP="00F70E40">
      <w:pPr>
        <w:spacing w:line="360" w:lineRule="auto"/>
        <w:jc w:val="both"/>
      </w:pPr>
    </w:p>
    <w:p w14:paraId="2C9326B2" w14:textId="77777777" w:rsidR="008F1E71" w:rsidRPr="006B3721" w:rsidRDefault="008F1E71" w:rsidP="00F70E40">
      <w:pPr>
        <w:spacing w:line="360" w:lineRule="auto"/>
        <w:rPr>
          <w:rFonts w:ascii="Times New Roman" w:hAnsi="Times New Roman" w:cs="Times New Roman"/>
          <w:sz w:val="24"/>
          <w:szCs w:val="24"/>
        </w:rPr>
      </w:pPr>
    </w:p>
    <w:p w14:paraId="244039FB" w14:textId="77777777" w:rsidR="008F1E71" w:rsidRPr="006B3721" w:rsidRDefault="008F1E71" w:rsidP="00F70E40">
      <w:pPr>
        <w:spacing w:line="360" w:lineRule="auto"/>
      </w:pPr>
      <w:r w:rsidRPr="006B3721">
        <w:rPr>
          <w:noProof/>
          <w:lang w:eastAsia="en-US"/>
        </w:rPr>
        <w:lastRenderedPageBreak/>
        <w:drawing>
          <wp:inline distT="0" distB="0" distL="0" distR="0" wp14:anchorId="56038B31" wp14:editId="60FFC9E4">
            <wp:extent cx="4985385" cy="3869368"/>
            <wp:effectExtent l="0" t="0" r="5715" b="0"/>
            <wp:docPr id="21325358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88462" cy="3871756"/>
                    </a:xfrm>
                    <a:prstGeom prst="rect">
                      <a:avLst/>
                    </a:prstGeom>
                  </pic:spPr>
                </pic:pic>
              </a:graphicData>
            </a:graphic>
          </wp:inline>
        </w:drawing>
      </w:r>
    </w:p>
    <w:p w14:paraId="4EFD1851" w14:textId="77777777"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t>Fig</w:t>
      </w:r>
      <w:r w:rsidR="00BC7EA3" w:rsidRPr="006B3721">
        <w:rPr>
          <w:rFonts w:ascii="Times New Roman" w:hAnsi="Times New Roman" w:cs="Times New Roman"/>
          <w:b/>
          <w:bCs/>
          <w:sz w:val="24"/>
          <w:szCs w:val="24"/>
        </w:rPr>
        <w:t>ure 18</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Correspondence of feeding characteristics with environmental variables in sampled months</w:t>
      </w:r>
    </w:p>
    <w:p w14:paraId="5E9AB5DD" w14:textId="77777777" w:rsidR="008F1E71" w:rsidRPr="006B3721" w:rsidRDefault="008F1E71" w:rsidP="00F70E40">
      <w:pPr>
        <w:spacing w:line="360" w:lineRule="auto"/>
      </w:pPr>
    </w:p>
    <w:p w14:paraId="703FC256" w14:textId="77777777" w:rsidR="008F1E71" w:rsidRPr="006B3721" w:rsidRDefault="008F1E71" w:rsidP="00F70E40">
      <w:pPr>
        <w:spacing w:line="360" w:lineRule="auto"/>
      </w:pPr>
    </w:p>
    <w:p w14:paraId="590F6263" w14:textId="77777777" w:rsidR="008F1E71" w:rsidRPr="006B3721" w:rsidRDefault="008F1E71" w:rsidP="00F70E40">
      <w:pPr>
        <w:spacing w:line="360" w:lineRule="auto"/>
      </w:pPr>
    </w:p>
    <w:p w14:paraId="3E3E67A0" w14:textId="77777777" w:rsidR="008F1E71" w:rsidRPr="006B3721" w:rsidRDefault="008F1E71" w:rsidP="00F70E40">
      <w:pPr>
        <w:spacing w:line="360" w:lineRule="auto"/>
      </w:pPr>
      <w:r w:rsidRPr="006B3721">
        <w:rPr>
          <w:noProof/>
          <w:lang w:eastAsia="en-US"/>
        </w:rPr>
        <w:lastRenderedPageBreak/>
        <w:drawing>
          <wp:inline distT="0" distB="0" distL="0" distR="0" wp14:anchorId="4FF109AB" wp14:editId="6D0CB6CA">
            <wp:extent cx="5920105" cy="4939095"/>
            <wp:effectExtent l="0" t="0" r="4445" b="0"/>
            <wp:docPr id="21325358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24698" cy="4942927"/>
                    </a:xfrm>
                    <a:prstGeom prst="rect">
                      <a:avLst/>
                    </a:prstGeom>
                  </pic:spPr>
                </pic:pic>
              </a:graphicData>
            </a:graphic>
          </wp:inline>
        </w:drawing>
      </w:r>
    </w:p>
    <w:p w14:paraId="7B1A4208" w14:textId="77777777"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t>Fig</w:t>
      </w:r>
      <w:r w:rsidR="00BC7EA3" w:rsidRPr="006B3721">
        <w:rPr>
          <w:rFonts w:ascii="Times New Roman" w:hAnsi="Times New Roman" w:cs="Times New Roman"/>
          <w:b/>
          <w:bCs/>
          <w:sz w:val="24"/>
          <w:szCs w:val="24"/>
        </w:rPr>
        <w:t>ure 19</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Correspondence of human biting rate and indoor resting density with environmental variables in sampled months</w:t>
      </w:r>
    </w:p>
    <w:p w14:paraId="3964361A" w14:textId="77777777" w:rsidR="0010151B" w:rsidRPr="006B3721" w:rsidRDefault="0010151B" w:rsidP="00FC6354">
      <w:pPr>
        <w:spacing w:after="0" w:line="360" w:lineRule="auto"/>
        <w:jc w:val="both"/>
        <w:rPr>
          <w:rFonts w:ascii="Times New Roman" w:eastAsia="Times New Roman" w:hAnsi="Times New Roman" w:cs="Times New Roman"/>
          <w:kern w:val="0"/>
          <w:sz w:val="24"/>
          <w:szCs w:val="24"/>
          <w:shd w:val="clear" w:color="auto" w:fill="FFFFFF"/>
          <w:lang w:eastAsia="en-US"/>
        </w:rPr>
      </w:pPr>
      <w:r w:rsidRPr="006B3721">
        <w:rPr>
          <w:rFonts w:ascii="Times New Roman" w:eastAsia="Times New Roman" w:hAnsi="Times New Roman" w:cs="Times New Roman"/>
          <w:kern w:val="0"/>
          <w:sz w:val="24"/>
          <w:szCs w:val="24"/>
          <w:shd w:val="clear" w:color="auto" w:fill="FFFFFF"/>
          <w:lang w:eastAsia="en-US"/>
        </w:rPr>
        <w:t xml:space="preserve">Research on mosquito feeding characteristics and environmental factors in Nigerian communities reveals important patterns in vector behavior and disease transmission. Indoor resting density of Anopheles mosquitoes shows significant seasonal variation, with higher densities during wet seasons (1.38 mosquitoes) compared to dry seasons (0.91 mosquitoes) (Lamidi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2018). Similarly, human biting rates are elevated during rainy periods, with rates reaching 0.78 bites/night/person in wet seasons versus 0.69 in dry seasons (Lamidi </w:t>
      </w:r>
      <w:r w:rsidRPr="006B3721">
        <w:rPr>
          <w:rFonts w:ascii="Times New Roman" w:eastAsia="Times New Roman" w:hAnsi="Times New Roman" w:cs="Times New Roman"/>
          <w:i/>
          <w:kern w:val="0"/>
          <w:sz w:val="24"/>
          <w:szCs w:val="24"/>
          <w:shd w:val="clear" w:color="auto" w:fill="FFFFFF"/>
          <w:lang w:eastAsia="en-US"/>
        </w:rPr>
        <w:t xml:space="preserve">et al., </w:t>
      </w:r>
      <w:r w:rsidRPr="006B3721">
        <w:rPr>
          <w:rFonts w:ascii="Times New Roman" w:eastAsia="Times New Roman" w:hAnsi="Times New Roman" w:cs="Times New Roman"/>
          <w:kern w:val="0"/>
          <w:sz w:val="24"/>
          <w:szCs w:val="24"/>
          <w:shd w:val="clear" w:color="auto" w:fill="FFFFFF"/>
          <w:lang w:eastAsia="en-US"/>
        </w:rPr>
        <w:t xml:space="preserve">2018). </w:t>
      </w:r>
    </w:p>
    <w:p w14:paraId="547C4D66" w14:textId="77777777" w:rsidR="0010151B" w:rsidRPr="006B3721" w:rsidRDefault="0010151B" w:rsidP="00FC6354">
      <w:pPr>
        <w:spacing w:after="0" w:line="360" w:lineRule="auto"/>
        <w:jc w:val="both"/>
        <w:rPr>
          <w:rFonts w:ascii="Times New Roman" w:eastAsia="Times New Roman" w:hAnsi="Times New Roman" w:cs="Times New Roman"/>
          <w:kern w:val="0"/>
          <w:sz w:val="24"/>
          <w:szCs w:val="24"/>
          <w:shd w:val="clear" w:color="auto" w:fill="FFFFFF"/>
          <w:lang w:eastAsia="en-US"/>
        </w:rPr>
      </w:pPr>
    </w:p>
    <w:p w14:paraId="3FB2269C" w14:textId="77777777" w:rsidR="0010151B" w:rsidRPr="006B3721" w:rsidRDefault="0010151B" w:rsidP="00FC6354">
      <w:pPr>
        <w:spacing w:line="360" w:lineRule="auto"/>
        <w:jc w:val="both"/>
        <w:rPr>
          <w:rFonts w:ascii="Times New Roman" w:hAnsi="Times New Roman" w:cs="Times New Roman"/>
          <w:sz w:val="24"/>
          <w:szCs w:val="24"/>
        </w:rPr>
      </w:pPr>
      <w:r w:rsidRPr="006B3721">
        <w:rPr>
          <w:rFonts w:ascii="Times New Roman" w:eastAsia="Times New Roman" w:hAnsi="Times New Roman" w:cs="Times New Roman"/>
          <w:kern w:val="0"/>
          <w:sz w:val="24"/>
          <w:szCs w:val="24"/>
          <w:shd w:val="clear" w:color="auto" w:fill="FFFFFF"/>
          <w:lang w:eastAsia="en-US"/>
        </w:rPr>
        <w:t xml:space="preserve">Climatic variables demonstrate varying relationships with mosquito abundance, with rainfall showing strong correlation (R²=0.751) with Anopheles populations, while relative humidity and </w:t>
      </w:r>
      <w:r w:rsidRPr="006B3721">
        <w:rPr>
          <w:rFonts w:ascii="Times New Roman" w:eastAsia="Times New Roman" w:hAnsi="Times New Roman" w:cs="Times New Roman"/>
          <w:kern w:val="0"/>
          <w:sz w:val="24"/>
          <w:szCs w:val="24"/>
          <w:shd w:val="clear" w:color="auto" w:fill="FFFFFF"/>
          <w:lang w:eastAsia="en-US"/>
        </w:rPr>
        <w:lastRenderedPageBreak/>
        <w:t>temperature relationships remain weak (</w:t>
      </w:r>
      <w:proofErr w:type="spellStart"/>
      <w:r w:rsidRPr="006B3721">
        <w:rPr>
          <w:rFonts w:ascii="Times New Roman" w:eastAsia="Times New Roman" w:hAnsi="Times New Roman" w:cs="Times New Roman"/>
          <w:kern w:val="0"/>
          <w:sz w:val="24"/>
          <w:szCs w:val="24"/>
          <w:shd w:val="clear" w:color="auto" w:fill="FFFFFF"/>
          <w:lang w:eastAsia="en-US"/>
        </w:rPr>
        <w:t>Olorunniyi</w:t>
      </w:r>
      <w:proofErr w:type="spellEnd"/>
      <w:r w:rsidRPr="006B3721">
        <w:rPr>
          <w:rFonts w:ascii="Times New Roman" w:eastAsia="Times New Roman" w:hAnsi="Times New Roman" w:cs="Times New Roman"/>
          <w:kern w:val="0"/>
          <w:sz w:val="24"/>
          <w:szCs w:val="24"/>
          <w:shd w:val="clear" w:color="auto" w:fill="FFFFFF"/>
          <w:lang w:eastAsia="en-US"/>
        </w:rPr>
        <w:t xml:space="preserve">, 2021). Indoor resting densities vary significantly across communities, ranging from 10 mosquitoes/room/night in some areas to lower densities in others (Hamza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2023). Human blood indices reach 100% in fed mosquitoes, indicating strong anthropophilic behavior (Lamidi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2018). These findings demonstrate clear seasonal and geographic variations in mosquito-human contact patterns across Nigerian communities.</w:t>
      </w:r>
    </w:p>
    <w:p w14:paraId="307FFF5F" w14:textId="77777777" w:rsidR="00C2780F" w:rsidRPr="006B3721" w:rsidRDefault="00C2780F" w:rsidP="00FC6354">
      <w:pPr>
        <w:pStyle w:val="Heading2"/>
        <w:spacing w:line="360" w:lineRule="auto"/>
        <w:jc w:val="both"/>
        <w:rPr>
          <w:rFonts w:ascii="Times New Roman" w:hAnsi="Times New Roman" w:cs="Times New Roman"/>
          <w:color w:val="auto"/>
          <w:sz w:val="24"/>
          <w:szCs w:val="24"/>
        </w:rPr>
      </w:pPr>
      <w:r w:rsidRPr="006B3721">
        <w:rPr>
          <w:rStyle w:val="Strong"/>
          <w:rFonts w:ascii="Times New Roman" w:hAnsi="Times New Roman" w:cs="Times New Roman"/>
          <w:b/>
          <w:bCs/>
          <w:color w:val="auto"/>
          <w:sz w:val="24"/>
          <w:szCs w:val="24"/>
        </w:rPr>
        <w:t>Conclusion</w:t>
      </w:r>
    </w:p>
    <w:p w14:paraId="3974AB0A" w14:textId="77777777" w:rsidR="00C2780F" w:rsidRPr="006B3721" w:rsidRDefault="00C2780F" w:rsidP="00FC6354">
      <w:pPr>
        <w:pStyle w:val="NormalWeb"/>
        <w:spacing w:line="360" w:lineRule="auto"/>
        <w:jc w:val="both"/>
      </w:pPr>
      <w:r w:rsidRPr="006B3721">
        <w:t xml:space="preserve">This study provides important evidence on the ecology and transmission potential of </w:t>
      </w:r>
      <w:r w:rsidRPr="006B3721">
        <w:rPr>
          <w:rStyle w:val="Emphasis"/>
        </w:rPr>
        <w:t>Anopheles gambiae</w:t>
      </w:r>
      <w:r w:rsidRPr="006B3721">
        <w:t xml:space="preserve"> in malaria-endemic communities of Delta State, Nigeria. The predominance of blood-fed mosquitoes, coupled with high indoor resting densities and biting rates during the wet season, emphasizes the strong anthropophilic and endophilic behavior of </w:t>
      </w:r>
      <w:r w:rsidRPr="006B3721">
        <w:rPr>
          <w:rStyle w:val="Emphasis"/>
        </w:rPr>
        <w:t xml:space="preserve">An. </w:t>
      </w:r>
      <w:proofErr w:type="spellStart"/>
      <w:r w:rsidRPr="006B3721">
        <w:rPr>
          <w:rStyle w:val="Emphasis"/>
        </w:rPr>
        <w:t>coluzzii</w:t>
      </w:r>
      <w:proofErr w:type="spellEnd"/>
      <w:r w:rsidRPr="006B3721">
        <w:t xml:space="preserve">, the identified sibling species. The significant influence of relative humidity and seasonal variations on mosquito abundance and feeding patterns demonstrates the need for continuous, climate-sensitive vector surveillance. </w:t>
      </w:r>
      <w:proofErr w:type="spellStart"/>
      <w:r w:rsidRPr="006B3721">
        <w:t>Egbudu-Akah</w:t>
      </w:r>
      <w:proofErr w:type="spellEnd"/>
      <w:r w:rsidRPr="006B3721">
        <w:t xml:space="preserve"> consistently exhibited the highest mosquito densities and feeding activity, indicating a potential hotspot for malaria transmission within the region. These findings highlight the necessity of integrating entomological indices into malaria control programs, particularly in tailoring interventions such as indoor residual spraying, long-lasting insecticide-treated nets, and community-based education. Ultimately, strengthening vector monitoring and adopting evidence-driven strategies remain critical to reducing malaria burden and achieving sustainable control in Delta State and other endemic regions of Nigeria.</w:t>
      </w:r>
    </w:p>
    <w:p w14:paraId="4BD27C11" w14:textId="77777777" w:rsidR="00EF2979" w:rsidRPr="006B3721" w:rsidRDefault="00EF2979" w:rsidP="00FC6354">
      <w:pPr>
        <w:spacing w:line="360" w:lineRule="auto"/>
        <w:jc w:val="both"/>
      </w:pPr>
    </w:p>
    <w:p w14:paraId="64EE856B" w14:textId="77777777" w:rsidR="00D86D23" w:rsidRPr="006B3721" w:rsidRDefault="00D86D23" w:rsidP="00FC6354">
      <w:pPr>
        <w:spacing w:line="360" w:lineRule="auto"/>
        <w:jc w:val="both"/>
      </w:pPr>
    </w:p>
    <w:p w14:paraId="2D8153A2" w14:textId="77777777" w:rsidR="00AE32E8" w:rsidRPr="006B3721" w:rsidRDefault="00AE32E8" w:rsidP="00F70E40">
      <w:pPr>
        <w:spacing w:line="360" w:lineRule="auto"/>
        <w:rPr>
          <w:sz w:val="28"/>
        </w:rPr>
      </w:pPr>
    </w:p>
    <w:p w14:paraId="557227B2" w14:textId="77777777" w:rsidR="00AE32E8" w:rsidRPr="006B3721" w:rsidRDefault="00AE32E8" w:rsidP="00F70E40">
      <w:pPr>
        <w:spacing w:line="360" w:lineRule="auto"/>
        <w:rPr>
          <w:sz w:val="28"/>
        </w:rPr>
      </w:pPr>
    </w:p>
    <w:p w14:paraId="1769BA33" w14:textId="77777777" w:rsidR="00AE32E8" w:rsidRPr="006B3721" w:rsidRDefault="00AE32E8" w:rsidP="00F70E40">
      <w:pPr>
        <w:spacing w:line="360" w:lineRule="auto"/>
        <w:rPr>
          <w:sz w:val="28"/>
        </w:rPr>
      </w:pPr>
    </w:p>
    <w:p w14:paraId="4E18E488" w14:textId="77777777" w:rsidR="00AE32E8" w:rsidRPr="006B3721" w:rsidRDefault="00AE32E8" w:rsidP="00F70E40">
      <w:pPr>
        <w:spacing w:line="360" w:lineRule="auto"/>
        <w:rPr>
          <w:sz w:val="28"/>
        </w:rPr>
      </w:pPr>
    </w:p>
    <w:p w14:paraId="2C04237A" w14:textId="77777777" w:rsidR="00AE32E8" w:rsidRPr="006B3721" w:rsidRDefault="00D86D23" w:rsidP="00F70E40">
      <w:pPr>
        <w:spacing w:line="360" w:lineRule="auto"/>
        <w:rPr>
          <w:sz w:val="28"/>
        </w:rPr>
      </w:pPr>
      <w:r w:rsidRPr="006B3721">
        <w:rPr>
          <w:sz w:val="28"/>
        </w:rPr>
        <w:lastRenderedPageBreak/>
        <w:t xml:space="preserve">References </w:t>
      </w:r>
    </w:p>
    <w:p w14:paraId="35D1D2A4" w14:textId="77777777" w:rsidR="00AE32E8" w:rsidRPr="006B3721" w:rsidRDefault="00AE32E8" w:rsidP="00AE32E8">
      <w:pPr>
        <w:pStyle w:val="NormalWeb"/>
      </w:pPr>
      <w:r w:rsidRPr="006B3721">
        <w:t xml:space="preserve">Abdullahi, J. M., </w:t>
      </w:r>
      <w:proofErr w:type="spellStart"/>
      <w:r w:rsidRPr="006B3721">
        <w:t>Dogara</w:t>
      </w:r>
      <w:proofErr w:type="spellEnd"/>
      <w:r w:rsidRPr="006B3721">
        <w:t xml:space="preserve">, M. M., Adeniyi, K. A., Balogun, J. B., Ibrahim, H. M., &amp; Idris, A. I. (2024). Assessment of indoor and outdoor resting adult female </w:t>
      </w:r>
      <w:proofErr w:type="gramStart"/>
      <w:r w:rsidRPr="006B3721">
        <w:t>mosquitoes</w:t>
      </w:r>
      <w:proofErr w:type="gramEnd"/>
      <w:r w:rsidRPr="006B3721">
        <w:t xml:space="preserve"> density exhibiting vectorial portent: Insight from Kano State, Nigeria. </w:t>
      </w:r>
      <w:r w:rsidRPr="006B3721">
        <w:rPr>
          <w:rStyle w:val="Emphasis"/>
        </w:rPr>
        <w:t>Sahel Journal of Life Sciences FUDMA, 2</w:t>
      </w:r>
      <w:r w:rsidRPr="006B3721">
        <w:t xml:space="preserve">(2), 55–63. </w:t>
      </w:r>
      <w:hyperlink r:id="rId25" w:history="1">
        <w:r w:rsidRPr="006B3721">
          <w:rPr>
            <w:rStyle w:val="Hyperlink"/>
            <w:color w:val="auto"/>
          </w:rPr>
          <w:t>https://doi.org/10.33003/sajols-2024-0202-08</w:t>
        </w:r>
      </w:hyperlink>
    </w:p>
    <w:p w14:paraId="4D8AB6D1" w14:textId="77777777" w:rsidR="00AE32E8" w:rsidRPr="006B3721" w:rsidRDefault="00AE32E8" w:rsidP="00AE32E8">
      <w:pPr>
        <w:pStyle w:val="NormalWeb"/>
      </w:pPr>
      <w:r w:rsidRPr="006B3721">
        <w:rPr>
          <w:rStyle w:val="Strong"/>
        </w:rPr>
        <w:t xml:space="preserve">Adeniyi, K. A., </w:t>
      </w:r>
      <w:proofErr w:type="spellStart"/>
      <w:r w:rsidRPr="006B3721">
        <w:rPr>
          <w:rStyle w:val="Strong"/>
        </w:rPr>
        <w:t>Adesoye</w:t>
      </w:r>
      <w:proofErr w:type="spellEnd"/>
      <w:r w:rsidRPr="006B3721">
        <w:rPr>
          <w:rStyle w:val="Strong"/>
        </w:rPr>
        <w:t xml:space="preserve">, O. A., Muzammil, W. S., </w:t>
      </w:r>
      <w:proofErr w:type="spellStart"/>
      <w:r w:rsidRPr="006B3721">
        <w:rPr>
          <w:rStyle w:val="Strong"/>
        </w:rPr>
        <w:t>Akinsete</w:t>
      </w:r>
      <w:proofErr w:type="spellEnd"/>
      <w:r w:rsidRPr="006B3721">
        <w:rPr>
          <w:rStyle w:val="Strong"/>
        </w:rPr>
        <w:t xml:space="preserve">, I., Shuaibu, T., </w:t>
      </w:r>
      <w:proofErr w:type="spellStart"/>
      <w:r w:rsidRPr="006B3721">
        <w:rPr>
          <w:rStyle w:val="Strong"/>
        </w:rPr>
        <w:t>Adeogun</w:t>
      </w:r>
      <w:proofErr w:type="spellEnd"/>
      <w:r w:rsidRPr="006B3721">
        <w:rPr>
          <w:rStyle w:val="Strong"/>
        </w:rPr>
        <w:t>, A., &amp;</w:t>
      </w:r>
      <w:proofErr w:type="spellStart"/>
      <w:r w:rsidRPr="006B3721">
        <w:rPr>
          <w:rStyle w:val="Strong"/>
        </w:rPr>
        <w:t>Dogara</w:t>
      </w:r>
      <w:proofErr w:type="spellEnd"/>
      <w:r w:rsidRPr="006B3721">
        <w:rPr>
          <w:rStyle w:val="Strong"/>
        </w:rPr>
        <w:t>, M. M. (2023</w:t>
      </w:r>
      <w:proofErr w:type="gramStart"/>
      <w:r w:rsidRPr="006B3721">
        <w:rPr>
          <w:rStyle w:val="Strong"/>
        </w:rPr>
        <w:t>).</w:t>
      </w:r>
      <w:r w:rsidRPr="006B3721">
        <w:rPr>
          <w:rStyle w:val="Emphasis"/>
          <w:rFonts w:eastAsiaTheme="minorEastAsia"/>
        </w:rPr>
        <w:t>Species</w:t>
      </w:r>
      <w:proofErr w:type="gramEnd"/>
      <w:r w:rsidRPr="006B3721">
        <w:rPr>
          <w:rStyle w:val="Emphasis"/>
          <w:rFonts w:eastAsiaTheme="minorEastAsia"/>
        </w:rPr>
        <w:t xml:space="preserve"> composition and abundance of indoor adult resting mosquitoes in the male students' hostel at Federal University </w:t>
      </w:r>
      <w:proofErr w:type="spellStart"/>
      <w:r w:rsidRPr="006B3721">
        <w:rPr>
          <w:rStyle w:val="Emphasis"/>
          <w:rFonts w:eastAsiaTheme="minorEastAsia"/>
        </w:rPr>
        <w:t>Dutse</w:t>
      </w:r>
      <w:proofErr w:type="spellEnd"/>
      <w:r w:rsidRPr="006B3721">
        <w:rPr>
          <w:rStyle w:val="Emphasis"/>
          <w:rFonts w:eastAsiaTheme="minorEastAsia"/>
        </w:rPr>
        <w:t>, Jigawa State, Nigeria</w:t>
      </w:r>
      <w:r w:rsidRPr="006B3721">
        <w:t xml:space="preserve">. </w:t>
      </w:r>
      <w:proofErr w:type="spellStart"/>
      <w:r w:rsidRPr="006B3721">
        <w:rPr>
          <w:rStyle w:val="Strong"/>
        </w:rPr>
        <w:t>Dutse</w:t>
      </w:r>
      <w:proofErr w:type="spellEnd"/>
      <w:r w:rsidRPr="006B3721">
        <w:rPr>
          <w:rStyle w:val="Strong"/>
        </w:rPr>
        <w:t xml:space="preserve"> Journal of Pure and Applied Sciences, 9</w:t>
      </w:r>
      <w:r w:rsidRPr="006B3721">
        <w:t xml:space="preserve">(4a), 320–328. </w:t>
      </w:r>
      <w:hyperlink r:id="rId26" w:history="1">
        <w:r w:rsidRPr="006B3721">
          <w:rPr>
            <w:rStyle w:val="Hyperlink"/>
            <w:color w:val="auto"/>
          </w:rPr>
          <w:t>https://doi.org/10.4314/dujopas.v9i4a.30</w:t>
        </w:r>
      </w:hyperlink>
    </w:p>
    <w:p w14:paraId="5D945693" w14:textId="77777777" w:rsidR="00AE32E8" w:rsidRPr="006B3721" w:rsidRDefault="00AE32E8" w:rsidP="00AE32E8">
      <w:pPr>
        <w:pStyle w:val="NormalWeb"/>
      </w:pPr>
      <w:r w:rsidRPr="006B3721">
        <w:t xml:space="preserve">Ajayi, F., Ibrahim, K., </w:t>
      </w:r>
      <w:proofErr w:type="spellStart"/>
      <w:r w:rsidRPr="006B3721">
        <w:t>Oguayo</w:t>
      </w:r>
      <w:proofErr w:type="spellEnd"/>
      <w:r w:rsidRPr="006B3721">
        <w:t>, V., Anumudu, C., &amp;</w:t>
      </w:r>
      <w:proofErr w:type="spellStart"/>
      <w:r w:rsidRPr="006B3721">
        <w:t>Noutcha</w:t>
      </w:r>
      <w:proofErr w:type="spellEnd"/>
      <w:r w:rsidRPr="006B3721">
        <w:t xml:space="preserve">, A. (2025). Host preferences, bloodmeal sources, and gonotrophic cycles of </w:t>
      </w:r>
      <w:r w:rsidRPr="006B3721">
        <w:rPr>
          <w:rStyle w:val="Emphasis"/>
        </w:rPr>
        <w:t>Anopheles gambiae</w:t>
      </w:r>
      <w:r w:rsidRPr="006B3721">
        <w:t xml:space="preserve"> complex mosquitoes in rural Southwestern Nigeria. </w:t>
      </w:r>
      <w:r w:rsidRPr="006B3721">
        <w:rPr>
          <w:rStyle w:val="Emphasis"/>
        </w:rPr>
        <w:t>Journal of Vector Borne Diseases</w:t>
      </w:r>
      <w:r w:rsidRPr="006B3721">
        <w:t xml:space="preserve">. Advance online publication. </w:t>
      </w:r>
      <w:hyperlink r:id="rId27" w:history="1">
        <w:r w:rsidRPr="006B3721">
          <w:rPr>
            <w:rStyle w:val="Hyperlink"/>
            <w:color w:val="auto"/>
          </w:rPr>
          <w:t>https://doi.org/10.4103/jvbd.jvbd_23_25</w:t>
        </w:r>
      </w:hyperlink>
    </w:p>
    <w:p w14:paraId="1ECA3FC3" w14:textId="77777777" w:rsidR="00AE32E8" w:rsidRPr="006B3721" w:rsidRDefault="00AE32E8" w:rsidP="00AE32E8">
      <w:pPr>
        <w:pStyle w:val="NormalWeb"/>
      </w:pPr>
      <w:r w:rsidRPr="006B3721">
        <w:t xml:space="preserve">Bassey, E. B., </w:t>
      </w:r>
      <w:proofErr w:type="spellStart"/>
      <w:r w:rsidRPr="006B3721">
        <w:t>Oboho</w:t>
      </w:r>
      <w:proofErr w:type="spellEnd"/>
      <w:r w:rsidRPr="006B3721">
        <w:t xml:space="preserve">, D., Akpan, A. U., Opara, K. N., Atting, I., </w:t>
      </w:r>
      <w:proofErr w:type="spellStart"/>
      <w:r w:rsidRPr="006B3721">
        <w:t>Ogbeche</w:t>
      </w:r>
      <w:proofErr w:type="spellEnd"/>
      <w:r w:rsidRPr="006B3721">
        <w:t xml:space="preserve">, J. O., Afia, U. U., </w:t>
      </w:r>
      <w:proofErr w:type="spellStart"/>
      <w:r w:rsidRPr="006B3721">
        <w:t>Umohata</w:t>
      </w:r>
      <w:proofErr w:type="spellEnd"/>
      <w:r w:rsidRPr="006B3721">
        <w:t>, I., Adams, E. G., &amp;</w:t>
      </w:r>
      <w:proofErr w:type="spellStart"/>
      <w:r w:rsidRPr="006B3721">
        <w:t>Usip</w:t>
      </w:r>
      <w:proofErr w:type="spellEnd"/>
      <w:r w:rsidRPr="006B3721">
        <w:t xml:space="preserve">, L. (2024). Biting rhythms of malaria vector in the urban area of Itu, Akwa Ibom State, Nigeria. </w:t>
      </w:r>
      <w:r w:rsidRPr="006B3721">
        <w:rPr>
          <w:rStyle w:val="Emphasis"/>
        </w:rPr>
        <w:t>Nigerian Journal of Entomology</w:t>
      </w:r>
      <w:r w:rsidRPr="006B3721">
        <w:t xml:space="preserve">. </w:t>
      </w:r>
      <w:hyperlink r:id="rId28" w:history="1">
        <w:r w:rsidRPr="006B3721">
          <w:rPr>
            <w:rStyle w:val="Hyperlink"/>
            <w:color w:val="auto"/>
          </w:rPr>
          <w:t>https://doi.org/10.36108/nje/4202/04.0201</w:t>
        </w:r>
      </w:hyperlink>
    </w:p>
    <w:p w14:paraId="4FFCE711" w14:textId="77777777" w:rsidR="00AE32E8" w:rsidRPr="006B3721" w:rsidRDefault="00AE32E8" w:rsidP="00AE32E8">
      <w:pPr>
        <w:pStyle w:val="NormalWeb"/>
      </w:pPr>
      <w:r w:rsidRPr="006B3721">
        <w:t xml:space="preserve">Blanken, S. L., Prudhomme O'Meara, W., Hol, F. J. H., </w:t>
      </w:r>
      <w:proofErr w:type="spellStart"/>
      <w:r w:rsidRPr="006B3721">
        <w:t>Bousema</w:t>
      </w:r>
      <w:proofErr w:type="spellEnd"/>
      <w:r w:rsidRPr="006B3721">
        <w:t xml:space="preserve">, T., &amp;Markwalter, C. F. (2024). À la carte: How mosquitoes choose their blood meals. </w:t>
      </w:r>
      <w:r w:rsidRPr="006B3721">
        <w:rPr>
          <w:rStyle w:val="Emphasis"/>
        </w:rPr>
        <w:t>Trends in Parasitology, 40</w:t>
      </w:r>
      <w:r w:rsidRPr="006B3721">
        <w:t xml:space="preserve">(7), 591–603. </w:t>
      </w:r>
      <w:hyperlink r:id="rId29" w:history="1">
        <w:r w:rsidRPr="006B3721">
          <w:rPr>
            <w:rStyle w:val="Hyperlink"/>
            <w:color w:val="auto"/>
          </w:rPr>
          <w:t>https://doi.org/10.1016/j.pt.2024.05.007</w:t>
        </w:r>
      </w:hyperlink>
    </w:p>
    <w:p w14:paraId="34395F1A" w14:textId="77777777" w:rsidR="00B31616" w:rsidRPr="006B3721" w:rsidRDefault="00AE32E8" w:rsidP="00AE32E8">
      <w:pPr>
        <w:pStyle w:val="NormalWeb"/>
      </w:pPr>
      <w:r w:rsidRPr="006B3721">
        <w:t xml:space="preserve">Coetzee, M. (2020). Key to the females of Afrotropical </w:t>
      </w:r>
      <w:r w:rsidRPr="006B3721">
        <w:rPr>
          <w:rStyle w:val="Emphasis"/>
        </w:rPr>
        <w:t>Anopheles</w:t>
      </w:r>
      <w:r w:rsidRPr="006B3721">
        <w:t xml:space="preserve"> mosquitoes (Diptera: Culicidae). </w:t>
      </w:r>
      <w:r w:rsidRPr="006B3721">
        <w:rPr>
          <w:rStyle w:val="Emphasis"/>
        </w:rPr>
        <w:t>Malaria Journal, 19</w:t>
      </w:r>
      <w:r w:rsidRPr="006B3721">
        <w:t xml:space="preserve">, 70. </w:t>
      </w:r>
      <w:hyperlink r:id="rId30" w:history="1">
        <w:r w:rsidRPr="006B3721">
          <w:rPr>
            <w:rStyle w:val="Hyperlink"/>
            <w:color w:val="auto"/>
          </w:rPr>
          <w:t>https://doi.org/10.1186/s12936-020-3144-9</w:t>
        </w:r>
      </w:hyperlink>
    </w:p>
    <w:p w14:paraId="18023FD1" w14:textId="77777777" w:rsidR="00AE32E8" w:rsidRPr="006B3721" w:rsidRDefault="00AE32E8" w:rsidP="00AE32E8">
      <w:pPr>
        <w:pStyle w:val="NormalWeb"/>
      </w:pPr>
      <w:proofErr w:type="spellStart"/>
      <w:r w:rsidRPr="006B3721">
        <w:t>Ekesiobi</w:t>
      </w:r>
      <w:proofErr w:type="spellEnd"/>
      <w:r w:rsidRPr="006B3721">
        <w:t xml:space="preserve">, A. O. (2025). Surveillance of indoor biting mosquito vectors in Uga rural community, Aguata Local Government Area, Anambra State, Nigeria. </w:t>
      </w:r>
      <w:r w:rsidRPr="006B3721">
        <w:rPr>
          <w:rStyle w:val="Emphasis"/>
        </w:rPr>
        <w:t>IPS Journal of Public Health, 5</w:t>
      </w:r>
      <w:r w:rsidRPr="006B3721">
        <w:t xml:space="preserve">(2), 188–191. </w:t>
      </w:r>
      <w:hyperlink r:id="rId31" w:history="1">
        <w:r w:rsidRPr="006B3721">
          <w:rPr>
            <w:rStyle w:val="Hyperlink"/>
            <w:color w:val="auto"/>
          </w:rPr>
          <w:t>https://doi.org/10.54117/ijph.v5i2.36</w:t>
        </w:r>
      </w:hyperlink>
    </w:p>
    <w:p w14:paraId="2956E076" w14:textId="77777777" w:rsidR="00AE32E8" w:rsidRPr="006B3721" w:rsidRDefault="00AE32E8" w:rsidP="00AE32E8">
      <w:pPr>
        <w:pStyle w:val="NormalWeb"/>
      </w:pPr>
      <w:proofErr w:type="spellStart"/>
      <w:r w:rsidRPr="006B3721">
        <w:t>Ebhodaghe</w:t>
      </w:r>
      <w:proofErr w:type="spellEnd"/>
      <w:r w:rsidRPr="006B3721">
        <w:t xml:space="preserve">, F. I., Sanchez-Vargas, I., Isaac, C., Foy, B. D., &amp; Hemming-Schroeder, E. (2024). Sibling species of the major malaria vector </w:t>
      </w:r>
      <w:r w:rsidRPr="006B3721">
        <w:rPr>
          <w:rStyle w:val="Emphasis"/>
        </w:rPr>
        <w:t>Anopheles gambiae</w:t>
      </w:r>
      <w:r w:rsidRPr="006B3721">
        <w:t xml:space="preserve"> display divergent preferences for aquatic breeding sites in southern Nigeria. </w:t>
      </w:r>
      <w:r w:rsidRPr="006B3721">
        <w:rPr>
          <w:rStyle w:val="Emphasis"/>
        </w:rPr>
        <w:t>Malaria Journal, 23</w:t>
      </w:r>
      <w:r w:rsidRPr="006B3721">
        <w:t xml:space="preserve">(1), 60. </w:t>
      </w:r>
      <w:hyperlink r:id="rId32" w:history="1">
        <w:r w:rsidRPr="006B3721">
          <w:rPr>
            <w:rStyle w:val="Hyperlink"/>
            <w:color w:val="auto"/>
          </w:rPr>
          <w:t>https://doi.org/10.1186/s12936-024-04871-9</w:t>
        </w:r>
      </w:hyperlink>
    </w:p>
    <w:p w14:paraId="04EDD6CD" w14:textId="77777777" w:rsidR="00F4455C" w:rsidRPr="006B3721" w:rsidRDefault="00F4455C" w:rsidP="00AE32E8">
      <w:pPr>
        <w:pStyle w:val="NormalWeb"/>
      </w:pPr>
      <w:proofErr w:type="spellStart"/>
      <w:r w:rsidRPr="006B3721">
        <w:rPr>
          <w:shd w:val="clear" w:color="auto" w:fill="FFFFFF"/>
        </w:rPr>
        <w:t>Eyeboka</w:t>
      </w:r>
      <w:proofErr w:type="spellEnd"/>
      <w:r w:rsidRPr="006B3721">
        <w:rPr>
          <w:shd w:val="clear" w:color="auto" w:fill="FFFFFF"/>
        </w:rPr>
        <w:t xml:space="preserve">, D. N., </w:t>
      </w:r>
      <w:proofErr w:type="spellStart"/>
      <w:r w:rsidRPr="006B3721">
        <w:rPr>
          <w:shd w:val="clear" w:color="auto" w:fill="FFFFFF"/>
        </w:rPr>
        <w:t>Ojianwuna</w:t>
      </w:r>
      <w:proofErr w:type="spellEnd"/>
      <w:r w:rsidRPr="006B3721">
        <w:rPr>
          <w:shd w:val="clear" w:color="auto" w:fill="FFFFFF"/>
        </w:rPr>
        <w:t xml:space="preserve">, C. C., </w:t>
      </w:r>
      <w:proofErr w:type="spellStart"/>
      <w:r w:rsidRPr="006B3721">
        <w:rPr>
          <w:shd w:val="clear" w:color="auto" w:fill="FFFFFF"/>
        </w:rPr>
        <w:t>Enwemiwe</w:t>
      </w:r>
      <w:proofErr w:type="spellEnd"/>
      <w:r w:rsidRPr="006B3721">
        <w:rPr>
          <w:shd w:val="clear" w:color="auto" w:fill="FFFFFF"/>
        </w:rPr>
        <w:t xml:space="preserve">, V. N., Omotayo, A. I., </w:t>
      </w:r>
      <w:proofErr w:type="spellStart"/>
      <w:r w:rsidRPr="006B3721">
        <w:rPr>
          <w:shd w:val="clear" w:color="auto" w:fill="FFFFFF"/>
        </w:rPr>
        <w:t>Egedegbe</w:t>
      </w:r>
      <w:proofErr w:type="spellEnd"/>
      <w:r w:rsidRPr="006B3721">
        <w:rPr>
          <w:shd w:val="clear" w:color="auto" w:fill="FFFFFF"/>
        </w:rPr>
        <w:t xml:space="preserve">, A. O., &amp; </w:t>
      </w:r>
      <w:proofErr w:type="spellStart"/>
      <w:r w:rsidRPr="006B3721">
        <w:rPr>
          <w:shd w:val="clear" w:color="auto" w:fill="FFFFFF"/>
        </w:rPr>
        <w:t>Esiwo</w:t>
      </w:r>
      <w:proofErr w:type="spellEnd"/>
      <w:r w:rsidRPr="006B3721">
        <w:rPr>
          <w:shd w:val="clear" w:color="auto" w:fill="FFFFFF"/>
        </w:rPr>
        <w:t xml:space="preserve">, E. (2025). Molecular Confirmation of Anopheles </w:t>
      </w:r>
      <w:proofErr w:type="spellStart"/>
      <w:r w:rsidRPr="006B3721">
        <w:rPr>
          <w:shd w:val="clear" w:color="auto" w:fill="FFFFFF"/>
        </w:rPr>
        <w:t>coluzzii</w:t>
      </w:r>
      <w:proofErr w:type="spellEnd"/>
      <w:r w:rsidRPr="006B3721">
        <w:rPr>
          <w:shd w:val="clear" w:color="auto" w:fill="FFFFFF"/>
        </w:rPr>
        <w:t xml:space="preserve"> as the Major Malaria Vector in Relation to Seasonal Abundance, Biting </w:t>
      </w:r>
      <w:proofErr w:type="spellStart"/>
      <w:r w:rsidRPr="006B3721">
        <w:rPr>
          <w:shd w:val="clear" w:color="auto" w:fill="FFFFFF"/>
        </w:rPr>
        <w:t>Behaviour</w:t>
      </w:r>
      <w:proofErr w:type="spellEnd"/>
      <w:r w:rsidRPr="006B3721">
        <w:rPr>
          <w:shd w:val="clear" w:color="auto" w:fill="FFFFFF"/>
        </w:rPr>
        <w:t xml:space="preserve">, and Wing Development for Vectoral Capacity in </w:t>
      </w:r>
      <w:proofErr w:type="spellStart"/>
      <w:r w:rsidRPr="006B3721">
        <w:rPr>
          <w:shd w:val="clear" w:color="auto" w:fill="FFFFFF"/>
        </w:rPr>
        <w:t>Abraka</w:t>
      </w:r>
      <w:proofErr w:type="spellEnd"/>
      <w:r w:rsidRPr="006B3721">
        <w:rPr>
          <w:shd w:val="clear" w:color="auto" w:fill="FFFFFF"/>
        </w:rPr>
        <w:t>, Delta State, Nigeria. </w:t>
      </w:r>
      <w:r w:rsidRPr="006B3721">
        <w:rPr>
          <w:i/>
          <w:iCs/>
          <w:shd w:val="clear" w:color="auto" w:fill="FFFFFF"/>
        </w:rPr>
        <w:t>Nigerian Journal of Parasitology</w:t>
      </w:r>
      <w:r w:rsidRPr="006B3721">
        <w:rPr>
          <w:shd w:val="clear" w:color="auto" w:fill="FFFFFF"/>
        </w:rPr>
        <w:t>, </w:t>
      </w:r>
      <w:r w:rsidRPr="006B3721">
        <w:rPr>
          <w:i/>
          <w:iCs/>
          <w:shd w:val="clear" w:color="auto" w:fill="FFFFFF"/>
        </w:rPr>
        <w:t>46</w:t>
      </w:r>
      <w:r w:rsidRPr="006B3721">
        <w:rPr>
          <w:shd w:val="clear" w:color="auto" w:fill="FFFFFF"/>
        </w:rPr>
        <w:t>(1), 11–22. https://doi.org/10.4314/njpar.v46i1.2</w:t>
      </w:r>
    </w:p>
    <w:p w14:paraId="33563856" w14:textId="77777777" w:rsidR="00AE32E8" w:rsidRPr="006B3721" w:rsidRDefault="00AE32E8" w:rsidP="00AE32E8">
      <w:pPr>
        <w:pStyle w:val="NormalWeb"/>
      </w:pPr>
      <w:r w:rsidRPr="006B3721">
        <w:lastRenderedPageBreak/>
        <w:t xml:space="preserve">Hamza, A. A., </w:t>
      </w:r>
      <w:proofErr w:type="spellStart"/>
      <w:r w:rsidRPr="006B3721">
        <w:t>Dogara</w:t>
      </w:r>
      <w:proofErr w:type="spellEnd"/>
      <w:r w:rsidRPr="006B3721">
        <w:t xml:space="preserve">, M. M., Balogun, J. B., et al. (2024). Entomological surveillance reveals transmission of malaria but not lymphatic filariasis in two communities in North-West Nigeria. </w:t>
      </w:r>
      <w:r w:rsidRPr="006B3721">
        <w:rPr>
          <w:rStyle w:val="Emphasis"/>
        </w:rPr>
        <w:t>Parasitology Research, 123</w:t>
      </w:r>
      <w:r w:rsidRPr="006B3721">
        <w:t xml:space="preserve">, 26. </w:t>
      </w:r>
      <w:hyperlink r:id="rId33" w:history="1">
        <w:r w:rsidRPr="006B3721">
          <w:rPr>
            <w:rStyle w:val="Hyperlink"/>
            <w:color w:val="auto"/>
          </w:rPr>
          <w:t>https://doi.org/10.1007/s00436-023-08078-w</w:t>
        </w:r>
      </w:hyperlink>
    </w:p>
    <w:p w14:paraId="0DBC081F" w14:textId="77777777" w:rsidR="00AE32E8" w:rsidRPr="006B3721" w:rsidRDefault="00AE32E8" w:rsidP="00AE32E8">
      <w:pPr>
        <w:pStyle w:val="NormalWeb"/>
      </w:pPr>
      <w:r w:rsidRPr="006B3721">
        <w:t xml:space="preserve">Hernandez-Valencia, J. C., Muñoz-Laiton, P., Gómez, G. F., &amp; Correa, M. M. (2023). A systematic review on the viruses of </w:t>
      </w:r>
      <w:r w:rsidRPr="006B3721">
        <w:rPr>
          <w:rStyle w:val="Emphasis"/>
        </w:rPr>
        <w:t>Anopheles</w:t>
      </w:r>
      <w:r w:rsidRPr="006B3721">
        <w:t xml:space="preserve"> mosquitoes: The potential importance for public health. </w:t>
      </w:r>
      <w:r w:rsidRPr="006B3721">
        <w:rPr>
          <w:rStyle w:val="Emphasis"/>
        </w:rPr>
        <w:t>Tropical Medicine and Infectious Disease, 8</w:t>
      </w:r>
      <w:r w:rsidRPr="006B3721">
        <w:t xml:space="preserve">(10), 459. </w:t>
      </w:r>
      <w:hyperlink r:id="rId34" w:history="1">
        <w:r w:rsidRPr="006B3721">
          <w:rPr>
            <w:rStyle w:val="Hyperlink"/>
            <w:color w:val="auto"/>
          </w:rPr>
          <w:t>https://doi.org/10.3390/tropicalmed8100459</w:t>
        </w:r>
      </w:hyperlink>
    </w:p>
    <w:p w14:paraId="01904EAE" w14:textId="77777777" w:rsidR="00AE32E8" w:rsidRPr="006B3721" w:rsidRDefault="00AE32E8" w:rsidP="00AE32E8">
      <w:pPr>
        <w:pStyle w:val="NormalWeb"/>
      </w:pPr>
      <w:r w:rsidRPr="006B3721">
        <w:t xml:space="preserve">Huestis, D. L., &amp; Lehmann, T. (2014). Ecophysiology of </w:t>
      </w:r>
      <w:r w:rsidRPr="006B3721">
        <w:rPr>
          <w:rStyle w:val="Emphasis"/>
        </w:rPr>
        <w:t xml:space="preserve">Anopheles </w:t>
      </w:r>
      <w:proofErr w:type="spellStart"/>
      <w:r w:rsidRPr="006B3721">
        <w:rPr>
          <w:rStyle w:val="Emphasis"/>
        </w:rPr>
        <w:t>gambiae</w:t>
      </w:r>
      <w:r w:rsidRPr="006B3721">
        <w:t>s.l</w:t>
      </w:r>
      <w:proofErr w:type="spellEnd"/>
      <w:r w:rsidRPr="006B3721">
        <w:t xml:space="preserve">.: Persistence in the Sahel. </w:t>
      </w:r>
      <w:r w:rsidRPr="006B3721">
        <w:rPr>
          <w:rStyle w:val="Emphasis"/>
        </w:rPr>
        <w:t>Infection, Genetics and Evolution, 28</w:t>
      </w:r>
      <w:r w:rsidRPr="006B3721">
        <w:t xml:space="preserve">, 648–661. </w:t>
      </w:r>
      <w:hyperlink r:id="rId35" w:history="1">
        <w:r w:rsidRPr="006B3721">
          <w:rPr>
            <w:rStyle w:val="Hyperlink"/>
            <w:color w:val="auto"/>
          </w:rPr>
          <w:t>https://doi.org/10.1016/j.meegid.2014.05.027</w:t>
        </w:r>
      </w:hyperlink>
    </w:p>
    <w:p w14:paraId="18270C48" w14:textId="77777777" w:rsidR="00AE32E8" w:rsidRPr="006B3721" w:rsidRDefault="00AE32E8" w:rsidP="00AE32E8">
      <w:pPr>
        <w:pStyle w:val="NormalWeb"/>
      </w:pPr>
      <w:r w:rsidRPr="006B3721">
        <w:t xml:space="preserve">Irish, S. R., Nimmo, D., Bharmel, J., </w:t>
      </w:r>
      <w:proofErr w:type="spellStart"/>
      <w:r w:rsidRPr="006B3721">
        <w:t>Tripet</w:t>
      </w:r>
      <w:proofErr w:type="spellEnd"/>
      <w:r w:rsidRPr="006B3721">
        <w:t xml:space="preserve">, F., Müller, P., Manrique-Saide, P., &amp; Moore, S. J. (2024). A review of selective indoor residual spraying for malaria control. </w:t>
      </w:r>
      <w:r w:rsidRPr="006B3721">
        <w:rPr>
          <w:rStyle w:val="Emphasis"/>
        </w:rPr>
        <w:t>Malaria Journal, 23</w:t>
      </w:r>
      <w:r w:rsidRPr="006B3721">
        <w:t xml:space="preserve">(1), 252. </w:t>
      </w:r>
      <w:hyperlink r:id="rId36" w:history="1">
        <w:r w:rsidRPr="006B3721">
          <w:rPr>
            <w:rStyle w:val="Hyperlink"/>
            <w:color w:val="auto"/>
          </w:rPr>
          <w:t>https://doi.org/10.1186/s12936-024-05053-3</w:t>
        </w:r>
      </w:hyperlink>
    </w:p>
    <w:p w14:paraId="2D0ED9EF" w14:textId="77777777" w:rsidR="00AE32E8" w:rsidRPr="006B3721" w:rsidRDefault="00AE32E8" w:rsidP="00AE32E8">
      <w:pPr>
        <w:pStyle w:val="NormalWeb"/>
      </w:pPr>
      <w:r w:rsidRPr="006B3721">
        <w:t xml:space="preserve">Lamidi, B., Naphtali, R. S., Alo, E., &amp;Oyeniyi, A. (2018). Malaria vector population density and man-biting rate in three selected areas of Taraba State, north-east Nigeria. </w:t>
      </w:r>
      <w:r w:rsidRPr="006B3721">
        <w:rPr>
          <w:rStyle w:val="Emphasis"/>
        </w:rPr>
        <w:t>Nigerian Journal of Parasitology, 39</w:t>
      </w:r>
      <w:r w:rsidRPr="006B3721">
        <w:t xml:space="preserve">(2). </w:t>
      </w:r>
      <w:hyperlink r:id="rId37" w:history="1">
        <w:r w:rsidRPr="006B3721">
          <w:rPr>
            <w:rStyle w:val="Hyperlink"/>
            <w:color w:val="auto"/>
          </w:rPr>
          <w:t>https://doi.org/10.4314/njpar.v39i2.5</w:t>
        </w:r>
      </w:hyperlink>
    </w:p>
    <w:p w14:paraId="2DCB7882" w14:textId="77777777" w:rsidR="00AE32E8" w:rsidRPr="006B3721" w:rsidRDefault="00AE32E8" w:rsidP="00AE32E8">
      <w:pPr>
        <w:pStyle w:val="NormalWeb"/>
      </w:pPr>
      <w:r w:rsidRPr="006B3721">
        <w:t xml:space="preserve">Lawal, N., Idoko, A. S., Abdullahi, H., &amp; Imam, A. A. (2021). Circadian biting patterns of major lymphatic filariasis vectors from Northwest Nigeria. </w:t>
      </w:r>
      <w:r w:rsidRPr="006B3721">
        <w:rPr>
          <w:rStyle w:val="Emphasis"/>
        </w:rPr>
        <w:t>Public Health Open Access, 4</w:t>
      </w:r>
      <w:r w:rsidRPr="006B3721">
        <w:t xml:space="preserve">(2). </w:t>
      </w:r>
      <w:hyperlink r:id="rId38" w:history="1">
        <w:r w:rsidRPr="006B3721">
          <w:rPr>
            <w:rStyle w:val="Hyperlink"/>
            <w:color w:val="auto"/>
          </w:rPr>
          <w:t>https://doi.org/10.23880/phoa-16000158</w:t>
        </w:r>
      </w:hyperlink>
    </w:p>
    <w:p w14:paraId="71DAEAC7" w14:textId="77777777" w:rsidR="00AE32E8" w:rsidRPr="006B3721" w:rsidRDefault="00AE32E8" w:rsidP="00AE32E8">
      <w:pPr>
        <w:pStyle w:val="NormalWeb"/>
      </w:pPr>
      <w:r w:rsidRPr="006B3721">
        <w:t xml:space="preserve">Liu, N. (2015). Insecticide resistance in mosquitoes: Impact, mechanisms, and research directions. </w:t>
      </w:r>
      <w:r w:rsidRPr="006B3721">
        <w:rPr>
          <w:rStyle w:val="Emphasis"/>
        </w:rPr>
        <w:t>Annual Review of Entomology, 60</w:t>
      </w:r>
      <w:r w:rsidRPr="006B3721">
        <w:t xml:space="preserve">, 537–559. </w:t>
      </w:r>
      <w:hyperlink r:id="rId39" w:history="1">
        <w:r w:rsidRPr="006B3721">
          <w:rPr>
            <w:rStyle w:val="Hyperlink"/>
            <w:color w:val="auto"/>
          </w:rPr>
          <w:t>https://doi.org/10.1146/annurev-ento-010814-020828</w:t>
        </w:r>
      </w:hyperlink>
    </w:p>
    <w:p w14:paraId="766DCACA" w14:textId="77777777" w:rsidR="00AE32E8" w:rsidRPr="006B3721" w:rsidRDefault="00AE32E8" w:rsidP="00AE32E8">
      <w:pPr>
        <w:pStyle w:val="NormalWeb"/>
      </w:pPr>
      <w:proofErr w:type="spellStart"/>
      <w:r w:rsidRPr="006B3721">
        <w:t>Merga</w:t>
      </w:r>
      <w:proofErr w:type="spellEnd"/>
      <w:r w:rsidRPr="006B3721">
        <w:t xml:space="preserve">, H., </w:t>
      </w:r>
      <w:proofErr w:type="spellStart"/>
      <w:r w:rsidRPr="006B3721">
        <w:t>Degefa</w:t>
      </w:r>
      <w:proofErr w:type="spellEnd"/>
      <w:r w:rsidRPr="006B3721">
        <w:t xml:space="preserve">, T., Birhanu, Z., et al. (2025). Urban malaria in sub-Saharan Africa: A scoping review of epidemiologic studies. </w:t>
      </w:r>
      <w:r w:rsidRPr="006B3721">
        <w:rPr>
          <w:rStyle w:val="Emphasis"/>
        </w:rPr>
        <w:t>Malaria Journal, 24</w:t>
      </w:r>
      <w:r w:rsidRPr="006B3721">
        <w:t xml:space="preserve">, 131. </w:t>
      </w:r>
      <w:hyperlink r:id="rId40" w:history="1">
        <w:r w:rsidRPr="006B3721">
          <w:rPr>
            <w:rStyle w:val="Hyperlink"/>
            <w:color w:val="auto"/>
          </w:rPr>
          <w:t>https://doi.org/10.1186/s12936-025-05368-9</w:t>
        </w:r>
      </w:hyperlink>
    </w:p>
    <w:p w14:paraId="6D099E97" w14:textId="77777777" w:rsidR="00AE32E8" w:rsidRDefault="00AE32E8" w:rsidP="00AE32E8">
      <w:pPr>
        <w:pStyle w:val="NormalWeb"/>
      </w:pPr>
      <w:r w:rsidRPr="006B3721">
        <w:t xml:space="preserve">Monroe, A., Moore, S., Okumu, F., et al. (2020). Methods and indicators for measuring patterns of human exposure to malaria vectors. </w:t>
      </w:r>
      <w:r w:rsidRPr="006B3721">
        <w:rPr>
          <w:rStyle w:val="Emphasis"/>
        </w:rPr>
        <w:t>Malaria Journal, 19</w:t>
      </w:r>
      <w:r w:rsidRPr="006B3721">
        <w:t xml:space="preserve">, 207. </w:t>
      </w:r>
      <w:hyperlink r:id="rId41" w:history="1">
        <w:r w:rsidRPr="006B3721">
          <w:rPr>
            <w:rStyle w:val="Hyperlink"/>
            <w:color w:val="auto"/>
          </w:rPr>
          <w:t>https://doi.org/10.1186/s12936-020-03271-z</w:t>
        </w:r>
      </w:hyperlink>
    </w:p>
    <w:p w14:paraId="251606C3" w14:textId="77777777" w:rsidR="00B31616" w:rsidRPr="00B31616" w:rsidRDefault="00B31616" w:rsidP="00AE32E8">
      <w:pPr>
        <w:pStyle w:val="NormalWeb"/>
      </w:pPr>
      <w:proofErr w:type="spellStart"/>
      <w:r w:rsidRPr="00B31616">
        <w:rPr>
          <w:shd w:val="clear" w:color="auto" w:fill="FFFFFF"/>
        </w:rPr>
        <w:t>Ojianwuna</w:t>
      </w:r>
      <w:proofErr w:type="spellEnd"/>
      <w:r w:rsidRPr="00B31616">
        <w:rPr>
          <w:shd w:val="clear" w:color="auto" w:fill="FFFFFF"/>
        </w:rPr>
        <w:t xml:space="preserve">, C. C., Victor </w:t>
      </w:r>
      <w:proofErr w:type="gramStart"/>
      <w:r w:rsidRPr="00B31616">
        <w:rPr>
          <w:shd w:val="clear" w:color="auto" w:fill="FFFFFF"/>
        </w:rPr>
        <w:t>Enwemiwe,  and</w:t>
      </w:r>
      <w:proofErr w:type="gramEnd"/>
      <w:r w:rsidRPr="00B31616">
        <w:rPr>
          <w:shd w:val="clear" w:color="auto" w:fill="FFFFFF"/>
        </w:rPr>
        <w:t xml:space="preserve"> C. N. </w:t>
      </w:r>
      <w:proofErr w:type="spellStart"/>
      <w:r w:rsidRPr="00B31616">
        <w:rPr>
          <w:shd w:val="clear" w:color="auto" w:fill="FFFFFF"/>
        </w:rPr>
        <w:t>Ekeazu</w:t>
      </w:r>
      <w:proofErr w:type="spellEnd"/>
      <w:r w:rsidRPr="00B31616">
        <w:rPr>
          <w:shd w:val="clear" w:color="auto" w:fill="FFFFFF"/>
        </w:rPr>
        <w:t xml:space="preserve">. 2021. Abundance and distribution of anopheles mosquito in relation to physicochemical properties in delta state, </w:t>
      </w:r>
      <w:proofErr w:type="spellStart"/>
      <w:r w:rsidRPr="00B31616">
        <w:rPr>
          <w:shd w:val="clear" w:color="auto" w:fill="FFFFFF"/>
        </w:rPr>
        <w:t>nigeria</w:t>
      </w:r>
      <w:proofErr w:type="spellEnd"/>
      <w:r w:rsidRPr="00B31616">
        <w:rPr>
          <w:shd w:val="clear" w:color="auto" w:fill="FFFFFF"/>
        </w:rPr>
        <w:t xml:space="preserve">. </w:t>
      </w:r>
      <w:proofErr w:type="spellStart"/>
      <w:r w:rsidRPr="00B31616">
        <w:rPr>
          <w:shd w:val="clear" w:color="auto" w:fill="FFFFFF"/>
        </w:rPr>
        <w:t>Fudma</w:t>
      </w:r>
      <w:proofErr w:type="spellEnd"/>
      <w:r w:rsidRPr="00B31616">
        <w:rPr>
          <w:shd w:val="clear" w:color="auto" w:fill="FFFFFF"/>
        </w:rPr>
        <w:t xml:space="preserve"> journal of sciences 5: 274–280. doi:10.33003/fjs-2021-0503-752.</w:t>
      </w:r>
    </w:p>
    <w:p w14:paraId="590E1CB6" w14:textId="77777777" w:rsidR="00AE32E8" w:rsidRPr="006B3721" w:rsidRDefault="00AE32E8" w:rsidP="00AE32E8">
      <w:pPr>
        <w:pStyle w:val="NormalWeb"/>
      </w:pPr>
      <w:proofErr w:type="spellStart"/>
      <w:r w:rsidRPr="006B3721">
        <w:t>Olorunniyi</w:t>
      </w:r>
      <w:proofErr w:type="spellEnd"/>
      <w:r w:rsidRPr="006B3721">
        <w:t xml:space="preserve">, O. F. (2021). Relationship of climatic variables with abundance of indoor mosquito genera in six communities in Ekiti State, Nigeria. </w:t>
      </w:r>
      <w:r w:rsidRPr="006B3721">
        <w:rPr>
          <w:rStyle w:val="Emphasis"/>
        </w:rPr>
        <w:t>Journal of Advances in Biology &amp; Biotechnology, 24</w:t>
      </w:r>
      <w:r w:rsidRPr="006B3721">
        <w:t xml:space="preserve">(8), 30–33. </w:t>
      </w:r>
      <w:hyperlink r:id="rId42" w:history="1">
        <w:r w:rsidRPr="006B3721">
          <w:rPr>
            <w:rStyle w:val="Hyperlink"/>
            <w:color w:val="auto"/>
          </w:rPr>
          <w:t>https://doi.org/10.9734/jabb/2021/v24i830233</w:t>
        </w:r>
      </w:hyperlink>
    </w:p>
    <w:p w14:paraId="0D7062F6" w14:textId="77777777" w:rsidR="00AE32E8" w:rsidRPr="006B3721" w:rsidRDefault="00AE32E8" w:rsidP="00AE32E8">
      <w:pPr>
        <w:pStyle w:val="NormalWeb"/>
      </w:pPr>
      <w:r w:rsidRPr="006B3721">
        <w:lastRenderedPageBreak/>
        <w:t xml:space="preserve">Pålsson, K., Jaenson, T. G. T., Dias, F., Laugen, A. T., &amp;Björkman, A. (2004). Endophilic </w:t>
      </w:r>
      <w:r w:rsidRPr="006B3721">
        <w:rPr>
          <w:rStyle w:val="Emphasis"/>
        </w:rPr>
        <w:t>Anopheles</w:t>
      </w:r>
      <w:r w:rsidRPr="006B3721">
        <w:t xml:space="preserve"> mosquitoes in Guinea Bissau, West Africa, in relation to human housing conditions. </w:t>
      </w:r>
      <w:r w:rsidRPr="006B3721">
        <w:rPr>
          <w:rStyle w:val="Emphasis"/>
        </w:rPr>
        <w:t>Journal of Medical Entomology, 41</w:t>
      </w:r>
      <w:r w:rsidRPr="006B3721">
        <w:t xml:space="preserve">(4), 746–752. </w:t>
      </w:r>
      <w:hyperlink r:id="rId43" w:history="1">
        <w:r w:rsidRPr="006B3721">
          <w:rPr>
            <w:rStyle w:val="Hyperlink"/>
            <w:color w:val="auto"/>
          </w:rPr>
          <w:t>https://doi.org/10.1603/0022-2585-41.4.746</w:t>
        </w:r>
      </w:hyperlink>
    </w:p>
    <w:p w14:paraId="2B913FF9" w14:textId="77777777" w:rsidR="00AE32E8" w:rsidRPr="006B3721" w:rsidRDefault="00AE32E8" w:rsidP="00AE32E8">
      <w:pPr>
        <w:pStyle w:val="NormalWeb"/>
      </w:pPr>
      <w:r w:rsidRPr="006B3721">
        <w:t xml:space="preserve">Salako, A. S., </w:t>
      </w:r>
      <w:proofErr w:type="spellStart"/>
      <w:r w:rsidRPr="006B3721">
        <w:t>Ossè</w:t>
      </w:r>
      <w:proofErr w:type="spellEnd"/>
      <w:r w:rsidRPr="006B3721">
        <w:t xml:space="preserve">, R., </w:t>
      </w:r>
      <w:proofErr w:type="spellStart"/>
      <w:r w:rsidRPr="006B3721">
        <w:t>Padonou</w:t>
      </w:r>
      <w:proofErr w:type="spellEnd"/>
      <w:r w:rsidRPr="006B3721">
        <w:t xml:space="preserve">, G. G., Dagnon, F., </w:t>
      </w:r>
      <w:proofErr w:type="spellStart"/>
      <w:r w:rsidRPr="006B3721">
        <w:t>Aïkpon</w:t>
      </w:r>
      <w:proofErr w:type="spellEnd"/>
      <w:r w:rsidRPr="006B3721">
        <w:t xml:space="preserve">, R., </w:t>
      </w:r>
      <w:proofErr w:type="spellStart"/>
      <w:r w:rsidRPr="006B3721">
        <w:t>Kpanou</w:t>
      </w:r>
      <w:proofErr w:type="spellEnd"/>
      <w:r w:rsidRPr="006B3721">
        <w:t xml:space="preserve">, C., </w:t>
      </w:r>
      <w:proofErr w:type="spellStart"/>
      <w:r w:rsidRPr="006B3721">
        <w:t>Sagbohan</w:t>
      </w:r>
      <w:proofErr w:type="spellEnd"/>
      <w:r w:rsidRPr="006B3721">
        <w:t xml:space="preserve">, H., </w:t>
      </w:r>
      <w:proofErr w:type="spellStart"/>
      <w:r w:rsidRPr="006B3721">
        <w:t>Sovi</w:t>
      </w:r>
      <w:proofErr w:type="spellEnd"/>
      <w:r w:rsidRPr="006B3721">
        <w:t xml:space="preserve">, A., </w:t>
      </w:r>
      <w:proofErr w:type="spellStart"/>
      <w:r w:rsidRPr="006B3721">
        <w:t>Sèzonlin</w:t>
      </w:r>
      <w:proofErr w:type="spellEnd"/>
      <w:r w:rsidRPr="006B3721">
        <w:t>, M., &amp;</w:t>
      </w:r>
      <w:proofErr w:type="spellStart"/>
      <w:r w:rsidRPr="006B3721">
        <w:t>Akogbeto</w:t>
      </w:r>
      <w:proofErr w:type="spellEnd"/>
      <w:r w:rsidRPr="006B3721">
        <w:t xml:space="preserve">, M. C. (2019). Population dynamics of </w:t>
      </w:r>
      <w:r w:rsidRPr="006B3721">
        <w:rPr>
          <w:rStyle w:val="Emphasis"/>
        </w:rPr>
        <w:t xml:space="preserve">Anopheles </w:t>
      </w:r>
      <w:proofErr w:type="spellStart"/>
      <w:r w:rsidRPr="006B3721">
        <w:rPr>
          <w:rStyle w:val="Emphasis"/>
        </w:rPr>
        <w:t>gambiae</w:t>
      </w:r>
      <w:r w:rsidRPr="006B3721">
        <w:t>s.l</w:t>
      </w:r>
      <w:proofErr w:type="spellEnd"/>
      <w:r w:rsidRPr="006B3721">
        <w:t xml:space="preserve">. and </w:t>
      </w:r>
      <w:r w:rsidRPr="006B3721">
        <w:rPr>
          <w:rStyle w:val="Emphasis"/>
        </w:rPr>
        <w:t xml:space="preserve">Culex </w:t>
      </w:r>
      <w:proofErr w:type="spellStart"/>
      <w:r w:rsidRPr="006B3721">
        <w:rPr>
          <w:rStyle w:val="Emphasis"/>
        </w:rPr>
        <w:t>quinquefasciatus</w:t>
      </w:r>
      <w:proofErr w:type="spellEnd"/>
      <w:r w:rsidRPr="006B3721">
        <w:t xml:space="preserve"> in rural and urban settings before an indoor residual spraying campaign in northern Benin. </w:t>
      </w:r>
      <w:r w:rsidRPr="006B3721">
        <w:rPr>
          <w:rStyle w:val="Emphasis"/>
        </w:rPr>
        <w:t>Vector-Borne and Zoonotic Diseases, 19</w:t>
      </w:r>
      <w:r w:rsidRPr="006B3721">
        <w:t xml:space="preserve">(9), 674–684. </w:t>
      </w:r>
      <w:hyperlink r:id="rId44" w:history="1">
        <w:r w:rsidRPr="006B3721">
          <w:rPr>
            <w:rStyle w:val="Hyperlink"/>
            <w:color w:val="auto"/>
          </w:rPr>
          <w:t>https://doi.org/10.1089/vbz.2018.2409</w:t>
        </w:r>
      </w:hyperlink>
    </w:p>
    <w:p w14:paraId="7E500DAB" w14:textId="77777777" w:rsidR="00AE32E8" w:rsidRPr="006B3721" w:rsidRDefault="00AE32E8" w:rsidP="00AE32E8">
      <w:pPr>
        <w:pStyle w:val="NormalWeb"/>
      </w:pPr>
      <w:proofErr w:type="spellStart"/>
      <w:r w:rsidRPr="006B3721">
        <w:t>Takken</w:t>
      </w:r>
      <w:proofErr w:type="spellEnd"/>
      <w:r w:rsidRPr="006B3721">
        <w:t xml:space="preserve">, W., Charlwood, D., &amp; Lindsay, S. W. (2024). The </w:t>
      </w:r>
      <w:proofErr w:type="spellStart"/>
      <w:r w:rsidRPr="006B3721">
        <w:t>behaviour</w:t>
      </w:r>
      <w:proofErr w:type="spellEnd"/>
      <w:r w:rsidRPr="006B3721">
        <w:t xml:space="preserve"> of adult </w:t>
      </w:r>
      <w:r w:rsidRPr="006B3721">
        <w:rPr>
          <w:rStyle w:val="Emphasis"/>
        </w:rPr>
        <w:t>Anopheles gambiae</w:t>
      </w:r>
      <w:r w:rsidRPr="006B3721">
        <w:t xml:space="preserve">, sub-Saharan Africa’s principal malaria vector, and its relevance to malaria control: A review. </w:t>
      </w:r>
      <w:r w:rsidRPr="006B3721">
        <w:rPr>
          <w:rStyle w:val="Emphasis"/>
        </w:rPr>
        <w:t>Malaria Journal, 23</w:t>
      </w:r>
      <w:r w:rsidRPr="006B3721">
        <w:t xml:space="preserve">, 161. </w:t>
      </w:r>
      <w:hyperlink r:id="rId45" w:history="1">
        <w:r w:rsidRPr="006B3721">
          <w:rPr>
            <w:rStyle w:val="Hyperlink"/>
            <w:color w:val="auto"/>
          </w:rPr>
          <w:t>https://doi.org/10.1186/s12936-024-04982-3</w:t>
        </w:r>
      </w:hyperlink>
    </w:p>
    <w:p w14:paraId="60294DA2" w14:textId="77777777" w:rsidR="00AE32E8" w:rsidRPr="006B3721" w:rsidRDefault="00AE32E8" w:rsidP="00AE32E8">
      <w:pPr>
        <w:pStyle w:val="NormalWeb"/>
      </w:pPr>
      <w:r w:rsidRPr="006B3721">
        <w:t>Umar, A. M., &amp;</w:t>
      </w:r>
      <w:proofErr w:type="spellStart"/>
      <w:r w:rsidRPr="006B3721">
        <w:t>Ndams</w:t>
      </w:r>
      <w:proofErr w:type="spellEnd"/>
      <w:r w:rsidRPr="006B3721">
        <w:t xml:space="preserve">, I. S. (2022). Species composition, distribution, abundance and vectorial capacity of </w:t>
      </w:r>
      <w:r w:rsidRPr="006B3721">
        <w:rPr>
          <w:rStyle w:val="Emphasis"/>
        </w:rPr>
        <w:t>An. gambiae</w:t>
      </w:r>
      <w:r w:rsidRPr="006B3721">
        <w:t xml:space="preserve"> in parts of Katsina State, Nigeria. </w:t>
      </w:r>
      <w:r w:rsidRPr="006B3721">
        <w:rPr>
          <w:rStyle w:val="Emphasis"/>
        </w:rPr>
        <w:t>International Journal of Zoology and Applied Biosciences</w:t>
      </w:r>
      <w:r w:rsidRPr="006B3721">
        <w:t xml:space="preserve">. </w:t>
      </w:r>
      <w:hyperlink r:id="rId46" w:history="1">
        <w:r w:rsidRPr="006B3721">
          <w:rPr>
            <w:rStyle w:val="Hyperlink"/>
            <w:color w:val="auto"/>
          </w:rPr>
          <w:t>https://doi.org/10.55126/IJZAB.2022.V07.I02.007</w:t>
        </w:r>
      </w:hyperlink>
    </w:p>
    <w:p w14:paraId="2B942B13" w14:textId="77777777" w:rsidR="00AE32E8" w:rsidRPr="006B3721" w:rsidRDefault="00AE32E8" w:rsidP="00F70E40">
      <w:pPr>
        <w:spacing w:line="360" w:lineRule="auto"/>
      </w:pPr>
    </w:p>
    <w:sectPr w:rsidR="00AE32E8" w:rsidRPr="006B3721" w:rsidSect="00EF2979">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BBF84" w14:textId="77777777" w:rsidR="00046B40" w:rsidRDefault="00046B40" w:rsidP="004D21F6">
      <w:pPr>
        <w:spacing w:after="0" w:line="240" w:lineRule="auto"/>
      </w:pPr>
      <w:r>
        <w:separator/>
      </w:r>
    </w:p>
  </w:endnote>
  <w:endnote w:type="continuationSeparator" w:id="0">
    <w:p w14:paraId="5410E85D" w14:textId="77777777" w:rsidR="00046B40" w:rsidRDefault="00046B40" w:rsidP="004D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15A" w14:textId="77777777" w:rsidR="004D21F6" w:rsidRDefault="004D2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A527" w14:textId="77777777" w:rsidR="004D21F6" w:rsidRDefault="004D2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8BF7" w14:textId="77777777" w:rsidR="004D21F6" w:rsidRDefault="004D2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2DFF1" w14:textId="77777777" w:rsidR="00046B40" w:rsidRDefault="00046B40" w:rsidP="004D21F6">
      <w:pPr>
        <w:spacing w:after="0" w:line="240" w:lineRule="auto"/>
      </w:pPr>
      <w:r>
        <w:separator/>
      </w:r>
    </w:p>
  </w:footnote>
  <w:footnote w:type="continuationSeparator" w:id="0">
    <w:p w14:paraId="2C0D746F" w14:textId="77777777" w:rsidR="00046B40" w:rsidRDefault="00046B40" w:rsidP="004D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59C3" w14:textId="5FA2F642" w:rsidR="004D21F6" w:rsidRDefault="004D21F6">
    <w:pPr>
      <w:pStyle w:val="Header"/>
    </w:pPr>
    <w:r>
      <w:rPr>
        <w:noProof/>
      </w:rPr>
      <w:pict w14:anchorId="0D751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84B4" w14:textId="041E6CEC" w:rsidR="004D21F6" w:rsidRDefault="004D21F6">
    <w:pPr>
      <w:pStyle w:val="Header"/>
    </w:pPr>
    <w:r>
      <w:rPr>
        <w:noProof/>
      </w:rPr>
      <w:pict w14:anchorId="406BD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A010" w14:textId="1B208714" w:rsidR="004D21F6" w:rsidRDefault="004D21F6">
    <w:pPr>
      <w:pStyle w:val="Header"/>
    </w:pPr>
    <w:r>
      <w:rPr>
        <w:noProof/>
      </w:rPr>
      <w:pict w14:anchorId="0024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3813"/>
    <w:rsid w:val="0001600C"/>
    <w:rsid w:val="00046B40"/>
    <w:rsid w:val="00060AFA"/>
    <w:rsid w:val="00061EC0"/>
    <w:rsid w:val="00090476"/>
    <w:rsid w:val="000B05D3"/>
    <w:rsid w:val="000C7A70"/>
    <w:rsid w:val="000F1884"/>
    <w:rsid w:val="0010151B"/>
    <w:rsid w:val="00127299"/>
    <w:rsid w:val="001525A9"/>
    <w:rsid w:val="00175207"/>
    <w:rsid w:val="00192035"/>
    <w:rsid w:val="001D6276"/>
    <w:rsid w:val="00221C7E"/>
    <w:rsid w:val="00222388"/>
    <w:rsid w:val="002263B4"/>
    <w:rsid w:val="00233EA8"/>
    <w:rsid w:val="002910D7"/>
    <w:rsid w:val="002C4763"/>
    <w:rsid w:val="002F584E"/>
    <w:rsid w:val="00314E8A"/>
    <w:rsid w:val="00315286"/>
    <w:rsid w:val="0034744D"/>
    <w:rsid w:val="003A241A"/>
    <w:rsid w:val="003B7E65"/>
    <w:rsid w:val="003E13C8"/>
    <w:rsid w:val="003F5B4E"/>
    <w:rsid w:val="00417570"/>
    <w:rsid w:val="00437523"/>
    <w:rsid w:val="004A7AA3"/>
    <w:rsid w:val="004B4CDF"/>
    <w:rsid w:val="004D21F6"/>
    <w:rsid w:val="005233E7"/>
    <w:rsid w:val="005A7E2C"/>
    <w:rsid w:val="005D4750"/>
    <w:rsid w:val="0062126B"/>
    <w:rsid w:val="0066618E"/>
    <w:rsid w:val="006734F8"/>
    <w:rsid w:val="006B3721"/>
    <w:rsid w:val="006D6CFC"/>
    <w:rsid w:val="00703235"/>
    <w:rsid w:val="00721786"/>
    <w:rsid w:val="00775999"/>
    <w:rsid w:val="007B2447"/>
    <w:rsid w:val="007C1EA6"/>
    <w:rsid w:val="007C4FB2"/>
    <w:rsid w:val="007D0576"/>
    <w:rsid w:val="00837218"/>
    <w:rsid w:val="008943D3"/>
    <w:rsid w:val="008D44E8"/>
    <w:rsid w:val="008E484F"/>
    <w:rsid w:val="008F1E71"/>
    <w:rsid w:val="008F20B6"/>
    <w:rsid w:val="00941021"/>
    <w:rsid w:val="00964DB5"/>
    <w:rsid w:val="0099064E"/>
    <w:rsid w:val="009D0A88"/>
    <w:rsid w:val="009E73AB"/>
    <w:rsid w:val="009F7057"/>
    <w:rsid w:val="00A217AF"/>
    <w:rsid w:val="00A51858"/>
    <w:rsid w:val="00A711D0"/>
    <w:rsid w:val="00AB293C"/>
    <w:rsid w:val="00AD09C1"/>
    <w:rsid w:val="00AE32E8"/>
    <w:rsid w:val="00AF19FF"/>
    <w:rsid w:val="00AF4CF6"/>
    <w:rsid w:val="00B04BD4"/>
    <w:rsid w:val="00B31616"/>
    <w:rsid w:val="00BC7EA3"/>
    <w:rsid w:val="00C03FC0"/>
    <w:rsid w:val="00C2780F"/>
    <w:rsid w:val="00C45B3F"/>
    <w:rsid w:val="00CC742D"/>
    <w:rsid w:val="00CD28AD"/>
    <w:rsid w:val="00CE3D07"/>
    <w:rsid w:val="00D02852"/>
    <w:rsid w:val="00D14403"/>
    <w:rsid w:val="00D33BA3"/>
    <w:rsid w:val="00D4464E"/>
    <w:rsid w:val="00D86D23"/>
    <w:rsid w:val="00D91899"/>
    <w:rsid w:val="00DB07BD"/>
    <w:rsid w:val="00DB3F8E"/>
    <w:rsid w:val="00DD1565"/>
    <w:rsid w:val="00DF015A"/>
    <w:rsid w:val="00DF5365"/>
    <w:rsid w:val="00E1231C"/>
    <w:rsid w:val="00E24D29"/>
    <w:rsid w:val="00E31D21"/>
    <w:rsid w:val="00E90A25"/>
    <w:rsid w:val="00EA4E05"/>
    <w:rsid w:val="00EB082D"/>
    <w:rsid w:val="00EB594B"/>
    <w:rsid w:val="00EC1520"/>
    <w:rsid w:val="00EF2979"/>
    <w:rsid w:val="00F13813"/>
    <w:rsid w:val="00F4455C"/>
    <w:rsid w:val="00F70E40"/>
    <w:rsid w:val="00F71EF4"/>
    <w:rsid w:val="00FA579C"/>
    <w:rsid w:val="00FC0E7C"/>
    <w:rsid w:val="00FC6354"/>
    <w:rsid w:val="00FC7CFB"/>
    <w:rsid w:val="00FF155D"/>
    <w:rsid w:val="00FF6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E4E0FA"/>
  <w15:docId w15:val="{55D20C25-A232-4B19-9534-D821B6A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E71"/>
    <w:pPr>
      <w:spacing w:after="160" w:line="259" w:lineRule="auto"/>
    </w:pPr>
    <w:rPr>
      <w:rFonts w:eastAsiaTheme="minorEastAsia"/>
      <w:kern w:val="2"/>
      <w:lang w:eastAsia="zh-CN"/>
    </w:rPr>
  </w:style>
  <w:style w:type="paragraph" w:styleId="Heading2">
    <w:name w:val="heading 2"/>
    <w:basedOn w:val="Normal"/>
    <w:next w:val="Normal"/>
    <w:link w:val="Heading2Char"/>
    <w:uiPriority w:val="9"/>
    <w:semiHidden/>
    <w:unhideWhenUsed/>
    <w:qFormat/>
    <w:rsid w:val="00C278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32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6618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E71"/>
    <w:rPr>
      <w:rFonts w:ascii="Tahoma" w:eastAsiaTheme="minorEastAsia" w:hAnsi="Tahoma" w:cs="Tahoma"/>
      <w:kern w:val="2"/>
      <w:sz w:val="16"/>
      <w:szCs w:val="16"/>
      <w:lang w:eastAsia="zh-CN"/>
    </w:rPr>
  </w:style>
  <w:style w:type="paragraph" w:styleId="NormalWeb">
    <w:name w:val="Normal (Web)"/>
    <w:basedOn w:val="Normal"/>
    <w:uiPriority w:val="99"/>
    <w:unhideWhenUsed/>
    <w:rsid w:val="008F1E71"/>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964DB5"/>
    <w:rPr>
      <w:b/>
      <w:bCs/>
    </w:rPr>
  </w:style>
  <w:style w:type="character" w:customStyle="1" w:styleId="uv3um">
    <w:name w:val="uv3um"/>
    <w:basedOn w:val="DefaultParagraphFont"/>
    <w:rsid w:val="00964DB5"/>
  </w:style>
  <w:style w:type="character" w:styleId="Hyperlink">
    <w:name w:val="Hyperlink"/>
    <w:basedOn w:val="DefaultParagraphFont"/>
    <w:uiPriority w:val="99"/>
    <w:unhideWhenUsed/>
    <w:rsid w:val="008E484F"/>
    <w:rPr>
      <w:color w:val="0000FF" w:themeColor="hyperlink"/>
      <w:u w:val="single"/>
    </w:rPr>
  </w:style>
  <w:style w:type="character" w:styleId="Emphasis">
    <w:name w:val="Emphasis"/>
    <w:basedOn w:val="DefaultParagraphFont"/>
    <w:uiPriority w:val="20"/>
    <w:qFormat/>
    <w:rsid w:val="00E24D29"/>
    <w:rPr>
      <w:i/>
      <w:iCs/>
    </w:rPr>
  </w:style>
  <w:style w:type="character" w:customStyle="1" w:styleId="text-forest-600">
    <w:name w:val="text-forest-600"/>
    <w:basedOn w:val="DefaultParagraphFont"/>
    <w:rsid w:val="00192035"/>
  </w:style>
  <w:style w:type="character" w:customStyle="1" w:styleId="flex-1">
    <w:name w:val="flex-1"/>
    <w:basedOn w:val="DefaultParagraphFont"/>
    <w:rsid w:val="00D02852"/>
  </w:style>
  <w:style w:type="character" w:customStyle="1" w:styleId="max-w-500px">
    <w:name w:val="max-w-[500px]"/>
    <w:basedOn w:val="DefaultParagraphFont"/>
    <w:rsid w:val="00D02852"/>
  </w:style>
  <w:style w:type="character" w:customStyle="1" w:styleId="ml-1">
    <w:name w:val="ml-1"/>
    <w:basedOn w:val="DefaultParagraphFont"/>
    <w:rsid w:val="00D02852"/>
  </w:style>
  <w:style w:type="character" w:customStyle="1" w:styleId="Heading4Char">
    <w:name w:val="Heading 4 Char"/>
    <w:basedOn w:val="DefaultParagraphFont"/>
    <w:link w:val="Heading4"/>
    <w:uiPriority w:val="9"/>
    <w:rsid w:val="0066618E"/>
    <w:rPr>
      <w:rFonts w:ascii="Times New Roman" w:eastAsia="Times New Roman" w:hAnsi="Times New Roman" w:cs="Times New Roman"/>
      <w:b/>
      <w:bCs/>
      <w:sz w:val="24"/>
      <w:szCs w:val="24"/>
    </w:rPr>
  </w:style>
  <w:style w:type="paragraph" w:customStyle="1" w:styleId="justify">
    <w:name w:val="justify"/>
    <w:basedOn w:val="Normal"/>
    <w:rsid w:val="0066618E"/>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customStyle="1" w:styleId="Heading2Char">
    <w:name w:val="Heading 2 Char"/>
    <w:basedOn w:val="DefaultParagraphFont"/>
    <w:link w:val="Heading2"/>
    <w:uiPriority w:val="9"/>
    <w:semiHidden/>
    <w:rsid w:val="00C2780F"/>
    <w:rPr>
      <w:rFonts w:asciiTheme="majorHAnsi" w:eastAsiaTheme="majorEastAsia" w:hAnsiTheme="majorHAnsi" w:cstheme="majorBidi"/>
      <w:b/>
      <w:bCs/>
      <w:color w:val="4F81BD" w:themeColor="accent1"/>
      <w:kern w:val="2"/>
      <w:sz w:val="26"/>
      <w:szCs w:val="26"/>
      <w:lang w:eastAsia="zh-CN"/>
    </w:rPr>
  </w:style>
  <w:style w:type="character" w:customStyle="1" w:styleId="Heading3Char">
    <w:name w:val="Heading 3 Char"/>
    <w:basedOn w:val="DefaultParagraphFont"/>
    <w:link w:val="Heading3"/>
    <w:uiPriority w:val="9"/>
    <w:semiHidden/>
    <w:rsid w:val="00AE32E8"/>
    <w:rPr>
      <w:rFonts w:asciiTheme="majorHAnsi" w:eastAsiaTheme="majorEastAsia" w:hAnsiTheme="majorHAnsi" w:cstheme="majorBidi"/>
      <w:b/>
      <w:bCs/>
      <w:color w:val="4F81BD" w:themeColor="accent1"/>
      <w:kern w:val="2"/>
      <w:lang w:eastAsia="zh-CN"/>
    </w:rPr>
  </w:style>
  <w:style w:type="character" w:customStyle="1" w:styleId="UnresolvedMention1">
    <w:name w:val="Unresolved Mention1"/>
    <w:basedOn w:val="DefaultParagraphFont"/>
    <w:uiPriority w:val="99"/>
    <w:semiHidden/>
    <w:unhideWhenUsed/>
    <w:rsid w:val="00D33BA3"/>
    <w:rPr>
      <w:color w:val="605E5C"/>
      <w:shd w:val="clear" w:color="auto" w:fill="E1DFDD"/>
    </w:rPr>
  </w:style>
  <w:style w:type="paragraph" w:styleId="Header">
    <w:name w:val="header"/>
    <w:basedOn w:val="Normal"/>
    <w:link w:val="HeaderChar"/>
    <w:uiPriority w:val="99"/>
    <w:unhideWhenUsed/>
    <w:rsid w:val="004D2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F6"/>
    <w:rPr>
      <w:rFonts w:eastAsiaTheme="minorEastAsia"/>
      <w:kern w:val="2"/>
      <w:lang w:eastAsia="zh-CN"/>
    </w:rPr>
  </w:style>
  <w:style w:type="paragraph" w:styleId="Footer">
    <w:name w:val="footer"/>
    <w:basedOn w:val="Normal"/>
    <w:link w:val="FooterChar"/>
    <w:uiPriority w:val="99"/>
    <w:unhideWhenUsed/>
    <w:rsid w:val="004D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F6"/>
    <w:rPr>
      <w:rFonts w:eastAsiaTheme="minorEastAsia"/>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054">
      <w:bodyDiv w:val="1"/>
      <w:marLeft w:val="0"/>
      <w:marRight w:val="0"/>
      <w:marTop w:val="0"/>
      <w:marBottom w:val="0"/>
      <w:divBdr>
        <w:top w:val="none" w:sz="0" w:space="0" w:color="auto"/>
        <w:left w:val="none" w:sz="0" w:space="0" w:color="auto"/>
        <w:bottom w:val="none" w:sz="0" w:space="0" w:color="auto"/>
        <w:right w:val="none" w:sz="0" w:space="0" w:color="auto"/>
      </w:divBdr>
    </w:div>
    <w:div w:id="750658240">
      <w:bodyDiv w:val="1"/>
      <w:marLeft w:val="0"/>
      <w:marRight w:val="0"/>
      <w:marTop w:val="0"/>
      <w:marBottom w:val="0"/>
      <w:divBdr>
        <w:top w:val="none" w:sz="0" w:space="0" w:color="auto"/>
        <w:left w:val="none" w:sz="0" w:space="0" w:color="auto"/>
        <w:bottom w:val="none" w:sz="0" w:space="0" w:color="auto"/>
        <w:right w:val="none" w:sz="0" w:space="0" w:color="auto"/>
      </w:divBdr>
      <w:divsChild>
        <w:div w:id="363135443">
          <w:marLeft w:val="0"/>
          <w:marRight w:val="0"/>
          <w:marTop w:val="0"/>
          <w:marBottom w:val="0"/>
          <w:divBdr>
            <w:top w:val="single" w:sz="2" w:space="0" w:color="E7E5E4"/>
            <w:left w:val="single" w:sz="2" w:space="0" w:color="E7E5E4"/>
            <w:bottom w:val="single" w:sz="2" w:space="0" w:color="E7E5E4"/>
            <w:right w:val="single" w:sz="2" w:space="0" w:color="E7E5E4"/>
          </w:divBdr>
        </w:div>
        <w:div w:id="1836870281">
          <w:marLeft w:val="0"/>
          <w:marRight w:val="0"/>
          <w:marTop w:val="0"/>
          <w:marBottom w:val="0"/>
          <w:divBdr>
            <w:top w:val="single" w:sz="2" w:space="0" w:color="E7E5E4"/>
            <w:left w:val="single" w:sz="2" w:space="0" w:color="E7E5E4"/>
            <w:bottom w:val="single" w:sz="2" w:space="0" w:color="E7E5E4"/>
            <w:right w:val="single" w:sz="2" w:space="0" w:color="E7E5E4"/>
          </w:divBdr>
          <w:divsChild>
            <w:div w:id="42410116">
              <w:marLeft w:val="0"/>
              <w:marRight w:val="0"/>
              <w:marTop w:val="0"/>
              <w:marBottom w:val="0"/>
              <w:divBdr>
                <w:top w:val="single" w:sz="2" w:space="0" w:color="E7E5E4"/>
                <w:left w:val="single" w:sz="2" w:space="0" w:color="E7E5E4"/>
                <w:bottom w:val="single" w:sz="2" w:space="0" w:color="E7E5E4"/>
                <w:right w:val="single" w:sz="2" w:space="0" w:color="E7E5E4"/>
              </w:divBdr>
              <w:divsChild>
                <w:div w:id="135806100">
                  <w:marLeft w:val="0"/>
                  <w:marRight w:val="0"/>
                  <w:marTop w:val="0"/>
                  <w:marBottom w:val="0"/>
                  <w:divBdr>
                    <w:top w:val="single" w:sz="2" w:space="0" w:color="E7E5E4"/>
                    <w:left w:val="single" w:sz="2" w:space="0" w:color="E7E5E4"/>
                    <w:bottom w:val="single" w:sz="2" w:space="0" w:color="E7E5E4"/>
                    <w:right w:val="single" w:sz="2" w:space="0" w:color="E7E5E4"/>
                  </w:divBdr>
                </w:div>
                <w:div w:id="1211310202">
                  <w:marLeft w:val="0"/>
                  <w:marRight w:val="0"/>
                  <w:marTop w:val="0"/>
                  <w:marBottom w:val="0"/>
                  <w:divBdr>
                    <w:top w:val="single" w:sz="2" w:space="0" w:color="E7E5E4"/>
                    <w:left w:val="single" w:sz="2" w:space="0" w:color="E7E5E4"/>
                    <w:bottom w:val="single" w:sz="2" w:space="0" w:color="E7E5E4"/>
                    <w:right w:val="single" w:sz="2" w:space="0" w:color="E7E5E4"/>
                  </w:divBdr>
                  <w:divsChild>
                    <w:div w:id="419563146">
                      <w:marLeft w:val="0"/>
                      <w:marRight w:val="0"/>
                      <w:marTop w:val="0"/>
                      <w:marBottom w:val="0"/>
                      <w:divBdr>
                        <w:top w:val="single" w:sz="2" w:space="0" w:color="E7E5E4"/>
                        <w:left w:val="single" w:sz="2" w:space="0" w:color="E7E5E4"/>
                        <w:bottom w:val="single" w:sz="2" w:space="0" w:color="E7E5E4"/>
                        <w:right w:val="single" w:sz="2" w:space="0" w:color="E7E5E4"/>
                      </w:divBdr>
                    </w:div>
                    <w:div w:id="1964918971">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944965433">
      <w:bodyDiv w:val="1"/>
      <w:marLeft w:val="0"/>
      <w:marRight w:val="0"/>
      <w:marTop w:val="0"/>
      <w:marBottom w:val="0"/>
      <w:divBdr>
        <w:top w:val="none" w:sz="0" w:space="0" w:color="auto"/>
        <w:left w:val="none" w:sz="0" w:space="0" w:color="auto"/>
        <w:bottom w:val="none" w:sz="0" w:space="0" w:color="auto"/>
        <w:right w:val="none" w:sz="0" w:space="0" w:color="auto"/>
      </w:divBdr>
      <w:divsChild>
        <w:div w:id="843595117">
          <w:marLeft w:val="0"/>
          <w:marRight w:val="0"/>
          <w:marTop w:val="0"/>
          <w:marBottom w:val="0"/>
          <w:divBdr>
            <w:top w:val="none" w:sz="0" w:space="0" w:color="auto"/>
            <w:left w:val="none" w:sz="0" w:space="0" w:color="auto"/>
            <w:bottom w:val="none" w:sz="0" w:space="0" w:color="auto"/>
            <w:right w:val="none" w:sz="0" w:space="0" w:color="auto"/>
          </w:divBdr>
        </w:div>
        <w:div w:id="440564223">
          <w:marLeft w:val="0"/>
          <w:marRight w:val="0"/>
          <w:marTop w:val="0"/>
          <w:marBottom w:val="0"/>
          <w:divBdr>
            <w:top w:val="none" w:sz="0" w:space="0" w:color="auto"/>
            <w:left w:val="none" w:sz="0" w:space="0" w:color="auto"/>
            <w:bottom w:val="none" w:sz="0" w:space="0" w:color="auto"/>
            <w:right w:val="none" w:sz="0" w:space="0" w:color="auto"/>
          </w:divBdr>
        </w:div>
        <w:div w:id="1638989927">
          <w:marLeft w:val="0"/>
          <w:marRight w:val="0"/>
          <w:marTop w:val="0"/>
          <w:marBottom w:val="0"/>
          <w:divBdr>
            <w:top w:val="none" w:sz="0" w:space="0" w:color="auto"/>
            <w:left w:val="none" w:sz="0" w:space="0" w:color="auto"/>
            <w:bottom w:val="none" w:sz="0" w:space="0" w:color="auto"/>
            <w:right w:val="none" w:sz="0" w:space="0" w:color="auto"/>
          </w:divBdr>
        </w:div>
        <w:div w:id="31195934">
          <w:marLeft w:val="0"/>
          <w:marRight w:val="0"/>
          <w:marTop w:val="0"/>
          <w:marBottom w:val="0"/>
          <w:divBdr>
            <w:top w:val="none" w:sz="0" w:space="0" w:color="auto"/>
            <w:left w:val="none" w:sz="0" w:space="0" w:color="auto"/>
            <w:bottom w:val="none" w:sz="0" w:space="0" w:color="auto"/>
            <w:right w:val="none" w:sz="0" w:space="0" w:color="auto"/>
          </w:divBdr>
        </w:div>
        <w:div w:id="480342110">
          <w:marLeft w:val="0"/>
          <w:marRight w:val="0"/>
          <w:marTop w:val="0"/>
          <w:marBottom w:val="0"/>
          <w:divBdr>
            <w:top w:val="none" w:sz="0" w:space="0" w:color="auto"/>
            <w:left w:val="none" w:sz="0" w:space="0" w:color="auto"/>
            <w:bottom w:val="none" w:sz="0" w:space="0" w:color="auto"/>
            <w:right w:val="none" w:sz="0" w:space="0" w:color="auto"/>
          </w:divBdr>
        </w:div>
        <w:div w:id="2125611380">
          <w:marLeft w:val="0"/>
          <w:marRight w:val="0"/>
          <w:marTop w:val="0"/>
          <w:marBottom w:val="0"/>
          <w:divBdr>
            <w:top w:val="none" w:sz="0" w:space="0" w:color="auto"/>
            <w:left w:val="none" w:sz="0" w:space="0" w:color="auto"/>
            <w:bottom w:val="none" w:sz="0" w:space="0" w:color="auto"/>
            <w:right w:val="none" w:sz="0" w:space="0" w:color="auto"/>
          </w:divBdr>
        </w:div>
        <w:div w:id="749691591">
          <w:marLeft w:val="0"/>
          <w:marRight w:val="0"/>
          <w:marTop w:val="0"/>
          <w:marBottom w:val="0"/>
          <w:divBdr>
            <w:top w:val="none" w:sz="0" w:space="0" w:color="auto"/>
            <w:left w:val="none" w:sz="0" w:space="0" w:color="auto"/>
            <w:bottom w:val="none" w:sz="0" w:space="0" w:color="auto"/>
            <w:right w:val="none" w:sz="0" w:space="0" w:color="auto"/>
          </w:divBdr>
        </w:div>
        <w:div w:id="80955052">
          <w:marLeft w:val="0"/>
          <w:marRight w:val="0"/>
          <w:marTop w:val="0"/>
          <w:marBottom w:val="0"/>
          <w:divBdr>
            <w:top w:val="none" w:sz="0" w:space="0" w:color="auto"/>
            <w:left w:val="none" w:sz="0" w:space="0" w:color="auto"/>
            <w:bottom w:val="none" w:sz="0" w:space="0" w:color="auto"/>
            <w:right w:val="none" w:sz="0" w:space="0" w:color="auto"/>
          </w:divBdr>
        </w:div>
        <w:div w:id="1660233622">
          <w:marLeft w:val="0"/>
          <w:marRight w:val="0"/>
          <w:marTop w:val="0"/>
          <w:marBottom w:val="0"/>
          <w:divBdr>
            <w:top w:val="none" w:sz="0" w:space="0" w:color="auto"/>
            <w:left w:val="none" w:sz="0" w:space="0" w:color="auto"/>
            <w:bottom w:val="none" w:sz="0" w:space="0" w:color="auto"/>
            <w:right w:val="none" w:sz="0" w:space="0" w:color="auto"/>
          </w:divBdr>
        </w:div>
      </w:divsChild>
    </w:div>
    <w:div w:id="1010523194">
      <w:bodyDiv w:val="1"/>
      <w:marLeft w:val="0"/>
      <w:marRight w:val="0"/>
      <w:marTop w:val="0"/>
      <w:marBottom w:val="0"/>
      <w:divBdr>
        <w:top w:val="none" w:sz="0" w:space="0" w:color="auto"/>
        <w:left w:val="none" w:sz="0" w:space="0" w:color="auto"/>
        <w:bottom w:val="none" w:sz="0" w:space="0" w:color="auto"/>
        <w:right w:val="none" w:sz="0" w:space="0" w:color="auto"/>
      </w:divBdr>
    </w:div>
    <w:div w:id="1074473974">
      <w:bodyDiv w:val="1"/>
      <w:marLeft w:val="0"/>
      <w:marRight w:val="0"/>
      <w:marTop w:val="0"/>
      <w:marBottom w:val="0"/>
      <w:divBdr>
        <w:top w:val="none" w:sz="0" w:space="0" w:color="auto"/>
        <w:left w:val="none" w:sz="0" w:space="0" w:color="auto"/>
        <w:bottom w:val="none" w:sz="0" w:space="0" w:color="auto"/>
        <w:right w:val="none" w:sz="0" w:space="0" w:color="auto"/>
      </w:divBdr>
      <w:divsChild>
        <w:div w:id="1256285922">
          <w:marLeft w:val="0"/>
          <w:marRight w:val="0"/>
          <w:marTop w:val="0"/>
          <w:marBottom w:val="0"/>
          <w:divBdr>
            <w:top w:val="single" w:sz="2" w:space="0" w:color="E7E5E4"/>
            <w:left w:val="single" w:sz="2" w:space="0" w:color="E7E5E4"/>
            <w:bottom w:val="single" w:sz="2" w:space="0" w:color="E7E5E4"/>
            <w:right w:val="single" w:sz="2" w:space="0" w:color="E7E5E4"/>
          </w:divBdr>
        </w:div>
        <w:div w:id="332028576">
          <w:marLeft w:val="0"/>
          <w:marRight w:val="0"/>
          <w:marTop w:val="0"/>
          <w:marBottom w:val="0"/>
          <w:divBdr>
            <w:top w:val="single" w:sz="2" w:space="0" w:color="E7E5E4"/>
            <w:left w:val="single" w:sz="2" w:space="0" w:color="E7E5E4"/>
            <w:bottom w:val="single" w:sz="2" w:space="0" w:color="E7E5E4"/>
            <w:right w:val="single" w:sz="2" w:space="0" w:color="E7E5E4"/>
          </w:divBdr>
          <w:divsChild>
            <w:div w:id="598873767">
              <w:marLeft w:val="0"/>
              <w:marRight w:val="0"/>
              <w:marTop w:val="0"/>
              <w:marBottom w:val="0"/>
              <w:divBdr>
                <w:top w:val="single" w:sz="2" w:space="0" w:color="E7E5E4"/>
                <w:left w:val="single" w:sz="2" w:space="0" w:color="E7E5E4"/>
                <w:bottom w:val="single" w:sz="2" w:space="0" w:color="E7E5E4"/>
                <w:right w:val="single" w:sz="2" w:space="0" w:color="E7E5E4"/>
              </w:divBdr>
              <w:divsChild>
                <w:div w:id="449785451">
                  <w:marLeft w:val="0"/>
                  <w:marRight w:val="0"/>
                  <w:marTop w:val="0"/>
                  <w:marBottom w:val="0"/>
                  <w:divBdr>
                    <w:top w:val="single" w:sz="2" w:space="0" w:color="E7E5E4"/>
                    <w:left w:val="single" w:sz="2" w:space="0" w:color="E7E5E4"/>
                    <w:bottom w:val="single" w:sz="2" w:space="0" w:color="E7E5E4"/>
                    <w:right w:val="single" w:sz="2" w:space="0" w:color="E7E5E4"/>
                  </w:divBdr>
                </w:div>
                <w:div w:id="1235432589">
                  <w:marLeft w:val="0"/>
                  <w:marRight w:val="0"/>
                  <w:marTop w:val="0"/>
                  <w:marBottom w:val="0"/>
                  <w:divBdr>
                    <w:top w:val="single" w:sz="2" w:space="0" w:color="E7E5E4"/>
                    <w:left w:val="single" w:sz="2" w:space="0" w:color="E7E5E4"/>
                    <w:bottom w:val="single" w:sz="2" w:space="0" w:color="E7E5E4"/>
                    <w:right w:val="single" w:sz="2" w:space="0" w:color="E7E5E4"/>
                  </w:divBdr>
                  <w:divsChild>
                    <w:div w:id="1677267656">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1153522521">
      <w:bodyDiv w:val="1"/>
      <w:marLeft w:val="0"/>
      <w:marRight w:val="0"/>
      <w:marTop w:val="0"/>
      <w:marBottom w:val="0"/>
      <w:divBdr>
        <w:top w:val="none" w:sz="0" w:space="0" w:color="auto"/>
        <w:left w:val="none" w:sz="0" w:space="0" w:color="auto"/>
        <w:bottom w:val="none" w:sz="0" w:space="0" w:color="auto"/>
        <w:right w:val="none" w:sz="0" w:space="0" w:color="auto"/>
      </w:divBdr>
    </w:div>
    <w:div w:id="1265574543">
      <w:bodyDiv w:val="1"/>
      <w:marLeft w:val="0"/>
      <w:marRight w:val="0"/>
      <w:marTop w:val="0"/>
      <w:marBottom w:val="0"/>
      <w:divBdr>
        <w:top w:val="none" w:sz="0" w:space="0" w:color="auto"/>
        <w:left w:val="none" w:sz="0" w:space="0" w:color="auto"/>
        <w:bottom w:val="none" w:sz="0" w:space="0" w:color="auto"/>
        <w:right w:val="none" w:sz="0" w:space="0" w:color="auto"/>
      </w:divBdr>
      <w:divsChild>
        <w:div w:id="97336546">
          <w:marLeft w:val="0"/>
          <w:marRight w:val="0"/>
          <w:marTop w:val="0"/>
          <w:marBottom w:val="0"/>
          <w:divBdr>
            <w:top w:val="none" w:sz="0" w:space="0" w:color="auto"/>
            <w:left w:val="none" w:sz="0" w:space="0" w:color="auto"/>
            <w:bottom w:val="none" w:sz="0" w:space="0" w:color="auto"/>
            <w:right w:val="none" w:sz="0" w:space="0" w:color="auto"/>
          </w:divBdr>
        </w:div>
        <w:div w:id="1168979690">
          <w:marLeft w:val="0"/>
          <w:marRight w:val="0"/>
          <w:marTop w:val="0"/>
          <w:marBottom w:val="0"/>
          <w:divBdr>
            <w:top w:val="none" w:sz="0" w:space="0" w:color="auto"/>
            <w:left w:val="none" w:sz="0" w:space="0" w:color="auto"/>
            <w:bottom w:val="none" w:sz="0" w:space="0" w:color="auto"/>
            <w:right w:val="none" w:sz="0" w:space="0" w:color="auto"/>
          </w:divBdr>
        </w:div>
        <w:div w:id="1309436150">
          <w:marLeft w:val="0"/>
          <w:marRight w:val="0"/>
          <w:marTop w:val="0"/>
          <w:marBottom w:val="0"/>
          <w:divBdr>
            <w:top w:val="none" w:sz="0" w:space="0" w:color="auto"/>
            <w:left w:val="none" w:sz="0" w:space="0" w:color="auto"/>
            <w:bottom w:val="none" w:sz="0" w:space="0" w:color="auto"/>
            <w:right w:val="none" w:sz="0" w:space="0" w:color="auto"/>
          </w:divBdr>
        </w:div>
      </w:divsChild>
    </w:div>
    <w:div w:id="1266307277">
      <w:bodyDiv w:val="1"/>
      <w:marLeft w:val="0"/>
      <w:marRight w:val="0"/>
      <w:marTop w:val="0"/>
      <w:marBottom w:val="0"/>
      <w:divBdr>
        <w:top w:val="none" w:sz="0" w:space="0" w:color="auto"/>
        <w:left w:val="none" w:sz="0" w:space="0" w:color="auto"/>
        <w:bottom w:val="none" w:sz="0" w:space="0" w:color="auto"/>
        <w:right w:val="none" w:sz="0" w:space="0" w:color="auto"/>
      </w:divBdr>
      <w:divsChild>
        <w:div w:id="1545870449">
          <w:marLeft w:val="0"/>
          <w:marRight w:val="0"/>
          <w:marTop w:val="0"/>
          <w:marBottom w:val="0"/>
          <w:divBdr>
            <w:top w:val="single" w:sz="2" w:space="0" w:color="E7E5E4"/>
            <w:left w:val="single" w:sz="2" w:space="0" w:color="E7E5E4"/>
            <w:bottom w:val="single" w:sz="2" w:space="0" w:color="E7E5E4"/>
            <w:right w:val="single" w:sz="2" w:space="0" w:color="E7E5E4"/>
          </w:divBdr>
        </w:div>
        <w:div w:id="1923249105">
          <w:marLeft w:val="0"/>
          <w:marRight w:val="0"/>
          <w:marTop w:val="0"/>
          <w:marBottom w:val="0"/>
          <w:divBdr>
            <w:top w:val="single" w:sz="2" w:space="0" w:color="E7E5E4"/>
            <w:left w:val="single" w:sz="2" w:space="0" w:color="E7E5E4"/>
            <w:bottom w:val="single" w:sz="2" w:space="0" w:color="E7E5E4"/>
            <w:right w:val="single" w:sz="2" w:space="0" w:color="E7E5E4"/>
          </w:divBdr>
          <w:divsChild>
            <w:div w:id="1052658149">
              <w:marLeft w:val="0"/>
              <w:marRight w:val="0"/>
              <w:marTop w:val="0"/>
              <w:marBottom w:val="0"/>
              <w:divBdr>
                <w:top w:val="single" w:sz="2" w:space="0" w:color="E7E5E4"/>
                <w:left w:val="single" w:sz="2" w:space="0" w:color="E7E5E4"/>
                <w:bottom w:val="single" w:sz="2" w:space="0" w:color="E7E5E4"/>
                <w:right w:val="single" w:sz="2" w:space="0" w:color="E7E5E4"/>
              </w:divBdr>
              <w:divsChild>
                <w:div w:id="459960609">
                  <w:marLeft w:val="0"/>
                  <w:marRight w:val="0"/>
                  <w:marTop w:val="0"/>
                  <w:marBottom w:val="0"/>
                  <w:divBdr>
                    <w:top w:val="single" w:sz="2" w:space="0" w:color="E7E5E4"/>
                    <w:left w:val="single" w:sz="2" w:space="0" w:color="E7E5E4"/>
                    <w:bottom w:val="single" w:sz="2" w:space="0" w:color="E7E5E4"/>
                    <w:right w:val="single" w:sz="2" w:space="0" w:color="E7E5E4"/>
                  </w:divBdr>
                </w:div>
                <w:div w:id="1712995113">
                  <w:marLeft w:val="0"/>
                  <w:marRight w:val="0"/>
                  <w:marTop w:val="0"/>
                  <w:marBottom w:val="0"/>
                  <w:divBdr>
                    <w:top w:val="single" w:sz="2" w:space="0" w:color="E7E5E4"/>
                    <w:left w:val="single" w:sz="2" w:space="0" w:color="E7E5E4"/>
                    <w:bottom w:val="single" w:sz="2" w:space="0" w:color="E7E5E4"/>
                    <w:right w:val="single" w:sz="2" w:space="0" w:color="E7E5E4"/>
                  </w:divBdr>
                  <w:divsChild>
                    <w:div w:id="979001113">
                      <w:marLeft w:val="0"/>
                      <w:marRight w:val="0"/>
                      <w:marTop w:val="0"/>
                      <w:marBottom w:val="0"/>
                      <w:divBdr>
                        <w:top w:val="single" w:sz="2" w:space="0" w:color="E7E5E4"/>
                        <w:left w:val="single" w:sz="2" w:space="0" w:color="E7E5E4"/>
                        <w:bottom w:val="single" w:sz="2" w:space="0" w:color="E7E5E4"/>
                        <w:right w:val="single" w:sz="2" w:space="0" w:color="E7E5E4"/>
                      </w:divBdr>
                    </w:div>
                    <w:div w:id="1822967806">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1403404666">
      <w:bodyDiv w:val="1"/>
      <w:marLeft w:val="0"/>
      <w:marRight w:val="0"/>
      <w:marTop w:val="0"/>
      <w:marBottom w:val="0"/>
      <w:divBdr>
        <w:top w:val="none" w:sz="0" w:space="0" w:color="auto"/>
        <w:left w:val="none" w:sz="0" w:space="0" w:color="auto"/>
        <w:bottom w:val="none" w:sz="0" w:space="0" w:color="auto"/>
        <w:right w:val="none" w:sz="0" w:space="0" w:color="auto"/>
      </w:divBdr>
      <w:divsChild>
        <w:div w:id="1841237839">
          <w:marLeft w:val="0"/>
          <w:marRight w:val="0"/>
          <w:marTop w:val="0"/>
          <w:marBottom w:val="0"/>
          <w:divBdr>
            <w:top w:val="none" w:sz="0" w:space="0" w:color="auto"/>
            <w:left w:val="none" w:sz="0" w:space="0" w:color="auto"/>
            <w:bottom w:val="none" w:sz="0" w:space="0" w:color="auto"/>
            <w:right w:val="none" w:sz="0" w:space="0" w:color="auto"/>
          </w:divBdr>
          <w:divsChild>
            <w:div w:id="1144933554">
              <w:marLeft w:val="0"/>
              <w:marRight w:val="0"/>
              <w:marTop w:val="0"/>
              <w:marBottom w:val="0"/>
              <w:divBdr>
                <w:top w:val="none" w:sz="0" w:space="0" w:color="auto"/>
                <w:left w:val="none" w:sz="0" w:space="0" w:color="auto"/>
                <w:bottom w:val="none" w:sz="0" w:space="0" w:color="auto"/>
                <w:right w:val="none" w:sz="0" w:space="0" w:color="auto"/>
              </w:divBdr>
              <w:divsChild>
                <w:div w:id="19245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3669">
          <w:marLeft w:val="0"/>
          <w:marRight w:val="0"/>
          <w:marTop w:val="0"/>
          <w:marBottom w:val="0"/>
          <w:divBdr>
            <w:top w:val="none" w:sz="0" w:space="0" w:color="auto"/>
            <w:left w:val="none" w:sz="0" w:space="0" w:color="auto"/>
            <w:bottom w:val="none" w:sz="0" w:space="0" w:color="auto"/>
            <w:right w:val="none" w:sz="0" w:space="0" w:color="auto"/>
          </w:divBdr>
        </w:div>
      </w:divsChild>
    </w:div>
    <w:div w:id="1668360279">
      <w:bodyDiv w:val="1"/>
      <w:marLeft w:val="0"/>
      <w:marRight w:val="0"/>
      <w:marTop w:val="0"/>
      <w:marBottom w:val="0"/>
      <w:divBdr>
        <w:top w:val="none" w:sz="0" w:space="0" w:color="auto"/>
        <w:left w:val="none" w:sz="0" w:space="0" w:color="auto"/>
        <w:bottom w:val="none" w:sz="0" w:space="0" w:color="auto"/>
        <w:right w:val="none" w:sz="0" w:space="0" w:color="auto"/>
      </w:divBdr>
    </w:div>
    <w:div w:id="1909420666">
      <w:bodyDiv w:val="1"/>
      <w:marLeft w:val="0"/>
      <w:marRight w:val="0"/>
      <w:marTop w:val="0"/>
      <w:marBottom w:val="0"/>
      <w:divBdr>
        <w:top w:val="none" w:sz="0" w:space="0" w:color="auto"/>
        <w:left w:val="none" w:sz="0" w:space="0" w:color="auto"/>
        <w:bottom w:val="none" w:sz="0" w:space="0" w:color="auto"/>
        <w:right w:val="none" w:sz="0" w:space="0" w:color="auto"/>
      </w:divBdr>
    </w:div>
    <w:div w:id="1980066648">
      <w:bodyDiv w:val="1"/>
      <w:marLeft w:val="0"/>
      <w:marRight w:val="0"/>
      <w:marTop w:val="0"/>
      <w:marBottom w:val="0"/>
      <w:divBdr>
        <w:top w:val="none" w:sz="0" w:space="0" w:color="auto"/>
        <w:left w:val="none" w:sz="0" w:space="0" w:color="auto"/>
        <w:bottom w:val="none" w:sz="0" w:space="0" w:color="auto"/>
        <w:right w:val="none" w:sz="0" w:space="0" w:color="auto"/>
      </w:divBdr>
    </w:div>
    <w:div w:id="2085029179">
      <w:bodyDiv w:val="1"/>
      <w:marLeft w:val="0"/>
      <w:marRight w:val="0"/>
      <w:marTop w:val="0"/>
      <w:marBottom w:val="0"/>
      <w:divBdr>
        <w:top w:val="none" w:sz="0" w:space="0" w:color="auto"/>
        <w:left w:val="none" w:sz="0" w:space="0" w:color="auto"/>
        <w:bottom w:val="none" w:sz="0" w:space="0" w:color="auto"/>
        <w:right w:val="none" w:sz="0" w:space="0" w:color="auto"/>
      </w:divBdr>
      <w:divsChild>
        <w:div w:id="326061939">
          <w:marLeft w:val="0"/>
          <w:marRight w:val="0"/>
          <w:marTop w:val="0"/>
          <w:marBottom w:val="0"/>
          <w:divBdr>
            <w:top w:val="single" w:sz="2" w:space="0" w:color="E7E5E4"/>
            <w:left w:val="single" w:sz="2" w:space="0" w:color="E7E5E4"/>
            <w:bottom w:val="single" w:sz="2" w:space="0" w:color="E7E5E4"/>
            <w:right w:val="single" w:sz="2" w:space="0" w:color="E7E5E4"/>
          </w:divBdr>
        </w:div>
        <w:div w:id="654259924">
          <w:marLeft w:val="0"/>
          <w:marRight w:val="0"/>
          <w:marTop w:val="0"/>
          <w:marBottom w:val="0"/>
          <w:divBdr>
            <w:top w:val="single" w:sz="2" w:space="0" w:color="E7E5E4"/>
            <w:left w:val="single" w:sz="2" w:space="0" w:color="E7E5E4"/>
            <w:bottom w:val="single" w:sz="2" w:space="0" w:color="E7E5E4"/>
            <w:right w:val="single" w:sz="2" w:space="0" w:color="E7E5E4"/>
          </w:divBdr>
          <w:divsChild>
            <w:div w:id="707413031">
              <w:marLeft w:val="0"/>
              <w:marRight w:val="0"/>
              <w:marTop w:val="0"/>
              <w:marBottom w:val="0"/>
              <w:divBdr>
                <w:top w:val="single" w:sz="2" w:space="0" w:color="E7E5E4"/>
                <w:left w:val="single" w:sz="2" w:space="0" w:color="E7E5E4"/>
                <w:bottom w:val="single" w:sz="2" w:space="0" w:color="E7E5E4"/>
                <w:right w:val="single" w:sz="2" w:space="0" w:color="E7E5E4"/>
              </w:divBdr>
              <w:divsChild>
                <w:div w:id="2102337000">
                  <w:marLeft w:val="0"/>
                  <w:marRight w:val="0"/>
                  <w:marTop w:val="0"/>
                  <w:marBottom w:val="0"/>
                  <w:divBdr>
                    <w:top w:val="single" w:sz="2" w:space="0" w:color="E7E5E4"/>
                    <w:left w:val="single" w:sz="2" w:space="0" w:color="E7E5E4"/>
                    <w:bottom w:val="single" w:sz="2" w:space="0" w:color="E7E5E4"/>
                    <w:right w:val="single" w:sz="2" w:space="0" w:color="E7E5E4"/>
                  </w:divBdr>
                </w:div>
                <w:div w:id="337121215">
                  <w:marLeft w:val="0"/>
                  <w:marRight w:val="0"/>
                  <w:marTop w:val="0"/>
                  <w:marBottom w:val="0"/>
                  <w:divBdr>
                    <w:top w:val="single" w:sz="2" w:space="0" w:color="E7E5E4"/>
                    <w:left w:val="single" w:sz="2" w:space="0" w:color="E7E5E4"/>
                    <w:bottom w:val="single" w:sz="2" w:space="0" w:color="E7E5E4"/>
                    <w:right w:val="single" w:sz="2" w:space="0" w:color="E7E5E4"/>
                  </w:divBdr>
                  <w:divsChild>
                    <w:div w:id="1529290683">
                      <w:marLeft w:val="0"/>
                      <w:marRight w:val="0"/>
                      <w:marTop w:val="0"/>
                      <w:marBottom w:val="0"/>
                      <w:divBdr>
                        <w:top w:val="single" w:sz="2" w:space="0" w:color="E7E5E4"/>
                        <w:left w:val="single" w:sz="2" w:space="0" w:color="E7E5E4"/>
                        <w:bottom w:val="single" w:sz="2" w:space="0" w:color="E7E5E4"/>
                        <w:right w:val="single" w:sz="2" w:space="0" w:color="E7E5E4"/>
                      </w:divBdr>
                    </w:div>
                    <w:div w:id="1544370941">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oi.org/10.4314/dujopas.v9i4a.30" TargetMode="External"/><Relationship Id="rId39" Type="http://schemas.openxmlformats.org/officeDocument/2006/relationships/hyperlink" Target="https://doi.org/10.1146/annurev-ento-010814-020828" TargetMode="External"/><Relationship Id="rId21" Type="http://schemas.openxmlformats.org/officeDocument/2006/relationships/chart" Target="charts/chart15.xml"/><Relationship Id="rId34" Type="http://schemas.openxmlformats.org/officeDocument/2006/relationships/hyperlink" Target="https://doi.org/10.3390/tropicalmed8100459" TargetMode="External"/><Relationship Id="rId42" Type="http://schemas.openxmlformats.org/officeDocument/2006/relationships/hyperlink" Target="https://doi.org/10.9734/jabb/2021/v24i83023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chart" Target="charts/chart10.xml"/><Relationship Id="rId29" Type="http://schemas.openxmlformats.org/officeDocument/2006/relationships/hyperlink" Target="https://doi.org/10.1016/j.pt.2024.05.007" TargetMode="External"/><Relationship Id="rId11" Type="http://schemas.openxmlformats.org/officeDocument/2006/relationships/chart" Target="charts/chart5.xml"/><Relationship Id="rId24" Type="http://schemas.openxmlformats.org/officeDocument/2006/relationships/image" Target="media/image3.png"/><Relationship Id="rId32" Type="http://schemas.openxmlformats.org/officeDocument/2006/relationships/hyperlink" Target="https://doi.org/10.1186/s12936-024-04871-9" TargetMode="External"/><Relationship Id="rId37" Type="http://schemas.openxmlformats.org/officeDocument/2006/relationships/hyperlink" Target="https://doi.org/10.4314/njpar.v39i2.5" TargetMode="External"/><Relationship Id="rId40" Type="http://schemas.openxmlformats.org/officeDocument/2006/relationships/hyperlink" Target="https://doi.org/10.1186/s12936-025-05368-9" TargetMode="External"/><Relationship Id="rId45" Type="http://schemas.openxmlformats.org/officeDocument/2006/relationships/hyperlink" Target="https://doi.org/10.1186/s12936-024-04982-3"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yperlink" Target="https://doi.org/10.54117/ijph.v5i2.36" TargetMode="External"/><Relationship Id="rId44" Type="http://schemas.openxmlformats.org/officeDocument/2006/relationships/hyperlink" Target="https://doi.org/10.1089/vbz.2018.2409"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doi.org/10.4103/jvbd.jvbd_23_25" TargetMode="External"/><Relationship Id="rId30" Type="http://schemas.openxmlformats.org/officeDocument/2006/relationships/hyperlink" Target="https://doi.org/10.1186/s12936-020-3144-9" TargetMode="External"/><Relationship Id="rId35" Type="http://schemas.openxmlformats.org/officeDocument/2006/relationships/hyperlink" Target="https://doi.org/10.1016/j.meegid.2014.05.027" TargetMode="External"/><Relationship Id="rId43" Type="http://schemas.openxmlformats.org/officeDocument/2006/relationships/hyperlink" Target="https://doi.org/10.1603/0022-2585-41.4.746" TargetMode="External"/><Relationship Id="rId48" Type="http://schemas.openxmlformats.org/officeDocument/2006/relationships/header" Target="header2.xml"/><Relationship Id="rId8" Type="http://schemas.openxmlformats.org/officeDocument/2006/relationships/chart" Target="charts/chart2.xml"/><Relationship Id="rId51"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33003/sajols-2024-0202-08" TargetMode="External"/><Relationship Id="rId33" Type="http://schemas.openxmlformats.org/officeDocument/2006/relationships/hyperlink" Target="https://doi.org/10.1007/s00436-023-08078-w" TargetMode="External"/><Relationship Id="rId38" Type="http://schemas.openxmlformats.org/officeDocument/2006/relationships/hyperlink" Target="https://doi.org/10.23880/phoa-16000158" TargetMode="External"/><Relationship Id="rId46" Type="http://schemas.openxmlformats.org/officeDocument/2006/relationships/hyperlink" Target="https://doi.org/10.55126/IJZAB.2022.V07.I02.007" TargetMode="External"/><Relationship Id="rId20" Type="http://schemas.openxmlformats.org/officeDocument/2006/relationships/chart" Target="charts/chart14.xml"/><Relationship Id="rId41" Type="http://schemas.openxmlformats.org/officeDocument/2006/relationships/hyperlink" Target="https://doi.org/10.1186/s12936-020-03271-z"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image" Target="media/image2.png"/><Relationship Id="rId28" Type="http://schemas.openxmlformats.org/officeDocument/2006/relationships/hyperlink" Target="https://doi.org/10.36108/nje/4202/04.0201" TargetMode="External"/><Relationship Id="rId36" Type="http://schemas.openxmlformats.org/officeDocument/2006/relationships/hyperlink" Target="https://doi.org/10.1186/s12936-024-05053-3"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'Egbudu-Akah'!$P$15:$R$15</c:f>
              <c:strCache>
                <c:ptCount val="3"/>
                <c:pt idx="0">
                  <c:v>Egbudu-Akah</c:v>
                </c:pt>
                <c:pt idx="1">
                  <c:v>Owhelogbo</c:v>
                </c:pt>
                <c:pt idx="2">
                  <c:v>Aghalokpe</c:v>
                </c:pt>
              </c:strCache>
            </c:strRef>
          </c:cat>
          <c:val>
            <c:numRef>
              <c:f>'Egbudu-Akah'!$P$16:$R$16</c:f>
              <c:numCache>
                <c:formatCode>General</c:formatCode>
                <c:ptCount val="3"/>
                <c:pt idx="0">
                  <c:v>325</c:v>
                </c:pt>
                <c:pt idx="1">
                  <c:v>226</c:v>
                </c:pt>
                <c:pt idx="2">
                  <c:v>269</c:v>
                </c:pt>
              </c:numCache>
            </c:numRef>
          </c:val>
          <c:extLst>
            <c:ext xmlns:c16="http://schemas.microsoft.com/office/drawing/2014/chart" uri="{C3380CC4-5D6E-409C-BE32-E72D297353CC}">
              <c16:uniqueId val="{00000000-9057-417E-A358-A26AEBB07C43}"/>
            </c:ext>
          </c:extLst>
        </c:ser>
        <c:dLbls>
          <c:showLegendKey val="0"/>
          <c:showVal val="0"/>
          <c:showCatName val="0"/>
          <c:showSerName val="0"/>
          <c:showPercent val="0"/>
          <c:showBubbleSize val="0"/>
        </c:dLbls>
        <c:gapWidth val="219"/>
        <c:overlap val="-27"/>
        <c:axId val="60413056"/>
        <c:axId val="85825408"/>
      </c:barChart>
      <c:catAx>
        <c:axId val="60413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 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25408"/>
        <c:crosses val="autoZero"/>
        <c:auto val="1"/>
        <c:lblAlgn val="ctr"/>
        <c:lblOffset val="100"/>
        <c:noMultiLvlLbl val="0"/>
      </c:catAx>
      <c:valAx>
        <c:axId val="85825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1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Aghalokpe!$Q$1</c:f>
              <c:strCache>
                <c:ptCount val="1"/>
                <c:pt idx="0">
                  <c:v>Indoor resting density</c:v>
                </c:pt>
              </c:strCache>
            </c:strRef>
          </c:tx>
          <c:spPr>
            <a:solidFill>
              <a:schemeClr val="accent1"/>
            </a:solidFill>
            <a:ln>
              <a:noFill/>
            </a:ln>
            <a:effectLst/>
          </c:spPr>
          <c:invertIfNegative val="0"/>
          <c:cat>
            <c:strRef>
              <c:f>Aghalokpe!$P$2:$P$10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Aghalokpe!$Q$2:$Q$10</c:f>
              <c:numCache>
                <c:formatCode>General</c:formatCode>
                <c:ptCount val="9"/>
                <c:pt idx="0">
                  <c:v>1.5</c:v>
                </c:pt>
                <c:pt idx="1">
                  <c:v>0.6875</c:v>
                </c:pt>
                <c:pt idx="2">
                  <c:v>1.0625</c:v>
                </c:pt>
                <c:pt idx="3">
                  <c:v>0.64583333333333748</c:v>
                </c:pt>
                <c:pt idx="4">
                  <c:v>0.33333333333333331</c:v>
                </c:pt>
                <c:pt idx="5">
                  <c:v>8.3333333333333343E-2</c:v>
                </c:pt>
                <c:pt idx="6">
                  <c:v>2.0833333333333412E-2</c:v>
                </c:pt>
                <c:pt idx="7">
                  <c:v>0.35416666666666863</c:v>
                </c:pt>
                <c:pt idx="8">
                  <c:v>0.91666666666666652</c:v>
                </c:pt>
              </c:numCache>
            </c:numRef>
          </c:val>
          <c:extLst>
            <c:ext xmlns:c16="http://schemas.microsoft.com/office/drawing/2014/chart" uri="{C3380CC4-5D6E-409C-BE32-E72D297353CC}">
              <c16:uniqueId val="{00000000-5A82-4C5F-9C76-0B0BB516A621}"/>
            </c:ext>
          </c:extLst>
        </c:ser>
        <c:dLbls>
          <c:showLegendKey val="0"/>
          <c:showVal val="0"/>
          <c:showCatName val="0"/>
          <c:showSerName val="0"/>
          <c:showPercent val="0"/>
          <c:showBubbleSize val="0"/>
        </c:dLbls>
        <c:gapWidth val="219"/>
        <c:overlap val="-27"/>
        <c:axId val="91316224"/>
        <c:axId val="91318144"/>
      </c:barChart>
      <c:catAx>
        <c:axId val="91316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18144"/>
        <c:crosses val="autoZero"/>
        <c:auto val="1"/>
        <c:lblAlgn val="ctr"/>
        <c:lblOffset val="100"/>
        <c:noMultiLvlLbl val="0"/>
      </c:catAx>
      <c:valAx>
        <c:axId val="91318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16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'Egbudu-Akah'!$G$16</c:f>
              <c:strCache>
                <c:ptCount val="1"/>
                <c:pt idx="0">
                  <c:v>Human biting rate</c:v>
                </c:pt>
              </c:strCache>
            </c:strRef>
          </c:tx>
          <c:spPr>
            <a:solidFill>
              <a:schemeClr val="accent1"/>
            </a:solidFill>
            <a:ln>
              <a:noFill/>
            </a:ln>
            <a:effectLst/>
          </c:spPr>
          <c:invertIfNegative val="0"/>
          <c:cat>
            <c:strRef>
              <c:f>'Egbudu-Akah'!$H$15:$J$15</c:f>
              <c:strCache>
                <c:ptCount val="3"/>
                <c:pt idx="0">
                  <c:v>Egbudu-Akah</c:v>
                </c:pt>
                <c:pt idx="1">
                  <c:v>Owhelogbo</c:v>
                </c:pt>
                <c:pt idx="2">
                  <c:v>Aghalokpe</c:v>
                </c:pt>
              </c:strCache>
            </c:strRef>
          </c:cat>
          <c:val>
            <c:numRef>
              <c:f>'Egbudu-Akah'!$H$16:$J$16</c:f>
              <c:numCache>
                <c:formatCode>General</c:formatCode>
                <c:ptCount val="3"/>
                <c:pt idx="0">
                  <c:v>1.8109999999999937</c:v>
                </c:pt>
                <c:pt idx="1">
                  <c:v>1.042</c:v>
                </c:pt>
                <c:pt idx="2">
                  <c:v>1.282999999999993</c:v>
                </c:pt>
              </c:numCache>
            </c:numRef>
          </c:val>
          <c:extLst>
            <c:ext xmlns:c16="http://schemas.microsoft.com/office/drawing/2014/chart" uri="{C3380CC4-5D6E-409C-BE32-E72D297353CC}">
              <c16:uniqueId val="{00000000-8993-4FC5-8DCD-4A01B5534069}"/>
            </c:ext>
          </c:extLst>
        </c:ser>
        <c:dLbls>
          <c:showLegendKey val="0"/>
          <c:showVal val="0"/>
          <c:showCatName val="0"/>
          <c:showSerName val="0"/>
          <c:showPercent val="0"/>
          <c:showBubbleSize val="0"/>
        </c:dLbls>
        <c:gapWidth val="219"/>
        <c:overlap val="-27"/>
        <c:axId val="91325952"/>
        <c:axId val="91327872"/>
      </c:barChart>
      <c:catAx>
        <c:axId val="9132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locations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27872"/>
        <c:crosses val="autoZero"/>
        <c:auto val="1"/>
        <c:lblAlgn val="ctr"/>
        <c:lblOffset val="100"/>
        <c:noMultiLvlLbl val="0"/>
      </c:catAx>
      <c:valAx>
        <c:axId val="91327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2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'Egbudu-Akah'!$N$1</c:f>
              <c:strCache>
                <c:ptCount val="1"/>
                <c:pt idx="0">
                  <c:v>Human biting rate</c:v>
                </c:pt>
              </c:strCache>
            </c:strRef>
          </c:tx>
          <c:spPr>
            <a:solidFill>
              <a:schemeClr val="accent1"/>
            </a:solidFill>
            <a:ln>
              <a:noFill/>
            </a:ln>
            <a:effectLst/>
          </c:spPr>
          <c:invertIfNegative val="0"/>
          <c:cat>
            <c:strRef>
              <c:f>'Egbudu-Akah'!$M$2:$M$10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'Egbudu-Akah'!$N$2:$N$10</c:f>
              <c:numCache>
                <c:formatCode>General</c:formatCode>
                <c:ptCount val="9"/>
                <c:pt idx="0">
                  <c:v>0.50526315789473331</c:v>
                </c:pt>
                <c:pt idx="1">
                  <c:v>0.2</c:v>
                </c:pt>
                <c:pt idx="2">
                  <c:v>0.26315789473684231</c:v>
                </c:pt>
                <c:pt idx="3">
                  <c:v>0.21052631578947459</c:v>
                </c:pt>
                <c:pt idx="4">
                  <c:v>0.14736842105263256</c:v>
                </c:pt>
                <c:pt idx="5">
                  <c:v>0.10526315789473686</c:v>
                </c:pt>
                <c:pt idx="6">
                  <c:v>1.0526315789473684E-2</c:v>
                </c:pt>
                <c:pt idx="7">
                  <c:v>7.3684210526315783E-2</c:v>
                </c:pt>
                <c:pt idx="8">
                  <c:v>0.2947368421052633</c:v>
                </c:pt>
              </c:numCache>
            </c:numRef>
          </c:val>
          <c:extLst>
            <c:ext xmlns:c16="http://schemas.microsoft.com/office/drawing/2014/chart" uri="{C3380CC4-5D6E-409C-BE32-E72D297353CC}">
              <c16:uniqueId val="{00000000-7CAB-4B40-B63D-555FDB3A6D90}"/>
            </c:ext>
          </c:extLst>
        </c:ser>
        <c:dLbls>
          <c:showLegendKey val="0"/>
          <c:showVal val="0"/>
          <c:showCatName val="0"/>
          <c:showSerName val="0"/>
          <c:showPercent val="0"/>
          <c:showBubbleSize val="0"/>
        </c:dLbls>
        <c:gapWidth val="219"/>
        <c:overlap val="-27"/>
        <c:axId val="92351488"/>
        <c:axId val="92357760"/>
      </c:barChart>
      <c:catAx>
        <c:axId val="9235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57760"/>
        <c:crosses val="autoZero"/>
        <c:auto val="1"/>
        <c:lblAlgn val="ctr"/>
        <c:lblOffset val="100"/>
        <c:noMultiLvlLbl val="0"/>
      </c:catAx>
      <c:valAx>
        <c:axId val="92357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51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Owhelogbo!$O$1</c:f>
              <c:strCache>
                <c:ptCount val="1"/>
                <c:pt idx="0">
                  <c:v>Human biting rate</c:v>
                </c:pt>
              </c:strCache>
            </c:strRef>
          </c:tx>
          <c:spPr>
            <a:solidFill>
              <a:schemeClr val="accent1"/>
            </a:solidFill>
            <a:ln>
              <a:noFill/>
            </a:ln>
            <a:effectLst/>
          </c:spPr>
          <c:invertIfNegative val="0"/>
          <c:cat>
            <c:strRef>
              <c:f>Owhelogbo!$N$2:$N$10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Owhelogbo!$O$2:$O$10</c:f>
              <c:numCache>
                <c:formatCode>General</c:formatCode>
                <c:ptCount val="9"/>
                <c:pt idx="0">
                  <c:v>0.2947368421052633</c:v>
                </c:pt>
                <c:pt idx="1">
                  <c:v>0.13684210526315788</c:v>
                </c:pt>
                <c:pt idx="2">
                  <c:v>0.2</c:v>
                </c:pt>
                <c:pt idx="3">
                  <c:v>0.13684210526315788</c:v>
                </c:pt>
                <c:pt idx="4">
                  <c:v>7.3684210526315783E-2</c:v>
                </c:pt>
                <c:pt idx="5">
                  <c:v>0</c:v>
                </c:pt>
                <c:pt idx="6">
                  <c:v>1.0526315789473684E-2</c:v>
                </c:pt>
                <c:pt idx="7">
                  <c:v>3.157894736842129E-2</c:v>
                </c:pt>
                <c:pt idx="8">
                  <c:v>0.15789473684210692</c:v>
                </c:pt>
              </c:numCache>
            </c:numRef>
          </c:val>
          <c:extLst>
            <c:ext xmlns:c16="http://schemas.microsoft.com/office/drawing/2014/chart" uri="{C3380CC4-5D6E-409C-BE32-E72D297353CC}">
              <c16:uniqueId val="{00000000-D36B-47F8-9C16-674A3692DF38}"/>
            </c:ext>
          </c:extLst>
        </c:ser>
        <c:dLbls>
          <c:showLegendKey val="0"/>
          <c:showVal val="0"/>
          <c:showCatName val="0"/>
          <c:showSerName val="0"/>
          <c:showPercent val="0"/>
          <c:showBubbleSize val="0"/>
        </c:dLbls>
        <c:gapWidth val="219"/>
        <c:overlap val="-27"/>
        <c:axId val="92373760"/>
        <c:axId val="92375680"/>
      </c:barChart>
      <c:catAx>
        <c:axId val="92373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75680"/>
        <c:crosses val="autoZero"/>
        <c:auto val="1"/>
        <c:lblAlgn val="ctr"/>
        <c:lblOffset val="100"/>
        <c:noMultiLvlLbl val="0"/>
      </c:catAx>
      <c:valAx>
        <c:axId val="9237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7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Aghalokpe!$M$1</c:f>
              <c:strCache>
                <c:ptCount val="1"/>
                <c:pt idx="0">
                  <c:v>Human biting rate</c:v>
                </c:pt>
              </c:strCache>
            </c:strRef>
          </c:tx>
          <c:spPr>
            <a:solidFill>
              <a:schemeClr val="accent1"/>
            </a:solidFill>
            <a:ln>
              <a:noFill/>
            </a:ln>
            <a:effectLst/>
          </c:spPr>
          <c:invertIfNegative val="0"/>
          <c:cat>
            <c:strRef>
              <c:f>Aghalokpe!$L$2:$L$10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Aghalokpe!$M$2:$M$10</c:f>
              <c:numCache>
                <c:formatCode>General</c:formatCode>
                <c:ptCount val="9"/>
                <c:pt idx="0">
                  <c:v>0.35353535353535354</c:v>
                </c:pt>
                <c:pt idx="1">
                  <c:v>0.16161616161616171</c:v>
                </c:pt>
                <c:pt idx="2">
                  <c:v>0.2323232323232324</c:v>
                </c:pt>
                <c:pt idx="3">
                  <c:v>0.15151515151515282</c:v>
                </c:pt>
                <c:pt idx="4">
                  <c:v>9.0909090909091064E-2</c:v>
                </c:pt>
                <c:pt idx="5">
                  <c:v>3.0303030303030311E-2</c:v>
                </c:pt>
                <c:pt idx="6">
                  <c:v>0</c:v>
                </c:pt>
                <c:pt idx="7">
                  <c:v>9.0909090909091064E-2</c:v>
                </c:pt>
                <c:pt idx="8">
                  <c:v>0.17171717171717296</c:v>
                </c:pt>
              </c:numCache>
            </c:numRef>
          </c:val>
          <c:extLst>
            <c:ext xmlns:c16="http://schemas.microsoft.com/office/drawing/2014/chart" uri="{C3380CC4-5D6E-409C-BE32-E72D297353CC}">
              <c16:uniqueId val="{00000000-ABBA-4BFF-8DFF-3FB1A3EBD9A2}"/>
            </c:ext>
          </c:extLst>
        </c:ser>
        <c:dLbls>
          <c:showLegendKey val="0"/>
          <c:showVal val="0"/>
          <c:showCatName val="0"/>
          <c:showSerName val="0"/>
          <c:showPercent val="0"/>
          <c:showBubbleSize val="0"/>
        </c:dLbls>
        <c:gapWidth val="219"/>
        <c:overlap val="-27"/>
        <c:axId val="92395776"/>
        <c:axId val="93536640"/>
      </c:barChart>
      <c:catAx>
        <c:axId val="9239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36640"/>
        <c:crosses val="autoZero"/>
        <c:auto val="1"/>
        <c:lblAlgn val="ctr"/>
        <c:lblOffset val="100"/>
        <c:noMultiLvlLbl val="0"/>
      </c:catAx>
      <c:valAx>
        <c:axId val="93536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a:t>
                </a:r>
                <a:r>
                  <a:rPr lang="en-US" baseline="0"/>
                  <a:t> biting rates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9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Environmental!$L$2</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Environmental!$L$3:$L$11</c:f>
              <c:numCache>
                <c:formatCode>General</c:formatCode>
                <c:ptCount val="9"/>
                <c:pt idx="0">
                  <c:v>28</c:v>
                </c:pt>
                <c:pt idx="1">
                  <c:v>28</c:v>
                </c:pt>
                <c:pt idx="2">
                  <c:v>30</c:v>
                </c:pt>
                <c:pt idx="3">
                  <c:v>31</c:v>
                </c:pt>
                <c:pt idx="4">
                  <c:v>32</c:v>
                </c:pt>
                <c:pt idx="5">
                  <c:v>33</c:v>
                </c:pt>
                <c:pt idx="6">
                  <c:v>34</c:v>
                </c:pt>
                <c:pt idx="7">
                  <c:v>35</c:v>
                </c:pt>
                <c:pt idx="8">
                  <c:v>34</c:v>
                </c:pt>
              </c:numCache>
            </c:numRef>
          </c:val>
          <c:smooth val="0"/>
          <c:extLst>
            <c:ext xmlns:c16="http://schemas.microsoft.com/office/drawing/2014/chart" uri="{C3380CC4-5D6E-409C-BE32-E72D297353CC}">
              <c16:uniqueId val="{00000000-45C1-42E7-A5C5-D09AB76C4C2C}"/>
            </c:ext>
          </c:extLst>
        </c:ser>
        <c:ser>
          <c:idx val="1"/>
          <c:order val="1"/>
          <c:tx>
            <c:strRef>
              <c:f>Environmental!$M$2</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Environmental!$M$3:$M$11</c:f>
              <c:numCache>
                <c:formatCode>General</c:formatCode>
                <c:ptCount val="9"/>
                <c:pt idx="0">
                  <c:v>28</c:v>
                </c:pt>
                <c:pt idx="1">
                  <c:v>29</c:v>
                </c:pt>
                <c:pt idx="2">
                  <c:v>30</c:v>
                </c:pt>
                <c:pt idx="3">
                  <c:v>30</c:v>
                </c:pt>
                <c:pt idx="4">
                  <c:v>32</c:v>
                </c:pt>
                <c:pt idx="5">
                  <c:v>32</c:v>
                </c:pt>
                <c:pt idx="6">
                  <c:v>33</c:v>
                </c:pt>
                <c:pt idx="7">
                  <c:v>34</c:v>
                </c:pt>
                <c:pt idx="8">
                  <c:v>32</c:v>
                </c:pt>
              </c:numCache>
            </c:numRef>
          </c:val>
          <c:smooth val="0"/>
          <c:extLst>
            <c:ext xmlns:c16="http://schemas.microsoft.com/office/drawing/2014/chart" uri="{C3380CC4-5D6E-409C-BE32-E72D297353CC}">
              <c16:uniqueId val="{00000001-45C1-42E7-A5C5-D09AB76C4C2C}"/>
            </c:ext>
          </c:extLst>
        </c:ser>
        <c:ser>
          <c:idx val="2"/>
          <c:order val="2"/>
          <c:tx>
            <c:strRef>
              <c:f>Environmental!$N$2</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Environmental!$N$3:$N$11</c:f>
              <c:numCache>
                <c:formatCode>General</c:formatCode>
                <c:ptCount val="9"/>
                <c:pt idx="0">
                  <c:v>29</c:v>
                </c:pt>
                <c:pt idx="1">
                  <c:v>30</c:v>
                </c:pt>
                <c:pt idx="2">
                  <c:v>26</c:v>
                </c:pt>
                <c:pt idx="3">
                  <c:v>30</c:v>
                </c:pt>
                <c:pt idx="4">
                  <c:v>35</c:v>
                </c:pt>
                <c:pt idx="5">
                  <c:v>36</c:v>
                </c:pt>
                <c:pt idx="6">
                  <c:v>35</c:v>
                </c:pt>
                <c:pt idx="7">
                  <c:v>35</c:v>
                </c:pt>
                <c:pt idx="8">
                  <c:v>34</c:v>
                </c:pt>
              </c:numCache>
            </c:numRef>
          </c:val>
          <c:smooth val="0"/>
          <c:extLst>
            <c:ext xmlns:c16="http://schemas.microsoft.com/office/drawing/2014/chart" uri="{C3380CC4-5D6E-409C-BE32-E72D297353CC}">
              <c16:uniqueId val="{00000002-45C1-42E7-A5C5-D09AB76C4C2C}"/>
            </c:ext>
          </c:extLst>
        </c:ser>
        <c:dLbls>
          <c:showLegendKey val="0"/>
          <c:showVal val="0"/>
          <c:showCatName val="0"/>
          <c:showSerName val="0"/>
          <c:showPercent val="0"/>
          <c:showBubbleSize val="0"/>
        </c:dLbls>
        <c:marker val="1"/>
        <c:smooth val="0"/>
        <c:axId val="93567232"/>
        <c:axId val="93655424"/>
      </c:lineChart>
      <c:catAx>
        <c:axId val="9356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55424"/>
        <c:crosses val="autoZero"/>
        <c:auto val="1"/>
        <c:lblAlgn val="ctr"/>
        <c:lblOffset val="100"/>
        <c:noMultiLvlLbl val="0"/>
      </c:catAx>
      <c:valAx>
        <c:axId val="93655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temperature (oC)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6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Environmental!$L$14</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Environmental!$L$15:$L$23</c:f>
              <c:numCache>
                <c:formatCode>General</c:formatCode>
                <c:ptCount val="9"/>
                <c:pt idx="0">
                  <c:v>68</c:v>
                </c:pt>
                <c:pt idx="1">
                  <c:v>80</c:v>
                </c:pt>
                <c:pt idx="2">
                  <c:v>63</c:v>
                </c:pt>
                <c:pt idx="3">
                  <c:v>70</c:v>
                </c:pt>
                <c:pt idx="4">
                  <c:v>67</c:v>
                </c:pt>
                <c:pt idx="5">
                  <c:v>78</c:v>
                </c:pt>
                <c:pt idx="6">
                  <c:v>65</c:v>
                </c:pt>
                <c:pt idx="7">
                  <c:v>60</c:v>
                </c:pt>
                <c:pt idx="8">
                  <c:v>67</c:v>
                </c:pt>
              </c:numCache>
            </c:numRef>
          </c:val>
          <c:smooth val="0"/>
          <c:extLst>
            <c:ext xmlns:c16="http://schemas.microsoft.com/office/drawing/2014/chart" uri="{C3380CC4-5D6E-409C-BE32-E72D297353CC}">
              <c16:uniqueId val="{00000000-D8B4-404E-BF46-398716124ABA}"/>
            </c:ext>
          </c:extLst>
        </c:ser>
        <c:ser>
          <c:idx val="1"/>
          <c:order val="1"/>
          <c:tx>
            <c:strRef>
              <c:f>Environmental!$M$14</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Environmental!$M$15:$M$23</c:f>
              <c:numCache>
                <c:formatCode>General</c:formatCode>
                <c:ptCount val="9"/>
                <c:pt idx="0">
                  <c:v>80</c:v>
                </c:pt>
                <c:pt idx="1">
                  <c:v>81</c:v>
                </c:pt>
                <c:pt idx="2">
                  <c:v>80</c:v>
                </c:pt>
                <c:pt idx="3">
                  <c:v>74</c:v>
                </c:pt>
                <c:pt idx="4">
                  <c:v>76</c:v>
                </c:pt>
                <c:pt idx="5">
                  <c:v>80</c:v>
                </c:pt>
                <c:pt idx="6">
                  <c:v>81</c:v>
                </c:pt>
                <c:pt idx="7">
                  <c:v>65</c:v>
                </c:pt>
                <c:pt idx="8">
                  <c:v>64</c:v>
                </c:pt>
              </c:numCache>
            </c:numRef>
          </c:val>
          <c:smooth val="0"/>
          <c:extLst>
            <c:ext xmlns:c16="http://schemas.microsoft.com/office/drawing/2014/chart" uri="{C3380CC4-5D6E-409C-BE32-E72D297353CC}">
              <c16:uniqueId val="{00000001-D8B4-404E-BF46-398716124ABA}"/>
            </c:ext>
          </c:extLst>
        </c:ser>
        <c:ser>
          <c:idx val="2"/>
          <c:order val="2"/>
          <c:tx>
            <c:strRef>
              <c:f>Environmental!$N$14</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Environmental!$N$15:$N$23</c:f>
              <c:numCache>
                <c:formatCode>General</c:formatCode>
                <c:ptCount val="9"/>
                <c:pt idx="0">
                  <c:v>60</c:v>
                </c:pt>
                <c:pt idx="1">
                  <c:v>60</c:v>
                </c:pt>
                <c:pt idx="2">
                  <c:v>67</c:v>
                </c:pt>
                <c:pt idx="3">
                  <c:v>69</c:v>
                </c:pt>
                <c:pt idx="4">
                  <c:v>70</c:v>
                </c:pt>
                <c:pt idx="5">
                  <c:v>59</c:v>
                </c:pt>
                <c:pt idx="6">
                  <c:v>58</c:v>
                </c:pt>
                <c:pt idx="7">
                  <c:v>68</c:v>
                </c:pt>
                <c:pt idx="8">
                  <c:v>68</c:v>
                </c:pt>
              </c:numCache>
            </c:numRef>
          </c:val>
          <c:smooth val="0"/>
          <c:extLst>
            <c:ext xmlns:c16="http://schemas.microsoft.com/office/drawing/2014/chart" uri="{C3380CC4-5D6E-409C-BE32-E72D297353CC}">
              <c16:uniqueId val="{00000002-D8B4-404E-BF46-398716124ABA}"/>
            </c:ext>
          </c:extLst>
        </c:ser>
        <c:dLbls>
          <c:showLegendKey val="0"/>
          <c:showVal val="0"/>
          <c:showCatName val="0"/>
          <c:showSerName val="0"/>
          <c:showPercent val="0"/>
          <c:showBubbleSize val="0"/>
        </c:dLbls>
        <c:marker val="1"/>
        <c:smooth val="0"/>
        <c:axId val="93706880"/>
        <c:axId val="99037952"/>
      </c:lineChart>
      <c:catAx>
        <c:axId val="93706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37952"/>
        <c:crosses val="autoZero"/>
        <c:auto val="1"/>
        <c:lblAlgn val="ctr"/>
        <c:lblOffset val="100"/>
        <c:noMultiLvlLbl val="0"/>
      </c:catAx>
      <c:valAx>
        <c:axId val="9903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relative humidity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0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'Egbudu-Akah'!$C$17</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'Egbudu-Akah'!$C$18:$C$26</c:f>
              <c:numCache>
                <c:formatCode>General</c:formatCode>
                <c:ptCount val="9"/>
                <c:pt idx="0">
                  <c:v>77</c:v>
                </c:pt>
                <c:pt idx="1">
                  <c:v>36</c:v>
                </c:pt>
                <c:pt idx="2">
                  <c:v>62</c:v>
                </c:pt>
                <c:pt idx="3">
                  <c:v>43</c:v>
                </c:pt>
                <c:pt idx="4">
                  <c:v>21</c:v>
                </c:pt>
                <c:pt idx="5">
                  <c:v>13</c:v>
                </c:pt>
                <c:pt idx="6">
                  <c:v>1</c:v>
                </c:pt>
                <c:pt idx="7">
                  <c:v>18</c:v>
                </c:pt>
                <c:pt idx="8">
                  <c:v>54</c:v>
                </c:pt>
              </c:numCache>
            </c:numRef>
          </c:val>
          <c:smooth val="0"/>
          <c:extLst>
            <c:ext xmlns:c16="http://schemas.microsoft.com/office/drawing/2014/chart" uri="{C3380CC4-5D6E-409C-BE32-E72D297353CC}">
              <c16:uniqueId val="{00000000-E6E0-4D12-903C-FD2B6A622F76}"/>
            </c:ext>
          </c:extLst>
        </c:ser>
        <c:ser>
          <c:idx val="1"/>
          <c:order val="1"/>
          <c:tx>
            <c:strRef>
              <c:f>'Egbudu-Akah'!$D$17</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'Egbudu-Akah'!$D$18:$D$26</c:f>
              <c:numCache>
                <c:formatCode>General</c:formatCode>
                <c:ptCount val="9"/>
                <c:pt idx="0">
                  <c:v>64</c:v>
                </c:pt>
                <c:pt idx="1">
                  <c:v>29</c:v>
                </c:pt>
                <c:pt idx="2">
                  <c:v>37</c:v>
                </c:pt>
                <c:pt idx="3">
                  <c:v>30</c:v>
                </c:pt>
                <c:pt idx="4">
                  <c:v>18</c:v>
                </c:pt>
                <c:pt idx="5">
                  <c:v>2</c:v>
                </c:pt>
                <c:pt idx="6">
                  <c:v>1</c:v>
                </c:pt>
                <c:pt idx="7">
                  <c:v>7</c:v>
                </c:pt>
                <c:pt idx="8">
                  <c:v>38</c:v>
                </c:pt>
              </c:numCache>
            </c:numRef>
          </c:val>
          <c:smooth val="0"/>
          <c:extLst>
            <c:ext xmlns:c16="http://schemas.microsoft.com/office/drawing/2014/chart" uri="{C3380CC4-5D6E-409C-BE32-E72D297353CC}">
              <c16:uniqueId val="{00000001-E6E0-4D12-903C-FD2B6A622F76}"/>
            </c:ext>
          </c:extLst>
        </c:ser>
        <c:ser>
          <c:idx val="2"/>
          <c:order val="2"/>
          <c:tx>
            <c:strRef>
              <c:f>'Egbudu-Akah'!$E$17</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'Egbudu-Akah'!$E$18:$E$26</c:f>
              <c:numCache>
                <c:formatCode>General</c:formatCode>
                <c:ptCount val="9"/>
                <c:pt idx="0">
                  <c:v>72</c:v>
                </c:pt>
                <c:pt idx="1">
                  <c:v>33</c:v>
                </c:pt>
                <c:pt idx="2">
                  <c:v>51</c:v>
                </c:pt>
                <c:pt idx="3">
                  <c:v>31</c:v>
                </c:pt>
                <c:pt idx="4">
                  <c:v>16</c:v>
                </c:pt>
                <c:pt idx="5">
                  <c:v>4</c:v>
                </c:pt>
                <c:pt idx="6">
                  <c:v>1</c:v>
                </c:pt>
                <c:pt idx="7">
                  <c:v>17</c:v>
                </c:pt>
                <c:pt idx="8">
                  <c:v>44</c:v>
                </c:pt>
              </c:numCache>
            </c:numRef>
          </c:val>
          <c:smooth val="0"/>
          <c:extLst>
            <c:ext xmlns:c16="http://schemas.microsoft.com/office/drawing/2014/chart" uri="{C3380CC4-5D6E-409C-BE32-E72D297353CC}">
              <c16:uniqueId val="{00000002-E6E0-4D12-903C-FD2B6A622F76}"/>
            </c:ext>
          </c:extLst>
        </c:ser>
        <c:dLbls>
          <c:showLegendKey val="0"/>
          <c:showVal val="0"/>
          <c:showCatName val="0"/>
          <c:showSerName val="0"/>
          <c:showPercent val="0"/>
          <c:showBubbleSize val="0"/>
        </c:dLbls>
        <c:marker val="1"/>
        <c:smooth val="0"/>
        <c:axId val="99051008"/>
        <c:axId val="99145216"/>
      </c:lineChart>
      <c:catAx>
        <c:axId val="9905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45216"/>
        <c:crosses val="autoZero"/>
        <c:auto val="1"/>
        <c:lblAlgn val="ctr"/>
        <c:lblOffset val="100"/>
        <c:noMultiLvlLbl val="0"/>
      </c:catAx>
      <c:valAx>
        <c:axId val="99145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5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'summary data'!$J$3</c:f>
              <c:strCache>
                <c:ptCount val="1"/>
                <c:pt idx="0">
                  <c:v>Egbudu-Akah</c:v>
                </c:pt>
              </c:strCache>
            </c:strRef>
          </c:tx>
          <c:spPr>
            <a:solidFill>
              <a:schemeClr val="accent1"/>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data'!$K$3:$O$3</c:f>
              <c:numCache>
                <c:formatCode>General</c:formatCode>
                <c:ptCount val="5"/>
                <c:pt idx="0">
                  <c:v>172</c:v>
                </c:pt>
                <c:pt idx="1">
                  <c:v>36</c:v>
                </c:pt>
                <c:pt idx="2">
                  <c:v>54</c:v>
                </c:pt>
                <c:pt idx="3">
                  <c:v>39</c:v>
                </c:pt>
                <c:pt idx="4">
                  <c:v>24</c:v>
                </c:pt>
              </c:numCache>
            </c:numRef>
          </c:val>
          <c:extLst>
            <c:ext xmlns:c16="http://schemas.microsoft.com/office/drawing/2014/chart" uri="{C3380CC4-5D6E-409C-BE32-E72D297353CC}">
              <c16:uniqueId val="{00000000-5DE9-495D-AF9E-7A83A09EFCE9}"/>
            </c:ext>
          </c:extLst>
        </c:ser>
        <c:ser>
          <c:idx val="1"/>
          <c:order val="1"/>
          <c:tx>
            <c:strRef>
              <c:f>'summary data'!$J$4</c:f>
              <c:strCache>
                <c:ptCount val="1"/>
                <c:pt idx="0">
                  <c:v>Owhelogbo</c:v>
                </c:pt>
              </c:strCache>
            </c:strRef>
          </c:tx>
          <c:spPr>
            <a:solidFill>
              <a:schemeClr val="accent2"/>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data'!$K$4:$O$4</c:f>
              <c:numCache>
                <c:formatCode>General</c:formatCode>
                <c:ptCount val="5"/>
                <c:pt idx="0">
                  <c:v>99</c:v>
                </c:pt>
                <c:pt idx="1">
                  <c:v>30</c:v>
                </c:pt>
                <c:pt idx="2">
                  <c:v>42</c:v>
                </c:pt>
                <c:pt idx="3">
                  <c:v>21</c:v>
                </c:pt>
                <c:pt idx="4">
                  <c:v>34</c:v>
                </c:pt>
              </c:numCache>
            </c:numRef>
          </c:val>
          <c:extLst>
            <c:ext xmlns:c16="http://schemas.microsoft.com/office/drawing/2014/chart" uri="{C3380CC4-5D6E-409C-BE32-E72D297353CC}">
              <c16:uniqueId val="{00000001-5DE9-495D-AF9E-7A83A09EFCE9}"/>
            </c:ext>
          </c:extLst>
        </c:ser>
        <c:ser>
          <c:idx val="2"/>
          <c:order val="2"/>
          <c:tx>
            <c:strRef>
              <c:f>'summary data'!$J$5</c:f>
              <c:strCache>
                <c:ptCount val="1"/>
                <c:pt idx="0">
                  <c:v>Aghalokpe</c:v>
                </c:pt>
              </c:strCache>
            </c:strRef>
          </c:tx>
          <c:spPr>
            <a:solidFill>
              <a:schemeClr val="accent3"/>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data'!$K$5:$O$5</c:f>
              <c:numCache>
                <c:formatCode>General</c:formatCode>
                <c:ptCount val="5"/>
                <c:pt idx="0">
                  <c:v>127</c:v>
                </c:pt>
                <c:pt idx="1">
                  <c:v>38</c:v>
                </c:pt>
                <c:pt idx="2">
                  <c:v>55</c:v>
                </c:pt>
                <c:pt idx="3">
                  <c:v>26</c:v>
                </c:pt>
                <c:pt idx="4">
                  <c:v>23</c:v>
                </c:pt>
              </c:numCache>
            </c:numRef>
          </c:val>
          <c:extLst>
            <c:ext xmlns:c16="http://schemas.microsoft.com/office/drawing/2014/chart" uri="{C3380CC4-5D6E-409C-BE32-E72D297353CC}">
              <c16:uniqueId val="{00000002-5DE9-495D-AF9E-7A83A09EFCE9}"/>
            </c:ext>
          </c:extLst>
        </c:ser>
        <c:dLbls>
          <c:showLegendKey val="0"/>
          <c:showVal val="0"/>
          <c:showCatName val="0"/>
          <c:showSerName val="0"/>
          <c:showPercent val="0"/>
          <c:showBubbleSize val="0"/>
        </c:dLbls>
        <c:gapWidth val="219"/>
        <c:overlap val="-27"/>
        <c:axId val="99595776"/>
        <c:axId val="99597696"/>
      </c:barChart>
      <c:catAx>
        <c:axId val="9959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Feeding</a:t>
                </a:r>
                <a:r>
                  <a:rPr lang="en-US" baseline="0"/>
                  <a:t> characteristics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97696"/>
        <c:crosses val="autoZero"/>
        <c:auto val="1"/>
        <c:lblAlgn val="ctr"/>
        <c:lblOffset val="100"/>
        <c:noMultiLvlLbl val="0"/>
      </c:catAx>
      <c:valAx>
        <c:axId val="99597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9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'Egbudu-Akah'!$B$2:$B$10</c:f>
              <c:numCache>
                <c:formatCode>General</c:formatCode>
                <c:ptCount val="9"/>
                <c:pt idx="0">
                  <c:v>48</c:v>
                </c:pt>
                <c:pt idx="1">
                  <c:v>19</c:v>
                </c:pt>
                <c:pt idx="2">
                  <c:v>25</c:v>
                </c:pt>
                <c:pt idx="3">
                  <c:v>20</c:v>
                </c:pt>
                <c:pt idx="4">
                  <c:v>14</c:v>
                </c:pt>
                <c:pt idx="5">
                  <c:v>10</c:v>
                </c:pt>
                <c:pt idx="6">
                  <c:v>1</c:v>
                </c:pt>
                <c:pt idx="7">
                  <c:v>7</c:v>
                </c:pt>
                <c:pt idx="8">
                  <c:v>28</c:v>
                </c:pt>
              </c:numCache>
            </c:numRef>
          </c:val>
          <c:smooth val="0"/>
          <c:extLst>
            <c:ext xmlns:c16="http://schemas.microsoft.com/office/drawing/2014/chart" uri="{C3380CC4-5D6E-409C-BE32-E72D297353CC}">
              <c16:uniqueId val="{00000000-E849-466C-A395-8C8143035605}"/>
            </c:ext>
          </c:extLst>
        </c:ser>
        <c:ser>
          <c:idx val="1"/>
          <c:order val="1"/>
          <c:tx>
            <c:strRef>
              <c:f>'Egbudu-Akah'!$C$1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'Egbudu-Akah'!$C$2:$C$10</c:f>
              <c:numCache>
                <c:formatCode>General</c:formatCode>
                <c:ptCount val="9"/>
                <c:pt idx="0">
                  <c:v>11</c:v>
                </c:pt>
                <c:pt idx="1">
                  <c:v>2</c:v>
                </c:pt>
                <c:pt idx="2">
                  <c:v>4</c:v>
                </c:pt>
                <c:pt idx="3">
                  <c:v>8</c:v>
                </c:pt>
                <c:pt idx="4">
                  <c:v>2</c:v>
                </c:pt>
                <c:pt idx="5">
                  <c:v>2</c:v>
                </c:pt>
                <c:pt idx="6">
                  <c:v>0</c:v>
                </c:pt>
                <c:pt idx="7">
                  <c:v>3</c:v>
                </c:pt>
                <c:pt idx="8">
                  <c:v>4</c:v>
                </c:pt>
              </c:numCache>
            </c:numRef>
          </c:val>
          <c:smooth val="0"/>
          <c:extLst>
            <c:ext xmlns:c16="http://schemas.microsoft.com/office/drawing/2014/chart" uri="{C3380CC4-5D6E-409C-BE32-E72D297353CC}">
              <c16:uniqueId val="{00000001-E849-466C-A395-8C8143035605}"/>
            </c:ext>
          </c:extLst>
        </c:ser>
        <c:ser>
          <c:idx val="2"/>
          <c:order val="2"/>
          <c:tx>
            <c:strRef>
              <c:f>'Egbudu-Akah'!$D$1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'Egbudu-Akah'!$D$2:$D$10</c:f>
              <c:numCache>
                <c:formatCode>General</c:formatCode>
                <c:ptCount val="9"/>
                <c:pt idx="0">
                  <c:v>9</c:v>
                </c:pt>
                <c:pt idx="1">
                  <c:v>11</c:v>
                </c:pt>
                <c:pt idx="2">
                  <c:v>13</c:v>
                </c:pt>
                <c:pt idx="3">
                  <c:v>4</c:v>
                </c:pt>
                <c:pt idx="4">
                  <c:v>0</c:v>
                </c:pt>
                <c:pt idx="5">
                  <c:v>0</c:v>
                </c:pt>
                <c:pt idx="6">
                  <c:v>0</c:v>
                </c:pt>
                <c:pt idx="7">
                  <c:v>2</c:v>
                </c:pt>
                <c:pt idx="8">
                  <c:v>15</c:v>
                </c:pt>
              </c:numCache>
            </c:numRef>
          </c:val>
          <c:smooth val="0"/>
          <c:extLst>
            <c:ext xmlns:c16="http://schemas.microsoft.com/office/drawing/2014/chart" uri="{C3380CC4-5D6E-409C-BE32-E72D297353CC}">
              <c16:uniqueId val="{00000002-E849-466C-A395-8C8143035605}"/>
            </c:ext>
          </c:extLst>
        </c:ser>
        <c:ser>
          <c:idx val="3"/>
          <c:order val="3"/>
          <c:tx>
            <c:strRef>
              <c:f>'Egbudu-Akah'!$E$1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'Egbudu-Akah'!$E$2:$E$10</c:f>
              <c:numCache>
                <c:formatCode>General</c:formatCode>
                <c:ptCount val="9"/>
                <c:pt idx="0">
                  <c:v>5</c:v>
                </c:pt>
                <c:pt idx="1">
                  <c:v>2</c:v>
                </c:pt>
                <c:pt idx="2">
                  <c:v>19</c:v>
                </c:pt>
                <c:pt idx="3">
                  <c:v>5</c:v>
                </c:pt>
                <c:pt idx="4">
                  <c:v>2</c:v>
                </c:pt>
                <c:pt idx="5">
                  <c:v>0</c:v>
                </c:pt>
                <c:pt idx="6">
                  <c:v>0</c:v>
                </c:pt>
                <c:pt idx="7">
                  <c:v>1</c:v>
                </c:pt>
                <c:pt idx="8">
                  <c:v>5</c:v>
                </c:pt>
              </c:numCache>
            </c:numRef>
          </c:val>
          <c:smooth val="0"/>
          <c:extLst>
            <c:ext xmlns:c16="http://schemas.microsoft.com/office/drawing/2014/chart" uri="{C3380CC4-5D6E-409C-BE32-E72D297353CC}">
              <c16:uniqueId val="{00000003-E849-466C-A395-8C8143035605}"/>
            </c:ext>
          </c:extLst>
        </c:ser>
        <c:ser>
          <c:idx val="4"/>
          <c:order val="4"/>
          <c:tx>
            <c:strRef>
              <c:f>'Egbudu-Akah'!$F$1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'Egbudu-Akah'!$F$2:$F$10</c:f>
              <c:numCache>
                <c:formatCode>General</c:formatCode>
                <c:ptCount val="9"/>
                <c:pt idx="0">
                  <c:v>4</c:v>
                </c:pt>
                <c:pt idx="1">
                  <c:v>2</c:v>
                </c:pt>
                <c:pt idx="2">
                  <c:v>1</c:v>
                </c:pt>
                <c:pt idx="3">
                  <c:v>6</c:v>
                </c:pt>
                <c:pt idx="4">
                  <c:v>3</c:v>
                </c:pt>
                <c:pt idx="5">
                  <c:v>1</c:v>
                </c:pt>
                <c:pt idx="6">
                  <c:v>0</c:v>
                </c:pt>
                <c:pt idx="7">
                  <c:v>5</c:v>
                </c:pt>
                <c:pt idx="8">
                  <c:v>2</c:v>
                </c:pt>
              </c:numCache>
            </c:numRef>
          </c:val>
          <c:smooth val="0"/>
          <c:extLst>
            <c:ext xmlns:c16="http://schemas.microsoft.com/office/drawing/2014/chart" uri="{C3380CC4-5D6E-409C-BE32-E72D297353CC}">
              <c16:uniqueId val="{00000004-E849-466C-A395-8C8143035605}"/>
            </c:ext>
          </c:extLst>
        </c:ser>
        <c:dLbls>
          <c:showLegendKey val="0"/>
          <c:showVal val="0"/>
          <c:showCatName val="0"/>
          <c:showSerName val="0"/>
          <c:showPercent val="0"/>
          <c:showBubbleSize val="0"/>
        </c:dLbls>
        <c:marker val="1"/>
        <c:smooth val="0"/>
        <c:axId val="117573888"/>
        <c:axId val="117612928"/>
      </c:lineChart>
      <c:catAx>
        <c:axId val="117573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612928"/>
        <c:crosses val="autoZero"/>
        <c:auto val="1"/>
        <c:lblAlgn val="ctr"/>
        <c:lblOffset val="100"/>
        <c:noMultiLvlLbl val="0"/>
      </c:catAx>
      <c:valAx>
        <c:axId val="117612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7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Owhelogbo!$B$1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Owhelogbo!$B$2:$B$10</c:f>
              <c:numCache>
                <c:formatCode>General</c:formatCode>
                <c:ptCount val="9"/>
                <c:pt idx="0">
                  <c:v>28</c:v>
                </c:pt>
                <c:pt idx="1">
                  <c:v>13</c:v>
                </c:pt>
                <c:pt idx="2">
                  <c:v>19</c:v>
                </c:pt>
                <c:pt idx="3">
                  <c:v>13</c:v>
                </c:pt>
                <c:pt idx="4">
                  <c:v>7</c:v>
                </c:pt>
                <c:pt idx="5">
                  <c:v>0</c:v>
                </c:pt>
                <c:pt idx="6">
                  <c:v>1</c:v>
                </c:pt>
                <c:pt idx="7">
                  <c:v>3</c:v>
                </c:pt>
                <c:pt idx="8">
                  <c:v>15</c:v>
                </c:pt>
              </c:numCache>
            </c:numRef>
          </c:val>
          <c:smooth val="0"/>
          <c:extLst>
            <c:ext xmlns:c16="http://schemas.microsoft.com/office/drawing/2014/chart" uri="{C3380CC4-5D6E-409C-BE32-E72D297353CC}">
              <c16:uniqueId val="{00000000-8450-4F86-AEED-D406777CCAF1}"/>
            </c:ext>
          </c:extLst>
        </c:ser>
        <c:ser>
          <c:idx val="1"/>
          <c:order val="1"/>
          <c:tx>
            <c:strRef>
              <c:f>Owhelogbo!$C$1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Owhelogbo!$C$2:$C$10</c:f>
              <c:numCache>
                <c:formatCode>General</c:formatCode>
                <c:ptCount val="9"/>
                <c:pt idx="0">
                  <c:v>7</c:v>
                </c:pt>
                <c:pt idx="1">
                  <c:v>3</c:v>
                </c:pt>
                <c:pt idx="2">
                  <c:v>3</c:v>
                </c:pt>
                <c:pt idx="3">
                  <c:v>4</c:v>
                </c:pt>
                <c:pt idx="4">
                  <c:v>4</c:v>
                </c:pt>
                <c:pt idx="5">
                  <c:v>2</c:v>
                </c:pt>
                <c:pt idx="6">
                  <c:v>0</c:v>
                </c:pt>
                <c:pt idx="7">
                  <c:v>1</c:v>
                </c:pt>
                <c:pt idx="8">
                  <c:v>6</c:v>
                </c:pt>
              </c:numCache>
            </c:numRef>
          </c:val>
          <c:smooth val="0"/>
          <c:extLst>
            <c:ext xmlns:c16="http://schemas.microsoft.com/office/drawing/2014/chart" uri="{C3380CC4-5D6E-409C-BE32-E72D297353CC}">
              <c16:uniqueId val="{00000001-8450-4F86-AEED-D406777CCAF1}"/>
            </c:ext>
          </c:extLst>
        </c:ser>
        <c:ser>
          <c:idx val="2"/>
          <c:order val="2"/>
          <c:tx>
            <c:strRef>
              <c:f>Owhelogbo!$D$1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Owhelogbo!$D$2:$D$10</c:f>
              <c:numCache>
                <c:formatCode>General</c:formatCode>
                <c:ptCount val="9"/>
                <c:pt idx="0">
                  <c:v>13</c:v>
                </c:pt>
                <c:pt idx="1">
                  <c:v>7</c:v>
                </c:pt>
                <c:pt idx="2">
                  <c:v>7</c:v>
                </c:pt>
                <c:pt idx="3">
                  <c:v>5</c:v>
                </c:pt>
                <c:pt idx="4">
                  <c:v>1</c:v>
                </c:pt>
                <c:pt idx="5">
                  <c:v>0</c:v>
                </c:pt>
                <c:pt idx="6">
                  <c:v>0</c:v>
                </c:pt>
                <c:pt idx="7">
                  <c:v>2</c:v>
                </c:pt>
                <c:pt idx="8">
                  <c:v>7</c:v>
                </c:pt>
              </c:numCache>
            </c:numRef>
          </c:val>
          <c:smooth val="0"/>
          <c:extLst>
            <c:ext xmlns:c16="http://schemas.microsoft.com/office/drawing/2014/chart" uri="{C3380CC4-5D6E-409C-BE32-E72D297353CC}">
              <c16:uniqueId val="{00000002-8450-4F86-AEED-D406777CCAF1}"/>
            </c:ext>
          </c:extLst>
        </c:ser>
        <c:ser>
          <c:idx val="3"/>
          <c:order val="3"/>
          <c:tx>
            <c:strRef>
              <c:f>Owhelogbo!$E$1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Owhelogbo!$E$2:$E$10</c:f>
              <c:numCache>
                <c:formatCode>General</c:formatCode>
                <c:ptCount val="9"/>
                <c:pt idx="0">
                  <c:v>7</c:v>
                </c:pt>
                <c:pt idx="1">
                  <c:v>2</c:v>
                </c:pt>
                <c:pt idx="2">
                  <c:v>5</c:v>
                </c:pt>
                <c:pt idx="3">
                  <c:v>2</c:v>
                </c:pt>
                <c:pt idx="4">
                  <c:v>3</c:v>
                </c:pt>
                <c:pt idx="5">
                  <c:v>0</c:v>
                </c:pt>
                <c:pt idx="6">
                  <c:v>0</c:v>
                </c:pt>
                <c:pt idx="7">
                  <c:v>0</c:v>
                </c:pt>
                <c:pt idx="8">
                  <c:v>2</c:v>
                </c:pt>
              </c:numCache>
            </c:numRef>
          </c:val>
          <c:smooth val="0"/>
          <c:extLst>
            <c:ext xmlns:c16="http://schemas.microsoft.com/office/drawing/2014/chart" uri="{C3380CC4-5D6E-409C-BE32-E72D297353CC}">
              <c16:uniqueId val="{00000003-8450-4F86-AEED-D406777CCAF1}"/>
            </c:ext>
          </c:extLst>
        </c:ser>
        <c:ser>
          <c:idx val="4"/>
          <c:order val="4"/>
          <c:tx>
            <c:strRef>
              <c:f>Owhelogbo!$F$1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Owhelogbo!$F$2:$F$10</c:f>
              <c:numCache>
                <c:formatCode>General</c:formatCode>
                <c:ptCount val="9"/>
                <c:pt idx="0">
                  <c:v>9</c:v>
                </c:pt>
                <c:pt idx="1">
                  <c:v>4</c:v>
                </c:pt>
                <c:pt idx="2">
                  <c:v>3</c:v>
                </c:pt>
                <c:pt idx="3">
                  <c:v>6</c:v>
                </c:pt>
                <c:pt idx="4">
                  <c:v>3</c:v>
                </c:pt>
                <c:pt idx="5">
                  <c:v>0</c:v>
                </c:pt>
                <c:pt idx="6">
                  <c:v>0</c:v>
                </c:pt>
                <c:pt idx="7">
                  <c:v>1</c:v>
                </c:pt>
                <c:pt idx="8">
                  <c:v>8</c:v>
                </c:pt>
              </c:numCache>
            </c:numRef>
          </c:val>
          <c:smooth val="0"/>
          <c:extLst>
            <c:ext xmlns:c16="http://schemas.microsoft.com/office/drawing/2014/chart" uri="{C3380CC4-5D6E-409C-BE32-E72D297353CC}">
              <c16:uniqueId val="{00000004-8450-4F86-AEED-D406777CCAF1}"/>
            </c:ext>
          </c:extLst>
        </c:ser>
        <c:dLbls>
          <c:showLegendKey val="0"/>
          <c:showVal val="0"/>
          <c:showCatName val="0"/>
          <c:showSerName val="0"/>
          <c:showPercent val="0"/>
          <c:showBubbleSize val="0"/>
        </c:dLbls>
        <c:marker val="1"/>
        <c:smooth val="0"/>
        <c:axId val="88029440"/>
        <c:axId val="88048000"/>
      </c:lineChart>
      <c:catAx>
        <c:axId val="88029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48000"/>
        <c:crosses val="autoZero"/>
        <c:auto val="1"/>
        <c:lblAlgn val="ctr"/>
        <c:lblOffset val="100"/>
        <c:noMultiLvlLbl val="0"/>
      </c:catAx>
      <c:valAx>
        <c:axId val="88048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a:t>
                </a:r>
                <a:r>
                  <a:rPr lang="en-US" baseline="0"/>
                  <a:t> of mosquitoes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2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Aghalokpe!$B$1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Aghalokpe!$B$2:$B$10</c:f>
              <c:numCache>
                <c:formatCode>General</c:formatCode>
                <c:ptCount val="9"/>
                <c:pt idx="0">
                  <c:v>35</c:v>
                </c:pt>
                <c:pt idx="1">
                  <c:v>16</c:v>
                </c:pt>
                <c:pt idx="2">
                  <c:v>23</c:v>
                </c:pt>
                <c:pt idx="3">
                  <c:v>15</c:v>
                </c:pt>
                <c:pt idx="4">
                  <c:v>9</c:v>
                </c:pt>
                <c:pt idx="5">
                  <c:v>3</c:v>
                </c:pt>
                <c:pt idx="6">
                  <c:v>0</c:v>
                </c:pt>
                <c:pt idx="7">
                  <c:v>9</c:v>
                </c:pt>
                <c:pt idx="8">
                  <c:v>17</c:v>
                </c:pt>
              </c:numCache>
            </c:numRef>
          </c:val>
          <c:smooth val="0"/>
          <c:extLst>
            <c:ext xmlns:c16="http://schemas.microsoft.com/office/drawing/2014/chart" uri="{C3380CC4-5D6E-409C-BE32-E72D297353CC}">
              <c16:uniqueId val="{00000000-2772-440C-A077-4AE3774D192D}"/>
            </c:ext>
          </c:extLst>
        </c:ser>
        <c:ser>
          <c:idx val="1"/>
          <c:order val="1"/>
          <c:tx>
            <c:strRef>
              <c:f>Aghalokpe!$C$1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Aghalokpe!$C$2:$C$10</c:f>
              <c:numCache>
                <c:formatCode>General</c:formatCode>
                <c:ptCount val="9"/>
                <c:pt idx="0">
                  <c:v>10</c:v>
                </c:pt>
                <c:pt idx="1">
                  <c:v>4</c:v>
                </c:pt>
                <c:pt idx="2">
                  <c:v>5</c:v>
                </c:pt>
                <c:pt idx="3">
                  <c:v>5</c:v>
                </c:pt>
                <c:pt idx="4">
                  <c:v>3</c:v>
                </c:pt>
                <c:pt idx="5">
                  <c:v>1</c:v>
                </c:pt>
                <c:pt idx="6">
                  <c:v>1</c:v>
                </c:pt>
                <c:pt idx="7">
                  <c:v>2</c:v>
                </c:pt>
                <c:pt idx="8">
                  <c:v>7</c:v>
                </c:pt>
              </c:numCache>
            </c:numRef>
          </c:val>
          <c:smooth val="0"/>
          <c:extLst>
            <c:ext xmlns:c16="http://schemas.microsoft.com/office/drawing/2014/chart" uri="{C3380CC4-5D6E-409C-BE32-E72D297353CC}">
              <c16:uniqueId val="{00000001-2772-440C-A077-4AE3774D192D}"/>
            </c:ext>
          </c:extLst>
        </c:ser>
        <c:ser>
          <c:idx val="2"/>
          <c:order val="2"/>
          <c:tx>
            <c:strRef>
              <c:f>Aghalokpe!$D$1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Aghalokpe!$D$2:$D$10</c:f>
              <c:numCache>
                <c:formatCode>General</c:formatCode>
                <c:ptCount val="9"/>
                <c:pt idx="0">
                  <c:v>16</c:v>
                </c:pt>
                <c:pt idx="1">
                  <c:v>9</c:v>
                </c:pt>
                <c:pt idx="2">
                  <c:v>11</c:v>
                </c:pt>
                <c:pt idx="3">
                  <c:v>4</c:v>
                </c:pt>
                <c:pt idx="4">
                  <c:v>1</c:v>
                </c:pt>
                <c:pt idx="5">
                  <c:v>0</c:v>
                </c:pt>
                <c:pt idx="6">
                  <c:v>0</c:v>
                </c:pt>
                <c:pt idx="7">
                  <c:v>4</c:v>
                </c:pt>
                <c:pt idx="8">
                  <c:v>10</c:v>
                </c:pt>
              </c:numCache>
            </c:numRef>
          </c:val>
          <c:smooth val="0"/>
          <c:extLst>
            <c:ext xmlns:c16="http://schemas.microsoft.com/office/drawing/2014/chart" uri="{C3380CC4-5D6E-409C-BE32-E72D297353CC}">
              <c16:uniqueId val="{00000002-2772-440C-A077-4AE3774D192D}"/>
            </c:ext>
          </c:extLst>
        </c:ser>
        <c:ser>
          <c:idx val="3"/>
          <c:order val="3"/>
          <c:tx>
            <c:strRef>
              <c:f>Aghalokpe!$E$1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Aghalokpe!$E$2:$E$10</c:f>
              <c:numCache>
                <c:formatCode>General</c:formatCode>
                <c:ptCount val="9"/>
                <c:pt idx="0">
                  <c:v>7</c:v>
                </c:pt>
                <c:pt idx="1">
                  <c:v>1</c:v>
                </c:pt>
                <c:pt idx="2">
                  <c:v>10</c:v>
                </c:pt>
                <c:pt idx="3">
                  <c:v>3</c:v>
                </c:pt>
                <c:pt idx="4">
                  <c:v>1</c:v>
                </c:pt>
                <c:pt idx="5">
                  <c:v>0</c:v>
                </c:pt>
                <c:pt idx="6">
                  <c:v>0</c:v>
                </c:pt>
                <c:pt idx="7">
                  <c:v>0</c:v>
                </c:pt>
                <c:pt idx="8">
                  <c:v>4</c:v>
                </c:pt>
              </c:numCache>
            </c:numRef>
          </c:val>
          <c:smooth val="0"/>
          <c:extLst>
            <c:ext xmlns:c16="http://schemas.microsoft.com/office/drawing/2014/chart" uri="{C3380CC4-5D6E-409C-BE32-E72D297353CC}">
              <c16:uniqueId val="{00000003-2772-440C-A077-4AE3774D192D}"/>
            </c:ext>
          </c:extLst>
        </c:ser>
        <c:ser>
          <c:idx val="4"/>
          <c:order val="4"/>
          <c:tx>
            <c:strRef>
              <c:f>Aghalokpe!$F$1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Aghalokpe!$F$2:$F$10</c:f>
              <c:numCache>
                <c:formatCode>General</c:formatCode>
                <c:ptCount val="9"/>
                <c:pt idx="0">
                  <c:v>4</c:v>
                </c:pt>
                <c:pt idx="1">
                  <c:v>3</c:v>
                </c:pt>
                <c:pt idx="2">
                  <c:v>2</c:v>
                </c:pt>
                <c:pt idx="3">
                  <c:v>4</c:v>
                </c:pt>
                <c:pt idx="4">
                  <c:v>2</c:v>
                </c:pt>
                <c:pt idx="5">
                  <c:v>0</c:v>
                </c:pt>
                <c:pt idx="6">
                  <c:v>0</c:v>
                </c:pt>
                <c:pt idx="7">
                  <c:v>2</c:v>
                </c:pt>
                <c:pt idx="8">
                  <c:v>6</c:v>
                </c:pt>
              </c:numCache>
            </c:numRef>
          </c:val>
          <c:smooth val="0"/>
          <c:extLst>
            <c:ext xmlns:c16="http://schemas.microsoft.com/office/drawing/2014/chart" uri="{C3380CC4-5D6E-409C-BE32-E72D297353CC}">
              <c16:uniqueId val="{00000004-2772-440C-A077-4AE3774D192D}"/>
            </c:ext>
          </c:extLst>
        </c:ser>
        <c:dLbls>
          <c:showLegendKey val="0"/>
          <c:showVal val="0"/>
          <c:showCatName val="0"/>
          <c:showSerName val="0"/>
          <c:showPercent val="0"/>
          <c:showBubbleSize val="0"/>
        </c:dLbls>
        <c:marker val="1"/>
        <c:smooth val="0"/>
        <c:axId val="91100288"/>
        <c:axId val="91102208"/>
      </c:lineChart>
      <c:catAx>
        <c:axId val="91100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02208"/>
        <c:crosses val="autoZero"/>
        <c:auto val="1"/>
        <c:lblAlgn val="ctr"/>
        <c:lblOffset val="100"/>
        <c:noMultiLvlLbl val="0"/>
      </c:catAx>
      <c:valAx>
        <c:axId val="91102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0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'Egbudu-Akah'!$K$14</c:f>
              <c:strCache>
                <c:ptCount val="1"/>
                <c:pt idx="0">
                  <c:v>Indoor resting density</c:v>
                </c:pt>
              </c:strCache>
            </c:strRef>
          </c:tx>
          <c:spPr>
            <a:solidFill>
              <a:schemeClr val="accent1"/>
            </a:solidFill>
            <a:ln>
              <a:noFill/>
            </a:ln>
            <a:effectLst/>
          </c:spPr>
          <c:invertIfNegative val="0"/>
          <c:cat>
            <c:strRef>
              <c:f>'Egbudu-Akah'!$L$13:$N$13</c:f>
              <c:strCache>
                <c:ptCount val="3"/>
                <c:pt idx="0">
                  <c:v>Egbudu-Akah</c:v>
                </c:pt>
                <c:pt idx="1">
                  <c:v>Owhelogbo</c:v>
                </c:pt>
                <c:pt idx="2">
                  <c:v>Aghalokpe</c:v>
                </c:pt>
              </c:strCache>
            </c:strRef>
          </c:cat>
          <c:val>
            <c:numRef>
              <c:f>'Egbudu-Akah'!$L$14:$N$14</c:f>
              <c:numCache>
                <c:formatCode>General</c:formatCode>
                <c:ptCount val="3"/>
                <c:pt idx="0">
                  <c:v>6.7709999999999999</c:v>
                </c:pt>
                <c:pt idx="1">
                  <c:v>2.1040000000000001</c:v>
                </c:pt>
                <c:pt idx="2">
                  <c:v>5.6039999999999965</c:v>
                </c:pt>
              </c:numCache>
            </c:numRef>
          </c:val>
          <c:extLst>
            <c:ext xmlns:c16="http://schemas.microsoft.com/office/drawing/2014/chart" uri="{C3380CC4-5D6E-409C-BE32-E72D297353CC}">
              <c16:uniqueId val="{00000000-B80B-4C49-9471-2F109DD9EADA}"/>
            </c:ext>
          </c:extLst>
        </c:ser>
        <c:dLbls>
          <c:showLegendKey val="0"/>
          <c:showVal val="0"/>
          <c:showCatName val="0"/>
          <c:showSerName val="0"/>
          <c:showPercent val="0"/>
          <c:showBubbleSize val="0"/>
        </c:dLbls>
        <c:gapWidth val="219"/>
        <c:overlap val="-27"/>
        <c:axId val="91163648"/>
        <c:axId val="91174016"/>
      </c:barChart>
      <c:catAx>
        <c:axId val="91163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locations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74016"/>
        <c:crosses val="autoZero"/>
        <c:auto val="1"/>
        <c:lblAlgn val="ctr"/>
        <c:lblOffset val="100"/>
        <c:noMultiLvlLbl val="0"/>
      </c:catAx>
      <c:valAx>
        <c:axId val="91174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6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'Egbudu-Akah'!$Q$1</c:f>
              <c:strCache>
                <c:ptCount val="1"/>
                <c:pt idx="0">
                  <c:v>Indoor resting density</c:v>
                </c:pt>
              </c:strCache>
            </c:strRef>
          </c:tx>
          <c:spPr>
            <a:solidFill>
              <a:schemeClr val="accent1"/>
            </a:solidFill>
            <a:ln>
              <a:noFill/>
            </a:ln>
            <a:effectLst/>
          </c:spPr>
          <c:invertIfNegative val="0"/>
          <c:cat>
            <c:strRef>
              <c:f>'Egbudu-Akah'!$P$2:$P$10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'Egbudu-Akah'!$Q$2:$Q$10</c:f>
              <c:numCache>
                <c:formatCode>General</c:formatCode>
                <c:ptCount val="9"/>
                <c:pt idx="0">
                  <c:v>1.6041666666666667</c:v>
                </c:pt>
                <c:pt idx="1">
                  <c:v>0.75000000000000322</c:v>
                </c:pt>
                <c:pt idx="2">
                  <c:v>1.2916666666666659</c:v>
                </c:pt>
                <c:pt idx="3">
                  <c:v>0.8958333333333337</c:v>
                </c:pt>
                <c:pt idx="4">
                  <c:v>0.43750000000000155</c:v>
                </c:pt>
                <c:pt idx="5">
                  <c:v>0.27083333333333326</c:v>
                </c:pt>
                <c:pt idx="6">
                  <c:v>2.0833333333333412E-2</c:v>
                </c:pt>
                <c:pt idx="7">
                  <c:v>0.37500000000000155</c:v>
                </c:pt>
                <c:pt idx="8">
                  <c:v>1.125</c:v>
                </c:pt>
              </c:numCache>
            </c:numRef>
          </c:val>
          <c:extLst>
            <c:ext xmlns:c16="http://schemas.microsoft.com/office/drawing/2014/chart" uri="{C3380CC4-5D6E-409C-BE32-E72D297353CC}">
              <c16:uniqueId val="{00000000-078F-4F6A-9CED-511415ACF252}"/>
            </c:ext>
          </c:extLst>
        </c:ser>
        <c:dLbls>
          <c:showLegendKey val="0"/>
          <c:showVal val="0"/>
          <c:showCatName val="0"/>
          <c:showSerName val="0"/>
          <c:showPercent val="0"/>
          <c:showBubbleSize val="0"/>
        </c:dLbls>
        <c:gapWidth val="219"/>
        <c:overlap val="-27"/>
        <c:axId val="91235072"/>
        <c:axId val="91236992"/>
      </c:barChart>
      <c:catAx>
        <c:axId val="9123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36992"/>
        <c:crosses val="autoZero"/>
        <c:auto val="1"/>
        <c:lblAlgn val="ctr"/>
        <c:lblOffset val="100"/>
        <c:noMultiLvlLbl val="0"/>
      </c:catAx>
      <c:valAx>
        <c:axId val="91236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3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Owhelogbo!$R$1</c:f>
              <c:strCache>
                <c:ptCount val="1"/>
                <c:pt idx="0">
                  <c:v>Indoor resting density</c:v>
                </c:pt>
              </c:strCache>
            </c:strRef>
          </c:tx>
          <c:spPr>
            <a:solidFill>
              <a:schemeClr val="accent1"/>
            </a:solidFill>
            <a:ln>
              <a:noFill/>
            </a:ln>
            <a:effectLst/>
          </c:spPr>
          <c:invertIfNegative val="0"/>
          <c:cat>
            <c:strRef>
              <c:f>Owhelogbo!$Q$2:$Q$10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Owhelogbo!$R$2:$R$10</c:f>
              <c:numCache>
                <c:formatCode>General</c:formatCode>
                <c:ptCount val="9"/>
                <c:pt idx="0">
                  <c:v>1.3333333333333333</c:v>
                </c:pt>
                <c:pt idx="1">
                  <c:v>0.60416666666666652</c:v>
                </c:pt>
                <c:pt idx="2">
                  <c:v>0.77083333333333748</c:v>
                </c:pt>
                <c:pt idx="3">
                  <c:v>0.62500000000000322</c:v>
                </c:pt>
                <c:pt idx="4">
                  <c:v>0.37500000000000155</c:v>
                </c:pt>
                <c:pt idx="5">
                  <c:v>4.1666666666666664E-2</c:v>
                </c:pt>
                <c:pt idx="6">
                  <c:v>2.0833333333333412E-2</c:v>
                </c:pt>
                <c:pt idx="7">
                  <c:v>0.14583333333333429</c:v>
                </c:pt>
                <c:pt idx="8">
                  <c:v>0.79166666666666652</c:v>
                </c:pt>
              </c:numCache>
            </c:numRef>
          </c:val>
          <c:extLst>
            <c:ext xmlns:c16="http://schemas.microsoft.com/office/drawing/2014/chart" uri="{C3380CC4-5D6E-409C-BE32-E72D297353CC}">
              <c16:uniqueId val="{00000000-407D-4C36-8B38-6E5986E7E362}"/>
            </c:ext>
          </c:extLst>
        </c:ser>
        <c:dLbls>
          <c:showLegendKey val="0"/>
          <c:showVal val="0"/>
          <c:showCatName val="0"/>
          <c:showSerName val="0"/>
          <c:showPercent val="0"/>
          <c:showBubbleSize val="0"/>
        </c:dLbls>
        <c:gapWidth val="219"/>
        <c:overlap val="-27"/>
        <c:axId val="91269376"/>
        <c:axId val="91304320"/>
      </c:barChart>
      <c:catAx>
        <c:axId val="91269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04320"/>
        <c:crosses val="autoZero"/>
        <c:auto val="1"/>
        <c:lblAlgn val="ctr"/>
        <c:lblOffset val="100"/>
        <c:noMultiLvlLbl val="0"/>
      </c:catAx>
      <c:valAx>
        <c:axId val="91304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a:t>
                </a:r>
                <a:r>
                  <a:rPr lang="en-US" baseline="0"/>
                  <a:t> resting density</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2557</TotalTime>
  <Pages>27</Pages>
  <Words>5603</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SDI 1084</cp:lastModifiedBy>
  <cp:revision>83</cp:revision>
  <dcterms:created xsi:type="dcterms:W3CDTF">2025-08-21T07:35:00Z</dcterms:created>
  <dcterms:modified xsi:type="dcterms:W3CDTF">2025-09-11T12:18:00Z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49de48e5-eee6-4592-bd81-d6d9ed286843</vt:lpwstr>
  </property>
</Properties>
</file>