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A369" w14:textId="34AA9E5A" w:rsidR="00D1719E" w:rsidRPr="00091450" w:rsidRDefault="00712997" w:rsidP="00CA7C8E">
      <w:pPr>
        <w:jc w:val="center"/>
        <w:rPr>
          <w:rFonts w:ascii="Times New Roman" w:hAnsi="Times New Roman" w:cs="Times New Roman"/>
          <w:b/>
          <w:bCs/>
          <w:sz w:val="24"/>
          <w:szCs w:val="24"/>
        </w:rPr>
      </w:pPr>
      <w:r w:rsidRPr="00091450">
        <w:rPr>
          <w:rFonts w:ascii="Times New Roman" w:hAnsi="Times New Roman" w:cs="Times New Roman"/>
          <w:b/>
          <w:bCs/>
          <w:sz w:val="24"/>
          <w:szCs w:val="24"/>
        </w:rPr>
        <w:t xml:space="preserve">Effect Of Sublethal Dose </w:t>
      </w:r>
      <w:r w:rsidR="00091450" w:rsidRPr="00091450">
        <w:rPr>
          <w:rFonts w:ascii="Times New Roman" w:hAnsi="Times New Roman" w:cs="Times New Roman"/>
          <w:b/>
          <w:bCs/>
          <w:sz w:val="24"/>
          <w:szCs w:val="24"/>
        </w:rPr>
        <w:t xml:space="preserve">of </w:t>
      </w:r>
      <w:r w:rsidRPr="00091450">
        <w:rPr>
          <w:rFonts w:ascii="Times New Roman" w:hAnsi="Times New Roman" w:cs="Times New Roman"/>
          <w:b/>
          <w:bCs/>
          <w:sz w:val="24"/>
          <w:szCs w:val="24"/>
        </w:rPr>
        <w:t xml:space="preserve">Ethion </w:t>
      </w:r>
      <w:r w:rsidR="00091450" w:rsidRPr="00091450">
        <w:rPr>
          <w:rFonts w:ascii="Times New Roman" w:hAnsi="Times New Roman" w:cs="Times New Roman"/>
          <w:b/>
          <w:bCs/>
          <w:sz w:val="24"/>
          <w:szCs w:val="24"/>
        </w:rPr>
        <w:t xml:space="preserve">on </w:t>
      </w:r>
      <w:r w:rsidRPr="00091450">
        <w:rPr>
          <w:rFonts w:ascii="Times New Roman" w:hAnsi="Times New Roman" w:cs="Times New Roman"/>
          <w:b/>
          <w:bCs/>
          <w:sz w:val="24"/>
          <w:szCs w:val="24"/>
        </w:rPr>
        <w:t xml:space="preserve">Selected Biochemical Parameters </w:t>
      </w:r>
      <w:r w:rsidR="00091450" w:rsidRPr="00091450">
        <w:rPr>
          <w:rFonts w:ascii="Times New Roman" w:hAnsi="Times New Roman" w:cs="Times New Roman"/>
          <w:b/>
          <w:bCs/>
          <w:sz w:val="24"/>
          <w:szCs w:val="24"/>
        </w:rPr>
        <w:t xml:space="preserve">in The </w:t>
      </w:r>
      <w:r w:rsidRPr="00091450">
        <w:rPr>
          <w:rFonts w:ascii="Times New Roman" w:hAnsi="Times New Roman" w:cs="Times New Roman"/>
          <w:b/>
          <w:bCs/>
          <w:sz w:val="24"/>
          <w:szCs w:val="24"/>
        </w:rPr>
        <w:t xml:space="preserve">Pancreas </w:t>
      </w:r>
      <w:r w:rsidR="00091450" w:rsidRPr="00091450">
        <w:rPr>
          <w:rFonts w:ascii="Times New Roman" w:hAnsi="Times New Roman" w:cs="Times New Roman"/>
          <w:b/>
          <w:bCs/>
          <w:sz w:val="24"/>
          <w:szCs w:val="24"/>
        </w:rPr>
        <w:t xml:space="preserve">of </w:t>
      </w:r>
      <w:r w:rsidRPr="00091450">
        <w:rPr>
          <w:rFonts w:ascii="Times New Roman" w:hAnsi="Times New Roman" w:cs="Times New Roman"/>
          <w:b/>
          <w:bCs/>
          <w:sz w:val="24"/>
          <w:szCs w:val="24"/>
        </w:rPr>
        <w:t>Albino Rat</w:t>
      </w:r>
    </w:p>
    <w:p w14:paraId="747E9532" w14:textId="77777777" w:rsidR="000B1701" w:rsidRDefault="000B1701" w:rsidP="00091450">
      <w:pPr>
        <w:jc w:val="both"/>
        <w:rPr>
          <w:rFonts w:ascii="Times New Roman" w:hAnsi="Times New Roman" w:cs="Times New Roman"/>
          <w:b/>
          <w:bCs/>
          <w:sz w:val="24"/>
          <w:szCs w:val="24"/>
        </w:rPr>
      </w:pPr>
    </w:p>
    <w:p w14:paraId="7E62DA15" w14:textId="01715961" w:rsidR="00DA2F48" w:rsidRPr="000469F6" w:rsidRDefault="00DA2F48" w:rsidP="00091450">
      <w:pPr>
        <w:jc w:val="both"/>
        <w:rPr>
          <w:rFonts w:ascii="Times New Roman" w:hAnsi="Times New Roman" w:cs="Times New Roman"/>
          <w:b/>
          <w:bCs/>
          <w:sz w:val="24"/>
          <w:szCs w:val="24"/>
        </w:rPr>
      </w:pPr>
      <w:r w:rsidRPr="000469F6">
        <w:rPr>
          <w:rFonts w:ascii="Times New Roman" w:hAnsi="Times New Roman" w:cs="Times New Roman"/>
          <w:b/>
          <w:bCs/>
          <w:sz w:val="24"/>
          <w:szCs w:val="24"/>
        </w:rPr>
        <w:t>ABSTRACT</w:t>
      </w:r>
    </w:p>
    <w:p w14:paraId="7A97E00E" w14:textId="772C1D84" w:rsidR="00D1719E" w:rsidRPr="00091450" w:rsidRDefault="00D1719E" w:rsidP="00091450">
      <w:pPr>
        <w:jc w:val="both"/>
        <w:rPr>
          <w:rFonts w:ascii="Times New Roman" w:hAnsi="Times New Roman" w:cs="Times New Roman"/>
          <w:sz w:val="24"/>
          <w:szCs w:val="24"/>
        </w:rPr>
      </w:pPr>
      <w:r w:rsidRPr="00091450">
        <w:rPr>
          <w:rFonts w:ascii="Times New Roman" w:hAnsi="Times New Roman" w:cs="Times New Roman"/>
          <w:sz w:val="24"/>
          <w:szCs w:val="24"/>
        </w:rPr>
        <w:t>Ethion [(</w:t>
      </w:r>
      <w:proofErr w:type="gramStart"/>
      <w:r w:rsidRPr="00091450">
        <w:rPr>
          <w:rFonts w:ascii="Times New Roman" w:hAnsi="Times New Roman" w:cs="Times New Roman"/>
          <w:sz w:val="24"/>
          <w:szCs w:val="24"/>
        </w:rPr>
        <w:t>O,O</w:t>
      </w:r>
      <w:proofErr w:type="gramEnd"/>
      <w:r w:rsidRPr="00091450">
        <w:rPr>
          <w:rFonts w:ascii="Times New Roman" w:hAnsi="Times New Roman" w:cs="Times New Roman"/>
          <w:sz w:val="24"/>
          <w:szCs w:val="24"/>
        </w:rPr>
        <w:t>,O′,O′-tetraethyl S,S′-methylene bis(</w:t>
      </w:r>
      <w:proofErr w:type="spellStart"/>
      <w:r w:rsidRPr="00091450">
        <w:rPr>
          <w:rFonts w:ascii="Times New Roman" w:hAnsi="Times New Roman" w:cs="Times New Roman"/>
          <w:sz w:val="24"/>
          <w:szCs w:val="24"/>
        </w:rPr>
        <w:t>phosphorodithioate</w:t>
      </w:r>
      <w:proofErr w:type="spellEnd"/>
      <w:r w:rsidRPr="00091450">
        <w:rPr>
          <w:rFonts w:ascii="Times New Roman" w:hAnsi="Times New Roman" w:cs="Times New Roman"/>
          <w:sz w:val="24"/>
          <w:szCs w:val="24"/>
        </w:rPr>
        <w:t xml:space="preserve">))] an </w:t>
      </w:r>
      <w:r w:rsidR="00091450" w:rsidRPr="00091450">
        <w:rPr>
          <w:rFonts w:ascii="Times New Roman" w:hAnsi="Times New Roman" w:cs="Times New Roman"/>
          <w:sz w:val="24"/>
          <w:szCs w:val="24"/>
        </w:rPr>
        <w:t>organophosphorus</w:t>
      </w:r>
      <w:r w:rsidRPr="00091450">
        <w:rPr>
          <w:rFonts w:ascii="Times New Roman" w:hAnsi="Times New Roman" w:cs="Times New Roman"/>
          <w:sz w:val="24"/>
          <w:szCs w:val="24"/>
        </w:rPr>
        <w:t xml:space="preserve"> (OP) insecticide was introduced seven decades ago for use on plants and animals as an insecticide, acaricide and ovicide. The aim of present study was to investigate the sublethal effects of ethion induced alterations in protein metabolism in the pancreas of Albino rats. Adult male Albino rats of Wistar strain were orally administered ethion (1/5th of LD50 </w:t>
      </w:r>
      <w:r w:rsidR="004F7BFF" w:rsidRPr="00091450">
        <w:rPr>
          <w:rFonts w:ascii="Times New Roman" w:hAnsi="Times New Roman" w:cs="Times New Roman"/>
          <w:sz w:val="24"/>
          <w:szCs w:val="24"/>
        </w:rPr>
        <w:t>i.e.,</w:t>
      </w:r>
      <w:r w:rsidRPr="00091450">
        <w:rPr>
          <w:rFonts w:ascii="Times New Roman" w:hAnsi="Times New Roman" w:cs="Times New Roman"/>
          <w:sz w:val="24"/>
          <w:szCs w:val="24"/>
        </w:rPr>
        <w:t xml:space="preserve"> 42mg/kg body weight) for 30 days with an interval of 48h. Animals were randomly divided into four groups.  The first group served as control.  Second group of animals was treated with ethion for 10 days, third and fourth groups of animals were administered for 20 days and 30 days respectively. Total proteins decreased in ethion administered groups while all the parameters studied in the present investigation showed an increase and this increase was more in 30 days when compared to 20 days and 10 days administered groups. All the parameters studied in the present investigation were severely altered in Ethion exposed Albino rats. The severity of the damage was also assessed by histopathological studies. The histological observations of the pancreas in the Ethion exposed Albino rats reveal Cloudy Swelling with Granulated Cytoplasm (CSGC) Denatured nucleus (DN), Hemorrhage (H) and Congestion(C).</w:t>
      </w:r>
      <w:r w:rsidR="00A157C8" w:rsidRPr="00091450">
        <w:rPr>
          <w:rFonts w:ascii="Times New Roman" w:hAnsi="Times New Roman" w:cs="Times New Roman"/>
          <w:sz w:val="24"/>
          <w:szCs w:val="24"/>
        </w:rPr>
        <w:t xml:space="preserve"> </w:t>
      </w:r>
      <w:r w:rsidRPr="00091450">
        <w:rPr>
          <w:rFonts w:ascii="Times New Roman" w:hAnsi="Times New Roman" w:cs="Times New Roman"/>
          <w:sz w:val="24"/>
          <w:szCs w:val="24"/>
        </w:rPr>
        <w:t>The results of the present study suggest that Ethion adversely affects pancreatic functions leading to its physiological impairment. The present study suggests that Ethion exerts its toxic effect by altering all the parameters of protein metabolism in the pancreas of the Albino rats.</w:t>
      </w:r>
    </w:p>
    <w:p w14:paraId="655B40AD" w14:textId="0746A4AD" w:rsidR="00D1719E" w:rsidRPr="00091450" w:rsidRDefault="00D1719E" w:rsidP="00091450">
      <w:pPr>
        <w:jc w:val="both"/>
        <w:rPr>
          <w:rFonts w:ascii="Times New Roman" w:hAnsi="Times New Roman" w:cs="Times New Roman"/>
          <w:sz w:val="24"/>
          <w:szCs w:val="24"/>
        </w:rPr>
      </w:pPr>
      <w:r w:rsidRPr="00091450">
        <w:rPr>
          <w:rFonts w:ascii="Times New Roman" w:hAnsi="Times New Roman" w:cs="Times New Roman"/>
          <w:b/>
          <w:bCs/>
          <w:sz w:val="24"/>
          <w:szCs w:val="24"/>
        </w:rPr>
        <w:t>Key words:</w:t>
      </w:r>
      <w:r w:rsidRPr="00091450">
        <w:rPr>
          <w:rFonts w:ascii="Times New Roman" w:hAnsi="Times New Roman" w:cs="Times New Roman"/>
          <w:sz w:val="24"/>
          <w:szCs w:val="24"/>
        </w:rPr>
        <w:t xml:space="preserve"> </w:t>
      </w:r>
      <w:bookmarkStart w:id="0" w:name="_Hlk145236895"/>
      <w:r w:rsidRPr="00091450">
        <w:rPr>
          <w:rFonts w:ascii="Times New Roman" w:hAnsi="Times New Roman" w:cs="Times New Roman"/>
          <w:sz w:val="24"/>
          <w:szCs w:val="24"/>
        </w:rPr>
        <w:t>Albino rats, Ethion, Pancreas, Protein Metabolism, Biochemical Changes, Histopathological Changes.</w:t>
      </w:r>
      <w:bookmarkEnd w:id="0"/>
    </w:p>
    <w:p w14:paraId="3C1F0B32" w14:textId="77777777" w:rsidR="00D1719E" w:rsidRPr="00091450" w:rsidRDefault="00D1719E"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INTRODUCTION</w:t>
      </w:r>
    </w:p>
    <w:p w14:paraId="4A199D62" w14:textId="38A670A4" w:rsidR="00D1719E" w:rsidRPr="00091450" w:rsidRDefault="00D1719E"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Organophosphorus (OP) compounds have been widely used for a few decades in agriculture for crop protection and pest control, thousands of these compounds have been screened and over one hundred of them have been marketed for these purposes (</w:t>
      </w:r>
      <w:proofErr w:type="spellStart"/>
      <w:r w:rsidRPr="00091450">
        <w:rPr>
          <w:rFonts w:ascii="Times New Roman" w:hAnsi="Times New Roman" w:cs="Times New Roman"/>
          <w:sz w:val="24"/>
          <w:szCs w:val="24"/>
        </w:rPr>
        <w:t>Mogda</w:t>
      </w:r>
      <w:proofErr w:type="spellEnd"/>
      <w:r w:rsidRPr="00091450">
        <w:rPr>
          <w:rFonts w:ascii="Times New Roman" w:hAnsi="Times New Roman" w:cs="Times New Roman"/>
          <w:sz w:val="24"/>
          <w:szCs w:val="24"/>
        </w:rPr>
        <w:t xml:space="preserve"> et al.,2009). OP pesticides are often used indiscriminately resulting in detrimental exposure to humans and other nontarget species. Currently OP compounds are the most frequently used pesticides worldwide (</w:t>
      </w:r>
      <w:proofErr w:type="spellStart"/>
      <w:r w:rsidRPr="00091450">
        <w:rPr>
          <w:rFonts w:ascii="Times New Roman" w:hAnsi="Times New Roman" w:cs="Times New Roman"/>
          <w:sz w:val="24"/>
          <w:szCs w:val="24"/>
        </w:rPr>
        <w:t>Heudorf</w:t>
      </w:r>
      <w:proofErr w:type="spellEnd"/>
      <w:r w:rsidRPr="00091450">
        <w:rPr>
          <w:rFonts w:ascii="Times New Roman" w:hAnsi="Times New Roman" w:cs="Times New Roman"/>
          <w:sz w:val="24"/>
          <w:szCs w:val="24"/>
        </w:rPr>
        <w:t xml:space="preserve"> et al., 2006). All vital organs like liver, kidney, heart, nervous and reproductive systems are seriously impaired under OP exposure (</w:t>
      </w:r>
      <w:proofErr w:type="spellStart"/>
      <w:r w:rsidRPr="00091450">
        <w:rPr>
          <w:rFonts w:ascii="Times New Roman" w:hAnsi="Times New Roman" w:cs="Times New Roman"/>
          <w:sz w:val="24"/>
          <w:szCs w:val="24"/>
        </w:rPr>
        <w:t>FerahSayim</w:t>
      </w:r>
      <w:proofErr w:type="spellEnd"/>
      <w:r w:rsidRPr="00091450">
        <w:rPr>
          <w:rFonts w:ascii="Times New Roman" w:hAnsi="Times New Roman" w:cs="Times New Roman"/>
          <w:sz w:val="24"/>
          <w:szCs w:val="24"/>
        </w:rPr>
        <w:t>, 2007). Ethion [(</w:t>
      </w:r>
      <w:r w:rsidR="009606CD" w:rsidRPr="00091450">
        <w:rPr>
          <w:rFonts w:ascii="Times New Roman" w:hAnsi="Times New Roman" w:cs="Times New Roman"/>
          <w:sz w:val="24"/>
          <w:szCs w:val="24"/>
        </w:rPr>
        <w:t xml:space="preserve">O, </w:t>
      </w:r>
      <w:proofErr w:type="gramStart"/>
      <w:r w:rsidR="009606CD" w:rsidRPr="00091450">
        <w:rPr>
          <w:rFonts w:ascii="Times New Roman" w:hAnsi="Times New Roman" w:cs="Times New Roman"/>
          <w:sz w:val="24"/>
          <w:szCs w:val="24"/>
        </w:rPr>
        <w:t>O</w:t>
      </w:r>
      <w:r w:rsidRPr="00091450">
        <w:rPr>
          <w:rFonts w:ascii="Times New Roman" w:hAnsi="Times New Roman" w:cs="Times New Roman"/>
          <w:sz w:val="24"/>
          <w:szCs w:val="24"/>
        </w:rPr>
        <w:t>,O</w:t>
      </w:r>
      <w:proofErr w:type="gramEnd"/>
      <w:r w:rsidR="009606CD" w:rsidRPr="00091450">
        <w:rPr>
          <w:rFonts w:ascii="Times New Roman" w:hAnsi="Times New Roman" w:cs="Times New Roman"/>
          <w:sz w:val="24"/>
          <w:szCs w:val="24"/>
        </w:rPr>
        <w:t>′, O</w:t>
      </w:r>
      <w:r w:rsidRPr="00091450">
        <w:rPr>
          <w:rFonts w:ascii="Times New Roman" w:hAnsi="Times New Roman" w:cs="Times New Roman"/>
          <w:sz w:val="24"/>
          <w:szCs w:val="24"/>
        </w:rPr>
        <w:t>′-tetraethyl S,S′-methylene bis(</w:t>
      </w:r>
      <w:proofErr w:type="spellStart"/>
      <w:r w:rsidRPr="00091450">
        <w:rPr>
          <w:rFonts w:ascii="Times New Roman" w:hAnsi="Times New Roman" w:cs="Times New Roman"/>
          <w:sz w:val="24"/>
          <w:szCs w:val="24"/>
        </w:rPr>
        <w:t>phosphorodithioate</w:t>
      </w:r>
      <w:proofErr w:type="spellEnd"/>
      <w:r w:rsidRPr="00091450">
        <w:rPr>
          <w:rFonts w:ascii="Times New Roman" w:hAnsi="Times New Roman" w:cs="Times New Roman"/>
          <w:sz w:val="24"/>
          <w:szCs w:val="24"/>
        </w:rPr>
        <w:t xml:space="preserve">))] an OP compound was introduced in 1956 for use on plants and animals as an insecticide, acaricide and ovicide. </w:t>
      </w:r>
      <w:r w:rsidR="00937635" w:rsidRPr="00937635">
        <w:rPr>
          <w:rFonts w:ascii="Times New Roman" w:hAnsi="Times New Roman" w:cs="Times New Roman"/>
          <w:sz w:val="24"/>
          <w:szCs w:val="24"/>
        </w:rPr>
        <w:t xml:space="preserve">Ethion, an insecticide widely used in agriculture, has become a significant concern due to its harmful effects on the environment and public health. It is known to be a major environmental contaminant found in various parts of the world. Ethion is typically used in the form of oil solutions and can be combined with other chemicals. The toxicity levels of Ethion can vary greatly, depending on its formulation and concentration. Workers involved in grape and peach harvesting have reported cases of Ethion poisoning. This compound specifically targets the </w:t>
      </w:r>
      <w:r w:rsidR="00937635" w:rsidRPr="00937635">
        <w:rPr>
          <w:rFonts w:ascii="Times New Roman" w:hAnsi="Times New Roman" w:cs="Times New Roman"/>
          <w:sz w:val="24"/>
          <w:szCs w:val="24"/>
        </w:rPr>
        <w:lastRenderedPageBreak/>
        <w:t>pancreas, one of the vital organs in the body. Therefore, this research aims to investigate the toxicity of Ethion on the pancreas under organophosphate (OP) stress. To detect and assess the specific impacts of OP exposure on organs, commonly employed methods include clinical biochemistry tests and histopathological evaluations. In this particular study, we focused on the pancreas of Albino rats exposed to Ethion. Various constituents and enzymes related to protein metabolism in the pancreas were thoroughly examined to determine the potential adverse effects caused by Ethion exposure</w:t>
      </w:r>
      <w:r w:rsidR="00937635">
        <w:rPr>
          <w:rFonts w:ascii="Segoe UI" w:hAnsi="Segoe UI" w:cs="Segoe UI"/>
          <w:color w:val="181C27"/>
          <w:sz w:val="27"/>
          <w:szCs w:val="27"/>
          <w:shd w:val="clear" w:color="auto" w:fill="F5F5F5"/>
        </w:rPr>
        <w:t xml:space="preserve">. </w:t>
      </w:r>
      <w:r w:rsidRPr="00091450">
        <w:rPr>
          <w:rFonts w:ascii="Times New Roman" w:hAnsi="Times New Roman" w:cs="Times New Roman"/>
          <w:sz w:val="24"/>
          <w:szCs w:val="24"/>
        </w:rPr>
        <w:t xml:space="preserve">Bhatti et al. (2011) reported that in vivo administration of Ethion results in oxidative damage to erythrocyte membranes in the rats. There are many clinical reports on impaired </w:t>
      </w:r>
      <w:r w:rsidR="00892EBE"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caused by acute organophosphorus compound poisoning, however, there is limited literature pertaining to Ethion toxicity in the </w:t>
      </w:r>
      <w:r w:rsidR="00892EBE"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of rats.  Hence in the present investigation various parameters were evaluated in the </w:t>
      </w:r>
      <w:r w:rsidR="00892EBE"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of Ethion exposed Albino rats. The present study clearly indicates that Ethion exposure seriously impairs protein metabolism in the </w:t>
      </w:r>
      <w:r w:rsidR="00892EBE"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of Albino rats.</w:t>
      </w:r>
    </w:p>
    <w:p w14:paraId="6CD31C12" w14:textId="5A9B55EC" w:rsidR="00EF2DDA" w:rsidRPr="00091450" w:rsidRDefault="00EF2DDA"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MATERIALS AND METHODS</w:t>
      </w:r>
    </w:p>
    <w:p w14:paraId="79E8CB42" w14:textId="77777777" w:rsidR="00EF2DDA" w:rsidRPr="00091450" w:rsidRDefault="00EF2DDA"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Test Chemical</w:t>
      </w:r>
    </w:p>
    <w:p w14:paraId="72CA9264" w14:textId="77777777" w:rsidR="00EF2DDA" w:rsidRPr="00091450" w:rsidRDefault="00EF2DDA"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Ethion (92.5%) pure in crystalline form was obtained from Hyderabad chemical limited, Hyderabad, A.P. India.</w:t>
      </w:r>
    </w:p>
    <w:p w14:paraId="391FDA6E" w14:textId="77777777" w:rsidR="00EF2DDA" w:rsidRPr="00091450" w:rsidRDefault="00EF2DDA"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Animal and Experimental Design</w:t>
      </w:r>
    </w:p>
    <w:p w14:paraId="5FED1503" w14:textId="77777777" w:rsidR="00F024C6" w:rsidRPr="00091450" w:rsidRDefault="001C2F44"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The study protocol was approved by the Institutional Animal Ethics Committee at S.V. University (Registration Number 438/01c/CPCSEA). Male adult Albino rats, aged 7 weeks and weighing approximately 200 ± 20g, were acquired from the Indian Institute of Science (</w:t>
      </w:r>
      <w:proofErr w:type="spellStart"/>
      <w:r w:rsidRPr="00091450">
        <w:rPr>
          <w:rFonts w:ascii="Times New Roman" w:hAnsi="Times New Roman" w:cs="Times New Roman"/>
          <w:sz w:val="24"/>
          <w:szCs w:val="24"/>
        </w:rPr>
        <w:t>I.I.Sc</w:t>
      </w:r>
      <w:proofErr w:type="spellEnd"/>
      <w:r w:rsidRPr="00091450">
        <w:rPr>
          <w:rFonts w:ascii="Times New Roman" w:hAnsi="Times New Roman" w:cs="Times New Roman"/>
          <w:sz w:val="24"/>
          <w:szCs w:val="24"/>
        </w:rPr>
        <w:t>.) in Bengaluru. The rats were housed in controlled environmental conditions with an ambient temperature of 28 ± 2°C, a 12-hour light/dark cycle, and a minimum humidity of 40%. They were provided with a commercial pellet diet from Sai</w:t>
      </w:r>
      <w:r w:rsidR="00F024C6" w:rsidRPr="00091450">
        <w:rPr>
          <w:rFonts w:ascii="Times New Roman" w:hAnsi="Times New Roman" w:cs="Times New Roman"/>
          <w:sz w:val="24"/>
          <w:szCs w:val="24"/>
        </w:rPr>
        <w:t xml:space="preserve"> </w:t>
      </w:r>
      <w:r w:rsidRPr="00091450">
        <w:rPr>
          <w:rFonts w:ascii="Times New Roman" w:hAnsi="Times New Roman" w:cs="Times New Roman"/>
          <w:sz w:val="24"/>
          <w:szCs w:val="24"/>
        </w:rPr>
        <w:t>Durga Feeds and Foods, Bengaluru, India, and had unrestricted access to water. A total of four groups were formed, comprising six rats each. The first group served as the control group. The second group received ethion orally via gavage at a dosage of 1/5th of the LD50 (lethal dose for 50% of the population), which equated to 42mg/kg body weight, administered for a duration of 10 days. The third and fourth groups were subjected to the same ethion treatment but for 20 and 30 days, respectively, with a 48-hour interval between administrations. The allocation of rats to the groups was randomized.</w:t>
      </w:r>
    </w:p>
    <w:p w14:paraId="22E9453D" w14:textId="7B35F461" w:rsidR="00DA2F48" w:rsidRPr="00091450" w:rsidRDefault="00867F3E"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Biochemical estimations</w:t>
      </w:r>
    </w:p>
    <w:p w14:paraId="054363AB" w14:textId="554D0F95" w:rsidR="00867F3E" w:rsidRPr="00091450" w:rsidRDefault="00CB4A4C"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 xml:space="preserve">The total protein content was determined using the Lowry et al. (1951) method. To estimate the free amino acid content, the </w:t>
      </w:r>
      <w:proofErr w:type="spellStart"/>
      <w:r w:rsidRPr="00091450">
        <w:rPr>
          <w:rFonts w:ascii="Times New Roman" w:hAnsi="Times New Roman" w:cs="Times New Roman"/>
          <w:sz w:val="24"/>
          <w:szCs w:val="24"/>
        </w:rPr>
        <w:t>Colowick</w:t>
      </w:r>
      <w:proofErr w:type="spellEnd"/>
      <w:r w:rsidRPr="00091450">
        <w:rPr>
          <w:rFonts w:ascii="Times New Roman" w:hAnsi="Times New Roman" w:cs="Times New Roman"/>
          <w:sz w:val="24"/>
          <w:szCs w:val="24"/>
        </w:rPr>
        <w:t xml:space="preserve"> and Kaplan (1957) method was employed. The protease activity was evaluated by measuring the amount of liberated free amino acids from the protein substances, following the methodology of Moore and Stein (1954). The activity of aspartate aminotransferase (AST) was assayed based on the procedure outlined by Bergmeyer and Bernt (1965). Similarly, the activity of alanine aminotransferase (ALAT) was determined using the Bergmeyer and Bernt (1965) method. The activity of glutamate </w:t>
      </w:r>
      <w:r w:rsidRPr="00091450">
        <w:rPr>
          <w:rFonts w:ascii="Times New Roman" w:hAnsi="Times New Roman" w:cs="Times New Roman"/>
          <w:sz w:val="24"/>
          <w:szCs w:val="24"/>
        </w:rPr>
        <w:lastRenderedPageBreak/>
        <w:t xml:space="preserve">dehydrogenase (GDH) was assessed employing the Lee and Lardy (1965) technique. Ammonia levels were estimated using the Bergmeyer (1965) method. Finally, urea concentration was measured using the </w:t>
      </w:r>
      <w:proofErr w:type="spellStart"/>
      <w:r w:rsidRPr="00091450">
        <w:rPr>
          <w:rFonts w:ascii="Times New Roman" w:hAnsi="Times New Roman" w:cs="Times New Roman"/>
          <w:sz w:val="24"/>
          <w:szCs w:val="24"/>
        </w:rPr>
        <w:t>diacetylmonoxime</w:t>
      </w:r>
      <w:proofErr w:type="spellEnd"/>
      <w:r w:rsidRPr="00091450">
        <w:rPr>
          <w:rFonts w:ascii="Times New Roman" w:hAnsi="Times New Roman" w:cs="Times New Roman"/>
          <w:sz w:val="24"/>
          <w:szCs w:val="24"/>
        </w:rPr>
        <w:t xml:space="preserve"> method as described by Natelson (1971).</w:t>
      </w:r>
    </w:p>
    <w:p w14:paraId="055343C8" w14:textId="77777777" w:rsidR="00867F3E" w:rsidRPr="00091450" w:rsidRDefault="00867F3E"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Histopathological studies</w:t>
      </w:r>
    </w:p>
    <w:p w14:paraId="06703DCC" w14:textId="77777777" w:rsidR="00F73BDA" w:rsidRPr="00091450" w:rsidRDefault="00F73BDA"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Samples of pancreatic tissue from both the control and Ethion-administered rats were isolated. To prepare for light microscopic examination, the tissues were gently washed with physiological saline solution (0.9% NaCl) to eliminate any blood or debris. Subsequently, they were fixed in a 5% formalin solution for a duration of 24 hours. The fixative was then removed by rinsing the tissues with running tap water overnight. After undergoing dehydration in a series of alcohol solutions, the tissues were cleared using methyl benzoate and subsequently embedded in paraffin wax. Thin sections measuring 6μm in thickness were cut from the embedded tissues. These sections were subjected to staining using Harris hematoxylin (Harris, 1900) and counterstained with eosin, which was dissolved in 95% alcohol. Following dehydration and clearing, the sections were mounted in Canada balsam and examined under a microscope.</w:t>
      </w:r>
    </w:p>
    <w:p w14:paraId="29F9E5CD" w14:textId="09F13AFA" w:rsidR="00CB46E6" w:rsidRPr="00091450" w:rsidRDefault="00CB46E6"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Statistical treatment</w:t>
      </w:r>
    </w:p>
    <w:p w14:paraId="5DA88D09" w14:textId="2B992302" w:rsidR="002E0028" w:rsidRPr="00091450" w:rsidRDefault="002E0028"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The data underwent One-way Analysis of Variance (ANOVA) and post-ANOVA tests, specifically the </w:t>
      </w:r>
      <w:r w:rsidR="004F7BFF" w:rsidRPr="00091450">
        <w:rPr>
          <w:rFonts w:ascii="Times New Roman" w:hAnsi="Times New Roman" w:cs="Times New Roman"/>
          <w:sz w:val="24"/>
          <w:szCs w:val="24"/>
        </w:rPr>
        <w:t>student</w:t>
      </w:r>
      <w:r w:rsidRPr="00091450">
        <w:rPr>
          <w:rFonts w:ascii="Times New Roman" w:hAnsi="Times New Roman" w:cs="Times New Roman"/>
          <w:sz w:val="24"/>
          <w:szCs w:val="24"/>
        </w:rPr>
        <w:t>-Newman-Keuls (S-N-K) test, using SPSS version 21 on a personal computer. A significance level of p &lt; 0.01 was deemed as statistically significant.</w:t>
      </w:r>
    </w:p>
    <w:p w14:paraId="16527297" w14:textId="1E487B22" w:rsidR="00CB46E6" w:rsidRPr="00091450" w:rsidRDefault="00CB46E6"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RESULTS</w:t>
      </w:r>
    </w:p>
    <w:p w14:paraId="7402D302" w14:textId="150C9911" w:rsidR="00CB46E6" w:rsidRPr="00091450" w:rsidRDefault="00CB46E6"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Biochemical changes</w:t>
      </w:r>
    </w:p>
    <w:p w14:paraId="1B842136" w14:textId="1682708A" w:rsidR="00860D5F" w:rsidRPr="00091450" w:rsidRDefault="000F62F1" w:rsidP="00091450">
      <w:pPr>
        <w:jc w:val="both"/>
        <w:rPr>
          <w:rFonts w:ascii="Times New Roman" w:hAnsi="Times New Roman" w:cs="Times New Roman"/>
          <w:sz w:val="24"/>
          <w:szCs w:val="24"/>
        </w:rPr>
      </w:pPr>
      <w:r w:rsidRPr="00091450">
        <w:rPr>
          <w:rFonts w:ascii="Times New Roman" w:hAnsi="Times New Roman" w:cs="Times New Roman"/>
          <w:sz w:val="24"/>
          <w:szCs w:val="24"/>
        </w:rPr>
        <w:t>Table 1 presents the findings of the study on Albino rats exposed to Ethion. The results revealed a decrease in protein content in these rats. Furthermore, all the enzymes analyzed in this investigation, as well as the levels of ammonia and urea in the pancreas, displayed an increase in Ethion-exposed rats compared to the control group. Notably, the increase was more prominent in Albino rats exposed for 30 days compared to those exposed for 20 days and 10 days.</w:t>
      </w:r>
    </w:p>
    <w:p w14:paraId="2AC8C1DC" w14:textId="77777777" w:rsidR="000469F6" w:rsidRDefault="000469F6" w:rsidP="00091450">
      <w:pPr>
        <w:jc w:val="both"/>
        <w:rPr>
          <w:rFonts w:ascii="Times New Roman" w:hAnsi="Times New Roman" w:cs="Times New Roman"/>
          <w:b/>
          <w:bCs/>
          <w:sz w:val="24"/>
          <w:szCs w:val="24"/>
        </w:rPr>
      </w:pPr>
    </w:p>
    <w:p w14:paraId="14A10423" w14:textId="77777777" w:rsidR="000469F6" w:rsidRDefault="000469F6" w:rsidP="00091450">
      <w:pPr>
        <w:jc w:val="both"/>
        <w:rPr>
          <w:rFonts w:ascii="Times New Roman" w:hAnsi="Times New Roman" w:cs="Times New Roman"/>
          <w:b/>
          <w:bCs/>
          <w:sz w:val="24"/>
          <w:szCs w:val="24"/>
        </w:rPr>
      </w:pPr>
    </w:p>
    <w:p w14:paraId="28E53779" w14:textId="77777777" w:rsidR="000469F6" w:rsidRDefault="000469F6" w:rsidP="00091450">
      <w:pPr>
        <w:jc w:val="both"/>
        <w:rPr>
          <w:rFonts w:ascii="Times New Roman" w:hAnsi="Times New Roman" w:cs="Times New Roman"/>
          <w:b/>
          <w:bCs/>
          <w:sz w:val="24"/>
          <w:szCs w:val="24"/>
        </w:rPr>
      </w:pPr>
    </w:p>
    <w:p w14:paraId="111C57FA" w14:textId="77777777" w:rsidR="000B1701" w:rsidRDefault="000B1701" w:rsidP="00091450">
      <w:pPr>
        <w:jc w:val="both"/>
        <w:rPr>
          <w:rFonts w:ascii="Times New Roman" w:hAnsi="Times New Roman" w:cs="Times New Roman"/>
          <w:b/>
          <w:bCs/>
          <w:sz w:val="24"/>
          <w:szCs w:val="24"/>
        </w:rPr>
      </w:pPr>
    </w:p>
    <w:p w14:paraId="361982FA" w14:textId="77777777" w:rsidR="000B1701" w:rsidRDefault="000B1701" w:rsidP="00091450">
      <w:pPr>
        <w:jc w:val="both"/>
        <w:rPr>
          <w:rFonts w:ascii="Times New Roman" w:hAnsi="Times New Roman" w:cs="Times New Roman"/>
          <w:b/>
          <w:bCs/>
          <w:sz w:val="24"/>
          <w:szCs w:val="24"/>
        </w:rPr>
      </w:pPr>
    </w:p>
    <w:p w14:paraId="3F5CFD71" w14:textId="77777777" w:rsidR="000B1701" w:rsidRDefault="000B1701" w:rsidP="00091450">
      <w:pPr>
        <w:jc w:val="both"/>
        <w:rPr>
          <w:rFonts w:ascii="Times New Roman" w:hAnsi="Times New Roman" w:cs="Times New Roman"/>
          <w:b/>
          <w:bCs/>
          <w:sz w:val="24"/>
          <w:szCs w:val="24"/>
        </w:rPr>
      </w:pPr>
    </w:p>
    <w:p w14:paraId="0806C5D3" w14:textId="77777777" w:rsidR="000B1701" w:rsidRDefault="000B1701" w:rsidP="00091450">
      <w:pPr>
        <w:jc w:val="both"/>
        <w:rPr>
          <w:rFonts w:ascii="Times New Roman" w:hAnsi="Times New Roman" w:cs="Times New Roman"/>
          <w:b/>
          <w:bCs/>
          <w:sz w:val="24"/>
          <w:szCs w:val="24"/>
        </w:rPr>
      </w:pPr>
    </w:p>
    <w:p w14:paraId="6D3090F1" w14:textId="77777777" w:rsidR="000469F6" w:rsidRDefault="000469F6" w:rsidP="00091450">
      <w:pPr>
        <w:jc w:val="both"/>
        <w:rPr>
          <w:rFonts w:ascii="Times New Roman" w:hAnsi="Times New Roman" w:cs="Times New Roman"/>
          <w:b/>
          <w:bCs/>
          <w:sz w:val="24"/>
          <w:szCs w:val="24"/>
        </w:rPr>
      </w:pPr>
    </w:p>
    <w:p w14:paraId="2D13BD0B" w14:textId="7C8DF658" w:rsidR="00F15106" w:rsidRPr="000469F6" w:rsidRDefault="00F15106" w:rsidP="00091450">
      <w:pPr>
        <w:jc w:val="both"/>
        <w:rPr>
          <w:rFonts w:ascii="Times New Roman" w:hAnsi="Times New Roman" w:cs="Times New Roman"/>
          <w:b/>
          <w:bCs/>
          <w:sz w:val="24"/>
          <w:szCs w:val="24"/>
        </w:rPr>
      </w:pPr>
      <w:r w:rsidRPr="000469F6">
        <w:rPr>
          <w:rFonts w:ascii="Times New Roman" w:hAnsi="Times New Roman" w:cs="Times New Roman"/>
          <w:b/>
          <w:bCs/>
          <w:sz w:val="24"/>
          <w:szCs w:val="24"/>
        </w:rPr>
        <w:t xml:space="preserve">Table 1: Biochemical and enzymatic changes in the </w:t>
      </w:r>
      <w:r w:rsidR="001C17F0" w:rsidRPr="000469F6">
        <w:rPr>
          <w:rFonts w:ascii="Times New Roman" w:hAnsi="Times New Roman" w:cs="Times New Roman"/>
          <w:b/>
          <w:bCs/>
          <w:sz w:val="24"/>
          <w:szCs w:val="24"/>
        </w:rPr>
        <w:t>pancreas</w:t>
      </w:r>
      <w:r w:rsidRPr="000469F6">
        <w:rPr>
          <w:rFonts w:ascii="Times New Roman" w:hAnsi="Times New Roman" w:cs="Times New Roman"/>
          <w:b/>
          <w:bCs/>
          <w:sz w:val="24"/>
          <w:szCs w:val="24"/>
        </w:rPr>
        <w:t xml:space="preserve"> of Ethion intoxicated Albino rats</w:t>
      </w:r>
      <w:r w:rsidR="00A068E3" w:rsidRPr="000469F6">
        <w:rPr>
          <w:rFonts w:ascii="Times New Roman" w:hAnsi="Times New Roman" w:cs="Times New Roman"/>
          <w:b/>
          <w:bCs/>
          <w:sz w:val="24"/>
          <w:szCs w:val="24"/>
        </w:rPr>
        <w: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81"/>
        <w:gridCol w:w="1181"/>
        <w:gridCol w:w="1181"/>
        <w:gridCol w:w="1181"/>
        <w:gridCol w:w="1182"/>
      </w:tblGrid>
      <w:tr w:rsidR="00F15106" w:rsidRPr="00091450" w14:paraId="1410634E" w14:textId="77777777" w:rsidTr="00CE1ED2">
        <w:trPr>
          <w:jc w:val="center"/>
        </w:trPr>
        <w:tc>
          <w:tcPr>
            <w:tcW w:w="3539" w:type="dxa"/>
          </w:tcPr>
          <w:p w14:paraId="6948155B" w14:textId="6F5EDEA2" w:rsidR="00F15106"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Pancreas</w:t>
            </w:r>
          </w:p>
        </w:tc>
        <w:tc>
          <w:tcPr>
            <w:tcW w:w="1181" w:type="dxa"/>
          </w:tcPr>
          <w:p w14:paraId="0D68240C"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Control</w:t>
            </w:r>
          </w:p>
        </w:tc>
        <w:tc>
          <w:tcPr>
            <w:tcW w:w="1181" w:type="dxa"/>
          </w:tcPr>
          <w:p w14:paraId="6F3B879F"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10 days</w:t>
            </w:r>
          </w:p>
        </w:tc>
        <w:tc>
          <w:tcPr>
            <w:tcW w:w="1181" w:type="dxa"/>
          </w:tcPr>
          <w:p w14:paraId="59CEBF7E"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20 days</w:t>
            </w:r>
          </w:p>
        </w:tc>
        <w:tc>
          <w:tcPr>
            <w:tcW w:w="1181" w:type="dxa"/>
          </w:tcPr>
          <w:p w14:paraId="6B9531CB"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30 days</w:t>
            </w:r>
          </w:p>
        </w:tc>
        <w:tc>
          <w:tcPr>
            <w:tcW w:w="1182" w:type="dxa"/>
          </w:tcPr>
          <w:p w14:paraId="55A41D99"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F value</w:t>
            </w:r>
          </w:p>
        </w:tc>
      </w:tr>
      <w:tr w:rsidR="001C17F0" w:rsidRPr="00091450" w14:paraId="78920954" w14:textId="77777777" w:rsidTr="00CE1ED2">
        <w:trPr>
          <w:trHeight w:val="1178"/>
          <w:jc w:val="center"/>
        </w:trPr>
        <w:tc>
          <w:tcPr>
            <w:tcW w:w="3539" w:type="dxa"/>
          </w:tcPr>
          <w:p w14:paraId="53BE7051"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Total Proteins</w:t>
            </w:r>
          </w:p>
          <w:p w14:paraId="4BE7AA1E"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(mg/g. wet wt. of tissue)</w:t>
            </w:r>
          </w:p>
        </w:tc>
        <w:tc>
          <w:tcPr>
            <w:tcW w:w="1181" w:type="dxa"/>
          </w:tcPr>
          <w:p w14:paraId="7901196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156.228</w:t>
            </w:r>
          </w:p>
          <w:p w14:paraId="3A396F85"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14.793</w:t>
            </w:r>
          </w:p>
          <w:p w14:paraId="7BD56BDA" w14:textId="3E8B1713" w:rsidR="001C17F0" w:rsidRPr="00091450" w:rsidRDefault="001C17F0" w:rsidP="00091450">
            <w:pPr>
              <w:jc w:val="both"/>
              <w:rPr>
                <w:rFonts w:ascii="Times New Roman" w:hAnsi="Times New Roman" w:cs="Times New Roman"/>
                <w:sz w:val="24"/>
                <w:szCs w:val="24"/>
              </w:rPr>
            </w:pPr>
          </w:p>
        </w:tc>
        <w:tc>
          <w:tcPr>
            <w:tcW w:w="1181" w:type="dxa"/>
          </w:tcPr>
          <w:p w14:paraId="440F8FA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122.732a</w:t>
            </w:r>
          </w:p>
          <w:p w14:paraId="24080A2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10.033</w:t>
            </w:r>
          </w:p>
          <w:p w14:paraId="6D8C12A0" w14:textId="637A9BB6"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(-21.44)</w:t>
            </w:r>
          </w:p>
        </w:tc>
        <w:tc>
          <w:tcPr>
            <w:tcW w:w="1181" w:type="dxa"/>
          </w:tcPr>
          <w:p w14:paraId="359DD5C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109.948a</w:t>
            </w:r>
          </w:p>
          <w:p w14:paraId="032041D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13.410</w:t>
            </w:r>
          </w:p>
          <w:p w14:paraId="2B9AF74B" w14:textId="078A8E34"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(-29.62)</w:t>
            </w:r>
          </w:p>
        </w:tc>
        <w:tc>
          <w:tcPr>
            <w:tcW w:w="1181" w:type="dxa"/>
          </w:tcPr>
          <w:p w14:paraId="273BE7A8"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87.074</w:t>
            </w:r>
          </w:p>
          <w:p w14:paraId="24F070B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7.426</w:t>
            </w:r>
          </w:p>
          <w:p w14:paraId="20AD0439" w14:textId="08C9132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(-44.26)</w:t>
            </w:r>
          </w:p>
        </w:tc>
        <w:tc>
          <w:tcPr>
            <w:tcW w:w="1182" w:type="dxa"/>
          </w:tcPr>
          <w:p w14:paraId="2887B0B0" w14:textId="58A247AA"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30.653*</w:t>
            </w:r>
          </w:p>
        </w:tc>
      </w:tr>
      <w:tr w:rsidR="001C17F0" w:rsidRPr="00091450" w14:paraId="172172EB" w14:textId="77777777" w:rsidTr="00CE1ED2">
        <w:trPr>
          <w:trHeight w:val="1178"/>
          <w:jc w:val="center"/>
        </w:trPr>
        <w:tc>
          <w:tcPr>
            <w:tcW w:w="3539" w:type="dxa"/>
          </w:tcPr>
          <w:p w14:paraId="157CE0F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Free amino acids</w:t>
            </w:r>
          </w:p>
          <w:p w14:paraId="72CF2A8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(µmoles of tyrosine/g. wet wt. of tissue)</w:t>
            </w:r>
          </w:p>
        </w:tc>
        <w:tc>
          <w:tcPr>
            <w:tcW w:w="1181" w:type="dxa"/>
          </w:tcPr>
          <w:p w14:paraId="0A803E98"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71.118</w:t>
            </w:r>
          </w:p>
          <w:p w14:paraId="5B119E47" w14:textId="74EE045D"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5.295</w:t>
            </w:r>
          </w:p>
        </w:tc>
        <w:tc>
          <w:tcPr>
            <w:tcW w:w="1181" w:type="dxa"/>
          </w:tcPr>
          <w:p w14:paraId="757EC75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82.361</w:t>
            </w:r>
          </w:p>
          <w:p w14:paraId="1BB288E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5.272</w:t>
            </w:r>
          </w:p>
          <w:p w14:paraId="6E34CAEE" w14:textId="2B3A2124"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(15.81)</w:t>
            </w:r>
          </w:p>
        </w:tc>
        <w:tc>
          <w:tcPr>
            <w:tcW w:w="1181" w:type="dxa"/>
          </w:tcPr>
          <w:p w14:paraId="1E422C5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90.020</w:t>
            </w:r>
          </w:p>
          <w:p w14:paraId="6BAC26A0"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7.790</w:t>
            </w:r>
          </w:p>
          <w:p w14:paraId="67EC8C8A" w14:textId="4652AF3A"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(26.58)</w:t>
            </w:r>
          </w:p>
        </w:tc>
        <w:tc>
          <w:tcPr>
            <w:tcW w:w="1181" w:type="dxa"/>
          </w:tcPr>
          <w:p w14:paraId="7741497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99.989</w:t>
            </w:r>
          </w:p>
          <w:p w14:paraId="1EABD17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9.808</w:t>
            </w:r>
          </w:p>
          <w:p w14:paraId="66C26883" w14:textId="408F927B"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(40.59)</w:t>
            </w:r>
          </w:p>
        </w:tc>
        <w:tc>
          <w:tcPr>
            <w:tcW w:w="1182" w:type="dxa"/>
          </w:tcPr>
          <w:p w14:paraId="4B304DB2" w14:textId="35086F01"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22.766*</w:t>
            </w:r>
          </w:p>
        </w:tc>
      </w:tr>
      <w:tr w:rsidR="001C17F0" w:rsidRPr="00091450" w14:paraId="5828DFBF" w14:textId="77777777" w:rsidTr="00CE1ED2">
        <w:trPr>
          <w:trHeight w:val="1178"/>
          <w:jc w:val="center"/>
        </w:trPr>
        <w:tc>
          <w:tcPr>
            <w:tcW w:w="3539" w:type="dxa"/>
          </w:tcPr>
          <w:p w14:paraId="79425F42"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Protease</w:t>
            </w:r>
          </w:p>
          <w:p w14:paraId="024D6888"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(µmoles of tyrosine/mg protein/h)</w:t>
            </w:r>
          </w:p>
        </w:tc>
        <w:tc>
          <w:tcPr>
            <w:tcW w:w="1181" w:type="dxa"/>
          </w:tcPr>
          <w:p w14:paraId="4BBF85C1"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1.363</w:t>
            </w:r>
          </w:p>
          <w:p w14:paraId="6C0FD7E5" w14:textId="0D7B11C9"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0.125</w:t>
            </w:r>
          </w:p>
        </w:tc>
        <w:tc>
          <w:tcPr>
            <w:tcW w:w="1181" w:type="dxa"/>
          </w:tcPr>
          <w:p w14:paraId="767D2BFE"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1.490</w:t>
            </w:r>
          </w:p>
          <w:p w14:paraId="3B0DB060"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0.053</w:t>
            </w:r>
          </w:p>
          <w:p w14:paraId="709A1478" w14:textId="17342B85"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(9.32)</w:t>
            </w:r>
          </w:p>
        </w:tc>
        <w:tc>
          <w:tcPr>
            <w:tcW w:w="1181" w:type="dxa"/>
          </w:tcPr>
          <w:p w14:paraId="1DF1254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1.710</w:t>
            </w:r>
          </w:p>
          <w:p w14:paraId="47310FEE"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0.140</w:t>
            </w:r>
          </w:p>
          <w:p w14:paraId="209657D8" w14:textId="403CFB32"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(25.45)</w:t>
            </w:r>
          </w:p>
        </w:tc>
        <w:tc>
          <w:tcPr>
            <w:tcW w:w="1181" w:type="dxa"/>
          </w:tcPr>
          <w:p w14:paraId="320713A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1.937</w:t>
            </w:r>
          </w:p>
          <w:p w14:paraId="548982B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0.215</w:t>
            </w:r>
          </w:p>
          <w:p w14:paraId="2FE55B8E" w14:textId="3A68CE9F"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(42.11)</w:t>
            </w:r>
          </w:p>
        </w:tc>
        <w:tc>
          <w:tcPr>
            <w:tcW w:w="1182" w:type="dxa"/>
          </w:tcPr>
          <w:p w14:paraId="0CF618FA" w14:textId="553A1700"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16.377*</w:t>
            </w:r>
          </w:p>
        </w:tc>
      </w:tr>
      <w:tr w:rsidR="001C17F0" w:rsidRPr="00091450" w14:paraId="51F4393C" w14:textId="77777777" w:rsidTr="00CE1ED2">
        <w:trPr>
          <w:trHeight w:val="1088"/>
          <w:jc w:val="center"/>
        </w:trPr>
        <w:tc>
          <w:tcPr>
            <w:tcW w:w="3539" w:type="dxa"/>
          </w:tcPr>
          <w:p w14:paraId="331C93AE"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Aspartate Amino transferase</w:t>
            </w:r>
          </w:p>
          <w:p w14:paraId="6A5A464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(µmoles of pyruvate/mg protein/h)</w:t>
            </w:r>
          </w:p>
        </w:tc>
        <w:tc>
          <w:tcPr>
            <w:tcW w:w="1181" w:type="dxa"/>
          </w:tcPr>
          <w:p w14:paraId="11530545"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1.336</w:t>
            </w:r>
          </w:p>
          <w:p w14:paraId="3AE50833" w14:textId="38FDE356"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0.141</w:t>
            </w:r>
          </w:p>
        </w:tc>
        <w:tc>
          <w:tcPr>
            <w:tcW w:w="1181" w:type="dxa"/>
          </w:tcPr>
          <w:p w14:paraId="508B90A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1.409</w:t>
            </w:r>
          </w:p>
          <w:p w14:paraId="1538B27B"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0.207</w:t>
            </w:r>
          </w:p>
          <w:p w14:paraId="0D0B3A55" w14:textId="3B23D66D"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(5.46)</w:t>
            </w:r>
          </w:p>
        </w:tc>
        <w:tc>
          <w:tcPr>
            <w:tcW w:w="1181" w:type="dxa"/>
          </w:tcPr>
          <w:p w14:paraId="55EFC91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1.730</w:t>
            </w:r>
          </w:p>
          <w:p w14:paraId="6B022C2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0.103</w:t>
            </w:r>
          </w:p>
          <w:p w14:paraId="53D0BE01" w14:textId="4D65BCB9"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(29.49)</w:t>
            </w:r>
          </w:p>
        </w:tc>
        <w:tc>
          <w:tcPr>
            <w:tcW w:w="1181" w:type="dxa"/>
          </w:tcPr>
          <w:p w14:paraId="239B1D6A"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1.963</w:t>
            </w:r>
          </w:p>
          <w:p w14:paraId="10C41E3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0.211</w:t>
            </w:r>
          </w:p>
          <w:p w14:paraId="790A8940" w14:textId="4EC8BC83"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(46.93)</w:t>
            </w:r>
          </w:p>
        </w:tc>
        <w:tc>
          <w:tcPr>
            <w:tcW w:w="1182" w:type="dxa"/>
          </w:tcPr>
          <w:p w14:paraId="24404DC5" w14:textId="1AEF947F"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16.377*</w:t>
            </w:r>
          </w:p>
        </w:tc>
      </w:tr>
      <w:tr w:rsidR="001C17F0" w:rsidRPr="00091450" w14:paraId="2C5473A7" w14:textId="77777777" w:rsidTr="00CE1ED2">
        <w:trPr>
          <w:trHeight w:val="1178"/>
          <w:jc w:val="center"/>
        </w:trPr>
        <w:tc>
          <w:tcPr>
            <w:tcW w:w="3539" w:type="dxa"/>
          </w:tcPr>
          <w:p w14:paraId="21449541"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Alanine Amino transferase</w:t>
            </w:r>
          </w:p>
          <w:p w14:paraId="5F1EAC0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(µmoles of pyruvate/mg protein/h)</w:t>
            </w:r>
          </w:p>
        </w:tc>
        <w:tc>
          <w:tcPr>
            <w:tcW w:w="1181" w:type="dxa"/>
          </w:tcPr>
          <w:p w14:paraId="7FBCDBF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7.804</w:t>
            </w:r>
          </w:p>
          <w:p w14:paraId="14045A1B" w14:textId="0B4F8A65"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0.848</w:t>
            </w:r>
          </w:p>
        </w:tc>
        <w:tc>
          <w:tcPr>
            <w:tcW w:w="1181" w:type="dxa"/>
          </w:tcPr>
          <w:p w14:paraId="26C215D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8.938</w:t>
            </w:r>
          </w:p>
          <w:p w14:paraId="7ECD850A"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0.596</w:t>
            </w:r>
          </w:p>
          <w:p w14:paraId="5CCA85ED" w14:textId="2D75D4F5"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(14.53)</w:t>
            </w:r>
          </w:p>
        </w:tc>
        <w:tc>
          <w:tcPr>
            <w:tcW w:w="1181" w:type="dxa"/>
          </w:tcPr>
          <w:p w14:paraId="315402A0"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9.720</w:t>
            </w:r>
          </w:p>
          <w:p w14:paraId="7EF58EB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0.695</w:t>
            </w:r>
          </w:p>
          <w:p w14:paraId="0DCD6F28" w14:textId="2D70CD1C"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(24.55)</w:t>
            </w:r>
          </w:p>
        </w:tc>
        <w:tc>
          <w:tcPr>
            <w:tcW w:w="1181" w:type="dxa"/>
          </w:tcPr>
          <w:p w14:paraId="5F721B7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11.168</w:t>
            </w:r>
          </w:p>
          <w:p w14:paraId="3794000A"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1.274</w:t>
            </w:r>
          </w:p>
          <w:p w14:paraId="523154E8" w14:textId="43D263BD"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(43.11)</w:t>
            </w:r>
          </w:p>
        </w:tc>
        <w:tc>
          <w:tcPr>
            <w:tcW w:w="1182" w:type="dxa"/>
          </w:tcPr>
          <w:p w14:paraId="4993208C" w14:textId="0400CCE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18.458*</w:t>
            </w:r>
          </w:p>
        </w:tc>
      </w:tr>
      <w:tr w:rsidR="001C17F0" w:rsidRPr="00091450" w14:paraId="15F9594C" w14:textId="77777777" w:rsidTr="00CE1ED2">
        <w:trPr>
          <w:trHeight w:val="998"/>
          <w:jc w:val="center"/>
        </w:trPr>
        <w:tc>
          <w:tcPr>
            <w:tcW w:w="3539" w:type="dxa"/>
          </w:tcPr>
          <w:p w14:paraId="3EE58A8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Glutamate dehydrogenase</w:t>
            </w:r>
          </w:p>
          <w:p w14:paraId="06FF89F4" w14:textId="254B73CB"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(µmoles of </w:t>
            </w:r>
            <w:r w:rsidR="00A068E3" w:rsidRPr="00091450">
              <w:rPr>
                <w:rFonts w:ascii="Times New Roman" w:hAnsi="Times New Roman" w:cs="Times New Roman"/>
                <w:sz w:val="24"/>
                <w:szCs w:val="24"/>
              </w:rPr>
              <w:t>formazan</w:t>
            </w:r>
            <w:r w:rsidRPr="00091450">
              <w:rPr>
                <w:rFonts w:ascii="Times New Roman" w:hAnsi="Times New Roman" w:cs="Times New Roman"/>
                <w:sz w:val="24"/>
                <w:szCs w:val="24"/>
              </w:rPr>
              <w:t>/mg protein/h)</w:t>
            </w:r>
          </w:p>
        </w:tc>
        <w:tc>
          <w:tcPr>
            <w:tcW w:w="1181" w:type="dxa"/>
          </w:tcPr>
          <w:p w14:paraId="4F71740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0.494</w:t>
            </w:r>
          </w:p>
          <w:p w14:paraId="274FD2AC" w14:textId="4E7D6725"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0.041</w:t>
            </w:r>
          </w:p>
        </w:tc>
        <w:tc>
          <w:tcPr>
            <w:tcW w:w="1181" w:type="dxa"/>
          </w:tcPr>
          <w:p w14:paraId="384E227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0.610</w:t>
            </w:r>
          </w:p>
          <w:p w14:paraId="288CDA8A"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0.038</w:t>
            </w:r>
          </w:p>
          <w:p w14:paraId="7685882A" w14:textId="3EA8B986"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(23.48)</w:t>
            </w:r>
          </w:p>
        </w:tc>
        <w:tc>
          <w:tcPr>
            <w:tcW w:w="1181" w:type="dxa"/>
          </w:tcPr>
          <w:p w14:paraId="21BBEB09"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.668</w:t>
            </w:r>
          </w:p>
          <w:p w14:paraId="4134843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0.043</w:t>
            </w:r>
          </w:p>
          <w:p w14:paraId="5089131D" w14:textId="16C245C6"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(35.22)</w:t>
            </w:r>
          </w:p>
        </w:tc>
        <w:tc>
          <w:tcPr>
            <w:tcW w:w="1181" w:type="dxa"/>
          </w:tcPr>
          <w:p w14:paraId="094800A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0.778</w:t>
            </w:r>
          </w:p>
          <w:p w14:paraId="2A4D384B"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0.032</w:t>
            </w:r>
          </w:p>
          <w:p w14:paraId="04A66F56" w14:textId="6F756F3B"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(57.49)</w:t>
            </w:r>
          </w:p>
        </w:tc>
        <w:tc>
          <w:tcPr>
            <w:tcW w:w="1182" w:type="dxa"/>
          </w:tcPr>
          <w:p w14:paraId="0009E095" w14:textId="3802D6EE"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48.932*</w:t>
            </w:r>
          </w:p>
        </w:tc>
      </w:tr>
      <w:tr w:rsidR="001C17F0" w:rsidRPr="00091450" w14:paraId="53860864" w14:textId="77777777" w:rsidTr="00CE1ED2">
        <w:trPr>
          <w:jc w:val="center"/>
        </w:trPr>
        <w:tc>
          <w:tcPr>
            <w:tcW w:w="3539" w:type="dxa"/>
          </w:tcPr>
          <w:p w14:paraId="19E36FB0"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Ammonia </w:t>
            </w:r>
          </w:p>
          <w:p w14:paraId="4540611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(µmoles of ammonia/g. wet weight of tissue)</w:t>
            </w:r>
          </w:p>
        </w:tc>
        <w:tc>
          <w:tcPr>
            <w:tcW w:w="1181" w:type="dxa"/>
          </w:tcPr>
          <w:p w14:paraId="270B3AC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6.593</w:t>
            </w:r>
          </w:p>
          <w:p w14:paraId="42217451" w14:textId="74DBE68C"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0.711</w:t>
            </w:r>
          </w:p>
        </w:tc>
        <w:tc>
          <w:tcPr>
            <w:tcW w:w="1181" w:type="dxa"/>
          </w:tcPr>
          <w:p w14:paraId="316D472F"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7.590</w:t>
            </w:r>
          </w:p>
          <w:p w14:paraId="4850A42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0.5356</w:t>
            </w:r>
          </w:p>
          <w:p w14:paraId="68268B74" w14:textId="58B629FC"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(9.16)</w:t>
            </w:r>
          </w:p>
        </w:tc>
        <w:tc>
          <w:tcPr>
            <w:tcW w:w="1181" w:type="dxa"/>
          </w:tcPr>
          <w:p w14:paraId="39404B5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8.091</w:t>
            </w:r>
          </w:p>
          <w:p w14:paraId="7296FDCD"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0.532</w:t>
            </w:r>
          </w:p>
          <w:p w14:paraId="285CEADB" w14:textId="2593A054"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(16.37)</w:t>
            </w:r>
          </w:p>
        </w:tc>
        <w:tc>
          <w:tcPr>
            <w:tcW w:w="1181" w:type="dxa"/>
          </w:tcPr>
          <w:p w14:paraId="153DA48C"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9.217</w:t>
            </w:r>
          </w:p>
          <w:p w14:paraId="78DE523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0.868</w:t>
            </w:r>
          </w:p>
          <w:p w14:paraId="417E025B" w14:textId="04051380"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(32.56)</w:t>
            </w:r>
          </w:p>
        </w:tc>
        <w:tc>
          <w:tcPr>
            <w:tcW w:w="1182" w:type="dxa"/>
          </w:tcPr>
          <w:p w14:paraId="1A2D363A" w14:textId="4671E202"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8.897*</w:t>
            </w:r>
          </w:p>
        </w:tc>
      </w:tr>
      <w:tr w:rsidR="001C17F0" w:rsidRPr="00091450" w14:paraId="56B0ADA5" w14:textId="77777777" w:rsidTr="00CE1ED2">
        <w:trPr>
          <w:jc w:val="center"/>
        </w:trPr>
        <w:tc>
          <w:tcPr>
            <w:tcW w:w="3539" w:type="dxa"/>
          </w:tcPr>
          <w:p w14:paraId="57FCBC71"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Urea </w:t>
            </w:r>
          </w:p>
          <w:p w14:paraId="15D62C45"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(µmoles of urea/g. wet weight of tissue)</w:t>
            </w:r>
          </w:p>
        </w:tc>
        <w:tc>
          <w:tcPr>
            <w:tcW w:w="1181" w:type="dxa"/>
          </w:tcPr>
          <w:p w14:paraId="44B7E18C"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2.948</w:t>
            </w:r>
          </w:p>
          <w:p w14:paraId="784455C6" w14:textId="5D549A3D"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0.091</w:t>
            </w:r>
          </w:p>
        </w:tc>
        <w:tc>
          <w:tcPr>
            <w:tcW w:w="1181" w:type="dxa"/>
          </w:tcPr>
          <w:p w14:paraId="5BB440F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3.522</w:t>
            </w:r>
          </w:p>
          <w:p w14:paraId="2D2CA337"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0.158</w:t>
            </w:r>
          </w:p>
          <w:p w14:paraId="1F7E46F8" w14:textId="247E2EE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(19.47)</w:t>
            </w:r>
          </w:p>
        </w:tc>
        <w:tc>
          <w:tcPr>
            <w:tcW w:w="1181" w:type="dxa"/>
          </w:tcPr>
          <w:p w14:paraId="24B34456"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3.810</w:t>
            </w:r>
          </w:p>
          <w:p w14:paraId="0C515F5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0.085</w:t>
            </w:r>
          </w:p>
          <w:p w14:paraId="5F16A8F0" w14:textId="28C2C2F4"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(29.24)</w:t>
            </w:r>
          </w:p>
        </w:tc>
        <w:tc>
          <w:tcPr>
            <w:tcW w:w="1181" w:type="dxa"/>
          </w:tcPr>
          <w:p w14:paraId="56C598F4"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4.379</w:t>
            </w:r>
          </w:p>
          <w:p w14:paraId="7589B163" w14:textId="77777777"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t>0.084</w:t>
            </w:r>
          </w:p>
          <w:p w14:paraId="31505F72" w14:textId="3E67209F"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(48.54)</w:t>
            </w:r>
          </w:p>
        </w:tc>
        <w:tc>
          <w:tcPr>
            <w:tcW w:w="1182" w:type="dxa"/>
          </w:tcPr>
          <w:p w14:paraId="736A78FE" w14:textId="6883B839" w:rsidR="001C17F0" w:rsidRPr="00091450" w:rsidRDefault="001C17F0"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190.304*</w:t>
            </w:r>
          </w:p>
        </w:tc>
      </w:tr>
    </w:tbl>
    <w:p w14:paraId="53027911"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Values are expressed in Mean ± SD of six individual observations.  Values in parenthesis indicate % change cover control. </w:t>
      </w:r>
    </w:p>
    <w:p w14:paraId="20EB711F" w14:textId="77777777" w:rsidR="00F15106" w:rsidRPr="00091450" w:rsidRDefault="00F15106"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            Mean values with the same superscript do not significantly differ among themselves through S-N-K test. *P &lt; 0.01</w:t>
      </w:r>
    </w:p>
    <w:p w14:paraId="70CD2DC4" w14:textId="77777777" w:rsidR="00A01486" w:rsidRPr="00091450" w:rsidRDefault="00A01486"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Histopathological changes</w:t>
      </w:r>
    </w:p>
    <w:p w14:paraId="0A61A693" w14:textId="337EB0EC" w:rsidR="00A01486" w:rsidRPr="00091450" w:rsidRDefault="00A01486" w:rsidP="00091450">
      <w:pPr>
        <w:ind w:firstLine="720"/>
        <w:jc w:val="both"/>
        <w:rPr>
          <w:rFonts w:ascii="Times New Roman" w:hAnsi="Times New Roman" w:cs="Times New Roman"/>
          <w:sz w:val="24"/>
          <w:szCs w:val="24"/>
        </w:rPr>
      </w:pPr>
      <w:r w:rsidRPr="00091450">
        <w:rPr>
          <w:rFonts w:ascii="Times New Roman" w:hAnsi="Times New Roman" w:cs="Times New Roman"/>
          <w:sz w:val="24"/>
          <w:szCs w:val="24"/>
        </w:rPr>
        <w:t xml:space="preserve">Histopathological studies of ethion exposed animals reveal marked pathological changes in pancreas. Pancreas of 10 days of Ethion administrated rats showed Denatured nucleus (DN) and with cloudy swelling with granulated cytoplasm (CSGC). The Pancreas of 20 days of Ethion administrated rats showed Islets of Langerhans (I). Acinar cells (A), Glandular acini Langerhans (GAL) and with vacuolated cytoplasm (VC). The Pancreas of 30 days of Ethion administrated showed Acinar cells (A), Cloudy Swelling with Granulated Cytoplasm (CSGC), Denatured Nucleus (DN), Hemorrhage (H), Congestion (C) and with Vacuolated Cytoplasm (VC). </w:t>
      </w:r>
    </w:p>
    <w:p w14:paraId="6A5E6264" w14:textId="77777777" w:rsidR="00A01486" w:rsidRPr="00091450" w:rsidRDefault="00A01486" w:rsidP="00091450">
      <w:pPr>
        <w:jc w:val="both"/>
        <w:rPr>
          <w:rFonts w:ascii="Times New Roman" w:hAnsi="Times New Roman" w:cs="Times New Roman"/>
          <w:sz w:val="24"/>
          <w:szCs w:val="24"/>
        </w:rPr>
      </w:pPr>
    </w:p>
    <w:p w14:paraId="64589AEE" w14:textId="1DE1872B" w:rsidR="00CA79CA" w:rsidRPr="00091450" w:rsidRDefault="007A5D83" w:rsidP="00091450">
      <w:pPr>
        <w:jc w:val="both"/>
        <w:rPr>
          <w:rFonts w:ascii="Times New Roman" w:hAnsi="Times New Roman" w:cs="Times New Roman"/>
          <w:sz w:val="24"/>
          <w:szCs w:val="24"/>
        </w:rPr>
      </w:pPr>
      <w:r>
        <w:rPr>
          <w:rFonts w:ascii="Times New Roman" w:hAnsi="Times New Roman" w:cs="Times New Roman"/>
          <w:sz w:val="24"/>
          <w:szCs w:val="24"/>
        </w:rPr>
        <w:t xml:space="preserve">Plate 1. </w:t>
      </w:r>
      <w:r w:rsidR="00A01486" w:rsidRPr="00091450">
        <w:rPr>
          <w:rFonts w:ascii="Times New Roman" w:hAnsi="Times New Roman" w:cs="Times New Roman"/>
          <w:sz w:val="24"/>
          <w:szCs w:val="24"/>
        </w:rPr>
        <w:t>Control rat pancreas showing nucleus (</w:t>
      </w:r>
      <w:proofErr w:type="gramStart"/>
      <w:r w:rsidR="00B310BE" w:rsidRPr="00091450">
        <w:rPr>
          <w:rFonts w:ascii="Times New Roman" w:hAnsi="Times New Roman" w:cs="Times New Roman"/>
          <w:sz w:val="24"/>
          <w:szCs w:val="24"/>
        </w:rPr>
        <w:t xml:space="preserve">N)  </w:t>
      </w:r>
      <w:r w:rsidR="00B14F79" w:rsidRPr="00091450">
        <w:rPr>
          <w:rFonts w:ascii="Times New Roman" w:hAnsi="Times New Roman" w:cs="Times New Roman"/>
          <w:sz w:val="24"/>
          <w:szCs w:val="24"/>
        </w:rPr>
        <w:t xml:space="preserve"> </w:t>
      </w:r>
      <w:proofErr w:type="gramEnd"/>
      <w:r w:rsidR="00B14F79" w:rsidRPr="00091450">
        <w:rPr>
          <w:rFonts w:ascii="Times New Roman" w:hAnsi="Times New Roman" w:cs="Times New Roman"/>
          <w:sz w:val="24"/>
          <w:szCs w:val="24"/>
        </w:rPr>
        <w:t xml:space="preserve">   </w:t>
      </w:r>
      <w:r w:rsidR="00091450">
        <w:rPr>
          <w:rFonts w:ascii="Times New Roman" w:hAnsi="Times New Roman" w:cs="Times New Roman"/>
          <w:sz w:val="24"/>
          <w:szCs w:val="24"/>
        </w:rPr>
        <w:t xml:space="preserve">     </w:t>
      </w:r>
      <w:r>
        <w:rPr>
          <w:rFonts w:ascii="Times New Roman" w:hAnsi="Times New Roman" w:cs="Times New Roman"/>
          <w:sz w:val="24"/>
          <w:szCs w:val="24"/>
        </w:rPr>
        <w:t xml:space="preserve">Plate 2. </w:t>
      </w:r>
      <w:r w:rsidR="00B310BE" w:rsidRPr="00091450">
        <w:rPr>
          <w:rFonts w:ascii="Times New Roman" w:hAnsi="Times New Roman" w:cs="Times New Roman"/>
          <w:sz w:val="24"/>
          <w:szCs w:val="24"/>
        </w:rPr>
        <w:t>10 days Ethion administered rat pancreas</w:t>
      </w:r>
    </w:p>
    <w:p w14:paraId="69CFEC1B" w14:textId="74332C04" w:rsidR="00A01486" w:rsidRPr="00091450" w:rsidRDefault="00A01486" w:rsidP="00091450">
      <w:pPr>
        <w:jc w:val="both"/>
        <w:rPr>
          <w:rFonts w:ascii="Times New Roman" w:hAnsi="Times New Roman" w:cs="Times New Roman"/>
          <w:sz w:val="24"/>
          <w:szCs w:val="24"/>
        </w:rPr>
      </w:pPr>
      <w:r w:rsidRPr="00091450">
        <w:rPr>
          <w:rFonts w:ascii="Times New Roman" w:hAnsi="Times New Roman" w:cs="Times New Roman"/>
          <w:sz w:val="24"/>
          <w:szCs w:val="24"/>
        </w:rPr>
        <w:t>&amp; Islets of Langerhans (I)</w:t>
      </w:r>
      <w:r w:rsidR="00B310BE" w:rsidRPr="00091450">
        <w:rPr>
          <w:rFonts w:ascii="Times New Roman" w:hAnsi="Times New Roman" w:cs="Times New Roman"/>
          <w:sz w:val="24"/>
          <w:szCs w:val="24"/>
        </w:rPr>
        <w:t xml:space="preserve">                                  </w:t>
      </w:r>
      <w:r w:rsidR="00091450">
        <w:rPr>
          <w:rFonts w:ascii="Times New Roman" w:hAnsi="Times New Roman" w:cs="Times New Roman"/>
          <w:sz w:val="24"/>
          <w:szCs w:val="24"/>
        </w:rPr>
        <w:t xml:space="preserve">  </w:t>
      </w:r>
      <w:r w:rsidR="00B310BE" w:rsidRPr="00091450">
        <w:rPr>
          <w:rFonts w:ascii="Times New Roman" w:hAnsi="Times New Roman" w:cs="Times New Roman"/>
          <w:sz w:val="24"/>
          <w:szCs w:val="24"/>
        </w:rPr>
        <w:t>showing denatured Nucleus</w:t>
      </w:r>
      <w:r w:rsidR="00E2286A" w:rsidRPr="00091450">
        <w:rPr>
          <w:rFonts w:ascii="Times New Roman" w:hAnsi="Times New Roman" w:cs="Times New Roman"/>
          <w:sz w:val="24"/>
          <w:szCs w:val="24"/>
        </w:rPr>
        <w:t xml:space="preserve"> </w:t>
      </w:r>
      <w:r w:rsidR="00B310BE" w:rsidRPr="00091450">
        <w:rPr>
          <w:rFonts w:ascii="Times New Roman" w:hAnsi="Times New Roman" w:cs="Times New Roman"/>
          <w:sz w:val="24"/>
          <w:szCs w:val="24"/>
        </w:rPr>
        <w:t xml:space="preserve">(DN), Cloudy </w:t>
      </w:r>
    </w:p>
    <w:p w14:paraId="3F5B0FAE" w14:textId="3FCFDAFB" w:rsidR="00E2286A" w:rsidRPr="00091450" w:rsidRDefault="00E2286A"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                                                                            Swelling with Granulated Cytoplasm (CSGC).</w:t>
      </w:r>
    </w:p>
    <w:p w14:paraId="64DA556A" w14:textId="49446004" w:rsidR="00A01486" w:rsidRPr="00091450" w:rsidRDefault="00A01486" w:rsidP="00091450">
      <w:pPr>
        <w:jc w:val="both"/>
        <w:rPr>
          <w:rFonts w:ascii="Times New Roman" w:hAnsi="Times New Roman" w:cs="Times New Roman"/>
          <w:sz w:val="24"/>
          <w:szCs w:val="24"/>
        </w:rPr>
      </w:pPr>
      <w:r w:rsidRPr="00091450">
        <w:rPr>
          <w:rFonts w:ascii="Times New Roman" w:hAnsi="Times New Roman" w:cs="Times New Roman"/>
          <w:noProof/>
          <w:sz w:val="24"/>
          <w:szCs w:val="24"/>
        </w:rPr>
        <w:drawing>
          <wp:inline distT="0" distB="0" distL="0" distR="0" wp14:anchorId="06DC0BC3" wp14:editId="7DCA8892">
            <wp:extent cx="2641600" cy="20828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2641600" cy="2082800"/>
                    </a:xfrm>
                    <a:prstGeom prst="rect">
                      <a:avLst/>
                    </a:prstGeom>
                    <a:noFill/>
                    <a:ln w="9525">
                      <a:noFill/>
                      <a:miter lim="800000"/>
                      <a:headEnd/>
                      <a:tailEnd/>
                    </a:ln>
                  </pic:spPr>
                </pic:pic>
              </a:graphicData>
            </a:graphic>
          </wp:inline>
        </w:drawing>
      </w:r>
      <w:r w:rsidR="003E5201" w:rsidRPr="00091450">
        <w:rPr>
          <w:rFonts w:ascii="Times New Roman" w:hAnsi="Times New Roman" w:cs="Times New Roman"/>
          <w:sz w:val="24"/>
          <w:szCs w:val="24"/>
        </w:rPr>
        <w:t xml:space="preserve">  </w:t>
      </w:r>
      <w:r w:rsidR="003E5201" w:rsidRPr="00091450">
        <w:rPr>
          <w:rFonts w:ascii="Times New Roman" w:hAnsi="Times New Roman" w:cs="Times New Roman"/>
          <w:noProof/>
          <w:sz w:val="24"/>
          <w:szCs w:val="24"/>
        </w:rPr>
        <w:drawing>
          <wp:inline distT="0" distB="0" distL="0" distR="0" wp14:anchorId="5F2460ED" wp14:editId="6542EC35">
            <wp:extent cx="2768600" cy="20351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2768600" cy="2035175"/>
                    </a:xfrm>
                    <a:prstGeom prst="rect">
                      <a:avLst/>
                    </a:prstGeom>
                    <a:noFill/>
                    <a:ln w="9525">
                      <a:noFill/>
                      <a:miter lim="800000"/>
                      <a:headEnd/>
                      <a:tailEnd/>
                    </a:ln>
                  </pic:spPr>
                </pic:pic>
              </a:graphicData>
            </a:graphic>
          </wp:inline>
        </w:drawing>
      </w:r>
    </w:p>
    <w:p w14:paraId="752CF09E" w14:textId="77777777" w:rsidR="00921304" w:rsidRPr="00091450" w:rsidRDefault="00921304" w:rsidP="00091450">
      <w:pPr>
        <w:jc w:val="both"/>
        <w:rPr>
          <w:rFonts w:ascii="Times New Roman" w:hAnsi="Times New Roman" w:cs="Times New Roman"/>
          <w:sz w:val="24"/>
          <w:szCs w:val="24"/>
        </w:rPr>
      </w:pPr>
    </w:p>
    <w:p w14:paraId="48EBF773" w14:textId="77777777" w:rsidR="000469F6" w:rsidRDefault="000469F6" w:rsidP="00091450">
      <w:pPr>
        <w:jc w:val="both"/>
        <w:rPr>
          <w:rFonts w:ascii="Times New Roman" w:hAnsi="Times New Roman" w:cs="Times New Roman"/>
          <w:sz w:val="24"/>
          <w:szCs w:val="24"/>
        </w:rPr>
      </w:pPr>
    </w:p>
    <w:p w14:paraId="2D347F09" w14:textId="77777777" w:rsidR="000469F6" w:rsidRDefault="000469F6" w:rsidP="00091450">
      <w:pPr>
        <w:jc w:val="both"/>
        <w:rPr>
          <w:rFonts w:ascii="Times New Roman" w:hAnsi="Times New Roman" w:cs="Times New Roman"/>
          <w:sz w:val="24"/>
          <w:szCs w:val="24"/>
        </w:rPr>
      </w:pPr>
    </w:p>
    <w:p w14:paraId="09DD97D5" w14:textId="77777777" w:rsidR="000469F6" w:rsidRDefault="000469F6" w:rsidP="00091450">
      <w:pPr>
        <w:jc w:val="both"/>
        <w:rPr>
          <w:rFonts w:ascii="Times New Roman" w:hAnsi="Times New Roman" w:cs="Times New Roman"/>
          <w:sz w:val="24"/>
          <w:szCs w:val="24"/>
        </w:rPr>
      </w:pPr>
    </w:p>
    <w:p w14:paraId="1BBD87AE" w14:textId="77777777" w:rsidR="000469F6" w:rsidRDefault="000469F6" w:rsidP="00091450">
      <w:pPr>
        <w:jc w:val="both"/>
        <w:rPr>
          <w:rFonts w:ascii="Times New Roman" w:hAnsi="Times New Roman" w:cs="Times New Roman"/>
          <w:sz w:val="24"/>
          <w:szCs w:val="24"/>
        </w:rPr>
      </w:pPr>
    </w:p>
    <w:p w14:paraId="2879CED5" w14:textId="77777777" w:rsidR="000469F6" w:rsidRDefault="000469F6" w:rsidP="00091450">
      <w:pPr>
        <w:jc w:val="both"/>
        <w:rPr>
          <w:rFonts w:ascii="Times New Roman" w:hAnsi="Times New Roman" w:cs="Times New Roman"/>
          <w:sz w:val="24"/>
          <w:szCs w:val="24"/>
        </w:rPr>
      </w:pPr>
    </w:p>
    <w:p w14:paraId="2620AD64" w14:textId="57EEE747" w:rsidR="008B0B3D" w:rsidRPr="00091450" w:rsidRDefault="007A5D83" w:rsidP="00091450">
      <w:pPr>
        <w:jc w:val="both"/>
        <w:rPr>
          <w:rFonts w:ascii="Times New Roman" w:hAnsi="Times New Roman" w:cs="Times New Roman"/>
          <w:sz w:val="24"/>
          <w:szCs w:val="24"/>
        </w:rPr>
      </w:pPr>
      <w:r>
        <w:rPr>
          <w:rFonts w:ascii="Times New Roman" w:hAnsi="Times New Roman" w:cs="Times New Roman"/>
          <w:sz w:val="24"/>
          <w:szCs w:val="24"/>
        </w:rPr>
        <w:t xml:space="preserve">Plate 3. </w:t>
      </w:r>
      <w:r w:rsidR="008B0B3D" w:rsidRPr="00091450">
        <w:rPr>
          <w:rFonts w:ascii="Times New Roman" w:hAnsi="Times New Roman" w:cs="Times New Roman"/>
          <w:sz w:val="24"/>
          <w:szCs w:val="24"/>
        </w:rPr>
        <w:t>20 days Ethion administered rat pancreas</w:t>
      </w:r>
      <w:r w:rsidR="00C16CD2" w:rsidRPr="00091450">
        <w:rPr>
          <w:rFonts w:ascii="Times New Roman" w:hAnsi="Times New Roman" w:cs="Times New Roman"/>
          <w:sz w:val="24"/>
          <w:szCs w:val="24"/>
        </w:rPr>
        <w:t xml:space="preserve">         </w:t>
      </w:r>
      <w:r w:rsidR="00921304" w:rsidRPr="00091450">
        <w:rPr>
          <w:rFonts w:ascii="Times New Roman" w:hAnsi="Times New Roman" w:cs="Times New Roman"/>
          <w:sz w:val="24"/>
          <w:szCs w:val="24"/>
        </w:rPr>
        <w:t xml:space="preserve">     </w:t>
      </w:r>
      <w:r w:rsidR="000469F6">
        <w:rPr>
          <w:rFonts w:ascii="Times New Roman" w:hAnsi="Times New Roman" w:cs="Times New Roman"/>
          <w:sz w:val="24"/>
          <w:szCs w:val="24"/>
        </w:rPr>
        <w:t xml:space="preserve">   </w:t>
      </w:r>
      <w:r w:rsidR="00921304" w:rsidRPr="00091450">
        <w:rPr>
          <w:rFonts w:ascii="Times New Roman" w:hAnsi="Times New Roman" w:cs="Times New Roman"/>
          <w:sz w:val="24"/>
          <w:szCs w:val="24"/>
        </w:rPr>
        <w:t xml:space="preserve"> </w:t>
      </w:r>
      <w:r>
        <w:rPr>
          <w:rFonts w:ascii="Times New Roman" w:hAnsi="Times New Roman" w:cs="Times New Roman"/>
          <w:sz w:val="24"/>
          <w:szCs w:val="24"/>
        </w:rPr>
        <w:t xml:space="preserve">Plate 4. </w:t>
      </w:r>
      <w:r w:rsidR="00C16CD2" w:rsidRPr="00091450">
        <w:rPr>
          <w:rFonts w:ascii="Times New Roman" w:hAnsi="Times New Roman" w:cs="Times New Roman"/>
          <w:sz w:val="24"/>
          <w:szCs w:val="24"/>
        </w:rPr>
        <w:t xml:space="preserve">30 days Ethion administered rat pancreas </w:t>
      </w:r>
    </w:p>
    <w:p w14:paraId="3A3419B6" w14:textId="24011977" w:rsidR="00C16CD2" w:rsidRPr="00091450" w:rsidRDefault="008B0B3D"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showing </w:t>
      </w:r>
      <w:r w:rsidR="00C16CD2" w:rsidRPr="00091450">
        <w:rPr>
          <w:rFonts w:ascii="Times New Roman" w:hAnsi="Times New Roman" w:cs="Times New Roman"/>
          <w:sz w:val="24"/>
          <w:szCs w:val="24"/>
        </w:rPr>
        <w:tab/>
      </w:r>
      <w:r w:rsidR="00C16CD2" w:rsidRPr="00091450">
        <w:rPr>
          <w:rFonts w:ascii="Times New Roman" w:hAnsi="Times New Roman" w:cs="Times New Roman"/>
          <w:sz w:val="24"/>
          <w:szCs w:val="24"/>
        </w:rPr>
        <w:tab/>
      </w:r>
      <w:r w:rsidR="00C16CD2" w:rsidRPr="00091450">
        <w:rPr>
          <w:rFonts w:ascii="Times New Roman" w:hAnsi="Times New Roman" w:cs="Times New Roman"/>
          <w:sz w:val="24"/>
          <w:szCs w:val="24"/>
        </w:rPr>
        <w:tab/>
      </w:r>
      <w:r w:rsidR="00C16CD2" w:rsidRPr="00091450">
        <w:rPr>
          <w:rFonts w:ascii="Times New Roman" w:hAnsi="Times New Roman" w:cs="Times New Roman"/>
          <w:sz w:val="24"/>
          <w:szCs w:val="24"/>
        </w:rPr>
        <w:tab/>
      </w:r>
      <w:r w:rsidR="00C16CD2" w:rsidRPr="00091450">
        <w:rPr>
          <w:rFonts w:ascii="Times New Roman" w:hAnsi="Times New Roman" w:cs="Times New Roman"/>
          <w:sz w:val="24"/>
          <w:szCs w:val="24"/>
        </w:rPr>
        <w:tab/>
        <w:t xml:space="preserve">   </w:t>
      </w:r>
      <w:r w:rsidR="00921304" w:rsidRPr="00091450">
        <w:rPr>
          <w:rFonts w:ascii="Times New Roman" w:hAnsi="Times New Roman" w:cs="Times New Roman"/>
          <w:sz w:val="24"/>
          <w:szCs w:val="24"/>
        </w:rPr>
        <w:t xml:space="preserve">       </w:t>
      </w:r>
      <w:r w:rsidR="000469F6">
        <w:rPr>
          <w:rFonts w:ascii="Times New Roman" w:hAnsi="Times New Roman" w:cs="Times New Roman"/>
          <w:sz w:val="24"/>
          <w:szCs w:val="24"/>
        </w:rPr>
        <w:t xml:space="preserve">   </w:t>
      </w:r>
      <w:r w:rsidR="00921304" w:rsidRPr="00091450">
        <w:rPr>
          <w:rFonts w:ascii="Times New Roman" w:hAnsi="Times New Roman" w:cs="Times New Roman"/>
          <w:sz w:val="24"/>
          <w:szCs w:val="24"/>
        </w:rPr>
        <w:t xml:space="preserve"> </w:t>
      </w:r>
      <w:proofErr w:type="spellStart"/>
      <w:r w:rsidR="00C16CD2" w:rsidRPr="00091450">
        <w:rPr>
          <w:rFonts w:ascii="Times New Roman" w:hAnsi="Times New Roman" w:cs="Times New Roman"/>
          <w:sz w:val="24"/>
          <w:szCs w:val="24"/>
        </w:rPr>
        <w:t>showing</w:t>
      </w:r>
      <w:proofErr w:type="spellEnd"/>
      <w:r w:rsidR="00C16CD2" w:rsidRPr="00091450">
        <w:rPr>
          <w:rFonts w:ascii="Times New Roman" w:hAnsi="Times New Roman" w:cs="Times New Roman"/>
          <w:sz w:val="24"/>
          <w:szCs w:val="24"/>
        </w:rPr>
        <w:t xml:space="preserve"> marked pathological changes</w:t>
      </w:r>
    </w:p>
    <w:p w14:paraId="65846662" w14:textId="50277AB1" w:rsidR="008B0B3D" w:rsidRPr="00091450" w:rsidRDefault="008B0B3D" w:rsidP="00091450">
      <w:pPr>
        <w:jc w:val="both"/>
        <w:rPr>
          <w:rFonts w:ascii="Times New Roman" w:hAnsi="Times New Roman" w:cs="Times New Roman"/>
          <w:sz w:val="24"/>
          <w:szCs w:val="24"/>
        </w:rPr>
      </w:pPr>
      <w:r w:rsidRPr="00091450">
        <w:rPr>
          <w:rFonts w:ascii="Times New Roman" w:hAnsi="Times New Roman" w:cs="Times New Roman"/>
          <w:sz w:val="24"/>
          <w:szCs w:val="24"/>
        </w:rPr>
        <w:t>Glandular Acini Langerhans</w:t>
      </w:r>
      <w:r w:rsidR="00C16CD2" w:rsidRPr="00091450">
        <w:rPr>
          <w:rFonts w:ascii="Times New Roman" w:hAnsi="Times New Roman" w:cs="Times New Roman"/>
          <w:sz w:val="24"/>
          <w:szCs w:val="24"/>
        </w:rPr>
        <w:t xml:space="preserve"> </w:t>
      </w:r>
      <w:r w:rsidRPr="00091450">
        <w:rPr>
          <w:rFonts w:ascii="Times New Roman" w:hAnsi="Times New Roman" w:cs="Times New Roman"/>
          <w:sz w:val="24"/>
          <w:szCs w:val="24"/>
        </w:rPr>
        <w:t>(GAL)</w:t>
      </w:r>
      <w:r w:rsidR="00C16CD2" w:rsidRPr="00091450">
        <w:rPr>
          <w:rFonts w:ascii="Times New Roman" w:hAnsi="Times New Roman" w:cs="Times New Roman"/>
          <w:sz w:val="24"/>
          <w:szCs w:val="24"/>
        </w:rPr>
        <w:t xml:space="preserve"> &amp;                  </w:t>
      </w:r>
      <w:r w:rsidR="00921304" w:rsidRPr="00091450">
        <w:rPr>
          <w:rFonts w:ascii="Times New Roman" w:hAnsi="Times New Roman" w:cs="Times New Roman"/>
          <w:sz w:val="24"/>
          <w:szCs w:val="24"/>
        </w:rPr>
        <w:t xml:space="preserve">            </w:t>
      </w:r>
      <w:r w:rsidR="00C16CD2" w:rsidRPr="00091450">
        <w:rPr>
          <w:rFonts w:ascii="Times New Roman" w:hAnsi="Times New Roman" w:cs="Times New Roman"/>
          <w:sz w:val="24"/>
          <w:szCs w:val="24"/>
        </w:rPr>
        <w:t>histological degeneration.</w:t>
      </w:r>
    </w:p>
    <w:p w14:paraId="2BBEF75B" w14:textId="5CB3892D" w:rsidR="00E2286A" w:rsidRPr="00091450" w:rsidRDefault="008B0B3D" w:rsidP="00091450">
      <w:pPr>
        <w:jc w:val="both"/>
        <w:rPr>
          <w:rFonts w:ascii="Times New Roman" w:hAnsi="Times New Roman" w:cs="Times New Roman"/>
          <w:sz w:val="24"/>
          <w:szCs w:val="24"/>
        </w:rPr>
      </w:pPr>
      <w:r w:rsidRPr="00091450">
        <w:rPr>
          <w:rFonts w:ascii="Times New Roman" w:hAnsi="Times New Roman" w:cs="Times New Roman"/>
          <w:sz w:val="24"/>
          <w:szCs w:val="24"/>
        </w:rPr>
        <w:t>Vacuolated Cytoplasm (VC)</w:t>
      </w:r>
      <w:r w:rsidR="00F93492" w:rsidRPr="00091450">
        <w:rPr>
          <w:rFonts w:ascii="Times New Roman" w:hAnsi="Times New Roman" w:cs="Times New Roman"/>
          <w:sz w:val="24"/>
          <w:szCs w:val="24"/>
        </w:rPr>
        <w:t>.</w:t>
      </w:r>
    </w:p>
    <w:p w14:paraId="4F90605A" w14:textId="7E0C0A33" w:rsidR="00A01486" w:rsidRPr="00091450" w:rsidRDefault="008B0B3D" w:rsidP="00091450">
      <w:pPr>
        <w:jc w:val="both"/>
        <w:rPr>
          <w:rFonts w:ascii="Times New Roman" w:hAnsi="Times New Roman" w:cs="Times New Roman"/>
          <w:sz w:val="24"/>
          <w:szCs w:val="24"/>
        </w:rPr>
      </w:pPr>
      <w:r w:rsidRPr="00091450">
        <w:rPr>
          <w:rFonts w:ascii="Times New Roman" w:hAnsi="Times New Roman" w:cs="Times New Roman"/>
          <w:noProof/>
          <w:sz w:val="24"/>
          <w:szCs w:val="24"/>
        </w:rPr>
        <w:drawing>
          <wp:inline distT="0" distB="0" distL="0" distR="0" wp14:anchorId="5F9CEBC2" wp14:editId="39CCCF9D">
            <wp:extent cx="2616200" cy="2432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2616200" cy="2432050"/>
                    </a:xfrm>
                    <a:prstGeom prst="rect">
                      <a:avLst/>
                    </a:prstGeom>
                    <a:noFill/>
                    <a:ln w="9525">
                      <a:noFill/>
                      <a:miter lim="800000"/>
                      <a:headEnd/>
                      <a:tailEnd/>
                    </a:ln>
                  </pic:spPr>
                </pic:pic>
              </a:graphicData>
            </a:graphic>
          </wp:inline>
        </w:drawing>
      </w:r>
      <w:r w:rsidR="00C16CD2" w:rsidRPr="00091450">
        <w:rPr>
          <w:rFonts w:ascii="Times New Roman" w:hAnsi="Times New Roman" w:cs="Times New Roman"/>
          <w:sz w:val="24"/>
          <w:szCs w:val="24"/>
        </w:rPr>
        <w:t xml:space="preserve">  </w:t>
      </w:r>
      <w:r w:rsidR="00C16CD2" w:rsidRPr="00091450">
        <w:rPr>
          <w:rFonts w:ascii="Times New Roman" w:hAnsi="Times New Roman" w:cs="Times New Roman"/>
          <w:noProof/>
          <w:sz w:val="24"/>
          <w:szCs w:val="24"/>
        </w:rPr>
        <w:drawing>
          <wp:inline distT="0" distB="0" distL="0" distR="0" wp14:anchorId="2EF037BF" wp14:editId="458BAACC">
            <wp:extent cx="2952750" cy="238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952750" cy="2384425"/>
                    </a:xfrm>
                    <a:prstGeom prst="rect">
                      <a:avLst/>
                    </a:prstGeom>
                    <a:noFill/>
                    <a:ln w="9525">
                      <a:noFill/>
                      <a:miter lim="800000"/>
                      <a:headEnd/>
                      <a:tailEnd/>
                    </a:ln>
                  </pic:spPr>
                </pic:pic>
              </a:graphicData>
            </a:graphic>
          </wp:inline>
        </w:drawing>
      </w:r>
    </w:p>
    <w:p w14:paraId="11A41FAD" w14:textId="06790C99" w:rsidR="00A068E3" w:rsidRPr="00091450" w:rsidRDefault="00A068E3" w:rsidP="00091450">
      <w:pPr>
        <w:jc w:val="both"/>
        <w:rPr>
          <w:rFonts w:ascii="Times New Roman" w:hAnsi="Times New Roman" w:cs="Times New Roman"/>
          <w:b/>
          <w:bCs/>
          <w:sz w:val="24"/>
          <w:szCs w:val="24"/>
        </w:rPr>
      </w:pPr>
      <w:r w:rsidRPr="00091450">
        <w:rPr>
          <w:rFonts w:ascii="Times New Roman" w:hAnsi="Times New Roman" w:cs="Times New Roman"/>
          <w:b/>
          <w:bCs/>
          <w:sz w:val="24"/>
          <w:szCs w:val="24"/>
        </w:rPr>
        <w:t>DISCUSSION</w:t>
      </w:r>
    </w:p>
    <w:p w14:paraId="605FF0CF" w14:textId="5A241B0A" w:rsidR="00A068E3" w:rsidRPr="00091450" w:rsidRDefault="00A068E3" w:rsidP="00607739">
      <w:pPr>
        <w:ind w:firstLine="720"/>
        <w:jc w:val="both"/>
        <w:rPr>
          <w:rFonts w:ascii="Times New Roman" w:hAnsi="Times New Roman" w:cs="Times New Roman"/>
          <w:sz w:val="24"/>
          <w:szCs w:val="24"/>
        </w:rPr>
      </w:pPr>
      <w:r w:rsidRPr="00091450">
        <w:rPr>
          <w:rFonts w:ascii="Times New Roman" w:hAnsi="Times New Roman" w:cs="Times New Roman"/>
          <w:sz w:val="24"/>
          <w:szCs w:val="24"/>
        </w:rPr>
        <w:t xml:space="preserve">Exposure to sublethal doses of ethion induced typical signs of OP toxicity.  All the parameters studied in the present investigation were significantly altered under OP stress. The effect of ethion was time dependent and 30 days exposed rats showed more effect when compared to </w:t>
      </w:r>
      <w:r w:rsidR="00607739" w:rsidRPr="00091450">
        <w:rPr>
          <w:rFonts w:ascii="Times New Roman" w:hAnsi="Times New Roman" w:cs="Times New Roman"/>
          <w:sz w:val="24"/>
          <w:szCs w:val="24"/>
        </w:rPr>
        <w:t>20- and 10-days</w:t>
      </w:r>
      <w:r w:rsidRPr="00091450">
        <w:rPr>
          <w:rFonts w:ascii="Times New Roman" w:hAnsi="Times New Roman" w:cs="Times New Roman"/>
          <w:sz w:val="24"/>
          <w:szCs w:val="24"/>
        </w:rPr>
        <w:t xml:space="preserve"> exposed animals. During the last three decades, extensive use of OP compounds in agriculture has led to drastic effects on non-target animals.  Majority of these chemicals are unfortunately not highly selective and therefore have been proved highly toxic to man and other desirable forms of life that co-inhabits the environment.  Improper application of these pesticides, therefore, poses serious illness and death. When the membranes of any organs are damaged, majority of the enzymes like AST, ALAT and alkaline phosphatase are secreted into the blood (</w:t>
      </w:r>
      <w:proofErr w:type="spellStart"/>
      <w:r w:rsidRPr="00091450">
        <w:rPr>
          <w:rFonts w:ascii="Times New Roman" w:hAnsi="Times New Roman" w:cs="Times New Roman"/>
          <w:sz w:val="24"/>
          <w:szCs w:val="24"/>
        </w:rPr>
        <w:t>Ncibi</w:t>
      </w:r>
      <w:proofErr w:type="spellEnd"/>
      <w:r w:rsidRPr="00091450">
        <w:rPr>
          <w:rFonts w:ascii="Times New Roman" w:hAnsi="Times New Roman" w:cs="Times New Roman"/>
          <w:sz w:val="24"/>
          <w:szCs w:val="24"/>
        </w:rPr>
        <w:t xml:space="preserve"> et al., 2008).  The serum enzymes are markers of organ damage (Eraslan et al., 2009). Safi et al. (2010) and Ben Amara et al. (2011) reported that OP raises ALT and AST levels in rats. This is inconsistent with the results obtained in the present investigation.  Yahya et al. (2012) reported that the morphology of the various organs is damaged under OP toxicity. Proteins are the source of energy during chronic period of stress.  During these stress conditions the animal requires more energy to detoxify the toxicants and to overcome stress.  In the present investigation an increase in the amino acids was observed indicating that it is the result of the breakdown of protein for energy requirement and impairment of amino acid synthesis (Singh et al., 1996).  It is well known that stress conditions </w:t>
      </w:r>
      <w:r w:rsidRPr="00091450">
        <w:rPr>
          <w:rFonts w:ascii="Times New Roman" w:hAnsi="Times New Roman" w:cs="Times New Roman"/>
          <w:sz w:val="24"/>
          <w:szCs w:val="24"/>
        </w:rPr>
        <w:lastRenderedPageBreak/>
        <w:t>induce elevation in the transamination pathway.  Any abnormality or stress in the amino acid metabolism has its own consequences by elevating the catabolic products like ammonia and urea. This causes a serious disruption in the normal metabolism.</w:t>
      </w:r>
    </w:p>
    <w:p w14:paraId="5BA6218B" w14:textId="5098A60A" w:rsidR="00A068E3" w:rsidRPr="00091450" w:rsidRDefault="00091450" w:rsidP="00284F32">
      <w:pPr>
        <w:ind w:firstLine="720"/>
        <w:jc w:val="both"/>
        <w:rPr>
          <w:rFonts w:ascii="Times New Roman" w:hAnsi="Times New Roman" w:cs="Times New Roman"/>
          <w:sz w:val="24"/>
          <w:szCs w:val="24"/>
        </w:rPr>
      </w:pPr>
      <w:r w:rsidRPr="00091450">
        <w:rPr>
          <w:rFonts w:ascii="Times New Roman" w:hAnsi="Times New Roman" w:cs="Times New Roman"/>
          <w:sz w:val="24"/>
          <w:szCs w:val="24"/>
        </w:rPr>
        <w:t>Exposure to Ethion, a pesticide, has a significant toxic effect on the pancreas. In Albino rats exposed to Ethion, notable elevation in the levels of free amino acids was observed in the pancreas. The rapid increase in free amino acid content is believed to be caused by heightened proteolysis (breakdown of proteins) or enhanced synthesis of free amino acids through transaminase activity. This rise in the pool of free amino acids may potentially help the rats cope with the stress induced by Ethion exposure.</w:t>
      </w:r>
      <w:r w:rsidR="00A068E3" w:rsidRPr="00091450">
        <w:rPr>
          <w:rFonts w:ascii="Times New Roman" w:hAnsi="Times New Roman" w:cs="Times New Roman"/>
          <w:sz w:val="24"/>
          <w:szCs w:val="24"/>
        </w:rPr>
        <w:t xml:space="preserve"> The GDH activity in the Ethion exposed Albino rats showed a significant increase which indicates an increased oxidation of glutamate. GDH catalyzes the key reactions which provide substrates for either protein synthesis or carbohydrate metabolism.  The increased GDH activity in the present investigation might have led to an increased oxidation of glutamate with a consequent production of ammonia.  This is augmented by the changes in the transaminase activity.  An increase in the GDH activity may also be due to the mitochondrial permeability or lysosomal damage and since GDH is a mitochondrial enzyme, any alteration in the organization of mitochondria may lead to the alteration in the enzyme activity. AAT and ALAT activities showed a significant increase in Ethion exposed rats. Transaminase activity is reported to increase during pathological conditions.  In the present investigation it can be suggested that </w:t>
      </w:r>
      <w:r w:rsidR="0072607D" w:rsidRPr="00091450">
        <w:rPr>
          <w:rFonts w:ascii="Times New Roman" w:hAnsi="Times New Roman" w:cs="Times New Roman"/>
          <w:sz w:val="24"/>
          <w:szCs w:val="24"/>
        </w:rPr>
        <w:t>pancreas</w:t>
      </w:r>
      <w:r w:rsidR="00A068E3" w:rsidRPr="00091450">
        <w:rPr>
          <w:rFonts w:ascii="Times New Roman" w:hAnsi="Times New Roman" w:cs="Times New Roman"/>
          <w:sz w:val="24"/>
          <w:szCs w:val="24"/>
        </w:rPr>
        <w:t xml:space="preserve"> has been significantly damaged under Ethion exposure.  Ammonia and urea are waste products of protein metabolism that need to be excreted by the</w:t>
      </w:r>
      <w:r w:rsidR="0072607D" w:rsidRPr="00091450">
        <w:rPr>
          <w:rFonts w:ascii="Times New Roman" w:hAnsi="Times New Roman" w:cs="Times New Roman"/>
          <w:sz w:val="24"/>
          <w:szCs w:val="24"/>
        </w:rPr>
        <w:t xml:space="preserve"> animal body.</w:t>
      </w:r>
      <w:r w:rsidR="00A068E3" w:rsidRPr="00091450">
        <w:rPr>
          <w:rFonts w:ascii="Times New Roman" w:hAnsi="Times New Roman" w:cs="Times New Roman"/>
          <w:sz w:val="24"/>
          <w:szCs w:val="24"/>
        </w:rPr>
        <w:t xml:space="preserve"> </w:t>
      </w:r>
      <w:r w:rsidR="0072607D" w:rsidRPr="00091450">
        <w:rPr>
          <w:rFonts w:ascii="Times New Roman" w:hAnsi="Times New Roman" w:cs="Times New Roman"/>
          <w:sz w:val="24"/>
          <w:szCs w:val="24"/>
        </w:rPr>
        <w:t>M</w:t>
      </w:r>
      <w:r w:rsidR="00A068E3" w:rsidRPr="00091450">
        <w:rPr>
          <w:rFonts w:ascii="Times New Roman" w:hAnsi="Times New Roman" w:cs="Times New Roman"/>
          <w:sz w:val="24"/>
          <w:szCs w:val="24"/>
        </w:rPr>
        <w:t xml:space="preserve">arked increase in ammonia and urea indicates functional damage to the </w:t>
      </w:r>
      <w:r w:rsidR="0072607D" w:rsidRPr="00091450">
        <w:rPr>
          <w:rFonts w:ascii="Times New Roman" w:hAnsi="Times New Roman" w:cs="Times New Roman"/>
          <w:sz w:val="24"/>
          <w:szCs w:val="24"/>
        </w:rPr>
        <w:t>pancreas</w:t>
      </w:r>
      <w:r w:rsidR="00A068E3" w:rsidRPr="00091450">
        <w:rPr>
          <w:rFonts w:ascii="Times New Roman" w:hAnsi="Times New Roman" w:cs="Times New Roman"/>
          <w:sz w:val="24"/>
          <w:szCs w:val="24"/>
        </w:rPr>
        <w:t>. An increase in the urea and creatinine was also observed in OP exposed animals (Garba et al., 2007).</w:t>
      </w:r>
      <w:r w:rsidR="0072607D" w:rsidRPr="00091450">
        <w:rPr>
          <w:rFonts w:ascii="Times New Roman" w:hAnsi="Times New Roman" w:cs="Times New Roman"/>
          <w:sz w:val="24"/>
          <w:szCs w:val="24"/>
        </w:rPr>
        <w:t xml:space="preserve"> </w:t>
      </w:r>
      <w:r w:rsidR="00A068E3" w:rsidRPr="00091450">
        <w:rPr>
          <w:rFonts w:ascii="Times New Roman" w:hAnsi="Times New Roman" w:cs="Times New Roman"/>
          <w:sz w:val="24"/>
          <w:szCs w:val="24"/>
        </w:rPr>
        <w:t xml:space="preserve">Bhatti et al. (2010) studied the hepatoxicity in ethion exposed rats.  They reported that ethion toxicity leads to a significant increase in the activities of superoxide dismutase, catalase and glutathione peroxidase and glutathione reductase in the </w:t>
      </w:r>
      <w:r w:rsidR="0072607D" w:rsidRPr="00091450">
        <w:rPr>
          <w:rFonts w:ascii="Times New Roman" w:hAnsi="Times New Roman" w:cs="Times New Roman"/>
          <w:sz w:val="24"/>
          <w:szCs w:val="24"/>
        </w:rPr>
        <w:t>pancreas</w:t>
      </w:r>
      <w:r w:rsidR="00A068E3" w:rsidRPr="00091450">
        <w:rPr>
          <w:rFonts w:ascii="Times New Roman" w:hAnsi="Times New Roman" w:cs="Times New Roman"/>
          <w:sz w:val="24"/>
          <w:szCs w:val="24"/>
        </w:rPr>
        <w:t xml:space="preserve">. They also reported that ethion causes damage to the </w:t>
      </w:r>
      <w:r w:rsidR="0072607D" w:rsidRPr="00091450">
        <w:rPr>
          <w:rFonts w:ascii="Times New Roman" w:hAnsi="Times New Roman" w:cs="Times New Roman"/>
          <w:sz w:val="24"/>
          <w:szCs w:val="24"/>
        </w:rPr>
        <w:t>pancreas</w:t>
      </w:r>
      <w:r w:rsidR="00A068E3" w:rsidRPr="00091450">
        <w:rPr>
          <w:rFonts w:ascii="Times New Roman" w:hAnsi="Times New Roman" w:cs="Times New Roman"/>
          <w:sz w:val="24"/>
          <w:szCs w:val="24"/>
        </w:rPr>
        <w:t xml:space="preserve"> tissue. In addition, the decrease in GR activity was observed in ethion administered rats compared to control.</w:t>
      </w:r>
    </w:p>
    <w:p w14:paraId="5239EBC2" w14:textId="77D5B96E" w:rsidR="0072607D"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                 To understand the toxicological effects of pesticide it is essential to study the histology of the tissue.  The extent of the severity of the damage to the </w:t>
      </w:r>
      <w:r w:rsidR="0072607D"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is a consequence of the concentration of the toxicant and is also time dependent.  The severity of the damage also depends on the toxic potentiality of a particular compound or pesticide accumulated in the tissue. </w:t>
      </w:r>
      <w:r w:rsidR="0072607D"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is the major </w:t>
      </w:r>
      <w:r w:rsidR="0072607D" w:rsidRPr="00091450">
        <w:rPr>
          <w:rFonts w:ascii="Times New Roman" w:hAnsi="Times New Roman" w:cs="Times New Roman"/>
          <w:sz w:val="24"/>
          <w:szCs w:val="24"/>
        </w:rPr>
        <w:t>exocrine and endocrine center</w:t>
      </w:r>
      <w:r w:rsidRPr="00091450">
        <w:rPr>
          <w:rFonts w:ascii="Times New Roman" w:hAnsi="Times New Roman" w:cs="Times New Roman"/>
          <w:sz w:val="24"/>
          <w:szCs w:val="24"/>
        </w:rPr>
        <w:t xml:space="preserve"> and this organ is frequently susceptible to toxic effects.  In the light microscopic examinations, histopathological changes were observed in the </w:t>
      </w:r>
      <w:r w:rsidR="0072607D" w:rsidRPr="00091450">
        <w:rPr>
          <w:rFonts w:ascii="Times New Roman" w:hAnsi="Times New Roman" w:cs="Times New Roman"/>
          <w:sz w:val="24"/>
          <w:szCs w:val="24"/>
        </w:rPr>
        <w:t>pancreas</w:t>
      </w:r>
      <w:r w:rsidRPr="00091450">
        <w:rPr>
          <w:rFonts w:ascii="Times New Roman" w:hAnsi="Times New Roman" w:cs="Times New Roman"/>
          <w:sz w:val="24"/>
          <w:szCs w:val="24"/>
        </w:rPr>
        <w:t xml:space="preserve"> of ethion exposed Albino rats.  </w:t>
      </w:r>
      <w:r w:rsidR="0072607D" w:rsidRPr="00091450">
        <w:rPr>
          <w:rFonts w:ascii="Times New Roman" w:hAnsi="Times New Roman" w:cs="Times New Roman"/>
          <w:sz w:val="24"/>
          <w:szCs w:val="24"/>
        </w:rPr>
        <w:t xml:space="preserve">Histopathological studies of ethion exposed animals reveal marked pathological changes in pancreas. The Pancreas of 10 days of Ethion administrated rats showed Denatured nucleus (DN) and with cloudy swelling with granulated cytoplasm (CSGC). The Pancreas of 20 days of Ethion administrated rats showed Islets of Langerhans (I). Acinar cells (A), Glandular acini Langerhans (GAL) and with vacuolated cytoplasm (VC). The Pancreas of 30 days of Ethion administrated showed Acinar cells (A), Cloudy Swelling with Granulated Cytoplasm (CSGC), Denatured Nucleus (DN), Hemorrhage (H), Congestion (C) and with Vacuolated Cytoplasm (VC). </w:t>
      </w:r>
    </w:p>
    <w:p w14:paraId="65F0D398" w14:textId="77777777" w:rsidR="004137DF" w:rsidRDefault="004137DF" w:rsidP="00091450">
      <w:pPr>
        <w:jc w:val="both"/>
        <w:rPr>
          <w:rFonts w:ascii="Times New Roman" w:hAnsi="Times New Roman" w:cs="Times New Roman"/>
          <w:sz w:val="24"/>
          <w:szCs w:val="24"/>
        </w:rPr>
      </w:pPr>
      <w:r w:rsidRPr="004137DF">
        <w:rPr>
          <w:rFonts w:ascii="Times New Roman" w:hAnsi="Times New Roman" w:cs="Times New Roman"/>
          <w:sz w:val="24"/>
          <w:szCs w:val="24"/>
        </w:rPr>
        <w:lastRenderedPageBreak/>
        <w:t>According to the findings of this research, it is indicated that the use of Ethion has negative impacts on the normal functioning of the pancreas, resulting in physiological impairment. The effects of Ethion are believed to disrupt protein metabolism and the detoxification system within the pancreas. The study suggests that the toxic effects of Ethion manifest by causing alterations in various aspects of protein metabolism in Albino rats' pancreas.</w:t>
      </w:r>
    </w:p>
    <w:p w14:paraId="680AB8E0" w14:textId="795C5333" w:rsidR="00A068E3" w:rsidRPr="00284F32" w:rsidRDefault="00A068E3" w:rsidP="00091450">
      <w:pPr>
        <w:jc w:val="both"/>
        <w:rPr>
          <w:rFonts w:ascii="Times New Roman" w:hAnsi="Times New Roman" w:cs="Times New Roman"/>
          <w:b/>
          <w:bCs/>
          <w:sz w:val="24"/>
          <w:szCs w:val="24"/>
        </w:rPr>
      </w:pPr>
      <w:r w:rsidRPr="00284F32">
        <w:rPr>
          <w:rFonts w:ascii="Times New Roman" w:hAnsi="Times New Roman" w:cs="Times New Roman"/>
          <w:b/>
          <w:bCs/>
          <w:sz w:val="24"/>
          <w:szCs w:val="24"/>
        </w:rPr>
        <w:t>REFERENCES</w:t>
      </w:r>
    </w:p>
    <w:p w14:paraId="4699C727"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Ben Amara, I., Soudani, A. </w:t>
      </w:r>
      <w:proofErr w:type="spellStart"/>
      <w:r w:rsidRPr="00091450">
        <w:rPr>
          <w:rFonts w:ascii="Times New Roman" w:hAnsi="Times New Roman" w:cs="Times New Roman"/>
          <w:sz w:val="24"/>
          <w:szCs w:val="24"/>
        </w:rPr>
        <w:t>Troudi</w:t>
      </w:r>
      <w:proofErr w:type="spellEnd"/>
      <w:r w:rsidRPr="00091450">
        <w:rPr>
          <w:rFonts w:ascii="Times New Roman" w:hAnsi="Times New Roman" w:cs="Times New Roman"/>
          <w:sz w:val="24"/>
          <w:szCs w:val="24"/>
        </w:rPr>
        <w:t xml:space="preserve">, H. Bouaziz, T. </w:t>
      </w:r>
      <w:proofErr w:type="spellStart"/>
      <w:r w:rsidRPr="00091450">
        <w:rPr>
          <w:rFonts w:ascii="Times New Roman" w:hAnsi="Times New Roman" w:cs="Times New Roman"/>
          <w:sz w:val="24"/>
          <w:szCs w:val="24"/>
        </w:rPr>
        <w:t>Boudawara</w:t>
      </w:r>
      <w:proofErr w:type="spellEnd"/>
      <w:r w:rsidRPr="00091450">
        <w:rPr>
          <w:rFonts w:ascii="Times New Roman" w:hAnsi="Times New Roman" w:cs="Times New Roman"/>
          <w:sz w:val="24"/>
          <w:szCs w:val="24"/>
        </w:rPr>
        <w:t xml:space="preserve"> and </w:t>
      </w:r>
      <w:proofErr w:type="spellStart"/>
      <w:r w:rsidRPr="00091450">
        <w:rPr>
          <w:rFonts w:ascii="Times New Roman" w:hAnsi="Times New Roman" w:cs="Times New Roman"/>
          <w:sz w:val="24"/>
          <w:szCs w:val="24"/>
        </w:rPr>
        <w:t>Zeghal</w:t>
      </w:r>
      <w:proofErr w:type="spellEnd"/>
      <w:r w:rsidRPr="00091450">
        <w:rPr>
          <w:rFonts w:ascii="Times New Roman" w:hAnsi="Times New Roman" w:cs="Times New Roman"/>
          <w:sz w:val="24"/>
          <w:szCs w:val="24"/>
        </w:rPr>
        <w:t xml:space="preserve">, N. 2011.  Antioxidant effect of vitamin E and selenium on hepatoxicity induced by dimethoate in female adult rats.  </w:t>
      </w:r>
      <w:proofErr w:type="spellStart"/>
      <w:r w:rsidRPr="00091450">
        <w:rPr>
          <w:rFonts w:ascii="Times New Roman" w:hAnsi="Times New Roman" w:cs="Times New Roman"/>
          <w:sz w:val="24"/>
          <w:szCs w:val="24"/>
        </w:rPr>
        <w:t>Ecotoxicol</w:t>
      </w:r>
      <w:proofErr w:type="spellEnd"/>
      <w:r w:rsidRPr="00091450">
        <w:rPr>
          <w:rFonts w:ascii="Times New Roman" w:hAnsi="Times New Roman" w:cs="Times New Roman"/>
          <w:sz w:val="24"/>
          <w:szCs w:val="24"/>
        </w:rPr>
        <w:t xml:space="preserve">. Environ </w:t>
      </w:r>
      <w:proofErr w:type="spellStart"/>
      <w:r w:rsidRPr="00091450">
        <w:rPr>
          <w:rFonts w:ascii="Times New Roman" w:hAnsi="Times New Roman" w:cs="Times New Roman"/>
          <w:sz w:val="24"/>
          <w:szCs w:val="24"/>
        </w:rPr>
        <w:t>Saf</w:t>
      </w:r>
      <w:proofErr w:type="spellEnd"/>
      <w:r w:rsidRPr="00091450">
        <w:rPr>
          <w:rFonts w:ascii="Times New Roman" w:hAnsi="Times New Roman" w:cs="Times New Roman"/>
          <w:sz w:val="24"/>
          <w:szCs w:val="24"/>
        </w:rPr>
        <w:t>, 74:811-819.</w:t>
      </w:r>
    </w:p>
    <w:p w14:paraId="147A0673"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Bergmeyer, H.V (1965).  In: Methods of enzymatic analysis Ed. H.V. Bergmeyer Academic Press, New York, 401.</w:t>
      </w:r>
    </w:p>
    <w:p w14:paraId="2856371B" w14:textId="77777777" w:rsidR="00A068E3" w:rsidRPr="00091450" w:rsidRDefault="00000000" w:rsidP="00091450">
      <w:pPr>
        <w:jc w:val="both"/>
        <w:rPr>
          <w:rFonts w:ascii="Times New Roman" w:hAnsi="Times New Roman" w:cs="Times New Roman"/>
          <w:sz w:val="24"/>
          <w:szCs w:val="24"/>
        </w:rPr>
      </w:pPr>
      <w:hyperlink r:id="rId11" w:tooltip="G.K. Bhatti" w:history="1">
        <w:r w:rsidR="00A068E3" w:rsidRPr="00284F32">
          <w:rPr>
            <w:rStyle w:val="Hyperlink"/>
            <w:rFonts w:ascii="Times New Roman" w:hAnsi="Times New Roman" w:cs="Times New Roman"/>
            <w:color w:val="auto"/>
            <w:sz w:val="24"/>
            <w:szCs w:val="24"/>
            <w:u w:val="none"/>
          </w:rPr>
          <w:t>Bhatti</w:t>
        </w:r>
      </w:hyperlink>
      <w:r w:rsidR="00A068E3" w:rsidRPr="00284F32">
        <w:rPr>
          <w:rFonts w:ascii="Times New Roman" w:hAnsi="Times New Roman" w:cs="Times New Roman"/>
          <w:sz w:val="24"/>
          <w:szCs w:val="24"/>
        </w:rPr>
        <w:t xml:space="preserve">, G.K, Kiran, R and </w:t>
      </w:r>
      <w:hyperlink r:id="rId12" w:tooltip="R. Sandhir" w:history="1">
        <w:proofErr w:type="spellStart"/>
        <w:r w:rsidR="00A068E3" w:rsidRPr="00284F32">
          <w:rPr>
            <w:rStyle w:val="Hyperlink"/>
            <w:rFonts w:ascii="Times New Roman" w:hAnsi="Times New Roman" w:cs="Times New Roman"/>
            <w:color w:val="auto"/>
            <w:sz w:val="24"/>
            <w:szCs w:val="24"/>
            <w:u w:val="none"/>
          </w:rPr>
          <w:t>Sandhir</w:t>
        </w:r>
        <w:proofErr w:type="spellEnd"/>
      </w:hyperlink>
      <w:r w:rsidR="00A068E3" w:rsidRPr="00284F32">
        <w:rPr>
          <w:rFonts w:ascii="Times New Roman" w:hAnsi="Times New Roman" w:cs="Times New Roman"/>
          <w:sz w:val="24"/>
          <w:szCs w:val="24"/>
        </w:rPr>
        <w:t>, R</w:t>
      </w:r>
      <w:r w:rsidR="00A068E3" w:rsidRPr="00091450">
        <w:rPr>
          <w:rFonts w:ascii="Times New Roman" w:hAnsi="Times New Roman" w:cs="Times New Roman"/>
          <w:sz w:val="24"/>
          <w:szCs w:val="24"/>
        </w:rPr>
        <w:t xml:space="preserve">. (2011) Alterations in Ca²⁺ homeostasis and oxidative damage induced by ethion in erythrocytes of Wistar rats: ameliorative effect of vitamin E. Environ ToxicolPharmacol. 31(3):378-86. </w:t>
      </w:r>
    </w:p>
    <w:p w14:paraId="0E8CCBAC" w14:textId="77777777" w:rsidR="00A068E3" w:rsidRPr="00091450" w:rsidRDefault="00000000" w:rsidP="00091450">
      <w:pPr>
        <w:jc w:val="both"/>
        <w:rPr>
          <w:rFonts w:ascii="Times New Roman" w:hAnsi="Times New Roman" w:cs="Times New Roman"/>
          <w:sz w:val="24"/>
          <w:szCs w:val="24"/>
        </w:rPr>
      </w:pPr>
      <w:hyperlink r:id="rId13" w:tooltip="G.K. Bhatti" w:history="1">
        <w:r w:rsidR="00A068E3" w:rsidRPr="00284F32">
          <w:rPr>
            <w:rStyle w:val="Hyperlink"/>
            <w:rFonts w:ascii="Times New Roman" w:hAnsi="Times New Roman" w:cs="Times New Roman"/>
            <w:color w:val="auto"/>
            <w:sz w:val="24"/>
            <w:szCs w:val="24"/>
            <w:u w:val="none"/>
          </w:rPr>
          <w:t>Bhatti</w:t>
        </w:r>
      </w:hyperlink>
      <w:r w:rsidR="00A068E3" w:rsidRPr="00284F32">
        <w:rPr>
          <w:rFonts w:ascii="Times New Roman" w:hAnsi="Times New Roman" w:cs="Times New Roman"/>
          <w:sz w:val="24"/>
          <w:szCs w:val="24"/>
        </w:rPr>
        <w:t xml:space="preserve">, G.K, Kiran, R and </w:t>
      </w:r>
      <w:hyperlink r:id="rId14" w:tooltip="R. Sandhir" w:history="1">
        <w:proofErr w:type="spellStart"/>
        <w:r w:rsidR="00A068E3" w:rsidRPr="00284F32">
          <w:rPr>
            <w:rStyle w:val="Hyperlink"/>
            <w:rFonts w:ascii="Times New Roman" w:hAnsi="Times New Roman" w:cs="Times New Roman"/>
            <w:color w:val="auto"/>
            <w:sz w:val="24"/>
            <w:szCs w:val="24"/>
            <w:u w:val="none"/>
          </w:rPr>
          <w:t>Sandhir</w:t>
        </w:r>
        <w:proofErr w:type="spellEnd"/>
      </w:hyperlink>
      <w:r w:rsidR="00A068E3" w:rsidRPr="00091450">
        <w:rPr>
          <w:rFonts w:ascii="Times New Roman" w:hAnsi="Times New Roman" w:cs="Times New Roman"/>
          <w:sz w:val="24"/>
          <w:szCs w:val="24"/>
        </w:rPr>
        <w:t>, R. (2010). Modulation of ethion-induced hepatotoxicity and oxidative stress by vitamin E supplementation in male Wistar rats. Pesticide Biochemistry and Physiology. 20(3): 119-26.</w:t>
      </w:r>
    </w:p>
    <w:p w14:paraId="4A6E3630" w14:textId="77777777" w:rsidR="00A068E3" w:rsidRPr="00091450" w:rsidRDefault="00A068E3" w:rsidP="00091450">
      <w:pPr>
        <w:jc w:val="both"/>
        <w:rPr>
          <w:rFonts w:ascii="Times New Roman" w:hAnsi="Times New Roman" w:cs="Times New Roman"/>
          <w:sz w:val="24"/>
          <w:szCs w:val="24"/>
        </w:rPr>
      </w:pPr>
      <w:proofErr w:type="spellStart"/>
      <w:r w:rsidRPr="00091450">
        <w:rPr>
          <w:rFonts w:ascii="Times New Roman" w:hAnsi="Times New Roman" w:cs="Times New Roman"/>
          <w:sz w:val="24"/>
          <w:szCs w:val="24"/>
        </w:rPr>
        <w:t>Colowick</w:t>
      </w:r>
      <w:proofErr w:type="spellEnd"/>
      <w:r w:rsidRPr="00091450">
        <w:rPr>
          <w:rFonts w:ascii="Times New Roman" w:hAnsi="Times New Roman" w:cs="Times New Roman"/>
          <w:sz w:val="24"/>
          <w:szCs w:val="24"/>
        </w:rPr>
        <w:t>, S.P and Kaplan (1957).  In Methods of Enzymology. Academic Press, New York, 501.</w:t>
      </w:r>
    </w:p>
    <w:p w14:paraId="0121ABD4"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Eraslan, G, Kanbur, M. and </w:t>
      </w:r>
      <w:proofErr w:type="spellStart"/>
      <w:r w:rsidRPr="00091450">
        <w:rPr>
          <w:rFonts w:ascii="Times New Roman" w:hAnsi="Times New Roman" w:cs="Times New Roman"/>
          <w:sz w:val="24"/>
          <w:szCs w:val="24"/>
        </w:rPr>
        <w:t>Silici</w:t>
      </w:r>
      <w:proofErr w:type="spellEnd"/>
      <w:r w:rsidRPr="00091450">
        <w:rPr>
          <w:rFonts w:ascii="Times New Roman" w:hAnsi="Times New Roman" w:cs="Times New Roman"/>
          <w:sz w:val="24"/>
          <w:szCs w:val="24"/>
        </w:rPr>
        <w:t xml:space="preserve">, S (2009).  Effect of </w:t>
      </w:r>
      <w:proofErr w:type="spellStart"/>
      <w:r w:rsidRPr="00091450">
        <w:rPr>
          <w:rFonts w:ascii="Times New Roman" w:hAnsi="Times New Roman" w:cs="Times New Roman"/>
          <w:sz w:val="24"/>
          <w:szCs w:val="24"/>
        </w:rPr>
        <w:t>carbyl</w:t>
      </w:r>
      <w:proofErr w:type="spellEnd"/>
      <w:r w:rsidRPr="00091450">
        <w:rPr>
          <w:rFonts w:ascii="Times New Roman" w:hAnsi="Times New Roman" w:cs="Times New Roman"/>
          <w:sz w:val="24"/>
          <w:szCs w:val="24"/>
        </w:rPr>
        <w:t xml:space="preserve"> on some biochemical changes in rats.  The ameliorative effect of bee pollen. Food Chem. </w:t>
      </w:r>
      <w:proofErr w:type="spellStart"/>
      <w:r w:rsidRPr="00091450">
        <w:rPr>
          <w:rFonts w:ascii="Times New Roman" w:hAnsi="Times New Roman" w:cs="Times New Roman"/>
          <w:sz w:val="24"/>
          <w:szCs w:val="24"/>
        </w:rPr>
        <w:t>Toxicol</w:t>
      </w:r>
      <w:proofErr w:type="spellEnd"/>
      <w:r w:rsidRPr="00091450">
        <w:rPr>
          <w:rFonts w:ascii="Times New Roman" w:hAnsi="Times New Roman" w:cs="Times New Roman"/>
          <w:sz w:val="24"/>
          <w:szCs w:val="24"/>
        </w:rPr>
        <w:t xml:space="preserve">., 47: 86-91.  </w:t>
      </w:r>
    </w:p>
    <w:p w14:paraId="03C99612" w14:textId="77777777" w:rsidR="00A068E3" w:rsidRPr="00091450" w:rsidRDefault="00A068E3" w:rsidP="00091450">
      <w:pPr>
        <w:jc w:val="both"/>
        <w:rPr>
          <w:rFonts w:ascii="Times New Roman" w:hAnsi="Times New Roman" w:cs="Times New Roman"/>
          <w:sz w:val="24"/>
          <w:szCs w:val="24"/>
        </w:rPr>
      </w:pPr>
      <w:proofErr w:type="spellStart"/>
      <w:r w:rsidRPr="00091450">
        <w:rPr>
          <w:rFonts w:ascii="Times New Roman" w:hAnsi="Times New Roman" w:cs="Times New Roman"/>
          <w:sz w:val="24"/>
          <w:szCs w:val="24"/>
        </w:rPr>
        <w:t>FerahSayim</w:t>
      </w:r>
      <w:proofErr w:type="spellEnd"/>
      <w:r w:rsidRPr="00091450">
        <w:rPr>
          <w:rFonts w:ascii="Times New Roman" w:hAnsi="Times New Roman" w:cs="Times New Roman"/>
          <w:sz w:val="24"/>
          <w:szCs w:val="24"/>
        </w:rPr>
        <w:t xml:space="preserve"> (2007).  Dimethoate induced biochemical and histopathological changes in the liver of rats.  Experimental and Toxicologic Pathology 59: 237-243.</w:t>
      </w:r>
    </w:p>
    <w:p w14:paraId="678EF0E7" w14:textId="77777777" w:rsidR="00A068E3" w:rsidRPr="000B1701" w:rsidRDefault="00A068E3" w:rsidP="00091450">
      <w:pPr>
        <w:jc w:val="both"/>
        <w:rPr>
          <w:rFonts w:ascii="Times New Roman" w:hAnsi="Times New Roman" w:cs="Times New Roman"/>
          <w:sz w:val="24"/>
          <w:szCs w:val="24"/>
          <w:lang w:val="de-DE"/>
        </w:rPr>
      </w:pPr>
      <w:r w:rsidRPr="00091450">
        <w:rPr>
          <w:rFonts w:ascii="Times New Roman" w:hAnsi="Times New Roman" w:cs="Times New Roman"/>
          <w:sz w:val="24"/>
          <w:szCs w:val="24"/>
        </w:rPr>
        <w:t xml:space="preserve">Garba, S.H, </w:t>
      </w:r>
      <w:proofErr w:type="spellStart"/>
      <w:r w:rsidRPr="00091450">
        <w:rPr>
          <w:rFonts w:ascii="Times New Roman" w:hAnsi="Times New Roman" w:cs="Times New Roman"/>
          <w:sz w:val="24"/>
          <w:szCs w:val="24"/>
        </w:rPr>
        <w:t>Adelaiye</w:t>
      </w:r>
      <w:proofErr w:type="spellEnd"/>
      <w:r w:rsidRPr="00091450">
        <w:rPr>
          <w:rFonts w:ascii="Times New Roman" w:hAnsi="Times New Roman" w:cs="Times New Roman"/>
          <w:sz w:val="24"/>
          <w:szCs w:val="24"/>
        </w:rPr>
        <w:t xml:space="preserve">, A.B and </w:t>
      </w:r>
      <w:proofErr w:type="spellStart"/>
      <w:r w:rsidRPr="00091450">
        <w:rPr>
          <w:rFonts w:ascii="Times New Roman" w:hAnsi="Times New Roman" w:cs="Times New Roman"/>
          <w:sz w:val="24"/>
          <w:szCs w:val="24"/>
        </w:rPr>
        <w:t>Mshelia</w:t>
      </w:r>
      <w:proofErr w:type="spellEnd"/>
      <w:r w:rsidRPr="00091450">
        <w:rPr>
          <w:rFonts w:ascii="Times New Roman" w:hAnsi="Times New Roman" w:cs="Times New Roman"/>
          <w:sz w:val="24"/>
          <w:szCs w:val="24"/>
        </w:rPr>
        <w:t xml:space="preserve">, L.Y. 2007.  Histopathological and biochemical changes in rat kidney following exposure to pyrethroid based mosquito coil. </w:t>
      </w:r>
      <w:r w:rsidRPr="000B1701">
        <w:rPr>
          <w:rFonts w:ascii="Times New Roman" w:hAnsi="Times New Roman" w:cs="Times New Roman"/>
          <w:sz w:val="24"/>
          <w:szCs w:val="24"/>
          <w:lang w:val="de-DE"/>
        </w:rPr>
        <w:t>J. Appl. Sci. Res. 3: 1788-1793.</w:t>
      </w:r>
    </w:p>
    <w:p w14:paraId="71BCB460" w14:textId="77777777" w:rsidR="00A068E3" w:rsidRPr="00091450" w:rsidRDefault="00A068E3" w:rsidP="00091450">
      <w:pPr>
        <w:jc w:val="both"/>
        <w:rPr>
          <w:rFonts w:ascii="Times New Roman" w:hAnsi="Times New Roman" w:cs="Times New Roman"/>
          <w:sz w:val="24"/>
          <w:szCs w:val="24"/>
        </w:rPr>
      </w:pPr>
      <w:r w:rsidRPr="000B1701">
        <w:rPr>
          <w:rFonts w:ascii="Times New Roman" w:hAnsi="Times New Roman" w:cs="Times New Roman"/>
          <w:sz w:val="24"/>
          <w:szCs w:val="24"/>
          <w:lang w:val="de-DE"/>
        </w:rPr>
        <w:t xml:space="preserve">Heudorf U, Butte W, Schulz C, Angeref J (2006).  </w:t>
      </w:r>
      <w:r w:rsidRPr="00091450">
        <w:rPr>
          <w:rFonts w:ascii="Times New Roman" w:hAnsi="Times New Roman" w:cs="Times New Roman"/>
          <w:sz w:val="24"/>
          <w:szCs w:val="24"/>
        </w:rPr>
        <w:t xml:space="preserve">Reference values for metabolites of pyrethroid and </w:t>
      </w:r>
      <w:proofErr w:type="spellStart"/>
      <w:r w:rsidRPr="00091450">
        <w:rPr>
          <w:rFonts w:ascii="Times New Roman" w:hAnsi="Times New Roman" w:cs="Times New Roman"/>
          <w:sz w:val="24"/>
          <w:szCs w:val="24"/>
        </w:rPr>
        <w:t>organophosphorous</w:t>
      </w:r>
      <w:proofErr w:type="spellEnd"/>
      <w:r w:rsidRPr="00091450">
        <w:rPr>
          <w:rFonts w:ascii="Times New Roman" w:hAnsi="Times New Roman" w:cs="Times New Roman"/>
          <w:sz w:val="24"/>
          <w:szCs w:val="24"/>
        </w:rPr>
        <w:t xml:space="preserve"> insecticides in urine for human bio monitoring in environmental medicine. Int. J. </w:t>
      </w:r>
      <w:proofErr w:type="spellStart"/>
      <w:r w:rsidRPr="00091450">
        <w:rPr>
          <w:rFonts w:ascii="Times New Roman" w:hAnsi="Times New Roman" w:cs="Times New Roman"/>
          <w:sz w:val="24"/>
          <w:szCs w:val="24"/>
        </w:rPr>
        <w:t>Hyg</w:t>
      </w:r>
      <w:proofErr w:type="spellEnd"/>
      <w:r w:rsidRPr="00091450">
        <w:rPr>
          <w:rFonts w:ascii="Times New Roman" w:hAnsi="Times New Roman" w:cs="Times New Roman"/>
          <w:sz w:val="24"/>
          <w:szCs w:val="24"/>
        </w:rPr>
        <w:t>. Environ Health, 209: 293-9.</w:t>
      </w:r>
    </w:p>
    <w:p w14:paraId="6F60BB63"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Lee Y.L. and Lardy A.A. (1965). Influence of thyroid hormones on L-glycerophosphate dehydrogenases in various organs of the rat. J. Biol. Chem. 240: 1427-1430.</w:t>
      </w:r>
    </w:p>
    <w:p w14:paraId="6D01B02F"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Lowry, O.H, </w:t>
      </w:r>
      <w:proofErr w:type="spellStart"/>
      <w:r w:rsidRPr="00091450">
        <w:rPr>
          <w:rFonts w:ascii="Times New Roman" w:hAnsi="Times New Roman" w:cs="Times New Roman"/>
          <w:sz w:val="24"/>
          <w:szCs w:val="24"/>
        </w:rPr>
        <w:t>Rosenbrough</w:t>
      </w:r>
      <w:proofErr w:type="spellEnd"/>
      <w:r w:rsidRPr="00091450">
        <w:rPr>
          <w:rFonts w:ascii="Times New Roman" w:hAnsi="Times New Roman" w:cs="Times New Roman"/>
          <w:sz w:val="24"/>
          <w:szCs w:val="24"/>
        </w:rPr>
        <w:t xml:space="preserve">, N.J and Randall R.J (1951). Protein measurement with the </w:t>
      </w:r>
      <w:proofErr w:type="spellStart"/>
      <w:r w:rsidRPr="00091450">
        <w:rPr>
          <w:rFonts w:ascii="Times New Roman" w:hAnsi="Times New Roman" w:cs="Times New Roman"/>
          <w:sz w:val="24"/>
          <w:szCs w:val="24"/>
        </w:rPr>
        <w:t>Folinphenol</w:t>
      </w:r>
      <w:proofErr w:type="spellEnd"/>
      <w:r w:rsidRPr="00091450">
        <w:rPr>
          <w:rFonts w:ascii="Times New Roman" w:hAnsi="Times New Roman" w:cs="Times New Roman"/>
          <w:sz w:val="24"/>
          <w:szCs w:val="24"/>
        </w:rPr>
        <w:t xml:space="preserve"> reagent. J. Bio. Chem. 193: 265-275.</w:t>
      </w:r>
    </w:p>
    <w:p w14:paraId="74D0F894" w14:textId="77777777" w:rsidR="00A068E3" w:rsidRPr="00091450" w:rsidRDefault="00A068E3" w:rsidP="00091450">
      <w:pPr>
        <w:jc w:val="both"/>
        <w:rPr>
          <w:rFonts w:ascii="Times New Roman" w:hAnsi="Times New Roman" w:cs="Times New Roman"/>
          <w:sz w:val="24"/>
          <w:szCs w:val="24"/>
        </w:rPr>
      </w:pPr>
      <w:proofErr w:type="spellStart"/>
      <w:r w:rsidRPr="00091450">
        <w:rPr>
          <w:rFonts w:ascii="Times New Roman" w:hAnsi="Times New Roman" w:cs="Times New Roman"/>
          <w:sz w:val="24"/>
          <w:szCs w:val="24"/>
        </w:rPr>
        <w:t>Mogda</w:t>
      </w:r>
      <w:proofErr w:type="spellEnd"/>
      <w:r w:rsidRPr="00091450">
        <w:rPr>
          <w:rFonts w:ascii="Times New Roman" w:hAnsi="Times New Roman" w:cs="Times New Roman"/>
          <w:sz w:val="24"/>
          <w:szCs w:val="24"/>
        </w:rPr>
        <w:t>, K.M Afaf AI El-</w:t>
      </w:r>
      <w:proofErr w:type="spellStart"/>
      <w:r w:rsidRPr="00091450">
        <w:rPr>
          <w:rFonts w:ascii="Times New Roman" w:hAnsi="Times New Roman" w:cs="Times New Roman"/>
          <w:sz w:val="24"/>
          <w:szCs w:val="24"/>
        </w:rPr>
        <w:t>Kashoury</w:t>
      </w:r>
      <w:proofErr w:type="spellEnd"/>
      <w:r w:rsidRPr="00091450">
        <w:rPr>
          <w:rFonts w:ascii="Times New Roman" w:hAnsi="Times New Roman" w:cs="Times New Roman"/>
          <w:sz w:val="24"/>
          <w:szCs w:val="24"/>
        </w:rPr>
        <w:t xml:space="preserve"> M.A and Rashed, KM, Nature and Science, 2009, 7, 2, 1-15.</w:t>
      </w:r>
    </w:p>
    <w:p w14:paraId="0FDD2933"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lastRenderedPageBreak/>
        <w:t>Moore S and Stein W.H (1954). A modified Ninhydrin reagent for the photometric determination of amino acids and related compounds. J. Bio. Chem. 221: 907-913.</w:t>
      </w:r>
    </w:p>
    <w:p w14:paraId="32823E81"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Natelson, S (1971).  Total cholesterol procedure on free fatty acids in serum. In: Techniques of clinical biochemistry III </w:t>
      </w:r>
      <w:proofErr w:type="spellStart"/>
      <w:r w:rsidRPr="00091450">
        <w:rPr>
          <w:rFonts w:ascii="Times New Roman" w:hAnsi="Times New Roman" w:cs="Times New Roman"/>
          <w:sz w:val="24"/>
          <w:szCs w:val="24"/>
        </w:rPr>
        <w:t>Edn</w:t>
      </w:r>
      <w:proofErr w:type="spellEnd"/>
      <w:r w:rsidRPr="00091450">
        <w:rPr>
          <w:rFonts w:ascii="Times New Roman" w:hAnsi="Times New Roman" w:cs="Times New Roman"/>
          <w:sz w:val="24"/>
          <w:szCs w:val="24"/>
        </w:rPr>
        <w:t>. Charles. C. Thomas Publishers, spring field Illinois, USA pp. 263-268.</w:t>
      </w:r>
    </w:p>
    <w:p w14:paraId="49A49E73" w14:textId="77777777" w:rsidR="00A068E3" w:rsidRPr="00091450" w:rsidRDefault="00A068E3" w:rsidP="00091450">
      <w:pPr>
        <w:jc w:val="both"/>
        <w:rPr>
          <w:rFonts w:ascii="Times New Roman" w:hAnsi="Times New Roman" w:cs="Times New Roman"/>
          <w:sz w:val="24"/>
          <w:szCs w:val="24"/>
        </w:rPr>
      </w:pPr>
      <w:proofErr w:type="spellStart"/>
      <w:r w:rsidRPr="00091450">
        <w:rPr>
          <w:rFonts w:ascii="Times New Roman" w:hAnsi="Times New Roman" w:cs="Times New Roman"/>
          <w:sz w:val="24"/>
          <w:szCs w:val="24"/>
        </w:rPr>
        <w:t>Ncibi</w:t>
      </w:r>
      <w:proofErr w:type="spellEnd"/>
      <w:r w:rsidRPr="00091450">
        <w:rPr>
          <w:rFonts w:ascii="Times New Roman" w:hAnsi="Times New Roman" w:cs="Times New Roman"/>
          <w:sz w:val="24"/>
          <w:szCs w:val="24"/>
        </w:rPr>
        <w:t xml:space="preserve">, S. Othman, M.B, </w:t>
      </w:r>
      <w:proofErr w:type="spellStart"/>
      <w:r w:rsidRPr="00091450">
        <w:rPr>
          <w:rFonts w:ascii="Times New Roman" w:hAnsi="Times New Roman" w:cs="Times New Roman"/>
          <w:sz w:val="24"/>
          <w:szCs w:val="24"/>
        </w:rPr>
        <w:t>Akacha</w:t>
      </w:r>
      <w:proofErr w:type="spellEnd"/>
      <w:r w:rsidRPr="00091450">
        <w:rPr>
          <w:rFonts w:ascii="Times New Roman" w:hAnsi="Times New Roman" w:cs="Times New Roman"/>
          <w:sz w:val="24"/>
          <w:szCs w:val="24"/>
        </w:rPr>
        <w:t xml:space="preserve">, A. </w:t>
      </w:r>
      <w:proofErr w:type="spellStart"/>
      <w:r w:rsidRPr="00091450">
        <w:rPr>
          <w:rFonts w:ascii="Times New Roman" w:hAnsi="Times New Roman" w:cs="Times New Roman"/>
          <w:sz w:val="24"/>
          <w:szCs w:val="24"/>
        </w:rPr>
        <w:t>Kriffi</w:t>
      </w:r>
      <w:proofErr w:type="spellEnd"/>
      <w:r w:rsidRPr="00091450">
        <w:rPr>
          <w:rFonts w:ascii="Times New Roman" w:hAnsi="Times New Roman" w:cs="Times New Roman"/>
          <w:sz w:val="24"/>
          <w:szCs w:val="24"/>
        </w:rPr>
        <w:t xml:space="preserve">, M.N and </w:t>
      </w:r>
      <w:proofErr w:type="spellStart"/>
      <w:r w:rsidRPr="00091450">
        <w:rPr>
          <w:rFonts w:ascii="Times New Roman" w:hAnsi="Times New Roman" w:cs="Times New Roman"/>
          <w:sz w:val="24"/>
          <w:szCs w:val="24"/>
        </w:rPr>
        <w:t>Zougi</w:t>
      </w:r>
      <w:proofErr w:type="spellEnd"/>
      <w:r w:rsidRPr="00091450">
        <w:rPr>
          <w:rFonts w:ascii="Times New Roman" w:hAnsi="Times New Roman" w:cs="Times New Roman"/>
          <w:sz w:val="24"/>
          <w:szCs w:val="24"/>
        </w:rPr>
        <w:t xml:space="preserve">, L (2008). </w:t>
      </w:r>
      <w:proofErr w:type="spellStart"/>
      <w:r w:rsidRPr="00091450">
        <w:rPr>
          <w:rFonts w:ascii="Times New Roman" w:hAnsi="Times New Roman" w:cs="Times New Roman"/>
          <w:sz w:val="24"/>
          <w:szCs w:val="24"/>
        </w:rPr>
        <w:t>OpuntiaFicusindica</w:t>
      </w:r>
      <w:proofErr w:type="spellEnd"/>
      <w:r w:rsidRPr="00091450">
        <w:rPr>
          <w:rFonts w:ascii="Times New Roman" w:hAnsi="Times New Roman" w:cs="Times New Roman"/>
          <w:sz w:val="24"/>
          <w:szCs w:val="24"/>
        </w:rPr>
        <w:t xml:space="preserve"> extract protects against Chlorpyrifos induced damage on mice liver.  Food Chem. </w:t>
      </w:r>
      <w:proofErr w:type="spellStart"/>
      <w:r w:rsidRPr="00091450">
        <w:rPr>
          <w:rFonts w:ascii="Times New Roman" w:hAnsi="Times New Roman" w:cs="Times New Roman"/>
          <w:sz w:val="24"/>
          <w:szCs w:val="24"/>
        </w:rPr>
        <w:t>Toxicol</w:t>
      </w:r>
      <w:proofErr w:type="spellEnd"/>
      <w:r w:rsidRPr="00091450">
        <w:rPr>
          <w:rFonts w:ascii="Times New Roman" w:hAnsi="Times New Roman" w:cs="Times New Roman"/>
          <w:sz w:val="24"/>
          <w:szCs w:val="24"/>
        </w:rPr>
        <w:t xml:space="preserve">. 46: 797-802. </w:t>
      </w:r>
    </w:p>
    <w:p w14:paraId="4B5F7579"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Singh, N.N, Das V.K and Singh, S (1996). Effect of Aldrin on carbohydrates, protein and ionic metabolism of fresh water catfish </w:t>
      </w:r>
      <w:proofErr w:type="spellStart"/>
      <w:r w:rsidRPr="00091450">
        <w:rPr>
          <w:rFonts w:ascii="Times New Roman" w:hAnsi="Times New Roman" w:cs="Times New Roman"/>
          <w:sz w:val="24"/>
          <w:szCs w:val="24"/>
        </w:rPr>
        <w:t>Heteropneustes</w:t>
      </w:r>
      <w:proofErr w:type="spellEnd"/>
      <w:r w:rsidRPr="00091450">
        <w:rPr>
          <w:rFonts w:ascii="Times New Roman" w:hAnsi="Times New Roman" w:cs="Times New Roman"/>
          <w:sz w:val="24"/>
          <w:szCs w:val="24"/>
        </w:rPr>
        <w:t xml:space="preserve"> fossils. Bull. Of Env. Cont. and Toxicol.57: 204-210.</w:t>
      </w:r>
    </w:p>
    <w:p w14:paraId="282A78AD"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 xml:space="preserve">Saafi, E.B, </w:t>
      </w:r>
      <w:proofErr w:type="spellStart"/>
      <w:r w:rsidRPr="00091450">
        <w:rPr>
          <w:rFonts w:ascii="Times New Roman" w:hAnsi="Times New Roman" w:cs="Times New Roman"/>
          <w:sz w:val="24"/>
          <w:szCs w:val="24"/>
        </w:rPr>
        <w:t>Louedi</w:t>
      </w:r>
      <w:proofErr w:type="spellEnd"/>
      <w:r w:rsidRPr="00091450">
        <w:rPr>
          <w:rFonts w:ascii="Times New Roman" w:hAnsi="Times New Roman" w:cs="Times New Roman"/>
          <w:sz w:val="24"/>
          <w:szCs w:val="24"/>
        </w:rPr>
        <w:t xml:space="preserve">, M. </w:t>
      </w:r>
      <w:proofErr w:type="spellStart"/>
      <w:r w:rsidRPr="00091450">
        <w:rPr>
          <w:rFonts w:ascii="Times New Roman" w:hAnsi="Times New Roman" w:cs="Times New Roman"/>
          <w:sz w:val="24"/>
          <w:szCs w:val="24"/>
        </w:rPr>
        <w:t>Elfeki</w:t>
      </w:r>
      <w:proofErr w:type="spellEnd"/>
      <w:r w:rsidRPr="00091450">
        <w:rPr>
          <w:rFonts w:ascii="Times New Roman" w:hAnsi="Times New Roman" w:cs="Times New Roman"/>
          <w:sz w:val="24"/>
          <w:szCs w:val="24"/>
        </w:rPr>
        <w:t xml:space="preserve">, A, </w:t>
      </w:r>
      <w:proofErr w:type="spellStart"/>
      <w:r w:rsidRPr="00091450">
        <w:rPr>
          <w:rFonts w:ascii="Times New Roman" w:hAnsi="Times New Roman" w:cs="Times New Roman"/>
          <w:sz w:val="24"/>
          <w:szCs w:val="24"/>
        </w:rPr>
        <w:t>Zakhama</w:t>
      </w:r>
      <w:proofErr w:type="spellEnd"/>
      <w:r w:rsidRPr="00091450">
        <w:rPr>
          <w:rFonts w:ascii="Times New Roman" w:hAnsi="Times New Roman" w:cs="Times New Roman"/>
          <w:sz w:val="24"/>
          <w:szCs w:val="24"/>
        </w:rPr>
        <w:t>, A, Najjar, M.F, Hammami, M and Achour, L (2011).  Protective effect of date palm fruit extract (</w:t>
      </w:r>
      <w:proofErr w:type="spellStart"/>
      <w:r w:rsidRPr="00091450">
        <w:rPr>
          <w:rFonts w:ascii="Times New Roman" w:hAnsi="Times New Roman" w:cs="Times New Roman"/>
          <w:sz w:val="24"/>
          <w:szCs w:val="24"/>
        </w:rPr>
        <w:t>Phodactylifera</w:t>
      </w:r>
      <w:proofErr w:type="spellEnd"/>
      <w:r w:rsidRPr="00091450">
        <w:rPr>
          <w:rFonts w:ascii="Times New Roman" w:hAnsi="Times New Roman" w:cs="Times New Roman"/>
          <w:sz w:val="24"/>
          <w:szCs w:val="24"/>
        </w:rPr>
        <w:t xml:space="preserve"> L) on Dimethoate induced oxidative stress in rat liver. Exp. </w:t>
      </w:r>
      <w:proofErr w:type="spellStart"/>
      <w:r w:rsidRPr="00091450">
        <w:rPr>
          <w:rFonts w:ascii="Times New Roman" w:hAnsi="Times New Roman" w:cs="Times New Roman"/>
          <w:sz w:val="24"/>
          <w:szCs w:val="24"/>
        </w:rPr>
        <w:t>Toxicol</w:t>
      </w:r>
      <w:proofErr w:type="spellEnd"/>
      <w:r w:rsidRPr="00091450">
        <w:rPr>
          <w:rFonts w:ascii="Times New Roman" w:hAnsi="Times New Roman" w:cs="Times New Roman"/>
          <w:sz w:val="24"/>
          <w:szCs w:val="24"/>
        </w:rPr>
        <w:t xml:space="preserve">. </w:t>
      </w:r>
      <w:proofErr w:type="spellStart"/>
      <w:r w:rsidRPr="00091450">
        <w:rPr>
          <w:rFonts w:ascii="Times New Roman" w:hAnsi="Times New Roman" w:cs="Times New Roman"/>
          <w:sz w:val="24"/>
          <w:szCs w:val="24"/>
        </w:rPr>
        <w:t>Pathol</w:t>
      </w:r>
      <w:proofErr w:type="spellEnd"/>
      <w:r w:rsidRPr="00091450">
        <w:rPr>
          <w:rFonts w:ascii="Times New Roman" w:hAnsi="Times New Roman" w:cs="Times New Roman"/>
          <w:sz w:val="24"/>
          <w:szCs w:val="24"/>
        </w:rPr>
        <w:t>. 63: 433-441.</w:t>
      </w:r>
    </w:p>
    <w:p w14:paraId="006456E6" w14:textId="77777777" w:rsidR="00A068E3" w:rsidRPr="00091450" w:rsidRDefault="00A068E3" w:rsidP="00091450">
      <w:pPr>
        <w:jc w:val="both"/>
        <w:rPr>
          <w:rFonts w:ascii="Times New Roman" w:hAnsi="Times New Roman" w:cs="Times New Roman"/>
          <w:sz w:val="24"/>
          <w:szCs w:val="24"/>
        </w:rPr>
      </w:pPr>
      <w:r w:rsidRPr="00091450">
        <w:rPr>
          <w:rFonts w:ascii="Times New Roman" w:hAnsi="Times New Roman" w:cs="Times New Roman"/>
          <w:sz w:val="24"/>
          <w:szCs w:val="24"/>
        </w:rPr>
        <w:t>Yahya, S, Al-</w:t>
      </w:r>
      <w:proofErr w:type="spellStart"/>
      <w:r w:rsidRPr="00091450">
        <w:rPr>
          <w:rFonts w:ascii="Times New Roman" w:hAnsi="Times New Roman" w:cs="Times New Roman"/>
          <w:sz w:val="24"/>
          <w:szCs w:val="24"/>
        </w:rPr>
        <w:t>Awthan</w:t>
      </w:r>
      <w:proofErr w:type="spellEnd"/>
      <w:r w:rsidRPr="00091450">
        <w:rPr>
          <w:rFonts w:ascii="Times New Roman" w:hAnsi="Times New Roman" w:cs="Times New Roman"/>
          <w:sz w:val="24"/>
          <w:szCs w:val="24"/>
        </w:rPr>
        <w:t xml:space="preserve">, Mohammed, </w:t>
      </w:r>
      <w:proofErr w:type="gramStart"/>
      <w:r w:rsidRPr="00091450">
        <w:rPr>
          <w:rFonts w:ascii="Times New Roman" w:hAnsi="Times New Roman" w:cs="Times New Roman"/>
          <w:sz w:val="24"/>
          <w:szCs w:val="24"/>
        </w:rPr>
        <w:t>A</w:t>
      </w:r>
      <w:proofErr w:type="gramEnd"/>
      <w:r w:rsidRPr="00091450">
        <w:rPr>
          <w:rFonts w:ascii="Times New Roman" w:hAnsi="Times New Roman" w:cs="Times New Roman"/>
          <w:sz w:val="24"/>
          <w:szCs w:val="24"/>
        </w:rPr>
        <w:t xml:space="preserve"> Al-</w:t>
      </w:r>
      <w:proofErr w:type="spellStart"/>
      <w:r w:rsidRPr="00091450">
        <w:rPr>
          <w:rFonts w:ascii="Times New Roman" w:hAnsi="Times New Roman" w:cs="Times New Roman"/>
          <w:sz w:val="24"/>
          <w:szCs w:val="24"/>
        </w:rPr>
        <w:t>Douis</w:t>
      </w:r>
      <w:proofErr w:type="spellEnd"/>
      <w:r w:rsidRPr="00091450">
        <w:rPr>
          <w:rFonts w:ascii="Times New Roman" w:hAnsi="Times New Roman" w:cs="Times New Roman"/>
          <w:sz w:val="24"/>
          <w:szCs w:val="24"/>
        </w:rPr>
        <w:t>, Gamal, H, El-</w:t>
      </w:r>
      <w:proofErr w:type="spellStart"/>
      <w:r w:rsidRPr="00091450">
        <w:rPr>
          <w:rFonts w:ascii="Times New Roman" w:hAnsi="Times New Roman" w:cs="Times New Roman"/>
          <w:sz w:val="24"/>
          <w:szCs w:val="24"/>
        </w:rPr>
        <w:t>Sokkary</w:t>
      </w:r>
      <w:proofErr w:type="spellEnd"/>
      <w:r w:rsidRPr="00091450">
        <w:rPr>
          <w:rFonts w:ascii="Times New Roman" w:hAnsi="Times New Roman" w:cs="Times New Roman"/>
          <w:sz w:val="24"/>
          <w:szCs w:val="24"/>
        </w:rPr>
        <w:t xml:space="preserve"> and Esam (2012). Dimethoate induced oxidative stress and morphological changes in the liver of guinea pig and the protective effect of vitamin C and E. Asian J. Biol. Sc. 5(1): 9-19.</w:t>
      </w:r>
    </w:p>
    <w:p w14:paraId="01B237CF" w14:textId="77777777" w:rsidR="00F15106" w:rsidRPr="00091450" w:rsidRDefault="00F15106" w:rsidP="00091450">
      <w:pPr>
        <w:jc w:val="both"/>
        <w:rPr>
          <w:rFonts w:ascii="Times New Roman" w:hAnsi="Times New Roman" w:cs="Times New Roman"/>
          <w:sz w:val="24"/>
          <w:szCs w:val="24"/>
        </w:rPr>
      </w:pPr>
    </w:p>
    <w:p w14:paraId="7040F5B2" w14:textId="77777777" w:rsidR="003F1B4F" w:rsidRPr="00091450" w:rsidRDefault="003F1B4F" w:rsidP="00091450">
      <w:pPr>
        <w:jc w:val="both"/>
        <w:rPr>
          <w:rFonts w:ascii="Times New Roman" w:hAnsi="Times New Roman" w:cs="Times New Roman"/>
          <w:sz w:val="24"/>
          <w:szCs w:val="24"/>
        </w:rPr>
      </w:pPr>
    </w:p>
    <w:p w14:paraId="3F6893C6" w14:textId="77777777" w:rsidR="00CB46E6" w:rsidRPr="00091450" w:rsidRDefault="00CB46E6" w:rsidP="00091450">
      <w:pPr>
        <w:jc w:val="both"/>
        <w:rPr>
          <w:rFonts w:ascii="Times New Roman" w:hAnsi="Times New Roman" w:cs="Times New Roman"/>
          <w:sz w:val="24"/>
          <w:szCs w:val="24"/>
        </w:rPr>
      </w:pPr>
    </w:p>
    <w:p w14:paraId="39ADAD9C" w14:textId="342F5FF6" w:rsidR="00EF2DDA" w:rsidRPr="00091450" w:rsidRDefault="00EF2DDA" w:rsidP="00091450">
      <w:pPr>
        <w:jc w:val="both"/>
        <w:rPr>
          <w:rFonts w:ascii="Times New Roman" w:hAnsi="Times New Roman" w:cs="Times New Roman"/>
          <w:sz w:val="24"/>
          <w:szCs w:val="24"/>
        </w:rPr>
      </w:pPr>
    </w:p>
    <w:p w14:paraId="726C344B" w14:textId="77777777" w:rsidR="00D1719E" w:rsidRPr="00091450" w:rsidRDefault="00D1719E" w:rsidP="00091450">
      <w:pPr>
        <w:jc w:val="both"/>
        <w:rPr>
          <w:rFonts w:ascii="Times New Roman" w:hAnsi="Times New Roman" w:cs="Times New Roman"/>
          <w:sz w:val="24"/>
          <w:szCs w:val="24"/>
        </w:rPr>
      </w:pPr>
    </w:p>
    <w:p w14:paraId="2F7B81E8" w14:textId="77777777" w:rsidR="00D1719E" w:rsidRPr="00091450" w:rsidRDefault="00D1719E" w:rsidP="00091450">
      <w:pPr>
        <w:jc w:val="both"/>
        <w:rPr>
          <w:rFonts w:ascii="Times New Roman" w:hAnsi="Times New Roman" w:cs="Times New Roman"/>
          <w:sz w:val="24"/>
          <w:szCs w:val="24"/>
        </w:rPr>
      </w:pPr>
    </w:p>
    <w:p w14:paraId="77FEEF0C" w14:textId="77777777" w:rsidR="00D1719E" w:rsidRPr="00091450" w:rsidRDefault="00D1719E" w:rsidP="00091450">
      <w:pPr>
        <w:jc w:val="both"/>
        <w:rPr>
          <w:rFonts w:ascii="Times New Roman" w:hAnsi="Times New Roman" w:cs="Times New Roman"/>
          <w:sz w:val="24"/>
          <w:szCs w:val="24"/>
        </w:rPr>
      </w:pPr>
    </w:p>
    <w:p w14:paraId="7E82DCD7" w14:textId="77777777" w:rsidR="00C35758" w:rsidRPr="00091450" w:rsidRDefault="00C35758" w:rsidP="00091450">
      <w:pPr>
        <w:jc w:val="both"/>
        <w:rPr>
          <w:rFonts w:ascii="Times New Roman" w:hAnsi="Times New Roman" w:cs="Times New Roman"/>
          <w:sz w:val="24"/>
          <w:szCs w:val="24"/>
        </w:rPr>
      </w:pPr>
    </w:p>
    <w:sectPr w:rsidR="00C35758" w:rsidRPr="0009145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5389" w14:textId="77777777" w:rsidR="00882EA5" w:rsidRDefault="00882EA5" w:rsidP="000B1701">
      <w:pPr>
        <w:spacing w:after="0" w:line="240" w:lineRule="auto"/>
      </w:pPr>
      <w:r>
        <w:separator/>
      </w:r>
    </w:p>
  </w:endnote>
  <w:endnote w:type="continuationSeparator" w:id="0">
    <w:p w14:paraId="565800E2" w14:textId="77777777" w:rsidR="00882EA5" w:rsidRDefault="00882EA5" w:rsidP="000B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B4F4" w14:textId="77777777" w:rsidR="000B1701" w:rsidRDefault="000B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B0AF" w14:textId="77777777" w:rsidR="000B1701" w:rsidRDefault="000B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A93C" w14:textId="77777777" w:rsidR="000B1701" w:rsidRDefault="000B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678B" w14:textId="77777777" w:rsidR="00882EA5" w:rsidRDefault="00882EA5" w:rsidP="000B1701">
      <w:pPr>
        <w:spacing w:after="0" w:line="240" w:lineRule="auto"/>
      </w:pPr>
      <w:r>
        <w:separator/>
      </w:r>
    </w:p>
  </w:footnote>
  <w:footnote w:type="continuationSeparator" w:id="0">
    <w:p w14:paraId="3080ACD5" w14:textId="77777777" w:rsidR="00882EA5" w:rsidRDefault="00882EA5" w:rsidP="000B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7953" w14:textId="28158EB7" w:rsidR="000B1701" w:rsidRDefault="000B1701">
    <w:pPr>
      <w:pStyle w:val="Header"/>
    </w:pPr>
    <w:r>
      <w:rPr>
        <w:noProof/>
      </w:rPr>
      <w:pict w14:anchorId="4D393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D0BD" w14:textId="3AC700A9" w:rsidR="000B1701" w:rsidRDefault="000B1701">
    <w:pPr>
      <w:pStyle w:val="Header"/>
    </w:pPr>
    <w:r>
      <w:rPr>
        <w:noProof/>
      </w:rPr>
      <w:pict w14:anchorId="4AD72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4CB3" w14:textId="3864DB5E" w:rsidR="000B1701" w:rsidRDefault="000B1701">
    <w:pPr>
      <w:pStyle w:val="Header"/>
    </w:pPr>
    <w:r>
      <w:rPr>
        <w:noProof/>
      </w:rPr>
      <w:pict w14:anchorId="49ED8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5C65"/>
    <w:multiLevelType w:val="hybridMultilevel"/>
    <w:tmpl w:val="90DA8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79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8D"/>
    <w:rsid w:val="000469F6"/>
    <w:rsid w:val="000473AC"/>
    <w:rsid w:val="00091450"/>
    <w:rsid w:val="000B1701"/>
    <w:rsid w:val="000F62F1"/>
    <w:rsid w:val="0018606A"/>
    <w:rsid w:val="001C17F0"/>
    <w:rsid w:val="001C2F44"/>
    <w:rsid w:val="00284F32"/>
    <w:rsid w:val="002E0028"/>
    <w:rsid w:val="0030724F"/>
    <w:rsid w:val="003465FF"/>
    <w:rsid w:val="003E5201"/>
    <w:rsid w:val="003F1B4F"/>
    <w:rsid w:val="004137DF"/>
    <w:rsid w:val="004F7BFF"/>
    <w:rsid w:val="005E448D"/>
    <w:rsid w:val="00607739"/>
    <w:rsid w:val="00712997"/>
    <w:rsid w:val="0072607D"/>
    <w:rsid w:val="007A3CE6"/>
    <w:rsid w:val="007A5D83"/>
    <w:rsid w:val="00860D5F"/>
    <w:rsid w:val="00867F3E"/>
    <w:rsid w:val="00882EA5"/>
    <w:rsid w:val="00892EBE"/>
    <w:rsid w:val="008B0B3D"/>
    <w:rsid w:val="00921304"/>
    <w:rsid w:val="00937635"/>
    <w:rsid w:val="009606CD"/>
    <w:rsid w:val="00A01486"/>
    <w:rsid w:val="00A068E3"/>
    <w:rsid w:val="00A157C8"/>
    <w:rsid w:val="00B14F79"/>
    <w:rsid w:val="00B310BE"/>
    <w:rsid w:val="00B97010"/>
    <w:rsid w:val="00BA38F0"/>
    <w:rsid w:val="00C16CD2"/>
    <w:rsid w:val="00C35758"/>
    <w:rsid w:val="00CA79CA"/>
    <w:rsid w:val="00CA7C8E"/>
    <w:rsid w:val="00CB46E6"/>
    <w:rsid w:val="00CB4A4C"/>
    <w:rsid w:val="00D1719E"/>
    <w:rsid w:val="00D34C1A"/>
    <w:rsid w:val="00DA2F48"/>
    <w:rsid w:val="00E2286A"/>
    <w:rsid w:val="00E92EB1"/>
    <w:rsid w:val="00EF2DDA"/>
    <w:rsid w:val="00F024C6"/>
    <w:rsid w:val="00F15106"/>
    <w:rsid w:val="00F73BDA"/>
    <w:rsid w:val="00F93492"/>
    <w:rsid w:val="00F94595"/>
    <w:rsid w:val="00FE149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9D3E"/>
  <w15:chartTrackingRefBased/>
  <w15:docId w15:val="{44603AA3-A980-4B2C-AF37-95291E18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ind w:left="964" w:right="96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9E"/>
    <w:pPr>
      <w:spacing w:after="200" w:line="276" w:lineRule="auto"/>
      <w:ind w:left="0" w:right="0"/>
    </w:pPr>
    <w:rPr>
      <w:kern w:val="0"/>
      <w:lang w:val="en-US"/>
      <w14:ligatures w14:val="none"/>
    </w:rPr>
  </w:style>
  <w:style w:type="paragraph" w:styleId="Heading3">
    <w:name w:val="heading 3"/>
    <w:basedOn w:val="Normal"/>
    <w:link w:val="Heading3Char"/>
    <w:uiPriority w:val="9"/>
    <w:qFormat/>
    <w:rsid w:val="00E92EB1"/>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D1719E"/>
    <w:pPr>
      <w:suppressAutoHyphens/>
      <w:spacing w:before="360" w:after="40"/>
      <w:ind w:left="0" w:right="0"/>
      <w:jc w:val="center"/>
    </w:pPr>
    <w:rPr>
      <w:rFonts w:ascii="Times New Roman" w:eastAsia="SimSun" w:hAnsi="Times New Roman" w:cs="Times New Roman"/>
      <w:kern w:val="0"/>
      <w:lang w:val="en-US"/>
      <w14:ligatures w14:val="none"/>
    </w:rPr>
  </w:style>
  <w:style w:type="character" w:customStyle="1" w:styleId="apple-converted-space">
    <w:name w:val="apple-converted-space"/>
    <w:basedOn w:val="DefaultParagraphFont"/>
    <w:rsid w:val="00D1719E"/>
  </w:style>
  <w:style w:type="character" w:styleId="Emphasis">
    <w:name w:val="Emphasis"/>
    <w:basedOn w:val="DefaultParagraphFont"/>
    <w:uiPriority w:val="20"/>
    <w:qFormat/>
    <w:rsid w:val="00D1719E"/>
    <w:rPr>
      <w:i/>
      <w:iCs/>
    </w:rPr>
  </w:style>
  <w:style w:type="character" w:customStyle="1" w:styleId="highlight">
    <w:name w:val="highlight"/>
    <w:basedOn w:val="DefaultParagraphFont"/>
    <w:rsid w:val="00D1719E"/>
  </w:style>
  <w:style w:type="paragraph" w:customStyle="1" w:styleId="western">
    <w:name w:val="western"/>
    <w:basedOn w:val="Normal"/>
    <w:rsid w:val="00CB46E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4C1A"/>
    <w:rPr>
      <w:color w:val="0563C1" w:themeColor="hyperlink"/>
      <w:u w:val="single"/>
    </w:rPr>
  </w:style>
  <w:style w:type="character" w:styleId="UnresolvedMention">
    <w:name w:val="Unresolved Mention"/>
    <w:basedOn w:val="DefaultParagraphFont"/>
    <w:uiPriority w:val="99"/>
    <w:semiHidden/>
    <w:unhideWhenUsed/>
    <w:rsid w:val="00E92EB1"/>
    <w:rPr>
      <w:color w:val="605E5C"/>
      <w:shd w:val="clear" w:color="auto" w:fill="E1DFDD"/>
    </w:rPr>
  </w:style>
  <w:style w:type="character" w:customStyle="1" w:styleId="Heading3Char">
    <w:name w:val="Heading 3 Char"/>
    <w:basedOn w:val="DefaultParagraphFont"/>
    <w:link w:val="Heading3"/>
    <w:uiPriority w:val="9"/>
    <w:rsid w:val="00E92EB1"/>
    <w:rPr>
      <w:rFonts w:ascii="Times New Roman" w:eastAsia="Times New Roman" w:hAnsi="Times New Roman" w:cs="Times New Roman"/>
      <w:b/>
      <w:bCs/>
      <w:kern w:val="0"/>
      <w:sz w:val="27"/>
      <w:szCs w:val="27"/>
      <w:lang w:val="en-GB" w:eastAsia="en-GB"/>
      <w14:ligatures w14:val="none"/>
    </w:rPr>
  </w:style>
  <w:style w:type="character" w:customStyle="1" w:styleId="gd">
    <w:name w:val="gd"/>
    <w:basedOn w:val="DefaultParagraphFont"/>
    <w:rsid w:val="00E92EB1"/>
  </w:style>
  <w:style w:type="paragraph" w:styleId="Header">
    <w:name w:val="header"/>
    <w:basedOn w:val="Normal"/>
    <w:link w:val="HeaderChar"/>
    <w:uiPriority w:val="99"/>
    <w:unhideWhenUsed/>
    <w:rsid w:val="000B1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01"/>
    <w:rPr>
      <w:kern w:val="0"/>
      <w:lang w:val="en-US"/>
      <w14:ligatures w14:val="none"/>
    </w:rPr>
  </w:style>
  <w:style w:type="paragraph" w:styleId="Footer">
    <w:name w:val="footer"/>
    <w:basedOn w:val="Normal"/>
    <w:link w:val="FooterChar"/>
    <w:uiPriority w:val="99"/>
    <w:unhideWhenUsed/>
    <w:rsid w:val="000B1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01"/>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searchgate.net/researcher/54613587_GK_Bhatt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researchgate.net/researcher/5829068_R_Sandhi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gate.net/researcher/54613587_GK_Bhatt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researchgate.net/researcher/5829068_R_Sandhi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Editor-23</cp:lastModifiedBy>
  <cp:revision>31</cp:revision>
  <dcterms:created xsi:type="dcterms:W3CDTF">2023-11-29T06:02:00Z</dcterms:created>
  <dcterms:modified xsi:type="dcterms:W3CDTF">2023-12-01T07:01:00Z</dcterms:modified>
</cp:coreProperties>
</file>