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46BD" w14:textId="77777777" w:rsidR="00AF6E44" w:rsidRPr="00576A02" w:rsidRDefault="00AF6E44" w:rsidP="00AF6E44">
      <w:pPr>
        <w:spacing w:before="240" w:after="0"/>
        <w:jc w:val="right"/>
        <w:rPr>
          <w:rFonts w:ascii="Arial" w:hAnsi="Arial" w:cs="Arial"/>
          <w:b/>
          <w:bCs/>
          <w:sz w:val="28"/>
          <w:szCs w:val="22"/>
        </w:rPr>
      </w:pPr>
    </w:p>
    <w:p w14:paraId="1395E7D6" w14:textId="113BD99B" w:rsidR="00B80456" w:rsidRPr="00561FAD" w:rsidRDefault="00B80456" w:rsidP="00AF6E44">
      <w:pPr>
        <w:spacing w:before="240" w:after="0"/>
        <w:jc w:val="right"/>
        <w:rPr>
          <w:rFonts w:ascii="Arial" w:hAnsi="Arial" w:cs="Arial"/>
          <w:b/>
          <w:bCs/>
          <w:sz w:val="32"/>
          <w:szCs w:val="24"/>
        </w:rPr>
      </w:pPr>
      <w:r w:rsidRPr="00561FAD">
        <w:rPr>
          <w:rFonts w:ascii="Arial" w:hAnsi="Arial" w:cs="Arial"/>
          <w:b/>
          <w:bCs/>
          <w:sz w:val="32"/>
          <w:szCs w:val="24"/>
        </w:rPr>
        <w:t>Chlorpyrifos</w:t>
      </w:r>
      <w:r w:rsidR="00B517BD">
        <w:rPr>
          <w:rFonts w:ascii="Arial" w:hAnsi="Arial" w:cs="Arial"/>
          <w:b/>
          <w:bCs/>
          <w:sz w:val="32"/>
          <w:szCs w:val="24"/>
        </w:rPr>
        <w:t>-</w:t>
      </w:r>
      <w:r w:rsidRPr="00561FAD">
        <w:rPr>
          <w:rFonts w:ascii="Arial" w:hAnsi="Arial" w:cs="Arial"/>
          <w:b/>
          <w:bCs/>
          <w:sz w:val="32"/>
          <w:szCs w:val="24"/>
        </w:rPr>
        <w:t xml:space="preserve">Induced </w:t>
      </w:r>
      <w:r w:rsidR="00B517BD">
        <w:rPr>
          <w:rFonts w:ascii="Arial" w:hAnsi="Arial" w:cs="Arial"/>
          <w:b/>
          <w:bCs/>
          <w:sz w:val="32"/>
          <w:szCs w:val="24"/>
        </w:rPr>
        <w:t>Haematot</w:t>
      </w:r>
      <w:r w:rsidRPr="00561FAD">
        <w:rPr>
          <w:rFonts w:ascii="Arial" w:hAnsi="Arial" w:cs="Arial"/>
          <w:b/>
          <w:bCs/>
          <w:sz w:val="32"/>
          <w:szCs w:val="24"/>
        </w:rPr>
        <w:t xml:space="preserve">oxicity </w:t>
      </w:r>
      <w:r w:rsidR="00B517BD">
        <w:rPr>
          <w:rFonts w:ascii="Arial" w:hAnsi="Arial" w:cs="Arial"/>
          <w:b/>
          <w:bCs/>
          <w:sz w:val="32"/>
          <w:szCs w:val="24"/>
        </w:rPr>
        <w:t xml:space="preserve">in </w:t>
      </w:r>
      <w:r w:rsidRPr="00561FAD">
        <w:rPr>
          <w:rFonts w:ascii="Arial" w:hAnsi="Arial" w:cs="Arial"/>
          <w:b/>
          <w:bCs/>
          <w:i/>
          <w:iCs/>
          <w:sz w:val="32"/>
          <w:szCs w:val="24"/>
        </w:rPr>
        <w:t xml:space="preserve">Mus musculus </w:t>
      </w:r>
      <w:r w:rsidRPr="00561FAD">
        <w:rPr>
          <w:rFonts w:ascii="Arial" w:hAnsi="Arial" w:cs="Arial"/>
          <w:b/>
          <w:bCs/>
          <w:sz w:val="32"/>
          <w:szCs w:val="24"/>
        </w:rPr>
        <w:t xml:space="preserve">and </w:t>
      </w:r>
      <w:r w:rsidR="00B517BD">
        <w:rPr>
          <w:rFonts w:ascii="Arial" w:hAnsi="Arial" w:cs="Arial"/>
          <w:b/>
          <w:bCs/>
          <w:sz w:val="32"/>
          <w:szCs w:val="24"/>
        </w:rPr>
        <w:t>Ameliorative</w:t>
      </w:r>
      <w:r w:rsidRPr="00561FAD">
        <w:rPr>
          <w:rFonts w:ascii="Arial" w:hAnsi="Arial" w:cs="Arial"/>
          <w:b/>
          <w:bCs/>
          <w:sz w:val="32"/>
          <w:szCs w:val="24"/>
        </w:rPr>
        <w:t xml:space="preserve"> Role of </w:t>
      </w:r>
      <w:r w:rsidRPr="00561FAD">
        <w:rPr>
          <w:rFonts w:ascii="Arial" w:hAnsi="Arial" w:cs="Arial"/>
          <w:b/>
          <w:bCs/>
          <w:i/>
          <w:iCs/>
          <w:sz w:val="32"/>
          <w:szCs w:val="24"/>
        </w:rPr>
        <w:t xml:space="preserve">Allium sativum </w:t>
      </w:r>
      <w:r w:rsidRPr="00561FAD">
        <w:rPr>
          <w:rFonts w:ascii="Arial" w:hAnsi="Arial" w:cs="Arial"/>
          <w:b/>
          <w:bCs/>
          <w:sz w:val="32"/>
          <w:szCs w:val="24"/>
        </w:rPr>
        <w:t>Extract</w:t>
      </w:r>
    </w:p>
    <w:p w14:paraId="3D917B89" w14:textId="77777777" w:rsidR="00AF6E44" w:rsidRPr="00576A02" w:rsidRDefault="00AF6E44" w:rsidP="00AF6E44">
      <w:pPr>
        <w:spacing w:before="240" w:after="0"/>
        <w:jc w:val="right"/>
        <w:rPr>
          <w:rFonts w:ascii="Arial" w:hAnsi="Arial" w:cs="Arial"/>
          <w:i/>
          <w:iCs/>
          <w:sz w:val="20"/>
          <w:szCs w:val="16"/>
        </w:rPr>
      </w:pPr>
    </w:p>
    <w:p w14:paraId="2BDE50A6" w14:textId="77777777" w:rsidR="00AF6E44" w:rsidRPr="00576A02" w:rsidRDefault="00B80456" w:rsidP="00AF6E44">
      <w:pPr>
        <w:spacing w:before="240" w:after="0"/>
        <w:jc w:val="both"/>
        <w:rPr>
          <w:rFonts w:ascii="Arial" w:hAnsi="Arial" w:cs="Arial"/>
          <w:b/>
          <w:bCs/>
        </w:rPr>
      </w:pPr>
      <w:r w:rsidRPr="00576A02">
        <w:rPr>
          <w:rFonts w:ascii="Arial" w:hAnsi="Arial" w:cs="Arial"/>
          <w:b/>
          <w:bCs/>
          <w:sz w:val="22"/>
          <w:szCs w:val="18"/>
        </w:rPr>
        <w:t>ABSTRACT</w:t>
      </w:r>
    </w:p>
    <w:p w14:paraId="174CC9D0" w14:textId="45A64C63" w:rsidR="00B80456" w:rsidRDefault="00B80456" w:rsidP="00AF6E44">
      <w:pPr>
        <w:spacing w:before="240" w:after="0"/>
        <w:jc w:val="both"/>
        <w:rPr>
          <w:rFonts w:ascii="Arial" w:hAnsi="Arial" w:cs="Arial"/>
          <w:sz w:val="20"/>
          <w:szCs w:val="16"/>
        </w:rPr>
      </w:pPr>
      <w:r w:rsidRPr="00576A02">
        <w:rPr>
          <w:rFonts w:ascii="Arial" w:hAnsi="Arial" w:cs="Arial"/>
          <w:sz w:val="20"/>
          <w:szCs w:val="16"/>
        </w:rPr>
        <w:t>Chlorpyrifos (CPF) is a widely used organophosp</w:t>
      </w:r>
      <w:r w:rsidR="00D61932">
        <w:rPr>
          <w:rFonts w:ascii="Arial" w:hAnsi="Arial" w:cs="Arial"/>
          <w:sz w:val="20"/>
          <w:szCs w:val="16"/>
        </w:rPr>
        <w:t>hate</w:t>
      </w:r>
      <w:r w:rsidRPr="00576A02">
        <w:rPr>
          <w:rFonts w:ascii="Arial" w:hAnsi="Arial" w:cs="Arial"/>
          <w:sz w:val="20"/>
          <w:szCs w:val="16"/>
        </w:rPr>
        <w:t xml:space="preserve"> insecticide and has been associated with multiple toxic effects in non-target organisms. The present study investigates the sub-chronic haematotoxicity of CPF (6 mg/kg; 1/10 LD</w:t>
      </w:r>
      <w:r w:rsidR="00A56D1C" w:rsidRPr="00576A02">
        <w:rPr>
          <w:rFonts w:ascii="Arial" w:hAnsi="Arial" w:cs="Arial"/>
          <w:sz w:val="20"/>
          <w:szCs w:val="16"/>
        </w:rPr>
        <w:t>50</w:t>
      </w:r>
      <w:r w:rsidRPr="00576A02">
        <w:rPr>
          <w:rFonts w:ascii="Arial" w:hAnsi="Arial" w:cs="Arial"/>
          <w:sz w:val="20"/>
          <w:szCs w:val="16"/>
        </w:rPr>
        <w:t xml:space="preserve">) in </w:t>
      </w:r>
      <w:r w:rsidRPr="00576A02">
        <w:rPr>
          <w:rStyle w:val="Emphasis"/>
          <w:rFonts w:ascii="Arial" w:hAnsi="Arial" w:cs="Arial"/>
          <w:sz w:val="20"/>
          <w:szCs w:val="16"/>
        </w:rPr>
        <w:t>Mus musculus</w:t>
      </w:r>
      <w:r w:rsidRPr="00576A02">
        <w:rPr>
          <w:rFonts w:ascii="Arial" w:hAnsi="Arial" w:cs="Arial"/>
          <w:sz w:val="20"/>
          <w:szCs w:val="16"/>
        </w:rPr>
        <w:t xml:space="preserve"> and the ameliorative potential of </w:t>
      </w:r>
      <w:r w:rsidRPr="00576A02">
        <w:rPr>
          <w:rStyle w:val="Emphasis"/>
          <w:rFonts w:ascii="Arial" w:hAnsi="Arial" w:cs="Arial"/>
          <w:sz w:val="20"/>
          <w:szCs w:val="16"/>
        </w:rPr>
        <w:t>Allium sativum</w:t>
      </w:r>
      <w:r w:rsidRPr="00576A02">
        <w:rPr>
          <w:rFonts w:ascii="Arial" w:hAnsi="Arial" w:cs="Arial"/>
          <w:sz w:val="20"/>
          <w:szCs w:val="16"/>
        </w:rPr>
        <w:t xml:space="preserve"> aqueous extract (200 mg/kg). Total Erythrocyte Count (TEC) declined by 29.22% after 42 days, accompanied by a 16.85% reduction in haemoglobin percentage (Hb%)</w:t>
      </w:r>
      <w:r w:rsidR="00D61932">
        <w:rPr>
          <w:rFonts w:ascii="Arial" w:hAnsi="Arial" w:cs="Arial"/>
          <w:sz w:val="20"/>
          <w:szCs w:val="16"/>
        </w:rPr>
        <w:t>.</w:t>
      </w:r>
      <w:r w:rsidRPr="00576A02">
        <w:rPr>
          <w:rFonts w:ascii="Arial" w:hAnsi="Arial" w:cs="Arial"/>
          <w:sz w:val="20"/>
          <w:szCs w:val="16"/>
        </w:rPr>
        <w:t xml:space="preserve"> </w:t>
      </w:r>
      <w:r w:rsidR="00D61932">
        <w:rPr>
          <w:rFonts w:ascii="Arial" w:hAnsi="Arial" w:cs="Arial"/>
          <w:sz w:val="20"/>
          <w:szCs w:val="16"/>
        </w:rPr>
        <w:t>There was</w:t>
      </w:r>
      <w:r w:rsidRPr="00576A02">
        <w:rPr>
          <w:rFonts w:ascii="Arial" w:hAnsi="Arial" w:cs="Arial"/>
          <w:sz w:val="20"/>
          <w:szCs w:val="16"/>
        </w:rPr>
        <w:t xml:space="preserve"> a marked decrease in Packed Cell Volume (PCV). Moreover, CPF treatment led to a pronounced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with Total Leukocyte Count (TLC) increasing by over 100% after 42 days, suggestive of systemic inflammation and immune stress. Natural recovery post-CPF exposure showed only marginal and statistically insignificant improvements in haematological parameters. However, </w:t>
      </w:r>
      <w:r w:rsidRPr="00576A02">
        <w:rPr>
          <w:rStyle w:val="Emphasis"/>
          <w:rFonts w:ascii="Arial" w:hAnsi="Arial" w:cs="Arial"/>
          <w:sz w:val="20"/>
          <w:szCs w:val="16"/>
        </w:rPr>
        <w:t>A. sativum</w:t>
      </w:r>
      <w:r w:rsidRPr="00576A02">
        <w:rPr>
          <w:rFonts w:ascii="Arial" w:hAnsi="Arial" w:cs="Arial"/>
          <w:sz w:val="20"/>
          <w:szCs w:val="16"/>
        </w:rPr>
        <w:t xml:space="preserve"> administration resulted in significant ameliorative effect by restoring TEC, PCV and TLC levels, while offering partial improvement in Hb% and erythrocyte indices. These findings demonstrate that sub-lethal CPF exposure might induce anaemia, macrocytic alterations and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in mice, indicating oxidative and immunological stress. The study further highlights the protective role of </w:t>
      </w:r>
      <w:r w:rsidRPr="00576A02">
        <w:rPr>
          <w:rStyle w:val="Emphasis"/>
          <w:rFonts w:ascii="Arial" w:hAnsi="Arial" w:cs="Arial"/>
          <w:sz w:val="20"/>
          <w:szCs w:val="16"/>
        </w:rPr>
        <w:t>A. sativum</w:t>
      </w:r>
      <w:r w:rsidRPr="00576A02">
        <w:rPr>
          <w:rFonts w:ascii="Arial" w:hAnsi="Arial" w:cs="Arial"/>
          <w:sz w:val="20"/>
          <w:szCs w:val="16"/>
        </w:rPr>
        <w:t xml:space="preserve"> in mitigating CPF-induced haematotoxicity, attributable to its antioxidant and immunomodulatory properties and supporting its potential as a natural therapeutic.</w:t>
      </w:r>
    </w:p>
    <w:p w14:paraId="7F52DCB5" w14:textId="1D5160DD" w:rsidR="009F16A3" w:rsidRPr="009F16A3" w:rsidRDefault="009F16A3" w:rsidP="00AF6E44">
      <w:pPr>
        <w:spacing w:before="240" w:after="0"/>
        <w:jc w:val="both"/>
        <w:rPr>
          <w:rFonts w:ascii="Arial" w:hAnsi="Arial" w:cs="Arial"/>
          <w:b/>
          <w:bCs/>
          <w:i/>
          <w:iCs/>
          <w:sz w:val="20"/>
          <w:szCs w:val="16"/>
        </w:rPr>
      </w:pPr>
      <w:r>
        <w:rPr>
          <w:rFonts w:ascii="Arial" w:hAnsi="Arial" w:cs="Arial"/>
          <w:i/>
          <w:iCs/>
          <w:sz w:val="20"/>
          <w:szCs w:val="16"/>
        </w:rPr>
        <w:t xml:space="preserve">Keywords: Chlorpyrifos, Allium sativum, Haematotoxicity, </w:t>
      </w:r>
      <w:r w:rsidR="00D06B07">
        <w:rPr>
          <w:rFonts w:ascii="Arial" w:hAnsi="Arial" w:cs="Arial"/>
          <w:i/>
          <w:iCs/>
          <w:sz w:val="20"/>
          <w:szCs w:val="16"/>
        </w:rPr>
        <w:t>Amelioration</w:t>
      </w:r>
    </w:p>
    <w:p w14:paraId="23E1BF1A" w14:textId="1F6F6455" w:rsidR="00B80456" w:rsidRPr="00576A02" w:rsidRDefault="00D85D23" w:rsidP="00D85D23">
      <w:pPr>
        <w:spacing w:before="240" w:after="0"/>
        <w:rPr>
          <w:rFonts w:ascii="Arial" w:hAnsi="Arial" w:cs="Arial"/>
          <w:b/>
          <w:bCs/>
          <w:sz w:val="22"/>
          <w:szCs w:val="18"/>
        </w:rPr>
      </w:pPr>
      <w:r w:rsidRPr="00576A02">
        <w:rPr>
          <w:rFonts w:ascii="Arial" w:hAnsi="Arial" w:cs="Arial"/>
          <w:b/>
          <w:bCs/>
          <w:sz w:val="22"/>
          <w:szCs w:val="18"/>
        </w:rPr>
        <w:t xml:space="preserve">1. </w:t>
      </w:r>
      <w:r w:rsidR="00A56D1C" w:rsidRPr="00576A02">
        <w:rPr>
          <w:rFonts w:ascii="Arial" w:hAnsi="Arial" w:cs="Arial"/>
          <w:b/>
          <w:bCs/>
          <w:sz w:val="22"/>
          <w:szCs w:val="18"/>
        </w:rPr>
        <w:t>INTRODUCTION</w:t>
      </w:r>
    </w:p>
    <w:p w14:paraId="266D14CD" w14:textId="3A5B0186" w:rsidR="00B80456" w:rsidRPr="00576A02" w:rsidRDefault="00B80456" w:rsidP="00AF6E44">
      <w:pPr>
        <w:spacing w:before="240" w:after="0"/>
        <w:jc w:val="both"/>
        <w:rPr>
          <w:rFonts w:ascii="Arial" w:eastAsia="Times New Roman" w:hAnsi="Arial" w:cs="Arial"/>
          <w:sz w:val="20"/>
        </w:rPr>
      </w:pPr>
      <w:r w:rsidRPr="00576A02">
        <w:rPr>
          <w:rFonts w:ascii="Arial" w:hAnsi="Arial" w:cs="Arial"/>
          <w:sz w:val="20"/>
          <w:szCs w:val="16"/>
        </w:rPr>
        <w:t>Chlorpyrifos (CPF) is a broad-spectrum organophosphorus (OP) insecticide with non-systemic action which is widely used in the agricultural fields. According to Ministry of Agriculture and Farmer’s Welfare, the consumption of CPF has increased from 7858.34 to 8828.41 metric ton in 2022-23. CPF has been associated with various toxic effects in non-target organisms, including mammals where it exerts its toxicity through inhibition of acetylcholinesterase activity (Naughton and Terry, 2018). Beyond neurotoxicity, CPF is also associated with nephrotoxicity (Tripathi and Srivastav, 2010), reproductive toxicity (Joshi et al., 2007), hepatotoxicity (Divyanshu et al., 2025), cardiovascular toxicity (</w:t>
      </w:r>
      <w:proofErr w:type="spellStart"/>
      <w:r w:rsidRPr="00576A02">
        <w:rPr>
          <w:rFonts w:ascii="Arial" w:hAnsi="Arial" w:cs="Arial"/>
          <w:sz w:val="20"/>
          <w:szCs w:val="16"/>
        </w:rPr>
        <w:t>Mesbahzadeh</w:t>
      </w:r>
      <w:proofErr w:type="spellEnd"/>
      <w:r w:rsidRPr="00576A02">
        <w:rPr>
          <w:rFonts w:ascii="Arial" w:hAnsi="Arial" w:cs="Arial"/>
          <w:sz w:val="20"/>
          <w:szCs w:val="16"/>
        </w:rPr>
        <w:t xml:space="preserve"> et al., 2021) and immunotoxicity (Galloway and Handy, 2003). Little work has been done so far on the haematotoxic effect of CPF by few workers (Verma et al., 2007; </w:t>
      </w:r>
      <w:proofErr w:type="spellStart"/>
      <w:r w:rsidR="00E43F49" w:rsidRPr="00D46939">
        <w:rPr>
          <w:rFonts w:ascii="Arial" w:hAnsi="Arial" w:cs="Arial"/>
          <w:sz w:val="20"/>
        </w:rPr>
        <w:t>Kašuba</w:t>
      </w:r>
      <w:proofErr w:type="spellEnd"/>
      <w:r w:rsidRPr="00576A02">
        <w:rPr>
          <w:rFonts w:ascii="Arial" w:hAnsi="Arial" w:cs="Arial"/>
          <w:sz w:val="20"/>
          <w:szCs w:val="16"/>
        </w:rPr>
        <w:t xml:space="preserve"> et al., 20</w:t>
      </w:r>
      <w:r w:rsidR="00E43F49">
        <w:rPr>
          <w:rFonts w:ascii="Arial" w:hAnsi="Arial" w:cs="Arial"/>
          <w:sz w:val="20"/>
          <w:szCs w:val="16"/>
        </w:rPr>
        <w:t>22</w:t>
      </w:r>
      <w:r w:rsidRPr="00576A02">
        <w:rPr>
          <w:rFonts w:ascii="Arial" w:hAnsi="Arial" w:cs="Arial"/>
          <w:sz w:val="20"/>
          <w:szCs w:val="16"/>
        </w:rPr>
        <w:t>).</w:t>
      </w:r>
      <w:r w:rsidRPr="00576A02">
        <w:rPr>
          <w:rFonts w:ascii="Arial" w:eastAsia="Times New Roman" w:hAnsi="Arial" w:cs="Arial"/>
          <w:sz w:val="20"/>
        </w:rPr>
        <w:t xml:space="preserve"> Therefore, evaluation of blood indices is vital in determining the sub-lethal effects of CPF, since blood is a primary medium of interaction between internal physiological systems and external toxicants (</w:t>
      </w:r>
      <w:proofErr w:type="spellStart"/>
      <w:r w:rsidR="00B57720" w:rsidRPr="006E45A6">
        <w:rPr>
          <w:rFonts w:ascii="Arial" w:hAnsi="Arial" w:cs="Arial"/>
          <w:sz w:val="20"/>
          <w:szCs w:val="16"/>
        </w:rPr>
        <w:t>Bunsri</w:t>
      </w:r>
      <w:proofErr w:type="spellEnd"/>
      <w:r w:rsidR="00B57720">
        <w:rPr>
          <w:rFonts w:ascii="Arial" w:hAnsi="Arial" w:cs="Arial"/>
          <w:sz w:val="20"/>
          <w:szCs w:val="16"/>
        </w:rPr>
        <w:t xml:space="preserve"> and</w:t>
      </w:r>
      <w:r w:rsidR="00B57720" w:rsidRPr="006E45A6">
        <w:rPr>
          <w:rFonts w:ascii="Arial" w:hAnsi="Arial" w:cs="Arial"/>
          <w:sz w:val="20"/>
          <w:szCs w:val="16"/>
        </w:rPr>
        <w:t xml:space="preserve"> </w:t>
      </w:r>
      <w:proofErr w:type="spellStart"/>
      <w:r w:rsidR="00B57720" w:rsidRPr="006E45A6">
        <w:rPr>
          <w:rFonts w:ascii="Arial" w:hAnsi="Arial" w:cs="Arial"/>
          <w:sz w:val="20"/>
          <w:szCs w:val="16"/>
        </w:rPr>
        <w:t>Wongsopawiroj</w:t>
      </w:r>
      <w:proofErr w:type="spellEnd"/>
      <w:r w:rsidR="00B57720">
        <w:rPr>
          <w:rFonts w:ascii="Arial" w:hAnsi="Arial" w:cs="Arial"/>
          <w:sz w:val="20"/>
          <w:szCs w:val="16"/>
        </w:rPr>
        <w:t>, 2023</w:t>
      </w:r>
      <w:r w:rsidRPr="00576A02">
        <w:rPr>
          <w:rFonts w:ascii="Arial" w:eastAsia="Times New Roman" w:hAnsi="Arial" w:cs="Arial"/>
          <w:sz w:val="20"/>
        </w:rPr>
        <w:t>).</w:t>
      </w:r>
    </w:p>
    <w:p w14:paraId="41C3B378" w14:textId="77777777" w:rsidR="00B80456" w:rsidRPr="00576A02" w:rsidRDefault="00B80456" w:rsidP="00A56D1C">
      <w:pPr>
        <w:spacing w:before="240" w:after="0"/>
        <w:jc w:val="both"/>
        <w:rPr>
          <w:rFonts w:ascii="Arial" w:eastAsia="Times New Roman" w:hAnsi="Arial" w:cs="Arial"/>
          <w:sz w:val="20"/>
        </w:rPr>
      </w:pPr>
      <w:r w:rsidRPr="00576A02">
        <w:rPr>
          <w:rFonts w:ascii="Arial" w:eastAsia="Times New Roman" w:hAnsi="Arial" w:cs="Arial"/>
          <w:sz w:val="20"/>
        </w:rPr>
        <w:t>In toxicological research, haematological parameters such as total leukocyte count (TLC), total erythrocyte count (TEC), haemoglobin percentage (Hb%), packed cell volume (PCV), mean corpuscular volume (MCV), mean corpuscular haemoglobin (MCH) and mean corpuscular haemoglobin concentration (MCHC) provide critical insights into the hematopoietic and immunological impacts of xenobiotics (Jain, 1993; Ghai, 2019). These parameters are not only indicative of the overall health status but also reflect the body’s response to oxidative stress, inflammation, anaemia and immunosuppression often associated with chemical exposure.</w:t>
      </w:r>
    </w:p>
    <w:p w14:paraId="0BC8E8E0" w14:textId="21F08149" w:rsidR="00B80456" w:rsidRPr="00576A02" w:rsidRDefault="00B80456" w:rsidP="00A56D1C">
      <w:pPr>
        <w:spacing w:before="240" w:after="0"/>
        <w:jc w:val="both"/>
        <w:rPr>
          <w:rFonts w:ascii="Arial" w:eastAsia="Times New Roman" w:hAnsi="Arial" w:cs="Arial"/>
          <w:sz w:val="20"/>
        </w:rPr>
      </w:pPr>
      <w:r w:rsidRPr="00576A02">
        <w:rPr>
          <w:rFonts w:ascii="Arial" w:eastAsia="Times New Roman" w:hAnsi="Arial" w:cs="Arial"/>
          <w:sz w:val="20"/>
        </w:rPr>
        <w:t>TLC serves as a measure of immune competence and inflammation, while other erythrocyte profiles (TEC, Hb%, PCV) indicate the oxygen-carrying capacity and anaemic condition. The erythrocyte indices viz. MCV, MCH, and MCHC, indicates the nature of erythrocyte damage (Sarma, 1990). Alterations in these parameters under pesticide exposure, often signal direct or indirect effects on bone marrow function, oxidative damage to red cells, or immune suppression (Kalender et al., 2006).</w:t>
      </w:r>
    </w:p>
    <w:p w14:paraId="359A8A87" w14:textId="523DB8AE" w:rsidR="00B80456" w:rsidRPr="00576A02" w:rsidRDefault="00B80456" w:rsidP="00A56D1C">
      <w:pPr>
        <w:spacing w:before="240" w:after="0"/>
        <w:jc w:val="both"/>
        <w:rPr>
          <w:rFonts w:ascii="Arial" w:hAnsi="Arial" w:cs="Arial"/>
          <w:sz w:val="20"/>
          <w:szCs w:val="16"/>
        </w:rPr>
      </w:pPr>
      <w:r w:rsidRPr="00576A02">
        <w:rPr>
          <w:rStyle w:val="Emphasis"/>
          <w:rFonts w:ascii="Arial" w:hAnsi="Arial" w:cs="Arial"/>
          <w:i w:val="0"/>
          <w:iCs w:val="0"/>
          <w:sz w:val="20"/>
          <w:szCs w:val="16"/>
        </w:rPr>
        <w:t xml:space="preserve">The restitutive properties of several herbs and spices viz. </w:t>
      </w:r>
      <w:r w:rsidRPr="00576A02">
        <w:rPr>
          <w:rStyle w:val="Emphasis"/>
          <w:rFonts w:ascii="Arial" w:hAnsi="Arial" w:cs="Arial"/>
          <w:sz w:val="20"/>
          <w:szCs w:val="16"/>
        </w:rPr>
        <w:t>Cuminum cyminum</w:t>
      </w:r>
      <w:r w:rsidRPr="00576A02">
        <w:rPr>
          <w:rStyle w:val="Emphasis"/>
          <w:rFonts w:ascii="Arial" w:hAnsi="Arial" w:cs="Arial"/>
          <w:i w:val="0"/>
          <w:iCs w:val="0"/>
          <w:sz w:val="20"/>
          <w:szCs w:val="16"/>
        </w:rPr>
        <w:t xml:space="preserve">, </w:t>
      </w:r>
      <w:r w:rsidRPr="00576A02">
        <w:rPr>
          <w:rStyle w:val="Emphasis"/>
          <w:rFonts w:ascii="Arial" w:hAnsi="Arial" w:cs="Arial"/>
          <w:sz w:val="20"/>
          <w:szCs w:val="16"/>
        </w:rPr>
        <w:t>Curcuma longa</w:t>
      </w:r>
      <w:r w:rsidRPr="00576A02">
        <w:rPr>
          <w:rStyle w:val="Emphasis"/>
          <w:rFonts w:ascii="Arial" w:hAnsi="Arial" w:cs="Arial"/>
          <w:i w:val="0"/>
          <w:iCs w:val="0"/>
          <w:sz w:val="20"/>
          <w:szCs w:val="16"/>
        </w:rPr>
        <w:t xml:space="preserve"> and </w:t>
      </w:r>
      <w:r w:rsidRPr="00576A02">
        <w:rPr>
          <w:rStyle w:val="Emphasis"/>
          <w:rFonts w:ascii="Arial" w:hAnsi="Arial" w:cs="Arial"/>
          <w:sz w:val="20"/>
          <w:szCs w:val="16"/>
        </w:rPr>
        <w:t xml:space="preserve">Allium sativum </w:t>
      </w:r>
      <w:r w:rsidRPr="00576A02">
        <w:rPr>
          <w:rStyle w:val="Emphasis"/>
          <w:rFonts w:ascii="Arial" w:hAnsi="Arial" w:cs="Arial"/>
          <w:i w:val="0"/>
          <w:iCs w:val="0"/>
          <w:sz w:val="20"/>
          <w:szCs w:val="16"/>
        </w:rPr>
        <w:t>have been reported by several workers (</w:t>
      </w:r>
      <w:r w:rsidR="00657352" w:rsidRPr="00576A02">
        <w:rPr>
          <w:rStyle w:val="Emphasis"/>
          <w:rFonts w:ascii="Arial" w:hAnsi="Arial" w:cs="Arial"/>
          <w:i w:val="0"/>
          <w:iCs w:val="0"/>
          <w:sz w:val="20"/>
          <w:szCs w:val="16"/>
        </w:rPr>
        <w:t>Iqbal et al., 2024</w:t>
      </w:r>
      <w:r w:rsidR="00657352">
        <w:rPr>
          <w:rStyle w:val="Emphasis"/>
          <w:rFonts w:ascii="Arial" w:hAnsi="Arial" w:cs="Arial"/>
          <w:i w:val="0"/>
          <w:iCs w:val="0"/>
          <w:sz w:val="20"/>
          <w:szCs w:val="16"/>
        </w:rPr>
        <w:t xml:space="preserve">; </w:t>
      </w:r>
      <w:r w:rsidRPr="00576A02">
        <w:rPr>
          <w:rStyle w:val="Emphasis"/>
          <w:rFonts w:ascii="Arial" w:hAnsi="Arial" w:cs="Arial"/>
          <w:i w:val="0"/>
          <w:iCs w:val="0"/>
          <w:sz w:val="20"/>
          <w:szCs w:val="16"/>
        </w:rPr>
        <w:t xml:space="preserve">Sarfaraz et al., 2024; </w:t>
      </w:r>
      <w:r w:rsidRPr="00576A02">
        <w:rPr>
          <w:rStyle w:val="Emphasis"/>
          <w:rFonts w:ascii="Arial" w:hAnsi="Arial" w:cs="Arial"/>
          <w:i w:val="0"/>
          <w:iCs w:val="0"/>
          <w:sz w:val="20"/>
          <w:szCs w:val="16"/>
        </w:rPr>
        <w:lastRenderedPageBreak/>
        <w:t xml:space="preserve">Divyanshu et al., 2022, 2025). </w:t>
      </w:r>
      <w:r w:rsidRPr="00576A02">
        <w:rPr>
          <w:rStyle w:val="Emphasis"/>
          <w:rFonts w:ascii="Arial" w:hAnsi="Arial" w:cs="Arial"/>
          <w:sz w:val="20"/>
          <w:szCs w:val="16"/>
        </w:rPr>
        <w:t>Allium sativum</w:t>
      </w:r>
      <w:r w:rsidRPr="00576A02">
        <w:rPr>
          <w:rFonts w:ascii="Arial" w:hAnsi="Arial" w:cs="Arial"/>
          <w:sz w:val="20"/>
          <w:szCs w:val="16"/>
        </w:rPr>
        <w:t xml:space="preserve"> L. (garlic) has been used for centuries as a culinary spice and also as a medicinal remedy in various traditional systems including Ayurveda, Chinese medicine, and ethnoveterinary practices (El-</w:t>
      </w:r>
      <w:proofErr w:type="spellStart"/>
      <w:r w:rsidRPr="00576A02">
        <w:rPr>
          <w:rFonts w:ascii="Arial" w:hAnsi="Arial" w:cs="Arial"/>
          <w:sz w:val="20"/>
          <w:szCs w:val="16"/>
        </w:rPr>
        <w:t>Saadony</w:t>
      </w:r>
      <w:proofErr w:type="spellEnd"/>
      <w:r w:rsidRPr="00576A02">
        <w:rPr>
          <w:rFonts w:ascii="Arial" w:hAnsi="Arial" w:cs="Arial"/>
          <w:sz w:val="20"/>
          <w:szCs w:val="16"/>
        </w:rPr>
        <w:t xml:space="preserve"> et al., 2024). Its therapeutic potential is attributed to a rich composition of sulphur-containing bioactive compounds such as allicin, diallyl disulphide, diallyl trisulphide, S-allyl cysteine and alliin, which are generated through the enzymatic action of alliinase upon crushing or chopping garlic cloves (Bayan et al., 2014; </w:t>
      </w:r>
      <w:r w:rsidR="001C6CC0" w:rsidRPr="00451A45">
        <w:rPr>
          <w:rFonts w:ascii="Arial" w:hAnsi="Arial" w:cs="Arial"/>
          <w:sz w:val="20"/>
        </w:rPr>
        <w:t>Okoro</w:t>
      </w:r>
      <w:r w:rsidRPr="00576A02">
        <w:rPr>
          <w:rFonts w:ascii="Arial" w:hAnsi="Arial" w:cs="Arial"/>
          <w:sz w:val="20"/>
          <w:szCs w:val="16"/>
        </w:rPr>
        <w:t xml:space="preserve"> et al., 2023). These organosulphur compounds exhibit diverse pharmacological activities, including antioxidant, anti-inflammatory, antimicrobial, cardioprotective, hypolipidemic, antidiabetic, anticancer, hepatoprotective, neuroprotective and </w:t>
      </w:r>
      <w:proofErr w:type="spellStart"/>
      <w:r w:rsidRPr="00576A02">
        <w:rPr>
          <w:rFonts w:ascii="Arial" w:hAnsi="Arial" w:cs="Arial"/>
          <w:sz w:val="20"/>
          <w:szCs w:val="16"/>
        </w:rPr>
        <w:t>renoprotective</w:t>
      </w:r>
      <w:proofErr w:type="spellEnd"/>
      <w:r w:rsidRPr="00576A02">
        <w:rPr>
          <w:rFonts w:ascii="Arial" w:hAnsi="Arial" w:cs="Arial"/>
          <w:sz w:val="20"/>
          <w:szCs w:val="16"/>
        </w:rPr>
        <w:t xml:space="preserve"> effects (Bayan et al., 2014; Divyanshu et al., 2022; El-</w:t>
      </w:r>
      <w:proofErr w:type="spellStart"/>
      <w:r w:rsidRPr="00576A02">
        <w:rPr>
          <w:rFonts w:ascii="Arial" w:hAnsi="Arial" w:cs="Arial"/>
          <w:sz w:val="20"/>
          <w:szCs w:val="16"/>
        </w:rPr>
        <w:t>Saadony</w:t>
      </w:r>
      <w:proofErr w:type="spellEnd"/>
      <w:r w:rsidRPr="00576A02">
        <w:rPr>
          <w:rFonts w:ascii="Arial" w:hAnsi="Arial" w:cs="Arial"/>
          <w:sz w:val="20"/>
          <w:szCs w:val="16"/>
        </w:rPr>
        <w:t xml:space="preserve"> et al., 2024; Divyanshu et al., 2025).</w:t>
      </w:r>
    </w:p>
    <w:p w14:paraId="04C13CE1" w14:textId="77777777" w:rsidR="00B80456" w:rsidRPr="00576A02" w:rsidRDefault="00B80456" w:rsidP="00A56D1C">
      <w:pPr>
        <w:spacing w:before="240" w:after="0"/>
        <w:jc w:val="both"/>
        <w:rPr>
          <w:rFonts w:ascii="Arial" w:hAnsi="Arial" w:cs="Arial"/>
          <w:sz w:val="20"/>
          <w:szCs w:val="16"/>
        </w:rPr>
      </w:pPr>
      <w:r w:rsidRPr="00576A02">
        <w:rPr>
          <w:rFonts w:ascii="Arial" w:hAnsi="Arial" w:cs="Arial"/>
          <w:sz w:val="20"/>
          <w:szCs w:val="16"/>
        </w:rPr>
        <w:t xml:space="preserve">Therefore, the present study aimed to evaluate the sub-chronic haematological toxicity of CPF and efficacy of </w:t>
      </w:r>
      <w:r w:rsidRPr="00576A02">
        <w:rPr>
          <w:rStyle w:val="Emphasis"/>
          <w:rFonts w:ascii="Arial" w:hAnsi="Arial" w:cs="Arial"/>
          <w:sz w:val="20"/>
          <w:szCs w:val="16"/>
        </w:rPr>
        <w:t>A. sativum</w:t>
      </w:r>
      <w:r w:rsidRPr="00576A02">
        <w:rPr>
          <w:rFonts w:ascii="Arial" w:hAnsi="Arial" w:cs="Arial"/>
          <w:sz w:val="20"/>
          <w:szCs w:val="16"/>
        </w:rPr>
        <w:t xml:space="preserve"> extract in treated </w:t>
      </w:r>
      <w:r w:rsidRPr="00576A02">
        <w:rPr>
          <w:rStyle w:val="Emphasis"/>
          <w:rFonts w:ascii="Arial" w:hAnsi="Arial" w:cs="Arial"/>
          <w:i w:val="0"/>
          <w:iCs w:val="0"/>
          <w:sz w:val="20"/>
          <w:szCs w:val="16"/>
        </w:rPr>
        <w:t>mice.</w:t>
      </w:r>
    </w:p>
    <w:p w14:paraId="0449436E" w14:textId="5046D0D3"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 MATERIALS AND METHODS</w:t>
      </w:r>
    </w:p>
    <w:p w14:paraId="09AC9593" w14:textId="1731C13D"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1</w:t>
      </w:r>
      <w:r w:rsidR="00B80456" w:rsidRPr="00576A02">
        <w:rPr>
          <w:rFonts w:ascii="Arial" w:eastAsia="Times New Roman" w:hAnsi="Arial" w:cs="Arial"/>
          <w:b/>
          <w:bCs/>
          <w:sz w:val="22"/>
          <w:szCs w:val="22"/>
        </w:rPr>
        <w:t xml:space="preserve"> Chemicals</w:t>
      </w:r>
    </w:p>
    <w:p w14:paraId="3CF2EE3C" w14:textId="77777777" w:rsidR="00B80456" w:rsidRPr="00576A02" w:rsidRDefault="00B80456" w:rsidP="00D85D23">
      <w:pPr>
        <w:spacing w:before="240"/>
        <w:jc w:val="both"/>
        <w:rPr>
          <w:rFonts w:ascii="Arial" w:hAnsi="Arial" w:cs="Arial"/>
          <w:sz w:val="20"/>
          <w:szCs w:val="16"/>
        </w:rPr>
      </w:pPr>
      <w:r w:rsidRPr="00576A02">
        <w:rPr>
          <w:rFonts w:ascii="Arial" w:hAnsi="Arial" w:cs="Arial"/>
          <w:sz w:val="20"/>
          <w:szCs w:val="16"/>
        </w:rPr>
        <w:t>Commercial-grade Chlorpyrifos (50% EC), sold as Carbine-50 was obtained from Noble Crop Science (NCS), India, while other reagents and chemicals were purchased from Merck, Himedia, and Loba (India).</w:t>
      </w:r>
    </w:p>
    <w:p w14:paraId="4EAA58BA" w14:textId="6ACF01E5" w:rsidR="00B80456" w:rsidRPr="00576A02" w:rsidRDefault="00B80456" w:rsidP="00D85D23">
      <w:pPr>
        <w:spacing w:before="240"/>
        <w:rPr>
          <w:rFonts w:ascii="Arial" w:hAnsi="Arial" w:cs="Arial"/>
          <w:sz w:val="22"/>
          <w:szCs w:val="18"/>
        </w:rPr>
      </w:pPr>
      <w:r w:rsidRPr="00576A02">
        <w:rPr>
          <w:rFonts w:ascii="Arial" w:hAnsi="Arial" w:cs="Arial"/>
          <w:b/>
          <w:bCs/>
          <w:sz w:val="22"/>
          <w:szCs w:val="18"/>
        </w:rPr>
        <w:t>2.</w:t>
      </w:r>
      <w:r w:rsidR="00D85D23" w:rsidRPr="00576A02">
        <w:rPr>
          <w:rFonts w:ascii="Arial" w:hAnsi="Arial" w:cs="Arial"/>
          <w:b/>
          <w:bCs/>
          <w:sz w:val="22"/>
          <w:szCs w:val="18"/>
        </w:rPr>
        <w:t>2</w:t>
      </w:r>
      <w:r w:rsidRPr="00576A02">
        <w:rPr>
          <w:rFonts w:ascii="Arial" w:hAnsi="Arial" w:cs="Arial"/>
          <w:b/>
          <w:bCs/>
          <w:sz w:val="22"/>
          <w:szCs w:val="18"/>
        </w:rPr>
        <w:t xml:space="preserve"> </w:t>
      </w:r>
      <w:r w:rsidRPr="00C32C85">
        <w:rPr>
          <w:rFonts w:ascii="Arial" w:hAnsi="Arial" w:cs="Arial"/>
          <w:b/>
          <w:bCs/>
          <w:i/>
          <w:iCs/>
          <w:sz w:val="22"/>
          <w:szCs w:val="18"/>
        </w:rPr>
        <w:t>Allium sativum</w:t>
      </w:r>
      <w:r w:rsidRPr="00576A02">
        <w:rPr>
          <w:rFonts w:ascii="Arial" w:hAnsi="Arial" w:cs="Arial"/>
          <w:sz w:val="22"/>
          <w:szCs w:val="18"/>
        </w:rPr>
        <w:t xml:space="preserve"> </w:t>
      </w:r>
      <w:r w:rsidRPr="00576A02">
        <w:rPr>
          <w:rFonts w:ascii="Arial" w:hAnsi="Arial" w:cs="Arial"/>
          <w:b/>
          <w:bCs/>
          <w:sz w:val="22"/>
          <w:szCs w:val="18"/>
        </w:rPr>
        <w:t>aqueous extracts</w:t>
      </w:r>
      <w:r w:rsidRPr="00576A02">
        <w:rPr>
          <w:rFonts w:ascii="Arial" w:hAnsi="Arial" w:cs="Arial"/>
          <w:sz w:val="22"/>
          <w:szCs w:val="18"/>
        </w:rPr>
        <w:t xml:space="preserve"> </w:t>
      </w:r>
    </w:p>
    <w:p w14:paraId="781AA4BE" w14:textId="77777777" w:rsidR="00B80456" w:rsidRPr="00576A02" w:rsidRDefault="00B80456" w:rsidP="00D85D23">
      <w:pPr>
        <w:spacing w:before="240"/>
        <w:jc w:val="both"/>
        <w:rPr>
          <w:rFonts w:ascii="Arial" w:hAnsi="Arial" w:cs="Arial"/>
          <w:sz w:val="20"/>
          <w:szCs w:val="16"/>
        </w:rPr>
      </w:pPr>
      <w:r w:rsidRPr="00576A02">
        <w:rPr>
          <w:rFonts w:ascii="Arial" w:hAnsi="Arial" w:cs="Arial"/>
          <w:sz w:val="20"/>
          <w:szCs w:val="16"/>
        </w:rPr>
        <w:t>Fresh garlic bulbs were procured from local retail market. Cloves were peeled, washed and finely sliced with a sterile knife and 500mg fine garlic was homogenized in 100ml distilled water. Homogenate were filtered using a 75 µm mesh and the remaining solids were centrifuged at 3000 rpm for 10 minutes. The supernatant along with the initial filtrate was combined and stored in a reagent bottle at 4 °C for further use (Martha et al., 1998).</w:t>
      </w:r>
    </w:p>
    <w:p w14:paraId="312F10AC" w14:textId="2976AE8C"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3</w:t>
      </w:r>
      <w:r w:rsidR="00B80456" w:rsidRPr="00576A02">
        <w:rPr>
          <w:rFonts w:ascii="Arial" w:eastAsia="Times New Roman" w:hAnsi="Arial" w:cs="Arial"/>
          <w:b/>
          <w:bCs/>
          <w:sz w:val="22"/>
          <w:szCs w:val="22"/>
        </w:rPr>
        <w:t xml:space="preserve"> Model animal and treatment protocol</w:t>
      </w:r>
    </w:p>
    <w:p w14:paraId="759F75DD" w14:textId="56AD7F9E" w:rsidR="00B80456" w:rsidRPr="00576A02" w:rsidRDefault="00B80456" w:rsidP="00D85D23">
      <w:pPr>
        <w:spacing w:before="240"/>
        <w:jc w:val="both"/>
        <w:rPr>
          <w:rFonts w:ascii="Arial" w:hAnsi="Arial" w:cs="Arial"/>
          <w:sz w:val="20"/>
          <w:szCs w:val="16"/>
        </w:rPr>
      </w:pPr>
      <w:r w:rsidRPr="00576A02">
        <w:rPr>
          <w:rFonts w:ascii="Arial" w:eastAsia="Times New Roman" w:hAnsi="Arial" w:cs="Arial"/>
          <w:sz w:val="20"/>
        </w:rPr>
        <w:t>Healthy adult Swiss albino mice (</w:t>
      </w:r>
      <w:r w:rsidRPr="00576A02">
        <w:rPr>
          <w:rFonts w:ascii="Arial" w:eastAsia="Times New Roman" w:hAnsi="Arial" w:cs="Arial"/>
          <w:i/>
          <w:iCs/>
          <w:sz w:val="20"/>
        </w:rPr>
        <w:t>Mus musculus</w:t>
      </w:r>
      <w:r w:rsidRPr="00576A02">
        <w:rPr>
          <w:rFonts w:ascii="Arial" w:eastAsia="Times New Roman" w:hAnsi="Arial" w:cs="Arial"/>
          <w:sz w:val="20"/>
        </w:rPr>
        <w:t xml:space="preserve">) weighing </w:t>
      </w:r>
      <w:r w:rsidRPr="00576A02">
        <w:rPr>
          <w:rFonts w:ascii="Arial" w:hAnsi="Arial" w:cs="Arial"/>
          <w:sz w:val="20"/>
          <w:szCs w:val="16"/>
        </w:rPr>
        <w:t xml:space="preserve">25 ± 5.0g were procured from animal house of University Department of Zoology, T. M. Bhagalpur University, Bhagalpur. Animals were housed in polypropylene cages and were provided with food and water </w:t>
      </w:r>
      <w:r w:rsidRPr="00576A02">
        <w:rPr>
          <w:rFonts w:ascii="Arial" w:hAnsi="Arial" w:cs="Arial"/>
          <w:i/>
          <w:iCs/>
          <w:sz w:val="20"/>
          <w:szCs w:val="16"/>
        </w:rPr>
        <w:t>ad libitum</w:t>
      </w:r>
      <w:r w:rsidRPr="00576A02">
        <w:rPr>
          <w:rFonts w:ascii="Arial" w:hAnsi="Arial" w:cs="Arial"/>
          <w:sz w:val="20"/>
          <w:szCs w:val="16"/>
        </w:rPr>
        <w:t xml:space="preserve">. Experimental protocol was conducted following the guidelines of Institutional Animals Ethics Committee and CPCSEA, India. Mice were divided into different groups </w:t>
      </w:r>
      <w:r w:rsidR="008C1E8B">
        <w:rPr>
          <w:rFonts w:ascii="Arial" w:hAnsi="Arial" w:cs="Arial"/>
          <w:sz w:val="20"/>
          <w:szCs w:val="16"/>
        </w:rPr>
        <w:t xml:space="preserve">(n=10) </w:t>
      </w:r>
      <w:r w:rsidRPr="00576A02">
        <w:rPr>
          <w:rFonts w:ascii="Arial" w:hAnsi="Arial" w:cs="Arial"/>
          <w:sz w:val="20"/>
          <w:szCs w:val="16"/>
        </w:rPr>
        <w:t xml:space="preserve">in which one group received distilled water and were treated as control while the other group received aqueous dose of CPF (6 mg/kg) for </w:t>
      </w:r>
      <w:r w:rsidR="00D06B07">
        <w:rPr>
          <w:rFonts w:ascii="Arial" w:hAnsi="Arial" w:cs="Arial"/>
          <w:sz w:val="20"/>
          <w:szCs w:val="16"/>
        </w:rPr>
        <w:t xml:space="preserve">7 days (CPF-7), 15 days (CPF-15) and </w:t>
      </w:r>
      <w:r w:rsidRPr="00576A02">
        <w:rPr>
          <w:rFonts w:ascii="Arial" w:hAnsi="Arial" w:cs="Arial"/>
          <w:sz w:val="20"/>
          <w:szCs w:val="16"/>
        </w:rPr>
        <w:t>42 days</w:t>
      </w:r>
      <w:r w:rsidR="00D06B07">
        <w:rPr>
          <w:rFonts w:ascii="Arial" w:hAnsi="Arial" w:cs="Arial"/>
          <w:sz w:val="20"/>
          <w:szCs w:val="16"/>
        </w:rPr>
        <w:t xml:space="preserve"> (CPF-42)</w:t>
      </w:r>
      <w:r w:rsidRPr="00576A02">
        <w:rPr>
          <w:rFonts w:ascii="Arial" w:hAnsi="Arial" w:cs="Arial"/>
          <w:sz w:val="20"/>
          <w:szCs w:val="16"/>
        </w:rPr>
        <w:t xml:space="preserve">. Post-treatment of CPF, treated mice were further divided into two groups in which the one group received only distilled water and the other group was treated with 200 mg/kg aqueous extract of </w:t>
      </w:r>
      <w:r w:rsidRPr="00576A02">
        <w:rPr>
          <w:rFonts w:ascii="Arial" w:hAnsi="Arial" w:cs="Arial"/>
          <w:i/>
          <w:iCs/>
          <w:sz w:val="20"/>
          <w:szCs w:val="16"/>
        </w:rPr>
        <w:t>A. sativum</w:t>
      </w:r>
      <w:r w:rsidRPr="00576A02">
        <w:rPr>
          <w:rFonts w:ascii="Arial" w:hAnsi="Arial" w:cs="Arial"/>
          <w:sz w:val="20"/>
          <w:szCs w:val="16"/>
        </w:rPr>
        <w:t xml:space="preserve"> for next 15 days.</w:t>
      </w:r>
    </w:p>
    <w:p w14:paraId="0179A842" w14:textId="3A02E2A7" w:rsidR="00B80456" w:rsidRPr="00576A02" w:rsidRDefault="00D85D23" w:rsidP="00D85D23">
      <w:pPr>
        <w:spacing w:before="240"/>
        <w:rPr>
          <w:rFonts w:ascii="Arial" w:hAnsi="Arial" w:cs="Arial"/>
          <w:b/>
          <w:bCs/>
          <w:sz w:val="22"/>
          <w:szCs w:val="18"/>
        </w:rPr>
      </w:pPr>
      <w:r w:rsidRPr="00576A02">
        <w:rPr>
          <w:rFonts w:ascii="Arial" w:hAnsi="Arial" w:cs="Arial"/>
          <w:b/>
          <w:bCs/>
          <w:sz w:val="22"/>
          <w:szCs w:val="18"/>
        </w:rPr>
        <w:t>2</w:t>
      </w:r>
      <w:r w:rsidR="00B80456" w:rsidRPr="00576A02">
        <w:rPr>
          <w:rFonts w:ascii="Arial" w:hAnsi="Arial" w:cs="Arial"/>
          <w:b/>
          <w:bCs/>
          <w:sz w:val="22"/>
          <w:szCs w:val="18"/>
        </w:rPr>
        <w:t>.</w:t>
      </w:r>
      <w:r w:rsidRPr="00576A02">
        <w:rPr>
          <w:rFonts w:ascii="Arial" w:hAnsi="Arial" w:cs="Arial"/>
          <w:b/>
          <w:bCs/>
          <w:sz w:val="22"/>
          <w:szCs w:val="18"/>
        </w:rPr>
        <w:t>4</w:t>
      </w:r>
      <w:r w:rsidR="00B80456" w:rsidRPr="00576A02">
        <w:rPr>
          <w:rFonts w:ascii="Arial" w:hAnsi="Arial" w:cs="Arial"/>
          <w:b/>
          <w:bCs/>
          <w:sz w:val="22"/>
          <w:szCs w:val="18"/>
        </w:rPr>
        <w:t xml:space="preserve"> Haematological parameters</w:t>
      </w:r>
    </w:p>
    <w:p w14:paraId="3338A0F4" w14:textId="77777777" w:rsidR="00B80456" w:rsidRPr="00576A02" w:rsidRDefault="00B80456" w:rsidP="00D85D23">
      <w:pPr>
        <w:spacing w:before="240"/>
        <w:jc w:val="both"/>
        <w:rPr>
          <w:rFonts w:ascii="Arial" w:eastAsia="Times New Roman" w:hAnsi="Arial" w:cs="Arial"/>
          <w:sz w:val="20"/>
        </w:rPr>
      </w:pPr>
      <w:r w:rsidRPr="00576A02">
        <w:rPr>
          <w:rFonts w:ascii="Arial" w:eastAsia="Times New Roman" w:hAnsi="Arial" w:cs="Arial"/>
          <w:sz w:val="20"/>
        </w:rPr>
        <w:t>No mice were sacrificed during the study. Blood samples were collected from the caudal vein after the completion of treatment protocol and were analysed for different haematological parameters viz. TEC, TLC, Hb%, PCV, MCV, MCHC and MCH) on 7</w:t>
      </w:r>
      <w:r w:rsidRPr="00576A02">
        <w:rPr>
          <w:rFonts w:ascii="Arial" w:eastAsia="Times New Roman" w:hAnsi="Arial" w:cs="Arial"/>
          <w:sz w:val="20"/>
          <w:vertAlign w:val="superscript"/>
        </w:rPr>
        <w:t>th</w:t>
      </w:r>
      <w:r w:rsidRPr="00576A02">
        <w:rPr>
          <w:rFonts w:ascii="Arial" w:eastAsia="Times New Roman" w:hAnsi="Arial" w:cs="Arial"/>
          <w:sz w:val="20"/>
        </w:rPr>
        <w:t xml:space="preserve"> day, 15</w:t>
      </w:r>
      <w:r w:rsidRPr="00576A02">
        <w:rPr>
          <w:rFonts w:ascii="Arial" w:eastAsia="Times New Roman" w:hAnsi="Arial" w:cs="Arial"/>
          <w:sz w:val="20"/>
          <w:vertAlign w:val="superscript"/>
        </w:rPr>
        <w:t>th</w:t>
      </w:r>
      <w:r w:rsidRPr="00576A02">
        <w:rPr>
          <w:rFonts w:ascii="Arial" w:eastAsia="Times New Roman" w:hAnsi="Arial" w:cs="Arial"/>
          <w:sz w:val="20"/>
        </w:rPr>
        <w:t>, 42</w:t>
      </w:r>
      <w:r w:rsidRPr="00576A02">
        <w:rPr>
          <w:rFonts w:ascii="Arial" w:eastAsia="Times New Roman" w:hAnsi="Arial" w:cs="Arial"/>
          <w:sz w:val="20"/>
          <w:vertAlign w:val="superscript"/>
        </w:rPr>
        <w:t>nd</w:t>
      </w:r>
      <w:r w:rsidRPr="00576A02">
        <w:rPr>
          <w:rFonts w:ascii="Arial" w:eastAsia="Times New Roman" w:hAnsi="Arial" w:cs="Arial"/>
          <w:sz w:val="20"/>
        </w:rPr>
        <w:t xml:space="preserve"> and 57</w:t>
      </w:r>
      <w:r w:rsidRPr="00576A02">
        <w:rPr>
          <w:rFonts w:ascii="Arial" w:eastAsia="Times New Roman" w:hAnsi="Arial" w:cs="Arial"/>
          <w:sz w:val="20"/>
          <w:vertAlign w:val="superscript"/>
        </w:rPr>
        <w:t>th</w:t>
      </w:r>
      <w:r w:rsidRPr="00576A02">
        <w:rPr>
          <w:rFonts w:ascii="Arial" w:eastAsia="Times New Roman" w:hAnsi="Arial" w:cs="Arial"/>
          <w:sz w:val="20"/>
        </w:rPr>
        <w:t xml:space="preserve"> day after treatment.</w:t>
      </w:r>
    </w:p>
    <w:p w14:paraId="1E83743B" w14:textId="13C88D0B"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5</w:t>
      </w:r>
      <w:r w:rsidR="00B80456" w:rsidRPr="00576A02">
        <w:rPr>
          <w:rFonts w:ascii="Arial" w:eastAsia="Times New Roman" w:hAnsi="Arial" w:cs="Arial"/>
          <w:b/>
          <w:bCs/>
          <w:sz w:val="22"/>
          <w:szCs w:val="22"/>
        </w:rPr>
        <w:t xml:space="preserve"> Statistical analysis</w:t>
      </w:r>
    </w:p>
    <w:p w14:paraId="340EB445" w14:textId="77777777" w:rsidR="00B80456" w:rsidRPr="00576A02" w:rsidRDefault="00B80456" w:rsidP="00D85D23">
      <w:pPr>
        <w:spacing w:before="240"/>
        <w:jc w:val="both"/>
        <w:rPr>
          <w:rFonts w:ascii="Arial" w:eastAsia="Times New Roman" w:hAnsi="Arial" w:cs="Arial"/>
          <w:sz w:val="20"/>
        </w:rPr>
      </w:pPr>
      <w:r w:rsidRPr="00576A02">
        <w:rPr>
          <w:rFonts w:ascii="Arial" w:eastAsia="Times New Roman" w:hAnsi="Arial" w:cs="Arial"/>
          <w:sz w:val="20"/>
        </w:rPr>
        <w:t>Data were statistically analysed on IBM SPSS (version 26). Significant difference was calculated using one-way analysis of variance (ANOVA) followed by post-hoc multiple comparison test.</w:t>
      </w:r>
    </w:p>
    <w:p w14:paraId="33267912" w14:textId="315F099D" w:rsidR="00B80456" w:rsidRPr="00576A02" w:rsidRDefault="00D2632F" w:rsidP="00AF6E44">
      <w:pPr>
        <w:spacing w:before="240"/>
        <w:jc w:val="both"/>
        <w:rPr>
          <w:rFonts w:ascii="Arial" w:eastAsia="Times New Roman" w:hAnsi="Arial" w:cs="Arial"/>
          <w:b/>
          <w:bCs/>
          <w:sz w:val="22"/>
          <w:szCs w:val="22"/>
        </w:rPr>
      </w:pPr>
      <w:r w:rsidRPr="00576A02">
        <w:rPr>
          <w:rFonts w:ascii="Arial" w:eastAsia="Times New Roman" w:hAnsi="Arial" w:cs="Arial"/>
          <w:b/>
          <w:bCs/>
          <w:sz w:val="22"/>
          <w:szCs w:val="22"/>
        </w:rPr>
        <w:t>3. RESULTS AND DISCUSSION</w:t>
      </w:r>
    </w:p>
    <w:p w14:paraId="65FF79FF" w14:textId="0D081624"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The effect of sub-lethal dose of CPF (6 mg/kg) was investigated on the haematological profile of </w:t>
      </w:r>
      <w:r w:rsidRPr="00576A02">
        <w:rPr>
          <w:rStyle w:val="Emphasis"/>
          <w:rFonts w:ascii="Arial" w:hAnsi="Arial" w:cs="Arial"/>
          <w:sz w:val="20"/>
          <w:szCs w:val="16"/>
        </w:rPr>
        <w:t>M. musculus</w:t>
      </w:r>
      <w:r w:rsidRPr="00576A02">
        <w:rPr>
          <w:rFonts w:ascii="Arial" w:hAnsi="Arial" w:cs="Arial"/>
          <w:sz w:val="20"/>
          <w:szCs w:val="16"/>
        </w:rPr>
        <w:t xml:space="preserve"> along with its natural and </w:t>
      </w:r>
      <w:r w:rsidRPr="00576A02">
        <w:rPr>
          <w:rStyle w:val="Emphasis"/>
          <w:rFonts w:ascii="Arial" w:hAnsi="Arial" w:cs="Arial"/>
          <w:sz w:val="20"/>
          <w:szCs w:val="16"/>
        </w:rPr>
        <w:t>A. sativum</w:t>
      </w:r>
      <w:r w:rsidRPr="00576A02">
        <w:rPr>
          <w:rFonts w:ascii="Arial" w:hAnsi="Arial" w:cs="Arial"/>
          <w:sz w:val="20"/>
          <w:szCs w:val="16"/>
        </w:rPr>
        <w:t>-mediated recovery. During the entire experimental period, no mortality was observed in any of the treated groups. Although changes in haematological parameters were observed in the CPF-treated group.</w:t>
      </w:r>
    </w:p>
    <w:p w14:paraId="14F814A7" w14:textId="2228A9D5" w:rsidR="00B80456" w:rsidRPr="00576A02" w:rsidRDefault="00D2632F" w:rsidP="00D2632F">
      <w:pPr>
        <w:spacing w:before="240"/>
        <w:rPr>
          <w:rFonts w:ascii="Arial" w:eastAsia="Times New Roman" w:hAnsi="Arial" w:cs="Arial"/>
          <w:b/>
          <w:bCs/>
          <w:sz w:val="22"/>
          <w:szCs w:val="22"/>
        </w:rPr>
      </w:pPr>
      <w:r w:rsidRPr="00576A02">
        <w:rPr>
          <w:rFonts w:ascii="Arial" w:eastAsia="Times New Roman" w:hAnsi="Arial" w:cs="Arial"/>
          <w:b/>
          <w:bCs/>
          <w:sz w:val="22"/>
          <w:szCs w:val="22"/>
        </w:rPr>
        <w:lastRenderedPageBreak/>
        <w:t>3</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1</w:t>
      </w:r>
      <w:r w:rsidR="00B80456" w:rsidRPr="00576A02">
        <w:rPr>
          <w:rFonts w:ascii="Arial" w:eastAsia="Times New Roman" w:hAnsi="Arial" w:cs="Arial"/>
          <w:b/>
          <w:bCs/>
          <w:sz w:val="22"/>
          <w:szCs w:val="22"/>
        </w:rPr>
        <w:t xml:space="preserve"> Total Erythrocyte Count</w:t>
      </w:r>
    </w:p>
    <w:p w14:paraId="0C3D00C5" w14:textId="2892110B"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The highest decline about 29.22% in TEC </w:t>
      </w:r>
      <w:r w:rsidR="004C78F0">
        <w:rPr>
          <w:rFonts w:ascii="Arial" w:hAnsi="Arial" w:cs="Arial"/>
          <w:sz w:val="20"/>
          <w:szCs w:val="16"/>
        </w:rPr>
        <w:t xml:space="preserve">(Fig. 1) </w:t>
      </w:r>
      <w:r w:rsidRPr="00576A02">
        <w:rPr>
          <w:rFonts w:ascii="Arial" w:hAnsi="Arial" w:cs="Arial"/>
          <w:sz w:val="20"/>
          <w:szCs w:val="16"/>
        </w:rPr>
        <w:t xml:space="preserve">was observed after 42 days of treatment (5.13 ± 0.14 × 10⁶/mm³) with respect to the control (7.32 ± 0.22 × 10⁶/mm³), which was found to be statistically significant (F = 16.864, </w:t>
      </w:r>
      <w:r w:rsidRPr="00576A02">
        <w:rPr>
          <w:rStyle w:val="Emphasis"/>
          <w:rFonts w:ascii="Arial" w:hAnsi="Arial" w:cs="Arial"/>
          <w:sz w:val="20"/>
          <w:szCs w:val="16"/>
        </w:rPr>
        <w:t>P</w:t>
      </w:r>
      <w:r w:rsidRPr="00576A02">
        <w:rPr>
          <w:rFonts w:ascii="Arial" w:hAnsi="Arial" w:cs="Arial"/>
          <w:sz w:val="20"/>
          <w:szCs w:val="16"/>
        </w:rPr>
        <w:t xml:space="preserve"> = .05) by ANOVA</w:t>
      </w:r>
      <w:r w:rsidR="00245F45">
        <w:rPr>
          <w:rFonts w:ascii="Arial" w:hAnsi="Arial" w:cs="Arial"/>
          <w:sz w:val="20"/>
          <w:szCs w:val="16"/>
        </w:rPr>
        <w:t xml:space="preserve"> (Table 1)</w:t>
      </w:r>
      <w:r w:rsidRPr="00576A02">
        <w:rPr>
          <w:rFonts w:ascii="Arial" w:hAnsi="Arial" w:cs="Arial"/>
          <w:sz w:val="20"/>
          <w:szCs w:val="16"/>
        </w:rPr>
        <w:t xml:space="preserve">. However, insignificant decline of 7.65% in TEC was observed in 7 and 15 days CPF-treated mice. </w:t>
      </w:r>
    </w:p>
    <w:p w14:paraId="1B533E97" w14:textId="4074607B"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The marked decline in TEC observed in CPF-treated mice suggests erythrocyte destruction and suppression of hematopoietic activity under pesticide stress. Such anaemic responses are commonly reported under OP exposure, where increased oxidative stress leads to peroxidation of erythrocyte membranes and a reduction in red blood cell survival (Kalender et al., 2005). Similar findings were reported in albino rats, where sub-chronic CPF exposure significantly reduced TEC levels, indicating haemolytic anaemia (Verma et al., 2007). In Wistar rats, CPF was found to impair erythropoiesis by interfering with bone marrow activity and accelerating erythrocyte turnover (</w:t>
      </w:r>
      <w:proofErr w:type="spellStart"/>
      <w:r w:rsidR="00EE7DAD" w:rsidRPr="00D46939">
        <w:rPr>
          <w:rFonts w:ascii="Arial" w:hAnsi="Arial" w:cs="Arial"/>
          <w:sz w:val="20"/>
        </w:rPr>
        <w:t>Kašuba</w:t>
      </w:r>
      <w:proofErr w:type="spellEnd"/>
      <w:r w:rsidRPr="00576A02">
        <w:rPr>
          <w:rFonts w:ascii="Arial" w:hAnsi="Arial" w:cs="Arial"/>
          <w:sz w:val="20"/>
          <w:szCs w:val="16"/>
        </w:rPr>
        <w:t xml:space="preserve"> et al., 20</w:t>
      </w:r>
      <w:r w:rsidR="00EE7DAD">
        <w:rPr>
          <w:rFonts w:ascii="Arial" w:hAnsi="Arial" w:cs="Arial"/>
          <w:sz w:val="20"/>
          <w:szCs w:val="16"/>
        </w:rPr>
        <w:t>22</w:t>
      </w:r>
      <w:r w:rsidRPr="00576A02">
        <w:rPr>
          <w:rFonts w:ascii="Arial" w:hAnsi="Arial" w:cs="Arial"/>
          <w:sz w:val="20"/>
          <w:szCs w:val="16"/>
        </w:rPr>
        <w:t>). Studies on rabbits also demonstrated that OP induce oxidative stress-mediated haemolysis, further validating the present results (Uzun et al., 2009).</w:t>
      </w:r>
    </w:p>
    <w:p w14:paraId="6394E319" w14:textId="6A43B8ED"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Following cessation of CPF treatment, natural recovery for 15 days resulted in an improvement of only 5.6%, whereas recovery facilitated by 200 mg/kg </w:t>
      </w:r>
      <w:r w:rsidRPr="00576A02">
        <w:rPr>
          <w:rStyle w:val="Emphasis"/>
          <w:rFonts w:ascii="Arial" w:hAnsi="Arial" w:cs="Arial"/>
          <w:sz w:val="20"/>
          <w:szCs w:val="16"/>
        </w:rPr>
        <w:t>A. sativum</w:t>
      </w:r>
      <w:r w:rsidRPr="00576A02">
        <w:rPr>
          <w:rFonts w:ascii="Arial" w:hAnsi="Arial" w:cs="Arial"/>
          <w:sz w:val="20"/>
          <w:szCs w:val="16"/>
        </w:rPr>
        <w:t xml:space="preserve"> extract showed a marked restoration of 16.26% (6.32 ± 0.23 × 10⁶/mm³), which was statistically significant (F = 7.238, </w:t>
      </w:r>
      <w:r w:rsidRPr="00576A02">
        <w:rPr>
          <w:rStyle w:val="Emphasis"/>
          <w:rFonts w:ascii="Arial" w:hAnsi="Arial" w:cs="Arial"/>
          <w:sz w:val="20"/>
          <w:szCs w:val="16"/>
        </w:rPr>
        <w:t>P</w:t>
      </w:r>
      <w:r w:rsidRPr="00576A02">
        <w:rPr>
          <w:rFonts w:ascii="Arial" w:hAnsi="Arial" w:cs="Arial"/>
          <w:sz w:val="20"/>
          <w:szCs w:val="16"/>
        </w:rPr>
        <w:t xml:space="preserve"> = .05) by ANOVA</w:t>
      </w:r>
      <w:r w:rsidR="00F40E6B">
        <w:rPr>
          <w:rFonts w:ascii="Arial" w:hAnsi="Arial" w:cs="Arial"/>
          <w:sz w:val="20"/>
          <w:szCs w:val="16"/>
        </w:rPr>
        <w:t xml:space="preserve"> (Table 2)</w:t>
      </w:r>
      <w:r w:rsidRPr="00576A02">
        <w:rPr>
          <w:rFonts w:ascii="Arial" w:hAnsi="Arial" w:cs="Arial"/>
          <w:sz w:val="20"/>
          <w:szCs w:val="16"/>
        </w:rPr>
        <w:t>.</w:t>
      </w:r>
    </w:p>
    <w:p w14:paraId="55F01EFB" w14:textId="1E8360C8" w:rsidR="00D61932" w:rsidRPr="00D61932" w:rsidRDefault="00D61932" w:rsidP="00D2632F">
      <w:pPr>
        <w:spacing w:before="240"/>
        <w:jc w:val="both"/>
        <w:rPr>
          <w:rFonts w:ascii="Arial" w:hAnsi="Arial" w:cs="Arial"/>
          <w:b/>
          <w:bCs/>
          <w:sz w:val="20"/>
          <w:szCs w:val="16"/>
        </w:rPr>
      </w:pPr>
      <w:r>
        <w:rPr>
          <w:rFonts w:ascii="Arial" w:hAnsi="Arial" w:cs="Arial"/>
          <w:b/>
          <w:bCs/>
          <w:sz w:val="20"/>
          <w:szCs w:val="16"/>
        </w:rPr>
        <w:t xml:space="preserve">Table 1. Sub-chronic toxicity of Chlorpyrifos on </w:t>
      </w:r>
      <w:r>
        <w:rPr>
          <w:rFonts w:ascii="Arial" w:hAnsi="Arial" w:cs="Arial"/>
          <w:b/>
          <w:bCs/>
          <w:i/>
          <w:iCs/>
          <w:sz w:val="20"/>
          <w:szCs w:val="16"/>
        </w:rPr>
        <w:t>Mus musculus</w:t>
      </w:r>
      <w:r>
        <w:rPr>
          <w:rFonts w:ascii="Arial" w:hAnsi="Arial" w:cs="Arial"/>
          <w:b/>
          <w:bCs/>
          <w:sz w:val="20"/>
          <w:szCs w:val="16"/>
        </w:rPr>
        <w:t xml:space="preserve"> at different periods on haematological parameters.</w:t>
      </w:r>
    </w:p>
    <w:tbl>
      <w:tblPr>
        <w:tblStyle w:val="TableGrid"/>
        <w:tblW w:w="926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421"/>
        <w:gridCol w:w="1426"/>
        <w:gridCol w:w="1515"/>
        <w:gridCol w:w="1426"/>
        <w:gridCol w:w="1782"/>
      </w:tblGrid>
      <w:tr w:rsidR="00D61932" w:rsidRPr="005F1AC5" w14:paraId="2C85618E" w14:textId="77777777" w:rsidTr="00A36C5A">
        <w:trPr>
          <w:trHeight w:val="299"/>
          <w:jc w:val="center"/>
        </w:trPr>
        <w:tc>
          <w:tcPr>
            <w:tcW w:w="1699" w:type="dxa"/>
            <w:tcBorders>
              <w:top w:val="single" w:sz="12" w:space="0" w:color="auto"/>
              <w:bottom w:val="single" w:sz="12" w:space="0" w:color="auto"/>
            </w:tcBorders>
            <w:vAlign w:val="center"/>
          </w:tcPr>
          <w:p w14:paraId="74B2CBD3" w14:textId="77777777" w:rsidR="00D61932" w:rsidRPr="005F1AC5" w:rsidRDefault="00D61932" w:rsidP="00A36C5A">
            <w:pPr>
              <w:rPr>
                <w:rFonts w:ascii="Arial" w:hAnsi="Arial" w:cs="Arial"/>
                <w:sz w:val="20"/>
                <w:szCs w:val="20"/>
              </w:rPr>
            </w:pPr>
            <w:bookmarkStart w:id="0" w:name="_Hlk205881780"/>
          </w:p>
        </w:tc>
        <w:tc>
          <w:tcPr>
            <w:tcW w:w="1421" w:type="dxa"/>
            <w:tcBorders>
              <w:top w:val="single" w:sz="12" w:space="0" w:color="auto"/>
              <w:bottom w:val="single" w:sz="12" w:space="0" w:color="auto"/>
            </w:tcBorders>
            <w:vAlign w:val="center"/>
          </w:tcPr>
          <w:p w14:paraId="0A42534B"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Control</w:t>
            </w:r>
          </w:p>
        </w:tc>
        <w:tc>
          <w:tcPr>
            <w:tcW w:w="1426" w:type="dxa"/>
            <w:tcBorders>
              <w:top w:val="single" w:sz="12" w:space="0" w:color="auto"/>
              <w:bottom w:val="single" w:sz="12" w:space="0" w:color="auto"/>
            </w:tcBorders>
            <w:vAlign w:val="center"/>
          </w:tcPr>
          <w:p w14:paraId="2D821E9E"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CPF-7</w:t>
            </w:r>
          </w:p>
        </w:tc>
        <w:tc>
          <w:tcPr>
            <w:tcW w:w="1515" w:type="dxa"/>
            <w:tcBorders>
              <w:top w:val="single" w:sz="12" w:space="0" w:color="auto"/>
              <w:bottom w:val="single" w:sz="12" w:space="0" w:color="auto"/>
            </w:tcBorders>
            <w:vAlign w:val="center"/>
          </w:tcPr>
          <w:p w14:paraId="73DD59FA"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CPF-15</w:t>
            </w:r>
          </w:p>
        </w:tc>
        <w:tc>
          <w:tcPr>
            <w:tcW w:w="1426" w:type="dxa"/>
            <w:tcBorders>
              <w:top w:val="single" w:sz="12" w:space="0" w:color="auto"/>
              <w:bottom w:val="single" w:sz="12" w:space="0" w:color="auto"/>
            </w:tcBorders>
            <w:vAlign w:val="center"/>
          </w:tcPr>
          <w:p w14:paraId="0DD1D01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CPF-42</w:t>
            </w:r>
          </w:p>
        </w:tc>
        <w:tc>
          <w:tcPr>
            <w:tcW w:w="1782" w:type="dxa"/>
            <w:tcBorders>
              <w:top w:val="single" w:sz="12" w:space="0" w:color="auto"/>
              <w:bottom w:val="single" w:sz="12" w:space="0" w:color="auto"/>
            </w:tcBorders>
            <w:vAlign w:val="center"/>
          </w:tcPr>
          <w:p w14:paraId="45280CF1"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F-value</w:t>
            </w:r>
          </w:p>
        </w:tc>
      </w:tr>
      <w:tr w:rsidR="00D61932" w:rsidRPr="005F1AC5" w14:paraId="462E9692" w14:textId="77777777" w:rsidTr="00A36C5A">
        <w:trPr>
          <w:trHeight w:val="299"/>
          <w:jc w:val="center"/>
        </w:trPr>
        <w:tc>
          <w:tcPr>
            <w:tcW w:w="1699" w:type="dxa"/>
            <w:tcBorders>
              <w:top w:val="single" w:sz="12" w:space="0" w:color="auto"/>
            </w:tcBorders>
            <w:vAlign w:val="center"/>
          </w:tcPr>
          <w:p w14:paraId="13FC3C8F"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TEC (x10</w:t>
            </w:r>
            <w:r w:rsidRPr="005F1AC5">
              <w:rPr>
                <w:rFonts w:ascii="Arial" w:hAnsi="Arial" w:cs="Arial"/>
                <w:b/>
                <w:bCs/>
                <w:sz w:val="20"/>
                <w:szCs w:val="20"/>
                <w:vertAlign w:val="superscript"/>
              </w:rPr>
              <w:t>6</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421" w:type="dxa"/>
            <w:tcBorders>
              <w:top w:val="single" w:sz="12" w:space="0" w:color="auto"/>
            </w:tcBorders>
            <w:vAlign w:val="center"/>
          </w:tcPr>
          <w:p w14:paraId="4EAC07B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7.32 ±0.22</w:t>
            </w:r>
          </w:p>
        </w:tc>
        <w:tc>
          <w:tcPr>
            <w:tcW w:w="1426" w:type="dxa"/>
            <w:tcBorders>
              <w:top w:val="single" w:sz="12" w:space="0" w:color="auto"/>
            </w:tcBorders>
            <w:vAlign w:val="center"/>
          </w:tcPr>
          <w:p w14:paraId="38B132E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6.76 ±0.32</w:t>
            </w:r>
          </w:p>
        </w:tc>
        <w:tc>
          <w:tcPr>
            <w:tcW w:w="1515" w:type="dxa"/>
            <w:tcBorders>
              <w:top w:val="single" w:sz="12" w:space="0" w:color="auto"/>
            </w:tcBorders>
            <w:vAlign w:val="center"/>
          </w:tcPr>
          <w:p w14:paraId="00F9A01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6.76 ±0.21</w:t>
            </w:r>
          </w:p>
        </w:tc>
        <w:tc>
          <w:tcPr>
            <w:tcW w:w="1426" w:type="dxa"/>
            <w:tcBorders>
              <w:top w:val="single" w:sz="12" w:space="0" w:color="auto"/>
            </w:tcBorders>
            <w:vAlign w:val="center"/>
          </w:tcPr>
          <w:p w14:paraId="037EFDE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5.13 ±0.14*</w:t>
            </w:r>
          </w:p>
        </w:tc>
        <w:tc>
          <w:tcPr>
            <w:tcW w:w="1782" w:type="dxa"/>
            <w:tcBorders>
              <w:top w:val="single" w:sz="12" w:space="0" w:color="auto"/>
            </w:tcBorders>
            <w:vAlign w:val="center"/>
          </w:tcPr>
          <w:p w14:paraId="39DF4A35"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16.864</w:t>
            </w:r>
          </w:p>
        </w:tc>
      </w:tr>
      <w:tr w:rsidR="00D61932" w:rsidRPr="005F1AC5" w14:paraId="150DCE4D" w14:textId="77777777" w:rsidTr="00A36C5A">
        <w:trPr>
          <w:trHeight w:val="299"/>
          <w:jc w:val="center"/>
        </w:trPr>
        <w:tc>
          <w:tcPr>
            <w:tcW w:w="1699" w:type="dxa"/>
            <w:vAlign w:val="center"/>
          </w:tcPr>
          <w:p w14:paraId="04534C4A"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Hb (g/dL)</w:t>
            </w:r>
          </w:p>
        </w:tc>
        <w:tc>
          <w:tcPr>
            <w:tcW w:w="1421" w:type="dxa"/>
            <w:vAlign w:val="center"/>
          </w:tcPr>
          <w:p w14:paraId="0AA25FE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12.52 ±0.32</w:t>
            </w:r>
          </w:p>
        </w:tc>
        <w:tc>
          <w:tcPr>
            <w:tcW w:w="1426" w:type="dxa"/>
            <w:vAlign w:val="center"/>
          </w:tcPr>
          <w:p w14:paraId="1246743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11.62 ±0.16</w:t>
            </w:r>
          </w:p>
        </w:tc>
        <w:tc>
          <w:tcPr>
            <w:tcW w:w="1515" w:type="dxa"/>
            <w:vAlign w:val="center"/>
          </w:tcPr>
          <w:p w14:paraId="33E54483"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11.2 ±0.37*</w:t>
            </w:r>
          </w:p>
        </w:tc>
        <w:tc>
          <w:tcPr>
            <w:tcW w:w="1426" w:type="dxa"/>
            <w:vAlign w:val="center"/>
          </w:tcPr>
          <w:p w14:paraId="7D8229F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10.41 ±0.29*</w:t>
            </w:r>
          </w:p>
        </w:tc>
        <w:tc>
          <w:tcPr>
            <w:tcW w:w="1782" w:type="dxa"/>
            <w:vAlign w:val="center"/>
          </w:tcPr>
          <w:p w14:paraId="05908A14"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8.783</w:t>
            </w:r>
          </w:p>
        </w:tc>
      </w:tr>
      <w:tr w:rsidR="00D61932" w:rsidRPr="005F1AC5" w14:paraId="75138BC0" w14:textId="77777777" w:rsidTr="00A36C5A">
        <w:trPr>
          <w:trHeight w:val="299"/>
          <w:jc w:val="center"/>
        </w:trPr>
        <w:tc>
          <w:tcPr>
            <w:tcW w:w="1699" w:type="dxa"/>
            <w:vAlign w:val="center"/>
          </w:tcPr>
          <w:p w14:paraId="4DB019D1"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PCV (%)</w:t>
            </w:r>
          </w:p>
        </w:tc>
        <w:tc>
          <w:tcPr>
            <w:tcW w:w="1421" w:type="dxa"/>
            <w:vAlign w:val="center"/>
          </w:tcPr>
          <w:p w14:paraId="77DB4974"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37.57 ±0.95</w:t>
            </w:r>
          </w:p>
        </w:tc>
        <w:tc>
          <w:tcPr>
            <w:tcW w:w="1426" w:type="dxa"/>
            <w:vAlign w:val="center"/>
          </w:tcPr>
          <w:p w14:paraId="329DE1E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34.03 ± 0.69*</w:t>
            </w:r>
          </w:p>
        </w:tc>
        <w:tc>
          <w:tcPr>
            <w:tcW w:w="1515" w:type="dxa"/>
            <w:vAlign w:val="center"/>
          </w:tcPr>
          <w:p w14:paraId="6DEF163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33.57 ±0.63*</w:t>
            </w:r>
          </w:p>
        </w:tc>
        <w:tc>
          <w:tcPr>
            <w:tcW w:w="1426" w:type="dxa"/>
            <w:vAlign w:val="center"/>
          </w:tcPr>
          <w:p w14:paraId="0834B6B2"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31.69 ±0.52*</w:t>
            </w:r>
          </w:p>
        </w:tc>
        <w:tc>
          <w:tcPr>
            <w:tcW w:w="1782" w:type="dxa"/>
            <w:vAlign w:val="center"/>
          </w:tcPr>
          <w:p w14:paraId="6951757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11.763</w:t>
            </w:r>
          </w:p>
        </w:tc>
      </w:tr>
      <w:tr w:rsidR="00D61932" w:rsidRPr="005F1AC5" w14:paraId="618B9B6C" w14:textId="77777777" w:rsidTr="00A36C5A">
        <w:trPr>
          <w:trHeight w:val="299"/>
          <w:jc w:val="center"/>
        </w:trPr>
        <w:tc>
          <w:tcPr>
            <w:tcW w:w="1699" w:type="dxa"/>
            <w:vAlign w:val="center"/>
          </w:tcPr>
          <w:p w14:paraId="09E52FD3"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MCV (</w:t>
            </w:r>
            <w:proofErr w:type="spellStart"/>
            <w:r w:rsidRPr="005F1AC5">
              <w:rPr>
                <w:rFonts w:ascii="Arial" w:hAnsi="Arial" w:cs="Arial"/>
                <w:b/>
                <w:bCs/>
                <w:sz w:val="20"/>
                <w:szCs w:val="20"/>
              </w:rPr>
              <w:t>fL</w:t>
            </w:r>
            <w:proofErr w:type="spellEnd"/>
            <w:r w:rsidRPr="005F1AC5">
              <w:rPr>
                <w:rFonts w:ascii="Arial" w:hAnsi="Arial" w:cs="Arial"/>
                <w:b/>
                <w:bCs/>
                <w:sz w:val="20"/>
                <w:szCs w:val="20"/>
              </w:rPr>
              <w:t>)</w:t>
            </w:r>
          </w:p>
        </w:tc>
        <w:tc>
          <w:tcPr>
            <w:tcW w:w="1421" w:type="dxa"/>
            <w:vAlign w:val="center"/>
          </w:tcPr>
          <w:p w14:paraId="38687ADC"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51.55 ±1.54</w:t>
            </w:r>
          </w:p>
        </w:tc>
        <w:tc>
          <w:tcPr>
            <w:tcW w:w="1426" w:type="dxa"/>
            <w:vAlign w:val="center"/>
          </w:tcPr>
          <w:p w14:paraId="1B3E0F2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51.36 ±2.57</w:t>
            </w:r>
          </w:p>
        </w:tc>
        <w:tc>
          <w:tcPr>
            <w:tcW w:w="1515" w:type="dxa"/>
            <w:vAlign w:val="center"/>
          </w:tcPr>
          <w:p w14:paraId="36D84514"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50.15 ±1.96</w:t>
            </w:r>
          </w:p>
        </w:tc>
        <w:tc>
          <w:tcPr>
            <w:tcW w:w="1426" w:type="dxa"/>
            <w:vAlign w:val="center"/>
          </w:tcPr>
          <w:p w14:paraId="21DED80D"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62.17 ±2.14*</w:t>
            </w:r>
          </w:p>
        </w:tc>
        <w:tc>
          <w:tcPr>
            <w:tcW w:w="1782" w:type="dxa"/>
            <w:vAlign w:val="center"/>
          </w:tcPr>
          <w:p w14:paraId="7D131EA5"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7.235</w:t>
            </w:r>
          </w:p>
        </w:tc>
      </w:tr>
      <w:tr w:rsidR="00D61932" w:rsidRPr="005F1AC5" w14:paraId="77742D48" w14:textId="77777777" w:rsidTr="00A36C5A">
        <w:trPr>
          <w:trHeight w:val="299"/>
          <w:jc w:val="center"/>
        </w:trPr>
        <w:tc>
          <w:tcPr>
            <w:tcW w:w="1699" w:type="dxa"/>
            <w:vAlign w:val="center"/>
          </w:tcPr>
          <w:p w14:paraId="43D66543"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MCH (</w:t>
            </w:r>
            <w:proofErr w:type="spellStart"/>
            <w:r w:rsidRPr="005F1AC5">
              <w:rPr>
                <w:rFonts w:ascii="Arial" w:hAnsi="Arial" w:cs="Arial"/>
                <w:b/>
                <w:bCs/>
                <w:sz w:val="20"/>
                <w:szCs w:val="20"/>
              </w:rPr>
              <w:t>pg</w:t>
            </w:r>
            <w:proofErr w:type="spellEnd"/>
            <w:r w:rsidRPr="005F1AC5">
              <w:rPr>
                <w:rFonts w:ascii="Arial" w:hAnsi="Arial" w:cs="Arial"/>
                <w:b/>
                <w:bCs/>
                <w:sz w:val="20"/>
                <w:szCs w:val="20"/>
              </w:rPr>
              <w:t>)</w:t>
            </w:r>
          </w:p>
        </w:tc>
        <w:tc>
          <w:tcPr>
            <w:tcW w:w="1421" w:type="dxa"/>
            <w:vAlign w:val="center"/>
          </w:tcPr>
          <w:p w14:paraId="12F78BD1"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17.23 ±0.67</w:t>
            </w:r>
          </w:p>
        </w:tc>
        <w:tc>
          <w:tcPr>
            <w:tcW w:w="1426" w:type="dxa"/>
            <w:vAlign w:val="center"/>
          </w:tcPr>
          <w:p w14:paraId="3DBB878D"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17.43 ± 0.61</w:t>
            </w:r>
          </w:p>
        </w:tc>
        <w:tc>
          <w:tcPr>
            <w:tcW w:w="1515" w:type="dxa"/>
            <w:vAlign w:val="center"/>
          </w:tcPr>
          <w:p w14:paraId="5E4BEFA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16.65 ±0.52</w:t>
            </w:r>
          </w:p>
        </w:tc>
        <w:tc>
          <w:tcPr>
            <w:tcW w:w="1426" w:type="dxa"/>
            <w:vAlign w:val="center"/>
          </w:tcPr>
          <w:p w14:paraId="2235EC2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20.35 ±0.61*</w:t>
            </w:r>
          </w:p>
        </w:tc>
        <w:tc>
          <w:tcPr>
            <w:tcW w:w="1782" w:type="dxa"/>
            <w:vAlign w:val="center"/>
          </w:tcPr>
          <w:p w14:paraId="09B1722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7.448</w:t>
            </w:r>
          </w:p>
        </w:tc>
      </w:tr>
      <w:tr w:rsidR="00D61932" w:rsidRPr="005F1AC5" w14:paraId="741A02A2" w14:textId="77777777" w:rsidTr="00A36C5A">
        <w:trPr>
          <w:trHeight w:val="299"/>
          <w:jc w:val="center"/>
        </w:trPr>
        <w:tc>
          <w:tcPr>
            <w:tcW w:w="1699" w:type="dxa"/>
            <w:vAlign w:val="center"/>
          </w:tcPr>
          <w:p w14:paraId="3EFA266E"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MCHC (%)</w:t>
            </w:r>
          </w:p>
        </w:tc>
        <w:tc>
          <w:tcPr>
            <w:tcW w:w="1421" w:type="dxa"/>
            <w:vAlign w:val="center"/>
          </w:tcPr>
          <w:p w14:paraId="1DA12CC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33.43 ±0.92</w:t>
            </w:r>
          </w:p>
        </w:tc>
        <w:tc>
          <w:tcPr>
            <w:tcW w:w="1426" w:type="dxa"/>
            <w:vAlign w:val="center"/>
          </w:tcPr>
          <w:p w14:paraId="4B4031A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34.27 ±0.86</w:t>
            </w:r>
          </w:p>
        </w:tc>
        <w:tc>
          <w:tcPr>
            <w:tcW w:w="1515" w:type="dxa"/>
            <w:vAlign w:val="center"/>
          </w:tcPr>
          <w:p w14:paraId="78BCA4B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33.46 ±1.22</w:t>
            </w:r>
          </w:p>
        </w:tc>
        <w:tc>
          <w:tcPr>
            <w:tcW w:w="1426" w:type="dxa"/>
            <w:vAlign w:val="center"/>
          </w:tcPr>
          <w:p w14:paraId="7807AEEF"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32.97 ±1.2</w:t>
            </w:r>
          </w:p>
        </w:tc>
        <w:tc>
          <w:tcPr>
            <w:tcW w:w="1782" w:type="dxa"/>
            <w:vAlign w:val="center"/>
          </w:tcPr>
          <w:p w14:paraId="59CEF85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0.262</w:t>
            </w:r>
          </w:p>
        </w:tc>
      </w:tr>
      <w:tr w:rsidR="00D61932" w:rsidRPr="005F1AC5" w14:paraId="16575A44" w14:textId="77777777" w:rsidTr="00A36C5A">
        <w:trPr>
          <w:trHeight w:val="300"/>
          <w:jc w:val="center"/>
        </w:trPr>
        <w:tc>
          <w:tcPr>
            <w:tcW w:w="1699" w:type="dxa"/>
            <w:tcBorders>
              <w:bottom w:val="single" w:sz="12" w:space="0" w:color="auto"/>
            </w:tcBorders>
            <w:vAlign w:val="center"/>
          </w:tcPr>
          <w:p w14:paraId="24E409AC"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TLC (x10</w:t>
            </w:r>
            <w:r w:rsidRPr="005F1AC5">
              <w:rPr>
                <w:rFonts w:ascii="Arial" w:hAnsi="Arial" w:cs="Arial"/>
                <w:b/>
                <w:bCs/>
                <w:sz w:val="20"/>
                <w:szCs w:val="20"/>
                <w:vertAlign w:val="superscript"/>
              </w:rPr>
              <w:t>3</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421" w:type="dxa"/>
            <w:tcBorders>
              <w:bottom w:val="single" w:sz="12" w:space="0" w:color="auto"/>
            </w:tcBorders>
            <w:vAlign w:val="center"/>
          </w:tcPr>
          <w:p w14:paraId="5B53D90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3.91 ±0.2</w:t>
            </w:r>
          </w:p>
        </w:tc>
        <w:tc>
          <w:tcPr>
            <w:tcW w:w="1426" w:type="dxa"/>
            <w:tcBorders>
              <w:bottom w:val="single" w:sz="12" w:space="0" w:color="auto"/>
            </w:tcBorders>
            <w:vAlign w:val="center"/>
          </w:tcPr>
          <w:p w14:paraId="3ABA080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6.45 ±0.34*</w:t>
            </w:r>
          </w:p>
        </w:tc>
        <w:tc>
          <w:tcPr>
            <w:tcW w:w="1515" w:type="dxa"/>
            <w:tcBorders>
              <w:bottom w:val="single" w:sz="12" w:space="0" w:color="auto"/>
            </w:tcBorders>
            <w:vAlign w:val="center"/>
          </w:tcPr>
          <w:p w14:paraId="0DD30BFA"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7.06 ±0.52*</w:t>
            </w:r>
          </w:p>
        </w:tc>
        <w:tc>
          <w:tcPr>
            <w:tcW w:w="1426" w:type="dxa"/>
            <w:tcBorders>
              <w:bottom w:val="single" w:sz="12" w:space="0" w:color="auto"/>
            </w:tcBorders>
            <w:vAlign w:val="center"/>
          </w:tcPr>
          <w:p w14:paraId="747F2CF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8.32 ±0.59*</w:t>
            </w:r>
          </w:p>
        </w:tc>
        <w:tc>
          <w:tcPr>
            <w:tcW w:w="1782" w:type="dxa"/>
            <w:tcBorders>
              <w:bottom w:val="single" w:sz="12" w:space="0" w:color="auto"/>
            </w:tcBorders>
            <w:vAlign w:val="center"/>
          </w:tcPr>
          <w:p w14:paraId="4DECF3F2" w14:textId="77777777" w:rsidR="00D61932" w:rsidRPr="005F1AC5" w:rsidRDefault="00D61932" w:rsidP="00A36C5A">
            <w:pPr>
              <w:keepNext/>
              <w:jc w:val="center"/>
              <w:rPr>
                <w:rFonts w:ascii="Arial" w:hAnsi="Arial" w:cs="Arial"/>
                <w:b/>
                <w:bCs/>
                <w:sz w:val="20"/>
                <w:szCs w:val="20"/>
              </w:rPr>
            </w:pPr>
            <w:r w:rsidRPr="005F1AC5">
              <w:rPr>
                <w:rFonts w:ascii="Arial" w:hAnsi="Arial" w:cs="Arial"/>
                <w:b/>
                <w:bCs/>
                <w:sz w:val="20"/>
                <w:szCs w:val="20"/>
              </w:rPr>
              <w:t>17.617</w:t>
            </w:r>
          </w:p>
        </w:tc>
      </w:tr>
    </w:tbl>
    <w:bookmarkEnd w:id="0"/>
    <w:p w14:paraId="48D2F003" w14:textId="4589CCA2" w:rsidR="00D61932" w:rsidRPr="006F73DA" w:rsidRDefault="00D61932" w:rsidP="00D61932">
      <w:pPr>
        <w:pStyle w:val="Caption"/>
        <w:rPr>
          <w:rFonts w:ascii="Arial" w:hAnsi="Arial" w:cs="Arial"/>
          <w:color w:val="auto"/>
        </w:rPr>
      </w:pPr>
      <w:r w:rsidRPr="006F73DA">
        <w:rPr>
          <w:rFonts w:ascii="Arial" w:hAnsi="Arial" w:cs="Arial"/>
          <w:color w:val="auto"/>
        </w:rPr>
        <w:t>Data are expressed as Mean ± S.E.</w:t>
      </w:r>
      <w:r w:rsidR="006F73DA" w:rsidRPr="006F73DA">
        <w:rPr>
          <w:rFonts w:ascii="Arial" w:hAnsi="Arial" w:cs="Arial"/>
          <w:color w:val="auto"/>
        </w:rPr>
        <w:t>, *Significant by ANOVA</w:t>
      </w:r>
      <w:r w:rsidR="00E47ECC">
        <w:rPr>
          <w:rFonts w:ascii="Arial" w:hAnsi="Arial" w:cs="Arial"/>
          <w:color w:val="auto"/>
        </w:rPr>
        <w:t>, Sample size(n)=10</w:t>
      </w:r>
    </w:p>
    <w:p w14:paraId="61D9116B" w14:textId="132AC616"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The slight recovery observed during the natural post-treatment period suggests the possibility of slow endogenous repair mechanisms; however, the recovery was limited and statistically insignificant, indicating persistent CPF-induced damage. In contrast, the significant recovery mediated by </w:t>
      </w:r>
      <w:r w:rsidRPr="00576A02">
        <w:rPr>
          <w:rStyle w:val="Emphasis"/>
          <w:rFonts w:ascii="Arial" w:hAnsi="Arial" w:cs="Arial"/>
          <w:sz w:val="20"/>
          <w:szCs w:val="16"/>
        </w:rPr>
        <w:t>A. sativum</w:t>
      </w:r>
      <w:r w:rsidRPr="00576A02">
        <w:rPr>
          <w:rFonts w:ascii="Arial" w:hAnsi="Arial" w:cs="Arial"/>
          <w:sz w:val="20"/>
          <w:szCs w:val="16"/>
        </w:rPr>
        <w:t xml:space="preserve"> highlights its therapeutic role. Garlic’s organosulphur compounds such as allicin and S-allyl cysteine was reported to enhance antioxidant </w:t>
      </w:r>
      <w:proofErr w:type="spellStart"/>
      <w:r w:rsidRPr="00576A02">
        <w:rPr>
          <w:rFonts w:ascii="Arial" w:hAnsi="Arial" w:cs="Arial"/>
          <w:sz w:val="20"/>
          <w:szCs w:val="16"/>
        </w:rPr>
        <w:t>defense</w:t>
      </w:r>
      <w:proofErr w:type="spellEnd"/>
      <w:r w:rsidRPr="00576A02">
        <w:rPr>
          <w:rFonts w:ascii="Arial" w:hAnsi="Arial" w:cs="Arial"/>
          <w:sz w:val="20"/>
          <w:szCs w:val="16"/>
        </w:rPr>
        <w:t>, stabilize erythrocyte membranes and protect against pesticide-induced haematotoxicity (Bayan et al., 2014). Similar protective effects of garlic extract against CPF-induced anaemia have been observed in rats. (</w:t>
      </w:r>
      <w:r w:rsidR="005F1BD4">
        <w:rPr>
          <w:rFonts w:ascii="Arial" w:hAnsi="Arial" w:cs="Arial"/>
          <w:sz w:val="20"/>
          <w:szCs w:val="16"/>
        </w:rPr>
        <w:t>Khalaf et al.</w:t>
      </w:r>
      <w:r w:rsidRPr="00576A02">
        <w:rPr>
          <w:rFonts w:ascii="Arial" w:hAnsi="Arial" w:cs="Arial"/>
          <w:sz w:val="20"/>
          <w:szCs w:val="16"/>
        </w:rPr>
        <w:t>, 20</w:t>
      </w:r>
      <w:r w:rsidR="005F1BD4">
        <w:rPr>
          <w:rFonts w:ascii="Arial" w:hAnsi="Arial" w:cs="Arial"/>
          <w:sz w:val="20"/>
          <w:szCs w:val="16"/>
        </w:rPr>
        <w:t>22</w:t>
      </w:r>
      <w:r w:rsidRPr="00576A02">
        <w:rPr>
          <w:rFonts w:ascii="Arial" w:hAnsi="Arial" w:cs="Arial"/>
          <w:sz w:val="20"/>
          <w:szCs w:val="16"/>
        </w:rPr>
        <w:t>).</w:t>
      </w:r>
    </w:p>
    <w:p w14:paraId="6AFDE47A" w14:textId="29330CCA" w:rsidR="00E47ECC" w:rsidRDefault="00E47ECC" w:rsidP="00D2632F">
      <w:pPr>
        <w:spacing w:before="240"/>
        <w:jc w:val="both"/>
        <w:rPr>
          <w:rFonts w:ascii="Arial" w:hAnsi="Arial" w:cs="Arial"/>
          <w:sz w:val="20"/>
          <w:szCs w:val="16"/>
        </w:rPr>
      </w:pPr>
    </w:p>
    <w:p w14:paraId="267E6D96" w14:textId="77777777" w:rsidR="00E47ECC" w:rsidRDefault="00E47ECC" w:rsidP="00D2632F">
      <w:pPr>
        <w:spacing w:before="240"/>
        <w:jc w:val="both"/>
        <w:rPr>
          <w:rFonts w:ascii="Arial" w:hAnsi="Arial" w:cs="Arial"/>
          <w:sz w:val="20"/>
          <w:szCs w:val="16"/>
        </w:rPr>
      </w:pPr>
    </w:p>
    <w:p w14:paraId="0DC16D69" w14:textId="359A6F83" w:rsidR="00BF1C21" w:rsidRPr="005F1AC5" w:rsidRDefault="005F1AC5" w:rsidP="00D2632F">
      <w:pPr>
        <w:spacing w:before="240"/>
        <w:jc w:val="both"/>
        <w:rPr>
          <w:rFonts w:ascii="Arial" w:hAnsi="Arial" w:cs="Arial"/>
          <w:b/>
          <w:bCs/>
          <w:sz w:val="20"/>
          <w:szCs w:val="16"/>
        </w:rPr>
      </w:pPr>
      <w:r>
        <w:rPr>
          <w:rFonts w:ascii="Arial" w:hAnsi="Arial" w:cs="Arial"/>
          <w:b/>
          <w:bCs/>
          <w:sz w:val="20"/>
          <w:szCs w:val="16"/>
        </w:rPr>
        <w:t xml:space="preserve">Table 2. Restitutive potential of </w:t>
      </w:r>
      <w:r>
        <w:rPr>
          <w:rFonts w:ascii="Arial" w:hAnsi="Arial" w:cs="Arial"/>
          <w:b/>
          <w:bCs/>
          <w:i/>
          <w:iCs/>
          <w:sz w:val="20"/>
          <w:szCs w:val="16"/>
        </w:rPr>
        <w:t xml:space="preserve">Allium sativum </w:t>
      </w:r>
      <w:r>
        <w:rPr>
          <w:rFonts w:ascii="Arial" w:hAnsi="Arial" w:cs="Arial"/>
          <w:b/>
          <w:bCs/>
          <w:sz w:val="20"/>
          <w:szCs w:val="16"/>
        </w:rPr>
        <w:t>in Chlorpyrifos induced mice.</w:t>
      </w:r>
    </w:p>
    <w:tbl>
      <w:tblPr>
        <w:tblStyle w:val="TableGrid"/>
        <w:tblW w:w="9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878"/>
        <w:gridCol w:w="1852"/>
        <w:gridCol w:w="1675"/>
        <w:gridCol w:w="1999"/>
      </w:tblGrid>
      <w:tr w:rsidR="005F1AC5" w:rsidRPr="005F1AC5" w14:paraId="11219B35" w14:textId="77777777" w:rsidTr="005F1AC5">
        <w:trPr>
          <w:trHeight w:val="436"/>
          <w:jc w:val="center"/>
        </w:trPr>
        <w:tc>
          <w:tcPr>
            <w:tcW w:w="1913" w:type="dxa"/>
            <w:tcBorders>
              <w:top w:val="single" w:sz="12" w:space="0" w:color="auto"/>
              <w:bottom w:val="single" w:sz="12" w:space="0" w:color="auto"/>
            </w:tcBorders>
            <w:vAlign w:val="center"/>
          </w:tcPr>
          <w:p w14:paraId="542DCAE3" w14:textId="77777777" w:rsidR="005F1AC5" w:rsidRPr="005F1AC5" w:rsidRDefault="005F1AC5" w:rsidP="00FB01A6">
            <w:pPr>
              <w:rPr>
                <w:rFonts w:ascii="Arial" w:hAnsi="Arial" w:cs="Arial"/>
                <w:sz w:val="20"/>
                <w:szCs w:val="20"/>
              </w:rPr>
            </w:pPr>
          </w:p>
        </w:tc>
        <w:tc>
          <w:tcPr>
            <w:tcW w:w="1878" w:type="dxa"/>
            <w:tcBorders>
              <w:top w:val="single" w:sz="12" w:space="0" w:color="auto"/>
              <w:bottom w:val="single" w:sz="12" w:space="0" w:color="auto"/>
            </w:tcBorders>
            <w:vAlign w:val="center"/>
          </w:tcPr>
          <w:p w14:paraId="7BCD53EF"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CPF-42</w:t>
            </w:r>
          </w:p>
        </w:tc>
        <w:tc>
          <w:tcPr>
            <w:tcW w:w="1852" w:type="dxa"/>
            <w:tcBorders>
              <w:top w:val="single" w:sz="12" w:space="0" w:color="auto"/>
              <w:bottom w:val="single" w:sz="12" w:space="0" w:color="auto"/>
            </w:tcBorders>
            <w:vAlign w:val="center"/>
          </w:tcPr>
          <w:p w14:paraId="0F19E021"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Natural Recovery-57</w:t>
            </w:r>
          </w:p>
        </w:tc>
        <w:tc>
          <w:tcPr>
            <w:tcW w:w="1675" w:type="dxa"/>
            <w:tcBorders>
              <w:top w:val="single" w:sz="12" w:space="0" w:color="auto"/>
              <w:bottom w:val="single" w:sz="12" w:space="0" w:color="auto"/>
            </w:tcBorders>
            <w:vAlign w:val="center"/>
          </w:tcPr>
          <w:p w14:paraId="6EB7FF78" w14:textId="77777777" w:rsidR="005F1AC5" w:rsidRPr="005F1AC5" w:rsidRDefault="005F1AC5" w:rsidP="00FB01A6">
            <w:pPr>
              <w:jc w:val="center"/>
              <w:rPr>
                <w:rFonts w:ascii="Arial" w:hAnsi="Arial" w:cs="Arial"/>
                <w:b/>
                <w:bCs/>
                <w:i/>
                <w:iCs/>
                <w:sz w:val="20"/>
                <w:szCs w:val="20"/>
              </w:rPr>
            </w:pPr>
            <w:r w:rsidRPr="005F1AC5">
              <w:rPr>
                <w:rFonts w:ascii="Arial" w:hAnsi="Arial" w:cs="Arial"/>
                <w:b/>
                <w:bCs/>
                <w:i/>
                <w:iCs/>
                <w:sz w:val="20"/>
                <w:szCs w:val="20"/>
              </w:rPr>
              <w:t xml:space="preserve">A. sativum </w:t>
            </w:r>
            <w:r w:rsidRPr="005F1AC5">
              <w:rPr>
                <w:rFonts w:ascii="Arial" w:hAnsi="Arial" w:cs="Arial"/>
                <w:b/>
                <w:bCs/>
                <w:sz w:val="20"/>
                <w:szCs w:val="20"/>
              </w:rPr>
              <w:t>Recovery-57</w:t>
            </w:r>
          </w:p>
        </w:tc>
        <w:tc>
          <w:tcPr>
            <w:tcW w:w="1999" w:type="dxa"/>
            <w:tcBorders>
              <w:top w:val="single" w:sz="12" w:space="0" w:color="auto"/>
              <w:bottom w:val="single" w:sz="12" w:space="0" w:color="auto"/>
            </w:tcBorders>
            <w:vAlign w:val="center"/>
          </w:tcPr>
          <w:p w14:paraId="23D08240"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F-value</w:t>
            </w:r>
          </w:p>
        </w:tc>
      </w:tr>
      <w:tr w:rsidR="005F1AC5" w:rsidRPr="005F1AC5" w14:paraId="7CE34CBE" w14:textId="77777777" w:rsidTr="005F1AC5">
        <w:trPr>
          <w:trHeight w:val="296"/>
          <w:jc w:val="center"/>
        </w:trPr>
        <w:tc>
          <w:tcPr>
            <w:tcW w:w="1913" w:type="dxa"/>
            <w:tcBorders>
              <w:top w:val="single" w:sz="12" w:space="0" w:color="auto"/>
            </w:tcBorders>
            <w:vAlign w:val="center"/>
          </w:tcPr>
          <w:p w14:paraId="514BFE72"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t>TEC (x10</w:t>
            </w:r>
            <w:r w:rsidRPr="005F1AC5">
              <w:rPr>
                <w:rFonts w:ascii="Arial" w:hAnsi="Arial" w:cs="Arial"/>
                <w:b/>
                <w:bCs/>
                <w:sz w:val="20"/>
                <w:szCs w:val="20"/>
                <w:vertAlign w:val="superscript"/>
              </w:rPr>
              <w:t>6</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878" w:type="dxa"/>
            <w:tcBorders>
              <w:top w:val="single" w:sz="12" w:space="0" w:color="auto"/>
            </w:tcBorders>
            <w:vAlign w:val="center"/>
          </w:tcPr>
          <w:p w14:paraId="6B6D2C1C"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5.13 ±0.14</w:t>
            </w:r>
          </w:p>
        </w:tc>
        <w:tc>
          <w:tcPr>
            <w:tcW w:w="1852" w:type="dxa"/>
            <w:tcBorders>
              <w:top w:val="single" w:sz="12" w:space="0" w:color="auto"/>
            </w:tcBorders>
            <w:vAlign w:val="center"/>
          </w:tcPr>
          <w:p w14:paraId="5642201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5.54 ±0.24</w:t>
            </w:r>
          </w:p>
        </w:tc>
        <w:tc>
          <w:tcPr>
            <w:tcW w:w="1675" w:type="dxa"/>
            <w:tcBorders>
              <w:top w:val="single" w:sz="12" w:space="0" w:color="auto"/>
            </w:tcBorders>
            <w:vAlign w:val="center"/>
          </w:tcPr>
          <w:p w14:paraId="41D4E34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6.32 ±0.23*</w:t>
            </w:r>
          </w:p>
        </w:tc>
        <w:tc>
          <w:tcPr>
            <w:tcW w:w="1999" w:type="dxa"/>
            <w:tcBorders>
              <w:top w:val="single" w:sz="12" w:space="0" w:color="auto"/>
            </w:tcBorders>
            <w:vAlign w:val="center"/>
          </w:tcPr>
          <w:p w14:paraId="1F1ED522"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7.238</w:t>
            </w:r>
          </w:p>
        </w:tc>
      </w:tr>
      <w:tr w:rsidR="005F1AC5" w:rsidRPr="005F1AC5" w14:paraId="7D1A6ABE" w14:textId="77777777" w:rsidTr="005F1AC5">
        <w:trPr>
          <w:trHeight w:val="310"/>
          <w:jc w:val="center"/>
        </w:trPr>
        <w:tc>
          <w:tcPr>
            <w:tcW w:w="1913" w:type="dxa"/>
            <w:vAlign w:val="center"/>
          </w:tcPr>
          <w:p w14:paraId="37041B98"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t>Hb (g/dL)</w:t>
            </w:r>
          </w:p>
        </w:tc>
        <w:tc>
          <w:tcPr>
            <w:tcW w:w="1878" w:type="dxa"/>
            <w:vAlign w:val="center"/>
          </w:tcPr>
          <w:p w14:paraId="33A378C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10.41 ±0.29</w:t>
            </w:r>
          </w:p>
        </w:tc>
        <w:tc>
          <w:tcPr>
            <w:tcW w:w="1852" w:type="dxa"/>
            <w:vAlign w:val="center"/>
          </w:tcPr>
          <w:p w14:paraId="215C321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11.04 ±0.51</w:t>
            </w:r>
          </w:p>
        </w:tc>
        <w:tc>
          <w:tcPr>
            <w:tcW w:w="1675" w:type="dxa"/>
            <w:vAlign w:val="center"/>
          </w:tcPr>
          <w:p w14:paraId="68FB96F7"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11.68 ±0.49</w:t>
            </w:r>
          </w:p>
        </w:tc>
        <w:tc>
          <w:tcPr>
            <w:tcW w:w="1999" w:type="dxa"/>
            <w:vAlign w:val="center"/>
          </w:tcPr>
          <w:p w14:paraId="16DB7B6B"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1.980</w:t>
            </w:r>
          </w:p>
        </w:tc>
      </w:tr>
      <w:tr w:rsidR="005F1AC5" w:rsidRPr="005F1AC5" w14:paraId="320E1B7B" w14:textId="77777777" w:rsidTr="005F1AC5">
        <w:trPr>
          <w:trHeight w:val="294"/>
          <w:jc w:val="center"/>
        </w:trPr>
        <w:tc>
          <w:tcPr>
            <w:tcW w:w="1913" w:type="dxa"/>
            <w:vAlign w:val="center"/>
          </w:tcPr>
          <w:p w14:paraId="797E0809"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t>PCV (%)</w:t>
            </w:r>
          </w:p>
        </w:tc>
        <w:tc>
          <w:tcPr>
            <w:tcW w:w="1878" w:type="dxa"/>
            <w:vAlign w:val="center"/>
          </w:tcPr>
          <w:p w14:paraId="73073BC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31.69 ±0.52</w:t>
            </w:r>
          </w:p>
        </w:tc>
        <w:tc>
          <w:tcPr>
            <w:tcW w:w="1852" w:type="dxa"/>
            <w:vAlign w:val="center"/>
          </w:tcPr>
          <w:p w14:paraId="778D1A88"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32.47 ±1.08</w:t>
            </w:r>
          </w:p>
        </w:tc>
        <w:tc>
          <w:tcPr>
            <w:tcW w:w="1675" w:type="dxa"/>
            <w:vAlign w:val="center"/>
          </w:tcPr>
          <w:p w14:paraId="7B3FBA21"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36.08 ±1.01*</w:t>
            </w:r>
          </w:p>
        </w:tc>
        <w:tc>
          <w:tcPr>
            <w:tcW w:w="1999" w:type="dxa"/>
            <w:vAlign w:val="center"/>
          </w:tcPr>
          <w:p w14:paraId="56D48563"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4.873</w:t>
            </w:r>
          </w:p>
        </w:tc>
      </w:tr>
      <w:tr w:rsidR="005F1AC5" w:rsidRPr="005F1AC5" w14:paraId="2BB9B35A" w14:textId="77777777" w:rsidTr="005F1AC5">
        <w:trPr>
          <w:trHeight w:val="294"/>
          <w:jc w:val="center"/>
        </w:trPr>
        <w:tc>
          <w:tcPr>
            <w:tcW w:w="1913" w:type="dxa"/>
            <w:vAlign w:val="center"/>
          </w:tcPr>
          <w:p w14:paraId="62410277"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MCV (</w:t>
            </w:r>
            <w:proofErr w:type="spellStart"/>
            <w:r w:rsidRPr="005F1AC5">
              <w:rPr>
                <w:rFonts w:ascii="Arial" w:hAnsi="Arial" w:cs="Arial"/>
                <w:b/>
                <w:bCs/>
                <w:sz w:val="20"/>
                <w:szCs w:val="20"/>
              </w:rPr>
              <w:t>fL</w:t>
            </w:r>
            <w:proofErr w:type="spellEnd"/>
            <w:r w:rsidRPr="005F1AC5">
              <w:rPr>
                <w:rFonts w:ascii="Arial" w:hAnsi="Arial" w:cs="Arial"/>
                <w:b/>
                <w:bCs/>
                <w:sz w:val="20"/>
                <w:szCs w:val="20"/>
              </w:rPr>
              <w:t>)</w:t>
            </w:r>
          </w:p>
        </w:tc>
        <w:tc>
          <w:tcPr>
            <w:tcW w:w="1878" w:type="dxa"/>
            <w:vAlign w:val="center"/>
          </w:tcPr>
          <w:p w14:paraId="730885B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62.17 ±2.14</w:t>
            </w:r>
          </w:p>
        </w:tc>
        <w:tc>
          <w:tcPr>
            <w:tcW w:w="1852" w:type="dxa"/>
            <w:vAlign w:val="center"/>
          </w:tcPr>
          <w:p w14:paraId="28FDB7C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59.22 ±3.75</w:t>
            </w:r>
          </w:p>
        </w:tc>
        <w:tc>
          <w:tcPr>
            <w:tcW w:w="1675" w:type="dxa"/>
            <w:vAlign w:val="center"/>
          </w:tcPr>
          <w:p w14:paraId="2881583E"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57.5 ±3.36</w:t>
            </w:r>
          </w:p>
        </w:tc>
        <w:tc>
          <w:tcPr>
            <w:tcW w:w="1999" w:type="dxa"/>
            <w:vAlign w:val="center"/>
          </w:tcPr>
          <w:p w14:paraId="0523066A"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0.480</w:t>
            </w:r>
          </w:p>
        </w:tc>
      </w:tr>
      <w:tr w:rsidR="005F1AC5" w:rsidRPr="005F1AC5" w14:paraId="46214991" w14:textId="77777777" w:rsidTr="000E3F1D">
        <w:trPr>
          <w:trHeight w:val="369"/>
          <w:jc w:val="center"/>
        </w:trPr>
        <w:tc>
          <w:tcPr>
            <w:tcW w:w="1913" w:type="dxa"/>
            <w:vAlign w:val="center"/>
          </w:tcPr>
          <w:p w14:paraId="0E2248EF"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lastRenderedPageBreak/>
              <w:t>MCH (</w:t>
            </w:r>
            <w:proofErr w:type="spellStart"/>
            <w:r w:rsidRPr="005F1AC5">
              <w:rPr>
                <w:rFonts w:ascii="Arial" w:hAnsi="Arial" w:cs="Arial"/>
                <w:b/>
                <w:bCs/>
                <w:sz w:val="20"/>
                <w:szCs w:val="20"/>
              </w:rPr>
              <w:t>pg</w:t>
            </w:r>
            <w:proofErr w:type="spellEnd"/>
            <w:r w:rsidRPr="005F1AC5">
              <w:rPr>
                <w:rFonts w:ascii="Arial" w:hAnsi="Arial" w:cs="Arial"/>
                <w:b/>
                <w:bCs/>
                <w:sz w:val="20"/>
                <w:szCs w:val="20"/>
              </w:rPr>
              <w:t>)</w:t>
            </w:r>
          </w:p>
        </w:tc>
        <w:tc>
          <w:tcPr>
            <w:tcW w:w="1878" w:type="dxa"/>
            <w:vAlign w:val="center"/>
          </w:tcPr>
          <w:p w14:paraId="5454A601"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20.35 ±0.61</w:t>
            </w:r>
          </w:p>
        </w:tc>
        <w:tc>
          <w:tcPr>
            <w:tcW w:w="1852" w:type="dxa"/>
            <w:vAlign w:val="center"/>
          </w:tcPr>
          <w:p w14:paraId="4E716282"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20.03 ±1.04</w:t>
            </w:r>
          </w:p>
        </w:tc>
        <w:tc>
          <w:tcPr>
            <w:tcW w:w="1675" w:type="dxa"/>
            <w:vAlign w:val="center"/>
          </w:tcPr>
          <w:p w14:paraId="6EDCEF83"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18.54 ±0.92</w:t>
            </w:r>
          </w:p>
        </w:tc>
        <w:tc>
          <w:tcPr>
            <w:tcW w:w="1999" w:type="dxa"/>
            <w:vAlign w:val="center"/>
          </w:tcPr>
          <w:p w14:paraId="2CDD7013"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1.116</w:t>
            </w:r>
          </w:p>
        </w:tc>
      </w:tr>
      <w:tr w:rsidR="005F1AC5" w:rsidRPr="005F1AC5" w14:paraId="4EC9D8E7" w14:textId="77777777" w:rsidTr="005F1AC5">
        <w:trPr>
          <w:trHeight w:val="294"/>
          <w:jc w:val="center"/>
        </w:trPr>
        <w:tc>
          <w:tcPr>
            <w:tcW w:w="1913" w:type="dxa"/>
            <w:vAlign w:val="center"/>
          </w:tcPr>
          <w:p w14:paraId="06101027"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MCHC (%)</w:t>
            </w:r>
          </w:p>
        </w:tc>
        <w:tc>
          <w:tcPr>
            <w:tcW w:w="1878" w:type="dxa"/>
            <w:vAlign w:val="center"/>
          </w:tcPr>
          <w:p w14:paraId="31485ECB"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32.97 ±1.2</w:t>
            </w:r>
          </w:p>
        </w:tc>
        <w:tc>
          <w:tcPr>
            <w:tcW w:w="1852" w:type="dxa"/>
            <w:vAlign w:val="center"/>
          </w:tcPr>
          <w:p w14:paraId="4069552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34.06 ±1.47</w:t>
            </w:r>
          </w:p>
        </w:tc>
        <w:tc>
          <w:tcPr>
            <w:tcW w:w="1675" w:type="dxa"/>
            <w:vAlign w:val="center"/>
          </w:tcPr>
          <w:p w14:paraId="23F5B1D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32.44 ±1.45</w:t>
            </w:r>
          </w:p>
        </w:tc>
        <w:tc>
          <w:tcPr>
            <w:tcW w:w="1999" w:type="dxa"/>
            <w:vAlign w:val="center"/>
          </w:tcPr>
          <w:p w14:paraId="23B41657"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0.343</w:t>
            </w:r>
          </w:p>
        </w:tc>
      </w:tr>
      <w:tr w:rsidR="005F1AC5" w:rsidRPr="005F1AC5" w14:paraId="0DB31AC6" w14:textId="77777777" w:rsidTr="005F1AC5">
        <w:trPr>
          <w:trHeight w:val="294"/>
          <w:jc w:val="center"/>
        </w:trPr>
        <w:tc>
          <w:tcPr>
            <w:tcW w:w="1913" w:type="dxa"/>
            <w:tcBorders>
              <w:bottom w:val="thinThickSmallGap" w:sz="24" w:space="0" w:color="auto"/>
            </w:tcBorders>
            <w:vAlign w:val="center"/>
          </w:tcPr>
          <w:p w14:paraId="3092F2D5"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TLC (x10</w:t>
            </w:r>
            <w:r w:rsidRPr="005F1AC5">
              <w:rPr>
                <w:rFonts w:ascii="Arial" w:hAnsi="Arial" w:cs="Arial"/>
                <w:b/>
                <w:bCs/>
                <w:sz w:val="20"/>
                <w:szCs w:val="20"/>
                <w:vertAlign w:val="superscript"/>
              </w:rPr>
              <w:t>3</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878" w:type="dxa"/>
            <w:tcBorders>
              <w:bottom w:val="thinThickSmallGap" w:sz="24" w:space="0" w:color="auto"/>
            </w:tcBorders>
            <w:vAlign w:val="center"/>
          </w:tcPr>
          <w:p w14:paraId="107A91D9"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8.32 ±0.59</w:t>
            </w:r>
          </w:p>
        </w:tc>
        <w:tc>
          <w:tcPr>
            <w:tcW w:w="1852" w:type="dxa"/>
            <w:tcBorders>
              <w:bottom w:val="thinThickSmallGap" w:sz="24" w:space="0" w:color="auto"/>
            </w:tcBorders>
            <w:vAlign w:val="center"/>
          </w:tcPr>
          <w:p w14:paraId="4939FBB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7.53 ±0.74</w:t>
            </w:r>
          </w:p>
        </w:tc>
        <w:tc>
          <w:tcPr>
            <w:tcW w:w="1675" w:type="dxa"/>
            <w:tcBorders>
              <w:bottom w:val="thinThickSmallGap" w:sz="24" w:space="0" w:color="auto"/>
            </w:tcBorders>
            <w:vAlign w:val="center"/>
          </w:tcPr>
          <w:p w14:paraId="507A52B4"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5.53 ±0.37*</w:t>
            </w:r>
          </w:p>
        </w:tc>
        <w:tc>
          <w:tcPr>
            <w:tcW w:w="1999" w:type="dxa"/>
            <w:tcBorders>
              <w:bottom w:val="thinThickSmallGap" w:sz="24" w:space="0" w:color="auto"/>
            </w:tcBorders>
            <w:vAlign w:val="center"/>
          </w:tcPr>
          <w:p w14:paraId="7FC39835" w14:textId="77777777" w:rsidR="005F1AC5" w:rsidRPr="005F1AC5" w:rsidRDefault="005F1AC5" w:rsidP="00CD4371">
            <w:pPr>
              <w:keepNext/>
              <w:jc w:val="center"/>
              <w:rPr>
                <w:rFonts w:ascii="Arial" w:hAnsi="Arial" w:cs="Arial"/>
                <w:b/>
                <w:bCs/>
                <w:sz w:val="20"/>
                <w:szCs w:val="20"/>
              </w:rPr>
            </w:pPr>
            <w:r w:rsidRPr="005F1AC5">
              <w:rPr>
                <w:rFonts w:ascii="Arial" w:hAnsi="Arial" w:cs="Arial"/>
                <w:b/>
                <w:bCs/>
                <w:sz w:val="20"/>
                <w:szCs w:val="20"/>
              </w:rPr>
              <w:t>4.594</w:t>
            </w:r>
          </w:p>
        </w:tc>
      </w:tr>
    </w:tbl>
    <w:p w14:paraId="4E456F6D" w14:textId="4AA426CF" w:rsidR="005F1AC5" w:rsidRDefault="00CD4371" w:rsidP="00CD4371">
      <w:pPr>
        <w:pStyle w:val="Caption"/>
        <w:rPr>
          <w:rFonts w:ascii="Arial" w:hAnsi="Arial" w:cs="Arial"/>
        </w:rPr>
      </w:pPr>
      <w:r w:rsidRPr="006F73DA">
        <w:rPr>
          <w:rFonts w:ascii="Arial" w:hAnsi="Arial" w:cs="Arial"/>
          <w:color w:val="auto"/>
        </w:rPr>
        <w:t>Data are expressed as Mean ± S.E.</w:t>
      </w:r>
      <w:r w:rsidR="006F73DA" w:rsidRPr="006F73DA">
        <w:rPr>
          <w:rFonts w:ascii="Arial" w:hAnsi="Arial" w:cs="Arial"/>
          <w:color w:val="auto"/>
        </w:rPr>
        <w:t>, *Significant by ANOVA</w:t>
      </w:r>
      <w:r w:rsidR="00E47ECC">
        <w:rPr>
          <w:rFonts w:ascii="Arial" w:hAnsi="Arial" w:cs="Arial"/>
          <w:color w:val="auto"/>
        </w:rPr>
        <w:t>, Sample size(n)=10</w:t>
      </w:r>
    </w:p>
    <w:p w14:paraId="364E66CD" w14:textId="774F4DC9" w:rsidR="002209C0" w:rsidRDefault="00717099" w:rsidP="002209C0">
      <w:r>
        <w:rPr>
          <w:noProof/>
        </w:rPr>
        <w:drawing>
          <wp:inline distT="0" distB="0" distL="0" distR="0" wp14:anchorId="3867FE73" wp14:editId="1A676F5A">
            <wp:extent cx="5731510" cy="3438525"/>
            <wp:effectExtent l="0" t="0" r="2540" b="9525"/>
            <wp:docPr id="1" name="Chart 1">
              <a:extLst xmlns:a="http://schemas.openxmlformats.org/drawingml/2006/main">
                <a:ext uri="{FF2B5EF4-FFF2-40B4-BE49-F238E27FC236}">
                  <a16:creationId xmlns:a16="http://schemas.microsoft.com/office/drawing/2014/main" id="{C923FDB4-47B2-FC81-FBC2-B761B387F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4E2E37" w14:textId="7D7922A3" w:rsidR="002209C0" w:rsidRPr="002209C0" w:rsidRDefault="002209C0" w:rsidP="002209C0">
      <w:pPr>
        <w:rPr>
          <w:rFonts w:ascii="Arial" w:hAnsi="Arial" w:cs="Arial"/>
          <w:b/>
          <w:bCs/>
          <w:sz w:val="20"/>
          <w:szCs w:val="16"/>
        </w:rPr>
      </w:pPr>
      <w:r>
        <w:rPr>
          <w:rFonts w:ascii="Arial" w:hAnsi="Arial" w:cs="Arial"/>
          <w:b/>
          <w:bCs/>
          <w:sz w:val="20"/>
          <w:szCs w:val="16"/>
        </w:rPr>
        <w:t xml:space="preserve">Fig. 1. </w:t>
      </w:r>
      <w:r w:rsidR="00CA591D">
        <w:rPr>
          <w:rFonts w:ascii="Arial" w:hAnsi="Arial" w:cs="Arial"/>
          <w:b/>
          <w:bCs/>
          <w:sz w:val="20"/>
          <w:szCs w:val="16"/>
        </w:rPr>
        <w:t>Reduction in TEC, Hb</w:t>
      </w:r>
      <w:r w:rsidR="00050E53">
        <w:rPr>
          <w:rFonts w:ascii="Arial" w:hAnsi="Arial" w:cs="Arial"/>
          <w:b/>
          <w:bCs/>
          <w:sz w:val="20"/>
          <w:szCs w:val="16"/>
        </w:rPr>
        <w:t xml:space="preserve"> and</w:t>
      </w:r>
      <w:r w:rsidR="00CA591D">
        <w:rPr>
          <w:rFonts w:ascii="Arial" w:hAnsi="Arial" w:cs="Arial"/>
          <w:b/>
          <w:bCs/>
          <w:sz w:val="20"/>
          <w:szCs w:val="16"/>
        </w:rPr>
        <w:t xml:space="preserve"> PCV </w:t>
      </w:r>
      <w:r w:rsidR="00050E53">
        <w:rPr>
          <w:rFonts w:ascii="Arial" w:hAnsi="Arial" w:cs="Arial"/>
          <w:b/>
          <w:bCs/>
          <w:sz w:val="20"/>
          <w:szCs w:val="16"/>
        </w:rPr>
        <w:t>(%) in CPF-treated group</w:t>
      </w:r>
      <w:r w:rsidR="002722A3">
        <w:rPr>
          <w:rFonts w:ascii="Arial" w:hAnsi="Arial" w:cs="Arial"/>
          <w:b/>
          <w:bCs/>
          <w:sz w:val="20"/>
          <w:szCs w:val="16"/>
        </w:rPr>
        <w:t>s</w:t>
      </w:r>
      <w:r w:rsidR="00050E53">
        <w:rPr>
          <w:rFonts w:ascii="Arial" w:hAnsi="Arial" w:cs="Arial"/>
          <w:b/>
          <w:bCs/>
          <w:sz w:val="20"/>
          <w:szCs w:val="16"/>
        </w:rPr>
        <w:t>.</w:t>
      </w:r>
    </w:p>
    <w:p w14:paraId="5F7E1FD1" w14:textId="3F99D787" w:rsidR="00B80456" w:rsidRPr="00576A02" w:rsidRDefault="00D2632F" w:rsidP="00AF6E44">
      <w:pPr>
        <w:spacing w:before="240"/>
        <w:jc w:val="both"/>
        <w:rPr>
          <w:rFonts w:ascii="Arial" w:hAnsi="Arial" w:cs="Arial"/>
          <w:b/>
          <w:bCs/>
          <w:sz w:val="22"/>
          <w:szCs w:val="18"/>
        </w:rPr>
      </w:pPr>
      <w:r w:rsidRPr="00576A02">
        <w:rPr>
          <w:rFonts w:ascii="Arial" w:hAnsi="Arial" w:cs="Arial"/>
          <w:b/>
          <w:bCs/>
          <w:sz w:val="22"/>
          <w:szCs w:val="18"/>
        </w:rPr>
        <w:t>3</w:t>
      </w:r>
      <w:r w:rsidR="00B80456" w:rsidRPr="00576A02">
        <w:rPr>
          <w:rFonts w:ascii="Arial" w:hAnsi="Arial" w:cs="Arial"/>
          <w:b/>
          <w:bCs/>
          <w:sz w:val="22"/>
          <w:szCs w:val="18"/>
        </w:rPr>
        <w:t>.</w:t>
      </w:r>
      <w:r w:rsidRPr="00576A02">
        <w:rPr>
          <w:rFonts w:ascii="Arial" w:hAnsi="Arial" w:cs="Arial"/>
          <w:b/>
          <w:bCs/>
          <w:sz w:val="22"/>
          <w:szCs w:val="18"/>
        </w:rPr>
        <w:t>2</w:t>
      </w:r>
      <w:r w:rsidR="00B80456" w:rsidRPr="00576A02">
        <w:rPr>
          <w:rFonts w:ascii="Arial" w:hAnsi="Arial" w:cs="Arial"/>
          <w:b/>
          <w:bCs/>
          <w:sz w:val="22"/>
          <w:szCs w:val="18"/>
        </w:rPr>
        <w:t xml:space="preserve"> Haemoglobin percentage </w:t>
      </w:r>
    </w:p>
    <w:p w14:paraId="04978EFD" w14:textId="1DD4E115"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The haemoglobin percentage was declined 10.54% and 16.85% in CPF-treated mice after 15 and 42 days respectively</w:t>
      </w:r>
      <w:r w:rsidR="009B4CC6">
        <w:rPr>
          <w:rFonts w:ascii="Arial" w:hAnsi="Arial" w:cs="Arial"/>
          <w:sz w:val="20"/>
          <w:szCs w:val="16"/>
        </w:rPr>
        <w:t xml:space="preserve"> (Fig. 1)</w:t>
      </w:r>
      <w:r w:rsidRPr="00576A02">
        <w:rPr>
          <w:rFonts w:ascii="Arial" w:hAnsi="Arial" w:cs="Arial"/>
          <w:sz w:val="20"/>
          <w:szCs w:val="16"/>
        </w:rPr>
        <w:t xml:space="preserve">. The difference in the reduced Hb% was recorded significant statistically. (F = 8.783, </w:t>
      </w:r>
      <w:r w:rsidRPr="00576A02">
        <w:rPr>
          <w:rStyle w:val="Emphasis"/>
          <w:rFonts w:ascii="Arial" w:hAnsi="Arial" w:cs="Arial"/>
          <w:sz w:val="20"/>
          <w:szCs w:val="16"/>
        </w:rPr>
        <w:t>P</w:t>
      </w:r>
      <w:r w:rsidRPr="00576A02">
        <w:rPr>
          <w:rFonts w:ascii="Arial" w:hAnsi="Arial" w:cs="Arial"/>
          <w:sz w:val="20"/>
          <w:szCs w:val="16"/>
        </w:rPr>
        <w:t xml:space="preserve"> = .05). However, 7-day treatment was found to statistically insignificant with 7.12% decrease in Hb%. </w:t>
      </w:r>
    </w:p>
    <w:p w14:paraId="45552F44" w14:textId="494E5E31"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Similarly, the significant reductions in Hb% was reported due to increased lipid peroxidation and oxidative injury to erythrocyte membranes by Kalender et al. (2005) and Ambali et al. (2007). </w:t>
      </w:r>
    </w:p>
    <w:p w14:paraId="700315BF" w14:textId="71AF01B8"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Natural recovery observed after 15 days post-treatment resulted in a marginal improvement of 5.03%, while recovery facilitated by 200 mg/kg </w:t>
      </w:r>
      <w:r w:rsidRPr="00576A02">
        <w:rPr>
          <w:rStyle w:val="Emphasis"/>
          <w:rFonts w:ascii="Arial" w:hAnsi="Arial" w:cs="Arial"/>
          <w:sz w:val="20"/>
          <w:szCs w:val="16"/>
        </w:rPr>
        <w:t>A. sativum</w:t>
      </w:r>
      <w:r w:rsidRPr="00576A02">
        <w:rPr>
          <w:rFonts w:ascii="Arial" w:hAnsi="Arial" w:cs="Arial"/>
          <w:sz w:val="20"/>
          <w:szCs w:val="16"/>
        </w:rPr>
        <w:t xml:space="preserve"> extract showed an increase of 10.14%</w:t>
      </w:r>
      <w:r w:rsidR="00747738">
        <w:rPr>
          <w:rFonts w:ascii="Arial" w:hAnsi="Arial" w:cs="Arial"/>
          <w:sz w:val="20"/>
          <w:szCs w:val="16"/>
        </w:rPr>
        <w:t xml:space="preserve"> (Fig. 2)</w:t>
      </w:r>
      <w:r w:rsidRPr="00576A02">
        <w:rPr>
          <w:rFonts w:ascii="Arial" w:hAnsi="Arial" w:cs="Arial"/>
          <w:sz w:val="20"/>
          <w:szCs w:val="16"/>
        </w:rPr>
        <w:t>. However, both recovery responses are statistically insignificant, suggesting only a partial restoration of Hb%.</w:t>
      </w:r>
    </w:p>
    <w:p w14:paraId="41663C9E" w14:textId="159272B3"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The partial recovery was also observed in </w:t>
      </w:r>
      <w:r w:rsidRPr="00576A02">
        <w:rPr>
          <w:rFonts w:ascii="Arial" w:hAnsi="Arial" w:cs="Arial"/>
          <w:i/>
          <w:iCs/>
          <w:sz w:val="20"/>
          <w:szCs w:val="16"/>
        </w:rPr>
        <w:t xml:space="preserve">A. sativum </w:t>
      </w:r>
      <w:r w:rsidRPr="00576A02">
        <w:rPr>
          <w:rFonts w:ascii="Arial" w:hAnsi="Arial" w:cs="Arial"/>
          <w:sz w:val="20"/>
          <w:szCs w:val="16"/>
        </w:rPr>
        <w:t>treated mice by Bayan et al. (2014), which can be can be linked to the antioxidant and membrane-stabilizing properties of garlic-derived organosulphur compounds. Hence, for proper recovery prolonged administration of garlic extract is required.</w:t>
      </w:r>
    </w:p>
    <w:p w14:paraId="1402E639" w14:textId="2081F5BC" w:rsidR="004E26E8" w:rsidRDefault="00B02C3C" w:rsidP="00D2632F">
      <w:pPr>
        <w:spacing w:before="240"/>
        <w:jc w:val="both"/>
        <w:rPr>
          <w:rFonts w:ascii="Arial" w:hAnsi="Arial" w:cs="Arial"/>
          <w:sz w:val="20"/>
          <w:szCs w:val="16"/>
        </w:rPr>
      </w:pPr>
      <w:r>
        <w:rPr>
          <w:noProof/>
        </w:rPr>
        <w:lastRenderedPageBreak/>
        <w:drawing>
          <wp:inline distT="0" distB="0" distL="0" distR="0" wp14:anchorId="34BCE3FF" wp14:editId="6478B48E">
            <wp:extent cx="5731510" cy="3438525"/>
            <wp:effectExtent l="0" t="0" r="2540" b="9525"/>
            <wp:docPr id="5" name="Chart 5">
              <a:extLst xmlns:a="http://schemas.openxmlformats.org/drawingml/2006/main">
                <a:ext uri="{FF2B5EF4-FFF2-40B4-BE49-F238E27FC236}">
                  <a16:creationId xmlns:a16="http://schemas.microsoft.com/office/drawing/2014/main" id="{F762FD94-8853-99DC-47A9-98D1696F1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E4BF95" w14:textId="68BE7228" w:rsidR="004E26E8" w:rsidRPr="00B02C3C" w:rsidRDefault="004E26E8" w:rsidP="00D2632F">
      <w:pPr>
        <w:spacing w:before="240"/>
        <w:jc w:val="both"/>
        <w:rPr>
          <w:rFonts w:ascii="Arial" w:hAnsi="Arial" w:cs="Arial"/>
          <w:b/>
          <w:bCs/>
          <w:sz w:val="20"/>
          <w:szCs w:val="16"/>
        </w:rPr>
      </w:pPr>
      <w:r>
        <w:rPr>
          <w:rFonts w:ascii="Arial" w:hAnsi="Arial" w:cs="Arial"/>
          <w:b/>
          <w:bCs/>
          <w:sz w:val="20"/>
          <w:szCs w:val="16"/>
        </w:rPr>
        <w:t xml:space="preserve">Fig. 2. </w:t>
      </w:r>
      <w:r w:rsidR="00B02C3C">
        <w:rPr>
          <w:rFonts w:ascii="Arial" w:hAnsi="Arial" w:cs="Arial"/>
          <w:b/>
          <w:bCs/>
          <w:sz w:val="20"/>
          <w:szCs w:val="16"/>
        </w:rPr>
        <w:t xml:space="preserve">Restitutive potential of </w:t>
      </w:r>
      <w:r w:rsidR="00B02C3C">
        <w:rPr>
          <w:rFonts w:ascii="Arial" w:hAnsi="Arial" w:cs="Arial"/>
          <w:b/>
          <w:bCs/>
          <w:i/>
          <w:iCs/>
          <w:sz w:val="20"/>
          <w:szCs w:val="16"/>
        </w:rPr>
        <w:t>Allium sativum</w:t>
      </w:r>
      <w:r w:rsidR="00B02C3C">
        <w:rPr>
          <w:rFonts w:ascii="Arial" w:hAnsi="Arial" w:cs="Arial"/>
          <w:b/>
          <w:bCs/>
          <w:sz w:val="20"/>
          <w:szCs w:val="16"/>
        </w:rPr>
        <w:t xml:space="preserve"> (AR) along with natural recovery (NR) in percentage with respect to 42 days CPF treated mice.</w:t>
      </w:r>
    </w:p>
    <w:p w14:paraId="0A305989" w14:textId="5E804E7F" w:rsidR="00B80456" w:rsidRPr="00576A02" w:rsidRDefault="00B80456" w:rsidP="00AF6E44">
      <w:pPr>
        <w:spacing w:before="240"/>
        <w:jc w:val="both"/>
        <w:rPr>
          <w:rFonts w:ascii="Arial" w:hAnsi="Arial" w:cs="Arial"/>
          <w:b/>
          <w:bCs/>
          <w:sz w:val="22"/>
          <w:szCs w:val="18"/>
        </w:rPr>
      </w:pPr>
      <w:r w:rsidRPr="00576A02">
        <w:rPr>
          <w:rFonts w:ascii="Arial" w:hAnsi="Arial" w:cs="Arial"/>
          <w:b/>
          <w:bCs/>
          <w:sz w:val="22"/>
          <w:szCs w:val="18"/>
        </w:rPr>
        <w:t>3.</w:t>
      </w:r>
      <w:r w:rsidR="00D2632F" w:rsidRPr="00576A02">
        <w:rPr>
          <w:rFonts w:ascii="Arial" w:hAnsi="Arial" w:cs="Arial"/>
          <w:b/>
          <w:bCs/>
          <w:sz w:val="22"/>
          <w:szCs w:val="18"/>
        </w:rPr>
        <w:t>3</w:t>
      </w:r>
      <w:r w:rsidRPr="00576A02">
        <w:rPr>
          <w:rFonts w:ascii="Arial" w:hAnsi="Arial" w:cs="Arial"/>
          <w:b/>
          <w:bCs/>
          <w:sz w:val="22"/>
          <w:szCs w:val="18"/>
        </w:rPr>
        <w:t xml:space="preserve"> Packed Cell Volume</w:t>
      </w:r>
    </w:p>
    <w:p w14:paraId="7BE791F7" w14:textId="197F54E9"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PCV in CPF-treated mice showed a gradual decline with increase of exposure duration. A significant decline was observed after 7 day (34.03% ± 0.69), 15 days (33.57% ± 0.63) and 42 days (31.69% ± 0.52) of CPF exposure with respect to control (37.57% ± 0.95) (F = 11.763, </w:t>
      </w:r>
      <w:r w:rsidRPr="00576A02">
        <w:rPr>
          <w:rStyle w:val="Emphasis"/>
          <w:rFonts w:ascii="Arial" w:hAnsi="Arial" w:cs="Arial"/>
          <w:sz w:val="20"/>
          <w:szCs w:val="16"/>
        </w:rPr>
        <w:t>P</w:t>
      </w:r>
      <w:r w:rsidRPr="00576A02">
        <w:rPr>
          <w:rFonts w:ascii="Arial" w:hAnsi="Arial" w:cs="Arial"/>
          <w:sz w:val="20"/>
          <w:szCs w:val="16"/>
        </w:rPr>
        <w:t xml:space="preserve"> = .05). </w:t>
      </w:r>
    </w:p>
    <w:p w14:paraId="7DD7AF95" w14:textId="1E435548"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Similar reductions in PCV have been reported in rats exposed to other OP such as diazinon and malathion, where oxidative stress and disruption of bone marrow function were identified as key mechanisms (Garg et al., 2004; </w:t>
      </w:r>
      <w:proofErr w:type="spellStart"/>
      <w:r w:rsidR="006672A7" w:rsidRPr="00D20A7E">
        <w:rPr>
          <w:rFonts w:ascii="Arial" w:hAnsi="Arial" w:cs="Arial"/>
          <w:color w:val="1B1B1B"/>
          <w:sz w:val="20"/>
          <w:szCs w:val="16"/>
          <w:shd w:val="clear" w:color="auto" w:fill="FFFFFF"/>
        </w:rPr>
        <w:t>Eldesoqui</w:t>
      </w:r>
      <w:proofErr w:type="spellEnd"/>
      <w:r w:rsidR="006672A7">
        <w:rPr>
          <w:rFonts w:ascii="Arial" w:hAnsi="Arial" w:cs="Arial"/>
          <w:color w:val="1B1B1B"/>
          <w:sz w:val="20"/>
          <w:szCs w:val="16"/>
          <w:shd w:val="clear" w:color="auto" w:fill="FFFFFF"/>
        </w:rPr>
        <w:t xml:space="preserve"> et al.</w:t>
      </w:r>
      <w:r w:rsidRPr="00576A02">
        <w:rPr>
          <w:rFonts w:ascii="Arial" w:hAnsi="Arial" w:cs="Arial"/>
          <w:sz w:val="20"/>
          <w:szCs w:val="16"/>
        </w:rPr>
        <w:t>, 20</w:t>
      </w:r>
      <w:r w:rsidR="006672A7">
        <w:rPr>
          <w:rFonts w:ascii="Arial" w:hAnsi="Arial" w:cs="Arial"/>
          <w:sz w:val="20"/>
          <w:szCs w:val="16"/>
        </w:rPr>
        <w:t>23</w:t>
      </w:r>
      <w:r w:rsidRPr="00576A02">
        <w:rPr>
          <w:rFonts w:ascii="Arial" w:hAnsi="Arial" w:cs="Arial"/>
          <w:sz w:val="20"/>
          <w:szCs w:val="16"/>
        </w:rPr>
        <w:t>).</w:t>
      </w:r>
    </w:p>
    <w:p w14:paraId="5677D4E6" w14:textId="042B8C76"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The natural recovery after 15 days post-treatment was found to be statistically insignificant, whereas treatment with 200 mg/kg </w:t>
      </w:r>
      <w:r w:rsidRPr="00576A02">
        <w:rPr>
          <w:rStyle w:val="Emphasis"/>
          <w:rFonts w:ascii="Arial" w:hAnsi="Arial" w:cs="Arial"/>
          <w:sz w:val="20"/>
          <w:szCs w:val="16"/>
        </w:rPr>
        <w:t>A. sativum</w:t>
      </w:r>
      <w:r w:rsidRPr="00576A02">
        <w:rPr>
          <w:rFonts w:ascii="Arial" w:hAnsi="Arial" w:cs="Arial"/>
          <w:sz w:val="20"/>
          <w:szCs w:val="16"/>
        </w:rPr>
        <w:t xml:space="preserve"> extract resulted in a significant (F = 4.873, </w:t>
      </w:r>
      <w:r w:rsidRPr="00576A02">
        <w:rPr>
          <w:rFonts w:ascii="Arial" w:hAnsi="Arial" w:cs="Arial"/>
          <w:i/>
          <w:iCs/>
          <w:sz w:val="20"/>
          <w:szCs w:val="16"/>
        </w:rPr>
        <w:t xml:space="preserve">P = </w:t>
      </w:r>
      <w:r w:rsidRPr="00576A02">
        <w:rPr>
          <w:rFonts w:ascii="Arial" w:hAnsi="Arial" w:cs="Arial"/>
          <w:sz w:val="20"/>
          <w:szCs w:val="16"/>
        </w:rPr>
        <w:t>.05) improvement in PCV (36.08% ± 1.01), suggesting a restorative effect of garlic against CPF-induced haematotoxicity</w:t>
      </w:r>
      <w:r w:rsidR="001F5B4D">
        <w:rPr>
          <w:rFonts w:ascii="Arial" w:hAnsi="Arial" w:cs="Arial"/>
          <w:sz w:val="20"/>
          <w:szCs w:val="16"/>
        </w:rPr>
        <w:t xml:space="preserve"> (Table 2)</w:t>
      </w:r>
      <w:r w:rsidRPr="00576A02">
        <w:rPr>
          <w:rFonts w:ascii="Arial" w:hAnsi="Arial" w:cs="Arial"/>
          <w:sz w:val="20"/>
          <w:szCs w:val="16"/>
        </w:rPr>
        <w:t>.</w:t>
      </w:r>
    </w:p>
    <w:p w14:paraId="4E2F5970" w14:textId="6C1DB0DA"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The insignificant natural recovery observed in this study suggests that CPF-induced haematotoxic effects persist even after 15 days of post-treatment. Studies in albino rats have shown that garlic extract supplementation restored PCV following pesticide or heavy metal toxicity, supporting the present findings (</w:t>
      </w:r>
      <w:r w:rsidR="003D0436" w:rsidRPr="003D0436">
        <w:rPr>
          <w:rFonts w:ascii="Arial" w:hAnsi="Arial" w:cs="Arial"/>
          <w:sz w:val="20"/>
          <w:szCs w:val="16"/>
        </w:rPr>
        <w:t>El-Aziz</w:t>
      </w:r>
      <w:r w:rsidRPr="00576A02">
        <w:rPr>
          <w:rFonts w:ascii="Arial" w:hAnsi="Arial" w:cs="Arial"/>
          <w:sz w:val="20"/>
          <w:szCs w:val="16"/>
        </w:rPr>
        <w:t xml:space="preserve"> et al., 20</w:t>
      </w:r>
      <w:r w:rsidR="003D0436">
        <w:rPr>
          <w:rFonts w:ascii="Arial" w:hAnsi="Arial" w:cs="Arial"/>
          <w:sz w:val="20"/>
          <w:szCs w:val="16"/>
        </w:rPr>
        <w:t>22</w:t>
      </w:r>
      <w:r w:rsidRPr="00576A02">
        <w:rPr>
          <w:rFonts w:ascii="Arial" w:hAnsi="Arial" w:cs="Arial"/>
          <w:sz w:val="20"/>
          <w:szCs w:val="16"/>
        </w:rPr>
        <w:t>).</w:t>
      </w:r>
    </w:p>
    <w:p w14:paraId="09870E62" w14:textId="7B505006" w:rsidR="00B80456" w:rsidRPr="00576A02" w:rsidRDefault="00B80456" w:rsidP="00AF6E44">
      <w:pPr>
        <w:spacing w:before="240"/>
        <w:jc w:val="both"/>
        <w:rPr>
          <w:rFonts w:ascii="Arial" w:hAnsi="Arial" w:cs="Arial"/>
          <w:b/>
          <w:bCs/>
          <w:sz w:val="22"/>
          <w:szCs w:val="18"/>
        </w:rPr>
      </w:pPr>
      <w:r w:rsidRPr="00576A02">
        <w:rPr>
          <w:rFonts w:ascii="Arial" w:hAnsi="Arial" w:cs="Arial"/>
          <w:b/>
          <w:bCs/>
          <w:sz w:val="22"/>
          <w:szCs w:val="18"/>
        </w:rPr>
        <w:t>3.</w:t>
      </w:r>
      <w:r w:rsidR="00D2632F" w:rsidRPr="00576A02">
        <w:rPr>
          <w:rFonts w:ascii="Arial" w:hAnsi="Arial" w:cs="Arial"/>
          <w:b/>
          <w:bCs/>
          <w:sz w:val="22"/>
          <w:szCs w:val="18"/>
        </w:rPr>
        <w:t>4</w:t>
      </w:r>
      <w:r w:rsidRPr="00576A02">
        <w:rPr>
          <w:rFonts w:ascii="Arial" w:hAnsi="Arial" w:cs="Arial"/>
          <w:b/>
          <w:bCs/>
          <w:sz w:val="22"/>
          <w:szCs w:val="18"/>
        </w:rPr>
        <w:t xml:space="preserve"> Erythrocyte Indices</w:t>
      </w:r>
    </w:p>
    <w:p w14:paraId="1D3F8046" w14:textId="37B2CE6F"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CPF exposure for 42 days led to a 20.6% increase in MCV (62.17 ± 2.14 </w:t>
      </w:r>
      <w:proofErr w:type="spellStart"/>
      <w:r w:rsidRPr="00576A02">
        <w:rPr>
          <w:rFonts w:ascii="Arial" w:hAnsi="Arial" w:cs="Arial"/>
          <w:sz w:val="20"/>
          <w:szCs w:val="16"/>
        </w:rPr>
        <w:t>fL</w:t>
      </w:r>
      <w:proofErr w:type="spellEnd"/>
      <w:r w:rsidRPr="00576A02">
        <w:rPr>
          <w:rFonts w:ascii="Arial" w:hAnsi="Arial" w:cs="Arial"/>
          <w:sz w:val="20"/>
          <w:szCs w:val="16"/>
        </w:rPr>
        <w:t xml:space="preserve">) compared to control (51.55 ± 1.54 </w:t>
      </w:r>
      <w:proofErr w:type="spellStart"/>
      <w:r w:rsidRPr="00576A02">
        <w:rPr>
          <w:rFonts w:ascii="Arial" w:hAnsi="Arial" w:cs="Arial"/>
          <w:sz w:val="20"/>
          <w:szCs w:val="16"/>
        </w:rPr>
        <w:t>fL</w:t>
      </w:r>
      <w:proofErr w:type="spellEnd"/>
      <w:r w:rsidRPr="00576A02">
        <w:rPr>
          <w:rFonts w:ascii="Arial" w:hAnsi="Arial" w:cs="Arial"/>
          <w:sz w:val="20"/>
          <w:szCs w:val="16"/>
        </w:rPr>
        <w:t xml:space="preserve">), which was statistically significant (F = 7.235, </w:t>
      </w:r>
      <w:r w:rsidRPr="00576A02">
        <w:rPr>
          <w:rStyle w:val="Emphasis"/>
          <w:rFonts w:ascii="Arial" w:hAnsi="Arial" w:cs="Arial"/>
          <w:sz w:val="20"/>
          <w:szCs w:val="16"/>
        </w:rPr>
        <w:t>P</w:t>
      </w:r>
      <w:r w:rsidRPr="00576A02">
        <w:rPr>
          <w:rFonts w:ascii="Arial" w:hAnsi="Arial" w:cs="Arial"/>
          <w:sz w:val="20"/>
          <w:szCs w:val="16"/>
        </w:rPr>
        <w:t xml:space="preserve"> = .05). However, changes observed at 7 and 15 days were statistically insignificant</w:t>
      </w:r>
      <w:r w:rsidR="00A470E1">
        <w:rPr>
          <w:rFonts w:ascii="Arial" w:hAnsi="Arial" w:cs="Arial"/>
          <w:sz w:val="20"/>
          <w:szCs w:val="16"/>
        </w:rPr>
        <w:t xml:space="preserve"> (Table 1)</w:t>
      </w:r>
      <w:r w:rsidRPr="00576A02">
        <w:rPr>
          <w:rFonts w:ascii="Arial" w:hAnsi="Arial" w:cs="Arial"/>
          <w:sz w:val="20"/>
          <w:szCs w:val="16"/>
        </w:rPr>
        <w:t xml:space="preserve">. Similarly, MCH significantly increased by 18.11% after 42 days of CPF exposure, which was statistically significant (F = 7.448, </w:t>
      </w:r>
      <w:r w:rsidRPr="00576A02">
        <w:rPr>
          <w:rStyle w:val="Emphasis"/>
          <w:rFonts w:ascii="Arial" w:hAnsi="Arial" w:cs="Arial"/>
          <w:sz w:val="20"/>
          <w:szCs w:val="16"/>
        </w:rPr>
        <w:t>P</w:t>
      </w:r>
      <w:r w:rsidRPr="00576A02">
        <w:rPr>
          <w:rFonts w:ascii="Arial" w:hAnsi="Arial" w:cs="Arial"/>
          <w:sz w:val="20"/>
          <w:szCs w:val="16"/>
        </w:rPr>
        <w:t xml:space="preserve"> = .05), while the effects at 7 and 15 days were statistically insignificant. In contrast, the effect of CPF on MCHC remained statistically insignificant throughout the treatment duration. </w:t>
      </w:r>
    </w:p>
    <w:p w14:paraId="2828B986" w14:textId="4EFA6ABD"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The significant elevation of MCV and MCH following prolonged CPF exposure suggests the development of macrocytic anaemia, which is often associated with oxidative stress and impaired erythropoiesis. Enlargement of erythrocytes under toxic stress has been reported in Wistar rats, </w:t>
      </w:r>
      <w:r w:rsidRPr="00576A02">
        <w:rPr>
          <w:rFonts w:ascii="Arial" w:hAnsi="Arial" w:cs="Arial"/>
          <w:sz w:val="20"/>
          <w:szCs w:val="16"/>
        </w:rPr>
        <w:lastRenderedPageBreak/>
        <w:t>indicating possible defects in haemoglobin synthesis or bone marrow dysregulation (</w:t>
      </w:r>
      <w:proofErr w:type="spellStart"/>
      <w:r w:rsidRPr="00576A02">
        <w:rPr>
          <w:rFonts w:ascii="Arial" w:hAnsi="Arial" w:cs="Arial"/>
          <w:sz w:val="20"/>
          <w:szCs w:val="16"/>
        </w:rPr>
        <w:t>Fetoui</w:t>
      </w:r>
      <w:proofErr w:type="spellEnd"/>
      <w:r w:rsidRPr="00576A02">
        <w:rPr>
          <w:rFonts w:ascii="Arial" w:hAnsi="Arial" w:cs="Arial"/>
          <w:sz w:val="20"/>
          <w:szCs w:val="16"/>
        </w:rPr>
        <w:t xml:space="preserve"> et al., 2009). Similar increases in MCV and MCH have been documented in CPF-treated Wistar rats, where oxidative injury and interference with iron metabolism were identified as key mechanisms (Sharma et al., 2005). The unchanged MCHC observed in the present study may indicate that although erythrocytes enlarged in volume and haemoglobin content, the haemoglobin concentration per unit volume remained stable, suggesting partial compensation in erythrocyte physiology. This is similar with earlier observations in rats and rabbits exposed to organophosphate pesticides, where MCV and MCH were elevated but MCHC remained relatively unaltered (</w:t>
      </w:r>
      <w:proofErr w:type="spellStart"/>
      <w:r w:rsidR="006672A7" w:rsidRPr="00D20A7E">
        <w:rPr>
          <w:rFonts w:ascii="Arial" w:hAnsi="Arial" w:cs="Arial"/>
          <w:color w:val="1B1B1B"/>
          <w:sz w:val="20"/>
          <w:szCs w:val="16"/>
          <w:shd w:val="clear" w:color="auto" w:fill="FFFFFF"/>
        </w:rPr>
        <w:t>Eldesoqui</w:t>
      </w:r>
      <w:proofErr w:type="spellEnd"/>
      <w:r w:rsidR="006672A7">
        <w:rPr>
          <w:rFonts w:ascii="Arial" w:hAnsi="Arial" w:cs="Arial"/>
          <w:color w:val="1B1B1B"/>
          <w:sz w:val="20"/>
          <w:szCs w:val="16"/>
          <w:shd w:val="clear" w:color="auto" w:fill="FFFFFF"/>
        </w:rPr>
        <w:t xml:space="preserve"> et al.</w:t>
      </w:r>
      <w:r w:rsidR="006672A7" w:rsidRPr="00576A02">
        <w:rPr>
          <w:rFonts w:ascii="Arial" w:hAnsi="Arial" w:cs="Arial"/>
          <w:sz w:val="20"/>
          <w:szCs w:val="16"/>
        </w:rPr>
        <w:t>, 20</w:t>
      </w:r>
      <w:r w:rsidR="006672A7">
        <w:rPr>
          <w:rFonts w:ascii="Arial" w:hAnsi="Arial" w:cs="Arial"/>
          <w:sz w:val="20"/>
          <w:szCs w:val="16"/>
        </w:rPr>
        <w:t>23</w:t>
      </w:r>
      <w:r w:rsidRPr="00576A02">
        <w:rPr>
          <w:rFonts w:ascii="Arial" w:hAnsi="Arial" w:cs="Arial"/>
          <w:sz w:val="20"/>
          <w:szCs w:val="16"/>
        </w:rPr>
        <w:t>).</w:t>
      </w:r>
    </w:p>
    <w:p w14:paraId="3D621715" w14:textId="52BBA719"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Neither natural recovery nor </w:t>
      </w:r>
      <w:r w:rsidRPr="00576A02">
        <w:rPr>
          <w:rStyle w:val="Emphasis"/>
          <w:rFonts w:ascii="Arial" w:hAnsi="Arial" w:cs="Arial"/>
          <w:sz w:val="20"/>
          <w:szCs w:val="16"/>
        </w:rPr>
        <w:t>A. sativum</w:t>
      </w:r>
      <w:r w:rsidRPr="00576A02">
        <w:rPr>
          <w:rFonts w:ascii="Arial" w:hAnsi="Arial" w:cs="Arial"/>
          <w:sz w:val="20"/>
          <w:szCs w:val="16"/>
        </w:rPr>
        <w:t xml:space="preserve"> mediated recovery led to statistically significant changes in these erythrocyte indices</w:t>
      </w:r>
      <w:r w:rsidR="00CF1870">
        <w:rPr>
          <w:rFonts w:ascii="Arial" w:hAnsi="Arial" w:cs="Arial"/>
          <w:sz w:val="20"/>
          <w:szCs w:val="16"/>
        </w:rPr>
        <w:t xml:space="preserve"> (Table 2)</w:t>
      </w:r>
      <w:r w:rsidRPr="00576A02">
        <w:rPr>
          <w:rFonts w:ascii="Arial" w:hAnsi="Arial" w:cs="Arial"/>
          <w:sz w:val="20"/>
          <w:szCs w:val="16"/>
        </w:rPr>
        <w:t xml:space="preserve">, although </w:t>
      </w:r>
      <w:r w:rsidRPr="00576A02">
        <w:rPr>
          <w:rStyle w:val="Emphasis"/>
          <w:rFonts w:ascii="Arial" w:hAnsi="Arial" w:cs="Arial"/>
          <w:sz w:val="20"/>
          <w:szCs w:val="16"/>
        </w:rPr>
        <w:t>A. sativum</w:t>
      </w:r>
      <w:r w:rsidRPr="00576A02">
        <w:rPr>
          <w:rFonts w:ascii="Arial" w:hAnsi="Arial" w:cs="Arial"/>
          <w:sz w:val="20"/>
          <w:szCs w:val="16"/>
        </w:rPr>
        <w:t xml:space="preserve"> supplementation improved MCV levels by 9.1% and MCH levels by 10.51%.</w:t>
      </w:r>
    </w:p>
    <w:p w14:paraId="771C4C74" w14:textId="77777777"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The insignificant natural recovery post-treatment indicates persistent CPF-induced damage to erythrocyte indices, whereas the partial but insignificant improvement by </w:t>
      </w:r>
      <w:r w:rsidRPr="00576A02">
        <w:rPr>
          <w:rStyle w:val="Emphasis"/>
          <w:rFonts w:ascii="Arial" w:hAnsi="Arial" w:cs="Arial"/>
          <w:sz w:val="20"/>
          <w:szCs w:val="16"/>
        </w:rPr>
        <w:t>A. sativum</w:t>
      </w:r>
      <w:r w:rsidRPr="00576A02">
        <w:rPr>
          <w:rFonts w:ascii="Arial" w:hAnsi="Arial" w:cs="Arial"/>
          <w:sz w:val="20"/>
          <w:szCs w:val="16"/>
        </w:rPr>
        <w:t xml:space="preserve"> suggests some ameliorative effect. Garlic’s bioactive sulphur compounds have been shown to modulate oxidative stress and support erythrocyte membrane integrity (</w:t>
      </w:r>
      <w:proofErr w:type="spellStart"/>
      <w:r w:rsidRPr="00576A02">
        <w:rPr>
          <w:rFonts w:ascii="Arial" w:hAnsi="Arial" w:cs="Arial"/>
          <w:sz w:val="20"/>
          <w:szCs w:val="16"/>
        </w:rPr>
        <w:t>Iciek</w:t>
      </w:r>
      <w:proofErr w:type="spellEnd"/>
      <w:r w:rsidRPr="00576A02">
        <w:rPr>
          <w:rFonts w:ascii="Arial" w:hAnsi="Arial" w:cs="Arial"/>
          <w:sz w:val="20"/>
          <w:szCs w:val="16"/>
        </w:rPr>
        <w:t xml:space="preserve"> et al., 2009; Banerjee and Maulik, 2002), but the present finding indicates that its effect on erythrocytic indices like MCV and MCH may be less pronounced compared to its impact on TEC and PCV.</w:t>
      </w:r>
    </w:p>
    <w:p w14:paraId="13ADF774" w14:textId="3D8C0F23" w:rsidR="00B80456" w:rsidRPr="00576A02" w:rsidRDefault="00D2632F" w:rsidP="00AF6E44">
      <w:pPr>
        <w:spacing w:before="240"/>
        <w:jc w:val="both"/>
        <w:rPr>
          <w:rFonts w:ascii="Arial" w:hAnsi="Arial" w:cs="Arial"/>
          <w:b/>
          <w:bCs/>
          <w:sz w:val="22"/>
          <w:szCs w:val="18"/>
        </w:rPr>
      </w:pPr>
      <w:r w:rsidRPr="00576A02">
        <w:rPr>
          <w:rFonts w:ascii="Arial" w:hAnsi="Arial" w:cs="Arial"/>
          <w:b/>
          <w:bCs/>
          <w:sz w:val="22"/>
          <w:szCs w:val="18"/>
        </w:rPr>
        <w:t>3</w:t>
      </w:r>
      <w:r w:rsidR="00B80456" w:rsidRPr="00576A02">
        <w:rPr>
          <w:rFonts w:ascii="Arial" w:hAnsi="Arial" w:cs="Arial"/>
          <w:b/>
          <w:bCs/>
          <w:sz w:val="22"/>
          <w:szCs w:val="18"/>
        </w:rPr>
        <w:t>.</w:t>
      </w:r>
      <w:r w:rsidRPr="00576A02">
        <w:rPr>
          <w:rFonts w:ascii="Arial" w:hAnsi="Arial" w:cs="Arial"/>
          <w:b/>
          <w:bCs/>
          <w:sz w:val="22"/>
          <w:szCs w:val="18"/>
        </w:rPr>
        <w:t>5</w:t>
      </w:r>
      <w:r w:rsidR="00B80456" w:rsidRPr="00576A02">
        <w:rPr>
          <w:rFonts w:ascii="Arial" w:hAnsi="Arial" w:cs="Arial"/>
          <w:b/>
          <w:bCs/>
          <w:sz w:val="22"/>
          <w:szCs w:val="18"/>
        </w:rPr>
        <w:t xml:space="preserve"> Total Leukocyte Count</w:t>
      </w:r>
    </w:p>
    <w:p w14:paraId="13FAD39E" w14:textId="63017300"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CPF treatment led to a significant (</w:t>
      </w:r>
      <w:r w:rsidRPr="00576A02">
        <w:rPr>
          <w:rStyle w:val="Emphasis"/>
          <w:rFonts w:ascii="Arial" w:hAnsi="Arial" w:cs="Arial"/>
          <w:sz w:val="20"/>
          <w:szCs w:val="16"/>
        </w:rPr>
        <w:t>F</w:t>
      </w:r>
      <w:r w:rsidRPr="00576A02">
        <w:rPr>
          <w:rFonts w:ascii="Arial" w:hAnsi="Arial" w:cs="Arial"/>
          <w:sz w:val="20"/>
          <w:szCs w:val="16"/>
        </w:rPr>
        <w:t xml:space="preserve"> = 17.617, </w:t>
      </w:r>
      <w:r w:rsidRPr="00576A02">
        <w:rPr>
          <w:rStyle w:val="Emphasis"/>
          <w:rFonts w:ascii="Arial" w:hAnsi="Arial" w:cs="Arial"/>
          <w:sz w:val="20"/>
          <w:szCs w:val="16"/>
        </w:rPr>
        <w:t>P</w:t>
      </w:r>
      <w:r w:rsidRPr="00576A02">
        <w:rPr>
          <w:rFonts w:ascii="Arial" w:hAnsi="Arial" w:cs="Arial"/>
          <w:sz w:val="20"/>
          <w:szCs w:val="16"/>
        </w:rPr>
        <w:t xml:space="preserve"> = .05) increase in TLC across all exposure durations when compared with control</w:t>
      </w:r>
      <w:r w:rsidR="00A470E1">
        <w:rPr>
          <w:rFonts w:ascii="Arial" w:hAnsi="Arial" w:cs="Arial"/>
          <w:sz w:val="20"/>
          <w:szCs w:val="16"/>
        </w:rPr>
        <w:t xml:space="preserve"> (Table 1)</w:t>
      </w:r>
      <w:r w:rsidRPr="00576A02">
        <w:rPr>
          <w:rFonts w:ascii="Arial" w:hAnsi="Arial" w:cs="Arial"/>
          <w:sz w:val="20"/>
          <w:szCs w:val="16"/>
        </w:rPr>
        <w:t xml:space="preserve">. After 7 days of treatment, TLC increased by 64.96%, and the elevation became 80.56% and 112.79% after 15 and 42 days of CPF treatment, respectively. A significant rise was thus evident in even after the initial 7 days of CPF exposure, indicating an early immune response. </w:t>
      </w:r>
    </w:p>
    <w:p w14:paraId="189509E6" w14:textId="70004A8F"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Increased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has been widely reported in mammalian models exposed to OP, reflecting inflammatory responses and activation of the immune system against oxidative and cellular damage (Garg et al., 2004; Al-Attar, 2009; Sarfaraz et al., 2024). In albino rats, chronic CPF exposure caused persistent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lymphocytosis, which were attributed to immune system overstimulation and increased production of reactive oxygen species (</w:t>
      </w:r>
      <w:r w:rsidR="00502054" w:rsidRPr="00EA560B">
        <w:rPr>
          <w:rFonts w:ascii="Arial" w:hAnsi="Arial" w:cs="Arial"/>
          <w:sz w:val="20"/>
        </w:rPr>
        <w:t>Weis</w:t>
      </w:r>
      <w:r w:rsidRPr="00576A02">
        <w:rPr>
          <w:rFonts w:ascii="Arial" w:hAnsi="Arial" w:cs="Arial"/>
          <w:sz w:val="20"/>
          <w:szCs w:val="16"/>
        </w:rPr>
        <w:t xml:space="preserve"> et al., 20</w:t>
      </w:r>
      <w:r w:rsidR="00502054">
        <w:rPr>
          <w:rFonts w:ascii="Arial" w:hAnsi="Arial" w:cs="Arial"/>
          <w:sz w:val="20"/>
          <w:szCs w:val="16"/>
        </w:rPr>
        <w:t>21</w:t>
      </w:r>
      <w:r w:rsidRPr="00576A02">
        <w:rPr>
          <w:rFonts w:ascii="Arial" w:hAnsi="Arial" w:cs="Arial"/>
          <w:sz w:val="20"/>
          <w:szCs w:val="16"/>
        </w:rPr>
        <w:t xml:space="preserve">). Similar findings were reported in rabbits and goats, where CPF intoxication induced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neutrophilia, pointing to systemic inflammation and altered immunological function (</w:t>
      </w:r>
      <w:proofErr w:type="spellStart"/>
      <w:r w:rsidR="00BE3430">
        <w:rPr>
          <w:rFonts w:ascii="Arial" w:hAnsi="Arial" w:cs="Arial"/>
          <w:sz w:val="20"/>
          <w:szCs w:val="16"/>
        </w:rPr>
        <w:t>Wolejko</w:t>
      </w:r>
      <w:proofErr w:type="spellEnd"/>
      <w:r w:rsidRPr="00576A02">
        <w:rPr>
          <w:rFonts w:ascii="Arial" w:hAnsi="Arial" w:cs="Arial"/>
          <w:sz w:val="20"/>
          <w:szCs w:val="16"/>
        </w:rPr>
        <w:t xml:space="preserve"> et al., 20</w:t>
      </w:r>
      <w:r w:rsidR="00BE3430">
        <w:rPr>
          <w:rFonts w:ascii="Arial" w:hAnsi="Arial" w:cs="Arial"/>
          <w:sz w:val="20"/>
          <w:szCs w:val="16"/>
        </w:rPr>
        <w:t>22</w:t>
      </w:r>
      <w:r w:rsidRPr="00576A02">
        <w:rPr>
          <w:rFonts w:ascii="Arial" w:hAnsi="Arial" w:cs="Arial"/>
          <w:sz w:val="20"/>
          <w:szCs w:val="16"/>
        </w:rPr>
        <w:t xml:space="preserve">). </w:t>
      </w:r>
    </w:p>
    <w:p w14:paraId="28A98A8F" w14:textId="2106E544"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Natural recovery observed after 15 days post-treatment resulted in only a 20.21% decline, which was statistically insignificant, whereas 200 mg/kg of </w:t>
      </w:r>
      <w:r w:rsidRPr="00576A02">
        <w:rPr>
          <w:rStyle w:val="Emphasis"/>
          <w:rFonts w:ascii="Arial" w:hAnsi="Arial" w:cs="Arial"/>
          <w:sz w:val="20"/>
          <w:szCs w:val="16"/>
        </w:rPr>
        <w:t>A. sativum</w:t>
      </w:r>
      <w:r w:rsidRPr="00576A02">
        <w:rPr>
          <w:rFonts w:ascii="Arial" w:hAnsi="Arial" w:cs="Arial"/>
          <w:sz w:val="20"/>
          <w:szCs w:val="16"/>
        </w:rPr>
        <w:t xml:space="preserve"> extract significantly (</w:t>
      </w:r>
      <w:r w:rsidRPr="00576A02">
        <w:rPr>
          <w:rStyle w:val="Emphasis"/>
          <w:rFonts w:ascii="Arial" w:hAnsi="Arial" w:cs="Arial"/>
          <w:sz w:val="20"/>
          <w:szCs w:val="16"/>
        </w:rPr>
        <w:t>F</w:t>
      </w:r>
      <w:r w:rsidRPr="00576A02">
        <w:rPr>
          <w:rFonts w:ascii="Arial" w:hAnsi="Arial" w:cs="Arial"/>
          <w:sz w:val="20"/>
          <w:szCs w:val="16"/>
        </w:rPr>
        <w:t xml:space="preserve"> = 4.594, </w:t>
      </w:r>
      <w:r w:rsidRPr="00576A02">
        <w:rPr>
          <w:rStyle w:val="Emphasis"/>
          <w:rFonts w:ascii="Arial" w:hAnsi="Arial" w:cs="Arial"/>
          <w:sz w:val="20"/>
          <w:szCs w:val="16"/>
        </w:rPr>
        <w:t>P</w:t>
      </w:r>
      <w:r w:rsidRPr="00576A02">
        <w:rPr>
          <w:rFonts w:ascii="Arial" w:hAnsi="Arial" w:cs="Arial"/>
          <w:sz w:val="20"/>
          <w:szCs w:val="16"/>
        </w:rPr>
        <w:t xml:space="preserve"> = .05) restored TLC levels by 71.36%</w:t>
      </w:r>
      <w:r w:rsidR="00D55BAE">
        <w:rPr>
          <w:rFonts w:ascii="Arial" w:hAnsi="Arial" w:cs="Arial"/>
          <w:sz w:val="20"/>
          <w:szCs w:val="16"/>
        </w:rPr>
        <w:t xml:space="preserve"> (Fig. 2)</w:t>
      </w:r>
      <w:r w:rsidRPr="00576A02">
        <w:rPr>
          <w:rFonts w:ascii="Arial" w:hAnsi="Arial" w:cs="Arial"/>
          <w:sz w:val="20"/>
          <w:szCs w:val="16"/>
        </w:rPr>
        <w:t>.</w:t>
      </w:r>
    </w:p>
    <w:p w14:paraId="79EC1232" w14:textId="14E4C817" w:rsidR="00AC424C" w:rsidRPr="00576A02" w:rsidRDefault="00B80456" w:rsidP="00AC424C">
      <w:pPr>
        <w:spacing w:before="240"/>
        <w:jc w:val="both"/>
        <w:rPr>
          <w:rFonts w:ascii="Arial" w:hAnsi="Arial" w:cs="Arial"/>
          <w:sz w:val="20"/>
          <w:szCs w:val="16"/>
        </w:rPr>
      </w:pPr>
      <w:r w:rsidRPr="00576A02">
        <w:rPr>
          <w:rFonts w:ascii="Arial" w:hAnsi="Arial" w:cs="Arial"/>
          <w:sz w:val="20"/>
          <w:szCs w:val="16"/>
        </w:rPr>
        <w:t xml:space="preserve">The insignificant improvement during natural recovery suggests that CPF-induced immune alterations persist beyond the exposure period, likely due to long-lasting oxidative damage and immune dysregulation. In contrast, the significant recovery observed with </w:t>
      </w:r>
      <w:r w:rsidRPr="00576A02">
        <w:rPr>
          <w:rStyle w:val="Emphasis"/>
          <w:rFonts w:ascii="Arial" w:hAnsi="Arial" w:cs="Arial"/>
          <w:sz w:val="20"/>
          <w:szCs w:val="16"/>
        </w:rPr>
        <w:t>A. sativum</w:t>
      </w:r>
      <w:r w:rsidRPr="00576A02">
        <w:rPr>
          <w:rFonts w:ascii="Arial" w:hAnsi="Arial" w:cs="Arial"/>
          <w:sz w:val="20"/>
          <w:szCs w:val="16"/>
        </w:rPr>
        <w:t xml:space="preserve"> treatment indicates its immunomodulatory and antioxidant potential. Garlic is known to enhance immune function by stimulating lymphocyte proliferation, macrophage activity and cytokine regulation while reducing oxidative stress (</w:t>
      </w:r>
      <w:proofErr w:type="spellStart"/>
      <w:r w:rsidRPr="00576A02">
        <w:rPr>
          <w:rFonts w:ascii="Arial" w:hAnsi="Arial" w:cs="Arial"/>
          <w:sz w:val="20"/>
          <w:szCs w:val="16"/>
        </w:rPr>
        <w:t>Iciek</w:t>
      </w:r>
      <w:proofErr w:type="spellEnd"/>
      <w:r w:rsidRPr="00576A02">
        <w:rPr>
          <w:rFonts w:ascii="Arial" w:hAnsi="Arial" w:cs="Arial"/>
          <w:sz w:val="20"/>
          <w:szCs w:val="16"/>
        </w:rPr>
        <w:t xml:space="preserve"> et al., 2009; Bayan et al., 2014). Studies on Wistar rats have demonstrated that garlic extract normalizes pesticide-induced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restores immune balance, further supporting the present findings (Banerjee and Maulik, 2002).</w:t>
      </w:r>
    </w:p>
    <w:p w14:paraId="6BABA980" w14:textId="5DD150A4" w:rsidR="00AC424C" w:rsidRPr="00576A02" w:rsidRDefault="00AC424C" w:rsidP="00AC424C">
      <w:pPr>
        <w:spacing w:before="240"/>
        <w:rPr>
          <w:rFonts w:ascii="Arial" w:hAnsi="Arial" w:cs="Arial"/>
          <w:b/>
          <w:bCs/>
          <w:sz w:val="22"/>
          <w:szCs w:val="18"/>
        </w:rPr>
      </w:pPr>
      <w:r w:rsidRPr="00576A02">
        <w:rPr>
          <w:rFonts w:ascii="Arial" w:hAnsi="Arial" w:cs="Arial"/>
          <w:b/>
          <w:bCs/>
          <w:sz w:val="22"/>
          <w:szCs w:val="18"/>
        </w:rPr>
        <w:t>4. CONCLUSION</w:t>
      </w:r>
    </w:p>
    <w:p w14:paraId="0D3405DD" w14:textId="39DE6797" w:rsidR="00AC424C" w:rsidRDefault="00AC424C" w:rsidP="00AC424C">
      <w:pPr>
        <w:spacing w:before="240"/>
        <w:jc w:val="both"/>
        <w:rPr>
          <w:rFonts w:ascii="Arial" w:eastAsia="Times New Roman" w:hAnsi="Arial" w:cs="Arial"/>
          <w:sz w:val="20"/>
        </w:rPr>
      </w:pPr>
      <w:r w:rsidRPr="00AC424C">
        <w:rPr>
          <w:rFonts w:ascii="Arial" w:eastAsia="Times New Roman" w:hAnsi="Arial" w:cs="Arial"/>
          <w:sz w:val="20"/>
        </w:rPr>
        <w:t xml:space="preserve">The present study clearly demonstrates that sub-lethal exposure to </w:t>
      </w:r>
      <w:r w:rsidR="00860C92" w:rsidRPr="00576A02">
        <w:rPr>
          <w:rFonts w:ascii="Arial" w:eastAsia="Times New Roman" w:hAnsi="Arial" w:cs="Arial"/>
          <w:sz w:val="20"/>
        </w:rPr>
        <w:t xml:space="preserve">CPF </w:t>
      </w:r>
      <w:r w:rsidRPr="00AC424C">
        <w:rPr>
          <w:rFonts w:ascii="Arial" w:eastAsia="Times New Roman" w:hAnsi="Arial" w:cs="Arial"/>
          <w:sz w:val="20"/>
        </w:rPr>
        <w:t xml:space="preserve">(6 mg/kg) induces pronounced haematotoxic effects in </w:t>
      </w:r>
      <w:r w:rsidR="00860C92" w:rsidRPr="00576A02">
        <w:rPr>
          <w:rFonts w:ascii="Arial" w:eastAsia="Times New Roman" w:hAnsi="Arial" w:cs="Arial"/>
          <w:sz w:val="20"/>
        </w:rPr>
        <w:t>Swiss albino mice</w:t>
      </w:r>
      <w:r w:rsidRPr="00AC424C">
        <w:rPr>
          <w:rFonts w:ascii="Arial" w:eastAsia="Times New Roman" w:hAnsi="Arial" w:cs="Arial"/>
          <w:sz w:val="20"/>
        </w:rPr>
        <w:t xml:space="preserve">, as evidenced by significant </w:t>
      </w:r>
      <w:r w:rsidR="00860C92" w:rsidRPr="00576A02">
        <w:rPr>
          <w:rFonts w:ascii="Arial" w:eastAsia="Times New Roman" w:hAnsi="Arial" w:cs="Arial"/>
          <w:sz w:val="20"/>
        </w:rPr>
        <w:t>decline</w:t>
      </w:r>
      <w:r w:rsidRPr="00AC424C">
        <w:rPr>
          <w:rFonts w:ascii="Arial" w:eastAsia="Times New Roman" w:hAnsi="Arial" w:cs="Arial"/>
          <w:sz w:val="20"/>
        </w:rPr>
        <w:t xml:space="preserve"> in TEC, Hb% and PCV, along</w:t>
      </w:r>
      <w:r w:rsidR="00860C92" w:rsidRPr="00576A02">
        <w:rPr>
          <w:rFonts w:ascii="Arial" w:eastAsia="Times New Roman" w:hAnsi="Arial" w:cs="Arial"/>
          <w:sz w:val="20"/>
        </w:rPr>
        <w:t xml:space="preserve"> with</w:t>
      </w:r>
      <w:r w:rsidR="00483BDB" w:rsidRPr="00576A02">
        <w:rPr>
          <w:rFonts w:ascii="Arial" w:eastAsia="Times New Roman" w:hAnsi="Arial" w:cs="Arial"/>
          <w:sz w:val="20"/>
        </w:rPr>
        <w:t xml:space="preserve"> an</w:t>
      </w:r>
      <w:r w:rsidRPr="00AC424C">
        <w:rPr>
          <w:rFonts w:ascii="Arial" w:eastAsia="Times New Roman" w:hAnsi="Arial" w:cs="Arial"/>
          <w:sz w:val="20"/>
        </w:rPr>
        <w:t xml:space="preserve"> increase in MCV and MCH</w:t>
      </w:r>
      <w:r w:rsidR="00C30819">
        <w:rPr>
          <w:rFonts w:ascii="Arial" w:eastAsia="Times New Roman" w:hAnsi="Arial" w:cs="Arial"/>
          <w:sz w:val="20"/>
        </w:rPr>
        <w:t xml:space="preserve"> i.e.,</w:t>
      </w:r>
      <w:r w:rsidRPr="00AC424C">
        <w:rPr>
          <w:rFonts w:ascii="Arial" w:eastAsia="Times New Roman" w:hAnsi="Arial" w:cs="Arial"/>
          <w:sz w:val="20"/>
        </w:rPr>
        <w:t xml:space="preserve"> indicative of macrocytic anaemia. Moreover, CPF exposure </w:t>
      </w:r>
      <w:r w:rsidR="004004FC">
        <w:rPr>
          <w:rFonts w:ascii="Arial" w:eastAsia="Times New Roman" w:hAnsi="Arial" w:cs="Arial"/>
          <w:sz w:val="20"/>
        </w:rPr>
        <w:t>induced</w:t>
      </w:r>
      <w:r w:rsidRPr="00AC424C">
        <w:rPr>
          <w:rFonts w:ascii="Arial" w:eastAsia="Times New Roman" w:hAnsi="Arial" w:cs="Arial"/>
          <w:sz w:val="20"/>
        </w:rPr>
        <w:t xml:space="preserve"> marked </w:t>
      </w:r>
      <w:proofErr w:type="spellStart"/>
      <w:r w:rsidRPr="00AC424C">
        <w:rPr>
          <w:rFonts w:ascii="Arial" w:eastAsia="Times New Roman" w:hAnsi="Arial" w:cs="Arial"/>
          <w:sz w:val="20"/>
        </w:rPr>
        <w:t>leukocytosis</w:t>
      </w:r>
      <w:proofErr w:type="spellEnd"/>
      <w:r w:rsidRPr="00AC424C">
        <w:rPr>
          <w:rFonts w:ascii="Arial" w:eastAsia="Times New Roman" w:hAnsi="Arial" w:cs="Arial"/>
          <w:sz w:val="20"/>
        </w:rPr>
        <w:t>, reflecting systemic inflammation and immune stress. While natural recovery post-exposure provided only marginal improvement</w:t>
      </w:r>
      <w:r w:rsidR="0022219D">
        <w:rPr>
          <w:rFonts w:ascii="Arial" w:eastAsia="Times New Roman" w:hAnsi="Arial" w:cs="Arial"/>
          <w:sz w:val="20"/>
        </w:rPr>
        <w:t xml:space="preserve"> and</w:t>
      </w:r>
      <w:r w:rsidRPr="00AC424C">
        <w:rPr>
          <w:rFonts w:ascii="Arial" w:eastAsia="Times New Roman" w:hAnsi="Arial" w:cs="Arial"/>
          <w:sz w:val="20"/>
        </w:rPr>
        <w:t xml:space="preserve"> supplementation with </w:t>
      </w:r>
      <w:r w:rsidR="00FD12AA">
        <w:rPr>
          <w:rFonts w:ascii="Arial" w:eastAsia="Times New Roman" w:hAnsi="Arial" w:cs="Arial"/>
          <w:i/>
          <w:iCs/>
          <w:sz w:val="20"/>
        </w:rPr>
        <w:t>A.</w:t>
      </w:r>
      <w:r w:rsidRPr="00AC424C">
        <w:rPr>
          <w:rFonts w:ascii="Arial" w:eastAsia="Times New Roman" w:hAnsi="Arial" w:cs="Arial"/>
          <w:i/>
          <w:iCs/>
          <w:sz w:val="20"/>
        </w:rPr>
        <w:t xml:space="preserve"> sativum</w:t>
      </w:r>
      <w:r w:rsidRPr="00AC424C">
        <w:rPr>
          <w:rFonts w:ascii="Arial" w:eastAsia="Times New Roman" w:hAnsi="Arial" w:cs="Arial"/>
          <w:sz w:val="20"/>
        </w:rPr>
        <w:t xml:space="preserve"> aqueous extract (200 mg/kg) significantly ameliorated CPF-induced alterations, particularly restoring TEC, PCV and TLC, and partially improving Hb% and erythrocytic indices. These findings highlight that CPF disrupts both erythropoietic and immunological balance through oxidative and haematopoietic damage whereas </w:t>
      </w:r>
      <w:r w:rsidRPr="00AC424C">
        <w:rPr>
          <w:rFonts w:ascii="Arial" w:eastAsia="Times New Roman" w:hAnsi="Arial" w:cs="Arial"/>
          <w:i/>
          <w:iCs/>
          <w:sz w:val="20"/>
        </w:rPr>
        <w:t>A. sativum</w:t>
      </w:r>
      <w:r w:rsidRPr="00AC424C">
        <w:rPr>
          <w:rFonts w:ascii="Arial" w:eastAsia="Times New Roman" w:hAnsi="Arial" w:cs="Arial"/>
          <w:sz w:val="20"/>
        </w:rPr>
        <w:t xml:space="preserve">, owing to its antioxidant and immunomodulatory </w:t>
      </w:r>
      <w:r w:rsidRPr="00AC424C">
        <w:rPr>
          <w:rFonts w:ascii="Arial" w:eastAsia="Times New Roman" w:hAnsi="Arial" w:cs="Arial"/>
          <w:sz w:val="20"/>
        </w:rPr>
        <w:lastRenderedPageBreak/>
        <w:t xml:space="preserve">properties, offers protective and therapeutic efficacy. Thus, the study emphasizes the dual necessity of regulating </w:t>
      </w:r>
      <w:r w:rsidR="00623D51">
        <w:rPr>
          <w:rFonts w:ascii="Arial" w:eastAsia="Times New Roman" w:hAnsi="Arial" w:cs="Arial"/>
          <w:sz w:val="20"/>
        </w:rPr>
        <w:t>uncontrolled</w:t>
      </w:r>
      <w:r w:rsidRPr="00AC424C">
        <w:rPr>
          <w:rFonts w:ascii="Arial" w:eastAsia="Times New Roman" w:hAnsi="Arial" w:cs="Arial"/>
          <w:sz w:val="20"/>
        </w:rPr>
        <w:t xml:space="preserve"> pesticide use to safeguard non-target organisms</w:t>
      </w:r>
      <w:r w:rsidR="001A4101">
        <w:rPr>
          <w:rFonts w:ascii="Arial" w:eastAsia="Times New Roman" w:hAnsi="Arial" w:cs="Arial"/>
          <w:sz w:val="20"/>
        </w:rPr>
        <w:t xml:space="preserve"> including </w:t>
      </w:r>
      <w:r w:rsidR="00230046">
        <w:rPr>
          <w:rFonts w:ascii="Arial" w:eastAsia="Times New Roman" w:hAnsi="Arial" w:cs="Arial"/>
          <w:sz w:val="20"/>
        </w:rPr>
        <w:t xml:space="preserve">humans </w:t>
      </w:r>
      <w:r w:rsidRPr="00AC424C">
        <w:rPr>
          <w:rFonts w:ascii="Arial" w:eastAsia="Times New Roman" w:hAnsi="Arial" w:cs="Arial"/>
          <w:sz w:val="20"/>
        </w:rPr>
        <w:t xml:space="preserve">and exploring phytotherapeutic agents such as </w:t>
      </w:r>
      <w:r w:rsidRPr="00AC424C">
        <w:rPr>
          <w:rFonts w:ascii="Arial" w:eastAsia="Times New Roman" w:hAnsi="Arial" w:cs="Arial"/>
          <w:i/>
          <w:iCs/>
          <w:sz w:val="20"/>
        </w:rPr>
        <w:t>A. sativum</w:t>
      </w:r>
      <w:r w:rsidRPr="00AC424C">
        <w:rPr>
          <w:rFonts w:ascii="Arial" w:eastAsia="Times New Roman" w:hAnsi="Arial" w:cs="Arial"/>
          <w:sz w:val="20"/>
        </w:rPr>
        <w:t xml:space="preserve"> as potential mitigators of pesticide-induced toxicity.</w:t>
      </w:r>
    </w:p>
    <w:p w14:paraId="34103749" w14:textId="77777777" w:rsidR="00FA7674" w:rsidRDefault="00FA7674" w:rsidP="00123741">
      <w:pPr>
        <w:spacing w:before="240" w:after="0"/>
        <w:rPr>
          <w:rFonts w:ascii="Arial" w:hAnsi="Arial" w:cs="Arial"/>
          <w:b/>
          <w:bCs/>
          <w:i/>
          <w:iCs/>
          <w:sz w:val="20"/>
          <w:szCs w:val="16"/>
        </w:rPr>
      </w:pPr>
      <w:r>
        <w:rPr>
          <w:rFonts w:ascii="Arial" w:hAnsi="Arial" w:cs="Arial"/>
          <w:b/>
          <w:bCs/>
          <w:i/>
          <w:iCs/>
          <w:sz w:val="20"/>
          <w:szCs w:val="16"/>
        </w:rPr>
        <w:t>Authors’ contributions</w:t>
      </w:r>
    </w:p>
    <w:p w14:paraId="6D25AECD" w14:textId="77777777" w:rsidR="00FA7674" w:rsidRPr="00561FAD" w:rsidRDefault="00FA7674" w:rsidP="00123741">
      <w:pPr>
        <w:spacing w:before="240" w:after="0"/>
        <w:rPr>
          <w:rFonts w:ascii="Arial" w:hAnsi="Arial" w:cs="Arial"/>
          <w:i/>
          <w:iCs/>
          <w:sz w:val="20"/>
          <w:szCs w:val="16"/>
        </w:rPr>
      </w:pPr>
      <w:r>
        <w:rPr>
          <w:rFonts w:ascii="Arial" w:hAnsi="Arial" w:cs="Arial"/>
          <w:i/>
          <w:iCs/>
          <w:sz w:val="20"/>
          <w:szCs w:val="16"/>
        </w:rPr>
        <w:t>This work was carried out in collaboration among all authors. All authors read and approved the final manuscript.</w:t>
      </w:r>
    </w:p>
    <w:p w14:paraId="0FA124DF" w14:textId="77777777" w:rsidR="00FA7674" w:rsidRDefault="00FA7674" w:rsidP="00123741">
      <w:pPr>
        <w:spacing w:before="240"/>
        <w:rPr>
          <w:rFonts w:ascii="Arial" w:eastAsia="Times New Roman" w:hAnsi="Arial" w:cs="Arial"/>
          <w:sz w:val="20"/>
        </w:rPr>
      </w:pPr>
    </w:p>
    <w:p w14:paraId="62B84570" w14:textId="77777777" w:rsidR="00157FE5" w:rsidRPr="00157FE5" w:rsidRDefault="00157FE5" w:rsidP="00157FE5">
      <w:pPr>
        <w:rPr>
          <w:rFonts w:ascii="Arial" w:eastAsia="Times New Roman" w:hAnsi="Arial" w:cs="Arial"/>
          <w:b/>
          <w:bCs/>
          <w:sz w:val="22"/>
          <w:szCs w:val="22"/>
        </w:rPr>
      </w:pPr>
      <w:r w:rsidRPr="00157FE5">
        <w:rPr>
          <w:rFonts w:ascii="Arial" w:eastAsia="Times New Roman" w:hAnsi="Arial" w:cs="Arial"/>
          <w:b/>
          <w:bCs/>
          <w:sz w:val="22"/>
          <w:szCs w:val="22"/>
        </w:rPr>
        <w:t>ETHICAL APPROVAL</w:t>
      </w:r>
    </w:p>
    <w:p w14:paraId="7C725320" w14:textId="77777777" w:rsidR="00E9149E" w:rsidRDefault="00157FE5" w:rsidP="00E9149E">
      <w:pPr>
        <w:jc w:val="both"/>
        <w:rPr>
          <w:rFonts w:ascii="Arial" w:eastAsia="Times New Roman" w:hAnsi="Arial" w:cs="Arial"/>
          <w:sz w:val="20"/>
        </w:rPr>
      </w:pPr>
      <w:r w:rsidRPr="00157FE5">
        <w:rPr>
          <w:rFonts w:ascii="Arial" w:eastAsia="Times New Roman" w:hAnsi="Arial" w:cs="Arial"/>
          <w:sz w:val="20"/>
        </w:rPr>
        <w:t>All experimental procedures in the study were conducted in accordance with the guidelines of the Institutional Animal Ethics Committee (IAEC) and the Committee for the Purpose of Control and Supervision of Experiment on Animals (CPCSEA), India. The study was reviewed and approved by T. M. Bhagalpur University under the registration number 795/2022. Proper care and handling of animals were ensured to minimize any potential distress, following the ethical principles outlined by CPCSEA.</w:t>
      </w:r>
    </w:p>
    <w:p w14:paraId="1DC42CDE" w14:textId="77777777" w:rsidR="00E9149E" w:rsidRDefault="00E9149E" w:rsidP="00E9149E">
      <w:pPr>
        <w:jc w:val="both"/>
        <w:rPr>
          <w:rFonts w:ascii="Arial" w:eastAsia="Times New Roman" w:hAnsi="Arial" w:cs="Arial"/>
          <w:b/>
          <w:bCs/>
          <w:sz w:val="22"/>
          <w:szCs w:val="22"/>
        </w:rPr>
      </w:pPr>
      <w:r w:rsidRPr="00E9149E">
        <w:rPr>
          <w:rFonts w:ascii="Arial" w:eastAsia="Times New Roman" w:hAnsi="Arial" w:cs="Arial"/>
          <w:b/>
          <w:bCs/>
          <w:sz w:val="22"/>
          <w:szCs w:val="22"/>
        </w:rPr>
        <w:t>ACKNOWLEDGEMENTS</w:t>
      </w:r>
    </w:p>
    <w:p w14:paraId="43E05A28" w14:textId="6A318369" w:rsidR="00E9149E" w:rsidRDefault="00E9149E" w:rsidP="00E9149E">
      <w:pPr>
        <w:jc w:val="both"/>
        <w:rPr>
          <w:rFonts w:ascii="Arial" w:eastAsia="Times New Roman" w:hAnsi="Arial" w:cs="Arial"/>
          <w:sz w:val="20"/>
        </w:rPr>
      </w:pPr>
      <w:r w:rsidRPr="00E9149E">
        <w:rPr>
          <w:rFonts w:ascii="Arial" w:eastAsia="Times New Roman" w:hAnsi="Arial" w:cs="Arial"/>
          <w:sz w:val="20"/>
        </w:rPr>
        <w:t xml:space="preserve">The authors sincerely express their gratitude to the </w:t>
      </w:r>
      <w:r w:rsidR="00057E66">
        <w:rPr>
          <w:rFonts w:ascii="Arial" w:eastAsia="Times New Roman" w:hAnsi="Arial" w:cs="Arial"/>
          <w:sz w:val="20"/>
        </w:rPr>
        <w:t>H</w:t>
      </w:r>
      <w:r w:rsidRPr="00E9149E">
        <w:rPr>
          <w:rFonts w:ascii="Arial" w:eastAsia="Times New Roman" w:hAnsi="Arial" w:cs="Arial"/>
          <w:sz w:val="20"/>
        </w:rPr>
        <w:t>ead of University Department of Zoology, T. M. Bhagalpur University for providing the essential laboratory facilities required to conduct this research.</w:t>
      </w:r>
    </w:p>
    <w:p w14:paraId="223B7781" w14:textId="58E65282" w:rsidR="00772912" w:rsidRDefault="00772912" w:rsidP="00E9149E">
      <w:pPr>
        <w:jc w:val="both"/>
        <w:rPr>
          <w:rFonts w:ascii="Arial" w:eastAsia="Times New Roman" w:hAnsi="Arial" w:cs="Arial"/>
          <w:b/>
          <w:bCs/>
          <w:sz w:val="22"/>
          <w:szCs w:val="22"/>
        </w:rPr>
      </w:pPr>
      <w:r>
        <w:rPr>
          <w:rFonts w:ascii="Arial" w:eastAsia="Times New Roman" w:hAnsi="Arial" w:cs="Arial"/>
          <w:b/>
          <w:bCs/>
          <w:sz w:val="22"/>
          <w:szCs w:val="22"/>
        </w:rPr>
        <w:t>COMPETING INTERESTS</w:t>
      </w:r>
    </w:p>
    <w:p w14:paraId="16F834A6" w14:textId="3DEE1ABD" w:rsidR="00772912" w:rsidRDefault="00772912" w:rsidP="00E9149E">
      <w:pPr>
        <w:jc w:val="both"/>
        <w:rPr>
          <w:rFonts w:ascii="Arial" w:eastAsia="Times New Roman" w:hAnsi="Arial" w:cs="Arial"/>
          <w:sz w:val="20"/>
        </w:rPr>
      </w:pPr>
      <w:r>
        <w:rPr>
          <w:rFonts w:ascii="Arial" w:eastAsia="Times New Roman" w:hAnsi="Arial" w:cs="Arial"/>
          <w:sz w:val="20"/>
        </w:rPr>
        <w:t>Authors have declared that no competing interests exist.</w:t>
      </w:r>
    </w:p>
    <w:p w14:paraId="721FC9AF" w14:textId="77777777" w:rsidR="00A55B22" w:rsidRDefault="00A55B22" w:rsidP="00A55B22">
      <w:pPr>
        <w:spacing w:before="240"/>
        <w:rPr>
          <w:rFonts w:ascii="Arial" w:eastAsia="Times New Roman" w:hAnsi="Arial" w:cs="Arial"/>
          <w:b/>
          <w:bCs/>
          <w:sz w:val="22"/>
          <w:szCs w:val="22"/>
        </w:rPr>
      </w:pPr>
      <w:r>
        <w:rPr>
          <w:rFonts w:ascii="Arial" w:eastAsia="Times New Roman" w:hAnsi="Arial" w:cs="Arial"/>
          <w:b/>
          <w:bCs/>
          <w:sz w:val="22"/>
          <w:szCs w:val="22"/>
        </w:rPr>
        <w:t>DISCLAIMER (ARTIFICIAL INTELLIGENCE)</w:t>
      </w:r>
    </w:p>
    <w:p w14:paraId="48892AEC" w14:textId="77777777" w:rsidR="00A55B22" w:rsidRDefault="00A55B22" w:rsidP="00A55B22">
      <w:pPr>
        <w:spacing w:before="240"/>
        <w:jc w:val="both"/>
        <w:rPr>
          <w:rFonts w:ascii="Arial" w:eastAsia="Times New Roman" w:hAnsi="Arial" w:cs="Arial"/>
          <w:sz w:val="20"/>
        </w:rPr>
      </w:pPr>
      <w:r>
        <w:rPr>
          <w:rFonts w:ascii="Arial" w:eastAsia="Times New Roman" w:hAnsi="Arial" w:cs="Arial"/>
          <w:sz w:val="20"/>
        </w:rPr>
        <w:t>Author(s) hereby declares that NO generative AI technologies such as Large Language Models (ChatGPT, COPILOT, etc.) and text-to-image generators have been used during the writing or editing of this manuscript.</w:t>
      </w:r>
    </w:p>
    <w:p w14:paraId="69580E0C" w14:textId="77777777" w:rsidR="00A55B22" w:rsidRDefault="00A55B22" w:rsidP="00E9149E">
      <w:pPr>
        <w:jc w:val="both"/>
        <w:rPr>
          <w:rFonts w:ascii="Arial" w:eastAsia="Times New Roman" w:hAnsi="Arial" w:cs="Arial"/>
          <w:sz w:val="20"/>
        </w:rPr>
      </w:pPr>
    </w:p>
    <w:p w14:paraId="72848AA4" w14:textId="53B96776" w:rsidR="00860530" w:rsidRDefault="00860530" w:rsidP="00E9149E">
      <w:pPr>
        <w:jc w:val="both"/>
        <w:rPr>
          <w:rFonts w:ascii="Arial" w:eastAsia="Times New Roman" w:hAnsi="Arial" w:cs="Arial"/>
          <w:sz w:val="22"/>
          <w:szCs w:val="22"/>
        </w:rPr>
      </w:pPr>
      <w:r>
        <w:rPr>
          <w:rFonts w:ascii="Arial" w:eastAsia="Times New Roman" w:hAnsi="Arial" w:cs="Arial"/>
          <w:b/>
          <w:bCs/>
          <w:sz w:val="22"/>
          <w:szCs w:val="22"/>
        </w:rPr>
        <w:t>REFERENCES</w:t>
      </w:r>
    </w:p>
    <w:p w14:paraId="0F314AA8" w14:textId="77777777" w:rsidR="00CE04E8" w:rsidRPr="00157FE5" w:rsidRDefault="00CE04E8" w:rsidP="007C1D12">
      <w:pPr>
        <w:spacing w:after="0"/>
        <w:jc w:val="both"/>
        <w:rPr>
          <w:rFonts w:ascii="Arial" w:eastAsia="Times New Roman" w:hAnsi="Arial" w:cs="Arial"/>
          <w:b/>
          <w:bCs/>
          <w:sz w:val="20"/>
        </w:rPr>
      </w:pPr>
    </w:p>
    <w:p w14:paraId="77D50E25" w14:textId="77777777" w:rsidR="00242C29" w:rsidRPr="007C1D12" w:rsidRDefault="00242C29"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Al-Attar, A. M. (2009). Physiological and histopathological investigations on the effects of α-lipoic acid in rats exposed to malathion. </w:t>
      </w:r>
      <w:r w:rsidRPr="007C1D12">
        <w:rPr>
          <w:rStyle w:val="Emphasis"/>
          <w:rFonts w:ascii="Arial" w:hAnsi="Arial" w:cs="Arial"/>
          <w:sz w:val="20"/>
          <w:szCs w:val="20"/>
        </w:rPr>
        <w:t>Saudi Journal of Biological Sciences, 16</w:t>
      </w:r>
      <w:r w:rsidRPr="007C1D12">
        <w:rPr>
          <w:rFonts w:ascii="Arial" w:hAnsi="Arial" w:cs="Arial"/>
          <w:sz w:val="20"/>
          <w:szCs w:val="20"/>
        </w:rPr>
        <w:t>(2), 105–113.</w:t>
      </w:r>
    </w:p>
    <w:p w14:paraId="438CABAF" w14:textId="77777777" w:rsidR="00242C29" w:rsidRPr="007C1D12" w:rsidRDefault="00242C29"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Ambali, S. F., Akanbi, D. O., Igbokwe, N. A., Shittu, M., Kawu, M. U., </w:t>
      </w:r>
      <w:r>
        <w:rPr>
          <w:rFonts w:ascii="Arial" w:hAnsi="Arial" w:cs="Arial"/>
          <w:sz w:val="20"/>
          <w:szCs w:val="16"/>
        </w:rPr>
        <w:t xml:space="preserve">&amp; </w:t>
      </w:r>
      <w:r w:rsidRPr="007C1D12">
        <w:rPr>
          <w:rFonts w:ascii="Arial" w:hAnsi="Arial" w:cs="Arial"/>
          <w:sz w:val="20"/>
          <w:szCs w:val="20"/>
        </w:rPr>
        <w:t xml:space="preserve">Ayo, J. O. (2007). Evaluation of </w:t>
      </w:r>
      <w:proofErr w:type="spellStart"/>
      <w:r w:rsidRPr="007C1D12">
        <w:rPr>
          <w:rFonts w:ascii="Arial" w:hAnsi="Arial" w:cs="Arial"/>
          <w:sz w:val="20"/>
          <w:szCs w:val="20"/>
        </w:rPr>
        <w:t>subchronic</w:t>
      </w:r>
      <w:proofErr w:type="spellEnd"/>
      <w:r w:rsidRPr="007C1D12">
        <w:rPr>
          <w:rFonts w:ascii="Arial" w:hAnsi="Arial" w:cs="Arial"/>
          <w:sz w:val="20"/>
          <w:szCs w:val="20"/>
        </w:rPr>
        <w:t xml:space="preserve"> chlorpyrifos poisoning on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and serum biochemical changes in mice and protective effect of vitamin C. </w:t>
      </w:r>
      <w:r w:rsidRPr="007C1D12">
        <w:rPr>
          <w:rStyle w:val="Emphasis"/>
          <w:rFonts w:ascii="Arial" w:hAnsi="Arial" w:cs="Arial"/>
          <w:sz w:val="20"/>
          <w:szCs w:val="20"/>
        </w:rPr>
        <w:t>Journal of Toxicological Sciences, 32</w:t>
      </w:r>
      <w:r w:rsidRPr="007C1D12">
        <w:rPr>
          <w:rFonts w:ascii="Arial" w:hAnsi="Arial" w:cs="Arial"/>
          <w:sz w:val="20"/>
          <w:szCs w:val="20"/>
        </w:rPr>
        <w:t>(2), 111–120.</w:t>
      </w:r>
    </w:p>
    <w:p w14:paraId="06A3375D" w14:textId="77777777" w:rsidR="00242C29" w:rsidRDefault="00242C29" w:rsidP="005A4EA2">
      <w:pPr>
        <w:spacing w:after="0"/>
        <w:ind w:left="1066" w:hanging="706"/>
        <w:jc w:val="both"/>
        <w:rPr>
          <w:rFonts w:ascii="Arial" w:hAnsi="Arial" w:cs="Arial"/>
          <w:sz w:val="20"/>
          <w:szCs w:val="16"/>
        </w:rPr>
      </w:pPr>
      <w:r w:rsidRPr="00FA7674">
        <w:rPr>
          <w:rFonts w:ascii="Arial" w:hAnsi="Arial" w:cs="Arial"/>
          <w:sz w:val="20"/>
          <w:szCs w:val="16"/>
          <w:lang w:val="nl-BE"/>
        </w:rPr>
        <w:t xml:space="preserve">Banerjee, S. K., &amp; Maulik, S. K. (2002). </w:t>
      </w:r>
      <w:r w:rsidRPr="007C1D12">
        <w:rPr>
          <w:rFonts w:ascii="Arial" w:hAnsi="Arial" w:cs="Arial"/>
          <w:sz w:val="20"/>
          <w:szCs w:val="16"/>
        </w:rPr>
        <w:t xml:space="preserve">Effect of garlic on cardiovascular disorders: A review. </w:t>
      </w:r>
      <w:r w:rsidRPr="007C1D12">
        <w:rPr>
          <w:rStyle w:val="Emphasis"/>
          <w:rFonts w:ascii="Arial" w:hAnsi="Arial" w:cs="Arial"/>
          <w:sz w:val="20"/>
          <w:szCs w:val="16"/>
        </w:rPr>
        <w:t>Nutrition Journal, 1</w:t>
      </w:r>
      <w:r w:rsidRPr="007C1D12">
        <w:rPr>
          <w:rFonts w:ascii="Arial" w:hAnsi="Arial" w:cs="Arial"/>
          <w:sz w:val="20"/>
          <w:szCs w:val="16"/>
        </w:rPr>
        <w:t>(1), 4.</w:t>
      </w:r>
    </w:p>
    <w:p w14:paraId="3E8F95A5" w14:textId="77777777" w:rsidR="00242C29" w:rsidRDefault="00242C29" w:rsidP="00834E31">
      <w:pPr>
        <w:spacing w:after="0"/>
        <w:ind w:left="1066" w:hanging="706"/>
        <w:jc w:val="both"/>
        <w:rPr>
          <w:rFonts w:ascii="Arial" w:hAnsi="Arial" w:cs="Arial"/>
          <w:sz w:val="20"/>
          <w:szCs w:val="16"/>
        </w:rPr>
      </w:pPr>
      <w:r w:rsidRPr="007C1D12">
        <w:rPr>
          <w:rFonts w:ascii="Arial" w:hAnsi="Arial" w:cs="Arial"/>
          <w:sz w:val="20"/>
          <w:szCs w:val="16"/>
        </w:rPr>
        <w:t xml:space="preserve">Bayan, L., </w:t>
      </w:r>
      <w:proofErr w:type="spellStart"/>
      <w:r w:rsidRPr="007C1D12">
        <w:rPr>
          <w:rFonts w:ascii="Arial" w:hAnsi="Arial" w:cs="Arial"/>
          <w:sz w:val="20"/>
          <w:szCs w:val="16"/>
        </w:rPr>
        <w:t>Koulivand</w:t>
      </w:r>
      <w:proofErr w:type="spellEnd"/>
      <w:r w:rsidRPr="007C1D12">
        <w:rPr>
          <w:rFonts w:ascii="Arial" w:hAnsi="Arial" w:cs="Arial"/>
          <w:sz w:val="20"/>
          <w:szCs w:val="16"/>
        </w:rPr>
        <w:t xml:space="preserve">, P. H., </w:t>
      </w:r>
      <w:r>
        <w:rPr>
          <w:rFonts w:ascii="Arial" w:hAnsi="Arial" w:cs="Arial"/>
          <w:sz w:val="20"/>
          <w:szCs w:val="16"/>
        </w:rPr>
        <w:t xml:space="preserve">&amp; </w:t>
      </w:r>
      <w:r w:rsidRPr="007C1D12">
        <w:rPr>
          <w:rFonts w:ascii="Arial" w:hAnsi="Arial" w:cs="Arial"/>
          <w:sz w:val="20"/>
          <w:szCs w:val="16"/>
        </w:rPr>
        <w:t>Gorji, A. (2014</w:t>
      </w:r>
      <w:proofErr w:type="gramStart"/>
      <w:r w:rsidRPr="007C1D12">
        <w:rPr>
          <w:rFonts w:ascii="Arial" w:hAnsi="Arial" w:cs="Arial"/>
          <w:sz w:val="20"/>
          <w:szCs w:val="16"/>
        </w:rPr>
        <w:t>).Garlic</w:t>
      </w:r>
      <w:proofErr w:type="gramEnd"/>
      <w:r w:rsidRPr="007C1D12">
        <w:rPr>
          <w:rFonts w:ascii="Arial" w:hAnsi="Arial" w:cs="Arial"/>
          <w:sz w:val="20"/>
          <w:szCs w:val="16"/>
        </w:rPr>
        <w:t xml:space="preserve">: A review of potential therapeutic effects. </w:t>
      </w:r>
      <w:r w:rsidRPr="007C1D12">
        <w:rPr>
          <w:rStyle w:val="Emphasis"/>
          <w:rFonts w:ascii="Arial" w:hAnsi="Arial" w:cs="Arial"/>
          <w:sz w:val="20"/>
          <w:szCs w:val="16"/>
        </w:rPr>
        <w:t>Avicenna Journal of Phytomedicine, 4</w:t>
      </w:r>
      <w:r w:rsidRPr="007C1D12">
        <w:rPr>
          <w:rFonts w:ascii="Arial" w:hAnsi="Arial" w:cs="Arial"/>
          <w:sz w:val="20"/>
          <w:szCs w:val="16"/>
        </w:rPr>
        <w:t xml:space="preserve">(1), 1–14. </w:t>
      </w:r>
      <w:hyperlink r:id="rId9" w:history="1">
        <w:r w:rsidRPr="007C1D12">
          <w:rPr>
            <w:rStyle w:val="Hyperlink"/>
            <w:rFonts w:ascii="Arial" w:hAnsi="Arial" w:cs="Arial"/>
            <w:sz w:val="20"/>
            <w:szCs w:val="16"/>
          </w:rPr>
          <w:t>https://www.ncbi.nlm.nih.gov/pmc/articles/PMC4103721/</w:t>
        </w:r>
      </w:hyperlink>
      <w:r w:rsidRPr="007C1D12">
        <w:rPr>
          <w:rFonts w:ascii="Arial" w:hAnsi="Arial" w:cs="Arial"/>
          <w:sz w:val="20"/>
          <w:szCs w:val="16"/>
        </w:rPr>
        <w:t xml:space="preserve"> </w:t>
      </w:r>
    </w:p>
    <w:p w14:paraId="256CB0E3" w14:textId="77777777" w:rsidR="00242C29" w:rsidRPr="006E45A6" w:rsidRDefault="00242C29" w:rsidP="005A4EA2">
      <w:pPr>
        <w:spacing w:after="0"/>
        <w:ind w:left="1066" w:hanging="706"/>
        <w:jc w:val="both"/>
        <w:rPr>
          <w:rFonts w:ascii="Arial" w:hAnsi="Arial" w:cs="Arial"/>
          <w:sz w:val="20"/>
          <w:szCs w:val="16"/>
        </w:rPr>
      </w:pPr>
      <w:proofErr w:type="spellStart"/>
      <w:r w:rsidRPr="006E45A6">
        <w:rPr>
          <w:rFonts w:ascii="Arial" w:hAnsi="Arial" w:cs="Arial"/>
          <w:sz w:val="20"/>
          <w:szCs w:val="16"/>
        </w:rPr>
        <w:t>Bunsri</w:t>
      </w:r>
      <w:proofErr w:type="spellEnd"/>
      <w:r w:rsidRPr="006E45A6">
        <w:rPr>
          <w:rFonts w:ascii="Arial" w:hAnsi="Arial" w:cs="Arial"/>
          <w:sz w:val="20"/>
          <w:szCs w:val="16"/>
        </w:rPr>
        <w:t xml:space="preserve">, S., &amp; </w:t>
      </w:r>
      <w:proofErr w:type="spellStart"/>
      <w:r w:rsidRPr="006E45A6">
        <w:rPr>
          <w:rFonts w:ascii="Arial" w:hAnsi="Arial" w:cs="Arial"/>
          <w:sz w:val="20"/>
          <w:szCs w:val="16"/>
        </w:rPr>
        <w:t>Wongsopawiroj</w:t>
      </w:r>
      <w:proofErr w:type="spellEnd"/>
      <w:r w:rsidRPr="006E45A6">
        <w:rPr>
          <w:rFonts w:ascii="Arial" w:hAnsi="Arial" w:cs="Arial"/>
          <w:sz w:val="20"/>
          <w:szCs w:val="16"/>
        </w:rPr>
        <w:t xml:space="preserve">, P. (2023). </w:t>
      </w:r>
      <w:r w:rsidRPr="006E45A6">
        <w:rPr>
          <w:rStyle w:val="Emphasis"/>
          <w:rFonts w:ascii="Arial" w:hAnsi="Arial" w:cs="Arial"/>
          <w:i w:val="0"/>
          <w:iCs w:val="0"/>
          <w:sz w:val="20"/>
          <w:szCs w:val="16"/>
        </w:rPr>
        <w:t xml:space="preserve">The </w:t>
      </w:r>
      <w:proofErr w:type="spellStart"/>
      <w:r w:rsidRPr="006E45A6">
        <w:rPr>
          <w:rStyle w:val="Emphasis"/>
          <w:rFonts w:ascii="Arial" w:hAnsi="Arial" w:cs="Arial"/>
          <w:i w:val="0"/>
          <w:iCs w:val="0"/>
          <w:sz w:val="20"/>
          <w:szCs w:val="16"/>
        </w:rPr>
        <w:t>hematological</w:t>
      </w:r>
      <w:proofErr w:type="spellEnd"/>
      <w:r w:rsidRPr="006E45A6">
        <w:rPr>
          <w:rStyle w:val="Emphasis"/>
          <w:rFonts w:ascii="Arial" w:hAnsi="Arial" w:cs="Arial"/>
          <w:i w:val="0"/>
          <w:iCs w:val="0"/>
          <w:sz w:val="20"/>
          <w:szCs w:val="16"/>
        </w:rPr>
        <w:t xml:space="preserve"> and biochemical effects from pesticide exposure on Thai vegetable farmers</w:t>
      </w:r>
      <w:r w:rsidRPr="006E45A6">
        <w:rPr>
          <w:rStyle w:val="Emphasis"/>
          <w:rFonts w:ascii="Arial" w:hAnsi="Arial" w:cs="Arial"/>
          <w:sz w:val="20"/>
          <w:szCs w:val="16"/>
        </w:rPr>
        <w:t>.</w:t>
      </w:r>
      <w:r w:rsidRPr="006E45A6">
        <w:rPr>
          <w:rFonts w:ascii="Arial" w:hAnsi="Arial" w:cs="Arial"/>
          <w:sz w:val="20"/>
          <w:szCs w:val="16"/>
        </w:rPr>
        <w:t xml:space="preserve"> </w:t>
      </w:r>
      <w:r w:rsidRPr="006E45A6">
        <w:rPr>
          <w:rFonts w:ascii="Arial" w:hAnsi="Arial" w:cs="Arial"/>
          <w:i/>
          <w:iCs/>
          <w:sz w:val="20"/>
          <w:szCs w:val="16"/>
        </w:rPr>
        <w:t>Toxics, 11</w:t>
      </w:r>
      <w:r w:rsidRPr="006E45A6">
        <w:rPr>
          <w:rFonts w:ascii="Arial" w:hAnsi="Arial" w:cs="Arial"/>
          <w:sz w:val="20"/>
          <w:szCs w:val="16"/>
        </w:rPr>
        <w:t xml:space="preserve">(8), 707. </w:t>
      </w:r>
      <w:hyperlink r:id="rId10" w:history="1">
        <w:r w:rsidRPr="006E45A6">
          <w:rPr>
            <w:rStyle w:val="Hyperlink"/>
            <w:rFonts w:ascii="Arial" w:hAnsi="Arial" w:cs="Arial"/>
            <w:sz w:val="20"/>
            <w:szCs w:val="16"/>
          </w:rPr>
          <w:t>https://doi.org/10.3390/toxics11080707</w:t>
        </w:r>
      </w:hyperlink>
    </w:p>
    <w:p w14:paraId="55CAB50D" w14:textId="77777777" w:rsidR="00242C29" w:rsidRPr="00834E31" w:rsidRDefault="00242C29" w:rsidP="00834E31">
      <w:pPr>
        <w:spacing w:after="0"/>
        <w:ind w:left="1066" w:hanging="706"/>
        <w:jc w:val="both"/>
        <w:rPr>
          <w:rFonts w:ascii="Arial" w:hAnsi="Arial" w:cs="Arial"/>
          <w:sz w:val="20"/>
          <w:szCs w:val="16"/>
        </w:rPr>
      </w:pPr>
      <w:r w:rsidRPr="007C1D12">
        <w:rPr>
          <w:rFonts w:ascii="Arial" w:eastAsia="Times New Roman" w:hAnsi="Arial" w:cs="Arial"/>
          <w:sz w:val="20"/>
          <w:lang w:val="en-US"/>
        </w:rPr>
        <w:t xml:space="preserve">Divyanshu, Kumari, C., </w:t>
      </w:r>
      <w:r>
        <w:rPr>
          <w:rFonts w:ascii="Arial" w:hAnsi="Arial" w:cs="Arial"/>
          <w:sz w:val="20"/>
          <w:szCs w:val="16"/>
        </w:rPr>
        <w:t xml:space="preserve">&amp; </w:t>
      </w:r>
      <w:r w:rsidRPr="007C1D12">
        <w:rPr>
          <w:rFonts w:ascii="Arial" w:eastAsia="Times New Roman" w:hAnsi="Arial" w:cs="Arial"/>
          <w:sz w:val="20"/>
          <w:lang w:val="en-US"/>
        </w:rPr>
        <w:t xml:space="preserve">Ahmad, M. E. (2022). Restitutive effects of </w:t>
      </w:r>
      <w:r w:rsidRPr="007C1D12">
        <w:rPr>
          <w:rFonts w:ascii="Arial" w:eastAsia="Times New Roman" w:hAnsi="Arial" w:cs="Arial"/>
          <w:i/>
          <w:iCs/>
          <w:sz w:val="20"/>
          <w:lang w:val="en-US"/>
        </w:rPr>
        <w:t xml:space="preserve">Allium sativum </w:t>
      </w:r>
      <w:r w:rsidRPr="007C1D12">
        <w:rPr>
          <w:rFonts w:ascii="Arial" w:eastAsia="Times New Roman" w:hAnsi="Arial" w:cs="Arial"/>
          <w:sz w:val="20"/>
          <w:lang w:val="en-US"/>
        </w:rPr>
        <w:t xml:space="preserve">on oxidative stress and hepatotoxicity in Dimethoate induced </w:t>
      </w:r>
      <w:r w:rsidRPr="007C1D12">
        <w:rPr>
          <w:rFonts w:ascii="Arial" w:eastAsia="Times New Roman" w:hAnsi="Arial" w:cs="Arial"/>
          <w:i/>
          <w:iCs/>
          <w:sz w:val="20"/>
          <w:lang w:val="en-US"/>
        </w:rPr>
        <w:t>Mus musculus</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Journal of Advanced Zoology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43</w:t>
      </w:r>
      <w:r w:rsidRPr="007C1D12">
        <w:rPr>
          <w:rFonts w:ascii="Arial" w:eastAsia="Times New Roman" w:hAnsi="Arial" w:cs="Arial"/>
          <w:sz w:val="20"/>
          <w:lang w:val="en-US"/>
        </w:rPr>
        <w:t xml:space="preserve">(1), 1424-1431. </w:t>
      </w:r>
    </w:p>
    <w:p w14:paraId="5C90A397" w14:textId="77777777" w:rsidR="00242C29" w:rsidRPr="007C1D12" w:rsidRDefault="00242C29" w:rsidP="005A4EA2">
      <w:pPr>
        <w:spacing w:after="0"/>
        <w:ind w:left="1066" w:hanging="706"/>
        <w:jc w:val="both"/>
        <w:rPr>
          <w:rFonts w:ascii="Arial" w:hAnsi="Arial" w:cs="Arial"/>
          <w:sz w:val="20"/>
          <w:szCs w:val="16"/>
        </w:rPr>
      </w:pPr>
      <w:r w:rsidRPr="007C1D12">
        <w:rPr>
          <w:rFonts w:ascii="Arial" w:hAnsi="Arial" w:cs="Arial"/>
          <w:sz w:val="20"/>
          <w:szCs w:val="16"/>
        </w:rPr>
        <w:t xml:space="preserve">Divyanshu, Nawaz, M. S., </w:t>
      </w:r>
      <w:r>
        <w:rPr>
          <w:rFonts w:ascii="Arial" w:hAnsi="Arial" w:cs="Arial"/>
          <w:sz w:val="20"/>
          <w:szCs w:val="16"/>
        </w:rPr>
        <w:t xml:space="preserve">&amp; </w:t>
      </w:r>
      <w:r w:rsidRPr="007C1D12">
        <w:rPr>
          <w:rFonts w:ascii="Arial" w:hAnsi="Arial" w:cs="Arial"/>
          <w:sz w:val="20"/>
          <w:szCs w:val="16"/>
        </w:rPr>
        <w:t xml:space="preserve">Ahmad, M. E. (2025). Ameliorative Potential of </w:t>
      </w:r>
      <w:r w:rsidRPr="007C1D12">
        <w:rPr>
          <w:rFonts w:ascii="Arial" w:hAnsi="Arial" w:cs="Arial"/>
          <w:i/>
          <w:iCs/>
          <w:sz w:val="20"/>
          <w:szCs w:val="16"/>
        </w:rPr>
        <w:t>Allium sativum</w:t>
      </w:r>
      <w:r w:rsidRPr="007C1D12">
        <w:rPr>
          <w:rFonts w:ascii="Arial" w:hAnsi="Arial" w:cs="Arial"/>
          <w:sz w:val="20"/>
          <w:szCs w:val="16"/>
        </w:rPr>
        <w:t xml:space="preserve"> against Chlorpyrifos-Induced Toxicity in Swiss Albino Mice (</w:t>
      </w:r>
      <w:r w:rsidRPr="007C1D12">
        <w:rPr>
          <w:rFonts w:ascii="Arial" w:hAnsi="Arial" w:cs="Arial"/>
          <w:i/>
          <w:iCs/>
          <w:sz w:val="20"/>
          <w:szCs w:val="16"/>
        </w:rPr>
        <w:t>Mus musculus</w:t>
      </w:r>
      <w:r w:rsidRPr="007C1D12">
        <w:rPr>
          <w:rFonts w:ascii="Arial" w:hAnsi="Arial" w:cs="Arial"/>
          <w:sz w:val="20"/>
          <w:szCs w:val="16"/>
        </w:rPr>
        <w:t xml:space="preserve">). Asian J </w:t>
      </w:r>
      <w:proofErr w:type="spellStart"/>
      <w:r w:rsidRPr="007C1D12">
        <w:rPr>
          <w:rFonts w:ascii="Arial" w:hAnsi="Arial" w:cs="Arial"/>
          <w:sz w:val="20"/>
          <w:szCs w:val="16"/>
        </w:rPr>
        <w:t>Biol</w:t>
      </w:r>
      <w:proofErr w:type="spellEnd"/>
      <w:r w:rsidRPr="007C1D12">
        <w:rPr>
          <w:rFonts w:ascii="Arial" w:hAnsi="Arial" w:cs="Arial"/>
          <w:sz w:val="20"/>
          <w:szCs w:val="16"/>
        </w:rPr>
        <w:t xml:space="preserve"> Life Sci., </w:t>
      </w:r>
      <w:r w:rsidRPr="007C1D12">
        <w:rPr>
          <w:rFonts w:ascii="Arial" w:hAnsi="Arial" w:cs="Arial"/>
          <w:i/>
          <w:iCs/>
          <w:sz w:val="20"/>
          <w:szCs w:val="16"/>
        </w:rPr>
        <w:t>14</w:t>
      </w:r>
      <w:r w:rsidRPr="007C1D12">
        <w:rPr>
          <w:rFonts w:ascii="Arial" w:hAnsi="Arial" w:cs="Arial"/>
          <w:sz w:val="20"/>
          <w:szCs w:val="16"/>
        </w:rPr>
        <w:t>(2), 1-6.</w:t>
      </w:r>
    </w:p>
    <w:p w14:paraId="33E0B8F7" w14:textId="77777777" w:rsidR="00242C29" w:rsidRPr="00F62640" w:rsidRDefault="00242C29" w:rsidP="005A4EA2">
      <w:pPr>
        <w:pStyle w:val="NormalWeb"/>
        <w:spacing w:before="0" w:beforeAutospacing="0" w:after="0" w:afterAutospacing="0"/>
        <w:ind w:left="1066" w:hanging="706"/>
        <w:jc w:val="both"/>
        <w:rPr>
          <w:rFonts w:ascii="Arial" w:hAnsi="Arial" w:cs="Arial"/>
          <w:sz w:val="20"/>
          <w:szCs w:val="20"/>
        </w:rPr>
      </w:pPr>
      <w:r w:rsidRPr="00F62640">
        <w:rPr>
          <w:rFonts w:ascii="Arial" w:hAnsi="Arial" w:cs="Arial"/>
          <w:sz w:val="20"/>
          <w:szCs w:val="20"/>
        </w:rPr>
        <w:t xml:space="preserve">El-Aziz, G. S. A., Hassan, N., &amp; Abdel-Wahhab, M. A. (2022). </w:t>
      </w:r>
      <w:r w:rsidRPr="00F62640">
        <w:rPr>
          <w:rStyle w:val="Emphasis"/>
          <w:rFonts w:ascii="Arial" w:hAnsi="Arial" w:cs="Arial"/>
          <w:i w:val="0"/>
          <w:iCs w:val="0"/>
          <w:sz w:val="20"/>
          <w:szCs w:val="20"/>
        </w:rPr>
        <w:t>Evaluation of the potential protectivity of garlic and ginger extracts on Cd-induced testicular damage in rats</w:t>
      </w:r>
      <w:r w:rsidRPr="00F62640">
        <w:rPr>
          <w:rStyle w:val="Emphasis"/>
          <w:rFonts w:ascii="Arial" w:hAnsi="Arial" w:cs="Arial"/>
          <w:sz w:val="20"/>
          <w:szCs w:val="20"/>
        </w:rPr>
        <w:t>.</w:t>
      </w:r>
      <w:r w:rsidRPr="00F62640">
        <w:rPr>
          <w:rFonts w:ascii="Arial" w:hAnsi="Arial" w:cs="Arial"/>
          <w:sz w:val="20"/>
          <w:szCs w:val="20"/>
        </w:rPr>
        <w:t xml:space="preserve"> </w:t>
      </w:r>
      <w:r w:rsidRPr="00F62640">
        <w:rPr>
          <w:rFonts w:ascii="Arial" w:hAnsi="Arial" w:cs="Arial"/>
          <w:i/>
          <w:iCs/>
          <w:sz w:val="20"/>
          <w:szCs w:val="20"/>
        </w:rPr>
        <w:t>Food and Chemical Toxicology</w:t>
      </w:r>
      <w:r w:rsidRPr="00F62640">
        <w:rPr>
          <w:rFonts w:ascii="Arial" w:hAnsi="Arial" w:cs="Arial"/>
          <w:sz w:val="20"/>
          <w:szCs w:val="20"/>
        </w:rPr>
        <w:t xml:space="preserve">, </w:t>
      </w:r>
      <w:r w:rsidRPr="00F62640">
        <w:rPr>
          <w:rFonts w:ascii="Arial" w:hAnsi="Arial" w:cs="Arial"/>
          <w:i/>
          <w:iCs/>
          <w:sz w:val="20"/>
          <w:szCs w:val="20"/>
        </w:rPr>
        <w:t>165</w:t>
      </w:r>
      <w:r w:rsidRPr="00F62640">
        <w:rPr>
          <w:rFonts w:ascii="Arial" w:hAnsi="Arial" w:cs="Arial"/>
          <w:sz w:val="20"/>
          <w:szCs w:val="20"/>
        </w:rPr>
        <w:t xml:space="preserve">, 113179. </w:t>
      </w:r>
      <w:hyperlink r:id="rId11" w:history="1">
        <w:r w:rsidRPr="00F62640">
          <w:rPr>
            <w:rStyle w:val="Hyperlink"/>
            <w:rFonts w:ascii="Arial" w:hAnsi="Arial" w:cs="Arial"/>
            <w:sz w:val="20"/>
            <w:szCs w:val="20"/>
          </w:rPr>
          <w:t>https://doi.org/10.4103/jmau.jmau_81_21</w:t>
        </w:r>
      </w:hyperlink>
      <w:r w:rsidRPr="00F62640">
        <w:rPr>
          <w:rFonts w:ascii="Arial" w:hAnsi="Arial" w:cs="Arial"/>
          <w:sz w:val="20"/>
          <w:szCs w:val="20"/>
        </w:rPr>
        <w:t xml:space="preserve"> </w:t>
      </w:r>
    </w:p>
    <w:p w14:paraId="4F249ECA" w14:textId="77777777" w:rsidR="00242C29" w:rsidRPr="00D20A7E" w:rsidRDefault="00242C29" w:rsidP="00D20A7E">
      <w:pPr>
        <w:spacing w:after="0"/>
        <w:ind w:left="1066" w:hanging="706"/>
        <w:jc w:val="both"/>
        <w:rPr>
          <w:rFonts w:ascii="Arial" w:hAnsi="Arial" w:cs="Arial"/>
          <w:color w:val="1B1B1B"/>
          <w:sz w:val="20"/>
          <w:szCs w:val="16"/>
          <w:shd w:val="clear" w:color="auto" w:fill="FFFFFF"/>
        </w:rPr>
      </w:pPr>
      <w:r w:rsidRPr="00D20A7E">
        <w:rPr>
          <w:rFonts w:ascii="Arial" w:hAnsi="Arial" w:cs="Arial"/>
          <w:color w:val="1B1B1B"/>
          <w:sz w:val="20"/>
          <w:szCs w:val="16"/>
          <w:shd w:val="clear" w:color="auto" w:fill="FFFFFF"/>
        </w:rPr>
        <w:lastRenderedPageBreak/>
        <w:t>Eldesoqui, M., Ahmed, M. E., Abdel-Kareem, M. A., Badawy, M. M., Dawood, A. F., Mohamed, A. S., Ibrahim, A. M., El-Mansi, A. A., El-</w:t>
      </w:r>
      <w:proofErr w:type="spellStart"/>
      <w:r w:rsidRPr="00D20A7E">
        <w:rPr>
          <w:rFonts w:ascii="Arial" w:hAnsi="Arial" w:cs="Arial"/>
          <w:color w:val="1B1B1B"/>
          <w:sz w:val="20"/>
          <w:szCs w:val="16"/>
          <w:shd w:val="clear" w:color="auto" w:fill="FFFFFF"/>
        </w:rPr>
        <w:t>Sherbiny</w:t>
      </w:r>
      <w:proofErr w:type="spellEnd"/>
      <w:r w:rsidRPr="00D20A7E">
        <w:rPr>
          <w:rFonts w:ascii="Arial" w:hAnsi="Arial" w:cs="Arial"/>
          <w:color w:val="1B1B1B"/>
          <w:sz w:val="20"/>
          <w:szCs w:val="16"/>
          <w:shd w:val="clear" w:color="auto" w:fill="FFFFFF"/>
        </w:rPr>
        <w:t xml:space="preserve">, M., &amp; </w:t>
      </w:r>
      <w:proofErr w:type="spellStart"/>
      <w:r w:rsidRPr="00D20A7E">
        <w:rPr>
          <w:rFonts w:ascii="Arial" w:hAnsi="Arial" w:cs="Arial"/>
          <w:color w:val="1B1B1B"/>
          <w:sz w:val="20"/>
          <w:szCs w:val="16"/>
          <w:shd w:val="clear" w:color="auto" w:fill="FFFFFF"/>
        </w:rPr>
        <w:t>Hendawy</w:t>
      </w:r>
      <w:proofErr w:type="spellEnd"/>
      <w:r w:rsidRPr="00D20A7E">
        <w:rPr>
          <w:rFonts w:ascii="Arial" w:hAnsi="Arial" w:cs="Arial"/>
          <w:color w:val="1B1B1B"/>
          <w:sz w:val="20"/>
          <w:szCs w:val="16"/>
          <w:shd w:val="clear" w:color="auto" w:fill="FFFFFF"/>
        </w:rPr>
        <w:t xml:space="preserve">, M. (2023). Curcumin Mitigates Malathion-Induced Renal Injury: Suppression of Apoptosis and Modulation of NF-κβ/TNF-α and Nrf2, and HO-1 </w:t>
      </w:r>
      <w:proofErr w:type="spellStart"/>
      <w:r w:rsidRPr="00D20A7E">
        <w:rPr>
          <w:rFonts w:ascii="Arial" w:hAnsi="Arial" w:cs="Arial"/>
          <w:color w:val="1B1B1B"/>
          <w:sz w:val="20"/>
          <w:szCs w:val="16"/>
          <w:shd w:val="clear" w:color="auto" w:fill="FFFFFF"/>
        </w:rPr>
        <w:t>Signaling</w:t>
      </w:r>
      <w:proofErr w:type="spellEnd"/>
      <w:r w:rsidRPr="00D20A7E">
        <w:rPr>
          <w:rFonts w:ascii="Arial" w:hAnsi="Arial" w:cs="Arial"/>
          <w:color w:val="1B1B1B"/>
          <w:sz w:val="20"/>
          <w:szCs w:val="16"/>
          <w:shd w:val="clear" w:color="auto" w:fill="FFFFFF"/>
        </w:rPr>
        <w:t>. </w:t>
      </w:r>
      <w:r w:rsidRPr="00D20A7E">
        <w:rPr>
          <w:rFonts w:ascii="Arial" w:hAnsi="Arial" w:cs="Arial"/>
          <w:i/>
          <w:iCs/>
          <w:color w:val="1B1B1B"/>
          <w:sz w:val="20"/>
          <w:szCs w:val="16"/>
          <w:shd w:val="clear" w:color="auto" w:fill="FFFFFF"/>
        </w:rPr>
        <w:t>Metabolites</w:t>
      </w:r>
      <w:r w:rsidRPr="00D20A7E">
        <w:rPr>
          <w:rFonts w:ascii="Arial" w:hAnsi="Arial" w:cs="Arial"/>
          <w:color w:val="1B1B1B"/>
          <w:sz w:val="20"/>
          <w:szCs w:val="16"/>
          <w:shd w:val="clear" w:color="auto" w:fill="FFFFFF"/>
        </w:rPr>
        <w:t>, </w:t>
      </w:r>
      <w:r w:rsidRPr="00D20A7E">
        <w:rPr>
          <w:rFonts w:ascii="Arial" w:hAnsi="Arial" w:cs="Arial"/>
          <w:i/>
          <w:iCs/>
          <w:color w:val="1B1B1B"/>
          <w:sz w:val="20"/>
          <w:szCs w:val="16"/>
          <w:shd w:val="clear" w:color="auto" w:fill="FFFFFF"/>
        </w:rPr>
        <w:t>13</w:t>
      </w:r>
      <w:r w:rsidRPr="00D20A7E">
        <w:rPr>
          <w:rFonts w:ascii="Arial" w:hAnsi="Arial" w:cs="Arial"/>
          <w:color w:val="1B1B1B"/>
          <w:sz w:val="20"/>
          <w:szCs w:val="16"/>
          <w:shd w:val="clear" w:color="auto" w:fill="FFFFFF"/>
        </w:rPr>
        <w:t xml:space="preserve">(11), 1117. </w:t>
      </w:r>
      <w:hyperlink r:id="rId12" w:history="1">
        <w:r w:rsidRPr="00D20A7E">
          <w:rPr>
            <w:rStyle w:val="Hyperlink"/>
            <w:rFonts w:ascii="Arial" w:hAnsi="Arial" w:cs="Arial"/>
            <w:sz w:val="20"/>
            <w:szCs w:val="16"/>
            <w:shd w:val="clear" w:color="auto" w:fill="FFFFFF"/>
          </w:rPr>
          <w:t>https://doi.org/10.3390/metabo13111117</w:t>
        </w:r>
      </w:hyperlink>
    </w:p>
    <w:p w14:paraId="4AEC9B07" w14:textId="77777777" w:rsidR="00242C29" w:rsidRDefault="00242C29" w:rsidP="005574E7">
      <w:pPr>
        <w:spacing w:after="0"/>
        <w:ind w:left="1066" w:hanging="706"/>
        <w:jc w:val="both"/>
        <w:rPr>
          <w:rFonts w:ascii="Arial" w:hAnsi="Arial" w:cs="Arial"/>
          <w:sz w:val="20"/>
          <w:szCs w:val="16"/>
        </w:rPr>
      </w:pPr>
      <w:r w:rsidRPr="007C1D12">
        <w:rPr>
          <w:rFonts w:ascii="Arial" w:hAnsi="Arial" w:cs="Arial"/>
          <w:sz w:val="20"/>
          <w:szCs w:val="16"/>
        </w:rPr>
        <w:t>El-</w:t>
      </w:r>
      <w:proofErr w:type="spellStart"/>
      <w:r w:rsidRPr="007C1D12">
        <w:rPr>
          <w:rFonts w:ascii="Arial" w:hAnsi="Arial" w:cs="Arial"/>
          <w:sz w:val="20"/>
          <w:szCs w:val="16"/>
        </w:rPr>
        <w:t>Saadony</w:t>
      </w:r>
      <w:proofErr w:type="spellEnd"/>
      <w:r w:rsidRPr="007C1D12">
        <w:rPr>
          <w:rFonts w:ascii="Arial" w:hAnsi="Arial" w:cs="Arial"/>
          <w:sz w:val="20"/>
          <w:szCs w:val="16"/>
        </w:rPr>
        <w:t xml:space="preserve">, M. T., Saad, A. M., Korma, S. A., Salem, H. M., Abd El-Mageed, T. A., </w:t>
      </w:r>
      <w:proofErr w:type="spellStart"/>
      <w:r w:rsidRPr="007C1D12">
        <w:rPr>
          <w:rFonts w:ascii="Arial" w:hAnsi="Arial" w:cs="Arial"/>
          <w:sz w:val="20"/>
          <w:szCs w:val="16"/>
        </w:rPr>
        <w:t>Alkafaas</w:t>
      </w:r>
      <w:proofErr w:type="spellEnd"/>
      <w:r w:rsidRPr="007C1D12">
        <w:rPr>
          <w:rFonts w:ascii="Arial" w:hAnsi="Arial" w:cs="Arial"/>
          <w:sz w:val="20"/>
          <w:szCs w:val="16"/>
        </w:rPr>
        <w:t xml:space="preserve">, S., </w:t>
      </w:r>
      <w:r>
        <w:rPr>
          <w:rFonts w:ascii="Arial" w:hAnsi="Arial" w:cs="Arial"/>
          <w:sz w:val="20"/>
          <w:szCs w:val="16"/>
        </w:rPr>
        <w:t>&amp;</w:t>
      </w:r>
      <w:r w:rsidRPr="007C1D12">
        <w:rPr>
          <w:rFonts w:ascii="Arial" w:hAnsi="Arial" w:cs="Arial"/>
          <w:sz w:val="20"/>
          <w:szCs w:val="16"/>
        </w:rPr>
        <w:t xml:space="preserve"> Ibrahim, S. A. (2024). Garlic bioactive substances and their therapeutic applications for improving human health: A comprehensive review. </w:t>
      </w:r>
      <w:r w:rsidRPr="007C1D12">
        <w:rPr>
          <w:rStyle w:val="Emphasis"/>
          <w:rFonts w:ascii="Arial" w:hAnsi="Arial" w:cs="Arial"/>
          <w:sz w:val="20"/>
          <w:szCs w:val="16"/>
        </w:rPr>
        <w:t>Frontiers in Immunology, 15</w:t>
      </w:r>
      <w:r w:rsidRPr="007C1D12">
        <w:rPr>
          <w:rFonts w:ascii="Arial" w:hAnsi="Arial" w:cs="Arial"/>
          <w:sz w:val="20"/>
          <w:szCs w:val="16"/>
        </w:rPr>
        <w:t>, 1267635.</w:t>
      </w:r>
    </w:p>
    <w:p w14:paraId="720427BE" w14:textId="77777777" w:rsidR="00242C29" w:rsidRPr="005574E7" w:rsidRDefault="00242C29" w:rsidP="005574E7">
      <w:pPr>
        <w:spacing w:after="0"/>
        <w:ind w:left="1066" w:hanging="706"/>
        <w:jc w:val="both"/>
        <w:rPr>
          <w:rFonts w:ascii="Arial" w:hAnsi="Arial" w:cs="Arial"/>
          <w:sz w:val="20"/>
          <w:szCs w:val="16"/>
        </w:rPr>
      </w:pPr>
      <w:r w:rsidRPr="007C1D12">
        <w:rPr>
          <w:rFonts w:ascii="Arial" w:hAnsi="Arial" w:cs="Arial"/>
          <w:sz w:val="20"/>
        </w:rPr>
        <w:t xml:space="preserve">Fetoui, H., </w:t>
      </w:r>
      <w:proofErr w:type="spellStart"/>
      <w:r w:rsidRPr="007C1D12">
        <w:rPr>
          <w:rFonts w:ascii="Arial" w:hAnsi="Arial" w:cs="Arial"/>
          <w:sz w:val="20"/>
        </w:rPr>
        <w:t>Garoui</w:t>
      </w:r>
      <w:proofErr w:type="spellEnd"/>
      <w:r w:rsidRPr="007C1D12">
        <w:rPr>
          <w:rFonts w:ascii="Arial" w:hAnsi="Arial" w:cs="Arial"/>
          <w:sz w:val="20"/>
        </w:rPr>
        <w:t xml:space="preserve">, E. M., </w:t>
      </w:r>
      <w:r>
        <w:rPr>
          <w:rFonts w:ascii="Arial" w:hAnsi="Arial" w:cs="Arial"/>
          <w:sz w:val="20"/>
          <w:szCs w:val="16"/>
        </w:rPr>
        <w:t xml:space="preserve">&amp; </w:t>
      </w:r>
      <w:proofErr w:type="spellStart"/>
      <w:r w:rsidRPr="007C1D12">
        <w:rPr>
          <w:rFonts w:ascii="Arial" w:hAnsi="Arial" w:cs="Arial"/>
          <w:sz w:val="20"/>
        </w:rPr>
        <w:t>Zeghal</w:t>
      </w:r>
      <w:proofErr w:type="spellEnd"/>
      <w:r w:rsidRPr="007C1D12">
        <w:rPr>
          <w:rFonts w:ascii="Arial" w:hAnsi="Arial" w:cs="Arial"/>
          <w:sz w:val="20"/>
        </w:rPr>
        <w:t xml:space="preserve">, N. (2009). Lambda-cyhalothrin-induced biochemical and histopathological changes in the liver of rats: ameliorative effect of vitamin E. </w:t>
      </w:r>
      <w:r w:rsidRPr="007C1D12">
        <w:rPr>
          <w:rStyle w:val="Emphasis"/>
          <w:rFonts w:ascii="Arial" w:hAnsi="Arial" w:cs="Arial"/>
          <w:sz w:val="20"/>
        </w:rPr>
        <w:t>Toxicology and Industrial Health, 25</w:t>
      </w:r>
      <w:r w:rsidRPr="007C1D12">
        <w:rPr>
          <w:rFonts w:ascii="Arial" w:hAnsi="Arial" w:cs="Arial"/>
          <w:sz w:val="20"/>
        </w:rPr>
        <w:t>(8), 523–529.</w:t>
      </w:r>
    </w:p>
    <w:p w14:paraId="247599D0" w14:textId="77777777" w:rsidR="00242C29" w:rsidRDefault="00242C29" w:rsidP="005A4EA2">
      <w:pPr>
        <w:spacing w:after="0"/>
        <w:ind w:left="1066" w:hanging="706"/>
        <w:jc w:val="both"/>
        <w:rPr>
          <w:rFonts w:ascii="Arial" w:hAnsi="Arial" w:cs="Arial"/>
          <w:sz w:val="20"/>
          <w:szCs w:val="16"/>
        </w:rPr>
      </w:pPr>
      <w:r w:rsidRPr="007C1D12">
        <w:rPr>
          <w:rStyle w:val="Strong"/>
          <w:rFonts w:ascii="Arial" w:hAnsi="Arial" w:cs="Arial"/>
          <w:b w:val="0"/>
          <w:bCs w:val="0"/>
          <w:sz w:val="20"/>
          <w:szCs w:val="16"/>
        </w:rPr>
        <w:t xml:space="preserve">Galloway, T., </w:t>
      </w:r>
      <w:r>
        <w:rPr>
          <w:rFonts w:ascii="Arial" w:hAnsi="Arial" w:cs="Arial"/>
          <w:sz w:val="20"/>
          <w:szCs w:val="16"/>
        </w:rPr>
        <w:t xml:space="preserve">&amp; </w:t>
      </w:r>
      <w:r w:rsidRPr="007C1D12">
        <w:rPr>
          <w:rStyle w:val="Strong"/>
          <w:rFonts w:ascii="Arial" w:hAnsi="Arial" w:cs="Arial"/>
          <w:b w:val="0"/>
          <w:bCs w:val="0"/>
          <w:sz w:val="20"/>
          <w:szCs w:val="16"/>
        </w:rPr>
        <w:t>Handy, R. (2003).</w:t>
      </w:r>
      <w:r w:rsidRPr="007C1D12">
        <w:rPr>
          <w:rFonts w:ascii="Arial" w:hAnsi="Arial" w:cs="Arial"/>
          <w:sz w:val="20"/>
          <w:szCs w:val="16"/>
        </w:rPr>
        <w:t xml:space="preserve"> Immunotoxicity of </w:t>
      </w:r>
      <w:proofErr w:type="spellStart"/>
      <w:r w:rsidRPr="007C1D12">
        <w:rPr>
          <w:rFonts w:ascii="Arial" w:hAnsi="Arial" w:cs="Arial"/>
          <w:sz w:val="20"/>
          <w:szCs w:val="16"/>
        </w:rPr>
        <w:t>organophosphorous</w:t>
      </w:r>
      <w:proofErr w:type="spellEnd"/>
      <w:r w:rsidRPr="007C1D12">
        <w:rPr>
          <w:rFonts w:ascii="Arial" w:hAnsi="Arial" w:cs="Arial"/>
          <w:sz w:val="20"/>
          <w:szCs w:val="16"/>
        </w:rPr>
        <w:t xml:space="preserve"> pesticides. </w:t>
      </w:r>
      <w:r w:rsidRPr="007C1D12">
        <w:rPr>
          <w:rStyle w:val="Emphasis"/>
          <w:rFonts w:ascii="Arial" w:hAnsi="Arial" w:cs="Arial"/>
          <w:sz w:val="20"/>
          <w:szCs w:val="16"/>
        </w:rPr>
        <w:t>Ecotoxicology</w:t>
      </w:r>
      <w:r w:rsidRPr="007C1D12">
        <w:rPr>
          <w:rFonts w:ascii="Arial" w:hAnsi="Arial" w:cs="Arial"/>
          <w:sz w:val="20"/>
          <w:szCs w:val="16"/>
        </w:rPr>
        <w:t xml:space="preserve">, </w:t>
      </w:r>
      <w:r w:rsidRPr="007C1D12">
        <w:rPr>
          <w:rFonts w:ascii="Arial" w:hAnsi="Arial" w:cs="Arial"/>
          <w:i/>
          <w:iCs/>
          <w:sz w:val="20"/>
          <w:szCs w:val="16"/>
        </w:rPr>
        <w:t>12</w:t>
      </w:r>
      <w:r w:rsidRPr="007C1D12">
        <w:rPr>
          <w:rFonts w:ascii="Arial" w:hAnsi="Arial" w:cs="Arial"/>
          <w:sz w:val="20"/>
          <w:szCs w:val="16"/>
        </w:rPr>
        <w:t xml:space="preserve">(1–4), 345–363. </w:t>
      </w:r>
      <w:hyperlink r:id="rId13" w:history="1">
        <w:r w:rsidRPr="007C1D12">
          <w:rPr>
            <w:rStyle w:val="Hyperlink"/>
            <w:rFonts w:ascii="Arial" w:hAnsi="Arial" w:cs="Arial"/>
            <w:sz w:val="20"/>
            <w:szCs w:val="16"/>
          </w:rPr>
          <w:t>https://doi.org/10.1023/a:1022579416322</w:t>
        </w:r>
      </w:hyperlink>
      <w:r w:rsidRPr="007C1D12">
        <w:rPr>
          <w:rFonts w:ascii="Arial" w:hAnsi="Arial" w:cs="Arial"/>
          <w:sz w:val="20"/>
          <w:szCs w:val="16"/>
        </w:rPr>
        <w:t xml:space="preserve"> </w:t>
      </w:r>
    </w:p>
    <w:p w14:paraId="4E9A88B8" w14:textId="77777777" w:rsidR="00242C29" w:rsidRPr="007C1D12" w:rsidRDefault="00242C29"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Garg, U. K., Pal, A. K., Jha, G. J., </w:t>
      </w:r>
      <w:r>
        <w:rPr>
          <w:rFonts w:ascii="Arial" w:hAnsi="Arial" w:cs="Arial"/>
          <w:sz w:val="20"/>
          <w:szCs w:val="16"/>
        </w:rPr>
        <w:t xml:space="preserve">&amp; </w:t>
      </w:r>
      <w:proofErr w:type="spellStart"/>
      <w:r w:rsidRPr="007C1D12">
        <w:rPr>
          <w:rFonts w:ascii="Arial" w:hAnsi="Arial" w:cs="Arial"/>
          <w:sz w:val="20"/>
          <w:szCs w:val="20"/>
        </w:rPr>
        <w:t>Jadhao</w:t>
      </w:r>
      <w:proofErr w:type="spellEnd"/>
      <w:r w:rsidRPr="007C1D12">
        <w:rPr>
          <w:rFonts w:ascii="Arial" w:hAnsi="Arial" w:cs="Arial"/>
          <w:sz w:val="20"/>
          <w:szCs w:val="20"/>
        </w:rPr>
        <w:t xml:space="preserve">, S. B. (2004). Haemato-biochemical and </w:t>
      </w:r>
      <w:proofErr w:type="spellStart"/>
      <w:r w:rsidRPr="007C1D12">
        <w:rPr>
          <w:rFonts w:ascii="Arial" w:hAnsi="Arial" w:cs="Arial"/>
          <w:sz w:val="20"/>
          <w:szCs w:val="20"/>
        </w:rPr>
        <w:t>immunopathophysiological</w:t>
      </w:r>
      <w:proofErr w:type="spellEnd"/>
      <w:r w:rsidRPr="007C1D12">
        <w:rPr>
          <w:rFonts w:ascii="Arial" w:hAnsi="Arial" w:cs="Arial"/>
          <w:sz w:val="20"/>
          <w:szCs w:val="20"/>
        </w:rPr>
        <w:t xml:space="preserve"> effects of chronic chlorpyrifos toxicity in broiler chickens. </w:t>
      </w:r>
      <w:r w:rsidRPr="007C1D12">
        <w:rPr>
          <w:rStyle w:val="Emphasis"/>
          <w:rFonts w:ascii="Arial" w:hAnsi="Arial" w:cs="Arial"/>
          <w:sz w:val="20"/>
          <w:szCs w:val="20"/>
        </w:rPr>
        <w:t>Toxicology, 204</w:t>
      </w:r>
      <w:r w:rsidRPr="007C1D12">
        <w:rPr>
          <w:rFonts w:ascii="Arial" w:hAnsi="Arial" w:cs="Arial"/>
          <w:sz w:val="20"/>
          <w:szCs w:val="20"/>
        </w:rPr>
        <w:t>(3), 187–193.</w:t>
      </w:r>
    </w:p>
    <w:p w14:paraId="197BD19D" w14:textId="77777777" w:rsidR="00242C29" w:rsidRDefault="00242C29" w:rsidP="00D20A7E">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Ghai, C. L. (2019). </w:t>
      </w:r>
      <w:r w:rsidRPr="007C1D12">
        <w:rPr>
          <w:rFonts w:ascii="Arial" w:eastAsia="Times New Roman" w:hAnsi="Arial" w:cs="Arial"/>
          <w:i/>
          <w:iCs/>
          <w:sz w:val="20"/>
          <w:lang w:val="en-US"/>
        </w:rPr>
        <w:t>A Textbook of Practical Physiology</w:t>
      </w:r>
      <w:r w:rsidRPr="007C1D12">
        <w:rPr>
          <w:rFonts w:ascii="Arial" w:eastAsia="Times New Roman" w:hAnsi="Arial" w:cs="Arial"/>
          <w:sz w:val="20"/>
          <w:lang w:val="en-US"/>
        </w:rPr>
        <w:t>. CBS Publishers &amp; Distributors.</w:t>
      </w:r>
    </w:p>
    <w:p w14:paraId="3E25348D" w14:textId="77777777" w:rsidR="00242C29" w:rsidRPr="00D20A7E" w:rsidRDefault="00242C29" w:rsidP="00D20A7E">
      <w:pPr>
        <w:spacing w:after="0"/>
        <w:ind w:left="1066" w:hanging="706"/>
        <w:jc w:val="both"/>
        <w:rPr>
          <w:rFonts w:ascii="Arial" w:eastAsia="Times New Roman" w:hAnsi="Arial" w:cs="Arial"/>
          <w:sz w:val="20"/>
          <w:lang w:val="en-US"/>
        </w:rPr>
      </w:pPr>
      <w:r w:rsidRPr="00FA7674">
        <w:rPr>
          <w:rFonts w:ascii="Arial" w:hAnsi="Arial" w:cs="Arial"/>
          <w:sz w:val="20"/>
          <w:lang w:val="nl-BE"/>
        </w:rPr>
        <w:t xml:space="preserve">Iciek, M., Kwiecień, I., </w:t>
      </w:r>
      <w:r w:rsidRPr="00FA7674">
        <w:rPr>
          <w:rFonts w:ascii="Arial" w:hAnsi="Arial" w:cs="Arial"/>
          <w:sz w:val="20"/>
          <w:szCs w:val="16"/>
          <w:lang w:val="nl-BE"/>
        </w:rPr>
        <w:t xml:space="preserve">&amp; </w:t>
      </w:r>
      <w:r w:rsidRPr="00FA7674">
        <w:rPr>
          <w:rFonts w:ascii="Arial" w:hAnsi="Arial" w:cs="Arial"/>
          <w:sz w:val="20"/>
          <w:lang w:val="nl-BE"/>
        </w:rPr>
        <w:t xml:space="preserve">Włodek, L. (2009). </w:t>
      </w:r>
      <w:r w:rsidRPr="007C1D12">
        <w:rPr>
          <w:rFonts w:ascii="Arial" w:hAnsi="Arial" w:cs="Arial"/>
          <w:sz w:val="20"/>
        </w:rPr>
        <w:t xml:space="preserve">Biological properties of garlic and garlic-derived organosulfur compounds. </w:t>
      </w:r>
      <w:r w:rsidRPr="007C1D12">
        <w:rPr>
          <w:rStyle w:val="Emphasis"/>
          <w:rFonts w:ascii="Arial" w:hAnsi="Arial" w:cs="Arial"/>
          <w:sz w:val="20"/>
        </w:rPr>
        <w:t>Environmental and Molecular Mutagenesis, 50</w:t>
      </w:r>
      <w:r w:rsidRPr="007C1D12">
        <w:rPr>
          <w:rFonts w:ascii="Arial" w:hAnsi="Arial" w:cs="Arial"/>
          <w:sz w:val="20"/>
        </w:rPr>
        <w:t>(3), 247–265.</w:t>
      </w:r>
    </w:p>
    <w:p w14:paraId="345DC7C3" w14:textId="77777777" w:rsidR="00242C29" w:rsidRPr="00242C29" w:rsidRDefault="00242C29" w:rsidP="00242C29">
      <w:pPr>
        <w:pStyle w:val="NormalWeb"/>
        <w:spacing w:before="0" w:beforeAutospacing="0" w:after="0" w:afterAutospacing="0"/>
        <w:ind w:left="1066" w:hanging="706"/>
        <w:jc w:val="both"/>
        <w:rPr>
          <w:rFonts w:ascii="Arial" w:hAnsi="Arial" w:cs="Arial"/>
          <w:sz w:val="20"/>
          <w:szCs w:val="20"/>
        </w:rPr>
      </w:pPr>
      <w:r>
        <w:rPr>
          <w:rFonts w:ascii="Arial" w:hAnsi="Arial" w:cs="Arial"/>
          <w:sz w:val="20"/>
          <w:szCs w:val="20"/>
        </w:rPr>
        <w:t>Iqbal, A., Nawaz, M. S., &amp; Ahmad, M. E. (2024). Role of Ashwagandha (</w:t>
      </w:r>
      <w:proofErr w:type="spellStart"/>
      <w:r>
        <w:rPr>
          <w:rFonts w:ascii="Arial" w:hAnsi="Arial" w:cs="Arial"/>
          <w:i/>
          <w:iCs/>
          <w:sz w:val="20"/>
          <w:szCs w:val="20"/>
        </w:rPr>
        <w:t>Withania</w:t>
      </w:r>
      <w:proofErr w:type="spellEnd"/>
      <w:r>
        <w:rPr>
          <w:rFonts w:ascii="Arial" w:hAnsi="Arial" w:cs="Arial"/>
          <w:i/>
          <w:iCs/>
          <w:sz w:val="20"/>
          <w:szCs w:val="20"/>
        </w:rPr>
        <w:t xml:space="preserve"> </w:t>
      </w:r>
      <w:proofErr w:type="spellStart"/>
      <w:r>
        <w:rPr>
          <w:rFonts w:ascii="Arial" w:hAnsi="Arial" w:cs="Arial"/>
          <w:i/>
          <w:iCs/>
          <w:sz w:val="20"/>
          <w:szCs w:val="20"/>
        </w:rPr>
        <w:t>somnifera</w:t>
      </w:r>
      <w:proofErr w:type="spellEnd"/>
      <w:r>
        <w:rPr>
          <w:rFonts w:ascii="Arial" w:hAnsi="Arial" w:cs="Arial"/>
          <w:sz w:val="20"/>
          <w:szCs w:val="20"/>
        </w:rPr>
        <w:t>) root extract in attenuating hepatic deficits in Diclofenac sodium-induced Swiss albino mice (</w:t>
      </w:r>
      <w:r>
        <w:rPr>
          <w:rFonts w:ascii="Arial" w:hAnsi="Arial" w:cs="Arial"/>
          <w:i/>
          <w:iCs/>
          <w:sz w:val="20"/>
          <w:szCs w:val="20"/>
        </w:rPr>
        <w:t>Mus musculus</w:t>
      </w:r>
      <w:r>
        <w:rPr>
          <w:rFonts w:ascii="Arial" w:hAnsi="Arial" w:cs="Arial"/>
          <w:sz w:val="20"/>
          <w:szCs w:val="20"/>
        </w:rPr>
        <w:t xml:space="preserve">). </w:t>
      </w:r>
      <w:r>
        <w:rPr>
          <w:rFonts w:ascii="Arial" w:hAnsi="Arial" w:cs="Arial"/>
          <w:i/>
          <w:iCs/>
          <w:sz w:val="20"/>
          <w:szCs w:val="20"/>
        </w:rPr>
        <w:t>International Journal of Pharmaceutical Research and Applications, 9</w:t>
      </w:r>
      <w:r>
        <w:rPr>
          <w:rFonts w:ascii="Arial" w:hAnsi="Arial" w:cs="Arial"/>
          <w:sz w:val="20"/>
          <w:szCs w:val="20"/>
        </w:rPr>
        <w:t>(1), 563</w:t>
      </w:r>
      <w:r w:rsidRPr="007C1D12">
        <w:rPr>
          <w:rFonts w:ascii="Arial" w:hAnsi="Arial" w:cs="Arial"/>
          <w:sz w:val="20"/>
          <w:szCs w:val="20"/>
        </w:rPr>
        <w:t>–</w:t>
      </w:r>
      <w:r>
        <w:rPr>
          <w:rFonts w:ascii="Arial" w:hAnsi="Arial" w:cs="Arial"/>
          <w:sz w:val="20"/>
          <w:szCs w:val="20"/>
        </w:rPr>
        <w:t>570.</w:t>
      </w:r>
    </w:p>
    <w:p w14:paraId="0CC542B5" w14:textId="77777777" w:rsidR="00242C29" w:rsidRPr="007C1D12" w:rsidRDefault="00242C29"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Jain, N. C. (1993). </w:t>
      </w:r>
      <w:r w:rsidRPr="007C1D12">
        <w:rPr>
          <w:rFonts w:ascii="Arial" w:eastAsia="Times New Roman" w:hAnsi="Arial" w:cs="Arial"/>
          <w:i/>
          <w:iCs/>
          <w:sz w:val="20"/>
          <w:lang w:val="en-US"/>
        </w:rPr>
        <w:t>Essential Veterinary Hematology</w:t>
      </w:r>
      <w:r w:rsidRPr="007C1D12">
        <w:rPr>
          <w:rFonts w:ascii="Arial" w:eastAsia="Times New Roman" w:hAnsi="Arial" w:cs="Arial"/>
          <w:sz w:val="20"/>
          <w:lang w:val="en-US"/>
        </w:rPr>
        <w:t xml:space="preserve">. Lea &amp; </w:t>
      </w:r>
      <w:proofErr w:type="spellStart"/>
      <w:r w:rsidRPr="007C1D12">
        <w:rPr>
          <w:rFonts w:ascii="Arial" w:eastAsia="Times New Roman" w:hAnsi="Arial" w:cs="Arial"/>
          <w:sz w:val="20"/>
          <w:lang w:val="en-US"/>
        </w:rPr>
        <w:t>Febiger</w:t>
      </w:r>
      <w:proofErr w:type="spellEnd"/>
      <w:r w:rsidRPr="007C1D12">
        <w:rPr>
          <w:rFonts w:ascii="Arial" w:eastAsia="Times New Roman" w:hAnsi="Arial" w:cs="Arial"/>
          <w:sz w:val="20"/>
          <w:lang w:val="en-US"/>
        </w:rPr>
        <w:t>, Philadelphia.</w:t>
      </w:r>
    </w:p>
    <w:p w14:paraId="069CDC72" w14:textId="77777777" w:rsidR="00242C29" w:rsidRPr="007C1D12" w:rsidRDefault="00242C29" w:rsidP="005A4EA2">
      <w:pPr>
        <w:spacing w:after="0"/>
        <w:ind w:left="1066" w:hanging="706"/>
        <w:jc w:val="both"/>
        <w:rPr>
          <w:rFonts w:ascii="Arial" w:hAnsi="Arial" w:cs="Arial"/>
          <w:sz w:val="20"/>
          <w:szCs w:val="16"/>
        </w:rPr>
      </w:pPr>
      <w:r w:rsidRPr="007C1D12">
        <w:rPr>
          <w:rFonts w:ascii="Arial" w:hAnsi="Arial" w:cs="Arial"/>
          <w:sz w:val="20"/>
          <w:szCs w:val="16"/>
        </w:rPr>
        <w:t xml:space="preserve">Joshi, S. C., Mathur, R., </w:t>
      </w:r>
      <w:r>
        <w:rPr>
          <w:rFonts w:ascii="Arial" w:hAnsi="Arial" w:cs="Arial"/>
          <w:sz w:val="20"/>
          <w:szCs w:val="16"/>
        </w:rPr>
        <w:t xml:space="preserve">&amp; </w:t>
      </w:r>
      <w:r w:rsidRPr="007C1D12">
        <w:rPr>
          <w:rFonts w:ascii="Arial" w:hAnsi="Arial" w:cs="Arial"/>
          <w:sz w:val="20"/>
          <w:szCs w:val="16"/>
        </w:rPr>
        <w:t xml:space="preserve">Gulati, N. (2007). Testicular toxicity of chlorpyrifos (an organophosphate pesticide) in albino rat. </w:t>
      </w:r>
      <w:r w:rsidRPr="007C1D12">
        <w:rPr>
          <w:rStyle w:val="Emphasis"/>
          <w:rFonts w:ascii="Arial" w:hAnsi="Arial" w:cs="Arial"/>
          <w:sz w:val="20"/>
          <w:szCs w:val="16"/>
        </w:rPr>
        <w:t>Toxicology and Industrial Health, 23</w:t>
      </w:r>
      <w:r w:rsidRPr="007C1D12">
        <w:rPr>
          <w:rFonts w:ascii="Arial" w:hAnsi="Arial" w:cs="Arial"/>
          <w:sz w:val="20"/>
          <w:szCs w:val="16"/>
        </w:rPr>
        <w:t xml:space="preserve">(7), 439–444. </w:t>
      </w:r>
      <w:hyperlink r:id="rId14" w:history="1">
        <w:r w:rsidRPr="007C1D12">
          <w:rPr>
            <w:rStyle w:val="Hyperlink"/>
            <w:rFonts w:ascii="Arial" w:hAnsi="Arial" w:cs="Arial"/>
            <w:sz w:val="20"/>
            <w:szCs w:val="16"/>
          </w:rPr>
          <w:t>https://doi.org/10.1177/0748233707080908</w:t>
        </w:r>
      </w:hyperlink>
    </w:p>
    <w:p w14:paraId="4AC1A7DA" w14:textId="77777777" w:rsidR="00242C29" w:rsidRPr="00FA7674" w:rsidRDefault="00242C29" w:rsidP="005A4EA2">
      <w:pPr>
        <w:spacing w:after="0"/>
        <w:ind w:left="1066" w:hanging="706"/>
        <w:jc w:val="both"/>
        <w:rPr>
          <w:rFonts w:ascii="Arial" w:eastAsia="Times New Roman" w:hAnsi="Arial" w:cs="Arial"/>
          <w:sz w:val="20"/>
          <w:lang w:val="nl-BE"/>
        </w:rPr>
      </w:pPr>
      <w:r w:rsidRPr="007C1D12">
        <w:rPr>
          <w:rFonts w:ascii="Arial" w:eastAsia="Times New Roman" w:hAnsi="Arial" w:cs="Arial"/>
          <w:sz w:val="20"/>
          <w:lang w:val="en-US"/>
        </w:rPr>
        <w:t xml:space="preserve">Kalender, Y., </w:t>
      </w:r>
      <w:proofErr w:type="spellStart"/>
      <w:r w:rsidRPr="007C1D12">
        <w:rPr>
          <w:rFonts w:ascii="Arial" w:eastAsia="Times New Roman" w:hAnsi="Arial" w:cs="Arial"/>
          <w:sz w:val="20"/>
          <w:lang w:val="en-US"/>
        </w:rPr>
        <w:t>Uzunhisarcikli</w:t>
      </w:r>
      <w:proofErr w:type="spellEnd"/>
      <w:r w:rsidRPr="007C1D12">
        <w:rPr>
          <w:rFonts w:ascii="Arial" w:eastAsia="Times New Roman" w:hAnsi="Arial" w:cs="Arial"/>
          <w:sz w:val="20"/>
          <w:lang w:val="en-US"/>
        </w:rPr>
        <w:t xml:space="preserve">, M., </w:t>
      </w:r>
      <w:proofErr w:type="spellStart"/>
      <w:r w:rsidRPr="007C1D12">
        <w:rPr>
          <w:rFonts w:ascii="Arial" w:eastAsia="Times New Roman" w:hAnsi="Arial" w:cs="Arial"/>
          <w:sz w:val="20"/>
          <w:lang w:val="en-US"/>
        </w:rPr>
        <w:t>Ogutcu</w:t>
      </w:r>
      <w:proofErr w:type="spellEnd"/>
      <w:r w:rsidRPr="007C1D12">
        <w:rPr>
          <w:rFonts w:ascii="Arial" w:eastAsia="Times New Roman" w:hAnsi="Arial" w:cs="Arial"/>
          <w:sz w:val="20"/>
          <w:lang w:val="en-US"/>
        </w:rPr>
        <w:t xml:space="preserve">, A., </w:t>
      </w:r>
      <w:proofErr w:type="spellStart"/>
      <w:r w:rsidRPr="007C1D12">
        <w:rPr>
          <w:rFonts w:ascii="Arial" w:eastAsia="Times New Roman" w:hAnsi="Arial" w:cs="Arial"/>
          <w:sz w:val="20"/>
          <w:lang w:val="en-US"/>
        </w:rPr>
        <w:t>Acikgoz</w:t>
      </w:r>
      <w:proofErr w:type="spellEnd"/>
      <w:r w:rsidRPr="007C1D12">
        <w:rPr>
          <w:rFonts w:ascii="Arial" w:eastAsia="Times New Roman" w:hAnsi="Arial" w:cs="Arial"/>
          <w:sz w:val="20"/>
          <w:lang w:val="en-US"/>
        </w:rPr>
        <w:t xml:space="preserve">, F., </w:t>
      </w:r>
      <w:r>
        <w:rPr>
          <w:rFonts w:ascii="Arial" w:hAnsi="Arial" w:cs="Arial"/>
          <w:sz w:val="20"/>
          <w:szCs w:val="16"/>
        </w:rPr>
        <w:t xml:space="preserve">&amp; </w:t>
      </w:r>
      <w:r w:rsidRPr="007C1D12">
        <w:rPr>
          <w:rFonts w:ascii="Arial" w:eastAsia="Times New Roman" w:hAnsi="Arial" w:cs="Arial"/>
          <w:sz w:val="20"/>
          <w:lang w:val="en-US"/>
        </w:rPr>
        <w:t xml:space="preserve">Kalender, S. (2006). Effects of diazinon on pseudocholinesterase activity and </w:t>
      </w:r>
      <w:proofErr w:type="spellStart"/>
      <w:r w:rsidRPr="007C1D12">
        <w:rPr>
          <w:rFonts w:ascii="Arial" w:eastAsia="Times New Roman" w:hAnsi="Arial" w:cs="Arial"/>
          <w:sz w:val="20"/>
          <w:lang w:val="en-US"/>
        </w:rPr>
        <w:t>haematological</w:t>
      </w:r>
      <w:proofErr w:type="spellEnd"/>
      <w:r w:rsidRPr="007C1D12">
        <w:rPr>
          <w:rFonts w:ascii="Arial" w:eastAsia="Times New Roman" w:hAnsi="Arial" w:cs="Arial"/>
          <w:sz w:val="20"/>
          <w:lang w:val="en-US"/>
        </w:rPr>
        <w:t xml:space="preserve"> indices in rats: The protective role of Vitamin E. </w:t>
      </w:r>
      <w:r w:rsidRPr="007C1D12">
        <w:rPr>
          <w:rFonts w:ascii="Arial" w:eastAsia="Times New Roman" w:hAnsi="Arial" w:cs="Arial"/>
          <w:i/>
          <w:iCs/>
          <w:sz w:val="20"/>
          <w:lang w:val="en-US"/>
        </w:rPr>
        <w:t>Environmental Toxicology and Pharmacology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22</w:t>
      </w:r>
      <w:r w:rsidRPr="007C1D12">
        <w:rPr>
          <w:rFonts w:ascii="Arial" w:eastAsia="Times New Roman" w:hAnsi="Arial" w:cs="Arial"/>
          <w:sz w:val="20"/>
          <w:lang w:val="en-US"/>
        </w:rPr>
        <w:t xml:space="preserve">(1), 46–51. </w:t>
      </w:r>
      <w:hyperlink r:id="rId15" w:history="1">
        <w:r w:rsidRPr="00FA7674">
          <w:rPr>
            <w:rFonts w:ascii="Arial" w:eastAsia="Times New Roman" w:hAnsi="Arial" w:cs="Arial"/>
            <w:color w:val="0000FF"/>
            <w:sz w:val="20"/>
            <w:u w:val="single"/>
            <w:lang w:val="nl-BE"/>
          </w:rPr>
          <w:t>https://doi.org/10.1016/j.etap.2006.01.001</w:t>
        </w:r>
      </w:hyperlink>
    </w:p>
    <w:p w14:paraId="02513702" w14:textId="77777777" w:rsidR="00242C29" w:rsidRPr="007C1D12" w:rsidRDefault="00242C29" w:rsidP="005A4EA2">
      <w:pPr>
        <w:spacing w:after="0"/>
        <w:ind w:left="1066" w:hanging="706"/>
        <w:jc w:val="both"/>
        <w:rPr>
          <w:rFonts w:ascii="Arial" w:eastAsia="Times New Roman" w:hAnsi="Arial" w:cs="Arial"/>
          <w:sz w:val="20"/>
          <w:lang w:val="en-US"/>
        </w:rPr>
      </w:pPr>
      <w:r w:rsidRPr="00FA7674">
        <w:rPr>
          <w:rFonts w:ascii="Arial" w:hAnsi="Arial" w:cs="Arial"/>
          <w:sz w:val="20"/>
          <w:szCs w:val="16"/>
          <w:lang w:val="nl-BE"/>
        </w:rPr>
        <w:t xml:space="preserve">Kalender, Y., Uzunhisarcikli, M., Ogutcu, A., Acikgoz, F., &amp; Kalender, S. (2005). </w:t>
      </w:r>
      <w:r w:rsidRPr="007C1D12">
        <w:rPr>
          <w:rFonts w:ascii="Arial" w:hAnsi="Arial" w:cs="Arial"/>
          <w:sz w:val="20"/>
          <w:szCs w:val="16"/>
        </w:rPr>
        <w:t xml:space="preserve">Effects of diazinon on pseudocholinesterase activity and haematological indices in rats: the protective role of vitamin E. </w:t>
      </w:r>
      <w:r w:rsidRPr="007C1D12">
        <w:rPr>
          <w:rStyle w:val="Emphasis"/>
          <w:rFonts w:ascii="Arial" w:hAnsi="Arial" w:cs="Arial"/>
          <w:sz w:val="20"/>
          <w:szCs w:val="16"/>
        </w:rPr>
        <w:t>Environmental Toxicology and Pharmacology, 20</w:t>
      </w:r>
      <w:r w:rsidRPr="007C1D12">
        <w:rPr>
          <w:rFonts w:ascii="Arial" w:hAnsi="Arial" w:cs="Arial"/>
          <w:sz w:val="20"/>
          <w:szCs w:val="16"/>
        </w:rPr>
        <w:t>(1), 51–56.</w:t>
      </w:r>
    </w:p>
    <w:p w14:paraId="00B7EEEB" w14:textId="77777777" w:rsidR="00242C29" w:rsidRDefault="00242C29" w:rsidP="00EA560B">
      <w:pPr>
        <w:pStyle w:val="NormalWeb"/>
        <w:spacing w:before="0" w:beforeAutospacing="0" w:after="0" w:afterAutospacing="0"/>
        <w:ind w:left="1066" w:hanging="706"/>
        <w:jc w:val="both"/>
        <w:rPr>
          <w:rFonts w:ascii="Arial" w:hAnsi="Arial" w:cs="Arial"/>
        </w:rPr>
      </w:pPr>
      <w:proofErr w:type="spellStart"/>
      <w:r w:rsidRPr="00D46939">
        <w:rPr>
          <w:rFonts w:ascii="Arial" w:hAnsi="Arial" w:cs="Arial"/>
          <w:sz w:val="20"/>
          <w:szCs w:val="20"/>
        </w:rPr>
        <w:t>Kašuba</w:t>
      </w:r>
      <w:proofErr w:type="spellEnd"/>
      <w:r w:rsidRPr="00D46939">
        <w:rPr>
          <w:rFonts w:ascii="Arial" w:hAnsi="Arial" w:cs="Arial"/>
          <w:sz w:val="20"/>
          <w:szCs w:val="20"/>
        </w:rPr>
        <w:t xml:space="preserve">, V., Micek, V., Milić, M., </w:t>
      </w:r>
      <w:proofErr w:type="spellStart"/>
      <w:r w:rsidRPr="00D46939">
        <w:rPr>
          <w:rFonts w:ascii="Arial" w:hAnsi="Arial" w:cs="Arial"/>
          <w:sz w:val="20"/>
          <w:szCs w:val="20"/>
        </w:rPr>
        <w:t>Želježić</w:t>
      </w:r>
      <w:proofErr w:type="spellEnd"/>
      <w:r w:rsidRPr="00D46939">
        <w:rPr>
          <w:rFonts w:ascii="Arial" w:hAnsi="Arial" w:cs="Arial"/>
          <w:sz w:val="20"/>
          <w:szCs w:val="20"/>
        </w:rPr>
        <w:t xml:space="preserve">, D., &amp; Katić, A. (2022). </w:t>
      </w:r>
      <w:r w:rsidRPr="00D46939">
        <w:rPr>
          <w:rStyle w:val="Emphasis"/>
          <w:rFonts w:ascii="Arial" w:hAnsi="Arial" w:cs="Arial"/>
          <w:i w:val="0"/>
          <w:iCs w:val="0"/>
          <w:sz w:val="20"/>
          <w:szCs w:val="20"/>
        </w:rPr>
        <w:t>The effect of low doses of chlorpyrifos on blood and bone marrow cells in Wistar rats</w:t>
      </w:r>
      <w:r w:rsidRPr="00D46939">
        <w:rPr>
          <w:rStyle w:val="Emphasis"/>
          <w:rFonts w:ascii="Arial" w:hAnsi="Arial" w:cs="Arial"/>
          <w:sz w:val="20"/>
          <w:szCs w:val="20"/>
        </w:rPr>
        <w:t>.</w:t>
      </w:r>
      <w:r w:rsidRPr="00D46939">
        <w:rPr>
          <w:rFonts w:ascii="Arial" w:hAnsi="Arial" w:cs="Arial"/>
          <w:sz w:val="20"/>
          <w:szCs w:val="20"/>
        </w:rPr>
        <w:t xml:space="preserve"> </w:t>
      </w:r>
      <w:proofErr w:type="spellStart"/>
      <w:r w:rsidRPr="00D46939">
        <w:rPr>
          <w:rFonts w:ascii="Arial" w:hAnsi="Arial" w:cs="Arial"/>
          <w:i/>
          <w:iCs/>
          <w:sz w:val="20"/>
          <w:szCs w:val="20"/>
        </w:rPr>
        <w:t>Arhiv</w:t>
      </w:r>
      <w:proofErr w:type="spellEnd"/>
      <w:r w:rsidRPr="00D46939">
        <w:rPr>
          <w:rFonts w:ascii="Arial" w:hAnsi="Arial" w:cs="Arial"/>
          <w:i/>
          <w:iCs/>
          <w:sz w:val="20"/>
          <w:szCs w:val="20"/>
        </w:rPr>
        <w:t xml:space="preserve"> za </w:t>
      </w:r>
      <w:proofErr w:type="spellStart"/>
      <w:r w:rsidRPr="00D46939">
        <w:rPr>
          <w:rFonts w:ascii="Arial" w:hAnsi="Arial" w:cs="Arial"/>
          <w:i/>
          <w:iCs/>
          <w:sz w:val="20"/>
          <w:szCs w:val="20"/>
        </w:rPr>
        <w:t>Higijenu</w:t>
      </w:r>
      <w:proofErr w:type="spellEnd"/>
      <w:r w:rsidRPr="00D46939">
        <w:rPr>
          <w:rFonts w:ascii="Arial" w:hAnsi="Arial" w:cs="Arial"/>
          <w:i/>
          <w:iCs/>
          <w:sz w:val="20"/>
          <w:szCs w:val="20"/>
        </w:rPr>
        <w:t xml:space="preserve"> Rada </w:t>
      </w:r>
      <w:proofErr w:type="spellStart"/>
      <w:r w:rsidRPr="00D46939">
        <w:rPr>
          <w:rFonts w:ascii="Arial" w:hAnsi="Arial" w:cs="Arial"/>
          <w:i/>
          <w:iCs/>
          <w:sz w:val="20"/>
          <w:szCs w:val="20"/>
        </w:rPr>
        <w:t>i</w:t>
      </w:r>
      <w:proofErr w:type="spellEnd"/>
      <w:r w:rsidRPr="00D46939">
        <w:rPr>
          <w:rFonts w:ascii="Arial" w:hAnsi="Arial" w:cs="Arial"/>
          <w:i/>
          <w:iCs/>
          <w:sz w:val="20"/>
          <w:szCs w:val="20"/>
        </w:rPr>
        <w:t xml:space="preserve"> </w:t>
      </w:r>
      <w:proofErr w:type="spellStart"/>
      <w:r w:rsidRPr="00D46939">
        <w:rPr>
          <w:rFonts w:ascii="Arial" w:hAnsi="Arial" w:cs="Arial"/>
          <w:i/>
          <w:iCs/>
          <w:sz w:val="20"/>
          <w:szCs w:val="20"/>
        </w:rPr>
        <w:t>Toksikologiju</w:t>
      </w:r>
      <w:proofErr w:type="spellEnd"/>
      <w:r w:rsidRPr="00D46939">
        <w:rPr>
          <w:rFonts w:ascii="Arial" w:hAnsi="Arial" w:cs="Arial"/>
          <w:i/>
          <w:iCs/>
          <w:sz w:val="20"/>
          <w:szCs w:val="20"/>
        </w:rPr>
        <w:t>, 73</w:t>
      </w:r>
      <w:r w:rsidRPr="00D46939">
        <w:rPr>
          <w:rFonts w:ascii="Arial" w:hAnsi="Arial" w:cs="Arial"/>
          <w:sz w:val="20"/>
          <w:szCs w:val="20"/>
        </w:rPr>
        <w:t xml:space="preserve">, 223–232. </w:t>
      </w:r>
      <w:hyperlink r:id="rId16" w:history="1">
        <w:r w:rsidRPr="00D46939">
          <w:rPr>
            <w:rStyle w:val="Hyperlink"/>
            <w:rFonts w:ascii="Arial" w:hAnsi="Arial" w:cs="Arial"/>
            <w:sz w:val="20"/>
            <w:szCs w:val="20"/>
          </w:rPr>
          <w:t>https://doi.org/10.2478/aiht-2022-73-3665</w:t>
        </w:r>
      </w:hyperlink>
      <w:r w:rsidRPr="00D46939">
        <w:rPr>
          <w:rFonts w:ascii="Arial" w:hAnsi="Arial" w:cs="Arial"/>
        </w:rPr>
        <w:t xml:space="preserve"> </w:t>
      </w:r>
    </w:p>
    <w:p w14:paraId="2B5560C7" w14:textId="77777777" w:rsidR="00242C29" w:rsidRPr="005574E7" w:rsidRDefault="00242C29" w:rsidP="005574E7">
      <w:pPr>
        <w:spacing w:after="0"/>
        <w:ind w:left="1066" w:hanging="706"/>
        <w:jc w:val="both"/>
        <w:rPr>
          <w:rFonts w:ascii="Arial" w:hAnsi="Arial" w:cs="Arial"/>
          <w:sz w:val="20"/>
          <w:szCs w:val="16"/>
        </w:rPr>
      </w:pPr>
      <w:r w:rsidRPr="005574E7">
        <w:rPr>
          <w:rFonts w:ascii="Arial" w:hAnsi="Arial" w:cs="Arial"/>
          <w:sz w:val="20"/>
          <w:szCs w:val="16"/>
        </w:rPr>
        <w:t xml:space="preserve">Khalaf, A. A., Ebrahem, M., &amp; Helal, G. A. (2022). </w:t>
      </w:r>
      <w:r w:rsidRPr="005574E7">
        <w:rPr>
          <w:rStyle w:val="Emphasis"/>
          <w:rFonts w:ascii="Arial" w:hAnsi="Arial" w:cs="Arial"/>
          <w:i w:val="0"/>
          <w:iCs w:val="0"/>
          <w:sz w:val="20"/>
          <w:szCs w:val="16"/>
        </w:rPr>
        <w:t>Reproductive injury and oxidative testicular toxicity induced by chlorpyrifos and the protective role of zinc in male rats</w:t>
      </w:r>
      <w:r w:rsidRPr="005574E7">
        <w:rPr>
          <w:rStyle w:val="Emphasis"/>
          <w:rFonts w:ascii="Arial" w:hAnsi="Arial" w:cs="Arial"/>
          <w:sz w:val="20"/>
          <w:szCs w:val="16"/>
        </w:rPr>
        <w:t>.</w:t>
      </w:r>
      <w:r w:rsidRPr="005574E7">
        <w:rPr>
          <w:rFonts w:ascii="Arial" w:hAnsi="Arial" w:cs="Arial"/>
          <w:sz w:val="20"/>
          <w:szCs w:val="16"/>
        </w:rPr>
        <w:t xml:space="preserve"> </w:t>
      </w:r>
      <w:r w:rsidRPr="005574E7">
        <w:rPr>
          <w:rFonts w:ascii="Arial" w:hAnsi="Arial" w:cs="Arial"/>
          <w:i/>
          <w:iCs/>
          <w:sz w:val="20"/>
          <w:szCs w:val="16"/>
        </w:rPr>
        <w:t>Biological Trace Element Research</w:t>
      </w:r>
      <w:r w:rsidRPr="005574E7">
        <w:rPr>
          <w:rFonts w:ascii="Arial" w:hAnsi="Arial" w:cs="Arial"/>
          <w:sz w:val="20"/>
          <w:szCs w:val="16"/>
        </w:rPr>
        <w:t xml:space="preserve">, </w:t>
      </w:r>
      <w:r w:rsidRPr="005574E7">
        <w:rPr>
          <w:rFonts w:ascii="Arial" w:hAnsi="Arial" w:cs="Arial"/>
          <w:i/>
          <w:iCs/>
          <w:sz w:val="20"/>
          <w:szCs w:val="16"/>
        </w:rPr>
        <w:t>200</w:t>
      </w:r>
      <w:r w:rsidRPr="005574E7">
        <w:rPr>
          <w:rFonts w:ascii="Arial" w:hAnsi="Arial" w:cs="Arial"/>
          <w:sz w:val="20"/>
          <w:szCs w:val="16"/>
        </w:rPr>
        <w:t xml:space="preserve">(2), 551-559. </w:t>
      </w:r>
      <w:hyperlink r:id="rId17" w:history="1">
        <w:r w:rsidRPr="005574E7">
          <w:rPr>
            <w:rStyle w:val="Hyperlink"/>
            <w:rFonts w:ascii="Arial" w:hAnsi="Arial" w:cs="Arial"/>
            <w:sz w:val="20"/>
            <w:szCs w:val="16"/>
          </w:rPr>
          <w:t>https://doi.org/10.1007/s12011-021-02704-3</w:t>
        </w:r>
      </w:hyperlink>
      <w:r w:rsidRPr="005574E7">
        <w:rPr>
          <w:rFonts w:ascii="Arial" w:hAnsi="Arial" w:cs="Arial"/>
          <w:sz w:val="20"/>
          <w:szCs w:val="16"/>
        </w:rPr>
        <w:t xml:space="preserve"> </w:t>
      </w:r>
    </w:p>
    <w:p w14:paraId="056E6DA2" w14:textId="77777777" w:rsidR="00242C29" w:rsidRPr="007C1D12" w:rsidRDefault="00242C29" w:rsidP="005A4EA2">
      <w:pPr>
        <w:spacing w:after="0"/>
        <w:ind w:left="1066" w:hanging="706"/>
        <w:jc w:val="both"/>
        <w:rPr>
          <w:rFonts w:ascii="Arial" w:hAnsi="Arial" w:cs="Arial"/>
          <w:sz w:val="20"/>
          <w:szCs w:val="16"/>
        </w:rPr>
      </w:pPr>
      <w:r w:rsidRPr="007C1D12">
        <w:rPr>
          <w:rFonts w:ascii="Arial" w:hAnsi="Arial" w:cs="Arial"/>
          <w:sz w:val="20"/>
          <w:szCs w:val="16"/>
        </w:rPr>
        <w:t xml:space="preserve">Martha, T., Majed, A. A, </w:t>
      </w:r>
      <w:r>
        <w:rPr>
          <w:rFonts w:ascii="Arial" w:hAnsi="Arial" w:cs="Arial"/>
          <w:sz w:val="20"/>
          <w:szCs w:val="16"/>
        </w:rPr>
        <w:t xml:space="preserve">&amp; </w:t>
      </w:r>
      <w:r w:rsidRPr="007C1D12">
        <w:rPr>
          <w:rFonts w:ascii="Arial" w:hAnsi="Arial" w:cs="Arial"/>
          <w:sz w:val="20"/>
          <w:szCs w:val="16"/>
        </w:rPr>
        <w:t xml:space="preserve">Tanuja, B. (1998) Effect of aqueous extract of onion on the liver and lung of rats. </w:t>
      </w:r>
      <w:r w:rsidRPr="007C1D12">
        <w:rPr>
          <w:rFonts w:ascii="Arial" w:hAnsi="Arial" w:cs="Arial"/>
          <w:i/>
          <w:iCs/>
          <w:sz w:val="20"/>
          <w:szCs w:val="16"/>
        </w:rPr>
        <w:t xml:space="preserve">J. </w:t>
      </w:r>
      <w:proofErr w:type="spellStart"/>
      <w:r w:rsidRPr="007C1D12">
        <w:rPr>
          <w:rFonts w:ascii="Arial" w:hAnsi="Arial" w:cs="Arial"/>
          <w:i/>
          <w:iCs/>
          <w:sz w:val="20"/>
          <w:szCs w:val="16"/>
        </w:rPr>
        <w:t>Ethnopharmacol</w:t>
      </w:r>
      <w:proofErr w:type="spellEnd"/>
      <w:r w:rsidRPr="007C1D12">
        <w:rPr>
          <w:rFonts w:ascii="Arial" w:hAnsi="Arial" w:cs="Arial"/>
          <w:sz w:val="20"/>
          <w:szCs w:val="16"/>
        </w:rPr>
        <w:t xml:space="preserve">, </w:t>
      </w:r>
      <w:r w:rsidRPr="007C1D12">
        <w:rPr>
          <w:rFonts w:ascii="Arial" w:hAnsi="Arial" w:cs="Arial"/>
          <w:i/>
          <w:iCs/>
          <w:sz w:val="20"/>
          <w:szCs w:val="16"/>
        </w:rPr>
        <w:t>61</w:t>
      </w:r>
      <w:r w:rsidRPr="007C1D12">
        <w:rPr>
          <w:rFonts w:ascii="Arial" w:hAnsi="Arial" w:cs="Arial"/>
          <w:sz w:val="20"/>
          <w:szCs w:val="16"/>
        </w:rPr>
        <w:t>(2): 91-9.</w:t>
      </w:r>
    </w:p>
    <w:p w14:paraId="7870A126" w14:textId="77777777" w:rsidR="00242C29" w:rsidRPr="007C1D12" w:rsidRDefault="00242C29" w:rsidP="005A4EA2">
      <w:pPr>
        <w:spacing w:after="0"/>
        <w:ind w:left="1066" w:hanging="706"/>
        <w:jc w:val="both"/>
        <w:rPr>
          <w:rFonts w:ascii="Arial" w:hAnsi="Arial" w:cs="Arial"/>
          <w:sz w:val="20"/>
          <w:szCs w:val="16"/>
        </w:rPr>
      </w:pPr>
      <w:proofErr w:type="spellStart"/>
      <w:r w:rsidRPr="007C1D12">
        <w:rPr>
          <w:rStyle w:val="Strong"/>
          <w:rFonts w:ascii="Arial" w:hAnsi="Arial" w:cs="Arial"/>
          <w:b w:val="0"/>
          <w:bCs w:val="0"/>
          <w:sz w:val="20"/>
          <w:szCs w:val="16"/>
        </w:rPr>
        <w:t>Mesbahzadeh</w:t>
      </w:r>
      <w:proofErr w:type="spellEnd"/>
      <w:r w:rsidRPr="007C1D12">
        <w:rPr>
          <w:rStyle w:val="Strong"/>
          <w:rFonts w:ascii="Arial" w:hAnsi="Arial" w:cs="Arial"/>
          <w:b w:val="0"/>
          <w:bCs w:val="0"/>
          <w:sz w:val="20"/>
          <w:szCs w:val="16"/>
        </w:rPr>
        <w:t xml:space="preserve">, B., </w:t>
      </w:r>
      <w:proofErr w:type="spellStart"/>
      <w:r w:rsidRPr="007C1D12">
        <w:rPr>
          <w:rStyle w:val="Strong"/>
          <w:rFonts w:ascii="Arial" w:hAnsi="Arial" w:cs="Arial"/>
          <w:b w:val="0"/>
          <w:bCs w:val="0"/>
          <w:sz w:val="20"/>
          <w:szCs w:val="16"/>
        </w:rPr>
        <w:t>Salarjavan</w:t>
      </w:r>
      <w:proofErr w:type="spellEnd"/>
      <w:r w:rsidRPr="007C1D12">
        <w:rPr>
          <w:rStyle w:val="Strong"/>
          <w:rFonts w:ascii="Arial" w:hAnsi="Arial" w:cs="Arial"/>
          <w:b w:val="0"/>
          <w:bCs w:val="0"/>
          <w:sz w:val="20"/>
          <w:szCs w:val="16"/>
        </w:rPr>
        <w:t xml:space="preserve">, H., </w:t>
      </w:r>
      <w:proofErr w:type="spellStart"/>
      <w:r w:rsidRPr="007C1D12">
        <w:rPr>
          <w:rStyle w:val="Strong"/>
          <w:rFonts w:ascii="Arial" w:hAnsi="Arial" w:cs="Arial"/>
          <w:b w:val="0"/>
          <w:bCs w:val="0"/>
          <w:sz w:val="20"/>
          <w:szCs w:val="16"/>
        </w:rPr>
        <w:t>Samarghandian</w:t>
      </w:r>
      <w:proofErr w:type="spellEnd"/>
      <w:r w:rsidRPr="007C1D12">
        <w:rPr>
          <w:rStyle w:val="Strong"/>
          <w:rFonts w:ascii="Arial" w:hAnsi="Arial" w:cs="Arial"/>
          <w:b w:val="0"/>
          <w:bCs w:val="0"/>
          <w:sz w:val="20"/>
          <w:szCs w:val="16"/>
        </w:rPr>
        <w:t xml:space="preserve">, S., </w:t>
      </w:r>
      <w:r>
        <w:rPr>
          <w:rFonts w:ascii="Arial" w:hAnsi="Arial" w:cs="Arial"/>
          <w:sz w:val="20"/>
          <w:szCs w:val="16"/>
        </w:rPr>
        <w:t xml:space="preserve">&amp; </w:t>
      </w:r>
      <w:r w:rsidRPr="007C1D12">
        <w:rPr>
          <w:rStyle w:val="Strong"/>
          <w:rFonts w:ascii="Arial" w:hAnsi="Arial" w:cs="Arial"/>
          <w:b w:val="0"/>
          <w:bCs w:val="0"/>
          <w:sz w:val="20"/>
          <w:szCs w:val="16"/>
        </w:rPr>
        <w:t>Farkhondeh, T. (2021).</w:t>
      </w:r>
      <w:r w:rsidRPr="007C1D12">
        <w:rPr>
          <w:rFonts w:ascii="Arial" w:hAnsi="Arial" w:cs="Arial"/>
          <w:sz w:val="20"/>
          <w:szCs w:val="16"/>
        </w:rPr>
        <w:t xml:space="preserve"> Chlorpyrifos with age-dependent effects in cardiac tissue of male rats. </w:t>
      </w:r>
      <w:r w:rsidRPr="007C1D12">
        <w:rPr>
          <w:rStyle w:val="Emphasis"/>
          <w:rFonts w:ascii="Arial" w:hAnsi="Arial" w:cs="Arial"/>
          <w:sz w:val="20"/>
          <w:szCs w:val="16"/>
        </w:rPr>
        <w:t>Current Molecular Pharmacology</w:t>
      </w:r>
      <w:r w:rsidRPr="007C1D12">
        <w:rPr>
          <w:rFonts w:ascii="Arial" w:hAnsi="Arial" w:cs="Arial"/>
          <w:sz w:val="20"/>
          <w:szCs w:val="16"/>
        </w:rPr>
        <w:t xml:space="preserve">, </w:t>
      </w:r>
      <w:r w:rsidRPr="007C1D12">
        <w:rPr>
          <w:rFonts w:ascii="Arial" w:hAnsi="Arial" w:cs="Arial"/>
          <w:i/>
          <w:iCs/>
          <w:sz w:val="20"/>
          <w:szCs w:val="16"/>
        </w:rPr>
        <w:t>14</w:t>
      </w:r>
      <w:r w:rsidRPr="007C1D12">
        <w:rPr>
          <w:rFonts w:ascii="Arial" w:hAnsi="Arial" w:cs="Arial"/>
          <w:sz w:val="20"/>
          <w:szCs w:val="16"/>
        </w:rPr>
        <w:t xml:space="preserve">(5), 894–899. </w:t>
      </w:r>
      <w:hyperlink r:id="rId18" w:history="1">
        <w:r w:rsidRPr="007C1D12">
          <w:rPr>
            <w:rStyle w:val="Hyperlink"/>
            <w:rFonts w:ascii="Arial" w:hAnsi="Arial" w:cs="Arial"/>
            <w:sz w:val="20"/>
            <w:szCs w:val="16"/>
          </w:rPr>
          <w:t>https://doi.org/10.2174/1874467214666210111105321</w:t>
        </w:r>
      </w:hyperlink>
      <w:r w:rsidRPr="007C1D12">
        <w:rPr>
          <w:rFonts w:ascii="Arial" w:hAnsi="Arial" w:cs="Arial"/>
          <w:sz w:val="20"/>
          <w:szCs w:val="16"/>
        </w:rPr>
        <w:t xml:space="preserve"> </w:t>
      </w:r>
    </w:p>
    <w:p w14:paraId="13E32754" w14:textId="77777777" w:rsidR="00242C29" w:rsidRPr="007C1D12" w:rsidRDefault="00242C29" w:rsidP="005A4EA2">
      <w:pPr>
        <w:spacing w:after="0"/>
        <w:ind w:left="1066" w:hanging="706"/>
        <w:jc w:val="both"/>
        <w:rPr>
          <w:rFonts w:ascii="Arial" w:hAnsi="Arial" w:cs="Arial"/>
          <w:sz w:val="20"/>
          <w:szCs w:val="16"/>
        </w:rPr>
      </w:pPr>
      <w:r w:rsidRPr="007C1D12">
        <w:rPr>
          <w:rFonts w:ascii="Arial" w:hAnsi="Arial" w:cs="Arial"/>
          <w:sz w:val="20"/>
          <w:szCs w:val="16"/>
        </w:rPr>
        <w:t xml:space="preserve">Naughton, S. X., </w:t>
      </w:r>
      <w:r>
        <w:rPr>
          <w:rFonts w:ascii="Arial" w:hAnsi="Arial" w:cs="Arial"/>
          <w:sz w:val="20"/>
          <w:szCs w:val="16"/>
        </w:rPr>
        <w:t xml:space="preserve">&amp; </w:t>
      </w:r>
      <w:r w:rsidRPr="007C1D12">
        <w:rPr>
          <w:rFonts w:ascii="Arial" w:hAnsi="Arial" w:cs="Arial"/>
          <w:sz w:val="20"/>
          <w:szCs w:val="16"/>
        </w:rPr>
        <w:t xml:space="preserve">Terry, A. V. Jr. (2018). </w:t>
      </w:r>
      <w:r w:rsidRPr="007C1D12">
        <w:rPr>
          <w:rStyle w:val="Emphasis"/>
          <w:rFonts w:ascii="Arial" w:hAnsi="Arial" w:cs="Arial"/>
          <w:i w:val="0"/>
          <w:iCs w:val="0"/>
          <w:sz w:val="20"/>
          <w:szCs w:val="16"/>
        </w:rPr>
        <w:t>Neurotoxicity in acute and repeated organophosphate exposure</w:t>
      </w:r>
      <w:r w:rsidRPr="007C1D12">
        <w:rPr>
          <w:rFonts w:ascii="Arial" w:hAnsi="Arial" w:cs="Arial"/>
          <w:sz w:val="20"/>
          <w:szCs w:val="16"/>
        </w:rPr>
        <w:t xml:space="preserve">. </w:t>
      </w:r>
      <w:r w:rsidRPr="007C1D12">
        <w:rPr>
          <w:rStyle w:val="Emphasis"/>
          <w:rFonts w:ascii="Arial" w:hAnsi="Arial" w:cs="Arial"/>
          <w:sz w:val="20"/>
          <w:szCs w:val="16"/>
        </w:rPr>
        <w:t>Toxicology</w:t>
      </w:r>
      <w:r w:rsidRPr="007C1D12">
        <w:rPr>
          <w:rFonts w:ascii="Arial" w:hAnsi="Arial" w:cs="Arial"/>
          <w:sz w:val="20"/>
          <w:szCs w:val="16"/>
        </w:rPr>
        <w:t xml:space="preserve">, </w:t>
      </w:r>
      <w:r w:rsidRPr="007C1D12">
        <w:rPr>
          <w:rFonts w:ascii="Arial" w:hAnsi="Arial" w:cs="Arial"/>
          <w:i/>
          <w:iCs/>
          <w:sz w:val="20"/>
          <w:szCs w:val="16"/>
        </w:rPr>
        <w:t>408</w:t>
      </w:r>
      <w:r w:rsidRPr="007C1D12">
        <w:rPr>
          <w:rFonts w:ascii="Arial" w:hAnsi="Arial" w:cs="Arial"/>
          <w:sz w:val="20"/>
          <w:szCs w:val="16"/>
        </w:rPr>
        <w:t xml:space="preserve">, 101–112. </w:t>
      </w:r>
      <w:hyperlink r:id="rId19" w:history="1">
        <w:r w:rsidRPr="007C1D12">
          <w:rPr>
            <w:rStyle w:val="Hyperlink"/>
            <w:rFonts w:ascii="Arial" w:hAnsi="Arial" w:cs="Arial"/>
            <w:sz w:val="20"/>
            <w:szCs w:val="16"/>
          </w:rPr>
          <w:t>https://doi.org/10.1016/j.tox.2018.08.011</w:t>
        </w:r>
      </w:hyperlink>
      <w:r w:rsidRPr="007C1D12">
        <w:rPr>
          <w:rFonts w:ascii="Arial" w:hAnsi="Arial" w:cs="Arial"/>
          <w:sz w:val="20"/>
          <w:szCs w:val="16"/>
        </w:rPr>
        <w:t xml:space="preserve"> </w:t>
      </w:r>
    </w:p>
    <w:p w14:paraId="0C688EC5" w14:textId="77777777" w:rsidR="00242C29" w:rsidRDefault="00242C29" w:rsidP="00D46939">
      <w:pPr>
        <w:pStyle w:val="NormalWeb"/>
        <w:spacing w:before="0" w:beforeAutospacing="0" w:after="0" w:afterAutospacing="0"/>
        <w:ind w:left="1066" w:hanging="706"/>
        <w:jc w:val="both"/>
        <w:rPr>
          <w:rFonts w:ascii="Arial" w:hAnsi="Arial" w:cs="Arial"/>
          <w:sz w:val="20"/>
          <w:szCs w:val="20"/>
        </w:rPr>
      </w:pPr>
      <w:r>
        <w:rPr>
          <w:rFonts w:ascii="Arial" w:hAnsi="Arial" w:cs="Arial"/>
          <w:sz w:val="20"/>
          <w:szCs w:val="20"/>
        </w:rPr>
        <w:t xml:space="preserve">Nawaz, M. S., Iqbal, A., &amp; Ahmad, M. E. (2024). Restitutive properties of </w:t>
      </w:r>
      <w:r>
        <w:rPr>
          <w:rFonts w:ascii="Arial" w:hAnsi="Arial" w:cs="Arial"/>
          <w:i/>
          <w:iCs/>
          <w:sz w:val="20"/>
          <w:szCs w:val="20"/>
        </w:rPr>
        <w:t>Curcuma longa</w:t>
      </w:r>
      <w:r>
        <w:rPr>
          <w:rFonts w:ascii="Arial" w:hAnsi="Arial" w:cs="Arial"/>
          <w:sz w:val="20"/>
          <w:szCs w:val="20"/>
        </w:rPr>
        <w:t xml:space="preserve"> on cypermethrin induced Swiss albino mice (</w:t>
      </w:r>
      <w:r>
        <w:rPr>
          <w:rFonts w:ascii="Arial" w:hAnsi="Arial" w:cs="Arial"/>
          <w:i/>
          <w:iCs/>
          <w:sz w:val="20"/>
          <w:szCs w:val="20"/>
        </w:rPr>
        <w:t>Mus musculus</w:t>
      </w:r>
      <w:r>
        <w:rPr>
          <w:rFonts w:ascii="Arial" w:hAnsi="Arial" w:cs="Arial"/>
          <w:sz w:val="20"/>
          <w:szCs w:val="20"/>
        </w:rPr>
        <w:t xml:space="preserve">). </w:t>
      </w:r>
      <w:r w:rsidRPr="001F6C6A">
        <w:rPr>
          <w:rFonts w:ascii="Arial" w:hAnsi="Arial" w:cs="Arial"/>
          <w:i/>
          <w:iCs/>
          <w:sz w:val="20"/>
          <w:szCs w:val="20"/>
        </w:rPr>
        <w:t>International Journal of Advanced Research</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(1), 163</w:t>
      </w:r>
      <w:r w:rsidRPr="007C1D12">
        <w:rPr>
          <w:rFonts w:ascii="Arial" w:hAnsi="Arial" w:cs="Arial"/>
          <w:sz w:val="20"/>
          <w:szCs w:val="20"/>
        </w:rPr>
        <w:t>–</w:t>
      </w:r>
      <w:r>
        <w:rPr>
          <w:rFonts w:ascii="Arial" w:hAnsi="Arial" w:cs="Arial"/>
          <w:sz w:val="20"/>
          <w:szCs w:val="20"/>
        </w:rPr>
        <w:t xml:space="preserve">171. </w:t>
      </w:r>
    </w:p>
    <w:p w14:paraId="2239D976" w14:textId="77777777" w:rsidR="00242C29" w:rsidRPr="00451A45" w:rsidRDefault="00242C29" w:rsidP="00451A45">
      <w:pPr>
        <w:pStyle w:val="NormalWeb"/>
        <w:spacing w:before="0" w:beforeAutospacing="0" w:after="0" w:afterAutospacing="0"/>
        <w:ind w:left="1066" w:hanging="706"/>
        <w:jc w:val="both"/>
        <w:rPr>
          <w:rFonts w:ascii="Arial" w:hAnsi="Arial" w:cs="Arial"/>
          <w:sz w:val="16"/>
          <w:szCs w:val="16"/>
        </w:rPr>
      </w:pPr>
      <w:r w:rsidRPr="00451A45">
        <w:rPr>
          <w:rFonts w:ascii="Arial" w:hAnsi="Arial" w:cs="Arial"/>
          <w:sz w:val="20"/>
          <w:szCs w:val="20"/>
        </w:rPr>
        <w:t>Okoro, B. C., Dokunmu, T. M., Okafor, E., Sokoya, I. A., Israel, E. N., Olusegun, D. O., Bella-</w:t>
      </w:r>
      <w:proofErr w:type="spellStart"/>
      <w:r w:rsidRPr="00451A45">
        <w:rPr>
          <w:rFonts w:ascii="Arial" w:hAnsi="Arial" w:cs="Arial"/>
          <w:sz w:val="20"/>
          <w:szCs w:val="20"/>
        </w:rPr>
        <w:t>Omunagbe</w:t>
      </w:r>
      <w:proofErr w:type="spellEnd"/>
      <w:r w:rsidRPr="00451A45">
        <w:rPr>
          <w:rFonts w:ascii="Arial" w:hAnsi="Arial" w:cs="Arial"/>
          <w:sz w:val="20"/>
          <w:szCs w:val="20"/>
        </w:rPr>
        <w:t xml:space="preserve">, M., Ebubechi, U. M., </w:t>
      </w:r>
      <w:proofErr w:type="spellStart"/>
      <w:r w:rsidRPr="00451A45">
        <w:rPr>
          <w:rFonts w:ascii="Arial" w:hAnsi="Arial" w:cs="Arial"/>
          <w:sz w:val="20"/>
          <w:szCs w:val="20"/>
        </w:rPr>
        <w:t>Ugbogu</w:t>
      </w:r>
      <w:proofErr w:type="spellEnd"/>
      <w:r w:rsidRPr="00451A45">
        <w:rPr>
          <w:rFonts w:ascii="Arial" w:hAnsi="Arial" w:cs="Arial"/>
          <w:sz w:val="20"/>
          <w:szCs w:val="20"/>
        </w:rPr>
        <w:t>, E. A., &amp; Iweala, E. E. J. (2023). The ethnobotanical, bioactive compounds, pharmacological activities and toxicological evaluation of garlic (</w:t>
      </w:r>
      <w:r w:rsidRPr="00451A45">
        <w:rPr>
          <w:rStyle w:val="Emphasis"/>
          <w:rFonts w:ascii="Arial" w:hAnsi="Arial" w:cs="Arial"/>
          <w:sz w:val="20"/>
          <w:szCs w:val="20"/>
        </w:rPr>
        <w:t>Allium sativum</w:t>
      </w:r>
      <w:r w:rsidRPr="00451A45">
        <w:rPr>
          <w:rFonts w:ascii="Arial" w:hAnsi="Arial" w:cs="Arial"/>
          <w:sz w:val="20"/>
          <w:szCs w:val="20"/>
        </w:rPr>
        <w:t xml:space="preserve">): A review. </w:t>
      </w:r>
      <w:r w:rsidRPr="00451A45">
        <w:rPr>
          <w:rStyle w:val="Emphasis"/>
          <w:rFonts w:ascii="Arial" w:hAnsi="Arial" w:cs="Arial"/>
          <w:sz w:val="20"/>
          <w:szCs w:val="20"/>
        </w:rPr>
        <w:t>Pharmacological Research – Modern Chinese Medicine, 8,</w:t>
      </w:r>
      <w:r w:rsidRPr="00451A45">
        <w:rPr>
          <w:rFonts w:ascii="Arial" w:hAnsi="Arial" w:cs="Arial"/>
          <w:sz w:val="20"/>
          <w:szCs w:val="20"/>
        </w:rPr>
        <w:t xml:space="preserve"> 100273. </w:t>
      </w:r>
      <w:hyperlink r:id="rId20" w:tgtFrame="_new" w:history="1">
        <w:r w:rsidRPr="00451A45">
          <w:rPr>
            <w:rStyle w:val="Hyperlink"/>
            <w:rFonts w:ascii="Arial" w:hAnsi="Arial" w:cs="Arial"/>
            <w:sz w:val="20"/>
            <w:szCs w:val="20"/>
          </w:rPr>
          <w:t>https://doi.org/10.1016/j.prmcm.2023.100273</w:t>
        </w:r>
      </w:hyperlink>
      <w:r w:rsidRPr="00451A45">
        <w:rPr>
          <w:rFonts w:ascii="Arial" w:hAnsi="Arial" w:cs="Arial"/>
          <w:sz w:val="16"/>
          <w:szCs w:val="16"/>
        </w:rPr>
        <w:t xml:space="preserve"> </w:t>
      </w:r>
    </w:p>
    <w:p w14:paraId="205838B2" w14:textId="77777777" w:rsidR="00242C29" w:rsidRPr="00EA560B" w:rsidRDefault="00242C29" w:rsidP="00EA560B">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16"/>
        </w:rPr>
        <w:t xml:space="preserve">Sarma, P. R. (1990). Red cell indices. In Walker, H. K., Hall, W. D., and Hurst, J. W. (Eds.), </w:t>
      </w:r>
      <w:r w:rsidRPr="007C1D12">
        <w:rPr>
          <w:rStyle w:val="Emphasis"/>
          <w:rFonts w:ascii="Arial" w:hAnsi="Arial" w:cs="Arial"/>
          <w:sz w:val="20"/>
          <w:szCs w:val="16"/>
        </w:rPr>
        <w:t>Clinical methods: The history, physical, and laboratory examinations</w:t>
      </w:r>
      <w:r w:rsidRPr="007C1D12">
        <w:rPr>
          <w:rFonts w:ascii="Arial" w:hAnsi="Arial" w:cs="Arial"/>
          <w:sz w:val="20"/>
          <w:szCs w:val="16"/>
        </w:rPr>
        <w:t xml:space="preserve"> (3rd ed., Chapter 152). Boston: Butterworths. Retrieved from </w:t>
      </w:r>
      <w:hyperlink r:id="rId21" w:tgtFrame="_new" w:history="1">
        <w:r w:rsidRPr="007C1D12">
          <w:rPr>
            <w:rStyle w:val="Hyperlink"/>
            <w:rFonts w:ascii="Arial" w:hAnsi="Arial" w:cs="Arial"/>
            <w:sz w:val="20"/>
            <w:szCs w:val="16"/>
          </w:rPr>
          <w:t>https://www.ncbi.nlm.nih.gov/books/NBK260/</w:t>
        </w:r>
      </w:hyperlink>
      <w:r w:rsidRPr="007C1D12">
        <w:rPr>
          <w:rFonts w:ascii="Arial" w:hAnsi="Arial" w:cs="Arial"/>
          <w:sz w:val="20"/>
          <w:szCs w:val="16"/>
        </w:rPr>
        <w:t xml:space="preserve"> </w:t>
      </w:r>
    </w:p>
    <w:p w14:paraId="7383BA4F" w14:textId="77777777" w:rsidR="00242C29" w:rsidRDefault="00242C29" w:rsidP="00451A45">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lastRenderedPageBreak/>
        <w:t xml:space="preserve">Sharma, Y., Bashir, S., Irshad, M., Nag, T. C., </w:t>
      </w:r>
      <w:r>
        <w:rPr>
          <w:rFonts w:ascii="Arial" w:hAnsi="Arial" w:cs="Arial"/>
          <w:sz w:val="20"/>
          <w:szCs w:val="16"/>
        </w:rPr>
        <w:t xml:space="preserve">&amp; </w:t>
      </w:r>
      <w:r w:rsidRPr="007C1D12">
        <w:rPr>
          <w:rFonts w:ascii="Arial" w:hAnsi="Arial" w:cs="Arial"/>
          <w:sz w:val="20"/>
          <w:szCs w:val="20"/>
        </w:rPr>
        <w:t xml:space="preserve">Dogra, T. D. (2005). Dimethoate-induced effects on antioxidant status of liver and brain of rats following </w:t>
      </w:r>
      <w:proofErr w:type="spellStart"/>
      <w:r w:rsidRPr="007C1D12">
        <w:rPr>
          <w:rFonts w:ascii="Arial" w:hAnsi="Arial" w:cs="Arial"/>
          <w:sz w:val="20"/>
          <w:szCs w:val="20"/>
        </w:rPr>
        <w:t>subchronic</w:t>
      </w:r>
      <w:proofErr w:type="spellEnd"/>
      <w:r w:rsidRPr="007C1D12">
        <w:rPr>
          <w:rFonts w:ascii="Arial" w:hAnsi="Arial" w:cs="Arial"/>
          <w:sz w:val="20"/>
          <w:szCs w:val="20"/>
        </w:rPr>
        <w:t xml:space="preserve"> exposure. </w:t>
      </w:r>
      <w:r w:rsidRPr="007C1D12">
        <w:rPr>
          <w:rStyle w:val="Emphasis"/>
          <w:rFonts w:ascii="Arial" w:hAnsi="Arial" w:cs="Arial"/>
          <w:sz w:val="20"/>
          <w:szCs w:val="20"/>
        </w:rPr>
        <w:t>Toxicology, 215</w:t>
      </w:r>
      <w:r w:rsidRPr="007C1D12">
        <w:rPr>
          <w:rFonts w:ascii="Arial" w:hAnsi="Arial" w:cs="Arial"/>
          <w:sz w:val="20"/>
          <w:szCs w:val="20"/>
        </w:rPr>
        <w:t>(3), 173–181.</w:t>
      </w:r>
    </w:p>
    <w:p w14:paraId="1F8F6B00" w14:textId="77777777" w:rsidR="00242C29" w:rsidRPr="007C1D12" w:rsidRDefault="00242C29" w:rsidP="005A4EA2">
      <w:pPr>
        <w:spacing w:after="0"/>
        <w:ind w:left="1066" w:hanging="706"/>
        <w:jc w:val="both"/>
        <w:rPr>
          <w:rFonts w:ascii="Arial" w:hAnsi="Arial" w:cs="Arial"/>
          <w:sz w:val="20"/>
          <w:szCs w:val="16"/>
        </w:rPr>
      </w:pPr>
      <w:r w:rsidRPr="007C1D12">
        <w:rPr>
          <w:rFonts w:ascii="Arial" w:hAnsi="Arial" w:cs="Arial"/>
          <w:sz w:val="20"/>
          <w:szCs w:val="16"/>
        </w:rPr>
        <w:t xml:space="preserve">Tripathi, S., </w:t>
      </w:r>
      <w:r>
        <w:rPr>
          <w:rFonts w:ascii="Arial" w:hAnsi="Arial" w:cs="Arial"/>
          <w:sz w:val="20"/>
          <w:szCs w:val="16"/>
        </w:rPr>
        <w:t xml:space="preserve">&amp; </w:t>
      </w:r>
      <w:r w:rsidRPr="007C1D12">
        <w:rPr>
          <w:rFonts w:ascii="Arial" w:hAnsi="Arial" w:cs="Arial"/>
          <w:sz w:val="20"/>
          <w:szCs w:val="16"/>
        </w:rPr>
        <w:t xml:space="preserve">Srivastav, A. K. (2010). Nephrotoxicity induced by long-term oral administration of different doses of chlorpyrifos. </w:t>
      </w:r>
      <w:r w:rsidRPr="007C1D12">
        <w:rPr>
          <w:rStyle w:val="Emphasis"/>
          <w:rFonts w:ascii="Arial" w:hAnsi="Arial" w:cs="Arial"/>
          <w:sz w:val="20"/>
          <w:szCs w:val="16"/>
        </w:rPr>
        <w:t>Toxicology and Industrial Health, 26</w:t>
      </w:r>
      <w:r w:rsidRPr="007C1D12">
        <w:rPr>
          <w:rFonts w:ascii="Arial" w:hAnsi="Arial" w:cs="Arial"/>
          <w:sz w:val="20"/>
          <w:szCs w:val="16"/>
        </w:rPr>
        <w:t xml:space="preserve">(6), 349–356. </w:t>
      </w:r>
      <w:hyperlink r:id="rId22" w:history="1">
        <w:r w:rsidRPr="007C1D12">
          <w:rPr>
            <w:rStyle w:val="Hyperlink"/>
            <w:rFonts w:ascii="Arial" w:hAnsi="Arial" w:cs="Arial"/>
            <w:sz w:val="20"/>
            <w:szCs w:val="16"/>
          </w:rPr>
          <w:t>https://doi.org/10.1177/0748233710371110</w:t>
        </w:r>
      </w:hyperlink>
      <w:r w:rsidRPr="007C1D12">
        <w:rPr>
          <w:rFonts w:ascii="Arial" w:hAnsi="Arial" w:cs="Arial"/>
          <w:sz w:val="20"/>
          <w:szCs w:val="16"/>
        </w:rPr>
        <w:t xml:space="preserve"> </w:t>
      </w:r>
    </w:p>
    <w:p w14:paraId="5C08B40B" w14:textId="77777777" w:rsidR="00242C29" w:rsidRPr="007C1D12" w:rsidRDefault="00242C29"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Uzun, F. G., Kalender, S., Durak, D., Demir, F., </w:t>
      </w:r>
      <w:r>
        <w:rPr>
          <w:rFonts w:ascii="Arial" w:hAnsi="Arial" w:cs="Arial"/>
          <w:sz w:val="20"/>
          <w:szCs w:val="16"/>
        </w:rPr>
        <w:t xml:space="preserve">&amp; </w:t>
      </w:r>
      <w:r w:rsidRPr="007C1D12">
        <w:rPr>
          <w:rFonts w:ascii="Arial" w:hAnsi="Arial" w:cs="Arial"/>
          <w:sz w:val="20"/>
          <w:szCs w:val="20"/>
        </w:rPr>
        <w:t xml:space="preserve">Kalender, Y. (2009). Malathion-induced testicular toxicity in male rats and the protective effect of vitamins C and E. </w:t>
      </w:r>
      <w:r w:rsidRPr="007C1D12">
        <w:rPr>
          <w:rStyle w:val="Emphasis"/>
          <w:rFonts w:ascii="Arial" w:hAnsi="Arial" w:cs="Arial"/>
          <w:sz w:val="20"/>
          <w:szCs w:val="20"/>
        </w:rPr>
        <w:t>Food and Chemical Toxicology, 47</w:t>
      </w:r>
      <w:r w:rsidRPr="007C1D12">
        <w:rPr>
          <w:rFonts w:ascii="Arial" w:hAnsi="Arial" w:cs="Arial"/>
          <w:sz w:val="20"/>
          <w:szCs w:val="20"/>
        </w:rPr>
        <w:t>(8), 1903–1908.</w:t>
      </w:r>
    </w:p>
    <w:p w14:paraId="54EFEA0E" w14:textId="77777777" w:rsidR="00242C29" w:rsidRPr="00F8117B" w:rsidRDefault="00242C29" w:rsidP="005A4EA2">
      <w:pPr>
        <w:spacing w:after="0"/>
        <w:ind w:left="1066" w:hanging="706"/>
        <w:jc w:val="both"/>
        <w:rPr>
          <w:rFonts w:ascii="Arial" w:hAnsi="Arial" w:cs="Arial"/>
          <w:sz w:val="20"/>
          <w:szCs w:val="16"/>
        </w:rPr>
      </w:pPr>
      <w:r w:rsidRPr="00FA7674">
        <w:rPr>
          <w:rFonts w:ascii="Arial" w:eastAsia="Times New Roman" w:hAnsi="Arial" w:cs="Arial"/>
          <w:sz w:val="20"/>
          <w:lang w:val="nl-BE"/>
        </w:rPr>
        <w:t xml:space="preserve">Verma, R. S., Mehta, A., </w:t>
      </w:r>
      <w:r w:rsidRPr="00FA7674">
        <w:rPr>
          <w:rFonts w:ascii="Arial" w:hAnsi="Arial" w:cs="Arial"/>
          <w:sz w:val="20"/>
          <w:szCs w:val="16"/>
          <w:lang w:val="nl-BE"/>
        </w:rPr>
        <w:t xml:space="preserve">&amp; </w:t>
      </w:r>
      <w:r w:rsidRPr="00FA7674">
        <w:rPr>
          <w:rFonts w:ascii="Arial" w:eastAsia="Times New Roman" w:hAnsi="Arial" w:cs="Arial"/>
          <w:sz w:val="20"/>
          <w:lang w:val="nl-BE"/>
        </w:rPr>
        <w:t xml:space="preserve">Srivastava, N. (2007). </w:t>
      </w:r>
      <w:r w:rsidRPr="007C1D12">
        <w:rPr>
          <w:rFonts w:ascii="Arial" w:eastAsia="Times New Roman" w:hAnsi="Arial" w:cs="Arial"/>
          <w:sz w:val="20"/>
          <w:lang w:val="en-US"/>
        </w:rPr>
        <w:t xml:space="preserve">In vivo chlorpyrifos induced oxidative stress: attenuation by antioxidant vitamins. </w:t>
      </w:r>
      <w:r w:rsidRPr="007C1D12">
        <w:rPr>
          <w:rFonts w:ascii="Arial" w:eastAsia="Times New Roman" w:hAnsi="Arial" w:cs="Arial"/>
          <w:i/>
          <w:iCs/>
          <w:sz w:val="20"/>
          <w:lang w:val="en-US"/>
        </w:rPr>
        <w:t>Pesticide Biochemistry and Physiology</w:t>
      </w:r>
      <w:r w:rsidRPr="007C1D12">
        <w:rPr>
          <w:rFonts w:ascii="Arial" w:eastAsia="Times New Roman" w:hAnsi="Arial" w:cs="Arial"/>
          <w:sz w:val="20"/>
          <w:lang w:val="en-US"/>
        </w:rPr>
        <w:t xml:space="preserve">, 88(2), 191–196. </w:t>
      </w:r>
      <w:hyperlink r:id="rId23" w:history="1">
        <w:r w:rsidRPr="00F8117B">
          <w:rPr>
            <w:rFonts w:ascii="Arial" w:eastAsia="Times New Roman" w:hAnsi="Arial" w:cs="Arial"/>
            <w:color w:val="4472C4" w:themeColor="accent5"/>
            <w:sz w:val="20"/>
            <w:u w:val="single"/>
            <w:lang w:val="en-US"/>
          </w:rPr>
          <w:t>https://doi.org/10.1016/j.pestbp.2006.11.006</w:t>
        </w:r>
      </w:hyperlink>
      <w:r w:rsidRPr="00F8117B">
        <w:rPr>
          <w:rFonts w:ascii="Arial" w:eastAsia="Times New Roman" w:hAnsi="Arial" w:cs="Arial"/>
          <w:color w:val="4472C4" w:themeColor="accent5"/>
          <w:sz w:val="20"/>
          <w:u w:val="single"/>
          <w:lang w:val="en-US"/>
        </w:rPr>
        <w:t xml:space="preserve"> </w:t>
      </w:r>
    </w:p>
    <w:p w14:paraId="12F2EFAF" w14:textId="77777777" w:rsidR="00242C29" w:rsidRPr="00EA560B" w:rsidRDefault="00242C29" w:rsidP="00EA560B">
      <w:pPr>
        <w:pStyle w:val="NormalWeb"/>
        <w:spacing w:before="0" w:beforeAutospacing="0" w:after="0" w:afterAutospacing="0"/>
        <w:ind w:left="1066" w:hanging="706"/>
        <w:jc w:val="both"/>
        <w:rPr>
          <w:rFonts w:ascii="Arial" w:hAnsi="Arial" w:cs="Arial"/>
          <w:sz w:val="20"/>
          <w:szCs w:val="20"/>
        </w:rPr>
      </w:pPr>
      <w:r w:rsidRPr="00EA560B">
        <w:rPr>
          <w:rFonts w:ascii="Arial" w:hAnsi="Arial" w:cs="Arial"/>
          <w:sz w:val="20"/>
          <w:szCs w:val="20"/>
        </w:rPr>
        <w:t xml:space="preserve">Weis, G. C. C., Assmann, C. E., </w:t>
      </w:r>
      <w:proofErr w:type="spellStart"/>
      <w:r w:rsidRPr="00EA560B">
        <w:rPr>
          <w:rFonts w:ascii="Arial" w:hAnsi="Arial" w:cs="Arial"/>
          <w:sz w:val="20"/>
          <w:szCs w:val="20"/>
        </w:rPr>
        <w:t>Mostardeiro</w:t>
      </w:r>
      <w:proofErr w:type="spellEnd"/>
      <w:r w:rsidRPr="00EA560B">
        <w:rPr>
          <w:rFonts w:ascii="Arial" w:hAnsi="Arial" w:cs="Arial"/>
          <w:sz w:val="20"/>
          <w:szCs w:val="20"/>
        </w:rPr>
        <w:t xml:space="preserve">, V. B., Alves, A. de O., da Rosa, J. R., </w:t>
      </w:r>
      <w:proofErr w:type="spellStart"/>
      <w:r w:rsidRPr="00EA560B">
        <w:rPr>
          <w:rFonts w:ascii="Arial" w:hAnsi="Arial" w:cs="Arial"/>
          <w:sz w:val="20"/>
          <w:szCs w:val="20"/>
        </w:rPr>
        <w:t>Pillat</w:t>
      </w:r>
      <w:proofErr w:type="spellEnd"/>
      <w:r w:rsidRPr="00EA560B">
        <w:rPr>
          <w:rFonts w:ascii="Arial" w:hAnsi="Arial" w:cs="Arial"/>
          <w:sz w:val="20"/>
          <w:szCs w:val="20"/>
        </w:rPr>
        <w:t xml:space="preserve">, M. M., de Andrade, C. M., Schetinger, M. R. C., Morsch, V. M. M., da Cruz, I. B. M., &amp; </w:t>
      </w:r>
      <w:proofErr w:type="spellStart"/>
      <w:r w:rsidRPr="00EA560B">
        <w:rPr>
          <w:rFonts w:ascii="Arial" w:hAnsi="Arial" w:cs="Arial"/>
          <w:sz w:val="20"/>
          <w:szCs w:val="20"/>
        </w:rPr>
        <w:t>Costabeber</w:t>
      </w:r>
      <w:proofErr w:type="spellEnd"/>
      <w:r w:rsidRPr="00EA560B">
        <w:rPr>
          <w:rFonts w:ascii="Arial" w:hAnsi="Arial" w:cs="Arial"/>
          <w:sz w:val="20"/>
          <w:szCs w:val="20"/>
        </w:rPr>
        <w:t xml:space="preserve">, I. H. (2021). Chlorpyrifos pesticide promotes oxidative stress and increases inflammatory states in BV-2 microglial cells: A role in neuroinflammation. </w:t>
      </w:r>
      <w:r w:rsidRPr="00EA560B">
        <w:rPr>
          <w:rStyle w:val="Emphasis"/>
          <w:rFonts w:ascii="Arial" w:hAnsi="Arial" w:cs="Arial"/>
          <w:sz w:val="20"/>
          <w:szCs w:val="20"/>
        </w:rPr>
        <w:t>Chemosphere, 278,</w:t>
      </w:r>
      <w:r w:rsidRPr="00EA560B">
        <w:rPr>
          <w:rFonts w:ascii="Arial" w:hAnsi="Arial" w:cs="Arial"/>
          <w:sz w:val="20"/>
          <w:szCs w:val="20"/>
        </w:rPr>
        <w:t xml:space="preserve"> 130417. </w:t>
      </w:r>
      <w:hyperlink r:id="rId24" w:tgtFrame="_new" w:history="1">
        <w:r w:rsidRPr="00EA560B">
          <w:rPr>
            <w:rStyle w:val="Hyperlink"/>
            <w:rFonts w:ascii="Arial" w:hAnsi="Arial" w:cs="Arial"/>
            <w:sz w:val="20"/>
            <w:szCs w:val="20"/>
          </w:rPr>
          <w:t>https://doi.org/10.1016/j.chemosphere.2021.130417</w:t>
        </w:r>
      </w:hyperlink>
    </w:p>
    <w:p w14:paraId="0CE1C2D3" w14:textId="77777777" w:rsidR="00242C29" w:rsidRPr="00834E31" w:rsidRDefault="00242C29" w:rsidP="00834E31">
      <w:pPr>
        <w:spacing w:after="0"/>
        <w:ind w:left="1066" w:hanging="706"/>
        <w:jc w:val="both"/>
        <w:rPr>
          <w:rFonts w:ascii="Arial" w:hAnsi="Arial" w:cs="Arial"/>
          <w:sz w:val="16"/>
          <w:szCs w:val="12"/>
        </w:rPr>
      </w:pPr>
      <w:r w:rsidRPr="00834E31">
        <w:rPr>
          <w:rFonts w:ascii="Arial" w:hAnsi="Arial" w:cs="Arial"/>
          <w:sz w:val="20"/>
          <w:szCs w:val="16"/>
        </w:rPr>
        <w:t xml:space="preserve">Wołejko, E., </w:t>
      </w:r>
      <w:proofErr w:type="spellStart"/>
      <w:r w:rsidRPr="00834E31">
        <w:rPr>
          <w:rFonts w:ascii="Arial" w:hAnsi="Arial" w:cs="Arial"/>
          <w:sz w:val="20"/>
          <w:szCs w:val="16"/>
        </w:rPr>
        <w:t>Skwierawska</w:t>
      </w:r>
      <w:proofErr w:type="spellEnd"/>
      <w:r w:rsidRPr="00834E31">
        <w:rPr>
          <w:rFonts w:ascii="Arial" w:hAnsi="Arial" w:cs="Arial"/>
          <w:sz w:val="20"/>
          <w:szCs w:val="16"/>
        </w:rPr>
        <w:t xml:space="preserve">, M., &amp; </w:t>
      </w:r>
      <w:proofErr w:type="spellStart"/>
      <w:r w:rsidRPr="00834E31">
        <w:rPr>
          <w:rFonts w:ascii="Arial" w:hAnsi="Arial" w:cs="Arial"/>
          <w:sz w:val="20"/>
          <w:szCs w:val="16"/>
        </w:rPr>
        <w:t>Pławińska-Czarnak</w:t>
      </w:r>
      <w:proofErr w:type="spellEnd"/>
      <w:r w:rsidRPr="00834E31">
        <w:rPr>
          <w:rFonts w:ascii="Arial" w:hAnsi="Arial" w:cs="Arial"/>
          <w:sz w:val="20"/>
          <w:szCs w:val="16"/>
        </w:rPr>
        <w:t xml:space="preserve">, J. (2022). </w:t>
      </w:r>
      <w:r w:rsidRPr="00834E31">
        <w:rPr>
          <w:rStyle w:val="Emphasis"/>
          <w:rFonts w:ascii="Arial" w:hAnsi="Arial" w:cs="Arial"/>
          <w:i w:val="0"/>
          <w:iCs w:val="0"/>
          <w:sz w:val="20"/>
          <w:szCs w:val="16"/>
        </w:rPr>
        <w:t>Chlorpyrifos occurrence and toxicological risk assessment: environmental and health perspectives</w:t>
      </w:r>
      <w:r w:rsidRPr="00834E31">
        <w:rPr>
          <w:rStyle w:val="Emphasis"/>
          <w:rFonts w:ascii="Arial" w:hAnsi="Arial" w:cs="Arial"/>
          <w:sz w:val="20"/>
          <w:szCs w:val="16"/>
        </w:rPr>
        <w:t>.</w:t>
      </w:r>
      <w:r w:rsidRPr="00834E31">
        <w:rPr>
          <w:rFonts w:ascii="Arial" w:hAnsi="Arial" w:cs="Arial"/>
          <w:sz w:val="20"/>
          <w:szCs w:val="16"/>
        </w:rPr>
        <w:t xml:space="preserve"> </w:t>
      </w:r>
      <w:r w:rsidRPr="00834E31">
        <w:rPr>
          <w:rFonts w:ascii="Arial" w:hAnsi="Arial" w:cs="Arial"/>
          <w:i/>
          <w:iCs/>
          <w:sz w:val="20"/>
          <w:szCs w:val="16"/>
        </w:rPr>
        <w:t>Environmental Research and Public Health, 19</w:t>
      </w:r>
      <w:r w:rsidRPr="00834E31">
        <w:rPr>
          <w:rFonts w:ascii="Arial" w:hAnsi="Arial" w:cs="Arial"/>
          <w:sz w:val="20"/>
          <w:szCs w:val="16"/>
        </w:rPr>
        <w:t xml:space="preserve">, 9566616. </w:t>
      </w:r>
      <w:hyperlink r:id="rId25" w:history="1">
        <w:r w:rsidRPr="00834E31">
          <w:rPr>
            <w:rStyle w:val="Hyperlink"/>
            <w:rFonts w:ascii="Arial" w:hAnsi="Arial" w:cs="Arial"/>
            <w:sz w:val="20"/>
            <w:szCs w:val="16"/>
          </w:rPr>
          <w:t>https://doi.org/10.3390/ijerph191912209</w:t>
        </w:r>
      </w:hyperlink>
      <w:r w:rsidRPr="00834E31">
        <w:rPr>
          <w:rFonts w:ascii="Arial" w:hAnsi="Arial" w:cs="Arial"/>
          <w:sz w:val="20"/>
          <w:szCs w:val="16"/>
        </w:rPr>
        <w:t xml:space="preserve"> </w:t>
      </w:r>
    </w:p>
    <w:sectPr w:rsidR="00242C29" w:rsidRPr="00834E31" w:rsidSect="00D2632F">
      <w:pgSz w:w="11906" w:h="16838" w:code="9"/>
      <w:pgMar w:top="1440" w:right="1440" w:bottom="1440" w:left="144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C31C" w14:textId="77777777" w:rsidR="00986ABC" w:rsidRDefault="00986ABC" w:rsidP="00A56D1C">
      <w:pPr>
        <w:spacing w:after="0"/>
      </w:pPr>
      <w:r>
        <w:separator/>
      </w:r>
    </w:p>
  </w:endnote>
  <w:endnote w:type="continuationSeparator" w:id="0">
    <w:p w14:paraId="454E7FD4" w14:textId="77777777" w:rsidR="00986ABC" w:rsidRDefault="00986ABC" w:rsidP="00A56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B71D" w14:textId="77777777" w:rsidR="00986ABC" w:rsidRDefault="00986ABC" w:rsidP="00A56D1C">
      <w:pPr>
        <w:spacing w:after="0"/>
      </w:pPr>
      <w:r>
        <w:separator/>
      </w:r>
    </w:p>
  </w:footnote>
  <w:footnote w:type="continuationSeparator" w:id="0">
    <w:p w14:paraId="2495FF41" w14:textId="77777777" w:rsidR="00986ABC" w:rsidRDefault="00986ABC" w:rsidP="00A56D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D23BA"/>
    <w:multiLevelType w:val="hybridMultilevel"/>
    <w:tmpl w:val="2B86FACE"/>
    <w:lvl w:ilvl="0" w:tplc="69A65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57D12"/>
    <w:multiLevelType w:val="hybridMultilevel"/>
    <w:tmpl w:val="41EEC9DC"/>
    <w:lvl w:ilvl="0" w:tplc="780E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100662">
    <w:abstractNumId w:val="0"/>
  </w:num>
  <w:num w:numId="2" w16cid:durableId="1210263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56"/>
    <w:rsid w:val="00050E53"/>
    <w:rsid w:val="00057E66"/>
    <w:rsid w:val="00066360"/>
    <w:rsid w:val="00091311"/>
    <w:rsid w:val="000D15E5"/>
    <w:rsid w:val="000E3F1D"/>
    <w:rsid w:val="000F0DB9"/>
    <w:rsid w:val="00123741"/>
    <w:rsid w:val="001535FC"/>
    <w:rsid w:val="00157FE5"/>
    <w:rsid w:val="001A4101"/>
    <w:rsid w:val="001C6CC0"/>
    <w:rsid w:val="001F5B4D"/>
    <w:rsid w:val="001F6C6A"/>
    <w:rsid w:val="002209C0"/>
    <w:rsid w:val="0022219D"/>
    <w:rsid w:val="00230046"/>
    <w:rsid w:val="00242C29"/>
    <w:rsid w:val="00245F45"/>
    <w:rsid w:val="002722A3"/>
    <w:rsid w:val="00297DDA"/>
    <w:rsid w:val="002A0138"/>
    <w:rsid w:val="002F6649"/>
    <w:rsid w:val="0030046E"/>
    <w:rsid w:val="00377FF4"/>
    <w:rsid w:val="003D0436"/>
    <w:rsid w:val="003E1E04"/>
    <w:rsid w:val="004004FC"/>
    <w:rsid w:val="00405B11"/>
    <w:rsid w:val="00451A45"/>
    <w:rsid w:val="00453CA3"/>
    <w:rsid w:val="00464D93"/>
    <w:rsid w:val="00483BDB"/>
    <w:rsid w:val="004C78F0"/>
    <w:rsid w:val="004E26E8"/>
    <w:rsid w:val="00502054"/>
    <w:rsid w:val="00503293"/>
    <w:rsid w:val="005574E7"/>
    <w:rsid w:val="00561FAD"/>
    <w:rsid w:val="00576A02"/>
    <w:rsid w:val="005A4EA2"/>
    <w:rsid w:val="005E3F9C"/>
    <w:rsid w:val="005F1772"/>
    <w:rsid w:val="005F1AC5"/>
    <w:rsid w:val="005F1BD4"/>
    <w:rsid w:val="00623B87"/>
    <w:rsid w:val="00623D51"/>
    <w:rsid w:val="00650315"/>
    <w:rsid w:val="00657352"/>
    <w:rsid w:val="006672A7"/>
    <w:rsid w:val="006C0B77"/>
    <w:rsid w:val="006C1B35"/>
    <w:rsid w:val="006E45A6"/>
    <w:rsid w:val="006F73DA"/>
    <w:rsid w:val="00717099"/>
    <w:rsid w:val="00736BAA"/>
    <w:rsid w:val="00747738"/>
    <w:rsid w:val="00772912"/>
    <w:rsid w:val="007C1D12"/>
    <w:rsid w:val="008242FF"/>
    <w:rsid w:val="00826A14"/>
    <w:rsid w:val="008310AB"/>
    <w:rsid w:val="00834E31"/>
    <w:rsid w:val="00842D28"/>
    <w:rsid w:val="00860530"/>
    <w:rsid w:val="00860C92"/>
    <w:rsid w:val="00866A9E"/>
    <w:rsid w:val="00870751"/>
    <w:rsid w:val="008C1E8B"/>
    <w:rsid w:val="008E3AF2"/>
    <w:rsid w:val="00921C19"/>
    <w:rsid w:val="00922C48"/>
    <w:rsid w:val="00937BBC"/>
    <w:rsid w:val="00953F7D"/>
    <w:rsid w:val="00954F7F"/>
    <w:rsid w:val="0098316B"/>
    <w:rsid w:val="00986ABC"/>
    <w:rsid w:val="009A5130"/>
    <w:rsid w:val="009B0FC7"/>
    <w:rsid w:val="009B4CC6"/>
    <w:rsid w:val="009F16A3"/>
    <w:rsid w:val="00A06E37"/>
    <w:rsid w:val="00A470E1"/>
    <w:rsid w:val="00A55B22"/>
    <w:rsid w:val="00A56D1C"/>
    <w:rsid w:val="00AC3A13"/>
    <w:rsid w:val="00AC424C"/>
    <w:rsid w:val="00AF6E44"/>
    <w:rsid w:val="00B02C3C"/>
    <w:rsid w:val="00B517BD"/>
    <w:rsid w:val="00B57720"/>
    <w:rsid w:val="00B80456"/>
    <w:rsid w:val="00B915B7"/>
    <w:rsid w:val="00BC4523"/>
    <w:rsid w:val="00BE3430"/>
    <w:rsid w:val="00BF1C21"/>
    <w:rsid w:val="00C30819"/>
    <w:rsid w:val="00C32C85"/>
    <w:rsid w:val="00CA591D"/>
    <w:rsid w:val="00CB52C5"/>
    <w:rsid w:val="00CD3A63"/>
    <w:rsid w:val="00CD4371"/>
    <w:rsid w:val="00CE04E8"/>
    <w:rsid w:val="00CF1870"/>
    <w:rsid w:val="00D06B07"/>
    <w:rsid w:val="00D136EA"/>
    <w:rsid w:val="00D20A7E"/>
    <w:rsid w:val="00D2632F"/>
    <w:rsid w:val="00D46939"/>
    <w:rsid w:val="00D55BAE"/>
    <w:rsid w:val="00D61932"/>
    <w:rsid w:val="00D85D23"/>
    <w:rsid w:val="00E43F49"/>
    <w:rsid w:val="00E47ECC"/>
    <w:rsid w:val="00E62F08"/>
    <w:rsid w:val="00E76C16"/>
    <w:rsid w:val="00E9149E"/>
    <w:rsid w:val="00EA560B"/>
    <w:rsid w:val="00EA59DF"/>
    <w:rsid w:val="00ED503A"/>
    <w:rsid w:val="00ED52DD"/>
    <w:rsid w:val="00EE4070"/>
    <w:rsid w:val="00EE6BEE"/>
    <w:rsid w:val="00EE7DAD"/>
    <w:rsid w:val="00F12C76"/>
    <w:rsid w:val="00F40E6B"/>
    <w:rsid w:val="00F62640"/>
    <w:rsid w:val="00F8117B"/>
    <w:rsid w:val="00FA7674"/>
    <w:rsid w:val="00FD12AA"/>
    <w:rsid w:val="00FD48C9"/>
    <w:rsid w:val="00FF34EC"/>
    <w:rsid w:val="00F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E8B1"/>
  <w15:chartTrackingRefBased/>
  <w15:docId w15:val="{E801AC8F-DB48-4900-9746-A59BB1AA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lang w:val="en-IN"/>
    </w:rPr>
  </w:style>
  <w:style w:type="paragraph" w:styleId="Heading3">
    <w:name w:val="heading 3"/>
    <w:basedOn w:val="Normal"/>
    <w:link w:val="Heading3Char"/>
    <w:uiPriority w:val="9"/>
    <w:qFormat/>
    <w:rsid w:val="00AC424C"/>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456"/>
    <w:pPr>
      <w:spacing w:before="100" w:beforeAutospacing="1" w:after="100" w:afterAutospacing="1"/>
    </w:pPr>
    <w:rPr>
      <w:rFonts w:eastAsia="Times New Roman" w:cs="Times New Roman"/>
      <w:szCs w:val="24"/>
      <w:lang w:val="en-US"/>
    </w:rPr>
  </w:style>
  <w:style w:type="character" w:styleId="Emphasis">
    <w:name w:val="Emphasis"/>
    <w:basedOn w:val="DefaultParagraphFont"/>
    <w:uiPriority w:val="20"/>
    <w:qFormat/>
    <w:rsid w:val="00B80456"/>
    <w:rPr>
      <w:i/>
      <w:iCs/>
    </w:rPr>
  </w:style>
  <w:style w:type="paragraph" w:styleId="Header">
    <w:name w:val="header"/>
    <w:basedOn w:val="Normal"/>
    <w:link w:val="HeaderChar"/>
    <w:uiPriority w:val="99"/>
    <w:unhideWhenUsed/>
    <w:rsid w:val="00A56D1C"/>
    <w:pPr>
      <w:tabs>
        <w:tab w:val="center" w:pos="4680"/>
        <w:tab w:val="right" w:pos="9360"/>
      </w:tabs>
      <w:spacing w:after="0"/>
    </w:pPr>
  </w:style>
  <w:style w:type="character" w:customStyle="1" w:styleId="HeaderChar">
    <w:name w:val="Header Char"/>
    <w:basedOn w:val="DefaultParagraphFont"/>
    <w:link w:val="Header"/>
    <w:uiPriority w:val="99"/>
    <w:rsid w:val="00A56D1C"/>
    <w:rPr>
      <w:lang w:val="en-IN"/>
    </w:rPr>
  </w:style>
  <w:style w:type="paragraph" w:styleId="Footer">
    <w:name w:val="footer"/>
    <w:basedOn w:val="Normal"/>
    <w:link w:val="FooterChar"/>
    <w:uiPriority w:val="99"/>
    <w:unhideWhenUsed/>
    <w:rsid w:val="00A56D1C"/>
    <w:pPr>
      <w:tabs>
        <w:tab w:val="center" w:pos="4680"/>
        <w:tab w:val="right" w:pos="9360"/>
      </w:tabs>
      <w:spacing w:after="0"/>
    </w:pPr>
  </w:style>
  <w:style w:type="character" w:customStyle="1" w:styleId="FooterChar">
    <w:name w:val="Footer Char"/>
    <w:basedOn w:val="DefaultParagraphFont"/>
    <w:link w:val="Footer"/>
    <w:uiPriority w:val="99"/>
    <w:rsid w:val="00A56D1C"/>
    <w:rPr>
      <w:lang w:val="en-IN"/>
    </w:rPr>
  </w:style>
  <w:style w:type="paragraph" w:styleId="ListParagraph">
    <w:name w:val="List Paragraph"/>
    <w:basedOn w:val="Normal"/>
    <w:uiPriority w:val="34"/>
    <w:qFormat/>
    <w:rsid w:val="00D85D23"/>
    <w:pPr>
      <w:ind w:left="720"/>
      <w:contextualSpacing/>
    </w:pPr>
  </w:style>
  <w:style w:type="character" w:customStyle="1" w:styleId="Heading3Char">
    <w:name w:val="Heading 3 Char"/>
    <w:basedOn w:val="DefaultParagraphFont"/>
    <w:link w:val="Heading3"/>
    <w:uiPriority w:val="9"/>
    <w:rsid w:val="00AC424C"/>
    <w:rPr>
      <w:rFonts w:eastAsia="Times New Roman" w:cs="Times New Roman"/>
      <w:b/>
      <w:bCs/>
      <w:sz w:val="27"/>
      <w:szCs w:val="27"/>
      <w:lang w:val="en-US"/>
    </w:rPr>
  </w:style>
  <w:style w:type="character" w:styleId="Strong">
    <w:name w:val="Strong"/>
    <w:basedOn w:val="DefaultParagraphFont"/>
    <w:uiPriority w:val="22"/>
    <w:qFormat/>
    <w:rsid w:val="00AC424C"/>
    <w:rPr>
      <w:b/>
      <w:bCs/>
    </w:rPr>
  </w:style>
  <w:style w:type="character" w:styleId="Hyperlink">
    <w:name w:val="Hyperlink"/>
    <w:basedOn w:val="DefaultParagraphFont"/>
    <w:uiPriority w:val="99"/>
    <w:unhideWhenUsed/>
    <w:rsid w:val="007C1D12"/>
    <w:rPr>
      <w:color w:val="0563C1" w:themeColor="hyperlink"/>
      <w:u w:val="single"/>
    </w:rPr>
  </w:style>
  <w:style w:type="table" w:styleId="TableGrid">
    <w:name w:val="Table Grid"/>
    <w:basedOn w:val="TableNormal"/>
    <w:uiPriority w:val="39"/>
    <w:rsid w:val="00BF1C21"/>
    <w:pPr>
      <w:spacing w:after="0" w:line="240" w:lineRule="auto"/>
    </w:pPr>
    <w:rPr>
      <w:rFonts w:cs="Times New Roman"/>
      <w:kern w:val="2"/>
      <w:sz w:val="28"/>
      <w:szCs w:val="28"/>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D437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E43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49370">
      <w:bodyDiv w:val="1"/>
      <w:marLeft w:val="0"/>
      <w:marRight w:val="0"/>
      <w:marTop w:val="0"/>
      <w:marBottom w:val="0"/>
      <w:divBdr>
        <w:top w:val="none" w:sz="0" w:space="0" w:color="auto"/>
        <w:left w:val="none" w:sz="0" w:space="0" w:color="auto"/>
        <w:bottom w:val="none" w:sz="0" w:space="0" w:color="auto"/>
        <w:right w:val="none" w:sz="0" w:space="0" w:color="auto"/>
      </w:divBdr>
    </w:div>
    <w:div w:id="21291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23/a:1022579416322" TargetMode="External"/><Relationship Id="rId18" Type="http://schemas.openxmlformats.org/officeDocument/2006/relationships/hyperlink" Target="https://doi.org/10.2174/18744672146662101111053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books/NBK260/" TargetMode="External"/><Relationship Id="rId7" Type="http://schemas.openxmlformats.org/officeDocument/2006/relationships/chart" Target="charts/chart1.xml"/><Relationship Id="rId12" Type="http://schemas.openxmlformats.org/officeDocument/2006/relationships/hyperlink" Target="https://doi.org/10.3390/metabo13111117" TargetMode="External"/><Relationship Id="rId17" Type="http://schemas.openxmlformats.org/officeDocument/2006/relationships/hyperlink" Target="https://doi.org/10.1007/s12011-021-02704-3" TargetMode="External"/><Relationship Id="rId25" Type="http://schemas.openxmlformats.org/officeDocument/2006/relationships/hyperlink" Target="https://doi.org/10.3390/ijerph191912209" TargetMode="External"/><Relationship Id="rId2" Type="http://schemas.openxmlformats.org/officeDocument/2006/relationships/styles" Target="styles.xml"/><Relationship Id="rId16" Type="http://schemas.openxmlformats.org/officeDocument/2006/relationships/hyperlink" Target="https://doi.org/10.2478/aiht-2022-73-3665" TargetMode="External"/><Relationship Id="rId20" Type="http://schemas.openxmlformats.org/officeDocument/2006/relationships/hyperlink" Target="https://doi.org/10.1016/j.prmcm.2023.1002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mau.jmau_81_21" TargetMode="External"/><Relationship Id="rId24" Type="http://schemas.openxmlformats.org/officeDocument/2006/relationships/hyperlink" Target="https://doi.org/10.1016/j.chemosphere.2021.130417" TargetMode="External"/><Relationship Id="rId5" Type="http://schemas.openxmlformats.org/officeDocument/2006/relationships/footnotes" Target="footnotes.xml"/><Relationship Id="rId15" Type="http://schemas.openxmlformats.org/officeDocument/2006/relationships/hyperlink" Target="https://doi.org/10.1016/j.etap.2006.01.001" TargetMode="External"/><Relationship Id="rId23" Type="http://schemas.openxmlformats.org/officeDocument/2006/relationships/hyperlink" Target="https://doi.org/10.1016/j.pestbp.2006.11.006" TargetMode="External"/><Relationship Id="rId10" Type="http://schemas.openxmlformats.org/officeDocument/2006/relationships/hyperlink" Target="https://doi.org/10.3390/toxics11080707" TargetMode="External"/><Relationship Id="rId19" Type="http://schemas.openxmlformats.org/officeDocument/2006/relationships/hyperlink" Target="https://doi.org/10.1016/j.tox.2018.08.011" TargetMode="External"/><Relationship Id="rId4" Type="http://schemas.openxmlformats.org/officeDocument/2006/relationships/webSettings" Target="webSettings.xml"/><Relationship Id="rId9" Type="http://schemas.openxmlformats.org/officeDocument/2006/relationships/hyperlink" Target="https://www.ncbi.nlm.nih.gov/pmc/articles/PMC4103721/" TargetMode="External"/><Relationship Id="rId14" Type="http://schemas.openxmlformats.org/officeDocument/2006/relationships/hyperlink" Target="https://doi.org/10.1177/0748233707080908" TargetMode="External"/><Relationship Id="rId22" Type="http://schemas.openxmlformats.org/officeDocument/2006/relationships/hyperlink" Target="https://doi.org/10.1177/0748233710371110"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HAEMATOLOGY%202025\HAEMATOLOGY%20CPF%20CHART%20FOR%20PP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HAEMATOLOGY%202025\HAEMATOLOGY%20CPF%20CHART%20FOR%20P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Sheet4!$B$1</c:f>
              <c:strCache>
                <c:ptCount val="1"/>
                <c:pt idx="0">
                  <c:v>CPF-7</c:v>
                </c:pt>
              </c:strCache>
            </c:strRef>
          </c:tx>
          <c:spPr>
            <a:pattFill prst="wdDnDiag">
              <a:fgClr>
                <a:srgbClr val="FFC000">
                  <a:lumMod val="75000"/>
                </a:srgbClr>
              </a:fgClr>
              <a:bgClr>
                <a:sysClr val="window" lastClr="FFFFFF"/>
              </a:bgClr>
            </a:pattFill>
            <a:ln w="15875">
              <a:solidFill>
                <a:schemeClr val="tx1"/>
              </a:solidFill>
            </a:ln>
            <a:effectLst>
              <a:outerShdw blurRad="50800" dist="50800" dir="5400000" algn="ctr" rotWithShape="0">
                <a:schemeClr val="bg1"/>
              </a:outerShdw>
            </a:effectLst>
          </c:spPr>
          <c:invertIfNegative val="0"/>
          <c:dLbls>
            <c:dLbl>
              <c:idx val="0"/>
              <c:tx>
                <c:rich>
                  <a:bodyPr/>
                  <a:lstStyle/>
                  <a:p>
                    <a:r>
                      <a:rPr lang="en-US" b="1"/>
                      <a:t>CPF-7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CPF-7</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CPF-7</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Sheet4!$B$2:$B$4</c:f>
              <c:numCache>
                <c:formatCode>General</c:formatCode>
                <c:ptCount val="3"/>
                <c:pt idx="0">
                  <c:v>7.65</c:v>
                </c:pt>
                <c:pt idx="1">
                  <c:v>7.12</c:v>
                </c:pt>
                <c:pt idx="2">
                  <c:v>9.42</c:v>
                </c:pt>
              </c:numCache>
            </c:numRef>
          </c:val>
          <c:extLst>
            <c:ext xmlns:c16="http://schemas.microsoft.com/office/drawing/2014/chart" uri="{C3380CC4-5D6E-409C-BE32-E72D297353CC}">
              <c16:uniqueId val="{00000003-7621-4193-9182-7066A254299A}"/>
            </c:ext>
          </c:extLst>
        </c:ser>
        <c:ser>
          <c:idx val="1"/>
          <c:order val="1"/>
          <c:tx>
            <c:strRef>
              <c:f>Sheet4!$C$1</c:f>
              <c:strCache>
                <c:ptCount val="1"/>
                <c:pt idx="0">
                  <c:v>CPF-15</c:v>
                </c:pt>
              </c:strCache>
            </c:strRef>
          </c:tx>
          <c:spPr>
            <a:pattFill prst="smGrid">
              <a:fgClr>
                <a:schemeClr val="accent2">
                  <a:lumMod val="50000"/>
                </a:schemeClr>
              </a:fgClr>
              <a:bgClr>
                <a:schemeClr val="bg1"/>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Sheet4!$C$2:$C$4</c:f>
              <c:numCache>
                <c:formatCode>General</c:formatCode>
                <c:ptCount val="3"/>
                <c:pt idx="0">
                  <c:v>7.65</c:v>
                </c:pt>
                <c:pt idx="1">
                  <c:v>10.54</c:v>
                </c:pt>
                <c:pt idx="2">
                  <c:v>10.65</c:v>
                </c:pt>
              </c:numCache>
            </c:numRef>
          </c:val>
          <c:extLst>
            <c:ext xmlns:c16="http://schemas.microsoft.com/office/drawing/2014/chart" uri="{C3380CC4-5D6E-409C-BE32-E72D297353CC}">
              <c16:uniqueId val="{00000007-7621-4193-9182-7066A254299A}"/>
            </c:ext>
          </c:extLst>
        </c:ser>
        <c:ser>
          <c:idx val="2"/>
          <c:order val="2"/>
          <c:tx>
            <c:strRef>
              <c:f>Sheet4!$D$1</c:f>
              <c:strCache>
                <c:ptCount val="1"/>
                <c:pt idx="0">
                  <c:v>CPF-42</c:v>
                </c:pt>
              </c:strCache>
            </c:strRef>
          </c:tx>
          <c:spPr>
            <a:pattFill prst="pct90">
              <a:fgClr>
                <a:schemeClr val="accent2">
                  <a:lumMod val="50000"/>
                </a:schemeClr>
              </a:fgClr>
              <a:bgClr>
                <a:schemeClr val="bg1"/>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Sheet4!$D$2:$D$4</c:f>
              <c:numCache>
                <c:formatCode>General</c:formatCode>
                <c:ptCount val="3"/>
                <c:pt idx="0">
                  <c:v>29.92</c:v>
                </c:pt>
                <c:pt idx="1">
                  <c:v>16.850000000000001</c:v>
                </c:pt>
                <c:pt idx="2">
                  <c:v>15.65</c:v>
                </c:pt>
              </c:numCache>
            </c:numRef>
          </c:val>
          <c:extLst>
            <c:ext xmlns:c16="http://schemas.microsoft.com/office/drawing/2014/chart" uri="{C3380CC4-5D6E-409C-BE32-E72D297353CC}">
              <c16:uniqueId val="{0000000B-7621-4193-9182-7066A254299A}"/>
            </c:ext>
          </c:extLst>
        </c:ser>
        <c:dLbls>
          <c:dLblPos val="outEnd"/>
          <c:showLegendKey val="0"/>
          <c:showVal val="1"/>
          <c:showCatName val="0"/>
          <c:showSerName val="0"/>
          <c:showPercent val="0"/>
          <c:showBubbleSize val="0"/>
        </c:dLbls>
        <c:gapWidth val="219"/>
        <c:overlap val="-27"/>
        <c:axId val="541379856"/>
        <c:axId val="541384120"/>
      </c:barChart>
      <c:catAx>
        <c:axId val="5413798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100" b="1">
                    <a:solidFill>
                      <a:sysClr val="windowText" lastClr="000000"/>
                    </a:solidFill>
                  </a:rPr>
                  <a:t>Haematological 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41384120"/>
        <c:crosses val="autoZero"/>
        <c:auto val="1"/>
        <c:lblAlgn val="ctr"/>
        <c:lblOffset val="100"/>
        <c:noMultiLvlLbl val="0"/>
      </c:catAx>
      <c:valAx>
        <c:axId val="541384120"/>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Reduction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79856"/>
        <c:crosses val="autoZero"/>
        <c:crossBetween val="between"/>
      </c:valAx>
      <c:spPr>
        <a:noFill/>
        <a:ln>
          <a:noFill/>
        </a:ln>
        <a:effectLst/>
      </c:spPr>
    </c:plotArea>
    <c:legend>
      <c:legendPos val="t"/>
      <c:layout>
        <c:manualLayout>
          <c:xMode val="edge"/>
          <c:yMode val="edge"/>
          <c:x val="0.49433399747486129"/>
          <c:y val="5.4035216983543244E-2"/>
          <c:w val="0.49084849761305249"/>
          <c:h val="0.1220419476921069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Sheet4!$B$9</c:f>
              <c:strCache>
                <c:ptCount val="1"/>
                <c:pt idx="0">
                  <c:v>CPF-42</c:v>
                </c:pt>
              </c:strCache>
            </c:strRef>
          </c:tx>
          <c:spPr>
            <a:pattFill prst="pct90">
              <a:fgClr>
                <a:srgbClr val="ED7D31">
                  <a:lumMod val="50000"/>
                </a:srgbClr>
              </a:fgClr>
              <a:bgClr>
                <a:sysClr val="window" lastClr="FFFFFF"/>
              </a:bgClr>
            </a:pattFill>
            <a:ln w="15875">
              <a:solidFill>
                <a:schemeClr val="tx1"/>
              </a:solidFill>
            </a:ln>
            <a:effectLst>
              <a:outerShdw blurRad="50800" dist="50800" dir="5400000" algn="ctr" rotWithShape="0">
                <a:schemeClr val="bg1"/>
              </a:outerShdw>
            </a:effectLst>
          </c:spPr>
          <c:invertIfNegative val="0"/>
          <c:dLbls>
            <c:dLbl>
              <c:idx val="0"/>
              <c:tx>
                <c:rich>
                  <a:bodyPr/>
                  <a:lstStyle/>
                  <a:p>
                    <a:r>
                      <a:rPr lang="en-US" b="1"/>
                      <a:t>CPF-42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Sheet4!$B$10:$B$13</c:f>
              <c:numCache>
                <c:formatCode>General</c:formatCode>
                <c:ptCount val="4"/>
                <c:pt idx="0">
                  <c:v>29.92</c:v>
                </c:pt>
                <c:pt idx="1">
                  <c:v>112.79</c:v>
                </c:pt>
                <c:pt idx="2">
                  <c:v>16.850000000000001</c:v>
                </c:pt>
                <c:pt idx="3">
                  <c:v>15.65</c:v>
                </c:pt>
              </c:numCache>
            </c:numRef>
          </c:val>
          <c:extLst>
            <c:ext xmlns:c16="http://schemas.microsoft.com/office/drawing/2014/chart" uri="{C3380CC4-5D6E-409C-BE32-E72D297353CC}">
              <c16:uniqueId val="{00000004-EFF3-4048-9AAE-A11E7AE806A9}"/>
            </c:ext>
          </c:extLst>
        </c:ser>
        <c:ser>
          <c:idx val="1"/>
          <c:order val="1"/>
          <c:tx>
            <c:strRef>
              <c:f>Sheet4!$C$9</c:f>
              <c:strCache>
                <c:ptCount val="1"/>
                <c:pt idx="0">
                  <c:v>NR</c:v>
                </c:pt>
              </c:strCache>
            </c:strRef>
          </c:tx>
          <c:spPr>
            <a:pattFill prst="smGrid">
              <a:fgClr>
                <a:srgbClr val="4472C4">
                  <a:lumMod val="75000"/>
                </a:srgbClr>
              </a:fgClr>
              <a:bgClr>
                <a:sysClr val="window" lastClr="FFFFFF"/>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b="1">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Sheet4!$C$10:$C$13</c:f>
              <c:numCache>
                <c:formatCode>General</c:formatCode>
                <c:ptCount val="4"/>
                <c:pt idx="0">
                  <c:v>5.6</c:v>
                </c:pt>
                <c:pt idx="1">
                  <c:v>20.2</c:v>
                </c:pt>
                <c:pt idx="2">
                  <c:v>5.03</c:v>
                </c:pt>
                <c:pt idx="3">
                  <c:v>2.08</c:v>
                </c:pt>
              </c:numCache>
            </c:numRef>
          </c:val>
          <c:extLst>
            <c:ext xmlns:c16="http://schemas.microsoft.com/office/drawing/2014/chart" uri="{C3380CC4-5D6E-409C-BE32-E72D297353CC}">
              <c16:uniqueId val="{00000009-EFF3-4048-9AAE-A11E7AE806A9}"/>
            </c:ext>
          </c:extLst>
        </c:ser>
        <c:ser>
          <c:idx val="2"/>
          <c:order val="2"/>
          <c:tx>
            <c:strRef>
              <c:f>Sheet4!$D$9</c:f>
              <c:strCache>
                <c:ptCount val="1"/>
                <c:pt idx="0">
                  <c:v>AR</c:v>
                </c:pt>
              </c:strCache>
            </c:strRef>
          </c:tx>
          <c:spPr>
            <a:pattFill prst="dkUpDiag">
              <a:fgClr>
                <a:srgbClr val="70AD47">
                  <a:lumMod val="75000"/>
                </a:srgbClr>
              </a:fgClr>
              <a:bgClr>
                <a:sysClr val="window" lastClr="FFFFFF"/>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b="1">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Sheet4!$D$10:$D$13</c:f>
              <c:numCache>
                <c:formatCode>General</c:formatCode>
                <c:ptCount val="4"/>
                <c:pt idx="0">
                  <c:v>16.260000000000002</c:v>
                </c:pt>
                <c:pt idx="1">
                  <c:v>71.36</c:v>
                </c:pt>
                <c:pt idx="2">
                  <c:v>10.14</c:v>
                </c:pt>
                <c:pt idx="3">
                  <c:v>11.69</c:v>
                </c:pt>
              </c:numCache>
            </c:numRef>
          </c:val>
          <c:extLst>
            <c:ext xmlns:c16="http://schemas.microsoft.com/office/drawing/2014/chart" uri="{C3380CC4-5D6E-409C-BE32-E72D297353CC}">
              <c16:uniqueId val="{0000000E-EFF3-4048-9AAE-A11E7AE806A9}"/>
            </c:ext>
          </c:extLst>
        </c:ser>
        <c:dLbls>
          <c:dLblPos val="outEnd"/>
          <c:showLegendKey val="0"/>
          <c:showVal val="1"/>
          <c:showCatName val="0"/>
          <c:showSerName val="0"/>
          <c:showPercent val="0"/>
          <c:showBubbleSize val="0"/>
        </c:dLbls>
        <c:gapWidth val="219"/>
        <c:overlap val="-27"/>
        <c:axId val="541379856"/>
        <c:axId val="541384120"/>
      </c:barChart>
      <c:catAx>
        <c:axId val="54137985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Haematological Parameters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41384120"/>
        <c:crosses val="autoZero"/>
        <c:auto val="1"/>
        <c:lblAlgn val="ctr"/>
        <c:lblOffset val="100"/>
        <c:noMultiLvlLbl val="0"/>
      </c:catAx>
      <c:valAx>
        <c:axId val="541384120"/>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a:solidFill>
                      <a:sysClr val="windowText" lastClr="000000"/>
                    </a:solidFill>
                  </a:rPr>
                  <a:t>Recovery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79856"/>
        <c:crosses val="autoZero"/>
        <c:crossBetween val="between"/>
      </c:valAx>
      <c:spPr>
        <a:noFill/>
        <a:ln>
          <a:noFill/>
        </a:ln>
        <a:effectLst/>
      </c:spPr>
    </c:plotArea>
    <c:legend>
      <c:legendPos val="t"/>
      <c:legendEntry>
        <c:idx val="2"/>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Entry>
      <c:layout>
        <c:manualLayout>
          <c:xMode val="edge"/>
          <c:yMode val="edge"/>
          <c:x val="0.45782943761766098"/>
          <c:y val="4.0078190061996852E-2"/>
          <c:w val="0.52763338108107638"/>
          <c:h val="0.1596198415755507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1259</TotalTime>
  <Pages>9</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Scholar</dc:creator>
  <cp:keywords/>
  <dc:description/>
  <cp:lastModifiedBy>Editor-90</cp:lastModifiedBy>
  <cp:revision>40</cp:revision>
  <cp:lastPrinted>2025-09-19T02:16:00Z</cp:lastPrinted>
  <dcterms:created xsi:type="dcterms:W3CDTF">2025-09-23T09:00:00Z</dcterms:created>
  <dcterms:modified xsi:type="dcterms:W3CDTF">2025-09-25T10:16:00Z</dcterms:modified>
</cp:coreProperties>
</file>