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573F2" w14:textId="35DFF712" w:rsidR="00FE40C5" w:rsidRPr="008F38BA" w:rsidRDefault="00053DD3" w:rsidP="008F38BA">
      <w:pPr>
        <w:pStyle w:val="Title"/>
        <w:pBdr>
          <w:bottom w:val="none" w:sz="0" w:space="0" w:color="auto"/>
        </w:pBdr>
        <w:jc w:val="right"/>
        <w:rPr>
          <w:rFonts w:ascii="Arial" w:hAnsi="Arial" w:cs="Arial"/>
          <w:b/>
          <w:bCs/>
          <w:color w:val="auto"/>
          <w:sz w:val="36"/>
          <w:szCs w:val="36"/>
        </w:rPr>
      </w:pPr>
      <w:r w:rsidRPr="008F38BA">
        <w:rPr>
          <w:rFonts w:ascii="Arial" w:hAnsi="Arial" w:cs="Arial"/>
          <w:b/>
          <w:bCs/>
          <w:color w:val="auto"/>
          <w:sz w:val="36"/>
          <w:szCs w:val="36"/>
        </w:rPr>
        <w:t xml:space="preserve">Role of </w:t>
      </w:r>
      <w:r w:rsidR="00F5525E" w:rsidRPr="008F38BA">
        <w:rPr>
          <w:rFonts w:ascii="Arial" w:hAnsi="Arial" w:cs="Arial"/>
          <w:b/>
          <w:bCs/>
          <w:color w:val="auto"/>
          <w:sz w:val="36"/>
          <w:szCs w:val="36"/>
        </w:rPr>
        <w:t>h</w:t>
      </w:r>
      <w:r w:rsidR="009E7307">
        <w:rPr>
          <w:rFonts w:ascii="Arial" w:hAnsi="Arial" w:cs="Arial" w:hint="cs"/>
          <w:b/>
          <w:bCs/>
          <w:color w:val="auto"/>
          <w:sz w:val="36"/>
          <w:szCs w:val="36"/>
          <w:cs/>
        </w:rPr>
        <w:t>a</w:t>
      </w:r>
      <w:proofErr w:type="spellStart"/>
      <w:r w:rsidR="00F5525E" w:rsidRPr="008F38BA">
        <w:rPr>
          <w:rFonts w:ascii="Arial" w:hAnsi="Arial" w:cs="Arial"/>
          <w:b/>
          <w:bCs/>
          <w:color w:val="auto"/>
          <w:sz w:val="36"/>
          <w:szCs w:val="36"/>
        </w:rPr>
        <w:t>ematological</w:t>
      </w:r>
      <w:proofErr w:type="spellEnd"/>
      <w:r w:rsidR="00F5525E" w:rsidRPr="008F38BA">
        <w:rPr>
          <w:rFonts w:ascii="Arial" w:hAnsi="Arial" w:cs="Arial"/>
          <w:b/>
          <w:bCs/>
          <w:color w:val="auto"/>
          <w:sz w:val="36"/>
          <w:szCs w:val="36"/>
        </w:rPr>
        <w:t xml:space="preserve"> and biochemical parameters as indicators of seasonal stress </w:t>
      </w:r>
      <w:r w:rsidRPr="008F38BA">
        <w:rPr>
          <w:rFonts w:ascii="Arial" w:hAnsi="Arial" w:cs="Arial"/>
          <w:b/>
          <w:bCs/>
          <w:color w:val="auto"/>
          <w:sz w:val="36"/>
          <w:szCs w:val="36"/>
        </w:rPr>
        <w:t xml:space="preserve">in </w:t>
      </w:r>
      <w:proofErr w:type="spellStart"/>
      <w:r w:rsidR="00E53901" w:rsidRPr="008F38BA">
        <w:rPr>
          <w:rFonts w:ascii="Arial" w:hAnsi="Arial" w:cs="Arial"/>
          <w:b/>
          <w:bCs/>
          <w:i/>
          <w:iCs/>
          <w:color w:val="auto"/>
          <w:sz w:val="36"/>
          <w:szCs w:val="36"/>
        </w:rPr>
        <w:t>Labeo</w:t>
      </w:r>
      <w:proofErr w:type="spellEnd"/>
      <w:r w:rsidR="00E53901" w:rsidRPr="008F38BA">
        <w:rPr>
          <w:rFonts w:ascii="Arial" w:hAnsi="Arial" w:cs="Arial"/>
          <w:b/>
          <w:bCs/>
          <w:i/>
          <w:iCs/>
          <w:color w:val="auto"/>
          <w:sz w:val="36"/>
          <w:szCs w:val="36"/>
        </w:rPr>
        <w:t xml:space="preserve"> </w:t>
      </w:r>
      <w:proofErr w:type="spellStart"/>
      <w:r w:rsidR="00E53901" w:rsidRPr="008F38BA">
        <w:rPr>
          <w:rFonts w:ascii="Arial" w:hAnsi="Arial" w:cs="Arial"/>
          <w:b/>
          <w:bCs/>
          <w:i/>
          <w:iCs/>
          <w:color w:val="auto"/>
          <w:sz w:val="36"/>
          <w:szCs w:val="36"/>
        </w:rPr>
        <w:t>rohita</w:t>
      </w:r>
      <w:proofErr w:type="spellEnd"/>
      <w:r w:rsidR="00F5525E" w:rsidRPr="008F38BA">
        <w:rPr>
          <w:rFonts w:ascii="Arial" w:hAnsi="Arial" w:cs="Arial"/>
          <w:b/>
          <w:bCs/>
          <w:i/>
          <w:iCs/>
          <w:color w:val="auto"/>
          <w:sz w:val="36"/>
          <w:szCs w:val="36"/>
        </w:rPr>
        <w:t xml:space="preserve"> </w:t>
      </w:r>
      <w:r w:rsidR="00F5525E" w:rsidRPr="008F38BA">
        <w:rPr>
          <w:rFonts w:ascii="Arial" w:hAnsi="Arial" w:cs="Arial"/>
          <w:b/>
          <w:bCs/>
          <w:color w:val="auto"/>
          <w:sz w:val="36"/>
          <w:szCs w:val="36"/>
        </w:rPr>
        <w:t>from diverse aquatic environment</w:t>
      </w:r>
    </w:p>
    <w:p w14:paraId="105B3FB1" w14:textId="2C16272F" w:rsidR="002D1565" w:rsidRPr="00824F4B" w:rsidRDefault="002D1565" w:rsidP="004A59E9">
      <w:pPr>
        <w:jc w:val="right"/>
        <w:rPr>
          <w:rFonts w:ascii="Arial" w:hAnsi="Arial" w:cs="Arial"/>
        </w:rPr>
      </w:pPr>
    </w:p>
    <w:p w14:paraId="651573F7" w14:textId="093982D8" w:rsidR="00AF1062" w:rsidRPr="00824F4B" w:rsidRDefault="00925133" w:rsidP="000A4FBB">
      <w:pPr>
        <w:pStyle w:val="Heading1"/>
        <w:rPr>
          <w:rStyle w:val="Strong"/>
          <w:rFonts w:ascii="Arial" w:hAnsi="Arial"/>
          <w:b/>
          <w:bCs/>
          <w:sz w:val="22"/>
          <w:szCs w:val="22"/>
        </w:rPr>
      </w:pPr>
      <w:r w:rsidRPr="00824F4B">
        <w:rPr>
          <w:rStyle w:val="Strong"/>
          <w:rFonts w:ascii="Arial" w:hAnsi="Arial"/>
          <w:b/>
          <w:bCs/>
          <w:sz w:val="22"/>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87"/>
      </w:tblGrid>
      <w:tr w:rsidR="00C439E0" w:rsidRPr="001E44FE" w14:paraId="21991825" w14:textId="77777777" w:rsidTr="00FE31B5">
        <w:tc>
          <w:tcPr>
            <w:tcW w:w="9287" w:type="dxa"/>
            <w:shd w:val="clear" w:color="auto" w:fill="F2F2F2"/>
          </w:tcPr>
          <w:p w14:paraId="70D7CB24" w14:textId="50BD2694" w:rsidR="00C439E0" w:rsidRPr="00BA1B01" w:rsidRDefault="00FE31B5" w:rsidP="00166EA5">
            <w:pPr>
              <w:pStyle w:val="Body"/>
              <w:spacing w:after="0"/>
              <w:rPr>
                <w:rFonts w:ascii="Arial" w:eastAsia="Calibri" w:hAnsi="Arial" w:cs="Arial"/>
                <w:szCs w:val="22"/>
              </w:rPr>
            </w:pPr>
            <w:r w:rsidRPr="00824F4B">
              <w:rPr>
                <w:rStyle w:val="Strong"/>
                <w:rFonts w:ascii="Arial" w:hAnsi="Arial" w:cs="Arial"/>
                <w:b w:val="0"/>
                <w:bCs w:val="0"/>
              </w:rPr>
              <w:t xml:space="preserve">Biochemical and muscle parameters of </w:t>
            </w:r>
            <w:proofErr w:type="spellStart"/>
            <w:r w:rsidRPr="00824F4B">
              <w:rPr>
                <w:rStyle w:val="Strong"/>
                <w:rFonts w:ascii="Arial" w:hAnsi="Arial" w:cs="Arial"/>
                <w:b w:val="0"/>
                <w:bCs w:val="0"/>
                <w:i/>
                <w:iCs/>
              </w:rPr>
              <w:t>Labeo</w:t>
            </w:r>
            <w:proofErr w:type="spellEnd"/>
            <w:r w:rsidRPr="00824F4B">
              <w:rPr>
                <w:rStyle w:val="Strong"/>
                <w:rFonts w:ascii="Arial" w:hAnsi="Arial" w:cs="Arial"/>
                <w:b w:val="0"/>
                <w:bCs w:val="0"/>
                <w:i/>
                <w:iCs/>
              </w:rPr>
              <w:t xml:space="preserve"> </w:t>
            </w:r>
            <w:proofErr w:type="spellStart"/>
            <w:r w:rsidRPr="00824F4B">
              <w:rPr>
                <w:rStyle w:val="Strong"/>
                <w:rFonts w:ascii="Arial" w:hAnsi="Arial" w:cs="Arial"/>
                <w:b w:val="0"/>
                <w:bCs w:val="0"/>
                <w:i/>
                <w:iCs/>
              </w:rPr>
              <w:t>rohita</w:t>
            </w:r>
            <w:proofErr w:type="spellEnd"/>
            <w:r w:rsidRPr="00824F4B">
              <w:rPr>
                <w:rStyle w:val="Strong"/>
                <w:rFonts w:ascii="Arial" w:hAnsi="Arial" w:cs="Arial"/>
                <w:b w:val="0"/>
                <w:bCs w:val="0"/>
              </w:rPr>
              <w:t xml:space="preserve"> collected from two distinct aquatic habitats Ganga River and Bhimsen Pond. Fish of similar age and weight were selected, and the study was conducted during the summer, rainy, and winter seasons. Blood samples were collected by cardiac puncture and used for </w:t>
            </w:r>
            <w:proofErr w:type="spellStart"/>
            <w:r w:rsidR="009E7307">
              <w:rPr>
                <w:rStyle w:val="Strong"/>
                <w:rFonts w:ascii="Arial" w:hAnsi="Arial" w:cs="Arial"/>
                <w:b w:val="0"/>
                <w:bCs w:val="0"/>
              </w:rPr>
              <w:t>haematological</w:t>
            </w:r>
            <w:proofErr w:type="spellEnd"/>
            <w:r w:rsidRPr="00824F4B">
              <w:rPr>
                <w:rStyle w:val="Strong"/>
                <w:rFonts w:ascii="Arial" w:hAnsi="Arial" w:cs="Arial"/>
                <w:b w:val="0"/>
                <w:bCs w:val="0"/>
              </w:rPr>
              <w:t xml:space="preserve"> and biochemical analyses. </w:t>
            </w:r>
            <w:proofErr w:type="spellStart"/>
            <w:r w:rsidR="009E7307">
              <w:rPr>
                <w:rStyle w:val="Strong"/>
                <w:rFonts w:ascii="Arial" w:hAnsi="Arial" w:cs="Arial"/>
                <w:b w:val="0"/>
                <w:bCs w:val="0"/>
              </w:rPr>
              <w:t>Haematological</w:t>
            </w:r>
            <w:proofErr w:type="spellEnd"/>
            <w:r w:rsidRPr="00824F4B">
              <w:rPr>
                <w:rStyle w:val="Strong"/>
                <w:rFonts w:ascii="Arial" w:hAnsi="Arial" w:cs="Arial"/>
                <w:b w:val="0"/>
                <w:bCs w:val="0"/>
              </w:rPr>
              <w:t xml:space="preserve"> parameters including Hemoglobin (Hb), Total Erythrocyte Count (RBC), Total Leucocyte Count (WBC), and Hematocrit (HCT) were estimated using standard protocols. Serum was separated and analyzed for protein, glucose, cholesterol, and triglycerides. Additionally, muscle tissu</w:t>
            </w:r>
            <w:bookmarkStart w:id="0" w:name="_GoBack"/>
            <w:bookmarkEnd w:id="0"/>
            <w:r w:rsidRPr="00824F4B">
              <w:rPr>
                <w:rStyle w:val="Strong"/>
                <w:rFonts w:ascii="Arial" w:hAnsi="Arial" w:cs="Arial"/>
                <w:b w:val="0"/>
                <w:bCs w:val="0"/>
              </w:rPr>
              <w:t xml:space="preserve">e samples were homogenized and analyzed for protein, glycogen and lipid content. Statistical analysis was performed using ANOVA, and a p-value &lt; 0.05 was considered significant. The results showed significant seasonal fluctuations in </w:t>
            </w:r>
            <w:proofErr w:type="spellStart"/>
            <w:r w:rsidR="009E7307">
              <w:rPr>
                <w:rStyle w:val="Strong"/>
                <w:rFonts w:ascii="Arial" w:hAnsi="Arial" w:cs="Arial"/>
                <w:b w:val="0"/>
                <w:bCs w:val="0"/>
              </w:rPr>
              <w:t>haematological</w:t>
            </w:r>
            <w:proofErr w:type="spellEnd"/>
            <w:r w:rsidRPr="00824F4B">
              <w:rPr>
                <w:rStyle w:val="Strong"/>
                <w:rFonts w:ascii="Arial" w:hAnsi="Arial" w:cs="Arial"/>
                <w:b w:val="0"/>
                <w:bCs w:val="0"/>
              </w:rPr>
              <w:t xml:space="preserve"> parameters. Highest </w:t>
            </w:r>
            <w:proofErr w:type="spellStart"/>
            <w:r w:rsidRPr="00824F4B">
              <w:rPr>
                <w:rStyle w:val="Strong"/>
                <w:rFonts w:ascii="Arial" w:hAnsi="Arial" w:cs="Arial"/>
                <w:b w:val="0"/>
                <w:bCs w:val="0"/>
              </w:rPr>
              <w:t>valueswere</w:t>
            </w:r>
            <w:proofErr w:type="spellEnd"/>
            <w:r w:rsidRPr="00824F4B">
              <w:rPr>
                <w:rStyle w:val="Strong"/>
                <w:rFonts w:ascii="Arial" w:hAnsi="Arial" w:cs="Arial"/>
                <w:b w:val="0"/>
                <w:bCs w:val="0"/>
              </w:rPr>
              <w:t xml:space="preserve"> found in summer and lowest in winter. Hb levels in river fish decreased from 7.86 g/dl in summer to 5.46 g/dl in winter (p = 7.98E-06). Similarly, RBCs, WBCs, and HCT also declined significantly with season. However, serum biochemical parameters (protein, glucose, cholesterol, and triglycerides) and muscle biochemical parameters (protein, glycogen, and lipid) did not reveal statistically significant seasonal variations (p &gt; 0.05</w:t>
            </w:r>
            <w:proofErr w:type="gramStart"/>
            <w:r w:rsidRPr="00824F4B">
              <w:rPr>
                <w:rStyle w:val="Strong"/>
                <w:rFonts w:ascii="Arial" w:hAnsi="Arial" w:cs="Arial"/>
                <w:b w:val="0"/>
                <w:bCs w:val="0"/>
              </w:rPr>
              <w:t>).Decreasing</w:t>
            </w:r>
            <w:proofErr w:type="gramEnd"/>
            <w:r w:rsidRPr="00824F4B">
              <w:rPr>
                <w:rStyle w:val="Strong"/>
                <w:rFonts w:ascii="Arial" w:hAnsi="Arial" w:cs="Arial"/>
                <w:b w:val="0"/>
                <w:bCs w:val="0"/>
              </w:rPr>
              <w:t xml:space="preserve"> trends were found from summer to winter. This study highlights that </w:t>
            </w:r>
            <w:proofErr w:type="spellStart"/>
            <w:r w:rsidR="009E7307">
              <w:rPr>
                <w:rStyle w:val="Strong"/>
                <w:rFonts w:ascii="Arial" w:hAnsi="Arial" w:cs="Arial"/>
                <w:b w:val="0"/>
                <w:bCs w:val="0"/>
              </w:rPr>
              <w:t>haematological</w:t>
            </w:r>
            <w:proofErr w:type="spellEnd"/>
            <w:r w:rsidRPr="00824F4B">
              <w:rPr>
                <w:rStyle w:val="Strong"/>
                <w:rFonts w:ascii="Arial" w:hAnsi="Arial" w:cs="Arial"/>
                <w:b w:val="0"/>
                <w:bCs w:val="0"/>
              </w:rPr>
              <w:t xml:space="preserve"> indices are more sensitive indicators of seasonal physiological responses in </w:t>
            </w:r>
            <w:proofErr w:type="spellStart"/>
            <w:r w:rsidRPr="00824F4B">
              <w:rPr>
                <w:rStyle w:val="Strong"/>
                <w:rFonts w:ascii="Arial" w:hAnsi="Arial" w:cs="Arial"/>
                <w:b w:val="0"/>
                <w:bCs w:val="0"/>
                <w:i/>
                <w:iCs/>
              </w:rPr>
              <w:t>Labeo</w:t>
            </w:r>
            <w:proofErr w:type="spellEnd"/>
            <w:r w:rsidRPr="00824F4B">
              <w:rPr>
                <w:rStyle w:val="Strong"/>
                <w:rFonts w:ascii="Arial" w:hAnsi="Arial" w:cs="Arial"/>
                <w:b w:val="0"/>
                <w:bCs w:val="0"/>
                <w:i/>
                <w:iCs/>
              </w:rPr>
              <w:t xml:space="preserve"> </w:t>
            </w:r>
            <w:proofErr w:type="spellStart"/>
            <w:r w:rsidRPr="00824F4B">
              <w:rPr>
                <w:rStyle w:val="Strong"/>
                <w:rFonts w:ascii="Arial" w:hAnsi="Arial" w:cs="Arial"/>
                <w:b w:val="0"/>
                <w:bCs w:val="0"/>
                <w:i/>
                <w:iCs/>
              </w:rPr>
              <w:t>rohita</w:t>
            </w:r>
            <w:proofErr w:type="spellEnd"/>
            <w:r w:rsidRPr="00824F4B">
              <w:rPr>
                <w:rStyle w:val="Strong"/>
                <w:rFonts w:ascii="Arial" w:hAnsi="Arial" w:cs="Arial"/>
                <w:b w:val="0"/>
                <w:bCs w:val="0"/>
                <w:i/>
                <w:iCs/>
              </w:rPr>
              <w:t xml:space="preserve"> </w:t>
            </w:r>
            <w:r w:rsidRPr="00824F4B">
              <w:rPr>
                <w:rStyle w:val="Strong"/>
                <w:rFonts w:ascii="Arial" w:hAnsi="Arial" w:cs="Arial"/>
                <w:b w:val="0"/>
                <w:bCs w:val="0"/>
              </w:rPr>
              <w:t>than serum or muscle biochemistry, and such fluctuations may be influenced by environmental changes across seasons.</w:t>
            </w:r>
          </w:p>
        </w:tc>
      </w:tr>
    </w:tbl>
    <w:p w14:paraId="651573F9" w14:textId="77777777" w:rsidR="00D3127C" w:rsidRPr="00824F4B" w:rsidRDefault="00C65C90" w:rsidP="00DB6C1C">
      <w:pPr>
        <w:pStyle w:val="NormalWeb"/>
        <w:jc w:val="both"/>
        <w:rPr>
          <w:rFonts w:ascii="Arial" w:hAnsi="Arial" w:cs="Arial"/>
          <w:sz w:val="20"/>
          <w:szCs w:val="20"/>
        </w:rPr>
      </w:pPr>
      <w:r w:rsidRPr="00B9545F">
        <w:rPr>
          <w:rStyle w:val="Heading2Char"/>
          <w:rFonts w:ascii="Arial" w:hAnsi="Arial" w:cs="Arial"/>
          <w:b w:val="0"/>
          <w:bCs w:val="0"/>
          <w:color w:val="auto"/>
          <w:sz w:val="20"/>
          <w:szCs w:val="20"/>
        </w:rPr>
        <w:t>Keywords</w:t>
      </w:r>
      <w:r w:rsidRPr="00B9545F">
        <w:rPr>
          <w:rFonts w:ascii="Arial" w:hAnsi="Arial" w:cs="Arial"/>
          <w:b/>
          <w:bCs/>
          <w:sz w:val="20"/>
          <w:szCs w:val="20"/>
        </w:rPr>
        <w:t>:</w:t>
      </w:r>
      <w:r w:rsidR="008513D0" w:rsidRPr="00A34F73">
        <w:rPr>
          <w:rFonts w:ascii="Arial" w:hAnsi="Arial" w:cs="Arial"/>
          <w:sz w:val="20"/>
          <w:szCs w:val="20"/>
        </w:rPr>
        <w:t xml:space="preserve"> </w:t>
      </w:r>
      <w:r w:rsidRPr="00A34F73">
        <w:rPr>
          <w:rFonts w:ascii="Arial" w:hAnsi="Arial" w:cs="Arial"/>
          <w:sz w:val="20"/>
          <w:szCs w:val="20"/>
        </w:rPr>
        <w:t>H</w:t>
      </w:r>
      <w:r w:rsidR="00D3127C" w:rsidRPr="00A34F73">
        <w:rPr>
          <w:rFonts w:ascii="Arial" w:hAnsi="Arial" w:cs="Arial"/>
          <w:sz w:val="20"/>
          <w:szCs w:val="20"/>
        </w:rPr>
        <w:t>e</w:t>
      </w:r>
      <w:r w:rsidR="00D3127C" w:rsidRPr="00824F4B">
        <w:rPr>
          <w:rFonts w:ascii="Arial" w:hAnsi="Arial" w:cs="Arial"/>
          <w:sz w:val="20"/>
          <w:szCs w:val="20"/>
        </w:rPr>
        <w:t xml:space="preserve">matology, </w:t>
      </w:r>
      <w:proofErr w:type="spellStart"/>
      <w:r w:rsidR="00E53901" w:rsidRPr="00824F4B">
        <w:rPr>
          <w:rFonts w:ascii="Arial" w:hAnsi="Arial" w:cs="Arial"/>
          <w:i/>
          <w:iCs/>
          <w:sz w:val="20"/>
          <w:szCs w:val="20"/>
        </w:rPr>
        <w:t>Labeo</w:t>
      </w:r>
      <w:proofErr w:type="spellEnd"/>
      <w:r w:rsidR="00E53901" w:rsidRPr="00824F4B">
        <w:rPr>
          <w:rFonts w:ascii="Arial" w:hAnsi="Arial" w:cs="Arial"/>
          <w:i/>
          <w:iCs/>
          <w:sz w:val="20"/>
          <w:szCs w:val="20"/>
        </w:rPr>
        <w:t xml:space="preserve"> </w:t>
      </w:r>
      <w:proofErr w:type="spellStart"/>
      <w:r w:rsidR="00E53901" w:rsidRPr="00824F4B">
        <w:rPr>
          <w:rFonts w:ascii="Arial" w:hAnsi="Arial" w:cs="Arial"/>
          <w:i/>
          <w:iCs/>
          <w:sz w:val="20"/>
          <w:szCs w:val="20"/>
        </w:rPr>
        <w:t>rohita</w:t>
      </w:r>
      <w:proofErr w:type="spellEnd"/>
      <w:r w:rsidR="00D3127C" w:rsidRPr="00824F4B">
        <w:rPr>
          <w:rFonts w:ascii="Arial" w:hAnsi="Arial" w:cs="Arial"/>
          <w:sz w:val="20"/>
          <w:szCs w:val="20"/>
        </w:rPr>
        <w:t>, seasonal variation, biochemical p</w:t>
      </w:r>
      <w:r w:rsidR="00254AA9" w:rsidRPr="00824F4B">
        <w:rPr>
          <w:rFonts w:ascii="Arial" w:hAnsi="Arial" w:cs="Arial"/>
          <w:sz w:val="20"/>
          <w:szCs w:val="20"/>
        </w:rPr>
        <w:t>arameters, environmental stress,</w:t>
      </w:r>
      <w:r w:rsidR="000110AF" w:rsidRPr="00824F4B">
        <w:rPr>
          <w:rFonts w:ascii="Arial" w:hAnsi="Arial" w:cs="Arial"/>
          <w:sz w:val="20"/>
          <w:szCs w:val="20"/>
        </w:rPr>
        <w:t xml:space="preserve"> reproductive status, insecticide.</w:t>
      </w:r>
    </w:p>
    <w:p w14:paraId="651573FA" w14:textId="1948B038" w:rsidR="00C31737" w:rsidRPr="00824F4B" w:rsidRDefault="00E86830" w:rsidP="000A4FBB">
      <w:pPr>
        <w:pStyle w:val="Heading1"/>
        <w:rPr>
          <w:rFonts w:ascii="Arial" w:hAnsi="Arial"/>
          <w:sz w:val="22"/>
          <w:szCs w:val="22"/>
        </w:rPr>
      </w:pPr>
      <w:r>
        <w:rPr>
          <w:rFonts w:ascii="Arial" w:hAnsi="Arial"/>
          <w:sz w:val="22"/>
          <w:szCs w:val="22"/>
        </w:rPr>
        <w:t xml:space="preserve">1. </w:t>
      </w:r>
      <w:r w:rsidR="00925133" w:rsidRPr="00824F4B">
        <w:rPr>
          <w:rFonts w:ascii="Arial" w:hAnsi="Arial"/>
          <w:sz w:val="22"/>
          <w:szCs w:val="22"/>
        </w:rPr>
        <w:t>INTRODUCTION</w:t>
      </w:r>
    </w:p>
    <w:p w14:paraId="651573FB" w14:textId="0C253C3F" w:rsidR="00B9203D" w:rsidRPr="00824F4B" w:rsidRDefault="00E53901" w:rsidP="000E1558">
      <w:pPr>
        <w:pStyle w:val="NormalWeb"/>
        <w:spacing w:before="0" w:beforeAutospacing="0" w:after="0" w:afterAutospacing="0" w:line="276" w:lineRule="auto"/>
        <w:jc w:val="both"/>
        <w:rPr>
          <w:rFonts w:ascii="Arial" w:hAnsi="Arial" w:cs="Arial"/>
          <w:sz w:val="20"/>
          <w:szCs w:val="20"/>
        </w:rPr>
      </w:pP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00B9203D" w:rsidRPr="00824F4B">
        <w:rPr>
          <w:rFonts w:ascii="Arial" w:hAnsi="Arial" w:cs="Arial"/>
          <w:sz w:val="20"/>
          <w:szCs w:val="20"/>
        </w:rPr>
        <w:t xml:space="preserve">, commonly known as Rohu, is a major freshwater carp species widely cultured in India. It is highly valued for its rapid growth, adaptability, and nutritional quality. As a key species in </w:t>
      </w:r>
      <w:r w:rsidR="006114EB" w:rsidRPr="00824F4B">
        <w:rPr>
          <w:rFonts w:ascii="Arial" w:hAnsi="Arial" w:cs="Arial"/>
          <w:sz w:val="20"/>
          <w:szCs w:val="20"/>
        </w:rPr>
        <w:t>polyculture</w:t>
      </w:r>
      <w:r w:rsidR="00B9203D" w:rsidRPr="00824F4B">
        <w:rPr>
          <w:rFonts w:ascii="Arial" w:hAnsi="Arial" w:cs="Arial"/>
          <w:sz w:val="20"/>
          <w:szCs w:val="20"/>
        </w:rPr>
        <w:t xml:space="preserve"> systems,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00B9203D" w:rsidRPr="00824F4B">
        <w:rPr>
          <w:rFonts w:ascii="Arial" w:hAnsi="Arial" w:cs="Arial"/>
          <w:sz w:val="20"/>
          <w:szCs w:val="20"/>
        </w:rPr>
        <w:t xml:space="preserve"> plays a vital role in Indian aquaculture and contributes significantly to inland fish production (FAO, 2020). Estimation of </w:t>
      </w:r>
      <w:proofErr w:type="spellStart"/>
      <w:r w:rsidR="009E7307">
        <w:rPr>
          <w:rFonts w:ascii="Arial" w:hAnsi="Arial" w:cs="Arial"/>
          <w:sz w:val="20"/>
          <w:szCs w:val="20"/>
        </w:rPr>
        <w:t>haematological</w:t>
      </w:r>
      <w:proofErr w:type="spellEnd"/>
      <w:r w:rsidR="00B9203D" w:rsidRPr="00824F4B">
        <w:rPr>
          <w:rFonts w:ascii="Arial" w:hAnsi="Arial" w:cs="Arial"/>
          <w:sz w:val="20"/>
          <w:szCs w:val="20"/>
        </w:rPr>
        <w:t>, serum, and biochemical parameters is crucial for evaluating the physiological and health status of fish (Hrubec and Smith, 2000). These values can vary significantly depending on environmental conditions, water quality, and habitat type (Kori-</w:t>
      </w:r>
      <w:proofErr w:type="spellStart"/>
      <w:r w:rsidR="00B9203D" w:rsidRPr="00824F4B">
        <w:rPr>
          <w:rFonts w:ascii="Arial" w:hAnsi="Arial" w:cs="Arial"/>
          <w:sz w:val="20"/>
          <w:szCs w:val="20"/>
        </w:rPr>
        <w:t>Siakpere</w:t>
      </w:r>
      <w:proofErr w:type="spellEnd"/>
      <w:r w:rsidR="00B9203D" w:rsidRPr="00824F4B">
        <w:rPr>
          <w:rFonts w:ascii="Arial" w:hAnsi="Arial" w:cs="Arial"/>
          <w:sz w:val="20"/>
          <w:szCs w:val="20"/>
        </w:rPr>
        <w:t xml:space="preserve"> and </w:t>
      </w:r>
      <w:proofErr w:type="spellStart"/>
      <w:r w:rsidR="00B9203D" w:rsidRPr="00824F4B">
        <w:rPr>
          <w:rFonts w:ascii="Arial" w:hAnsi="Arial" w:cs="Arial"/>
          <w:sz w:val="20"/>
          <w:szCs w:val="20"/>
        </w:rPr>
        <w:t>Ubogu</w:t>
      </w:r>
      <w:proofErr w:type="spellEnd"/>
      <w:r w:rsidR="00B9203D" w:rsidRPr="00824F4B">
        <w:rPr>
          <w:rFonts w:ascii="Arial" w:hAnsi="Arial" w:cs="Arial"/>
          <w:sz w:val="20"/>
          <w:szCs w:val="20"/>
        </w:rPr>
        <w:t xml:space="preserve">, 2008). In particular, fish reared in pond water often experience different stress levels, nutritional inputs, and exposure to pollutants compared to those inhabiting natural river systems. River water fish are typically exposed to more dynamic and natural ecosystems, which may influence their metabolic and immune responses differently than cultured pond fish. Comparing these parameters in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00B9203D" w:rsidRPr="00824F4B">
        <w:rPr>
          <w:rFonts w:ascii="Arial" w:hAnsi="Arial" w:cs="Arial"/>
          <w:sz w:val="20"/>
          <w:szCs w:val="20"/>
        </w:rPr>
        <w:t xml:space="preserve"> from river and pond environments provides insight into how habitat influences fish health, growth, and adaptability. Such comparative studies are crucial for optimizing aquaculture practices and understanding the ecological impact of different aquatic habitats on fish biology. Physicochemical parameters also play a crucial role in regulating the physiology of fish in various climatic conditions (</w:t>
      </w:r>
      <w:r w:rsidR="008513D0" w:rsidRPr="00824F4B">
        <w:rPr>
          <w:rFonts w:ascii="Arial" w:hAnsi="Arial" w:cs="Arial"/>
          <w:sz w:val="20"/>
          <w:szCs w:val="20"/>
        </w:rPr>
        <w:t xml:space="preserve">Verma, 2019; </w:t>
      </w:r>
      <w:r w:rsidR="00B9203D" w:rsidRPr="00824F4B">
        <w:rPr>
          <w:rFonts w:ascii="Arial" w:hAnsi="Arial" w:cs="Arial"/>
          <w:sz w:val="20"/>
          <w:szCs w:val="20"/>
        </w:rPr>
        <w:t>Hemprabha and Arya, 2025).</w:t>
      </w:r>
    </w:p>
    <w:p w14:paraId="651573FC" w14:textId="7F73D331" w:rsidR="00B9203D" w:rsidRPr="00824F4B" w:rsidRDefault="009E7307" w:rsidP="00D14D8D">
      <w:pPr>
        <w:pStyle w:val="NormalWeb"/>
        <w:spacing w:before="0" w:beforeAutospacing="0" w:after="0" w:afterAutospacing="0" w:line="276" w:lineRule="auto"/>
        <w:ind w:firstLine="720"/>
        <w:jc w:val="both"/>
        <w:rPr>
          <w:rFonts w:ascii="Arial" w:hAnsi="Arial" w:cs="Arial"/>
          <w:sz w:val="20"/>
          <w:szCs w:val="20"/>
        </w:rPr>
      </w:pPr>
      <w:proofErr w:type="spellStart"/>
      <w:r>
        <w:rPr>
          <w:rFonts w:ascii="Arial" w:hAnsi="Arial" w:cs="Arial"/>
          <w:sz w:val="20"/>
          <w:szCs w:val="20"/>
        </w:rPr>
        <w:t>Haematological</w:t>
      </w:r>
      <w:proofErr w:type="spellEnd"/>
      <w:r w:rsidR="00B9203D" w:rsidRPr="00824F4B">
        <w:rPr>
          <w:rFonts w:ascii="Arial" w:hAnsi="Arial" w:cs="Arial"/>
          <w:sz w:val="20"/>
          <w:szCs w:val="20"/>
        </w:rPr>
        <w:t xml:space="preserve"> parameters in fish are influenced by multiple factors, including sex, reproductive status, environmental conditions, age, stress, habitat, temperature, </w:t>
      </w:r>
      <w:r w:rsidR="00FE5FE6" w:rsidRPr="00824F4B">
        <w:rPr>
          <w:rFonts w:ascii="Arial" w:hAnsi="Arial" w:cs="Arial"/>
          <w:sz w:val="20"/>
          <w:szCs w:val="20"/>
        </w:rPr>
        <w:t>and species type (</w:t>
      </w:r>
      <w:proofErr w:type="spellStart"/>
      <w:r w:rsidR="00FE5FE6" w:rsidRPr="00824F4B">
        <w:rPr>
          <w:rFonts w:ascii="Arial" w:hAnsi="Arial" w:cs="Arial"/>
          <w:sz w:val="20"/>
          <w:szCs w:val="20"/>
        </w:rPr>
        <w:t>Blaxhall</w:t>
      </w:r>
      <w:proofErr w:type="spellEnd"/>
      <w:r w:rsidR="00FE5FE6" w:rsidRPr="00824F4B">
        <w:rPr>
          <w:rFonts w:ascii="Arial" w:hAnsi="Arial" w:cs="Arial"/>
          <w:sz w:val="20"/>
          <w:szCs w:val="20"/>
        </w:rPr>
        <w:t>, 2006</w:t>
      </w:r>
      <w:r w:rsidR="00566DFD" w:rsidRPr="00824F4B">
        <w:rPr>
          <w:rFonts w:ascii="Arial" w:hAnsi="Arial" w:cs="Arial"/>
          <w:sz w:val="20"/>
          <w:szCs w:val="20"/>
        </w:rPr>
        <w:t xml:space="preserve">; </w:t>
      </w:r>
      <w:r w:rsidR="009176F1" w:rsidRPr="00824F4B">
        <w:rPr>
          <w:rFonts w:ascii="Arial" w:hAnsi="Arial" w:cs="Arial"/>
          <w:sz w:val="20"/>
          <w:szCs w:val="20"/>
        </w:rPr>
        <w:t xml:space="preserve">Prakash and Verma, 2018; </w:t>
      </w:r>
      <w:r w:rsidR="00196520" w:rsidRPr="00824F4B">
        <w:rPr>
          <w:rFonts w:ascii="Arial" w:hAnsi="Arial" w:cs="Arial"/>
          <w:bCs/>
          <w:sz w:val="20"/>
          <w:szCs w:val="20"/>
          <w:shd w:val="clear" w:color="auto" w:fill="FFFFFF"/>
        </w:rPr>
        <w:t>Singh and Pandey</w:t>
      </w:r>
      <w:r w:rsidR="00566DFD" w:rsidRPr="00824F4B">
        <w:rPr>
          <w:rFonts w:ascii="Arial" w:hAnsi="Arial" w:cs="Arial"/>
          <w:sz w:val="20"/>
          <w:szCs w:val="20"/>
        </w:rPr>
        <w:t>, 20</w:t>
      </w:r>
      <w:r w:rsidR="00196520" w:rsidRPr="00824F4B">
        <w:rPr>
          <w:rFonts w:ascii="Arial" w:hAnsi="Arial" w:cs="Arial"/>
          <w:sz w:val="20"/>
          <w:szCs w:val="20"/>
        </w:rPr>
        <w:t>23</w:t>
      </w:r>
      <w:r w:rsidR="00B9203D" w:rsidRPr="00824F4B">
        <w:rPr>
          <w:rFonts w:ascii="Arial" w:hAnsi="Arial" w:cs="Arial"/>
          <w:sz w:val="20"/>
          <w:szCs w:val="20"/>
        </w:rPr>
        <w:t>). It is also influenced by different insecticides, pesticides</w:t>
      </w:r>
      <w:r w:rsidR="00196520" w:rsidRPr="00824F4B">
        <w:rPr>
          <w:rFonts w:ascii="Arial" w:hAnsi="Arial" w:cs="Arial"/>
          <w:sz w:val="20"/>
          <w:szCs w:val="20"/>
        </w:rPr>
        <w:t xml:space="preserve"> </w:t>
      </w:r>
      <w:r w:rsidR="00B9203D" w:rsidRPr="00824F4B">
        <w:rPr>
          <w:rFonts w:ascii="Arial" w:hAnsi="Arial" w:cs="Arial"/>
          <w:sz w:val="20"/>
          <w:szCs w:val="20"/>
        </w:rPr>
        <w:t>and heavy metals, which come from different sources in rivers and ponds (Shukla and Arya, 2017</w:t>
      </w:r>
      <w:r w:rsidR="002F4BAC" w:rsidRPr="00824F4B">
        <w:rPr>
          <w:rFonts w:ascii="Arial" w:hAnsi="Arial" w:cs="Arial"/>
          <w:sz w:val="20"/>
          <w:szCs w:val="20"/>
        </w:rPr>
        <w:t>; Verma and Prakash, 2018; Prakash and Verma, 2020</w:t>
      </w:r>
      <w:r w:rsidR="009176F1" w:rsidRPr="00824F4B">
        <w:rPr>
          <w:rFonts w:ascii="Arial" w:hAnsi="Arial" w:cs="Arial"/>
          <w:sz w:val="20"/>
          <w:szCs w:val="20"/>
        </w:rPr>
        <w:t>a</w:t>
      </w:r>
      <w:r w:rsidR="00196520" w:rsidRPr="00824F4B">
        <w:rPr>
          <w:rFonts w:ascii="Arial" w:hAnsi="Arial" w:cs="Arial"/>
          <w:sz w:val="20"/>
          <w:szCs w:val="20"/>
        </w:rPr>
        <w:t xml:space="preserve">; </w:t>
      </w:r>
      <w:r w:rsidR="00196520" w:rsidRPr="00824F4B">
        <w:rPr>
          <w:rFonts w:ascii="Arial" w:hAnsi="Arial" w:cs="Arial"/>
          <w:bCs/>
          <w:sz w:val="20"/>
          <w:szCs w:val="20"/>
        </w:rPr>
        <w:t>Masih, 2021; Kumar, 2022</w:t>
      </w:r>
      <w:r w:rsidR="00CC3098" w:rsidRPr="00824F4B">
        <w:rPr>
          <w:rFonts w:ascii="Arial" w:hAnsi="Arial" w:cs="Arial"/>
          <w:bCs/>
          <w:sz w:val="20"/>
          <w:szCs w:val="20"/>
        </w:rPr>
        <w:t xml:space="preserve">; Singh </w:t>
      </w:r>
      <w:r w:rsidR="00623A63" w:rsidRPr="00824F4B">
        <w:rPr>
          <w:rFonts w:ascii="Arial" w:hAnsi="Arial" w:cs="Arial"/>
          <w:bCs/>
          <w:i/>
          <w:iCs/>
          <w:sz w:val="20"/>
          <w:szCs w:val="20"/>
        </w:rPr>
        <w:t>et al.</w:t>
      </w:r>
      <w:r w:rsidR="00CC3098" w:rsidRPr="00824F4B">
        <w:rPr>
          <w:rFonts w:ascii="Arial" w:hAnsi="Arial" w:cs="Arial"/>
          <w:bCs/>
          <w:sz w:val="20"/>
          <w:szCs w:val="20"/>
        </w:rPr>
        <w:t>, 2023</w:t>
      </w:r>
      <w:r w:rsidR="00B9203D" w:rsidRPr="00824F4B">
        <w:rPr>
          <w:rFonts w:ascii="Arial" w:hAnsi="Arial" w:cs="Arial"/>
          <w:sz w:val="20"/>
          <w:szCs w:val="20"/>
        </w:rPr>
        <w:t xml:space="preserve">). </w:t>
      </w:r>
      <w:r w:rsidR="00196520" w:rsidRPr="00824F4B">
        <w:rPr>
          <w:rFonts w:ascii="Arial" w:hAnsi="Arial" w:cs="Arial"/>
          <w:sz w:val="20"/>
          <w:szCs w:val="20"/>
        </w:rPr>
        <w:t>Besides, arsenic also influences the different aspects of physiology of fish (</w:t>
      </w:r>
      <w:r w:rsidR="00D7284E" w:rsidRPr="00824F4B">
        <w:rPr>
          <w:rFonts w:ascii="Arial" w:hAnsi="Arial" w:cs="Arial"/>
          <w:sz w:val="20"/>
          <w:szCs w:val="20"/>
        </w:rPr>
        <w:t>Verma and Prakash,</w:t>
      </w:r>
      <w:r w:rsidR="009176F1" w:rsidRPr="00824F4B">
        <w:rPr>
          <w:rFonts w:ascii="Arial" w:hAnsi="Arial" w:cs="Arial"/>
          <w:sz w:val="20"/>
          <w:szCs w:val="20"/>
        </w:rPr>
        <w:t xml:space="preserve"> </w:t>
      </w:r>
      <w:r w:rsidR="00D7284E" w:rsidRPr="00824F4B">
        <w:rPr>
          <w:rFonts w:ascii="Arial" w:hAnsi="Arial" w:cs="Arial"/>
          <w:sz w:val="20"/>
          <w:szCs w:val="20"/>
        </w:rPr>
        <w:t>2019</w:t>
      </w:r>
      <w:r w:rsidR="009176F1" w:rsidRPr="00824F4B">
        <w:rPr>
          <w:rFonts w:ascii="Arial" w:hAnsi="Arial" w:cs="Arial"/>
          <w:sz w:val="20"/>
          <w:szCs w:val="20"/>
        </w:rPr>
        <w:t xml:space="preserve">; Prakash and </w:t>
      </w:r>
      <w:r w:rsidR="009176F1" w:rsidRPr="00824F4B">
        <w:rPr>
          <w:rFonts w:ascii="Arial" w:hAnsi="Arial" w:cs="Arial"/>
          <w:bCs/>
          <w:sz w:val="20"/>
          <w:szCs w:val="20"/>
          <w:lang w:val="en-IN" w:eastAsia="en-IN"/>
        </w:rPr>
        <w:t xml:space="preserve">Verma, </w:t>
      </w:r>
      <w:r w:rsidR="009176F1" w:rsidRPr="00824F4B">
        <w:rPr>
          <w:rFonts w:ascii="Arial" w:hAnsi="Arial" w:cs="Arial"/>
          <w:bCs/>
          <w:sz w:val="20"/>
          <w:szCs w:val="20"/>
        </w:rPr>
        <w:t>2020b</w:t>
      </w:r>
      <w:r w:rsidR="00196520" w:rsidRPr="00824F4B">
        <w:rPr>
          <w:rFonts w:ascii="Arial" w:hAnsi="Arial" w:cs="Arial"/>
          <w:sz w:val="20"/>
          <w:szCs w:val="20"/>
        </w:rPr>
        <w:t xml:space="preserve">). </w:t>
      </w:r>
      <w:r w:rsidR="00B9203D" w:rsidRPr="00824F4B">
        <w:rPr>
          <w:rFonts w:ascii="Arial" w:hAnsi="Arial" w:cs="Arial"/>
          <w:sz w:val="20"/>
          <w:szCs w:val="20"/>
        </w:rPr>
        <w:t xml:space="preserve">Hematology serves as a crucial biomarker in various scientific fields like environmental monitoring, toxicology, risk assessment, and health evaluations (Naz </w:t>
      </w:r>
      <w:r w:rsidR="00623A63" w:rsidRPr="00824F4B">
        <w:rPr>
          <w:rFonts w:ascii="Arial" w:hAnsi="Arial" w:cs="Arial"/>
          <w:i/>
          <w:iCs/>
          <w:sz w:val="20"/>
          <w:szCs w:val="20"/>
        </w:rPr>
        <w:t>et al.</w:t>
      </w:r>
      <w:r w:rsidR="00B9203D" w:rsidRPr="00824F4B">
        <w:rPr>
          <w:rFonts w:ascii="Arial" w:hAnsi="Arial" w:cs="Arial"/>
          <w:sz w:val="20"/>
          <w:szCs w:val="20"/>
        </w:rPr>
        <w:t xml:space="preserve">, 2021). The study of </w:t>
      </w:r>
      <w:proofErr w:type="spellStart"/>
      <w:r>
        <w:rPr>
          <w:rFonts w:ascii="Arial" w:hAnsi="Arial" w:cs="Arial"/>
          <w:sz w:val="20"/>
          <w:szCs w:val="20"/>
        </w:rPr>
        <w:t>haematological</w:t>
      </w:r>
      <w:proofErr w:type="spellEnd"/>
      <w:r w:rsidR="00B9203D" w:rsidRPr="00824F4B">
        <w:rPr>
          <w:rFonts w:ascii="Arial" w:hAnsi="Arial" w:cs="Arial"/>
          <w:sz w:val="20"/>
          <w:szCs w:val="20"/>
        </w:rPr>
        <w:t xml:space="preserve"> parameters is often based on the fish's species, age, health, and habitat (</w:t>
      </w:r>
      <w:proofErr w:type="spellStart"/>
      <w:r w:rsidR="00B9203D" w:rsidRPr="00824F4B">
        <w:rPr>
          <w:rFonts w:ascii="Arial" w:hAnsi="Arial" w:cs="Arial"/>
          <w:sz w:val="20"/>
          <w:szCs w:val="20"/>
        </w:rPr>
        <w:t>Patriche</w:t>
      </w:r>
      <w:proofErr w:type="spellEnd"/>
      <w:r w:rsidR="00B9203D" w:rsidRPr="00824F4B">
        <w:rPr>
          <w:rFonts w:ascii="Arial" w:hAnsi="Arial" w:cs="Arial"/>
          <w:sz w:val="20"/>
          <w:szCs w:val="20"/>
        </w:rPr>
        <w:t xml:space="preserve"> </w:t>
      </w:r>
      <w:r w:rsidR="00623A63" w:rsidRPr="00824F4B">
        <w:rPr>
          <w:rFonts w:ascii="Arial" w:hAnsi="Arial" w:cs="Arial"/>
          <w:i/>
          <w:iCs/>
          <w:sz w:val="20"/>
          <w:szCs w:val="20"/>
        </w:rPr>
        <w:t>et al.</w:t>
      </w:r>
      <w:r w:rsidR="00B9203D" w:rsidRPr="00824F4B">
        <w:rPr>
          <w:rFonts w:ascii="Arial" w:hAnsi="Arial" w:cs="Arial"/>
          <w:sz w:val="20"/>
          <w:szCs w:val="20"/>
        </w:rPr>
        <w:t xml:space="preserve">, 2011; Kumar </w:t>
      </w:r>
      <w:r w:rsidR="00623A63" w:rsidRPr="00824F4B">
        <w:rPr>
          <w:rFonts w:ascii="Arial" w:hAnsi="Arial" w:cs="Arial"/>
          <w:i/>
          <w:iCs/>
          <w:sz w:val="20"/>
          <w:szCs w:val="20"/>
        </w:rPr>
        <w:t>et al.</w:t>
      </w:r>
      <w:r w:rsidR="00B9203D" w:rsidRPr="00824F4B">
        <w:rPr>
          <w:rFonts w:ascii="Arial" w:hAnsi="Arial" w:cs="Arial"/>
          <w:sz w:val="20"/>
          <w:szCs w:val="20"/>
        </w:rPr>
        <w:t xml:space="preserve">, 2019). Both </w:t>
      </w:r>
      <w:proofErr w:type="spellStart"/>
      <w:r>
        <w:rPr>
          <w:rFonts w:ascii="Arial" w:hAnsi="Arial" w:cs="Arial"/>
          <w:sz w:val="20"/>
          <w:szCs w:val="20"/>
        </w:rPr>
        <w:t>haematological</w:t>
      </w:r>
      <w:proofErr w:type="spellEnd"/>
      <w:r w:rsidR="00B9203D" w:rsidRPr="00824F4B">
        <w:rPr>
          <w:rFonts w:ascii="Arial" w:hAnsi="Arial" w:cs="Arial"/>
          <w:sz w:val="20"/>
          <w:szCs w:val="20"/>
        </w:rPr>
        <w:t xml:space="preserve"> and biochemical values help assess the metabolic and physiological state of fish (Ullah and Li, 2019). An </w:t>
      </w:r>
      <w:r w:rsidR="00B9203D" w:rsidRPr="00824F4B">
        <w:rPr>
          <w:rFonts w:ascii="Arial" w:hAnsi="Arial" w:cs="Arial"/>
          <w:sz w:val="20"/>
          <w:szCs w:val="20"/>
        </w:rPr>
        <w:lastRenderedPageBreak/>
        <w:t>increase in white blood cells (WBCs) usually indicates infection, stress, or tissue damage, while a decrease can reduce the fish’s ability to fight disease.</w:t>
      </w:r>
    </w:p>
    <w:p w14:paraId="651573FD" w14:textId="77777777" w:rsidR="00B9203D" w:rsidRPr="00824F4B" w:rsidRDefault="00B9203D" w:rsidP="00D14D8D">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Serum biochemical parameters, including glucose, proteins, and specific enzymes, are frequently used to assess the metabolic status of fish. Glucose levels in the serum can reflect the stress levels and energy metabolism of fish, while total serum proteins, albumin, and globulin concentrations provide insights into the nutritional and immunological status (Hrubec and Smith, 1996). The level of lipids in fish is particularly relevant for understanding their energy reserves and nutritional state (Mohanty and Nayak, 2010). Present studies are essential for fish welfare, enhancing growth performance, and ensuring sustainable fish farming. It also provides baseline data useful for environmental monitoring and toxicological research in the aquatic ecosystem.</w:t>
      </w:r>
    </w:p>
    <w:p w14:paraId="651573FE" w14:textId="55722B66" w:rsidR="00FE6431" w:rsidRPr="00824F4B" w:rsidRDefault="00E86830" w:rsidP="000A4FBB">
      <w:pPr>
        <w:pStyle w:val="Heading1"/>
        <w:rPr>
          <w:rFonts w:ascii="Arial" w:hAnsi="Arial"/>
          <w:sz w:val="22"/>
          <w:szCs w:val="22"/>
        </w:rPr>
      </w:pPr>
      <w:r>
        <w:rPr>
          <w:rFonts w:ascii="Arial" w:hAnsi="Arial"/>
          <w:sz w:val="22"/>
          <w:szCs w:val="22"/>
        </w:rPr>
        <w:t xml:space="preserve">2. </w:t>
      </w:r>
      <w:r w:rsidR="00925133" w:rsidRPr="00824F4B">
        <w:rPr>
          <w:rFonts w:ascii="Arial" w:hAnsi="Arial"/>
          <w:sz w:val="22"/>
          <w:szCs w:val="22"/>
        </w:rPr>
        <w:t>MATERIAL AND METHODS</w:t>
      </w:r>
    </w:p>
    <w:p w14:paraId="651573FF" w14:textId="6D5D5532" w:rsidR="00FE6431" w:rsidRPr="00AF4AA8" w:rsidRDefault="00E86830" w:rsidP="00B8686E">
      <w:pPr>
        <w:pStyle w:val="Heading2"/>
        <w:rPr>
          <w:rFonts w:ascii="Arial" w:hAnsi="Arial" w:cs="Arial"/>
          <w:color w:val="auto"/>
          <w:sz w:val="22"/>
          <w:szCs w:val="22"/>
        </w:rPr>
      </w:pPr>
      <w:r>
        <w:rPr>
          <w:rStyle w:val="Strong"/>
          <w:rFonts w:ascii="Arial" w:hAnsi="Arial" w:cs="Arial"/>
          <w:b/>
          <w:bCs/>
          <w:color w:val="auto"/>
          <w:sz w:val="22"/>
          <w:szCs w:val="22"/>
        </w:rPr>
        <w:t xml:space="preserve">2.1. </w:t>
      </w:r>
      <w:r w:rsidR="00FE6431" w:rsidRPr="00AF4AA8">
        <w:rPr>
          <w:rStyle w:val="Strong"/>
          <w:rFonts w:ascii="Arial" w:hAnsi="Arial" w:cs="Arial"/>
          <w:b/>
          <w:bCs/>
          <w:color w:val="auto"/>
          <w:sz w:val="22"/>
          <w:szCs w:val="22"/>
        </w:rPr>
        <w:t>Collection of Fish</w:t>
      </w:r>
    </w:p>
    <w:p w14:paraId="65157400" w14:textId="77777777" w:rsidR="00F65DB2" w:rsidRPr="00824F4B" w:rsidRDefault="00FE6431" w:rsidP="000E1558">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Healthy </w:t>
      </w:r>
      <w:proofErr w:type="spellStart"/>
      <w:r w:rsidR="00E53901" w:rsidRPr="00824F4B">
        <w:rPr>
          <w:rFonts w:ascii="Arial" w:hAnsi="Arial" w:cs="Arial"/>
          <w:i/>
          <w:iCs/>
          <w:sz w:val="20"/>
          <w:szCs w:val="20"/>
        </w:rPr>
        <w:t>Labeo</w:t>
      </w:r>
      <w:proofErr w:type="spellEnd"/>
      <w:r w:rsidR="00E53901" w:rsidRPr="00824F4B">
        <w:rPr>
          <w:rFonts w:ascii="Arial" w:hAnsi="Arial" w:cs="Arial"/>
          <w:i/>
          <w:iCs/>
          <w:sz w:val="20"/>
          <w:szCs w:val="20"/>
        </w:rPr>
        <w:t xml:space="preserve"> </w:t>
      </w:r>
      <w:proofErr w:type="spellStart"/>
      <w:r w:rsidR="00E53901" w:rsidRPr="00824F4B">
        <w:rPr>
          <w:rFonts w:ascii="Arial" w:hAnsi="Arial" w:cs="Arial"/>
          <w:i/>
          <w:iCs/>
          <w:sz w:val="20"/>
          <w:szCs w:val="20"/>
        </w:rPr>
        <w:t>rohita</w:t>
      </w:r>
      <w:proofErr w:type="spellEnd"/>
      <w:r w:rsidRPr="00824F4B">
        <w:rPr>
          <w:rFonts w:ascii="Arial" w:hAnsi="Arial" w:cs="Arial"/>
          <w:sz w:val="20"/>
          <w:szCs w:val="20"/>
        </w:rPr>
        <w:t xml:space="preserve"> of similar size and weight were collected from two different habitats, the Ganga River and Bhimsen Pond of Kanpur. Live specimens were carefully transported to the laboratory in well-aerated containers to minimize stress during transit. The fish were then maintained in a well-aerated aquarium under controlled laboratory conditions at the Department of Zoology, Dayanand Girls’ P.G. College, Kanpur. For the study, five fish were randomly selected from each sampling site (river and pond). Before sampling, the fish were acclimatized to laboratory conditions to ensure stabilization of physiological parameters.</w:t>
      </w:r>
    </w:p>
    <w:p w14:paraId="65157401" w14:textId="3DABFB52" w:rsidR="00FE6431" w:rsidRPr="00AF4AA8" w:rsidRDefault="00E86830" w:rsidP="00B8686E">
      <w:pPr>
        <w:pStyle w:val="Heading2"/>
        <w:rPr>
          <w:rStyle w:val="Strong"/>
          <w:rFonts w:ascii="Arial" w:hAnsi="Arial" w:cs="Arial"/>
          <w:b/>
          <w:bCs/>
          <w:color w:val="auto"/>
          <w:sz w:val="22"/>
          <w:szCs w:val="22"/>
        </w:rPr>
      </w:pPr>
      <w:r>
        <w:rPr>
          <w:rStyle w:val="Strong"/>
          <w:rFonts w:ascii="Arial" w:hAnsi="Arial" w:cs="Arial"/>
          <w:b/>
          <w:bCs/>
          <w:color w:val="auto"/>
          <w:sz w:val="22"/>
          <w:szCs w:val="22"/>
        </w:rPr>
        <w:t xml:space="preserve">2.2. </w:t>
      </w:r>
      <w:r w:rsidR="00FE6431" w:rsidRPr="00AF4AA8">
        <w:rPr>
          <w:rStyle w:val="Strong"/>
          <w:rFonts w:ascii="Arial" w:hAnsi="Arial" w:cs="Arial"/>
          <w:b/>
          <w:bCs/>
          <w:color w:val="auto"/>
          <w:sz w:val="22"/>
          <w:szCs w:val="22"/>
        </w:rPr>
        <w:t>Sample collection</w:t>
      </w:r>
    </w:p>
    <w:p w14:paraId="65157402" w14:textId="324184E6" w:rsidR="00FE6431" w:rsidRPr="00824F4B" w:rsidRDefault="00FE6431" w:rsidP="000E1558">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Blood was collected by cardiac puncture with a heparin-coated 25 gauge × 0.5-inch needle, attached to a 2 ml syringe in </w:t>
      </w:r>
      <w:proofErr w:type="spellStart"/>
      <w:r w:rsidRPr="00824F4B">
        <w:rPr>
          <w:rFonts w:ascii="Arial" w:hAnsi="Arial" w:cs="Arial"/>
          <w:sz w:val="20"/>
          <w:szCs w:val="20"/>
        </w:rPr>
        <w:t>heparinised</w:t>
      </w:r>
      <w:proofErr w:type="spellEnd"/>
      <w:r w:rsidRPr="00824F4B">
        <w:rPr>
          <w:rFonts w:ascii="Arial" w:hAnsi="Arial" w:cs="Arial"/>
          <w:sz w:val="20"/>
          <w:szCs w:val="20"/>
        </w:rPr>
        <w:t xml:space="preserve"> tubes/ EDTA anticoagulant vials to prevent clotting of blood for </w:t>
      </w:r>
      <w:proofErr w:type="spellStart"/>
      <w:r w:rsidR="009E7307">
        <w:rPr>
          <w:rFonts w:ascii="Arial" w:hAnsi="Arial" w:cs="Arial"/>
          <w:sz w:val="20"/>
          <w:szCs w:val="20"/>
        </w:rPr>
        <w:t>haematological</w:t>
      </w:r>
      <w:proofErr w:type="spellEnd"/>
      <w:r w:rsidRPr="00824F4B">
        <w:rPr>
          <w:rFonts w:ascii="Arial" w:hAnsi="Arial" w:cs="Arial"/>
          <w:sz w:val="20"/>
          <w:szCs w:val="20"/>
        </w:rPr>
        <w:t xml:space="preserve"> analysis, and in normal tubes also to allow clotting for Biochemical analysis. The </w:t>
      </w:r>
      <w:proofErr w:type="spellStart"/>
      <w:r w:rsidR="009E7307">
        <w:rPr>
          <w:rFonts w:ascii="Arial" w:hAnsi="Arial" w:cs="Arial"/>
          <w:sz w:val="20"/>
          <w:szCs w:val="20"/>
        </w:rPr>
        <w:t>haematological</w:t>
      </w:r>
      <w:proofErr w:type="spellEnd"/>
      <w:r w:rsidRPr="00824F4B">
        <w:rPr>
          <w:rFonts w:ascii="Arial" w:hAnsi="Arial" w:cs="Arial"/>
          <w:sz w:val="20"/>
          <w:szCs w:val="20"/>
        </w:rPr>
        <w:t xml:space="preserve"> parameters estimated were Total Erythrocyte Count (RBC), Total Leucocyte Count (WBC), </w:t>
      </w:r>
      <w:proofErr w:type="spellStart"/>
      <w:r w:rsidRPr="00824F4B">
        <w:rPr>
          <w:rFonts w:ascii="Arial" w:hAnsi="Arial" w:cs="Arial"/>
          <w:sz w:val="20"/>
          <w:szCs w:val="20"/>
        </w:rPr>
        <w:t>Haemoglobin</w:t>
      </w:r>
      <w:proofErr w:type="spellEnd"/>
      <w:r w:rsidRPr="00824F4B">
        <w:rPr>
          <w:rFonts w:ascii="Arial" w:hAnsi="Arial" w:cs="Arial"/>
          <w:sz w:val="20"/>
          <w:szCs w:val="20"/>
        </w:rPr>
        <w:t xml:space="preserve"> (Hb), and Hematocrit.</w:t>
      </w:r>
    </w:p>
    <w:p w14:paraId="65157403" w14:textId="77777777" w:rsidR="00FE6431" w:rsidRPr="00824F4B" w:rsidRDefault="00FE6431" w:rsidP="00E86830">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The RBC count is determined by the Hemocytometer. A small amount of blood is diluted with a diluent, Hayem’s solution, and the number of RBCs is counted under a microscope according to the method of Dacie and Lewis (2001). Similarly, WBCs are counted using a hemocytometer after dilution of the blood with Turk’s solution. The cells are visualized and counted under a microscope (</w:t>
      </w:r>
      <w:proofErr w:type="spellStart"/>
      <w:r w:rsidRPr="00824F4B">
        <w:rPr>
          <w:rFonts w:ascii="Arial" w:hAnsi="Arial" w:cs="Arial"/>
          <w:sz w:val="20"/>
          <w:szCs w:val="20"/>
        </w:rPr>
        <w:t>Blaxhall</w:t>
      </w:r>
      <w:proofErr w:type="spellEnd"/>
      <w:r w:rsidRPr="00824F4B">
        <w:rPr>
          <w:rFonts w:ascii="Arial" w:hAnsi="Arial" w:cs="Arial"/>
          <w:sz w:val="20"/>
          <w:szCs w:val="20"/>
        </w:rPr>
        <w:t xml:space="preserve"> and </w:t>
      </w:r>
      <w:proofErr w:type="spellStart"/>
      <w:r w:rsidRPr="00824F4B">
        <w:rPr>
          <w:rFonts w:ascii="Arial" w:hAnsi="Arial" w:cs="Arial"/>
          <w:sz w:val="20"/>
          <w:szCs w:val="20"/>
        </w:rPr>
        <w:t>Daisley</w:t>
      </w:r>
      <w:proofErr w:type="spellEnd"/>
      <w:r w:rsidRPr="00824F4B">
        <w:rPr>
          <w:rFonts w:ascii="Arial" w:hAnsi="Arial" w:cs="Arial"/>
          <w:sz w:val="20"/>
          <w:szCs w:val="20"/>
        </w:rPr>
        <w:t xml:space="preserve">, 1973). Hemoglobin is measured by Sahli’s haemoglobinometer to estimate </w:t>
      </w:r>
      <w:proofErr w:type="spellStart"/>
      <w:r w:rsidRPr="00824F4B">
        <w:rPr>
          <w:rFonts w:ascii="Arial" w:hAnsi="Arial" w:cs="Arial"/>
          <w:sz w:val="20"/>
          <w:szCs w:val="20"/>
        </w:rPr>
        <w:t>haemoglobin</w:t>
      </w:r>
      <w:proofErr w:type="spellEnd"/>
      <w:r w:rsidRPr="00824F4B">
        <w:rPr>
          <w:rFonts w:ascii="Arial" w:hAnsi="Arial" w:cs="Arial"/>
          <w:sz w:val="20"/>
          <w:szCs w:val="20"/>
        </w:rPr>
        <w:t xml:space="preserve"> percentage (Hb%). PCV is measured using the microhematocrit centrifugation method (</w:t>
      </w:r>
      <w:proofErr w:type="spellStart"/>
      <w:r w:rsidRPr="00824F4B">
        <w:rPr>
          <w:rFonts w:ascii="Arial" w:hAnsi="Arial" w:cs="Arial"/>
          <w:sz w:val="20"/>
          <w:szCs w:val="20"/>
        </w:rPr>
        <w:t>Wintrobe</w:t>
      </w:r>
      <w:proofErr w:type="spellEnd"/>
      <w:r w:rsidRPr="00824F4B">
        <w:rPr>
          <w:rFonts w:ascii="Arial" w:hAnsi="Arial" w:cs="Arial"/>
          <w:sz w:val="20"/>
          <w:szCs w:val="20"/>
        </w:rPr>
        <w:t>, 1974).</w:t>
      </w:r>
    </w:p>
    <w:p w14:paraId="65157404" w14:textId="6A09BFF9" w:rsidR="00FE6431" w:rsidRPr="00AF4AA8" w:rsidRDefault="00E86830" w:rsidP="00B8686E">
      <w:pPr>
        <w:pStyle w:val="Heading2"/>
        <w:rPr>
          <w:rStyle w:val="Strong"/>
          <w:rFonts w:ascii="Arial" w:hAnsi="Arial" w:cs="Arial"/>
          <w:b/>
          <w:bCs/>
          <w:color w:val="auto"/>
          <w:sz w:val="22"/>
          <w:szCs w:val="22"/>
        </w:rPr>
      </w:pPr>
      <w:r>
        <w:rPr>
          <w:rStyle w:val="Strong"/>
          <w:rFonts w:ascii="Arial" w:hAnsi="Arial" w:cs="Arial"/>
          <w:b/>
          <w:bCs/>
          <w:color w:val="auto"/>
          <w:sz w:val="22"/>
          <w:szCs w:val="22"/>
        </w:rPr>
        <w:t xml:space="preserve">2.3. </w:t>
      </w:r>
      <w:r w:rsidR="00FE6431" w:rsidRPr="00AF4AA8">
        <w:rPr>
          <w:rStyle w:val="Strong"/>
          <w:rFonts w:ascii="Arial" w:hAnsi="Arial" w:cs="Arial"/>
          <w:b/>
          <w:bCs/>
          <w:color w:val="auto"/>
          <w:sz w:val="22"/>
          <w:szCs w:val="22"/>
        </w:rPr>
        <w:t>Serum parameters</w:t>
      </w:r>
    </w:p>
    <w:p w14:paraId="65157405" w14:textId="32B8A2CF" w:rsidR="00FE6431" w:rsidRPr="00824F4B" w:rsidRDefault="00FE6431" w:rsidP="000E1558">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For serum collection, blood is drawn aseptically from the caudal vein using a sterile syringe and allowed to clot in non-heparinized tubes at room temperature for 1–2 hours. The samples are then centrifuged at 3000 rpm for 10–15 minutes, and the clear serum is separated and stored at –20°C for further analysis (Hrubec and Smith, 2000). Biochemical analysis of fish serum involves estimation of various metabolic and enzymatic parameters. Total protein is commonly estimated using the Lowry method (Lowry </w:t>
      </w:r>
      <w:r w:rsidR="00623A63" w:rsidRPr="00824F4B">
        <w:rPr>
          <w:rFonts w:ascii="Arial" w:hAnsi="Arial" w:cs="Arial"/>
          <w:i/>
          <w:iCs/>
          <w:sz w:val="20"/>
          <w:szCs w:val="20"/>
        </w:rPr>
        <w:t>et al.</w:t>
      </w:r>
      <w:r w:rsidRPr="00824F4B">
        <w:rPr>
          <w:rFonts w:ascii="Arial" w:hAnsi="Arial" w:cs="Arial"/>
          <w:sz w:val="20"/>
          <w:szCs w:val="20"/>
        </w:rPr>
        <w:t xml:space="preserve">, 1951). Glucose levels are determined using the glucose oxidase–peroxidase (GOD-POD) method (Trinder, 1969), and cholesterol levels by the cholesterol oxidase–phenol </w:t>
      </w:r>
      <w:proofErr w:type="spellStart"/>
      <w:r w:rsidRPr="00824F4B">
        <w:rPr>
          <w:rFonts w:ascii="Arial" w:hAnsi="Arial" w:cs="Arial"/>
          <w:sz w:val="20"/>
          <w:szCs w:val="20"/>
        </w:rPr>
        <w:t>aminoantipyrine</w:t>
      </w:r>
      <w:proofErr w:type="spellEnd"/>
      <w:r w:rsidRPr="00824F4B">
        <w:rPr>
          <w:rFonts w:ascii="Arial" w:hAnsi="Arial" w:cs="Arial"/>
          <w:sz w:val="20"/>
          <w:szCs w:val="20"/>
        </w:rPr>
        <w:t xml:space="preserve"> (CHOD-PAP) method (Allain </w:t>
      </w:r>
      <w:r w:rsidR="00623A63" w:rsidRPr="00824F4B">
        <w:rPr>
          <w:rFonts w:ascii="Arial" w:hAnsi="Arial" w:cs="Arial"/>
          <w:i/>
          <w:iCs/>
          <w:sz w:val="20"/>
          <w:szCs w:val="20"/>
        </w:rPr>
        <w:t>et al.</w:t>
      </w:r>
      <w:r w:rsidRPr="00824F4B">
        <w:rPr>
          <w:rFonts w:ascii="Arial" w:hAnsi="Arial" w:cs="Arial"/>
          <w:sz w:val="20"/>
          <w:szCs w:val="20"/>
        </w:rPr>
        <w:t xml:space="preserve">, 1974). Triglyceride level was measured by </w:t>
      </w:r>
      <w:proofErr w:type="spellStart"/>
      <w:r w:rsidRPr="00824F4B">
        <w:rPr>
          <w:rFonts w:ascii="Arial" w:hAnsi="Arial" w:cs="Arial"/>
          <w:sz w:val="20"/>
          <w:szCs w:val="20"/>
        </w:rPr>
        <w:t>Fossati</w:t>
      </w:r>
      <w:proofErr w:type="spellEnd"/>
      <w:r w:rsidRPr="00824F4B">
        <w:rPr>
          <w:rFonts w:ascii="Arial" w:hAnsi="Arial" w:cs="Arial"/>
          <w:sz w:val="20"/>
          <w:szCs w:val="20"/>
        </w:rPr>
        <w:t xml:space="preserve"> and </w:t>
      </w:r>
      <w:proofErr w:type="spellStart"/>
      <w:r w:rsidRPr="00824F4B">
        <w:rPr>
          <w:rFonts w:ascii="Arial" w:hAnsi="Arial" w:cs="Arial"/>
          <w:sz w:val="20"/>
          <w:szCs w:val="20"/>
        </w:rPr>
        <w:t>Prencipe</w:t>
      </w:r>
      <w:proofErr w:type="spellEnd"/>
      <w:r w:rsidRPr="00824F4B">
        <w:rPr>
          <w:rFonts w:ascii="Arial" w:hAnsi="Arial" w:cs="Arial"/>
          <w:sz w:val="20"/>
          <w:szCs w:val="20"/>
        </w:rPr>
        <w:t xml:space="preserve"> (1982).</w:t>
      </w:r>
    </w:p>
    <w:p w14:paraId="65157406" w14:textId="14B686E8" w:rsidR="00FE6431" w:rsidRPr="00AF4AA8" w:rsidRDefault="00E86830" w:rsidP="00B8686E">
      <w:pPr>
        <w:pStyle w:val="Heading2"/>
        <w:rPr>
          <w:rStyle w:val="Strong"/>
          <w:rFonts w:ascii="Arial" w:hAnsi="Arial" w:cs="Arial"/>
          <w:b/>
          <w:bCs/>
          <w:color w:val="auto"/>
          <w:sz w:val="22"/>
          <w:szCs w:val="22"/>
        </w:rPr>
      </w:pPr>
      <w:r>
        <w:rPr>
          <w:rStyle w:val="Strong"/>
          <w:rFonts w:ascii="Arial" w:hAnsi="Arial" w:cs="Arial"/>
          <w:b/>
          <w:bCs/>
          <w:color w:val="auto"/>
          <w:sz w:val="22"/>
          <w:szCs w:val="22"/>
        </w:rPr>
        <w:t xml:space="preserve">2.4. </w:t>
      </w:r>
      <w:r w:rsidR="00FE6431" w:rsidRPr="00AF4AA8">
        <w:rPr>
          <w:rStyle w:val="Strong"/>
          <w:rFonts w:ascii="Arial" w:hAnsi="Arial" w:cs="Arial"/>
          <w:b/>
          <w:bCs/>
          <w:color w:val="auto"/>
          <w:sz w:val="22"/>
          <w:szCs w:val="22"/>
        </w:rPr>
        <w:t xml:space="preserve">Sample preparation for biochemical parameters </w:t>
      </w:r>
    </w:p>
    <w:p w14:paraId="65157407" w14:textId="79C9D2EB" w:rsidR="00FE6431" w:rsidRPr="00824F4B" w:rsidRDefault="00FE6431" w:rsidP="000E1558">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For biochemical analysis, the fish was dissected, and then the muscle tissues were sliced and freeze it. Freeze-dried muscle tissue homogenized to powder form. 2 gm tissues were taken for protein, Glycogen, and lipid determination. Protein determination was done by Lowery </w:t>
      </w:r>
      <w:r w:rsidR="000E1558" w:rsidRPr="00824F4B">
        <w:rPr>
          <w:rFonts w:ascii="Arial" w:hAnsi="Arial" w:cs="Arial"/>
          <w:i/>
          <w:sz w:val="20"/>
          <w:szCs w:val="20"/>
        </w:rPr>
        <w:t>et al</w:t>
      </w:r>
      <w:r w:rsidRPr="00824F4B">
        <w:rPr>
          <w:rFonts w:ascii="Arial" w:hAnsi="Arial" w:cs="Arial"/>
          <w:sz w:val="20"/>
          <w:szCs w:val="20"/>
        </w:rPr>
        <w:t xml:space="preserve">, and glycogen by Kemp </w:t>
      </w:r>
      <w:r w:rsidR="00623A63" w:rsidRPr="00824F4B">
        <w:rPr>
          <w:rFonts w:ascii="Arial" w:hAnsi="Arial" w:cs="Arial"/>
          <w:i/>
          <w:iCs/>
          <w:sz w:val="20"/>
          <w:szCs w:val="20"/>
        </w:rPr>
        <w:t>et al.</w:t>
      </w:r>
      <w:r w:rsidRPr="00824F4B">
        <w:rPr>
          <w:rFonts w:ascii="Arial" w:hAnsi="Arial" w:cs="Arial"/>
          <w:sz w:val="20"/>
          <w:szCs w:val="20"/>
        </w:rPr>
        <w:t xml:space="preserve"> (1954), while lipid content was estimated by using the Soxhlet apparatus following the method of Bligh and Dyer (1959).</w:t>
      </w:r>
    </w:p>
    <w:p w14:paraId="65157408" w14:textId="593B205F" w:rsidR="00FE6431" w:rsidRPr="00AF4AA8" w:rsidRDefault="00E86830" w:rsidP="00B8686E">
      <w:pPr>
        <w:pStyle w:val="Heading2"/>
        <w:rPr>
          <w:rStyle w:val="Strong"/>
          <w:rFonts w:ascii="Arial" w:hAnsi="Arial" w:cs="Arial"/>
          <w:b/>
          <w:bCs/>
          <w:color w:val="auto"/>
          <w:sz w:val="22"/>
          <w:szCs w:val="22"/>
        </w:rPr>
      </w:pPr>
      <w:r>
        <w:rPr>
          <w:rStyle w:val="Strong"/>
          <w:rFonts w:ascii="Arial" w:hAnsi="Arial" w:cs="Arial"/>
          <w:b/>
          <w:bCs/>
          <w:color w:val="auto"/>
          <w:sz w:val="22"/>
          <w:szCs w:val="22"/>
        </w:rPr>
        <w:t xml:space="preserve">2.5. </w:t>
      </w:r>
      <w:r w:rsidR="00A34F73" w:rsidRPr="00AF4AA8">
        <w:rPr>
          <w:rStyle w:val="Strong"/>
          <w:rFonts w:ascii="Arial" w:hAnsi="Arial" w:cs="Arial"/>
          <w:b/>
          <w:bCs/>
          <w:color w:val="auto"/>
          <w:sz w:val="22"/>
          <w:szCs w:val="22"/>
        </w:rPr>
        <w:t>Statistical analysis</w:t>
      </w:r>
    </w:p>
    <w:p w14:paraId="65157409" w14:textId="77777777" w:rsidR="00FE6431" w:rsidRPr="00824F4B" w:rsidRDefault="00FE6431" w:rsidP="000E1558">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The study followed a factorial completely randomized design (F-CRD) in three replications with two sources of fish, that is, pond and river (factor A). Three seasons: summer, winter, and rainy (factor B). </w:t>
      </w:r>
      <w:r w:rsidRPr="00824F4B">
        <w:rPr>
          <w:rFonts w:ascii="Arial" w:hAnsi="Arial" w:cs="Arial"/>
          <w:sz w:val="20"/>
          <w:szCs w:val="20"/>
        </w:rPr>
        <w:lastRenderedPageBreak/>
        <w:t>All statistical analyses were performed using MS Excel 2010. All results express a mean ± standard deviation (SD). Data are statistically analyzed using ANOVA to compare river and pond water fish. A p-value of less than 0.05 is considered statistically significant.</w:t>
      </w:r>
    </w:p>
    <w:p w14:paraId="6515740A" w14:textId="3BF4F103" w:rsidR="00FE6431" w:rsidRPr="00824F4B" w:rsidRDefault="004E17E9" w:rsidP="000A4FBB">
      <w:pPr>
        <w:pStyle w:val="Heading1"/>
        <w:rPr>
          <w:rFonts w:ascii="Arial" w:hAnsi="Arial"/>
          <w:sz w:val="22"/>
          <w:szCs w:val="22"/>
        </w:rPr>
      </w:pPr>
      <w:r>
        <w:rPr>
          <w:rStyle w:val="Strong"/>
          <w:rFonts w:ascii="Arial" w:hAnsi="Arial"/>
          <w:b/>
          <w:bCs/>
          <w:sz w:val="22"/>
          <w:szCs w:val="22"/>
        </w:rPr>
        <w:t xml:space="preserve">3. </w:t>
      </w:r>
      <w:r w:rsidR="00925133" w:rsidRPr="00824F4B">
        <w:rPr>
          <w:rStyle w:val="Strong"/>
          <w:rFonts w:ascii="Arial" w:hAnsi="Arial"/>
          <w:b/>
          <w:bCs/>
          <w:sz w:val="22"/>
          <w:szCs w:val="22"/>
        </w:rPr>
        <w:t>RESULT AND DISCUSSION</w:t>
      </w:r>
    </w:p>
    <w:p w14:paraId="6515740B" w14:textId="43CCB9F7" w:rsidR="00043F51" w:rsidRPr="00824F4B" w:rsidRDefault="00FE6431" w:rsidP="004F32C3">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The findings of the present study were analyzed and summarized in </w:t>
      </w:r>
      <w:r w:rsidR="00B70836" w:rsidRPr="00824F4B">
        <w:rPr>
          <w:rFonts w:ascii="Arial" w:hAnsi="Arial" w:cs="Arial"/>
          <w:sz w:val="20"/>
          <w:szCs w:val="20"/>
        </w:rPr>
        <w:t>Tables</w:t>
      </w:r>
      <w:r w:rsidR="00F967C8" w:rsidRPr="00824F4B">
        <w:rPr>
          <w:rFonts w:ascii="Arial" w:hAnsi="Arial" w:cs="Arial"/>
          <w:sz w:val="20"/>
          <w:szCs w:val="20"/>
        </w:rPr>
        <w:t xml:space="preserve"> 1-3</w:t>
      </w:r>
      <w:r w:rsidR="00D14D8D" w:rsidRPr="00824F4B">
        <w:rPr>
          <w:rFonts w:ascii="Arial" w:hAnsi="Arial" w:cs="Arial"/>
          <w:sz w:val="20"/>
          <w:szCs w:val="20"/>
        </w:rPr>
        <w:t xml:space="preserve"> </w:t>
      </w:r>
      <w:r w:rsidR="006F4A06" w:rsidRPr="00824F4B">
        <w:rPr>
          <w:rFonts w:ascii="Arial" w:hAnsi="Arial" w:cs="Arial"/>
          <w:sz w:val="20"/>
          <w:szCs w:val="20"/>
        </w:rPr>
        <w:t>a</w:t>
      </w:r>
      <w:r w:rsidRPr="00824F4B">
        <w:rPr>
          <w:rFonts w:ascii="Arial" w:hAnsi="Arial" w:cs="Arial"/>
          <w:sz w:val="20"/>
          <w:szCs w:val="20"/>
        </w:rPr>
        <w:t>nd the results revealed significant differences among seasons and habitats, highlighting the effectiveness of these parameters as biomarkers of seasonal stress in fishes.</w:t>
      </w:r>
      <w:r w:rsidR="00D14D8D" w:rsidRPr="00824F4B">
        <w:rPr>
          <w:rFonts w:ascii="Arial" w:hAnsi="Arial" w:cs="Arial"/>
          <w:sz w:val="20"/>
          <w:szCs w:val="20"/>
        </w:rPr>
        <w:t xml:space="preserve"> </w:t>
      </w:r>
      <w:r w:rsidRPr="00824F4B">
        <w:rPr>
          <w:rFonts w:ascii="Arial" w:hAnsi="Arial" w:cs="Arial"/>
          <w:sz w:val="20"/>
          <w:szCs w:val="20"/>
        </w:rPr>
        <w:t xml:space="preserve">Blood parameters of river and pond fish exhibited marked seasonal variations, as presented in Table 1. Hemoglobin (Hb) levels were highest during summer (7.86 ± 0.50 g/dl in river fish and 8.42 ± 0.383 g/dl in pond fish), indicating enhanced oxygen-carrying capacity required to meet increased metabolic demands in warmer temperatures. These values declined during the rainy season (6.76 ± 0.51 in river fish and 7.06 ± 0.456 in pond fish) and were lowest in winter (5.46 ± 0.99 and 5.74 ± 0.151, respectively), likely due to reduced metabolic activity and oxygen requirement in colder conditions. </w:t>
      </w:r>
      <w:r w:rsidRPr="00824F4B">
        <w:rPr>
          <w:rStyle w:val="Strong"/>
          <w:rFonts w:ascii="Arial" w:hAnsi="Arial" w:cs="Arial"/>
          <w:b w:val="0"/>
          <w:bCs w:val="0"/>
          <w:sz w:val="20"/>
          <w:szCs w:val="20"/>
        </w:rPr>
        <w:t xml:space="preserve">Orun </w:t>
      </w:r>
      <w:r w:rsidR="00623A63" w:rsidRPr="00824F4B">
        <w:rPr>
          <w:rStyle w:val="Strong"/>
          <w:rFonts w:ascii="Arial" w:hAnsi="Arial" w:cs="Arial"/>
          <w:b w:val="0"/>
          <w:bCs w:val="0"/>
          <w:i/>
          <w:iCs/>
          <w:sz w:val="20"/>
          <w:szCs w:val="20"/>
        </w:rPr>
        <w:t>et al.</w:t>
      </w:r>
      <w:r w:rsidR="00441BA0" w:rsidRPr="00824F4B">
        <w:rPr>
          <w:rStyle w:val="Strong"/>
          <w:rFonts w:ascii="Arial" w:hAnsi="Arial" w:cs="Arial"/>
          <w:b w:val="0"/>
          <w:bCs w:val="0"/>
          <w:i/>
          <w:sz w:val="20"/>
          <w:szCs w:val="20"/>
        </w:rPr>
        <w:t xml:space="preserve"> </w:t>
      </w:r>
      <w:r w:rsidRPr="00824F4B">
        <w:rPr>
          <w:rStyle w:val="Strong"/>
          <w:rFonts w:ascii="Arial" w:hAnsi="Arial" w:cs="Arial"/>
          <w:b w:val="0"/>
          <w:bCs w:val="0"/>
          <w:sz w:val="20"/>
          <w:szCs w:val="20"/>
        </w:rPr>
        <w:t>(2003)</w:t>
      </w:r>
      <w:r w:rsidRPr="00824F4B">
        <w:rPr>
          <w:rFonts w:ascii="Arial" w:hAnsi="Arial" w:cs="Arial"/>
          <w:b/>
          <w:sz w:val="20"/>
          <w:szCs w:val="20"/>
        </w:rPr>
        <w:t xml:space="preserve"> </w:t>
      </w:r>
      <w:r w:rsidRPr="00824F4B">
        <w:rPr>
          <w:rFonts w:ascii="Arial" w:hAnsi="Arial" w:cs="Arial"/>
          <w:sz w:val="20"/>
          <w:szCs w:val="20"/>
        </w:rPr>
        <w:t>and</w:t>
      </w:r>
      <w:r w:rsidRPr="00824F4B">
        <w:rPr>
          <w:rFonts w:ascii="Arial" w:hAnsi="Arial" w:cs="Arial"/>
          <w:b/>
          <w:sz w:val="20"/>
          <w:szCs w:val="20"/>
        </w:rPr>
        <w:t xml:space="preserve"> </w:t>
      </w:r>
      <w:r w:rsidRPr="00824F4B">
        <w:rPr>
          <w:rStyle w:val="Strong"/>
          <w:rFonts w:ascii="Arial" w:hAnsi="Arial" w:cs="Arial"/>
          <w:b w:val="0"/>
          <w:bCs w:val="0"/>
          <w:sz w:val="20"/>
          <w:szCs w:val="20"/>
        </w:rPr>
        <w:t xml:space="preserve">Pradhan </w:t>
      </w:r>
      <w:r w:rsidR="00623A63" w:rsidRPr="00824F4B">
        <w:rPr>
          <w:rStyle w:val="Strong"/>
          <w:rFonts w:ascii="Arial" w:hAnsi="Arial" w:cs="Arial"/>
          <w:b w:val="0"/>
          <w:bCs w:val="0"/>
          <w:i/>
          <w:iCs/>
          <w:sz w:val="20"/>
          <w:szCs w:val="20"/>
        </w:rPr>
        <w:t>et al.</w:t>
      </w:r>
      <w:r w:rsidRPr="00824F4B">
        <w:rPr>
          <w:rStyle w:val="Strong"/>
          <w:rFonts w:ascii="Arial" w:hAnsi="Arial" w:cs="Arial"/>
          <w:b w:val="0"/>
          <w:bCs w:val="0"/>
          <w:sz w:val="20"/>
          <w:szCs w:val="20"/>
        </w:rPr>
        <w:t xml:space="preserve"> (2012)</w:t>
      </w:r>
      <w:r w:rsidRPr="00824F4B">
        <w:rPr>
          <w:rFonts w:ascii="Arial" w:hAnsi="Arial" w:cs="Arial"/>
          <w:sz w:val="20"/>
          <w:szCs w:val="20"/>
        </w:rPr>
        <w:t xml:space="preserve"> conducted research and found similar results in the past.</w:t>
      </w:r>
    </w:p>
    <w:p w14:paraId="6515740C" w14:textId="651560E6" w:rsidR="00FE6431" w:rsidRPr="00824F4B" w:rsidRDefault="00FE6431" w:rsidP="004F32C3">
      <w:pPr>
        <w:pStyle w:val="NormalWeb"/>
        <w:spacing w:before="0" w:beforeAutospacing="0" w:after="0" w:afterAutospacing="0" w:line="276" w:lineRule="auto"/>
        <w:ind w:firstLine="720"/>
        <w:jc w:val="both"/>
        <w:rPr>
          <w:rFonts w:ascii="Arial" w:hAnsi="Arial" w:cs="Arial"/>
          <w:color w:val="0E101A"/>
          <w:sz w:val="20"/>
          <w:szCs w:val="20"/>
        </w:rPr>
      </w:pPr>
      <w:r w:rsidRPr="00824F4B">
        <w:rPr>
          <w:rFonts w:ascii="Arial" w:hAnsi="Arial" w:cs="Arial"/>
          <w:color w:val="0E101A"/>
          <w:sz w:val="20"/>
          <w:szCs w:val="20"/>
        </w:rPr>
        <w:t xml:space="preserve">White blood cell (WBC) counts followed a similar trend, being highest in summer (6.7 ± 0.28 and 6.92 ± 0.389 in river and pond fish, respectively), slightly reduced in the rainy season (5.48 ± 0.25 and 5.76 ± 0.304), and lowest in winter (4.94 ± 0.40 and 5.16 ± 0.304). This seasonal fluctuation in WBCs may reflect the immune response to environmental stress and pathogen load, which varies with temperature and water quality (Kori-Siakpere </w:t>
      </w:r>
      <w:r w:rsidR="00623A63" w:rsidRPr="00824F4B">
        <w:rPr>
          <w:rFonts w:ascii="Arial" w:hAnsi="Arial" w:cs="Arial"/>
          <w:i/>
          <w:iCs/>
          <w:color w:val="0E101A"/>
          <w:sz w:val="20"/>
          <w:szCs w:val="20"/>
        </w:rPr>
        <w:t>et al.</w:t>
      </w:r>
      <w:r w:rsidRPr="00824F4B">
        <w:rPr>
          <w:rFonts w:ascii="Arial" w:hAnsi="Arial" w:cs="Arial"/>
          <w:color w:val="0E101A"/>
          <w:sz w:val="20"/>
          <w:szCs w:val="20"/>
        </w:rPr>
        <w:t xml:space="preserve">, 2005). Shah and </w:t>
      </w:r>
      <w:proofErr w:type="spellStart"/>
      <w:r w:rsidRPr="00824F4B">
        <w:rPr>
          <w:rFonts w:ascii="Arial" w:hAnsi="Arial" w:cs="Arial"/>
          <w:color w:val="0E101A"/>
          <w:sz w:val="20"/>
          <w:szCs w:val="20"/>
        </w:rPr>
        <w:t>Altindag</w:t>
      </w:r>
      <w:proofErr w:type="spellEnd"/>
      <w:r w:rsidRPr="00824F4B">
        <w:rPr>
          <w:rFonts w:ascii="Arial" w:hAnsi="Arial" w:cs="Arial"/>
          <w:color w:val="0E101A"/>
          <w:sz w:val="20"/>
          <w:szCs w:val="20"/>
        </w:rPr>
        <w:t xml:space="preserve"> (2004) conducted a study on </w:t>
      </w:r>
      <w:proofErr w:type="spellStart"/>
      <w:r w:rsidRPr="00824F4B">
        <w:rPr>
          <w:rFonts w:ascii="Arial" w:hAnsi="Arial" w:cs="Arial"/>
          <w:color w:val="0E101A"/>
          <w:sz w:val="20"/>
          <w:szCs w:val="20"/>
        </w:rPr>
        <w:t>tench</w:t>
      </w:r>
      <w:proofErr w:type="spellEnd"/>
      <w:r w:rsidRPr="00824F4B">
        <w:rPr>
          <w:rFonts w:ascii="Arial" w:hAnsi="Arial" w:cs="Arial"/>
          <w:color w:val="0E101A"/>
          <w:sz w:val="20"/>
          <w:szCs w:val="20"/>
        </w:rPr>
        <w:t xml:space="preserve"> (</w:t>
      </w:r>
      <w:proofErr w:type="spellStart"/>
      <w:r w:rsidRPr="00824F4B">
        <w:rPr>
          <w:rFonts w:ascii="Arial" w:hAnsi="Arial" w:cs="Arial"/>
          <w:i/>
          <w:iCs/>
          <w:color w:val="0E101A"/>
          <w:sz w:val="20"/>
          <w:szCs w:val="20"/>
        </w:rPr>
        <w:t>Tinca</w:t>
      </w:r>
      <w:proofErr w:type="spellEnd"/>
      <w:r w:rsidRPr="00824F4B">
        <w:rPr>
          <w:rFonts w:ascii="Arial" w:hAnsi="Arial" w:cs="Arial"/>
          <w:i/>
          <w:iCs/>
          <w:color w:val="0E101A"/>
          <w:sz w:val="20"/>
          <w:szCs w:val="20"/>
        </w:rPr>
        <w:t xml:space="preserve"> </w:t>
      </w:r>
      <w:proofErr w:type="spellStart"/>
      <w:r w:rsidRPr="00824F4B">
        <w:rPr>
          <w:rFonts w:ascii="Arial" w:hAnsi="Arial" w:cs="Arial"/>
          <w:i/>
          <w:iCs/>
          <w:color w:val="0E101A"/>
          <w:sz w:val="20"/>
          <w:szCs w:val="20"/>
        </w:rPr>
        <w:t>tinca</w:t>
      </w:r>
      <w:proofErr w:type="spellEnd"/>
      <w:r w:rsidRPr="00824F4B">
        <w:rPr>
          <w:rFonts w:ascii="Arial" w:hAnsi="Arial" w:cs="Arial"/>
          <w:color w:val="0E101A"/>
          <w:sz w:val="20"/>
          <w:szCs w:val="20"/>
        </w:rPr>
        <w:t xml:space="preserve"> L.)</w:t>
      </w:r>
      <w:r w:rsidR="006F4A06" w:rsidRPr="00824F4B">
        <w:rPr>
          <w:rFonts w:ascii="Arial" w:hAnsi="Arial" w:cs="Arial"/>
          <w:b/>
          <w:bCs/>
          <w:color w:val="0E101A"/>
          <w:sz w:val="20"/>
          <w:szCs w:val="20"/>
        </w:rPr>
        <w:t xml:space="preserve"> </w:t>
      </w:r>
      <w:r w:rsidR="006F4A06" w:rsidRPr="00824F4B">
        <w:rPr>
          <w:rFonts w:ascii="Arial" w:hAnsi="Arial" w:cs="Arial"/>
          <w:bCs/>
          <w:color w:val="0E101A"/>
          <w:sz w:val="20"/>
          <w:szCs w:val="20"/>
        </w:rPr>
        <w:t>and</w:t>
      </w:r>
      <w:r w:rsidRPr="00824F4B">
        <w:rPr>
          <w:rFonts w:ascii="Arial" w:hAnsi="Arial" w:cs="Arial"/>
          <w:color w:val="0E101A"/>
          <w:sz w:val="20"/>
          <w:szCs w:val="20"/>
        </w:rPr>
        <w:t xml:space="preserve"> exposed to lethal and sublethal concentrations of mercury. Our findings corroborate with their results in the control measure.</w:t>
      </w:r>
    </w:p>
    <w:p w14:paraId="6515740D" w14:textId="1CE4C914" w:rsidR="00FE6431" w:rsidRPr="00824F4B" w:rsidRDefault="00FE6431" w:rsidP="004F32C3">
      <w:pPr>
        <w:pStyle w:val="NormalWeb"/>
        <w:spacing w:before="0" w:beforeAutospacing="0" w:after="0" w:afterAutospacing="0" w:line="276" w:lineRule="auto"/>
        <w:ind w:firstLine="720"/>
        <w:jc w:val="both"/>
        <w:rPr>
          <w:rFonts w:ascii="Arial" w:hAnsi="Arial" w:cs="Arial"/>
          <w:color w:val="0E101A"/>
          <w:sz w:val="20"/>
          <w:szCs w:val="20"/>
        </w:rPr>
      </w:pPr>
      <w:r w:rsidRPr="00824F4B">
        <w:rPr>
          <w:rFonts w:ascii="Arial" w:hAnsi="Arial" w:cs="Arial"/>
          <w:color w:val="0E101A"/>
          <w:sz w:val="20"/>
          <w:szCs w:val="20"/>
        </w:rPr>
        <w:t xml:space="preserve">Red blood cell (RBC) counts also showed significant seasonal changes, peaking in summer (2.172 ± 0.18 in river fish and 2.26 ± 0.200 in pond fish), decreasing in the rainy season (1.774 ± 0.15 and 1.84 ± 0.123), and reaching their lowest in winter </w:t>
      </w:r>
      <w:r w:rsidR="004F32C3" w:rsidRPr="00824F4B">
        <w:rPr>
          <w:rFonts w:ascii="Arial" w:hAnsi="Arial" w:cs="Arial"/>
          <w:color w:val="0E101A"/>
          <w:sz w:val="20"/>
          <w:szCs w:val="20"/>
        </w:rPr>
        <w:t>(1.334 ± 0.10 and 1.43 ± 0.083)</w:t>
      </w:r>
      <w:r w:rsidRPr="00824F4B">
        <w:rPr>
          <w:rFonts w:ascii="Arial" w:hAnsi="Arial" w:cs="Arial"/>
          <w:color w:val="0E101A"/>
          <w:sz w:val="20"/>
          <w:szCs w:val="20"/>
        </w:rPr>
        <w:t xml:space="preserve"> </w:t>
      </w:r>
      <w:r w:rsidRPr="00824F4B">
        <w:rPr>
          <w:rStyle w:val="Strong"/>
          <w:rFonts w:ascii="Arial" w:hAnsi="Arial" w:cs="Arial"/>
          <w:b w:val="0"/>
          <w:bCs w:val="0"/>
          <w:color w:val="0E101A"/>
          <w:sz w:val="20"/>
          <w:szCs w:val="20"/>
        </w:rPr>
        <w:t xml:space="preserve">(Das </w:t>
      </w:r>
      <w:r w:rsidR="00623A63" w:rsidRPr="00824F4B">
        <w:rPr>
          <w:rStyle w:val="Strong"/>
          <w:rFonts w:ascii="Arial" w:hAnsi="Arial" w:cs="Arial"/>
          <w:b w:val="0"/>
          <w:bCs w:val="0"/>
          <w:i/>
          <w:iCs/>
          <w:color w:val="0E101A"/>
          <w:sz w:val="20"/>
          <w:szCs w:val="20"/>
        </w:rPr>
        <w:t>et al.</w:t>
      </w:r>
      <w:r w:rsidRPr="00824F4B">
        <w:rPr>
          <w:rStyle w:val="Strong"/>
          <w:rFonts w:ascii="Arial" w:hAnsi="Arial" w:cs="Arial"/>
          <w:b w:val="0"/>
          <w:bCs w:val="0"/>
          <w:color w:val="0E101A"/>
          <w:sz w:val="20"/>
          <w:szCs w:val="20"/>
        </w:rPr>
        <w:t>, 2006).</w:t>
      </w:r>
      <w:r w:rsidRPr="00824F4B">
        <w:rPr>
          <w:rFonts w:ascii="Arial" w:hAnsi="Arial" w:cs="Arial"/>
          <w:color w:val="0E101A"/>
          <w:sz w:val="20"/>
          <w:szCs w:val="20"/>
        </w:rPr>
        <w:t xml:space="preserve"> The hematocrit (HCT) values, which represent the volume percentage of red blood cells, mirrored this pattern, being highest in summer (32.266 ± 0.98% in river fish and 32.50 ± 1.08% in pond fish), moderately reduced during the rainy season (30.812 ± 0.70% and 31.42 ± 0.484%), and lowest in winter (25.456 ± 0.82% and 25.59 ± 0.887%)</w:t>
      </w:r>
      <w:r w:rsidR="004F32C3" w:rsidRPr="00824F4B">
        <w:rPr>
          <w:rFonts w:ascii="Arial" w:hAnsi="Arial" w:cs="Arial"/>
          <w:color w:val="0E101A"/>
          <w:sz w:val="20"/>
          <w:szCs w:val="20"/>
        </w:rPr>
        <w:t>.</w:t>
      </w:r>
      <w:r w:rsidRPr="00824F4B">
        <w:rPr>
          <w:rStyle w:val="Strong"/>
          <w:rFonts w:ascii="Arial" w:hAnsi="Arial" w:cs="Arial"/>
          <w:b w:val="0"/>
          <w:bCs w:val="0"/>
          <w:color w:val="0E101A"/>
          <w:sz w:val="20"/>
          <w:szCs w:val="20"/>
        </w:rPr>
        <w:t xml:space="preserve"> Guijarro </w:t>
      </w:r>
      <w:r w:rsidR="00623A63" w:rsidRPr="00824F4B">
        <w:rPr>
          <w:rStyle w:val="Strong"/>
          <w:rFonts w:ascii="Arial" w:hAnsi="Arial" w:cs="Arial"/>
          <w:b w:val="0"/>
          <w:bCs w:val="0"/>
          <w:i/>
          <w:iCs/>
          <w:color w:val="0E101A"/>
          <w:sz w:val="20"/>
          <w:szCs w:val="20"/>
        </w:rPr>
        <w:t>et al.</w:t>
      </w:r>
      <w:r w:rsidR="004F32C3" w:rsidRPr="00824F4B">
        <w:rPr>
          <w:rStyle w:val="Strong"/>
          <w:rFonts w:ascii="Arial" w:hAnsi="Arial" w:cs="Arial"/>
          <w:b w:val="0"/>
          <w:bCs w:val="0"/>
          <w:color w:val="0E101A"/>
          <w:sz w:val="20"/>
          <w:szCs w:val="20"/>
        </w:rPr>
        <w:t xml:space="preserve"> (</w:t>
      </w:r>
      <w:r w:rsidRPr="00824F4B">
        <w:rPr>
          <w:rStyle w:val="Strong"/>
          <w:rFonts w:ascii="Arial" w:hAnsi="Arial" w:cs="Arial"/>
          <w:b w:val="0"/>
          <w:bCs w:val="0"/>
          <w:color w:val="0E101A"/>
          <w:sz w:val="20"/>
          <w:szCs w:val="20"/>
        </w:rPr>
        <w:t>2003)</w:t>
      </w:r>
      <w:r w:rsidRPr="00824F4B">
        <w:rPr>
          <w:rFonts w:ascii="Arial" w:hAnsi="Arial" w:cs="Arial"/>
          <w:color w:val="0E101A"/>
          <w:sz w:val="20"/>
          <w:szCs w:val="20"/>
        </w:rPr>
        <w:t xml:space="preserve"> observed seasonal differences in all four </w:t>
      </w:r>
      <w:proofErr w:type="spellStart"/>
      <w:r w:rsidR="009E7307">
        <w:rPr>
          <w:rFonts w:ascii="Arial" w:hAnsi="Arial" w:cs="Arial"/>
          <w:color w:val="0E101A"/>
          <w:sz w:val="20"/>
          <w:szCs w:val="20"/>
        </w:rPr>
        <w:t>haematological</w:t>
      </w:r>
      <w:proofErr w:type="spellEnd"/>
      <w:r w:rsidRPr="00824F4B">
        <w:rPr>
          <w:rFonts w:ascii="Arial" w:hAnsi="Arial" w:cs="Arial"/>
          <w:color w:val="0E101A"/>
          <w:sz w:val="20"/>
          <w:szCs w:val="20"/>
        </w:rPr>
        <w:t xml:space="preserve"> parameters were statistically significant, with p-values well below 0.001, indicating a strong influence of temperature and seasonal environmental changes. These results highlight the physiological adaptability of fish to seasonal shifts, with higher </w:t>
      </w:r>
      <w:proofErr w:type="spellStart"/>
      <w:r w:rsidR="009E7307">
        <w:rPr>
          <w:rFonts w:ascii="Arial" w:hAnsi="Arial" w:cs="Arial"/>
          <w:color w:val="0E101A"/>
          <w:sz w:val="20"/>
          <w:szCs w:val="20"/>
        </w:rPr>
        <w:t>haematological</w:t>
      </w:r>
      <w:proofErr w:type="spellEnd"/>
      <w:r w:rsidRPr="00824F4B">
        <w:rPr>
          <w:rFonts w:ascii="Arial" w:hAnsi="Arial" w:cs="Arial"/>
          <w:color w:val="0E101A"/>
          <w:sz w:val="20"/>
          <w:szCs w:val="20"/>
        </w:rPr>
        <w:t xml:space="preserve"> values in warmer seasons supporting increased metabolic activity, while lower values in winter reflect reduced physiological demand. Pond fish generally exhibited slightly higher values than river fish, suggesting that more stable environmental conditions in ponds may support better physiological status. Alterations in </w:t>
      </w:r>
      <w:proofErr w:type="spellStart"/>
      <w:r w:rsidR="009E7307">
        <w:rPr>
          <w:rFonts w:ascii="Arial" w:hAnsi="Arial" w:cs="Arial"/>
          <w:color w:val="0E101A"/>
          <w:sz w:val="20"/>
          <w:szCs w:val="20"/>
        </w:rPr>
        <w:t>haematological</w:t>
      </w:r>
      <w:proofErr w:type="spellEnd"/>
      <w:r w:rsidRPr="00824F4B">
        <w:rPr>
          <w:rFonts w:ascii="Arial" w:hAnsi="Arial" w:cs="Arial"/>
          <w:color w:val="0E101A"/>
          <w:sz w:val="20"/>
          <w:szCs w:val="20"/>
        </w:rPr>
        <w:t xml:space="preserve"> values may occur due to stress, environmental changes, or infections, making them useful tools for evaluating the health status of fish in aquaculture systems. Goel </w:t>
      </w:r>
      <w:r w:rsidR="00623A63" w:rsidRPr="00824F4B">
        <w:rPr>
          <w:rFonts w:ascii="Arial" w:hAnsi="Arial" w:cs="Arial"/>
          <w:i/>
          <w:iCs/>
          <w:color w:val="0E101A"/>
          <w:sz w:val="20"/>
          <w:szCs w:val="20"/>
        </w:rPr>
        <w:t>et al.</w:t>
      </w:r>
      <w:r w:rsidRPr="00824F4B">
        <w:rPr>
          <w:rFonts w:ascii="Arial" w:hAnsi="Arial" w:cs="Arial"/>
          <w:color w:val="0E101A"/>
          <w:sz w:val="20"/>
          <w:szCs w:val="20"/>
        </w:rPr>
        <w:t xml:space="preserve"> (2022) conducted a research trial on </w:t>
      </w:r>
      <w:r w:rsidRPr="00824F4B">
        <w:rPr>
          <w:rFonts w:ascii="Arial" w:hAnsi="Arial" w:cs="Arial"/>
          <w:i/>
          <w:iCs/>
          <w:color w:val="0E101A"/>
          <w:sz w:val="20"/>
          <w:szCs w:val="20"/>
        </w:rPr>
        <w:t xml:space="preserve">Channa </w:t>
      </w:r>
      <w:proofErr w:type="spellStart"/>
      <w:r w:rsidRPr="00824F4B">
        <w:rPr>
          <w:rFonts w:ascii="Arial" w:hAnsi="Arial" w:cs="Arial"/>
          <w:i/>
          <w:iCs/>
          <w:color w:val="0E101A"/>
          <w:sz w:val="20"/>
          <w:szCs w:val="20"/>
        </w:rPr>
        <w:t>punctata</w:t>
      </w:r>
      <w:proofErr w:type="spellEnd"/>
      <w:r w:rsidRPr="00824F4B">
        <w:rPr>
          <w:rFonts w:ascii="Arial" w:hAnsi="Arial" w:cs="Arial"/>
          <w:color w:val="0E101A"/>
          <w:sz w:val="20"/>
          <w:szCs w:val="20"/>
        </w:rPr>
        <w:t xml:space="preserve"> for a </w:t>
      </w:r>
      <w:proofErr w:type="spellStart"/>
      <w:r w:rsidR="009E7307">
        <w:rPr>
          <w:rFonts w:ascii="Arial" w:hAnsi="Arial" w:cs="Arial"/>
          <w:color w:val="0E101A"/>
          <w:sz w:val="20"/>
          <w:szCs w:val="20"/>
        </w:rPr>
        <w:t>haematological</w:t>
      </w:r>
      <w:proofErr w:type="spellEnd"/>
      <w:r w:rsidRPr="00824F4B">
        <w:rPr>
          <w:rFonts w:ascii="Arial" w:hAnsi="Arial" w:cs="Arial"/>
          <w:color w:val="0E101A"/>
          <w:sz w:val="20"/>
          <w:szCs w:val="20"/>
        </w:rPr>
        <w:t xml:space="preserve"> study. They reported the impact of pyrethroid, showing a decreasing trend in the increase of pyrethroid concentration. However, in the control measure, they found similar results.</w:t>
      </w:r>
    </w:p>
    <w:p w14:paraId="6515740E" w14:textId="77777777" w:rsidR="00FE6431" w:rsidRPr="00824F4B" w:rsidRDefault="00FE6431" w:rsidP="000E1558">
      <w:pPr>
        <w:pStyle w:val="NormalWeb"/>
        <w:spacing w:before="0" w:beforeAutospacing="0" w:after="0" w:afterAutospacing="0" w:line="276" w:lineRule="auto"/>
        <w:jc w:val="both"/>
        <w:rPr>
          <w:rFonts w:ascii="Arial" w:hAnsi="Arial" w:cs="Arial"/>
          <w:color w:val="0E101A"/>
          <w:sz w:val="20"/>
          <w:szCs w:val="20"/>
        </w:rPr>
      </w:pPr>
    </w:p>
    <w:tbl>
      <w:tblPr>
        <w:tblW w:w="10501" w:type="dxa"/>
        <w:tblInd w:w="-993" w:type="dxa"/>
        <w:tblLayout w:type="fixed"/>
        <w:tblCellMar>
          <w:left w:w="0" w:type="dxa"/>
          <w:right w:w="0" w:type="dxa"/>
        </w:tblCellMar>
        <w:tblLook w:val="04A0" w:firstRow="1" w:lastRow="0" w:firstColumn="1" w:lastColumn="0" w:noHBand="0" w:noVBand="1"/>
      </w:tblPr>
      <w:tblGrid>
        <w:gridCol w:w="1565"/>
        <w:gridCol w:w="1117"/>
        <w:gridCol w:w="1117"/>
        <w:gridCol w:w="1117"/>
        <w:gridCol w:w="1117"/>
        <w:gridCol w:w="1117"/>
        <w:gridCol w:w="1117"/>
        <w:gridCol w:w="1117"/>
        <w:gridCol w:w="1117"/>
      </w:tblGrid>
      <w:tr w:rsidR="009309C8" w:rsidRPr="00C876AF" w14:paraId="65157410" w14:textId="77777777" w:rsidTr="00C876AF">
        <w:trPr>
          <w:trHeight w:val="300"/>
        </w:trPr>
        <w:tc>
          <w:tcPr>
            <w:tcW w:w="10500" w:type="dxa"/>
            <w:gridSpan w:val="9"/>
            <w:noWrap/>
            <w:vAlign w:val="center"/>
          </w:tcPr>
          <w:p w14:paraId="6515740F" w14:textId="77777777" w:rsidR="009309C8" w:rsidRPr="00C876AF" w:rsidRDefault="009309C8" w:rsidP="00EA300E">
            <w:pPr>
              <w:spacing w:line="276" w:lineRule="auto"/>
              <w:rPr>
                <w:rFonts w:ascii="Arial" w:hAnsi="Arial" w:cs="Arial"/>
                <w:color w:val="000000"/>
                <w:sz w:val="18"/>
                <w:szCs w:val="18"/>
              </w:rPr>
            </w:pPr>
            <w:r w:rsidRPr="00C876AF">
              <w:rPr>
                <w:rFonts w:ascii="Arial" w:hAnsi="Arial" w:cs="Arial"/>
                <w:b/>
                <w:bCs/>
                <w:sz w:val="18"/>
                <w:szCs w:val="18"/>
              </w:rPr>
              <w:t>Table 1: Blood parameters of river and pond fish</w:t>
            </w:r>
          </w:p>
        </w:tc>
      </w:tr>
      <w:tr w:rsidR="008222FB" w:rsidRPr="00C876AF" w14:paraId="65157416" w14:textId="77777777" w:rsidTr="00C876AF">
        <w:trPr>
          <w:trHeight w:val="300"/>
        </w:trPr>
        <w:tc>
          <w:tcPr>
            <w:tcW w:w="1565" w:type="dxa"/>
            <w:tcBorders>
              <w:top w:val="single" w:sz="4" w:space="0" w:color="auto"/>
            </w:tcBorders>
            <w:noWrap/>
            <w:vAlign w:val="center"/>
            <w:hideMark/>
          </w:tcPr>
          <w:p w14:paraId="65157411" w14:textId="77777777" w:rsidR="008222FB" w:rsidRPr="00C876AF" w:rsidRDefault="008222FB" w:rsidP="000E1558">
            <w:pPr>
              <w:spacing w:line="276" w:lineRule="auto"/>
              <w:jc w:val="both"/>
              <w:rPr>
                <w:rFonts w:ascii="Arial" w:hAnsi="Arial" w:cs="Arial"/>
                <w:color w:val="000000"/>
                <w:sz w:val="18"/>
                <w:szCs w:val="18"/>
              </w:rPr>
            </w:pPr>
            <w:r w:rsidRPr="00C876AF">
              <w:rPr>
                <w:rFonts w:ascii="Arial" w:hAnsi="Arial" w:cs="Arial"/>
                <w:color w:val="000000"/>
                <w:sz w:val="18"/>
                <w:szCs w:val="18"/>
              </w:rPr>
              <w:t>Blood parameters</w:t>
            </w:r>
          </w:p>
        </w:tc>
        <w:tc>
          <w:tcPr>
            <w:tcW w:w="2234" w:type="dxa"/>
            <w:gridSpan w:val="2"/>
            <w:tcBorders>
              <w:top w:val="single" w:sz="4" w:space="0" w:color="auto"/>
            </w:tcBorders>
            <w:noWrap/>
            <w:vAlign w:val="center"/>
            <w:hideMark/>
          </w:tcPr>
          <w:p w14:paraId="65157412"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Summer</w:t>
            </w:r>
          </w:p>
        </w:tc>
        <w:tc>
          <w:tcPr>
            <w:tcW w:w="2234" w:type="dxa"/>
            <w:gridSpan w:val="2"/>
            <w:tcBorders>
              <w:top w:val="single" w:sz="4" w:space="0" w:color="auto"/>
            </w:tcBorders>
            <w:noWrap/>
            <w:vAlign w:val="center"/>
            <w:hideMark/>
          </w:tcPr>
          <w:p w14:paraId="65157413"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Rainy</w:t>
            </w:r>
          </w:p>
        </w:tc>
        <w:tc>
          <w:tcPr>
            <w:tcW w:w="2234" w:type="dxa"/>
            <w:gridSpan w:val="2"/>
            <w:tcBorders>
              <w:top w:val="single" w:sz="4" w:space="0" w:color="auto"/>
            </w:tcBorders>
            <w:noWrap/>
            <w:vAlign w:val="center"/>
            <w:hideMark/>
          </w:tcPr>
          <w:p w14:paraId="65157414"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Winter</w:t>
            </w:r>
          </w:p>
        </w:tc>
        <w:tc>
          <w:tcPr>
            <w:tcW w:w="2234" w:type="dxa"/>
            <w:gridSpan w:val="2"/>
            <w:tcBorders>
              <w:top w:val="single" w:sz="4" w:space="0" w:color="auto"/>
            </w:tcBorders>
            <w:noWrap/>
            <w:vAlign w:val="center"/>
            <w:hideMark/>
          </w:tcPr>
          <w:p w14:paraId="65157415"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P- value</w:t>
            </w:r>
          </w:p>
        </w:tc>
      </w:tr>
      <w:tr w:rsidR="00152E94" w:rsidRPr="00C876AF" w14:paraId="65157420" w14:textId="77777777" w:rsidTr="00C876AF">
        <w:trPr>
          <w:trHeight w:val="300"/>
        </w:trPr>
        <w:tc>
          <w:tcPr>
            <w:tcW w:w="1565" w:type="dxa"/>
            <w:tcBorders>
              <w:bottom w:val="single" w:sz="4" w:space="0" w:color="auto"/>
            </w:tcBorders>
            <w:noWrap/>
            <w:vAlign w:val="center"/>
            <w:hideMark/>
          </w:tcPr>
          <w:p w14:paraId="65157417" w14:textId="77777777" w:rsidR="008222FB" w:rsidRPr="00C876AF" w:rsidRDefault="008222FB" w:rsidP="000E1558">
            <w:pPr>
              <w:spacing w:line="276" w:lineRule="auto"/>
              <w:jc w:val="both"/>
              <w:rPr>
                <w:rFonts w:ascii="Arial" w:hAnsi="Arial" w:cs="Arial"/>
                <w:color w:val="000000"/>
                <w:sz w:val="18"/>
                <w:szCs w:val="18"/>
              </w:rPr>
            </w:pPr>
          </w:p>
        </w:tc>
        <w:tc>
          <w:tcPr>
            <w:tcW w:w="1117" w:type="dxa"/>
            <w:tcBorders>
              <w:bottom w:val="single" w:sz="4" w:space="0" w:color="auto"/>
            </w:tcBorders>
            <w:noWrap/>
            <w:vAlign w:val="center"/>
            <w:hideMark/>
          </w:tcPr>
          <w:p w14:paraId="65157418"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River</w:t>
            </w:r>
          </w:p>
        </w:tc>
        <w:tc>
          <w:tcPr>
            <w:tcW w:w="1117" w:type="dxa"/>
            <w:tcBorders>
              <w:bottom w:val="single" w:sz="4" w:space="0" w:color="auto"/>
            </w:tcBorders>
            <w:vAlign w:val="center"/>
          </w:tcPr>
          <w:p w14:paraId="65157419"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Pond</w:t>
            </w:r>
          </w:p>
        </w:tc>
        <w:tc>
          <w:tcPr>
            <w:tcW w:w="1117" w:type="dxa"/>
            <w:tcBorders>
              <w:bottom w:val="single" w:sz="4" w:space="0" w:color="auto"/>
            </w:tcBorders>
            <w:noWrap/>
            <w:vAlign w:val="center"/>
            <w:hideMark/>
          </w:tcPr>
          <w:p w14:paraId="6515741A"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River</w:t>
            </w:r>
          </w:p>
        </w:tc>
        <w:tc>
          <w:tcPr>
            <w:tcW w:w="1117" w:type="dxa"/>
            <w:tcBorders>
              <w:bottom w:val="single" w:sz="4" w:space="0" w:color="auto"/>
            </w:tcBorders>
            <w:vAlign w:val="center"/>
          </w:tcPr>
          <w:p w14:paraId="6515741B"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Pond</w:t>
            </w:r>
          </w:p>
        </w:tc>
        <w:tc>
          <w:tcPr>
            <w:tcW w:w="1117" w:type="dxa"/>
            <w:tcBorders>
              <w:bottom w:val="single" w:sz="4" w:space="0" w:color="auto"/>
            </w:tcBorders>
            <w:noWrap/>
            <w:vAlign w:val="center"/>
            <w:hideMark/>
          </w:tcPr>
          <w:p w14:paraId="6515741C"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River</w:t>
            </w:r>
          </w:p>
        </w:tc>
        <w:tc>
          <w:tcPr>
            <w:tcW w:w="1117" w:type="dxa"/>
            <w:tcBorders>
              <w:bottom w:val="single" w:sz="4" w:space="0" w:color="auto"/>
            </w:tcBorders>
            <w:vAlign w:val="center"/>
          </w:tcPr>
          <w:p w14:paraId="6515741D"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Pond</w:t>
            </w:r>
          </w:p>
        </w:tc>
        <w:tc>
          <w:tcPr>
            <w:tcW w:w="1117" w:type="dxa"/>
            <w:tcBorders>
              <w:bottom w:val="single" w:sz="4" w:space="0" w:color="auto"/>
            </w:tcBorders>
            <w:noWrap/>
            <w:vAlign w:val="center"/>
            <w:hideMark/>
          </w:tcPr>
          <w:p w14:paraId="6515741E"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River</w:t>
            </w:r>
          </w:p>
        </w:tc>
        <w:tc>
          <w:tcPr>
            <w:tcW w:w="1117" w:type="dxa"/>
            <w:tcBorders>
              <w:bottom w:val="single" w:sz="4" w:space="0" w:color="auto"/>
            </w:tcBorders>
            <w:vAlign w:val="center"/>
          </w:tcPr>
          <w:p w14:paraId="6515741F"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Pond</w:t>
            </w:r>
          </w:p>
        </w:tc>
      </w:tr>
      <w:tr w:rsidR="00152E94" w:rsidRPr="00C876AF" w14:paraId="6515742B" w14:textId="77777777" w:rsidTr="00C876AF">
        <w:trPr>
          <w:trHeight w:val="300"/>
        </w:trPr>
        <w:tc>
          <w:tcPr>
            <w:tcW w:w="1565" w:type="dxa"/>
            <w:tcBorders>
              <w:top w:val="single" w:sz="4" w:space="0" w:color="auto"/>
            </w:tcBorders>
            <w:noWrap/>
            <w:vAlign w:val="center"/>
            <w:hideMark/>
          </w:tcPr>
          <w:p w14:paraId="65157421" w14:textId="77777777" w:rsidR="008222FB" w:rsidRPr="00C876AF" w:rsidRDefault="008222FB" w:rsidP="000E1558">
            <w:pPr>
              <w:spacing w:line="276" w:lineRule="auto"/>
              <w:jc w:val="both"/>
              <w:rPr>
                <w:rFonts w:ascii="Arial" w:hAnsi="Arial" w:cs="Arial"/>
                <w:color w:val="000000"/>
                <w:sz w:val="18"/>
                <w:szCs w:val="18"/>
              </w:rPr>
            </w:pPr>
            <w:r w:rsidRPr="00C876AF">
              <w:rPr>
                <w:rFonts w:ascii="Arial" w:hAnsi="Arial" w:cs="Arial"/>
                <w:color w:val="000000"/>
                <w:sz w:val="18"/>
                <w:szCs w:val="18"/>
              </w:rPr>
              <w:t xml:space="preserve">Hb </w:t>
            </w:r>
            <w:r w:rsidRPr="00C876AF">
              <w:rPr>
                <w:rFonts w:ascii="Arial" w:hAnsi="Arial" w:cs="Arial"/>
                <w:b/>
                <w:bCs/>
                <w:color w:val="000000"/>
                <w:sz w:val="18"/>
                <w:szCs w:val="18"/>
              </w:rPr>
              <w:t>(g/dl)</w:t>
            </w:r>
          </w:p>
        </w:tc>
        <w:tc>
          <w:tcPr>
            <w:tcW w:w="1117" w:type="dxa"/>
            <w:tcBorders>
              <w:top w:val="single" w:sz="4" w:space="0" w:color="auto"/>
            </w:tcBorders>
            <w:noWrap/>
            <w:vAlign w:val="center"/>
            <w:hideMark/>
          </w:tcPr>
          <w:p w14:paraId="65157422"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7.86±0.50</w:t>
            </w:r>
          </w:p>
        </w:tc>
        <w:tc>
          <w:tcPr>
            <w:tcW w:w="1117" w:type="dxa"/>
            <w:tcBorders>
              <w:top w:val="single" w:sz="4" w:space="0" w:color="auto"/>
            </w:tcBorders>
            <w:vAlign w:val="center"/>
          </w:tcPr>
          <w:p w14:paraId="65157423"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8.42±.383</w:t>
            </w:r>
          </w:p>
        </w:tc>
        <w:tc>
          <w:tcPr>
            <w:tcW w:w="1117" w:type="dxa"/>
            <w:tcBorders>
              <w:top w:val="single" w:sz="4" w:space="0" w:color="auto"/>
            </w:tcBorders>
            <w:noWrap/>
            <w:vAlign w:val="center"/>
            <w:hideMark/>
          </w:tcPr>
          <w:p w14:paraId="65157424"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6.76±0.51</w:t>
            </w:r>
          </w:p>
        </w:tc>
        <w:tc>
          <w:tcPr>
            <w:tcW w:w="1117" w:type="dxa"/>
            <w:tcBorders>
              <w:top w:val="single" w:sz="4" w:space="0" w:color="auto"/>
            </w:tcBorders>
            <w:vAlign w:val="center"/>
          </w:tcPr>
          <w:p w14:paraId="65157425"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7.06±.456</w:t>
            </w:r>
          </w:p>
        </w:tc>
        <w:tc>
          <w:tcPr>
            <w:tcW w:w="1117" w:type="dxa"/>
            <w:tcBorders>
              <w:top w:val="single" w:sz="4" w:space="0" w:color="auto"/>
            </w:tcBorders>
            <w:noWrap/>
            <w:vAlign w:val="center"/>
            <w:hideMark/>
          </w:tcPr>
          <w:p w14:paraId="65157426"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5.46±0.99</w:t>
            </w:r>
          </w:p>
        </w:tc>
        <w:tc>
          <w:tcPr>
            <w:tcW w:w="1117" w:type="dxa"/>
            <w:tcBorders>
              <w:top w:val="single" w:sz="4" w:space="0" w:color="auto"/>
            </w:tcBorders>
            <w:vAlign w:val="center"/>
          </w:tcPr>
          <w:p w14:paraId="65157427"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5.74±.151</w:t>
            </w:r>
          </w:p>
        </w:tc>
        <w:tc>
          <w:tcPr>
            <w:tcW w:w="1117" w:type="dxa"/>
            <w:tcBorders>
              <w:top w:val="single" w:sz="4" w:space="0" w:color="auto"/>
            </w:tcBorders>
            <w:noWrap/>
            <w:vAlign w:val="center"/>
            <w:hideMark/>
          </w:tcPr>
          <w:p w14:paraId="65157428"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7.98E-06</w:t>
            </w:r>
          </w:p>
          <w:p w14:paraId="65157429" w14:textId="77777777" w:rsidR="008222FB" w:rsidRPr="00C876AF" w:rsidRDefault="008222FB" w:rsidP="009309C8">
            <w:pPr>
              <w:spacing w:line="276" w:lineRule="auto"/>
              <w:jc w:val="center"/>
              <w:rPr>
                <w:rFonts w:ascii="Arial" w:hAnsi="Arial" w:cs="Arial"/>
                <w:color w:val="000000"/>
                <w:sz w:val="18"/>
                <w:szCs w:val="18"/>
              </w:rPr>
            </w:pPr>
          </w:p>
        </w:tc>
        <w:tc>
          <w:tcPr>
            <w:tcW w:w="1117" w:type="dxa"/>
            <w:tcBorders>
              <w:top w:val="single" w:sz="4" w:space="0" w:color="auto"/>
            </w:tcBorders>
            <w:vAlign w:val="center"/>
          </w:tcPr>
          <w:p w14:paraId="6515742A"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2.194E-07</w:t>
            </w:r>
          </w:p>
        </w:tc>
      </w:tr>
      <w:tr w:rsidR="00152E94" w:rsidRPr="00C876AF" w14:paraId="65157435" w14:textId="77777777" w:rsidTr="00C876AF">
        <w:trPr>
          <w:trHeight w:val="300"/>
        </w:trPr>
        <w:tc>
          <w:tcPr>
            <w:tcW w:w="1565" w:type="dxa"/>
            <w:noWrap/>
            <w:vAlign w:val="center"/>
            <w:hideMark/>
          </w:tcPr>
          <w:p w14:paraId="6515742C" w14:textId="77777777" w:rsidR="008222FB" w:rsidRPr="00C876AF" w:rsidRDefault="008222FB" w:rsidP="000E1558">
            <w:pPr>
              <w:spacing w:line="276" w:lineRule="auto"/>
              <w:jc w:val="both"/>
              <w:rPr>
                <w:rFonts w:ascii="Arial" w:hAnsi="Arial" w:cs="Arial"/>
                <w:color w:val="000000"/>
                <w:sz w:val="18"/>
                <w:szCs w:val="18"/>
              </w:rPr>
            </w:pPr>
            <w:r w:rsidRPr="00C876AF">
              <w:rPr>
                <w:rFonts w:ascii="Arial" w:hAnsi="Arial" w:cs="Arial"/>
                <w:color w:val="000000"/>
                <w:sz w:val="18"/>
                <w:szCs w:val="18"/>
              </w:rPr>
              <w:t>WBCs (10</w:t>
            </w:r>
            <w:r w:rsidRPr="00C876AF">
              <w:rPr>
                <w:rFonts w:ascii="Arial" w:hAnsi="Arial" w:cs="Arial"/>
                <w:color w:val="000000"/>
                <w:sz w:val="18"/>
                <w:szCs w:val="18"/>
                <w:vertAlign w:val="superscript"/>
              </w:rPr>
              <w:t>6</w:t>
            </w:r>
            <w:r w:rsidRPr="00C876AF">
              <w:rPr>
                <w:rFonts w:ascii="Arial" w:hAnsi="Arial" w:cs="Arial"/>
                <w:color w:val="000000"/>
                <w:sz w:val="18"/>
                <w:szCs w:val="18"/>
              </w:rPr>
              <w:t>/mm3)</w:t>
            </w:r>
          </w:p>
        </w:tc>
        <w:tc>
          <w:tcPr>
            <w:tcW w:w="1117" w:type="dxa"/>
            <w:noWrap/>
            <w:vAlign w:val="center"/>
            <w:hideMark/>
          </w:tcPr>
          <w:p w14:paraId="6515742D"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6.7±0.28</w:t>
            </w:r>
          </w:p>
        </w:tc>
        <w:tc>
          <w:tcPr>
            <w:tcW w:w="1117" w:type="dxa"/>
            <w:vAlign w:val="center"/>
          </w:tcPr>
          <w:p w14:paraId="6515742E"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6.92±.389</w:t>
            </w:r>
          </w:p>
        </w:tc>
        <w:tc>
          <w:tcPr>
            <w:tcW w:w="1117" w:type="dxa"/>
            <w:noWrap/>
            <w:vAlign w:val="center"/>
            <w:hideMark/>
          </w:tcPr>
          <w:p w14:paraId="6515742F"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5.48±0.25</w:t>
            </w:r>
          </w:p>
        </w:tc>
        <w:tc>
          <w:tcPr>
            <w:tcW w:w="1117" w:type="dxa"/>
            <w:vAlign w:val="center"/>
          </w:tcPr>
          <w:p w14:paraId="65157430"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5.76±.304</w:t>
            </w:r>
          </w:p>
        </w:tc>
        <w:tc>
          <w:tcPr>
            <w:tcW w:w="1117" w:type="dxa"/>
            <w:noWrap/>
            <w:vAlign w:val="center"/>
            <w:hideMark/>
          </w:tcPr>
          <w:p w14:paraId="65157431"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4.94±0.40</w:t>
            </w:r>
          </w:p>
        </w:tc>
        <w:tc>
          <w:tcPr>
            <w:tcW w:w="1117" w:type="dxa"/>
            <w:vAlign w:val="center"/>
          </w:tcPr>
          <w:p w14:paraId="65157432"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5.16±.304</w:t>
            </w:r>
          </w:p>
        </w:tc>
        <w:tc>
          <w:tcPr>
            <w:tcW w:w="1117" w:type="dxa"/>
            <w:noWrap/>
            <w:vAlign w:val="center"/>
            <w:hideMark/>
          </w:tcPr>
          <w:p w14:paraId="65157433"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0.000005</w:t>
            </w:r>
          </w:p>
        </w:tc>
        <w:tc>
          <w:tcPr>
            <w:tcW w:w="1117" w:type="dxa"/>
            <w:vAlign w:val="center"/>
          </w:tcPr>
          <w:p w14:paraId="65157434"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0.0003012</w:t>
            </w:r>
          </w:p>
        </w:tc>
      </w:tr>
      <w:tr w:rsidR="00152E94" w:rsidRPr="00C876AF" w14:paraId="65157440" w14:textId="77777777" w:rsidTr="00C876AF">
        <w:trPr>
          <w:trHeight w:val="300"/>
        </w:trPr>
        <w:tc>
          <w:tcPr>
            <w:tcW w:w="1565" w:type="dxa"/>
            <w:noWrap/>
            <w:vAlign w:val="center"/>
            <w:hideMark/>
          </w:tcPr>
          <w:p w14:paraId="65157436" w14:textId="77777777" w:rsidR="008222FB" w:rsidRPr="00C876AF" w:rsidRDefault="008222FB" w:rsidP="000E1558">
            <w:pPr>
              <w:spacing w:line="276" w:lineRule="auto"/>
              <w:jc w:val="both"/>
              <w:rPr>
                <w:rFonts w:ascii="Arial" w:hAnsi="Arial" w:cs="Arial"/>
                <w:color w:val="000000"/>
                <w:sz w:val="18"/>
                <w:szCs w:val="18"/>
              </w:rPr>
            </w:pPr>
            <w:r w:rsidRPr="00C876AF">
              <w:rPr>
                <w:rFonts w:ascii="Arial" w:hAnsi="Arial" w:cs="Arial"/>
                <w:color w:val="000000"/>
                <w:sz w:val="18"/>
                <w:szCs w:val="18"/>
              </w:rPr>
              <w:t>RBCs (10</w:t>
            </w:r>
            <w:r w:rsidRPr="00C876AF">
              <w:rPr>
                <w:rFonts w:ascii="Arial" w:hAnsi="Arial" w:cs="Arial"/>
                <w:color w:val="000000"/>
                <w:sz w:val="18"/>
                <w:szCs w:val="18"/>
                <w:vertAlign w:val="superscript"/>
              </w:rPr>
              <w:t>6</w:t>
            </w:r>
            <w:r w:rsidRPr="00C876AF">
              <w:rPr>
                <w:rFonts w:ascii="Arial" w:hAnsi="Arial" w:cs="Arial"/>
                <w:color w:val="000000"/>
                <w:sz w:val="18"/>
                <w:szCs w:val="18"/>
              </w:rPr>
              <w:t>/mm3)</w:t>
            </w:r>
          </w:p>
        </w:tc>
        <w:tc>
          <w:tcPr>
            <w:tcW w:w="1117" w:type="dxa"/>
            <w:noWrap/>
            <w:vAlign w:val="center"/>
            <w:hideMark/>
          </w:tcPr>
          <w:p w14:paraId="65157437"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2.172±0.18</w:t>
            </w:r>
          </w:p>
        </w:tc>
        <w:tc>
          <w:tcPr>
            <w:tcW w:w="1117" w:type="dxa"/>
            <w:vAlign w:val="center"/>
          </w:tcPr>
          <w:p w14:paraId="65157438"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2.26±.200</w:t>
            </w:r>
          </w:p>
        </w:tc>
        <w:tc>
          <w:tcPr>
            <w:tcW w:w="1117" w:type="dxa"/>
            <w:noWrap/>
            <w:vAlign w:val="center"/>
            <w:hideMark/>
          </w:tcPr>
          <w:p w14:paraId="65157439"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1.774±0.15</w:t>
            </w:r>
          </w:p>
        </w:tc>
        <w:tc>
          <w:tcPr>
            <w:tcW w:w="1117" w:type="dxa"/>
            <w:vAlign w:val="center"/>
          </w:tcPr>
          <w:p w14:paraId="6515743A"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1.84±.123</w:t>
            </w:r>
          </w:p>
        </w:tc>
        <w:tc>
          <w:tcPr>
            <w:tcW w:w="1117" w:type="dxa"/>
            <w:noWrap/>
            <w:vAlign w:val="center"/>
            <w:hideMark/>
          </w:tcPr>
          <w:p w14:paraId="6515743B"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1.334±0.10</w:t>
            </w:r>
          </w:p>
        </w:tc>
        <w:tc>
          <w:tcPr>
            <w:tcW w:w="1117" w:type="dxa"/>
            <w:vAlign w:val="center"/>
          </w:tcPr>
          <w:p w14:paraId="6515743C"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1.43±.083</w:t>
            </w:r>
          </w:p>
        </w:tc>
        <w:tc>
          <w:tcPr>
            <w:tcW w:w="1117" w:type="dxa"/>
            <w:noWrap/>
            <w:vAlign w:val="center"/>
            <w:hideMark/>
          </w:tcPr>
          <w:p w14:paraId="6515743D"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0.000006</w:t>
            </w:r>
          </w:p>
          <w:p w14:paraId="6515743E" w14:textId="77777777" w:rsidR="008222FB" w:rsidRPr="00C876AF" w:rsidRDefault="008222FB" w:rsidP="009309C8">
            <w:pPr>
              <w:spacing w:line="276" w:lineRule="auto"/>
              <w:jc w:val="center"/>
              <w:rPr>
                <w:rFonts w:ascii="Arial" w:hAnsi="Arial" w:cs="Arial"/>
                <w:color w:val="000000"/>
                <w:sz w:val="18"/>
                <w:szCs w:val="18"/>
              </w:rPr>
            </w:pPr>
          </w:p>
        </w:tc>
        <w:tc>
          <w:tcPr>
            <w:tcW w:w="1117" w:type="dxa"/>
            <w:vAlign w:val="center"/>
          </w:tcPr>
          <w:p w14:paraId="6515743F"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4.132E-05</w:t>
            </w:r>
          </w:p>
        </w:tc>
      </w:tr>
      <w:tr w:rsidR="00152E94" w:rsidRPr="00C876AF" w14:paraId="6515744B" w14:textId="77777777" w:rsidTr="00C876AF">
        <w:trPr>
          <w:trHeight w:val="602"/>
        </w:trPr>
        <w:tc>
          <w:tcPr>
            <w:tcW w:w="1565" w:type="dxa"/>
            <w:tcBorders>
              <w:bottom w:val="single" w:sz="4" w:space="0" w:color="auto"/>
            </w:tcBorders>
            <w:noWrap/>
            <w:vAlign w:val="center"/>
            <w:hideMark/>
          </w:tcPr>
          <w:p w14:paraId="65157441" w14:textId="434DD80E" w:rsidR="008222FB" w:rsidRPr="00C876AF" w:rsidRDefault="00EE270B" w:rsidP="000E1558">
            <w:pPr>
              <w:spacing w:line="276" w:lineRule="auto"/>
              <w:jc w:val="both"/>
              <w:rPr>
                <w:rFonts w:ascii="Arial" w:hAnsi="Arial" w:cs="Arial"/>
                <w:color w:val="000000"/>
                <w:sz w:val="18"/>
                <w:szCs w:val="18"/>
              </w:rPr>
            </w:pPr>
            <w:r w:rsidRPr="00C876AF">
              <w:rPr>
                <w:rFonts w:ascii="Arial" w:hAnsi="Arial" w:cs="Arial"/>
                <w:color w:val="000000"/>
                <w:sz w:val="18"/>
                <w:szCs w:val="18"/>
              </w:rPr>
              <w:t>HCT (</w:t>
            </w:r>
            <w:r w:rsidR="008222FB" w:rsidRPr="00C876AF">
              <w:rPr>
                <w:rFonts w:ascii="Arial" w:hAnsi="Arial" w:cs="Arial"/>
                <w:color w:val="000000"/>
                <w:sz w:val="18"/>
                <w:szCs w:val="18"/>
              </w:rPr>
              <w:t>%)</w:t>
            </w:r>
          </w:p>
        </w:tc>
        <w:tc>
          <w:tcPr>
            <w:tcW w:w="1117" w:type="dxa"/>
            <w:tcBorders>
              <w:bottom w:val="single" w:sz="4" w:space="0" w:color="auto"/>
            </w:tcBorders>
            <w:noWrap/>
            <w:vAlign w:val="center"/>
            <w:hideMark/>
          </w:tcPr>
          <w:p w14:paraId="65157442"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32.266±0.98</w:t>
            </w:r>
          </w:p>
        </w:tc>
        <w:tc>
          <w:tcPr>
            <w:tcW w:w="1117" w:type="dxa"/>
            <w:tcBorders>
              <w:bottom w:val="single" w:sz="4" w:space="0" w:color="auto"/>
            </w:tcBorders>
            <w:vAlign w:val="center"/>
          </w:tcPr>
          <w:p w14:paraId="65157443"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32.50±1.08</w:t>
            </w:r>
          </w:p>
        </w:tc>
        <w:tc>
          <w:tcPr>
            <w:tcW w:w="1117" w:type="dxa"/>
            <w:tcBorders>
              <w:bottom w:val="single" w:sz="4" w:space="0" w:color="auto"/>
            </w:tcBorders>
            <w:noWrap/>
            <w:vAlign w:val="center"/>
            <w:hideMark/>
          </w:tcPr>
          <w:p w14:paraId="65157444"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30.812±0.70</w:t>
            </w:r>
          </w:p>
        </w:tc>
        <w:tc>
          <w:tcPr>
            <w:tcW w:w="1117" w:type="dxa"/>
            <w:tcBorders>
              <w:bottom w:val="single" w:sz="4" w:space="0" w:color="auto"/>
            </w:tcBorders>
            <w:vAlign w:val="center"/>
          </w:tcPr>
          <w:p w14:paraId="65157445"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31.42±.484</w:t>
            </w:r>
          </w:p>
        </w:tc>
        <w:tc>
          <w:tcPr>
            <w:tcW w:w="1117" w:type="dxa"/>
            <w:tcBorders>
              <w:bottom w:val="single" w:sz="4" w:space="0" w:color="auto"/>
            </w:tcBorders>
            <w:noWrap/>
            <w:vAlign w:val="center"/>
            <w:hideMark/>
          </w:tcPr>
          <w:p w14:paraId="65157446"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25.456±0.82</w:t>
            </w:r>
          </w:p>
        </w:tc>
        <w:tc>
          <w:tcPr>
            <w:tcW w:w="1117" w:type="dxa"/>
            <w:tcBorders>
              <w:bottom w:val="single" w:sz="4" w:space="0" w:color="auto"/>
            </w:tcBorders>
            <w:vAlign w:val="center"/>
          </w:tcPr>
          <w:p w14:paraId="65157447"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25.59±.887</w:t>
            </w:r>
          </w:p>
        </w:tc>
        <w:tc>
          <w:tcPr>
            <w:tcW w:w="1117" w:type="dxa"/>
            <w:tcBorders>
              <w:bottom w:val="single" w:sz="4" w:space="0" w:color="auto"/>
            </w:tcBorders>
            <w:noWrap/>
            <w:vAlign w:val="center"/>
            <w:hideMark/>
          </w:tcPr>
          <w:p w14:paraId="65157448"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5.929E-08</w:t>
            </w:r>
          </w:p>
          <w:p w14:paraId="65157449" w14:textId="77777777" w:rsidR="008222FB" w:rsidRPr="00C876AF" w:rsidRDefault="008222FB" w:rsidP="009309C8">
            <w:pPr>
              <w:spacing w:line="276" w:lineRule="auto"/>
              <w:jc w:val="center"/>
              <w:rPr>
                <w:rFonts w:ascii="Arial" w:hAnsi="Arial" w:cs="Arial"/>
                <w:color w:val="000000"/>
                <w:sz w:val="18"/>
                <w:szCs w:val="18"/>
              </w:rPr>
            </w:pPr>
          </w:p>
        </w:tc>
        <w:tc>
          <w:tcPr>
            <w:tcW w:w="1117" w:type="dxa"/>
            <w:tcBorders>
              <w:bottom w:val="single" w:sz="4" w:space="0" w:color="auto"/>
            </w:tcBorders>
            <w:vAlign w:val="center"/>
          </w:tcPr>
          <w:p w14:paraId="6515744A"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3.722E-06</w:t>
            </w:r>
          </w:p>
        </w:tc>
      </w:tr>
    </w:tbl>
    <w:p w14:paraId="6515744C" w14:textId="77777777" w:rsidR="005B0567" w:rsidRPr="00824F4B" w:rsidRDefault="005B0567" w:rsidP="000E1558">
      <w:pPr>
        <w:pStyle w:val="NormalWeb"/>
        <w:spacing w:line="276" w:lineRule="auto"/>
        <w:jc w:val="both"/>
        <w:rPr>
          <w:rFonts w:ascii="Arial" w:hAnsi="Arial" w:cs="Arial"/>
          <w:sz w:val="20"/>
          <w:szCs w:val="20"/>
        </w:rPr>
      </w:pPr>
      <w:r w:rsidRPr="00824F4B">
        <w:rPr>
          <w:rFonts w:ascii="Arial" w:hAnsi="Arial" w:cs="Arial"/>
          <w:sz w:val="20"/>
          <w:szCs w:val="20"/>
        </w:rPr>
        <w:t>Values are mean ± SD; (n=</w:t>
      </w:r>
      <w:r w:rsidR="008C4150" w:rsidRPr="00824F4B">
        <w:rPr>
          <w:rFonts w:ascii="Arial" w:hAnsi="Arial" w:cs="Arial"/>
          <w:sz w:val="20"/>
          <w:szCs w:val="20"/>
        </w:rPr>
        <w:t>5</w:t>
      </w:r>
      <w:r w:rsidRPr="00824F4B">
        <w:rPr>
          <w:rFonts w:ascii="Arial" w:hAnsi="Arial" w:cs="Arial"/>
          <w:sz w:val="20"/>
          <w:szCs w:val="20"/>
        </w:rPr>
        <w:t>), P&lt;0.05</w:t>
      </w:r>
    </w:p>
    <w:p w14:paraId="6515744D" w14:textId="3823BAF6" w:rsidR="000542C3" w:rsidRPr="00AF4AA8" w:rsidRDefault="004E17E9" w:rsidP="00854117">
      <w:pPr>
        <w:pStyle w:val="Heading2"/>
        <w:rPr>
          <w:rStyle w:val="Strong"/>
          <w:rFonts w:ascii="Arial" w:hAnsi="Arial" w:cs="Arial"/>
          <w:b/>
          <w:bCs/>
          <w:color w:val="auto"/>
          <w:sz w:val="22"/>
          <w:szCs w:val="22"/>
        </w:rPr>
      </w:pPr>
      <w:r>
        <w:rPr>
          <w:rStyle w:val="Strong"/>
          <w:rFonts w:ascii="Arial" w:hAnsi="Arial" w:cs="Arial"/>
          <w:b/>
          <w:bCs/>
          <w:color w:val="auto"/>
          <w:sz w:val="22"/>
          <w:szCs w:val="22"/>
        </w:rPr>
        <w:lastRenderedPageBreak/>
        <w:t xml:space="preserve">3.1. </w:t>
      </w:r>
      <w:r w:rsidR="000542C3" w:rsidRPr="00AF4AA8">
        <w:rPr>
          <w:rStyle w:val="Strong"/>
          <w:rFonts w:ascii="Arial" w:hAnsi="Arial" w:cs="Arial"/>
          <w:b/>
          <w:bCs/>
          <w:color w:val="auto"/>
          <w:sz w:val="22"/>
          <w:szCs w:val="22"/>
        </w:rPr>
        <w:t>Serum parameters</w:t>
      </w:r>
    </w:p>
    <w:p w14:paraId="6515744E" w14:textId="08D76B6E" w:rsidR="000542C3" w:rsidRPr="00824F4B" w:rsidRDefault="000542C3"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The seasonal variation </w:t>
      </w:r>
      <w:r w:rsidR="008C020A" w:rsidRPr="00824F4B">
        <w:rPr>
          <w:rFonts w:ascii="Arial" w:hAnsi="Arial" w:cs="Arial"/>
          <w:sz w:val="20"/>
          <w:szCs w:val="20"/>
        </w:rPr>
        <w:t xml:space="preserve">in serum biochemical parameters like </w:t>
      </w:r>
      <w:r w:rsidRPr="00824F4B">
        <w:rPr>
          <w:rFonts w:ascii="Arial" w:hAnsi="Arial" w:cs="Arial"/>
          <w:sz w:val="20"/>
          <w:szCs w:val="20"/>
        </w:rPr>
        <w:t>protein, glucose,</w:t>
      </w:r>
      <w:r w:rsidR="008C020A" w:rsidRPr="00824F4B">
        <w:rPr>
          <w:rFonts w:ascii="Arial" w:hAnsi="Arial" w:cs="Arial"/>
          <w:sz w:val="20"/>
          <w:szCs w:val="20"/>
        </w:rPr>
        <w:t xml:space="preserve"> cholesterol, and triglycerides </w:t>
      </w:r>
      <w:r w:rsidRPr="00824F4B">
        <w:rPr>
          <w:rFonts w:ascii="Arial" w:hAnsi="Arial" w:cs="Arial"/>
          <w:sz w:val="20"/>
          <w:szCs w:val="20"/>
        </w:rPr>
        <w:t>of river and pond fish showed noticeable trends, though the differences were statistically non-significant</w:t>
      </w:r>
      <w:r w:rsidR="00A9405F" w:rsidRPr="00824F4B">
        <w:rPr>
          <w:rFonts w:ascii="Arial" w:hAnsi="Arial" w:cs="Arial"/>
          <w:sz w:val="20"/>
          <w:szCs w:val="20"/>
        </w:rPr>
        <w:t xml:space="preserve"> </w:t>
      </w:r>
      <w:r w:rsidR="00BB6CCB" w:rsidRPr="00824F4B">
        <w:rPr>
          <w:rFonts w:ascii="Arial" w:hAnsi="Arial" w:cs="Arial"/>
          <w:sz w:val="20"/>
          <w:szCs w:val="20"/>
        </w:rPr>
        <w:t>(Table 2)</w:t>
      </w:r>
      <w:r w:rsidRPr="00824F4B">
        <w:rPr>
          <w:rFonts w:ascii="Arial" w:hAnsi="Arial" w:cs="Arial"/>
          <w:sz w:val="20"/>
          <w:szCs w:val="20"/>
        </w:rPr>
        <w:t xml:space="preserve">. In summer, serum protein levels were higher in pond fish (4.9 ± 4.53 g/dl) compared to river fish (4.35 ± 0.39 g/dl), with a gradual decline observed during the rainy and winter seasons. A similar decreasing trend was noted by Mahdi </w:t>
      </w:r>
      <w:r w:rsidR="00623A63" w:rsidRPr="00824F4B">
        <w:rPr>
          <w:rFonts w:ascii="Arial" w:hAnsi="Arial" w:cs="Arial"/>
          <w:i/>
          <w:iCs/>
          <w:sz w:val="20"/>
          <w:szCs w:val="20"/>
        </w:rPr>
        <w:t>et al.</w:t>
      </w:r>
      <w:r w:rsidRPr="00824F4B">
        <w:rPr>
          <w:rFonts w:ascii="Arial" w:hAnsi="Arial" w:cs="Arial"/>
          <w:sz w:val="20"/>
          <w:szCs w:val="20"/>
        </w:rPr>
        <w:t xml:space="preserve"> (2006) and Jan </w:t>
      </w:r>
      <w:r w:rsidR="00623A63" w:rsidRPr="00824F4B">
        <w:rPr>
          <w:rFonts w:ascii="Arial" w:hAnsi="Arial" w:cs="Arial"/>
          <w:i/>
          <w:iCs/>
          <w:sz w:val="20"/>
          <w:szCs w:val="20"/>
        </w:rPr>
        <w:t>et al.</w:t>
      </w:r>
      <w:r w:rsidRPr="00824F4B">
        <w:rPr>
          <w:rFonts w:ascii="Arial" w:hAnsi="Arial" w:cs="Arial"/>
          <w:sz w:val="20"/>
          <w:szCs w:val="20"/>
        </w:rPr>
        <w:t xml:space="preserve"> (2012), who reported that protein levels decline during winter due to reduced feeding and metabolic rates in colder environments. However, in the present study, statistical analysis revealed no significant differences (p &gt; 0.05), indicating that fish may regulate serum protein levels efficiently across seasons.</w:t>
      </w:r>
    </w:p>
    <w:p w14:paraId="6515744F" w14:textId="145F9E39" w:rsidR="000542C3" w:rsidRPr="00824F4B" w:rsidRDefault="000542C3"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Serum glucose levels were highest in summer (52.43 ± 5.03 g/dl in river fish and 53.13 ± 4.70 g/dl in pond fish) and decreased progressively during the rainy and winter seasons. This decline may be associated with reduced food intake and energy expenditure in colder conditions, which is consistent with findings by </w:t>
      </w:r>
      <w:r w:rsidR="00DB6C1C" w:rsidRPr="00824F4B">
        <w:rPr>
          <w:rFonts w:ascii="Arial" w:hAnsi="Arial" w:cs="Arial"/>
          <w:sz w:val="20"/>
          <w:szCs w:val="20"/>
        </w:rPr>
        <w:t xml:space="preserve">Palanisamy </w:t>
      </w:r>
      <w:r w:rsidR="00623A63" w:rsidRPr="00824F4B">
        <w:rPr>
          <w:rFonts w:ascii="Arial" w:hAnsi="Arial" w:cs="Arial"/>
          <w:i/>
          <w:iCs/>
          <w:sz w:val="20"/>
          <w:szCs w:val="20"/>
        </w:rPr>
        <w:t>et al.</w:t>
      </w:r>
      <w:r w:rsidRPr="00824F4B">
        <w:rPr>
          <w:rFonts w:ascii="Arial" w:hAnsi="Arial" w:cs="Arial"/>
          <w:sz w:val="20"/>
          <w:szCs w:val="20"/>
        </w:rPr>
        <w:t xml:space="preserve"> (2011), who reported lower glucose levels in fish during </w:t>
      </w:r>
      <w:r w:rsidR="000C473C" w:rsidRPr="00824F4B">
        <w:rPr>
          <w:rFonts w:ascii="Arial" w:hAnsi="Arial" w:cs="Arial"/>
          <w:sz w:val="20"/>
          <w:szCs w:val="20"/>
        </w:rPr>
        <w:t>winter. Ferri</w:t>
      </w:r>
      <w:r w:rsidR="00DB6C1C" w:rsidRPr="00824F4B">
        <w:rPr>
          <w:rFonts w:ascii="Arial" w:hAnsi="Arial" w:cs="Arial"/>
          <w:sz w:val="20"/>
          <w:szCs w:val="20"/>
        </w:rPr>
        <w:t xml:space="preserve"> </w:t>
      </w:r>
      <w:r w:rsidR="00623A63" w:rsidRPr="00824F4B">
        <w:rPr>
          <w:rFonts w:ascii="Arial" w:hAnsi="Arial" w:cs="Arial"/>
          <w:i/>
          <w:iCs/>
          <w:sz w:val="20"/>
          <w:szCs w:val="20"/>
        </w:rPr>
        <w:t>et al.</w:t>
      </w:r>
      <w:r w:rsidR="000110AF" w:rsidRPr="00824F4B">
        <w:rPr>
          <w:rFonts w:ascii="Arial" w:hAnsi="Arial" w:cs="Arial"/>
          <w:sz w:val="20"/>
          <w:szCs w:val="20"/>
        </w:rPr>
        <w:t xml:space="preserve"> (</w:t>
      </w:r>
      <w:r w:rsidR="000C473C" w:rsidRPr="00824F4B">
        <w:rPr>
          <w:rFonts w:ascii="Arial" w:hAnsi="Arial" w:cs="Arial"/>
          <w:sz w:val="20"/>
          <w:szCs w:val="20"/>
        </w:rPr>
        <w:t>2022) conducted</w:t>
      </w:r>
      <w:r w:rsidR="00D44B74" w:rsidRPr="00824F4B">
        <w:rPr>
          <w:rFonts w:ascii="Arial" w:hAnsi="Arial" w:cs="Arial"/>
          <w:sz w:val="20"/>
          <w:szCs w:val="20"/>
        </w:rPr>
        <w:t xml:space="preserve"> research </w:t>
      </w:r>
      <w:r w:rsidR="00EE270B" w:rsidRPr="00824F4B">
        <w:rPr>
          <w:rFonts w:ascii="Arial" w:hAnsi="Arial" w:cs="Arial"/>
          <w:sz w:val="20"/>
          <w:szCs w:val="20"/>
        </w:rPr>
        <w:t>on Mediterranean</w:t>
      </w:r>
      <w:r w:rsidR="00D44B74" w:rsidRPr="00824F4B">
        <w:rPr>
          <w:rFonts w:ascii="Arial" w:hAnsi="Arial" w:cs="Arial"/>
          <w:sz w:val="20"/>
          <w:szCs w:val="20"/>
        </w:rPr>
        <w:t xml:space="preserve"> </w:t>
      </w:r>
      <w:r w:rsidR="000C473C" w:rsidRPr="00824F4B">
        <w:rPr>
          <w:rFonts w:ascii="Arial" w:hAnsi="Arial" w:cs="Arial"/>
          <w:sz w:val="20"/>
          <w:szCs w:val="20"/>
        </w:rPr>
        <w:t>Scorpaenidae</w:t>
      </w:r>
      <w:r w:rsidR="00D44B74" w:rsidRPr="00824F4B">
        <w:rPr>
          <w:rFonts w:ascii="Arial" w:hAnsi="Arial" w:cs="Arial"/>
          <w:sz w:val="20"/>
          <w:szCs w:val="20"/>
        </w:rPr>
        <w:t xml:space="preserve"> species and found same </w:t>
      </w:r>
      <w:r w:rsidR="000C473C" w:rsidRPr="00824F4B">
        <w:rPr>
          <w:rFonts w:ascii="Arial" w:hAnsi="Arial" w:cs="Arial"/>
          <w:sz w:val="20"/>
          <w:szCs w:val="20"/>
        </w:rPr>
        <w:t>trend. Despite</w:t>
      </w:r>
      <w:r w:rsidRPr="00824F4B">
        <w:rPr>
          <w:rFonts w:ascii="Arial" w:hAnsi="Arial" w:cs="Arial"/>
          <w:sz w:val="20"/>
          <w:szCs w:val="20"/>
        </w:rPr>
        <w:t xml:space="preserve"> this, the seasonal variations in glucose were not statistically significant (p = 0.9018 and 0.9821), suggesting that glucose levels are maintained within a stable physiological range.</w:t>
      </w:r>
    </w:p>
    <w:p w14:paraId="65157450" w14:textId="64C0BCE5" w:rsidR="000542C3" w:rsidRPr="00824F4B" w:rsidRDefault="000542C3"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Similarly, serum cholesterol levels showed a seasonal decrease from summer (191.86 ± 7.02 g/dl in river fish and 192.4 ± 6.15 g/dl in pond fish) to winter (147.16 ± 4.23 and 148.1 ± 2.63), which may be related to reduced lipid metabolism at lower temperatures. This pattern aligns with the observations of </w:t>
      </w:r>
      <w:proofErr w:type="spellStart"/>
      <w:r w:rsidRPr="00824F4B">
        <w:rPr>
          <w:rFonts w:ascii="Arial" w:hAnsi="Arial" w:cs="Arial"/>
          <w:sz w:val="20"/>
          <w:szCs w:val="20"/>
        </w:rPr>
        <w:t>kumar</w:t>
      </w:r>
      <w:proofErr w:type="spellEnd"/>
      <w:r w:rsidR="00AF583A" w:rsidRPr="00824F4B">
        <w:rPr>
          <w:rFonts w:ascii="Arial" w:hAnsi="Arial" w:cs="Arial"/>
          <w:sz w:val="20"/>
          <w:szCs w:val="20"/>
        </w:rPr>
        <w:t xml:space="preserve"> </w:t>
      </w:r>
      <w:r w:rsidR="00623A63" w:rsidRPr="00824F4B">
        <w:rPr>
          <w:rFonts w:ascii="Arial" w:hAnsi="Arial" w:cs="Arial"/>
          <w:i/>
          <w:iCs/>
          <w:sz w:val="20"/>
          <w:szCs w:val="20"/>
        </w:rPr>
        <w:t>et al.</w:t>
      </w:r>
      <w:r w:rsidR="00892784" w:rsidRPr="00824F4B">
        <w:rPr>
          <w:rFonts w:ascii="Arial" w:hAnsi="Arial" w:cs="Arial"/>
          <w:sz w:val="20"/>
          <w:szCs w:val="20"/>
        </w:rPr>
        <w:t xml:space="preserve"> (2019</w:t>
      </w:r>
      <w:r w:rsidRPr="00824F4B">
        <w:rPr>
          <w:rFonts w:ascii="Arial" w:hAnsi="Arial" w:cs="Arial"/>
          <w:sz w:val="20"/>
          <w:szCs w:val="20"/>
        </w:rPr>
        <w:t xml:space="preserve">), who reported lower cholesterol levels in winter due to slower metabolic processes in </w:t>
      </w:r>
      <w:proofErr w:type="spellStart"/>
      <w:r w:rsidR="00E53901" w:rsidRPr="00824F4B">
        <w:rPr>
          <w:rFonts w:ascii="Arial" w:hAnsi="Arial" w:cs="Arial"/>
          <w:i/>
          <w:iCs/>
          <w:sz w:val="20"/>
          <w:szCs w:val="20"/>
        </w:rPr>
        <w:t>Labeo</w:t>
      </w:r>
      <w:proofErr w:type="spellEnd"/>
      <w:r w:rsidR="00E53901" w:rsidRPr="00824F4B">
        <w:rPr>
          <w:rFonts w:ascii="Arial" w:hAnsi="Arial" w:cs="Arial"/>
          <w:i/>
          <w:iCs/>
          <w:sz w:val="20"/>
          <w:szCs w:val="20"/>
        </w:rPr>
        <w:t xml:space="preserve"> </w:t>
      </w:r>
      <w:proofErr w:type="spellStart"/>
      <w:r w:rsidR="00E53901" w:rsidRPr="00824F4B">
        <w:rPr>
          <w:rFonts w:ascii="Arial" w:hAnsi="Arial" w:cs="Arial"/>
          <w:i/>
          <w:iCs/>
          <w:sz w:val="20"/>
          <w:szCs w:val="20"/>
        </w:rPr>
        <w:t>rohita</w:t>
      </w:r>
      <w:proofErr w:type="spellEnd"/>
      <w:r w:rsidRPr="00824F4B">
        <w:rPr>
          <w:rFonts w:ascii="Arial" w:hAnsi="Arial" w:cs="Arial"/>
          <w:sz w:val="20"/>
          <w:szCs w:val="20"/>
        </w:rPr>
        <w:t>. However, statistical analysis again indicated no significant differences (p &gt; 0.05).</w:t>
      </w:r>
    </w:p>
    <w:p w14:paraId="65157451" w14:textId="08A1376C" w:rsidR="000542C3" w:rsidRPr="00824F4B" w:rsidRDefault="000542C3"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Triglyceride levels also followed a declining trend from summer to winter (river fish: 260.63 ± 34.05 g/dl to 195.6 ± 3.25; pond fish: 263.0 ± 31.24 g/dl to 196.2 ± 2.34). The seasonal decrease in triglycerides may reflect reduced dietary lipid intake and energy requirements during colder months, which is supported by the findings of </w:t>
      </w:r>
      <w:proofErr w:type="spellStart"/>
      <w:r w:rsidRPr="00824F4B">
        <w:rPr>
          <w:rFonts w:ascii="Arial" w:hAnsi="Arial" w:cs="Arial"/>
          <w:sz w:val="20"/>
          <w:szCs w:val="20"/>
        </w:rPr>
        <w:t>Ganeshwade</w:t>
      </w:r>
      <w:proofErr w:type="spellEnd"/>
      <w:r w:rsidRPr="00824F4B">
        <w:rPr>
          <w:rFonts w:ascii="Arial" w:hAnsi="Arial" w:cs="Arial"/>
          <w:sz w:val="20"/>
          <w:szCs w:val="20"/>
        </w:rPr>
        <w:t xml:space="preserve"> </w:t>
      </w:r>
      <w:r w:rsidR="00623A63" w:rsidRPr="00824F4B">
        <w:rPr>
          <w:rFonts w:ascii="Arial" w:hAnsi="Arial" w:cs="Arial"/>
          <w:i/>
          <w:iCs/>
          <w:sz w:val="20"/>
          <w:szCs w:val="20"/>
        </w:rPr>
        <w:t>et al.</w:t>
      </w:r>
      <w:r w:rsidRPr="00824F4B">
        <w:rPr>
          <w:rFonts w:ascii="Arial" w:hAnsi="Arial" w:cs="Arial"/>
          <w:sz w:val="20"/>
          <w:szCs w:val="20"/>
        </w:rPr>
        <w:t xml:space="preserve"> (2015</w:t>
      </w:r>
      <w:r w:rsidR="00E110CC" w:rsidRPr="00824F4B">
        <w:rPr>
          <w:rFonts w:ascii="Arial" w:hAnsi="Arial" w:cs="Arial"/>
          <w:sz w:val="20"/>
          <w:szCs w:val="20"/>
        </w:rPr>
        <w:t xml:space="preserve">). </w:t>
      </w:r>
      <w:proofErr w:type="spellStart"/>
      <w:r w:rsidR="00E110CC" w:rsidRPr="00824F4B">
        <w:rPr>
          <w:rFonts w:ascii="Arial" w:hAnsi="Arial" w:cs="Arial"/>
          <w:sz w:val="20"/>
          <w:szCs w:val="20"/>
        </w:rPr>
        <w:t>Kol</w:t>
      </w:r>
      <w:proofErr w:type="spellEnd"/>
      <w:r w:rsidR="00D44B74" w:rsidRPr="00824F4B">
        <w:rPr>
          <w:rFonts w:ascii="Arial" w:hAnsi="Arial" w:cs="Arial"/>
          <w:sz w:val="20"/>
          <w:szCs w:val="20"/>
        </w:rPr>
        <w:t xml:space="preserve"> and </w:t>
      </w:r>
      <w:proofErr w:type="spellStart"/>
      <w:r w:rsidR="00D44B74" w:rsidRPr="00824F4B">
        <w:rPr>
          <w:rFonts w:ascii="Arial" w:hAnsi="Arial" w:cs="Arial"/>
          <w:sz w:val="20"/>
          <w:szCs w:val="20"/>
        </w:rPr>
        <w:t>Heque</w:t>
      </w:r>
      <w:proofErr w:type="spellEnd"/>
      <w:r w:rsidR="001C1811" w:rsidRPr="00824F4B">
        <w:rPr>
          <w:rFonts w:ascii="Arial" w:hAnsi="Arial" w:cs="Arial"/>
          <w:sz w:val="20"/>
          <w:szCs w:val="20"/>
        </w:rPr>
        <w:t>, (</w:t>
      </w:r>
      <w:r w:rsidR="00D44B74" w:rsidRPr="00824F4B">
        <w:rPr>
          <w:rFonts w:ascii="Arial" w:hAnsi="Arial" w:cs="Arial"/>
          <w:sz w:val="20"/>
          <w:szCs w:val="20"/>
        </w:rPr>
        <w:t>2023), conducted work on freshwater fishes (</w:t>
      </w:r>
      <w:r w:rsidR="00D44B74" w:rsidRPr="00824F4B">
        <w:rPr>
          <w:rStyle w:val="Emphasis"/>
          <w:rFonts w:ascii="Arial" w:hAnsi="Arial" w:cs="Arial"/>
          <w:sz w:val="20"/>
          <w:szCs w:val="20"/>
        </w:rPr>
        <w:t xml:space="preserve">Wallago </w:t>
      </w:r>
      <w:proofErr w:type="spellStart"/>
      <w:r w:rsidR="00D44B74" w:rsidRPr="00824F4B">
        <w:rPr>
          <w:rStyle w:val="Emphasis"/>
          <w:rFonts w:ascii="Arial" w:hAnsi="Arial" w:cs="Arial"/>
          <w:sz w:val="20"/>
          <w:szCs w:val="20"/>
        </w:rPr>
        <w:t>attu</w:t>
      </w:r>
      <w:proofErr w:type="spellEnd"/>
      <w:r w:rsidR="00D44B74" w:rsidRPr="00824F4B">
        <w:rPr>
          <w:rFonts w:ascii="Arial" w:hAnsi="Arial" w:cs="Arial"/>
          <w:sz w:val="20"/>
          <w:szCs w:val="20"/>
        </w:rPr>
        <w:t xml:space="preserve"> and </w:t>
      </w:r>
      <w:proofErr w:type="spellStart"/>
      <w:r w:rsidR="00D44B74" w:rsidRPr="00824F4B">
        <w:rPr>
          <w:rStyle w:val="Emphasis"/>
          <w:rFonts w:ascii="Arial" w:hAnsi="Arial" w:cs="Arial"/>
          <w:sz w:val="20"/>
          <w:szCs w:val="20"/>
        </w:rPr>
        <w:t>Cirrhinusmrigala</w:t>
      </w:r>
      <w:proofErr w:type="spellEnd"/>
      <w:r w:rsidR="00D44B74" w:rsidRPr="00824F4B">
        <w:rPr>
          <w:rFonts w:ascii="Arial" w:hAnsi="Arial" w:cs="Arial"/>
          <w:sz w:val="20"/>
          <w:szCs w:val="20"/>
        </w:rPr>
        <w:t xml:space="preserve">) and found same </w:t>
      </w:r>
      <w:r w:rsidR="00AF583A" w:rsidRPr="00824F4B">
        <w:rPr>
          <w:rFonts w:ascii="Arial" w:hAnsi="Arial" w:cs="Arial"/>
          <w:sz w:val="20"/>
          <w:szCs w:val="20"/>
        </w:rPr>
        <w:t>results. Nonetheless</w:t>
      </w:r>
      <w:r w:rsidRPr="00824F4B">
        <w:rPr>
          <w:rFonts w:ascii="Arial" w:hAnsi="Arial" w:cs="Arial"/>
          <w:sz w:val="20"/>
          <w:szCs w:val="20"/>
        </w:rPr>
        <w:t>, these variations were statistically non-significant (p = 0.9903 and 0.9947), indicating minor seasonal influence on triglyceride levels.</w:t>
      </w:r>
    </w:p>
    <w:p w14:paraId="65157452" w14:textId="77777777" w:rsidR="00E8363E" w:rsidRPr="00824F4B" w:rsidRDefault="000542C3"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In conclusion, although serum protein, glucose, cholesterol, and triglyceride levels showed a decreasing trend from summer to winter in </w:t>
      </w:r>
      <w:r w:rsidR="004F32C3" w:rsidRPr="00824F4B">
        <w:rPr>
          <w:rFonts w:ascii="Arial" w:hAnsi="Arial" w:cs="Arial"/>
          <w:sz w:val="20"/>
          <w:szCs w:val="20"/>
        </w:rPr>
        <w:t>river</w:t>
      </w:r>
      <w:r w:rsidRPr="00824F4B">
        <w:rPr>
          <w:rFonts w:ascii="Arial" w:hAnsi="Arial" w:cs="Arial"/>
          <w:sz w:val="20"/>
          <w:szCs w:val="20"/>
        </w:rPr>
        <w:t xml:space="preserve"> and pond fish, the variations were not statistically significant. This suggests that fish may possess effective physiological mechanisms to maintain serum biochemical homeostasis across different seasons.</w:t>
      </w:r>
    </w:p>
    <w:p w14:paraId="65157453" w14:textId="77777777" w:rsidR="004B395F" w:rsidRPr="00824F4B" w:rsidRDefault="004B395F" w:rsidP="000E1558">
      <w:pPr>
        <w:spacing w:line="276" w:lineRule="auto"/>
        <w:jc w:val="both"/>
        <w:rPr>
          <w:rFonts w:ascii="Arial" w:hAnsi="Arial" w:cs="Arial"/>
          <w:b/>
          <w:bCs/>
          <w:sz w:val="20"/>
          <w:szCs w:val="20"/>
        </w:rPr>
      </w:pPr>
      <w:r w:rsidRPr="00824F4B">
        <w:rPr>
          <w:rFonts w:ascii="Arial" w:hAnsi="Arial" w:cs="Arial"/>
          <w:b/>
          <w:bCs/>
          <w:sz w:val="20"/>
          <w:szCs w:val="20"/>
        </w:rPr>
        <w:t>Table-</w:t>
      </w:r>
      <w:r w:rsidR="00D63545" w:rsidRPr="00824F4B">
        <w:rPr>
          <w:rFonts w:ascii="Arial" w:hAnsi="Arial" w:cs="Arial"/>
          <w:b/>
          <w:bCs/>
          <w:sz w:val="20"/>
          <w:szCs w:val="20"/>
        </w:rPr>
        <w:t>2 Serum parameters of River</w:t>
      </w:r>
      <w:r w:rsidRPr="00824F4B">
        <w:rPr>
          <w:rFonts w:ascii="Arial" w:hAnsi="Arial" w:cs="Arial"/>
          <w:b/>
          <w:bCs/>
          <w:sz w:val="20"/>
          <w:szCs w:val="20"/>
        </w:rPr>
        <w:t xml:space="preserve"> and pond fish</w:t>
      </w:r>
    </w:p>
    <w:tbl>
      <w:tblPr>
        <w:tblW w:w="11341" w:type="dxa"/>
        <w:tblInd w:w="-1418" w:type="dxa"/>
        <w:tblLayout w:type="fixed"/>
        <w:tblCellMar>
          <w:left w:w="28" w:type="dxa"/>
          <w:right w:w="28" w:type="dxa"/>
        </w:tblCellMar>
        <w:tblLook w:val="04A0" w:firstRow="1" w:lastRow="0" w:firstColumn="1" w:lastColumn="0" w:noHBand="0" w:noVBand="1"/>
      </w:tblPr>
      <w:tblGrid>
        <w:gridCol w:w="1423"/>
        <w:gridCol w:w="1334"/>
        <w:gridCol w:w="1276"/>
        <w:gridCol w:w="1418"/>
        <w:gridCol w:w="1275"/>
        <w:gridCol w:w="1276"/>
        <w:gridCol w:w="1276"/>
        <w:gridCol w:w="1071"/>
        <w:gridCol w:w="992"/>
      </w:tblGrid>
      <w:tr w:rsidR="00F1399D" w:rsidRPr="00824F4B" w14:paraId="65157459" w14:textId="77777777" w:rsidTr="00E36111">
        <w:trPr>
          <w:trHeight w:val="300"/>
        </w:trPr>
        <w:tc>
          <w:tcPr>
            <w:tcW w:w="1423" w:type="dxa"/>
            <w:tcBorders>
              <w:top w:val="single" w:sz="4" w:space="0" w:color="auto"/>
            </w:tcBorders>
            <w:noWrap/>
            <w:vAlign w:val="bottom"/>
            <w:hideMark/>
          </w:tcPr>
          <w:p w14:paraId="65157454" w14:textId="77777777" w:rsidR="004B395F" w:rsidRPr="00824F4B" w:rsidRDefault="004B395F" w:rsidP="000E1558">
            <w:pPr>
              <w:spacing w:line="276" w:lineRule="auto"/>
              <w:jc w:val="both"/>
              <w:rPr>
                <w:rFonts w:ascii="Arial" w:hAnsi="Arial" w:cs="Arial"/>
                <w:color w:val="000000"/>
                <w:sz w:val="20"/>
                <w:szCs w:val="20"/>
              </w:rPr>
            </w:pPr>
            <w:r w:rsidRPr="00824F4B">
              <w:rPr>
                <w:rFonts w:ascii="Arial" w:hAnsi="Arial" w:cs="Arial"/>
                <w:color w:val="000000"/>
                <w:sz w:val="20"/>
                <w:szCs w:val="20"/>
              </w:rPr>
              <w:t>Serum parameter</w:t>
            </w:r>
          </w:p>
        </w:tc>
        <w:tc>
          <w:tcPr>
            <w:tcW w:w="2610" w:type="dxa"/>
            <w:gridSpan w:val="2"/>
            <w:tcBorders>
              <w:top w:val="single" w:sz="4" w:space="0" w:color="auto"/>
            </w:tcBorders>
            <w:noWrap/>
            <w:vAlign w:val="center"/>
            <w:hideMark/>
          </w:tcPr>
          <w:p w14:paraId="65157455"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Summer</w:t>
            </w:r>
          </w:p>
        </w:tc>
        <w:tc>
          <w:tcPr>
            <w:tcW w:w="2693" w:type="dxa"/>
            <w:gridSpan w:val="2"/>
            <w:tcBorders>
              <w:top w:val="single" w:sz="4" w:space="0" w:color="auto"/>
            </w:tcBorders>
            <w:noWrap/>
            <w:vAlign w:val="center"/>
            <w:hideMark/>
          </w:tcPr>
          <w:p w14:paraId="65157456"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Rainy</w:t>
            </w:r>
          </w:p>
        </w:tc>
        <w:tc>
          <w:tcPr>
            <w:tcW w:w="2552" w:type="dxa"/>
            <w:gridSpan w:val="2"/>
            <w:tcBorders>
              <w:top w:val="single" w:sz="4" w:space="0" w:color="auto"/>
            </w:tcBorders>
            <w:noWrap/>
            <w:vAlign w:val="center"/>
            <w:hideMark/>
          </w:tcPr>
          <w:p w14:paraId="65157457"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Winter</w:t>
            </w:r>
          </w:p>
        </w:tc>
        <w:tc>
          <w:tcPr>
            <w:tcW w:w="2063" w:type="dxa"/>
            <w:gridSpan w:val="2"/>
            <w:tcBorders>
              <w:top w:val="single" w:sz="4" w:space="0" w:color="auto"/>
            </w:tcBorders>
            <w:noWrap/>
            <w:vAlign w:val="center"/>
            <w:hideMark/>
          </w:tcPr>
          <w:p w14:paraId="65157458"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P- value</w:t>
            </w:r>
          </w:p>
        </w:tc>
      </w:tr>
      <w:tr w:rsidR="00F1399D" w:rsidRPr="00824F4B" w14:paraId="65157463" w14:textId="77777777" w:rsidTr="00E36111">
        <w:trPr>
          <w:trHeight w:val="300"/>
        </w:trPr>
        <w:tc>
          <w:tcPr>
            <w:tcW w:w="1423" w:type="dxa"/>
            <w:tcBorders>
              <w:bottom w:val="single" w:sz="4" w:space="0" w:color="auto"/>
            </w:tcBorders>
            <w:noWrap/>
            <w:vAlign w:val="bottom"/>
            <w:hideMark/>
          </w:tcPr>
          <w:p w14:paraId="6515745A" w14:textId="77777777" w:rsidR="004B395F" w:rsidRPr="00824F4B" w:rsidRDefault="004B395F" w:rsidP="000E1558">
            <w:pPr>
              <w:spacing w:line="276" w:lineRule="auto"/>
              <w:jc w:val="both"/>
              <w:rPr>
                <w:rFonts w:ascii="Arial" w:hAnsi="Arial" w:cs="Arial"/>
                <w:color w:val="000000"/>
                <w:sz w:val="20"/>
                <w:szCs w:val="20"/>
              </w:rPr>
            </w:pPr>
          </w:p>
        </w:tc>
        <w:tc>
          <w:tcPr>
            <w:tcW w:w="1334" w:type="dxa"/>
            <w:tcBorders>
              <w:bottom w:val="single" w:sz="4" w:space="0" w:color="auto"/>
            </w:tcBorders>
            <w:noWrap/>
            <w:vAlign w:val="center"/>
            <w:hideMark/>
          </w:tcPr>
          <w:p w14:paraId="6515745B"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1276" w:type="dxa"/>
            <w:tcBorders>
              <w:bottom w:val="single" w:sz="4" w:space="0" w:color="auto"/>
            </w:tcBorders>
            <w:vAlign w:val="center"/>
          </w:tcPr>
          <w:p w14:paraId="6515745C"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c>
          <w:tcPr>
            <w:tcW w:w="1418" w:type="dxa"/>
            <w:tcBorders>
              <w:bottom w:val="single" w:sz="4" w:space="0" w:color="auto"/>
            </w:tcBorders>
            <w:noWrap/>
            <w:vAlign w:val="center"/>
            <w:hideMark/>
          </w:tcPr>
          <w:p w14:paraId="6515745D"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1275" w:type="dxa"/>
            <w:tcBorders>
              <w:bottom w:val="single" w:sz="4" w:space="0" w:color="auto"/>
            </w:tcBorders>
            <w:vAlign w:val="center"/>
          </w:tcPr>
          <w:p w14:paraId="6515745E"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c>
          <w:tcPr>
            <w:tcW w:w="1276" w:type="dxa"/>
            <w:tcBorders>
              <w:bottom w:val="single" w:sz="4" w:space="0" w:color="auto"/>
            </w:tcBorders>
            <w:noWrap/>
            <w:vAlign w:val="center"/>
            <w:hideMark/>
          </w:tcPr>
          <w:p w14:paraId="6515745F"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1276" w:type="dxa"/>
            <w:tcBorders>
              <w:bottom w:val="single" w:sz="4" w:space="0" w:color="auto"/>
            </w:tcBorders>
            <w:vAlign w:val="center"/>
          </w:tcPr>
          <w:p w14:paraId="65157460"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c>
          <w:tcPr>
            <w:tcW w:w="1071" w:type="dxa"/>
            <w:tcBorders>
              <w:bottom w:val="single" w:sz="4" w:space="0" w:color="auto"/>
            </w:tcBorders>
            <w:noWrap/>
            <w:vAlign w:val="center"/>
            <w:hideMark/>
          </w:tcPr>
          <w:p w14:paraId="65157461"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992" w:type="dxa"/>
            <w:tcBorders>
              <w:bottom w:val="single" w:sz="4" w:space="0" w:color="auto"/>
            </w:tcBorders>
            <w:vAlign w:val="center"/>
          </w:tcPr>
          <w:p w14:paraId="65157462"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r>
      <w:tr w:rsidR="00F1399D" w:rsidRPr="00824F4B" w14:paraId="65157470" w14:textId="77777777" w:rsidTr="00E36111">
        <w:trPr>
          <w:trHeight w:val="300"/>
        </w:trPr>
        <w:tc>
          <w:tcPr>
            <w:tcW w:w="1423" w:type="dxa"/>
            <w:tcBorders>
              <w:top w:val="single" w:sz="4" w:space="0" w:color="auto"/>
            </w:tcBorders>
            <w:noWrap/>
            <w:vAlign w:val="bottom"/>
            <w:hideMark/>
          </w:tcPr>
          <w:p w14:paraId="65157464" w14:textId="77777777" w:rsidR="004B395F" w:rsidRPr="00824F4B" w:rsidRDefault="004B395F" w:rsidP="000E1558">
            <w:pPr>
              <w:spacing w:line="276" w:lineRule="auto"/>
              <w:jc w:val="both"/>
              <w:rPr>
                <w:rFonts w:ascii="Arial" w:hAnsi="Arial" w:cs="Arial"/>
                <w:color w:val="000000"/>
                <w:sz w:val="20"/>
                <w:szCs w:val="20"/>
              </w:rPr>
            </w:pPr>
            <w:r w:rsidRPr="00824F4B">
              <w:rPr>
                <w:rFonts w:ascii="Arial" w:hAnsi="Arial" w:cs="Arial"/>
                <w:color w:val="000000"/>
                <w:sz w:val="20"/>
                <w:szCs w:val="20"/>
              </w:rPr>
              <w:t>Protein (g/dl)</w:t>
            </w:r>
          </w:p>
        </w:tc>
        <w:tc>
          <w:tcPr>
            <w:tcW w:w="1334" w:type="dxa"/>
            <w:tcBorders>
              <w:top w:val="single" w:sz="4" w:space="0" w:color="auto"/>
            </w:tcBorders>
            <w:noWrap/>
            <w:vAlign w:val="center"/>
            <w:hideMark/>
          </w:tcPr>
          <w:p w14:paraId="65157465"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4.35±0.39</w:t>
            </w:r>
          </w:p>
        </w:tc>
        <w:tc>
          <w:tcPr>
            <w:tcW w:w="1276" w:type="dxa"/>
            <w:tcBorders>
              <w:top w:val="single" w:sz="4" w:space="0" w:color="auto"/>
            </w:tcBorders>
            <w:vAlign w:val="center"/>
          </w:tcPr>
          <w:p w14:paraId="65157466"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4.9 ±4.53</w:t>
            </w:r>
          </w:p>
        </w:tc>
        <w:tc>
          <w:tcPr>
            <w:tcW w:w="1418" w:type="dxa"/>
            <w:tcBorders>
              <w:top w:val="single" w:sz="4" w:space="0" w:color="auto"/>
            </w:tcBorders>
            <w:noWrap/>
            <w:vAlign w:val="center"/>
            <w:hideMark/>
          </w:tcPr>
          <w:p w14:paraId="65157467"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3.40±0.31</w:t>
            </w:r>
          </w:p>
          <w:p w14:paraId="65157468" w14:textId="77777777" w:rsidR="004B395F" w:rsidRPr="00824F4B" w:rsidRDefault="004B395F" w:rsidP="00EA300E">
            <w:pPr>
              <w:spacing w:line="276" w:lineRule="auto"/>
              <w:jc w:val="center"/>
              <w:rPr>
                <w:rFonts w:ascii="Arial" w:hAnsi="Arial" w:cs="Arial"/>
                <w:color w:val="000000"/>
                <w:sz w:val="20"/>
                <w:szCs w:val="20"/>
              </w:rPr>
            </w:pPr>
          </w:p>
        </w:tc>
        <w:tc>
          <w:tcPr>
            <w:tcW w:w="1275" w:type="dxa"/>
            <w:tcBorders>
              <w:top w:val="single" w:sz="4" w:space="0" w:color="auto"/>
            </w:tcBorders>
            <w:vAlign w:val="center"/>
          </w:tcPr>
          <w:p w14:paraId="65157469"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3.9±3.7</w:t>
            </w:r>
          </w:p>
        </w:tc>
        <w:tc>
          <w:tcPr>
            <w:tcW w:w="1276" w:type="dxa"/>
            <w:tcBorders>
              <w:top w:val="single" w:sz="4" w:space="0" w:color="auto"/>
            </w:tcBorders>
            <w:noWrap/>
            <w:vAlign w:val="center"/>
            <w:hideMark/>
          </w:tcPr>
          <w:p w14:paraId="6515746A"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2.27±0.32</w:t>
            </w:r>
          </w:p>
          <w:p w14:paraId="6515746B" w14:textId="77777777" w:rsidR="004B395F" w:rsidRPr="00824F4B" w:rsidRDefault="004B395F" w:rsidP="00EA300E">
            <w:pPr>
              <w:spacing w:line="276" w:lineRule="auto"/>
              <w:jc w:val="center"/>
              <w:rPr>
                <w:rFonts w:ascii="Arial" w:hAnsi="Arial" w:cs="Arial"/>
                <w:color w:val="000000"/>
                <w:sz w:val="20"/>
                <w:szCs w:val="20"/>
              </w:rPr>
            </w:pPr>
          </w:p>
        </w:tc>
        <w:tc>
          <w:tcPr>
            <w:tcW w:w="1276" w:type="dxa"/>
            <w:tcBorders>
              <w:top w:val="single" w:sz="4" w:space="0" w:color="auto"/>
            </w:tcBorders>
            <w:vAlign w:val="center"/>
          </w:tcPr>
          <w:p w14:paraId="6515746C"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2.2±2.83</w:t>
            </w:r>
          </w:p>
        </w:tc>
        <w:tc>
          <w:tcPr>
            <w:tcW w:w="1071" w:type="dxa"/>
            <w:tcBorders>
              <w:top w:val="single" w:sz="4" w:space="0" w:color="auto"/>
            </w:tcBorders>
            <w:noWrap/>
            <w:vAlign w:val="center"/>
            <w:hideMark/>
          </w:tcPr>
          <w:p w14:paraId="6515746D"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0.860034</w:t>
            </w:r>
          </w:p>
          <w:p w14:paraId="6515746E" w14:textId="77777777" w:rsidR="004B395F" w:rsidRPr="00824F4B" w:rsidRDefault="004B395F" w:rsidP="00EA300E">
            <w:pPr>
              <w:spacing w:line="276" w:lineRule="auto"/>
              <w:jc w:val="center"/>
              <w:rPr>
                <w:rFonts w:ascii="Arial" w:hAnsi="Arial" w:cs="Arial"/>
                <w:color w:val="000000"/>
                <w:sz w:val="20"/>
                <w:szCs w:val="20"/>
              </w:rPr>
            </w:pPr>
          </w:p>
        </w:tc>
        <w:tc>
          <w:tcPr>
            <w:tcW w:w="992" w:type="dxa"/>
            <w:tcBorders>
              <w:top w:val="single" w:sz="4" w:space="0" w:color="auto"/>
            </w:tcBorders>
            <w:vAlign w:val="center"/>
          </w:tcPr>
          <w:p w14:paraId="6515746F"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0.562993</w:t>
            </w:r>
          </w:p>
        </w:tc>
      </w:tr>
      <w:tr w:rsidR="00F1399D" w:rsidRPr="00824F4B" w14:paraId="6515747A" w14:textId="77777777" w:rsidTr="00E36111">
        <w:trPr>
          <w:trHeight w:val="300"/>
        </w:trPr>
        <w:tc>
          <w:tcPr>
            <w:tcW w:w="1423" w:type="dxa"/>
            <w:noWrap/>
            <w:vAlign w:val="bottom"/>
            <w:hideMark/>
          </w:tcPr>
          <w:p w14:paraId="65157471" w14:textId="77777777" w:rsidR="004B395F" w:rsidRPr="00824F4B" w:rsidRDefault="004B395F" w:rsidP="000E1558">
            <w:pPr>
              <w:spacing w:line="276" w:lineRule="auto"/>
              <w:jc w:val="both"/>
              <w:rPr>
                <w:rFonts w:ascii="Arial" w:hAnsi="Arial" w:cs="Arial"/>
                <w:color w:val="000000"/>
                <w:sz w:val="20"/>
                <w:szCs w:val="20"/>
              </w:rPr>
            </w:pPr>
            <w:r w:rsidRPr="00824F4B">
              <w:rPr>
                <w:rFonts w:ascii="Arial" w:hAnsi="Arial" w:cs="Arial"/>
                <w:color w:val="000000"/>
                <w:sz w:val="20"/>
                <w:szCs w:val="20"/>
              </w:rPr>
              <w:t>Glucose (g/dl)</w:t>
            </w:r>
          </w:p>
        </w:tc>
        <w:tc>
          <w:tcPr>
            <w:tcW w:w="1334" w:type="dxa"/>
            <w:noWrap/>
            <w:vAlign w:val="center"/>
            <w:hideMark/>
          </w:tcPr>
          <w:p w14:paraId="65157472"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52.43±5.03</w:t>
            </w:r>
          </w:p>
        </w:tc>
        <w:tc>
          <w:tcPr>
            <w:tcW w:w="1276" w:type="dxa"/>
            <w:vAlign w:val="center"/>
          </w:tcPr>
          <w:p w14:paraId="65157473"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53.13±4.70</w:t>
            </w:r>
          </w:p>
        </w:tc>
        <w:tc>
          <w:tcPr>
            <w:tcW w:w="1418" w:type="dxa"/>
            <w:noWrap/>
            <w:vAlign w:val="center"/>
            <w:hideMark/>
          </w:tcPr>
          <w:p w14:paraId="65157474"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42.9±2.35</w:t>
            </w:r>
          </w:p>
        </w:tc>
        <w:tc>
          <w:tcPr>
            <w:tcW w:w="1275" w:type="dxa"/>
            <w:vAlign w:val="center"/>
          </w:tcPr>
          <w:p w14:paraId="65157475"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43.3±1.80</w:t>
            </w:r>
          </w:p>
        </w:tc>
        <w:tc>
          <w:tcPr>
            <w:tcW w:w="1276" w:type="dxa"/>
            <w:noWrap/>
            <w:vAlign w:val="center"/>
            <w:hideMark/>
          </w:tcPr>
          <w:p w14:paraId="65157476"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35.73±3.15</w:t>
            </w:r>
          </w:p>
        </w:tc>
        <w:tc>
          <w:tcPr>
            <w:tcW w:w="1276" w:type="dxa"/>
            <w:vAlign w:val="center"/>
          </w:tcPr>
          <w:p w14:paraId="65157477"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36.03±2.70</w:t>
            </w:r>
          </w:p>
        </w:tc>
        <w:tc>
          <w:tcPr>
            <w:tcW w:w="1071" w:type="dxa"/>
            <w:noWrap/>
            <w:vAlign w:val="center"/>
            <w:hideMark/>
          </w:tcPr>
          <w:p w14:paraId="65157478"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0.9018</w:t>
            </w:r>
          </w:p>
        </w:tc>
        <w:tc>
          <w:tcPr>
            <w:tcW w:w="992" w:type="dxa"/>
            <w:vAlign w:val="center"/>
          </w:tcPr>
          <w:p w14:paraId="65157479"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0.98206</w:t>
            </w:r>
          </w:p>
        </w:tc>
      </w:tr>
      <w:tr w:rsidR="00F1399D" w:rsidRPr="00824F4B" w14:paraId="65157488" w14:textId="77777777" w:rsidTr="00E36111">
        <w:trPr>
          <w:trHeight w:val="300"/>
        </w:trPr>
        <w:tc>
          <w:tcPr>
            <w:tcW w:w="1423" w:type="dxa"/>
            <w:noWrap/>
            <w:vAlign w:val="bottom"/>
            <w:hideMark/>
          </w:tcPr>
          <w:p w14:paraId="6515747B" w14:textId="77777777" w:rsidR="004B395F" w:rsidRPr="00824F4B" w:rsidRDefault="004B395F" w:rsidP="000E1558">
            <w:pPr>
              <w:spacing w:line="276" w:lineRule="auto"/>
              <w:jc w:val="both"/>
              <w:rPr>
                <w:rFonts w:ascii="Arial" w:hAnsi="Arial" w:cs="Arial"/>
                <w:color w:val="000000"/>
                <w:sz w:val="20"/>
                <w:szCs w:val="20"/>
              </w:rPr>
            </w:pPr>
            <w:r w:rsidRPr="00824F4B">
              <w:rPr>
                <w:rFonts w:ascii="Arial" w:hAnsi="Arial" w:cs="Arial"/>
                <w:color w:val="000000"/>
                <w:sz w:val="20"/>
                <w:szCs w:val="20"/>
              </w:rPr>
              <w:t>Cholesterol (g/dl)</w:t>
            </w:r>
          </w:p>
        </w:tc>
        <w:tc>
          <w:tcPr>
            <w:tcW w:w="1334" w:type="dxa"/>
            <w:noWrap/>
            <w:vAlign w:val="center"/>
            <w:hideMark/>
          </w:tcPr>
          <w:p w14:paraId="6515747C"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191.86±7.02</w:t>
            </w:r>
          </w:p>
          <w:p w14:paraId="6515747D" w14:textId="77777777" w:rsidR="004B395F" w:rsidRPr="00824F4B" w:rsidRDefault="004B395F" w:rsidP="00EA300E">
            <w:pPr>
              <w:spacing w:line="276" w:lineRule="auto"/>
              <w:jc w:val="center"/>
              <w:rPr>
                <w:rFonts w:ascii="Arial" w:hAnsi="Arial" w:cs="Arial"/>
                <w:color w:val="000000"/>
                <w:sz w:val="20"/>
                <w:szCs w:val="20"/>
              </w:rPr>
            </w:pPr>
          </w:p>
        </w:tc>
        <w:tc>
          <w:tcPr>
            <w:tcW w:w="1276" w:type="dxa"/>
            <w:vAlign w:val="center"/>
          </w:tcPr>
          <w:p w14:paraId="6515747E"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192.4±6.15</w:t>
            </w:r>
          </w:p>
        </w:tc>
        <w:tc>
          <w:tcPr>
            <w:tcW w:w="1418" w:type="dxa"/>
            <w:noWrap/>
            <w:vAlign w:val="center"/>
            <w:hideMark/>
          </w:tcPr>
          <w:p w14:paraId="6515747F"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170.63±7.85</w:t>
            </w:r>
          </w:p>
          <w:p w14:paraId="65157480" w14:textId="77777777" w:rsidR="004B395F" w:rsidRPr="00824F4B" w:rsidRDefault="004B395F" w:rsidP="00EA300E">
            <w:pPr>
              <w:spacing w:line="276" w:lineRule="auto"/>
              <w:jc w:val="center"/>
              <w:rPr>
                <w:rFonts w:ascii="Arial" w:hAnsi="Arial" w:cs="Arial"/>
                <w:color w:val="000000"/>
                <w:sz w:val="20"/>
                <w:szCs w:val="20"/>
              </w:rPr>
            </w:pPr>
          </w:p>
        </w:tc>
        <w:tc>
          <w:tcPr>
            <w:tcW w:w="1275" w:type="dxa"/>
            <w:vAlign w:val="center"/>
          </w:tcPr>
          <w:p w14:paraId="65157481"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174.1±4.14</w:t>
            </w:r>
          </w:p>
        </w:tc>
        <w:tc>
          <w:tcPr>
            <w:tcW w:w="1276" w:type="dxa"/>
            <w:noWrap/>
            <w:vAlign w:val="center"/>
            <w:hideMark/>
          </w:tcPr>
          <w:p w14:paraId="65157482"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147.16±4.23</w:t>
            </w:r>
          </w:p>
          <w:p w14:paraId="65157483" w14:textId="77777777" w:rsidR="004B395F" w:rsidRPr="00824F4B" w:rsidRDefault="004B395F" w:rsidP="00EA300E">
            <w:pPr>
              <w:spacing w:line="276" w:lineRule="auto"/>
              <w:jc w:val="center"/>
              <w:rPr>
                <w:rFonts w:ascii="Arial" w:hAnsi="Arial" w:cs="Arial"/>
                <w:color w:val="000000"/>
                <w:sz w:val="20"/>
                <w:szCs w:val="20"/>
              </w:rPr>
            </w:pPr>
          </w:p>
        </w:tc>
        <w:tc>
          <w:tcPr>
            <w:tcW w:w="1276" w:type="dxa"/>
            <w:vAlign w:val="center"/>
          </w:tcPr>
          <w:p w14:paraId="65157484"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148.1±2.63</w:t>
            </w:r>
          </w:p>
        </w:tc>
        <w:tc>
          <w:tcPr>
            <w:tcW w:w="1071" w:type="dxa"/>
            <w:noWrap/>
            <w:vAlign w:val="center"/>
            <w:hideMark/>
          </w:tcPr>
          <w:p w14:paraId="65157485"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0.95502</w:t>
            </w:r>
          </w:p>
          <w:p w14:paraId="65157486" w14:textId="77777777" w:rsidR="004B395F" w:rsidRPr="00824F4B" w:rsidRDefault="004B395F" w:rsidP="00EA300E">
            <w:pPr>
              <w:spacing w:line="276" w:lineRule="auto"/>
              <w:jc w:val="center"/>
              <w:rPr>
                <w:rFonts w:ascii="Arial" w:hAnsi="Arial" w:cs="Arial"/>
                <w:color w:val="000000"/>
                <w:sz w:val="20"/>
                <w:szCs w:val="20"/>
              </w:rPr>
            </w:pPr>
          </w:p>
        </w:tc>
        <w:tc>
          <w:tcPr>
            <w:tcW w:w="992" w:type="dxa"/>
            <w:vAlign w:val="center"/>
          </w:tcPr>
          <w:p w14:paraId="65157487"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0.996749</w:t>
            </w:r>
          </w:p>
        </w:tc>
      </w:tr>
      <w:tr w:rsidR="00F1399D" w:rsidRPr="00824F4B" w14:paraId="65157493" w14:textId="77777777" w:rsidTr="00E36111">
        <w:trPr>
          <w:trHeight w:val="300"/>
        </w:trPr>
        <w:tc>
          <w:tcPr>
            <w:tcW w:w="1423" w:type="dxa"/>
            <w:tcBorders>
              <w:bottom w:val="single" w:sz="4" w:space="0" w:color="auto"/>
            </w:tcBorders>
            <w:noWrap/>
            <w:vAlign w:val="bottom"/>
            <w:hideMark/>
          </w:tcPr>
          <w:p w14:paraId="65157489" w14:textId="77777777" w:rsidR="004B395F" w:rsidRPr="00824F4B" w:rsidRDefault="004B395F" w:rsidP="000E1558">
            <w:pPr>
              <w:spacing w:line="276" w:lineRule="auto"/>
              <w:jc w:val="both"/>
              <w:rPr>
                <w:rFonts w:ascii="Arial" w:hAnsi="Arial" w:cs="Arial"/>
                <w:color w:val="000000"/>
                <w:sz w:val="20"/>
                <w:szCs w:val="20"/>
              </w:rPr>
            </w:pPr>
            <w:r w:rsidRPr="00824F4B">
              <w:rPr>
                <w:rFonts w:ascii="Arial" w:hAnsi="Arial" w:cs="Arial"/>
                <w:color w:val="000000"/>
                <w:sz w:val="20"/>
                <w:szCs w:val="20"/>
              </w:rPr>
              <w:t>Triglycerides (g/dl)</w:t>
            </w:r>
          </w:p>
        </w:tc>
        <w:tc>
          <w:tcPr>
            <w:tcW w:w="1334" w:type="dxa"/>
            <w:tcBorders>
              <w:bottom w:val="single" w:sz="4" w:space="0" w:color="auto"/>
            </w:tcBorders>
            <w:noWrap/>
            <w:vAlign w:val="center"/>
            <w:hideMark/>
          </w:tcPr>
          <w:p w14:paraId="6515748A"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260.633±34.05</w:t>
            </w:r>
          </w:p>
        </w:tc>
        <w:tc>
          <w:tcPr>
            <w:tcW w:w="1276" w:type="dxa"/>
            <w:tcBorders>
              <w:bottom w:val="single" w:sz="4" w:space="0" w:color="auto"/>
            </w:tcBorders>
            <w:vAlign w:val="center"/>
          </w:tcPr>
          <w:p w14:paraId="6515748B"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263.0±31.24</w:t>
            </w:r>
          </w:p>
        </w:tc>
        <w:tc>
          <w:tcPr>
            <w:tcW w:w="1418" w:type="dxa"/>
            <w:tcBorders>
              <w:bottom w:val="single" w:sz="4" w:space="0" w:color="auto"/>
            </w:tcBorders>
            <w:noWrap/>
            <w:vAlign w:val="center"/>
            <w:hideMark/>
          </w:tcPr>
          <w:p w14:paraId="6515748C"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235.866±5.02</w:t>
            </w:r>
          </w:p>
        </w:tc>
        <w:tc>
          <w:tcPr>
            <w:tcW w:w="1275" w:type="dxa"/>
            <w:tcBorders>
              <w:bottom w:val="single" w:sz="4" w:space="0" w:color="auto"/>
            </w:tcBorders>
            <w:vAlign w:val="center"/>
          </w:tcPr>
          <w:p w14:paraId="6515748D"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236.4±4.15</w:t>
            </w:r>
          </w:p>
        </w:tc>
        <w:tc>
          <w:tcPr>
            <w:tcW w:w="1276" w:type="dxa"/>
            <w:tcBorders>
              <w:bottom w:val="single" w:sz="4" w:space="0" w:color="auto"/>
            </w:tcBorders>
            <w:noWrap/>
            <w:vAlign w:val="center"/>
            <w:hideMark/>
          </w:tcPr>
          <w:p w14:paraId="6515748E"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195.6±3.25</w:t>
            </w:r>
          </w:p>
        </w:tc>
        <w:tc>
          <w:tcPr>
            <w:tcW w:w="1276" w:type="dxa"/>
            <w:tcBorders>
              <w:bottom w:val="single" w:sz="4" w:space="0" w:color="auto"/>
            </w:tcBorders>
            <w:vAlign w:val="center"/>
          </w:tcPr>
          <w:p w14:paraId="6515748F"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196.2±2.34</w:t>
            </w:r>
          </w:p>
        </w:tc>
        <w:tc>
          <w:tcPr>
            <w:tcW w:w="1071" w:type="dxa"/>
            <w:tcBorders>
              <w:bottom w:val="single" w:sz="4" w:space="0" w:color="auto"/>
            </w:tcBorders>
            <w:noWrap/>
            <w:vAlign w:val="center"/>
            <w:hideMark/>
          </w:tcPr>
          <w:p w14:paraId="65157490"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0.990296</w:t>
            </w:r>
          </w:p>
        </w:tc>
        <w:tc>
          <w:tcPr>
            <w:tcW w:w="992" w:type="dxa"/>
            <w:tcBorders>
              <w:bottom w:val="single" w:sz="4" w:space="0" w:color="auto"/>
            </w:tcBorders>
            <w:vAlign w:val="center"/>
          </w:tcPr>
          <w:p w14:paraId="65157491"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0.994706</w:t>
            </w:r>
          </w:p>
          <w:p w14:paraId="65157492" w14:textId="77777777" w:rsidR="004B395F" w:rsidRPr="00824F4B" w:rsidRDefault="004B395F" w:rsidP="00EA300E">
            <w:pPr>
              <w:spacing w:line="276" w:lineRule="auto"/>
              <w:jc w:val="center"/>
              <w:rPr>
                <w:rFonts w:ascii="Arial" w:hAnsi="Arial" w:cs="Arial"/>
                <w:color w:val="000000"/>
                <w:sz w:val="20"/>
                <w:szCs w:val="20"/>
              </w:rPr>
            </w:pPr>
          </w:p>
        </w:tc>
      </w:tr>
    </w:tbl>
    <w:p w14:paraId="65157494" w14:textId="77777777" w:rsidR="000542C3" w:rsidRPr="00824F4B" w:rsidRDefault="008C4150" w:rsidP="000E1558">
      <w:pPr>
        <w:pStyle w:val="NormalWeb"/>
        <w:spacing w:line="276" w:lineRule="auto"/>
        <w:jc w:val="both"/>
        <w:rPr>
          <w:rFonts w:ascii="Arial" w:hAnsi="Arial" w:cs="Arial"/>
          <w:sz w:val="20"/>
          <w:szCs w:val="20"/>
        </w:rPr>
      </w:pPr>
      <w:r w:rsidRPr="00824F4B">
        <w:rPr>
          <w:rFonts w:ascii="Arial" w:hAnsi="Arial" w:cs="Arial"/>
          <w:sz w:val="20"/>
          <w:szCs w:val="20"/>
        </w:rPr>
        <w:t>Values are mean ± SD; (n=5), P&gt;.05</w:t>
      </w:r>
    </w:p>
    <w:p w14:paraId="65157495" w14:textId="5FA9E7D6" w:rsidR="00E81349" w:rsidRPr="00AF4AA8" w:rsidRDefault="004E17E9" w:rsidP="00650CAF">
      <w:pPr>
        <w:pStyle w:val="Heading2"/>
        <w:rPr>
          <w:rFonts w:ascii="Arial" w:hAnsi="Arial" w:cs="Arial"/>
          <w:color w:val="auto"/>
          <w:sz w:val="22"/>
          <w:szCs w:val="22"/>
        </w:rPr>
      </w:pPr>
      <w:r>
        <w:rPr>
          <w:rFonts w:ascii="Arial" w:hAnsi="Arial" w:cs="Arial"/>
          <w:color w:val="auto"/>
          <w:sz w:val="22"/>
          <w:szCs w:val="22"/>
        </w:rPr>
        <w:t xml:space="preserve">3.2. </w:t>
      </w:r>
      <w:r w:rsidR="00B07AA9" w:rsidRPr="00AF4AA8">
        <w:rPr>
          <w:rFonts w:ascii="Arial" w:hAnsi="Arial" w:cs="Arial"/>
          <w:color w:val="auto"/>
          <w:sz w:val="22"/>
          <w:szCs w:val="22"/>
        </w:rPr>
        <w:t>Biochemical parameters</w:t>
      </w:r>
    </w:p>
    <w:p w14:paraId="65157496" w14:textId="52CD23A0" w:rsidR="003F25C2" w:rsidRPr="00824F4B" w:rsidRDefault="00B5606A"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Data of </w:t>
      </w:r>
      <w:r w:rsidR="00413A1E" w:rsidRPr="00824F4B">
        <w:rPr>
          <w:rFonts w:ascii="Arial" w:hAnsi="Arial" w:cs="Arial"/>
          <w:sz w:val="20"/>
          <w:szCs w:val="20"/>
        </w:rPr>
        <w:t>Table</w:t>
      </w:r>
      <w:r w:rsidRPr="00824F4B">
        <w:rPr>
          <w:rFonts w:ascii="Arial" w:hAnsi="Arial" w:cs="Arial"/>
          <w:sz w:val="20"/>
          <w:szCs w:val="20"/>
        </w:rPr>
        <w:t xml:space="preserve"> 3 revealed that</w:t>
      </w:r>
      <w:r w:rsidR="00C52100" w:rsidRPr="00824F4B">
        <w:rPr>
          <w:rFonts w:ascii="Arial" w:hAnsi="Arial" w:cs="Arial"/>
          <w:sz w:val="20"/>
          <w:szCs w:val="20"/>
        </w:rPr>
        <w:t xml:space="preserve"> </w:t>
      </w:r>
      <w:r w:rsidR="003F25C2" w:rsidRPr="00824F4B">
        <w:rPr>
          <w:rFonts w:ascii="Arial" w:hAnsi="Arial" w:cs="Arial"/>
          <w:sz w:val="20"/>
          <w:szCs w:val="20"/>
        </w:rPr>
        <w:t>seasonal variation in biochemical parameters</w:t>
      </w:r>
      <w:r w:rsidR="009F1825" w:rsidRPr="00824F4B">
        <w:rPr>
          <w:rFonts w:ascii="Arial" w:hAnsi="Arial" w:cs="Arial"/>
          <w:sz w:val="20"/>
          <w:szCs w:val="20"/>
        </w:rPr>
        <w:t>-</w:t>
      </w:r>
      <w:r w:rsidR="003F25C2" w:rsidRPr="00824F4B">
        <w:rPr>
          <w:rFonts w:ascii="Arial" w:hAnsi="Arial" w:cs="Arial"/>
          <w:sz w:val="20"/>
          <w:szCs w:val="20"/>
        </w:rPr>
        <w:t>protein, glycogen, and lipid content</w:t>
      </w:r>
      <w:r w:rsidR="009F1825" w:rsidRPr="00824F4B">
        <w:rPr>
          <w:rFonts w:ascii="Arial" w:hAnsi="Arial" w:cs="Arial"/>
          <w:sz w:val="20"/>
          <w:szCs w:val="20"/>
        </w:rPr>
        <w:t>-</w:t>
      </w:r>
      <w:r w:rsidR="003F25C2" w:rsidRPr="00824F4B">
        <w:rPr>
          <w:rFonts w:ascii="Arial" w:hAnsi="Arial" w:cs="Arial"/>
          <w:sz w:val="20"/>
          <w:szCs w:val="20"/>
        </w:rPr>
        <w:t xml:space="preserve">in the muscle tissue of river and pond fishes reveals important physiological responses to changing environmental conditions. Protein content was observed to be highest during the summer season in both </w:t>
      </w:r>
      <w:r w:rsidR="00413A1E" w:rsidRPr="00824F4B">
        <w:rPr>
          <w:rFonts w:ascii="Arial" w:hAnsi="Arial" w:cs="Arial"/>
          <w:sz w:val="20"/>
          <w:szCs w:val="20"/>
        </w:rPr>
        <w:t>rivers</w:t>
      </w:r>
      <w:r w:rsidR="003F25C2" w:rsidRPr="00824F4B">
        <w:rPr>
          <w:rFonts w:ascii="Arial" w:hAnsi="Arial" w:cs="Arial"/>
          <w:sz w:val="20"/>
          <w:szCs w:val="20"/>
        </w:rPr>
        <w:t xml:space="preserve"> (15.83 ± 0.65 mg/g) and pond </w:t>
      </w:r>
      <w:r w:rsidR="00C52100" w:rsidRPr="00824F4B">
        <w:rPr>
          <w:rFonts w:ascii="Arial" w:hAnsi="Arial" w:cs="Arial"/>
          <w:sz w:val="20"/>
          <w:szCs w:val="20"/>
        </w:rPr>
        <w:t>fish</w:t>
      </w:r>
      <w:r w:rsidR="003F25C2" w:rsidRPr="00824F4B">
        <w:rPr>
          <w:rFonts w:ascii="Arial" w:hAnsi="Arial" w:cs="Arial"/>
          <w:sz w:val="20"/>
          <w:szCs w:val="20"/>
        </w:rPr>
        <w:t xml:space="preserve"> (17.13 ± 0.60 mg/g), with a gradual decline during the rainy (13.2 ± 0.85 and 13.36 ± 1.05 mg/g) and winter seasons (11.43 ± 0.40 and 12.16 ± 0.25 mg/g). This decline in protein content may be attributed to reduced feeding activity, </w:t>
      </w:r>
      <w:r w:rsidR="003F25C2" w:rsidRPr="00824F4B">
        <w:rPr>
          <w:rFonts w:ascii="Arial" w:hAnsi="Arial" w:cs="Arial"/>
          <w:sz w:val="20"/>
          <w:szCs w:val="20"/>
        </w:rPr>
        <w:lastRenderedPageBreak/>
        <w:t>increased metabolic demands, and the mobilization of proteins for reproductive processes during colder months.</w:t>
      </w:r>
      <w:r w:rsidR="00D14D8D" w:rsidRPr="00824F4B">
        <w:rPr>
          <w:rFonts w:ascii="Arial" w:hAnsi="Arial" w:cs="Arial"/>
          <w:sz w:val="20"/>
          <w:szCs w:val="20"/>
        </w:rPr>
        <w:t xml:space="preserve"> </w:t>
      </w:r>
      <w:r w:rsidR="008241CB" w:rsidRPr="00824F4B">
        <w:rPr>
          <w:rFonts w:ascii="Arial" w:hAnsi="Arial" w:cs="Arial"/>
          <w:sz w:val="20"/>
          <w:szCs w:val="20"/>
        </w:rPr>
        <w:t>O</w:t>
      </w:r>
      <w:r w:rsidR="007E2F2F" w:rsidRPr="00824F4B">
        <w:rPr>
          <w:rFonts w:ascii="Arial" w:hAnsi="Arial" w:cs="Arial"/>
          <w:sz w:val="20"/>
          <w:szCs w:val="20"/>
        </w:rPr>
        <w:t xml:space="preserve">ur results </w:t>
      </w:r>
      <w:r w:rsidR="00C52100" w:rsidRPr="00824F4B">
        <w:rPr>
          <w:rFonts w:ascii="Arial" w:hAnsi="Arial" w:cs="Arial"/>
          <w:sz w:val="20"/>
          <w:szCs w:val="20"/>
        </w:rPr>
        <w:t>corroborate</w:t>
      </w:r>
      <w:r w:rsidR="00D14D8D" w:rsidRPr="00824F4B">
        <w:rPr>
          <w:rFonts w:ascii="Arial" w:hAnsi="Arial" w:cs="Arial"/>
          <w:sz w:val="20"/>
          <w:szCs w:val="20"/>
        </w:rPr>
        <w:t xml:space="preserve"> </w:t>
      </w:r>
      <w:r w:rsidR="00F261A0" w:rsidRPr="00824F4B">
        <w:rPr>
          <w:rFonts w:ascii="Arial" w:hAnsi="Arial" w:cs="Arial"/>
          <w:sz w:val="20"/>
          <w:szCs w:val="20"/>
        </w:rPr>
        <w:t xml:space="preserve">with the findings </w:t>
      </w:r>
      <w:proofErr w:type="spellStart"/>
      <w:r w:rsidR="00F261A0" w:rsidRPr="00824F4B">
        <w:rPr>
          <w:rFonts w:ascii="Arial" w:hAnsi="Arial" w:cs="Arial"/>
          <w:sz w:val="20"/>
          <w:szCs w:val="20"/>
        </w:rPr>
        <w:t>of</w:t>
      </w:r>
      <w:r w:rsidR="001436FD" w:rsidRPr="00824F4B">
        <w:rPr>
          <w:rFonts w:ascii="Arial" w:hAnsi="Arial" w:cs="Arial"/>
          <w:sz w:val="20"/>
          <w:szCs w:val="20"/>
        </w:rPr>
        <w:t>Singh</w:t>
      </w:r>
      <w:proofErr w:type="spellEnd"/>
      <w:r w:rsidR="001436FD" w:rsidRPr="00824F4B">
        <w:rPr>
          <w:rFonts w:ascii="Arial" w:hAnsi="Arial" w:cs="Arial"/>
          <w:sz w:val="20"/>
          <w:szCs w:val="20"/>
        </w:rPr>
        <w:t xml:space="preserve"> </w:t>
      </w:r>
      <w:r w:rsidR="00623A63" w:rsidRPr="00824F4B">
        <w:rPr>
          <w:rFonts w:ascii="Arial" w:hAnsi="Arial" w:cs="Arial"/>
          <w:i/>
          <w:iCs/>
          <w:sz w:val="20"/>
          <w:szCs w:val="20"/>
        </w:rPr>
        <w:t>et al.</w:t>
      </w:r>
      <w:r w:rsidR="001436FD" w:rsidRPr="00824F4B">
        <w:rPr>
          <w:rFonts w:ascii="Arial" w:hAnsi="Arial" w:cs="Arial"/>
          <w:sz w:val="20"/>
          <w:szCs w:val="20"/>
        </w:rPr>
        <w:t xml:space="preserve"> (2016) and </w:t>
      </w:r>
      <w:proofErr w:type="spellStart"/>
      <w:r w:rsidR="00BF1C84" w:rsidRPr="00824F4B">
        <w:rPr>
          <w:rFonts w:ascii="Arial" w:hAnsi="Arial" w:cs="Arial"/>
          <w:sz w:val="20"/>
          <w:szCs w:val="20"/>
        </w:rPr>
        <w:t>Doloi</w:t>
      </w:r>
      <w:proofErr w:type="spellEnd"/>
      <w:r w:rsidR="00BF1C84" w:rsidRPr="00824F4B">
        <w:rPr>
          <w:rFonts w:ascii="Arial" w:hAnsi="Arial" w:cs="Arial"/>
          <w:sz w:val="20"/>
          <w:szCs w:val="20"/>
        </w:rPr>
        <w:t xml:space="preserve"> and </w:t>
      </w:r>
      <w:proofErr w:type="spellStart"/>
      <w:r w:rsidR="00BF1C84" w:rsidRPr="00824F4B">
        <w:rPr>
          <w:rFonts w:ascii="Arial" w:hAnsi="Arial" w:cs="Arial"/>
          <w:sz w:val="20"/>
          <w:szCs w:val="20"/>
        </w:rPr>
        <w:t>Basumatari</w:t>
      </w:r>
      <w:proofErr w:type="spellEnd"/>
      <w:r w:rsidR="00D14D8D" w:rsidRPr="00824F4B">
        <w:rPr>
          <w:rFonts w:ascii="Arial" w:hAnsi="Arial" w:cs="Arial"/>
          <w:sz w:val="20"/>
          <w:szCs w:val="20"/>
        </w:rPr>
        <w:t xml:space="preserve"> </w:t>
      </w:r>
      <w:r w:rsidR="00720640" w:rsidRPr="00824F4B">
        <w:rPr>
          <w:rFonts w:ascii="Arial" w:hAnsi="Arial" w:cs="Arial"/>
          <w:sz w:val="20"/>
          <w:szCs w:val="20"/>
        </w:rPr>
        <w:t>(2020)</w:t>
      </w:r>
      <w:r w:rsidR="00F261A0" w:rsidRPr="00824F4B">
        <w:rPr>
          <w:rFonts w:ascii="Arial" w:hAnsi="Arial" w:cs="Arial"/>
          <w:sz w:val="20"/>
          <w:szCs w:val="20"/>
        </w:rPr>
        <w:t>.</w:t>
      </w:r>
      <w:r w:rsidR="003F25C2" w:rsidRPr="00824F4B">
        <w:rPr>
          <w:rFonts w:ascii="Arial" w:hAnsi="Arial" w:cs="Arial"/>
          <w:sz w:val="20"/>
          <w:szCs w:val="20"/>
        </w:rPr>
        <w:t xml:space="preserve"> Jan </w:t>
      </w:r>
      <w:r w:rsidR="00623A63" w:rsidRPr="00824F4B">
        <w:rPr>
          <w:rFonts w:ascii="Arial" w:hAnsi="Arial" w:cs="Arial"/>
          <w:i/>
          <w:iCs/>
          <w:sz w:val="20"/>
          <w:szCs w:val="20"/>
        </w:rPr>
        <w:t>et al.</w:t>
      </w:r>
      <w:r w:rsidR="003F25C2" w:rsidRPr="00824F4B">
        <w:rPr>
          <w:rFonts w:ascii="Arial" w:hAnsi="Arial" w:cs="Arial"/>
          <w:sz w:val="20"/>
          <w:szCs w:val="20"/>
        </w:rPr>
        <w:t xml:space="preserve"> (2012) reported seasonal fluctuations in </w:t>
      </w:r>
      <w:proofErr w:type="spellStart"/>
      <w:r w:rsidR="003F25C2" w:rsidRPr="00824F4B">
        <w:rPr>
          <w:rStyle w:val="Emphasis"/>
          <w:rFonts w:ascii="Arial" w:hAnsi="Arial" w:cs="Arial"/>
          <w:sz w:val="20"/>
          <w:szCs w:val="20"/>
        </w:rPr>
        <w:t>Schizothoraxesocinus</w:t>
      </w:r>
      <w:proofErr w:type="spellEnd"/>
      <w:r w:rsidR="003F25C2" w:rsidRPr="00824F4B">
        <w:rPr>
          <w:rFonts w:ascii="Arial" w:hAnsi="Arial" w:cs="Arial"/>
          <w:sz w:val="20"/>
          <w:szCs w:val="20"/>
        </w:rPr>
        <w:t xml:space="preserve">, noting the highest protein levels in summer and the lowest during winter due to spawning-related catabolism. Mahdi </w:t>
      </w:r>
      <w:r w:rsidR="00623A63" w:rsidRPr="00824F4B">
        <w:rPr>
          <w:rFonts w:ascii="Arial" w:hAnsi="Arial" w:cs="Arial"/>
          <w:i/>
          <w:iCs/>
          <w:sz w:val="20"/>
          <w:szCs w:val="20"/>
        </w:rPr>
        <w:t>et al.</w:t>
      </w:r>
      <w:r w:rsidR="003F25C2" w:rsidRPr="00824F4B">
        <w:rPr>
          <w:rFonts w:ascii="Arial" w:hAnsi="Arial" w:cs="Arial"/>
          <w:sz w:val="20"/>
          <w:szCs w:val="20"/>
        </w:rPr>
        <w:t xml:space="preserve"> (2006) also highlighted this seasonal trend, associating it with energy redistribution during reproductive cycles.</w:t>
      </w:r>
    </w:p>
    <w:p w14:paraId="65157497" w14:textId="4CBBB68E" w:rsidR="003F25C2" w:rsidRPr="00824F4B" w:rsidRDefault="003F25C2"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Glycogen content followed a similar seasonal pattern, being highest in summer (7.96 ± 0.80 mg/g in </w:t>
      </w:r>
      <w:r w:rsidR="00A4514E" w:rsidRPr="00824F4B">
        <w:rPr>
          <w:rFonts w:ascii="Arial" w:hAnsi="Arial" w:cs="Arial"/>
          <w:sz w:val="20"/>
          <w:szCs w:val="20"/>
        </w:rPr>
        <w:t>rivers</w:t>
      </w:r>
      <w:r w:rsidRPr="00824F4B">
        <w:rPr>
          <w:rFonts w:ascii="Arial" w:hAnsi="Arial" w:cs="Arial"/>
          <w:sz w:val="20"/>
          <w:szCs w:val="20"/>
        </w:rPr>
        <w:t xml:space="preserve"> and 7.5 ± 0.36 mg/g in pond fishes) and </w:t>
      </w:r>
      <w:r w:rsidR="00413A1E" w:rsidRPr="00824F4B">
        <w:rPr>
          <w:rFonts w:ascii="Arial" w:hAnsi="Arial" w:cs="Arial"/>
          <w:sz w:val="20"/>
          <w:szCs w:val="20"/>
        </w:rPr>
        <w:t>declined</w:t>
      </w:r>
      <w:r w:rsidRPr="00824F4B">
        <w:rPr>
          <w:rFonts w:ascii="Arial" w:hAnsi="Arial" w:cs="Arial"/>
          <w:sz w:val="20"/>
          <w:szCs w:val="20"/>
        </w:rPr>
        <w:t xml:space="preserve"> through the rainy (5.23 ± 0.92 and 4.96 ± 0.20 mg/g) to the winter season (3.83 ± 0.35 and 3.73 ± 0.20 mg/g). This trend likely reflects the fish’s use of stored carbohydrates for energy during periods of environmental stress and reduced food intake. </w:t>
      </w:r>
      <w:proofErr w:type="spellStart"/>
      <w:r w:rsidRPr="00824F4B">
        <w:rPr>
          <w:rFonts w:ascii="Arial" w:hAnsi="Arial" w:cs="Arial"/>
          <w:sz w:val="20"/>
          <w:szCs w:val="20"/>
        </w:rPr>
        <w:t>Ganeshwade</w:t>
      </w:r>
      <w:proofErr w:type="spellEnd"/>
      <w:r w:rsidRPr="00824F4B">
        <w:rPr>
          <w:rFonts w:ascii="Arial" w:hAnsi="Arial" w:cs="Arial"/>
          <w:sz w:val="20"/>
          <w:szCs w:val="20"/>
        </w:rPr>
        <w:t xml:space="preserve"> (2015) found a steady decrease in glycogen levels in </w:t>
      </w:r>
      <w:proofErr w:type="spellStart"/>
      <w:r w:rsidRPr="00824F4B">
        <w:rPr>
          <w:rStyle w:val="Emphasis"/>
          <w:rFonts w:ascii="Arial" w:hAnsi="Arial" w:cs="Arial"/>
          <w:sz w:val="20"/>
          <w:szCs w:val="20"/>
        </w:rPr>
        <w:t>Labeo</w:t>
      </w:r>
      <w:proofErr w:type="spellEnd"/>
      <w:r w:rsidR="00D14D8D"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calbasu</w:t>
      </w:r>
      <w:proofErr w:type="spellEnd"/>
      <w:r w:rsidRPr="00824F4B">
        <w:rPr>
          <w:rFonts w:ascii="Arial" w:hAnsi="Arial" w:cs="Arial"/>
          <w:sz w:val="20"/>
          <w:szCs w:val="20"/>
        </w:rPr>
        <w:t xml:space="preserve"> from January to October, with peak values in early months and minimal levels during late autumn and winter. A similar seasonal depletion of glycogen was observed in </w:t>
      </w:r>
      <w:proofErr w:type="spellStart"/>
      <w:r w:rsidRPr="00824F4B">
        <w:rPr>
          <w:rStyle w:val="Emphasis"/>
          <w:rFonts w:ascii="Arial" w:hAnsi="Arial" w:cs="Arial"/>
          <w:sz w:val="20"/>
          <w:szCs w:val="20"/>
        </w:rPr>
        <w:t>Mystus</w:t>
      </w:r>
      <w:proofErr w:type="spellEnd"/>
      <w:r w:rsidR="004F32C3"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cavasius</w:t>
      </w:r>
      <w:proofErr w:type="spellEnd"/>
      <w:r w:rsidR="00D14D8D" w:rsidRPr="00824F4B">
        <w:rPr>
          <w:rStyle w:val="Emphasis"/>
          <w:rFonts w:ascii="Arial" w:hAnsi="Arial" w:cs="Arial"/>
          <w:sz w:val="20"/>
          <w:szCs w:val="20"/>
        </w:rPr>
        <w:t xml:space="preserve"> </w:t>
      </w:r>
      <w:r w:rsidR="00652758" w:rsidRPr="00824F4B">
        <w:rPr>
          <w:rFonts w:ascii="Arial" w:hAnsi="Arial" w:cs="Arial"/>
          <w:sz w:val="20"/>
          <w:szCs w:val="20"/>
        </w:rPr>
        <w:t>by</w:t>
      </w:r>
      <w:r w:rsidR="00D14D8D" w:rsidRPr="00824F4B">
        <w:rPr>
          <w:rFonts w:ascii="Arial" w:hAnsi="Arial" w:cs="Arial"/>
          <w:sz w:val="20"/>
          <w:szCs w:val="20"/>
        </w:rPr>
        <w:t xml:space="preserve"> </w:t>
      </w:r>
      <w:proofErr w:type="spellStart"/>
      <w:r w:rsidR="00D068FE" w:rsidRPr="00824F4B">
        <w:rPr>
          <w:rFonts w:ascii="Arial" w:hAnsi="Arial" w:cs="Arial"/>
          <w:sz w:val="20"/>
          <w:szCs w:val="20"/>
        </w:rPr>
        <w:t>Ganeshwade</w:t>
      </w:r>
      <w:proofErr w:type="spellEnd"/>
      <w:r w:rsidR="00D068FE" w:rsidRPr="00824F4B">
        <w:rPr>
          <w:rFonts w:ascii="Arial" w:hAnsi="Arial" w:cs="Arial"/>
          <w:sz w:val="20"/>
          <w:szCs w:val="20"/>
        </w:rPr>
        <w:t xml:space="preserve"> </w:t>
      </w:r>
      <w:r w:rsidR="00623A63" w:rsidRPr="00824F4B">
        <w:rPr>
          <w:rFonts w:ascii="Arial" w:hAnsi="Arial" w:cs="Arial"/>
          <w:i/>
          <w:iCs/>
          <w:sz w:val="20"/>
          <w:szCs w:val="20"/>
        </w:rPr>
        <w:t>et al.</w:t>
      </w:r>
      <w:r w:rsidR="00D068FE" w:rsidRPr="00824F4B">
        <w:rPr>
          <w:rFonts w:ascii="Arial" w:hAnsi="Arial" w:cs="Arial"/>
          <w:sz w:val="20"/>
          <w:szCs w:val="20"/>
        </w:rPr>
        <w:t xml:space="preserve"> </w:t>
      </w:r>
      <w:r w:rsidR="005F1435" w:rsidRPr="00824F4B">
        <w:rPr>
          <w:rFonts w:ascii="Arial" w:hAnsi="Arial" w:cs="Arial"/>
          <w:sz w:val="20"/>
          <w:szCs w:val="20"/>
        </w:rPr>
        <w:t>(</w:t>
      </w:r>
      <w:r w:rsidRPr="00824F4B">
        <w:rPr>
          <w:rFonts w:ascii="Arial" w:hAnsi="Arial" w:cs="Arial"/>
          <w:sz w:val="20"/>
          <w:szCs w:val="20"/>
        </w:rPr>
        <w:t>2016</w:t>
      </w:r>
      <w:r w:rsidR="005F1435" w:rsidRPr="00824F4B">
        <w:rPr>
          <w:rFonts w:ascii="Arial" w:hAnsi="Arial" w:cs="Arial"/>
          <w:sz w:val="20"/>
          <w:szCs w:val="20"/>
        </w:rPr>
        <w:t>)</w:t>
      </w:r>
      <w:r w:rsidRPr="00824F4B">
        <w:rPr>
          <w:rFonts w:ascii="Arial" w:hAnsi="Arial" w:cs="Arial"/>
          <w:sz w:val="20"/>
          <w:szCs w:val="20"/>
        </w:rPr>
        <w:t>, supporting the idea that glycogen is a readily mobilized energy source during unfavorable conditions.</w:t>
      </w:r>
    </w:p>
    <w:p w14:paraId="0120E8AE" w14:textId="653D7955" w:rsidR="003F25C2" w:rsidRPr="00824F4B" w:rsidRDefault="003F25C2" w:rsidP="00C005A5">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Lipid content, essential for long-term energy storage, also exhibited seasonal variability. It was highest during summer (9.85 ± 0.35 and 9.5 ± 0.30 mg/g), decreased in the rainy season (8.1 ± 0.36 and 7.53 ± 0.30 mg/g), and reached the lowest levels in winter (4.166 ± 0.35 and 3.73 ± 0.20 mg/g). The sharp decline during winter may be due to increased metabolic demands and limited feeding opportunities, leading to the mobilization of lipid reserves. Abidi and Khan (2007) observed similar seasonal lipid fluctuations in freshwater fishes, and Reddy and Rao (1992) reported lipid depletion during colder months, attributing it to energy use under stress conditions.</w:t>
      </w:r>
      <w:r w:rsidR="00850BBD" w:rsidRPr="00824F4B">
        <w:rPr>
          <w:rFonts w:ascii="Arial" w:hAnsi="Arial" w:cs="Arial"/>
          <w:sz w:val="20"/>
          <w:szCs w:val="20"/>
        </w:rPr>
        <w:t xml:space="preserve"> Arya and Shukla (2018) reported that chromium toxicity revealed significant impact on </w:t>
      </w:r>
      <w:r w:rsidR="00D068FE" w:rsidRPr="00824F4B">
        <w:rPr>
          <w:rFonts w:ascii="Arial" w:hAnsi="Arial" w:cs="Arial"/>
          <w:sz w:val="20"/>
          <w:szCs w:val="20"/>
        </w:rPr>
        <w:t xml:space="preserve">biochemical parameters on </w:t>
      </w:r>
      <w:r w:rsidR="00B344EC" w:rsidRPr="00824F4B">
        <w:rPr>
          <w:rFonts w:ascii="Arial" w:hAnsi="Arial" w:cs="Arial"/>
          <w:sz w:val="20"/>
          <w:szCs w:val="20"/>
        </w:rPr>
        <w:t>freshwater</w:t>
      </w:r>
      <w:r w:rsidR="00850BBD" w:rsidRPr="00824F4B">
        <w:rPr>
          <w:rFonts w:ascii="Arial" w:hAnsi="Arial" w:cs="Arial"/>
          <w:sz w:val="20"/>
          <w:szCs w:val="20"/>
        </w:rPr>
        <w:t xml:space="preserve"> fish. Without any treatment their results showed close conformity with </w:t>
      </w:r>
      <w:r w:rsidR="001D6064" w:rsidRPr="00824F4B">
        <w:rPr>
          <w:rFonts w:ascii="Arial" w:hAnsi="Arial" w:cs="Arial"/>
          <w:sz w:val="20"/>
          <w:szCs w:val="20"/>
        </w:rPr>
        <w:t>present</w:t>
      </w:r>
      <w:r w:rsidR="00850BBD" w:rsidRPr="00824F4B">
        <w:rPr>
          <w:rFonts w:ascii="Arial" w:hAnsi="Arial" w:cs="Arial"/>
          <w:sz w:val="20"/>
          <w:szCs w:val="20"/>
        </w:rPr>
        <w:t xml:space="preserve"> findings.</w:t>
      </w:r>
    </w:p>
    <w:p w14:paraId="67B56A7B" w14:textId="77777777" w:rsidR="00C005A5" w:rsidRPr="00824F4B" w:rsidRDefault="00C005A5" w:rsidP="00C005A5">
      <w:pPr>
        <w:pStyle w:val="NormalWeb"/>
        <w:spacing w:before="0" w:beforeAutospacing="0" w:after="0" w:afterAutospacing="0" w:line="276" w:lineRule="auto"/>
        <w:ind w:firstLine="720"/>
        <w:jc w:val="both"/>
        <w:rPr>
          <w:rFonts w:ascii="Arial" w:hAnsi="Arial" w:cs="Arial"/>
          <w:sz w:val="20"/>
          <w:szCs w:val="20"/>
        </w:rPr>
      </w:pPr>
    </w:p>
    <w:p w14:paraId="6515749A" w14:textId="77777777" w:rsidR="004F32C3" w:rsidRPr="00824F4B" w:rsidRDefault="004F32C3" w:rsidP="000E1558">
      <w:pPr>
        <w:spacing w:line="276" w:lineRule="auto"/>
        <w:jc w:val="both"/>
        <w:rPr>
          <w:rFonts w:ascii="Arial" w:hAnsi="Arial" w:cs="Arial"/>
          <w:sz w:val="20"/>
          <w:szCs w:val="20"/>
        </w:rPr>
      </w:pPr>
    </w:p>
    <w:tbl>
      <w:tblPr>
        <w:tblW w:w="10679" w:type="dxa"/>
        <w:tblInd w:w="-1026" w:type="dxa"/>
        <w:tblLook w:val="04A0" w:firstRow="1" w:lastRow="0" w:firstColumn="1" w:lastColumn="0" w:noHBand="0" w:noVBand="1"/>
      </w:tblPr>
      <w:tblGrid>
        <w:gridCol w:w="1505"/>
        <w:gridCol w:w="1327"/>
        <w:gridCol w:w="1327"/>
        <w:gridCol w:w="1216"/>
        <w:gridCol w:w="1216"/>
        <w:gridCol w:w="1216"/>
        <w:gridCol w:w="1327"/>
        <w:gridCol w:w="717"/>
        <w:gridCol w:w="828"/>
      </w:tblGrid>
      <w:tr w:rsidR="00E366B8" w:rsidRPr="00824F4B" w14:paraId="6515749C" w14:textId="77777777" w:rsidTr="00FE03DB">
        <w:trPr>
          <w:trHeight w:val="58"/>
        </w:trPr>
        <w:tc>
          <w:tcPr>
            <w:tcW w:w="10679" w:type="dxa"/>
            <w:gridSpan w:val="9"/>
            <w:tcBorders>
              <w:bottom w:val="single" w:sz="4" w:space="0" w:color="auto"/>
            </w:tcBorders>
            <w:noWrap/>
            <w:vAlign w:val="bottom"/>
          </w:tcPr>
          <w:p w14:paraId="6515749B" w14:textId="77777777" w:rsidR="00E366B8" w:rsidRPr="00824F4B" w:rsidRDefault="00E366B8" w:rsidP="000E1558">
            <w:pPr>
              <w:spacing w:line="276" w:lineRule="auto"/>
              <w:jc w:val="both"/>
              <w:rPr>
                <w:rFonts w:ascii="Arial" w:hAnsi="Arial" w:cs="Arial"/>
                <w:b/>
                <w:bCs/>
                <w:color w:val="000000"/>
                <w:sz w:val="20"/>
                <w:szCs w:val="20"/>
              </w:rPr>
            </w:pPr>
            <w:r w:rsidRPr="00824F4B">
              <w:rPr>
                <w:rFonts w:ascii="Arial" w:hAnsi="Arial" w:cs="Arial"/>
                <w:b/>
                <w:bCs/>
                <w:sz w:val="20"/>
                <w:szCs w:val="20"/>
              </w:rPr>
              <w:t>Table-3 Bioc</w:t>
            </w:r>
            <w:r w:rsidR="00D63545" w:rsidRPr="00824F4B">
              <w:rPr>
                <w:rFonts w:ascii="Arial" w:hAnsi="Arial" w:cs="Arial"/>
                <w:b/>
                <w:bCs/>
                <w:sz w:val="20"/>
                <w:szCs w:val="20"/>
              </w:rPr>
              <w:t>hemical parameters of river</w:t>
            </w:r>
            <w:r w:rsidRPr="00824F4B">
              <w:rPr>
                <w:rFonts w:ascii="Arial" w:hAnsi="Arial" w:cs="Arial"/>
                <w:b/>
                <w:bCs/>
                <w:sz w:val="20"/>
                <w:szCs w:val="20"/>
              </w:rPr>
              <w:t xml:space="preserve"> and pond fish</w:t>
            </w:r>
          </w:p>
        </w:tc>
      </w:tr>
      <w:tr w:rsidR="002D6723" w:rsidRPr="00824F4B" w14:paraId="651574A2" w14:textId="77777777" w:rsidTr="00FE03DB">
        <w:trPr>
          <w:trHeight w:val="58"/>
        </w:trPr>
        <w:tc>
          <w:tcPr>
            <w:tcW w:w="1505" w:type="dxa"/>
            <w:tcBorders>
              <w:top w:val="single" w:sz="4" w:space="0" w:color="auto"/>
            </w:tcBorders>
            <w:noWrap/>
            <w:vAlign w:val="bottom"/>
            <w:hideMark/>
          </w:tcPr>
          <w:p w14:paraId="6515749D" w14:textId="77777777" w:rsidR="002D6723" w:rsidRPr="00824F4B" w:rsidRDefault="002D6723" w:rsidP="000E1558">
            <w:pPr>
              <w:spacing w:line="276" w:lineRule="auto"/>
              <w:jc w:val="both"/>
              <w:rPr>
                <w:rFonts w:ascii="Arial" w:hAnsi="Arial" w:cs="Arial"/>
                <w:color w:val="000000"/>
                <w:sz w:val="20"/>
                <w:szCs w:val="20"/>
              </w:rPr>
            </w:pPr>
            <w:r w:rsidRPr="00824F4B">
              <w:rPr>
                <w:rFonts w:ascii="Arial" w:hAnsi="Arial" w:cs="Arial"/>
                <w:color w:val="000000"/>
                <w:sz w:val="20"/>
                <w:szCs w:val="20"/>
              </w:rPr>
              <w:t>Biochemical parameters</w:t>
            </w:r>
          </w:p>
        </w:tc>
        <w:tc>
          <w:tcPr>
            <w:tcW w:w="2654" w:type="dxa"/>
            <w:gridSpan w:val="2"/>
            <w:tcBorders>
              <w:top w:val="single" w:sz="4" w:space="0" w:color="auto"/>
            </w:tcBorders>
            <w:noWrap/>
            <w:vAlign w:val="center"/>
            <w:hideMark/>
          </w:tcPr>
          <w:p w14:paraId="6515749E"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Summer</w:t>
            </w:r>
          </w:p>
        </w:tc>
        <w:tc>
          <w:tcPr>
            <w:tcW w:w="2432" w:type="dxa"/>
            <w:gridSpan w:val="2"/>
            <w:tcBorders>
              <w:top w:val="single" w:sz="4" w:space="0" w:color="auto"/>
            </w:tcBorders>
            <w:noWrap/>
            <w:vAlign w:val="center"/>
            <w:hideMark/>
          </w:tcPr>
          <w:p w14:paraId="6515749F"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Rainy</w:t>
            </w:r>
          </w:p>
        </w:tc>
        <w:tc>
          <w:tcPr>
            <w:tcW w:w="2543" w:type="dxa"/>
            <w:gridSpan w:val="2"/>
            <w:tcBorders>
              <w:top w:val="single" w:sz="4" w:space="0" w:color="auto"/>
            </w:tcBorders>
            <w:noWrap/>
            <w:vAlign w:val="center"/>
            <w:hideMark/>
          </w:tcPr>
          <w:p w14:paraId="651574A0"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Winter</w:t>
            </w:r>
          </w:p>
        </w:tc>
        <w:tc>
          <w:tcPr>
            <w:tcW w:w="1545" w:type="dxa"/>
            <w:gridSpan w:val="2"/>
            <w:tcBorders>
              <w:top w:val="single" w:sz="4" w:space="0" w:color="auto"/>
            </w:tcBorders>
            <w:noWrap/>
            <w:vAlign w:val="center"/>
            <w:hideMark/>
          </w:tcPr>
          <w:p w14:paraId="651574A1"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P-value</w:t>
            </w:r>
          </w:p>
        </w:tc>
      </w:tr>
      <w:tr w:rsidR="00D731BC" w:rsidRPr="00824F4B" w14:paraId="651574AC" w14:textId="77777777" w:rsidTr="00FE03DB">
        <w:trPr>
          <w:trHeight w:val="300"/>
        </w:trPr>
        <w:tc>
          <w:tcPr>
            <w:tcW w:w="1505" w:type="dxa"/>
            <w:tcBorders>
              <w:bottom w:val="single" w:sz="4" w:space="0" w:color="auto"/>
            </w:tcBorders>
            <w:noWrap/>
            <w:vAlign w:val="bottom"/>
            <w:hideMark/>
          </w:tcPr>
          <w:p w14:paraId="651574A3" w14:textId="77777777" w:rsidR="002D6723" w:rsidRPr="00824F4B" w:rsidRDefault="002D6723" w:rsidP="000E1558">
            <w:pPr>
              <w:spacing w:line="276" w:lineRule="auto"/>
              <w:jc w:val="both"/>
              <w:rPr>
                <w:rFonts w:ascii="Arial" w:hAnsi="Arial" w:cs="Arial"/>
                <w:color w:val="000000"/>
                <w:sz w:val="20"/>
                <w:szCs w:val="20"/>
              </w:rPr>
            </w:pPr>
          </w:p>
        </w:tc>
        <w:tc>
          <w:tcPr>
            <w:tcW w:w="1327" w:type="dxa"/>
            <w:tcBorders>
              <w:bottom w:val="single" w:sz="4" w:space="0" w:color="auto"/>
            </w:tcBorders>
            <w:noWrap/>
            <w:vAlign w:val="center"/>
            <w:hideMark/>
          </w:tcPr>
          <w:p w14:paraId="651574A4"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1327" w:type="dxa"/>
            <w:tcBorders>
              <w:bottom w:val="single" w:sz="4" w:space="0" w:color="auto"/>
            </w:tcBorders>
            <w:vAlign w:val="center"/>
          </w:tcPr>
          <w:p w14:paraId="651574A5"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c>
          <w:tcPr>
            <w:tcW w:w="1216" w:type="dxa"/>
            <w:tcBorders>
              <w:bottom w:val="single" w:sz="4" w:space="0" w:color="auto"/>
            </w:tcBorders>
            <w:noWrap/>
            <w:vAlign w:val="center"/>
            <w:hideMark/>
          </w:tcPr>
          <w:p w14:paraId="651574A6" w14:textId="5A5A4568" w:rsidR="002D6723" w:rsidRPr="00824F4B" w:rsidRDefault="008438DD"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1216" w:type="dxa"/>
            <w:tcBorders>
              <w:bottom w:val="single" w:sz="4" w:space="0" w:color="auto"/>
            </w:tcBorders>
            <w:vAlign w:val="center"/>
          </w:tcPr>
          <w:p w14:paraId="651574A7"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c>
          <w:tcPr>
            <w:tcW w:w="1216" w:type="dxa"/>
            <w:tcBorders>
              <w:bottom w:val="single" w:sz="4" w:space="0" w:color="auto"/>
            </w:tcBorders>
            <w:noWrap/>
            <w:vAlign w:val="center"/>
            <w:hideMark/>
          </w:tcPr>
          <w:p w14:paraId="651574A8"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1327" w:type="dxa"/>
            <w:tcBorders>
              <w:bottom w:val="single" w:sz="4" w:space="0" w:color="auto"/>
            </w:tcBorders>
            <w:vAlign w:val="center"/>
          </w:tcPr>
          <w:p w14:paraId="651574A9"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c>
          <w:tcPr>
            <w:tcW w:w="717" w:type="dxa"/>
            <w:tcBorders>
              <w:bottom w:val="single" w:sz="4" w:space="0" w:color="auto"/>
            </w:tcBorders>
            <w:noWrap/>
            <w:vAlign w:val="center"/>
            <w:hideMark/>
          </w:tcPr>
          <w:p w14:paraId="651574AA"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828" w:type="dxa"/>
            <w:tcBorders>
              <w:bottom w:val="single" w:sz="4" w:space="0" w:color="auto"/>
            </w:tcBorders>
            <w:vAlign w:val="center"/>
          </w:tcPr>
          <w:p w14:paraId="651574AB"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r>
      <w:tr w:rsidR="00E366B8" w:rsidRPr="00824F4B" w14:paraId="651574C2" w14:textId="77777777" w:rsidTr="00FE03DB">
        <w:trPr>
          <w:trHeight w:val="300"/>
        </w:trPr>
        <w:tc>
          <w:tcPr>
            <w:tcW w:w="1505" w:type="dxa"/>
            <w:tcBorders>
              <w:top w:val="single" w:sz="4" w:space="0" w:color="auto"/>
            </w:tcBorders>
            <w:noWrap/>
            <w:vAlign w:val="bottom"/>
            <w:hideMark/>
          </w:tcPr>
          <w:p w14:paraId="651574AD" w14:textId="77777777" w:rsidR="00E366B8" w:rsidRPr="00824F4B" w:rsidRDefault="00E366B8" w:rsidP="000E1558">
            <w:pPr>
              <w:spacing w:line="276" w:lineRule="auto"/>
              <w:jc w:val="both"/>
              <w:rPr>
                <w:rFonts w:ascii="Arial" w:hAnsi="Arial" w:cs="Arial"/>
                <w:color w:val="000000"/>
                <w:sz w:val="20"/>
                <w:szCs w:val="20"/>
              </w:rPr>
            </w:pPr>
            <w:r w:rsidRPr="00824F4B">
              <w:rPr>
                <w:rFonts w:ascii="Arial" w:hAnsi="Arial" w:cs="Arial"/>
                <w:color w:val="000000"/>
                <w:sz w:val="20"/>
                <w:szCs w:val="20"/>
              </w:rPr>
              <w:t>Protein (mg/g)</w:t>
            </w:r>
          </w:p>
        </w:tc>
        <w:tc>
          <w:tcPr>
            <w:tcW w:w="1327" w:type="dxa"/>
            <w:tcBorders>
              <w:top w:val="single" w:sz="4" w:space="0" w:color="auto"/>
            </w:tcBorders>
            <w:noWrap/>
            <w:vAlign w:val="center"/>
            <w:hideMark/>
          </w:tcPr>
          <w:p w14:paraId="651574B0" w14:textId="71879D6A" w:rsidR="00E366B8" w:rsidRPr="00824F4B" w:rsidRDefault="00E366B8" w:rsidP="00441BA0">
            <w:pPr>
              <w:spacing w:line="276" w:lineRule="auto"/>
              <w:jc w:val="center"/>
              <w:rPr>
                <w:rFonts w:ascii="Arial" w:hAnsi="Arial" w:cs="Arial"/>
                <w:color w:val="000000"/>
                <w:sz w:val="20"/>
                <w:szCs w:val="20"/>
              </w:rPr>
            </w:pPr>
            <w:r w:rsidRPr="00824F4B">
              <w:rPr>
                <w:rFonts w:ascii="Arial" w:hAnsi="Arial" w:cs="Arial"/>
                <w:color w:val="000000"/>
                <w:sz w:val="20"/>
                <w:szCs w:val="20"/>
              </w:rPr>
              <w:t>15.83±0.65</w:t>
            </w:r>
            <w:r w:rsidR="00557D73" w:rsidRPr="00824F4B">
              <w:rPr>
                <w:rFonts w:ascii="Arial" w:hAnsi="Arial" w:cs="Arial"/>
                <w:color w:val="000000"/>
                <w:sz w:val="20"/>
                <w:szCs w:val="20"/>
              </w:rPr>
              <w:t>1</w:t>
            </w:r>
          </w:p>
        </w:tc>
        <w:tc>
          <w:tcPr>
            <w:tcW w:w="1327" w:type="dxa"/>
            <w:tcBorders>
              <w:top w:val="single" w:sz="4" w:space="0" w:color="auto"/>
            </w:tcBorders>
            <w:vAlign w:val="center"/>
          </w:tcPr>
          <w:p w14:paraId="651574B3" w14:textId="404221B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17.13±0.60</w:t>
            </w:r>
            <w:r w:rsidR="00B60D22" w:rsidRPr="00824F4B">
              <w:rPr>
                <w:rFonts w:ascii="Arial" w:hAnsi="Arial" w:cs="Arial"/>
                <w:color w:val="000000"/>
                <w:sz w:val="20"/>
                <w:szCs w:val="20"/>
              </w:rPr>
              <w:t>3</w:t>
            </w:r>
          </w:p>
        </w:tc>
        <w:tc>
          <w:tcPr>
            <w:tcW w:w="1216" w:type="dxa"/>
            <w:tcBorders>
              <w:top w:val="single" w:sz="4" w:space="0" w:color="auto"/>
            </w:tcBorders>
            <w:noWrap/>
            <w:vAlign w:val="center"/>
            <w:hideMark/>
          </w:tcPr>
          <w:p w14:paraId="651574B5" w14:textId="13BCDEC4"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13.2±0.854</w:t>
            </w:r>
          </w:p>
          <w:p w14:paraId="651574B6" w14:textId="77777777" w:rsidR="00E366B8" w:rsidRPr="00824F4B" w:rsidRDefault="00E366B8" w:rsidP="0083590D">
            <w:pPr>
              <w:spacing w:line="276" w:lineRule="auto"/>
              <w:jc w:val="center"/>
              <w:rPr>
                <w:rFonts w:ascii="Arial" w:hAnsi="Arial" w:cs="Arial"/>
                <w:color w:val="000000"/>
                <w:sz w:val="20"/>
                <w:szCs w:val="20"/>
              </w:rPr>
            </w:pPr>
          </w:p>
        </w:tc>
        <w:tc>
          <w:tcPr>
            <w:tcW w:w="1216" w:type="dxa"/>
            <w:tcBorders>
              <w:top w:val="single" w:sz="4" w:space="0" w:color="auto"/>
            </w:tcBorders>
            <w:vAlign w:val="center"/>
          </w:tcPr>
          <w:p w14:paraId="651574B9" w14:textId="33AB65DE"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13.36±1.0</w:t>
            </w:r>
            <w:r w:rsidR="00557D73" w:rsidRPr="00824F4B">
              <w:rPr>
                <w:rFonts w:ascii="Arial" w:hAnsi="Arial" w:cs="Arial"/>
                <w:color w:val="000000"/>
                <w:sz w:val="20"/>
                <w:szCs w:val="20"/>
              </w:rPr>
              <w:t>6</w:t>
            </w:r>
          </w:p>
        </w:tc>
        <w:tc>
          <w:tcPr>
            <w:tcW w:w="1216" w:type="dxa"/>
            <w:tcBorders>
              <w:top w:val="single" w:sz="4" w:space="0" w:color="auto"/>
            </w:tcBorders>
            <w:noWrap/>
            <w:vAlign w:val="center"/>
            <w:hideMark/>
          </w:tcPr>
          <w:p w14:paraId="651574BB" w14:textId="516FB8C9"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11.43±0.40</w:t>
            </w:r>
          </w:p>
          <w:p w14:paraId="651574BC" w14:textId="77777777" w:rsidR="00E366B8" w:rsidRPr="00824F4B" w:rsidRDefault="00E366B8" w:rsidP="0083590D">
            <w:pPr>
              <w:spacing w:line="276" w:lineRule="auto"/>
              <w:jc w:val="center"/>
              <w:rPr>
                <w:rFonts w:ascii="Arial" w:hAnsi="Arial" w:cs="Arial"/>
                <w:color w:val="000000"/>
                <w:sz w:val="20"/>
                <w:szCs w:val="20"/>
              </w:rPr>
            </w:pPr>
          </w:p>
        </w:tc>
        <w:tc>
          <w:tcPr>
            <w:tcW w:w="1327" w:type="dxa"/>
            <w:tcBorders>
              <w:top w:val="single" w:sz="4" w:space="0" w:color="auto"/>
            </w:tcBorders>
            <w:vAlign w:val="center"/>
          </w:tcPr>
          <w:p w14:paraId="651574BF" w14:textId="6282D461"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12.16±0.25</w:t>
            </w:r>
            <w:r w:rsidR="00557D73" w:rsidRPr="00824F4B">
              <w:rPr>
                <w:rFonts w:ascii="Arial" w:hAnsi="Arial" w:cs="Arial"/>
                <w:color w:val="000000"/>
                <w:sz w:val="20"/>
                <w:szCs w:val="20"/>
              </w:rPr>
              <w:t>2</w:t>
            </w:r>
          </w:p>
        </w:tc>
        <w:tc>
          <w:tcPr>
            <w:tcW w:w="717" w:type="dxa"/>
            <w:tcBorders>
              <w:top w:val="single" w:sz="4" w:space="0" w:color="auto"/>
            </w:tcBorders>
            <w:noWrap/>
            <w:vAlign w:val="center"/>
            <w:hideMark/>
          </w:tcPr>
          <w:p w14:paraId="651574C0" w14:textId="545A2CBA" w:rsidR="00E366B8" w:rsidRPr="00824F4B" w:rsidRDefault="00E366B8" w:rsidP="0083590D">
            <w:pPr>
              <w:spacing w:line="276" w:lineRule="auto"/>
              <w:ind w:hanging="112"/>
              <w:jc w:val="center"/>
              <w:rPr>
                <w:rFonts w:ascii="Arial" w:hAnsi="Arial" w:cs="Arial"/>
                <w:color w:val="000000"/>
                <w:sz w:val="20"/>
                <w:szCs w:val="20"/>
              </w:rPr>
            </w:pPr>
            <w:r w:rsidRPr="00824F4B">
              <w:rPr>
                <w:rFonts w:ascii="Arial" w:hAnsi="Arial" w:cs="Arial"/>
                <w:color w:val="000000"/>
                <w:sz w:val="20"/>
                <w:szCs w:val="20"/>
              </w:rPr>
              <w:t>0.95</w:t>
            </w:r>
            <w:r w:rsidR="00557D73" w:rsidRPr="00824F4B">
              <w:rPr>
                <w:rFonts w:ascii="Arial" w:hAnsi="Arial" w:cs="Arial"/>
                <w:color w:val="000000"/>
                <w:sz w:val="20"/>
                <w:szCs w:val="20"/>
              </w:rPr>
              <w:t>9</w:t>
            </w:r>
          </w:p>
        </w:tc>
        <w:tc>
          <w:tcPr>
            <w:tcW w:w="828" w:type="dxa"/>
            <w:tcBorders>
              <w:top w:val="single" w:sz="4" w:space="0" w:color="auto"/>
            </w:tcBorders>
            <w:vAlign w:val="center"/>
          </w:tcPr>
          <w:p w14:paraId="651574C1" w14:textId="038D86C8"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0.557</w:t>
            </w:r>
          </w:p>
        </w:tc>
      </w:tr>
      <w:tr w:rsidR="00E366B8" w:rsidRPr="00824F4B" w14:paraId="651574CC" w14:textId="77777777" w:rsidTr="00FE03DB">
        <w:trPr>
          <w:trHeight w:val="300"/>
        </w:trPr>
        <w:tc>
          <w:tcPr>
            <w:tcW w:w="1505" w:type="dxa"/>
            <w:noWrap/>
            <w:vAlign w:val="bottom"/>
            <w:hideMark/>
          </w:tcPr>
          <w:p w14:paraId="651574C3" w14:textId="77777777" w:rsidR="00E366B8" w:rsidRPr="00824F4B" w:rsidRDefault="00E366B8" w:rsidP="000E1558">
            <w:pPr>
              <w:spacing w:line="276" w:lineRule="auto"/>
              <w:jc w:val="both"/>
              <w:rPr>
                <w:rFonts w:ascii="Arial" w:hAnsi="Arial" w:cs="Arial"/>
                <w:color w:val="000000"/>
                <w:sz w:val="20"/>
                <w:szCs w:val="20"/>
              </w:rPr>
            </w:pPr>
            <w:r w:rsidRPr="00824F4B">
              <w:rPr>
                <w:rFonts w:ascii="Arial" w:hAnsi="Arial" w:cs="Arial"/>
                <w:color w:val="000000"/>
                <w:sz w:val="20"/>
                <w:szCs w:val="20"/>
              </w:rPr>
              <w:t>Glycogen (mg/g)</w:t>
            </w:r>
          </w:p>
        </w:tc>
        <w:tc>
          <w:tcPr>
            <w:tcW w:w="1327" w:type="dxa"/>
            <w:noWrap/>
            <w:vAlign w:val="center"/>
            <w:hideMark/>
          </w:tcPr>
          <w:p w14:paraId="651574C4" w14:textId="09C8BD38"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7.96</w:t>
            </w:r>
            <w:r w:rsidR="00441BA0" w:rsidRPr="00824F4B">
              <w:rPr>
                <w:rFonts w:ascii="Arial" w:hAnsi="Arial" w:cs="Arial"/>
                <w:color w:val="000000"/>
                <w:sz w:val="20"/>
                <w:szCs w:val="20"/>
              </w:rPr>
              <w:t xml:space="preserve"> </w:t>
            </w:r>
            <w:r w:rsidRPr="00824F4B">
              <w:rPr>
                <w:rFonts w:ascii="Arial" w:hAnsi="Arial" w:cs="Arial"/>
                <w:color w:val="000000"/>
                <w:sz w:val="20"/>
                <w:szCs w:val="20"/>
              </w:rPr>
              <w:t>±</w:t>
            </w:r>
            <w:r w:rsidR="00441BA0" w:rsidRPr="00824F4B">
              <w:rPr>
                <w:rFonts w:ascii="Arial" w:hAnsi="Arial" w:cs="Arial"/>
                <w:color w:val="000000"/>
                <w:sz w:val="20"/>
                <w:szCs w:val="20"/>
              </w:rPr>
              <w:t xml:space="preserve"> </w:t>
            </w:r>
            <w:r w:rsidRPr="00824F4B">
              <w:rPr>
                <w:rFonts w:ascii="Arial" w:hAnsi="Arial" w:cs="Arial"/>
                <w:color w:val="000000"/>
                <w:sz w:val="20"/>
                <w:szCs w:val="20"/>
              </w:rPr>
              <w:t>0.80</w:t>
            </w:r>
          </w:p>
        </w:tc>
        <w:tc>
          <w:tcPr>
            <w:tcW w:w="1327" w:type="dxa"/>
            <w:vAlign w:val="center"/>
          </w:tcPr>
          <w:p w14:paraId="651574C5" w14:textId="7787B3EA"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7.5</w:t>
            </w:r>
            <w:r w:rsidR="00441BA0" w:rsidRPr="00824F4B">
              <w:rPr>
                <w:rFonts w:ascii="Arial" w:hAnsi="Arial" w:cs="Arial"/>
                <w:color w:val="000000"/>
                <w:sz w:val="20"/>
                <w:szCs w:val="20"/>
              </w:rPr>
              <w:t xml:space="preserve"> </w:t>
            </w:r>
            <w:r w:rsidRPr="00824F4B">
              <w:rPr>
                <w:rFonts w:ascii="Arial" w:hAnsi="Arial" w:cs="Arial"/>
                <w:color w:val="000000"/>
                <w:sz w:val="20"/>
                <w:szCs w:val="20"/>
              </w:rPr>
              <w:t>±</w:t>
            </w:r>
            <w:r w:rsidR="00441BA0" w:rsidRPr="00824F4B">
              <w:rPr>
                <w:rFonts w:ascii="Arial" w:hAnsi="Arial" w:cs="Arial"/>
                <w:color w:val="000000"/>
                <w:sz w:val="20"/>
                <w:szCs w:val="20"/>
              </w:rPr>
              <w:t xml:space="preserve"> </w:t>
            </w:r>
            <w:r w:rsidRPr="00824F4B">
              <w:rPr>
                <w:rFonts w:ascii="Arial" w:hAnsi="Arial" w:cs="Arial"/>
                <w:color w:val="000000"/>
                <w:sz w:val="20"/>
                <w:szCs w:val="20"/>
              </w:rPr>
              <w:t>0.36</w:t>
            </w:r>
          </w:p>
        </w:tc>
        <w:tc>
          <w:tcPr>
            <w:tcW w:w="1216" w:type="dxa"/>
            <w:noWrap/>
            <w:vAlign w:val="center"/>
            <w:hideMark/>
          </w:tcPr>
          <w:p w14:paraId="651574C6"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5.23±0.92</w:t>
            </w:r>
          </w:p>
        </w:tc>
        <w:tc>
          <w:tcPr>
            <w:tcW w:w="1216" w:type="dxa"/>
            <w:vAlign w:val="center"/>
          </w:tcPr>
          <w:p w14:paraId="651574C7"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4.96±0.20</w:t>
            </w:r>
          </w:p>
        </w:tc>
        <w:tc>
          <w:tcPr>
            <w:tcW w:w="1216" w:type="dxa"/>
            <w:noWrap/>
            <w:vAlign w:val="center"/>
            <w:hideMark/>
          </w:tcPr>
          <w:p w14:paraId="651574C8"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3.83±0.35</w:t>
            </w:r>
          </w:p>
        </w:tc>
        <w:tc>
          <w:tcPr>
            <w:tcW w:w="1327" w:type="dxa"/>
            <w:vAlign w:val="center"/>
          </w:tcPr>
          <w:p w14:paraId="651574C9"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3.73±0.20</w:t>
            </w:r>
          </w:p>
        </w:tc>
        <w:tc>
          <w:tcPr>
            <w:tcW w:w="717" w:type="dxa"/>
            <w:noWrap/>
            <w:vAlign w:val="center"/>
            <w:hideMark/>
          </w:tcPr>
          <w:p w14:paraId="651574CA" w14:textId="68E3F4A5"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0.853</w:t>
            </w:r>
          </w:p>
        </w:tc>
        <w:tc>
          <w:tcPr>
            <w:tcW w:w="828" w:type="dxa"/>
            <w:vAlign w:val="center"/>
          </w:tcPr>
          <w:p w14:paraId="651574CB"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0.9216</w:t>
            </w:r>
          </w:p>
        </w:tc>
      </w:tr>
      <w:tr w:rsidR="00E366B8" w:rsidRPr="00824F4B" w14:paraId="651574D6" w14:textId="77777777" w:rsidTr="00FE03DB">
        <w:trPr>
          <w:trHeight w:val="300"/>
        </w:trPr>
        <w:tc>
          <w:tcPr>
            <w:tcW w:w="1505" w:type="dxa"/>
            <w:tcBorders>
              <w:bottom w:val="single" w:sz="4" w:space="0" w:color="auto"/>
            </w:tcBorders>
            <w:noWrap/>
            <w:vAlign w:val="bottom"/>
            <w:hideMark/>
          </w:tcPr>
          <w:p w14:paraId="651574CD" w14:textId="77777777" w:rsidR="00E366B8" w:rsidRPr="00824F4B" w:rsidRDefault="00E366B8" w:rsidP="000E1558">
            <w:pPr>
              <w:spacing w:line="276" w:lineRule="auto"/>
              <w:jc w:val="both"/>
              <w:rPr>
                <w:rFonts w:ascii="Arial" w:hAnsi="Arial" w:cs="Arial"/>
                <w:color w:val="000000"/>
                <w:sz w:val="20"/>
                <w:szCs w:val="20"/>
              </w:rPr>
            </w:pPr>
            <w:r w:rsidRPr="00824F4B">
              <w:rPr>
                <w:rFonts w:ascii="Arial" w:hAnsi="Arial" w:cs="Arial"/>
                <w:color w:val="000000"/>
                <w:sz w:val="20"/>
                <w:szCs w:val="20"/>
              </w:rPr>
              <w:t>Lipid (mg/g)</w:t>
            </w:r>
          </w:p>
        </w:tc>
        <w:tc>
          <w:tcPr>
            <w:tcW w:w="1327" w:type="dxa"/>
            <w:tcBorders>
              <w:bottom w:val="single" w:sz="4" w:space="0" w:color="auto"/>
            </w:tcBorders>
            <w:noWrap/>
            <w:vAlign w:val="center"/>
            <w:hideMark/>
          </w:tcPr>
          <w:p w14:paraId="651574CE"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9.85±0.35</w:t>
            </w:r>
          </w:p>
        </w:tc>
        <w:tc>
          <w:tcPr>
            <w:tcW w:w="1327" w:type="dxa"/>
            <w:tcBorders>
              <w:bottom w:val="single" w:sz="4" w:space="0" w:color="auto"/>
            </w:tcBorders>
            <w:vAlign w:val="center"/>
          </w:tcPr>
          <w:p w14:paraId="651574CF"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9.5±0.3</w:t>
            </w:r>
          </w:p>
        </w:tc>
        <w:tc>
          <w:tcPr>
            <w:tcW w:w="1216" w:type="dxa"/>
            <w:tcBorders>
              <w:bottom w:val="single" w:sz="4" w:space="0" w:color="auto"/>
            </w:tcBorders>
            <w:noWrap/>
            <w:vAlign w:val="center"/>
            <w:hideMark/>
          </w:tcPr>
          <w:p w14:paraId="651574D0"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8.1±0.36</w:t>
            </w:r>
          </w:p>
        </w:tc>
        <w:tc>
          <w:tcPr>
            <w:tcW w:w="1216" w:type="dxa"/>
            <w:tcBorders>
              <w:bottom w:val="single" w:sz="4" w:space="0" w:color="auto"/>
            </w:tcBorders>
            <w:vAlign w:val="center"/>
          </w:tcPr>
          <w:p w14:paraId="651574D1"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7.53±0.30</w:t>
            </w:r>
          </w:p>
        </w:tc>
        <w:tc>
          <w:tcPr>
            <w:tcW w:w="1216" w:type="dxa"/>
            <w:tcBorders>
              <w:bottom w:val="single" w:sz="4" w:space="0" w:color="auto"/>
            </w:tcBorders>
            <w:noWrap/>
            <w:vAlign w:val="center"/>
            <w:hideMark/>
          </w:tcPr>
          <w:p w14:paraId="651574D2"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4.166±0.35</w:t>
            </w:r>
          </w:p>
        </w:tc>
        <w:tc>
          <w:tcPr>
            <w:tcW w:w="1327" w:type="dxa"/>
            <w:tcBorders>
              <w:bottom w:val="single" w:sz="4" w:space="0" w:color="auto"/>
            </w:tcBorders>
            <w:vAlign w:val="center"/>
          </w:tcPr>
          <w:p w14:paraId="651574D3"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3.73±0.20</w:t>
            </w:r>
          </w:p>
        </w:tc>
        <w:tc>
          <w:tcPr>
            <w:tcW w:w="717" w:type="dxa"/>
            <w:tcBorders>
              <w:bottom w:val="single" w:sz="4" w:space="0" w:color="auto"/>
            </w:tcBorders>
            <w:noWrap/>
            <w:vAlign w:val="center"/>
            <w:hideMark/>
          </w:tcPr>
          <w:p w14:paraId="651574D4" w14:textId="5D53769B"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0.97</w:t>
            </w:r>
            <w:r w:rsidR="00557D73" w:rsidRPr="00824F4B">
              <w:rPr>
                <w:rFonts w:ascii="Arial" w:hAnsi="Arial" w:cs="Arial"/>
                <w:color w:val="000000"/>
                <w:sz w:val="20"/>
                <w:szCs w:val="20"/>
              </w:rPr>
              <w:t>8</w:t>
            </w:r>
          </w:p>
        </w:tc>
        <w:tc>
          <w:tcPr>
            <w:tcW w:w="828" w:type="dxa"/>
            <w:tcBorders>
              <w:bottom w:val="single" w:sz="4" w:space="0" w:color="auto"/>
            </w:tcBorders>
            <w:vAlign w:val="center"/>
          </w:tcPr>
          <w:p w14:paraId="651574D5" w14:textId="6F51392E"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0.99</w:t>
            </w:r>
            <w:r w:rsidR="00C73A5D" w:rsidRPr="00824F4B">
              <w:rPr>
                <w:rFonts w:ascii="Arial" w:hAnsi="Arial" w:cs="Arial"/>
                <w:color w:val="000000"/>
                <w:sz w:val="20"/>
                <w:szCs w:val="20"/>
              </w:rPr>
              <w:t>6</w:t>
            </w:r>
          </w:p>
        </w:tc>
      </w:tr>
    </w:tbl>
    <w:p w14:paraId="651574D7" w14:textId="77777777" w:rsidR="00AA7F66" w:rsidRPr="00824F4B" w:rsidRDefault="007972F0" w:rsidP="000E1558">
      <w:pPr>
        <w:pStyle w:val="NormalWeb"/>
        <w:spacing w:line="276" w:lineRule="auto"/>
        <w:jc w:val="both"/>
        <w:rPr>
          <w:rFonts w:ascii="Arial" w:hAnsi="Arial" w:cs="Arial"/>
          <w:sz w:val="20"/>
          <w:szCs w:val="20"/>
        </w:rPr>
      </w:pPr>
      <w:r w:rsidRPr="00824F4B">
        <w:rPr>
          <w:rFonts w:ascii="Arial" w:hAnsi="Arial" w:cs="Arial"/>
          <w:sz w:val="20"/>
          <w:szCs w:val="20"/>
        </w:rPr>
        <w:t>Values are mean ± SD; (n=5), P&gt;0.05</w:t>
      </w:r>
    </w:p>
    <w:p w14:paraId="651574D8" w14:textId="77777777" w:rsidR="00D715A0" w:rsidRPr="00824F4B" w:rsidRDefault="003F25C2" w:rsidP="004F32C3">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Although the seasonal differences in protein, glycogen, and lipid content were not statistically significant (P &gt; 0.05), the biological relevance of these variations highlights the adaptive physiological strategies employed by fishes to cope with changing environmental and reproductive demands. These findings underscore the influence of seasonal cycles on fish metabolism and nutritional status, which is crucial for fisheries biology and aquaculture management.</w:t>
      </w:r>
    </w:p>
    <w:p w14:paraId="651574D9" w14:textId="37F45D3F" w:rsidR="003F25C2" w:rsidRPr="00824F4B" w:rsidRDefault="00D315C3" w:rsidP="000A4FBB">
      <w:pPr>
        <w:pStyle w:val="Heading1"/>
        <w:rPr>
          <w:rFonts w:ascii="Arial" w:hAnsi="Arial"/>
          <w:sz w:val="22"/>
          <w:szCs w:val="22"/>
        </w:rPr>
      </w:pPr>
      <w:r>
        <w:rPr>
          <w:rFonts w:ascii="Arial" w:hAnsi="Arial"/>
          <w:sz w:val="22"/>
          <w:szCs w:val="22"/>
        </w:rPr>
        <w:t xml:space="preserve">4. </w:t>
      </w:r>
      <w:r w:rsidR="00925133" w:rsidRPr="00824F4B">
        <w:rPr>
          <w:rFonts w:ascii="Arial" w:hAnsi="Arial"/>
          <w:sz w:val="22"/>
          <w:szCs w:val="22"/>
        </w:rPr>
        <w:t>CONCLUSION</w:t>
      </w:r>
    </w:p>
    <w:p w14:paraId="651574DA" w14:textId="2AED3F8A" w:rsidR="004F5C56" w:rsidRPr="00824F4B" w:rsidRDefault="004F5C56" w:rsidP="004F32C3">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The study aimed to evaluate seasonal fluctuations in </w:t>
      </w:r>
      <w:proofErr w:type="spellStart"/>
      <w:r w:rsidR="009E7307">
        <w:rPr>
          <w:rFonts w:ascii="Arial" w:hAnsi="Arial" w:cs="Arial"/>
          <w:sz w:val="20"/>
          <w:szCs w:val="20"/>
        </w:rPr>
        <w:t>haematological</w:t>
      </w:r>
      <w:proofErr w:type="spellEnd"/>
      <w:r w:rsidRPr="00824F4B">
        <w:rPr>
          <w:rFonts w:ascii="Arial" w:hAnsi="Arial" w:cs="Arial"/>
          <w:sz w:val="20"/>
          <w:szCs w:val="20"/>
        </w:rPr>
        <w:t xml:space="preserve">, serum biochemical, and muscle biochemical parameters of </w:t>
      </w:r>
      <w:proofErr w:type="spellStart"/>
      <w:r w:rsidR="00E53901" w:rsidRPr="00824F4B">
        <w:rPr>
          <w:rFonts w:ascii="Arial" w:hAnsi="Arial" w:cs="Arial"/>
          <w:i/>
          <w:iCs/>
          <w:sz w:val="20"/>
          <w:szCs w:val="20"/>
        </w:rPr>
        <w:t>Labeo</w:t>
      </w:r>
      <w:proofErr w:type="spellEnd"/>
      <w:r w:rsidR="00E53901" w:rsidRPr="00824F4B">
        <w:rPr>
          <w:rFonts w:ascii="Arial" w:hAnsi="Arial" w:cs="Arial"/>
          <w:i/>
          <w:iCs/>
          <w:sz w:val="20"/>
          <w:szCs w:val="20"/>
        </w:rPr>
        <w:t xml:space="preserve"> </w:t>
      </w:r>
      <w:proofErr w:type="spellStart"/>
      <w:r w:rsidR="00E53901" w:rsidRPr="00824F4B">
        <w:rPr>
          <w:rFonts w:ascii="Arial" w:hAnsi="Arial" w:cs="Arial"/>
          <w:i/>
          <w:iCs/>
          <w:sz w:val="20"/>
          <w:szCs w:val="20"/>
        </w:rPr>
        <w:t>rohita</w:t>
      </w:r>
      <w:proofErr w:type="spellEnd"/>
      <w:r w:rsidRPr="00824F4B">
        <w:rPr>
          <w:rFonts w:ascii="Arial" w:hAnsi="Arial" w:cs="Arial"/>
          <w:sz w:val="20"/>
          <w:szCs w:val="20"/>
        </w:rPr>
        <w:t xml:space="preserve"> collected from two different aquatic </w:t>
      </w:r>
      <w:r w:rsidR="00B20A78" w:rsidRPr="00824F4B">
        <w:rPr>
          <w:rFonts w:ascii="Arial" w:hAnsi="Arial" w:cs="Arial"/>
          <w:sz w:val="20"/>
          <w:szCs w:val="20"/>
        </w:rPr>
        <w:t xml:space="preserve">habitats, </w:t>
      </w:r>
      <w:r w:rsidRPr="00824F4B">
        <w:rPr>
          <w:rFonts w:ascii="Arial" w:hAnsi="Arial" w:cs="Arial"/>
          <w:sz w:val="20"/>
          <w:szCs w:val="20"/>
        </w:rPr>
        <w:t xml:space="preserve">Ganga River and Bhimsen Pond. The findings clearly demonstrated that </w:t>
      </w:r>
      <w:proofErr w:type="spellStart"/>
      <w:r w:rsidR="009E7307">
        <w:rPr>
          <w:rFonts w:ascii="Arial" w:hAnsi="Arial" w:cs="Arial"/>
          <w:sz w:val="20"/>
          <w:szCs w:val="20"/>
        </w:rPr>
        <w:t>haematological</w:t>
      </w:r>
      <w:proofErr w:type="spellEnd"/>
      <w:r w:rsidRPr="00824F4B">
        <w:rPr>
          <w:rFonts w:ascii="Arial" w:hAnsi="Arial" w:cs="Arial"/>
          <w:sz w:val="20"/>
          <w:szCs w:val="20"/>
        </w:rPr>
        <w:t xml:space="preserve"> parameters, including hemoglobin, red and white blood cell counts, and hematocrit, exhibited significant seasonal variation. These values were generally higher during summer and progressively declined through the rainy and winter seasons. This indicates that </w:t>
      </w:r>
      <w:proofErr w:type="spellStart"/>
      <w:r w:rsidR="009E7307">
        <w:rPr>
          <w:rFonts w:ascii="Arial" w:hAnsi="Arial" w:cs="Arial"/>
          <w:sz w:val="20"/>
          <w:szCs w:val="20"/>
        </w:rPr>
        <w:t>haematological</w:t>
      </w:r>
      <w:proofErr w:type="spellEnd"/>
      <w:r w:rsidRPr="00824F4B">
        <w:rPr>
          <w:rFonts w:ascii="Arial" w:hAnsi="Arial" w:cs="Arial"/>
          <w:sz w:val="20"/>
          <w:szCs w:val="20"/>
        </w:rPr>
        <w:t xml:space="preserve"> indices are highly sensitive to seasonal environmental changes and serve as effective biomarkers of physiological stress in fish. In contrast, serum biochemical parameters such as protein, glucose, cholesterol, and triglycerides, along with muscle protein, glycogen, and lipid content, followed a declining trend from summer to winter but did not show statistically significant variations. However, the biological relevance of these changes suggests adaptive metabolic responses to environmental stressors, feeding behavior, and </w:t>
      </w:r>
      <w:r w:rsidRPr="00824F4B">
        <w:rPr>
          <w:rFonts w:ascii="Arial" w:hAnsi="Arial" w:cs="Arial"/>
          <w:sz w:val="20"/>
          <w:szCs w:val="20"/>
        </w:rPr>
        <w:lastRenderedPageBreak/>
        <w:t xml:space="preserve">reproductive cycles. Fish from pond environments consistently exhibited slightly higher physiological values compared to river fish, likely due to more stable environmental conditions in the pond habitat. Overall, the study highlights that </w:t>
      </w:r>
      <w:proofErr w:type="spellStart"/>
      <w:r w:rsidR="009E7307">
        <w:rPr>
          <w:rFonts w:ascii="Arial" w:hAnsi="Arial" w:cs="Arial"/>
          <w:sz w:val="20"/>
          <w:szCs w:val="20"/>
        </w:rPr>
        <w:t>haematological</w:t>
      </w:r>
      <w:proofErr w:type="spellEnd"/>
      <w:r w:rsidRPr="00824F4B">
        <w:rPr>
          <w:rFonts w:ascii="Arial" w:hAnsi="Arial" w:cs="Arial"/>
          <w:sz w:val="20"/>
          <w:szCs w:val="20"/>
        </w:rPr>
        <w:t xml:space="preserve"> parameters are more reliable indicators of seasonal stress and fish health than serum or muscle biochemistry. These findings contribute valuable insights for fish health monitoring, aquaculture management, and ecological assessments of freshwater habitats.</w:t>
      </w:r>
    </w:p>
    <w:p w14:paraId="651574DB" w14:textId="27EABDCC" w:rsidR="00E92A70" w:rsidRPr="00824F4B" w:rsidRDefault="00925133" w:rsidP="000A4FBB">
      <w:pPr>
        <w:pStyle w:val="Heading1"/>
        <w:rPr>
          <w:rFonts w:ascii="Arial" w:hAnsi="Arial"/>
          <w:sz w:val="22"/>
          <w:szCs w:val="22"/>
        </w:rPr>
      </w:pPr>
      <w:r w:rsidRPr="00824F4B">
        <w:rPr>
          <w:rFonts w:ascii="Arial" w:hAnsi="Arial"/>
          <w:sz w:val="22"/>
          <w:szCs w:val="22"/>
        </w:rPr>
        <w:t>ACKNOWLEDGEMENT</w:t>
      </w:r>
    </w:p>
    <w:p w14:paraId="651574DC" w14:textId="77777777" w:rsidR="00E92A70" w:rsidRPr="00824F4B" w:rsidRDefault="00E92A70" w:rsidP="004F32C3">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The authors are grateful to the Department of Zoology, D.G.P.G. College, Kanpur, for providing the necessary laboratory facilities and academic support. Special thanks are also extended to</w:t>
      </w:r>
      <w:r w:rsidR="004F32C3" w:rsidRPr="00824F4B">
        <w:rPr>
          <w:rFonts w:ascii="Arial" w:hAnsi="Arial" w:cs="Arial"/>
          <w:sz w:val="20"/>
          <w:szCs w:val="20"/>
        </w:rPr>
        <w:t xml:space="preserve"> Mr.</w:t>
      </w:r>
      <w:r w:rsidRPr="00824F4B">
        <w:rPr>
          <w:rFonts w:ascii="Arial" w:hAnsi="Arial" w:cs="Arial"/>
          <w:sz w:val="20"/>
          <w:szCs w:val="20"/>
        </w:rPr>
        <w:t xml:space="preserve"> Jay Kumar Singh Fish Farm for their cooperation and assistance in providing fish samples essential for this study.</w:t>
      </w:r>
    </w:p>
    <w:p w14:paraId="651574DD" w14:textId="3F0EFAD2" w:rsidR="00CD7259" w:rsidRPr="00824F4B" w:rsidRDefault="00925133" w:rsidP="000A4FBB">
      <w:pPr>
        <w:pStyle w:val="Heading1"/>
        <w:rPr>
          <w:rFonts w:ascii="Arial" w:hAnsi="Arial"/>
          <w:sz w:val="22"/>
          <w:szCs w:val="22"/>
        </w:rPr>
      </w:pPr>
      <w:r w:rsidRPr="00824F4B">
        <w:rPr>
          <w:rFonts w:ascii="Arial" w:hAnsi="Arial"/>
          <w:sz w:val="22"/>
          <w:szCs w:val="22"/>
        </w:rPr>
        <w:t>AUTHOR CONTRIBUTIONS</w:t>
      </w:r>
    </w:p>
    <w:p w14:paraId="651574DE" w14:textId="4B380772" w:rsidR="00066EE1" w:rsidRPr="00824F4B" w:rsidRDefault="004F32C3" w:rsidP="004F32C3">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Ms. </w:t>
      </w:r>
      <w:r w:rsidR="00CD7259" w:rsidRPr="00824F4B">
        <w:rPr>
          <w:rFonts w:ascii="Arial" w:hAnsi="Arial" w:cs="Arial"/>
          <w:sz w:val="20"/>
          <w:szCs w:val="20"/>
        </w:rPr>
        <w:t xml:space="preserve">Hemprabha conducted fieldwork, laboratory analysis, data interpretation, and manuscript preparation. </w:t>
      </w:r>
      <w:r w:rsidRPr="00824F4B">
        <w:rPr>
          <w:rFonts w:ascii="Arial" w:hAnsi="Arial" w:cs="Arial"/>
          <w:sz w:val="20"/>
          <w:szCs w:val="20"/>
        </w:rPr>
        <w:t xml:space="preserve">Dr </w:t>
      </w:r>
      <w:r w:rsidR="00CD7259" w:rsidRPr="00824F4B">
        <w:rPr>
          <w:rFonts w:ascii="Arial" w:hAnsi="Arial" w:cs="Arial"/>
          <w:sz w:val="20"/>
          <w:szCs w:val="20"/>
        </w:rPr>
        <w:t xml:space="preserve">Sunita Arya supervised the research, provided conceptual guidance, and critically reviewed the manuscript and </w:t>
      </w:r>
      <w:r w:rsidR="001A3C39" w:rsidRPr="00824F4B">
        <w:rPr>
          <w:rFonts w:ascii="Arial" w:hAnsi="Arial" w:cs="Arial"/>
          <w:sz w:val="20"/>
          <w:szCs w:val="20"/>
        </w:rPr>
        <w:t>finalized it</w:t>
      </w:r>
      <w:r w:rsidR="00CD7259" w:rsidRPr="00824F4B">
        <w:rPr>
          <w:rFonts w:ascii="Arial" w:hAnsi="Arial" w:cs="Arial"/>
          <w:sz w:val="20"/>
          <w:szCs w:val="20"/>
        </w:rPr>
        <w:t xml:space="preserve"> for </w:t>
      </w:r>
      <w:r w:rsidR="006A0515" w:rsidRPr="00824F4B">
        <w:rPr>
          <w:rFonts w:ascii="Arial" w:hAnsi="Arial" w:cs="Arial"/>
          <w:sz w:val="20"/>
          <w:szCs w:val="20"/>
        </w:rPr>
        <w:t>publication</w:t>
      </w:r>
      <w:r w:rsidR="00CD7259" w:rsidRPr="00824F4B">
        <w:rPr>
          <w:rFonts w:ascii="Arial" w:hAnsi="Arial" w:cs="Arial"/>
          <w:sz w:val="20"/>
          <w:szCs w:val="20"/>
        </w:rPr>
        <w:t>. Both authors contributed to the design, execution, and successful completion of the research.</w:t>
      </w:r>
    </w:p>
    <w:p w14:paraId="651574DF" w14:textId="49931A6C" w:rsidR="00F846CB" w:rsidRPr="00824F4B" w:rsidRDefault="0077749E" w:rsidP="000A4FBB">
      <w:pPr>
        <w:pStyle w:val="Heading1"/>
        <w:rPr>
          <w:rFonts w:ascii="Arial" w:hAnsi="Arial"/>
          <w:sz w:val="22"/>
          <w:szCs w:val="22"/>
        </w:rPr>
      </w:pPr>
      <w:r>
        <w:rPr>
          <w:rStyle w:val="Heading6Char"/>
          <w:rFonts w:ascii="Arial" w:hAnsi="Arial" w:cs="Arial"/>
          <w:i w:val="0"/>
          <w:iCs w:val="0"/>
          <w:color w:val="auto"/>
          <w:sz w:val="22"/>
          <w:szCs w:val="22"/>
          <w:lang w:bidi="ar-SA"/>
        </w:rPr>
        <w:t xml:space="preserve">COMPETING </w:t>
      </w:r>
      <w:r w:rsidR="00925133" w:rsidRPr="00824F4B">
        <w:rPr>
          <w:rStyle w:val="Heading6Char"/>
          <w:rFonts w:ascii="Arial" w:hAnsi="Arial" w:cs="Arial"/>
          <w:i w:val="0"/>
          <w:iCs w:val="0"/>
          <w:color w:val="auto"/>
          <w:sz w:val="22"/>
          <w:szCs w:val="22"/>
          <w:lang w:bidi="ar-SA"/>
        </w:rPr>
        <w:t>INTEREST</w:t>
      </w:r>
      <w:r>
        <w:rPr>
          <w:rStyle w:val="Heading6Char"/>
          <w:rFonts w:ascii="Arial" w:hAnsi="Arial" w:cs="Arial"/>
          <w:i w:val="0"/>
          <w:iCs w:val="0"/>
          <w:color w:val="auto"/>
          <w:sz w:val="22"/>
          <w:szCs w:val="22"/>
          <w:lang w:bidi="ar-SA"/>
        </w:rPr>
        <w:t>S</w:t>
      </w:r>
    </w:p>
    <w:p w14:paraId="651574E0" w14:textId="77777777" w:rsidR="00066EE1" w:rsidRPr="00824F4B" w:rsidRDefault="00F846CB" w:rsidP="004F32C3">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 T</w:t>
      </w:r>
      <w:r w:rsidR="00DD3FD6" w:rsidRPr="00824F4B">
        <w:rPr>
          <w:rFonts w:ascii="Arial" w:hAnsi="Arial" w:cs="Arial"/>
          <w:sz w:val="20"/>
          <w:szCs w:val="20"/>
        </w:rPr>
        <w:t>he authors declare no con</w:t>
      </w:r>
      <w:r w:rsidR="004F32C3" w:rsidRPr="00824F4B">
        <w:rPr>
          <w:rFonts w:ascii="Arial" w:hAnsi="Arial" w:cs="Arial"/>
          <w:sz w:val="20"/>
          <w:szCs w:val="20"/>
        </w:rPr>
        <w:t>flict</w:t>
      </w:r>
      <w:r w:rsidR="00C6612A" w:rsidRPr="00824F4B">
        <w:rPr>
          <w:rFonts w:ascii="Arial" w:hAnsi="Arial" w:cs="Arial"/>
          <w:sz w:val="20"/>
          <w:szCs w:val="20"/>
        </w:rPr>
        <w:t xml:space="preserve"> of interest</w:t>
      </w:r>
      <w:r w:rsidR="004F32C3" w:rsidRPr="00824F4B">
        <w:rPr>
          <w:rFonts w:ascii="Arial" w:hAnsi="Arial" w:cs="Arial"/>
          <w:sz w:val="20"/>
          <w:szCs w:val="20"/>
        </w:rPr>
        <w:t>.</w:t>
      </w:r>
    </w:p>
    <w:p w14:paraId="651574E1" w14:textId="42D0BF7C" w:rsidR="00CD7259" w:rsidRPr="00824F4B" w:rsidRDefault="00925133" w:rsidP="000A4FBB">
      <w:pPr>
        <w:pStyle w:val="Heading1"/>
        <w:rPr>
          <w:rFonts w:ascii="Arial" w:hAnsi="Arial"/>
          <w:sz w:val="22"/>
          <w:szCs w:val="22"/>
        </w:rPr>
      </w:pPr>
      <w:r w:rsidRPr="00824F4B">
        <w:rPr>
          <w:rFonts w:ascii="Arial" w:hAnsi="Arial"/>
          <w:sz w:val="22"/>
          <w:szCs w:val="22"/>
        </w:rPr>
        <w:t>REFERENCES</w:t>
      </w:r>
    </w:p>
    <w:p w14:paraId="651574E2"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Allain, C. C., Poon, L. S., Chan, C. S., Richmond, W., and Fu, P. C. (1974). Enzymatic determination of total serum cholesterol. </w:t>
      </w:r>
      <w:r w:rsidRPr="00824F4B">
        <w:rPr>
          <w:rStyle w:val="Emphasis"/>
          <w:rFonts w:ascii="Arial" w:hAnsi="Arial" w:cs="Arial"/>
          <w:sz w:val="20"/>
          <w:szCs w:val="20"/>
        </w:rPr>
        <w:t>Clinical Chemistry, 20</w:t>
      </w:r>
      <w:r w:rsidRPr="00824F4B">
        <w:rPr>
          <w:rFonts w:ascii="Arial" w:hAnsi="Arial" w:cs="Arial"/>
          <w:sz w:val="20"/>
          <w:szCs w:val="20"/>
        </w:rPr>
        <w:t>(4), 470–475.</w:t>
      </w:r>
    </w:p>
    <w:p w14:paraId="651574E3"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Arya, S., and Shukla, M. (2018). Chromium (Cr+6) toxicity and its adverse health effect on freshwater fish: A review article. </w:t>
      </w:r>
      <w:r w:rsidRPr="00824F4B">
        <w:rPr>
          <w:rStyle w:val="Emphasis"/>
          <w:rFonts w:ascii="Arial" w:hAnsi="Arial" w:cs="Arial"/>
          <w:sz w:val="20"/>
          <w:szCs w:val="20"/>
        </w:rPr>
        <w:t>International Journal on Biological Sciences, 9</w:t>
      </w:r>
      <w:r w:rsidRPr="00824F4B">
        <w:rPr>
          <w:rFonts w:ascii="Arial" w:hAnsi="Arial" w:cs="Arial"/>
          <w:sz w:val="20"/>
          <w:szCs w:val="20"/>
        </w:rPr>
        <w:t>(1), 69–73.</w:t>
      </w:r>
    </w:p>
    <w:p w14:paraId="651574E4"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Blaxhall</w:t>
      </w:r>
      <w:proofErr w:type="spellEnd"/>
      <w:r w:rsidRPr="00824F4B">
        <w:rPr>
          <w:rFonts w:ascii="Arial" w:hAnsi="Arial" w:cs="Arial"/>
          <w:sz w:val="20"/>
          <w:szCs w:val="20"/>
        </w:rPr>
        <w:t xml:space="preserve">, P, C. (2006). The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Assessment of the Health of Freshwater Fish. Journal of Fish Biology. 4. 593 - 604. 10.1111/j.1095-</w:t>
      </w:r>
      <w:proofErr w:type="gramStart"/>
      <w:r w:rsidRPr="00824F4B">
        <w:rPr>
          <w:rFonts w:ascii="Arial" w:hAnsi="Arial" w:cs="Arial"/>
          <w:sz w:val="20"/>
          <w:szCs w:val="20"/>
        </w:rPr>
        <w:t>8649.1972.tb</w:t>
      </w:r>
      <w:proofErr w:type="gramEnd"/>
      <w:r w:rsidRPr="00824F4B">
        <w:rPr>
          <w:rFonts w:ascii="Arial" w:hAnsi="Arial" w:cs="Arial"/>
          <w:sz w:val="20"/>
          <w:szCs w:val="20"/>
        </w:rPr>
        <w:t>05704.x.</w:t>
      </w:r>
    </w:p>
    <w:p w14:paraId="651574E5"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Blaxhall</w:t>
      </w:r>
      <w:proofErr w:type="spellEnd"/>
      <w:r w:rsidRPr="00824F4B">
        <w:rPr>
          <w:rFonts w:ascii="Arial" w:hAnsi="Arial" w:cs="Arial"/>
          <w:sz w:val="20"/>
          <w:szCs w:val="20"/>
        </w:rPr>
        <w:t xml:space="preserve">, P. C., and Daisley, K. W. (1973). Routine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methods for use with fish blood. </w:t>
      </w:r>
      <w:r w:rsidRPr="00824F4B">
        <w:rPr>
          <w:rStyle w:val="Emphasis"/>
          <w:rFonts w:ascii="Arial" w:hAnsi="Arial" w:cs="Arial"/>
          <w:sz w:val="20"/>
          <w:szCs w:val="20"/>
        </w:rPr>
        <w:t>Journal of Fish Biology, 5</w:t>
      </w:r>
      <w:r w:rsidRPr="00824F4B">
        <w:rPr>
          <w:rFonts w:ascii="Arial" w:hAnsi="Arial" w:cs="Arial"/>
          <w:sz w:val="20"/>
          <w:szCs w:val="20"/>
        </w:rPr>
        <w:t>(6), 771–781.</w:t>
      </w:r>
    </w:p>
    <w:p w14:paraId="651574E6"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Bligh, E. G., and Dyer, W. J. (1959). A rapid method of total lipid extraction and purification. </w:t>
      </w:r>
      <w:r w:rsidRPr="00824F4B">
        <w:rPr>
          <w:rStyle w:val="Emphasis"/>
          <w:rFonts w:ascii="Arial" w:hAnsi="Arial" w:cs="Arial"/>
          <w:sz w:val="20"/>
          <w:szCs w:val="20"/>
        </w:rPr>
        <w:t>Canadian Journal of Biochemistry and Physiology, 37</w:t>
      </w:r>
      <w:r w:rsidRPr="00824F4B">
        <w:rPr>
          <w:rFonts w:ascii="Arial" w:hAnsi="Arial" w:cs="Arial"/>
          <w:sz w:val="20"/>
          <w:szCs w:val="20"/>
        </w:rPr>
        <w:t>, 911–917.</w:t>
      </w:r>
    </w:p>
    <w:p w14:paraId="651574E7"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Dacie, J. V., and Lewis, S. M. (2001). </w:t>
      </w:r>
      <w:r w:rsidRPr="00824F4B">
        <w:rPr>
          <w:rStyle w:val="Emphasis"/>
          <w:rFonts w:ascii="Arial" w:hAnsi="Arial" w:cs="Arial"/>
          <w:sz w:val="20"/>
          <w:szCs w:val="20"/>
        </w:rPr>
        <w:t xml:space="preserve">Practical </w:t>
      </w:r>
      <w:proofErr w:type="spellStart"/>
      <w:r w:rsidRPr="00824F4B">
        <w:rPr>
          <w:rStyle w:val="Emphasis"/>
          <w:rFonts w:ascii="Arial" w:hAnsi="Arial" w:cs="Arial"/>
          <w:sz w:val="20"/>
          <w:szCs w:val="20"/>
        </w:rPr>
        <w:t>Haematology</w:t>
      </w:r>
      <w:proofErr w:type="spellEnd"/>
      <w:r w:rsidRPr="00824F4B">
        <w:rPr>
          <w:rFonts w:ascii="Arial" w:hAnsi="Arial" w:cs="Arial"/>
          <w:sz w:val="20"/>
          <w:szCs w:val="20"/>
        </w:rPr>
        <w:t>. Churchill Livingstone.</w:t>
      </w:r>
    </w:p>
    <w:p w14:paraId="651574E8"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Das, P. C., Ayyappan, S., and Jena, J. K. (2006).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changes in the three Indian major carps, </w:t>
      </w:r>
      <w:proofErr w:type="spellStart"/>
      <w:r w:rsidRPr="00824F4B">
        <w:rPr>
          <w:rStyle w:val="Emphasis"/>
          <w:rFonts w:ascii="Arial" w:hAnsi="Arial" w:cs="Arial"/>
          <w:sz w:val="20"/>
          <w:szCs w:val="20"/>
        </w:rPr>
        <w:t>Catla</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catla</w:t>
      </w:r>
      <w:proofErr w:type="spellEnd"/>
      <w:r w:rsidRPr="00824F4B">
        <w:rPr>
          <w:rFonts w:ascii="Arial" w:hAnsi="Arial" w:cs="Arial"/>
          <w:sz w:val="20"/>
          <w:szCs w:val="20"/>
        </w:rPr>
        <w:t xml:space="preserve"> (Hamilton),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Pr="00824F4B">
        <w:rPr>
          <w:rFonts w:ascii="Arial" w:hAnsi="Arial" w:cs="Arial"/>
          <w:sz w:val="20"/>
          <w:szCs w:val="20"/>
        </w:rPr>
        <w:t xml:space="preserve"> (Hamilton) and </w:t>
      </w:r>
      <w:proofErr w:type="spellStart"/>
      <w:r w:rsidRPr="00824F4B">
        <w:rPr>
          <w:rStyle w:val="Emphasis"/>
          <w:rFonts w:ascii="Arial" w:hAnsi="Arial" w:cs="Arial"/>
          <w:sz w:val="20"/>
          <w:szCs w:val="20"/>
        </w:rPr>
        <w:t>Cirrhinus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mrigala</w:t>
      </w:r>
      <w:proofErr w:type="spellEnd"/>
      <w:r w:rsidRPr="00824F4B">
        <w:rPr>
          <w:rFonts w:ascii="Arial" w:hAnsi="Arial" w:cs="Arial"/>
          <w:sz w:val="20"/>
          <w:szCs w:val="20"/>
        </w:rPr>
        <w:t xml:space="preserve"> (Hamilton) exposed to acidic and alkaline water pH. </w:t>
      </w:r>
      <w:r w:rsidRPr="00824F4B">
        <w:rPr>
          <w:rStyle w:val="Emphasis"/>
          <w:rFonts w:ascii="Arial" w:hAnsi="Arial" w:cs="Arial"/>
          <w:sz w:val="20"/>
          <w:szCs w:val="20"/>
        </w:rPr>
        <w:t>Aquaculture, 256</w:t>
      </w:r>
      <w:r w:rsidRPr="00824F4B">
        <w:rPr>
          <w:rFonts w:ascii="Arial" w:hAnsi="Arial" w:cs="Arial"/>
          <w:sz w:val="20"/>
          <w:szCs w:val="20"/>
        </w:rPr>
        <w:t>(1–4), 80–87.</w:t>
      </w:r>
    </w:p>
    <w:p w14:paraId="651574E9"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Doloi</w:t>
      </w:r>
      <w:proofErr w:type="spellEnd"/>
      <w:r w:rsidRPr="00824F4B">
        <w:rPr>
          <w:rFonts w:ascii="Arial" w:hAnsi="Arial" w:cs="Arial"/>
          <w:sz w:val="20"/>
          <w:szCs w:val="20"/>
        </w:rPr>
        <w:t xml:space="preserve">, D., and </w:t>
      </w:r>
      <w:proofErr w:type="spellStart"/>
      <w:r w:rsidRPr="00824F4B">
        <w:rPr>
          <w:rFonts w:ascii="Arial" w:hAnsi="Arial" w:cs="Arial"/>
          <w:sz w:val="20"/>
          <w:szCs w:val="20"/>
        </w:rPr>
        <w:t>Basumatari</w:t>
      </w:r>
      <w:proofErr w:type="spellEnd"/>
      <w:r w:rsidRPr="00824F4B">
        <w:rPr>
          <w:rFonts w:ascii="Arial" w:hAnsi="Arial" w:cs="Arial"/>
          <w:sz w:val="20"/>
          <w:szCs w:val="20"/>
        </w:rPr>
        <w:t xml:space="preserve">, D. (2020). A comparative study on total muscle protein content of </w:t>
      </w:r>
      <w:r w:rsidRPr="00824F4B">
        <w:rPr>
          <w:rStyle w:val="Emphasis"/>
          <w:rFonts w:ascii="Arial" w:hAnsi="Arial" w:cs="Arial"/>
          <w:sz w:val="20"/>
          <w:szCs w:val="20"/>
        </w:rPr>
        <w:t xml:space="preserve">Anabas </w:t>
      </w:r>
      <w:proofErr w:type="spellStart"/>
      <w:r w:rsidRPr="00824F4B">
        <w:rPr>
          <w:rStyle w:val="Emphasis"/>
          <w:rFonts w:ascii="Arial" w:hAnsi="Arial" w:cs="Arial"/>
          <w:sz w:val="20"/>
          <w:szCs w:val="20"/>
        </w:rPr>
        <w:t>testudineus</w:t>
      </w:r>
      <w:proofErr w:type="spellEnd"/>
      <w:r w:rsidRPr="00824F4B">
        <w:rPr>
          <w:rFonts w:ascii="Arial" w:hAnsi="Arial" w:cs="Arial"/>
          <w:sz w:val="20"/>
          <w:szCs w:val="20"/>
        </w:rPr>
        <w:t xml:space="preserve">,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gonius</w:t>
      </w:r>
      <w:proofErr w:type="spellEnd"/>
      <w:r w:rsidRPr="00824F4B">
        <w:rPr>
          <w:rFonts w:ascii="Arial" w:hAnsi="Arial" w:cs="Arial"/>
          <w:sz w:val="20"/>
          <w:szCs w:val="20"/>
        </w:rPr>
        <w:t xml:space="preserve">,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Pr="00824F4B">
        <w:rPr>
          <w:rFonts w:ascii="Arial" w:hAnsi="Arial" w:cs="Arial"/>
          <w:sz w:val="20"/>
          <w:szCs w:val="20"/>
        </w:rPr>
        <w:t xml:space="preserve"> and </w:t>
      </w:r>
      <w:proofErr w:type="spellStart"/>
      <w:r w:rsidRPr="00824F4B">
        <w:rPr>
          <w:rStyle w:val="Emphasis"/>
          <w:rFonts w:ascii="Arial" w:hAnsi="Arial" w:cs="Arial"/>
          <w:sz w:val="20"/>
          <w:szCs w:val="20"/>
        </w:rPr>
        <w:t>Heteropneustes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fossilis</w:t>
      </w:r>
      <w:proofErr w:type="spellEnd"/>
      <w:r w:rsidRPr="00824F4B">
        <w:rPr>
          <w:rFonts w:ascii="Arial" w:hAnsi="Arial" w:cs="Arial"/>
          <w:sz w:val="20"/>
          <w:szCs w:val="20"/>
        </w:rPr>
        <w:t xml:space="preserve"> and to analyze their electrophoretic banding pattern using SDS-PAGE. </w:t>
      </w:r>
      <w:r w:rsidRPr="00824F4B">
        <w:rPr>
          <w:rStyle w:val="Emphasis"/>
          <w:rFonts w:ascii="Arial" w:hAnsi="Arial" w:cs="Arial"/>
          <w:sz w:val="20"/>
          <w:szCs w:val="20"/>
        </w:rPr>
        <w:t>International Journal of Life Science and Pharma Research, 10</w:t>
      </w:r>
      <w:r w:rsidRPr="00824F4B">
        <w:rPr>
          <w:rFonts w:ascii="Arial" w:hAnsi="Arial" w:cs="Arial"/>
          <w:sz w:val="20"/>
          <w:szCs w:val="20"/>
        </w:rPr>
        <w:t xml:space="preserve">(3), L46–L50. </w:t>
      </w:r>
      <w:r w:rsidRPr="00824F4B">
        <w:rPr>
          <w:rFonts w:ascii="Arial" w:hAnsi="Arial" w:cs="Arial"/>
          <w:color w:val="0000CC"/>
          <w:sz w:val="20"/>
          <w:szCs w:val="20"/>
        </w:rPr>
        <w:t>https://doi.org/10.22376/ijpbs/lpr.2020.10.3.L46-50</w:t>
      </w:r>
    </w:p>
    <w:p w14:paraId="651574EA"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FAO. (2020). </w:t>
      </w:r>
      <w:r w:rsidRPr="00824F4B">
        <w:rPr>
          <w:rStyle w:val="Emphasis"/>
          <w:rFonts w:ascii="Arial" w:hAnsi="Arial" w:cs="Arial"/>
          <w:i w:val="0"/>
          <w:sz w:val="20"/>
          <w:szCs w:val="20"/>
        </w:rPr>
        <w:t>The State of World Fisheries and Aquaculture 2020</w:t>
      </w:r>
      <w:r w:rsidRPr="00824F4B">
        <w:rPr>
          <w:rFonts w:ascii="Arial" w:hAnsi="Arial" w:cs="Arial"/>
          <w:i/>
          <w:sz w:val="20"/>
          <w:szCs w:val="20"/>
        </w:rPr>
        <w:t>. Food</w:t>
      </w:r>
      <w:r w:rsidRPr="00824F4B">
        <w:rPr>
          <w:rFonts w:ascii="Arial" w:hAnsi="Arial" w:cs="Arial"/>
          <w:sz w:val="20"/>
          <w:szCs w:val="20"/>
        </w:rPr>
        <w:t xml:space="preserve"> and Agriculture Organization of the United Nations.</w:t>
      </w:r>
    </w:p>
    <w:p w14:paraId="651574EB"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Ferri, J., Matić-Skoko, S., </w:t>
      </w:r>
      <w:proofErr w:type="spellStart"/>
      <w:r w:rsidRPr="00824F4B">
        <w:rPr>
          <w:rFonts w:ascii="Arial" w:hAnsi="Arial" w:cs="Arial"/>
          <w:sz w:val="20"/>
          <w:szCs w:val="20"/>
        </w:rPr>
        <w:t>Čož-Rakovac</w:t>
      </w:r>
      <w:proofErr w:type="spellEnd"/>
      <w:r w:rsidRPr="00824F4B">
        <w:rPr>
          <w:rFonts w:ascii="Arial" w:hAnsi="Arial" w:cs="Arial"/>
          <w:sz w:val="20"/>
          <w:szCs w:val="20"/>
        </w:rPr>
        <w:t xml:space="preserve">, R., </w:t>
      </w:r>
      <w:proofErr w:type="spellStart"/>
      <w:r w:rsidRPr="00824F4B">
        <w:rPr>
          <w:rFonts w:ascii="Arial" w:hAnsi="Arial" w:cs="Arial"/>
          <w:sz w:val="20"/>
          <w:szCs w:val="20"/>
        </w:rPr>
        <w:t>Strunjak-Perović</w:t>
      </w:r>
      <w:proofErr w:type="spellEnd"/>
      <w:r w:rsidRPr="00824F4B">
        <w:rPr>
          <w:rFonts w:ascii="Arial" w:hAnsi="Arial" w:cs="Arial"/>
          <w:sz w:val="20"/>
          <w:szCs w:val="20"/>
        </w:rPr>
        <w:t xml:space="preserve">, I., Beer Ljubić, B., and Topić Popović, N. (2022). Assessment of fish health: Seasonal variations in blood parameters of the widely spread Mediterranean </w:t>
      </w:r>
      <w:proofErr w:type="spellStart"/>
      <w:r w:rsidRPr="00824F4B">
        <w:rPr>
          <w:rFonts w:ascii="Arial" w:hAnsi="Arial" w:cs="Arial"/>
          <w:sz w:val="20"/>
          <w:szCs w:val="20"/>
        </w:rPr>
        <w:t>scorpaenid</w:t>
      </w:r>
      <w:proofErr w:type="spellEnd"/>
      <w:r w:rsidRPr="00824F4B">
        <w:rPr>
          <w:rFonts w:ascii="Arial" w:hAnsi="Arial" w:cs="Arial"/>
          <w:sz w:val="20"/>
          <w:szCs w:val="20"/>
        </w:rPr>
        <w:t xml:space="preserve"> species, </w:t>
      </w:r>
      <w:proofErr w:type="spellStart"/>
      <w:r w:rsidRPr="00824F4B">
        <w:rPr>
          <w:rStyle w:val="Emphasis"/>
          <w:rFonts w:ascii="Arial" w:hAnsi="Arial" w:cs="Arial"/>
          <w:sz w:val="20"/>
          <w:szCs w:val="20"/>
        </w:rPr>
        <w:t>Scorpaena</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porcus</w:t>
      </w:r>
      <w:proofErr w:type="spellEnd"/>
      <w:r w:rsidRPr="00824F4B">
        <w:rPr>
          <w:rFonts w:ascii="Arial" w:hAnsi="Arial" w:cs="Arial"/>
          <w:sz w:val="20"/>
          <w:szCs w:val="20"/>
        </w:rPr>
        <w:t xml:space="preserve">. </w:t>
      </w:r>
      <w:r w:rsidRPr="00824F4B">
        <w:rPr>
          <w:rStyle w:val="Emphasis"/>
          <w:rFonts w:ascii="Arial" w:hAnsi="Arial" w:cs="Arial"/>
          <w:sz w:val="20"/>
          <w:szCs w:val="20"/>
        </w:rPr>
        <w:t>Applied Sciences, 12</w:t>
      </w:r>
      <w:r w:rsidRPr="00824F4B">
        <w:rPr>
          <w:rFonts w:ascii="Arial" w:hAnsi="Arial" w:cs="Arial"/>
          <w:sz w:val="20"/>
          <w:szCs w:val="20"/>
        </w:rPr>
        <w:t xml:space="preserve">(9), 4106. </w:t>
      </w:r>
      <w:hyperlink r:id="rId8" w:tgtFrame="_new" w:history="1">
        <w:r w:rsidRPr="00824F4B">
          <w:rPr>
            <w:rStyle w:val="Hyperlink"/>
            <w:rFonts w:ascii="Arial" w:hAnsi="Arial" w:cs="Arial"/>
            <w:sz w:val="20"/>
            <w:szCs w:val="20"/>
          </w:rPr>
          <w:t>https://doi.org/10.3390/app12094106</w:t>
        </w:r>
      </w:hyperlink>
    </w:p>
    <w:p w14:paraId="651574EC"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Fossati, P., and </w:t>
      </w:r>
      <w:proofErr w:type="spellStart"/>
      <w:r w:rsidRPr="00824F4B">
        <w:rPr>
          <w:rFonts w:ascii="Arial" w:hAnsi="Arial" w:cs="Arial"/>
          <w:sz w:val="20"/>
          <w:szCs w:val="20"/>
        </w:rPr>
        <w:t>Prencipe</w:t>
      </w:r>
      <w:proofErr w:type="spellEnd"/>
      <w:r w:rsidRPr="00824F4B">
        <w:rPr>
          <w:rFonts w:ascii="Arial" w:hAnsi="Arial" w:cs="Arial"/>
          <w:sz w:val="20"/>
          <w:szCs w:val="20"/>
        </w:rPr>
        <w:t xml:space="preserve">, L. (1982). Serum triglycerides determined </w:t>
      </w:r>
      <w:proofErr w:type="spellStart"/>
      <w:r w:rsidRPr="00824F4B">
        <w:rPr>
          <w:rFonts w:ascii="Arial" w:hAnsi="Arial" w:cs="Arial"/>
          <w:sz w:val="20"/>
          <w:szCs w:val="20"/>
        </w:rPr>
        <w:t>colorimetrically</w:t>
      </w:r>
      <w:proofErr w:type="spellEnd"/>
      <w:r w:rsidRPr="00824F4B">
        <w:rPr>
          <w:rFonts w:ascii="Arial" w:hAnsi="Arial" w:cs="Arial"/>
          <w:sz w:val="20"/>
          <w:szCs w:val="20"/>
        </w:rPr>
        <w:t xml:space="preserve"> with an enzyme that produces hydrogen peroxide. </w:t>
      </w:r>
      <w:r w:rsidRPr="00824F4B">
        <w:rPr>
          <w:rStyle w:val="Emphasis"/>
          <w:rFonts w:ascii="Arial" w:hAnsi="Arial" w:cs="Arial"/>
          <w:sz w:val="20"/>
          <w:szCs w:val="20"/>
        </w:rPr>
        <w:t>Clinical Chemistry, 28</w:t>
      </w:r>
      <w:r w:rsidRPr="00824F4B">
        <w:rPr>
          <w:rFonts w:ascii="Arial" w:hAnsi="Arial" w:cs="Arial"/>
          <w:sz w:val="20"/>
          <w:szCs w:val="20"/>
        </w:rPr>
        <w:t>(10), 2077–2080.</w:t>
      </w:r>
    </w:p>
    <w:p w14:paraId="651574ED"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Ganeshwade</w:t>
      </w:r>
      <w:proofErr w:type="spellEnd"/>
      <w:r w:rsidRPr="00824F4B">
        <w:rPr>
          <w:rFonts w:ascii="Arial" w:hAnsi="Arial" w:cs="Arial"/>
          <w:sz w:val="20"/>
          <w:szCs w:val="20"/>
        </w:rPr>
        <w:t xml:space="preserve">, R. M. (2015). Seasonal biochemical changes in the muscles of freshwater fish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calbasu</w:t>
      </w:r>
      <w:proofErr w:type="spellEnd"/>
      <w:r w:rsidRPr="00824F4B">
        <w:rPr>
          <w:rFonts w:ascii="Arial" w:hAnsi="Arial" w:cs="Arial"/>
          <w:sz w:val="20"/>
          <w:szCs w:val="20"/>
        </w:rPr>
        <w:t xml:space="preserve"> (Ham). </w:t>
      </w:r>
      <w:r w:rsidRPr="00824F4B">
        <w:rPr>
          <w:rStyle w:val="Emphasis"/>
          <w:rFonts w:ascii="Arial" w:hAnsi="Arial" w:cs="Arial"/>
          <w:sz w:val="20"/>
          <w:szCs w:val="20"/>
        </w:rPr>
        <w:t>International Journal of Research in Biological and Applied Technology, 2</w:t>
      </w:r>
      <w:r w:rsidRPr="00824F4B">
        <w:rPr>
          <w:rFonts w:ascii="Arial" w:hAnsi="Arial" w:cs="Arial"/>
          <w:sz w:val="20"/>
          <w:szCs w:val="20"/>
        </w:rPr>
        <w:t>(7), 271–275.</w:t>
      </w:r>
    </w:p>
    <w:p w14:paraId="651574EE"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Ganeshwade</w:t>
      </w:r>
      <w:proofErr w:type="spellEnd"/>
      <w:r w:rsidRPr="00824F4B">
        <w:rPr>
          <w:rFonts w:ascii="Arial" w:hAnsi="Arial" w:cs="Arial"/>
          <w:sz w:val="20"/>
          <w:szCs w:val="20"/>
        </w:rPr>
        <w:t xml:space="preserve">, R. M. (2017). Seasonal variations in the biochemical content of freshwater fish </w:t>
      </w:r>
      <w:proofErr w:type="spellStart"/>
      <w:r w:rsidRPr="00824F4B">
        <w:rPr>
          <w:rStyle w:val="Emphasis"/>
          <w:rFonts w:ascii="Arial" w:hAnsi="Arial" w:cs="Arial"/>
          <w:sz w:val="20"/>
          <w:szCs w:val="20"/>
        </w:rPr>
        <w:t>Mystus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malabaricus</w:t>
      </w:r>
      <w:proofErr w:type="spellEnd"/>
      <w:r w:rsidRPr="00824F4B">
        <w:rPr>
          <w:rFonts w:ascii="Arial" w:hAnsi="Arial" w:cs="Arial"/>
          <w:sz w:val="20"/>
          <w:szCs w:val="20"/>
        </w:rPr>
        <w:t xml:space="preserve"> (</w:t>
      </w:r>
      <w:proofErr w:type="spellStart"/>
      <w:r w:rsidRPr="00824F4B">
        <w:rPr>
          <w:rFonts w:ascii="Arial" w:hAnsi="Arial" w:cs="Arial"/>
          <w:sz w:val="20"/>
          <w:szCs w:val="20"/>
        </w:rPr>
        <w:t>Jerdon</w:t>
      </w:r>
      <w:proofErr w:type="spellEnd"/>
      <w:r w:rsidRPr="00824F4B">
        <w:rPr>
          <w:rFonts w:ascii="Arial" w:hAnsi="Arial" w:cs="Arial"/>
          <w:sz w:val="20"/>
          <w:szCs w:val="20"/>
        </w:rPr>
        <w:t xml:space="preserve">). </w:t>
      </w:r>
      <w:r w:rsidRPr="00824F4B">
        <w:rPr>
          <w:rStyle w:val="Emphasis"/>
          <w:rFonts w:ascii="Arial" w:hAnsi="Arial" w:cs="Arial"/>
          <w:sz w:val="20"/>
          <w:szCs w:val="20"/>
        </w:rPr>
        <w:t>International Journal of Research in Biological and Applied Technology, 5</w:t>
      </w:r>
      <w:r w:rsidRPr="00824F4B">
        <w:rPr>
          <w:rFonts w:ascii="Arial" w:hAnsi="Arial" w:cs="Arial"/>
          <w:sz w:val="20"/>
          <w:szCs w:val="20"/>
        </w:rPr>
        <w:t>(1), 9–15.</w:t>
      </w:r>
    </w:p>
    <w:p w14:paraId="651574EF"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Ganeshwade</w:t>
      </w:r>
      <w:proofErr w:type="spellEnd"/>
      <w:r w:rsidRPr="00824F4B">
        <w:rPr>
          <w:rFonts w:ascii="Arial" w:hAnsi="Arial" w:cs="Arial"/>
          <w:sz w:val="20"/>
          <w:szCs w:val="20"/>
        </w:rPr>
        <w:t xml:space="preserve">, R. M., Ashwini, A. G., and Sonawane, S. R. (2016). Seasonal biochemical changes in the muscles of freshwater fish </w:t>
      </w:r>
      <w:proofErr w:type="spellStart"/>
      <w:r w:rsidRPr="00824F4B">
        <w:rPr>
          <w:rStyle w:val="Emphasis"/>
          <w:rFonts w:ascii="Arial" w:hAnsi="Arial" w:cs="Arial"/>
          <w:sz w:val="20"/>
          <w:szCs w:val="20"/>
        </w:rPr>
        <w:t>Mystus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cavasius</w:t>
      </w:r>
      <w:proofErr w:type="spellEnd"/>
      <w:r w:rsidRPr="00824F4B">
        <w:rPr>
          <w:rFonts w:ascii="Arial" w:hAnsi="Arial" w:cs="Arial"/>
          <w:sz w:val="20"/>
          <w:szCs w:val="20"/>
        </w:rPr>
        <w:t xml:space="preserve"> (Ham). </w:t>
      </w:r>
      <w:r w:rsidRPr="00824F4B">
        <w:rPr>
          <w:rStyle w:val="Emphasis"/>
          <w:rFonts w:ascii="Arial" w:hAnsi="Arial" w:cs="Arial"/>
          <w:sz w:val="20"/>
          <w:szCs w:val="20"/>
        </w:rPr>
        <w:t>Bioscience Discovery, 7</w:t>
      </w:r>
      <w:r w:rsidRPr="00824F4B">
        <w:rPr>
          <w:rFonts w:ascii="Arial" w:hAnsi="Arial" w:cs="Arial"/>
          <w:sz w:val="20"/>
          <w:szCs w:val="20"/>
        </w:rPr>
        <w:t>(1), 34–40.</w:t>
      </w:r>
    </w:p>
    <w:p w14:paraId="651574F0"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lastRenderedPageBreak/>
        <w:t xml:space="preserve">Goel, R., Arya, S., and Singh, R. (2022). Impact of pyrethroid insecticides on the </w:t>
      </w:r>
      <w:proofErr w:type="spellStart"/>
      <w:r w:rsidRPr="00824F4B">
        <w:rPr>
          <w:rFonts w:ascii="Arial" w:hAnsi="Arial" w:cs="Arial"/>
          <w:sz w:val="20"/>
          <w:szCs w:val="20"/>
        </w:rPr>
        <w:t>haematology</w:t>
      </w:r>
      <w:proofErr w:type="spellEnd"/>
      <w:r w:rsidRPr="00824F4B">
        <w:rPr>
          <w:rFonts w:ascii="Arial" w:hAnsi="Arial" w:cs="Arial"/>
          <w:sz w:val="20"/>
          <w:szCs w:val="20"/>
        </w:rPr>
        <w:t xml:space="preserve"> of </w:t>
      </w:r>
      <w:proofErr w:type="spellStart"/>
      <w:r w:rsidRPr="00824F4B">
        <w:rPr>
          <w:rStyle w:val="Emphasis"/>
          <w:rFonts w:ascii="Arial" w:hAnsi="Arial" w:cs="Arial"/>
          <w:sz w:val="20"/>
          <w:szCs w:val="20"/>
        </w:rPr>
        <w:t>Channa</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punctata</w:t>
      </w:r>
      <w:proofErr w:type="spellEnd"/>
      <w:r w:rsidRPr="00824F4B">
        <w:rPr>
          <w:rFonts w:ascii="Arial" w:hAnsi="Arial" w:cs="Arial"/>
          <w:sz w:val="20"/>
          <w:szCs w:val="20"/>
        </w:rPr>
        <w:t xml:space="preserve"> (Bloch). </w:t>
      </w:r>
      <w:r w:rsidRPr="00824F4B">
        <w:rPr>
          <w:rStyle w:val="Emphasis"/>
          <w:rFonts w:ascii="Arial" w:hAnsi="Arial" w:cs="Arial"/>
          <w:sz w:val="20"/>
          <w:szCs w:val="20"/>
        </w:rPr>
        <w:t>International Journal on Biological Sciences, 13</w:t>
      </w:r>
      <w:r w:rsidRPr="00824F4B">
        <w:rPr>
          <w:rFonts w:ascii="Arial" w:hAnsi="Arial" w:cs="Arial"/>
          <w:sz w:val="20"/>
          <w:szCs w:val="20"/>
        </w:rPr>
        <w:t>(2), 109–111.</w:t>
      </w:r>
    </w:p>
    <w:p w14:paraId="651574F1"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Guijarro, A. I., Lopez-Patino, M. A., Pinillos, M. L., </w:t>
      </w:r>
      <w:proofErr w:type="spellStart"/>
      <w:r w:rsidRPr="00824F4B">
        <w:rPr>
          <w:rFonts w:ascii="Arial" w:hAnsi="Arial" w:cs="Arial"/>
          <w:sz w:val="20"/>
          <w:szCs w:val="20"/>
        </w:rPr>
        <w:t>Isorna</w:t>
      </w:r>
      <w:proofErr w:type="spellEnd"/>
      <w:r w:rsidRPr="00824F4B">
        <w:rPr>
          <w:rFonts w:ascii="Arial" w:hAnsi="Arial" w:cs="Arial"/>
          <w:sz w:val="20"/>
          <w:szCs w:val="20"/>
        </w:rPr>
        <w:t>, E., De Pedro, N., Alonso-Gómez, A. L., Alonso-</w:t>
      </w:r>
      <w:proofErr w:type="spellStart"/>
      <w:r w:rsidRPr="00824F4B">
        <w:rPr>
          <w:rFonts w:ascii="Arial" w:hAnsi="Arial" w:cs="Arial"/>
          <w:sz w:val="20"/>
          <w:szCs w:val="20"/>
        </w:rPr>
        <w:t>Bedate</w:t>
      </w:r>
      <w:proofErr w:type="spellEnd"/>
      <w:r w:rsidRPr="00824F4B">
        <w:rPr>
          <w:rFonts w:ascii="Arial" w:hAnsi="Arial" w:cs="Arial"/>
          <w:sz w:val="20"/>
          <w:szCs w:val="20"/>
        </w:rPr>
        <w:t xml:space="preserve">, M., and Delgado, M. J. (2003). Seasonal changes in </w:t>
      </w:r>
      <w:proofErr w:type="spellStart"/>
      <w:r w:rsidRPr="00824F4B">
        <w:rPr>
          <w:rFonts w:ascii="Arial" w:hAnsi="Arial" w:cs="Arial"/>
          <w:sz w:val="20"/>
          <w:szCs w:val="20"/>
        </w:rPr>
        <w:t>haematology</w:t>
      </w:r>
      <w:proofErr w:type="spellEnd"/>
      <w:r w:rsidRPr="00824F4B">
        <w:rPr>
          <w:rFonts w:ascii="Arial" w:hAnsi="Arial" w:cs="Arial"/>
          <w:sz w:val="20"/>
          <w:szCs w:val="20"/>
        </w:rPr>
        <w:t xml:space="preserve"> and metabolic resources in the </w:t>
      </w:r>
      <w:proofErr w:type="spellStart"/>
      <w:r w:rsidRPr="00824F4B">
        <w:rPr>
          <w:rFonts w:ascii="Arial" w:hAnsi="Arial" w:cs="Arial"/>
          <w:sz w:val="20"/>
          <w:szCs w:val="20"/>
        </w:rPr>
        <w:t>tench</w:t>
      </w:r>
      <w:proofErr w:type="spellEnd"/>
      <w:r w:rsidRPr="00824F4B">
        <w:rPr>
          <w:rFonts w:ascii="Arial" w:hAnsi="Arial" w:cs="Arial"/>
          <w:sz w:val="20"/>
          <w:szCs w:val="20"/>
        </w:rPr>
        <w:t xml:space="preserve">. </w:t>
      </w:r>
      <w:r w:rsidRPr="00824F4B">
        <w:rPr>
          <w:rStyle w:val="Emphasis"/>
          <w:rFonts w:ascii="Arial" w:hAnsi="Arial" w:cs="Arial"/>
          <w:sz w:val="20"/>
          <w:szCs w:val="20"/>
        </w:rPr>
        <w:t>Journal of Fish Biology, 62</w:t>
      </w:r>
      <w:r w:rsidRPr="00824F4B">
        <w:rPr>
          <w:rFonts w:ascii="Arial" w:hAnsi="Arial" w:cs="Arial"/>
          <w:sz w:val="20"/>
          <w:szCs w:val="20"/>
        </w:rPr>
        <w:t>, 803–815.</w:t>
      </w:r>
    </w:p>
    <w:p w14:paraId="651574F2"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Hemprabha, and Arya, S. (2025). Impact of seasonal variation on physiochemical parameters in Ganga River and Bhimsen Pond water, Kanpur, India. </w:t>
      </w:r>
      <w:r w:rsidRPr="00824F4B">
        <w:rPr>
          <w:rStyle w:val="Emphasis"/>
          <w:rFonts w:ascii="Arial" w:hAnsi="Arial" w:cs="Arial"/>
          <w:sz w:val="20"/>
          <w:szCs w:val="20"/>
        </w:rPr>
        <w:t>International Journal of Zoological Investigations, 11</w:t>
      </w:r>
      <w:r w:rsidRPr="00824F4B">
        <w:rPr>
          <w:rFonts w:ascii="Arial" w:hAnsi="Arial" w:cs="Arial"/>
          <w:sz w:val="20"/>
          <w:szCs w:val="20"/>
        </w:rPr>
        <w:t xml:space="preserve">(1), 752–759. </w:t>
      </w:r>
      <w:hyperlink r:id="rId9" w:history="1">
        <w:r w:rsidRPr="00824F4B">
          <w:rPr>
            <w:rStyle w:val="Hyperlink"/>
            <w:rFonts w:ascii="Arial" w:hAnsi="Arial" w:cs="Arial"/>
            <w:sz w:val="20"/>
            <w:szCs w:val="20"/>
          </w:rPr>
          <w:t>10.33745/</w:t>
        </w:r>
        <w:proofErr w:type="gramStart"/>
        <w:r w:rsidRPr="00824F4B">
          <w:rPr>
            <w:rStyle w:val="Hyperlink"/>
            <w:rFonts w:ascii="Arial" w:hAnsi="Arial" w:cs="Arial"/>
            <w:sz w:val="20"/>
            <w:szCs w:val="20"/>
          </w:rPr>
          <w:t>ijzi.2025.v</w:t>
        </w:r>
        <w:proofErr w:type="gramEnd"/>
        <w:r w:rsidRPr="00824F4B">
          <w:rPr>
            <w:rStyle w:val="Hyperlink"/>
            <w:rFonts w:ascii="Arial" w:hAnsi="Arial" w:cs="Arial"/>
            <w:sz w:val="20"/>
            <w:szCs w:val="20"/>
          </w:rPr>
          <w:t>11i01.079</w:t>
        </w:r>
      </w:hyperlink>
    </w:p>
    <w:p w14:paraId="651574F3"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Hrubec, T. C., and Smith, S. A. (2000). Hematology of fish. In B. F. Feldman, J. G. Zinkl, and N. C. Jain (Eds.), </w:t>
      </w:r>
      <w:r w:rsidRPr="00824F4B">
        <w:rPr>
          <w:rStyle w:val="Emphasis"/>
          <w:rFonts w:ascii="Arial" w:hAnsi="Arial" w:cs="Arial"/>
          <w:sz w:val="20"/>
          <w:szCs w:val="20"/>
        </w:rPr>
        <w:t>Schalm's Veterinary Hematology</w:t>
      </w:r>
      <w:r w:rsidRPr="00824F4B">
        <w:rPr>
          <w:rFonts w:ascii="Arial" w:hAnsi="Arial" w:cs="Arial"/>
          <w:sz w:val="20"/>
          <w:szCs w:val="20"/>
        </w:rPr>
        <w:t xml:space="preserve"> (5th ed., pp. 1120–1125). Lippincott Williams and Wilkins.</w:t>
      </w:r>
    </w:p>
    <w:p w14:paraId="651574F4"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Hrubec, T. C., Smith, S. A., Robertson, J. L., Feldman, B., Veit, H. P., Libey, G. S., and Tinker, M. K. (1996). Blood biochemical reference intervals for Sunshine Bass (</w:t>
      </w:r>
      <w:r w:rsidRPr="00824F4B">
        <w:rPr>
          <w:rStyle w:val="Emphasis"/>
          <w:rFonts w:ascii="Arial" w:hAnsi="Arial" w:cs="Arial"/>
          <w:sz w:val="20"/>
          <w:szCs w:val="20"/>
        </w:rPr>
        <w:t>Morone chrysops</w:t>
      </w:r>
      <w:r w:rsidRPr="00824F4B">
        <w:rPr>
          <w:rFonts w:ascii="Arial" w:hAnsi="Arial" w:cs="Arial"/>
          <w:sz w:val="20"/>
          <w:szCs w:val="20"/>
        </w:rPr>
        <w:t xml:space="preserve"> × </w:t>
      </w:r>
      <w:r w:rsidRPr="00824F4B">
        <w:rPr>
          <w:rStyle w:val="Emphasis"/>
          <w:rFonts w:ascii="Arial" w:hAnsi="Arial" w:cs="Arial"/>
          <w:sz w:val="20"/>
          <w:szCs w:val="20"/>
        </w:rPr>
        <w:t>Morone saxatilis</w:t>
      </w:r>
      <w:r w:rsidRPr="00824F4B">
        <w:rPr>
          <w:rFonts w:ascii="Arial" w:hAnsi="Arial" w:cs="Arial"/>
          <w:sz w:val="20"/>
          <w:szCs w:val="20"/>
        </w:rPr>
        <w:t xml:space="preserve">) in three culture systems. </w:t>
      </w:r>
      <w:r w:rsidRPr="00824F4B">
        <w:rPr>
          <w:rStyle w:val="Emphasis"/>
          <w:rFonts w:ascii="Arial" w:hAnsi="Arial" w:cs="Arial"/>
          <w:sz w:val="20"/>
          <w:szCs w:val="20"/>
        </w:rPr>
        <w:t>American Journal of Veterinary Research, 57</w:t>
      </w:r>
      <w:r w:rsidRPr="00824F4B">
        <w:rPr>
          <w:rFonts w:ascii="Arial" w:hAnsi="Arial" w:cs="Arial"/>
          <w:sz w:val="20"/>
          <w:szCs w:val="20"/>
        </w:rPr>
        <w:t>, 618–623.</w:t>
      </w:r>
    </w:p>
    <w:p w14:paraId="651574F5"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Jan, U., Shah, M., Manzoor, T., and Ganie, S. A. (2012). Seasonal and monthly variations of protein content in the muscle of fish </w:t>
      </w:r>
      <w:proofErr w:type="spellStart"/>
      <w:r w:rsidRPr="00824F4B">
        <w:rPr>
          <w:rStyle w:val="Emphasis"/>
          <w:rFonts w:ascii="Arial" w:hAnsi="Arial" w:cs="Arial"/>
          <w:sz w:val="20"/>
          <w:szCs w:val="20"/>
        </w:rPr>
        <w:t>Schizothorax</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esocinus</w:t>
      </w:r>
      <w:proofErr w:type="spellEnd"/>
      <w:r w:rsidRPr="00824F4B">
        <w:rPr>
          <w:rFonts w:ascii="Arial" w:hAnsi="Arial" w:cs="Arial"/>
          <w:sz w:val="20"/>
          <w:szCs w:val="20"/>
        </w:rPr>
        <w:t xml:space="preserve">. </w:t>
      </w:r>
      <w:r w:rsidRPr="00824F4B">
        <w:rPr>
          <w:rStyle w:val="Emphasis"/>
          <w:rFonts w:ascii="Arial" w:hAnsi="Arial" w:cs="Arial"/>
          <w:sz w:val="20"/>
          <w:szCs w:val="20"/>
        </w:rPr>
        <w:t>Recent Research in Science and Technology, 4</w:t>
      </w:r>
      <w:r w:rsidRPr="00824F4B">
        <w:rPr>
          <w:rFonts w:ascii="Arial" w:hAnsi="Arial" w:cs="Arial"/>
          <w:sz w:val="20"/>
          <w:szCs w:val="20"/>
        </w:rPr>
        <w:t>(7), 5–7.</w:t>
      </w:r>
    </w:p>
    <w:p w14:paraId="651574F6" w14:textId="7D3D32F8"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Khan, M. A., and Abidi, S. F. (2007). Total aromatic amino acid requirement of Indian major carp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Pr="00824F4B">
        <w:rPr>
          <w:rFonts w:ascii="Arial" w:hAnsi="Arial" w:cs="Arial"/>
          <w:sz w:val="20"/>
          <w:szCs w:val="20"/>
        </w:rPr>
        <w:t xml:space="preserve"> (Hamilton) fry. </w:t>
      </w:r>
      <w:r w:rsidRPr="00824F4B">
        <w:rPr>
          <w:rStyle w:val="Emphasis"/>
          <w:rFonts w:ascii="Arial" w:hAnsi="Arial" w:cs="Arial"/>
          <w:sz w:val="20"/>
          <w:szCs w:val="20"/>
        </w:rPr>
        <w:t>Aquaculture, 267</w:t>
      </w:r>
      <w:r w:rsidRPr="00824F4B">
        <w:rPr>
          <w:rFonts w:ascii="Arial" w:hAnsi="Arial" w:cs="Arial"/>
          <w:sz w:val="20"/>
          <w:szCs w:val="20"/>
        </w:rPr>
        <w:t>, 111–118.</w:t>
      </w:r>
      <w:r w:rsidR="00F912CE">
        <w:rPr>
          <w:rFonts w:ascii="Arial" w:hAnsi="Arial" w:cs="Arial"/>
          <w:sz w:val="20"/>
          <w:szCs w:val="20"/>
        </w:rPr>
        <w:t xml:space="preserve"> DOI: </w:t>
      </w:r>
      <w:hyperlink r:id="rId10" w:tgtFrame="_new" w:history="1">
        <w:r w:rsidRPr="00824F4B">
          <w:rPr>
            <w:rStyle w:val="Hyperlink"/>
            <w:rFonts w:ascii="Arial" w:hAnsi="Arial" w:cs="Arial"/>
            <w:sz w:val="20"/>
            <w:szCs w:val="20"/>
          </w:rPr>
          <w:t>10.1016/j.aquaculture.2007.02.025</w:t>
        </w:r>
      </w:hyperlink>
    </w:p>
    <w:p w14:paraId="651574F7" w14:textId="6B97E1BA"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Kol, A., and Haque, M. S. (2023). Seasonal variation in blood parameters of freshwater fishes (</w:t>
      </w:r>
      <w:r w:rsidRPr="00824F4B">
        <w:rPr>
          <w:rStyle w:val="Emphasis"/>
          <w:rFonts w:ascii="Arial" w:hAnsi="Arial" w:cs="Arial"/>
          <w:sz w:val="20"/>
          <w:szCs w:val="20"/>
        </w:rPr>
        <w:t xml:space="preserve">Wallago </w:t>
      </w:r>
      <w:proofErr w:type="spellStart"/>
      <w:r w:rsidRPr="00824F4B">
        <w:rPr>
          <w:rStyle w:val="Emphasis"/>
          <w:rFonts w:ascii="Arial" w:hAnsi="Arial" w:cs="Arial"/>
          <w:sz w:val="20"/>
          <w:szCs w:val="20"/>
        </w:rPr>
        <w:t>attu</w:t>
      </w:r>
      <w:proofErr w:type="spellEnd"/>
      <w:r w:rsidRPr="00824F4B">
        <w:rPr>
          <w:rFonts w:ascii="Arial" w:hAnsi="Arial" w:cs="Arial"/>
          <w:sz w:val="20"/>
          <w:szCs w:val="20"/>
        </w:rPr>
        <w:t xml:space="preserve"> and </w:t>
      </w:r>
      <w:proofErr w:type="spellStart"/>
      <w:r w:rsidRPr="00824F4B">
        <w:rPr>
          <w:rStyle w:val="Emphasis"/>
          <w:rFonts w:ascii="Arial" w:hAnsi="Arial" w:cs="Arial"/>
          <w:sz w:val="20"/>
          <w:szCs w:val="20"/>
        </w:rPr>
        <w:t>Cirrhinus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mrigala</w:t>
      </w:r>
      <w:proofErr w:type="spellEnd"/>
      <w:r w:rsidRPr="00824F4B">
        <w:rPr>
          <w:rFonts w:ascii="Arial" w:hAnsi="Arial" w:cs="Arial"/>
          <w:sz w:val="20"/>
          <w:szCs w:val="20"/>
        </w:rPr>
        <w:t xml:space="preserve">) in </w:t>
      </w:r>
      <w:proofErr w:type="spellStart"/>
      <w:r w:rsidRPr="00824F4B">
        <w:rPr>
          <w:rFonts w:ascii="Arial" w:hAnsi="Arial" w:cs="Arial"/>
          <w:sz w:val="20"/>
          <w:szCs w:val="20"/>
        </w:rPr>
        <w:t>Govindgarh</w:t>
      </w:r>
      <w:proofErr w:type="spellEnd"/>
      <w:r w:rsidRPr="00824F4B">
        <w:rPr>
          <w:rFonts w:ascii="Arial" w:hAnsi="Arial" w:cs="Arial"/>
          <w:sz w:val="20"/>
          <w:szCs w:val="20"/>
        </w:rPr>
        <w:t xml:space="preserve"> Lake, </w:t>
      </w:r>
      <w:proofErr w:type="spellStart"/>
      <w:r w:rsidRPr="00824F4B">
        <w:rPr>
          <w:rFonts w:ascii="Arial" w:hAnsi="Arial" w:cs="Arial"/>
          <w:sz w:val="20"/>
          <w:szCs w:val="20"/>
        </w:rPr>
        <w:t>Rewa</w:t>
      </w:r>
      <w:proofErr w:type="spellEnd"/>
      <w:r w:rsidRPr="00824F4B">
        <w:rPr>
          <w:rFonts w:ascii="Arial" w:hAnsi="Arial" w:cs="Arial"/>
          <w:sz w:val="20"/>
          <w:szCs w:val="20"/>
        </w:rPr>
        <w:t xml:space="preserve">. </w:t>
      </w:r>
      <w:r w:rsidRPr="00824F4B">
        <w:rPr>
          <w:rStyle w:val="Emphasis"/>
          <w:rFonts w:ascii="Arial" w:hAnsi="Arial" w:cs="Arial"/>
          <w:sz w:val="20"/>
          <w:szCs w:val="20"/>
        </w:rPr>
        <w:t>International Journal of Advanced Academic Studies, 5</w:t>
      </w:r>
      <w:r w:rsidRPr="00824F4B">
        <w:rPr>
          <w:rFonts w:ascii="Arial" w:hAnsi="Arial" w:cs="Arial"/>
          <w:sz w:val="20"/>
          <w:szCs w:val="20"/>
        </w:rPr>
        <w:t>(11), 1–3.</w:t>
      </w:r>
      <w:r w:rsidR="00F912CE">
        <w:rPr>
          <w:rFonts w:ascii="Arial" w:hAnsi="Arial" w:cs="Arial"/>
          <w:sz w:val="20"/>
          <w:szCs w:val="20"/>
        </w:rPr>
        <w:t xml:space="preserve"> DOI:  </w:t>
      </w:r>
      <w:hyperlink r:id="rId11" w:tgtFrame="_new" w:history="1">
        <w:r w:rsidRPr="00824F4B">
          <w:rPr>
            <w:rStyle w:val="Hyperlink"/>
            <w:rFonts w:ascii="Arial" w:hAnsi="Arial" w:cs="Arial"/>
            <w:sz w:val="20"/>
            <w:szCs w:val="20"/>
          </w:rPr>
          <w:t>10.33545/</w:t>
        </w:r>
        <w:proofErr w:type="gramStart"/>
        <w:r w:rsidRPr="00824F4B">
          <w:rPr>
            <w:rStyle w:val="Hyperlink"/>
            <w:rFonts w:ascii="Arial" w:hAnsi="Arial" w:cs="Arial"/>
            <w:sz w:val="20"/>
            <w:szCs w:val="20"/>
          </w:rPr>
          <w:t>27068919.2023.v</w:t>
        </w:r>
        <w:proofErr w:type="gramEnd"/>
        <w:r w:rsidRPr="00824F4B">
          <w:rPr>
            <w:rStyle w:val="Hyperlink"/>
            <w:rFonts w:ascii="Arial" w:hAnsi="Arial" w:cs="Arial"/>
            <w:sz w:val="20"/>
            <w:szCs w:val="20"/>
          </w:rPr>
          <w:t>5.i10a.1067</w:t>
        </w:r>
      </w:hyperlink>
    </w:p>
    <w:p w14:paraId="651574F8"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Kori-Siakpere, O., Ake, J. E. G., and </w:t>
      </w:r>
      <w:proofErr w:type="spellStart"/>
      <w:r w:rsidRPr="00824F4B">
        <w:rPr>
          <w:rFonts w:ascii="Arial" w:hAnsi="Arial" w:cs="Arial"/>
          <w:sz w:val="20"/>
          <w:szCs w:val="20"/>
        </w:rPr>
        <w:t>Avworo</w:t>
      </w:r>
      <w:proofErr w:type="spellEnd"/>
      <w:r w:rsidRPr="00824F4B">
        <w:rPr>
          <w:rFonts w:ascii="Arial" w:hAnsi="Arial" w:cs="Arial"/>
          <w:sz w:val="20"/>
          <w:szCs w:val="20"/>
        </w:rPr>
        <w:t xml:space="preserve">, U. M. (2005). Sublethal effects of cadmium on some selected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parameters of </w:t>
      </w:r>
      <w:proofErr w:type="spellStart"/>
      <w:r w:rsidRPr="00824F4B">
        <w:rPr>
          <w:rStyle w:val="Emphasis"/>
          <w:rFonts w:ascii="Arial" w:hAnsi="Arial" w:cs="Arial"/>
          <w:sz w:val="20"/>
          <w:szCs w:val="20"/>
        </w:rPr>
        <w:t>Heteroclarias</w:t>
      </w:r>
      <w:proofErr w:type="spellEnd"/>
      <w:r w:rsidRPr="00824F4B">
        <w:rPr>
          <w:rFonts w:ascii="Arial" w:hAnsi="Arial" w:cs="Arial"/>
          <w:sz w:val="20"/>
          <w:szCs w:val="20"/>
        </w:rPr>
        <w:t xml:space="preserve"> sp. </w:t>
      </w:r>
      <w:r w:rsidRPr="00824F4B">
        <w:rPr>
          <w:rStyle w:val="Emphasis"/>
          <w:rFonts w:ascii="Arial" w:hAnsi="Arial" w:cs="Arial"/>
          <w:sz w:val="20"/>
          <w:szCs w:val="20"/>
        </w:rPr>
        <w:t>International Journal of Zoological Research, 1</w:t>
      </w:r>
      <w:r w:rsidRPr="00824F4B">
        <w:rPr>
          <w:rFonts w:ascii="Arial" w:hAnsi="Arial" w:cs="Arial"/>
          <w:sz w:val="20"/>
          <w:szCs w:val="20"/>
        </w:rPr>
        <w:t>(1), 27–33.</w:t>
      </w:r>
    </w:p>
    <w:p w14:paraId="651574F9"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Kori-Siakpere, O., and </w:t>
      </w:r>
      <w:proofErr w:type="spellStart"/>
      <w:r w:rsidRPr="00824F4B">
        <w:rPr>
          <w:rFonts w:ascii="Arial" w:hAnsi="Arial" w:cs="Arial"/>
          <w:sz w:val="20"/>
          <w:szCs w:val="20"/>
        </w:rPr>
        <w:t>Ubogu</w:t>
      </w:r>
      <w:proofErr w:type="spellEnd"/>
      <w:r w:rsidRPr="00824F4B">
        <w:rPr>
          <w:rFonts w:ascii="Arial" w:hAnsi="Arial" w:cs="Arial"/>
          <w:sz w:val="20"/>
          <w:szCs w:val="20"/>
        </w:rPr>
        <w:t xml:space="preserve">, E. O. (2008). Sub-lethal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effects of zinc on the freshwater fish, </w:t>
      </w:r>
      <w:proofErr w:type="spellStart"/>
      <w:r w:rsidRPr="00824F4B">
        <w:rPr>
          <w:rStyle w:val="Emphasis"/>
          <w:rFonts w:ascii="Arial" w:hAnsi="Arial" w:cs="Arial"/>
          <w:sz w:val="20"/>
          <w:szCs w:val="20"/>
        </w:rPr>
        <w:t>Heteroclarias</w:t>
      </w:r>
      <w:proofErr w:type="spellEnd"/>
      <w:r w:rsidRPr="00824F4B">
        <w:rPr>
          <w:rFonts w:ascii="Arial" w:hAnsi="Arial" w:cs="Arial"/>
          <w:sz w:val="20"/>
          <w:szCs w:val="20"/>
        </w:rPr>
        <w:t xml:space="preserve"> sp. </w:t>
      </w:r>
      <w:r w:rsidRPr="00824F4B">
        <w:rPr>
          <w:rStyle w:val="Emphasis"/>
          <w:rFonts w:ascii="Arial" w:hAnsi="Arial" w:cs="Arial"/>
          <w:sz w:val="20"/>
          <w:szCs w:val="20"/>
        </w:rPr>
        <w:t>African Journal of Biotechnology, 7</w:t>
      </w:r>
      <w:r w:rsidRPr="00824F4B">
        <w:rPr>
          <w:rFonts w:ascii="Arial" w:hAnsi="Arial" w:cs="Arial"/>
          <w:sz w:val="20"/>
          <w:szCs w:val="20"/>
        </w:rPr>
        <w:t>(12), 2068–2073.</w:t>
      </w:r>
    </w:p>
    <w:p w14:paraId="651574FA" w14:textId="18F52FD5" w:rsidR="00196520" w:rsidRPr="00824F4B" w:rsidRDefault="00196520" w:rsidP="00B606FD">
      <w:pPr>
        <w:pStyle w:val="ListParagraph"/>
        <w:numPr>
          <w:ilvl w:val="0"/>
          <w:numId w:val="21"/>
        </w:numPr>
        <w:autoSpaceDE w:val="0"/>
        <w:autoSpaceDN w:val="0"/>
        <w:adjustRightInd w:val="0"/>
        <w:jc w:val="both"/>
        <w:rPr>
          <w:rFonts w:ascii="Arial" w:hAnsi="Arial" w:cs="Arial"/>
          <w:sz w:val="20"/>
          <w:szCs w:val="20"/>
        </w:rPr>
      </w:pPr>
      <w:r w:rsidRPr="00824F4B">
        <w:rPr>
          <w:rFonts w:ascii="Arial" w:hAnsi="Arial" w:cs="Arial"/>
          <w:bCs/>
          <w:sz w:val="20"/>
          <w:szCs w:val="20"/>
        </w:rPr>
        <w:t>Kumar, Ashok</w:t>
      </w:r>
      <w:r w:rsidRPr="00824F4B">
        <w:rPr>
          <w:rFonts w:ascii="Arial" w:hAnsi="Arial" w:cs="Arial"/>
          <w:sz w:val="20"/>
          <w:szCs w:val="20"/>
        </w:rPr>
        <w:t xml:space="preserve"> (2022). Effects of Cypermethrin on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markers in </w:t>
      </w:r>
      <w:r w:rsidRPr="00824F4B">
        <w:rPr>
          <w:rFonts w:ascii="Arial" w:hAnsi="Arial" w:cs="Arial"/>
          <w:i/>
          <w:iCs/>
          <w:sz w:val="20"/>
          <w:szCs w:val="20"/>
        </w:rPr>
        <w:t xml:space="preserve">Wallago </w:t>
      </w:r>
      <w:proofErr w:type="spellStart"/>
      <w:r w:rsidRPr="00824F4B">
        <w:rPr>
          <w:rFonts w:ascii="Arial" w:hAnsi="Arial" w:cs="Arial"/>
          <w:i/>
          <w:iCs/>
          <w:sz w:val="20"/>
          <w:szCs w:val="20"/>
        </w:rPr>
        <w:t>attu</w:t>
      </w:r>
      <w:proofErr w:type="spellEnd"/>
      <w:r w:rsidRPr="00824F4B">
        <w:rPr>
          <w:rFonts w:ascii="Arial" w:hAnsi="Arial" w:cs="Arial"/>
          <w:i/>
          <w:iCs/>
          <w:sz w:val="20"/>
          <w:szCs w:val="20"/>
        </w:rPr>
        <w:t xml:space="preserve">. </w:t>
      </w:r>
      <w:r w:rsidRPr="00824F4B">
        <w:rPr>
          <w:rFonts w:ascii="Arial" w:hAnsi="Arial" w:cs="Arial"/>
          <w:i/>
          <w:sz w:val="20"/>
          <w:szCs w:val="20"/>
        </w:rPr>
        <w:t>International Journal of Biological Innovations</w:t>
      </w:r>
      <w:r w:rsidRPr="00824F4B">
        <w:rPr>
          <w:rFonts w:ascii="Arial" w:hAnsi="Arial" w:cs="Arial"/>
          <w:sz w:val="20"/>
          <w:szCs w:val="20"/>
        </w:rPr>
        <w:t>. 4(1): 180-188.</w:t>
      </w:r>
      <w:r w:rsidR="00604798">
        <w:rPr>
          <w:rFonts w:ascii="Arial" w:hAnsi="Arial" w:cs="Arial"/>
          <w:sz w:val="20"/>
          <w:szCs w:val="20"/>
        </w:rPr>
        <w:t xml:space="preserve"> DOI:</w:t>
      </w:r>
      <w:r w:rsidRPr="00824F4B">
        <w:rPr>
          <w:rFonts w:ascii="Arial" w:hAnsi="Arial" w:cs="Arial"/>
          <w:sz w:val="20"/>
          <w:szCs w:val="20"/>
        </w:rPr>
        <w:t xml:space="preserve"> </w:t>
      </w:r>
      <w:hyperlink r:id="rId12" w:history="1">
        <w:r w:rsidRPr="00824F4B">
          <w:rPr>
            <w:rStyle w:val="Hyperlink"/>
            <w:rFonts w:ascii="Arial" w:hAnsi="Arial" w:cs="Arial"/>
            <w:sz w:val="20"/>
            <w:szCs w:val="20"/>
            <w:lang w:bidi="hi-IN"/>
          </w:rPr>
          <w:t>10.46505/IJBI.2022.4120</w:t>
        </w:r>
      </w:hyperlink>
      <w:r w:rsidRPr="00824F4B">
        <w:rPr>
          <w:rFonts w:ascii="Arial" w:hAnsi="Arial" w:cs="Arial"/>
          <w:sz w:val="20"/>
          <w:szCs w:val="20"/>
        </w:rPr>
        <w:t>.</w:t>
      </w:r>
    </w:p>
    <w:p w14:paraId="651574FB" w14:textId="4D8F9FFD"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Kumar, A., </w:t>
      </w:r>
      <w:proofErr w:type="spellStart"/>
      <w:r w:rsidRPr="00824F4B">
        <w:rPr>
          <w:rFonts w:ascii="Arial" w:hAnsi="Arial" w:cs="Arial"/>
          <w:sz w:val="20"/>
          <w:szCs w:val="20"/>
        </w:rPr>
        <w:t>Ahirwal</w:t>
      </w:r>
      <w:proofErr w:type="spellEnd"/>
      <w:r w:rsidRPr="00824F4B">
        <w:rPr>
          <w:rFonts w:ascii="Arial" w:hAnsi="Arial" w:cs="Arial"/>
          <w:sz w:val="20"/>
          <w:szCs w:val="20"/>
        </w:rPr>
        <w:t xml:space="preserve">, S. A., Rakesh, B., and Singh, I. J. (2019). Certain </w:t>
      </w:r>
      <w:proofErr w:type="spellStart"/>
      <w:r w:rsidR="009E7307">
        <w:rPr>
          <w:rFonts w:ascii="Arial" w:hAnsi="Arial" w:cs="Arial"/>
          <w:sz w:val="20"/>
          <w:szCs w:val="20"/>
        </w:rPr>
        <w:t>haematological</w:t>
      </w:r>
      <w:proofErr w:type="spellEnd"/>
      <w:r w:rsidRPr="00824F4B">
        <w:rPr>
          <w:rFonts w:ascii="Arial" w:hAnsi="Arial" w:cs="Arial"/>
          <w:sz w:val="20"/>
          <w:szCs w:val="20"/>
        </w:rPr>
        <w:t xml:space="preserve"> and biochemical changes in blood of rohu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Pr="00824F4B">
        <w:rPr>
          <w:rFonts w:ascii="Arial" w:hAnsi="Arial" w:cs="Arial"/>
          <w:sz w:val="20"/>
          <w:szCs w:val="20"/>
        </w:rPr>
        <w:t xml:space="preserve">) in relation to sex, reproductive status and environmental factors. </w:t>
      </w:r>
      <w:r w:rsidRPr="00824F4B">
        <w:rPr>
          <w:rStyle w:val="Emphasis"/>
          <w:rFonts w:ascii="Arial" w:hAnsi="Arial" w:cs="Arial"/>
          <w:sz w:val="20"/>
          <w:szCs w:val="20"/>
        </w:rPr>
        <w:t>Journal of Entomology and Zoology Studies, 7</w:t>
      </w:r>
      <w:r w:rsidRPr="00824F4B">
        <w:rPr>
          <w:rFonts w:ascii="Arial" w:hAnsi="Arial" w:cs="Arial"/>
          <w:sz w:val="20"/>
          <w:szCs w:val="20"/>
        </w:rPr>
        <w:t>(3), 1484–1490.</w:t>
      </w:r>
    </w:p>
    <w:p w14:paraId="651574FC"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Lowry, O. H., Rosebrough, N. J., Farr, A. L., and Randall, R. J. (1951). Protein measurement with the Folin phenol reagent. </w:t>
      </w:r>
      <w:r w:rsidRPr="00824F4B">
        <w:rPr>
          <w:rStyle w:val="Emphasis"/>
          <w:rFonts w:ascii="Arial" w:hAnsi="Arial" w:cs="Arial"/>
          <w:sz w:val="20"/>
          <w:szCs w:val="20"/>
        </w:rPr>
        <w:t>Journal of Biological Chemistry, 193</w:t>
      </w:r>
      <w:r w:rsidRPr="00824F4B">
        <w:rPr>
          <w:rFonts w:ascii="Arial" w:hAnsi="Arial" w:cs="Arial"/>
          <w:sz w:val="20"/>
          <w:szCs w:val="20"/>
        </w:rPr>
        <w:t>(1), 265–275.</w:t>
      </w:r>
    </w:p>
    <w:p w14:paraId="651574FD"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Mahdi, A. A., </w:t>
      </w:r>
      <w:proofErr w:type="spellStart"/>
      <w:r w:rsidRPr="00824F4B">
        <w:rPr>
          <w:rFonts w:ascii="Arial" w:hAnsi="Arial" w:cs="Arial"/>
          <w:sz w:val="20"/>
          <w:szCs w:val="20"/>
        </w:rPr>
        <w:t>Faddagh</w:t>
      </w:r>
      <w:proofErr w:type="spellEnd"/>
      <w:r w:rsidRPr="00824F4B">
        <w:rPr>
          <w:rFonts w:ascii="Arial" w:hAnsi="Arial" w:cs="Arial"/>
          <w:sz w:val="20"/>
          <w:szCs w:val="20"/>
        </w:rPr>
        <w:t xml:space="preserve">, M. S., Tuman, A. J., and Abdullah, T. A. (2006). Biochemical composition and calorific value of six freshwater fish species from southern Iraqi marshes. </w:t>
      </w:r>
      <w:r w:rsidRPr="00824F4B">
        <w:rPr>
          <w:rStyle w:val="Emphasis"/>
          <w:rFonts w:ascii="Arial" w:hAnsi="Arial" w:cs="Arial"/>
          <w:sz w:val="20"/>
          <w:szCs w:val="20"/>
        </w:rPr>
        <w:t>Marsh Bulletin, 1</w:t>
      </w:r>
      <w:r w:rsidRPr="00824F4B">
        <w:rPr>
          <w:rFonts w:ascii="Arial" w:hAnsi="Arial" w:cs="Arial"/>
          <w:sz w:val="20"/>
          <w:szCs w:val="20"/>
        </w:rPr>
        <w:t>(1), 47–53.</w:t>
      </w:r>
    </w:p>
    <w:p w14:paraId="651574FE" w14:textId="49DC02A9" w:rsidR="00196520" w:rsidRPr="00824F4B" w:rsidRDefault="00196520" w:rsidP="00B606FD">
      <w:pPr>
        <w:pStyle w:val="ListParagraph"/>
        <w:numPr>
          <w:ilvl w:val="0"/>
          <w:numId w:val="21"/>
        </w:numPr>
        <w:jc w:val="both"/>
        <w:rPr>
          <w:rFonts w:ascii="Arial" w:hAnsi="Arial" w:cs="Arial"/>
          <w:bCs/>
          <w:sz w:val="20"/>
          <w:szCs w:val="20"/>
        </w:rPr>
      </w:pPr>
      <w:r w:rsidRPr="00824F4B">
        <w:rPr>
          <w:rFonts w:ascii="Arial" w:hAnsi="Arial" w:cs="Arial"/>
          <w:bCs/>
          <w:sz w:val="20"/>
          <w:szCs w:val="20"/>
        </w:rPr>
        <w:t xml:space="preserve">Masih, S.C. (2021). Impact of </w:t>
      </w:r>
      <w:proofErr w:type="spellStart"/>
      <w:r w:rsidRPr="00824F4B">
        <w:rPr>
          <w:rFonts w:ascii="Arial" w:hAnsi="Arial" w:cs="Arial"/>
          <w:bCs/>
          <w:sz w:val="20"/>
          <w:szCs w:val="20"/>
        </w:rPr>
        <w:t>Monocrotophos</w:t>
      </w:r>
      <w:proofErr w:type="spellEnd"/>
      <w:r w:rsidRPr="00824F4B">
        <w:rPr>
          <w:rFonts w:ascii="Arial" w:hAnsi="Arial" w:cs="Arial"/>
          <w:bCs/>
          <w:sz w:val="20"/>
          <w:szCs w:val="20"/>
        </w:rPr>
        <w:t xml:space="preserve"> pesticide on serum biochemical profile in freshwater fish, </w:t>
      </w:r>
      <w:proofErr w:type="spellStart"/>
      <w:r w:rsidRPr="00824F4B">
        <w:rPr>
          <w:rFonts w:ascii="Arial" w:hAnsi="Arial" w:cs="Arial"/>
          <w:bCs/>
          <w:i/>
          <w:sz w:val="20"/>
          <w:szCs w:val="20"/>
        </w:rPr>
        <w:t>Cirrhinus</w:t>
      </w:r>
      <w:proofErr w:type="spellEnd"/>
      <w:r w:rsidRPr="00824F4B">
        <w:rPr>
          <w:rFonts w:ascii="Arial" w:hAnsi="Arial" w:cs="Arial"/>
          <w:bCs/>
          <w:i/>
          <w:sz w:val="20"/>
          <w:szCs w:val="20"/>
        </w:rPr>
        <w:t xml:space="preserve"> </w:t>
      </w:r>
      <w:proofErr w:type="spellStart"/>
      <w:r w:rsidRPr="00824F4B">
        <w:rPr>
          <w:rFonts w:ascii="Arial" w:hAnsi="Arial" w:cs="Arial"/>
          <w:bCs/>
          <w:i/>
          <w:sz w:val="20"/>
          <w:szCs w:val="20"/>
        </w:rPr>
        <w:t>mrigala</w:t>
      </w:r>
      <w:proofErr w:type="spellEnd"/>
      <w:r w:rsidRPr="00824F4B">
        <w:rPr>
          <w:rFonts w:ascii="Arial" w:hAnsi="Arial" w:cs="Arial"/>
          <w:bCs/>
          <w:sz w:val="20"/>
          <w:szCs w:val="20"/>
        </w:rPr>
        <w:t xml:space="preserve"> (Hamilton, 1822). </w:t>
      </w:r>
      <w:r w:rsidRPr="00824F4B">
        <w:rPr>
          <w:rFonts w:ascii="Arial" w:hAnsi="Arial" w:cs="Arial"/>
          <w:bCs/>
          <w:i/>
          <w:sz w:val="20"/>
          <w:szCs w:val="20"/>
        </w:rPr>
        <w:t>International Journal of Biological Innovations</w:t>
      </w:r>
      <w:r w:rsidRPr="00824F4B">
        <w:rPr>
          <w:rFonts w:ascii="Arial" w:hAnsi="Arial" w:cs="Arial"/>
          <w:bCs/>
          <w:sz w:val="20"/>
          <w:szCs w:val="20"/>
        </w:rPr>
        <w:t>. 3(2):402-406.</w:t>
      </w:r>
      <w:r w:rsidR="00441BA0" w:rsidRPr="00824F4B">
        <w:rPr>
          <w:rFonts w:ascii="Arial" w:hAnsi="Arial" w:cs="Arial"/>
          <w:bCs/>
          <w:sz w:val="20"/>
          <w:szCs w:val="20"/>
        </w:rPr>
        <w:t xml:space="preserve"> </w:t>
      </w:r>
      <w:hyperlink r:id="rId13" w:history="1">
        <w:r w:rsidRPr="00824F4B">
          <w:rPr>
            <w:rStyle w:val="Hyperlink"/>
            <w:rFonts w:ascii="Arial" w:hAnsi="Arial" w:cs="Arial"/>
            <w:sz w:val="20"/>
            <w:szCs w:val="20"/>
          </w:rPr>
          <w:t>https://doi.org/10.46505/IJBI.2021.3222</w:t>
        </w:r>
      </w:hyperlink>
    </w:p>
    <w:p w14:paraId="651574FF"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Mohanty, S. N., and Nayak, B. K. (2010). Serum biochemical changes of rohu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Pr="00824F4B">
        <w:rPr>
          <w:rFonts w:ascii="Arial" w:hAnsi="Arial" w:cs="Arial"/>
          <w:sz w:val="20"/>
          <w:szCs w:val="20"/>
        </w:rPr>
        <w:t xml:space="preserve">) during growth phase in captivity. </w:t>
      </w:r>
      <w:r w:rsidRPr="00824F4B">
        <w:rPr>
          <w:rStyle w:val="Emphasis"/>
          <w:rFonts w:ascii="Arial" w:hAnsi="Arial" w:cs="Arial"/>
          <w:sz w:val="20"/>
          <w:szCs w:val="20"/>
        </w:rPr>
        <w:t>Aquaculture International, 18</w:t>
      </w:r>
      <w:r w:rsidRPr="00824F4B">
        <w:rPr>
          <w:rFonts w:ascii="Arial" w:hAnsi="Arial" w:cs="Arial"/>
          <w:sz w:val="20"/>
          <w:szCs w:val="20"/>
        </w:rPr>
        <w:t>(5), 829–839.</w:t>
      </w:r>
    </w:p>
    <w:p w14:paraId="65157500" w14:textId="15B0ACB4"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Naz, S., Hussain, R., Ullah, Q., Chatha, A. M. M., Shaheen, A., and Khan, R. U. (2021). Toxic effect of some heavy metals on hematology and histopathology of major carp (</w:t>
      </w:r>
      <w:proofErr w:type="spellStart"/>
      <w:r w:rsidRPr="00824F4B">
        <w:rPr>
          <w:rStyle w:val="Emphasis"/>
          <w:rFonts w:ascii="Arial" w:hAnsi="Arial" w:cs="Arial"/>
          <w:sz w:val="20"/>
          <w:szCs w:val="20"/>
        </w:rPr>
        <w:t>Catla</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catla</w:t>
      </w:r>
      <w:proofErr w:type="spellEnd"/>
      <w:r w:rsidRPr="00824F4B">
        <w:rPr>
          <w:rFonts w:ascii="Arial" w:hAnsi="Arial" w:cs="Arial"/>
          <w:sz w:val="20"/>
          <w:szCs w:val="20"/>
        </w:rPr>
        <w:t xml:space="preserve">). </w:t>
      </w:r>
      <w:r w:rsidRPr="00824F4B">
        <w:rPr>
          <w:rStyle w:val="Emphasis"/>
          <w:rFonts w:ascii="Arial" w:hAnsi="Arial" w:cs="Arial"/>
          <w:sz w:val="20"/>
          <w:szCs w:val="20"/>
        </w:rPr>
        <w:t>Environmental Science and Pollution Research, 28</w:t>
      </w:r>
      <w:r w:rsidRPr="00824F4B">
        <w:rPr>
          <w:rFonts w:ascii="Arial" w:hAnsi="Arial" w:cs="Arial"/>
          <w:sz w:val="20"/>
          <w:szCs w:val="20"/>
        </w:rPr>
        <w:t>, 6533–6539.</w:t>
      </w:r>
      <w:r w:rsidR="00604798">
        <w:rPr>
          <w:rFonts w:ascii="Arial" w:hAnsi="Arial" w:cs="Arial"/>
          <w:sz w:val="20"/>
          <w:szCs w:val="20"/>
        </w:rPr>
        <w:t xml:space="preserve"> DOI:</w:t>
      </w:r>
      <w:r w:rsidRPr="00824F4B">
        <w:rPr>
          <w:rFonts w:ascii="Arial" w:hAnsi="Arial" w:cs="Arial"/>
          <w:sz w:val="20"/>
          <w:szCs w:val="20"/>
        </w:rPr>
        <w:t xml:space="preserve"> </w:t>
      </w:r>
      <w:hyperlink r:id="rId14" w:history="1">
        <w:r w:rsidR="00604798" w:rsidRPr="00E84B41">
          <w:rPr>
            <w:rStyle w:val="Hyperlink"/>
            <w:rFonts w:ascii="Arial" w:hAnsi="Arial" w:cs="Arial"/>
            <w:sz w:val="20"/>
            <w:szCs w:val="20"/>
          </w:rPr>
          <w:t>10.1007/s11356-020-10980-0</w:t>
        </w:r>
      </w:hyperlink>
    </w:p>
    <w:p w14:paraId="65157501"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Orun, I., </w:t>
      </w:r>
      <w:proofErr w:type="spellStart"/>
      <w:r w:rsidRPr="00824F4B">
        <w:rPr>
          <w:rFonts w:ascii="Arial" w:hAnsi="Arial" w:cs="Arial"/>
          <w:sz w:val="20"/>
          <w:szCs w:val="20"/>
        </w:rPr>
        <w:t>Dorucu</w:t>
      </w:r>
      <w:proofErr w:type="spellEnd"/>
      <w:r w:rsidRPr="00824F4B">
        <w:rPr>
          <w:rFonts w:ascii="Arial" w:hAnsi="Arial" w:cs="Arial"/>
          <w:sz w:val="20"/>
          <w:szCs w:val="20"/>
        </w:rPr>
        <w:t xml:space="preserve">, M., and </w:t>
      </w:r>
      <w:proofErr w:type="spellStart"/>
      <w:r w:rsidRPr="00824F4B">
        <w:rPr>
          <w:rFonts w:ascii="Arial" w:hAnsi="Arial" w:cs="Arial"/>
          <w:sz w:val="20"/>
          <w:szCs w:val="20"/>
        </w:rPr>
        <w:t>Yazlak</w:t>
      </w:r>
      <w:proofErr w:type="spellEnd"/>
      <w:r w:rsidRPr="00824F4B">
        <w:rPr>
          <w:rFonts w:ascii="Arial" w:hAnsi="Arial" w:cs="Arial"/>
          <w:sz w:val="20"/>
          <w:szCs w:val="20"/>
        </w:rPr>
        <w:t xml:space="preserve">, H. (2003).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parameters of three cyprinid fish species from Karakaya Dam Lake, Turkey. </w:t>
      </w:r>
      <w:r w:rsidRPr="00824F4B">
        <w:rPr>
          <w:rStyle w:val="Emphasis"/>
          <w:rFonts w:ascii="Arial" w:hAnsi="Arial" w:cs="Arial"/>
          <w:sz w:val="20"/>
          <w:szCs w:val="20"/>
        </w:rPr>
        <w:t>Journal of Biological Sciences, 3</w:t>
      </w:r>
      <w:r w:rsidRPr="00824F4B">
        <w:rPr>
          <w:rFonts w:ascii="Arial" w:hAnsi="Arial" w:cs="Arial"/>
          <w:sz w:val="20"/>
          <w:szCs w:val="20"/>
        </w:rPr>
        <w:t>, 320–328.</w:t>
      </w:r>
    </w:p>
    <w:p w14:paraId="65157502" w14:textId="17DDE0F4"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Palanisamy, S. K., Senthilkumar, D., Ananthan, G., </w:t>
      </w:r>
      <w:proofErr w:type="spellStart"/>
      <w:r w:rsidRPr="00824F4B">
        <w:rPr>
          <w:rFonts w:ascii="Arial" w:hAnsi="Arial" w:cs="Arial"/>
          <w:sz w:val="20"/>
          <w:szCs w:val="20"/>
        </w:rPr>
        <w:t>Soundarapandian</w:t>
      </w:r>
      <w:proofErr w:type="spellEnd"/>
      <w:r w:rsidRPr="00824F4B">
        <w:rPr>
          <w:rFonts w:ascii="Arial" w:hAnsi="Arial" w:cs="Arial"/>
          <w:sz w:val="20"/>
          <w:szCs w:val="20"/>
        </w:rPr>
        <w:t xml:space="preserve">, P., and Khan, A. B. (2011). Measurement of </w:t>
      </w:r>
      <w:proofErr w:type="spellStart"/>
      <w:r w:rsidR="009E7307">
        <w:rPr>
          <w:rFonts w:ascii="Arial" w:hAnsi="Arial" w:cs="Arial"/>
          <w:sz w:val="20"/>
          <w:szCs w:val="20"/>
        </w:rPr>
        <w:t>haematological</w:t>
      </w:r>
      <w:proofErr w:type="spellEnd"/>
      <w:r w:rsidRPr="00824F4B">
        <w:rPr>
          <w:rFonts w:ascii="Arial" w:hAnsi="Arial" w:cs="Arial"/>
          <w:sz w:val="20"/>
          <w:szCs w:val="20"/>
        </w:rPr>
        <w:t xml:space="preserve"> and biochemical studies on wild marine carnivorous </w:t>
      </w:r>
      <w:r w:rsidRPr="00824F4B">
        <w:rPr>
          <w:rFonts w:ascii="Arial" w:hAnsi="Arial" w:cs="Arial"/>
          <w:sz w:val="20"/>
          <w:szCs w:val="20"/>
        </w:rPr>
        <w:lastRenderedPageBreak/>
        <w:t xml:space="preserve">fishes from </w:t>
      </w:r>
      <w:proofErr w:type="spellStart"/>
      <w:r w:rsidRPr="00824F4B">
        <w:rPr>
          <w:rFonts w:ascii="Arial" w:hAnsi="Arial" w:cs="Arial"/>
          <w:sz w:val="20"/>
          <w:szCs w:val="20"/>
        </w:rPr>
        <w:t>Vellar</w:t>
      </w:r>
      <w:proofErr w:type="spellEnd"/>
      <w:r w:rsidRPr="00824F4B">
        <w:rPr>
          <w:rFonts w:ascii="Arial" w:hAnsi="Arial" w:cs="Arial"/>
          <w:sz w:val="20"/>
          <w:szCs w:val="20"/>
        </w:rPr>
        <w:t xml:space="preserve"> estuary, southeast coast of India. </w:t>
      </w:r>
      <w:r w:rsidRPr="00824F4B">
        <w:rPr>
          <w:rStyle w:val="Emphasis"/>
          <w:rFonts w:ascii="Arial" w:hAnsi="Arial" w:cs="Arial"/>
          <w:sz w:val="20"/>
          <w:szCs w:val="20"/>
        </w:rPr>
        <w:t>Comparative Clinical Pathology, 20</w:t>
      </w:r>
      <w:r w:rsidRPr="00824F4B">
        <w:rPr>
          <w:rFonts w:ascii="Arial" w:hAnsi="Arial" w:cs="Arial"/>
          <w:sz w:val="20"/>
          <w:szCs w:val="20"/>
        </w:rPr>
        <w:t>(2), 127–134.</w:t>
      </w:r>
      <w:r w:rsidR="00604798">
        <w:rPr>
          <w:rFonts w:ascii="Arial" w:hAnsi="Arial" w:cs="Arial"/>
          <w:sz w:val="20"/>
          <w:szCs w:val="20"/>
        </w:rPr>
        <w:t xml:space="preserve"> DOI:</w:t>
      </w:r>
      <w:r w:rsidRPr="00824F4B">
        <w:rPr>
          <w:rFonts w:ascii="Arial" w:hAnsi="Arial" w:cs="Arial"/>
          <w:sz w:val="20"/>
          <w:szCs w:val="20"/>
        </w:rPr>
        <w:t xml:space="preserve"> </w:t>
      </w:r>
      <w:hyperlink r:id="rId15" w:tgtFrame="_new" w:history="1">
        <w:r w:rsidRPr="00824F4B">
          <w:rPr>
            <w:rStyle w:val="Hyperlink"/>
            <w:rFonts w:ascii="Arial" w:hAnsi="Arial" w:cs="Arial"/>
            <w:sz w:val="20"/>
            <w:szCs w:val="20"/>
          </w:rPr>
          <w:t>10.1007/s00580-010-0966-9</w:t>
        </w:r>
      </w:hyperlink>
    </w:p>
    <w:p w14:paraId="65157503"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Patriche</w:t>
      </w:r>
      <w:proofErr w:type="spellEnd"/>
      <w:r w:rsidRPr="00824F4B">
        <w:rPr>
          <w:rFonts w:ascii="Arial" w:hAnsi="Arial" w:cs="Arial"/>
          <w:sz w:val="20"/>
          <w:szCs w:val="20"/>
        </w:rPr>
        <w:t xml:space="preserve">, T., </w:t>
      </w:r>
      <w:proofErr w:type="spellStart"/>
      <w:r w:rsidRPr="00824F4B">
        <w:rPr>
          <w:rFonts w:ascii="Arial" w:hAnsi="Arial" w:cs="Arial"/>
          <w:sz w:val="20"/>
          <w:szCs w:val="20"/>
        </w:rPr>
        <w:t>Patriche</w:t>
      </w:r>
      <w:proofErr w:type="spellEnd"/>
      <w:r w:rsidRPr="00824F4B">
        <w:rPr>
          <w:rFonts w:ascii="Arial" w:hAnsi="Arial" w:cs="Arial"/>
          <w:sz w:val="20"/>
          <w:szCs w:val="20"/>
        </w:rPr>
        <w:t xml:space="preserve">, N., </w:t>
      </w:r>
      <w:proofErr w:type="spellStart"/>
      <w:r w:rsidRPr="00824F4B">
        <w:rPr>
          <w:rFonts w:ascii="Arial" w:hAnsi="Arial" w:cs="Arial"/>
          <w:sz w:val="20"/>
          <w:szCs w:val="20"/>
        </w:rPr>
        <w:t>Bocioc</w:t>
      </w:r>
      <w:proofErr w:type="spellEnd"/>
      <w:r w:rsidRPr="00824F4B">
        <w:rPr>
          <w:rFonts w:ascii="Arial" w:hAnsi="Arial" w:cs="Arial"/>
          <w:sz w:val="20"/>
          <w:szCs w:val="20"/>
        </w:rPr>
        <w:t>, E., and Coada, M. T. (2011). Serum biochemical parameters of farmed carp (</w:t>
      </w:r>
      <w:r w:rsidRPr="00824F4B">
        <w:rPr>
          <w:rStyle w:val="Emphasis"/>
          <w:rFonts w:ascii="Arial" w:hAnsi="Arial" w:cs="Arial"/>
          <w:sz w:val="20"/>
          <w:szCs w:val="20"/>
        </w:rPr>
        <w:t>Cyprinus carpio</w:t>
      </w:r>
      <w:r w:rsidRPr="00824F4B">
        <w:rPr>
          <w:rFonts w:ascii="Arial" w:hAnsi="Arial" w:cs="Arial"/>
          <w:sz w:val="20"/>
          <w:szCs w:val="20"/>
        </w:rPr>
        <w:t xml:space="preserve">). </w:t>
      </w:r>
      <w:r w:rsidRPr="00824F4B">
        <w:rPr>
          <w:rStyle w:val="Emphasis"/>
          <w:rFonts w:ascii="Arial" w:hAnsi="Arial" w:cs="Arial"/>
          <w:sz w:val="20"/>
          <w:szCs w:val="20"/>
        </w:rPr>
        <w:t>Aquaculture, Aquarium, Conservation and Legislation, 4</w:t>
      </w:r>
      <w:r w:rsidRPr="00824F4B">
        <w:rPr>
          <w:rFonts w:ascii="Arial" w:hAnsi="Arial" w:cs="Arial"/>
          <w:sz w:val="20"/>
          <w:szCs w:val="20"/>
        </w:rPr>
        <w:t>(2), 137–140.</w:t>
      </w:r>
    </w:p>
    <w:p w14:paraId="65157504" w14:textId="7BA3368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Pradhan, S. C., Patra, A. K., Sarkar, B., and Pal, A. (2012). Seasonal changes in </w:t>
      </w:r>
      <w:proofErr w:type="spellStart"/>
      <w:r w:rsidR="009E7307">
        <w:rPr>
          <w:rFonts w:ascii="Arial" w:hAnsi="Arial" w:cs="Arial"/>
          <w:sz w:val="20"/>
          <w:szCs w:val="20"/>
        </w:rPr>
        <w:t>haematological</w:t>
      </w:r>
      <w:proofErr w:type="spellEnd"/>
      <w:r w:rsidRPr="00824F4B">
        <w:rPr>
          <w:rFonts w:ascii="Arial" w:hAnsi="Arial" w:cs="Arial"/>
          <w:sz w:val="20"/>
          <w:szCs w:val="20"/>
        </w:rPr>
        <w:t xml:space="preserve"> parameters of </w:t>
      </w:r>
      <w:proofErr w:type="spellStart"/>
      <w:r w:rsidRPr="00824F4B">
        <w:rPr>
          <w:rStyle w:val="Emphasis"/>
          <w:rFonts w:ascii="Arial" w:hAnsi="Arial" w:cs="Arial"/>
          <w:sz w:val="20"/>
          <w:szCs w:val="20"/>
        </w:rPr>
        <w:t>Catla</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catla</w:t>
      </w:r>
      <w:proofErr w:type="spellEnd"/>
      <w:r w:rsidRPr="00824F4B">
        <w:rPr>
          <w:rFonts w:ascii="Arial" w:hAnsi="Arial" w:cs="Arial"/>
          <w:sz w:val="20"/>
          <w:szCs w:val="20"/>
        </w:rPr>
        <w:t xml:space="preserve"> (Hamilton 1822). </w:t>
      </w:r>
      <w:r w:rsidRPr="00824F4B">
        <w:rPr>
          <w:rStyle w:val="Emphasis"/>
          <w:rFonts w:ascii="Arial" w:hAnsi="Arial" w:cs="Arial"/>
          <w:sz w:val="20"/>
          <w:szCs w:val="20"/>
        </w:rPr>
        <w:t>Comparative Clinical Pathology, 21</w:t>
      </w:r>
      <w:r w:rsidRPr="00824F4B">
        <w:rPr>
          <w:rFonts w:ascii="Arial" w:hAnsi="Arial" w:cs="Arial"/>
          <w:sz w:val="20"/>
          <w:szCs w:val="20"/>
        </w:rPr>
        <w:t>, 1473–1481.</w:t>
      </w:r>
    </w:p>
    <w:p w14:paraId="65157505" w14:textId="0B723F21" w:rsidR="009176F1" w:rsidRPr="00824F4B" w:rsidRDefault="009176F1" w:rsidP="00B606FD">
      <w:pPr>
        <w:pStyle w:val="ListParagraph"/>
        <w:numPr>
          <w:ilvl w:val="0"/>
          <w:numId w:val="21"/>
        </w:numPr>
        <w:tabs>
          <w:tab w:val="left" w:pos="630"/>
        </w:tabs>
        <w:autoSpaceDE w:val="0"/>
        <w:autoSpaceDN w:val="0"/>
        <w:adjustRightInd w:val="0"/>
        <w:spacing w:before="80" w:after="80"/>
        <w:jc w:val="both"/>
        <w:rPr>
          <w:rFonts w:ascii="Arial" w:hAnsi="Arial" w:cs="Arial"/>
          <w:bCs/>
          <w:sz w:val="20"/>
          <w:szCs w:val="20"/>
        </w:rPr>
      </w:pPr>
      <w:r w:rsidRPr="00824F4B">
        <w:rPr>
          <w:rFonts w:ascii="Arial" w:hAnsi="Arial" w:cs="Arial"/>
          <w:sz w:val="20"/>
          <w:szCs w:val="20"/>
        </w:rPr>
        <w:t>Prakash, S. and Verma, A.K. (2018).</w:t>
      </w:r>
      <w:r w:rsidR="00441BA0" w:rsidRPr="00824F4B">
        <w:rPr>
          <w:rFonts w:ascii="Arial" w:hAnsi="Arial" w:cs="Arial"/>
          <w:sz w:val="20"/>
          <w:szCs w:val="20"/>
        </w:rPr>
        <w:t xml:space="preserve"> </w:t>
      </w:r>
      <w:r w:rsidRPr="00824F4B">
        <w:rPr>
          <w:rFonts w:ascii="Arial" w:eastAsia="Calibri" w:hAnsi="Arial" w:cs="Arial"/>
          <w:sz w:val="20"/>
          <w:szCs w:val="20"/>
          <w:lang w:bidi="hi-IN"/>
        </w:rPr>
        <w:t xml:space="preserve"> </w:t>
      </w:r>
      <w:r w:rsidRPr="00824F4B">
        <w:rPr>
          <w:rFonts w:ascii="Arial" w:hAnsi="Arial" w:cs="Arial"/>
          <w:sz w:val="20"/>
          <w:szCs w:val="20"/>
        </w:rPr>
        <w:t xml:space="preserve">Effect of synthetic detergent on biochemical constitutions of freshwater major carp, </w:t>
      </w:r>
      <w:proofErr w:type="spellStart"/>
      <w:r w:rsidRPr="00824F4B">
        <w:rPr>
          <w:rFonts w:ascii="Arial" w:hAnsi="Arial" w:cs="Arial"/>
          <w:i/>
          <w:sz w:val="20"/>
          <w:szCs w:val="20"/>
        </w:rPr>
        <w:t>Labeo</w:t>
      </w:r>
      <w:proofErr w:type="spellEnd"/>
      <w:r w:rsidRPr="00824F4B">
        <w:rPr>
          <w:rFonts w:ascii="Arial" w:hAnsi="Arial" w:cs="Arial"/>
          <w:i/>
          <w:sz w:val="20"/>
          <w:szCs w:val="20"/>
        </w:rPr>
        <w:t xml:space="preserve"> </w:t>
      </w:r>
      <w:proofErr w:type="spellStart"/>
      <w:r w:rsidRPr="00824F4B">
        <w:rPr>
          <w:rFonts w:ascii="Arial" w:hAnsi="Arial" w:cs="Arial"/>
          <w:i/>
          <w:sz w:val="20"/>
          <w:szCs w:val="20"/>
        </w:rPr>
        <w:t>rohita</w:t>
      </w:r>
      <w:proofErr w:type="spellEnd"/>
      <w:r w:rsidRPr="00824F4B">
        <w:rPr>
          <w:rFonts w:ascii="Arial" w:hAnsi="Arial" w:cs="Arial"/>
          <w:bCs/>
          <w:sz w:val="20"/>
          <w:szCs w:val="20"/>
        </w:rPr>
        <w:t>.</w:t>
      </w:r>
      <w:r w:rsidRPr="00824F4B">
        <w:rPr>
          <w:rFonts w:ascii="Arial" w:hAnsi="Arial" w:cs="Arial"/>
          <w:bCs/>
          <w:sz w:val="20"/>
          <w:szCs w:val="20"/>
          <w:shd w:val="clear" w:color="auto" w:fill="FFFFFF"/>
        </w:rPr>
        <w:t xml:space="preserve"> </w:t>
      </w:r>
      <w:r w:rsidRPr="00824F4B">
        <w:rPr>
          <w:rFonts w:ascii="Arial" w:hAnsi="Arial" w:cs="Arial"/>
          <w:i/>
          <w:sz w:val="20"/>
          <w:szCs w:val="20"/>
          <w:shd w:val="clear" w:color="auto" w:fill="FFFFFF"/>
        </w:rPr>
        <w:t>International Journal on Agricultural Sciences</w:t>
      </w:r>
      <w:r w:rsidRPr="00824F4B">
        <w:rPr>
          <w:rFonts w:ascii="Arial" w:hAnsi="Arial" w:cs="Arial"/>
          <w:sz w:val="20"/>
          <w:szCs w:val="20"/>
          <w:shd w:val="clear" w:color="auto" w:fill="FFFFFF"/>
        </w:rPr>
        <w:t>. 9(1): 57-60.</w:t>
      </w:r>
    </w:p>
    <w:p w14:paraId="65157506" w14:textId="077DCD00" w:rsidR="009176F1" w:rsidRPr="00824F4B" w:rsidRDefault="009176F1" w:rsidP="00B606FD">
      <w:pPr>
        <w:pStyle w:val="ListParagraph"/>
        <w:widowControl w:val="0"/>
        <w:numPr>
          <w:ilvl w:val="0"/>
          <w:numId w:val="21"/>
        </w:numPr>
        <w:tabs>
          <w:tab w:val="left" w:pos="567"/>
        </w:tabs>
        <w:autoSpaceDE w:val="0"/>
        <w:autoSpaceDN w:val="0"/>
        <w:jc w:val="both"/>
        <w:rPr>
          <w:rFonts w:ascii="Arial" w:hAnsi="Arial" w:cs="Arial"/>
          <w:bCs/>
          <w:sz w:val="20"/>
          <w:szCs w:val="20"/>
        </w:rPr>
      </w:pPr>
      <w:r w:rsidRPr="00824F4B">
        <w:rPr>
          <w:rFonts w:ascii="Arial" w:hAnsi="Arial" w:cs="Arial"/>
          <w:bCs/>
          <w:sz w:val="20"/>
          <w:szCs w:val="20"/>
        </w:rPr>
        <w:t>Prakash, S. and Verma, A.K. (2020a).</w:t>
      </w:r>
      <w:r w:rsidR="00441BA0" w:rsidRPr="00824F4B">
        <w:rPr>
          <w:rFonts w:ascii="Arial" w:hAnsi="Arial" w:cs="Arial"/>
          <w:bCs/>
          <w:sz w:val="20"/>
          <w:szCs w:val="20"/>
        </w:rPr>
        <w:t xml:space="preserve"> </w:t>
      </w:r>
      <w:r w:rsidRPr="00824F4B">
        <w:rPr>
          <w:rFonts w:ascii="Arial" w:hAnsi="Arial" w:cs="Arial"/>
          <w:bCs/>
          <w:sz w:val="20"/>
          <w:szCs w:val="20"/>
        </w:rPr>
        <w:t xml:space="preserve">Effect of organophosphorus pesticides on Biomolecules of fresh water fish, </w:t>
      </w:r>
      <w:proofErr w:type="spellStart"/>
      <w:r w:rsidRPr="00824F4B">
        <w:rPr>
          <w:rFonts w:ascii="Arial" w:hAnsi="Arial" w:cs="Arial"/>
          <w:bCs/>
          <w:i/>
          <w:sz w:val="20"/>
          <w:szCs w:val="20"/>
        </w:rPr>
        <w:t>Heteropneustes</w:t>
      </w:r>
      <w:proofErr w:type="spellEnd"/>
      <w:r w:rsidRPr="00824F4B">
        <w:rPr>
          <w:rFonts w:ascii="Arial" w:hAnsi="Arial" w:cs="Arial"/>
          <w:bCs/>
          <w:i/>
          <w:sz w:val="20"/>
          <w:szCs w:val="20"/>
        </w:rPr>
        <w:t xml:space="preserve"> </w:t>
      </w:r>
      <w:proofErr w:type="spellStart"/>
      <w:r w:rsidRPr="00824F4B">
        <w:rPr>
          <w:rFonts w:ascii="Arial" w:hAnsi="Arial" w:cs="Arial"/>
          <w:bCs/>
          <w:i/>
          <w:sz w:val="20"/>
          <w:szCs w:val="20"/>
        </w:rPr>
        <w:t>fossilis</w:t>
      </w:r>
      <w:proofErr w:type="spellEnd"/>
      <w:r w:rsidRPr="00824F4B">
        <w:rPr>
          <w:rFonts w:ascii="Arial" w:hAnsi="Arial" w:cs="Arial"/>
          <w:bCs/>
          <w:sz w:val="20"/>
          <w:szCs w:val="20"/>
        </w:rPr>
        <w:t xml:space="preserve"> (Bloch). </w:t>
      </w:r>
      <w:r w:rsidRPr="00824F4B">
        <w:rPr>
          <w:rFonts w:ascii="Arial" w:hAnsi="Arial" w:cs="Arial"/>
          <w:bCs/>
          <w:i/>
          <w:sz w:val="20"/>
          <w:szCs w:val="20"/>
        </w:rPr>
        <w:t>Indian Journal of Biology</w:t>
      </w:r>
      <w:r w:rsidRPr="00824F4B">
        <w:rPr>
          <w:rFonts w:ascii="Arial" w:hAnsi="Arial" w:cs="Arial"/>
          <w:bCs/>
          <w:sz w:val="20"/>
          <w:szCs w:val="20"/>
        </w:rPr>
        <w:t>. 7(2): 65-69.</w:t>
      </w:r>
      <w:r w:rsidR="00784450">
        <w:rPr>
          <w:rFonts w:ascii="Arial" w:hAnsi="Arial" w:cs="Arial"/>
          <w:sz w:val="20"/>
          <w:szCs w:val="20"/>
        </w:rPr>
        <w:t xml:space="preserve"> DOI: </w:t>
      </w:r>
      <w:hyperlink r:id="rId16" w:history="1">
        <w:r w:rsidRPr="00824F4B">
          <w:rPr>
            <w:rStyle w:val="Hyperlink"/>
            <w:rFonts w:ascii="Arial" w:hAnsi="Arial" w:cs="Arial"/>
            <w:bCs/>
            <w:sz w:val="20"/>
            <w:szCs w:val="20"/>
          </w:rPr>
          <w:t>10.21088/ijb.2394.1391.7220.8</w:t>
        </w:r>
      </w:hyperlink>
    </w:p>
    <w:p w14:paraId="65157507" w14:textId="576EAEEB" w:rsidR="009176F1" w:rsidRPr="00824F4B" w:rsidRDefault="009176F1" w:rsidP="00B606FD">
      <w:pPr>
        <w:pStyle w:val="ListParagraph"/>
        <w:numPr>
          <w:ilvl w:val="0"/>
          <w:numId w:val="21"/>
        </w:numPr>
        <w:tabs>
          <w:tab w:val="left" w:pos="630"/>
        </w:tabs>
        <w:autoSpaceDE w:val="0"/>
        <w:autoSpaceDN w:val="0"/>
        <w:adjustRightInd w:val="0"/>
        <w:spacing w:before="40" w:after="40"/>
        <w:jc w:val="both"/>
        <w:rPr>
          <w:rFonts w:ascii="Arial" w:hAnsi="Arial" w:cs="Arial"/>
          <w:bCs/>
          <w:sz w:val="20"/>
          <w:szCs w:val="20"/>
        </w:rPr>
      </w:pPr>
      <w:r w:rsidRPr="00824F4B">
        <w:rPr>
          <w:rFonts w:ascii="Arial" w:hAnsi="Arial" w:cs="Arial"/>
          <w:sz w:val="20"/>
          <w:szCs w:val="20"/>
        </w:rPr>
        <w:t xml:space="preserve">Prakash, S. and </w:t>
      </w:r>
      <w:r w:rsidRPr="00824F4B">
        <w:rPr>
          <w:rFonts w:ascii="Arial" w:hAnsi="Arial" w:cs="Arial"/>
          <w:bCs/>
          <w:sz w:val="20"/>
          <w:szCs w:val="20"/>
          <w:lang w:val="en-IN" w:eastAsia="en-IN"/>
        </w:rPr>
        <w:t xml:space="preserve">Verma, A.K. </w:t>
      </w:r>
      <w:r w:rsidRPr="00824F4B">
        <w:rPr>
          <w:rFonts w:ascii="Arial" w:hAnsi="Arial" w:cs="Arial"/>
          <w:bCs/>
          <w:sz w:val="20"/>
          <w:szCs w:val="20"/>
        </w:rPr>
        <w:t>(2020b).</w:t>
      </w:r>
      <w:r w:rsidR="00441BA0" w:rsidRPr="00824F4B">
        <w:rPr>
          <w:rFonts w:ascii="Arial" w:hAnsi="Arial" w:cs="Arial"/>
          <w:sz w:val="20"/>
          <w:szCs w:val="20"/>
        </w:rPr>
        <w:t xml:space="preserve"> </w:t>
      </w:r>
      <w:r w:rsidRPr="00824F4B">
        <w:rPr>
          <w:rFonts w:ascii="Arial" w:hAnsi="Arial" w:cs="Arial"/>
          <w:bCs/>
          <w:sz w:val="20"/>
          <w:szCs w:val="20"/>
        </w:rPr>
        <w:t xml:space="preserve">Impact of Arsenic on Protein Metabolism of a fresh water cat fish, </w:t>
      </w:r>
      <w:proofErr w:type="spellStart"/>
      <w:r w:rsidRPr="00824F4B">
        <w:rPr>
          <w:rFonts w:ascii="Arial" w:hAnsi="Arial" w:cs="Arial"/>
          <w:bCs/>
          <w:i/>
          <w:iCs/>
          <w:sz w:val="20"/>
          <w:szCs w:val="20"/>
        </w:rPr>
        <w:t>Mystus</w:t>
      </w:r>
      <w:proofErr w:type="spellEnd"/>
      <w:r w:rsidRPr="00824F4B">
        <w:rPr>
          <w:rFonts w:ascii="Arial" w:hAnsi="Arial" w:cs="Arial"/>
          <w:bCs/>
          <w:i/>
          <w:iCs/>
          <w:sz w:val="20"/>
          <w:szCs w:val="20"/>
        </w:rPr>
        <w:t xml:space="preserve"> </w:t>
      </w:r>
      <w:proofErr w:type="spellStart"/>
      <w:r w:rsidRPr="00824F4B">
        <w:rPr>
          <w:rFonts w:ascii="Arial" w:hAnsi="Arial" w:cs="Arial"/>
          <w:bCs/>
          <w:i/>
          <w:iCs/>
          <w:sz w:val="20"/>
          <w:szCs w:val="20"/>
        </w:rPr>
        <w:t>vittatus</w:t>
      </w:r>
      <w:proofErr w:type="spellEnd"/>
      <w:r w:rsidRPr="00824F4B">
        <w:rPr>
          <w:rFonts w:ascii="Arial" w:hAnsi="Arial" w:cs="Arial"/>
          <w:i/>
          <w:sz w:val="20"/>
          <w:szCs w:val="20"/>
        </w:rPr>
        <w:t>.</w:t>
      </w:r>
      <w:r w:rsidRPr="00824F4B">
        <w:rPr>
          <w:rFonts w:ascii="Arial" w:hAnsi="Arial" w:cs="Arial"/>
          <w:sz w:val="20"/>
          <w:szCs w:val="20"/>
          <w:shd w:val="clear" w:color="auto" w:fill="FFFFFF"/>
        </w:rPr>
        <w:t xml:space="preserve"> </w:t>
      </w:r>
      <w:r w:rsidRPr="00824F4B">
        <w:rPr>
          <w:rFonts w:ascii="Arial" w:hAnsi="Arial" w:cs="Arial"/>
          <w:bCs/>
          <w:i/>
          <w:sz w:val="20"/>
          <w:szCs w:val="20"/>
        </w:rPr>
        <w:t>Uttar Pradesh Journal of Zoology</w:t>
      </w:r>
      <w:r w:rsidRPr="00824F4B">
        <w:rPr>
          <w:rFonts w:ascii="Arial" w:hAnsi="Arial" w:cs="Arial"/>
          <w:sz w:val="20"/>
          <w:szCs w:val="20"/>
          <w:shd w:val="clear" w:color="auto" w:fill="FFFFFF"/>
        </w:rPr>
        <w:t>. 41 (5): 16-19.</w:t>
      </w:r>
    </w:p>
    <w:p w14:paraId="65157508"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Reddy, Y. S., and Rao, M. S. (1992). Length-weight relationship and relative condition of </w:t>
      </w:r>
      <w:r w:rsidRPr="00824F4B">
        <w:rPr>
          <w:rStyle w:val="Emphasis"/>
          <w:rFonts w:ascii="Arial" w:hAnsi="Arial" w:cs="Arial"/>
          <w:sz w:val="20"/>
          <w:szCs w:val="20"/>
        </w:rPr>
        <w:t xml:space="preserve">Puntius </w:t>
      </w:r>
      <w:proofErr w:type="spellStart"/>
      <w:r w:rsidRPr="00824F4B">
        <w:rPr>
          <w:rStyle w:val="Emphasis"/>
          <w:rFonts w:ascii="Arial" w:hAnsi="Arial" w:cs="Arial"/>
          <w:sz w:val="20"/>
          <w:szCs w:val="20"/>
        </w:rPr>
        <w:t>sophore</w:t>
      </w:r>
      <w:proofErr w:type="spellEnd"/>
      <w:r w:rsidRPr="00824F4B">
        <w:rPr>
          <w:rFonts w:ascii="Arial" w:hAnsi="Arial" w:cs="Arial"/>
          <w:sz w:val="20"/>
          <w:szCs w:val="20"/>
        </w:rPr>
        <w:t xml:space="preserve"> (Ham.) from lake Hussain Sagar, Hyderabad, India. </w:t>
      </w:r>
      <w:r w:rsidRPr="00824F4B">
        <w:rPr>
          <w:rStyle w:val="Emphasis"/>
          <w:rFonts w:ascii="Arial" w:hAnsi="Arial" w:cs="Arial"/>
          <w:sz w:val="20"/>
          <w:szCs w:val="20"/>
        </w:rPr>
        <w:t>Journal of the Inland Fisheries Society of India, 24</w:t>
      </w:r>
      <w:r w:rsidRPr="00824F4B">
        <w:rPr>
          <w:rFonts w:ascii="Arial" w:hAnsi="Arial" w:cs="Arial"/>
          <w:sz w:val="20"/>
          <w:szCs w:val="20"/>
        </w:rPr>
        <w:t>(1), 22–25.</w:t>
      </w:r>
    </w:p>
    <w:p w14:paraId="65157509" w14:textId="3F786872"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Shah, S.L. and </w:t>
      </w:r>
      <w:proofErr w:type="spellStart"/>
      <w:r w:rsidRPr="00824F4B">
        <w:rPr>
          <w:rFonts w:ascii="Arial" w:hAnsi="Arial" w:cs="Arial"/>
          <w:sz w:val="20"/>
          <w:szCs w:val="20"/>
        </w:rPr>
        <w:t>Altindag</w:t>
      </w:r>
      <w:proofErr w:type="spellEnd"/>
      <w:r w:rsidRPr="00824F4B">
        <w:rPr>
          <w:rFonts w:ascii="Arial" w:hAnsi="Arial" w:cs="Arial"/>
          <w:sz w:val="20"/>
          <w:szCs w:val="20"/>
        </w:rPr>
        <w:t xml:space="preserve"> </w:t>
      </w:r>
      <w:proofErr w:type="gramStart"/>
      <w:r w:rsidRPr="00824F4B">
        <w:rPr>
          <w:rFonts w:ascii="Arial" w:hAnsi="Arial" w:cs="Arial"/>
          <w:sz w:val="20"/>
          <w:szCs w:val="20"/>
        </w:rPr>
        <w:t>A.(</w:t>
      </w:r>
      <w:proofErr w:type="gramEnd"/>
      <w:r w:rsidRPr="00824F4B">
        <w:rPr>
          <w:rFonts w:ascii="Arial" w:hAnsi="Arial" w:cs="Arial"/>
          <w:sz w:val="20"/>
          <w:szCs w:val="20"/>
        </w:rPr>
        <w:t xml:space="preserve">2004). </w:t>
      </w:r>
      <w:proofErr w:type="spellStart"/>
      <w:r w:rsidR="009E7307">
        <w:rPr>
          <w:rFonts w:ascii="Arial" w:hAnsi="Arial" w:cs="Arial"/>
          <w:sz w:val="20"/>
          <w:szCs w:val="20"/>
        </w:rPr>
        <w:t>Haematological</w:t>
      </w:r>
      <w:proofErr w:type="spellEnd"/>
      <w:r w:rsidRPr="00824F4B">
        <w:rPr>
          <w:rFonts w:ascii="Arial" w:hAnsi="Arial" w:cs="Arial"/>
          <w:sz w:val="20"/>
          <w:szCs w:val="20"/>
        </w:rPr>
        <w:t xml:space="preserve"> parameters of </w:t>
      </w:r>
      <w:proofErr w:type="spellStart"/>
      <w:r w:rsidRPr="00824F4B">
        <w:rPr>
          <w:rFonts w:ascii="Arial" w:hAnsi="Arial" w:cs="Arial"/>
          <w:sz w:val="20"/>
          <w:szCs w:val="20"/>
        </w:rPr>
        <w:t>tench</w:t>
      </w:r>
      <w:proofErr w:type="spellEnd"/>
      <w:r w:rsidRPr="00824F4B">
        <w:rPr>
          <w:rFonts w:ascii="Arial" w:hAnsi="Arial" w:cs="Arial"/>
          <w:sz w:val="20"/>
          <w:szCs w:val="20"/>
        </w:rPr>
        <w:t xml:space="preserve"> (</w:t>
      </w:r>
      <w:proofErr w:type="spellStart"/>
      <w:r w:rsidRPr="00824F4B">
        <w:rPr>
          <w:rFonts w:ascii="Arial" w:hAnsi="Arial" w:cs="Arial"/>
          <w:sz w:val="20"/>
          <w:szCs w:val="20"/>
        </w:rPr>
        <w:t>Tinca</w:t>
      </w:r>
      <w:proofErr w:type="spellEnd"/>
      <w:r w:rsidRPr="00824F4B">
        <w:rPr>
          <w:rFonts w:ascii="Arial" w:hAnsi="Arial" w:cs="Arial"/>
          <w:sz w:val="20"/>
          <w:szCs w:val="20"/>
        </w:rPr>
        <w:t xml:space="preserve"> </w:t>
      </w:r>
      <w:proofErr w:type="spellStart"/>
      <w:r w:rsidRPr="00824F4B">
        <w:rPr>
          <w:rFonts w:ascii="Arial" w:hAnsi="Arial" w:cs="Arial"/>
          <w:sz w:val="20"/>
          <w:szCs w:val="20"/>
        </w:rPr>
        <w:t>tinca</w:t>
      </w:r>
      <w:proofErr w:type="spellEnd"/>
      <w:r w:rsidRPr="00824F4B">
        <w:rPr>
          <w:rFonts w:ascii="Arial" w:hAnsi="Arial" w:cs="Arial"/>
          <w:sz w:val="20"/>
          <w:szCs w:val="20"/>
        </w:rPr>
        <w:t xml:space="preserve"> L.) after acute and chronic exposure to lethal and sublethal mercury treatments. </w:t>
      </w:r>
      <w:r w:rsidRPr="00824F4B">
        <w:rPr>
          <w:rFonts w:ascii="Arial" w:hAnsi="Arial" w:cs="Arial"/>
          <w:i/>
          <w:iCs/>
          <w:sz w:val="20"/>
          <w:szCs w:val="20"/>
        </w:rPr>
        <w:t xml:space="preserve">Bull Environ </w:t>
      </w:r>
      <w:proofErr w:type="spellStart"/>
      <w:r w:rsidRPr="00824F4B">
        <w:rPr>
          <w:rFonts w:ascii="Arial" w:hAnsi="Arial" w:cs="Arial"/>
          <w:i/>
          <w:iCs/>
          <w:sz w:val="20"/>
          <w:szCs w:val="20"/>
        </w:rPr>
        <w:t>Contam</w:t>
      </w:r>
      <w:proofErr w:type="spellEnd"/>
      <w:r w:rsidRPr="00824F4B">
        <w:rPr>
          <w:rFonts w:ascii="Arial" w:hAnsi="Arial" w:cs="Arial"/>
          <w:i/>
          <w:iCs/>
          <w:sz w:val="20"/>
          <w:szCs w:val="20"/>
        </w:rPr>
        <w:t xml:space="preserve"> </w:t>
      </w:r>
      <w:proofErr w:type="spellStart"/>
      <w:r w:rsidRPr="00824F4B">
        <w:rPr>
          <w:rFonts w:ascii="Arial" w:hAnsi="Arial" w:cs="Arial"/>
          <w:i/>
          <w:iCs/>
          <w:sz w:val="20"/>
          <w:szCs w:val="20"/>
        </w:rPr>
        <w:t>Toxicol</w:t>
      </w:r>
      <w:proofErr w:type="spellEnd"/>
      <w:r w:rsidRPr="00824F4B">
        <w:rPr>
          <w:rFonts w:ascii="Arial" w:hAnsi="Arial" w:cs="Arial"/>
          <w:sz w:val="20"/>
          <w:szCs w:val="20"/>
        </w:rPr>
        <w:t xml:space="preserve">. 73(5):911-8. </w:t>
      </w:r>
      <w:proofErr w:type="spellStart"/>
      <w:r w:rsidRPr="00824F4B">
        <w:rPr>
          <w:rFonts w:ascii="Arial" w:hAnsi="Arial" w:cs="Arial"/>
          <w:sz w:val="20"/>
          <w:szCs w:val="20"/>
        </w:rPr>
        <w:t>doi</w:t>
      </w:r>
      <w:proofErr w:type="spellEnd"/>
      <w:r w:rsidRPr="00824F4B">
        <w:rPr>
          <w:rFonts w:ascii="Arial" w:hAnsi="Arial" w:cs="Arial"/>
          <w:sz w:val="20"/>
          <w:szCs w:val="20"/>
        </w:rPr>
        <w:t>: 10.1007/s00128-004-0513-y. PMID: 15669737.</w:t>
      </w:r>
    </w:p>
    <w:p w14:paraId="6515750A"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Shukla, M., and Arya, S. (2017). Cadmium toxicity induced morphological alteration in indigenous fish </w:t>
      </w:r>
      <w:proofErr w:type="spellStart"/>
      <w:r w:rsidRPr="00824F4B">
        <w:rPr>
          <w:rStyle w:val="Emphasis"/>
          <w:rFonts w:ascii="Arial" w:hAnsi="Arial" w:cs="Arial"/>
          <w:sz w:val="20"/>
          <w:szCs w:val="20"/>
        </w:rPr>
        <w:t>Heteropneustes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fossilis</w:t>
      </w:r>
      <w:proofErr w:type="spellEnd"/>
      <w:r w:rsidRPr="00824F4B">
        <w:rPr>
          <w:rFonts w:ascii="Arial" w:hAnsi="Arial" w:cs="Arial"/>
          <w:sz w:val="20"/>
          <w:szCs w:val="20"/>
        </w:rPr>
        <w:t xml:space="preserve"> (Bloch). </w:t>
      </w:r>
      <w:r w:rsidRPr="00824F4B">
        <w:rPr>
          <w:rStyle w:val="Emphasis"/>
          <w:rFonts w:ascii="Arial" w:hAnsi="Arial" w:cs="Arial"/>
          <w:sz w:val="20"/>
          <w:szCs w:val="20"/>
        </w:rPr>
        <w:t>Green Chemistry and Technology Letters, 3</w:t>
      </w:r>
      <w:r w:rsidRPr="00824F4B">
        <w:rPr>
          <w:rFonts w:ascii="Arial" w:hAnsi="Arial" w:cs="Arial"/>
          <w:sz w:val="20"/>
          <w:szCs w:val="20"/>
        </w:rPr>
        <w:t>(1), 21–25.</w:t>
      </w:r>
    </w:p>
    <w:p w14:paraId="6515750B" w14:textId="77777777" w:rsidR="009176F1" w:rsidRPr="00824F4B" w:rsidRDefault="009176F1" w:rsidP="00B606FD">
      <w:pPr>
        <w:pStyle w:val="ListParagraph"/>
        <w:numPr>
          <w:ilvl w:val="0"/>
          <w:numId w:val="21"/>
        </w:numPr>
        <w:jc w:val="both"/>
        <w:rPr>
          <w:rFonts w:ascii="Arial" w:eastAsia="Times New Roman" w:hAnsi="Arial" w:cs="Arial"/>
          <w:bCs/>
          <w:color w:val="FF0000"/>
          <w:sz w:val="20"/>
          <w:szCs w:val="20"/>
        </w:rPr>
      </w:pPr>
      <w:r w:rsidRPr="00824F4B">
        <w:rPr>
          <w:rFonts w:ascii="Arial" w:hAnsi="Arial" w:cs="Arial"/>
          <w:bCs/>
          <w:color w:val="000000"/>
          <w:sz w:val="20"/>
          <w:szCs w:val="20"/>
          <w:shd w:val="clear" w:color="auto" w:fill="FFFFFF"/>
        </w:rPr>
        <w:t xml:space="preserve">Singh, P. and Pandey, R.K. (2023). Alteration in biochemical and </w:t>
      </w:r>
      <w:proofErr w:type="spellStart"/>
      <w:r w:rsidRPr="00824F4B">
        <w:rPr>
          <w:rFonts w:ascii="Arial" w:hAnsi="Arial" w:cs="Arial"/>
          <w:bCs/>
          <w:color w:val="000000"/>
          <w:sz w:val="20"/>
          <w:szCs w:val="20"/>
          <w:shd w:val="clear" w:color="auto" w:fill="FFFFFF"/>
        </w:rPr>
        <w:t>haematological</w:t>
      </w:r>
      <w:proofErr w:type="spellEnd"/>
      <w:r w:rsidRPr="00824F4B">
        <w:rPr>
          <w:rFonts w:ascii="Arial" w:hAnsi="Arial" w:cs="Arial"/>
          <w:bCs/>
          <w:color w:val="000000"/>
          <w:sz w:val="20"/>
          <w:szCs w:val="20"/>
          <w:shd w:val="clear" w:color="auto" w:fill="FFFFFF"/>
        </w:rPr>
        <w:t xml:space="preserve"> parameters on exposure to household detergent (tide) of the Asian snakehead fish </w:t>
      </w:r>
      <w:r w:rsidRPr="00824F4B">
        <w:rPr>
          <w:rFonts w:ascii="Arial" w:hAnsi="Arial" w:cs="Arial"/>
          <w:bCs/>
          <w:i/>
          <w:color w:val="000000"/>
          <w:sz w:val="20"/>
          <w:szCs w:val="20"/>
          <w:shd w:val="clear" w:color="auto" w:fill="FFFFFF"/>
        </w:rPr>
        <w:t>Channa punctata.</w:t>
      </w:r>
      <w:r w:rsidRPr="00824F4B">
        <w:rPr>
          <w:rFonts w:ascii="Arial" w:hAnsi="Arial" w:cs="Arial"/>
          <w:bCs/>
          <w:color w:val="000000"/>
          <w:sz w:val="20"/>
          <w:szCs w:val="20"/>
          <w:shd w:val="clear" w:color="auto" w:fill="FFFFFF"/>
        </w:rPr>
        <w:t xml:space="preserve"> </w:t>
      </w:r>
      <w:r w:rsidRPr="00824F4B">
        <w:rPr>
          <w:rFonts w:ascii="Arial" w:hAnsi="Arial" w:cs="Arial"/>
          <w:bCs/>
          <w:i/>
          <w:color w:val="000000"/>
          <w:sz w:val="20"/>
          <w:szCs w:val="20"/>
          <w:shd w:val="clear" w:color="auto" w:fill="FFFFFF"/>
        </w:rPr>
        <w:t>International Journal of Biological Innovations</w:t>
      </w:r>
      <w:r w:rsidRPr="00824F4B">
        <w:rPr>
          <w:rFonts w:ascii="Arial" w:hAnsi="Arial" w:cs="Arial"/>
          <w:bCs/>
          <w:color w:val="000000"/>
          <w:sz w:val="20"/>
          <w:szCs w:val="20"/>
          <w:shd w:val="clear" w:color="auto" w:fill="FFFFFF"/>
        </w:rPr>
        <w:t xml:space="preserve">. 5(2): 01-11. </w:t>
      </w:r>
      <w:hyperlink r:id="rId17" w:history="1">
        <w:r w:rsidRPr="00824F4B">
          <w:rPr>
            <w:rStyle w:val="Hyperlink"/>
            <w:rFonts w:ascii="Arial" w:hAnsi="Arial" w:cs="Arial"/>
            <w:sz w:val="20"/>
            <w:szCs w:val="20"/>
            <w:shd w:val="clear" w:color="auto" w:fill="FFFFFF"/>
          </w:rPr>
          <w:t>https://doi.org/10.46505/IJBI.2023.5201</w:t>
        </w:r>
      </w:hyperlink>
    </w:p>
    <w:p w14:paraId="6515750C" w14:textId="77777777" w:rsidR="009176F1" w:rsidRPr="00824F4B" w:rsidRDefault="009176F1" w:rsidP="00B606FD">
      <w:pPr>
        <w:pStyle w:val="ListParagraph"/>
        <w:widowControl w:val="0"/>
        <w:numPr>
          <w:ilvl w:val="0"/>
          <w:numId w:val="21"/>
        </w:numPr>
        <w:tabs>
          <w:tab w:val="left" w:pos="567"/>
        </w:tabs>
        <w:autoSpaceDE w:val="0"/>
        <w:autoSpaceDN w:val="0"/>
        <w:jc w:val="both"/>
        <w:rPr>
          <w:rFonts w:ascii="Arial" w:hAnsi="Arial" w:cs="Arial"/>
          <w:bCs/>
          <w:sz w:val="20"/>
          <w:szCs w:val="20"/>
        </w:rPr>
      </w:pPr>
      <w:r w:rsidRPr="00824F4B">
        <w:rPr>
          <w:rFonts w:ascii="Arial" w:hAnsi="Arial" w:cs="Arial"/>
          <w:bCs/>
          <w:sz w:val="20"/>
          <w:szCs w:val="20"/>
        </w:rPr>
        <w:t xml:space="preserve">Singh, R., Verma, A.K. and Prakash, S. (2023). The web of life: Role of pollution in biodiversity decline. </w:t>
      </w:r>
      <w:r w:rsidRPr="00824F4B">
        <w:rPr>
          <w:rFonts w:ascii="Arial" w:hAnsi="Arial" w:cs="Arial"/>
          <w:bCs/>
          <w:i/>
          <w:sz w:val="20"/>
          <w:szCs w:val="20"/>
        </w:rPr>
        <w:t>International Journal of Fauna and Biological Studies</w:t>
      </w:r>
      <w:r w:rsidRPr="00824F4B">
        <w:rPr>
          <w:rFonts w:ascii="Arial" w:hAnsi="Arial" w:cs="Arial"/>
          <w:bCs/>
          <w:sz w:val="20"/>
          <w:szCs w:val="20"/>
        </w:rPr>
        <w:t xml:space="preserve">. 10(3): 49-52. </w:t>
      </w:r>
      <w:hyperlink r:id="rId18" w:tgtFrame="_blank" w:history="1">
        <w:r w:rsidRPr="00824F4B">
          <w:rPr>
            <w:rStyle w:val="Hyperlink"/>
            <w:rFonts w:ascii="Arial" w:hAnsi="Arial" w:cs="Arial"/>
            <w:bCs/>
            <w:sz w:val="20"/>
            <w:szCs w:val="20"/>
          </w:rPr>
          <w:t>10.22271/23940522.2023.v10.i3a.1003</w:t>
        </w:r>
      </w:hyperlink>
    </w:p>
    <w:p w14:paraId="6515750D"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Singh, S., Dixit, P. K., and Patra, A. K. (2016). Biochemical analysis of lipids and proteins in three freshwater </w:t>
      </w:r>
      <w:proofErr w:type="spellStart"/>
      <w:r w:rsidRPr="00824F4B">
        <w:rPr>
          <w:rFonts w:ascii="Arial" w:hAnsi="Arial" w:cs="Arial"/>
          <w:sz w:val="20"/>
          <w:szCs w:val="20"/>
        </w:rPr>
        <w:t>teleosts</w:t>
      </w:r>
      <w:proofErr w:type="spellEnd"/>
      <w:r w:rsidRPr="00824F4B">
        <w:rPr>
          <w:rFonts w:ascii="Arial" w:hAnsi="Arial" w:cs="Arial"/>
          <w:sz w:val="20"/>
          <w:szCs w:val="20"/>
        </w:rPr>
        <w:t xml:space="preserve"> (</w:t>
      </w:r>
      <w:proofErr w:type="spellStart"/>
      <w:r w:rsidRPr="00824F4B">
        <w:rPr>
          <w:rStyle w:val="Emphasis"/>
          <w:rFonts w:ascii="Arial" w:hAnsi="Arial" w:cs="Arial"/>
          <w:sz w:val="20"/>
          <w:szCs w:val="20"/>
        </w:rPr>
        <w:t>Clarias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batrachus</w:t>
      </w:r>
      <w:proofErr w:type="spellEnd"/>
      <w:r w:rsidRPr="00824F4B">
        <w:rPr>
          <w:rFonts w:ascii="Arial" w:hAnsi="Arial" w:cs="Arial"/>
          <w:sz w:val="20"/>
          <w:szCs w:val="20"/>
        </w:rPr>
        <w:t xml:space="preserve">, </w:t>
      </w:r>
      <w:proofErr w:type="spellStart"/>
      <w:r w:rsidRPr="00824F4B">
        <w:rPr>
          <w:rStyle w:val="Emphasis"/>
          <w:rFonts w:ascii="Arial" w:hAnsi="Arial" w:cs="Arial"/>
          <w:sz w:val="20"/>
          <w:szCs w:val="20"/>
        </w:rPr>
        <w:t>Channa</w:t>
      </w:r>
      <w:proofErr w:type="spellEnd"/>
      <w:r w:rsidRPr="00824F4B">
        <w:rPr>
          <w:rStyle w:val="Emphasis"/>
          <w:rFonts w:ascii="Arial" w:hAnsi="Arial" w:cs="Arial"/>
          <w:sz w:val="20"/>
          <w:szCs w:val="20"/>
        </w:rPr>
        <w:t xml:space="preserve"> punctatus</w:t>
      </w:r>
      <w:r w:rsidRPr="00824F4B">
        <w:rPr>
          <w:rFonts w:ascii="Arial" w:hAnsi="Arial" w:cs="Arial"/>
          <w:sz w:val="20"/>
          <w:szCs w:val="20"/>
        </w:rPr>
        <w:t xml:space="preserve">, </w:t>
      </w:r>
      <w:r w:rsidRPr="00824F4B">
        <w:rPr>
          <w:rStyle w:val="Emphasis"/>
          <w:rFonts w:ascii="Arial" w:hAnsi="Arial" w:cs="Arial"/>
          <w:sz w:val="20"/>
          <w:szCs w:val="20"/>
        </w:rPr>
        <w:t xml:space="preserve">Anabas </w:t>
      </w:r>
      <w:proofErr w:type="spellStart"/>
      <w:r w:rsidRPr="00824F4B">
        <w:rPr>
          <w:rStyle w:val="Emphasis"/>
          <w:rFonts w:ascii="Arial" w:hAnsi="Arial" w:cs="Arial"/>
          <w:sz w:val="20"/>
          <w:szCs w:val="20"/>
        </w:rPr>
        <w:t>testudineus</w:t>
      </w:r>
      <w:proofErr w:type="spellEnd"/>
      <w:r w:rsidRPr="00824F4B">
        <w:rPr>
          <w:rFonts w:ascii="Arial" w:hAnsi="Arial" w:cs="Arial"/>
          <w:sz w:val="20"/>
          <w:szCs w:val="20"/>
        </w:rPr>
        <w:t xml:space="preserve">). </w:t>
      </w:r>
      <w:r w:rsidRPr="00824F4B">
        <w:rPr>
          <w:rStyle w:val="Emphasis"/>
          <w:rFonts w:ascii="Arial" w:hAnsi="Arial" w:cs="Arial"/>
          <w:sz w:val="20"/>
          <w:szCs w:val="20"/>
        </w:rPr>
        <w:t>Research Journal of Recent Sciences, 5</w:t>
      </w:r>
      <w:r w:rsidRPr="00824F4B">
        <w:rPr>
          <w:rFonts w:ascii="Arial" w:hAnsi="Arial" w:cs="Arial"/>
          <w:sz w:val="20"/>
          <w:szCs w:val="20"/>
        </w:rPr>
        <w:t>(6), 24–33.</w:t>
      </w:r>
    </w:p>
    <w:p w14:paraId="6515750E"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Trinder, P. (1969). Determination of blood glucose using an oxidase-peroxidase system. </w:t>
      </w:r>
      <w:r w:rsidRPr="00824F4B">
        <w:rPr>
          <w:rStyle w:val="Emphasis"/>
          <w:rFonts w:ascii="Arial" w:hAnsi="Arial" w:cs="Arial"/>
          <w:sz w:val="20"/>
          <w:szCs w:val="20"/>
        </w:rPr>
        <w:t>Annals of Clinical Biochemistry, 6</w:t>
      </w:r>
      <w:r w:rsidRPr="00824F4B">
        <w:rPr>
          <w:rFonts w:ascii="Arial" w:hAnsi="Arial" w:cs="Arial"/>
          <w:sz w:val="20"/>
          <w:szCs w:val="20"/>
        </w:rPr>
        <w:t>, 24–27.</w:t>
      </w:r>
    </w:p>
    <w:p w14:paraId="6515750F"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Ullah, S., and Li, Z. (2019). Hydro-electric power in the </w:t>
      </w:r>
      <w:proofErr w:type="spellStart"/>
      <w:r w:rsidRPr="00824F4B">
        <w:rPr>
          <w:rFonts w:ascii="Arial" w:hAnsi="Arial" w:cs="Arial"/>
          <w:sz w:val="20"/>
          <w:szCs w:val="20"/>
        </w:rPr>
        <w:t>Panjkora</w:t>
      </w:r>
      <w:proofErr w:type="spellEnd"/>
      <w:r w:rsidRPr="00824F4B">
        <w:rPr>
          <w:rFonts w:ascii="Arial" w:hAnsi="Arial" w:cs="Arial"/>
          <w:sz w:val="20"/>
          <w:szCs w:val="20"/>
        </w:rPr>
        <w:t xml:space="preserve"> basin at the expense of environmental deterioration and biodiversity loss </w:t>
      </w:r>
      <w:r w:rsidR="004F32C3" w:rsidRPr="00824F4B">
        <w:rPr>
          <w:rFonts w:ascii="Arial" w:hAnsi="Arial" w:cs="Arial"/>
          <w:sz w:val="20"/>
          <w:szCs w:val="20"/>
        </w:rPr>
        <w:t>immediate</w:t>
      </w:r>
      <w:r w:rsidRPr="00824F4B">
        <w:rPr>
          <w:rFonts w:ascii="Arial" w:hAnsi="Arial" w:cs="Arial"/>
          <w:sz w:val="20"/>
          <w:szCs w:val="20"/>
        </w:rPr>
        <w:t xml:space="preserve"> action required for mitigation. </w:t>
      </w:r>
      <w:r w:rsidRPr="00824F4B">
        <w:rPr>
          <w:rStyle w:val="Emphasis"/>
          <w:rFonts w:ascii="Arial" w:hAnsi="Arial" w:cs="Arial"/>
          <w:sz w:val="20"/>
          <w:szCs w:val="20"/>
        </w:rPr>
        <w:t>Environmental Science and Pollution Research, 26</w:t>
      </w:r>
      <w:r w:rsidRPr="00824F4B">
        <w:rPr>
          <w:rFonts w:ascii="Arial" w:hAnsi="Arial" w:cs="Arial"/>
          <w:sz w:val="20"/>
          <w:szCs w:val="20"/>
        </w:rPr>
        <w:t xml:space="preserve">, 1008–1011. </w:t>
      </w:r>
      <w:hyperlink r:id="rId19" w:tgtFrame="_new" w:history="1">
        <w:r w:rsidRPr="00824F4B">
          <w:rPr>
            <w:rStyle w:val="Hyperlink"/>
            <w:rFonts w:ascii="Arial" w:hAnsi="Arial" w:cs="Arial"/>
            <w:color w:val="0000CC"/>
            <w:sz w:val="20"/>
            <w:szCs w:val="20"/>
          </w:rPr>
          <w:t>https://doi.org/10.1007/s11356-018-3610-x</w:t>
        </w:r>
      </w:hyperlink>
    </w:p>
    <w:p w14:paraId="65157510" w14:textId="4EE617D6" w:rsidR="009176F1" w:rsidRPr="00824F4B" w:rsidRDefault="009176F1" w:rsidP="00B606FD">
      <w:pPr>
        <w:pStyle w:val="ListParagraph"/>
        <w:numPr>
          <w:ilvl w:val="0"/>
          <w:numId w:val="21"/>
        </w:numPr>
        <w:tabs>
          <w:tab w:val="left" w:pos="630"/>
        </w:tabs>
        <w:autoSpaceDE w:val="0"/>
        <w:autoSpaceDN w:val="0"/>
        <w:adjustRightInd w:val="0"/>
        <w:jc w:val="both"/>
        <w:rPr>
          <w:rFonts w:ascii="Arial" w:hAnsi="Arial" w:cs="Arial"/>
          <w:bCs/>
          <w:sz w:val="20"/>
          <w:szCs w:val="20"/>
        </w:rPr>
      </w:pPr>
      <w:r w:rsidRPr="00824F4B">
        <w:rPr>
          <w:rFonts w:ascii="Arial" w:hAnsi="Arial" w:cs="Arial"/>
          <w:bCs/>
          <w:sz w:val="20"/>
          <w:szCs w:val="20"/>
          <w:lang w:val="en-IN" w:eastAsia="en-IN"/>
        </w:rPr>
        <w:t xml:space="preserve">Verma, A.K. </w:t>
      </w:r>
      <w:r w:rsidRPr="00824F4B">
        <w:rPr>
          <w:rFonts w:ascii="Arial" w:hAnsi="Arial" w:cs="Arial"/>
          <w:bCs/>
          <w:sz w:val="20"/>
          <w:szCs w:val="20"/>
        </w:rPr>
        <w:t>(2019).</w:t>
      </w:r>
      <w:r w:rsidR="00441BA0" w:rsidRPr="00824F4B">
        <w:rPr>
          <w:rFonts w:ascii="Arial" w:hAnsi="Arial" w:cs="Arial"/>
          <w:sz w:val="20"/>
          <w:szCs w:val="20"/>
        </w:rPr>
        <w:t xml:space="preserve"> </w:t>
      </w:r>
      <w:r w:rsidRPr="00824F4B">
        <w:rPr>
          <w:rFonts w:ascii="Arial" w:hAnsi="Arial" w:cs="Arial"/>
          <w:sz w:val="20"/>
          <w:szCs w:val="20"/>
        </w:rPr>
        <w:t xml:space="preserve">Studies of Hydrobiological Properties of </w:t>
      </w:r>
      <w:proofErr w:type="spellStart"/>
      <w:r w:rsidRPr="00824F4B">
        <w:rPr>
          <w:rFonts w:ascii="Arial" w:hAnsi="Arial" w:cs="Arial"/>
          <w:sz w:val="20"/>
          <w:szCs w:val="20"/>
        </w:rPr>
        <w:t>Balapur</w:t>
      </w:r>
      <w:proofErr w:type="spellEnd"/>
      <w:r w:rsidRPr="00824F4B">
        <w:rPr>
          <w:rFonts w:ascii="Arial" w:hAnsi="Arial" w:cs="Arial"/>
          <w:sz w:val="20"/>
          <w:szCs w:val="20"/>
        </w:rPr>
        <w:t xml:space="preserve"> Pond of </w:t>
      </w:r>
      <w:proofErr w:type="spellStart"/>
      <w:r w:rsidRPr="00824F4B">
        <w:rPr>
          <w:rFonts w:ascii="Arial" w:hAnsi="Arial" w:cs="Arial"/>
          <w:sz w:val="20"/>
          <w:szCs w:val="20"/>
        </w:rPr>
        <w:t>Prayagraj</w:t>
      </w:r>
      <w:proofErr w:type="spellEnd"/>
      <w:r w:rsidRPr="00824F4B">
        <w:rPr>
          <w:rFonts w:ascii="Arial" w:hAnsi="Arial" w:cs="Arial"/>
          <w:sz w:val="20"/>
          <w:szCs w:val="20"/>
        </w:rPr>
        <w:t xml:space="preserve"> (U.P.).</w:t>
      </w:r>
      <w:r w:rsidRPr="00824F4B">
        <w:rPr>
          <w:rFonts w:ascii="Arial" w:hAnsi="Arial" w:cs="Arial"/>
          <w:iCs/>
          <w:sz w:val="20"/>
          <w:szCs w:val="20"/>
        </w:rPr>
        <w:t xml:space="preserve"> </w:t>
      </w:r>
      <w:proofErr w:type="spellStart"/>
      <w:r w:rsidRPr="00824F4B">
        <w:rPr>
          <w:rFonts w:ascii="Arial" w:hAnsi="Arial" w:cs="Arial"/>
          <w:i/>
          <w:iCs/>
          <w:sz w:val="20"/>
          <w:szCs w:val="20"/>
        </w:rPr>
        <w:t>HortFlora</w:t>
      </w:r>
      <w:proofErr w:type="spellEnd"/>
      <w:r w:rsidRPr="00824F4B">
        <w:rPr>
          <w:rFonts w:ascii="Arial" w:hAnsi="Arial" w:cs="Arial"/>
          <w:i/>
          <w:iCs/>
          <w:sz w:val="20"/>
          <w:szCs w:val="20"/>
        </w:rPr>
        <w:t xml:space="preserve"> Research Spectrum</w:t>
      </w:r>
      <w:r w:rsidRPr="00824F4B">
        <w:rPr>
          <w:rFonts w:ascii="Arial" w:hAnsi="Arial" w:cs="Arial"/>
          <w:iCs/>
          <w:sz w:val="20"/>
          <w:szCs w:val="20"/>
        </w:rPr>
        <w:t>. 8(1): 09-11.</w:t>
      </w:r>
    </w:p>
    <w:p w14:paraId="65157511" w14:textId="2204BC44" w:rsidR="009176F1" w:rsidRPr="00824F4B" w:rsidRDefault="009176F1" w:rsidP="00B606FD">
      <w:pPr>
        <w:pStyle w:val="ListParagraph"/>
        <w:numPr>
          <w:ilvl w:val="0"/>
          <w:numId w:val="21"/>
        </w:numPr>
        <w:tabs>
          <w:tab w:val="left" w:pos="630"/>
        </w:tabs>
        <w:autoSpaceDE w:val="0"/>
        <w:autoSpaceDN w:val="0"/>
        <w:adjustRightInd w:val="0"/>
        <w:jc w:val="both"/>
        <w:rPr>
          <w:rFonts w:ascii="Arial" w:hAnsi="Arial" w:cs="Arial"/>
          <w:bCs/>
          <w:sz w:val="20"/>
          <w:szCs w:val="20"/>
        </w:rPr>
      </w:pPr>
      <w:r w:rsidRPr="00824F4B">
        <w:rPr>
          <w:rFonts w:ascii="Arial" w:hAnsi="Arial" w:cs="Arial"/>
          <w:bCs/>
          <w:sz w:val="20"/>
          <w:szCs w:val="20"/>
          <w:lang w:val="en-IN" w:eastAsia="en-IN"/>
        </w:rPr>
        <w:t xml:space="preserve">Verma, A.K. </w:t>
      </w:r>
      <w:r w:rsidRPr="00824F4B">
        <w:rPr>
          <w:rFonts w:ascii="Arial" w:hAnsi="Arial" w:cs="Arial"/>
          <w:bCs/>
          <w:sz w:val="20"/>
          <w:szCs w:val="20"/>
        </w:rPr>
        <w:t>and Prakash, S. (2018).</w:t>
      </w:r>
      <w:r w:rsidR="00441BA0" w:rsidRPr="00824F4B">
        <w:rPr>
          <w:rFonts w:ascii="Arial" w:hAnsi="Arial" w:cs="Arial"/>
          <w:sz w:val="20"/>
          <w:szCs w:val="20"/>
        </w:rPr>
        <w:t xml:space="preserve"> </w:t>
      </w:r>
      <w:proofErr w:type="spellStart"/>
      <w:r w:rsidRPr="00824F4B">
        <w:rPr>
          <w:rFonts w:ascii="Arial" w:hAnsi="Arial" w:cs="Arial"/>
          <w:bCs/>
          <w:sz w:val="20"/>
          <w:szCs w:val="20"/>
        </w:rPr>
        <w:t>Haematotoxicity</w:t>
      </w:r>
      <w:proofErr w:type="spellEnd"/>
      <w:r w:rsidRPr="00824F4B">
        <w:rPr>
          <w:rFonts w:ascii="Arial" w:hAnsi="Arial" w:cs="Arial"/>
          <w:bCs/>
          <w:sz w:val="20"/>
          <w:szCs w:val="20"/>
        </w:rPr>
        <w:t xml:space="preserve"> of </w:t>
      </w:r>
      <w:proofErr w:type="spellStart"/>
      <w:r w:rsidRPr="00824F4B">
        <w:rPr>
          <w:rFonts w:ascii="Arial" w:hAnsi="Arial" w:cs="Arial"/>
          <w:bCs/>
          <w:sz w:val="20"/>
          <w:szCs w:val="20"/>
        </w:rPr>
        <w:t>Phorate</w:t>
      </w:r>
      <w:proofErr w:type="spellEnd"/>
      <w:r w:rsidRPr="00824F4B">
        <w:rPr>
          <w:rFonts w:ascii="Arial" w:hAnsi="Arial" w:cs="Arial"/>
          <w:bCs/>
          <w:sz w:val="20"/>
          <w:szCs w:val="20"/>
        </w:rPr>
        <w:t xml:space="preserve">, an </w:t>
      </w:r>
      <w:proofErr w:type="spellStart"/>
      <w:r w:rsidRPr="00824F4B">
        <w:rPr>
          <w:rFonts w:ascii="Arial" w:hAnsi="Arial" w:cs="Arial"/>
          <w:bCs/>
          <w:sz w:val="20"/>
          <w:szCs w:val="20"/>
        </w:rPr>
        <w:t>Organophosphorous</w:t>
      </w:r>
      <w:proofErr w:type="spellEnd"/>
      <w:r w:rsidRPr="00824F4B">
        <w:rPr>
          <w:rFonts w:ascii="Arial" w:hAnsi="Arial" w:cs="Arial"/>
          <w:bCs/>
          <w:sz w:val="20"/>
          <w:szCs w:val="20"/>
        </w:rPr>
        <w:t xml:space="preserve"> pesticide on a Freshwater Fish, </w:t>
      </w:r>
      <w:r w:rsidRPr="00824F4B">
        <w:rPr>
          <w:rFonts w:ascii="Arial" w:hAnsi="Arial" w:cs="Arial"/>
          <w:bCs/>
          <w:i/>
          <w:sz w:val="20"/>
          <w:szCs w:val="20"/>
        </w:rPr>
        <w:t>Channa punctatus</w:t>
      </w:r>
      <w:r w:rsidRPr="00824F4B">
        <w:rPr>
          <w:rFonts w:ascii="Arial" w:hAnsi="Arial" w:cs="Arial"/>
          <w:bCs/>
          <w:sz w:val="20"/>
          <w:szCs w:val="20"/>
        </w:rPr>
        <w:t xml:space="preserve"> (Bloch). </w:t>
      </w:r>
      <w:r w:rsidRPr="00824F4B">
        <w:rPr>
          <w:rFonts w:ascii="Arial" w:hAnsi="Arial" w:cs="Arial"/>
          <w:bCs/>
          <w:i/>
          <w:sz w:val="20"/>
          <w:szCs w:val="20"/>
        </w:rPr>
        <w:t>International Journal on Agricultural Sciences.</w:t>
      </w:r>
      <w:r w:rsidRPr="00824F4B">
        <w:rPr>
          <w:rFonts w:ascii="Arial" w:hAnsi="Arial" w:cs="Arial"/>
          <w:bCs/>
          <w:sz w:val="20"/>
          <w:szCs w:val="20"/>
        </w:rPr>
        <w:t xml:space="preserve"> 9 (2): 117-120.</w:t>
      </w:r>
    </w:p>
    <w:p w14:paraId="65157512" w14:textId="20CBF467" w:rsidR="009176F1" w:rsidRPr="00824F4B" w:rsidRDefault="009176F1" w:rsidP="00B606FD">
      <w:pPr>
        <w:pStyle w:val="ListParagraph"/>
        <w:numPr>
          <w:ilvl w:val="0"/>
          <w:numId w:val="21"/>
        </w:numPr>
        <w:tabs>
          <w:tab w:val="left" w:pos="630"/>
        </w:tabs>
        <w:autoSpaceDE w:val="0"/>
        <w:autoSpaceDN w:val="0"/>
        <w:adjustRightInd w:val="0"/>
        <w:spacing w:before="40" w:after="40"/>
        <w:jc w:val="both"/>
        <w:rPr>
          <w:rFonts w:ascii="Arial" w:hAnsi="Arial" w:cs="Arial"/>
          <w:bCs/>
          <w:sz w:val="20"/>
          <w:szCs w:val="20"/>
        </w:rPr>
      </w:pPr>
      <w:r w:rsidRPr="00824F4B">
        <w:rPr>
          <w:rFonts w:ascii="Arial" w:hAnsi="Arial" w:cs="Arial"/>
          <w:sz w:val="20"/>
          <w:szCs w:val="20"/>
        </w:rPr>
        <w:t>Verma, A.K. and Prakash, S. (2019).</w:t>
      </w:r>
      <w:r w:rsidR="00441BA0" w:rsidRPr="00824F4B">
        <w:rPr>
          <w:rFonts w:ascii="Arial" w:hAnsi="Arial" w:cs="Arial"/>
          <w:sz w:val="20"/>
          <w:szCs w:val="20"/>
        </w:rPr>
        <w:t xml:space="preserve"> </w:t>
      </w:r>
      <w:r w:rsidRPr="00824F4B">
        <w:rPr>
          <w:rFonts w:ascii="Arial" w:eastAsia="Calibri" w:hAnsi="Arial" w:cs="Arial"/>
          <w:sz w:val="20"/>
          <w:szCs w:val="20"/>
          <w:lang w:bidi="hi-IN"/>
        </w:rPr>
        <w:t xml:space="preserve"> </w:t>
      </w:r>
      <w:r w:rsidRPr="00824F4B">
        <w:rPr>
          <w:rFonts w:ascii="Arial" w:hAnsi="Arial" w:cs="Arial"/>
          <w:sz w:val="20"/>
          <w:szCs w:val="20"/>
        </w:rPr>
        <w:t xml:space="preserve">Impact of Arsenic on Carbohydrate Metabolism of a fresh water </w:t>
      </w:r>
      <w:r w:rsidR="00F67F79" w:rsidRPr="00824F4B">
        <w:rPr>
          <w:rFonts w:ascii="Arial" w:hAnsi="Arial" w:cs="Arial"/>
          <w:sz w:val="20"/>
          <w:szCs w:val="20"/>
        </w:rPr>
        <w:t>catfish</w:t>
      </w:r>
      <w:r w:rsidRPr="00824F4B">
        <w:rPr>
          <w:rFonts w:ascii="Arial" w:hAnsi="Arial" w:cs="Arial"/>
          <w:sz w:val="20"/>
          <w:szCs w:val="20"/>
        </w:rPr>
        <w:t xml:space="preserve">, </w:t>
      </w:r>
      <w:proofErr w:type="spellStart"/>
      <w:r w:rsidRPr="00824F4B">
        <w:rPr>
          <w:rFonts w:ascii="Arial" w:hAnsi="Arial" w:cs="Arial"/>
          <w:i/>
          <w:sz w:val="20"/>
          <w:szCs w:val="20"/>
        </w:rPr>
        <w:t>Mystus</w:t>
      </w:r>
      <w:proofErr w:type="spellEnd"/>
      <w:r w:rsidRPr="00824F4B">
        <w:rPr>
          <w:rFonts w:ascii="Arial" w:hAnsi="Arial" w:cs="Arial"/>
          <w:i/>
          <w:sz w:val="20"/>
          <w:szCs w:val="20"/>
        </w:rPr>
        <w:t xml:space="preserve"> </w:t>
      </w:r>
      <w:proofErr w:type="spellStart"/>
      <w:r w:rsidRPr="00824F4B">
        <w:rPr>
          <w:rFonts w:ascii="Arial" w:hAnsi="Arial" w:cs="Arial"/>
          <w:i/>
          <w:sz w:val="20"/>
          <w:szCs w:val="20"/>
        </w:rPr>
        <w:t>vittatus</w:t>
      </w:r>
      <w:proofErr w:type="spellEnd"/>
      <w:r w:rsidRPr="00824F4B">
        <w:rPr>
          <w:rFonts w:ascii="Arial" w:hAnsi="Arial" w:cs="Arial"/>
          <w:i/>
          <w:sz w:val="20"/>
          <w:szCs w:val="20"/>
        </w:rPr>
        <w:t>.</w:t>
      </w:r>
      <w:r w:rsidRPr="00824F4B">
        <w:rPr>
          <w:rFonts w:ascii="Arial" w:hAnsi="Arial" w:cs="Arial"/>
          <w:bCs/>
          <w:sz w:val="20"/>
          <w:szCs w:val="20"/>
        </w:rPr>
        <w:t xml:space="preserve"> </w:t>
      </w:r>
      <w:r w:rsidRPr="00824F4B">
        <w:rPr>
          <w:rFonts w:ascii="Arial" w:hAnsi="Arial" w:cs="Arial"/>
          <w:i/>
          <w:iCs/>
          <w:sz w:val="20"/>
          <w:szCs w:val="20"/>
        </w:rPr>
        <w:t>International Journal on Biological Sciences</w:t>
      </w:r>
      <w:r w:rsidRPr="00824F4B">
        <w:rPr>
          <w:rFonts w:ascii="Arial" w:hAnsi="Arial" w:cs="Arial"/>
          <w:bCs/>
          <w:sz w:val="20"/>
          <w:szCs w:val="20"/>
        </w:rPr>
        <w:t>.</w:t>
      </w:r>
      <w:r w:rsidR="00441BA0" w:rsidRPr="00824F4B">
        <w:rPr>
          <w:rFonts w:ascii="Arial" w:hAnsi="Arial" w:cs="Arial"/>
          <w:sz w:val="20"/>
          <w:szCs w:val="20"/>
        </w:rPr>
        <w:t xml:space="preserve"> </w:t>
      </w:r>
      <w:r w:rsidRPr="00824F4B">
        <w:rPr>
          <w:rFonts w:ascii="Arial" w:hAnsi="Arial" w:cs="Arial"/>
          <w:sz w:val="20"/>
          <w:szCs w:val="20"/>
        </w:rPr>
        <w:t>10(1):</w:t>
      </w:r>
      <w:r w:rsidRPr="00824F4B">
        <w:rPr>
          <w:rFonts w:ascii="Arial" w:hAnsi="Arial" w:cs="Arial"/>
          <w:sz w:val="20"/>
          <w:szCs w:val="20"/>
          <w:shd w:val="clear" w:color="auto" w:fill="FFFFFF"/>
        </w:rPr>
        <w:t xml:space="preserve"> </w:t>
      </w:r>
      <w:r w:rsidRPr="00824F4B">
        <w:rPr>
          <w:rFonts w:ascii="Arial" w:hAnsi="Arial" w:cs="Arial"/>
          <w:sz w:val="20"/>
          <w:szCs w:val="20"/>
        </w:rPr>
        <w:t>17-19.</w:t>
      </w:r>
    </w:p>
    <w:p w14:paraId="6515751B" w14:textId="124AF768" w:rsidR="005263F7"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Wintrobe</w:t>
      </w:r>
      <w:proofErr w:type="spellEnd"/>
      <w:r w:rsidRPr="00824F4B">
        <w:rPr>
          <w:rFonts w:ascii="Arial" w:hAnsi="Arial" w:cs="Arial"/>
          <w:sz w:val="20"/>
          <w:szCs w:val="20"/>
        </w:rPr>
        <w:t>, M.</w:t>
      </w:r>
      <w:r w:rsidR="006026F2">
        <w:rPr>
          <w:rFonts w:ascii="Arial" w:hAnsi="Arial" w:cs="Arial" w:hint="cs"/>
          <w:sz w:val="20"/>
          <w:szCs w:val="20"/>
          <w:cs/>
        </w:rPr>
        <w:t xml:space="preserve"> </w:t>
      </w:r>
      <w:r w:rsidRPr="00824F4B">
        <w:rPr>
          <w:rFonts w:ascii="Arial" w:hAnsi="Arial" w:cs="Arial"/>
          <w:sz w:val="20"/>
          <w:szCs w:val="20"/>
        </w:rPr>
        <w:t xml:space="preserve"> M. (1974). </w:t>
      </w:r>
      <w:r w:rsidRPr="00824F4B">
        <w:rPr>
          <w:rStyle w:val="Emphasis"/>
          <w:rFonts w:ascii="Arial" w:hAnsi="Arial" w:cs="Arial"/>
          <w:i w:val="0"/>
          <w:sz w:val="20"/>
          <w:szCs w:val="20"/>
        </w:rPr>
        <w:t>Clinical hematology</w:t>
      </w:r>
      <w:r w:rsidRPr="00824F4B">
        <w:rPr>
          <w:rFonts w:ascii="Arial" w:hAnsi="Arial" w:cs="Arial"/>
          <w:i/>
          <w:sz w:val="20"/>
          <w:szCs w:val="20"/>
        </w:rPr>
        <w:t xml:space="preserve">. </w:t>
      </w:r>
      <w:r w:rsidRPr="00824F4B">
        <w:rPr>
          <w:rFonts w:ascii="Arial" w:hAnsi="Arial" w:cs="Arial"/>
          <w:sz w:val="20"/>
          <w:szCs w:val="20"/>
        </w:rPr>
        <w:t xml:space="preserve">Lea and </w:t>
      </w:r>
      <w:proofErr w:type="spellStart"/>
      <w:r w:rsidRPr="00824F4B">
        <w:rPr>
          <w:rFonts w:ascii="Arial" w:hAnsi="Arial" w:cs="Arial"/>
          <w:sz w:val="20"/>
          <w:szCs w:val="20"/>
        </w:rPr>
        <w:t>Febiger</w:t>
      </w:r>
      <w:proofErr w:type="spellEnd"/>
      <w:r w:rsidRPr="00824F4B">
        <w:rPr>
          <w:rFonts w:ascii="Arial" w:hAnsi="Arial" w:cs="Arial"/>
          <w:sz w:val="20"/>
          <w:szCs w:val="20"/>
        </w:rPr>
        <w:t>.</w:t>
      </w:r>
    </w:p>
    <w:sectPr w:rsidR="005263F7" w:rsidRPr="00824F4B" w:rsidSect="00CF37C5">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25EBC" w14:textId="77777777" w:rsidR="004F1D04" w:rsidRDefault="004F1D04" w:rsidP="0030155A">
      <w:r>
        <w:separator/>
      </w:r>
    </w:p>
  </w:endnote>
  <w:endnote w:type="continuationSeparator" w:id="0">
    <w:p w14:paraId="04F0E4D9" w14:textId="77777777" w:rsidR="004F1D04" w:rsidRDefault="004F1D04" w:rsidP="0030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1AD6F" w14:textId="77777777" w:rsidR="004F1D04" w:rsidRDefault="004F1D04" w:rsidP="0030155A">
      <w:r>
        <w:separator/>
      </w:r>
    </w:p>
  </w:footnote>
  <w:footnote w:type="continuationSeparator" w:id="0">
    <w:p w14:paraId="64DC2232" w14:textId="77777777" w:rsidR="004F1D04" w:rsidRDefault="004F1D04" w:rsidP="00301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35F0"/>
    <w:multiLevelType w:val="multilevel"/>
    <w:tmpl w:val="126E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4E3D"/>
    <w:multiLevelType w:val="multilevel"/>
    <w:tmpl w:val="732E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70ED3"/>
    <w:multiLevelType w:val="hybridMultilevel"/>
    <w:tmpl w:val="CD5C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522FA"/>
    <w:multiLevelType w:val="hybridMultilevel"/>
    <w:tmpl w:val="1C9AC38A"/>
    <w:lvl w:ilvl="0" w:tplc="90C0A082">
      <w:start w:val="1"/>
      <w:numFmt w:val="decimal"/>
      <w:lvlText w:val="%1."/>
      <w:lvlJc w:val="left"/>
      <w:pPr>
        <w:ind w:left="360" w:hanging="360"/>
      </w:pPr>
      <w:rPr>
        <w:rFonts w:ascii="Cambria" w:hAnsi="Cambria"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8500D"/>
    <w:multiLevelType w:val="multilevel"/>
    <w:tmpl w:val="9ACA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31F07"/>
    <w:multiLevelType w:val="hybridMultilevel"/>
    <w:tmpl w:val="0B8C69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D51E7"/>
    <w:multiLevelType w:val="hybridMultilevel"/>
    <w:tmpl w:val="D326DCF4"/>
    <w:lvl w:ilvl="0" w:tplc="12CA3FB6">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9A58E3"/>
    <w:multiLevelType w:val="hybridMultilevel"/>
    <w:tmpl w:val="66427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C1604"/>
    <w:multiLevelType w:val="hybridMultilevel"/>
    <w:tmpl w:val="AD46F3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820A5"/>
    <w:multiLevelType w:val="hybridMultilevel"/>
    <w:tmpl w:val="AB1E103E"/>
    <w:lvl w:ilvl="0" w:tplc="7A6602E2">
      <w:start w:val="1"/>
      <w:numFmt w:val="decimal"/>
      <w:lvlText w:val="%1."/>
      <w:lvlJc w:val="left"/>
      <w:pPr>
        <w:ind w:left="720" w:hanging="360"/>
      </w:pPr>
      <w:rPr>
        <w:rFonts w:ascii="Cambria" w:eastAsiaTheme="minorHAnsi" w:hAnsi="Cambria" w:cstheme="minorBidi"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87163"/>
    <w:multiLevelType w:val="multilevel"/>
    <w:tmpl w:val="AB6C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47496"/>
    <w:multiLevelType w:val="hybridMultilevel"/>
    <w:tmpl w:val="2780C5F4"/>
    <w:lvl w:ilvl="0" w:tplc="C4069770">
      <w:start w:val="1"/>
      <w:numFmt w:val="decimal"/>
      <w:lvlText w:val="%1."/>
      <w:lvlJc w:val="left"/>
      <w:pPr>
        <w:ind w:left="1146" w:hanging="360"/>
      </w:pPr>
      <w:rPr>
        <w:sz w:val="24"/>
        <w:szCs w:val="24"/>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2" w15:restartNumberingAfterBreak="0">
    <w:nsid w:val="362851F9"/>
    <w:multiLevelType w:val="multilevel"/>
    <w:tmpl w:val="1E144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17BC4"/>
    <w:multiLevelType w:val="multilevel"/>
    <w:tmpl w:val="DBB4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8586E"/>
    <w:multiLevelType w:val="multilevel"/>
    <w:tmpl w:val="9394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936705"/>
    <w:multiLevelType w:val="hybridMultilevel"/>
    <w:tmpl w:val="4B3E12B6"/>
    <w:lvl w:ilvl="0" w:tplc="E2D82F56">
      <w:start w:val="1"/>
      <w:numFmt w:val="decimal"/>
      <w:lvlText w:val="%1."/>
      <w:lvlJc w:val="left"/>
      <w:pPr>
        <w:ind w:left="720" w:hanging="360"/>
      </w:pPr>
      <w:rPr>
        <w:rFonts w:asciiTheme="majorHAnsi" w:hAnsiTheme="majorHAnsi" w:hint="default"/>
        <w:b w:val="0"/>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5715E8"/>
    <w:multiLevelType w:val="multilevel"/>
    <w:tmpl w:val="46EC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E5FF8"/>
    <w:multiLevelType w:val="multilevel"/>
    <w:tmpl w:val="002A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3A1720"/>
    <w:multiLevelType w:val="hybridMultilevel"/>
    <w:tmpl w:val="AD8C5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C460F"/>
    <w:multiLevelType w:val="hybridMultilevel"/>
    <w:tmpl w:val="DD7EECAC"/>
    <w:lvl w:ilvl="0" w:tplc="4BDA73E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A76947"/>
    <w:multiLevelType w:val="hybridMultilevel"/>
    <w:tmpl w:val="5FAA62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2"/>
  </w:num>
  <w:num w:numId="4">
    <w:abstractNumId w:val="4"/>
  </w:num>
  <w:num w:numId="5">
    <w:abstractNumId w:val="17"/>
  </w:num>
  <w:num w:numId="6">
    <w:abstractNumId w:val="0"/>
  </w:num>
  <w:num w:numId="7">
    <w:abstractNumId w:val="13"/>
  </w:num>
  <w:num w:numId="8">
    <w:abstractNumId w:val="14"/>
  </w:num>
  <w:num w:numId="9">
    <w:abstractNumId w:val="2"/>
  </w:num>
  <w:num w:numId="10">
    <w:abstractNumId w:val="5"/>
  </w:num>
  <w:num w:numId="11">
    <w:abstractNumId w:val="18"/>
  </w:num>
  <w:num w:numId="12">
    <w:abstractNumId w:val="16"/>
  </w:num>
  <w:num w:numId="13">
    <w:abstractNumId w:val="8"/>
  </w:num>
  <w:num w:numId="14">
    <w:abstractNumId w:val="7"/>
  </w:num>
  <w:num w:numId="15">
    <w:abstractNumId w:val="20"/>
  </w:num>
  <w:num w:numId="16">
    <w:abstractNumId w:val="19"/>
  </w:num>
  <w:num w:numId="17">
    <w:abstractNumId w:val="3"/>
  </w:num>
  <w:num w:numId="18">
    <w:abstractNumId w:val="9"/>
  </w:num>
  <w:num w:numId="19">
    <w:abstractNumId w:val="11"/>
  </w:num>
  <w:num w:numId="20">
    <w:abstractNumId w:val="1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1F76"/>
    <w:rsid w:val="0000314D"/>
    <w:rsid w:val="00007FEB"/>
    <w:rsid w:val="000110AF"/>
    <w:rsid w:val="000123D5"/>
    <w:rsid w:val="000141CF"/>
    <w:rsid w:val="00033575"/>
    <w:rsid w:val="00033B0B"/>
    <w:rsid w:val="00040FB8"/>
    <w:rsid w:val="00043F51"/>
    <w:rsid w:val="0004440A"/>
    <w:rsid w:val="000450E7"/>
    <w:rsid w:val="00053DD3"/>
    <w:rsid w:val="000542C3"/>
    <w:rsid w:val="000572AD"/>
    <w:rsid w:val="00066EE1"/>
    <w:rsid w:val="00072259"/>
    <w:rsid w:val="0007336D"/>
    <w:rsid w:val="00075726"/>
    <w:rsid w:val="00075C0C"/>
    <w:rsid w:val="00077F96"/>
    <w:rsid w:val="000932BD"/>
    <w:rsid w:val="0009343C"/>
    <w:rsid w:val="00097555"/>
    <w:rsid w:val="000A4FBB"/>
    <w:rsid w:val="000A51CB"/>
    <w:rsid w:val="000B4A96"/>
    <w:rsid w:val="000B677F"/>
    <w:rsid w:val="000C1215"/>
    <w:rsid w:val="000C473C"/>
    <w:rsid w:val="000D0616"/>
    <w:rsid w:val="000D28ED"/>
    <w:rsid w:val="000D780F"/>
    <w:rsid w:val="000E1558"/>
    <w:rsid w:val="000E2BD4"/>
    <w:rsid w:val="000E4001"/>
    <w:rsid w:val="001104E7"/>
    <w:rsid w:val="001105D0"/>
    <w:rsid w:val="001122B1"/>
    <w:rsid w:val="001145C6"/>
    <w:rsid w:val="00115033"/>
    <w:rsid w:val="00127C5E"/>
    <w:rsid w:val="00132E5B"/>
    <w:rsid w:val="00141FD4"/>
    <w:rsid w:val="001436FD"/>
    <w:rsid w:val="00145A3F"/>
    <w:rsid w:val="0014786C"/>
    <w:rsid w:val="00152E94"/>
    <w:rsid w:val="00153EAD"/>
    <w:rsid w:val="00154176"/>
    <w:rsid w:val="001542A3"/>
    <w:rsid w:val="00163616"/>
    <w:rsid w:val="001707F8"/>
    <w:rsid w:val="00174977"/>
    <w:rsid w:val="00177002"/>
    <w:rsid w:val="00184146"/>
    <w:rsid w:val="00196520"/>
    <w:rsid w:val="00197E98"/>
    <w:rsid w:val="001A3C39"/>
    <w:rsid w:val="001A3F39"/>
    <w:rsid w:val="001A58FB"/>
    <w:rsid w:val="001B1F6F"/>
    <w:rsid w:val="001B72DE"/>
    <w:rsid w:val="001B7CE5"/>
    <w:rsid w:val="001C1811"/>
    <w:rsid w:val="001C2F91"/>
    <w:rsid w:val="001C6DB4"/>
    <w:rsid w:val="001D6064"/>
    <w:rsid w:val="001D621B"/>
    <w:rsid w:val="00216C3A"/>
    <w:rsid w:val="00220970"/>
    <w:rsid w:val="00234B2C"/>
    <w:rsid w:val="002423F3"/>
    <w:rsid w:val="00246BEF"/>
    <w:rsid w:val="00252F27"/>
    <w:rsid w:val="00254AA9"/>
    <w:rsid w:val="00254C38"/>
    <w:rsid w:val="00264D9E"/>
    <w:rsid w:val="0026504C"/>
    <w:rsid w:val="00270136"/>
    <w:rsid w:val="00280477"/>
    <w:rsid w:val="002806A8"/>
    <w:rsid w:val="0028525F"/>
    <w:rsid w:val="002855BF"/>
    <w:rsid w:val="00286EB8"/>
    <w:rsid w:val="00290D7F"/>
    <w:rsid w:val="00291611"/>
    <w:rsid w:val="00291BCC"/>
    <w:rsid w:val="00296213"/>
    <w:rsid w:val="00296DDC"/>
    <w:rsid w:val="002A7637"/>
    <w:rsid w:val="002B3C20"/>
    <w:rsid w:val="002B6AFE"/>
    <w:rsid w:val="002C5115"/>
    <w:rsid w:val="002D1565"/>
    <w:rsid w:val="002D6723"/>
    <w:rsid w:val="002E04E9"/>
    <w:rsid w:val="002E5708"/>
    <w:rsid w:val="002E72CC"/>
    <w:rsid w:val="002F4861"/>
    <w:rsid w:val="002F4BAC"/>
    <w:rsid w:val="0030155A"/>
    <w:rsid w:val="00307A0E"/>
    <w:rsid w:val="003138DA"/>
    <w:rsid w:val="00320F30"/>
    <w:rsid w:val="00326FE8"/>
    <w:rsid w:val="003319CE"/>
    <w:rsid w:val="00331CC7"/>
    <w:rsid w:val="003358C6"/>
    <w:rsid w:val="00341125"/>
    <w:rsid w:val="003475CA"/>
    <w:rsid w:val="003503E2"/>
    <w:rsid w:val="00361115"/>
    <w:rsid w:val="0037305E"/>
    <w:rsid w:val="00376B9E"/>
    <w:rsid w:val="00380946"/>
    <w:rsid w:val="0038098E"/>
    <w:rsid w:val="003844CE"/>
    <w:rsid w:val="00384731"/>
    <w:rsid w:val="003863FD"/>
    <w:rsid w:val="0039654E"/>
    <w:rsid w:val="003A3ABF"/>
    <w:rsid w:val="003B4805"/>
    <w:rsid w:val="003B4895"/>
    <w:rsid w:val="003D3ED7"/>
    <w:rsid w:val="003D4044"/>
    <w:rsid w:val="003D5C7E"/>
    <w:rsid w:val="003D6BC7"/>
    <w:rsid w:val="003D7FDF"/>
    <w:rsid w:val="003E6334"/>
    <w:rsid w:val="003E6814"/>
    <w:rsid w:val="003F25C2"/>
    <w:rsid w:val="003F2E17"/>
    <w:rsid w:val="003F7849"/>
    <w:rsid w:val="00400C3D"/>
    <w:rsid w:val="00413A1E"/>
    <w:rsid w:val="00414F15"/>
    <w:rsid w:val="00416809"/>
    <w:rsid w:val="00430E91"/>
    <w:rsid w:val="00431A50"/>
    <w:rsid w:val="00434A56"/>
    <w:rsid w:val="0044144A"/>
    <w:rsid w:val="00441BA0"/>
    <w:rsid w:val="0045534D"/>
    <w:rsid w:val="004554A3"/>
    <w:rsid w:val="00455F98"/>
    <w:rsid w:val="004617E1"/>
    <w:rsid w:val="00471D78"/>
    <w:rsid w:val="0047452B"/>
    <w:rsid w:val="00482444"/>
    <w:rsid w:val="00484773"/>
    <w:rsid w:val="004A59E9"/>
    <w:rsid w:val="004B284D"/>
    <w:rsid w:val="004B395F"/>
    <w:rsid w:val="004B5BC0"/>
    <w:rsid w:val="004B6BD4"/>
    <w:rsid w:val="004C38D5"/>
    <w:rsid w:val="004C68F7"/>
    <w:rsid w:val="004C6EC8"/>
    <w:rsid w:val="004E17E9"/>
    <w:rsid w:val="004E2319"/>
    <w:rsid w:val="004E47E8"/>
    <w:rsid w:val="004E5D85"/>
    <w:rsid w:val="004F1D04"/>
    <w:rsid w:val="004F32C3"/>
    <w:rsid w:val="004F5C56"/>
    <w:rsid w:val="004F77FB"/>
    <w:rsid w:val="00513EA6"/>
    <w:rsid w:val="005263F7"/>
    <w:rsid w:val="0053231B"/>
    <w:rsid w:val="00533CE7"/>
    <w:rsid w:val="005408B7"/>
    <w:rsid w:val="005450F6"/>
    <w:rsid w:val="0054695E"/>
    <w:rsid w:val="00551CB1"/>
    <w:rsid w:val="00555EAA"/>
    <w:rsid w:val="00557D73"/>
    <w:rsid w:val="00566DFD"/>
    <w:rsid w:val="005824DC"/>
    <w:rsid w:val="00594688"/>
    <w:rsid w:val="0059493F"/>
    <w:rsid w:val="00594FDA"/>
    <w:rsid w:val="00597B9B"/>
    <w:rsid w:val="005B0567"/>
    <w:rsid w:val="005B1E39"/>
    <w:rsid w:val="005B7B0A"/>
    <w:rsid w:val="005D1826"/>
    <w:rsid w:val="005D598C"/>
    <w:rsid w:val="005D7B1B"/>
    <w:rsid w:val="005E1B92"/>
    <w:rsid w:val="005E27F0"/>
    <w:rsid w:val="005F1435"/>
    <w:rsid w:val="005F5294"/>
    <w:rsid w:val="006026F2"/>
    <w:rsid w:val="00603376"/>
    <w:rsid w:val="00604798"/>
    <w:rsid w:val="006114EB"/>
    <w:rsid w:val="00613AE4"/>
    <w:rsid w:val="00616CA9"/>
    <w:rsid w:val="00623A63"/>
    <w:rsid w:val="00626735"/>
    <w:rsid w:val="00643AD4"/>
    <w:rsid w:val="00644BD9"/>
    <w:rsid w:val="00650CAF"/>
    <w:rsid w:val="00652758"/>
    <w:rsid w:val="00654159"/>
    <w:rsid w:val="00663B65"/>
    <w:rsid w:val="00665D8F"/>
    <w:rsid w:val="00666B19"/>
    <w:rsid w:val="00670080"/>
    <w:rsid w:val="006745F2"/>
    <w:rsid w:val="00674BF5"/>
    <w:rsid w:val="006761F6"/>
    <w:rsid w:val="0068015F"/>
    <w:rsid w:val="00681FA1"/>
    <w:rsid w:val="00685149"/>
    <w:rsid w:val="006A0515"/>
    <w:rsid w:val="006A57A6"/>
    <w:rsid w:val="006B05ED"/>
    <w:rsid w:val="006D0A74"/>
    <w:rsid w:val="006D6113"/>
    <w:rsid w:val="006E66DE"/>
    <w:rsid w:val="006F1822"/>
    <w:rsid w:val="006F4A06"/>
    <w:rsid w:val="006F518B"/>
    <w:rsid w:val="00705472"/>
    <w:rsid w:val="00706772"/>
    <w:rsid w:val="00706B7D"/>
    <w:rsid w:val="00720640"/>
    <w:rsid w:val="0072303A"/>
    <w:rsid w:val="0073137F"/>
    <w:rsid w:val="00741BEE"/>
    <w:rsid w:val="007446E1"/>
    <w:rsid w:val="00751319"/>
    <w:rsid w:val="0077749E"/>
    <w:rsid w:val="00784450"/>
    <w:rsid w:val="00793041"/>
    <w:rsid w:val="007972F0"/>
    <w:rsid w:val="007A1D8B"/>
    <w:rsid w:val="007B1553"/>
    <w:rsid w:val="007B4DDD"/>
    <w:rsid w:val="007C7AA6"/>
    <w:rsid w:val="007E2561"/>
    <w:rsid w:val="007E2F2F"/>
    <w:rsid w:val="00805C4F"/>
    <w:rsid w:val="008222FB"/>
    <w:rsid w:val="008241CB"/>
    <w:rsid w:val="00824F4B"/>
    <w:rsid w:val="0083038A"/>
    <w:rsid w:val="00833052"/>
    <w:rsid w:val="0083590D"/>
    <w:rsid w:val="00835C5D"/>
    <w:rsid w:val="008438DD"/>
    <w:rsid w:val="008463C0"/>
    <w:rsid w:val="008474B3"/>
    <w:rsid w:val="00850BBD"/>
    <w:rsid w:val="008513D0"/>
    <w:rsid w:val="00854117"/>
    <w:rsid w:val="00856AD1"/>
    <w:rsid w:val="0087152A"/>
    <w:rsid w:val="00876352"/>
    <w:rsid w:val="00892784"/>
    <w:rsid w:val="008A49F2"/>
    <w:rsid w:val="008A610E"/>
    <w:rsid w:val="008A7A88"/>
    <w:rsid w:val="008B2F81"/>
    <w:rsid w:val="008B501B"/>
    <w:rsid w:val="008C020A"/>
    <w:rsid w:val="008C4150"/>
    <w:rsid w:val="008C45AA"/>
    <w:rsid w:val="008C7CBB"/>
    <w:rsid w:val="008D1B55"/>
    <w:rsid w:val="008D1F60"/>
    <w:rsid w:val="008D357D"/>
    <w:rsid w:val="008D3DC2"/>
    <w:rsid w:val="008D5458"/>
    <w:rsid w:val="008D779D"/>
    <w:rsid w:val="008E6BF4"/>
    <w:rsid w:val="008F2706"/>
    <w:rsid w:val="008F38BA"/>
    <w:rsid w:val="009008BA"/>
    <w:rsid w:val="00905512"/>
    <w:rsid w:val="009176F1"/>
    <w:rsid w:val="009225FE"/>
    <w:rsid w:val="00925133"/>
    <w:rsid w:val="00926410"/>
    <w:rsid w:val="009309C8"/>
    <w:rsid w:val="00930D51"/>
    <w:rsid w:val="00943EF6"/>
    <w:rsid w:val="00950917"/>
    <w:rsid w:val="009514E5"/>
    <w:rsid w:val="009628AF"/>
    <w:rsid w:val="00962B0C"/>
    <w:rsid w:val="00965D34"/>
    <w:rsid w:val="00972418"/>
    <w:rsid w:val="00992DD4"/>
    <w:rsid w:val="00993B07"/>
    <w:rsid w:val="00994339"/>
    <w:rsid w:val="00995095"/>
    <w:rsid w:val="009967D3"/>
    <w:rsid w:val="009A22D7"/>
    <w:rsid w:val="009A572D"/>
    <w:rsid w:val="009A58F7"/>
    <w:rsid w:val="009B65B4"/>
    <w:rsid w:val="009B7640"/>
    <w:rsid w:val="009C14EC"/>
    <w:rsid w:val="009C3E5F"/>
    <w:rsid w:val="009C668A"/>
    <w:rsid w:val="009D1553"/>
    <w:rsid w:val="009D2743"/>
    <w:rsid w:val="009E0954"/>
    <w:rsid w:val="009E6028"/>
    <w:rsid w:val="009E7307"/>
    <w:rsid w:val="009F0FA5"/>
    <w:rsid w:val="009F1825"/>
    <w:rsid w:val="009F307D"/>
    <w:rsid w:val="00A030DB"/>
    <w:rsid w:val="00A1086C"/>
    <w:rsid w:val="00A16CDB"/>
    <w:rsid w:val="00A178E7"/>
    <w:rsid w:val="00A215E7"/>
    <w:rsid w:val="00A226E9"/>
    <w:rsid w:val="00A307E1"/>
    <w:rsid w:val="00A3290D"/>
    <w:rsid w:val="00A33339"/>
    <w:rsid w:val="00A34F73"/>
    <w:rsid w:val="00A3691C"/>
    <w:rsid w:val="00A400CF"/>
    <w:rsid w:val="00A4514E"/>
    <w:rsid w:val="00A604DF"/>
    <w:rsid w:val="00A660F9"/>
    <w:rsid w:val="00A71108"/>
    <w:rsid w:val="00A716AF"/>
    <w:rsid w:val="00A71B9D"/>
    <w:rsid w:val="00A74B7E"/>
    <w:rsid w:val="00A81A56"/>
    <w:rsid w:val="00A87754"/>
    <w:rsid w:val="00A92DB4"/>
    <w:rsid w:val="00A9405F"/>
    <w:rsid w:val="00A9571C"/>
    <w:rsid w:val="00AA7825"/>
    <w:rsid w:val="00AA7F66"/>
    <w:rsid w:val="00AC1F76"/>
    <w:rsid w:val="00AC7395"/>
    <w:rsid w:val="00AD6624"/>
    <w:rsid w:val="00AF1062"/>
    <w:rsid w:val="00AF4AA8"/>
    <w:rsid w:val="00AF583A"/>
    <w:rsid w:val="00AF7CC4"/>
    <w:rsid w:val="00B0020C"/>
    <w:rsid w:val="00B07468"/>
    <w:rsid w:val="00B07AA9"/>
    <w:rsid w:val="00B1552E"/>
    <w:rsid w:val="00B16FE7"/>
    <w:rsid w:val="00B172A5"/>
    <w:rsid w:val="00B20A78"/>
    <w:rsid w:val="00B2182B"/>
    <w:rsid w:val="00B255A3"/>
    <w:rsid w:val="00B30FF4"/>
    <w:rsid w:val="00B344EC"/>
    <w:rsid w:val="00B5606A"/>
    <w:rsid w:val="00B57329"/>
    <w:rsid w:val="00B606FD"/>
    <w:rsid w:val="00B60D22"/>
    <w:rsid w:val="00B6661D"/>
    <w:rsid w:val="00B67C65"/>
    <w:rsid w:val="00B70836"/>
    <w:rsid w:val="00B720AD"/>
    <w:rsid w:val="00B83CF0"/>
    <w:rsid w:val="00B8686E"/>
    <w:rsid w:val="00B9203D"/>
    <w:rsid w:val="00B940A6"/>
    <w:rsid w:val="00B9545F"/>
    <w:rsid w:val="00B9691E"/>
    <w:rsid w:val="00BA7F44"/>
    <w:rsid w:val="00BB518A"/>
    <w:rsid w:val="00BB6CCB"/>
    <w:rsid w:val="00BC45DE"/>
    <w:rsid w:val="00BD4D53"/>
    <w:rsid w:val="00BF1C84"/>
    <w:rsid w:val="00BF6100"/>
    <w:rsid w:val="00BF7D57"/>
    <w:rsid w:val="00C005A5"/>
    <w:rsid w:val="00C02D55"/>
    <w:rsid w:val="00C15C4A"/>
    <w:rsid w:val="00C16503"/>
    <w:rsid w:val="00C16A53"/>
    <w:rsid w:val="00C316F6"/>
    <w:rsid w:val="00C31737"/>
    <w:rsid w:val="00C327D3"/>
    <w:rsid w:val="00C35EEE"/>
    <w:rsid w:val="00C439E0"/>
    <w:rsid w:val="00C47ED6"/>
    <w:rsid w:val="00C52100"/>
    <w:rsid w:val="00C55D04"/>
    <w:rsid w:val="00C57D02"/>
    <w:rsid w:val="00C60AB5"/>
    <w:rsid w:val="00C65C90"/>
    <w:rsid w:val="00C6612A"/>
    <w:rsid w:val="00C73A5D"/>
    <w:rsid w:val="00C73B3D"/>
    <w:rsid w:val="00C876AF"/>
    <w:rsid w:val="00CA1323"/>
    <w:rsid w:val="00CA228D"/>
    <w:rsid w:val="00CA36E8"/>
    <w:rsid w:val="00CA6A18"/>
    <w:rsid w:val="00CA7885"/>
    <w:rsid w:val="00CB240C"/>
    <w:rsid w:val="00CB7894"/>
    <w:rsid w:val="00CC3098"/>
    <w:rsid w:val="00CC7A97"/>
    <w:rsid w:val="00CD062C"/>
    <w:rsid w:val="00CD6DE5"/>
    <w:rsid w:val="00CD7259"/>
    <w:rsid w:val="00CD7923"/>
    <w:rsid w:val="00CE0E5F"/>
    <w:rsid w:val="00CE13C6"/>
    <w:rsid w:val="00CE5FA4"/>
    <w:rsid w:val="00CF37C5"/>
    <w:rsid w:val="00D038EA"/>
    <w:rsid w:val="00D068FE"/>
    <w:rsid w:val="00D11D5B"/>
    <w:rsid w:val="00D14D8D"/>
    <w:rsid w:val="00D21AD3"/>
    <w:rsid w:val="00D2256A"/>
    <w:rsid w:val="00D302F0"/>
    <w:rsid w:val="00D3127C"/>
    <w:rsid w:val="00D315C3"/>
    <w:rsid w:val="00D321B8"/>
    <w:rsid w:val="00D355B7"/>
    <w:rsid w:val="00D363AE"/>
    <w:rsid w:val="00D4054B"/>
    <w:rsid w:val="00D44B74"/>
    <w:rsid w:val="00D471B5"/>
    <w:rsid w:val="00D50CAD"/>
    <w:rsid w:val="00D60C7B"/>
    <w:rsid w:val="00D60EA5"/>
    <w:rsid w:val="00D63545"/>
    <w:rsid w:val="00D642AC"/>
    <w:rsid w:val="00D64875"/>
    <w:rsid w:val="00D715A0"/>
    <w:rsid w:val="00D725BF"/>
    <w:rsid w:val="00D7284E"/>
    <w:rsid w:val="00D731BC"/>
    <w:rsid w:val="00D7548A"/>
    <w:rsid w:val="00D80625"/>
    <w:rsid w:val="00D8185E"/>
    <w:rsid w:val="00D81D41"/>
    <w:rsid w:val="00D90F36"/>
    <w:rsid w:val="00D93457"/>
    <w:rsid w:val="00D9403A"/>
    <w:rsid w:val="00DA302D"/>
    <w:rsid w:val="00DA3446"/>
    <w:rsid w:val="00DB0226"/>
    <w:rsid w:val="00DB6C1C"/>
    <w:rsid w:val="00DC68C8"/>
    <w:rsid w:val="00DD3FD6"/>
    <w:rsid w:val="00DD5650"/>
    <w:rsid w:val="00DD5A19"/>
    <w:rsid w:val="00DD7DCE"/>
    <w:rsid w:val="00DE2253"/>
    <w:rsid w:val="00DE5051"/>
    <w:rsid w:val="00DF196A"/>
    <w:rsid w:val="00DF5556"/>
    <w:rsid w:val="00DF65FD"/>
    <w:rsid w:val="00E010F2"/>
    <w:rsid w:val="00E0254F"/>
    <w:rsid w:val="00E05BD8"/>
    <w:rsid w:val="00E103BD"/>
    <w:rsid w:val="00E110CC"/>
    <w:rsid w:val="00E13033"/>
    <w:rsid w:val="00E13D32"/>
    <w:rsid w:val="00E26082"/>
    <w:rsid w:val="00E35F55"/>
    <w:rsid w:val="00E36111"/>
    <w:rsid w:val="00E366B8"/>
    <w:rsid w:val="00E429BA"/>
    <w:rsid w:val="00E521BD"/>
    <w:rsid w:val="00E53901"/>
    <w:rsid w:val="00E57AD6"/>
    <w:rsid w:val="00E6222A"/>
    <w:rsid w:val="00E63005"/>
    <w:rsid w:val="00E73B46"/>
    <w:rsid w:val="00E81349"/>
    <w:rsid w:val="00E8363E"/>
    <w:rsid w:val="00E8454D"/>
    <w:rsid w:val="00E86830"/>
    <w:rsid w:val="00E92A70"/>
    <w:rsid w:val="00E95AFD"/>
    <w:rsid w:val="00EA1FF6"/>
    <w:rsid w:val="00EA300E"/>
    <w:rsid w:val="00EA331C"/>
    <w:rsid w:val="00EA5D06"/>
    <w:rsid w:val="00EA5E55"/>
    <w:rsid w:val="00ED60F5"/>
    <w:rsid w:val="00EE270B"/>
    <w:rsid w:val="00F0125D"/>
    <w:rsid w:val="00F02E13"/>
    <w:rsid w:val="00F1329C"/>
    <w:rsid w:val="00F1399D"/>
    <w:rsid w:val="00F14EC8"/>
    <w:rsid w:val="00F261A0"/>
    <w:rsid w:val="00F3419B"/>
    <w:rsid w:val="00F3731F"/>
    <w:rsid w:val="00F37D8B"/>
    <w:rsid w:val="00F40E73"/>
    <w:rsid w:val="00F43D77"/>
    <w:rsid w:val="00F46C3E"/>
    <w:rsid w:val="00F5525E"/>
    <w:rsid w:val="00F55E38"/>
    <w:rsid w:val="00F6041A"/>
    <w:rsid w:val="00F62D05"/>
    <w:rsid w:val="00F65DB2"/>
    <w:rsid w:val="00F67181"/>
    <w:rsid w:val="00F67F79"/>
    <w:rsid w:val="00F708DB"/>
    <w:rsid w:val="00F846CB"/>
    <w:rsid w:val="00F8488D"/>
    <w:rsid w:val="00F912CE"/>
    <w:rsid w:val="00F967C8"/>
    <w:rsid w:val="00F96ABD"/>
    <w:rsid w:val="00FA4C08"/>
    <w:rsid w:val="00FA68E9"/>
    <w:rsid w:val="00FB255E"/>
    <w:rsid w:val="00FB4D6C"/>
    <w:rsid w:val="00FB551A"/>
    <w:rsid w:val="00FC2FF8"/>
    <w:rsid w:val="00FD7A13"/>
    <w:rsid w:val="00FE03DB"/>
    <w:rsid w:val="00FE142F"/>
    <w:rsid w:val="00FE31B5"/>
    <w:rsid w:val="00FE40C5"/>
    <w:rsid w:val="00FE5FE6"/>
    <w:rsid w:val="00FE6431"/>
    <w:rsid w:val="00FF171B"/>
    <w:rsid w:val="00FF5AB3"/>
    <w:rsid w:val="00FF614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73F2"/>
  <w15:docId w15:val="{B10090CD-9D57-4D5B-8959-2F8E3EB5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723"/>
    <w:pPr>
      <w:spacing w:after="0" w:line="240" w:lineRule="auto"/>
    </w:pPr>
    <w:rPr>
      <w:rFonts w:ascii="Times New Roman" w:eastAsia="Times New Roman" w:hAnsi="Times New Roman" w:cs="Times New Roman"/>
      <w:sz w:val="24"/>
      <w:szCs w:val="24"/>
      <w:lang w:bidi="hi-IN"/>
    </w:rPr>
  </w:style>
  <w:style w:type="paragraph" w:styleId="Heading1">
    <w:name w:val="heading 1"/>
    <w:basedOn w:val="Normal"/>
    <w:next w:val="Normal"/>
    <w:link w:val="Heading1Char"/>
    <w:uiPriority w:val="9"/>
    <w:qFormat/>
    <w:rsid w:val="000E2BD4"/>
    <w:pPr>
      <w:keepNext/>
      <w:keepLines/>
      <w:spacing w:line="276" w:lineRule="auto"/>
      <w:outlineLvl w:val="0"/>
    </w:pPr>
    <w:rPr>
      <w:rFonts w:asciiTheme="majorHAnsi" w:eastAsiaTheme="majorEastAsia" w:hAnsiTheme="majorHAnsi" w:cs="Arial"/>
      <w:b/>
      <w:bCs/>
      <w:sz w:val="28"/>
      <w:lang w:bidi="ar-SA"/>
    </w:rPr>
  </w:style>
  <w:style w:type="paragraph" w:styleId="Heading2">
    <w:name w:val="heading 2"/>
    <w:basedOn w:val="Normal"/>
    <w:next w:val="Normal"/>
    <w:link w:val="Heading2Char"/>
    <w:uiPriority w:val="9"/>
    <w:unhideWhenUsed/>
    <w:qFormat/>
    <w:rsid w:val="00FE6431"/>
    <w:pPr>
      <w:keepNext/>
      <w:keepLines/>
      <w:spacing w:before="20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E8134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992DD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ar-SA"/>
    </w:rPr>
  </w:style>
  <w:style w:type="paragraph" w:styleId="Heading5">
    <w:name w:val="heading 5"/>
    <w:basedOn w:val="Normal"/>
    <w:next w:val="Normal"/>
    <w:link w:val="Heading5Char"/>
    <w:uiPriority w:val="9"/>
    <w:unhideWhenUsed/>
    <w:qFormat/>
    <w:rsid w:val="00F65DB2"/>
    <w:pPr>
      <w:keepNext/>
      <w:keepLines/>
      <w:spacing w:before="200"/>
      <w:outlineLvl w:val="4"/>
    </w:pPr>
    <w:rPr>
      <w:rFonts w:asciiTheme="majorHAnsi" w:eastAsiaTheme="majorEastAsia" w:hAnsiTheme="majorHAnsi" w:cstheme="majorBidi"/>
      <w:color w:val="243F60" w:themeColor="accent1" w:themeShade="7F"/>
      <w:szCs w:val="21"/>
    </w:rPr>
  </w:style>
  <w:style w:type="paragraph" w:styleId="Heading6">
    <w:name w:val="heading 6"/>
    <w:basedOn w:val="Normal"/>
    <w:next w:val="Normal"/>
    <w:link w:val="Heading6Char"/>
    <w:uiPriority w:val="9"/>
    <w:unhideWhenUsed/>
    <w:qFormat/>
    <w:rsid w:val="003F25C2"/>
    <w:pPr>
      <w:keepNext/>
      <w:keepLines/>
      <w:spacing w:before="200"/>
      <w:outlineLvl w:val="5"/>
    </w:pPr>
    <w:rPr>
      <w:rFonts w:asciiTheme="majorHAnsi" w:eastAsiaTheme="majorEastAsia" w:hAnsiTheme="majorHAnsi" w:cstheme="majorBidi"/>
      <w:i/>
      <w:iCs/>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1349"/>
    <w:rPr>
      <w:b/>
      <w:bCs/>
    </w:rPr>
  </w:style>
  <w:style w:type="character" w:customStyle="1" w:styleId="Heading3Char">
    <w:name w:val="Heading 3 Char"/>
    <w:basedOn w:val="DefaultParagraphFont"/>
    <w:link w:val="Heading3"/>
    <w:uiPriority w:val="9"/>
    <w:rsid w:val="00E81349"/>
    <w:rPr>
      <w:rFonts w:ascii="Times New Roman" w:eastAsia="Times New Roman" w:hAnsi="Times New Roman" w:cs="Times New Roman"/>
      <w:b/>
      <w:bCs/>
      <w:sz w:val="27"/>
      <w:szCs w:val="27"/>
      <w:lang w:bidi="hi-IN"/>
    </w:rPr>
  </w:style>
  <w:style w:type="paragraph" w:styleId="NormalWeb">
    <w:name w:val="Normal (Web)"/>
    <w:basedOn w:val="Normal"/>
    <w:uiPriority w:val="99"/>
    <w:unhideWhenUsed/>
    <w:rsid w:val="00E81349"/>
    <w:pPr>
      <w:spacing w:before="100" w:beforeAutospacing="1" w:after="100" w:afterAutospacing="1"/>
    </w:pPr>
  </w:style>
  <w:style w:type="paragraph" w:styleId="BalloonText">
    <w:name w:val="Balloon Text"/>
    <w:basedOn w:val="Normal"/>
    <w:link w:val="BalloonTextChar"/>
    <w:uiPriority w:val="99"/>
    <w:semiHidden/>
    <w:unhideWhenUsed/>
    <w:rsid w:val="00DA302D"/>
    <w:rPr>
      <w:rFonts w:ascii="Tahoma" w:hAnsi="Tahoma" w:cs="Tahoma"/>
      <w:sz w:val="16"/>
      <w:szCs w:val="16"/>
    </w:rPr>
  </w:style>
  <w:style w:type="character" w:customStyle="1" w:styleId="BalloonTextChar">
    <w:name w:val="Balloon Text Char"/>
    <w:basedOn w:val="DefaultParagraphFont"/>
    <w:link w:val="BalloonText"/>
    <w:uiPriority w:val="99"/>
    <w:semiHidden/>
    <w:rsid w:val="00DA302D"/>
    <w:rPr>
      <w:rFonts w:ascii="Tahoma" w:hAnsi="Tahoma" w:cs="Tahoma"/>
      <w:sz w:val="16"/>
      <w:szCs w:val="16"/>
    </w:rPr>
  </w:style>
  <w:style w:type="character" w:styleId="Emphasis">
    <w:name w:val="Emphasis"/>
    <w:basedOn w:val="DefaultParagraphFont"/>
    <w:uiPriority w:val="20"/>
    <w:qFormat/>
    <w:rsid w:val="00DA302D"/>
    <w:rPr>
      <w:i/>
      <w:iCs/>
    </w:rPr>
  </w:style>
  <w:style w:type="character" w:customStyle="1" w:styleId="Heading4Char">
    <w:name w:val="Heading 4 Char"/>
    <w:basedOn w:val="DefaultParagraphFont"/>
    <w:link w:val="Heading4"/>
    <w:uiPriority w:val="9"/>
    <w:rsid w:val="00992DD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92DD4"/>
    <w:pPr>
      <w:spacing w:after="200" w:line="276" w:lineRule="auto"/>
      <w:ind w:left="720"/>
      <w:contextualSpacing/>
    </w:pPr>
    <w:rPr>
      <w:rFonts w:asciiTheme="minorHAnsi" w:eastAsiaTheme="minorHAnsi" w:hAnsiTheme="minorHAnsi" w:cstheme="minorBidi"/>
      <w:sz w:val="22"/>
      <w:szCs w:val="22"/>
      <w:lang w:bidi="ar-SA"/>
    </w:rPr>
  </w:style>
  <w:style w:type="character" w:styleId="Hyperlink">
    <w:name w:val="Hyperlink"/>
    <w:basedOn w:val="DefaultParagraphFont"/>
    <w:uiPriority w:val="99"/>
    <w:unhideWhenUsed/>
    <w:rsid w:val="003F7849"/>
    <w:rPr>
      <w:color w:val="0000FF" w:themeColor="hyperlink"/>
      <w:u w:val="single"/>
    </w:rPr>
  </w:style>
  <w:style w:type="paragraph" w:styleId="Header">
    <w:name w:val="header"/>
    <w:basedOn w:val="Normal"/>
    <w:link w:val="HeaderChar"/>
    <w:uiPriority w:val="99"/>
    <w:unhideWhenUsed/>
    <w:rsid w:val="0030155A"/>
    <w:pPr>
      <w:tabs>
        <w:tab w:val="center" w:pos="4680"/>
        <w:tab w:val="right" w:pos="9360"/>
      </w:tabs>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30155A"/>
  </w:style>
  <w:style w:type="paragraph" w:styleId="Footer">
    <w:name w:val="footer"/>
    <w:basedOn w:val="Normal"/>
    <w:link w:val="FooterChar"/>
    <w:unhideWhenUsed/>
    <w:rsid w:val="0030155A"/>
    <w:pPr>
      <w:tabs>
        <w:tab w:val="center" w:pos="4680"/>
        <w:tab w:val="right" w:pos="9360"/>
      </w:tabs>
    </w:pPr>
  </w:style>
  <w:style w:type="character" w:customStyle="1" w:styleId="FooterChar">
    <w:name w:val="Footer Char"/>
    <w:basedOn w:val="DefaultParagraphFont"/>
    <w:link w:val="Footer"/>
    <w:rsid w:val="0030155A"/>
  </w:style>
  <w:style w:type="character" w:customStyle="1" w:styleId="inlineblock">
    <w:name w:val="inlineblock"/>
    <w:basedOn w:val="DefaultParagraphFont"/>
    <w:rsid w:val="00B57329"/>
  </w:style>
  <w:style w:type="character" w:customStyle="1" w:styleId="Heading1Char">
    <w:name w:val="Heading 1 Char"/>
    <w:basedOn w:val="DefaultParagraphFont"/>
    <w:link w:val="Heading1"/>
    <w:uiPriority w:val="9"/>
    <w:rsid w:val="000E2BD4"/>
    <w:rPr>
      <w:rFonts w:asciiTheme="majorHAnsi" w:eastAsiaTheme="majorEastAsia" w:hAnsiTheme="majorHAnsi" w:cs="Arial"/>
      <w:b/>
      <w:bCs/>
      <w:sz w:val="28"/>
      <w:szCs w:val="24"/>
    </w:rPr>
  </w:style>
  <w:style w:type="character" w:customStyle="1" w:styleId="html-italic">
    <w:name w:val="html-italic"/>
    <w:basedOn w:val="DefaultParagraphFont"/>
    <w:rsid w:val="0047452B"/>
  </w:style>
  <w:style w:type="character" w:customStyle="1" w:styleId="Heading6Char">
    <w:name w:val="Heading 6 Char"/>
    <w:basedOn w:val="DefaultParagraphFont"/>
    <w:link w:val="Heading6"/>
    <w:uiPriority w:val="9"/>
    <w:rsid w:val="003F25C2"/>
    <w:rPr>
      <w:rFonts w:asciiTheme="majorHAnsi" w:eastAsiaTheme="majorEastAsia" w:hAnsiTheme="majorHAnsi" w:cstheme="majorBidi"/>
      <w:i/>
      <w:iCs/>
      <w:color w:val="243F60" w:themeColor="accent1" w:themeShade="7F"/>
      <w:sz w:val="24"/>
      <w:szCs w:val="21"/>
      <w:lang w:bidi="hi-IN"/>
    </w:rPr>
  </w:style>
  <w:style w:type="paragraph" w:styleId="Title">
    <w:name w:val="Title"/>
    <w:basedOn w:val="Normal"/>
    <w:next w:val="Normal"/>
    <w:link w:val="TitleChar"/>
    <w:uiPriority w:val="10"/>
    <w:qFormat/>
    <w:rsid w:val="00FE64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uiPriority w:val="10"/>
    <w:rsid w:val="00FE6431"/>
    <w:rPr>
      <w:rFonts w:asciiTheme="majorHAnsi" w:eastAsiaTheme="majorEastAsia" w:hAnsiTheme="majorHAnsi" w:cstheme="majorBidi"/>
      <w:color w:val="17365D" w:themeColor="text2" w:themeShade="BF"/>
      <w:spacing w:val="5"/>
      <w:kern w:val="28"/>
      <w:sz w:val="52"/>
      <w:szCs w:val="47"/>
      <w:lang w:bidi="hi-IN"/>
    </w:rPr>
  </w:style>
  <w:style w:type="character" w:customStyle="1" w:styleId="Heading2Char">
    <w:name w:val="Heading 2 Char"/>
    <w:basedOn w:val="DefaultParagraphFont"/>
    <w:link w:val="Heading2"/>
    <w:uiPriority w:val="9"/>
    <w:rsid w:val="00FE6431"/>
    <w:rPr>
      <w:rFonts w:asciiTheme="majorHAnsi" w:eastAsiaTheme="majorEastAsia" w:hAnsiTheme="majorHAnsi" w:cstheme="majorBidi"/>
      <w:b/>
      <w:bCs/>
      <w:color w:val="4F81BD" w:themeColor="accent1"/>
      <w:sz w:val="26"/>
      <w:szCs w:val="23"/>
      <w:lang w:bidi="hi-IN"/>
    </w:rPr>
  </w:style>
  <w:style w:type="character" w:customStyle="1" w:styleId="Heading5Char">
    <w:name w:val="Heading 5 Char"/>
    <w:basedOn w:val="DefaultParagraphFont"/>
    <w:link w:val="Heading5"/>
    <w:uiPriority w:val="9"/>
    <w:rsid w:val="00F65DB2"/>
    <w:rPr>
      <w:rFonts w:asciiTheme="majorHAnsi" w:eastAsiaTheme="majorEastAsia" w:hAnsiTheme="majorHAnsi" w:cstheme="majorBidi"/>
      <w:color w:val="243F60" w:themeColor="accent1" w:themeShade="7F"/>
      <w:sz w:val="24"/>
      <w:szCs w:val="21"/>
      <w:lang w:bidi="hi-IN"/>
    </w:rPr>
  </w:style>
  <w:style w:type="character" w:customStyle="1" w:styleId="UnresolvedMention1">
    <w:name w:val="Unresolved Mention1"/>
    <w:basedOn w:val="DefaultParagraphFont"/>
    <w:uiPriority w:val="99"/>
    <w:semiHidden/>
    <w:unhideWhenUsed/>
    <w:rsid w:val="00681FA1"/>
    <w:rPr>
      <w:color w:val="605E5C"/>
      <w:shd w:val="clear" w:color="auto" w:fill="E1DFDD"/>
    </w:rPr>
  </w:style>
  <w:style w:type="paragraph" w:styleId="NoSpacing">
    <w:name w:val="No Spacing"/>
    <w:uiPriority w:val="1"/>
    <w:qFormat/>
    <w:rsid w:val="009967D3"/>
    <w:pPr>
      <w:spacing w:after="0" w:line="240" w:lineRule="auto"/>
    </w:pPr>
    <w:rPr>
      <w:rFonts w:ascii="Times New Roman" w:eastAsia="Times New Roman" w:hAnsi="Times New Roman" w:cs="Mangal"/>
      <w:sz w:val="24"/>
      <w:szCs w:val="21"/>
      <w:lang w:bidi="hi-IN"/>
    </w:rPr>
  </w:style>
  <w:style w:type="character" w:styleId="UnresolvedMention">
    <w:name w:val="Unresolved Mention"/>
    <w:basedOn w:val="DefaultParagraphFont"/>
    <w:uiPriority w:val="99"/>
    <w:semiHidden/>
    <w:unhideWhenUsed/>
    <w:rsid w:val="002D1565"/>
    <w:rPr>
      <w:color w:val="605E5C"/>
      <w:shd w:val="clear" w:color="auto" w:fill="E1DFDD"/>
    </w:rPr>
  </w:style>
  <w:style w:type="paragraph" w:customStyle="1" w:styleId="Author">
    <w:name w:val="Author"/>
    <w:basedOn w:val="Normal"/>
    <w:link w:val="AuthorChar"/>
    <w:rsid w:val="00234B2C"/>
    <w:pPr>
      <w:spacing w:line="280" w:lineRule="exact"/>
      <w:jc w:val="right"/>
    </w:pPr>
    <w:rPr>
      <w:rFonts w:ascii="Helvetica" w:hAnsi="Helvetica"/>
      <w:b/>
      <w:szCs w:val="20"/>
      <w:lang w:bidi="ar-SA"/>
    </w:rPr>
  </w:style>
  <w:style w:type="character" w:customStyle="1" w:styleId="AuthorChar">
    <w:name w:val="Author Char"/>
    <w:basedOn w:val="DefaultParagraphFont"/>
    <w:link w:val="Author"/>
    <w:rsid w:val="00234B2C"/>
    <w:rPr>
      <w:rFonts w:ascii="Helvetica" w:eastAsia="Times New Roman" w:hAnsi="Helvetica" w:cs="Times New Roman"/>
      <w:b/>
      <w:sz w:val="24"/>
      <w:szCs w:val="20"/>
    </w:rPr>
  </w:style>
  <w:style w:type="paragraph" w:customStyle="1" w:styleId="Body">
    <w:name w:val="Body"/>
    <w:basedOn w:val="Normal"/>
    <w:rsid w:val="00C439E0"/>
    <w:pPr>
      <w:spacing w:after="240"/>
      <w:jc w:val="both"/>
    </w:pPr>
    <w:rPr>
      <w:rFonts w:ascii="Helvetica" w:hAnsi="Helvetica"/>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5423">
      <w:bodyDiv w:val="1"/>
      <w:marLeft w:val="0"/>
      <w:marRight w:val="0"/>
      <w:marTop w:val="0"/>
      <w:marBottom w:val="0"/>
      <w:divBdr>
        <w:top w:val="none" w:sz="0" w:space="0" w:color="auto"/>
        <w:left w:val="none" w:sz="0" w:space="0" w:color="auto"/>
        <w:bottom w:val="none" w:sz="0" w:space="0" w:color="auto"/>
        <w:right w:val="none" w:sz="0" w:space="0" w:color="auto"/>
      </w:divBdr>
    </w:div>
    <w:div w:id="85154487">
      <w:bodyDiv w:val="1"/>
      <w:marLeft w:val="0"/>
      <w:marRight w:val="0"/>
      <w:marTop w:val="0"/>
      <w:marBottom w:val="0"/>
      <w:divBdr>
        <w:top w:val="none" w:sz="0" w:space="0" w:color="auto"/>
        <w:left w:val="none" w:sz="0" w:space="0" w:color="auto"/>
        <w:bottom w:val="none" w:sz="0" w:space="0" w:color="auto"/>
        <w:right w:val="none" w:sz="0" w:space="0" w:color="auto"/>
      </w:divBdr>
      <w:divsChild>
        <w:div w:id="616715256">
          <w:marLeft w:val="0"/>
          <w:marRight w:val="0"/>
          <w:marTop w:val="0"/>
          <w:marBottom w:val="0"/>
          <w:divBdr>
            <w:top w:val="none" w:sz="0" w:space="0" w:color="auto"/>
            <w:left w:val="none" w:sz="0" w:space="0" w:color="auto"/>
            <w:bottom w:val="none" w:sz="0" w:space="0" w:color="auto"/>
            <w:right w:val="none" w:sz="0" w:space="0" w:color="auto"/>
          </w:divBdr>
        </w:div>
      </w:divsChild>
    </w:div>
    <w:div w:id="107824670">
      <w:bodyDiv w:val="1"/>
      <w:marLeft w:val="0"/>
      <w:marRight w:val="0"/>
      <w:marTop w:val="0"/>
      <w:marBottom w:val="0"/>
      <w:divBdr>
        <w:top w:val="none" w:sz="0" w:space="0" w:color="auto"/>
        <w:left w:val="none" w:sz="0" w:space="0" w:color="auto"/>
        <w:bottom w:val="none" w:sz="0" w:space="0" w:color="auto"/>
        <w:right w:val="none" w:sz="0" w:space="0" w:color="auto"/>
      </w:divBdr>
    </w:div>
    <w:div w:id="152962657">
      <w:bodyDiv w:val="1"/>
      <w:marLeft w:val="0"/>
      <w:marRight w:val="0"/>
      <w:marTop w:val="0"/>
      <w:marBottom w:val="0"/>
      <w:divBdr>
        <w:top w:val="none" w:sz="0" w:space="0" w:color="auto"/>
        <w:left w:val="none" w:sz="0" w:space="0" w:color="auto"/>
        <w:bottom w:val="none" w:sz="0" w:space="0" w:color="auto"/>
        <w:right w:val="none" w:sz="0" w:space="0" w:color="auto"/>
      </w:divBdr>
      <w:divsChild>
        <w:div w:id="1545602789">
          <w:marLeft w:val="0"/>
          <w:marRight w:val="0"/>
          <w:marTop w:val="0"/>
          <w:marBottom w:val="0"/>
          <w:divBdr>
            <w:top w:val="none" w:sz="0" w:space="0" w:color="auto"/>
            <w:left w:val="none" w:sz="0" w:space="0" w:color="auto"/>
            <w:bottom w:val="none" w:sz="0" w:space="0" w:color="auto"/>
            <w:right w:val="none" w:sz="0" w:space="0" w:color="auto"/>
          </w:divBdr>
          <w:divsChild>
            <w:div w:id="1048146617">
              <w:marLeft w:val="0"/>
              <w:marRight w:val="0"/>
              <w:marTop w:val="0"/>
              <w:marBottom w:val="0"/>
              <w:divBdr>
                <w:top w:val="none" w:sz="0" w:space="0" w:color="auto"/>
                <w:left w:val="none" w:sz="0" w:space="0" w:color="auto"/>
                <w:bottom w:val="none" w:sz="0" w:space="0" w:color="auto"/>
                <w:right w:val="none" w:sz="0" w:space="0" w:color="auto"/>
              </w:divBdr>
              <w:divsChild>
                <w:div w:id="1653026400">
                  <w:marLeft w:val="0"/>
                  <w:marRight w:val="0"/>
                  <w:marTop w:val="0"/>
                  <w:marBottom w:val="0"/>
                  <w:divBdr>
                    <w:top w:val="none" w:sz="0" w:space="0" w:color="auto"/>
                    <w:left w:val="none" w:sz="0" w:space="0" w:color="auto"/>
                    <w:bottom w:val="none" w:sz="0" w:space="0" w:color="auto"/>
                    <w:right w:val="none" w:sz="0" w:space="0" w:color="auto"/>
                  </w:divBdr>
                  <w:divsChild>
                    <w:div w:id="69276569">
                      <w:marLeft w:val="0"/>
                      <w:marRight w:val="0"/>
                      <w:marTop w:val="0"/>
                      <w:marBottom w:val="0"/>
                      <w:divBdr>
                        <w:top w:val="none" w:sz="0" w:space="0" w:color="auto"/>
                        <w:left w:val="none" w:sz="0" w:space="0" w:color="auto"/>
                        <w:bottom w:val="none" w:sz="0" w:space="0" w:color="auto"/>
                        <w:right w:val="none" w:sz="0" w:space="0" w:color="auto"/>
                      </w:divBdr>
                      <w:divsChild>
                        <w:div w:id="2086147894">
                          <w:marLeft w:val="0"/>
                          <w:marRight w:val="0"/>
                          <w:marTop w:val="0"/>
                          <w:marBottom w:val="0"/>
                          <w:divBdr>
                            <w:top w:val="none" w:sz="0" w:space="0" w:color="auto"/>
                            <w:left w:val="none" w:sz="0" w:space="0" w:color="auto"/>
                            <w:bottom w:val="none" w:sz="0" w:space="0" w:color="auto"/>
                            <w:right w:val="none" w:sz="0" w:space="0" w:color="auto"/>
                          </w:divBdr>
                          <w:divsChild>
                            <w:div w:id="102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32235">
      <w:bodyDiv w:val="1"/>
      <w:marLeft w:val="0"/>
      <w:marRight w:val="0"/>
      <w:marTop w:val="0"/>
      <w:marBottom w:val="0"/>
      <w:divBdr>
        <w:top w:val="none" w:sz="0" w:space="0" w:color="auto"/>
        <w:left w:val="none" w:sz="0" w:space="0" w:color="auto"/>
        <w:bottom w:val="none" w:sz="0" w:space="0" w:color="auto"/>
        <w:right w:val="none" w:sz="0" w:space="0" w:color="auto"/>
      </w:divBdr>
    </w:div>
    <w:div w:id="220868158">
      <w:bodyDiv w:val="1"/>
      <w:marLeft w:val="0"/>
      <w:marRight w:val="0"/>
      <w:marTop w:val="0"/>
      <w:marBottom w:val="0"/>
      <w:divBdr>
        <w:top w:val="none" w:sz="0" w:space="0" w:color="auto"/>
        <w:left w:val="none" w:sz="0" w:space="0" w:color="auto"/>
        <w:bottom w:val="none" w:sz="0" w:space="0" w:color="auto"/>
        <w:right w:val="none" w:sz="0" w:space="0" w:color="auto"/>
      </w:divBdr>
    </w:div>
    <w:div w:id="223567467">
      <w:bodyDiv w:val="1"/>
      <w:marLeft w:val="0"/>
      <w:marRight w:val="0"/>
      <w:marTop w:val="0"/>
      <w:marBottom w:val="0"/>
      <w:divBdr>
        <w:top w:val="none" w:sz="0" w:space="0" w:color="auto"/>
        <w:left w:val="none" w:sz="0" w:space="0" w:color="auto"/>
        <w:bottom w:val="none" w:sz="0" w:space="0" w:color="auto"/>
        <w:right w:val="none" w:sz="0" w:space="0" w:color="auto"/>
      </w:divBdr>
    </w:div>
    <w:div w:id="286205122">
      <w:bodyDiv w:val="1"/>
      <w:marLeft w:val="0"/>
      <w:marRight w:val="0"/>
      <w:marTop w:val="0"/>
      <w:marBottom w:val="0"/>
      <w:divBdr>
        <w:top w:val="none" w:sz="0" w:space="0" w:color="auto"/>
        <w:left w:val="none" w:sz="0" w:space="0" w:color="auto"/>
        <w:bottom w:val="none" w:sz="0" w:space="0" w:color="auto"/>
        <w:right w:val="none" w:sz="0" w:space="0" w:color="auto"/>
      </w:divBdr>
    </w:div>
    <w:div w:id="287206729">
      <w:bodyDiv w:val="1"/>
      <w:marLeft w:val="0"/>
      <w:marRight w:val="0"/>
      <w:marTop w:val="0"/>
      <w:marBottom w:val="0"/>
      <w:divBdr>
        <w:top w:val="none" w:sz="0" w:space="0" w:color="auto"/>
        <w:left w:val="none" w:sz="0" w:space="0" w:color="auto"/>
        <w:bottom w:val="none" w:sz="0" w:space="0" w:color="auto"/>
        <w:right w:val="none" w:sz="0" w:space="0" w:color="auto"/>
      </w:divBdr>
    </w:div>
    <w:div w:id="372384684">
      <w:bodyDiv w:val="1"/>
      <w:marLeft w:val="0"/>
      <w:marRight w:val="0"/>
      <w:marTop w:val="0"/>
      <w:marBottom w:val="0"/>
      <w:divBdr>
        <w:top w:val="none" w:sz="0" w:space="0" w:color="auto"/>
        <w:left w:val="none" w:sz="0" w:space="0" w:color="auto"/>
        <w:bottom w:val="none" w:sz="0" w:space="0" w:color="auto"/>
        <w:right w:val="none" w:sz="0" w:space="0" w:color="auto"/>
      </w:divBdr>
    </w:div>
    <w:div w:id="407188875">
      <w:bodyDiv w:val="1"/>
      <w:marLeft w:val="0"/>
      <w:marRight w:val="0"/>
      <w:marTop w:val="0"/>
      <w:marBottom w:val="0"/>
      <w:divBdr>
        <w:top w:val="none" w:sz="0" w:space="0" w:color="auto"/>
        <w:left w:val="none" w:sz="0" w:space="0" w:color="auto"/>
        <w:bottom w:val="none" w:sz="0" w:space="0" w:color="auto"/>
        <w:right w:val="none" w:sz="0" w:space="0" w:color="auto"/>
      </w:divBdr>
    </w:div>
    <w:div w:id="463544839">
      <w:bodyDiv w:val="1"/>
      <w:marLeft w:val="0"/>
      <w:marRight w:val="0"/>
      <w:marTop w:val="0"/>
      <w:marBottom w:val="0"/>
      <w:divBdr>
        <w:top w:val="none" w:sz="0" w:space="0" w:color="auto"/>
        <w:left w:val="none" w:sz="0" w:space="0" w:color="auto"/>
        <w:bottom w:val="none" w:sz="0" w:space="0" w:color="auto"/>
        <w:right w:val="none" w:sz="0" w:space="0" w:color="auto"/>
      </w:divBdr>
    </w:div>
    <w:div w:id="506291423">
      <w:bodyDiv w:val="1"/>
      <w:marLeft w:val="0"/>
      <w:marRight w:val="0"/>
      <w:marTop w:val="0"/>
      <w:marBottom w:val="0"/>
      <w:divBdr>
        <w:top w:val="none" w:sz="0" w:space="0" w:color="auto"/>
        <w:left w:val="none" w:sz="0" w:space="0" w:color="auto"/>
        <w:bottom w:val="none" w:sz="0" w:space="0" w:color="auto"/>
        <w:right w:val="none" w:sz="0" w:space="0" w:color="auto"/>
      </w:divBdr>
    </w:div>
    <w:div w:id="539754846">
      <w:bodyDiv w:val="1"/>
      <w:marLeft w:val="0"/>
      <w:marRight w:val="0"/>
      <w:marTop w:val="0"/>
      <w:marBottom w:val="0"/>
      <w:divBdr>
        <w:top w:val="none" w:sz="0" w:space="0" w:color="auto"/>
        <w:left w:val="none" w:sz="0" w:space="0" w:color="auto"/>
        <w:bottom w:val="none" w:sz="0" w:space="0" w:color="auto"/>
        <w:right w:val="none" w:sz="0" w:space="0" w:color="auto"/>
      </w:divBdr>
    </w:div>
    <w:div w:id="560219293">
      <w:bodyDiv w:val="1"/>
      <w:marLeft w:val="0"/>
      <w:marRight w:val="0"/>
      <w:marTop w:val="0"/>
      <w:marBottom w:val="0"/>
      <w:divBdr>
        <w:top w:val="none" w:sz="0" w:space="0" w:color="auto"/>
        <w:left w:val="none" w:sz="0" w:space="0" w:color="auto"/>
        <w:bottom w:val="none" w:sz="0" w:space="0" w:color="auto"/>
        <w:right w:val="none" w:sz="0" w:space="0" w:color="auto"/>
      </w:divBdr>
    </w:div>
    <w:div w:id="622930517">
      <w:bodyDiv w:val="1"/>
      <w:marLeft w:val="0"/>
      <w:marRight w:val="0"/>
      <w:marTop w:val="0"/>
      <w:marBottom w:val="0"/>
      <w:divBdr>
        <w:top w:val="none" w:sz="0" w:space="0" w:color="auto"/>
        <w:left w:val="none" w:sz="0" w:space="0" w:color="auto"/>
        <w:bottom w:val="none" w:sz="0" w:space="0" w:color="auto"/>
        <w:right w:val="none" w:sz="0" w:space="0" w:color="auto"/>
      </w:divBdr>
    </w:div>
    <w:div w:id="627126120">
      <w:bodyDiv w:val="1"/>
      <w:marLeft w:val="0"/>
      <w:marRight w:val="0"/>
      <w:marTop w:val="0"/>
      <w:marBottom w:val="0"/>
      <w:divBdr>
        <w:top w:val="none" w:sz="0" w:space="0" w:color="auto"/>
        <w:left w:val="none" w:sz="0" w:space="0" w:color="auto"/>
        <w:bottom w:val="none" w:sz="0" w:space="0" w:color="auto"/>
        <w:right w:val="none" w:sz="0" w:space="0" w:color="auto"/>
      </w:divBdr>
      <w:divsChild>
        <w:div w:id="1024986147">
          <w:marLeft w:val="0"/>
          <w:marRight w:val="0"/>
          <w:marTop w:val="0"/>
          <w:marBottom w:val="0"/>
          <w:divBdr>
            <w:top w:val="none" w:sz="0" w:space="0" w:color="auto"/>
            <w:left w:val="none" w:sz="0" w:space="0" w:color="auto"/>
            <w:bottom w:val="none" w:sz="0" w:space="0" w:color="auto"/>
            <w:right w:val="none" w:sz="0" w:space="0" w:color="auto"/>
          </w:divBdr>
        </w:div>
      </w:divsChild>
    </w:div>
    <w:div w:id="779885066">
      <w:bodyDiv w:val="1"/>
      <w:marLeft w:val="0"/>
      <w:marRight w:val="0"/>
      <w:marTop w:val="0"/>
      <w:marBottom w:val="0"/>
      <w:divBdr>
        <w:top w:val="none" w:sz="0" w:space="0" w:color="auto"/>
        <w:left w:val="none" w:sz="0" w:space="0" w:color="auto"/>
        <w:bottom w:val="none" w:sz="0" w:space="0" w:color="auto"/>
        <w:right w:val="none" w:sz="0" w:space="0" w:color="auto"/>
      </w:divBdr>
    </w:div>
    <w:div w:id="809253148">
      <w:bodyDiv w:val="1"/>
      <w:marLeft w:val="0"/>
      <w:marRight w:val="0"/>
      <w:marTop w:val="0"/>
      <w:marBottom w:val="0"/>
      <w:divBdr>
        <w:top w:val="none" w:sz="0" w:space="0" w:color="auto"/>
        <w:left w:val="none" w:sz="0" w:space="0" w:color="auto"/>
        <w:bottom w:val="none" w:sz="0" w:space="0" w:color="auto"/>
        <w:right w:val="none" w:sz="0" w:space="0" w:color="auto"/>
      </w:divBdr>
      <w:divsChild>
        <w:div w:id="1170215745">
          <w:marLeft w:val="0"/>
          <w:marRight w:val="0"/>
          <w:marTop w:val="0"/>
          <w:marBottom w:val="0"/>
          <w:divBdr>
            <w:top w:val="none" w:sz="0" w:space="0" w:color="auto"/>
            <w:left w:val="none" w:sz="0" w:space="0" w:color="auto"/>
            <w:bottom w:val="none" w:sz="0" w:space="0" w:color="auto"/>
            <w:right w:val="none" w:sz="0" w:space="0" w:color="auto"/>
          </w:divBdr>
          <w:divsChild>
            <w:div w:id="200870968">
              <w:marLeft w:val="0"/>
              <w:marRight w:val="0"/>
              <w:marTop w:val="0"/>
              <w:marBottom w:val="0"/>
              <w:divBdr>
                <w:top w:val="none" w:sz="0" w:space="0" w:color="auto"/>
                <w:left w:val="none" w:sz="0" w:space="0" w:color="auto"/>
                <w:bottom w:val="none" w:sz="0" w:space="0" w:color="auto"/>
                <w:right w:val="none" w:sz="0" w:space="0" w:color="auto"/>
              </w:divBdr>
              <w:divsChild>
                <w:div w:id="1270822042">
                  <w:marLeft w:val="0"/>
                  <w:marRight w:val="0"/>
                  <w:marTop w:val="0"/>
                  <w:marBottom w:val="0"/>
                  <w:divBdr>
                    <w:top w:val="none" w:sz="0" w:space="0" w:color="auto"/>
                    <w:left w:val="none" w:sz="0" w:space="0" w:color="auto"/>
                    <w:bottom w:val="none" w:sz="0" w:space="0" w:color="auto"/>
                    <w:right w:val="none" w:sz="0" w:space="0" w:color="auto"/>
                  </w:divBdr>
                  <w:divsChild>
                    <w:div w:id="38745494">
                      <w:marLeft w:val="0"/>
                      <w:marRight w:val="0"/>
                      <w:marTop w:val="0"/>
                      <w:marBottom w:val="0"/>
                      <w:divBdr>
                        <w:top w:val="none" w:sz="0" w:space="0" w:color="auto"/>
                        <w:left w:val="none" w:sz="0" w:space="0" w:color="auto"/>
                        <w:bottom w:val="none" w:sz="0" w:space="0" w:color="auto"/>
                        <w:right w:val="none" w:sz="0" w:space="0" w:color="auto"/>
                      </w:divBdr>
                      <w:divsChild>
                        <w:div w:id="1426995451">
                          <w:marLeft w:val="0"/>
                          <w:marRight w:val="0"/>
                          <w:marTop w:val="0"/>
                          <w:marBottom w:val="0"/>
                          <w:divBdr>
                            <w:top w:val="none" w:sz="0" w:space="0" w:color="auto"/>
                            <w:left w:val="none" w:sz="0" w:space="0" w:color="auto"/>
                            <w:bottom w:val="none" w:sz="0" w:space="0" w:color="auto"/>
                            <w:right w:val="none" w:sz="0" w:space="0" w:color="auto"/>
                          </w:divBdr>
                          <w:divsChild>
                            <w:div w:id="577397779">
                              <w:marLeft w:val="0"/>
                              <w:marRight w:val="0"/>
                              <w:marTop w:val="0"/>
                              <w:marBottom w:val="0"/>
                              <w:divBdr>
                                <w:top w:val="none" w:sz="0" w:space="0" w:color="auto"/>
                                <w:left w:val="none" w:sz="0" w:space="0" w:color="auto"/>
                                <w:bottom w:val="none" w:sz="0" w:space="0" w:color="auto"/>
                                <w:right w:val="none" w:sz="0" w:space="0" w:color="auto"/>
                              </w:divBdr>
                              <w:divsChild>
                                <w:div w:id="390350680">
                                  <w:marLeft w:val="0"/>
                                  <w:marRight w:val="0"/>
                                  <w:marTop w:val="0"/>
                                  <w:marBottom w:val="0"/>
                                  <w:divBdr>
                                    <w:top w:val="none" w:sz="0" w:space="0" w:color="auto"/>
                                    <w:left w:val="none" w:sz="0" w:space="0" w:color="auto"/>
                                    <w:bottom w:val="none" w:sz="0" w:space="0" w:color="auto"/>
                                    <w:right w:val="none" w:sz="0" w:space="0" w:color="auto"/>
                                  </w:divBdr>
                                  <w:divsChild>
                                    <w:div w:id="1582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495475">
      <w:bodyDiv w:val="1"/>
      <w:marLeft w:val="0"/>
      <w:marRight w:val="0"/>
      <w:marTop w:val="0"/>
      <w:marBottom w:val="0"/>
      <w:divBdr>
        <w:top w:val="none" w:sz="0" w:space="0" w:color="auto"/>
        <w:left w:val="none" w:sz="0" w:space="0" w:color="auto"/>
        <w:bottom w:val="none" w:sz="0" w:space="0" w:color="auto"/>
        <w:right w:val="none" w:sz="0" w:space="0" w:color="auto"/>
      </w:divBdr>
      <w:divsChild>
        <w:div w:id="2060781973">
          <w:marLeft w:val="0"/>
          <w:marRight w:val="0"/>
          <w:marTop w:val="0"/>
          <w:marBottom w:val="0"/>
          <w:divBdr>
            <w:top w:val="none" w:sz="0" w:space="0" w:color="auto"/>
            <w:left w:val="none" w:sz="0" w:space="0" w:color="auto"/>
            <w:bottom w:val="none" w:sz="0" w:space="0" w:color="auto"/>
            <w:right w:val="none" w:sz="0" w:space="0" w:color="auto"/>
          </w:divBdr>
        </w:div>
      </w:divsChild>
    </w:div>
    <w:div w:id="868492149">
      <w:bodyDiv w:val="1"/>
      <w:marLeft w:val="0"/>
      <w:marRight w:val="0"/>
      <w:marTop w:val="0"/>
      <w:marBottom w:val="0"/>
      <w:divBdr>
        <w:top w:val="none" w:sz="0" w:space="0" w:color="auto"/>
        <w:left w:val="none" w:sz="0" w:space="0" w:color="auto"/>
        <w:bottom w:val="none" w:sz="0" w:space="0" w:color="auto"/>
        <w:right w:val="none" w:sz="0" w:space="0" w:color="auto"/>
      </w:divBdr>
    </w:div>
    <w:div w:id="880900219">
      <w:bodyDiv w:val="1"/>
      <w:marLeft w:val="0"/>
      <w:marRight w:val="0"/>
      <w:marTop w:val="0"/>
      <w:marBottom w:val="0"/>
      <w:divBdr>
        <w:top w:val="none" w:sz="0" w:space="0" w:color="auto"/>
        <w:left w:val="none" w:sz="0" w:space="0" w:color="auto"/>
        <w:bottom w:val="none" w:sz="0" w:space="0" w:color="auto"/>
        <w:right w:val="none" w:sz="0" w:space="0" w:color="auto"/>
      </w:divBdr>
    </w:div>
    <w:div w:id="895049878">
      <w:bodyDiv w:val="1"/>
      <w:marLeft w:val="0"/>
      <w:marRight w:val="0"/>
      <w:marTop w:val="0"/>
      <w:marBottom w:val="0"/>
      <w:divBdr>
        <w:top w:val="none" w:sz="0" w:space="0" w:color="auto"/>
        <w:left w:val="none" w:sz="0" w:space="0" w:color="auto"/>
        <w:bottom w:val="none" w:sz="0" w:space="0" w:color="auto"/>
        <w:right w:val="none" w:sz="0" w:space="0" w:color="auto"/>
      </w:divBdr>
    </w:div>
    <w:div w:id="960384434">
      <w:bodyDiv w:val="1"/>
      <w:marLeft w:val="0"/>
      <w:marRight w:val="0"/>
      <w:marTop w:val="0"/>
      <w:marBottom w:val="0"/>
      <w:divBdr>
        <w:top w:val="none" w:sz="0" w:space="0" w:color="auto"/>
        <w:left w:val="none" w:sz="0" w:space="0" w:color="auto"/>
        <w:bottom w:val="none" w:sz="0" w:space="0" w:color="auto"/>
        <w:right w:val="none" w:sz="0" w:space="0" w:color="auto"/>
      </w:divBdr>
    </w:div>
    <w:div w:id="966741334">
      <w:bodyDiv w:val="1"/>
      <w:marLeft w:val="0"/>
      <w:marRight w:val="0"/>
      <w:marTop w:val="0"/>
      <w:marBottom w:val="0"/>
      <w:divBdr>
        <w:top w:val="none" w:sz="0" w:space="0" w:color="auto"/>
        <w:left w:val="none" w:sz="0" w:space="0" w:color="auto"/>
        <w:bottom w:val="none" w:sz="0" w:space="0" w:color="auto"/>
        <w:right w:val="none" w:sz="0" w:space="0" w:color="auto"/>
      </w:divBdr>
    </w:div>
    <w:div w:id="994265971">
      <w:bodyDiv w:val="1"/>
      <w:marLeft w:val="0"/>
      <w:marRight w:val="0"/>
      <w:marTop w:val="0"/>
      <w:marBottom w:val="0"/>
      <w:divBdr>
        <w:top w:val="none" w:sz="0" w:space="0" w:color="auto"/>
        <w:left w:val="none" w:sz="0" w:space="0" w:color="auto"/>
        <w:bottom w:val="none" w:sz="0" w:space="0" w:color="auto"/>
        <w:right w:val="none" w:sz="0" w:space="0" w:color="auto"/>
      </w:divBdr>
    </w:div>
    <w:div w:id="1006247690">
      <w:bodyDiv w:val="1"/>
      <w:marLeft w:val="0"/>
      <w:marRight w:val="0"/>
      <w:marTop w:val="0"/>
      <w:marBottom w:val="0"/>
      <w:divBdr>
        <w:top w:val="none" w:sz="0" w:space="0" w:color="auto"/>
        <w:left w:val="none" w:sz="0" w:space="0" w:color="auto"/>
        <w:bottom w:val="none" w:sz="0" w:space="0" w:color="auto"/>
        <w:right w:val="none" w:sz="0" w:space="0" w:color="auto"/>
      </w:divBdr>
    </w:div>
    <w:div w:id="1024210411">
      <w:bodyDiv w:val="1"/>
      <w:marLeft w:val="0"/>
      <w:marRight w:val="0"/>
      <w:marTop w:val="0"/>
      <w:marBottom w:val="0"/>
      <w:divBdr>
        <w:top w:val="none" w:sz="0" w:space="0" w:color="auto"/>
        <w:left w:val="none" w:sz="0" w:space="0" w:color="auto"/>
        <w:bottom w:val="none" w:sz="0" w:space="0" w:color="auto"/>
        <w:right w:val="none" w:sz="0" w:space="0" w:color="auto"/>
      </w:divBdr>
    </w:div>
    <w:div w:id="1025904330">
      <w:bodyDiv w:val="1"/>
      <w:marLeft w:val="0"/>
      <w:marRight w:val="0"/>
      <w:marTop w:val="0"/>
      <w:marBottom w:val="0"/>
      <w:divBdr>
        <w:top w:val="none" w:sz="0" w:space="0" w:color="auto"/>
        <w:left w:val="none" w:sz="0" w:space="0" w:color="auto"/>
        <w:bottom w:val="none" w:sz="0" w:space="0" w:color="auto"/>
        <w:right w:val="none" w:sz="0" w:space="0" w:color="auto"/>
      </w:divBdr>
    </w:div>
    <w:div w:id="1036547068">
      <w:bodyDiv w:val="1"/>
      <w:marLeft w:val="0"/>
      <w:marRight w:val="0"/>
      <w:marTop w:val="0"/>
      <w:marBottom w:val="0"/>
      <w:divBdr>
        <w:top w:val="none" w:sz="0" w:space="0" w:color="auto"/>
        <w:left w:val="none" w:sz="0" w:space="0" w:color="auto"/>
        <w:bottom w:val="none" w:sz="0" w:space="0" w:color="auto"/>
        <w:right w:val="none" w:sz="0" w:space="0" w:color="auto"/>
      </w:divBdr>
    </w:div>
    <w:div w:id="1051267437">
      <w:bodyDiv w:val="1"/>
      <w:marLeft w:val="0"/>
      <w:marRight w:val="0"/>
      <w:marTop w:val="0"/>
      <w:marBottom w:val="0"/>
      <w:divBdr>
        <w:top w:val="none" w:sz="0" w:space="0" w:color="auto"/>
        <w:left w:val="none" w:sz="0" w:space="0" w:color="auto"/>
        <w:bottom w:val="none" w:sz="0" w:space="0" w:color="auto"/>
        <w:right w:val="none" w:sz="0" w:space="0" w:color="auto"/>
      </w:divBdr>
    </w:div>
    <w:div w:id="1067873076">
      <w:bodyDiv w:val="1"/>
      <w:marLeft w:val="0"/>
      <w:marRight w:val="0"/>
      <w:marTop w:val="0"/>
      <w:marBottom w:val="0"/>
      <w:divBdr>
        <w:top w:val="none" w:sz="0" w:space="0" w:color="auto"/>
        <w:left w:val="none" w:sz="0" w:space="0" w:color="auto"/>
        <w:bottom w:val="none" w:sz="0" w:space="0" w:color="auto"/>
        <w:right w:val="none" w:sz="0" w:space="0" w:color="auto"/>
      </w:divBdr>
    </w:div>
    <w:div w:id="1113675086">
      <w:bodyDiv w:val="1"/>
      <w:marLeft w:val="0"/>
      <w:marRight w:val="0"/>
      <w:marTop w:val="0"/>
      <w:marBottom w:val="0"/>
      <w:divBdr>
        <w:top w:val="none" w:sz="0" w:space="0" w:color="auto"/>
        <w:left w:val="none" w:sz="0" w:space="0" w:color="auto"/>
        <w:bottom w:val="none" w:sz="0" w:space="0" w:color="auto"/>
        <w:right w:val="none" w:sz="0" w:space="0" w:color="auto"/>
      </w:divBdr>
    </w:div>
    <w:div w:id="1150318892">
      <w:bodyDiv w:val="1"/>
      <w:marLeft w:val="0"/>
      <w:marRight w:val="0"/>
      <w:marTop w:val="0"/>
      <w:marBottom w:val="0"/>
      <w:divBdr>
        <w:top w:val="none" w:sz="0" w:space="0" w:color="auto"/>
        <w:left w:val="none" w:sz="0" w:space="0" w:color="auto"/>
        <w:bottom w:val="none" w:sz="0" w:space="0" w:color="auto"/>
        <w:right w:val="none" w:sz="0" w:space="0" w:color="auto"/>
      </w:divBdr>
      <w:divsChild>
        <w:div w:id="1025524852">
          <w:marLeft w:val="0"/>
          <w:marRight w:val="0"/>
          <w:marTop w:val="0"/>
          <w:marBottom w:val="0"/>
          <w:divBdr>
            <w:top w:val="none" w:sz="0" w:space="0" w:color="auto"/>
            <w:left w:val="none" w:sz="0" w:space="0" w:color="auto"/>
            <w:bottom w:val="none" w:sz="0" w:space="0" w:color="auto"/>
            <w:right w:val="none" w:sz="0" w:space="0" w:color="auto"/>
          </w:divBdr>
        </w:div>
      </w:divsChild>
    </w:div>
    <w:div w:id="1186677222">
      <w:bodyDiv w:val="1"/>
      <w:marLeft w:val="0"/>
      <w:marRight w:val="0"/>
      <w:marTop w:val="0"/>
      <w:marBottom w:val="0"/>
      <w:divBdr>
        <w:top w:val="none" w:sz="0" w:space="0" w:color="auto"/>
        <w:left w:val="none" w:sz="0" w:space="0" w:color="auto"/>
        <w:bottom w:val="none" w:sz="0" w:space="0" w:color="auto"/>
        <w:right w:val="none" w:sz="0" w:space="0" w:color="auto"/>
      </w:divBdr>
      <w:divsChild>
        <w:div w:id="2121416453">
          <w:marLeft w:val="0"/>
          <w:marRight w:val="0"/>
          <w:marTop w:val="0"/>
          <w:marBottom w:val="0"/>
          <w:divBdr>
            <w:top w:val="none" w:sz="0" w:space="0" w:color="auto"/>
            <w:left w:val="none" w:sz="0" w:space="0" w:color="auto"/>
            <w:bottom w:val="none" w:sz="0" w:space="0" w:color="auto"/>
            <w:right w:val="none" w:sz="0" w:space="0" w:color="auto"/>
          </w:divBdr>
        </w:div>
      </w:divsChild>
    </w:div>
    <w:div w:id="1227492674">
      <w:bodyDiv w:val="1"/>
      <w:marLeft w:val="0"/>
      <w:marRight w:val="0"/>
      <w:marTop w:val="0"/>
      <w:marBottom w:val="0"/>
      <w:divBdr>
        <w:top w:val="none" w:sz="0" w:space="0" w:color="auto"/>
        <w:left w:val="none" w:sz="0" w:space="0" w:color="auto"/>
        <w:bottom w:val="none" w:sz="0" w:space="0" w:color="auto"/>
        <w:right w:val="none" w:sz="0" w:space="0" w:color="auto"/>
      </w:divBdr>
      <w:divsChild>
        <w:div w:id="197396082">
          <w:marLeft w:val="0"/>
          <w:marRight w:val="0"/>
          <w:marTop w:val="0"/>
          <w:marBottom w:val="0"/>
          <w:divBdr>
            <w:top w:val="none" w:sz="0" w:space="0" w:color="auto"/>
            <w:left w:val="none" w:sz="0" w:space="0" w:color="auto"/>
            <w:bottom w:val="none" w:sz="0" w:space="0" w:color="auto"/>
            <w:right w:val="none" w:sz="0" w:space="0" w:color="auto"/>
          </w:divBdr>
        </w:div>
      </w:divsChild>
    </w:div>
    <w:div w:id="1231501682">
      <w:bodyDiv w:val="1"/>
      <w:marLeft w:val="0"/>
      <w:marRight w:val="0"/>
      <w:marTop w:val="0"/>
      <w:marBottom w:val="0"/>
      <w:divBdr>
        <w:top w:val="none" w:sz="0" w:space="0" w:color="auto"/>
        <w:left w:val="none" w:sz="0" w:space="0" w:color="auto"/>
        <w:bottom w:val="none" w:sz="0" w:space="0" w:color="auto"/>
        <w:right w:val="none" w:sz="0" w:space="0" w:color="auto"/>
      </w:divBdr>
    </w:div>
    <w:div w:id="1244797062">
      <w:bodyDiv w:val="1"/>
      <w:marLeft w:val="0"/>
      <w:marRight w:val="0"/>
      <w:marTop w:val="0"/>
      <w:marBottom w:val="0"/>
      <w:divBdr>
        <w:top w:val="none" w:sz="0" w:space="0" w:color="auto"/>
        <w:left w:val="none" w:sz="0" w:space="0" w:color="auto"/>
        <w:bottom w:val="none" w:sz="0" w:space="0" w:color="auto"/>
        <w:right w:val="none" w:sz="0" w:space="0" w:color="auto"/>
      </w:divBdr>
    </w:div>
    <w:div w:id="1251281532">
      <w:bodyDiv w:val="1"/>
      <w:marLeft w:val="0"/>
      <w:marRight w:val="0"/>
      <w:marTop w:val="0"/>
      <w:marBottom w:val="0"/>
      <w:divBdr>
        <w:top w:val="none" w:sz="0" w:space="0" w:color="auto"/>
        <w:left w:val="none" w:sz="0" w:space="0" w:color="auto"/>
        <w:bottom w:val="none" w:sz="0" w:space="0" w:color="auto"/>
        <w:right w:val="none" w:sz="0" w:space="0" w:color="auto"/>
      </w:divBdr>
    </w:div>
    <w:div w:id="1360620131">
      <w:bodyDiv w:val="1"/>
      <w:marLeft w:val="0"/>
      <w:marRight w:val="0"/>
      <w:marTop w:val="0"/>
      <w:marBottom w:val="0"/>
      <w:divBdr>
        <w:top w:val="none" w:sz="0" w:space="0" w:color="auto"/>
        <w:left w:val="none" w:sz="0" w:space="0" w:color="auto"/>
        <w:bottom w:val="none" w:sz="0" w:space="0" w:color="auto"/>
        <w:right w:val="none" w:sz="0" w:space="0" w:color="auto"/>
      </w:divBdr>
    </w:div>
    <w:div w:id="1385593505">
      <w:bodyDiv w:val="1"/>
      <w:marLeft w:val="0"/>
      <w:marRight w:val="0"/>
      <w:marTop w:val="0"/>
      <w:marBottom w:val="0"/>
      <w:divBdr>
        <w:top w:val="none" w:sz="0" w:space="0" w:color="auto"/>
        <w:left w:val="none" w:sz="0" w:space="0" w:color="auto"/>
        <w:bottom w:val="none" w:sz="0" w:space="0" w:color="auto"/>
        <w:right w:val="none" w:sz="0" w:space="0" w:color="auto"/>
      </w:divBdr>
    </w:div>
    <w:div w:id="1388338983">
      <w:bodyDiv w:val="1"/>
      <w:marLeft w:val="0"/>
      <w:marRight w:val="0"/>
      <w:marTop w:val="0"/>
      <w:marBottom w:val="0"/>
      <w:divBdr>
        <w:top w:val="none" w:sz="0" w:space="0" w:color="auto"/>
        <w:left w:val="none" w:sz="0" w:space="0" w:color="auto"/>
        <w:bottom w:val="none" w:sz="0" w:space="0" w:color="auto"/>
        <w:right w:val="none" w:sz="0" w:space="0" w:color="auto"/>
      </w:divBdr>
    </w:div>
    <w:div w:id="1450466934">
      <w:bodyDiv w:val="1"/>
      <w:marLeft w:val="0"/>
      <w:marRight w:val="0"/>
      <w:marTop w:val="0"/>
      <w:marBottom w:val="0"/>
      <w:divBdr>
        <w:top w:val="none" w:sz="0" w:space="0" w:color="auto"/>
        <w:left w:val="none" w:sz="0" w:space="0" w:color="auto"/>
        <w:bottom w:val="none" w:sz="0" w:space="0" w:color="auto"/>
        <w:right w:val="none" w:sz="0" w:space="0" w:color="auto"/>
      </w:divBdr>
    </w:div>
    <w:div w:id="1471286022">
      <w:bodyDiv w:val="1"/>
      <w:marLeft w:val="0"/>
      <w:marRight w:val="0"/>
      <w:marTop w:val="0"/>
      <w:marBottom w:val="0"/>
      <w:divBdr>
        <w:top w:val="none" w:sz="0" w:space="0" w:color="auto"/>
        <w:left w:val="none" w:sz="0" w:space="0" w:color="auto"/>
        <w:bottom w:val="none" w:sz="0" w:space="0" w:color="auto"/>
        <w:right w:val="none" w:sz="0" w:space="0" w:color="auto"/>
      </w:divBdr>
    </w:div>
    <w:div w:id="1481072076">
      <w:bodyDiv w:val="1"/>
      <w:marLeft w:val="0"/>
      <w:marRight w:val="0"/>
      <w:marTop w:val="0"/>
      <w:marBottom w:val="0"/>
      <w:divBdr>
        <w:top w:val="none" w:sz="0" w:space="0" w:color="auto"/>
        <w:left w:val="none" w:sz="0" w:space="0" w:color="auto"/>
        <w:bottom w:val="none" w:sz="0" w:space="0" w:color="auto"/>
        <w:right w:val="none" w:sz="0" w:space="0" w:color="auto"/>
      </w:divBdr>
      <w:divsChild>
        <w:div w:id="247614737">
          <w:marLeft w:val="0"/>
          <w:marRight w:val="0"/>
          <w:marTop w:val="15"/>
          <w:marBottom w:val="0"/>
          <w:divBdr>
            <w:top w:val="single" w:sz="48" w:space="0" w:color="auto"/>
            <w:left w:val="single" w:sz="48" w:space="0" w:color="auto"/>
            <w:bottom w:val="single" w:sz="48" w:space="0" w:color="auto"/>
            <w:right w:val="single" w:sz="48" w:space="0" w:color="auto"/>
          </w:divBdr>
          <w:divsChild>
            <w:div w:id="6315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7047">
      <w:bodyDiv w:val="1"/>
      <w:marLeft w:val="0"/>
      <w:marRight w:val="0"/>
      <w:marTop w:val="0"/>
      <w:marBottom w:val="0"/>
      <w:divBdr>
        <w:top w:val="none" w:sz="0" w:space="0" w:color="auto"/>
        <w:left w:val="none" w:sz="0" w:space="0" w:color="auto"/>
        <w:bottom w:val="none" w:sz="0" w:space="0" w:color="auto"/>
        <w:right w:val="none" w:sz="0" w:space="0" w:color="auto"/>
      </w:divBdr>
      <w:divsChild>
        <w:div w:id="745033239">
          <w:marLeft w:val="0"/>
          <w:marRight w:val="0"/>
          <w:marTop w:val="0"/>
          <w:marBottom w:val="112"/>
          <w:divBdr>
            <w:top w:val="none" w:sz="0" w:space="0" w:color="auto"/>
            <w:left w:val="none" w:sz="0" w:space="0" w:color="auto"/>
            <w:bottom w:val="none" w:sz="0" w:space="0" w:color="auto"/>
            <w:right w:val="none" w:sz="0" w:space="0" w:color="auto"/>
          </w:divBdr>
        </w:div>
      </w:divsChild>
    </w:div>
    <w:div w:id="1565604478">
      <w:bodyDiv w:val="1"/>
      <w:marLeft w:val="0"/>
      <w:marRight w:val="0"/>
      <w:marTop w:val="0"/>
      <w:marBottom w:val="0"/>
      <w:divBdr>
        <w:top w:val="none" w:sz="0" w:space="0" w:color="auto"/>
        <w:left w:val="none" w:sz="0" w:space="0" w:color="auto"/>
        <w:bottom w:val="none" w:sz="0" w:space="0" w:color="auto"/>
        <w:right w:val="none" w:sz="0" w:space="0" w:color="auto"/>
      </w:divBdr>
    </w:div>
    <w:div w:id="1604267539">
      <w:bodyDiv w:val="1"/>
      <w:marLeft w:val="0"/>
      <w:marRight w:val="0"/>
      <w:marTop w:val="0"/>
      <w:marBottom w:val="0"/>
      <w:divBdr>
        <w:top w:val="none" w:sz="0" w:space="0" w:color="auto"/>
        <w:left w:val="none" w:sz="0" w:space="0" w:color="auto"/>
        <w:bottom w:val="none" w:sz="0" w:space="0" w:color="auto"/>
        <w:right w:val="none" w:sz="0" w:space="0" w:color="auto"/>
      </w:divBdr>
    </w:div>
    <w:div w:id="1607467916">
      <w:bodyDiv w:val="1"/>
      <w:marLeft w:val="0"/>
      <w:marRight w:val="0"/>
      <w:marTop w:val="0"/>
      <w:marBottom w:val="0"/>
      <w:divBdr>
        <w:top w:val="none" w:sz="0" w:space="0" w:color="auto"/>
        <w:left w:val="none" w:sz="0" w:space="0" w:color="auto"/>
        <w:bottom w:val="none" w:sz="0" w:space="0" w:color="auto"/>
        <w:right w:val="none" w:sz="0" w:space="0" w:color="auto"/>
      </w:divBdr>
    </w:div>
    <w:div w:id="1887794840">
      <w:bodyDiv w:val="1"/>
      <w:marLeft w:val="0"/>
      <w:marRight w:val="0"/>
      <w:marTop w:val="0"/>
      <w:marBottom w:val="0"/>
      <w:divBdr>
        <w:top w:val="none" w:sz="0" w:space="0" w:color="auto"/>
        <w:left w:val="none" w:sz="0" w:space="0" w:color="auto"/>
        <w:bottom w:val="none" w:sz="0" w:space="0" w:color="auto"/>
        <w:right w:val="none" w:sz="0" w:space="0" w:color="auto"/>
      </w:divBdr>
    </w:div>
    <w:div w:id="1935701570">
      <w:bodyDiv w:val="1"/>
      <w:marLeft w:val="0"/>
      <w:marRight w:val="0"/>
      <w:marTop w:val="0"/>
      <w:marBottom w:val="0"/>
      <w:divBdr>
        <w:top w:val="none" w:sz="0" w:space="0" w:color="auto"/>
        <w:left w:val="none" w:sz="0" w:space="0" w:color="auto"/>
        <w:bottom w:val="none" w:sz="0" w:space="0" w:color="auto"/>
        <w:right w:val="none" w:sz="0" w:space="0" w:color="auto"/>
      </w:divBdr>
    </w:div>
    <w:div w:id="1966503423">
      <w:bodyDiv w:val="1"/>
      <w:marLeft w:val="0"/>
      <w:marRight w:val="0"/>
      <w:marTop w:val="0"/>
      <w:marBottom w:val="0"/>
      <w:divBdr>
        <w:top w:val="none" w:sz="0" w:space="0" w:color="auto"/>
        <w:left w:val="none" w:sz="0" w:space="0" w:color="auto"/>
        <w:bottom w:val="none" w:sz="0" w:space="0" w:color="auto"/>
        <w:right w:val="none" w:sz="0" w:space="0" w:color="auto"/>
      </w:divBdr>
    </w:div>
    <w:div w:id="2019116998">
      <w:bodyDiv w:val="1"/>
      <w:marLeft w:val="0"/>
      <w:marRight w:val="0"/>
      <w:marTop w:val="0"/>
      <w:marBottom w:val="0"/>
      <w:divBdr>
        <w:top w:val="none" w:sz="0" w:space="0" w:color="auto"/>
        <w:left w:val="none" w:sz="0" w:space="0" w:color="auto"/>
        <w:bottom w:val="none" w:sz="0" w:space="0" w:color="auto"/>
        <w:right w:val="none" w:sz="0" w:space="0" w:color="auto"/>
      </w:divBdr>
    </w:div>
    <w:div w:id="2029597033">
      <w:bodyDiv w:val="1"/>
      <w:marLeft w:val="0"/>
      <w:marRight w:val="0"/>
      <w:marTop w:val="0"/>
      <w:marBottom w:val="0"/>
      <w:divBdr>
        <w:top w:val="none" w:sz="0" w:space="0" w:color="auto"/>
        <w:left w:val="none" w:sz="0" w:space="0" w:color="auto"/>
        <w:bottom w:val="none" w:sz="0" w:space="0" w:color="auto"/>
        <w:right w:val="none" w:sz="0" w:space="0" w:color="auto"/>
      </w:divBdr>
    </w:div>
    <w:div w:id="2053847961">
      <w:bodyDiv w:val="1"/>
      <w:marLeft w:val="0"/>
      <w:marRight w:val="0"/>
      <w:marTop w:val="0"/>
      <w:marBottom w:val="0"/>
      <w:divBdr>
        <w:top w:val="none" w:sz="0" w:space="0" w:color="auto"/>
        <w:left w:val="none" w:sz="0" w:space="0" w:color="auto"/>
        <w:bottom w:val="none" w:sz="0" w:space="0" w:color="auto"/>
        <w:right w:val="none" w:sz="0" w:space="0" w:color="auto"/>
      </w:divBdr>
    </w:div>
    <w:div w:id="2065373903">
      <w:bodyDiv w:val="1"/>
      <w:marLeft w:val="0"/>
      <w:marRight w:val="0"/>
      <w:marTop w:val="0"/>
      <w:marBottom w:val="0"/>
      <w:divBdr>
        <w:top w:val="none" w:sz="0" w:space="0" w:color="auto"/>
        <w:left w:val="none" w:sz="0" w:space="0" w:color="auto"/>
        <w:bottom w:val="none" w:sz="0" w:space="0" w:color="auto"/>
        <w:right w:val="none" w:sz="0" w:space="0" w:color="auto"/>
      </w:divBdr>
    </w:div>
    <w:div w:id="2067142879">
      <w:bodyDiv w:val="1"/>
      <w:marLeft w:val="0"/>
      <w:marRight w:val="0"/>
      <w:marTop w:val="0"/>
      <w:marBottom w:val="0"/>
      <w:divBdr>
        <w:top w:val="none" w:sz="0" w:space="0" w:color="auto"/>
        <w:left w:val="none" w:sz="0" w:space="0" w:color="auto"/>
        <w:bottom w:val="none" w:sz="0" w:space="0" w:color="auto"/>
        <w:right w:val="none" w:sz="0" w:space="0" w:color="auto"/>
      </w:divBdr>
      <w:divsChild>
        <w:div w:id="952057378">
          <w:marLeft w:val="0"/>
          <w:marRight w:val="0"/>
          <w:marTop w:val="15"/>
          <w:marBottom w:val="0"/>
          <w:divBdr>
            <w:top w:val="single" w:sz="48" w:space="0" w:color="auto"/>
            <w:left w:val="single" w:sz="48" w:space="0" w:color="auto"/>
            <w:bottom w:val="single" w:sz="48" w:space="0" w:color="auto"/>
            <w:right w:val="single" w:sz="48" w:space="0" w:color="auto"/>
          </w:divBdr>
          <w:divsChild>
            <w:div w:id="213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3968">
      <w:bodyDiv w:val="1"/>
      <w:marLeft w:val="0"/>
      <w:marRight w:val="0"/>
      <w:marTop w:val="0"/>
      <w:marBottom w:val="0"/>
      <w:divBdr>
        <w:top w:val="none" w:sz="0" w:space="0" w:color="auto"/>
        <w:left w:val="none" w:sz="0" w:space="0" w:color="auto"/>
        <w:bottom w:val="none" w:sz="0" w:space="0" w:color="auto"/>
        <w:right w:val="none" w:sz="0" w:space="0" w:color="auto"/>
      </w:divBdr>
    </w:div>
    <w:div w:id="214450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pp12094106" TargetMode="External"/><Relationship Id="rId13" Type="http://schemas.openxmlformats.org/officeDocument/2006/relationships/hyperlink" Target="https://doi.org/10.46505/IJBI.2021.3222" TargetMode="External"/><Relationship Id="rId18" Type="http://schemas.openxmlformats.org/officeDocument/2006/relationships/hyperlink" Target="https://doi.org/10.22271/23940522.2023.v10.i3a.100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46505/IJBI.2022.4120" TargetMode="External"/><Relationship Id="rId17" Type="http://schemas.openxmlformats.org/officeDocument/2006/relationships/hyperlink" Target="https://doi.org/10.46505/IJBI.2023.5201" TargetMode="External"/><Relationship Id="rId2" Type="http://schemas.openxmlformats.org/officeDocument/2006/relationships/numbering" Target="numbering.xml"/><Relationship Id="rId16" Type="http://schemas.openxmlformats.org/officeDocument/2006/relationships/hyperlink" Target="http://dx.doi.org/10.21088/ijb.2394.1391.722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545/27068919.2023.v5.i10a.1067" TargetMode="External"/><Relationship Id="rId5" Type="http://schemas.openxmlformats.org/officeDocument/2006/relationships/webSettings" Target="webSettings.xml"/><Relationship Id="rId15" Type="http://schemas.openxmlformats.org/officeDocument/2006/relationships/hyperlink" Target="https://doi.org/10.1007/s00580-010-0966-9" TargetMode="External"/><Relationship Id="rId10" Type="http://schemas.openxmlformats.org/officeDocument/2006/relationships/hyperlink" Target="https://doi.org/10.1016/j.aquaculture.2007.02.025" TargetMode="External"/><Relationship Id="rId19" Type="http://schemas.openxmlformats.org/officeDocument/2006/relationships/hyperlink" Target="https://doi.org/10.1007/s11356-018-3610-x" TargetMode="External"/><Relationship Id="rId4" Type="http://schemas.openxmlformats.org/officeDocument/2006/relationships/settings" Target="settings.xml"/><Relationship Id="rId9" Type="http://schemas.openxmlformats.org/officeDocument/2006/relationships/hyperlink" Target="https://doi.org/10.33745/ijzi.2025.v11i01.079" TargetMode="External"/><Relationship Id="rId14" Type="http://schemas.openxmlformats.org/officeDocument/2006/relationships/hyperlink" Target="https://doi.org/10.1007/s11356-020-109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BD54E-3429-4505-B84A-D0BFB2DA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8</Pages>
  <Words>5026</Words>
  <Characters>28654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33613</CharactersWithSpaces>
  <SharedDoc>false</SharedDoc>
  <HLinks>
    <vt:vector size="78" baseType="variant">
      <vt:variant>
        <vt:i4>29</vt:i4>
      </vt:variant>
      <vt:variant>
        <vt:i4>36</vt:i4>
      </vt:variant>
      <vt:variant>
        <vt:i4>0</vt:i4>
      </vt:variant>
      <vt:variant>
        <vt:i4>5</vt:i4>
      </vt:variant>
      <vt:variant>
        <vt:lpwstr>https://doi.org/10.1007/s11356-018-3610-x</vt:lpwstr>
      </vt:variant>
      <vt:variant>
        <vt:lpwstr/>
      </vt:variant>
      <vt:variant>
        <vt:i4>6750316</vt:i4>
      </vt:variant>
      <vt:variant>
        <vt:i4>33</vt:i4>
      </vt:variant>
      <vt:variant>
        <vt:i4>0</vt:i4>
      </vt:variant>
      <vt:variant>
        <vt:i4>5</vt:i4>
      </vt:variant>
      <vt:variant>
        <vt:lpwstr>https://doi.org/10.22271/23940522.2023.v10.i3a.1003</vt:lpwstr>
      </vt:variant>
      <vt:variant>
        <vt:lpwstr/>
      </vt:variant>
      <vt:variant>
        <vt:i4>2752620</vt:i4>
      </vt:variant>
      <vt:variant>
        <vt:i4>30</vt:i4>
      </vt:variant>
      <vt:variant>
        <vt:i4>0</vt:i4>
      </vt:variant>
      <vt:variant>
        <vt:i4>5</vt:i4>
      </vt:variant>
      <vt:variant>
        <vt:lpwstr>https://doi.org/10.46505/IJBI.2023.5201</vt:lpwstr>
      </vt:variant>
      <vt:variant>
        <vt:lpwstr/>
      </vt:variant>
      <vt:variant>
        <vt:i4>7340074</vt:i4>
      </vt:variant>
      <vt:variant>
        <vt:i4>27</vt:i4>
      </vt:variant>
      <vt:variant>
        <vt:i4>0</vt:i4>
      </vt:variant>
      <vt:variant>
        <vt:i4>5</vt:i4>
      </vt:variant>
      <vt:variant>
        <vt:lpwstr>http://dx.doi.org/10.21088/ijb.2394.1391.7220.8</vt:lpwstr>
      </vt:variant>
      <vt:variant>
        <vt:lpwstr/>
      </vt:variant>
      <vt:variant>
        <vt:i4>851992</vt:i4>
      </vt:variant>
      <vt:variant>
        <vt:i4>24</vt:i4>
      </vt:variant>
      <vt:variant>
        <vt:i4>0</vt:i4>
      </vt:variant>
      <vt:variant>
        <vt:i4>5</vt:i4>
      </vt:variant>
      <vt:variant>
        <vt:lpwstr>https://doi.org/10.1007/s00580-010-0966-9</vt:lpwstr>
      </vt:variant>
      <vt:variant>
        <vt:lpwstr/>
      </vt:variant>
      <vt:variant>
        <vt:i4>3080253</vt:i4>
      </vt:variant>
      <vt:variant>
        <vt:i4>21</vt:i4>
      </vt:variant>
      <vt:variant>
        <vt:i4>0</vt:i4>
      </vt:variant>
      <vt:variant>
        <vt:i4>5</vt:i4>
      </vt:variant>
      <vt:variant>
        <vt:lpwstr>https://doi.org/10.1007/s11356-020-10980-0</vt:lpwstr>
      </vt:variant>
      <vt:variant>
        <vt:lpwstr/>
      </vt:variant>
      <vt:variant>
        <vt:i4>2883692</vt:i4>
      </vt:variant>
      <vt:variant>
        <vt:i4>18</vt:i4>
      </vt:variant>
      <vt:variant>
        <vt:i4>0</vt:i4>
      </vt:variant>
      <vt:variant>
        <vt:i4>5</vt:i4>
      </vt:variant>
      <vt:variant>
        <vt:lpwstr>https://doi.org/10.46505/IJBI.2021.3222</vt:lpwstr>
      </vt:variant>
      <vt:variant>
        <vt:lpwstr/>
      </vt:variant>
      <vt:variant>
        <vt:i4>2621551</vt:i4>
      </vt:variant>
      <vt:variant>
        <vt:i4>15</vt:i4>
      </vt:variant>
      <vt:variant>
        <vt:i4>0</vt:i4>
      </vt:variant>
      <vt:variant>
        <vt:i4>5</vt:i4>
      </vt:variant>
      <vt:variant>
        <vt:lpwstr>https://doi.org/10.46505/IJBI.2022.4120</vt:lpwstr>
      </vt:variant>
      <vt:variant>
        <vt:lpwstr/>
      </vt:variant>
      <vt:variant>
        <vt:i4>2555951</vt:i4>
      </vt:variant>
      <vt:variant>
        <vt:i4>12</vt:i4>
      </vt:variant>
      <vt:variant>
        <vt:i4>0</vt:i4>
      </vt:variant>
      <vt:variant>
        <vt:i4>5</vt:i4>
      </vt:variant>
      <vt:variant>
        <vt:lpwstr>https://doi.org/10.33545/27068919.2023.v5.i10a.1067</vt:lpwstr>
      </vt:variant>
      <vt:variant>
        <vt:lpwstr/>
      </vt:variant>
      <vt:variant>
        <vt:i4>5898259</vt:i4>
      </vt:variant>
      <vt:variant>
        <vt:i4>9</vt:i4>
      </vt:variant>
      <vt:variant>
        <vt:i4>0</vt:i4>
      </vt:variant>
      <vt:variant>
        <vt:i4>5</vt:i4>
      </vt:variant>
      <vt:variant>
        <vt:lpwstr>https://doi.org/10.1016/j.aquaculture.2007.02.025</vt:lpwstr>
      </vt:variant>
      <vt:variant>
        <vt:lpwstr/>
      </vt:variant>
      <vt:variant>
        <vt:i4>5898246</vt:i4>
      </vt:variant>
      <vt:variant>
        <vt:i4>6</vt:i4>
      </vt:variant>
      <vt:variant>
        <vt:i4>0</vt:i4>
      </vt:variant>
      <vt:variant>
        <vt:i4>5</vt:i4>
      </vt:variant>
      <vt:variant>
        <vt:lpwstr>https://doi.org/10.33745/ijzi.2025.v11i01.079</vt:lpwstr>
      </vt:variant>
      <vt:variant>
        <vt:lpwstr/>
      </vt:variant>
      <vt:variant>
        <vt:i4>7143538</vt:i4>
      </vt:variant>
      <vt:variant>
        <vt:i4>3</vt:i4>
      </vt:variant>
      <vt:variant>
        <vt:i4>0</vt:i4>
      </vt:variant>
      <vt:variant>
        <vt:i4>5</vt:i4>
      </vt:variant>
      <vt:variant>
        <vt:lpwstr>https://doi.org/10.3390/app12094106</vt:lpwstr>
      </vt:variant>
      <vt:variant>
        <vt:lpwstr/>
      </vt:variant>
      <vt:variant>
        <vt:i4>4849668</vt:i4>
      </vt:variant>
      <vt:variant>
        <vt:i4>0</vt:i4>
      </vt:variant>
      <vt:variant>
        <vt:i4>0</vt:i4>
      </vt:variant>
      <vt:variant>
        <vt:i4>5</vt:i4>
      </vt:variant>
      <vt:variant>
        <vt:lpwstr>mailto:sunitaarya_kn15@csjmu.ac.in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Editor-11</cp:lastModifiedBy>
  <cp:revision>119</cp:revision>
  <dcterms:created xsi:type="dcterms:W3CDTF">2025-07-15T03:16:00Z</dcterms:created>
  <dcterms:modified xsi:type="dcterms:W3CDTF">2025-09-18T09:27:00Z</dcterms:modified>
</cp:coreProperties>
</file>