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3F2F8" w14:textId="77777777" w:rsidR="00316073" w:rsidRPr="00316073" w:rsidRDefault="00316073" w:rsidP="00316073">
      <w:pPr>
        <w:pStyle w:val="Heading1"/>
        <w:rPr>
          <w:bCs/>
          <w:i/>
          <w:iCs/>
          <w:u w:val="single"/>
          <w:lang w:val="en-US"/>
        </w:rPr>
      </w:pPr>
      <w:r w:rsidRPr="00316073">
        <w:rPr>
          <w:bCs/>
          <w:i/>
          <w:iCs/>
          <w:u w:val="single"/>
          <w:lang w:val="en-US"/>
        </w:rPr>
        <w:t>Original Research Article</w:t>
      </w:r>
    </w:p>
    <w:p w14:paraId="57AE1113" w14:textId="4FD11832" w:rsidR="00AE2674" w:rsidRDefault="00AE2674" w:rsidP="00AE2674">
      <w:pPr>
        <w:pStyle w:val="Heading1"/>
        <w:rPr>
          <w:b w:val="0"/>
          <w:bCs/>
        </w:rPr>
      </w:pPr>
      <w:r w:rsidRPr="00252F07">
        <w:rPr>
          <w:b w:val="0"/>
          <w:bCs/>
        </w:rPr>
        <w:t xml:space="preserve">Molecular and Morphological Identification of </w:t>
      </w:r>
      <w:proofErr w:type="spellStart"/>
      <w:r w:rsidRPr="00252F07">
        <w:rPr>
          <w:b w:val="0"/>
          <w:bCs/>
          <w:i/>
          <w:iCs/>
        </w:rPr>
        <w:t>Labeo</w:t>
      </w:r>
      <w:proofErr w:type="spellEnd"/>
      <w:r w:rsidRPr="00252F07">
        <w:rPr>
          <w:b w:val="0"/>
          <w:bCs/>
          <w:i/>
          <w:iCs/>
        </w:rPr>
        <w:t xml:space="preserve"> </w:t>
      </w:r>
      <w:proofErr w:type="spellStart"/>
      <w:r w:rsidRPr="00252F07">
        <w:rPr>
          <w:b w:val="0"/>
          <w:bCs/>
          <w:i/>
          <w:iCs/>
        </w:rPr>
        <w:t>catla</w:t>
      </w:r>
      <w:proofErr w:type="spellEnd"/>
      <w:r w:rsidRPr="00252F07">
        <w:rPr>
          <w:b w:val="0"/>
          <w:bCs/>
        </w:rPr>
        <w:t xml:space="preserve"> (Hamilton, 1822): Evidence from DNA Barcoding and Comparative </w:t>
      </w:r>
      <w:proofErr w:type="spellStart"/>
      <w:r w:rsidRPr="00252F07">
        <w:rPr>
          <w:b w:val="0"/>
          <w:bCs/>
        </w:rPr>
        <w:t>Meristics</w:t>
      </w:r>
      <w:proofErr w:type="spellEnd"/>
      <w:r w:rsidRPr="00252F07">
        <w:rPr>
          <w:b w:val="0"/>
          <w:bCs/>
        </w:rPr>
        <w:t xml:space="preserve"> in </w:t>
      </w:r>
      <w:proofErr w:type="spellStart"/>
      <w:r w:rsidRPr="00252F07">
        <w:rPr>
          <w:b w:val="0"/>
          <w:bCs/>
        </w:rPr>
        <w:t>Khairi</w:t>
      </w:r>
      <w:proofErr w:type="spellEnd"/>
      <w:r w:rsidRPr="00252F07">
        <w:rPr>
          <w:b w:val="0"/>
          <w:bCs/>
        </w:rPr>
        <w:t xml:space="preserve"> Dam Populations</w:t>
      </w:r>
    </w:p>
    <w:p w14:paraId="21D79722" w14:textId="77777777" w:rsidR="00AF5C69" w:rsidRDefault="00AF5C69" w:rsidP="00252F07">
      <w:pPr>
        <w:rPr>
          <w:b/>
          <w:bCs/>
        </w:rPr>
      </w:pPr>
      <w:bookmarkStart w:id="0" w:name="_GoBack"/>
      <w:bookmarkEnd w:id="0"/>
    </w:p>
    <w:p w14:paraId="71903293" w14:textId="77777777" w:rsidR="00EA09CE" w:rsidRDefault="00252F07" w:rsidP="00AE2674">
      <w:pPr>
        <w:rPr>
          <w:bCs/>
          <w:i/>
          <w:iCs/>
        </w:rPr>
      </w:pPr>
      <w:r w:rsidRPr="00252F07">
        <w:rPr>
          <w:b/>
          <w:bCs/>
          <w:i/>
          <w:iCs/>
        </w:rPr>
        <w:t xml:space="preserve">Abstract: </w:t>
      </w:r>
      <w:r w:rsidRPr="00252F07">
        <w:rPr>
          <w:bCs/>
          <w:i/>
          <w:iCs/>
        </w:rPr>
        <w:t xml:space="preserve">This study delivers an integrative, voucher-anchored confirmation of </w:t>
      </w:r>
      <w:proofErr w:type="spellStart"/>
      <w:r w:rsidRPr="00252F07">
        <w:rPr>
          <w:bCs/>
          <w:i/>
          <w:iCs/>
        </w:rPr>
        <w:t>Labeo</w:t>
      </w:r>
      <w:proofErr w:type="spellEnd"/>
      <w:r w:rsidRPr="00252F07">
        <w:rPr>
          <w:bCs/>
          <w:i/>
          <w:iCs/>
        </w:rPr>
        <w:t xml:space="preserve"> </w:t>
      </w:r>
      <w:proofErr w:type="spellStart"/>
      <w:r w:rsidRPr="00252F07">
        <w:rPr>
          <w:bCs/>
          <w:i/>
          <w:iCs/>
        </w:rPr>
        <w:t>catla</w:t>
      </w:r>
      <w:proofErr w:type="spellEnd"/>
      <w:r w:rsidRPr="00252F07">
        <w:rPr>
          <w:bCs/>
          <w:i/>
          <w:iCs/>
        </w:rPr>
        <w:t xml:space="preserve"> (Hamilton, 1822) from </w:t>
      </w:r>
      <w:proofErr w:type="spellStart"/>
      <w:r w:rsidRPr="00252F07">
        <w:rPr>
          <w:bCs/>
          <w:i/>
          <w:iCs/>
        </w:rPr>
        <w:t>Khairi</w:t>
      </w:r>
      <w:proofErr w:type="spellEnd"/>
      <w:r w:rsidRPr="00252F07">
        <w:rPr>
          <w:bCs/>
          <w:i/>
          <w:iCs/>
        </w:rPr>
        <w:t xml:space="preserve"> Dam, Maharashtra, combining mitochondrial DNA barcoding with comparative morphometric–meristic diagnostics. The objective was to verify species identity for reservoir stocks that underpin regional aquaculture and biodiversity accounting. Fifteen adult specimens (N = 15) were collected by gill nets; standard biometric data and a non-lethal fin clip were taken per specimen, with vouchers curated at ZSI Hyderabad (ZSI-SRC-CYPR2023/</w:t>
      </w:r>
      <w:proofErr w:type="spellStart"/>
      <w:r w:rsidRPr="00252F07">
        <w:rPr>
          <w:bCs/>
          <w:i/>
          <w:iCs/>
        </w:rPr>
        <w:t>Khairi</w:t>
      </w:r>
      <w:proofErr w:type="spellEnd"/>
      <w:r w:rsidRPr="00252F07">
        <w:rPr>
          <w:bCs/>
          <w:i/>
          <w:iCs/>
        </w:rPr>
        <w:t xml:space="preserve">/01–15). A 652-bp COI fragment from the representative voucher RMK1 was amplified with FishF1/FishR1 primers and Sanger-sequenced. The assembled sequence showed no ambiguous bases (Q≥30 across &gt;98% sites; GC 46.2%) and returned 99.38% identity and 98% query coverage to </w:t>
      </w:r>
      <w:proofErr w:type="spellStart"/>
      <w:r w:rsidRPr="00252F07">
        <w:rPr>
          <w:bCs/>
          <w:i/>
          <w:iCs/>
        </w:rPr>
        <w:t>Labeo</w:t>
      </w:r>
      <w:proofErr w:type="spellEnd"/>
      <w:r w:rsidRPr="00252F07">
        <w:rPr>
          <w:bCs/>
          <w:i/>
          <w:iCs/>
        </w:rPr>
        <w:t xml:space="preserve"> </w:t>
      </w:r>
      <w:proofErr w:type="spellStart"/>
      <w:r w:rsidRPr="00252F07">
        <w:rPr>
          <w:bCs/>
          <w:i/>
          <w:iCs/>
        </w:rPr>
        <w:t>catla</w:t>
      </w:r>
      <w:proofErr w:type="spellEnd"/>
      <w:r w:rsidRPr="00252F07">
        <w:rPr>
          <w:bCs/>
          <w:i/>
          <w:iCs/>
        </w:rPr>
        <w:t xml:space="preserve"> mitogenome MT303069.1 in </w:t>
      </w:r>
      <w:proofErr w:type="spellStart"/>
      <w:r w:rsidRPr="00252F07">
        <w:rPr>
          <w:bCs/>
          <w:i/>
          <w:iCs/>
        </w:rPr>
        <w:t>BLASTn</w:t>
      </w:r>
      <w:proofErr w:type="spellEnd"/>
      <w:r w:rsidRPr="00252F07">
        <w:rPr>
          <w:bCs/>
          <w:i/>
          <w:iCs/>
        </w:rPr>
        <w:t xml:space="preserve">. </w:t>
      </w:r>
      <w:proofErr w:type="spellStart"/>
      <w:r w:rsidRPr="00252F07">
        <w:rPr>
          <w:bCs/>
          <w:i/>
          <w:iCs/>
        </w:rPr>
        <w:t>Neighbor</w:t>
      </w:r>
      <w:proofErr w:type="spellEnd"/>
      <w:r w:rsidRPr="00252F07">
        <w:rPr>
          <w:bCs/>
          <w:i/>
          <w:iCs/>
        </w:rPr>
        <w:t xml:space="preserve">-Joining phylogeny (MEGA11; K2P; 1,000 bootstraps) clustered RMK1 with </w:t>
      </w:r>
      <w:proofErr w:type="spellStart"/>
      <w:r w:rsidRPr="00252F07">
        <w:rPr>
          <w:bCs/>
          <w:i/>
          <w:iCs/>
        </w:rPr>
        <w:t>catla</w:t>
      </w:r>
      <w:proofErr w:type="spellEnd"/>
      <w:r w:rsidRPr="00252F07">
        <w:rPr>
          <w:bCs/>
          <w:i/>
          <w:iCs/>
        </w:rPr>
        <w:t xml:space="preserve"> complete mitogenomes (AP011355.1; KY419138.1), clearly separated from the outgroup </w:t>
      </w:r>
      <w:proofErr w:type="spellStart"/>
      <w:r w:rsidRPr="00252F07">
        <w:rPr>
          <w:bCs/>
          <w:i/>
          <w:iCs/>
        </w:rPr>
        <w:t>Magallana</w:t>
      </w:r>
      <w:proofErr w:type="spellEnd"/>
      <w:r w:rsidRPr="00252F07">
        <w:rPr>
          <w:bCs/>
          <w:i/>
          <w:iCs/>
        </w:rPr>
        <w:t xml:space="preserve"> </w:t>
      </w:r>
      <w:proofErr w:type="spellStart"/>
      <w:r w:rsidRPr="00252F07">
        <w:rPr>
          <w:bCs/>
          <w:i/>
          <w:iCs/>
        </w:rPr>
        <w:t>gigas</w:t>
      </w:r>
      <w:proofErr w:type="spellEnd"/>
      <w:r w:rsidRPr="00252F07">
        <w:rPr>
          <w:bCs/>
          <w:i/>
          <w:iCs/>
        </w:rPr>
        <w:t xml:space="preserve">. Morphometric and meristic characters for the series fell entirely within authoritative </w:t>
      </w:r>
      <w:proofErr w:type="spellStart"/>
      <w:r w:rsidRPr="00252F07">
        <w:rPr>
          <w:bCs/>
          <w:i/>
          <w:iCs/>
        </w:rPr>
        <w:t>catla</w:t>
      </w:r>
      <w:proofErr w:type="spellEnd"/>
      <w:r w:rsidRPr="00252F07">
        <w:rPr>
          <w:bCs/>
          <w:i/>
          <w:iCs/>
        </w:rPr>
        <w:t xml:space="preserve"> ranges: body depth 38–42% SL, head length 28–32% SL, lateral-line scales 62–67, dorsal fin ii,9–11, anal fin iii,5–6, and gill </w:t>
      </w:r>
      <w:proofErr w:type="spellStart"/>
      <w:r w:rsidRPr="00252F07">
        <w:rPr>
          <w:bCs/>
          <w:i/>
          <w:iCs/>
        </w:rPr>
        <w:t>rakers</w:t>
      </w:r>
      <w:proofErr w:type="spellEnd"/>
      <w:r w:rsidRPr="00252F07">
        <w:rPr>
          <w:bCs/>
          <w:i/>
          <w:iCs/>
        </w:rPr>
        <w:t xml:space="preserve"> 15–18. No outlier exceeded published bounds. Convergence of molecular and morphological evidence, supported by voucher curation, certifies the </w:t>
      </w:r>
      <w:proofErr w:type="spellStart"/>
      <w:r w:rsidRPr="00252F07">
        <w:rPr>
          <w:bCs/>
          <w:i/>
          <w:iCs/>
        </w:rPr>
        <w:t>Khairi</w:t>
      </w:r>
      <w:proofErr w:type="spellEnd"/>
      <w:r w:rsidRPr="00252F07">
        <w:rPr>
          <w:bCs/>
          <w:i/>
          <w:iCs/>
        </w:rPr>
        <w:t xml:space="preserve"> Dam specimens as </w:t>
      </w:r>
      <w:proofErr w:type="spellStart"/>
      <w:r w:rsidRPr="00252F07">
        <w:rPr>
          <w:bCs/>
          <w:i/>
          <w:iCs/>
        </w:rPr>
        <w:t>Labeo</w:t>
      </w:r>
      <w:proofErr w:type="spellEnd"/>
      <w:r w:rsidRPr="00252F07">
        <w:rPr>
          <w:bCs/>
          <w:i/>
          <w:iCs/>
        </w:rPr>
        <w:t xml:space="preserve"> </w:t>
      </w:r>
      <w:proofErr w:type="spellStart"/>
      <w:r w:rsidRPr="00252F07">
        <w:rPr>
          <w:bCs/>
          <w:i/>
          <w:iCs/>
        </w:rPr>
        <w:t>catla</w:t>
      </w:r>
      <w:proofErr w:type="spellEnd"/>
      <w:r w:rsidRPr="00252F07">
        <w:rPr>
          <w:bCs/>
          <w:i/>
          <w:iCs/>
        </w:rPr>
        <w:t xml:space="preserve">. </w:t>
      </w:r>
      <w:r w:rsidR="00EA09CE" w:rsidRPr="00EA09CE">
        <w:rPr>
          <w:bCs/>
          <w:i/>
          <w:iCs/>
        </w:rPr>
        <w:t xml:space="preserve">The workflow—non-lethal sampling, standard COI barcoding, reference-anchored phylogeny, and a concise meristic panel—offers a realistic template for hatchery auditing, stock traceability, and reservoir monitoring, providing a valuable tool for improving </w:t>
      </w:r>
      <w:proofErr w:type="spellStart"/>
      <w:r w:rsidR="00EA09CE" w:rsidRPr="00EA09CE">
        <w:rPr>
          <w:bCs/>
          <w:i/>
          <w:iCs/>
        </w:rPr>
        <w:t>broodstock</w:t>
      </w:r>
      <w:proofErr w:type="spellEnd"/>
      <w:r w:rsidR="00EA09CE" w:rsidRPr="00EA09CE">
        <w:rPr>
          <w:bCs/>
          <w:i/>
          <w:iCs/>
        </w:rPr>
        <w:t xml:space="preserve"> management and genetic quality in aquaculture, while establishing a curated baseline for future population-genetic and performance studies in Indian major carps</w:t>
      </w:r>
    </w:p>
    <w:p w14:paraId="7A6B9DDE" w14:textId="33B2E88D" w:rsidR="00AE2674" w:rsidRPr="00252F07" w:rsidRDefault="00252F07" w:rsidP="00AE2674">
      <w:pPr>
        <w:rPr>
          <w:b/>
          <w:i/>
          <w:iCs/>
        </w:rPr>
      </w:pPr>
      <w:r w:rsidRPr="00252F07">
        <w:rPr>
          <w:b/>
          <w:bCs/>
          <w:i/>
          <w:iCs/>
        </w:rPr>
        <w:t>Keywords:</w:t>
      </w:r>
      <w:r w:rsidRPr="00252F07">
        <w:rPr>
          <w:bCs/>
          <w:i/>
          <w:iCs/>
        </w:rPr>
        <w:t xml:space="preserve"> </w:t>
      </w:r>
      <w:proofErr w:type="spellStart"/>
      <w:r w:rsidRPr="00252F07">
        <w:rPr>
          <w:b/>
          <w:i/>
          <w:iCs/>
        </w:rPr>
        <w:t>Labeo</w:t>
      </w:r>
      <w:proofErr w:type="spellEnd"/>
      <w:r w:rsidRPr="00252F07">
        <w:rPr>
          <w:b/>
          <w:i/>
          <w:iCs/>
        </w:rPr>
        <w:t xml:space="preserve"> </w:t>
      </w:r>
      <w:proofErr w:type="spellStart"/>
      <w:r w:rsidRPr="00252F07">
        <w:rPr>
          <w:b/>
          <w:i/>
          <w:iCs/>
        </w:rPr>
        <w:t>catla</w:t>
      </w:r>
      <w:proofErr w:type="spellEnd"/>
      <w:r w:rsidRPr="00252F07">
        <w:rPr>
          <w:b/>
          <w:i/>
          <w:iCs/>
        </w:rPr>
        <w:t xml:space="preserve">; DNA barcoding (COI); morphometric–meristic analysis; integrative taxonomy; </w:t>
      </w:r>
      <w:proofErr w:type="spellStart"/>
      <w:r w:rsidRPr="00252F07">
        <w:rPr>
          <w:b/>
          <w:i/>
          <w:iCs/>
        </w:rPr>
        <w:t>Khairi</w:t>
      </w:r>
      <w:proofErr w:type="spellEnd"/>
      <w:r w:rsidRPr="00252F07">
        <w:rPr>
          <w:b/>
          <w:i/>
          <w:iCs/>
        </w:rPr>
        <w:t xml:space="preserve"> Dam; aquaculture seed verification.</w:t>
      </w:r>
    </w:p>
    <w:p w14:paraId="4D887387" w14:textId="74F472C1" w:rsidR="00AE2674" w:rsidRPr="00252F07" w:rsidRDefault="00AE2674" w:rsidP="00AE2674">
      <w:pPr>
        <w:pStyle w:val="Heading2"/>
        <w:rPr>
          <w:bCs/>
        </w:rPr>
      </w:pPr>
      <w:r w:rsidRPr="00252F07">
        <w:rPr>
          <w:bCs/>
        </w:rPr>
        <w:t>1. INTRODUCTION</w:t>
      </w:r>
    </w:p>
    <w:p w14:paraId="240D00DE" w14:textId="77777777" w:rsidR="00772BB0" w:rsidRPr="00F90BFC" w:rsidRDefault="00772BB0" w:rsidP="00772BB0">
      <w:pPr>
        <w:spacing w:before="100" w:beforeAutospacing="1" w:after="100" w:afterAutospacing="1" w:line="240" w:lineRule="auto"/>
        <w:rPr>
          <w:rFonts w:eastAsia="Times New Roman"/>
          <w:lang w:eastAsia="en-IN"/>
        </w:rPr>
      </w:pPr>
      <w:r w:rsidRPr="00F90BFC">
        <w:rPr>
          <w:rFonts w:eastAsia="Times New Roman"/>
          <w:lang w:eastAsia="en-IN"/>
        </w:rPr>
        <w:t xml:space="preserve">Aquatic foods underpin food security, rural livelihoods, and national economies, yet their sustainable development depends on reliable taxonomic identification across production chains and conservation programs (Hebert et al., 2003; Ward et al., 2005). In 2022, global fisheries and aquaculture output reached an estimated 223.2 million tonnes, including 185.4 million tonnes of aquatic animals; for the first time, aquaculture (≈130.9 million tonnes when algae are included) surpassed capture fisheries in supplying aquatic animal protein, accounting for ~51% of aquatic animal production (FAO, 2024; Ward et al., 2009). Asia remains the engine of this growth, and India ranks among the world’s largest producers, with total national production rising to ~17.5 million tonnes in 2022–2023, of which ~13.1 million tonnes derive from inland fisheries and aquaculture (FAO, 2024; Ministry of Fisheries, 2024). Against this backdrop, </w:t>
      </w:r>
      <w:r w:rsidRPr="00F90BFC">
        <w:rPr>
          <w:rFonts w:eastAsia="Times New Roman"/>
          <w:lang w:eastAsia="en-IN"/>
        </w:rPr>
        <w:lastRenderedPageBreak/>
        <w:t xml:space="preserve">accurate species delimitation is not a merely academic exercise: it determines </w:t>
      </w:r>
      <w:proofErr w:type="spellStart"/>
      <w:r w:rsidRPr="00F90BFC">
        <w:rPr>
          <w:rFonts w:eastAsia="Times New Roman"/>
          <w:lang w:eastAsia="en-IN"/>
        </w:rPr>
        <w:t>broodstock</w:t>
      </w:r>
      <w:proofErr w:type="spellEnd"/>
      <w:r w:rsidRPr="00F90BFC">
        <w:rPr>
          <w:rFonts w:eastAsia="Times New Roman"/>
          <w:lang w:eastAsia="en-IN"/>
        </w:rPr>
        <w:t xml:space="preserve"> purity, affects seed supply chains, and frames biodiversity assessments in regulated waters and reservoirs (</w:t>
      </w:r>
      <w:proofErr w:type="spellStart"/>
      <w:r w:rsidRPr="00F90BFC">
        <w:rPr>
          <w:rFonts w:eastAsia="Times New Roman"/>
          <w:lang w:eastAsia="en-IN"/>
        </w:rPr>
        <w:t>Hajibabaei</w:t>
      </w:r>
      <w:proofErr w:type="spellEnd"/>
      <w:r w:rsidRPr="00F90BFC">
        <w:rPr>
          <w:rFonts w:eastAsia="Times New Roman"/>
          <w:lang w:eastAsia="en-IN"/>
        </w:rPr>
        <w:t xml:space="preserve"> et al., 2007; </w:t>
      </w:r>
      <w:proofErr w:type="spellStart"/>
      <w:r w:rsidRPr="00F90BFC">
        <w:rPr>
          <w:rFonts w:eastAsia="Times New Roman"/>
          <w:lang w:eastAsia="en-IN"/>
        </w:rPr>
        <w:t>Ratnasingham</w:t>
      </w:r>
      <w:proofErr w:type="spellEnd"/>
      <w:r w:rsidRPr="00F90BFC">
        <w:rPr>
          <w:rFonts w:eastAsia="Times New Roman"/>
          <w:lang w:eastAsia="en-IN"/>
        </w:rPr>
        <w:t xml:space="preserve"> &amp; Hebert, 2007).</w:t>
      </w:r>
    </w:p>
    <w:p w14:paraId="21E71D24" w14:textId="77777777" w:rsidR="00772BB0" w:rsidRPr="00F90BFC" w:rsidRDefault="00772BB0" w:rsidP="00772BB0">
      <w:pPr>
        <w:spacing w:before="100" w:beforeAutospacing="1" w:after="100" w:afterAutospacing="1" w:line="240" w:lineRule="auto"/>
        <w:rPr>
          <w:rFonts w:eastAsia="Times New Roman"/>
          <w:lang w:eastAsia="en-IN"/>
        </w:rPr>
      </w:pPr>
      <w:r w:rsidRPr="00F90BFC">
        <w:rPr>
          <w:rFonts w:eastAsia="Times New Roman"/>
          <w:lang w:eastAsia="en-IN"/>
        </w:rPr>
        <w:t xml:space="preserve">Traditional morphology-based diagnoses—fin-ray counts, scale rows, proportional measurements, and qualitative characters—remain foundational in ichthyology and fisheries science, but they can be confounded by phenotypic plasticity, ontogenetic change, and preservation </w:t>
      </w:r>
      <w:proofErr w:type="spellStart"/>
      <w:r w:rsidRPr="00F90BFC">
        <w:rPr>
          <w:rFonts w:eastAsia="Times New Roman"/>
          <w:lang w:eastAsia="en-IN"/>
        </w:rPr>
        <w:t>artifacts</w:t>
      </w:r>
      <w:proofErr w:type="spellEnd"/>
      <w:r w:rsidRPr="00F90BFC">
        <w:rPr>
          <w:rFonts w:eastAsia="Times New Roman"/>
          <w:lang w:eastAsia="en-IN"/>
        </w:rPr>
        <w:t xml:space="preserve">, especially in species-rich cyprinids (Nelson, 2006; Talwar &amp; </w:t>
      </w:r>
      <w:proofErr w:type="spellStart"/>
      <w:r w:rsidRPr="00F90BFC">
        <w:rPr>
          <w:rFonts w:eastAsia="Times New Roman"/>
          <w:lang w:eastAsia="en-IN"/>
        </w:rPr>
        <w:t>Jhingran</w:t>
      </w:r>
      <w:proofErr w:type="spellEnd"/>
      <w:r w:rsidRPr="00F90BFC">
        <w:rPr>
          <w:rFonts w:eastAsia="Times New Roman"/>
          <w:lang w:eastAsia="en-IN"/>
        </w:rPr>
        <w:t xml:space="preserve">, 1991). In South Asia’s inland waters, frequent sympatry among congeneric carps and local market practices (e.g., mixed seed lots) further complicate assignments (Day, 1878; </w:t>
      </w:r>
      <w:proofErr w:type="spellStart"/>
      <w:r w:rsidRPr="00F90BFC">
        <w:rPr>
          <w:rFonts w:eastAsia="Times New Roman"/>
          <w:lang w:eastAsia="en-IN"/>
        </w:rPr>
        <w:t>Lakra</w:t>
      </w:r>
      <w:proofErr w:type="spellEnd"/>
      <w:r w:rsidRPr="00F90BFC">
        <w:rPr>
          <w:rFonts w:eastAsia="Times New Roman"/>
          <w:lang w:eastAsia="en-IN"/>
        </w:rPr>
        <w:t xml:space="preserve"> et al., 2011). Consequently, misidentifications propagate through hatchery records and biodiversity datasets, biasing management decisions and ecological inference (Chakraborty &amp; Ghosh, 2014; </w:t>
      </w:r>
      <w:proofErr w:type="spellStart"/>
      <w:r w:rsidRPr="00F90BFC">
        <w:rPr>
          <w:rFonts w:eastAsia="Times New Roman"/>
          <w:lang w:eastAsia="en-IN"/>
        </w:rPr>
        <w:t>Khedkar</w:t>
      </w:r>
      <w:proofErr w:type="spellEnd"/>
      <w:r w:rsidRPr="00F90BFC">
        <w:rPr>
          <w:rFonts w:eastAsia="Times New Roman"/>
          <w:lang w:eastAsia="en-IN"/>
        </w:rPr>
        <w:t xml:space="preserve"> et al., 2014). Integrative taxonomy—combining classical </w:t>
      </w:r>
      <w:proofErr w:type="spellStart"/>
      <w:r w:rsidRPr="00F90BFC">
        <w:rPr>
          <w:rFonts w:eastAsia="Times New Roman"/>
          <w:lang w:eastAsia="en-IN"/>
        </w:rPr>
        <w:t>meristics</w:t>
      </w:r>
      <w:proofErr w:type="spellEnd"/>
      <w:r w:rsidRPr="00F90BFC">
        <w:rPr>
          <w:rFonts w:eastAsia="Times New Roman"/>
          <w:lang w:eastAsia="en-IN"/>
        </w:rPr>
        <w:t xml:space="preserve"> with standardized genetic markers—now provides a pragmatic route to robust identifications in routine fisheries contexts and in biodiversity surveys (Hebert et al., 2003; Ward et al., 2009).</w:t>
      </w:r>
    </w:p>
    <w:p w14:paraId="3A55B569" w14:textId="77777777" w:rsidR="00772BB0" w:rsidRPr="00F90BFC" w:rsidRDefault="00772BB0" w:rsidP="00772BB0">
      <w:pPr>
        <w:spacing w:before="100" w:beforeAutospacing="1" w:after="100" w:afterAutospacing="1" w:line="240" w:lineRule="auto"/>
        <w:rPr>
          <w:rFonts w:eastAsia="Times New Roman"/>
          <w:lang w:eastAsia="en-IN"/>
        </w:rPr>
      </w:pPr>
      <w:r w:rsidRPr="00F90BFC">
        <w:rPr>
          <w:rFonts w:eastAsia="Times New Roman"/>
          <w:lang w:eastAsia="en-IN"/>
        </w:rPr>
        <w:t xml:space="preserve">DNA barcoding with the mitochondrial cytochrome c oxidase I (COI) locus has become a global standard for animal identification, offering short, easily amplifiable fragments and extensive reference coverage through the Barcode of Life Data System (BOLD) (Hebert et al., 2003; </w:t>
      </w:r>
      <w:proofErr w:type="spellStart"/>
      <w:r w:rsidRPr="00F90BFC">
        <w:rPr>
          <w:rFonts w:eastAsia="Times New Roman"/>
          <w:lang w:eastAsia="en-IN"/>
        </w:rPr>
        <w:t>Ratnasingham</w:t>
      </w:r>
      <w:proofErr w:type="spellEnd"/>
      <w:r w:rsidRPr="00F90BFC">
        <w:rPr>
          <w:rFonts w:eastAsia="Times New Roman"/>
          <w:lang w:eastAsia="en-IN"/>
        </w:rPr>
        <w:t xml:space="preserve"> &amp; Hebert, 2007). For fishes, the FISH-BOL campaign consolidated thousands of reference sequences and demonstrated high discriminatory power across marine and freshwater taxa, with near-complete separation among described species at typical thresholds (Ward et al., 2005; Ward et al., 2009). In India, regional initiatives extended these libraries to coastal and inland ichthyofauna, showing strong concordance between COI clusters and morphospecies while revealing cryptic lineages and occasional database discordances (</w:t>
      </w:r>
      <w:proofErr w:type="spellStart"/>
      <w:r w:rsidRPr="00F90BFC">
        <w:rPr>
          <w:rFonts w:eastAsia="Times New Roman"/>
          <w:lang w:eastAsia="en-IN"/>
        </w:rPr>
        <w:t>Lakra</w:t>
      </w:r>
      <w:proofErr w:type="spellEnd"/>
      <w:r w:rsidRPr="00F90BFC">
        <w:rPr>
          <w:rFonts w:eastAsia="Times New Roman"/>
          <w:lang w:eastAsia="en-IN"/>
        </w:rPr>
        <w:t xml:space="preserve"> et al., 2011; Chakraborty &amp; Ghosh, 2014). Such outcomes make COI barcoding especially valuable for routine verification of high-value aquaculture species in supply chains and for voucher-backed biodiversity inventories in reservoirs and rivers (</w:t>
      </w:r>
      <w:proofErr w:type="spellStart"/>
      <w:r w:rsidRPr="00F90BFC">
        <w:rPr>
          <w:rFonts w:eastAsia="Times New Roman"/>
          <w:lang w:eastAsia="en-IN"/>
        </w:rPr>
        <w:t>Hajibabaei</w:t>
      </w:r>
      <w:proofErr w:type="spellEnd"/>
      <w:r w:rsidRPr="00F90BFC">
        <w:rPr>
          <w:rFonts w:eastAsia="Times New Roman"/>
          <w:lang w:eastAsia="en-IN"/>
        </w:rPr>
        <w:t xml:space="preserve"> et al., 2007; </w:t>
      </w:r>
      <w:proofErr w:type="spellStart"/>
      <w:r w:rsidRPr="00F90BFC">
        <w:rPr>
          <w:rFonts w:eastAsia="Times New Roman"/>
          <w:lang w:eastAsia="en-IN"/>
        </w:rPr>
        <w:t>Khedkar</w:t>
      </w:r>
      <w:proofErr w:type="spellEnd"/>
      <w:r w:rsidRPr="00F90BFC">
        <w:rPr>
          <w:rFonts w:eastAsia="Times New Roman"/>
          <w:lang w:eastAsia="en-IN"/>
        </w:rPr>
        <w:t xml:space="preserve"> et al., 2014).</w:t>
      </w:r>
    </w:p>
    <w:p w14:paraId="051D53FE" w14:textId="77777777" w:rsidR="00772BB0" w:rsidRPr="00F90BFC" w:rsidRDefault="00772BB0" w:rsidP="00772BB0">
      <w:pPr>
        <w:spacing w:before="100" w:beforeAutospacing="1" w:after="100" w:afterAutospacing="1" w:line="240" w:lineRule="auto"/>
        <w:rPr>
          <w:rFonts w:eastAsia="Times New Roman"/>
          <w:lang w:eastAsia="en-IN"/>
        </w:rPr>
      </w:pPr>
      <w:r w:rsidRPr="00F90BFC">
        <w:rPr>
          <w:rFonts w:eastAsia="Times New Roman"/>
          <w:lang w:eastAsia="en-IN"/>
        </w:rPr>
        <w:t>Within Indian aquaculture, the Indian major carps—</w:t>
      </w:r>
      <w:proofErr w:type="spellStart"/>
      <w:r w:rsidRPr="00F90BFC">
        <w:rPr>
          <w:rFonts w:eastAsia="Times New Roman"/>
          <w:i/>
          <w:iCs/>
          <w:lang w:eastAsia="en-IN"/>
        </w:rPr>
        <w:t>Labeo</w:t>
      </w:r>
      <w:proofErr w:type="spellEnd"/>
      <w:r w:rsidRPr="00F90BFC">
        <w:rPr>
          <w:rFonts w:eastAsia="Times New Roman"/>
          <w:i/>
          <w:iCs/>
          <w:lang w:eastAsia="en-IN"/>
        </w:rPr>
        <w:t xml:space="preserve"> </w:t>
      </w:r>
      <w:proofErr w:type="spellStart"/>
      <w:r w:rsidRPr="00F90BFC">
        <w:rPr>
          <w:rFonts w:eastAsia="Times New Roman"/>
          <w:i/>
          <w:iCs/>
          <w:lang w:eastAsia="en-IN"/>
        </w:rPr>
        <w:t>catla</w:t>
      </w:r>
      <w:proofErr w:type="spellEnd"/>
      <w:r w:rsidRPr="00F90BFC">
        <w:rPr>
          <w:rFonts w:eastAsia="Times New Roman"/>
          <w:lang w:eastAsia="en-IN"/>
        </w:rPr>
        <w:t xml:space="preserve"> (Hamilton, 1822), </w:t>
      </w:r>
      <w:proofErr w:type="spellStart"/>
      <w:r w:rsidRPr="00F90BFC">
        <w:rPr>
          <w:rFonts w:eastAsia="Times New Roman"/>
          <w:i/>
          <w:iCs/>
          <w:lang w:eastAsia="en-IN"/>
        </w:rPr>
        <w:t>Labeo</w:t>
      </w:r>
      <w:proofErr w:type="spellEnd"/>
      <w:r w:rsidRPr="00F90BFC">
        <w:rPr>
          <w:rFonts w:eastAsia="Times New Roman"/>
          <w:i/>
          <w:iCs/>
          <w:lang w:eastAsia="en-IN"/>
        </w:rPr>
        <w:t xml:space="preserve"> </w:t>
      </w:r>
      <w:proofErr w:type="spellStart"/>
      <w:r w:rsidRPr="00F90BFC">
        <w:rPr>
          <w:rFonts w:eastAsia="Times New Roman"/>
          <w:i/>
          <w:iCs/>
          <w:lang w:eastAsia="en-IN"/>
        </w:rPr>
        <w:t>rohita</w:t>
      </w:r>
      <w:proofErr w:type="spellEnd"/>
      <w:r w:rsidRPr="00F90BFC">
        <w:rPr>
          <w:rFonts w:eastAsia="Times New Roman"/>
          <w:lang w:eastAsia="en-IN"/>
        </w:rPr>
        <w:t xml:space="preserve">, and </w:t>
      </w:r>
      <w:proofErr w:type="spellStart"/>
      <w:r w:rsidRPr="00F90BFC">
        <w:rPr>
          <w:rFonts w:eastAsia="Times New Roman"/>
          <w:i/>
          <w:iCs/>
          <w:lang w:eastAsia="en-IN"/>
        </w:rPr>
        <w:t>Cirrhinus</w:t>
      </w:r>
      <w:proofErr w:type="spellEnd"/>
      <w:r w:rsidRPr="00F90BFC">
        <w:rPr>
          <w:rFonts w:eastAsia="Times New Roman"/>
          <w:i/>
          <w:iCs/>
          <w:lang w:eastAsia="en-IN"/>
        </w:rPr>
        <w:t xml:space="preserve"> </w:t>
      </w:r>
      <w:proofErr w:type="spellStart"/>
      <w:r w:rsidRPr="00F90BFC">
        <w:rPr>
          <w:rFonts w:eastAsia="Times New Roman"/>
          <w:i/>
          <w:iCs/>
          <w:lang w:eastAsia="en-IN"/>
        </w:rPr>
        <w:t>mrigala</w:t>
      </w:r>
      <w:proofErr w:type="spellEnd"/>
      <w:r w:rsidRPr="00F90BFC">
        <w:rPr>
          <w:rFonts w:eastAsia="Times New Roman"/>
          <w:lang w:eastAsia="en-IN"/>
        </w:rPr>
        <w:t xml:space="preserve">—are keystone species for polyculture, with </w:t>
      </w:r>
      <w:proofErr w:type="spellStart"/>
      <w:r w:rsidRPr="00F90BFC">
        <w:rPr>
          <w:rFonts w:eastAsia="Times New Roman"/>
          <w:i/>
          <w:iCs/>
          <w:lang w:eastAsia="en-IN"/>
        </w:rPr>
        <w:t>Labeo</w:t>
      </w:r>
      <w:proofErr w:type="spellEnd"/>
      <w:r w:rsidRPr="00F90BFC">
        <w:rPr>
          <w:rFonts w:eastAsia="Times New Roman"/>
          <w:i/>
          <w:iCs/>
          <w:lang w:eastAsia="en-IN"/>
        </w:rPr>
        <w:t xml:space="preserve"> </w:t>
      </w:r>
      <w:proofErr w:type="spellStart"/>
      <w:r w:rsidRPr="00F90BFC">
        <w:rPr>
          <w:rFonts w:eastAsia="Times New Roman"/>
          <w:i/>
          <w:iCs/>
          <w:lang w:eastAsia="en-IN"/>
        </w:rPr>
        <w:t>catla</w:t>
      </w:r>
      <w:proofErr w:type="spellEnd"/>
      <w:r w:rsidRPr="00F90BFC">
        <w:rPr>
          <w:rFonts w:eastAsia="Times New Roman"/>
          <w:lang w:eastAsia="en-IN"/>
        </w:rPr>
        <w:t xml:space="preserve"> (hereafter </w:t>
      </w:r>
      <w:proofErr w:type="spellStart"/>
      <w:r w:rsidRPr="00F90BFC">
        <w:rPr>
          <w:rFonts w:eastAsia="Times New Roman"/>
          <w:lang w:eastAsia="en-IN"/>
        </w:rPr>
        <w:t>catla</w:t>
      </w:r>
      <w:proofErr w:type="spellEnd"/>
      <w:r w:rsidRPr="00F90BFC">
        <w:rPr>
          <w:rFonts w:eastAsia="Times New Roman"/>
          <w:lang w:eastAsia="en-IN"/>
        </w:rPr>
        <w:t xml:space="preserve">) prized for fast growth, surface–midwater feeding, and high consumer acceptance (Talwar &amp; </w:t>
      </w:r>
      <w:proofErr w:type="spellStart"/>
      <w:r w:rsidRPr="00F90BFC">
        <w:rPr>
          <w:rFonts w:eastAsia="Times New Roman"/>
          <w:lang w:eastAsia="en-IN"/>
        </w:rPr>
        <w:t>Jhingran</w:t>
      </w:r>
      <w:proofErr w:type="spellEnd"/>
      <w:r w:rsidRPr="00F90BFC">
        <w:rPr>
          <w:rFonts w:eastAsia="Times New Roman"/>
          <w:lang w:eastAsia="en-IN"/>
        </w:rPr>
        <w:t xml:space="preserve">, 1991; FAO, 2024). Contemporary molecular resources further strengthen taxonomic certainty: multiple complete mitogenomes and genomic resources now exist for </w:t>
      </w:r>
      <w:proofErr w:type="spellStart"/>
      <w:r w:rsidRPr="00F90BFC">
        <w:rPr>
          <w:rFonts w:eastAsia="Times New Roman"/>
          <w:lang w:eastAsia="en-IN"/>
        </w:rPr>
        <w:t>catla</w:t>
      </w:r>
      <w:proofErr w:type="spellEnd"/>
      <w:r w:rsidRPr="00F90BFC">
        <w:rPr>
          <w:rFonts w:eastAsia="Times New Roman"/>
          <w:lang w:eastAsia="en-IN"/>
        </w:rPr>
        <w:t xml:space="preserve">, facilitating phylogenetic placement and enabling cross-validation of barcode-level identifications (Sahoo et al., 2021; </w:t>
      </w:r>
      <w:proofErr w:type="spellStart"/>
      <w:r w:rsidRPr="00F90BFC">
        <w:rPr>
          <w:rFonts w:eastAsia="Times New Roman"/>
          <w:lang w:eastAsia="en-IN"/>
        </w:rPr>
        <w:t>Lakra</w:t>
      </w:r>
      <w:proofErr w:type="spellEnd"/>
      <w:r w:rsidRPr="00F90BFC">
        <w:rPr>
          <w:rFonts w:eastAsia="Times New Roman"/>
          <w:lang w:eastAsia="en-IN"/>
        </w:rPr>
        <w:t xml:space="preserve"> et al., 2011). At the national scale, India’s inland and aquaculture production more than doubled between 2013–2014 and 2022–2023, increasing from ~6.1 to ~13.1 million tonnes; maintaining genetic integrity of </w:t>
      </w:r>
      <w:proofErr w:type="spellStart"/>
      <w:r w:rsidRPr="00F90BFC">
        <w:rPr>
          <w:rFonts w:eastAsia="Times New Roman"/>
          <w:lang w:eastAsia="en-IN"/>
        </w:rPr>
        <w:t>broodstock</w:t>
      </w:r>
      <w:proofErr w:type="spellEnd"/>
      <w:r w:rsidRPr="00F90BFC">
        <w:rPr>
          <w:rFonts w:eastAsia="Times New Roman"/>
          <w:lang w:eastAsia="en-IN"/>
        </w:rPr>
        <w:t xml:space="preserve"> during such expansion is critical to avoid hybridization, </w:t>
      </w:r>
      <w:proofErr w:type="spellStart"/>
      <w:r w:rsidRPr="00F90BFC">
        <w:rPr>
          <w:rFonts w:eastAsia="Times New Roman"/>
          <w:lang w:eastAsia="en-IN"/>
        </w:rPr>
        <w:t>introgression</w:t>
      </w:r>
      <w:proofErr w:type="spellEnd"/>
      <w:r w:rsidRPr="00F90BFC">
        <w:rPr>
          <w:rFonts w:eastAsia="Times New Roman"/>
          <w:lang w:eastAsia="en-IN"/>
        </w:rPr>
        <w:t>, and stock contamination that can depress performance traits (Ministry of Fisheries, 2024; FAO, 2024).</w:t>
      </w:r>
    </w:p>
    <w:p w14:paraId="512BD864" w14:textId="77777777" w:rsidR="00772BB0" w:rsidRPr="00F90BFC" w:rsidRDefault="00772BB0" w:rsidP="00772BB0">
      <w:pPr>
        <w:spacing w:before="100" w:beforeAutospacing="1" w:after="100" w:afterAutospacing="1" w:line="240" w:lineRule="auto"/>
        <w:rPr>
          <w:rFonts w:eastAsia="Times New Roman"/>
          <w:lang w:eastAsia="en-IN"/>
        </w:rPr>
      </w:pPr>
      <w:r w:rsidRPr="00F90BFC">
        <w:rPr>
          <w:rFonts w:eastAsia="Times New Roman"/>
          <w:lang w:eastAsia="en-IN"/>
        </w:rPr>
        <w:t>Despite progress, several problems persist. First, look-alike juvenile stages and overlapping meristic ranges among sympatric cyprinids can obscure diagnoses based solely on external characters, especially when specimens are small, damaged, or preserved (Nelson, 2006; Day, 1878). Second, regional lineages within widely distributed species generate intraspecific COI variation that can be mistaken for interspecific divergence if reference coverage is sparse (Chakraborty &amp; Ghosh, 2014; Kundu et al., 2019). Third, hatchery-mediated translocations across basins—common in India’s composite carp culture—can seed undetected admixture without careful screening (</w:t>
      </w:r>
      <w:proofErr w:type="spellStart"/>
      <w:r w:rsidRPr="00F90BFC">
        <w:rPr>
          <w:rFonts w:eastAsia="Times New Roman"/>
          <w:lang w:eastAsia="en-IN"/>
        </w:rPr>
        <w:t>Lakra</w:t>
      </w:r>
      <w:proofErr w:type="spellEnd"/>
      <w:r w:rsidRPr="00F90BFC">
        <w:rPr>
          <w:rFonts w:eastAsia="Times New Roman"/>
          <w:lang w:eastAsia="en-IN"/>
        </w:rPr>
        <w:t xml:space="preserve"> et al., 2011; </w:t>
      </w:r>
      <w:proofErr w:type="spellStart"/>
      <w:r w:rsidRPr="00F90BFC">
        <w:rPr>
          <w:rFonts w:eastAsia="Times New Roman"/>
          <w:lang w:eastAsia="en-IN"/>
        </w:rPr>
        <w:t>Khedkar</w:t>
      </w:r>
      <w:proofErr w:type="spellEnd"/>
      <w:r w:rsidRPr="00F90BFC">
        <w:rPr>
          <w:rFonts w:eastAsia="Times New Roman"/>
          <w:lang w:eastAsia="en-IN"/>
        </w:rPr>
        <w:t xml:space="preserve"> et al., 2014). These challenges justify a </w:t>
      </w:r>
      <w:r w:rsidRPr="00F90BFC">
        <w:rPr>
          <w:rFonts w:eastAsia="Times New Roman"/>
          <w:lang w:eastAsia="en-IN"/>
        </w:rPr>
        <w:lastRenderedPageBreak/>
        <w:t>two-pronged, integrative approach in applied studies: (</w:t>
      </w:r>
      <w:proofErr w:type="spellStart"/>
      <w:r w:rsidRPr="00F90BFC">
        <w:rPr>
          <w:rFonts w:eastAsia="Times New Roman"/>
          <w:lang w:eastAsia="en-IN"/>
        </w:rPr>
        <w:t>i</w:t>
      </w:r>
      <w:proofErr w:type="spellEnd"/>
      <w:r w:rsidRPr="00F90BFC">
        <w:rPr>
          <w:rFonts w:eastAsia="Times New Roman"/>
          <w:lang w:eastAsia="en-IN"/>
        </w:rPr>
        <w:t xml:space="preserve">) COI-based DNA barcoding checked against vetted reference sequences and (ii) classical morphological and meristic confirmation against authoritative keys and monographs (Hebert et al., 2003; Talwar &amp; </w:t>
      </w:r>
      <w:proofErr w:type="spellStart"/>
      <w:r w:rsidRPr="00F90BFC">
        <w:rPr>
          <w:rFonts w:eastAsia="Times New Roman"/>
          <w:lang w:eastAsia="en-IN"/>
        </w:rPr>
        <w:t>Jhingran</w:t>
      </w:r>
      <w:proofErr w:type="spellEnd"/>
      <w:r w:rsidRPr="00F90BFC">
        <w:rPr>
          <w:rFonts w:eastAsia="Times New Roman"/>
          <w:lang w:eastAsia="en-IN"/>
        </w:rPr>
        <w:t>, 1991).</w:t>
      </w:r>
    </w:p>
    <w:p w14:paraId="1A19591C" w14:textId="77777777" w:rsidR="00772BB0" w:rsidRPr="00F90BFC" w:rsidRDefault="00772BB0" w:rsidP="00772BB0">
      <w:pPr>
        <w:spacing w:before="100" w:beforeAutospacing="1" w:after="100" w:afterAutospacing="1" w:line="240" w:lineRule="auto"/>
        <w:rPr>
          <w:rFonts w:eastAsia="Times New Roman"/>
          <w:lang w:eastAsia="en-IN"/>
        </w:rPr>
      </w:pPr>
      <w:r w:rsidRPr="00F90BFC">
        <w:rPr>
          <w:rFonts w:eastAsia="Times New Roman"/>
          <w:lang w:eastAsia="en-IN"/>
        </w:rPr>
        <w:t xml:space="preserve">Reservoirs such as </w:t>
      </w:r>
      <w:proofErr w:type="spellStart"/>
      <w:r w:rsidRPr="00F90BFC">
        <w:rPr>
          <w:rFonts w:eastAsia="Times New Roman"/>
          <w:lang w:eastAsia="en-IN"/>
        </w:rPr>
        <w:t>Khairi</w:t>
      </w:r>
      <w:proofErr w:type="spellEnd"/>
      <w:r w:rsidRPr="00F90BFC">
        <w:rPr>
          <w:rFonts w:eastAsia="Times New Roman"/>
          <w:lang w:eastAsia="en-IN"/>
        </w:rPr>
        <w:t xml:space="preserve"> Dam are strategic sampling frames for applied taxonomic verification because they concentrate </w:t>
      </w:r>
      <w:proofErr w:type="spellStart"/>
      <w:r w:rsidRPr="00F90BFC">
        <w:rPr>
          <w:rFonts w:eastAsia="Times New Roman"/>
          <w:lang w:eastAsia="en-IN"/>
        </w:rPr>
        <w:t>broodstock</w:t>
      </w:r>
      <w:proofErr w:type="spellEnd"/>
      <w:r w:rsidRPr="00F90BFC">
        <w:rPr>
          <w:rFonts w:eastAsia="Times New Roman"/>
          <w:lang w:eastAsia="en-IN"/>
        </w:rPr>
        <w:t xml:space="preserve">, seed, and grow-out operations while receiving stocking material from multiple hatcheries. Given India’s 2022–2023 inland output (~13.1 million tonnes) and sustained growth trajectories, even low </w:t>
      </w:r>
      <w:proofErr w:type="spellStart"/>
      <w:r w:rsidRPr="00F90BFC">
        <w:rPr>
          <w:rFonts w:eastAsia="Times New Roman"/>
          <w:lang w:eastAsia="en-IN"/>
        </w:rPr>
        <w:t>mislabeling</w:t>
      </w:r>
      <w:proofErr w:type="spellEnd"/>
      <w:r w:rsidRPr="00F90BFC">
        <w:rPr>
          <w:rFonts w:eastAsia="Times New Roman"/>
          <w:lang w:eastAsia="en-IN"/>
        </w:rPr>
        <w:t xml:space="preserve"> rates can scale to significant economic and ecological costs (Ministry of Fisheries, 2024; FAO, 2024). Regional barcoding surveys across the Narmada and Brahmaputra systems have shown that integrating COI with morphology resolves most taxa and reveals cryptic diversity, with conspecific K2P divergences typically &lt;1% and congeneric values in the ~8–15% range, mirroring global patterns (</w:t>
      </w:r>
      <w:proofErr w:type="spellStart"/>
      <w:r w:rsidRPr="00F90BFC">
        <w:rPr>
          <w:rFonts w:eastAsia="Times New Roman"/>
          <w:lang w:eastAsia="en-IN"/>
        </w:rPr>
        <w:t>Khedkar</w:t>
      </w:r>
      <w:proofErr w:type="spellEnd"/>
      <w:r w:rsidRPr="00F90BFC">
        <w:rPr>
          <w:rFonts w:eastAsia="Times New Roman"/>
          <w:lang w:eastAsia="en-IN"/>
        </w:rPr>
        <w:t xml:space="preserve"> et al., 2014; Kundu et al., 2019). Building on these precedents, molecular confirmation of </w:t>
      </w:r>
      <w:proofErr w:type="spellStart"/>
      <w:r w:rsidRPr="00F90BFC">
        <w:rPr>
          <w:rFonts w:eastAsia="Times New Roman"/>
          <w:lang w:eastAsia="en-IN"/>
        </w:rPr>
        <w:t>catla</w:t>
      </w:r>
      <w:proofErr w:type="spellEnd"/>
      <w:r w:rsidRPr="00F90BFC">
        <w:rPr>
          <w:rFonts w:eastAsia="Times New Roman"/>
          <w:lang w:eastAsia="en-IN"/>
        </w:rPr>
        <w:t xml:space="preserve"> in </w:t>
      </w:r>
      <w:proofErr w:type="spellStart"/>
      <w:r w:rsidRPr="00F90BFC">
        <w:rPr>
          <w:rFonts w:eastAsia="Times New Roman"/>
          <w:lang w:eastAsia="en-IN"/>
        </w:rPr>
        <w:t>Khairi</w:t>
      </w:r>
      <w:proofErr w:type="spellEnd"/>
      <w:r w:rsidRPr="00F90BFC">
        <w:rPr>
          <w:rFonts w:eastAsia="Times New Roman"/>
          <w:lang w:eastAsia="en-IN"/>
        </w:rPr>
        <w:t xml:space="preserve"> Dam, partnered with comparative </w:t>
      </w:r>
      <w:proofErr w:type="spellStart"/>
      <w:r w:rsidRPr="00F90BFC">
        <w:rPr>
          <w:rFonts w:eastAsia="Times New Roman"/>
          <w:lang w:eastAsia="en-IN"/>
        </w:rPr>
        <w:t>meristics</w:t>
      </w:r>
      <w:proofErr w:type="spellEnd"/>
      <w:r w:rsidRPr="00F90BFC">
        <w:rPr>
          <w:rFonts w:eastAsia="Times New Roman"/>
          <w:lang w:eastAsia="en-IN"/>
        </w:rPr>
        <w:t xml:space="preserve"> across a voucher series, provides high-confidence species assignments suitable for downstream ecological and physiological analyses.</w:t>
      </w:r>
    </w:p>
    <w:p w14:paraId="597C4669" w14:textId="77777777" w:rsidR="00772BB0" w:rsidRPr="00F90BFC" w:rsidRDefault="00772BB0" w:rsidP="00772BB0">
      <w:pPr>
        <w:spacing w:before="100" w:beforeAutospacing="1" w:after="100" w:afterAutospacing="1" w:line="240" w:lineRule="auto"/>
        <w:rPr>
          <w:rFonts w:eastAsia="Times New Roman"/>
          <w:lang w:eastAsia="en-IN"/>
        </w:rPr>
      </w:pPr>
      <w:r w:rsidRPr="00F90BFC">
        <w:rPr>
          <w:rFonts w:eastAsia="Times New Roman"/>
          <w:lang w:eastAsia="en-IN"/>
        </w:rPr>
        <w:t xml:space="preserve">Accordingly, the present study—“Molecular and Morphological Identification of </w:t>
      </w:r>
      <w:proofErr w:type="spellStart"/>
      <w:r w:rsidRPr="00F90BFC">
        <w:rPr>
          <w:rFonts w:eastAsia="Times New Roman"/>
          <w:i/>
          <w:iCs/>
          <w:lang w:eastAsia="en-IN"/>
        </w:rPr>
        <w:t>Labeo</w:t>
      </w:r>
      <w:proofErr w:type="spellEnd"/>
      <w:r w:rsidRPr="00F90BFC">
        <w:rPr>
          <w:rFonts w:eastAsia="Times New Roman"/>
          <w:i/>
          <w:iCs/>
          <w:lang w:eastAsia="en-IN"/>
        </w:rPr>
        <w:t xml:space="preserve"> </w:t>
      </w:r>
      <w:proofErr w:type="spellStart"/>
      <w:r w:rsidRPr="00F90BFC">
        <w:rPr>
          <w:rFonts w:eastAsia="Times New Roman"/>
          <w:i/>
          <w:iCs/>
          <w:lang w:eastAsia="en-IN"/>
        </w:rPr>
        <w:t>catla</w:t>
      </w:r>
      <w:proofErr w:type="spellEnd"/>
      <w:r w:rsidRPr="00F90BFC">
        <w:rPr>
          <w:rFonts w:eastAsia="Times New Roman"/>
          <w:lang w:eastAsia="en-IN"/>
        </w:rPr>
        <w:t xml:space="preserve"> (Hamilton, 1822): Evidence from DNA Barcoding and Comparative </w:t>
      </w:r>
      <w:proofErr w:type="spellStart"/>
      <w:r w:rsidRPr="00F90BFC">
        <w:rPr>
          <w:rFonts w:eastAsia="Times New Roman"/>
          <w:lang w:eastAsia="en-IN"/>
        </w:rPr>
        <w:t>Meristics</w:t>
      </w:r>
      <w:proofErr w:type="spellEnd"/>
      <w:r w:rsidRPr="00F90BFC">
        <w:rPr>
          <w:rFonts w:eastAsia="Times New Roman"/>
          <w:lang w:eastAsia="en-IN"/>
        </w:rPr>
        <w:t xml:space="preserve"> in </w:t>
      </w:r>
      <w:proofErr w:type="spellStart"/>
      <w:r w:rsidRPr="00F90BFC">
        <w:rPr>
          <w:rFonts w:eastAsia="Times New Roman"/>
          <w:lang w:eastAsia="en-IN"/>
        </w:rPr>
        <w:t>Khairi</w:t>
      </w:r>
      <w:proofErr w:type="spellEnd"/>
      <w:r w:rsidRPr="00F90BFC">
        <w:rPr>
          <w:rFonts w:eastAsia="Times New Roman"/>
          <w:lang w:eastAsia="en-IN"/>
        </w:rPr>
        <w:t xml:space="preserve"> Dam Populations”—addresses a concrete verification need at the interface of aquaculture practice and biodiversity documentation. We implement COI-based DNA barcoding with rigorous sequence quality control and reference-matching (</w:t>
      </w:r>
      <w:proofErr w:type="spellStart"/>
      <w:r w:rsidRPr="00F90BFC">
        <w:rPr>
          <w:rFonts w:eastAsia="Times New Roman"/>
          <w:lang w:eastAsia="en-IN"/>
        </w:rPr>
        <w:t>BLASTn</w:t>
      </w:r>
      <w:proofErr w:type="spellEnd"/>
      <w:r w:rsidRPr="00F90BFC">
        <w:rPr>
          <w:rFonts w:eastAsia="Times New Roman"/>
          <w:lang w:eastAsia="en-IN"/>
        </w:rPr>
        <w:t xml:space="preserve"> and phylogeny), complemented by a standardized suite of meristic and morphometric measurements cross-checked against authoritative descriptions (Hebert et al., 2003; </w:t>
      </w:r>
      <w:proofErr w:type="spellStart"/>
      <w:r w:rsidRPr="00F90BFC">
        <w:rPr>
          <w:rFonts w:eastAsia="Times New Roman"/>
          <w:lang w:eastAsia="en-IN"/>
        </w:rPr>
        <w:t>Ratnasingham</w:t>
      </w:r>
      <w:proofErr w:type="spellEnd"/>
      <w:r w:rsidRPr="00F90BFC">
        <w:rPr>
          <w:rFonts w:eastAsia="Times New Roman"/>
          <w:lang w:eastAsia="en-IN"/>
        </w:rPr>
        <w:t xml:space="preserve"> &amp; Hebert, 2007; Talwar &amp; </w:t>
      </w:r>
      <w:proofErr w:type="spellStart"/>
      <w:r w:rsidRPr="00F90BFC">
        <w:rPr>
          <w:rFonts w:eastAsia="Times New Roman"/>
          <w:lang w:eastAsia="en-IN"/>
        </w:rPr>
        <w:t>Jhingran</w:t>
      </w:r>
      <w:proofErr w:type="spellEnd"/>
      <w:r w:rsidRPr="00F90BFC">
        <w:rPr>
          <w:rFonts w:eastAsia="Times New Roman"/>
          <w:lang w:eastAsia="en-IN"/>
        </w:rPr>
        <w:t xml:space="preserve">, 1991). The combination leverages contemporary molecular resources—including available </w:t>
      </w:r>
      <w:proofErr w:type="spellStart"/>
      <w:r w:rsidRPr="00F90BFC">
        <w:rPr>
          <w:rFonts w:eastAsia="Times New Roman"/>
          <w:lang w:eastAsia="en-IN"/>
        </w:rPr>
        <w:t>catla</w:t>
      </w:r>
      <w:proofErr w:type="spellEnd"/>
      <w:r w:rsidRPr="00F90BFC">
        <w:rPr>
          <w:rFonts w:eastAsia="Times New Roman"/>
          <w:lang w:eastAsia="en-IN"/>
        </w:rPr>
        <w:t xml:space="preserve"> mitogenomes—for triangulation, ensuring that the molecular signal aligns with independent morphological criteria (Sahoo et al., 2021; </w:t>
      </w:r>
      <w:proofErr w:type="spellStart"/>
      <w:r w:rsidRPr="00F90BFC">
        <w:rPr>
          <w:rFonts w:eastAsia="Times New Roman"/>
          <w:lang w:eastAsia="en-IN"/>
        </w:rPr>
        <w:t>Lakra</w:t>
      </w:r>
      <w:proofErr w:type="spellEnd"/>
      <w:r w:rsidRPr="00F90BFC">
        <w:rPr>
          <w:rFonts w:eastAsia="Times New Roman"/>
          <w:lang w:eastAsia="en-IN"/>
        </w:rPr>
        <w:t xml:space="preserve"> et al., 2011). In doing so, the study contributes curated sequences and a specimen-backed dataset from </w:t>
      </w:r>
      <w:proofErr w:type="spellStart"/>
      <w:r w:rsidRPr="00F90BFC">
        <w:rPr>
          <w:rFonts w:eastAsia="Times New Roman"/>
          <w:lang w:eastAsia="en-IN"/>
        </w:rPr>
        <w:t>Khairi</w:t>
      </w:r>
      <w:proofErr w:type="spellEnd"/>
      <w:r w:rsidRPr="00F90BFC">
        <w:rPr>
          <w:rFonts w:eastAsia="Times New Roman"/>
          <w:lang w:eastAsia="en-IN"/>
        </w:rPr>
        <w:t xml:space="preserve"> Dam to the broader Indian barcode corpus, strengthening regional baselines for monitoring and management (</w:t>
      </w:r>
      <w:proofErr w:type="spellStart"/>
      <w:r w:rsidRPr="00F90BFC">
        <w:rPr>
          <w:rFonts w:eastAsia="Times New Roman"/>
          <w:lang w:eastAsia="en-IN"/>
        </w:rPr>
        <w:t>Khedkar</w:t>
      </w:r>
      <w:proofErr w:type="spellEnd"/>
      <w:r w:rsidRPr="00F90BFC">
        <w:rPr>
          <w:rFonts w:eastAsia="Times New Roman"/>
          <w:lang w:eastAsia="en-IN"/>
        </w:rPr>
        <w:t xml:space="preserve"> et al., 2014; Chakraborty &amp; Ghosh, 2014).</w:t>
      </w:r>
    </w:p>
    <w:p w14:paraId="0FA60FAD" w14:textId="77777777" w:rsidR="00772BB0" w:rsidRPr="00F90BFC" w:rsidRDefault="00772BB0" w:rsidP="00772BB0">
      <w:pPr>
        <w:spacing w:before="100" w:beforeAutospacing="1" w:after="100" w:afterAutospacing="1" w:line="240" w:lineRule="auto"/>
        <w:rPr>
          <w:rFonts w:eastAsia="Times New Roman"/>
          <w:lang w:eastAsia="en-IN"/>
        </w:rPr>
      </w:pPr>
      <w:r w:rsidRPr="00772BB0">
        <w:rPr>
          <w:rFonts w:eastAsia="Times New Roman"/>
          <w:lang w:eastAsia="en-IN"/>
        </w:rPr>
        <w:t>Research gap and objectives.</w:t>
      </w:r>
      <w:r w:rsidRPr="00F90BFC">
        <w:rPr>
          <w:rFonts w:eastAsia="Times New Roman"/>
          <w:lang w:eastAsia="en-IN"/>
        </w:rPr>
        <w:t xml:space="preserve"> While COI datasets for Indian freshwater fishes have expanded, gaps remain in reservoir-specific coverage, voucher linkage, and routine cross-validation with </w:t>
      </w:r>
      <w:proofErr w:type="spellStart"/>
      <w:r w:rsidRPr="00F90BFC">
        <w:rPr>
          <w:rFonts w:eastAsia="Times New Roman"/>
          <w:lang w:eastAsia="en-IN"/>
        </w:rPr>
        <w:t>meristics</w:t>
      </w:r>
      <w:proofErr w:type="spellEnd"/>
      <w:r w:rsidRPr="00F90BFC">
        <w:rPr>
          <w:rFonts w:eastAsia="Times New Roman"/>
          <w:lang w:eastAsia="en-IN"/>
        </w:rPr>
        <w:t xml:space="preserve"> for Indian major carps, including </w:t>
      </w:r>
      <w:proofErr w:type="spellStart"/>
      <w:r w:rsidRPr="00F90BFC">
        <w:rPr>
          <w:rFonts w:eastAsia="Times New Roman"/>
          <w:lang w:eastAsia="en-IN"/>
        </w:rPr>
        <w:t>catla</w:t>
      </w:r>
      <w:proofErr w:type="spellEnd"/>
      <w:r w:rsidRPr="00F90BFC">
        <w:rPr>
          <w:rFonts w:eastAsia="Times New Roman"/>
          <w:lang w:eastAsia="en-IN"/>
        </w:rPr>
        <w:t xml:space="preserve"> (Chakraborty &amp; Ghosh, 2014; Kundu et al., 2019). Few studies have paired high-quality COI sequences from aquaculture-relevant reservoirs with a statistically described series of morphometric and meristic characters benchmarked against classical sources (Nelson, 2006; Talwar &amp; </w:t>
      </w:r>
      <w:proofErr w:type="spellStart"/>
      <w:r w:rsidRPr="00F90BFC">
        <w:rPr>
          <w:rFonts w:eastAsia="Times New Roman"/>
          <w:lang w:eastAsia="en-IN"/>
        </w:rPr>
        <w:t>Jhingran</w:t>
      </w:r>
      <w:proofErr w:type="spellEnd"/>
      <w:r w:rsidRPr="00F90BFC">
        <w:rPr>
          <w:rFonts w:eastAsia="Times New Roman"/>
          <w:lang w:eastAsia="en-IN"/>
        </w:rPr>
        <w:t>, 1991). To address this gap, we (</w:t>
      </w:r>
      <w:proofErr w:type="spellStart"/>
      <w:r w:rsidRPr="00F90BFC">
        <w:rPr>
          <w:rFonts w:eastAsia="Times New Roman"/>
          <w:lang w:eastAsia="en-IN"/>
        </w:rPr>
        <w:t>i</w:t>
      </w:r>
      <w:proofErr w:type="spellEnd"/>
      <w:r w:rsidRPr="00F90BFC">
        <w:rPr>
          <w:rFonts w:eastAsia="Times New Roman"/>
          <w:lang w:eastAsia="en-IN"/>
        </w:rPr>
        <w:t xml:space="preserve">) generated and quality-assured a 652-bp COI sequence for a </w:t>
      </w:r>
      <w:proofErr w:type="spellStart"/>
      <w:r w:rsidRPr="00F90BFC">
        <w:rPr>
          <w:rFonts w:eastAsia="Times New Roman"/>
          <w:lang w:eastAsia="en-IN"/>
        </w:rPr>
        <w:t>Khairi</w:t>
      </w:r>
      <w:proofErr w:type="spellEnd"/>
      <w:r w:rsidRPr="00F90BFC">
        <w:rPr>
          <w:rFonts w:eastAsia="Times New Roman"/>
          <w:lang w:eastAsia="en-IN"/>
        </w:rPr>
        <w:t xml:space="preserve"> Dam </w:t>
      </w:r>
      <w:proofErr w:type="spellStart"/>
      <w:r w:rsidRPr="00F90BFC">
        <w:rPr>
          <w:rFonts w:eastAsia="Times New Roman"/>
          <w:lang w:eastAsia="en-IN"/>
        </w:rPr>
        <w:t>catla</w:t>
      </w:r>
      <w:proofErr w:type="spellEnd"/>
      <w:r w:rsidRPr="00F90BFC">
        <w:rPr>
          <w:rFonts w:eastAsia="Times New Roman"/>
          <w:lang w:eastAsia="en-IN"/>
        </w:rPr>
        <w:t xml:space="preserve"> voucher and conducted similarity searches and </w:t>
      </w:r>
      <w:proofErr w:type="spellStart"/>
      <w:r w:rsidRPr="00F90BFC">
        <w:rPr>
          <w:rFonts w:eastAsia="Times New Roman"/>
          <w:lang w:eastAsia="en-IN"/>
        </w:rPr>
        <w:t>Neighbor</w:t>
      </w:r>
      <w:proofErr w:type="spellEnd"/>
      <w:r w:rsidRPr="00F90BFC">
        <w:rPr>
          <w:rFonts w:eastAsia="Times New Roman"/>
          <w:lang w:eastAsia="en-IN"/>
        </w:rPr>
        <w:t xml:space="preserve">-Joining phylogeny against curated references, and (ii) measured a suite of diagnostic morphological and meristic traits in 15 </w:t>
      </w:r>
      <w:proofErr w:type="spellStart"/>
      <w:r w:rsidRPr="00F90BFC">
        <w:rPr>
          <w:rFonts w:eastAsia="Times New Roman"/>
          <w:lang w:eastAsia="en-IN"/>
        </w:rPr>
        <w:t>Khairi</w:t>
      </w:r>
      <w:proofErr w:type="spellEnd"/>
      <w:r w:rsidRPr="00F90BFC">
        <w:rPr>
          <w:rFonts w:eastAsia="Times New Roman"/>
          <w:lang w:eastAsia="en-IN"/>
        </w:rPr>
        <w:t xml:space="preserve"> Dam specimens to evaluate concordance with published ranges. The overarching objective is to provide an integrative, reproducible confirmation of </w:t>
      </w:r>
      <w:proofErr w:type="spellStart"/>
      <w:r w:rsidRPr="00F90BFC">
        <w:rPr>
          <w:rFonts w:eastAsia="Times New Roman"/>
          <w:i/>
          <w:iCs/>
          <w:lang w:eastAsia="en-IN"/>
        </w:rPr>
        <w:t>Labeo</w:t>
      </w:r>
      <w:proofErr w:type="spellEnd"/>
      <w:r w:rsidRPr="00F90BFC">
        <w:rPr>
          <w:rFonts w:eastAsia="Times New Roman"/>
          <w:i/>
          <w:iCs/>
          <w:lang w:eastAsia="en-IN"/>
        </w:rPr>
        <w:t xml:space="preserve"> </w:t>
      </w:r>
      <w:proofErr w:type="spellStart"/>
      <w:r w:rsidRPr="00F90BFC">
        <w:rPr>
          <w:rFonts w:eastAsia="Times New Roman"/>
          <w:i/>
          <w:iCs/>
          <w:lang w:eastAsia="en-IN"/>
        </w:rPr>
        <w:t>catla</w:t>
      </w:r>
      <w:proofErr w:type="spellEnd"/>
      <w:r w:rsidRPr="00F90BFC">
        <w:rPr>
          <w:rFonts w:eastAsia="Times New Roman"/>
          <w:lang w:eastAsia="en-IN"/>
        </w:rPr>
        <w:t xml:space="preserve"> identity that can support hatchery auditing, ecological surveys, and future population-genetic work in peninsular India (Hebert et al., 2003; Ward et al., 2005; </w:t>
      </w:r>
      <w:proofErr w:type="spellStart"/>
      <w:r w:rsidRPr="00F90BFC">
        <w:rPr>
          <w:rFonts w:eastAsia="Times New Roman"/>
          <w:lang w:eastAsia="en-IN"/>
        </w:rPr>
        <w:t>Lakra</w:t>
      </w:r>
      <w:proofErr w:type="spellEnd"/>
      <w:r w:rsidRPr="00F90BFC">
        <w:rPr>
          <w:rFonts w:eastAsia="Times New Roman"/>
          <w:lang w:eastAsia="en-IN"/>
        </w:rPr>
        <w:t xml:space="preserve"> et al., 2011).</w:t>
      </w:r>
    </w:p>
    <w:p w14:paraId="70B4180B" w14:textId="77777777" w:rsidR="00772BB0" w:rsidRPr="00F90BFC" w:rsidRDefault="00772BB0" w:rsidP="00772BB0">
      <w:pPr>
        <w:spacing w:after="0" w:line="240" w:lineRule="auto"/>
        <w:rPr>
          <w:rFonts w:eastAsia="Times New Roman"/>
          <w:lang w:eastAsia="en-IN"/>
        </w:rPr>
      </w:pPr>
    </w:p>
    <w:p w14:paraId="4EA845F6" w14:textId="6D7686B8" w:rsidR="00AE2674" w:rsidRPr="00252F07" w:rsidRDefault="00AE2674" w:rsidP="00AE2674">
      <w:pPr>
        <w:pStyle w:val="Heading2"/>
        <w:rPr>
          <w:bCs/>
        </w:rPr>
      </w:pPr>
      <w:r w:rsidRPr="00252F07">
        <w:rPr>
          <w:bCs/>
        </w:rPr>
        <w:lastRenderedPageBreak/>
        <w:t xml:space="preserve">2. MATERIAL AND METHODS </w:t>
      </w:r>
    </w:p>
    <w:p w14:paraId="589665CF" w14:textId="75350BD9" w:rsidR="00AE2674" w:rsidRPr="00AE2674" w:rsidRDefault="00AE2674" w:rsidP="00AE2674">
      <w:pPr>
        <w:rPr>
          <w:bCs/>
        </w:rPr>
      </w:pPr>
      <w:r w:rsidRPr="00AE2674">
        <w:rPr>
          <w:bCs/>
        </w:rPr>
        <w:t xml:space="preserve">This section describes in full detail the methods employed for integrative identification of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specimens sampled from </w:t>
      </w:r>
      <w:proofErr w:type="spellStart"/>
      <w:r w:rsidRPr="00AE2674">
        <w:rPr>
          <w:bCs/>
        </w:rPr>
        <w:t>Khairi</w:t>
      </w:r>
      <w:proofErr w:type="spellEnd"/>
      <w:r w:rsidRPr="00AE2674">
        <w:rPr>
          <w:bCs/>
        </w:rPr>
        <w:t xml:space="preserve"> Dam (Maharashtra, India), using both mitochondrial DNA barcoding and morphometric-meristic analysis. All procedures were conducted between November 2023 and February 2024 under institutional compliance guidelines for non-lethal tissue sampling and animal handling. The approach followed a dual strategy: (</w:t>
      </w:r>
      <w:proofErr w:type="spellStart"/>
      <w:r w:rsidRPr="00AE2674">
        <w:rPr>
          <w:bCs/>
        </w:rPr>
        <w:t>i</w:t>
      </w:r>
      <w:proofErr w:type="spellEnd"/>
      <w:r w:rsidRPr="00AE2674">
        <w:rPr>
          <w:bCs/>
        </w:rPr>
        <w:t>) molecular identification through cytochrome oxidase I (COI) sequencing and phylogenetic inference, and (ii) classical taxonomic validation through comparison with authoritative morphometric and meristic criteria.</w:t>
      </w:r>
    </w:p>
    <w:p w14:paraId="1CCC961C" w14:textId="77777777" w:rsidR="00AE2674" w:rsidRPr="00252F07" w:rsidRDefault="00AE2674" w:rsidP="00AE2674">
      <w:pPr>
        <w:pStyle w:val="Heading3"/>
        <w:rPr>
          <w:bCs/>
        </w:rPr>
      </w:pPr>
      <w:r w:rsidRPr="00252F07">
        <w:rPr>
          <w:bCs/>
        </w:rPr>
        <w:t>2.1 Study Area and Specimen Collection</w:t>
      </w:r>
    </w:p>
    <w:p w14:paraId="6FA776D4" w14:textId="05B93485" w:rsidR="00AE2674" w:rsidRPr="00AE2674" w:rsidRDefault="00AE2674" w:rsidP="00AE2674">
      <w:pPr>
        <w:rPr>
          <w:bCs/>
        </w:rPr>
      </w:pPr>
      <w:r w:rsidRPr="00AE2674">
        <w:rPr>
          <w:bCs/>
        </w:rPr>
        <w:t xml:space="preserve">Field sampling was conducted at </w:t>
      </w:r>
      <w:proofErr w:type="spellStart"/>
      <w:r w:rsidRPr="00AE2674">
        <w:rPr>
          <w:bCs/>
        </w:rPr>
        <w:t>Khairi</w:t>
      </w:r>
      <w:proofErr w:type="spellEnd"/>
      <w:r w:rsidRPr="00AE2674">
        <w:rPr>
          <w:bCs/>
        </w:rPr>
        <w:t xml:space="preserve"> Dam, located in the </w:t>
      </w:r>
      <w:proofErr w:type="spellStart"/>
      <w:r w:rsidR="00AD373F">
        <w:rPr>
          <w:bCs/>
        </w:rPr>
        <w:t>Jamkhed</w:t>
      </w:r>
      <w:proofErr w:type="spellEnd"/>
      <w:r w:rsidR="00AD373F">
        <w:rPr>
          <w:bCs/>
        </w:rPr>
        <w:t xml:space="preserve"> </w:t>
      </w:r>
      <w:r w:rsidR="000B5C49">
        <w:rPr>
          <w:bCs/>
        </w:rPr>
        <w:t xml:space="preserve">Ahmednagar </w:t>
      </w:r>
      <w:r w:rsidR="000B5C49" w:rsidRPr="00AE2674">
        <w:rPr>
          <w:bCs/>
        </w:rPr>
        <w:t>district</w:t>
      </w:r>
      <w:r w:rsidRPr="00AE2674">
        <w:rPr>
          <w:bCs/>
        </w:rPr>
        <w:t xml:space="preserve"> of </w:t>
      </w:r>
      <w:proofErr w:type="gramStart"/>
      <w:r w:rsidR="00652159">
        <w:rPr>
          <w:bCs/>
        </w:rPr>
        <w:t xml:space="preserve">Maharashtra </w:t>
      </w:r>
      <w:r w:rsidRPr="00AE2674">
        <w:rPr>
          <w:bCs/>
        </w:rPr>
        <w:t>,</w:t>
      </w:r>
      <w:proofErr w:type="gramEnd"/>
      <w:r w:rsidRPr="00AE2674">
        <w:rPr>
          <w:bCs/>
        </w:rPr>
        <w:t xml:space="preserve"> an inland freshwater reservoir with a </w:t>
      </w:r>
      <w:r w:rsidR="00AD373F">
        <w:rPr>
          <w:bCs/>
        </w:rPr>
        <w:t xml:space="preserve">length 1210 m </w:t>
      </w:r>
      <w:r w:rsidRPr="00AE2674">
        <w:rPr>
          <w:bCs/>
        </w:rPr>
        <w:t xml:space="preserve"> and average depth of 15 meters. The reservoir supports mixed stocking of Indian major carps and is linked with regional aquaculture hatcheries. The site was selected due to reported commercial presence of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regional stocking efforts, and accessibility for specimen collection.</w:t>
      </w:r>
    </w:p>
    <w:p w14:paraId="068687DF" w14:textId="77777777" w:rsidR="00AE2674" w:rsidRPr="00AE2674" w:rsidRDefault="00AE2674" w:rsidP="00AE2674">
      <w:pPr>
        <w:rPr>
          <w:bCs/>
        </w:rPr>
      </w:pPr>
      <w:r w:rsidRPr="00AE2674">
        <w:rPr>
          <w:bCs/>
        </w:rPr>
        <w:t>Fifteen adult specimens (</w:t>
      </w:r>
      <w:r w:rsidRPr="00AE2674">
        <w:rPr>
          <w:bCs/>
          <w:i/>
          <w:iCs/>
        </w:rPr>
        <w:t>N = 15</w:t>
      </w:r>
      <w:r w:rsidRPr="00AE2674">
        <w:rPr>
          <w:bCs/>
        </w:rPr>
        <w:t xml:space="preserve">) morphologically resembling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were collected using standardized gill nets (mesh size: 80 mm) operated by licensed fishermen under the supervision of the study team. All fish were euthanized using MS-222 (tricaine </w:t>
      </w:r>
      <w:proofErr w:type="spellStart"/>
      <w:r w:rsidRPr="00AE2674">
        <w:rPr>
          <w:bCs/>
        </w:rPr>
        <w:t>methanesulfonate</w:t>
      </w:r>
      <w:proofErr w:type="spellEnd"/>
      <w:r w:rsidRPr="00AE2674">
        <w:rPr>
          <w:bCs/>
        </w:rPr>
        <w:t>) at 100 mg/L, in accordance with ethical protocols recommended by the Committee for the Purpose of Control and Supervision of Experiments on Animals (CPCSEA), Government of India.</w:t>
      </w:r>
    </w:p>
    <w:p w14:paraId="0073D17F" w14:textId="0A2B7533" w:rsidR="00AE2674" w:rsidRPr="00AE2674" w:rsidRDefault="00AE2674" w:rsidP="00AE2674">
      <w:pPr>
        <w:rPr>
          <w:bCs/>
        </w:rPr>
      </w:pPr>
      <w:r w:rsidRPr="00AE2674">
        <w:rPr>
          <w:bCs/>
        </w:rPr>
        <w:t>For each individual, standard biometric data (standard length, weight, sex) were recorded. Immediately after euthanasia, a ~5 mm² fin clip was excised from the caudal fin using sterilized scissors, placed in a pre-labelled 2 mL microcentrifuge tube containing 95% molecular-grade ethanol, and stored at −20°C until DNA extraction. Whole specimens were preserved in 10% buffered formalin for subsequent morphometric and meristic analysis and were later curated as voucher specimens at the Zoological Survey of India (ZSI), Southern Regional Centre, Hyderabad, under the registration code ZSI-SRC-CYPR2023/</w:t>
      </w:r>
      <w:proofErr w:type="spellStart"/>
      <w:r w:rsidRPr="00AE2674">
        <w:rPr>
          <w:bCs/>
        </w:rPr>
        <w:t>Khairi</w:t>
      </w:r>
      <w:proofErr w:type="spellEnd"/>
      <w:r w:rsidRPr="00AE2674">
        <w:rPr>
          <w:bCs/>
        </w:rPr>
        <w:t>/01–15.</w:t>
      </w:r>
    </w:p>
    <w:p w14:paraId="7638A59D" w14:textId="77777777" w:rsidR="00AE2674" w:rsidRPr="00252F07" w:rsidRDefault="00AE2674" w:rsidP="00AE2674">
      <w:pPr>
        <w:pStyle w:val="Heading3"/>
        <w:rPr>
          <w:bCs/>
        </w:rPr>
      </w:pPr>
      <w:r w:rsidRPr="00252F07">
        <w:rPr>
          <w:bCs/>
        </w:rPr>
        <w:t>2.2 DNA Extraction, Amplification, and Sequencing</w:t>
      </w:r>
    </w:p>
    <w:p w14:paraId="763665E1" w14:textId="77777777" w:rsidR="00AE2674" w:rsidRPr="00AE2674" w:rsidRDefault="00AE2674" w:rsidP="00AE2674">
      <w:pPr>
        <w:rPr>
          <w:bCs/>
        </w:rPr>
      </w:pPr>
      <w:r w:rsidRPr="00AE2674">
        <w:rPr>
          <w:bCs/>
        </w:rPr>
        <w:t>DNA was extracted from the ethanol-preserved fin tissue of one representative specimen (voucher code: ZSI-SRC-CYPR2023/</w:t>
      </w:r>
      <w:proofErr w:type="spellStart"/>
      <w:r w:rsidRPr="00AE2674">
        <w:rPr>
          <w:bCs/>
        </w:rPr>
        <w:t>Khairi</w:t>
      </w:r>
      <w:proofErr w:type="spellEnd"/>
      <w:r w:rsidRPr="00AE2674">
        <w:rPr>
          <w:bCs/>
        </w:rPr>
        <w:t xml:space="preserve">/01, specimen label: RMK1) using the </w:t>
      </w:r>
      <w:proofErr w:type="spellStart"/>
      <w:r w:rsidRPr="00AE2674">
        <w:rPr>
          <w:bCs/>
        </w:rPr>
        <w:t>DNeasy</w:t>
      </w:r>
      <w:proofErr w:type="spellEnd"/>
      <w:r w:rsidRPr="00AE2674">
        <w:rPr>
          <w:bCs/>
        </w:rPr>
        <w:t xml:space="preserve"> Blood &amp; Tissue Kit (Qiagen, Germany), following the manufacturer’s protocol for animal tissues. The elution volume was set at 100 </w:t>
      </w:r>
      <w:proofErr w:type="spellStart"/>
      <w:r w:rsidRPr="00AE2674">
        <w:rPr>
          <w:bCs/>
        </w:rPr>
        <w:t>μL</w:t>
      </w:r>
      <w:proofErr w:type="spellEnd"/>
      <w:r w:rsidRPr="00AE2674">
        <w:rPr>
          <w:bCs/>
        </w:rPr>
        <w:t xml:space="preserve">, and DNA quality and quantity were assessed using a </w:t>
      </w:r>
      <w:proofErr w:type="spellStart"/>
      <w:r w:rsidRPr="00AE2674">
        <w:rPr>
          <w:bCs/>
        </w:rPr>
        <w:t>NanoDrop</w:t>
      </w:r>
      <w:proofErr w:type="spellEnd"/>
      <w:r w:rsidRPr="00AE2674">
        <w:rPr>
          <w:bCs/>
        </w:rPr>
        <w:t>™ 2000 spectrophotometer (Thermo Fisher Scientific, USA). The A260/A280 ratio ranged between 1.80 and 1.92, confirming acceptable purity.</w:t>
      </w:r>
    </w:p>
    <w:p w14:paraId="1FEF590F" w14:textId="77777777" w:rsidR="00AE2674" w:rsidRPr="00AE2674" w:rsidRDefault="00AE2674" w:rsidP="00AE2674">
      <w:pPr>
        <w:rPr>
          <w:bCs/>
        </w:rPr>
      </w:pPr>
      <w:r w:rsidRPr="00AE2674">
        <w:rPr>
          <w:bCs/>
        </w:rPr>
        <w:t>The mitochondrial cytochrome c oxidase subunit I (COI) gene was amplified using the universal fish primers described by Ward et al. (2005):</w:t>
      </w:r>
    </w:p>
    <w:p w14:paraId="3C3852B7" w14:textId="77777777" w:rsidR="00AE2674" w:rsidRPr="00AE2674" w:rsidRDefault="00AE2674" w:rsidP="00AE2674">
      <w:pPr>
        <w:numPr>
          <w:ilvl w:val="0"/>
          <w:numId w:val="10"/>
        </w:numPr>
        <w:rPr>
          <w:bCs/>
        </w:rPr>
      </w:pPr>
      <w:r w:rsidRPr="00AE2674">
        <w:rPr>
          <w:bCs/>
        </w:rPr>
        <w:t>Forward primer: FishF1 – 5′-TCAACCAACCACAAAGACATTGGCAC-3′</w:t>
      </w:r>
    </w:p>
    <w:p w14:paraId="57CA0E25" w14:textId="77777777" w:rsidR="00AE2674" w:rsidRPr="00AE2674" w:rsidRDefault="00AE2674" w:rsidP="00AE2674">
      <w:pPr>
        <w:numPr>
          <w:ilvl w:val="0"/>
          <w:numId w:val="10"/>
        </w:numPr>
        <w:rPr>
          <w:bCs/>
        </w:rPr>
      </w:pPr>
      <w:r w:rsidRPr="00AE2674">
        <w:rPr>
          <w:bCs/>
        </w:rPr>
        <w:t>Reverse primer: FishR1 – 5′-TAGACTTCTGGGTGGCCAAAGAATCA-3′</w:t>
      </w:r>
    </w:p>
    <w:p w14:paraId="7D8D8F35" w14:textId="77777777" w:rsidR="00AE2674" w:rsidRPr="00AE2674" w:rsidRDefault="00AE2674" w:rsidP="00AE2674">
      <w:pPr>
        <w:rPr>
          <w:bCs/>
        </w:rPr>
      </w:pPr>
      <w:r w:rsidRPr="00AE2674">
        <w:rPr>
          <w:bCs/>
        </w:rPr>
        <w:t xml:space="preserve">Polymerase chain reaction (PCR) was performed in a 25 </w:t>
      </w:r>
      <w:proofErr w:type="spellStart"/>
      <w:r w:rsidRPr="00AE2674">
        <w:rPr>
          <w:bCs/>
        </w:rPr>
        <w:t>μL</w:t>
      </w:r>
      <w:proofErr w:type="spellEnd"/>
      <w:r w:rsidRPr="00AE2674">
        <w:rPr>
          <w:bCs/>
        </w:rPr>
        <w:t xml:space="preserve"> reaction mixture containing:</w:t>
      </w:r>
    </w:p>
    <w:p w14:paraId="3ABBE86E" w14:textId="77777777" w:rsidR="00AE2674" w:rsidRPr="00AE2674" w:rsidRDefault="00AE2674" w:rsidP="00AE2674">
      <w:pPr>
        <w:numPr>
          <w:ilvl w:val="0"/>
          <w:numId w:val="11"/>
        </w:numPr>
        <w:rPr>
          <w:bCs/>
        </w:rPr>
      </w:pPr>
      <w:r w:rsidRPr="00AE2674">
        <w:rPr>
          <w:bCs/>
        </w:rPr>
        <w:t xml:space="preserve">12.5 </w:t>
      </w:r>
      <w:proofErr w:type="spellStart"/>
      <w:r w:rsidRPr="00AE2674">
        <w:rPr>
          <w:bCs/>
        </w:rPr>
        <w:t>μL</w:t>
      </w:r>
      <w:proofErr w:type="spellEnd"/>
      <w:r w:rsidRPr="00AE2674">
        <w:rPr>
          <w:bCs/>
        </w:rPr>
        <w:t xml:space="preserve"> of </w:t>
      </w:r>
      <w:proofErr w:type="spellStart"/>
      <w:r w:rsidRPr="00AE2674">
        <w:rPr>
          <w:bCs/>
        </w:rPr>
        <w:t>DreamTaq</w:t>
      </w:r>
      <w:proofErr w:type="spellEnd"/>
      <w:r w:rsidRPr="00AE2674">
        <w:rPr>
          <w:bCs/>
        </w:rPr>
        <w:t xml:space="preserve"> Green PCR Master Mix (Thermo Scientific, USA)</w:t>
      </w:r>
    </w:p>
    <w:p w14:paraId="55D08752" w14:textId="77777777" w:rsidR="00AE2674" w:rsidRPr="00AE2674" w:rsidRDefault="00AE2674" w:rsidP="00AE2674">
      <w:pPr>
        <w:numPr>
          <w:ilvl w:val="0"/>
          <w:numId w:val="11"/>
        </w:numPr>
        <w:rPr>
          <w:bCs/>
        </w:rPr>
      </w:pPr>
      <w:r w:rsidRPr="00AE2674">
        <w:rPr>
          <w:bCs/>
        </w:rPr>
        <w:lastRenderedPageBreak/>
        <w:t xml:space="preserve">0.5 </w:t>
      </w:r>
      <w:proofErr w:type="spellStart"/>
      <w:r w:rsidRPr="00AE2674">
        <w:rPr>
          <w:bCs/>
        </w:rPr>
        <w:t>μL</w:t>
      </w:r>
      <w:proofErr w:type="spellEnd"/>
      <w:r w:rsidRPr="00AE2674">
        <w:rPr>
          <w:bCs/>
        </w:rPr>
        <w:t xml:space="preserve"> each of forward and reverse primer (10 </w:t>
      </w:r>
      <w:proofErr w:type="spellStart"/>
      <w:r w:rsidRPr="00AE2674">
        <w:rPr>
          <w:bCs/>
        </w:rPr>
        <w:t>μM</w:t>
      </w:r>
      <w:proofErr w:type="spellEnd"/>
      <w:r w:rsidRPr="00AE2674">
        <w:rPr>
          <w:bCs/>
        </w:rPr>
        <w:t>)</w:t>
      </w:r>
    </w:p>
    <w:p w14:paraId="3BE439F1" w14:textId="77777777" w:rsidR="00AE2674" w:rsidRPr="00AE2674" w:rsidRDefault="00AE2674" w:rsidP="00AE2674">
      <w:pPr>
        <w:numPr>
          <w:ilvl w:val="0"/>
          <w:numId w:val="11"/>
        </w:numPr>
        <w:rPr>
          <w:bCs/>
        </w:rPr>
      </w:pPr>
      <w:r w:rsidRPr="00AE2674">
        <w:rPr>
          <w:bCs/>
        </w:rPr>
        <w:t xml:space="preserve">1 </w:t>
      </w:r>
      <w:proofErr w:type="spellStart"/>
      <w:r w:rsidRPr="00AE2674">
        <w:rPr>
          <w:bCs/>
        </w:rPr>
        <w:t>μL</w:t>
      </w:r>
      <w:proofErr w:type="spellEnd"/>
      <w:r w:rsidRPr="00AE2674">
        <w:rPr>
          <w:bCs/>
        </w:rPr>
        <w:t xml:space="preserve"> genomic DNA template</w:t>
      </w:r>
    </w:p>
    <w:p w14:paraId="3D8FB4A2" w14:textId="77777777" w:rsidR="00AE2674" w:rsidRPr="00AE2674" w:rsidRDefault="00AE2674" w:rsidP="00AE2674">
      <w:pPr>
        <w:numPr>
          <w:ilvl w:val="0"/>
          <w:numId w:val="11"/>
        </w:numPr>
        <w:rPr>
          <w:bCs/>
        </w:rPr>
      </w:pPr>
      <w:r w:rsidRPr="00AE2674">
        <w:rPr>
          <w:bCs/>
        </w:rPr>
        <w:t xml:space="preserve">10.5 </w:t>
      </w:r>
      <w:proofErr w:type="spellStart"/>
      <w:r w:rsidRPr="00AE2674">
        <w:rPr>
          <w:bCs/>
        </w:rPr>
        <w:t>μL</w:t>
      </w:r>
      <w:proofErr w:type="spellEnd"/>
      <w:r w:rsidRPr="00AE2674">
        <w:rPr>
          <w:bCs/>
        </w:rPr>
        <w:t xml:space="preserve"> nuclease-free water</w:t>
      </w:r>
    </w:p>
    <w:p w14:paraId="4D117BC6" w14:textId="77777777" w:rsidR="00AE2674" w:rsidRPr="00AE2674" w:rsidRDefault="00AE2674" w:rsidP="00AE2674">
      <w:pPr>
        <w:rPr>
          <w:bCs/>
        </w:rPr>
      </w:pPr>
      <w:r w:rsidRPr="00AE2674">
        <w:rPr>
          <w:bCs/>
        </w:rPr>
        <w:t xml:space="preserve">Thermal cycling was carried out in a </w:t>
      </w:r>
      <w:proofErr w:type="spellStart"/>
      <w:r w:rsidRPr="00AE2674">
        <w:rPr>
          <w:bCs/>
        </w:rPr>
        <w:t>Veriti</w:t>
      </w:r>
      <w:proofErr w:type="spellEnd"/>
      <w:r w:rsidRPr="00AE2674">
        <w:rPr>
          <w:bCs/>
        </w:rPr>
        <w:t>™ 96-Well Thermal Cycler (Applied Biosystems, USA) with the following conditions:</w:t>
      </w:r>
    </w:p>
    <w:p w14:paraId="32C63B5D" w14:textId="77777777" w:rsidR="00AE2674" w:rsidRPr="00AE2674" w:rsidRDefault="00AE2674" w:rsidP="00AE2674">
      <w:pPr>
        <w:numPr>
          <w:ilvl w:val="0"/>
          <w:numId w:val="12"/>
        </w:numPr>
        <w:rPr>
          <w:bCs/>
        </w:rPr>
      </w:pPr>
      <w:r w:rsidRPr="00AE2674">
        <w:rPr>
          <w:bCs/>
        </w:rPr>
        <w:t>Initial denaturation: 95°C for 2 min</w:t>
      </w:r>
    </w:p>
    <w:p w14:paraId="79E02FDB" w14:textId="77777777" w:rsidR="00AE2674" w:rsidRPr="00AE2674" w:rsidRDefault="00AE2674" w:rsidP="00AE2674">
      <w:pPr>
        <w:numPr>
          <w:ilvl w:val="0"/>
          <w:numId w:val="12"/>
        </w:numPr>
        <w:rPr>
          <w:bCs/>
        </w:rPr>
      </w:pPr>
      <w:r w:rsidRPr="00AE2674">
        <w:rPr>
          <w:bCs/>
        </w:rPr>
        <w:t>35 cycles of:</w:t>
      </w:r>
    </w:p>
    <w:p w14:paraId="2898D2EE" w14:textId="77777777" w:rsidR="00AE2674" w:rsidRPr="00AE2674" w:rsidRDefault="00AE2674" w:rsidP="00AE2674">
      <w:pPr>
        <w:numPr>
          <w:ilvl w:val="1"/>
          <w:numId w:val="12"/>
        </w:numPr>
        <w:rPr>
          <w:bCs/>
        </w:rPr>
      </w:pPr>
      <w:r w:rsidRPr="00AE2674">
        <w:rPr>
          <w:bCs/>
        </w:rPr>
        <w:t>Denaturation: 94°C for 30 s</w:t>
      </w:r>
    </w:p>
    <w:p w14:paraId="09E0BD5F" w14:textId="77777777" w:rsidR="00AE2674" w:rsidRPr="00AE2674" w:rsidRDefault="00AE2674" w:rsidP="00AE2674">
      <w:pPr>
        <w:numPr>
          <w:ilvl w:val="1"/>
          <w:numId w:val="12"/>
        </w:numPr>
        <w:rPr>
          <w:bCs/>
        </w:rPr>
      </w:pPr>
      <w:r w:rsidRPr="00AE2674">
        <w:rPr>
          <w:bCs/>
        </w:rPr>
        <w:t>Annealing: 54°C for 40 s</w:t>
      </w:r>
    </w:p>
    <w:p w14:paraId="0DCD8EE0" w14:textId="77777777" w:rsidR="00AE2674" w:rsidRPr="00AE2674" w:rsidRDefault="00AE2674" w:rsidP="00AE2674">
      <w:pPr>
        <w:numPr>
          <w:ilvl w:val="1"/>
          <w:numId w:val="12"/>
        </w:numPr>
        <w:rPr>
          <w:bCs/>
        </w:rPr>
      </w:pPr>
      <w:r w:rsidRPr="00AE2674">
        <w:rPr>
          <w:bCs/>
        </w:rPr>
        <w:t>Extension: 72°C for 1 min</w:t>
      </w:r>
    </w:p>
    <w:p w14:paraId="21EEE50B" w14:textId="77777777" w:rsidR="00AE2674" w:rsidRPr="00AE2674" w:rsidRDefault="00AE2674" w:rsidP="00AE2674">
      <w:pPr>
        <w:numPr>
          <w:ilvl w:val="0"/>
          <w:numId w:val="12"/>
        </w:numPr>
        <w:rPr>
          <w:bCs/>
        </w:rPr>
      </w:pPr>
      <w:r w:rsidRPr="00AE2674">
        <w:rPr>
          <w:bCs/>
        </w:rPr>
        <w:t>Final extension: 72°C for 5 min</w:t>
      </w:r>
    </w:p>
    <w:p w14:paraId="64D59D47" w14:textId="77777777" w:rsidR="00AE2674" w:rsidRPr="00AE2674" w:rsidRDefault="00AE2674" w:rsidP="00AE2674">
      <w:pPr>
        <w:rPr>
          <w:bCs/>
        </w:rPr>
      </w:pPr>
      <w:r w:rsidRPr="00AE2674">
        <w:rPr>
          <w:bCs/>
        </w:rPr>
        <w:t xml:space="preserve">Amplified products were visualized by electrophoresis on a 1.5% agarose gel stained with ethidium bromide and viewed under a UV transilluminator (Bio-Rad, USA). A ~652 base-pair amplicon was confirmed and subsequently purified using a </w:t>
      </w:r>
      <w:proofErr w:type="spellStart"/>
      <w:r w:rsidRPr="00AE2674">
        <w:rPr>
          <w:bCs/>
        </w:rPr>
        <w:t>QIAquick</w:t>
      </w:r>
      <w:proofErr w:type="spellEnd"/>
      <w:r w:rsidRPr="00AE2674">
        <w:rPr>
          <w:bCs/>
        </w:rPr>
        <w:t xml:space="preserve"> PCR Purification Kit (Qiagen, Germany).</w:t>
      </w:r>
    </w:p>
    <w:p w14:paraId="750A6D6E" w14:textId="796E968A" w:rsidR="00AE2674" w:rsidRPr="00AE2674" w:rsidRDefault="00AE2674" w:rsidP="00AE2674">
      <w:pPr>
        <w:rPr>
          <w:bCs/>
        </w:rPr>
      </w:pPr>
      <w:r w:rsidRPr="00AE2674">
        <w:rPr>
          <w:bCs/>
        </w:rPr>
        <w:t xml:space="preserve">Sequencing was outsourced to Eurofins Genomics India </w:t>
      </w:r>
      <w:proofErr w:type="spellStart"/>
      <w:r w:rsidRPr="00AE2674">
        <w:rPr>
          <w:bCs/>
        </w:rPr>
        <w:t>Pvt.</w:t>
      </w:r>
      <w:proofErr w:type="spellEnd"/>
      <w:r w:rsidRPr="00AE2674">
        <w:rPr>
          <w:bCs/>
        </w:rPr>
        <w:t xml:space="preserve"> Ltd., Bengaluru, using ABI 3730XL DNA Analyzer (Sanger method). Raw sequence chromatograms were visually inspected and manually trimmed in Chromas v2.6.6, and base-call quality scores (Q scores) were checked in </w:t>
      </w:r>
      <w:proofErr w:type="spellStart"/>
      <w:r w:rsidRPr="00AE2674">
        <w:rPr>
          <w:bCs/>
        </w:rPr>
        <w:t>Geneious</w:t>
      </w:r>
      <w:proofErr w:type="spellEnd"/>
      <w:r w:rsidRPr="00AE2674">
        <w:rPr>
          <w:bCs/>
        </w:rPr>
        <w:t xml:space="preserve"> Prime v2024.0.1. The final sequence had no ambiguous bases and a GC content of 46.2%.</w:t>
      </w:r>
    </w:p>
    <w:p w14:paraId="2C151ADC" w14:textId="77777777" w:rsidR="00AE2674" w:rsidRPr="00252F07" w:rsidRDefault="00AE2674" w:rsidP="00AE2674">
      <w:pPr>
        <w:pStyle w:val="Heading3"/>
        <w:rPr>
          <w:bCs/>
        </w:rPr>
      </w:pPr>
      <w:r w:rsidRPr="00252F07">
        <w:rPr>
          <w:bCs/>
        </w:rPr>
        <w:t>2.3 Sequence Alignment, BLAST, and Phylogenetic Analysis</w:t>
      </w:r>
    </w:p>
    <w:p w14:paraId="40B4342D" w14:textId="77777777" w:rsidR="00AE2674" w:rsidRPr="00AE2674" w:rsidRDefault="00AE2674" w:rsidP="00AE2674">
      <w:pPr>
        <w:rPr>
          <w:bCs/>
        </w:rPr>
      </w:pPr>
      <w:r w:rsidRPr="00AE2674">
        <w:rPr>
          <w:bCs/>
        </w:rPr>
        <w:t xml:space="preserve">The cleaned sequence was aligned using MUSCLE v5.0 under default parameters. The resulting sequence was submitted to NCBI </w:t>
      </w:r>
      <w:proofErr w:type="spellStart"/>
      <w:r w:rsidRPr="00AE2674">
        <w:rPr>
          <w:bCs/>
        </w:rPr>
        <w:t>BLASTn</w:t>
      </w:r>
      <w:proofErr w:type="spellEnd"/>
      <w:r w:rsidRPr="00AE2674">
        <w:rPr>
          <w:bCs/>
        </w:rPr>
        <w:t xml:space="preserve"> against the nucleotide (nr/</w:t>
      </w:r>
      <w:proofErr w:type="spellStart"/>
      <w:r w:rsidRPr="00AE2674">
        <w:rPr>
          <w:bCs/>
        </w:rPr>
        <w:t>nt</w:t>
      </w:r>
      <w:proofErr w:type="spellEnd"/>
      <w:r w:rsidRPr="00AE2674">
        <w:rPr>
          <w:bCs/>
        </w:rPr>
        <w:t xml:space="preserve">) database, restricted to </w:t>
      </w:r>
      <w:r w:rsidRPr="00AE2674">
        <w:rPr>
          <w:bCs/>
          <w:i/>
          <w:iCs/>
        </w:rPr>
        <w:t>Actinopterygii</w:t>
      </w:r>
      <w:r w:rsidRPr="00AE2674">
        <w:rPr>
          <w:bCs/>
        </w:rPr>
        <w:t xml:space="preserve">, with default settings. The top match was recorded as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(syn. </w:t>
      </w:r>
      <w:proofErr w:type="spellStart"/>
      <w:r w:rsidRPr="00AE2674">
        <w:rPr>
          <w:bCs/>
          <w:i/>
          <w:iCs/>
        </w:rPr>
        <w:t>Catla</w:t>
      </w:r>
      <w:proofErr w:type="spellEnd"/>
      <w:r w:rsidRPr="00AE2674">
        <w:rPr>
          <w:bCs/>
          <w:i/>
          <w:iCs/>
        </w:rPr>
        <w:t xml:space="preserve"> </w:t>
      </w:r>
      <w:proofErr w:type="spellStart"/>
      <w:r w:rsidRPr="00AE2674">
        <w:rPr>
          <w:bCs/>
          <w:i/>
          <w:iCs/>
        </w:rPr>
        <w:t>catla</w:t>
      </w:r>
      <w:proofErr w:type="spellEnd"/>
      <w:r w:rsidRPr="00AE2674">
        <w:rPr>
          <w:bCs/>
        </w:rPr>
        <w:t>), accession number MT303069.1, with 99.38% identity and 98% query coverage (E-value = 0.0).</w:t>
      </w:r>
    </w:p>
    <w:p w14:paraId="5C427C69" w14:textId="77777777" w:rsidR="00AE2674" w:rsidRPr="00AE2674" w:rsidRDefault="00AE2674" w:rsidP="00AE2674">
      <w:pPr>
        <w:rPr>
          <w:bCs/>
        </w:rPr>
      </w:pPr>
      <w:r w:rsidRPr="00AE2674">
        <w:rPr>
          <w:bCs/>
        </w:rPr>
        <w:t xml:space="preserve">To validate molecular placement, a </w:t>
      </w:r>
      <w:proofErr w:type="spellStart"/>
      <w:r w:rsidRPr="00AE2674">
        <w:rPr>
          <w:bCs/>
        </w:rPr>
        <w:t>Neighbor</w:t>
      </w:r>
      <w:proofErr w:type="spellEnd"/>
      <w:r w:rsidRPr="00AE2674">
        <w:rPr>
          <w:bCs/>
        </w:rPr>
        <w:t>-Joining (NJ) phylogenetic tree was constructed using MEGA11 (v11.0.13) under the Kimura 2-Parameter (K2P) model with 1,000 bootstrap replicates. The tree included:</w:t>
      </w:r>
    </w:p>
    <w:p w14:paraId="7DABAEB8" w14:textId="77777777" w:rsidR="00AE2674" w:rsidRPr="00AE2674" w:rsidRDefault="00AE2674" w:rsidP="00AE2674">
      <w:pPr>
        <w:numPr>
          <w:ilvl w:val="0"/>
          <w:numId w:val="13"/>
        </w:numPr>
        <w:rPr>
          <w:bCs/>
        </w:rPr>
      </w:pPr>
      <w:r w:rsidRPr="00AE2674">
        <w:rPr>
          <w:bCs/>
        </w:rPr>
        <w:t xml:space="preserve">11 reference COI sequences of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(partial and complete) from GenBank</w:t>
      </w:r>
    </w:p>
    <w:p w14:paraId="3E5ABC3C" w14:textId="77777777" w:rsidR="00AE2674" w:rsidRPr="00AE2674" w:rsidRDefault="00AE2674" w:rsidP="00AE2674">
      <w:pPr>
        <w:numPr>
          <w:ilvl w:val="0"/>
          <w:numId w:val="13"/>
        </w:numPr>
        <w:rPr>
          <w:bCs/>
        </w:rPr>
      </w:pPr>
      <w:r w:rsidRPr="00AE2674">
        <w:rPr>
          <w:bCs/>
        </w:rPr>
        <w:t xml:space="preserve">1 outgroup sequence: </w:t>
      </w:r>
      <w:proofErr w:type="spellStart"/>
      <w:r w:rsidRPr="00AE2674">
        <w:rPr>
          <w:bCs/>
          <w:i/>
          <w:iCs/>
        </w:rPr>
        <w:t>Magallana</w:t>
      </w:r>
      <w:proofErr w:type="spellEnd"/>
      <w:r w:rsidRPr="00AE2674">
        <w:rPr>
          <w:bCs/>
          <w:i/>
          <w:iCs/>
        </w:rPr>
        <w:t xml:space="preserve"> </w:t>
      </w:r>
      <w:proofErr w:type="spellStart"/>
      <w:r w:rsidRPr="00AE2674">
        <w:rPr>
          <w:bCs/>
          <w:i/>
          <w:iCs/>
        </w:rPr>
        <w:t>gigas</w:t>
      </w:r>
      <w:proofErr w:type="spellEnd"/>
      <w:r w:rsidRPr="00AE2674">
        <w:rPr>
          <w:bCs/>
        </w:rPr>
        <w:t xml:space="preserve"> (Oyster), used for rooting</w:t>
      </w:r>
    </w:p>
    <w:p w14:paraId="39F41926" w14:textId="77777777" w:rsidR="00AE2674" w:rsidRPr="00AE2674" w:rsidRDefault="00AE2674" w:rsidP="00AE2674">
      <w:pPr>
        <w:rPr>
          <w:bCs/>
        </w:rPr>
      </w:pPr>
      <w:r w:rsidRPr="00AE2674">
        <w:rPr>
          <w:bCs/>
        </w:rPr>
        <w:t xml:space="preserve">Bootstrap support values ≥50% were considered reliable. Tree rendering was done using </w:t>
      </w:r>
      <w:proofErr w:type="spellStart"/>
      <w:r w:rsidRPr="00AE2674">
        <w:rPr>
          <w:bCs/>
        </w:rPr>
        <w:t>FigTree</w:t>
      </w:r>
      <w:proofErr w:type="spellEnd"/>
      <w:r w:rsidRPr="00AE2674">
        <w:rPr>
          <w:bCs/>
        </w:rPr>
        <w:t xml:space="preserve"> v1.4.4, and clade interpretation followed sequence clustering patterns with bootstrap support.</w:t>
      </w:r>
    </w:p>
    <w:p w14:paraId="56D4FA06" w14:textId="0B4AEF17" w:rsidR="00AE2674" w:rsidRPr="00252F07" w:rsidRDefault="00AE2674" w:rsidP="00AE2674">
      <w:pPr>
        <w:pStyle w:val="Heading3"/>
        <w:rPr>
          <w:bCs/>
        </w:rPr>
      </w:pPr>
      <w:r w:rsidRPr="00252F07">
        <w:rPr>
          <w:bCs/>
        </w:rPr>
        <w:lastRenderedPageBreak/>
        <w:t>2.4 Statistical Analysis</w:t>
      </w:r>
    </w:p>
    <w:p w14:paraId="43889B16" w14:textId="77777777" w:rsidR="00AE2674" w:rsidRPr="00AE2674" w:rsidRDefault="00AE2674" w:rsidP="00AE2674">
      <w:pPr>
        <w:rPr>
          <w:bCs/>
        </w:rPr>
      </w:pPr>
      <w:r w:rsidRPr="00AE2674">
        <w:rPr>
          <w:bCs/>
        </w:rPr>
        <w:t>Descriptive statistics for morphometric and meristic characters were computed using IBM SPSS Statistics v27. Mean values were compared with historical diagnostic ranges using one-sample t-tests, where applicable, to assess significant deviations.</w:t>
      </w:r>
    </w:p>
    <w:p w14:paraId="6AB26BD6" w14:textId="77777777" w:rsidR="00AE2674" w:rsidRPr="00AE2674" w:rsidRDefault="00AE2674" w:rsidP="00AE2674">
      <w:pPr>
        <w:rPr>
          <w:bCs/>
        </w:rPr>
      </w:pPr>
      <w:r w:rsidRPr="00AE2674">
        <w:rPr>
          <w:bCs/>
        </w:rPr>
        <w:t>Phylogenetic K2P distances between sequences were calculated using MEGA11, both within and across clusters, to assess inter- and intraspecific divergences. Clade robustness was assessed via bootstrap values.</w:t>
      </w:r>
    </w:p>
    <w:p w14:paraId="7F1CE63B" w14:textId="43F76228" w:rsidR="00AE2674" w:rsidRPr="00AE2674" w:rsidRDefault="00AE2674" w:rsidP="00AE2674">
      <w:pPr>
        <w:rPr>
          <w:bCs/>
        </w:rPr>
      </w:pPr>
      <w:r w:rsidRPr="00AE2674">
        <w:rPr>
          <w:bCs/>
        </w:rPr>
        <w:t xml:space="preserve">The final molecular and morphological diagnoses were interpreted in an integrative manner: only specimens matching both COI and morphometric-meristic standards were confirmed as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w:t>
      </w:r>
    </w:p>
    <w:p w14:paraId="1C78A118" w14:textId="77777777" w:rsidR="00AE2674" w:rsidRPr="00252F07" w:rsidRDefault="00AE2674" w:rsidP="00AE2674">
      <w:pPr>
        <w:pStyle w:val="Heading2"/>
        <w:rPr>
          <w:bCs/>
        </w:rPr>
      </w:pPr>
      <w:r w:rsidRPr="00252F07">
        <w:rPr>
          <w:bCs/>
        </w:rPr>
        <w:t>3. RESULTS AND DISCUSSION</w:t>
      </w:r>
    </w:p>
    <w:p w14:paraId="646DEE3D" w14:textId="6FC26B4B" w:rsidR="00AE2674" w:rsidRPr="00AE2674" w:rsidRDefault="00AE2674" w:rsidP="00AE2674">
      <w:pPr>
        <w:rPr>
          <w:bCs/>
        </w:rPr>
      </w:pPr>
      <w:r w:rsidRPr="00AE2674">
        <w:rPr>
          <w:bCs/>
        </w:rPr>
        <w:t xml:space="preserve">This section integrates the molecular (COI barcode) evidence with the comparative morphometric–meristic dataset to verify the species identity of </w:t>
      </w:r>
      <w:proofErr w:type="spellStart"/>
      <w:r w:rsidRPr="00AE2674">
        <w:rPr>
          <w:bCs/>
        </w:rPr>
        <w:t>Khairi</w:t>
      </w:r>
      <w:proofErr w:type="spellEnd"/>
      <w:r w:rsidRPr="00AE2674">
        <w:rPr>
          <w:bCs/>
        </w:rPr>
        <w:t xml:space="preserve"> Dam specimens as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(Hamilton, 1822). Consistent with the a-priori study design, we first report sequence quality, database matches, and phylogenetic placement, then summarize the morphological and meristic characters of the 15-specimen series relative to authoritative diagnostic ranges, and finally synthesize both lines of evidence and discuss implications for fisheries practice and biodiversity documentation.</w:t>
      </w:r>
    </w:p>
    <w:p w14:paraId="6859878E" w14:textId="77777777" w:rsidR="00AE2674" w:rsidRPr="00252F07" w:rsidRDefault="00AE2674" w:rsidP="00AE2674">
      <w:pPr>
        <w:pStyle w:val="Heading2"/>
        <w:rPr>
          <w:bCs/>
        </w:rPr>
      </w:pPr>
      <w:r w:rsidRPr="00252F07">
        <w:rPr>
          <w:bCs/>
        </w:rPr>
        <w:t>3.1 Molecular identification</w:t>
      </w:r>
    </w:p>
    <w:p w14:paraId="4DB233EB" w14:textId="77777777" w:rsidR="00AE2674" w:rsidRPr="00252F07" w:rsidRDefault="00AE2674" w:rsidP="00AE2674">
      <w:pPr>
        <w:pStyle w:val="Heading3"/>
        <w:rPr>
          <w:bCs/>
        </w:rPr>
      </w:pPr>
      <w:r w:rsidRPr="00252F07">
        <w:rPr>
          <w:bCs/>
        </w:rPr>
        <w:t>3.1.1 Sequence quality and basic characteristics</w:t>
      </w:r>
    </w:p>
    <w:p w14:paraId="487E9656" w14:textId="7E5F85A5" w:rsidR="00AE2674" w:rsidRPr="00AE2674" w:rsidRDefault="00AE2674" w:rsidP="00AE2674">
      <w:pPr>
        <w:rPr>
          <w:bCs/>
        </w:rPr>
      </w:pPr>
      <w:r w:rsidRPr="00AE2674">
        <w:rPr>
          <w:bCs/>
        </w:rPr>
        <w:t>High-quality bidirectional Sanger reads were obtained for the representative voucher RMK1 (ZSI-SRC-CYPR2023/</w:t>
      </w:r>
      <w:proofErr w:type="spellStart"/>
      <w:r w:rsidRPr="00AE2674">
        <w:rPr>
          <w:bCs/>
        </w:rPr>
        <w:t>Khairi</w:t>
      </w:r>
      <w:proofErr w:type="spellEnd"/>
      <w:r w:rsidRPr="00AE2674">
        <w:rPr>
          <w:bCs/>
        </w:rPr>
        <w:t>/01). After chromatogram inspection (Chromas v2.6.6) and quality trimming (</w:t>
      </w:r>
      <w:proofErr w:type="spellStart"/>
      <w:r w:rsidRPr="00AE2674">
        <w:rPr>
          <w:bCs/>
        </w:rPr>
        <w:t>Geneious</w:t>
      </w:r>
      <w:proofErr w:type="spellEnd"/>
      <w:r w:rsidRPr="00AE2674">
        <w:rPr>
          <w:bCs/>
        </w:rPr>
        <w:t xml:space="preserve"> Prime 2024.0), the assembled c</w:t>
      </w:r>
      <w:r w:rsidR="000F5CFC">
        <w:rPr>
          <w:bCs/>
        </w:rPr>
        <w:t xml:space="preserve">ontiguous sequence measured 641 </w:t>
      </w:r>
      <w:r w:rsidRPr="00AE2674">
        <w:rPr>
          <w:bCs/>
        </w:rPr>
        <w:t xml:space="preserve">bp with no ambiguous bases, mean </w:t>
      </w:r>
      <w:proofErr w:type="spellStart"/>
      <w:r w:rsidRPr="00AE2674">
        <w:rPr>
          <w:bCs/>
        </w:rPr>
        <w:t>Phred</w:t>
      </w:r>
      <w:proofErr w:type="spellEnd"/>
      <w:r w:rsidRPr="00AE2674">
        <w:rPr>
          <w:bCs/>
        </w:rPr>
        <w:t xml:space="preserve"> ≥ Q30 across &gt;98% of sites, and GC content = 46.2%. The fragment length matches the standard animal COI barcode segment routinely curated in BOLD/GenBank, allowing direct comparison to public references. No stop codons or frameshift signals were detected when translated in vertebrate mitochondrial code, indicating the absence of pseudogene amplification.</w:t>
      </w:r>
    </w:p>
    <w:p w14:paraId="3B5A4486" w14:textId="77777777" w:rsidR="00AE2674" w:rsidRPr="00252F07" w:rsidRDefault="00AE2674" w:rsidP="00AE2674">
      <w:pPr>
        <w:pStyle w:val="Heading3"/>
        <w:rPr>
          <w:bCs/>
        </w:rPr>
      </w:pPr>
      <w:r w:rsidRPr="00252F07">
        <w:rPr>
          <w:bCs/>
        </w:rPr>
        <w:t xml:space="preserve">3.1.2 </w:t>
      </w:r>
      <w:proofErr w:type="spellStart"/>
      <w:r w:rsidRPr="00252F07">
        <w:rPr>
          <w:bCs/>
        </w:rPr>
        <w:t>BLASTn</w:t>
      </w:r>
      <w:proofErr w:type="spellEnd"/>
      <w:r w:rsidRPr="00252F07">
        <w:rPr>
          <w:bCs/>
        </w:rPr>
        <w:t xml:space="preserve"> identification</w:t>
      </w:r>
    </w:p>
    <w:p w14:paraId="11039602" w14:textId="77777777" w:rsidR="00AE2674" w:rsidRPr="00AE2674" w:rsidRDefault="00AE2674" w:rsidP="00AE2674">
      <w:pPr>
        <w:rPr>
          <w:bCs/>
        </w:rPr>
      </w:pPr>
      <w:proofErr w:type="spellStart"/>
      <w:r w:rsidRPr="00AE2674">
        <w:rPr>
          <w:bCs/>
        </w:rPr>
        <w:t>BLASTn</w:t>
      </w:r>
      <w:proofErr w:type="spellEnd"/>
      <w:r w:rsidRPr="00AE2674">
        <w:rPr>
          <w:bCs/>
        </w:rPr>
        <w:t xml:space="preserve"> against NCBI’s nr/</w:t>
      </w:r>
      <w:proofErr w:type="spellStart"/>
      <w:r w:rsidRPr="00AE2674">
        <w:rPr>
          <w:bCs/>
        </w:rPr>
        <w:t>nt</w:t>
      </w:r>
      <w:proofErr w:type="spellEnd"/>
      <w:r w:rsidRPr="00AE2674">
        <w:rPr>
          <w:bCs/>
        </w:rPr>
        <w:t xml:space="preserve"> database (search limited to Actinopterygii) yielded a top hit to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(syn. </w:t>
      </w:r>
      <w:proofErr w:type="spellStart"/>
      <w:r w:rsidRPr="00AE2674">
        <w:rPr>
          <w:bCs/>
          <w:i/>
          <w:iCs/>
        </w:rPr>
        <w:t>Catla</w:t>
      </w:r>
      <w:proofErr w:type="spellEnd"/>
      <w:r w:rsidRPr="00AE2674">
        <w:rPr>
          <w:bCs/>
          <w:i/>
          <w:iCs/>
        </w:rPr>
        <w:t xml:space="preserve"> </w:t>
      </w:r>
      <w:proofErr w:type="spellStart"/>
      <w:r w:rsidRPr="00AE2674">
        <w:rPr>
          <w:bCs/>
          <w:i/>
          <w:iCs/>
        </w:rPr>
        <w:t>catla</w:t>
      </w:r>
      <w:proofErr w:type="spellEnd"/>
      <w:r w:rsidRPr="00AE2674">
        <w:rPr>
          <w:bCs/>
        </w:rPr>
        <w:t xml:space="preserve">) complete mitogenome MT303069.1 with 99.38% identity and 98% query coverage (E-value = 0.0). The next-best matches were </w:t>
      </w:r>
      <w:proofErr w:type="spellStart"/>
      <w:r w:rsidRPr="00AE2674">
        <w:rPr>
          <w:bCs/>
          <w:i/>
          <w:iCs/>
        </w:rPr>
        <w:t>Catla</w:t>
      </w:r>
      <w:proofErr w:type="spellEnd"/>
      <w:r w:rsidRPr="00AE2674">
        <w:rPr>
          <w:bCs/>
          <w:i/>
          <w:iCs/>
        </w:rPr>
        <w:t xml:space="preserve"> </w:t>
      </w:r>
      <w:proofErr w:type="spellStart"/>
      <w:r w:rsidRPr="00AE2674">
        <w:rPr>
          <w:bCs/>
          <w:i/>
          <w:iCs/>
        </w:rPr>
        <w:t>catla</w:t>
      </w:r>
      <w:proofErr w:type="spellEnd"/>
      <w:r w:rsidRPr="00AE2674">
        <w:rPr>
          <w:bCs/>
        </w:rPr>
        <w:t xml:space="preserve"> complete mitogenomes AP011355.1 and KY419138.1 and multiple partial COI entries, all returning ≥99% identity over ≥97% coverage. No non-</w:t>
      </w:r>
      <w:proofErr w:type="spellStart"/>
      <w:r w:rsidRPr="00AE2674">
        <w:rPr>
          <w:bCs/>
          <w:i/>
          <w:iCs/>
        </w:rPr>
        <w:t>catla</w:t>
      </w:r>
      <w:proofErr w:type="spellEnd"/>
      <w:r w:rsidRPr="00AE2674">
        <w:rPr>
          <w:bCs/>
        </w:rPr>
        <w:t xml:space="preserve"> cyprinid matched within 97% identity. These metrics meet and exceed typical congeneric separation thresholds reported for barcoded fishes (commonly 8–15% for K2P distances at congeneric level), strongly supporting the assignment of RMK1 to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w:t>
      </w:r>
    </w:p>
    <w:p w14:paraId="519E8F96" w14:textId="77777777" w:rsidR="00AE2674" w:rsidRPr="00AE2674" w:rsidRDefault="00AE2674" w:rsidP="00AE2674">
      <w:pPr>
        <w:rPr>
          <w:bCs/>
        </w:rPr>
      </w:pPr>
      <w:r w:rsidRPr="00AE2674">
        <w:rPr>
          <w:bCs/>
        </w:rPr>
        <w:t xml:space="preserve">Table 1. </w:t>
      </w:r>
      <w:proofErr w:type="spellStart"/>
      <w:r w:rsidRPr="00AE2674">
        <w:rPr>
          <w:bCs/>
        </w:rPr>
        <w:t>BLASTn</w:t>
      </w:r>
      <w:proofErr w:type="spellEnd"/>
      <w:r w:rsidRPr="00AE2674">
        <w:rPr>
          <w:bCs/>
        </w:rPr>
        <w:t xml:space="preserve"> identification of COI sequence RMK1</w:t>
      </w:r>
    </w:p>
    <w:tbl>
      <w:tblPr>
        <w:tblStyle w:val="TableGrid"/>
        <w:tblW w:w="5000" w:type="pct"/>
        <w:tblLook w:val="04A0" w:firstRow="1" w:lastRow="0" w:firstColumn="1" w:lastColumn="0" w:noHBand="0" w:noVBand="1"/>
      </w:tblPr>
      <w:tblGrid>
        <w:gridCol w:w="1076"/>
        <w:gridCol w:w="2896"/>
        <w:gridCol w:w="1318"/>
        <w:gridCol w:w="1832"/>
        <w:gridCol w:w="1095"/>
        <w:gridCol w:w="799"/>
      </w:tblGrid>
      <w:tr w:rsidR="00AE2674" w:rsidRPr="00AE2674" w14:paraId="691749D4" w14:textId="77777777" w:rsidTr="00AE2674">
        <w:tc>
          <w:tcPr>
            <w:tcW w:w="597" w:type="pct"/>
            <w:hideMark/>
          </w:tcPr>
          <w:p w14:paraId="4AF7448F" w14:textId="77777777" w:rsidR="00AE2674" w:rsidRPr="00AE2674" w:rsidRDefault="00AE2674" w:rsidP="00AE2674">
            <w:pPr>
              <w:spacing w:after="160" w:line="259" w:lineRule="auto"/>
              <w:jc w:val="center"/>
              <w:rPr>
                <w:bCs/>
              </w:rPr>
            </w:pPr>
            <w:r w:rsidRPr="00AE2674">
              <w:rPr>
                <w:bCs/>
              </w:rPr>
              <w:lastRenderedPageBreak/>
              <w:t>Sample ID</w:t>
            </w:r>
          </w:p>
        </w:tc>
        <w:tc>
          <w:tcPr>
            <w:tcW w:w="1606" w:type="pct"/>
            <w:hideMark/>
          </w:tcPr>
          <w:p w14:paraId="0B0DFE57" w14:textId="77777777" w:rsidR="00AE2674" w:rsidRPr="00AE2674" w:rsidRDefault="00AE2674" w:rsidP="00AE2674">
            <w:pPr>
              <w:spacing w:after="160" w:line="259" w:lineRule="auto"/>
              <w:jc w:val="center"/>
              <w:rPr>
                <w:bCs/>
              </w:rPr>
            </w:pPr>
            <w:r w:rsidRPr="00AE2674">
              <w:rPr>
                <w:bCs/>
              </w:rPr>
              <w:t>Top hit species</w:t>
            </w:r>
          </w:p>
        </w:tc>
        <w:tc>
          <w:tcPr>
            <w:tcW w:w="731" w:type="pct"/>
            <w:hideMark/>
          </w:tcPr>
          <w:p w14:paraId="32E301A9" w14:textId="77777777" w:rsidR="00AE2674" w:rsidRPr="00AE2674" w:rsidRDefault="00AE2674" w:rsidP="00AE2674">
            <w:pPr>
              <w:spacing w:after="160" w:line="259" w:lineRule="auto"/>
              <w:jc w:val="center"/>
              <w:rPr>
                <w:bCs/>
              </w:rPr>
            </w:pPr>
            <w:r w:rsidRPr="00AE2674">
              <w:rPr>
                <w:bCs/>
              </w:rPr>
              <w:t>Accession</w:t>
            </w:r>
          </w:p>
        </w:tc>
        <w:tc>
          <w:tcPr>
            <w:tcW w:w="1016" w:type="pct"/>
            <w:hideMark/>
          </w:tcPr>
          <w:p w14:paraId="49C370C2" w14:textId="77777777" w:rsidR="00AE2674" w:rsidRPr="00AE2674" w:rsidRDefault="00AE2674" w:rsidP="00AE2674">
            <w:pPr>
              <w:spacing w:after="160" w:line="259" w:lineRule="auto"/>
              <w:jc w:val="center"/>
              <w:rPr>
                <w:bCs/>
              </w:rPr>
            </w:pPr>
            <w:r w:rsidRPr="00AE2674">
              <w:rPr>
                <w:bCs/>
              </w:rPr>
              <w:t>Query coverage (%)</w:t>
            </w:r>
          </w:p>
        </w:tc>
        <w:tc>
          <w:tcPr>
            <w:tcW w:w="607" w:type="pct"/>
            <w:hideMark/>
          </w:tcPr>
          <w:p w14:paraId="69C99D70" w14:textId="77777777" w:rsidR="00AE2674" w:rsidRPr="00AE2674" w:rsidRDefault="00AE2674" w:rsidP="00AE2674">
            <w:pPr>
              <w:spacing w:after="160" w:line="259" w:lineRule="auto"/>
              <w:jc w:val="center"/>
              <w:rPr>
                <w:bCs/>
              </w:rPr>
            </w:pPr>
            <w:r w:rsidRPr="00AE2674">
              <w:rPr>
                <w:bCs/>
              </w:rPr>
              <w:t>% Identity</w:t>
            </w:r>
          </w:p>
        </w:tc>
        <w:tc>
          <w:tcPr>
            <w:tcW w:w="443" w:type="pct"/>
            <w:hideMark/>
          </w:tcPr>
          <w:p w14:paraId="76A9BF28" w14:textId="77777777" w:rsidR="00AE2674" w:rsidRPr="00AE2674" w:rsidRDefault="00AE2674" w:rsidP="00AE2674">
            <w:pPr>
              <w:spacing w:after="160" w:line="259" w:lineRule="auto"/>
              <w:jc w:val="center"/>
              <w:rPr>
                <w:bCs/>
              </w:rPr>
            </w:pPr>
            <w:r w:rsidRPr="00AE2674">
              <w:rPr>
                <w:bCs/>
              </w:rPr>
              <w:t>E-value</w:t>
            </w:r>
          </w:p>
        </w:tc>
      </w:tr>
      <w:tr w:rsidR="00AE2674" w:rsidRPr="00AE2674" w14:paraId="217BBB5C" w14:textId="77777777" w:rsidTr="00AE2674">
        <w:tc>
          <w:tcPr>
            <w:tcW w:w="597" w:type="pct"/>
            <w:hideMark/>
          </w:tcPr>
          <w:p w14:paraId="3D784439" w14:textId="77777777" w:rsidR="00AE2674" w:rsidRPr="00AE2674" w:rsidRDefault="00AE2674" w:rsidP="00AE2674">
            <w:pPr>
              <w:spacing w:after="160" w:line="259" w:lineRule="auto"/>
              <w:jc w:val="center"/>
              <w:rPr>
                <w:bCs/>
              </w:rPr>
            </w:pPr>
            <w:r w:rsidRPr="00AE2674">
              <w:rPr>
                <w:bCs/>
              </w:rPr>
              <w:t>RMK1</w:t>
            </w:r>
          </w:p>
        </w:tc>
        <w:tc>
          <w:tcPr>
            <w:tcW w:w="1606" w:type="pct"/>
            <w:hideMark/>
          </w:tcPr>
          <w:p w14:paraId="49DE225D" w14:textId="77777777" w:rsidR="00AE2674" w:rsidRPr="00AE2674" w:rsidRDefault="00AE2674" w:rsidP="00AE2674">
            <w:pPr>
              <w:spacing w:after="160" w:line="259" w:lineRule="auto"/>
              <w:jc w:val="center"/>
              <w:rPr>
                <w:bCs/>
              </w:rPr>
            </w:pP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mitochondrial genome</w:t>
            </w:r>
          </w:p>
        </w:tc>
        <w:tc>
          <w:tcPr>
            <w:tcW w:w="731" w:type="pct"/>
            <w:hideMark/>
          </w:tcPr>
          <w:p w14:paraId="69D91396" w14:textId="1BC46074" w:rsidR="00AE2674" w:rsidRPr="00AE2674" w:rsidRDefault="000F5CFC" w:rsidP="00AE2674">
            <w:pPr>
              <w:spacing w:after="160" w:line="259" w:lineRule="auto"/>
              <w:jc w:val="center"/>
              <w:rPr>
                <w:bCs/>
              </w:rPr>
            </w:pPr>
            <w:r>
              <w:rPr>
                <w:bCs/>
              </w:rPr>
              <w:t>PX238462</w:t>
            </w:r>
          </w:p>
        </w:tc>
        <w:tc>
          <w:tcPr>
            <w:tcW w:w="1016" w:type="pct"/>
            <w:hideMark/>
          </w:tcPr>
          <w:p w14:paraId="47D15E79" w14:textId="77777777" w:rsidR="00AE2674" w:rsidRPr="00AE2674" w:rsidRDefault="00AE2674" w:rsidP="00AE2674">
            <w:pPr>
              <w:spacing w:after="160" w:line="259" w:lineRule="auto"/>
              <w:jc w:val="center"/>
              <w:rPr>
                <w:bCs/>
              </w:rPr>
            </w:pPr>
            <w:r w:rsidRPr="00AE2674">
              <w:rPr>
                <w:bCs/>
              </w:rPr>
              <w:t>98</w:t>
            </w:r>
          </w:p>
        </w:tc>
        <w:tc>
          <w:tcPr>
            <w:tcW w:w="607" w:type="pct"/>
            <w:hideMark/>
          </w:tcPr>
          <w:p w14:paraId="462220E6" w14:textId="77777777" w:rsidR="00AE2674" w:rsidRPr="00AE2674" w:rsidRDefault="00AE2674" w:rsidP="00AE2674">
            <w:pPr>
              <w:spacing w:after="160" w:line="259" w:lineRule="auto"/>
              <w:jc w:val="center"/>
              <w:rPr>
                <w:bCs/>
              </w:rPr>
            </w:pPr>
            <w:r w:rsidRPr="00AE2674">
              <w:rPr>
                <w:bCs/>
              </w:rPr>
              <w:t>99.38</w:t>
            </w:r>
          </w:p>
        </w:tc>
        <w:tc>
          <w:tcPr>
            <w:tcW w:w="443" w:type="pct"/>
            <w:hideMark/>
          </w:tcPr>
          <w:p w14:paraId="2654E256" w14:textId="77777777" w:rsidR="00AE2674" w:rsidRPr="00AE2674" w:rsidRDefault="00AE2674" w:rsidP="00AE2674">
            <w:pPr>
              <w:spacing w:after="160" w:line="259" w:lineRule="auto"/>
              <w:jc w:val="center"/>
              <w:rPr>
                <w:bCs/>
              </w:rPr>
            </w:pPr>
            <w:r w:rsidRPr="00AE2674">
              <w:rPr>
                <w:bCs/>
              </w:rPr>
              <w:t>0.0</w:t>
            </w:r>
          </w:p>
        </w:tc>
      </w:tr>
    </w:tbl>
    <w:p w14:paraId="22CF8227" w14:textId="77777777" w:rsidR="00AE2674" w:rsidRPr="00252F07" w:rsidRDefault="00AE2674" w:rsidP="00AE2674">
      <w:pPr>
        <w:pStyle w:val="Heading3"/>
        <w:rPr>
          <w:bCs/>
        </w:rPr>
      </w:pPr>
      <w:r w:rsidRPr="00252F07">
        <w:rPr>
          <w:bCs/>
        </w:rPr>
        <w:t>3.1.3 Phylogenetic placement</w:t>
      </w:r>
    </w:p>
    <w:p w14:paraId="0DC0E1D2" w14:textId="77777777" w:rsidR="00AE2674" w:rsidRPr="00AE2674" w:rsidRDefault="00AE2674" w:rsidP="00AE2674">
      <w:pPr>
        <w:rPr>
          <w:bCs/>
        </w:rPr>
      </w:pPr>
      <w:r w:rsidRPr="00AE2674">
        <w:rPr>
          <w:bCs/>
        </w:rPr>
        <w:t xml:space="preserve">A </w:t>
      </w:r>
      <w:proofErr w:type="spellStart"/>
      <w:r w:rsidRPr="00AE2674">
        <w:rPr>
          <w:bCs/>
        </w:rPr>
        <w:t>Neighbor</w:t>
      </w:r>
      <w:proofErr w:type="spellEnd"/>
      <w:r w:rsidRPr="00AE2674">
        <w:rPr>
          <w:bCs/>
        </w:rPr>
        <w:t xml:space="preserve">-Joining (NJ) phylogeny based on Kimura 2-Parameter distances (1,000 bootstraps) clustered RMK1 unambiguously within the </w:t>
      </w:r>
      <w:proofErr w:type="spellStart"/>
      <w:r w:rsidRPr="00AE2674">
        <w:rPr>
          <w:bCs/>
          <w:i/>
          <w:iCs/>
        </w:rPr>
        <w:t>Catla</w:t>
      </w:r>
      <w:proofErr w:type="spellEnd"/>
      <w:r w:rsidRPr="00AE2674">
        <w:rPr>
          <w:bCs/>
          <w:i/>
          <w:iCs/>
        </w:rPr>
        <w:t xml:space="preserve"> </w:t>
      </w:r>
      <w:proofErr w:type="spellStart"/>
      <w:r w:rsidRPr="00AE2674">
        <w:rPr>
          <w:bCs/>
          <w:i/>
          <w:iCs/>
        </w:rPr>
        <w:t>catla</w:t>
      </w:r>
      <w:proofErr w:type="spellEnd"/>
      <w:r w:rsidRPr="00AE2674">
        <w:rPr>
          <w:bCs/>
          <w:i/>
          <w:iCs/>
        </w:rPr>
        <w:t>/</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clade (Figure 1). RMK1 grouped closest to the complete mitogenome references AP011355.1 and KY419138.1 with a local bootstrap of 67. Several partial COI entries (e.g., GU195061.1, GU195054.1, JX083155.1) interdigitated across subclades supported by moderate bootstrap values (42–47), a pattern consistent with within-species haplotype structure. A sister subclade comprised of voucher isolates OR148100.1 (HPP14), OR148101.1 (HPP20), and PP890435.1 (H06) exhibited higher support (71–73), suggesting geographically structured variants or sampling of hatchery lineages. The bivalve </w:t>
      </w:r>
      <w:proofErr w:type="spellStart"/>
      <w:r w:rsidRPr="00AE2674">
        <w:rPr>
          <w:bCs/>
        </w:rPr>
        <w:t>Magallana</w:t>
      </w:r>
      <w:proofErr w:type="spellEnd"/>
      <w:r w:rsidRPr="00AE2674">
        <w:rPr>
          <w:bCs/>
        </w:rPr>
        <w:t xml:space="preserve"> </w:t>
      </w:r>
      <w:proofErr w:type="spellStart"/>
      <w:r w:rsidRPr="00AE2674">
        <w:rPr>
          <w:bCs/>
        </w:rPr>
        <w:t>gigas</w:t>
      </w:r>
      <w:proofErr w:type="spellEnd"/>
      <w:r w:rsidRPr="00AE2674">
        <w:rPr>
          <w:bCs/>
        </w:rPr>
        <w:t xml:space="preserve"> (KX345124.1) rooted the tree (node support 62), clearly segregating cyprinid sequences from the outgroup and validating overall topology.</w:t>
      </w:r>
    </w:p>
    <w:p w14:paraId="3BA3EBFD" w14:textId="78EFA470" w:rsidR="00AE2674" w:rsidRPr="00252F07" w:rsidRDefault="00AE2674" w:rsidP="00AE2674">
      <w:pPr>
        <w:rPr>
          <w:bCs/>
        </w:rPr>
      </w:pPr>
      <w:r w:rsidRPr="00AE2674">
        <w:rPr>
          <w:bCs/>
        </w:rPr>
        <w:t xml:space="preserve">Figure 1. </w:t>
      </w:r>
      <w:proofErr w:type="spellStart"/>
      <w:r w:rsidRPr="00AE2674">
        <w:rPr>
          <w:bCs/>
        </w:rPr>
        <w:t>Neighbor</w:t>
      </w:r>
      <w:proofErr w:type="spellEnd"/>
      <w:r w:rsidRPr="00AE2674">
        <w:rPr>
          <w:bCs/>
        </w:rPr>
        <w:t xml:space="preserve">-Joining phylogeny (K2P, 1,000 bootstraps) of RMK1 with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references and </w:t>
      </w:r>
      <w:proofErr w:type="spellStart"/>
      <w:r w:rsidRPr="00AE2674">
        <w:rPr>
          <w:bCs/>
          <w:i/>
          <w:iCs/>
        </w:rPr>
        <w:t>Magallana</w:t>
      </w:r>
      <w:proofErr w:type="spellEnd"/>
      <w:r w:rsidRPr="00AE2674">
        <w:rPr>
          <w:bCs/>
          <w:i/>
          <w:iCs/>
        </w:rPr>
        <w:t xml:space="preserve"> </w:t>
      </w:r>
      <w:proofErr w:type="spellStart"/>
      <w:r w:rsidRPr="00AE2674">
        <w:rPr>
          <w:bCs/>
          <w:i/>
          <w:iCs/>
        </w:rPr>
        <w:t>gigas</w:t>
      </w:r>
      <w:proofErr w:type="spellEnd"/>
      <w:r w:rsidRPr="00AE2674">
        <w:rPr>
          <w:bCs/>
        </w:rPr>
        <w:t xml:space="preserve"> as outgroup. Bootstrap values ≥50 are shown at nodes. </w:t>
      </w:r>
    </w:p>
    <w:p w14:paraId="70625ADE" w14:textId="4D4FD8F6" w:rsidR="00252F07" w:rsidRPr="00AE2674" w:rsidRDefault="00252F07" w:rsidP="00AE2674">
      <w:pPr>
        <w:rPr>
          <w:bCs/>
        </w:rPr>
      </w:pPr>
      <w:r w:rsidRPr="00252F07">
        <w:rPr>
          <w:bCs/>
          <w:noProof/>
          <w:lang w:eastAsia="en-IN" w:bidi="mr-IN"/>
        </w:rPr>
        <w:drawing>
          <wp:inline distT="0" distB="0" distL="0" distR="0" wp14:anchorId="3D24DFC4" wp14:editId="032C15E0">
            <wp:extent cx="5937885" cy="2969260"/>
            <wp:effectExtent l="0" t="0" r="5715" b="2540"/>
            <wp:docPr id="559763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2969260"/>
                    </a:xfrm>
                    <a:prstGeom prst="rect">
                      <a:avLst/>
                    </a:prstGeom>
                    <a:noFill/>
                  </pic:spPr>
                </pic:pic>
              </a:graphicData>
            </a:graphic>
          </wp:inline>
        </w:drawing>
      </w:r>
    </w:p>
    <w:p w14:paraId="306ECC10" w14:textId="2DEE750D" w:rsidR="00AE2674" w:rsidRPr="00AE2674" w:rsidRDefault="00AE2674" w:rsidP="00AE2674">
      <w:pPr>
        <w:rPr>
          <w:bCs/>
        </w:rPr>
      </w:pPr>
      <w:r w:rsidRPr="00AE2674">
        <w:rPr>
          <w:bCs/>
        </w:rPr>
        <w:t xml:space="preserve">Interpretation. The NJ topology recovered a monophyletic </w:t>
      </w:r>
      <w:proofErr w:type="spellStart"/>
      <w:r w:rsidRPr="00AE2674">
        <w:rPr>
          <w:bCs/>
          <w:i/>
          <w:iCs/>
        </w:rPr>
        <w:t>catla</w:t>
      </w:r>
      <w:proofErr w:type="spellEnd"/>
      <w:r w:rsidRPr="00AE2674">
        <w:rPr>
          <w:bCs/>
        </w:rPr>
        <w:t xml:space="preserve"> cluster with internal structure reflecting intraspecific COI variation rather than species-level splits. The placement of RMK1 among complete mitogenomes (AP011355.1; KY419138.1; MT303069.1) and near multiple partial COI references accords with its BLAST profile, reinforcing species identity. Moderate support values at some internal nodes (≈42–47) are typical for short mitochondrial fragments and dense intraspecific sampling; crucially, the deeper split separating </w:t>
      </w:r>
      <w:proofErr w:type="spellStart"/>
      <w:r w:rsidRPr="00AE2674">
        <w:rPr>
          <w:bCs/>
          <w:i/>
          <w:iCs/>
        </w:rPr>
        <w:t>Catla</w:t>
      </w:r>
      <w:proofErr w:type="spellEnd"/>
      <w:r w:rsidRPr="00AE2674">
        <w:rPr>
          <w:bCs/>
        </w:rPr>
        <w:t xml:space="preserve"> from the outgroup and the immediate sister relationships around RMK1 are stably supported. No signal suggested </w:t>
      </w:r>
      <w:proofErr w:type="spellStart"/>
      <w:r w:rsidRPr="00AE2674">
        <w:rPr>
          <w:bCs/>
        </w:rPr>
        <w:t>introgression</w:t>
      </w:r>
      <w:proofErr w:type="spellEnd"/>
      <w:r w:rsidRPr="00AE2674">
        <w:rPr>
          <w:bCs/>
        </w:rPr>
        <w:t xml:space="preserve"> from other Indian major carps (e.g., </w:t>
      </w:r>
      <w:proofErr w:type="spellStart"/>
      <w:r w:rsidRPr="00AE2674">
        <w:rPr>
          <w:bCs/>
          <w:i/>
          <w:iCs/>
        </w:rPr>
        <w:t>Labeo</w:t>
      </w:r>
      <w:proofErr w:type="spellEnd"/>
      <w:r w:rsidRPr="00AE2674">
        <w:rPr>
          <w:bCs/>
          <w:i/>
          <w:iCs/>
        </w:rPr>
        <w:t xml:space="preserve"> </w:t>
      </w:r>
      <w:proofErr w:type="spellStart"/>
      <w:r w:rsidRPr="00AE2674">
        <w:rPr>
          <w:bCs/>
          <w:i/>
          <w:iCs/>
        </w:rPr>
        <w:t>rohita</w:t>
      </w:r>
      <w:proofErr w:type="spellEnd"/>
      <w:r w:rsidRPr="00AE2674">
        <w:rPr>
          <w:bCs/>
        </w:rPr>
        <w:t xml:space="preserve"> or </w:t>
      </w:r>
      <w:proofErr w:type="spellStart"/>
      <w:r w:rsidRPr="00AE2674">
        <w:rPr>
          <w:bCs/>
          <w:i/>
          <w:iCs/>
        </w:rPr>
        <w:t>Cirrhinus</w:t>
      </w:r>
      <w:proofErr w:type="spellEnd"/>
      <w:r w:rsidRPr="00AE2674">
        <w:rPr>
          <w:bCs/>
          <w:i/>
          <w:iCs/>
        </w:rPr>
        <w:t xml:space="preserve"> </w:t>
      </w:r>
      <w:proofErr w:type="spellStart"/>
      <w:r w:rsidRPr="00AE2674">
        <w:rPr>
          <w:bCs/>
          <w:i/>
          <w:iCs/>
        </w:rPr>
        <w:t>mrigala</w:t>
      </w:r>
      <w:proofErr w:type="spellEnd"/>
      <w:r w:rsidRPr="00AE2674">
        <w:rPr>
          <w:bCs/>
        </w:rPr>
        <w:t>), which would have produced atypically long branches or displacement toward non-</w:t>
      </w:r>
      <w:proofErr w:type="spellStart"/>
      <w:r w:rsidRPr="00AE2674">
        <w:rPr>
          <w:bCs/>
          <w:i/>
          <w:iCs/>
        </w:rPr>
        <w:t>catla</w:t>
      </w:r>
      <w:proofErr w:type="spellEnd"/>
      <w:r w:rsidRPr="00AE2674">
        <w:rPr>
          <w:bCs/>
        </w:rPr>
        <w:t xml:space="preserve"> references.</w:t>
      </w:r>
    </w:p>
    <w:p w14:paraId="25976026" w14:textId="77777777" w:rsidR="00AE2674" w:rsidRPr="00252F07" w:rsidRDefault="00AE2674" w:rsidP="00AE2674">
      <w:pPr>
        <w:pStyle w:val="Heading2"/>
        <w:rPr>
          <w:bCs/>
        </w:rPr>
      </w:pPr>
      <w:r w:rsidRPr="00252F07">
        <w:rPr>
          <w:bCs/>
        </w:rPr>
        <w:lastRenderedPageBreak/>
        <w:t>3.2 Morphometric and meristic confirmation</w:t>
      </w:r>
    </w:p>
    <w:p w14:paraId="3B505F95" w14:textId="77777777" w:rsidR="00AE2674" w:rsidRPr="00252F07" w:rsidRDefault="00AE2674" w:rsidP="00AE2674">
      <w:pPr>
        <w:pStyle w:val="Heading3"/>
        <w:rPr>
          <w:bCs/>
        </w:rPr>
      </w:pPr>
      <w:r w:rsidRPr="00252F07">
        <w:rPr>
          <w:bCs/>
        </w:rPr>
        <w:t xml:space="preserve">3.2.1 Summary statistics of the </w:t>
      </w:r>
      <w:proofErr w:type="spellStart"/>
      <w:r w:rsidRPr="00252F07">
        <w:rPr>
          <w:bCs/>
        </w:rPr>
        <w:t>Khairi</w:t>
      </w:r>
      <w:proofErr w:type="spellEnd"/>
      <w:r w:rsidRPr="00252F07">
        <w:rPr>
          <w:bCs/>
        </w:rPr>
        <w:t xml:space="preserve"> Dam series</w:t>
      </w:r>
    </w:p>
    <w:p w14:paraId="156F9F70" w14:textId="77777777" w:rsidR="00AE2674" w:rsidRPr="00AE2674" w:rsidRDefault="00AE2674" w:rsidP="00AE2674">
      <w:pPr>
        <w:rPr>
          <w:bCs/>
        </w:rPr>
      </w:pPr>
      <w:r w:rsidRPr="00AE2674">
        <w:rPr>
          <w:bCs/>
        </w:rPr>
        <w:t xml:space="preserve">Fifteen adult specimens (N = 15) were measured following standard ichthyological protocols. The series spanned 37.0–45.0 cm standard length (SL) with a mean 41.2 ± 2.5 cm. Body depth, head length, and eye diameter conformed to classic proportional morphometrics of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deep, laterally compressed body; terminal mouth with protruding lower jaw; large head relative to SL.</w:t>
      </w:r>
    </w:p>
    <w:p w14:paraId="76444A06" w14:textId="77777777" w:rsidR="00AE2674" w:rsidRPr="00AE2674" w:rsidRDefault="00AE2674" w:rsidP="00AE2674">
      <w:pPr>
        <w:rPr>
          <w:bCs/>
        </w:rPr>
      </w:pPr>
      <w:r w:rsidRPr="00AE2674">
        <w:rPr>
          <w:bCs/>
        </w:rPr>
        <w:t xml:space="preserve">Meristic counts mirrored the species-level keys: lateral-line scales predominantly 62–67 (mean 64.5), 8–10 scales above and 12–14 below the line; dorsal soft rays ii,9–11; anal soft rays iii,5–6; and 15–18 gill </w:t>
      </w:r>
      <w:proofErr w:type="spellStart"/>
      <w:r w:rsidRPr="00AE2674">
        <w:rPr>
          <w:bCs/>
        </w:rPr>
        <w:t>rakers</w:t>
      </w:r>
      <w:proofErr w:type="spellEnd"/>
      <w:r w:rsidRPr="00AE2674">
        <w:rPr>
          <w:bCs/>
        </w:rPr>
        <w:t xml:space="preserve"> on the lower arch. No regeneration </w:t>
      </w:r>
      <w:proofErr w:type="spellStart"/>
      <w:r w:rsidRPr="00AE2674">
        <w:rPr>
          <w:bCs/>
        </w:rPr>
        <w:t>artifacts</w:t>
      </w:r>
      <w:proofErr w:type="spellEnd"/>
      <w:r w:rsidRPr="00AE2674">
        <w:rPr>
          <w:bCs/>
        </w:rPr>
        <w:t>, scale loss patterns, or preservation-induced distortions were observed that would compromise counts.</w:t>
      </w:r>
    </w:p>
    <w:p w14:paraId="34D8CD2E" w14:textId="77777777" w:rsidR="00AE2674" w:rsidRPr="00AE2674" w:rsidRDefault="00AE2674" w:rsidP="00AE2674">
      <w:pPr>
        <w:rPr>
          <w:bCs/>
        </w:rPr>
      </w:pPr>
      <w:r w:rsidRPr="00AE2674">
        <w:rPr>
          <w:bCs/>
        </w:rPr>
        <w:t xml:space="preserve">Table 2. Morphometric and meristic characters of </w:t>
      </w:r>
      <w:proofErr w:type="spellStart"/>
      <w:r w:rsidRPr="00AE2674">
        <w:rPr>
          <w:bCs/>
        </w:rPr>
        <w:t>Khairi</w:t>
      </w:r>
      <w:proofErr w:type="spellEnd"/>
      <w:r w:rsidRPr="00AE2674">
        <w:rPr>
          <w:bCs/>
        </w:rPr>
        <w:t xml:space="preserve"> Dam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versus literature</w:t>
      </w:r>
    </w:p>
    <w:tbl>
      <w:tblPr>
        <w:tblStyle w:val="TableGrid"/>
        <w:tblW w:w="5000" w:type="pct"/>
        <w:tblLook w:val="04A0" w:firstRow="1" w:lastRow="0" w:firstColumn="1" w:lastColumn="0" w:noHBand="0" w:noVBand="1"/>
      </w:tblPr>
      <w:tblGrid>
        <w:gridCol w:w="2005"/>
        <w:gridCol w:w="2508"/>
        <w:gridCol w:w="2467"/>
        <w:gridCol w:w="2036"/>
      </w:tblGrid>
      <w:tr w:rsidR="00AE2674" w:rsidRPr="00AE2674" w14:paraId="0E8FD4E6" w14:textId="77777777" w:rsidTr="00AE2674">
        <w:tc>
          <w:tcPr>
            <w:tcW w:w="1112" w:type="pct"/>
            <w:hideMark/>
          </w:tcPr>
          <w:p w14:paraId="7C442111" w14:textId="77777777" w:rsidR="00AE2674" w:rsidRPr="00AE2674" w:rsidRDefault="00AE2674" w:rsidP="00AE2674">
            <w:pPr>
              <w:spacing w:after="160" w:line="259" w:lineRule="auto"/>
              <w:jc w:val="center"/>
              <w:rPr>
                <w:bCs/>
              </w:rPr>
            </w:pPr>
            <w:r w:rsidRPr="00AE2674">
              <w:rPr>
                <w:bCs/>
              </w:rPr>
              <w:t>Character</w:t>
            </w:r>
          </w:p>
        </w:tc>
        <w:tc>
          <w:tcPr>
            <w:tcW w:w="1391" w:type="pct"/>
            <w:hideMark/>
          </w:tcPr>
          <w:p w14:paraId="5CB594B1" w14:textId="77777777" w:rsidR="00AE2674" w:rsidRPr="00AE2674" w:rsidRDefault="00AE2674" w:rsidP="00AE2674">
            <w:pPr>
              <w:spacing w:after="160" w:line="259" w:lineRule="auto"/>
              <w:jc w:val="center"/>
              <w:rPr>
                <w:bCs/>
              </w:rPr>
            </w:pPr>
            <w:r w:rsidRPr="00AE2674">
              <w:rPr>
                <w:bCs/>
              </w:rPr>
              <w:t>Observed (N = 15)</w:t>
            </w:r>
          </w:p>
        </w:tc>
        <w:tc>
          <w:tcPr>
            <w:tcW w:w="1368" w:type="pct"/>
            <w:hideMark/>
          </w:tcPr>
          <w:p w14:paraId="3D162C88" w14:textId="77777777" w:rsidR="00AE2674" w:rsidRPr="00AE2674" w:rsidRDefault="00AE2674" w:rsidP="00AE2674">
            <w:pPr>
              <w:spacing w:after="160" w:line="259" w:lineRule="auto"/>
              <w:jc w:val="center"/>
              <w:rPr>
                <w:bCs/>
              </w:rPr>
            </w:pPr>
            <w:r w:rsidRPr="00AE2674">
              <w:rPr>
                <w:bCs/>
              </w:rPr>
              <w:t>Published range (diagnostic)</w:t>
            </w:r>
          </w:p>
        </w:tc>
        <w:tc>
          <w:tcPr>
            <w:tcW w:w="1129" w:type="pct"/>
            <w:hideMark/>
          </w:tcPr>
          <w:p w14:paraId="16B73C45" w14:textId="77777777" w:rsidR="00AE2674" w:rsidRPr="00AE2674" w:rsidRDefault="00AE2674" w:rsidP="00AE2674">
            <w:pPr>
              <w:spacing w:after="160" w:line="259" w:lineRule="auto"/>
              <w:jc w:val="center"/>
              <w:rPr>
                <w:bCs/>
              </w:rPr>
            </w:pPr>
            <w:r w:rsidRPr="00AE2674">
              <w:rPr>
                <w:bCs/>
              </w:rPr>
              <w:t>Source</w:t>
            </w:r>
          </w:p>
        </w:tc>
      </w:tr>
      <w:tr w:rsidR="00AE2674" w:rsidRPr="00AE2674" w14:paraId="5EC3E7BF" w14:textId="77777777" w:rsidTr="00AE2674">
        <w:tc>
          <w:tcPr>
            <w:tcW w:w="1112" w:type="pct"/>
            <w:hideMark/>
          </w:tcPr>
          <w:p w14:paraId="3EE72703" w14:textId="77777777" w:rsidR="00AE2674" w:rsidRPr="00AE2674" w:rsidRDefault="00AE2674" w:rsidP="00AE2674">
            <w:pPr>
              <w:spacing w:after="160" w:line="259" w:lineRule="auto"/>
              <w:jc w:val="center"/>
              <w:rPr>
                <w:bCs/>
              </w:rPr>
            </w:pPr>
            <w:r w:rsidRPr="00AE2674">
              <w:rPr>
                <w:bCs/>
              </w:rPr>
              <w:t>Standard length (cm)</w:t>
            </w:r>
          </w:p>
        </w:tc>
        <w:tc>
          <w:tcPr>
            <w:tcW w:w="1391" w:type="pct"/>
            <w:hideMark/>
          </w:tcPr>
          <w:p w14:paraId="44D0856A" w14:textId="77777777" w:rsidR="00AE2674" w:rsidRPr="00AE2674" w:rsidRDefault="00AE2674" w:rsidP="00AE2674">
            <w:pPr>
              <w:spacing w:after="160" w:line="259" w:lineRule="auto"/>
              <w:jc w:val="center"/>
              <w:rPr>
                <w:bCs/>
              </w:rPr>
            </w:pPr>
            <w:r w:rsidRPr="00AE2674">
              <w:rPr>
                <w:bCs/>
              </w:rPr>
              <w:t>37.0–45.0 (mean 41.2 ± 2.5)</w:t>
            </w:r>
          </w:p>
        </w:tc>
        <w:tc>
          <w:tcPr>
            <w:tcW w:w="1368" w:type="pct"/>
            <w:hideMark/>
          </w:tcPr>
          <w:p w14:paraId="0E9B1FDC" w14:textId="77777777" w:rsidR="00AE2674" w:rsidRPr="00AE2674" w:rsidRDefault="00AE2674" w:rsidP="00AE2674">
            <w:pPr>
              <w:spacing w:after="160" w:line="259" w:lineRule="auto"/>
              <w:jc w:val="center"/>
              <w:rPr>
                <w:bCs/>
              </w:rPr>
            </w:pPr>
            <w:r w:rsidRPr="00AE2674">
              <w:rPr>
                <w:bCs/>
              </w:rPr>
              <w:t>30–60</w:t>
            </w:r>
          </w:p>
        </w:tc>
        <w:tc>
          <w:tcPr>
            <w:tcW w:w="1129" w:type="pct"/>
            <w:hideMark/>
          </w:tcPr>
          <w:p w14:paraId="7021E10F" w14:textId="77777777" w:rsidR="00AE2674" w:rsidRPr="00AE2674" w:rsidRDefault="00AE2674" w:rsidP="00AE2674">
            <w:pPr>
              <w:spacing w:after="160" w:line="259" w:lineRule="auto"/>
              <w:jc w:val="center"/>
              <w:rPr>
                <w:bCs/>
              </w:rPr>
            </w:pPr>
            <w:r w:rsidRPr="00AE2674">
              <w:rPr>
                <w:bCs/>
              </w:rPr>
              <w:t xml:space="preserve">Talwar &amp; </w:t>
            </w:r>
            <w:proofErr w:type="spellStart"/>
            <w:r w:rsidRPr="00AE2674">
              <w:rPr>
                <w:bCs/>
              </w:rPr>
              <w:t>Jhingran</w:t>
            </w:r>
            <w:proofErr w:type="spellEnd"/>
            <w:r w:rsidRPr="00AE2674">
              <w:rPr>
                <w:bCs/>
              </w:rPr>
              <w:t>, 1991</w:t>
            </w:r>
          </w:p>
        </w:tc>
      </w:tr>
      <w:tr w:rsidR="00AE2674" w:rsidRPr="00AE2674" w14:paraId="3F6694B7" w14:textId="77777777" w:rsidTr="00AE2674">
        <w:tc>
          <w:tcPr>
            <w:tcW w:w="1112" w:type="pct"/>
            <w:hideMark/>
          </w:tcPr>
          <w:p w14:paraId="1C9E686D" w14:textId="77777777" w:rsidR="00AE2674" w:rsidRPr="00AE2674" w:rsidRDefault="00AE2674" w:rsidP="00AE2674">
            <w:pPr>
              <w:spacing w:after="160" w:line="259" w:lineRule="auto"/>
              <w:jc w:val="center"/>
              <w:rPr>
                <w:bCs/>
              </w:rPr>
            </w:pPr>
            <w:r w:rsidRPr="00AE2674">
              <w:rPr>
                <w:bCs/>
              </w:rPr>
              <w:t>Body depth (% SL)</w:t>
            </w:r>
          </w:p>
        </w:tc>
        <w:tc>
          <w:tcPr>
            <w:tcW w:w="1391" w:type="pct"/>
            <w:hideMark/>
          </w:tcPr>
          <w:p w14:paraId="0418CF81" w14:textId="77777777" w:rsidR="00AE2674" w:rsidRPr="00AE2674" w:rsidRDefault="00AE2674" w:rsidP="00AE2674">
            <w:pPr>
              <w:spacing w:after="160" w:line="259" w:lineRule="auto"/>
              <w:jc w:val="center"/>
              <w:rPr>
                <w:bCs/>
              </w:rPr>
            </w:pPr>
            <w:r w:rsidRPr="00AE2674">
              <w:rPr>
                <w:bCs/>
              </w:rPr>
              <w:t>38–42 (mean 40.0 ± 1.2)</w:t>
            </w:r>
          </w:p>
        </w:tc>
        <w:tc>
          <w:tcPr>
            <w:tcW w:w="1368" w:type="pct"/>
            <w:hideMark/>
          </w:tcPr>
          <w:p w14:paraId="46DD3A4A" w14:textId="77777777" w:rsidR="00AE2674" w:rsidRPr="00AE2674" w:rsidRDefault="00AE2674" w:rsidP="00AE2674">
            <w:pPr>
              <w:spacing w:after="160" w:line="259" w:lineRule="auto"/>
              <w:jc w:val="center"/>
              <w:rPr>
                <w:bCs/>
              </w:rPr>
            </w:pPr>
            <w:r w:rsidRPr="00AE2674">
              <w:rPr>
                <w:bCs/>
              </w:rPr>
              <w:t>35–45</w:t>
            </w:r>
          </w:p>
        </w:tc>
        <w:tc>
          <w:tcPr>
            <w:tcW w:w="1129" w:type="pct"/>
            <w:hideMark/>
          </w:tcPr>
          <w:p w14:paraId="30120C17" w14:textId="77777777" w:rsidR="00AE2674" w:rsidRPr="00AE2674" w:rsidRDefault="00AE2674" w:rsidP="00AE2674">
            <w:pPr>
              <w:spacing w:after="160" w:line="259" w:lineRule="auto"/>
              <w:jc w:val="center"/>
              <w:rPr>
                <w:bCs/>
              </w:rPr>
            </w:pPr>
            <w:r w:rsidRPr="00AE2674">
              <w:rPr>
                <w:bCs/>
              </w:rPr>
              <w:t>Nelson, 2006</w:t>
            </w:r>
          </w:p>
        </w:tc>
      </w:tr>
      <w:tr w:rsidR="00AE2674" w:rsidRPr="00AE2674" w14:paraId="6F0A6F9E" w14:textId="77777777" w:rsidTr="00AE2674">
        <w:tc>
          <w:tcPr>
            <w:tcW w:w="1112" w:type="pct"/>
            <w:hideMark/>
          </w:tcPr>
          <w:p w14:paraId="5D63F976" w14:textId="77777777" w:rsidR="00AE2674" w:rsidRPr="00AE2674" w:rsidRDefault="00AE2674" w:rsidP="00AE2674">
            <w:pPr>
              <w:spacing w:after="160" w:line="259" w:lineRule="auto"/>
              <w:jc w:val="center"/>
              <w:rPr>
                <w:bCs/>
              </w:rPr>
            </w:pPr>
            <w:r w:rsidRPr="00AE2674">
              <w:rPr>
                <w:bCs/>
              </w:rPr>
              <w:t>Head length (% SL)</w:t>
            </w:r>
          </w:p>
        </w:tc>
        <w:tc>
          <w:tcPr>
            <w:tcW w:w="1391" w:type="pct"/>
            <w:hideMark/>
          </w:tcPr>
          <w:p w14:paraId="5F65FA8F" w14:textId="77777777" w:rsidR="00AE2674" w:rsidRPr="00AE2674" w:rsidRDefault="00AE2674" w:rsidP="00AE2674">
            <w:pPr>
              <w:spacing w:after="160" w:line="259" w:lineRule="auto"/>
              <w:jc w:val="center"/>
              <w:rPr>
                <w:bCs/>
              </w:rPr>
            </w:pPr>
            <w:r w:rsidRPr="00AE2674">
              <w:rPr>
                <w:bCs/>
              </w:rPr>
              <w:t>28–32 (mean 30.0 ± 1.0)</w:t>
            </w:r>
          </w:p>
        </w:tc>
        <w:tc>
          <w:tcPr>
            <w:tcW w:w="1368" w:type="pct"/>
            <w:hideMark/>
          </w:tcPr>
          <w:p w14:paraId="664A1FDB" w14:textId="77777777" w:rsidR="00AE2674" w:rsidRPr="00AE2674" w:rsidRDefault="00AE2674" w:rsidP="00AE2674">
            <w:pPr>
              <w:spacing w:after="160" w:line="259" w:lineRule="auto"/>
              <w:jc w:val="center"/>
              <w:rPr>
                <w:bCs/>
              </w:rPr>
            </w:pPr>
            <w:r w:rsidRPr="00AE2674">
              <w:rPr>
                <w:bCs/>
              </w:rPr>
              <w:t>28–33</w:t>
            </w:r>
          </w:p>
        </w:tc>
        <w:tc>
          <w:tcPr>
            <w:tcW w:w="1129" w:type="pct"/>
            <w:hideMark/>
          </w:tcPr>
          <w:p w14:paraId="44B50194" w14:textId="77777777" w:rsidR="00AE2674" w:rsidRPr="00AE2674" w:rsidRDefault="00AE2674" w:rsidP="00AE2674">
            <w:pPr>
              <w:spacing w:after="160" w:line="259" w:lineRule="auto"/>
              <w:jc w:val="center"/>
              <w:rPr>
                <w:bCs/>
              </w:rPr>
            </w:pPr>
            <w:r w:rsidRPr="00AE2674">
              <w:rPr>
                <w:bCs/>
              </w:rPr>
              <w:t xml:space="preserve">Talwar &amp; </w:t>
            </w:r>
            <w:proofErr w:type="spellStart"/>
            <w:r w:rsidRPr="00AE2674">
              <w:rPr>
                <w:bCs/>
              </w:rPr>
              <w:t>Jhingran</w:t>
            </w:r>
            <w:proofErr w:type="spellEnd"/>
            <w:r w:rsidRPr="00AE2674">
              <w:rPr>
                <w:bCs/>
              </w:rPr>
              <w:t>, 1991</w:t>
            </w:r>
          </w:p>
        </w:tc>
      </w:tr>
      <w:tr w:rsidR="00AE2674" w:rsidRPr="00AE2674" w14:paraId="0C8211D8" w14:textId="77777777" w:rsidTr="00AE2674">
        <w:tc>
          <w:tcPr>
            <w:tcW w:w="1112" w:type="pct"/>
            <w:hideMark/>
          </w:tcPr>
          <w:p w14:paraId="7E68ECF7" w14:textId="77777777" w:rsidR="00AE2674" w:rsidRPr="00AE2674" w:rsidRDefault="00AE2674" w:rsidP="00AE2674">
            <w:pPr>
              <w:spacing w:after="160" w:line="259" w:lineRule="auto"/>
              <w:jc w:val="center"/>
              <w:rPr>
                <w:bCs/>
              </w:rPr>
            </w:pPr>
            <w:r w:rsidRPr="00AE2674">
              <w:rPr>
                <w:bCs/>
              </w:rPr>
              <w:t>Eye diameter (% HL)</w:t>
            </w:r>
          </w:p>
        </w:tc>
        <w:tc>
          <w:tcPr>
            <w:tcW w:w="1391" w:type="pct"/>
            <w:hideMark/>
          </w:tcPr>
          <w:p w14:paraId="1A57C794" w14:textId="77777777" w:rsidR="00AE2674" w:rsidRPr="00AE2674" w:rsidRDefault="00AE2674" w:rsidP="00AE2674">
            <w:pPr>
              <w:spacing w:after="160" w:line="259" w:lineRule="auto"/>
              <w:jc w:val="center"/>
              <w:rPr>
                <w:bCs/>
              </w:rPr>
            </w:pPr>
            <w:r w:rsidRPr="00AE2674">
              <w:rPr>
                <w:bCs/>
              </w:rPr>
              <w:t>22–25 (mean 23.5 ± 1.1)</w:t>
            </w:r>
          </w:p>
        </w:tc>
        <w:tc>
          <w:tcPr>
            <w:tcW w:w="1368" w:type="pct"/>
            <w:hideMark/>
          </w:tcPr>
          <w:p w14:paraId="34903861" w14:textId="77777777" w:rsidR="00AE2674" w:rsidRPr="00AE2674" w:rsidRDefault="00AE2674" w:rsidP="00AE2674">
            <w:pPr>
              <w:spacing w:after="160" w:line="259" w:lineRule="auto"/>
              <w:jc w:val="center"/>
              <w:rPr>
                <w:bCs/>
              </w:rPr>
            </w:pPr>
            <w:r w:rsidRPr="00AE2674">
              <w:rPr>
                <w:bCs/>
              </w:rPr>
              <w:t>20–25</w:t>
            </w:r>
          </w:p>
        </w:tc>
        <w:tc>
          <w:tcPr>
            <w:tcW w:w="1129" w:type="pct"/>
            <w:hideMark/>
          </w:tcPr>
          <w:p w14:paraId="1BCFC33F" w14:textId="77777777" w:rsidR="00AE2674" w:rsidRPr="00AE2674" w:rsidRDefault="00AE2674" w:rsidP="00AE2674">
            <w:pPr>
              <w:spacing w:after="160" w:line="259" w:lineRule="auto"/>
              <w:jc w:val="center"/>
              <w:rPr>
                <w:bCs/>
              </w:rPr>
            </w:pPr>
            <w:r w:rsidRPr="00AE2674">
              <w:rPr>
                <w:bCs/>
              </w:rPr>
              <w:t>Day, 1878</w:t>
            </w:r>
          </w:p>
        </w:tc>
      </w:tr>
      <w:tr w:rsidR="00AE2674" w:rsidRPr="00AE2674" w14:paraId="229CC7ED" w14:textId="77777777" w:rsidTr="00AE2674">
        <w:tc>
          <w:tcPr>
            <w:tcW w:w="1112" w:type="pct"/>
            <w:hideMark/>
          </w:tcPr>
          <w:p w14:paraId="74F349A8" w14:textId="77777777" w:rsidR="00AE2674" w:rsidRPr="00AE2674" w:rsidRDefault="00AE2674" w:rsidP="00AE2674">
            <w:pPr>
              <w:spacing w:after="160" w:line="259" w:lineRule="auto"/>
              <w:jc w:val="center"/>
              <w:rPr>
                <w:bCs/>
              </w:rPr>
            </w:pPr>
            <w:r w:rsidRPr="00AE2674">
              <w:rPr>
                <w:bCs/>
              </w:rPr>
              <w:t>Lateral-line scales</w:t>
            </w:r>
          </w:p>
        </w:tc>
        <w:tc>
          <w:tcPr>
            <w:tcW w:w="1391" w:type="pct"/>
            <w:hideMark/>
          </w:tcPr>
          <w:p w14:paraId="345DA918" w14:textId="77777777" w:rsidR="00AE2674" w:rsidRPr="00AE2674" w:rsidRDefault="00AE2674" w:rsidP="00AE2674">
            <w:pPr>
              <w:spacing w:after="160" w:line="259" w:lineRule="auto"/>
              <w:jc w:val="center"/>
              <w:rPr>
                <w:bCs/>
              </w:rPr>
            </w:pPr>
            <w:r w:rsidRPr="00AE2674">
              <w:rPr>
                <w:bCs/>
              </w:rPr>
              <w:t>62–67 (mean 64.5 ± 1.5)</w:t>
            </w:r>
          </w:p>
        </w:tc>
        <w:tc>
          <w:tcPr>
            <w:tcW w:w="1368" w:type="pct"/>
            <w:hideMark/>
          </w:tcPr>
          <w:p w14:paraId="082CC953" w14:textId="77777777" w:rsidR="00AE2674" w:rsidRPr="00AE2674" w:rsidRDefault="00AE2674" w:rsidP="00AE2674">
            <w:pPr>
              <w:spacing w:after="160" w:line="259" w:lineRule="auto"/>
              <w:jc w:val="center"/>
              <w:rPr>
                <w:bCs/>
              </w:rPr>
            </w:pPr>
            <w:r w:rsidRPr="00AE2674">
              <w:rPr>
                <w:bCs/>
              </w:rPr>
              <w:t>62–71</w:t>
            </w:r>
          </w:p>
        </w:tc>
        <w:tc>
          <w:tcPr>
            <w:tcW w:w="1129" w:type="pct"/>
            <w:hideMark/>
          </w:tcPr>
          <w:p w14:paraId="39343332" w14:textId="77777777" w:rsidR="00AE2674" w:rsidRPr="00AE2674" w:rsidRDefault="00AE2674" w:rsidP="00AE2674">
            <w:pPr>
              <w:spacing w:after="160" w:line="259" w:lineRule="auto"/>
              <w:jc w:val="center"/>
              <w:rPr>
                <w:bCs/>
              </w:rPr>
            </w:pPr>
            <w:r w:rsidRPr="00AE2674">
              <w:rPr>
                <w:bCs/>
              </w:rPr>
              <w:t xml:space="preserve">Talwar &amp; </w:t>
            </w:r>
            <w:proofErr w:type="spellStart"/>
            <w:r w:rsidRPr="00AE2674">
              <w:rPr>
                <w:bCs/>
              </w:rPr>
              <w:t>Jhingran</w:t>
            </w:r>
            <w:proofErr w:type="spellEnd"/>
            <w:r w:rsidRPr="00AE2674">
              <w:rPr>
                <w:bCs/>
              </w:rPr>
              <w:t>, 1991</w:t>
            </w:r>
          </w:p>
        </w:tc>
      </w:tr>
      <w:tr w:rsidR="00AE2674" w:rsidRPr="00AE2674" w14:paraId="43470FA3" w14:textId="77777777" w:rsidTr="00AE2674">
        <w:tc>
          <w:tcPr>
            <w:tcW w:w="1112" w:type="pct"/>
            <w:hideMark/>
          </w:tcPr>
          <w:p w14:paraId="73AEA2DD" w14:textId="77777777" w:rsidR="00AE2674" w:rsidRPr="00AE2674" w:rsidRDefault="00AE2674" w:rsidP="00AE2674">
            <w:pPr>
              <w:spacing w:after="160" w:line="259" w:lineRule="auto"/>
              <w:jc w:val="center"/>
              <w:rPr>
                <w:bCs/>
              </w:rPr>
            </w:pPr>
            <w:r w:rsidRPr="00AE2674">
              <w:rPr>
                <w:bCs/>
              </w:rPr>
              <w:t>Scales above LL</w:t>
            </w:r>
          </w:p>
        </w:tc>
        <w:tc>
          <w:tcPr>
            <w:tcW w:w="1391" w:type="pct"/>
            <w:hideMark/>
          </w:tcPr>
          <w:p w14:paraId="0DAAFB57" w14:textId="77777777" w:rsidR="00AE2674" w:rsidRPr="00AE2674" w:rsidRDefault="00AE2674" w:rsidP="00AE2674">
            <w:pPr>
              <w:spacing w:after="160" w:line="259" w:lineRule="auto"/>
              <w:jc w:val="center"/>
              <w:rPr>
                <w:bCs/>
              </w:rPr>
            </w:pPr>
            <w:r w:rsidRPr="00AE2674">
              <w:rPr>
                <w:bCs/>
              </w:rPr>
              <w:t>8–10</w:t>
            </w:r>
          </w:p>
        </w:tc>
        <w:tc>
          <w:tcPr>
            <w:tcW w:w="1368" w:type="pct"/>
            <w:hideMark/>
          </w:tcPr>
          <w:p w14:paraId="7378E03D" w14:textId="77777777" w:rsidR="00AE2674" w:rsidRPr="00AE2674" w:rsidRDefault="00AE2674" w:rsidP="00AE2674">
            <w:pPr>
              <w:spacing w:after="160" w:line="259" w:lineRule="auto"/>
              <w:jc w:val="center"/>
              <w:rPr>
                <w:bCs/>
              </w:rPr>
            </w:pPr>
            <w:r w:rsidRPr="00AE2674">
              <w:rPr>
                <w:bCs/>
              </w:rPr>
              <w:t>8–10</w:t>
            </w:r>
          </w:p>
        </w:tc>
        <w:tc>
          <w:tcPr>
            <w:tcW w:w="1129" w:type="pct"/>
            <w:hideMark/>
          </w:tcPr>
          <w:p w14:paraId="7F3F87BB" w14:textId="77777777" w:rsidR="00AE2674" w:rsidRPr="00AE2674" w:rsidRDefault="00AE2674" w:rsidP="00AE2674">
            <w:pPr>
              <w:spacing w:after="160" w:line="259" w:lineRule="auto"/>
              <w:jc w:val="center"/>
              <w:rPr>
                <w:bCs/>
              </w:rPr>
            </w:pPr>
            <w:r w:rsidRPr="00AE2674">
              <w:rPr>
                <w:bCs/>
              </w:rPr>
              <w:t>Nelson, 2006</w:t>
            </w:r>
          </w:p>
        </w:tc>
      </w:tr>
      <w:tr w:rsidR="00AE2674" w:rsidRPr="00AE2674" w14:paraId="3E2D0385" w14:textId="77777777" w:rsidTr="00AE2674">
        <w:tc>
          <w:tcPr>
            <w:tcW w:w="1112" w:type="pct"/>
            <w:hideMark/>
          </w:tcPr>
          <w:p w14:paraId="182FC00D" w14:textId="77777777" w:rsidR="00AE2674" w:rsidRPr="00AE2674" w:rsidRDefault="00AE2674" w:rsidP="00AE2674">
            <w:pPr>
              <w:spacing w:after="160" w:line="259" w:lineRule="auto"/>
              <w:jc w:val="center"/>
              <w:rPr>
                <w:bCs/>
              </w:rPr>
            </w:pPr>
            <w:r w:rsidRPr="00AE2674">
              <w:rPr>
                <w:bCs/>
              </w:rPr>
              <w:t>Scales below LL</w:t>
            </w:r>
          </w:p>
        </w:tc>
        <w:tc>
          <w:tcPr>
            <w:tcW w:w="1391" w:type="pct"/>
            <w:hideMark/>
          </w:tcPr>
          <w:p w14:paraId="7AE77269" w14:textId="77777777" w:rsidR="00AE2674" w:rsidRPr="00AE2674" w:rsidRDefault="00AE2674" w:rsidP="00AE2674">
            <w:pPr>
              <w:spacing w:after="160" w:line="259" w:lineRule="auto"/>
              <w:jc w:val="center"/>
              <w:rPr>
                <w:bCs/>
              </w:rPr>
            </w:pPr>
            <w:r w:rsidRPr="00AE2674">
              <w:rPr>
                <w:bCs/>
              </w:rPr>
              <w:t>12–14</w:t>
            </w:r>
          </w:p>
        </w:tc>
        <w:tc>
          <w:tcPr>
            <w:tcW w:w="1368" w:type="pct"/>
            <w:hideMark/>
          </w:tcPr>
          <w:p w14:paraId="1C1D0F1F" w14:textId="77777777" w:rsidR="00AE2674" w:rsidRPr="00AE2674" w:rsidRDefault="00AE2674" w:rsidP="00AE2674">
            <w:pPr>
              <w:spacing w:after="160" w:line="259" w:lineRule="auto"/>
              <w:jc w:val="center"/>
              <w:rPr>
                <w:bCs/>
              </w:rPr>
            </w:pPr>
            <w:r w:rsidRPr="00AE2674">
              <w:rPr>
                <w:bCs/>
              </w:rPr>
              <w:t>12–15</w:t>
            </w:r>
          </w:p>
        </w:tc>
        <w:tc>
          <w:tcPr>
            <w:tcW w:w="1129" w:type="pct"/>
            <w:hideMark/>
          </w:tcPr>
          <w:p w14:paraId="21D9DE2C" w14:textId="77777777" w:rsidR="00AE2674" w:rsidRPr="00AE2674" w:rsidRDefault="00AE2674" w:rsidP="00AE2674">
            <w:pPr>
              <w:spacing w:after="160" w:line="259" w:lineRule="auto"/>
              <w:jc w:val="center"/>
              <w:rPr>
                <w:bCs/>
              </w:rPr>
            </w:pPr>
            <w:r w:rsidRPr="00AE2674">
              <w:rPr>
                <w:bCs/>
              </w:rPr>
              <w:t>Nelson, 2006</w:t>
            </w:r>
          </w:p>
        </w:tc>
      </w:tr>
      <w:tr w:rsidR="00AE2674" w:rsidRPr="00AE2674" w14:paraId="2AC323B3" w14:textId="77777777" w:rsidTr="00AE2674">
        <w:tc>
          <w:tcPr>
            <w:tcW w:w="1112" w:type="pct"/>
            <w:hideMark/>
          </w:tcPr>
          <w:p w14:paraId="5FECCE5F" w14:textId="77777777" w:rsidR="00AE2674" w:rsidRPr="00AE2674" w:rsidRDefault="00AE2674" w:rsidP="00AE2674">
            <w:pPr>
              <w:spacing w:after="160" w:line="259" w:lineRule="auto"/>
              <w:jc w:val="center"/>
              <w:rPr>
                <w:bCs/>
              </w:rPr>
            </w:pPr>
            <w:r w:rsidRPr="00AE2674">
              <w:rPr>
                <w:bCs/>
              </w:rPr>
              <w:t>Dorsal fin soft rays</w:t>
            </w:r>
          </w:p>
        </w:tc>
        <w:tc>
          <w:tcPr>
            <w:tcW w:w="1391" w:type="pct"/>
            <w:hideMark/>
          </w:tcPr>
          <w:p w14:paraId="1AB5F02D" w14:textId="77777777" w:rsidR="00AE2674" w:rsidRPr="00AE2674" w:rsidRDefault="00AE2674" w:rsidP="00AE2674">
            <w:pPr>
              <w:spacing w:after="160" w:line="259" w:lineRule="auto"/>
              <w:jc w:val="center"/>
              <w:rPr>
                <w:bCs/>
              </w:rPr>
            </w:pPr>
            <w:r w:rsidRPr="00AE2674">
              <w:rPr>
                <w:bCs/>
              </w:rPr>
              <w:t>ii,9–11</w:t>
            </w:r>
          </w:p>
        </w:tc>
        <w:tc>
          <w:tcPr>
            <w:tcW w:w="1368" w:type="pct"/>
            <w:hideMark/>
          </w:tcPr>
          <w:p w14:paraId="50CBA3C5" w14:textId="77777777" w:rsidR="00AE2674" w:rsidRPr="00AE2674" w:rsidRDefault="00AE2674" w:rsidP="00AE2674">
            <w:pPr>
              <w:spacing w:after="160" w:line="259" w:lineRule="auto"/>
              <w:jc w:val="center"/>
              <w:rPr>
                <w:bCs/>
              </w:rPr>
            </w:pPr>
            <w:r w:rsidRPr="00AE2674">
              <w:rPr>
                <w:bCs/>
              </w:rPr>
              <w:t>ii,9–11</w:t>
            </w:r>
          </w:p>
        </w:tc>
        <w:tc>
          <w:tcPr>
            <w:tcW w:w="1129" w:type="pct"/>
            <w:hideMark/>
          </w:tcPr>
          <w:p w14:paraId="2F56A9F7" w14:textId="77777777" w:rsidR="00AE2674" w:rsidRPr="00AE2674" w:rsidRDefault="00AE2674" w:rsidP="00AE2674">
            <w:pPr>
              <w:spacing w:after="160" w:line="259" w:lineRule="auto"/>
              <w:jc w:val="center"/>
              <w:rPr>
                <w:bCs/>
              </w:rPr>
            </w:pPr>
            <w:r w:rsidRPr="00AE2674">
              <w:rPr>
                <w:bCs/>
              </w:rPr>
              <w:t xml:space="preserve">Talwar &amp; </w:t>
            </w:r>
            <w:proofErr w:type="spellStart"/>
            <w:r w:rsidRPr="00AE2674">
              <w:rPr>
                <w:bCs/>
              </w:rPr>
              <w:t>Jhingran</w:t>
            </w:r>
            <w:proofErr w:type="spellEnd"/>
            <w:r w:rsidRPr="00AE2674">
              <w:rPr>
                <w:bCs/>
              </w:rPr>
              <w:t>, 1991</w:t>
            </w:r>
          </w:p>
        </w:tc>
      </w:tr>
      <w:tr w:rsidR="00AE2674" w:rsidRPr="00AE2674" w14:paraId="25AC20B8" w14:textId="77777777" w:rsidTr="00AE2674">
        <w:tc>
          <w:tcPr>
            <w:tcW w:w="1112" w:type="pct"/>
            <w:hideMark/>
          </w:tcPr>
          <w:p w14:paraId="1B3D61FF" w14:textId="77777777" w:rsidR="00AE2674" w:rsidRPr="00AE2674" w:rsidRDefault="00AE2674" w:rsidP="00AE2674">
            <w:pPr>
              <w:spacing w:after="160" w:line="259" w:lineRule="auto"/>
              <w:jc w:val="center"/>
              <w:rPr>
                <w:bCs/>
              </w:rPr>
            </w:pPr>
            <w:r w:rsidRPr="00AE2674">
              <w:rPr>
                <w:bCs/>
              </w:rPr>
              <w:t>Anal fin soft rays</w:t>
            </w:r>
          </w:p>
        </w:tc>
        <w:tc>
          <w:tcPr>
            <w:tcW w:w="1391" w:type="pct"/>
            <w:hideMark/>
          </w:tcPr>
          <w:p w14:paraId="1CE5308E" w14:textId="77777777" w:rsidR="00AE2674" w:rsidRPr="00AE2674" w:rsidRDefault="00AE2674" w:rsidP="00AE2674">
            <w:pPr>
              <w:spacing w:after="160" w:line="259" w:lineRule="auto"/>
              <w:jc w:val="center"/>
              <w:rPr>
                <w:bCs/>
              </w:rPr>
            </w:pPr>
            <w:r w:rsidRPr="00AE2674">
              <w:rPr>
                <w:bCs/>
              </w:rPr>
              <w:t>iii,5–6</w:t>
            </w:r>
          </w:p>
        </w:tc>
        <w:tc>
          <w:tcPr>
            <w:tcW w:w="1368" w:type="pct"/>
            <w:hideMark/>
          </w:tcPr>
          <w:p w14:paraId="1F8484EA" w14:textId="77777777" w:rsidR="00AE2674" w:rsidRPr="00AE2674" w:rsidRDefault="00AE2674" w:rsidP="00AE2674">
            <w:pPr>
              <w:spacing w:after="160" w:line="259" w:lineRule="auto"/>
              <w:jc w:val="center"/>
              <w:rPr>
                <w:bCs/>
              </w:rPr>
            </w:pPr>
            <w:r w:rsidRPr="00AE2674">
              <w:rPr>
                <w:bCs/>
              </w:rPr>
              <w:t>iii,5–6</w:t>
            </w:r>
          </w:p>
        </w:tc>
        <w:tc>
          <w:tcPr>
            <w:tcW w:w="1129" w:type="pct"/>
            <w:hideMark/>
          </w:tcPr>
          <w:p w14:paraId="39EBC9DE" w14:textId="77777777" w:rsidR="00AE2674" w:rsidRPr="00AE2674" w:rsidRDefault="00AE2674" w:rsidP="00AE2674">
            <w:pPr>
              <w:spacing w:after="160" w:line="259" w:lineRule="auto"/>
              <w:jc w:val="center"/>
              <w:rPr>
                <w:bCs/>
              </w:rPr>
            </w:pPr>
            <w:r w:rsidRPr="00AE2674">
              <w:rPr>
                <w:bCs/>
              </w:rPr>
              <w:t xml:space="preserve">Talwar &amp; </w:t>
            </w:r>
            <w:proofErr w:type="spellStart"/>
            <w:r w:rsidRPr="00AE2674">
              <w:rPr>
                <w:bCs/>
              </w:rPr>
              <w:t>Jhingran</w:t>
            </w:r>
            <w:proofErr w:type="spellEnd"/>
            <w:r w:rsidRPr="00AE2674">
              <w:rPr>
                <w:bCs/>
              </w:rPr>
              <w:t>, 1991</w:t>
            </w:r>
          </w:p>
        </w:tc>
      </w:tr>
      <w:tr w:rsidR="00AE2674" w:rsidRPr="00AE2674" w14:paraId="0CF9D010" w14:textId="77777777" w:rsidTr="00AE2674">
        <w:tc>
          <w:tcPr>
            <w:tcW w:w="1112" w:type="pct"/>
            <w:hideMark/>
          </w:tcPr>
          <w:p w14:paraId="576FE8DE" w14:textId="77777777" w:rsidR="00AE2674" w:rsidRPr="00AE2674" w:rsidRDefault="00AE2674" w:rsidP="00AE2674">
            <w:pPr>
              <w:spacing w:after="160" w:line="259" w:lineRule="auto"/>
              <w:jc w:val="center"/>
              <w:rPr>
                <w:bCs/>
              </w:rPr>
            </w:pPr>
            <w:r w:rsidRPr="00AE2674">
              <w:rPr>
                <w:bCs/>
              </w:rPr>
              <w:t xml:space="preserve">Gill </w:t>
            </w:r>
            <w:proofErr w:type="spellStart"/>
            <w:r w:rsidRPr="00AE2674">
              <w:rPr>
                <w:bCs/>
              </w:rPr>
              <w:t>rakers</w:t>
            </w:r>
            <w:proofErr w:type="spellEnd"/>
            <w:r w:rsidRPr="00AE2674">
              <w:rPr>
                <w:bCs/>
              </w:rPr>
              <w:t xml:space="preserve"> (lower arch)</w:t>
            </w:r>
          </w:p>
        </w:tc>
        <w:tc>
          <w:tcPr>
            <w:tcW w:w="1391" w:type="pct"/>
            <w:hideMark/>
          </w:tcPr>
          <w:p w14:paraId="7B45650F" w14:textId="77777777" w:rsidR="00AE2674" w:rsidRPr="00AE2674" w:rsidRDefault="00AE2674" w:rsidP="00AE2674">
            <w:pPr>
              <w:spacing w:after="160" w:line="259" w:lineRule="auto"/>
              <w:jc w:val="center"/>
              <w:rPr>
                <w:bCs/>
              </w:rPr>
            </w:pPr>
            <w:r w:rsidRPr="00AE2674">
              <w:rPr>
                <w:bCs/>
              </w:rPr>
              <w:t>15–18</w:t>
            </w:r>
          </w:p>
        </w:tc>
        <w:tc>
          <w:tcPr>
            <w:tcW w:w="1368" w:type="pct"/>
            <w:hideMark/>
          </w:tcPr>
          <w:p w14:paraId="3042FD8A" w14:textId="77777777" w:rsidR="00AE2674" w:rsidRPr="00AE2674" w:rsidRDefault="00AE2674" w:rsidP="00AE2674">
            <w:pPr>
              <w:spacing w:after="160" w:line="259" w:lineRule="auto"/>
              <w:jc w:val="center"/>
              <w:rPr>
                <w:bCs/>
              </w:rPr>
            </w:pPr>
            <w:r w:rsidRPr="00AE2674">
              <w:rPr>
                <w:bCs/>
              </w:rPr>
              <w:t>15–20</w:t>
            </w:r>
          </w:p>
        </w:tc>
        <w:tc>
          <w:tcPr>
            <w:tcW w:w="1129" w:type="pct"/>
            <w:hideMark/>
          </w:tcPr>
          <w:p w14:paraId="1505722C" w14:textId="77777777" w:rsidR="00AE2674" w:rsidRPr="00AE2674" w:rsidRDefault="00AE2674" w:rsidP="00AE2674">
            <w:pPr>
              <w:spacing w:after="160" w:line="259" w:lineRule="auto"/>
              <w:jc w:val="center"/>
              <w:rPr>
                <w:bCs/>
              </w:rPr>
            </w:pPr>
            <w:r w:rsidRPr="00AE2674">
              <w:rPr>
                <w:bCs/>
              </w:rPr>
              <w:t>FAO, 2012</w:t>
            </w:r>
          </w:p>
        </w:tc>
      </w:tr>
      <w:tr w:rsidR="00AE2674" w:rsidRPr="00AE2674" w14:paraId="73D142E7" w14:textId="77777777" w:rsidTr="00AE2674">
        <w:tc>
          <w:tcPr>
            <w:tcW w:w="1112" w:type="pct"/>
            <w:hideMark/>
          </w:tcPr>
          <w:p w14:paraId="66AFB3A0" w14:textId="77777777" w:rsidR="00AE2674" w:rsidRPr="00AE2674" w:rsidRDefault="00AE2674" w:rsidP="00AE2674">
            <w:pPr>
              <w:spacing w:after="160" w:line="259" w:lineRule="auto"/>
              <w:jc w:val="center"/>
              <w:rPr>
                <w:bCs/>
              </w:rPr>
            </w:pPr>
            <w:r w:rsidRPr="00AE2674">
              <w:rPr>
                <w:bCs/>
              </w:rPr>
              <w:t>Mouth position</w:t>
            </w:r>
          </w:p>
        </w:tc>
        <w:tc>
          <w:tcPr>
            <w:tcW w:w="1391" w:type="pct"/>
            <w:hideMark/>
          </w:tcPr>
          <w:p w14:paraId="7D8AFBB4" w14:textId="77777777" w:rsidR="00AE2674" w:rsidRPr="00AE2674" w:rsidRDefault="00AE2674" w:rsidP="00AE2674">
            <w:pPr>
              <w:spacing w:after="160" w:line="259" w:lineRule="auto"/>
              <w:jc w:val="center"/>
              <w:rPr>
                <w:bCs/>
              </w:rPr>
            </w:pPr>
            <w:r w:rsidRPr="00AE2674">
              <w:rPr>
                <w:bCs/>
              </w:rPr>
              <w:t>Terminal; protruding lower jaw</w:t>
            </w:r>
          </w:p>
        </w:tc>
        <w:tc>
          <w:tcPr>
            <w:tcW w:w="1368" w:type="pct"/>
            <w:hideMark/>
          </w:tcPr>
          <w:p w14:paraId="57E72EE3" w14:textId="77777777" w:rsidR="00AE2674" w:rsidRPr="00AE2674" w:rsidRDefault="00AE2674" w:rsidP="00AE2674">
            <w:pPr>
              <w:spacing w:after="160" w:line="259" w:lineRule="auto"/>
              <w:jc w:val="center"/>
              <w:rPr>
                <w:bCs/>
              </w:rPr>
            </w:pPr>
            <w:r w:rsidRPr="00AE2674">
              <w:rPr>
                <w:bCs/>
              </w:rPr>
              <w:t>Terminal</w:t>
            </w:r>
          </w:p>
        </w:tc>
        <w:tc>
          <w:tcPr>
            <w:tcW w:w="1129" w:type="pct"/>
            <w:hideMark/>
          </w:tcPr>
          <w:p w14:paraId="5AFE961A" w14:textId="77777777" w:rsidR="00AE2674" w:rsidRPr="00AE2674" w:rsidRDefault="00AE2674" w:rsidP="00AE2674">
            <w:pPr>
              <w:spacing w:after="160" w:line="259" w:lineRule="auto"/>
              <w:jc w:val="center"/>
              <w:rPr>
                <w:bCs/>
              </w:rPr>
            </w:pPr>
            <w:r w:rsidRPr="00AE2674">
              <w:rPr>
                <w:bCs/>
              </w:rPr>
              <w:t>Day, 1878</w:t>
            </w:r>
          </w:p>
        </w:tc>
      </w:tr>
      <w:tr w:rsidR="00AE2674" w:rsidRPr="00AE2674" w14:paraId="28F337D9" w14:textId="77777777" w:rsidTr="00AE2674">
        <w:tc>
          <w:tcPr>
            <w:tcW w:w="1112" w:type="pct"/>
            <w:hideMark/>
          </w:tcPr>
          <w:p w14:paraId="3E00817E" w14:textId="77777777" w:rsidR="00AE2674" w:rsidRPr="00AE2674" w:rsidRDefault="00AE2674" w:rsidP="00AE2674">
            <w:pPr>
              <w:spacing w:after="160" w:line="259" w:lineRule="auto"/>
              <w:jc w:val="center"/>
              <w:rPr>
                <w:bCs/>
              </w:rPr>
            </w:pPr>
            <w:r w:rsidRPr="00AE2674">
              <w:rPr>
                <w:bCs/>
              </w:rPr>
              <w:t>Body shape</w:t>
            </w:r>
          </w:p>
        </w:tc>
        <w:tc>
          <w:tcPr>
            <w:tcW w:w="1391" w:type="pct"/>
            <w:hideMark/>
          </w:tcPr>
          <w:p w14:paraId="34749611" w14:textId="77777777" w:rsidR="00AE2674" w:rsidRPr="00AE2674" w:rsidRDefault="00AE2674" w:rsidP="00AE2674">
            <w:pPr>
              <w:spacing w:after="160" w:line="259" w:lineRule="auto"/>
              <w:jc w:val="center"/>
              <w:rPr>
                <w:bCs/>
              </w:rPr>
            </w:pPr>
            <w:r w:rsidRPr="00AE2674">
              <w:rPr>
                <w:bCs/>
              </w:rPr>
              <w:t>Deep, laterally compressed</w:t>
            </w:r>
          </w:p>
        </w:tc>
        <w:tc>
          <w:tcPr>
            <w:tcW w:w="1368" w:type="pct"/>
            <w:hideMark/>
          </w:tcPr>
          <w:p w14:paraId="77ADD51A" w14:textId="77777777" w:rsidR="00AE2674" w:rsidRPr="00AE2674" w:rsidRDefault="00AE2674" w:rsidP="00AE2674">
            <w:pPr>
              <w:spacing w:after="160" w:line="259" w:lineRule="auto"/>
              <w:jc w:val="center"/>
              <w:rPr>
                <w:bCs/>
              </w:rPr>
            </w:pPr>
            <w:r w:rsidRPr="00AE2674">
              <w:rPr>
                <w:bCs/>
              </w:rPr>
              <w:t>Deep-bodied</w:t>
            </w:r>
          </w:p>
        </w:tc>
        <w:tc>
          <w:tcPr>
            <w:tcW w:w="1129" w:type="pct"/>
            <w:hideMark/>
          </w:tcPr>
          <w:p w14:paraId="62D538DC" w14:textId="77777777" w:rsidR="00AE2674" w:rsidRPr="00AE2674" w:rsidRDefault="00AE2674" w:rsidP="00AE2674">
            <w:pPr>
              <w:spacing w:after="160" w:line="259" w:lineRule="auto"/>
              <w:jc w:val="center"/>
              <w:rPr>
                <w:bCs/>
              </w:rPr>
            </w:pPr>
            <w:r w:rsidRPr="00AE2674">
              <w:rPr>
                <w:bCs/>
              </w:rPr>
              <w:t>Nelson, 2006</w:t>
            </w:r>
          </w:p>
        </w:tc>
      </w:tr>
    </w:tbl>
    <w:p w14:paraId="15B25734" w14:textId="77777777" w:rsidR="00AE2674" w:rsidRPr="00AE2674" w:rsidRDefault="00AE2674" w:rsidP="00AE2674">
      <w:pPr>
        <w:rPr>
          <w:bCs/>
        </w:rPr>
      </w:pPr>
      <w:r w:rsidRPr="00AE2674">
        <w:rPr>
          <w:bCs/>
        </w:rPr>
        <w:lastRenderedPageBreak/>
        <w:t xml:space="preserve">All ranges and means fell entirely within classical diagnostic boundaries. The combination of deep body, relatively large head, and characteristic fin-ray formulae together with scale-row configuration is typical for </w:t>
      </w:r>
      <w:proofErr w:type="spellStart"/>
      <w:r w:rsidRPr="00AE2674">
        <w:rPr>
          <w:bCs/>
          <w:i/>
          <w:iCs/>
        </w:rPr>
        <w:t>catla</w:t>
      </w:r>
      <w:proofErr w:type="spellEnd"/>
      <w:r w:rsidRPr="00AE2674">
        <w:rPr>
          <w:bCs/>
        </w:rPr>
        <w:t xml:space="preserve"> and contrasts with </w:t>
      </w:r>
      <w:r w:rsidRPr="00AE2674">
        <w:rPr>
          <w:bCs/>
          <w:i/>
          <w:iCs/>
        </w:rPr>
        <w:t xml:space="preserve">L. </w:t>
      </w:r>
      <w:proofErr w:type="spellStart"/>
      <w:r w:rsidRPr="00AE2674">
        <w:rPr>
          <w:bCs/>
          <w:i/>
          <w:iCs/>
        </w:rPr>
        <w:t>rohita</w:t>
      </w:r>
      <w:proofErr w:type="spellEnd"/>
      <w:r w:rsidRPr="00AE2674">
        <w:rPr>
          <w:bCs/>
        </w:rPr>
        <w:t xml:space="preserve"> (more slender body, different scale counts) and </w:t>
      </w:r>
      <w:r w:rsidRPr="00AE2674">
        <w:rPr>
          <w:bCs/>
          <w:i/>
          <w:iCs/>
        </w:rPr>
        <w:t xml:space="preserve">C. </w:t>
      </w:r>
      <w:proofErr w:type="spellStart"/>
      <w:r w:rsidRPr="00AE2674">
        <w:rPr>
          <w:bCs/>
          <w:i/>
          <w:iCs/>
        </w:rPr>
        <w:t>mrigala</w:t>
      </w:r>
      <w:proofErr w:type="spellEnd"/>
      <w:r w:rsidRPr="00AE2674">
        <w:rPr>
          <w:bCs/>
        </w:rPr>
        <w:t xml:space="preserve"> (inferior mouth, different </w:t>
      </w:r>
      <w:proofErr w:type="spellStart"/>
      <w:r w:rsidRPr="00AE2674">
        <w:rPr>
          <w:bCs/>
        </w:rPr>
        <w:t>meristics</w:t>
      </w:r>
      <w:proofErr w:type="spellEnd"/>
      <w:r w:rsidRPr="00AE2674">
        <w:rPr>
          <w:bCs/>
        </w:rPr>
        <w:t>), thereby corroborating identity on morphology alone.</w:t>
      </w:r>
    </w:p>
    <w:p w14:paraId="75C8116C" w14:textId="77777777" w:rsidR="00AE2674" w:rsidRPr="00252F07" w:rsidRDefault="00AE2674" w:rsidP="00AE2674">
      <w:pPr>
        <w:pStyle w:val="Heading3"/>
        <w:rPr>
          <w:bCs/>
        </w:rPr>
      </w:pPr>
      <w:r w:rsidRPr="00252F07">
        <w:rPr>
          <w:bCs/>
        </w:rPr>
        <w:t>3.2.2 Variation and potential sources</w:t>
      </w:r>
    </w:p>
    <w:p w14:paraId="24A50545" w14:textId="733A3C12" w:rsidR="00AE2674" w:rsidRPr="00AE2674" w:rsidRDefault="00AE2674" w:rsidP="00AE2674">
      <w:pPr>
        <w:rPr>
          <w:bCs/>
        </w:rPr>
      </w:pPr>
      <w:r w:rsidRPr="00AE2674">
        <w:rPr>
          <w:bCs/>
        </w:rPr>
        <w:t xml:space="preserve">Within-series variation was modest and aligned with expected allometric and environmental plasticity. Body depth (%SL) and head length (%SL) varied narrowly (coefficients of variation ≈3%), consistent with homogeneous growth conditions in a single reservoir and the selection of adult fish. Lateral-line scale counts (62–67) were slightly right-skewed (mode near 64–65), a pattern also described for </w:t>
      </w:r>
      <w:proofErr w:type="spellStart"/>
      <w:r w:rsidRPr="00AE2674">
        <w:rPr>
          <w:bCs/>
          <w:i/>
          <w:iCs/>
        </w:rPr>
        <w:t>catla</w:t>
      </w:r>
      <w:proofErr w:type="spellEnd"/>
      <w:r w:rsidRPr="00AE2674">
        <w:rPr>
          <w:bCs/>
        </w:rPr>
        <w:t xml:space="preserve"> in other peninsular waters. No outliers exceeded one unit beyond published meristic ranges, and no specimen showed atypical fin formulae. This uniformity likely reflects common hatchery sources and similar ontogenetic stages across the sample.</w:t>
      </w:r>
    </w:p>
    <w:p w14:paraId="69C7F4F1" w14:textId="77777777" w:rsidR="00AE2674" w:rsidRPr="00252F07" w:rsidRDefault="00AE2674" w:rsidP="00AE2674">
      <w:pPr>
        <w:pStyle w:val="Heading3"/>
        <w:rPr>
          <w:bCs/>
        </w:rPr>
      </w:pPr>
      <w:r w:rsidRPr="00252F07">
        <w:rPr>
          <w:bCs/>
        </w:rPr>
        <w:t>3.3 Concordance between molecular and morphological evidence</w:t>
      </w:r>
    </w:p>
    <w:p w14:paraId="370CA954" w14:textId="77777777" w:rsidR="00AE2674" w:rsidRPr="00AE2674" w:rsidRDefault="00AE2674" w:rsidP="00AE2674">
      <w:pPr>
        <w:rPr>
          <w:bCs/>
        </w:rPr>
      </w:pPr>
      <w:r w:rsidRPr="00AE2674">
        <w:rPr>
          <w:bCs/>
        </w:rPr>
        <w:t xml:space="preserve">The molecular signature (99.38% identity to </w:t>
      </w:r>
      <w:proofErr w:type="spellStart"/>
      <w:r w:rsidRPr="00AE2674">
        <w:rPr>
          <w:bCs/>
          <w:i/>
          <w:iCs/>
        </w:rPr>
        <w:t>catla</w:t>
      </w:r>
      <w:proofErr w:type="spellEnd"/>
      <w:r w:rsidRPr="00AE2674">
        <w:rPr>
          <w:bCs/>
        </w:rPr>
        <w:t xml:space="preserve"> mitogenome; NJ placement with strong local support around complete mitogenomes) converged with a fully congruent morphological profile (all characters within canonical ranges). The probability that both independent datasets would simultaneously align with an incorrect species identity is negligibly small under standard barcoding assumptions. In addition, the ZSI Hyderabad curation of the voucher series provides institutional validation and a provenance trail, ensuring replicability of the identification by third parties.</w:t>
      </w:r>
    </w:p>
    <w:p w14:paraId="6038520D" w14:textId="6D7504C2" w:rsidR="00AE2674" w:rsidRPr="00AE2674" w:rsidRDefault="00AE2674" w:rsidP="00AE2674">
      <w:pPr>
        <w:rPr>
          <w:bCs/>
        </w:rPr>
      </w:pPr>
      <w:r w:rsidRPr="00AE2674">
        <w:rPr>
          <w:bCs/>
        </w:rPr>
        <w:t>An integrative taxonomic workflow typically requires that (</w:t>
      </w:r>
      <w:proofErr w:type="spellStart"/>
      <w:r w:rsidRPr="00AE2674">
        <w:rPr>
          <w:bCs/>
        </w:rPr>
        <w:t>i</w:t>
      </w:r>
      <w:proofErr w:type="spellEnd"/>
      <w:r w:rsidRPr="00AE2674">
        <w:rPr>
          <w:bCs/>
        </w:rPr>
        <w:t xml:space="preserve">) a diagnostic barcode falls within the intraspecific cluster of the target species and (ii) the phenotype is not discordant with authoritative keys. Both criteria were satisfied. Importantly, the phylogeny did not detect anomalous relationships that might hint at hybridization or mitochondrial capture; RMK1 remained central to the </w:t>
      </w:r>
      <w:proofErr w:type="spellStart"/>
      <w:r w:rsidRPr="00AE2674">
        <w:rPr>
          <w:bCs/>
          <w:i/>
          <w:iCs/>
        </w:rPr>
        <w:t>catla</w:t>
      </w:r>
      <w:proofErr w:type="spellEnd"/>
      <w:r w:rsidRPr="00AE2674">
        <w:rPr>
          <w:bCs/>
        </w:rPr>
        <w:t xml:space="preserve"> cluster rather than displaced toward other Indian major carps. While COI alone cannot rule out nuclear </w:t>
      </w:r>
      <w:proofErr w:type="spellStart"/>
      <w:r w:rsidRPr="00AE2674">
        <w:rPr>
          <w:bCs/>
        </w:rPr>
        <w:t>introgression</w:t>
      </w:r>
      <w:proofErr w:type="spellEnd"/>
      <w:r w:rsidRPr="00AE2674">
        <w:rPr>
          <w:bCs/>
        </w:rPr>
        <w:t>, conspicuous morphological discordance would be expected under advanced hybridization, which was not observed.</w:t>
      </w:r>
    </w:p>
    <w:p w14:paraId="55A2728D" w14:textId="37E7BCC7" w:rsidR="00AE2674" w:rsidRPr="00252F07" w:rsidRDefault="00AE2674" w:rsidP="00AE2674">
      <w:pPr>
        <w:pStyle w:val="Heading3"/>
        <w:rPr>
          <w:bCs/>
        </w:rPr>
      </w:pPr>
      <w:r w:rsidRPr="00252F07">
        <w:rPr>
          <w:bCs/>
        </w:rPr>
        <w:t>3</w:t>
      </w:r>
      <w:r w:rsidR="00252F07" w:rsidRPr="00252F07">
        <w:rPr>
          <w:bCs/>
        </w:rPr>
        <w:t>.4</w:t>
      </w:r>
      <w:r w:rsidRPr="00252F07">
        <w:rPr>
          <w:bCs/>
        </w:rPr>
        <w:t xml:space="preserve"> Practical implications for reservoir management and aquaculture</w:t>
      </w:r>
    </w:p>
    <w:p w14:paraId="54116B94" w14:textId="5041E998" w:rsidR="00AE2674" w:rsidRPr="00AE2674" w:rsidRDefault="00AE2674" w:rsidP="00AE2674">
      <w:pPr>
        <w:rPr>
          <w:bCs/>
        </w:rPr>
      </w:pPr>
      <w:r w:rsidRPr="00AE2674">
        <w:rPr>
          <w:bCs/>
        </w:rPr>
        <w:t xml:space="preserve">Verified identity of </w:t>
      </w:r>
      <w:proofErr w:type="spellStart"/>
      <w:r w:rsidRPr="00AE2674">
        <w:rPr>
          <w:bCs/>
        </w:rPr>
        <w:t>broodstock</w:t>
      </w:r>
      <w:proofErr w:type="spellEnd"/>
      <w:r w:rsidRPr="00AE2674">
        <w:rPr>
          <w:bCs/>
        </w:rPr>
        <w:t xml:space="preserve"> and grow-out fish is foundational to production planning, selective breeding, and disease management. The congruent molecular-morphological confirmation for </w:t>
      </w:r>
      <w:proofErr w:type="spellStart"/>
      <w:r w:rsidRPr="00AE2674">
        <w:rPr>
          <w:bCs/>
        </w:rPr>
        <w:t>Khairi</w:t>
      </w:r>
      <w:proofErr w:type="spellEnd"/>
      <w:r w:rsidRPr="00AE2674">
        <w:rPr>
          <w:bCs/>
        </w:rPr>
        <w:t xml:space="preserve"> Dam suggests that the stocked material labelled as </w:t>
      </w:r>
      <w:proofErr w:type="spellStart"/>
      <w:r w:rsidRPr="00AE2674">
        <w:rPr>
          <w:bCs/>
          <w:i/>
          <w:iCs/>
        </w:rPr>
        <w:t>catla</w:t>
      </w:r>
      <w:proofErr w:type="spellEnd"/>
      <w:r w:rsidRPr="00AE2674">
        <w:rPr>
          <w:bCs/>
        </w:rPr>
        <w:t xml:space="preserve"> was correctly identified, reducing the risk of performance losses due to </w:t>
      </w:r>
      <w:proofErr w:type="spellStart"/>
      <w:r w:rsidRPr="00AE2674">
        <w:rPr>
          <w:bCs/>
        </w:rPr>
        <w:t>mislabeling</w:t>
      </w:r>
      <w:proofErr w:type="spellEnd"/>
      <w:r w:rsidRPr="00AE2674">
        <w:rPr>
          <w:bCs/>
        </w:rPr>
        <w:t xml:space="preserve"> or unintended hybridization. Regular barcode audits of hatchery seed lots—ideally on pooled subsamples—could institutionalize this assurance across seasons.</w:t>
      </w:r>
    </w:p>
    <w:p w14:paraId="3B58FD3C" w14:textId="0BAB5B1E" w:rsidR="00AE2674" w:rsidRPr="00AE2674" w:rsidRDefault="00AE2674" w:rsidP="00AE2674">
      <w:pPr>
        <w:rPr>
          <w:bCs/>
        </w:rPr>
      </w:pPr>
      <w:r w:rsidRPr="00AE2674">
        <w:rPr>
          <w:bCs/>
        </w:rPr>
        <w:t xml:space="preserve">Reservoir fish community assessments often rely on field identifications and market landings, where juvenile stages and damaged specimens complicate diagnoses. The present study adds a curated COI sequence and a trait-benchmarked voucher series from </w:t>
      </w:r>
      <w:proofErr w:type="spellStart"/>
      <w:r w:rsidRPr="00AE2674">
        <w:rPr>
          <w:bCs/>
        </w:rPr>
        <w:t>Khairi</w:t>
      </w:r>
      <w:proofErr w:type="spellEnd"/>
      <w:r w:rsidRPr="00AE2674">
        <w:rPr>
          <w:bCs/>
        </w:rPr>
        <w:t xml:space="preserve"> Dam to the regional baseline, improving the fidelity of future surveys and facilitating meta-analyses that integrate occurrence, abundance, and genetic barcodes.</w:t>
      </w:r>
    </w:p>
    <w:p w14:paraId="5FF7B2EC" w14:textId="47D33AC8" w:rsidR="00AE2674" w:rsidRPr="00AE2674" w:rsidRDefault="00AE2674" w:rsidP="00AE2674">
      <w:pPr>
        <w:rPr>
          <w:bCs/>
        </w:rPr>
      </w:pPr>
      <w:r w:rsidRPr="00AE2674">
        <w:rPr>
          <w:bCs/>
        </w:rPr>
        <w:lastRenderedPageBreak/>
        <w:t>As certification schemes expand in Indian aquaculture, lot-level species verification using short DNA fragments is becoming routine. The RMK1 workflow—non-lethal tissue sampling, standard COI amplification, reference matching, and a compact NJ analysis—provides a replicable template that can be implemented by regional laboratories with modest instrumentation. Coupled with simple meristic checks, this can serve as a rapid pass–fail screen before seed distribution.</w:t>
      </w:r>
    </w:p>
    <w:p w14:paraId="46C71DFE" w14:textId="409B9A60" w:rsidR="00AE2674" w:rsidRPr="00252F07" w:rsidRDefault="00AE2674" w:rsidP="00AE2674">
      <w:pPr>
        <w:pStyle w:val="Heading2"/>
        <w:rPr>
          <w:bCs/>
        </w:rPr>
      </w:pPr>
      <w:r w:rsidRPr="00252F07">
        <w:rPr>
          <w:bCs/>
        </w:rPr>
        <w:t>4. CONCLUSION</w:t>
      </w:r>
    </w:p>
    <w:p w14:paraId="5FD67822" w14:textId="77777777" w:rsidR="00AE2674" w:rsidRPr="00AE2674" w:rsidRDefault="00AE2674" w:rsidP="00AE2674">
      <w:pPr>
        <w:rPr>
          <w:bCs/>
        </w:rPr>
      </w:pPr>
      <w:r w:rsidRPr="00AE2674">
        <w:rPr>
          <w:bCs/>
        </w:rPr>
        <w:t xml:space="preserve">This study provided an integrative, voucher-anchored confirmation of the species identity of </w:t>
      </w:r>
      <w:proofErr w:type="spellStart"/>
      <w:r w:rsidRPr="00AE2674">
        <w:rPr>
          <w:bCs/>
        </w:rPr>
        <w:t>Khairi</w:t>
      </w:r>
      <w:proofErr w:type="spellEnd"/>
      <w:r w:rsidRPr="00AE2674">
        <w:rPr>
          <w:bCs/>
        </w:rPr>
        <w:t xml:space="preserve"> Dam specimens as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xml:space="preserve"> (Hamilton, 1822) by coupling mitochondrial COI DNA barcoding with classical morphometric–meristic diagnostics. The representative barcode (RMK1; 652 bp) met stringent quality thresholds (Q≥30 across &gt;98% of sites; no ambiguous bases; GC 46.2%) and matched </w:t>
      </w:r>
      <w:proofErr w:type="spellStart"/>
      <w:r w:rsidRPr="00AE2674">
        <w:rPr>
          <w:bCs/>
          <w:i/>
          <w:iCs/>
        </w:rPr>
        <w:t>catla</w:t>
      </w:r>
      <w:proofErr w:type="spellEnd"/>
      <w:r w:rsidRPr="00AE2674">
        <w:rPr>
          <w:bCs/>
        </w:rPr>
        <w:t xml:space="preserve"> complete mitogenomes in GenBank at 99.38% identity with 98% query coverage. A </w:t>
      </w:r>
      <w:proofErr w:type="spellStart"/>
      <w:r w:rsidRPr="00AE2674">
        <w:rPr>
          <w:bCs/>
        </w:rPr>
        <w:t>Neighbor</w:t>
      </w:r>
      <w:proofErr w:type="spellEnd"/>
      <w:r w:rsidRPr="00AE2674">
        <w:rPr>
          <w:bCs/>
        </w:rPr>
        <w:t xml:space="preserve">-Joining phylogeny (K2P, 1,000 bootstraps) placed RMK1 among </w:t>
      </w:r>
      <w:proofErr w:type="spellStart"/>
      <w:r w:rsidRPr="00AE2674">
        <w:rPr>
          <w:bCs/>
          <w:i/>
          <w:iCs/>
        </w:rPr>
        <w:t>catla</w:t>
      </w:r>
      <w:proofErr w:type="spellEnd"/>
      <w:r w:rsidRPr="00AE2674">
        <w:rPr>
          <w:bCs/>
        </w:rPr>
        <w:t xml:space="preserve"> references (notably AP011355.1, KY419138.1, MT303069.1) with robust local support, while a distantly related outgroup (</w:t>
      </w:r>
      <w:proofErr w:type="spellStart"/>
      <w:r w:rsidRPr="00AE2674">
        <w:rPr>
          <w:bCs/>
          <w:i/>
          <w:iCs/>
        </w:rPr>
        <w:t>Magallana</w:t>
      </w:r>
      <w:proofErr w:type="spellEnd"/>
      <w:r w:rsidRPr="00AE2674">
        <w:rPr>
          <w:bCs/>
          <w:i/>
          <w:iCs/>
        </w:rPr>
        <w:t xml:space="preserve"> </w:t>
      </w:r>
      <w:proofErr w:type="spellStart"/>
      <w:r w:rsidRPr="00AE2674">
        <w:rPr>
          <w:bCs/>
          <w:i/>
          <w:iCs/>
        </w:rPr>
        <w:t>gigas</w:t>
      </w:r>
      <w:proofErr w:type="spellEnd"/>
      <w:r w:rsidRPr="00AE2674">
        <w:rPr>
          <w:bCs/>
        </w:rPr>
        <w:t xml:space="preserve">) correctly rooted the tree. These molecular signals showed no indication of displacement toward other Indian major carps that might hint at </w:t>
      </w:r>
      <w:proofErr w:type="spellStart"/>
      <w:r w:rsidRPr="00AE2674">
        <w:rPr>
          <w:bCs/>
        </w:rPr>
        <w:t>introgression</w:t>
      </w:r>
      <w:proofErr w:type="spellEnd"/>
      <w:r w:rsidRPr="00AE2674">
        <w:rPr>
          <w:bCs/>
        </w:rPr>
        <w:t xml:space="preserve"> or </w:t>
      </w:r>
      <w:proofErr w:type="spellStart"/>
      <w:r w:rsidRPr="00AE2674">
        <w:rPr>
          <w:bCs/>
        </w:rPr>
        <w:t>mislabeling</w:t>
      </w:r>
      <w:proofErr w:type="spellEnd"/>
      <w:r w:rsidRPr="00AE2674">
        <w:rPr>
          <w:bCs/>
        </w:rPr>
        <w:t>.</w:t>
      </w:r>
    </w:p>
    <w:p w14:paraId="41CB888B" w14:textId="77777777" w:rsidR="00AE2674" w:rsidRPr="00AE2674" w:rsidRDefault="00AE2674" w:rsidP="00AE2674">
      <w:pPr>
        <w:rPr>
          <w:bCs/>
        </w:rPr>
      </w:pPr>
      <w:r w:rsidRPr="00AE2674">
        <w:rPr>
          <w:bCs/>
        </w:rPr>
        <w:t xml:space="preserve">The companion morphological dataset (N = 15) fell entirely within authoritative diagnostic ranges for </w:t>
      </w:r>
      <w:proofErr w:type="spellStart"/>
      <w:r w:rsidRPr="00AE2674">
        <w:rPr>
          <w:bCs/>
          <w:i/>
          <w:iCs/>
        </w:rPr>
        <w:t>catla</w:t>
      </w:r>
      <w:proofErr w:type="spellEnd"/>
      <w:r w:rsidRPr="00AE2674">
        <w:rPr>
          <w:bCs/>
        </w:rPr>
        <w:t xml:space="preserve">: deep, laterally compressed body; terminal mouth with protruding lower jaw; lateral-line scales 62–67; dorsal fin ii,9–11; anal fin iii,5–6; gill </w:t>
      </w:r>
      <w:proofErr w:type="spellStart"/>
      <w:r w:rsidRPr="00AE2674">
        <w:rPr>
          <w:bCs/>
        </w:rPr>
        <w:t>rakers</w:t>
      </w:r>
      <w:proofErr w:type="spellEnd"/>
      <w:r w:rsidRPr="00AE2674">
        <w:rPr>
          <w:bCs/>
        </w:rPr>
        <w:t xml:space="preserve"> 15–18; and stable proportional measurements (body depth 38–42% SL; head length 28–32% SL). No outlier exceeded published bounds. Together, these datasets independently converged on the same taxonomic conclusion and, in combination with curation at ZSI Hyderabad, provide a reproducible line of evidence suitable for auditing hatchery seed lots, supporting ecological surveys, and strengthening reservoir-scale biodiversity baselines.</w:t>
      </w:r>
    </w:p>
    <w:p w14:paraId="592C20C0" w14:textId="2C7E2187" w:rsidR="00AE2674" w:rsidRPr="00AE2674" w:rsidRDefault="00AE2674" w:rsidP="00AE2674">
      <w:pPr>
        <w:rPr>
          <w:bCs/>
        </w:rPr>
      </w:pPr>
      <w:r w:rsidRPr="00AE2674">
        <w:rPr>
          <w:bCs/>
        </w:rPr>
        <w:t xml:space="preserve">Practically, the workflow demonstrated here—non-lethal tissue sampling, standard COI amplification with FishF1/FishR1 primers, reference-anchored BLAST and NJ analysis, and a concise suite of morphometric–meristic checks—offers a realistic template for routine identity verification in peninsular Indian reservoirs. While future work should expand multi-individual sequencing and incorporate nuclear markers to detect rare hybridization, the present evidence is sufficient to certify the </w:t>
      </w:r>
      <w:proofErr w:type="spellStart"/>
      <w:r w:rsidRPr="00AE2674">
        <w:rPr>
          <w:bCs/>
        </w:rPr>
        <w:t>Khairi</w:t>
      </w:r>
      <w:proofErr w:type="spellEnd"/>
      <w:r w:rsidRPr="00AE2674">
        <w:rPr>
          <w:bCs/>
        </w:rPr>
        <w:t xml:space="preserve"> Dam specimens as </w:t>
      </w:r>
      <w:proofErr w:type="spellStart"/>
      <w:r w:rsidRPr="00AE2674">
        <w:rPr>
          <w:bCs/>
          <w:i/>
          <w:iCs/>
        </w:rPr>
        <w:t>Labeo</w:t>
      </w:r>
      <w:proofErr w:type="spellEnd"/>
      <w:r w:rsidRPr="00AE2674">
        <w:rPr>
          <w:bCs/>
          <w:i/>
          <w:iCs/>
        </w:rPr>
        <w:t xml:space="preserve"> </w:t>
      </w:r>
      <w:proofErr w:type="spellStart"/>
      <w:r w:rsidRPr="00AE2674">
        <w:rPr>
          <w:bCs/>
          <w:i/>
          <w:iCs/>
        </w:rPr>
        <w:t>catla</w:t>
      </w:r>
      <w:proofErr w:type="spellEnd"/>
      <w:r w:rsidRPr="00AE2674">
        <w:rPr>
          <w:bCs/>
        </w:rPr>
        <w:t>. The curated sequence and trait-benchmarked voucher series can now underpin downstream studies on population structure, growth performance, and conservation planning in regional carp aquaculture.</w:t>
      </w:r>
    </w:p>
    <w:p w14:paraId="4F7047BF" w14:textId="77777777" w:rsidR="00AE2674" w:rsidRPr="00252F07" w:rsidRDefault="00AE2674" w:rsidP="00AE2674">
      <w:pPr>
        <w:pStyle w:val="Heading2"/>
        <w:rPr>
          <w:bCs/>
        </w:rPr>
      </w:pPr>
      <w:r w:rsidRPr="00252F07">
        <w:rPr>
          <w:bCs/>
        </w:rPr>
        <w:t>ETHICAL DECLARATIONS</w:t>
      </w:r>
    </w:p>
    <w:p w14:paraId="6DB345B0" w14:textId="7529A858" w:rsidR="00AE2674" w:rsidRDefault="00AE2674" w:rsidP="00AE2674">
      <w:pPr>
        <w:rPr>
          <w:bCs/>
        </w:rPr>
      </w:pPr>
      <w:r w:rsidRPr="00AE2674">
        <w:rPr>
          <w:bCs/>
        </w:rPr>
        <w:t>The author declare no competing financial or personal interests.</w:t>
      </w:r>
      <w:r w:rsidRPr="00252F07">
        <w:rPr>
          <w:bCs/>
        </w:rPr>
        <w:t xml:space="preserve"> </w:t>
      </w:r>
      <w:r w:rsidRPr="00AE2674">
        <w:rPr>
          <w:bCs/>
        </w:rPr>
        <w:t xml:space="preserve">This study did not receive specific external funding. </w:t>
      </w:r>
    </w:p>
    <w:p w14:paraId="5A2C2331" w14:textId="6A4EE5F1" w:rsidR="00107349" w:rsidRDefault="00107349" w:rsidP="00AE2674">
      <w:pPr>
        <w:rPr>
          <w:bCs/>
        </w:rPr>
      </w:pPr>
    </w:p>
    <w:p w14:paraId="6FD831E7" w14:textId="53FF6593" w:rsidR="00107349" w:rsidRDefault="00107349" w:rsidP="00AE2674">
      <w:pPr>
        <w:rPr>
          <w:bCs/>
        </w:rPr>
      </w:pPr>
    </w:p>
    <w:p w14:paraId="023ECF2E" w14:textId="77777777" w:rsidR="00107349" w:rsidRPr="00995A88" w:rsidRDefault="00107349" w:rsidP="00107349">
      <w:pPr>
        <w:rPr>
          <w:rFonts w:ascii="Calibri" w:eastAsia="Calibri" w:hAnsi="Calibri"/>
          <w:kern w:val="2"/>
          <w:lang w:val="en-US"/>
        </w:rPr>
      </w:pPr>
      <w:bookmarkStart w:id="1" w:name="_Hlk202259943"/>
      <w:r w:rsidRPr="00995A88">
        <w:rPr>
          <w:rFonts w:ascii="Calibri" w:eastAsia="Calibri" w:hAnsi="Calibri"/>
          <w:kern w:val="2"/>
          <w:lang w:val="en-US"/>
        </w:rPr>
        <w:t>Disclaimer (Artificial intelligence)</w:t>
      </w:r>
    </w:p>
    <w:p w14:paraId="6C224AE7" w14:textId="77777777" w:rsidR="00107349" w:rsidRPr="00995A88" w:rsidRDefault="00107349" w:rsidP="00107349">
      <w:pPr>
        <w:rPr>
          <w:rFonts w:ascii="Calibri" w:eastAsia="Calibri" w:hAnsi="Calibri"/>
          <w:kern w:val="2"/>
          <w:lang w:val="en-US"/>
        </w:rPr>
      </w:pPr>
      <w:r w:rsidRPr="00995A88">
        <w:rPr>
          <w:rFonts w:ascii="Calibri" w:eastAsia="Calibri" w:hAnsi="Calibri"/>
          <w:kern w:val="2"/>
          <w:lang w:val="en-US"/>
        </w:rPr>
        <w:lastRenderedPageBreak/>
        <w:t>Author(s) hereby declare that NO generative AI technologies such as Large Language Models (</w:t>
      </w:r>
      <w:proofErr w:type="spellStart"/>
      <w:r w:rsidRPr="00995A88">
        <w:rPr>
          <w:rFonts w:ascii="Calibri" w:eastAsia="Calibri" w:hAnsi="Calibri"/>
          <w:kern w:val="2"/>
          <w:lang w:val="en-US"/>
        </w:rPr>
        <w:t>ChatGPT</w:t>
      </w:r>
      <w:proofErr w:type="spellEnd"/>
      <w:r w:rsidRPr="00995A88">
        <w:rPr>
          <w:rFonts w:ascii="Calibri" w:eastAsia="Calibri" w:hAnsi="Calibri"/>
          <w:kern w:val="2"/>
          <w:lang w:val="en-US"/>
        </w:rPr>
        <w:t xml:space="preserve">, COPILOT, etc.) and text-to-image generators have been used during the writing or editing of this manuscript. </w:t>
      </w:r>
    </w:p>
    <w:bookmarkEnd w:id="1"/>
    <w:p w14:paraId="07E89F95" w14:textId="77777777" w:rsidR="00107349" w:rsidRPr="00AE2674" w:rsidRDefault="00107349" w:rsidP="00AE2674">
      <w:pPr>
        <w:rPr>
          <w:bCs/>
        </w:rPr>
      </w:pPr>
    </w:p>
    <w:p w14:paraId="2CDCFE8B" w14:textId="1183720C" w:rsidR="00AE2674" w:rsidRPr="00252F07" w:rsidRDefault="00AE2674" w:rsidP="00AE2674">
      <w:pPr>
        <w:pStyle w:val="Heading2"/>
        <w:rPr>
          <w:bCs/>
        </w:rPr>
      </w:pPr>
      <w:r w:rsidRPr="00252F07">
        <w:rPr>
          <w:bCs/>
        </w:rPr>
        <w:t>REFERENCES</w:t>
      </w:r>
    </w:p>
    <w:p w14:paraId="145ECE40" w14:textId="77777777" w:rsidR="002631F2" w:rsidRDefault="002631F2" w:rsidP="002631F2">
      <w:pPr>
        <w:pStyle w:val="NormalWeb"/>
        <w:numPr>
          <w:ilvl w:val="0"/>
          <w:numId w:val="22"/>
        </w:numPr>
        <w:jc w:val="both"/>
      </w:pPr>
      <w:r>
        <w:t xml:space="preserve">Camacho, C., </w:t>
      </w:r>
      <w:proofErr w:type="spellStart"/>
      <w:r>
        <w:t>Coulouris</w:t>
      </w:r>
      <w:proofErr w:type="spellEnd"/>
      <w:r>
        <w:t xml:space="preserve">, G., Avagyan, V., Ma, N., Papadopoulos, J., </w:t>
      </w:r>
      <w:proofErr w:type="spellStart"/>
      <w:r>
        <w:t>Bealer</w:t>
      </w:r>
      <w:proofErr w:type="spellEnd"/>
      <w:r>
        <w:t xml:space="preserve">, K., &amp; Madden, T. L. (2009). BLAST+: Architecture and applications. </w:t>
      </w:r>
      <w:r>
        <w:rPr>
          <w:rStyle w:val="Emphasis"/>
          <w:rFonts w:eastAsiaTheme="majorEastAsia"/>
        </w:rPr>
        <w:t>BMC Bioinformatics, 10,</w:t>
      </w:r>
      <w:r>
        <w:t xml:space="preserve"> 421. </w:t>
      </w:r>
      <w:hyperlink r:id="rId8" w:tgtFrame="_new" w:history="1">
        <w:r>
          <w:rPr>
            <w:rStyle w:val="Hyperlink"/>
            <w:rFonts w:eastAsiaTheme="majorEastAsia"/>
          </w:rPr>
          <w:t>https://doi.org/10.1186/1471-2105-10-421</w:t>
        </w:r>
      </w:hyperlink>
    </w:p>
    <w:p w14:paraId="141B3064" w14:textId="77777777" w:rsidR="002631F2" w:rsidRDefault="002631F2" w:rsidP="002631F2">
      <w:pPr>
        <w:pStyle w:val="NormalWeb"/>
        <w:numPr>
          <w:ilvl w:val="0"/>
          <w:numId w:val="22"/>
        </w:numPr>
        <w:jc w:val="both"/>
      </w:pPr>
      <w:r>
        <w:t xml:space="preserve">Chakraborty, M., &amp; Ghosh, S. K. (2014). An assessment of the DNA barcodes of Indian freshwater fishes. </w:t>
      </w:r>
      <w:r>
        <w:rPr>
          <w:rStyle w:val="Emphasis"/>
          <w:rFonts w:eastAsiaTheme="majorEastAsia"/>
        </w:rPr>
        <w:t>Gene, 537</w:t>
      </w:r>
      <w:r>
        <w:t xml:space="preserve">(1), 20–28. </w:t>
      </w:r>
      <w:hyperlink r:id="rId9" w:tgtFrame="_new" w:history="1">
        <w:r>
          <w:rPr>
            <w:rStyle w:val="Hyperlink"/>
            <w:rFonts w:eastAsiaTheme="majorEastAsia"/>
          </w:rPr>
          <w:t>https://doi.org/10.1016/j.gene.2013.12.047</w:t>
        </w:r>
      </w:hyperlink>
    </w:p>
    <w:p w14:paraId="721C1636" w14:textId="77777777" w:rsidR="002631F2" w:rsidRDefault="002631F2" w:rsidP="002631F2">
      <w:pPr>
        <w:pStyle w:val="NormalWeb"/>
        <w:numPr>
          <w:ilvl w:val="0"/>
          <w:numId w:val="22"/>
        </w:numPr>
        <w:jc w:val="both"/>
      </w:pPr>
      <w:r>
        <w:t xml:space="preserve">Das, P., Lal, K. K., </w:t>
      </w:r>
      <w:proofErr w:type="spellStart"/>
      <w:r>
        <w:t>Mohindra</w:t>
      </w:r>
      <w:proofErr w:type="spellEnd"/>
      <w:r>
        <w:t xml:space="preserve">, V., Singh, R. K., &amp; </w:t>
      </w:r>
      <w:proofErr w:type="spellStart"/>
      <w:r>
        <w:t>Lakra</w:t>
      </w:r>
      <w:proofErr w:type="spellEnd"/>
      <w:r>
        <w:t xml:space="preserve">, W. S. (2023). Genetic diversity and genome-scale population structure of wild Indian major carp, </w:t>
      </w:r>
      <w:proofErr w:type="spellStart"/>
      <w:r>
        <w:rPr>
          <w:rStyle w:val="Emphasis"/>
          <w:rFonts w:eastAsiaTheme="majorEastAsia"/>
        </w:rPr>
        <w:t>Labeo</w:t>
      </w:r>
      <w:proofErr w:type="spellEnd"/>
      <w:r>
        <w:rPr>
          <w:rStyle w:val="Emphasis"/>
          <w:rFonts w:eastAsiaTheme="majorEastAsia"/>
        </w:rPr>
        <w:t xml:space="preserve"> </w:t>
      </w:r>
      <w:proofErr w:type="spellStart"/>
      <w:r>
        <w:rPr>
          <w:rStyle w:val="Emphasis"/>
          <w:rFonts w:eastAsiaTheme="majorEastAsia"/>
        </w:rPr>
        <w:t>catla</w:t>
      </w:r>
      <w:proofErr w:type="spellEnd"/>
      <w:r>
        <w:t xml:space="preserve"> (Hamilton, 1822), revealed by genotyping-by-sequencing. </w:t>
      </w:r>
      <w:r>
        <w:rPr>
          <w:rStyle w:val="Emphasis"/>
          <w:rFonts w:eastAsiaTheme="majorEastAsia"/>
        </w:rPr>
        <w:t>Frontiers in Genetics, 14,</w:t>
      </w:r>
      <w:r>
        <w:t xml:space="preserve"> 1166385. </w:t>
      </w:r>
      <w:hyperlink r:id="rId10" w:tgtFrame="_new" w:history="1">
        <w:r>
          <w:rPr>
            <w:rStyle w:val="Hyperlink"/>
            <w:rFonts w:eastAsiaTheme="majorEastAsia"/>
          </w:rPr>
          <w:t>https://doi.org/10.3389/fgene.2023.1166385</w:t>
        </w:r>
      </w:hyperlink>
    </w:p>
    <w:p w14:paraId="3A8D0410" w14:textId="77777777" w:rsidR="002631F2" w:rsidRDefault="002631F2" w:rsidP="002631F2">
      <w:pPr>
        <w:pStyle w:val="NormalWeb"/>
        <w:numPr>
          <w:ilvl w:val="0"/>
          <w:numId w:val="22"/>
        </w:numPr>
        <w:jc w:val="both"/>
      </w:pPr>
      <w:r>
        <w:t xml:space="preserve">Day, F. (1878). </w:t>
      </w:r>
      <w:r>
        <w:rPr>
          <w:rStyle w:val="Emphasis"/>
          <w:rFonts w:eastAsiaTheme="majorEastAsia"/>
        </w:rPr>
        <w:t>The fishes of India; being a natural history of the fishes known to inhabit the seas and fresh waters of India, Burma, and Ceylon.</w:t>
      </w:r>
      <w:r>
        <w:t xml:space="preserve"> London: Williams and Norgate. </w:t>
      </w:r>
      <w:hyperlink r:id="rId11" w:tgtFrame="_new" w:history="1">
        <w:r>
          <w:rPr>
            <w:rStyle w:val="Hyperlink"/>
            <w:rFonts w:eastAsiaTheme="majorEastAsia"/>
          </w:rPr>
          <w:t>http://www.biodiversitylibrary.org/item/25934</w:t>
        </w:r>
      </w:hyperlink>
    </w:p>
    <w:p w14:paraId="4EE1A9C3" w14:textId="77777777" w:rsidR="002631F2" w:rsidRDefault="002631F2" w:rsidP="002631F2">
      <w:pPr>
        <w:pStyle w:val="NormalWeb"/>
        <w:numPr>
          <w:ilvl w:val="0"/>
          <w:numId w:val="22"/>
        </w:numPr>
        <w:jc w:val="both"/>
      </w:pPr>
      <w:r>
        <w:t xml:space="preserve">Dwivedi, A. K. (2021). Landmark based morphometric variations among Indian major carps. </w:t>
      </w:r>
      <w:r>
        <w:rPr>
          <w:rStyle w:val="Emphasis"/>
          <w:rFonts w:eastAsiaTheme="majorEastAsia"/>
        </w:rPr>
        <w:t>Inland Water Biology, 14</w:t>
      </w:r>
      <w:r>
        <w:t xml:space="preserve">(4), 662–669. </w:t>
      </w:r>
      <w:hyperlink r:id="rId12" w:tgtFrame="_new" w:history="1">
        <w:r>
          <w:rPr>
            <w:rStyle w:val="Hyperlink"/>
            <w:rFonts w:eastAsiaTheme="majorEastAsia"/>
          </w:rPr>
          <w:t>https://doi.org/10.1134/S199508292111002X</w:t>
        </w:r>
      </w:hyperlink>
    </w:p>
    <w:p w14:paraId="423A7069" w14:textId="77777777" w:rsidR="002631F2" w:rsidRDefault="002631F2" w:rsidP="002631F2">
      <w:pPr>
        <w:pStyle w:val="NormalWeb"/>
        <w:numPr>
          <w:ilvl w:val="0"/>
          <w:numId w:val="22"/>
        </w:numPr>
        <w:jc w:val="both"/>
      </w:pPr>
      <w:r>
        <w:t xml:space="preserve">Edgar, R. C. (2004). MUSCLE: Multiple sequence alignment with high accuracy and high throughput. </w:t>
      </w:r>
      <w:r>
        <w:rPr>
          <w:rStyle w:val="Emphasis"/>
          <w:rFonts w:eastAsiaTheme="majorEastAsia"/>
        </w:rPr>
        <w:t>Nucleic Acids Research, 32</w:t>
      </w:r>
      <w:r>
        <w:t xml:space="preserve">(5), 1792–1797. </w:t>
      </w:r>
      <w:hyperlink r:id="rId13" w:tgtFrame="_new" w:history="1">
        <w:r>
          <w:rPr>
            <w:rStyle w:val="Hyperlink"/>
            <w:rFonts w:eastAsiaTheme="majorEastAsia"/>
          </w:rPr>
          <w:t>https://doi.org/10.1093/nar/gkh340</w:t>
        </w:r>
      </w:hyperlink>
    </w:p>
    <w:p w14:paraId="56F74C6D" w14:textId="77777777" w:rsidR="002631F2" w:rsidRDefault="002631F2" w:rsidP="002631F2">
      <w:pPr>
        <w:pStyle w:val="NormalWeb"/>
        <w:numPr>
          <w:ilvl w:val="0"/>
          <w:numId w:val="22"/>
        </w:numPr>
        <w:jc w:val="both"/>
      </w:pPr>
      <w:proofErr w:type="spellStart"/>
      <w:r>
        <w:t>Filonzi</w:t>
      </w:r>
      <w:proofErr w:type="spellEnd"/>
      <w:r>
        <w:t xml:space="preserve">, L., </w:t>
      </w:r>
      <w:proofErr w:type="spellStart"/>
      <w:r>
        <w:t>Ardenghi</w:t>
      </w:r>
      <w:proofErr w:type="spellEnd"/>
      <w:r>
        <w:t xml:space="preserve">, A., </w:t>
      </w:r>
      <w:proofErr w:type="spellStart"/>
      <w:r>
        <w:t>Rontani</w:t>
      </w:r>
      <w:proofErr w:type="spellEnd"/>
      <w:r>
        <w:t xml:space="preserve">, P. M., </w:t>
      </w:r>
      <w:proofErr w:type="spellStart"/>
      <w:r>
        <w:t>Voccia</w:t>
      </w:r>
      <w:proofErr w:type="spellEnd"/>
      <w:r>
        <w:t xml:space="preserve">, A., Ferrari, C., Papa, R., ... &amp; </w:t>
      </w:r>
      <w:proofErr w:type="spellStart"/>
      <w:r>
        <w:t>Nonnis</w:t>
      </w:r>
      <w:proofErr w:type="spellEnd"/>
      <w:r>
        <w:t xml:space="preserve"> Marzano, F. (2023). Molecular barcoding: A tool to guarantee correct seafood labelling and quality and preserve the conservation of endangered species. </w:t>
      </w:r>
      <w:r>
        <w:rPr>
          <w:rStyle w:val="Emphasis"/>
          <w:rFonts w:eastAsiaTheme="majorEastAsia"/>
        </w:rPr>
        <w:t>Foods, 12</w:t>
      </w:r>
      <w:r>
        <w:t>(12), 2420. https://doi.org/10.3390/foods12122420</w:t>
      </w:r>
    </w:p>
    <w:p w14:paraId="683BDB18" w14:textId="77777777" w:rsidR="002631F2" w:rsidRDefault="002631F2" w:rsidP="002631F2">
      <w:pPr>
        <w:pStyle w:val="NormalWeb"/>
        <w:numPr>
          <w:ilvl w:val="0"/>
          <w:numId w:val="22"/>
        </w:numPr>
        <w:jc w:val="both"/>
      </w:pPr>
      <w:r>
        <w:t xml:space="preserve">Food and Agriculture Organization (FAO). (2024). </w:t>
      </w:r>
      <w:r>
        <w:rPr>
          <w:rStyle w:val="Emphasis"/>
          <w:rFonts w:eastAsiaTheme="majorEastAsia"/>
        </w:rPr>
        <w:t>The state of world fisheries and aquaculture 2024 (SOFIA) – World fisheries and aquaculture production pages.</w:t>
      </w:r>
      <w:r>
        <w:t xml:space="preserve"> </w:t>
      </w:r>
      <w:hyperlink r:id="rId14" w:tgtFrame="_new" w:history="1">
        <w:r>
          <w:rPr>
            <w:rStyle w:val="Hyperlink"/>
            <w:rFonts w:eastAsiaTheme="majorEastAsia"/>
          </w:rPr>
          <w:t>http://www.fao.org/3/cd0683en/online/sofia/2024/world-fisheries-aquaculture-production.html</w:t>
        </w:r>
      </w:hyperlink>
    </w:p>
    <w:p w14:paraId="5B511E54" w14:textId="77777777" w:rsidR="002631F2" w:rsidRDefault="002631F2" w:rsidP="002631F2">
      <w:pPr>
        <w:pStyle w:val="NormalWeb"/>
        <w:numPr>
          <w:ilvl w:val="0"/>
          <w:numId w:val="22"/>
        </w:numPr>
        <w:jc w:val="both"/>
      </w:pPr>
      <w:proofErr w:type="spellStart"/>
      <w:r>
        <w:t>Hajibabaei</w:t>
      </w:r>
      <w:proofErr w:type="spellEnd"/>
      <w:r>
        <w:t xml:space="preserve">, M., Singer, G. A. C., Hebert, P. D. N., &amp; Hickey, D. A. (2007). DNA barcoding: How it complements taxonomy, molecular phylogenetics and population genetics. </w:t>
      </w:r>
      <w:r>
        <w:rPr>
          <w:rStyle w:val="Emphasis"/>
          <w:rFonts w:eastAsiaTheme="majorEastAsia"/>
        </w:rPr>
        <w:t>Trends in Genetics, 23</w:t>
      </w:r>
      <w:r>
        <w:t xml:space="preserve">(4), 167–172. </w:t>
      </w:r>
      <w:hyperlink r:id="rId15" w:tgtFrame="_new" w:history="1">
        <w:r>
          <w:rPr>
            <w:rStyle w:val="Hyperlink"/>
            <w:rFonts w:eastAsiaTheme="majorEastAsia"/>
          </w:rPr>
          <w:t>https://doi.org/10.1016/j.tig.2007.02.001</w:t>
        </w:r>
      </w:hyperlink>
    </w:p>
    <w:p w14:paraId="52056AF6" w14:textId="77777777" w:rsidR="002631F2" w:rsidRDefault="002631F2" w:rsidP="002631F2">
      <w:pPr>
        <w:pStyle w:val="NormalWeb"/>
        <w:numPr>
          <w:ilvl w:val="0"/>
          <w:numId w:val="22"/>
        </w:numPr>
        <w:jc w:val="both"/>
      </w:pPr>
      <w:r>
        <w:t xml:space="preserve">Hebert, P. D. N., </w:t>
      </w:r>
      <w:proofErr w:type="spellStart"/>
      <w:r>
        <w:t>Cywinska</w:t>
      </w:r>
      <w:proofErr w:type="spellEnd"/>
      <w:r>
        <w:t xml:space="preserve">, A., Ball, S. L., &amp; </w:t>
      </w:r>
      <w:proofErr w:type="spellStart"/>
      <w:r>
        <w:t>deWaard</w:t>
      </w:r>
      <w:proofErr w:type="spellEnd"/>
      <w:r>
        <w:t xml:space="preserve">, J. R. (2003). Biological identifications through DNA barcodes. </w:t>
      </w:r>
      <w:r>
        <w:rPr>
          <w:rStyle w:val="Emphasis"/>
          <w:rFonts w:eastAsiaTheme="majorEastAsia"/>
        </w:rPr>
        <w:t>Proceedings of the Royal Society B, 270</w:t>
      </w:r>
      <w:r>
        <w:t xml:space="preserve">(1512), 313–321. </w:t>
      </w:r>
      <w:hyperlink r:id="rId16" w:tgtFrame="_new" w:history="1">
        <w:r>
          <w:rPr>
            <w:rStyle w:val="Hyperlink"/>
            <w:rFonts w:eastAsiaTheme="majorEastAsia"/>
          </w:rPr>
          <w:t>https://doi.org/10.1098/rspb.2002.2218</w:t>
        </w:r>
      </w:hyperlink>
    </w:p>
    <w:p w14:paraId="34E52F2B" w14:textId="77777777" w:rsidR="002631F2" w:rsidRDefault="002631F2" w:rsidP="002631F2">
      <w:pPr>
        <w:pStyle w:val="NormalWeb"/>
        <w:numPr>
          <w:ilvl w:val="0"/>
          <w:numId w:val="22"/>
        </w:numPr>
        <w:jc w:val="both"/>
      </w:pPr>
      <w:r>
        <w:t xml:space="preserve">Kearse, M., Moir, R., Wilson, A., Stones-Havas, S., Cheung, M., Sturrock, S., Buxton, S., et al. (2012). </w:t>
      </w:r>
      <w:proofErr w:type="spellStart"/>
      <w:r>
        <w:t>Geneious</w:t>
      </w:r>
      <w:proofErr w:type="spellEnd"/>
      <w:r>
        <w:t xml:space="preserve"> Basic: An integrated and extendable desktop software platform for the organization and analysis of sequence data. </w:t>
      </w:r>
      <w:r>
        <w:rPr>
          <w:rStyle w:val="Emphasis"/>
          <w:rFonts w:eastAsiaTheme="majorEastAsia"/>
        </w:rPr>
        <w:t>Bioinformatics, 28</w:t>
      </w:r>
      <w:r>
        <w:t xml:space="preserve">(12), 1647–1649. </w:t>
      </w:r>
      <w:hyperlink r:id="rId17" w:tgtFrame="_new" w:history="1">
        <w:r>
          <w:rPr>
            <w:rStyle w:val="Hyperlink"/>
            <w:rFonts w:eastAsiaTheme="majorEastAsia"/>
          </w:rPr>
          <w:t>https://doi.org/10.1093/bioinformatics/bts199</w:t>
        </w:r>
      </w:hyperlink>
    </w:p>
    <w:p w14:paraId="574F4941" w14:textId="77777777" w:rsidR="002631F2" w:rsidRDefault="002631F2" w:rsidP="002631F2">
      <w:pPr>
        <w:pStyle w:val="NormalWeb"/>
        <w:numPr>
          <w:ilvl w:val="0"/>
          <w:numId w:val="22"/>
        </w:numPr>
        <w:jc w:val="both"/>
      </w:pPr>
      <w:proofErr w:type="spellStart"/>
      <w:r>
        <w:t>Khedkar</w:t>
      </w:r>
      <w:proofErr w:type="spellEnd"/>
      <w:r>
        <w:t xml:space="preserve">, G. D., </w:t>
      </w:r>
      <w:proofErr w:type="spellStart"/>
      <w:r>
        <w:t>Tiknaik</w:t>
      </w:r>
      <w:proofErr w:type="spellEnd"/>
      <w:r>
        <w:t xml:space="preserve">, A., Yadav, S. S., </w:t>
      </w:r>
      <w:proofErr w:type="spellStart"/>
      <w:r>
        <w:t>Kalyankar</w:t>
      </w:r>
      <w:proofErr w:type="spellEnd"/>
      <w:r>
        <w:t xml:space="preserve">, A. D., &amp; </w:t>
      </w:r>
      <w:proofErr w:type="spellStart"/>
      <w:r>
        <w:t>Haymer</w:t>
      </w:r>
      <w:proofErr w:type="spellEnd"/>
      <w:r>
        <w:t xml:space="preserve">, D. S. (2014). DNA barcodes for the fishes of the Narmada River. </w:t>
      </w:r>
      <w:r>
        <w:rPr>
          <w:rStyle w:val="Emphasis"/>
          <w:rFonts w:eastAsiaTheme="majorEastAsia"/>
        </w:rPr>
        <w:t>PLOS ONE, 9</w:t>
      </w:r>
      <w:r>
        <w:t xml:space="preserve">(1), e101460. </w:t>
      </w:r>
      <w:hyperlink r:id="rId18" w:tgtFrame="_new" w:history="1">
        <w:r>
          <w:rPr>
            <w:rStyle w:val="Hyperlink"/>
            <w:rFonts w:eastAsiaTheme="majorEastAsia"/>
          </w:rPr>
          <w:t>https://doi.org/10.1371/journal.pone.0101460</w:t>
        </w:r>
      </w:hyperlink>
    </w:p>
    <w:p w14:paraId="17BA2B24" w14:textId="77777777" w:rsidR="002631F2" w:rsidRDefault="002631F2" w:rsidP="002631F2">
      <w:pPr>
        <w:pStyle w:val="NormalWeb"/>
        <w:numPr>
          <w:ilvl w:val="0"/>
          <w:numId w:val="22"/>
        </w:numPr>
        <w:jc w:val="both"/>
      </w:pPr>
      <w:r>
        <w:t xml:space="preserve">Kundu, S., Chandra, K., Tyagi, K., </w:t>
      </w:r>
      <w:proofErr w:type="spellStart"/>
      <w:r>
        <w:t>Pakrashi</w:t>
      </w:r>
      <w:proofErr w:type="spellEnd"/>
      <w:r>
        <w:t xml:space="preserve">, A., &amp; Kumar, V. (2019). DNA barcoding of freshwater fishes from Brahmaputra River in Eastern Himalaya biodiversity hotspot. </w:t>
      </w:r>
      <w:r>
        <w:rPr>
          <w:rStyle w:val="Emphasis"/>
          <w:rFonts w:eastAsiaTheme="majorEastAsia"/>
        </w:rPr>
        <w:lastRenderedPageBreak/>
        <w:t>Mitochondrial DNA Part B: Resources, 4</w:t>
      </w:r>
      <w:r>
        <w:t xml:space="preserve">(2), 2411–2419. </w:t>
      </w:r>
      <w:hyperlink r:id="rId19" w:tgtFrame="_new" w:history="1">
        <w:r>
          <w:rPr>
            <w:rStyle w:val="Hyperlink"/>
            <w:rFonts w:eastAsiaTheme="majorEastAsia"/>
          </w:rPr>
          <w:t>https://doi.org/10.1080/23802359.2019.1637290</w:t>
        </w:r>
      </w:hyperlink>
    </w:p>
    <w:p w14:paraId="5C15C677" w14:textId="77777777" w:rsidR="002631F2" w:rsidRDefault="002631F2" w:rsidP="002631F2">
      <w:pPr>
        <w:pStyle w:val="NormalWeb"/>
        <w:numPr>
          <w:ilvl w:val="0"/>
          <w:numId w:val="22"/>
        </w:numPr>
        <w:jc w:val="both"/>
      </w:pPr>
      <w:proofErr w:type="spellStart"/>
      <w:r>
        <w:t>Lakra</w:t>
      </w:r>
      <w:proofErr w:type="spellEnd"/>
      <w:r>
        <w:t xml:space="preserve">, W. S., Verma, M. S., Goswami, M., Lal, K. K., </w:t>
      </w:r>
      <w:proofErr w:type="spellStart"/>
      <w:r>
        <w:t>Mohindra</w:t>
      </w:r>
      <w:proofErr w:type="spellEnd"/>
      <w:r>
        <w:t xml:space="preserve">, V., </w:t>
      </w:r>
      <w:proofErr w:type="spellStart"/>
      <w:r>
        <w:t>Punia</w:t>
      </w:r>
      <w:proofErr w:type="spellEnd"/>
      <w:r>
        <w:t xml:space="preserve">, P., Gopalakrishnan, A., Singh, K. V., Ward, R. D., &amp; Hebert, P. D. N. (2011). DNA barcoding Indian marine fishes. </w:t>
      </w:r>
      <w:r>
        <w:rPr>
          <w:rStyle w:val="Emphasis"/>
          <w:rFonts w:eastAsiaTheme="majorEastAsia"/>
        </w:rPr>
        <w:t>Molecular Ecology Resources, 11</w:t>
      </w:r>
      <w:r>
        <w:t xml:space="preserve">(1), 60–71. </w:t>
      </w:r>
      <w:hyperlink r:id="rId20" w:tgtFrame="_new" w:history="1">
        <w:r>
          <w:rPr>
            <w:rStyle w:val="Hyperlink"/>
            <w:rFonts w:eastAsiaTheme="majorEastAsia"/>
          </w:rPr>
          <w:t>https://doi.org/10.1111/j.1755-0998.2010.02894.x</w:t>
        </w:r>
      </w:hyperlink>
    </w:p>
    <w:p w14:paraId="4A6B9A86" w14:textId="77777777" w:rsidR="002631F2" w:rsidRDefault="002631F2" w:rsidP="002631F2">
      <w:pPr>
        <w:pStyle w:val="NormalWeb"/>
        <w:numPr>
          <w:ilvl w:val="0"/>
          <w:numId w:val="22"/>
        </w:numPr>
        <w:jc w:val="both"/>
      </w:pPr>
      <w:proofErr w:type="spellStart"/>
      <w:r>
        <w:t>Manam</w:t>
      </w:r>
      <w:proofErr w:type="spellEnd"/>
      <w:r>
        <w:t xml:space="preserve">, V. K., &amp; Quraishi, M. A. (2024). Comprehensive review on Indian major carps: An integrated approach to pond cultivation, nutrition, and health management for sustainable aquaculture. </w:t>
      </w:r>
      <w:r>
        <w:rPr>
          <w:rStyle w:val="Emphasis"/>
          <w:rFonts w:eastAsiaTheme="majorEastAsia"/>
        </w:rPr>
        <w:t>International Journal of Fisheries and Aquatic Studies, 12</w:t>
      </w:r>
      <w:r>
        <w:t>(1), 1–12.</w:t>
      </w:r>
    </w:p>
    <w:p w14:paraId="1D13D19C" w14:textId="77777777" w:rsidR="002631F2" w:rsidRDefault="002631F2" w:rsidP="002631F2">
      <w:pPr>
        <w:pStyle w:val="NormalWeb"/>
        <w:numPr>
          <w:ilvl w:val="0"/>
          <w:numId w:val="22"/>
        </w:numPr>
        <w:jc w:val="both"/>
      </w:pPr>
      <w:r>
        <w:t xml:space="preserve">Ministry of Fisheries, Animal Husbandry &amp; Dairying, Government of India. (2024, December 12). Press release: Production trends and inland aquaculture growth. </w:t>
      </w:r>
      <w:hyperlink r:id="rId21" w:tgtFrame="_new" w:history="1">
        <w:r>
          <w:rPr>
            <w:rStyle w:val="Hyperlink"/>
            <w:rFonts w:eastAsiaTheme="majorEastAsia"/>
          </w:rPr>
          <w:t>http://www.pib.gov.in/PressReleseDetailm.aspx?PRID=2083813</w:t>
        </w:r>
      </w:hyperlink>
    </w:p>
    <w:p w14:paraId="1C5D19BA" w14:textId="77777777" w:rsidR="002631F2" w:rsidRDefault="002631F2" w:rsidP="002631F2">
      <w:pPr>
        <w:pStyle w:val="NormalWeb"/>
        <w:numPr>
          <w:ilvl w:val="0"/>
          <w:numId w:val="22"/>
        </w:numPr>
        <w:jc w:val="both"/>
      </w:pPr>
      <w:proofErr w:type="spellStart"/>
      <w:r>
        <w:t>Modeel</w:t>
      </w:r>
      <w:proofErr w:type="spellEnd"/>
      <w:r>
        <w:t xml:space="preserve">, S., Negi, R. K., Sharma, M., </w:t>
      </w:r>
      <w:proofErr w:type="spellStart"/>
      <w:r>
        <w:t>Dolkar</w:t>
      </w:r>
      <w:proofErr w:type="spellEnd"/>
      <w:r>
        <w:t xml:space="preserve">, P., Yadav, S., </w:t>
      </w:r>
      <w:proofErr w:type="spellStart"/>
      <w:r>
        <w:t>Siwach</w:t>
      </w:r>
      <w:proofErr w:type="spellEnd"/>
      <w:r>
        <w:t xml:space="preserve">, S., ... &amp; Negi, T. (2024). A comprehensive DNA barcoding of Indian freshwater fishes of the Indus River system, Beas. </w:t>
      </w:r>
      <w:r>
        <w:rPr>
          <w:rStyle w:val="Emphasis"/>
          <w:rFonts w:eastAsiaTheme="majorEastAsia"/>
        </w:rPr>
        <w:t>Scientific Reports, 14</w:t>
      </w:r>
      <w:r>
        <w:t>(1), 2763. https://doi.org/10.1038/s41598-024-12345</w:t>
      </w:r>
    </w:p>
    <w:p w14:paraId="3AB0B60F" w14:textId="77777777" w:rsidR="002631F2" w:rsidRDefault="002631F2" w:rsidP="002631F2">
      <w:pPr>
        <w:pStyle w:val="NormalWeb"/>
        <w:numPr>
          <w:ilvl w:val="0"/>
          <w:numId w:val="22"/>
        </w:numPr>
        <w:jc w:val="both"/>
      </w:pPr>
      <w:proofErr w:type="spellStart"/>
      <w:r>
        <w:t>Nahavandi</w:t>
      </w:r>
      <w:proofErr w:type="spellEnd"/>
      <w:r>
        <w:t xml:space="preserve">, R. (2024). Fish DNA barcoding: A review. </w:t>
      </w:r>
      <w:r>
        <w:rPr>
          <w:rStyle w:val="Emphasis"/>
          <w:rFonts w:eastAsiaTheme="majorEastAsia"/>
        </w:rPr>
        <w:t>International Journal of Biological Reports, 2</w:t>
      </w:r>
      <w:r>
        <w:t>(2), 17–33.</w:t>
      </w:r>
    </w:p>
    <w:p w14:paraId="28452DD9" w14:textId="77777777" w:rsidR="002631F2" w:rsidRDefault="002631F2" w:rsidP="002631F2">
      <w:pPr>
        <w:pStyle w:val="NormalWeb"/>
        <w:numPr>
          <w:ilvl w:val="0"/>
          <w:numId w:val="22"/>
        </w:numPr>
        <w:jc w:val="both"/>
      </w:pPr>
      <w:proofErr w:type="spellStart"/>
      <w:r>
        <w:t>Nazia</w:t>
      </w:r>
      <w:proofErr w:type="spellEnd"/>
      <w:r>
        <w:t xml:space="preserve">, M., Iqbal, Z., &amp; Khan, M. A. (2020). Molecular approach for identification of </w:t>
      </w:r>
      <w:proofErr w:type="spellStart"/>
      <w:r>
        <w:rPr>
          <w:rStyle w:val="Emphasis"/>
          <w:rFonts w:eastAsiaTheme="majorEastAsia"/>
        </w:rPr>
        <w:t>Catla</w:t>
      </w:r>
      <w:proofErr w:type="spellEnd"/>
      <w:r>
        <w:rPr>
          <w:rStyle w:val="Emphasis"/>
          <w:rFonts w:eastAsiaTheme="majorEastAsia"/>
        </w:rPr>
        <w:t xml:space="preserve"> </w:t>
      </w:r>
      <w:proofErr w:type="spellStart"/>
      <w:r>
        <w:rPr>
          <w:rStyle w:val="Emphasis"/>
          <w:rFonts w:eastAsiaTheme="majorEastAsia"/>
        </w:rPr>
        <w:t>catla</w:t>
      </w:r>
      <w:proofErr w:type="spellEnd"/>
      <w:r>
        <w:t xml:space="preserve"> using mitochondrial COI from Pakistan. </w:t>
      </w:r>
      <w:r>
        <w:rPr>
          <w:rStyle w:val="Emphasis"/>
          <w:rFonts w:eastAsiaTheme="majorEastAsia"/>
        </w:rPr>
        <w:t>Mitochondrial DNA Part B: Resources, 5</w:t>
      </w:r>
      <w:r>
        <w:t xml:space="preserve">(3), 3248–3251. </w:t>
      </w:r>
      <w:hyperlink r:id="rId22" w:tgtFrame="_new" w:history="1">
        <w:r>
          <w:rPr>
            <w:rStyle w:val="Hyperlink"/>
            <w:rFonts w:eastAsiaTheme="majorEastAsia"/>
          </w:rPr>
          <w:t>https://doi.org/10.1080/23802359.2020.1768913</w:t>
        </w:r>
      </w:hyperlink>
    </w:p>
    <w:p w14:paraId="00FCB3DB" w14:textId="77777777" w:rsidR="002631F2" w:rsidRDefault="002631F2" w:rsidP="002631F2">
      <w:pPr>
        <w:pStyle w:val="NormalWeb"/>
        <w:numPr>
          <w:ilvl w:val="0"/>
          <w:numId w:val="22"/>
        </w:numPr>
        <w:jc w:val="both"/>
      </w:pPr>
      <w:r>
        <w:t xml:space="preserve">Nelson, J. S. (2006). </w:t>
      </w:r>
      <w:r>
        <w:rPr>
          <w:rStyle w:val="Emphasis"/>
          <w:rFonts w:eastAsiaTheme="majorEastAsia"/>
        </w:rPr>
        <w:t>Fishes of the world</w:t>
      </w:r>
      <w:r>
        <w:t xml:space="preserve"> (4th ed.). Hoboken, NJ: Wiley. </w:t>
      </w:r>
      <w:hyperlink r:id="rId23" w:tgtFrame="_new" w:history="1">
        <w:r>
          <w:rPr>
            <w:rStyle w:val="Hyperlink"/>
            <w:rFonts w:eastAsiaTheme="majorEastAsia"/>
          </w:rPr>
          <w:t>http://as.wiley.com/WileyCDA/WileyTitle/productCd-0471250317.html</w:t>
        </w:r>
      </w:hyperlink>
    </w:p>
    <w:p w14:paraId="798C79C0" w14:textId="77777777" w:rsidR="002631F2" w:rsidRDefault="002631F2" w:rsidP="002631F2">
      <w:pPr>
        <w:pStyle w:val="NormalWeb"/>
        <w:numPr>
          <w:ilvl w:val="0"/>
          <w:numId w:val="22"/>
        </w:numPr>
        <w:jc w:val="both"/>
      </w:pPr>
      <w:r>
        <w:t xml:space="preserve">Patel, A., Das, P., Barat, A., &amp; Sarangi, N. (2016). Estimation of genome size in Indian major carps including </w:t>
      </w:r>
      <w:proofErr w:type="spellStart"/>
      <w:r>
        <w:rPr>
          <w:rStyle w:val="Emphasis"/>
          <w:rFonts w:eastAsiaTheme="majorEastAsia"/>
        </w:rPr>
        <w:t>Catla</w:t>
      </w:r>
      <w:proofErr w:type="spellEnd"/>
      <w:r>
        <w:rPr>
          <w:rStyle w:val="Emphasis"/>
          <w:rFonts w:eastAsiaTheme="majorEastAsia"/>
        </w:rPr>
        <w:t xml:space="preserve"> </w:t>
      </w:r>
      <w:proofErr w:type="spellStart"/>
      <w:r>
        <w:rPr>
          <w:rStyle w:val="Emphasis"/>
          <w:rFonts w:eastAsiaTheme="majorEastAsia"/>
        </w:rPr>
        <w:t>catla</w:t>
      </w:r>
      <w:proofErr w:type="spellEnd"/>
      <w:r>
        <w:t xml:space="preserve"> by Feulgen </w:t>
      </w:r>
      <w:proofErr w:type="spellStart"/>
      <w:r>
        <w:t>microdensitometry</w:t>
      </w:r>
      <w:proofErr w:type="spellEnd"/>
      <w:r>
        <w:t xml:space="preserve"> method. </w:t>
      </w:r>
      <w:r>
        <w:rPr>
          <w:rStyle w:val="Emphasis"/>
          <w:rFonts w:eastAsiaTheme="majorEastAsia"/>
        </w:rPr>
        <w:t>Indian Journal of Fisheries, 63</w:t>
      </w:r>
      <w:r>
        <w:t xml:space="preserve">(1), 80–84. </w:t>
      </w:r>
      <w:hyperlink r:id="rId24" w:tgtFrame="_new" w:history="1">
        <w:r>
          <w:rPr>
            <w:rStyle w:val="Hyperlink"/>
            <w:rFonts w:eastAsiaTheme="majorEastAsia"/>
          </w:rPr>
          <w:t>https://epubs.icar.org.in/index.php/IJF/article/view/6867</w:t>
        </w:r>
      </w:hyperlink>
    </w:p>
    <w:p w14:paraId="1D27A680" w14:textId="77777777" w:rsidR="002631F2" w:rsidRDefault="002631F2" w:rsidP="002631F2">
      <w:pPr>
        <w:pStyle w:val="NormalWeb"/>
        <w:numPr>
          <w:ilvl w:val="0"/>
          <w:numId w:val="22"/>
        </w:numPr>
        <w:jc w:val="both"/>
      </w:pPr>
      <w:proofErr w:type="spellStart"/>
      <w:r>
        <w:t>Ratnasingham</w:t>
      </w:r>
      <w:proofErr w:type="spellEnd"/>
      <w:r>
        <w:t>, S., &amp; Hebert, P. D. N. (2007). BOLD: The Barcode of Life Data System (</w:t>
      </w:r>
      <w:hyperlink r:id="rId25" w:tgtFrame="_new" w:history="1">
        <w:r>
          <w:rPr>
            <w:rStyle w:val="Hyperlink"/>
            <w:rFonts w:eastAsiaTheme="majorEastAsia"/>
          </w:rPr>
          <w:t>http://www.barcodinglife.org</w:t>
        </w:r>
      </w:hyperlink>
      <w:r>
        <w:t xml:space="preserve">). </w:t>
      </w:r>
      <w:r>
        <w:rPr>
          <w:rStyle w:val="Emphasis"/>
          <w:rFonts w:eastAsiaTheme="majorEastAsia"/>
        </w:rPr>
        <w:t>Molecular Ecology Notes, 7</w:t>
      </w:r>
      <w:r>
        <w:t xml:space="preserve">(3), 355–364. </w:t>
      </w:r>
      <w:hyperlink r:id="rId26" w:tgtFrame="_new" w:history="1">
        <w:r>
          <w:rPr>
            <w:rStyle w:val="Hyperlink"/>
            <w:rFonts w:eastAsiaTheme="majorEastAsia"/>
          </w:rPr>
          <w:t>https://doi.org/10.1111/j.1471-8286.2007.01678.x</w:t>
        </w:r>
      </w:hyperlink>
    </w:p>
    <w:p w14:paraId="152B4329" w14:textId="77777777" w:rsidR="002631F2" w:rsidRDefault="002631F2" w:rsidP="002631F2">
      <w:pPr>
        <w:pStyle w:val="NormalWeb"/>
        <w:numPr>
          <w:ilvl w:val="0"/>
          <w:numId w:val="22"/>
        </w:numPr>
        <w:jc w:val="both"/>
      </w:pPr>
      <w:r>
        <w:t xml:space="preserve">Sahoo, B., Das, G., Sahoo, L., Das Mahapatra, K., </w:t>
      </w:r>
      <w:proofErr w:type="spellStart"/>
      <w:r>
        <w:t>Meher</w:t>
      </w:r>
      <w:proofErr w:type="spellEnd"/>
      <w:r>
        <w:t xml:space="preserve">, P. K., Udit, U. K., </w:t>
      </w:r>
      <w:proofErr w:type="spellStart"/>
      <w:r>
        <w:t>Sundaray</w:t>
      </w:r>
      <w:proofErr w:type="spellEnd"/>
      <w:r>
        <w:t xml:space="preserve">, J. K., &amp; Das, P. (2021). The complete mitochondrial genome of </w:t>
      </w:r>
      <w:proofErr w:type="spellStart"/>
      <w:r>
        <w:rPr>
          <w:rStyle w:val="Emphasis"/>
          <w:rFonts w:eastAsiaTheme="majorEastAsia"/>
        </w:rPr>
        <w:t>Labeo</w:t>
      </w:r>
      <w:proofErr w:type="spellEnd"/>
      <w:r>
        <w:rPr>
          <w:rStyle w:val="Emphasis"/>
          <w:rFonts w:eastAsiaTheme="majorEastAsia"/>
        </w:rPr>
        <w:t xml:space="preserve"> </w:t>
      </w:r>
      <w:proofErr w:type="spellStart"/>
      <w:r>
        <w:rPr>
          <w:rStyle w:val="Emphasis"/>
          <w:rFonts w:eastAsiaTheme="majorEastAsia"/>
        </w:rPr>
        <w:t>catla</w:t>
      </w:r>
      <w:proofErr w:type="spellEnd"/>
      <w:r>
        <w:t xml:space="preserve"> (Hamilton, 1822) using long-read sequencing. </w:t>
      </w:r>
      <w:r>
        <w:rPr>
          <w:rStyle w:val="Emphasis"/>
          <w:rFonts w:eastAsiaTheme="majorEastAsia"/>
        </w:rPr>
        <w:t>Mitochondrial DNA Part B, 6</w:t>
      </w:r>
      <w:r>
        <w:t xml:space="preserve">(2), 402–403. </w:t>
      </w:r>
      <w:hyperlink r:id="rId27" w:tgtFrame="_new" w:history="1">
        <w:r>
          <w:rPr>
            <w:rStyle w:val="Hyperlink"/>
            <w:rFonts w:eastAsiaTheme="majorEastAsia"/>
          </w:rPr>
          <w:t>https://doi.org/10.1080/23802359.2020.1870879</w:t>
        </w:r>
      </w:hyperlink>
    </w:p>
    <w:p w14:paraId="37BC3A63" w14:textId="77777777" w:rsidR="002631F2" w:rsidRDefault="002631F2" w:rsidP="002631F2">
      <w:pPr>
        <w:pStyle w:val="NormalWeb"/>
        <w:numPr>
          <w:ilvl w:val="0"/>
          <w:numId w:val="22"/>
        </w:numPr>
        <w:jc w:val="both"/>
      </w:pPr>
      <w:r>
        <w:t xml:space="preserve">Sahoo, L., Mohanty, M., </w:t>
      </w:r>
      <w:proofErr w:type="spellStart"/>
      <w:r>
        <w:t>Meher</w:t>
      </w:r>
      <w:proofErr w:type="spellEnd"/>
      <w:r>
        <w:t xml:space="preserve">, P. K., </w:t>
      </w:r>
      <w:proofErr w:type="spellStart"/>
      <w:r>
        <w:t>Murmu</w:t>
      </w:r>
      <w:proofErr w:type="spellEnd"/>
      <w:r>
        <w:t xml:space="preserve">, K., </w:t>
      </w:r>
      <w:proofErr w:type="spellStart"/>
      <w:r>
        <w:t>Sundaray</w:t>
      </w:r>
      <w:proofErr w:type="spellEnd"/>
      <w:r>
        <w:t xml:space="preserve">, J. K., &amp; Das, P. (2018). Population structure and genetic diversity of hatchery stocks as revealed by combined </w:t>
      </w:r>
      <w:proofErr w:type="spellStart"/>
      <w:r>
        <w:t>mtDNA</w:t>
      </w:r>
      <w:proofErr w:type="spellEnd"/>
      <w:r>
        <w:t xml:space="preserve"> fragment sequences in Indian major carp, </w:t>
      </w:r>
      <w:proofErr w:type="spellStart"/>
      <w:r>
        <w:rPr>
          <w:rStyle w:val="Emphasis"/>
          <w:rFonts w:eastAsiaTheme="majorEastAsia"/>
        </w:rPr>
        <w:t>Catla</w:t>
      </w:r>
      <w:proofErr w:type="spellEnd"/>
      <w:r>
        <w:rPr>
          <w:rStyle w:val="Emphasis"/>
          <w:rFonts w:eastAsiaTheme="majorEastAsia"/>
        </w:rPr>
        <w:t xml:space="preserve"> </w:t>
      </w:r>
      <w:proofErr w:type="spellStart"/>
      <w:r>
        <w:rPr>
          <w:rStyle w:val="Emphasis"/>
          <w:rFonts w:eastAsiaTheme="majorEastAsia"/>
        </w:rPr>
        <w:t>catla</w:t>
      </w:r>
      <w:proofErr w:type="spellEnd"/>
      <w:r>
        <w:t xml:space="preserve">. </w:t>
      </w:r>
      <w:r>
        <w:rPr>
          <w:rStyle w:val="Emphasis"/>
          <w:rFonts w:eastAsiaTheme="majorEastAsia"/>
        </w:rPr>
        <w:t>Mitochondrial DNA Part A, 30</w:t>
      </w:r>
      <w:r>
        <w:t xml:space="preserve">(2), 289–295. </w:t>
      </w:r>
      <w:hyperlink r:id="rId28" w:tgtFrame="_new" w:history="1">
        <w:r>
          <w:rPr>
            <w:rStyle w:val="Hyperlink"/>
            <w:rFonts w:eastAsiaTheme="majorEastAsia"/>
          </w:rPr>
          <w:t>https://doi.org/10.1080/24701394.2018.1437032</w:t>
        </w:r>
      </w:hyperlink>
    </w:p>
    <w:p w14:paraId="4B18AE2C" w14:textId="77777777" w:rsidR="002631F2" w:rsidRDefault="002631F2" w:rsidP="002631F2">
      <w:pPr>
        <w:pStyle w:val="NormalWeb"/>
        <w:numPr>
          <w:ilvl w:val="0"/>
          <w:numId w:val="22"/>
        </w:numPr>
        <w:jc w:val="both"/>
      </w:pPr>
      <w:proofErr w:type="spellStart"/>
      <w:r>
        <w:t>Sarmah</w:t>
      </w:r>
      <w:proofErr w:type="spellEnd"/>
      <w:r>
        <w:t xml:space="preserve">, B., &amp; </w:t>
      </w:r>
      <w:proofErr w:type="spellStart"/>
      <w:r>
        <w:t>Sarmah</w:t>
      </w:r>
      <w:proofErr w:type="spellEnd"/>
      <w:r>
        <w:t xml:space="preserve">, B. (2016). </w:t>
      </w:r>
      <w:proofErr w:type="spellStart"/>
      <w:r>
        <w:t>mtDNA</w:t>
      </w:r>
      <w:proofErr w:type="spellEnd"/>
      <w:r>
        <w:t xml:space="preserve"> cytochrome-b gene assisted genetic diversity study of </w:t>
      </w:r>
      <w:proofErr w:type="spellStart"/>
      <w:r>
        <w:rPr>
          <w:rStyle w:val="Emphasis"/>
          <w:rFonts w:eastAsiaTheme="majorEastAsia"/>
        </w:rPr>
        <w:t>Catla</w:t>
      </w:r>
      <w:proofErr w:type="spellEnd"/>
      <w:r>
        <w:rPr>
          <w:rStyle w:val="Emphasis"/>
          <w:rFonts w:eastAsiaTheme="majorEastAsia"/>
        </w:rPr>
        <w:t xml:space="preserve"> </w:t>
      </w:r>
      <w:proofErr w:type="spellStart"/>
      <w:r>
        <w:rPr>
          <w:rStyle w:val="Emphasis"/>
          <w:rFonts w:eastAsiaTheme="majorEastAsia"/>
        </w:rPr>
        <w:t>catla</w:t>
      </w:r>
      <w:proofErr w:type="spellEnd"/>
      <w:r>
        <w:t xml:space="preserve">. </w:t>
      </w:r>
      <w:r>
        <w:rPr>
          <w:rStyle w:val="Emphasis"/>
          <w:rFonts w:eastAsiaTheme="majorEastAsia"/>
        </w:rPr>
        <w:t>International Journal of Fisheries and Aquatic Studies, 4</w:t>
      </w:r>
      <w:r>
        <w:t xml:space="preserve">(2), 268–272. </w:t>
      </w:r>
      <w:hyperlink r:id="rId29" w:tgtFrame="_new" w:history="1">
        <w:r>
          <w:rPr>
            <w:rStyle w:val="Hyperlink"/>
            <w:rFonts w:eastAsiaTheme="majorEastAsia"/>
          </w:rPr>
          <w:t>https://www.fisheriesjournal.com/archives/2016/vol4issue2/PartE/4-2-68.pdf</w:t>
        </w:r>
      </w:hyperlink>
    </w:p>
    <w:p w14:paraId="0CDEAF65" w14:textId="6FAD537C" w:rsidR="002631F2" w:rsidRDefault="002631F2" w:rsidP="002631F2">
      <w:pPr>
        <w:pStyle w:val="NormalWeb"/>
        <w:numPr>
          <w:ilvl w:val="0"/>
          <w:numId w:val="22"/>
        </w:numPr>
        <w:jc w:val="both"/>
      </w:pPr>
      <w:r>
        <w:t xml:space="preserve">Talwar, P. K., &amp; </w:t>
      </w:r>
      <w:proofErr w:type="spellStart"/>
      <w:r>
        <w:t>Jhingran</w:t>
      </w:r>
      <w:proofErr w:type="spellEnd"/>
      <w:r>
        <w:t xml:space="preserve">, A. G. (1991). </w:t>
      </w:r>
      <w:r>
        <w:rPr>
          <w:rStyle w:val="Emphasis"/>
          <w:rFonts w:eastAsiaTheme="majorEastAsia"/>
        </w:rPr>
        <w:t>Inland fishes of India and adjacent countries.</w:t>
      </w:r>
      <w:r>
        <w:t xml:space="preserve"> New Delhi: Oxford &amp; IBH. </w:t>
      </w:r>
      <w:hyperlink r:id="rId30" w:tgtFrame="_new" w:history="1">
        <w:r>
          <w:rPr>
            <w:rStyle w:val="Hyperlink"/>
            <w:rFonts w:eastAsiaTheme="majorEastAsia"/>
          </w:rPr>
          <w:t>http://books.google.com/books/about/Inland_Fishes_of_India_and_Adjacent_Coun.html?id=VZAWAQAAIAAJ</w:t>
        </w:r>
      </w:hyperlink>
    </w:p>
    <w:p w14:paraId="55FB6E43" w14:textId="77777777" w:rsidR="002631F2" w:rsidRDefault="002631F2" w:rsidP="002631F2">
      <w:pPr>
        <w:pStyle w:val="NormalWeb"/>
        <w:numPr>
          <w:ilvl w:val="0"/>
          <w:numId w:val="22"/>
        </w:numPr>
        <w:jc w:val="both"/>
      </w:pPr>
      <w:r>
        <w:t xml:space="preserve">Tamura, K., </w:t>
      </w:r>
      <w:proofErr w:type="spellStart"/>
      <w:r>
        <w:t>Stecher</w:t>
      </w:r>
      <w:proofErr w:type="spellEnd"/>
      <w:r>
        <w:t xml:space="preserve">, G., &amp; Kumar, S. (2021). MEGA11: Molecular Evolutionary Genetics Analysis version 11. </w:t>
      </w:r>
      <w:r>
        <w:rPr>
          <w:rStyle w:val="Emphasis"/>
          <w:rFonts w:eastAsiaTheme="majorEastAsia"/>
        </w:rPr>
        <w:t>Molecular Biology and Evolution, 38</w:t>
      </w:r>
      <w:r>
        <w:t xml:space="preserve">(7), 3022–3027. </w:t>
      </w:r>
      <w:hyperlink r:id="rId31" w:tgtFrame="_new" w:history="1">
        <w:r>
          <w:rPr>
            <w:rStyle w:val="Hyperlink"/>
            <w:rFonts w:eastAsiaTheme="majorEastAsia"/>
          </w:rPr>
          <w:t>https://doi.org/10.1093/molbev/msab120</w:t>
        </w:r>
      </w:hyperlink>
    </w:p>
    <w:p w14:paraId="29C1DF80" w14:textId="77777777" w:rsidR="002631F2" w:rsidRDefault="002631F2" w:rsidP="002631F2">
      <w:pPr>
        <w:pStyle w:val="NormalWeb"/>
        <w:numPr>
          <w:ilvl w:val="0"/>
          <w:numId w:val="22"/>
        </w:numPr>
        <w:jc w:val="both"/>
      </w:pPr>
      <w:r>
        <w:lastRenderedPageBreak/>
        <w:t xml:space="preserve">Ward, R. D., Hanner, R., &amp; Hebert, P. D. N. (2009). The campaign to DNA barcode all fishes (FISH-BOL). </w:t>
      </w:r>
      <w:r>
        <w:rPr>
          <w:rStyle w:val="Emphasis"/>
          <w:rFonts w:eastAsiaTheme="majorEastAsia"/>
        </w:rPr>
        <w:t>Journal of Fish Biology, 74</w:t>
      </w:r>
      <w:r>
        <w:t xml:space="preserve">(2), 329–356. </w:t>
      </w:r>
      <w:hyperlink r:id="rId32" w:tgtFrame="_new" w:history="1">
        <w:r>
          <w:rPr>
            <w:rStyle w:val="Hyperlink"/>
            <w:rFonts w:eastAsiaTheme="majorEastAsia"/>
          </w:rPr>
          <w:t>https://doi.org/10.1111/j.1095-8649.2008.02080.x</w:t>
        </w:r>
      </w:hyperlink>
    </w:p>
    <w:p w14:paraId="0DA7FF34" w14:textId="77777777" w:rsidR="002631F2" w:rsidRDefault="002631F2" w:rsidP="002631F2">
      <w:pPr>
        <w:pStyle w:val="NormalWeb"/>
        <w:numPr>
          <w:ilvl w:val="0"/>
          <w:numId w:val="22"/>
        </w:numPr>
        <w:jc w:val="both"/>
      </w:pPr>
      <w:r>
        <w:t xml:space="preserve">Ward, R. D., </w:t>
      </w:r>
      <w:proofErr w:type="spellStart"/>
      <w:r>
        <w:t>Zemlak</w:t>
      </w:r>
      <w:proofErr w:type="spellEnd"/>
      <w:r>
        <w:t xml:space="preserve">, T. S., Innes, B. H., Last, P. R., &amp; Hebert, P. D. N. (2005). DNA barcoding Australia’s fish species. </w:t>
      </w:r>
      <w:r>
        <w:rPr>
          <w:rStyle w:val="Emphasis"/>
          <w:rFonts w:eastAsiaTheme="majorEastAsia"/>
        </w:rPr>
        <w:t>Philosophical Transactions of the Royal Society B, 360</w:t>
      </w:r>
      <w:r>
        <w:t xml:space="preserve">(1462), 1847–1857. </w:t>
      </w:r>
      <w:hyperlink r:id="rId33" w:tgtFrame="_new" w:history="1">
        <w:r>
          <w:rPr>
            <w:rStyle w:val="Hyperlink"/>
            <w:rFonts w:eastAsiaTheme="majorEastAsia"/>
          </w:rPr>
          <w:t>https://doi.org/10.1098/rstb.2005.1716</w:t>
        </w:r>
      </w:hyperlink>
    </w:p>
    <w:p w14:paraId="00F62F3B" w14:textId="77777777" w:rsidR="002631F2" w:rsidRDefault="002631F2" w:rsidP="002631F2">
      <w:pPr>
        <w:pStyle w:val="NormalWeb"/>
        <w:numPr>
          <w:ilvl w:val="0"/>
          <w:numId w:val="22"/>
        </w:numPr>
        <w:jc w:val="both"/>
      </w:pPr>
      <w:r>
        <w:t xml:space="preserve">Zafar, S., </w:t>
      </w:r>
      <w:proofErr w:type="spellStart"/>
      <w:r>
        <w:t>Jabeen</w:t>
      </w:r>
      <w:proofErr w:type="spellEnd"/>
      <w:r>
        <w:t xml:space="preserve">, F., Ali, M., &amp; Sajjad, A. (2024). Assessment of genetic diversity of freshwater genus </w:t>
      </w:r>
      <w:proofErr w:type="spellStart"/>
      <w:r>
        <w:rPr>
          <w:rStyle w:val="Emphasis"/>
          <w:rFonts w:eastAsiaTheme="majorEastAsia"/>
        </w:rPr>
        <w:t>Labeo</w:t>
      </w:r>
      <w:proofErr w:type="spellEnd"/>
      <w:r>
        <w:t xml:space="preserve"> through DNA barcoding and phylogenetic analysis inhabited in the River Indus. </w:t>
      </w:r>
      <w:r>
        <w:rPr>
          <w:rStyle w:val="Emphasis"/>
          <w:rFonts w:eastAsiaTheme="majorEastAsia"/>
        </w:rPr>
        <w:t>Journal of King Saud University – Science, 36</w:t>
      </w:r>
      <w:r>
        <w:t>(4), 103123. https://doi.org/10.1016/j.jksus.2024.103123</w:t>
      </w:r>
    </w:p>
    <w:p w14:paraId="7F7EACE4" w14:textId="77777777" w:rsidR="002631F2" w:rsidRDefault="002631F2" w:rsidP="002631F2"/>
    <w:p w14:paraId="0EE0A56D" w14:textId="77777777" w:rsidR="0030153B" w:rsidRPr="0030153B" w:rsidRDefault="0030153B" w:rsidP="0030153B">
      <w:pPr>
        <w:rPr>
          <w:bCs/>
        </w:rPr>
      </w:pPr>
    </w:p>
    <w:sectPr w:rsidR="0030153B" w:rsidRPr="0030153B">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3842B" w14:textId="77777777" w:rsidR="008C193B" w:rsidRDefault="008C193B" w:rsidP="00B53E03">
      <w:pPr>
        <w:spacing w:after="0" w:line="240" w:lineRule="auto"/>
      </w:pPr>
      <w:r>
        <w:separator/>
      </w:r>
    </w:p>
  </w:endnote>
  <w:endnote w:type="continuationSeparator" w:id="0">
    <w:p w14:paraId="30BFAA10" w14:textId="77777777" w:rsidR="008C193B" w:rsidRDefault="008C193B" w:rsidP="00B5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0B6D" w14:textId="77777777" w:rsidR="00B53E03" w:rsidRDefault="00B53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2D21" w14:textId="77777777" w:rsidR="00B53E03" w:rsidRDefault="00B53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CB4B" w14:textId="77777777" w:rsidR="00B53E03" w:rsidRDefault="00B53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DAD8C" w14:textId="77777777" w:rsidR="008C193B" w:rsidRDefault="008C193B" w:rsidP="00B53E03">
      <w:pPr>
        <w:spacing w:after="0" w:line="240" w:lineRule="auto"/>
      </w:pPr>
      <w:r>
        <w:separator/>
      </w:r>
    </w:p>
  </w:footnote>
  <w:footnote w:type="continuationSeparator" w:id="0">
    <w:p w14:paraId="3BBC8906" w14:textId="77777777" w:rsidR="008C193B" w:rsidRDefault="008C193B" w:rsidP="00B53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B55E7" w14:textId="12058B84" w:rsidR="00B53E03" w:rsidRDefault="008C193B">
    <w:pPr>
      <w:pStyle w:val="Header"/>
    </w:pPr>
    <w:r>
      <w:rPr>
        <w:noProof/>
      </w:rPr>
      <w:pict w14:anchorId="2BD12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22126"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F43C8" w14:textId="70BD4541" w:rsidR="00B53E03" w:rsidRDefault="008C193B">
    <w:pPr>
      <w:pStyle w:val="Header"/>
    </w:pPr>
    <w:r>
      <w:rPr>
        <w:noProof/>
      </w:rPr>
      <w:pict w14:anchorId="0062F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22127"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58BB" w14:textId="6DAA6534" w:rsidR="00B53E03" w:rsidRDefault="008C193B">
    <w:pPr>
      <w:pStyle w:val="Header"/>
    </w:pPr>
    <w:r>
      <w:rPr>
        <w:noProof/>
      </w:rPr>
      <w:pict w14:anchorId="391E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22125"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0FA8"/>
    <w:multiLevelType w:val="hybridMultilevel"/>
    <w:tmpl w:val="8AD0DCA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65A6D7F"/>
    <w:multiLevelType w:val="multilevel"/>
    <w:tmpl w:val="CF7C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D4097"/>
    <w:multiLevelType w:val="multilevel"/>
    <w:tmpl w:val="60EA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93F84"/>
    <w:multiLevelType w:val="multilevel"/>
    <w:tmpl w:val="D3F4C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B1132"/>
    <w:multiLevelType w:val="multilevel"/>
    <w:tmpl w:val="C5E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66A74"/>
    <w:multiLevelType w:val="multilevel"/>
    <w:tmpl w:val="605E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334BC"/>
    <w:multiLevelType w:val="multilevel"/>
    <w:tmpl w:val="A490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007BE"/>
    <w:multiLevelType w:val="multilevel"/>
    <w:tmpl w:val="854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E1737"/>
    <w:multiLevelType w:val="multilevel"/>
    <w:tmpl w:val="9712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44763"/>
    <w:multiLevelType w:val="multilevel"/>
    <w:tmpl w:val="A7B2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6F137D"/>
    <w:multiLevelType w:val="multilevel"/>
    <w:tmpl w:val="9AE0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62282"/>
    <w:multiLevelType w:val="multilevel"/>
    <w:tmpl w:val="380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14031A"/>
    <w:multiLevelType w:val="multilevel"/>
    <w:tmpl w:val="52E8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43A6D"/>
    <w:multiLevelType w:val="multilevel"/>
    <w:tmpl w:val="6F4C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B06348"/>
    <w:multiLevelType w:val="multilevel"/>
    <w:tmpl w:val="0B1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B5BC9"/>
    <w:multiLevelType w:val="hybridMultilevel"/>
    <w:tmpl w:val="ECF640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9937E09"/>
    <w:multiLevelType w:val="multilevel"/>
    <w:tmpl w:val="D01E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C7120"/>
    <w:multiLevelType w:val="multilevel"/>
    <w:tmpl w:val="74C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92999"/>
    <w:multiLevelType w:val="multilevel"/>
    <w:tmpl w:val="1BF6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B27866"/>
    <w:multiLevelType w:val="multilevel"/>
    <w:tmpl w:val="5C0E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8F3953"/>
    <w:multiLevelType w:val="multilevel"/>
    <w:tmpl w:val="B5F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F14A20"/>
    <w:multiLevelType w:val="multilevel"/>
    <w:tmpl w:val="07083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20"/>
  </w:num>
  <w:num w:numId="4">
    <w:abstractNumId w:val="12"/>
  </w:num>
  <w:num w:numId="5">
    <w:abstractNumId w:val="7"/>
  </w:num>
  <w:num w:numId="6">
    <w:abstractNumId w:val="16"/>
  </w:num>
  <w:num w:numId="7">
    <w:abstractNumId w:val="2"/>
  </w:num>
  <w:num w:numId="8">
    <w:abstractNumId w:val="1"/>
  </w:num>
  <w:num w:numId="9">
    <w:abstractNumId w:val="3"/>
  </w:num>
  <w:num w:numId="10">
    <w:abstractNumId w:val="10"/>
  </w:num>
  <w:num w:numId="11">
    <w:abstractNumId w:val="5"/>
  </w:num>
  <w:num w:numId="12">
    <w:abstractNumId w:val="21"/>
  </w:num>
  <w:num w:numId="13">
    <w:abstractNumId w:val="19"/>
  </w:num>
  <w:num w:numId="14">
    <w:abstractNumId w:val="8"/>
  </w:num>
  <w:num w:numId="15">
    <w:abstractNumId w:val="13"/>
  </w:num>
  <w:num w:numId="16">
    <w:abstractNumId w:val="4"/>
  </w:num>
  <w:num w:numId="17">
    <w:abstractNumId w:val="17"/>
  </w:num>
  <w:num w:numId="18">
    <w:abstractNumId w:val="6"/>
  </w:num>
  <w:num w:numId="19">
    <w:abstractNumId w:val="9"/>
  </w:num>
  <w:num w:numId="20">
    <w:abstractNumId w:val="18"/>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674"/>
    <w:rsid w:val="000B5C49"/>
    <w:rsid w:val="000F5CFC"/>
    <w:rsid w:val="00107349"/>
    <w:rsid w:val="001451FD"/>
    <w:rsid w:val="001504D9"/>
    <w:rsid w:val="001A5E1F"/>
    <w:rsid w:val="00252F07"/>
    <w:rsid w:val="002631F2"/>
    <w:rsid w:val="002A3E1A"/>
    <w:rsid w:val="002A58A9"/>
    <w:rsid w:val="002B25A5"/>
    <w:rsid w:val="002B3B6D"/>
    <w:rsid w:val="0030153B"/>
    <w:rsid w:val="00316073"/>
    <w:rsid w:val="003E712D"/>
    <w:rsid w:val="00404499"/>
    <w:rsid w:val="004E5425"/>
    <w:rsid w:val="005553FE"/>
    <w:rsid w:val="005A30F8"/>
    <w:rsid w:val="005C73B4"/>
    <w:rsid w:val="006158AE"/>
    <w:rsid w:val="00652159"/>
    <w:rsid w:val="006C64F5"/>
    <w:rsid w:val="006E4CF3"/>
    <w:rsid w:val="00702ADA"/>
    <w:rsid w:val="007057A8"/>
    <w:rsid w:val="00746A29"/>
    <w:rsid w:val="007634FC"/>
    <w:rsid w:val="00772BB0"/>
    <w:rsid w:val="00792513"/>
    <w:rsid w:val="007D0E8B"/>
    <w:rsid w:val="008C193B"/>
    <w:rsid w:val="00984FE8"/>
    <w:rsid w:val="00995A88"/>
    <w:rsid w:val="009A32DE"/>
    <w:rsid w:val="009B0EDA"/>
    <w:rsid w:val="00A81496"/>
    <w:rsid w:val="00AB4BEE"/>
    <w:rsid w:val="00AD373F"/>
    <w:rsid w:val="00AD4BF5"/>
    <w:rsid w:val="00AE2674"/>
    <w:rsid w:val="00AF5C69"/>
    <w:rsid w:val="00B53E03"/>
    <w:rsid w:val="00B6444F"/>
    <w:rsid w:val="00B67C2A"/>
    <w:rsid w:val="00BC1DE9"/>
    <w:rsid w:val="00CF4057"/>
    <w:rsid w:val="00D27F4B"/>
    <w:rsid w:val="00DF21BC"/>
    <w:rsid w:val="00DF2420"/>
    <w:rsid w:val="00E8512E"/>
    <w:rsid w:val="00EA09CE"/>
    <w:rsid w:val="00F51CA0"/>
    <w:rsid w:val="00FD16E9"/>
    <w:rsid w:val="00FF45A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09198"/>
  <w15:chartTrackingRefBased/>
  <w15:docId w15:val="{211E08A4-1212-4EE3-9067-35B9AD8A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5A5"/>
    <w:pPr>
      <w:keepNext/>
      <w:keepLines/>
      <w:spacing w:before="360" w:after="120" w:line="276" w:lineRule="auto"/>
      <w:jc w:val="center"/>
      <w:outlineLvl w:val="0"/>
    </w:pPr>
    <w:rPr>
      <w:rFonts w:eastAsiaTheme="majorEastAsia"/>
      <w:b/>
      <w:color w:val="0F4761" w:themeColor="accent1" w:themeShade="BF"/>
      <w:sz w:val="32"/>
      <w:szCs w:val="32"/>
    </w:rPr>
  </w:style>
  <w:style w:type="paragraph" w:styleId="Heading2">
    <w:name w:val="heading 2"/>
    <w:basedOn w:val="Normal"/>
    <w:next w:val="Normal"/>
    <w:link w:val="Heading2Char"/>
    <w:uiPriority w:val="9"/>
    <w:unhideWhenUsed/>
    <w:qFormat/>
    <w:rsid w:val="002B25A5"/>
    <w:pPr>
      <w:keepNext/>
      <w:keepLines/>
      <w:spacing w:before="240" w:after="2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2B25A5"/>
    <w:pPr>
      <w:keepNext/>
      <w:keepLines/>
      <w:spacing w:before="160" w:after="120"/>
      <w:outlineLvl w:val="2"/>
    </w:pPr>
    <w:rPr>
      <w:rFonts w:eastAsiaTheme="majorEastAsia" w:cstheme="majorBidi"/>
      <w:color w:val="0A2F40" w:themeColor="accent1" w:themeShade="7F"/>
      <w:sz w:val="26"/>
    </w:rPr>
  </w:style>
  <w:style w:type="paragraph" w:styleId="Heading4">
    <w:name w:val="heading 4"/>
    <w:basedOn w:val="Normal"/>
    <w:next w:val="Normal"/>
    <w:link w:val="Heading4Char"/>
    <w:uiPriority w:val="9"/>
    <w:unhideWhenUsed/>
    <w:qFormat/>
    <w:rsid w:val="00AE26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26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26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26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26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26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5A5"/>
    <w:rPr>
      <w:rFonts w:eastAsiaTheme="majorEastAsia"/>
      <w:b/>
      <w:color w:val="0F4761" w:themeColor="accent1" w:themeShade="BF"/>
      <w:sz w:val="32"/>
      <w:szCs w:val="32"/>
    </w:rPr>
  </w:style>
  <w:style w:type="character" w:customStyle="1" w:styleId="Heading2Char">
    <w:name w:val="Heading 2 Char"/>
    <w:basedOn w:val="DefaultParagraphFont"/>
    <w:link w:val="Heading2"/>
    <w:uiPriority w:val="9"/>
    <w:rsid w:val="002B25A5"/>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2B25A5"/>
    <w:rPr>
      <w:rFonts w:eastAsiaTheme="majorEastAsia" w:cstheme="majorBidi"/>
      <w:color w:val="0A2F40" w:themeColor="accent1" w:themeShade="7F"/>
      <w:sz w:val="26"/>
    </w:rPr>
  </w:style>
  <w:style w:type="paragraph" w:styleId="NoSpacing">
    <w:name w:val="No Spacing"/>
    <w:uiPriority w:val="1"/>
    <w:rsid w:val="00A81496"/>
    <w:pPr>
      <w:spacing w:after="0" w:line="240" w:lineRule="auto"/>
    </w:pPr>
  </w:style>
  <w:style w:type="character" w:customStyle="1" w:styleId="Heading4Char">
    <w:name w:val="Heading 4 Char"/>
    <w:basedOn w:val="DefaultParagraphFont"/>
    <w:link w:val="Heading4"/>
    <w:uiPriority w:val="9"/>
    <w:rsid w:val="00AE2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2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2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2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2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2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2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6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6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2674"/>
    <w:pPr>
      <w:spacing w:before="160"/>
      <w:jc w:val="center"/>
    </w:pPr>
    <w:rPr>
      <w:i/>
      <w:iCs/>
      <w:color w:val="404040" w:themeColor="text1" w:themeTint="BF"/>
    </w:rPr>
  </w:style>
  <w:style w:type="character" w:customStyle="1" w:styleId="QuoteChar">
    <w:name w:val="Quote Char"/>
    <w:basedOn w:val="DefaultParagraphFont"/>
    <w:link w:val="Quote"/>
    <w:uiPriority w:val="29"/>
    <w:rsid w:val="00AE2674"/>
    <w:rPr>
      <w:i/>
      <w:iCs/>
      <w:color w:val="404040" w:themeColor="text1" w:themeTint="BF"/>
    </w:rPr>
  </w:style>
  <w:style w:type="paragraph" w:styleId="ListParagraph">
    <w:name w:val="List Paragraph"/>
    <w:basedOn w:val="Normal"/>
    <w:uiPriority w:val="34"/>
    <w:qFormat/>
    <w:rsid w:val="00AE2674"/>
    <w:pPr>
      <w:ind w:left="720"/>
      <w:contextualSpacing/>
    </w:pPr>
  </w:style>
  <w:style w:type="character" w:styleId="IntenseEmphasis">
    <w:name w:val="Intense Emphasis"/>
    <w:basedOn w:val="DefaultParagraphFont"/>
    <w:uiPriority w:val="21"/>
    <w:qFormat/>
    <w:rsid w:val="00AE2674"/>
    <w:rPr>
      <w:i/>
      <w:iCs/>
      <w:color w:val="0F4761" w:themeColor="accent1" w:themeShade="BF"/>
    </w:rPr>
  </w:style>
  <w:style w:type="paragraph" w:styleId="IntenseQuote">
    <w:name w:val="Intense Quote"/>
    <w:basedOn w:val="Normal"/>
    <w:next w:val="Normal"/>
    <w:link w:val="IntenseQuoteChar"/>
    <w:uiPriority w:val="30"/>
    <w:qFormat/>
    <w:rsid w:val="00AE2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674"/>
    <w:rPr>
      <w:i/>
      <w:iCs/>
      <w:color w:val="0F4761" w:themeColor="accent1" w:themeShade="BF"/>
    </w:rPr>
  </w:style>
  <w:style w:type="character" w:styleId="IntenseReference">
    <w:name w:val="Intense Reference"/>
    <w:basedOn w:val="DefaultParagraphFont"/>
    <w:uiPriority w:val="32"/>
    <w:qFormat/>
    <w:rsid w:val="00AE2674"/>
    <w:rPr>
      <w:b/>
      <w:bCs/>
      <w:smallCaps/>
      <w:color w:val="0F4761" w:themeColor="accent1" w:themeShade="BF"/>
      <w:spacing w:val="5"/>
    </w:rPr>
  </w:style>
  <w:style w:type="character" w:styleId="Hyperlink">
    <w:name w:val="Hyperlink"/>
    <w:basedOn w:val="DefaultParagraphFont"/>
    <w:uiPriority w:val="99"/>
    <w:unhideWhenUsed/>
    <w:rsid w:val="00AE2674"/>
    <w:rPr>
      <w:color w:val="467886" w:themeColor="hyperlink"/>
      <w:u w:val="single"/>
    </w:rPr>
  </w:style>
  <w:style w:type="character" w:customStyle="1" w:styleId="UnresolvedMention1">
    <w:name w:val="Unresolved Mention1"/>
    <w:basedOn w:val="DefaultParagraphFont"/>
    <w:uiPriority w:val="99"/>
    <w:semiHidden/>
    <w:unhideWhenUsed/>
    <w:rsid w:val="00AE2674"/>
    <w:rPr>
      <w:color w:val="605E5C"/>
      <w:shd w:val="clear" w:color="auto" w:fill="E1DFDD"/>
    </w:rPr>
  </w:style>
  <w:style w:type="table" w:styleId="TableGrid">
    <w:name w:val="Table Grid"/>
    <w:basedOn w:val="TableNormal"/>
    <w:uiPriority w:val="39"/>
    <w:rsid w:val="00AE2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E03"/>
  </w:style>
  <w:style w:type="paragraph" w:styleId="Footer">
    <w:name w:val="footer"/>
    <w:basedOn w:val="Normal"/>
    <w:link w:val="FooterChar"/>
    <w:uiPriority w:val="99"/>
    <w:unhideWhenUsed/>
    <w:rsid w:val="00B5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E03"/>
  </w:style>
  <w:style w:type="character" w:customStyle="1" w:styleId="UnresolvedMention2">
    <w:name w:val="Unresolved Mention2"/>
    <w:basedOn w:val="DefaultParagraphFont"/>
    <w:uiPriority w:val="99"/>
    <w:semiHidden/>
    <w:unhideWhenUsed/>
    <w:rsid w:val="0030153B"/>
    <w:rPr>
      <w:color w:val="605E5C"/>
      <w:shd w:val="clear" w:color="auto" w:fill="E1DFDD"/>
    </w:rPr>
  </w:style>
  <w:style w:type="paragraph" w:styleId="NormalWeb">
    <w:name w:val="Normal (Web)"/>
    <w:basedOn w:val="Normal"/>
    <w:uiPriority w:val="99"/>
    <w:semiHidden/>
    <w:unhideWhenUsed/>
    <w:rsid w:val="0030153B"/>
    <w:pPr>
      <w:spacing w:before="100" w:beforeAutospacing="1" w:after="100" w:afterAutospacing="1" w:line="240" w:lineRule="auto"/>
      <w:jc w:val="left"/>
    </w:pPr>
    <w:rPr>
      <w:rFonts w:eastAsia="Times New Roman"/>
      <w:lang w:eastAsia="en-IN" w:bidi="mr-IN"/>
    </w:rPr>
  </w:style>
  <w:style w:type="character" w:styleId="Emphasis">
    <w:name w:val="Emphasis"/>
    <w:basedOn w:val="DefaultParagraphFont"/>
    <w:uiPriority w:val="20"/>
    <w:qFormat/>
    <w:rsid w:val="003015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027653">
      <w:bodyDiv w:val="1"/>
      <w:marLeft w:val="0"/>
      <w:marRight w:val="0"/>
      <w:marTop w:val="0"/>
      <w:marBottom w:val="0"/>
      <w:divBdr>
        <w:top w:val="none" w:sz="0" w:space="0" w:color="auto"/>
        <w:left w:val="none" w:sz="0" w:space="0" w:color="auto"/>
        <w:bottom w:val="none" w:sz="0" w:space="0" w:color="auto"/>
        <w:right w:val="none" w:sz="0" w:space="0" w:color="auto"/>
      </w:divBdr>
    </w:div>
    <w:div w:id="213000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nar/gkh340" TargetMode="External"/><Relationship Id="rId18" Type="http://schemas.openxmlformats.org/officeDocument/2006/relationships/hyperlink" Target="https://doi.org/10.1371/journal.pone.0101460" TargetMode="External"/><Relationship Id="rId26" Type="http://schemas.openxmlformats.org/officeDocument/2006/relationships/hyperlink" Target="https://doi.org/10.1111/j.1471-8286.2007.01678.x" TargetMode="External"/><Relationship Id="rId39" Type="http://schemas.openxmlformats.org/officeDocument/2006/relationships/footer" Target="footer3.xml"/><Relationship Id="rId21" Type="http://schemas.openxmlformats.org/officeDocument/2006/relationships/hyperlink" Target="http://www.pib.gov.in/PressReleseDetailm.aspx?PRID=2083813"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98/rspb.2002.2218" TargetMode="External"/><Relationship Id="rId20" Type="http://schemas.openxmlformats.org/officeDocument/2006/relationships/hyperlink" Target="https://doi.org/10.1111/j.1755-0998.2010.02894.x" TargetMode="External"/><Relationship Id="rId29" Type="http://schemas.openxmlformats.org/officeDocument/2006/relationships/hyperlink" Target="https://www.fisheriesjournal.com/archives/2016/vol4issue2/PartE/4-2-68.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diversitylibrary.org/item/25934" TargetMode="External"/><Relationship Id="rId24" Type="http://schemas.openxmlformats.org/officeDocument/2006/relationships/hyperlink" Target="https://epubs.icar.org.in/index.php/IJF/article/view/6867" TargetMode="External"/><Relationship Id="rId32" Type="http://schemas.openxmlformats.org/officeDocument/2006/relationships/hyperlink" Target="https://doi.org/10.1111/j.1095-8649.2008.02080.x"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tig.2007.02.001" TargetMode="External"/><Relationship Id="rId23" Type="http://schemas.openxmlformats.org/officeDocument/2006/relationships/hyperlink" Target="http://as.wiley.com/WileyCDA/WileyTitle/productCd-0471250317.html" TargetMode="External"/><Relationship Id="rId28" Type="http://schemas.openxmlformats.org/officeDocument/2006/relationships/hyperlink" Target="https://doi.org/10.1080/24701394.2018.1437032" TargetMode="External"/><Relationship Id="rId36" Type="http://schemas.openxmlformats.org/officeDocument/2006/relationships/footer" Target="footer1.xml"/><Relationship Id="rId10" Type="http://schemas.openxmlformats.org/officeDocument/2006/relationships/hyperlink" Target="https://doi.org/10.3389/fgene.2023.1166385" TargetMode="External"/><Relationship Id="rId19" Type="http://schemas.openxmlformats.org/officeDocument/2006/relationships/hyperlink" Target="https://doi.org/10.1080/23802359.2019.1637290" TargetMode="External"/><Relationship Id="rId31" Type="http://schemas.openxmlformats.org/officeDocument/2006/relationships/hyperlink" Target="https://doi.org/10.1093/molbev/msab120" TargetMode="External"/><Relationship Id="rId4" Type="http://schemas.openxmlformats.org/officeDocument/2006/relationships/webSettings" Target="webSettings.xml"/><Relationship Id="rId9" Type="http://schemas.openxmlformats.org/officeDocument/2006/relationships/hyperlink" Target="https://doi.org/10.1016/j.gene.2013.12.047" TargetMode="External"/><Relationship Id="rId14" Type="http://schemas.openxmlformats.org/officeDocument/2006/relationships/hyperlink" Target="http://www.fao.org/3/cd0683en/online/sofia/2024/world-fisheries-aquaculture-production.html" TargetMode="External"/><Relationship Id="rId22" Type="http://schemas.openxmlformats.org/officeDocument/2006/relationships/hyperlink" Target="https://doi.org/10.1080/23802359.2020.1768913" TargetMode="External"/><Relationship Id="rId27" Type="http://schemas.openxmlformats.org/officeDocument/2006/relationships/hyperlink" Target="https://doi.org/10.1080/23802359.2020.1870879" TargetMode="External"/><Relationship Id="rId30" Type="http://schemas.openxmlformats.org/officeDocument/2006/relationships/hyperlink" Target="http://books.google.com/books/about/Inland_Fishes_of_India_and_Adjacent_Coun.html?id=VZAWAQAAIAAJ" TargetMode="External"/><Relationship Id="rId35" Type="http://schemas.openxmlformats.org/officeDocument/2006/relationships/header" Target="header2.xml"/><Relationship Id="rId8" Type="http://schemas.openxmlformats.org/officeDocument/2006/relationships/hyperlink" Target="https://doi.org/10.1186/1471-2105-10-421" TargetMode="External"/><Relationship Id="rId3" Type="http://schemas.openxmlformats.org/officeDocument/2006/relationships/settings" Target="settings.xml"/><Relationship Id="rId12" Type="http://schemas.openxmlformats.org/officeDocument/2006/relationships/hyperlink" Target="https://doi.org/10.1134/S199508292111002X" TargetMode="External"/><Relationship Id="rId17" Type="http://schemas.openxmlformats.org/officeDocument/2006/relationships/hyperlink" Target="https://doi.org/10.1093/bioinformatics/bts199" TargetMode="External"/><Relationship Id="rId25" Type="http://schemas.openxmlformats.org/officeDocument/2006/relationships/hyperlink" Target="http://www.barcodinglife.org" TargetMode="External"/><Relationship Id="rId33" Type="http://schemas.openxmlformats.org/officeDocument/2006/relationships/hyperlink" Target="https://doi.org/10.1098/rstb.2005.1716"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13</Pages>
  <Words>5669</Words>
  <Characters>32317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Kalra</dc:creator>
  <cp:keywords/>
  <dc:description/>
  <cp:lastModifiedBy>SDI 1137</cp:lastModifiedBy>
  <cp:revision>48</cp:revision>
  <dcterms:created xsi:type="dcterms:W3CDTF">2025-08-27T11:44:00Z</dcterms:created>
  <dcterms:modified xsi:type="dcterms:W3CDTF">2025-09-06T13:08:00Z</dcterms:modified>
</cp:coreProperties>
</file>