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3B541" w14:textId="77777777" w:rsidR="00754C9A" w:rsidRDefault="00754C9A" w:rsidP="00441B6F">
      <w:pPr>
        <w:pStyle w:val="Title"/>
        <w:spacing w:after="0"/>
        <w:jc w:val="both"/>
        <w:rPr>
          <w:rFonts w:ascii="Arial" w:hAnsi="Arial" w:cs="Arial"/>
        </w:rPr>
      </w:pPr>
    </w:p>
    <w:p w14:paraId="7A5D627D" w14:textId="455FC551" w:rsidR="00163BC4" w:rsidRPr="00163BC4" w:rsidRDefault="004F413D" w:rsidP="009E6DCE">
      <w:pPr>
        <w:pStyle w:val="Author"/>
        <w:spacing w:line="240" w:lineRule="auto"/>
        <w:rPr>
          <w:rFonts w:ascii="Arial" w:hAnsi="Arial" w:cs="Arial"/>
          <w:bCs/>
          <w:iCs/>
          <w:kern w:val="28"/>
          <w:sz w:val="36"/>
        </w:rPr>
      </w:pPr>
      <w:bookmarkStart w:id="0" w:name="OLE_LINK1"/>
      <w:r>
        <w:rPr>
          <w:rFonts w:ascii="Arial" w:hAnsi="Arial" w:cs="Arial"/>
          <w:bCs/>
          <w:iCs/>
          <w:kern w:val="28"/>
          <w:sz w:val="36"/>
        </w:rPr>
        <w:t>Biom</w:t>
      </w:r>
      <w:r w:rsidR="009024E9">
        <w:rPr>
          <w:rFonts w:ascii="Arial" w:hAnsi="Arial" w:cs="Arial"/>
          <w:bCs/>
          <w:iCs/>
          <w:kern w:val="28"/>
          <w:sz w:val="36"/>
        </w:rPr>
        <w:t xml:space="preserve">echanical </w:t>
      </w:r>
      <w:r w:rsidR="009E6DCE">
        <w:rPr>
          <w:rFonts w:ascii="Arial" w:hAnsi="Arial" w:cs="Arial"/>
          <w:bCs/>
          <w:iCs/>
          <w:kern w:val="28"/>
          <w:sz w:val="36"/>
        </w:rPr>
        <w:t>Strength</w:t>
      </w:r>
      <w:r w:rsidR="009024E9">
        <w:rPr>
          <w:rFonts w:ascii="Arial" w:hAnsi="Arial" w:cs="Arial"/>
          <w:bCs/>
          <w:iCs/>
          <w:kern w:val="28"/>
          <w:sz w:val="36"/>
        </w:rPr>
        <w:t xml:space="preserve"> and </w:t>
      </w:r>
      <w:proofErr w:type="spellStart"/>
      <w:r w:rsidR="009024E9">
        <w:rPr>
          <w:rFonts w:ascii="Arial" w:hAnsi="Arial" w:cs="Arial"/>
          <w:bCs/>
          <w:iCs/>
          <w:kern w:val="28"/>
          <w:sz w:val="36"/>
        </w:rPr>
        <w:t>Anatom</w:t>
      </w:r>
      <w:r w:rsidR="00EC67D0">
        <w:rPr>
          <w:rFonts w:ascii="Arial" w:hAnsi="Arial" w:cs="Arial"/>
          <w:bCs/>
          <w:iCs/>
          <w:kern w:val="28"/>
          <w:sz w:val="36"/>
        </w:rPr>
        <w:t>ohistolog</w:t>
      </w:r>
      <w:r w:rsidR="009024E9">
        <w:rPr>
          <w:rFonts w:ascii="Arial" w:hAnsi="Arial" w:cs="Arial"/>
          <w:bCs/>
          <w:iCs/>
          <w:kern w:val="28"/>
          <w:sz w:val="36"/>
        </w:rPr>
        <w:t>ical</w:t>
      </w:r>
      <w:proofErr w:type="spellEnd"/>
      <w:r w:rsidR="00705D5C" w:rsidRPr="00705D5C">
        <w:rPr>
          <w:rFonts w:ascii="Arial" w:hAnsi="Arial" w:cs="Arial"/>
          <w:bCs/>
          <w:iCs/>
          <w:kern w:val="28"/>
          <w:sz w:val="36"/>
        </w:rPr>
        <w:t xml:space="preserve"> Characteristic</w:t>
      </w:r>
      <w:r w:rsidR="00705D5C">
        <w:rPr>
          <w:rFonts w:ascii="Arial" w:hAnsi="Arial" w:cs="Arial"/>
          <w:bCs/>
          <w:iCs/>
          <w:kern w:val="28"/>
          <w:sz w:val="36"/>
        </w:rPr>
        <w:t>s</w:t>
      </w:r>
      <w:r w:rsidR="00705D5C" w:rsidRPr="00705D5C">
        <w:rPr>
          <w:rFonts w:ascii="Arial" w:hAnsi="Arial" w:cs="Arial"/>
          <w:bCs/>
          <w:iCs/>
          <w:kern w:val="28"/>
          <w:sz w:val="36"/>
        </w:rPr>
        <w:t xml:space="preserve"> </w:t>
      </w:r>
      <w:r w:rsidR="00705D5C">
        <w:rPr>
          <w:rFonts w:ascii="Arial" w:hAnsi="Arial" w:cs="Arial"/>
          <w:bCs/>
          <w:iCs/>
          <w:kern w:val="28"/>
          <w:sz w:val="36"/>
        </w:rPr>
        <w:t>o</w:t>
      </w:r>
      <w:r w:rsidR="00705D5C" w:rsidRPr="00705D5C">
        <w:rPr>
          <w:rFonts w:ascii="Arial" w:hAnsi="Arial" w:cs="Arial"/>
          <w:bCs/>
          <w:iCs/>
          <w:kern w:val="28"/>
          <w:sz w:val="36"/>
        </w:rPr>
        <w:t>f Decellularized Bone</w:t>
      </w:r>
      <w:r w:rsidR="00EC67D0">
        <w:rPr>
          <w:rFonts w:ascii="Arial" w:hAnsi="Arial" w:cs="Arial"/>
          <w:bCs/>
          <w:iCs/>
          <w:kern w:val="28"/>
          <w:sz w:val="36"/>
        </w:rPr>
        <w:t xml:space="preserve"> </w:t>
      </w:r>
      <w:r w:rsidR="00BA5994">
        <w:rPr>
          <w:rFonts w:ascii="Arial" w:hAnsi="Arial" w:cs="Arial"/>
          <w:bCs/>
          <w:iCs/>
          <w:kern w:val="28"/>
          <w:sz w:val="36"/>
        </w:rPr>
        <w:t>from Goat</w:t>
      </w:r>
      <w:r w:rsidR="00705D5C" w:rsidRPr="00705D5C">
        <w:rPr>
          <w:rFonts w:ascii="Arial" w:hAnsi="Arial" w:cs="Arial"/>
          <w:bCs/>
          <w:iCs/>
          <w:kern w:val="28"/>
          <w:sz w:val="36"/>
        </w:rPr>
        <w:t xml:space="preserve"> </w:t>
      </w:r>
      <w:r w:rsidR="00705D5C">
        <w:rPr>
          <w:rFonts w:ascii="Arial" w:hAnsi="Arial" w:cs="Arial"/>
          <w:bCs/>
          <w:iCs/>
          <w:kern w:val="28"/>
          <w:sz w:val="36"/>
        </w:rPr>
        <w:t>as</w:t>
      </w:r>
      <w:r w:rsidR="00705D5C" w:rsidRPr="00705D5C">
        <w:rPr>
          <w:rFonts w:ascii="Arial" w:hAnsi="Arial" w:cs="Arial"/>
          <w:bCs/>
          <w:iCs/>
          <w:kern w:val="28"/>
          <w:sz w:val="36"/>
        </w:rPr>
        <w:t xml:space="preserve"> Bone </w:t>
      </w:r>
      <w:r w:rsidR="00EC67D0">
        <w:rPr>
          <w:rFonts w:ascii="Arial" w:hAnsi="Arial" w:cs="Arial"/>
          <w:bCs/>
          <w:iCs/>
          <w:kern w:val="28"/>
          <w:sz w:val="36"/>
        </w:rPr>
        <w:t>Reconstruction</w:t>
      </w:r>
      <w:r w:rsidR="00705D5C" w:rsidRPr="00705D5C">
        <w:rPr>
          <w:rFonts w:ascii="Arial" w:hAnsi="Arial" w:cs="Arial"/>
          <w:bCs/>
          <w:iCs/>
          <w:kern w:val="28"/>
          <w:sz w:val="36"/>
        </w:rPr>
        <w:t xml:space="preserve"> Candidate</w:t>
      </w:r>
      <w:r w:rsidR="00705D5C">
        <w:t xml:space="preserve"> </w:t>
      </w:r>
      <w:r w:rsidR="00231920">
        <w:rPr>
          <w:rFonts w:ascii="Arial" w:hAnsi="Arial" w:cs="Arial"/>
          <w:bCs/>
          <w:iCs/>
          <w:kern w:val="28"/>
          <w:sz w:val="36"/>
        </w:rPr>
        <w:t xml:space="preserve"> </w:t>
      </w:r>
      <w:bookmarkEnd w:id="0"/>
    </w:p>
    <w:p w14:paraId="6B985A7B" w14:textId="77777777" w:rsidR="00A258C3" w:rsidRPr="00790ADA" w:rsidRDefault="00A258C3" w:rsidP="00441B6F">
      <w:pPr>
        <w:pStyle w:val="Author"/>
        <w:spacing w:line="240" w:lineRule="auto"/>
        <w:jc w:val="both"/>
        <w:rPr>
          <w:rFonts w:ascii="Arial" w:hAnsi="Arial" w:cs="Arial"/>
          <w:sz w:val="36"/>
        </w:rPr>
      </w:pPr>
    </w:p>
    <w:p w14:paraId="12552D2E" w14:textId="477A890C" w:rsidR="00B01FCD" w:rsidRPr="00FB3A86" w:rsidRDefault="00285A16"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11E74B9D" wp14:editId="2217D52C">
                <wp:extent cx="5303520" cy="635"/>
                <wp:effectExtent l="13335" t="17145" r="17145" b="11430"/>
                <wp:docPr id="5094682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AC6F47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8B2F23C" w14:textId="7BD83A87" w:rsidR="00B01FCD" w:rsidRDefault="00B01FCD" w:rsidP="00441B6F">
      <w:pPr>
        <w:pStyle w:val="AbstHead"/>
        <w:spacing w:after="0"/>
        <w:jc w:val="both"/>
        <w:rPr>
          <w:rFonts w:ascii="Arial" w:hAnsi="Arial" w:cs="Arial"/>
        </w:rPr>
      </w:pPr>
      <w:r w:rsidRPr="00FB3A86">
        <w:rPr>
          <w:rFonts w:ascii="Arial" w:hAnsi="Arial" w:cs="Arial"/>
        </w:rPr>
        <w:t>ABSTRACT</w:t>
      </w:r>
    </w:p>
    <w:p w14:paraId="3403CE4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E7CBE44" w14:textId="77777777" w:rsidTr="001E44FE">
        <w:tc>
          <w:tcPr>
            <w:tcW w:w="9576" w:type="dxa"/>
            <w:shd w:val="clear" w:color="auto" w:fill="F2F2F2"/>
          </w:tcPr>
          <w:p w14:paraId="5D2CAD42" w14:textId="053EAEC1" w:rsidR="00BD776E" w:rsidRPr="00BD776E" w:rsidRDefault="00BD776E" w:rsidP="00BD776E">
            <w:pPr>
              <w:pStyle w:val="NormalWeb"/>
              <w:spacing w:before="0" w:beforeAutospacing="0" w:after="0" w:afterAutospacing="0"/>
              <w:jc w:val="both"/>
              <w:rPr>
                <w:rFonts w:ascii="Arial" w:eastAsia="Calibri" w:hAnsi="Arial" w:cs="Arial"/>
                <w:sz w:val="20"/>
                <w:szCs w:val="22"/>
                <w:lang w:val="en-US" w:eastAsia="en-US"/>
              </w:rPr>
            </w:pPr>
            <w:r w:rsidRPr="00BD776E">
              <w:rPr>
                <w:rFonts w:ascii="Arial" w:eastAsia="Calibri" w:hAnsi="Arial" w:cs="Arial"/>
                <w:b/>
                <w:bCs/>
                <w:sz w:val="20"/>
                <w:szCs w:val="22"/>
                <w:lang w:val="en-US" w:eastAsia="en-US"/>
              </w:rPr>
              <w:t>Aims:</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To evaluate the histological, extracellular matrix (ECM), and biomechanical characteristics of goat bone before and after decellularization, and to determine its suitability as a xenograft material for bone regeneration.</w:t>
            </w:r>
          </w:p>
          <w:p w14:paraId="15FF9CD0" w14:textId="5ECF726B" w:rsidR="00BD776E" w:rsidRPr="00BD776E" w:rsidRDefault="00BD776E" w:rsidP="00BD776E">
            <w:pPr>
              <w:pStyle w:val="NormalWeb"/>
              <w:spacing w:before="0" w:beforeAutospacing="0" w:after="0" w:afterAutospacing="0"/>
              <w:rPr>
                <w:rFonts w:ascii="Arial" w:eastAsia="Calibri" w:hAnsi="Arial" w:cs="Arial"/>
                <w:sz w:val="20"/>
                <w:szCs w:val="22"/>
                <w:lang w:val="en-US" w:eastAsia="en-US"/>
              </w:rPr>
            </w:pPr>
            <w:r w:rsidRPr="00BD776E">
              <w:rPr>
                <w:rFonts w:ascii="Arial" w:eastAsia="Calibri" w:hAnsi="Arial" w:cs="Arial"/>
                <w:b/>
                <w:bCs/>
                <w:sz w:val="20"/>
                <w:szCs w:val="22"/>
                <w:lang w:val="en-US" w:eastAsia="en-US"/>
              </w:rPr>
              <w:t>Study Design:</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Experimental laboratory study.</w:t>
            </w:r>
          </w:p>
          <w:p w14:paraId="0A2F9741" w14:textId="28165B1F" w:rsidR="00BD776E" w:rsidRPr="00BD776E" w:rsidRDefault="00BD776E" w:rsidP="00BD776E">
            <w:pPr>
              <w:pStyle w:val="NormalWeb"/>
              <w:spacing w:before="0" w:beforeAutospacing="0" w:after="0" w:afterAutospacing="0"/>
              <w:rPr>
                <w:rFonts w:ascii="Arial" w:eastAsia="Calibri" w:hAnsi="Arial" w:cs="Arial"/>
                <w:sz w:val="20"/>
                <w:szCs w:val="22"/>
                <w:lang w:val="en-US" w:eastAsia="en-US"/>
              </w:rPr>
            </w:pPr>
            <w:r w:rsidRPr="00BD776E">
              <w:rPr>
                <w:rFonts w:ascii="Arial" w:eastAsia="Calibri" w:hAnsi="Arial" w:cs="Arial"/>
                <w:b/>
                <w:bCs/>
                <w:sz w:val="20"/>
                <w:szCs w:val="22"/>
                <w:lang w:val="en-US" w:eastAsia="en-US"/>
              </w:rPr>
              <w:t>Place and Duration of Study:</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 xml:space="preserve">Faculty of Veterinary Medicine, </w:t>
            </w:r>
            <w:proofErr w:type="spellStart"/>
            <w:r w:rsidRPr="00BD776E">
              <w:rPr>
                <w:rFonts w:ascii="Arial" w:eastAsia="Calibri" w:hAnsi="Arial" w:cs="Arial"/>
                <w:sz w:val="20"/>
                <w:szCs w:val="22"/>
                <w:lang w:val="en-US" w:eastAsia="en-US"/>
              </w:rPr>
              <w:t>Universitas</w:t>
            </w:r>
            <w:proofErr w:type="spellEnd"/>
            <w:r w:rsidRPr="00BD776E">
              <w:rPr>
                <w:rFonts w:ascii="Arial" w:eastAsia="Calibri" w:hAnsi="Arial" w:cs="Arial"/>
                <w:sz w:val="20"/>
                <w:szCs w:val="22"/>
                <w:lang w:val="en-US" w:eastAsia="en-US"/>
              </w:rPr>
              <w:t xml:space="preserve"> </w:t>
            </w:r>
            <w:proofErr w:type="spellStart"/>
            <w:r w:rsidRPr="00BD776E">
              <w:rPr>
                <w:rFonts w:ascii="Arial" w:eastAsia="Calibri" w:hAnsi="Arial" w:cs="Arial"/>
                <w:sz w:val="20"/>
                <w:szCs w:val="22"/>
                <w:lang w:val="en-US" w:eastAsia="en-US"/>
              </w:rPr>
              <w:t>Brawijaya</w:t>
            </w:r>
            <w:proofErr w:type="spellEnd"/>
            <w:r w:rsidRPr="00BD776E">
              <w:rPr>
                <w:rFonts w:ascii="Arial" w:eastAsia="Calibri" w:hAnsi="Arial" w:cs="Arial"/>
                <w:sz w:val="20"/>
                <w:szCs w:val="22"/>
                <w:lang w:val="en-US" w:eastAsia="en-US"/>
              </w:rPr>
              <w:t xml:space="preserve">, Indonesia; </w:t>
            </w:r>
            <w:r>
              <w:rPr>
                <w:rFonts w:ascii="Arial" w:eastAsia="Calibri" w:hAnsi="Arial" w:cs="Arial"/>
                <w:sz w:val="20"/>
                <w:szCs w:val="22"/>
                <w:lang w:val="en-US" w:eastAsia="en-US"/>
              </w:rPr>
              <w:t>duration of study is 2 years</w:t>
            </w:r>
            <w:r w:rsidRPr="00BD776E">
              <w:rPr>
                <w:rFonts w:ascii="Arial" w:eastAsia="Calibri" w:hAnsi="Arial" w:cs="Arial"/>
                <w:sz w:val="20"/>
                <w:szCs w:val="22"/>
                <w:lang w:val="en-US" w:eastAsia="en-US"/>
              </w:rPr>
              <w:t>.</w:t>
            </w:r>
          </w:p>
          <w:p w14:paraId="5ECA5B39" w14:textId="1FE7577E" w:rsidR="00BD776E" w:rsidRPr="00BD776E" w:rsidRDefault="00BD776E" w:rsidP="00BD776E">
            <w:pPr>
              <w:pStyle w:val="NormalWeb"/>
              <w:spacing w:before="0" w:beforeAutospacing="0" w:after="0" w:afterAutospacing="0"/>
              <w:jc w:val="both"/>
              <w:rPr>
                <w:rFonts w:ascii="Arial" w:eastAsia="Calibri" w:hAnsi="Arial" w:cs="Arial"/>
                <w:sz w:val="20"/>
                <w:szCs w:val="22"/>
                <w:lang w:val="en-US" w:eastAsia="en-US"/>
              </w:rPr>
            </w:pPr>
            <w:r w:rsidRPr="00BD776E">
              <w:rPr>
                <w:rFonts w:ascii="Arial" w:eastAsia="Calibri" w:hAnsi="Arial" w:cs="Arial"/>
                <w:b/>
                <w:bCs/>
                <w:sz w:val="20"/>
                <w:szCs w:val="22"/>
                <w:lang w:val="en-US" w:eastAsia="en-US"/>
              </w:rPr>
              <w:t>Methodology:</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 xml:space="preserve">Goat </w:t>
            </w:r>
            <w:proofErr w:type="spellStart"/>
            <w:r w:rsidRPr="00BD776E">
              <w:rPr>
                <w:rFonts w:ascii="Arial" w:eastAsia="Calibri" w:hAnsi="Arial" w:cs="Arial"/>
                <w:sz w:val="20"/>
                <w:szCs w:val="22"/>
                <w:lang w:val="en-US" w:eastAsia="en-US"/>
              </w:rPr>
              <w:t>humerus</w:t>
            </w:r>
            <w:proofErr w:type="spellEnd"/>
            <w:r w:rsidRPr="00BD776E">
              <w:rPr>
                <w:rFonts w:ascii="Arial" w:eastAsia="Calibri" w:hAnsi="Arial" w:cs="Arial"/>
                <w:sz w:val="20"/>
                <w:szCs w:val="22"/>
                <w:lang w:val="en-US" w:eastAsia="en-US"/>
              </w:rPr>
              <w:t xml:space="preserve"> bones were harvested, cleaned, and cut into standardized segments. Samples were decellularized using 0.1% sodium dodecyl sulfate (SDS) for 7, 14, and 25 days. Macroscopic dimensions were measured with digital calipers, and tensile strength was assessed using a universal testing machine. ECM integrity was evaluated using Masson</w:t>
            </w:r>
            <w:r>
              <w:rPr>
                <w:rFonts w:ascii="Arial" w:eastAsia="Calibri" w:hAnsi="Arial" w:cs="Arial"/>
                <w:sz w:val="20"/>
                <w:szCs w:val="22"/>
                <w:lang w:val="en-US" w:eastAsia="en-US"/>
              </w:rPr>
              <w:t>'</w:t>
            </w:r>
            <w:r w:rsidRPr="00BD776E">
              <w:rPr>
                <w:rFonts w:ascii="Arial" w:eastAsia="Calibri" w:hAnsi="Arial" w:cs="Arial"/>
                <w:sz w:val="20"/>
                <w:szCs w:val="22"/>
                <w:lang w:val="en-US" w:eastAsia="en-US"/>
              </w:rPr>
              <w:t>s Trichrome staining, while bone morphogenetic protein-2 (BMP-2) expression was assessed via immunohistochemistry. Collagen content and BMP-2 expression were quantified using ImageJ</w:t>
            </w:r>
            <w:r>
              <w:rPr>
                <w:rFonts w:ascii="Arial" w:eastAsia="Calibri" w:hAnsi="Arial" w:cs="Arial"/>
                <w:sz w:val="20"/>
                <w:szCs w:val="22"/>
                <w:lang w:val="en-US" w:eastAsia="en-US"/>
              </w:rPr>
              <w:t>,</w:t>
            </w:r>
            <w:r w:rsidRPr="00BD776E">
              <w:rPr>
                <w:rFonts w:ascii="Arial" w:eastAsia="Calibri" w:hAnsi="Arial" w:cs="Arial"/>
                <w:sz w:val="20"/>
                <w:szCs w:val="22"/>
                <w:lang w:val="en-US" w:eastAsia="en-US"/>
              </w:rPr>
              <w:t xml:space="preserve"> and statistical analysis was performed using one-way ANOVA with Tukey</w:t>
            </w:r>
            <w:r>
              <w:rPr>
                <w:rFonts w:ascii="Arial" w:eastAsia="Calibri" w:hAnsi="Arial" w:cs="Arial"/>
                <w:sz w:val="20"/>
                <w:szCs w:val="22"/>
                <w:lang w:val="en-US" w:eastAsia="en-US"/>
              </w:rPr>
              <w:t>'</w:t>
            </w:r>
            <w:r w:rsidRPr="00BD776E">
              <w:rPr>
                <w:rFonts w:ascii="Arial" w:eastAsia="Calibri" w:hAnsi="Arial" w:cs="Arial"/>
                <w:sz w:val="20"/>
                <w:szCs w:val="22"/>
                <w:lang w:val="en-US" w:eastAsia="en-US"/>
              </w:rPr>
              <w:t>s post hoc test (</w:t>
            </w:r>
            <w:r>
              <w:rPr>
                <w:rFonts w:ascii="Arial" w:eastAsia="Calibri" w:hAnsi="Arial" w:cs="Arial"/>
                <w:sz w:val="20"/>
                <w:szCs w:val="22"/>
                <w:lang w:val="en-US" w:eastAsia="en-US"/>
              </w:rPr>
              <w:t>P</w:t>
            </w:r>
            <w:r w:rsidRPr="00BD776E">
              <w:rPr>
                <w:rFonts w:ascii="Arial" w:eastAsia="Calibri" w:hAnsi="Arial" w:cs="Arial"/>
                <w:sz w:val="20"/>
                <w:szCs w:val="22"/>
                <w:lang w:val="en-US" w:eastAsia="en-US"/>
              </w:rPr>
              <w:t xml:space="preserve"> &lt; 0.05).</w:t>
            </w:r>
          </w:p>
          <w:p w14:paraId="141A85E8" w14:textId="20857C76" w:rsidR="00BD776E" w:rsidRPr="00BD776E" w:rsidRDefault="00BD776E" w:rsidP="00BD776E">
            <w:pPr>
              <w:pStyle w:val="NormalWeb"/>
              <w:spacing w:before="0" w:beforeAutospacing="0" w:after="0" w:afterAutospacing="0"/>
              <w:jc w:val="both"/>
              <w:rPr>
                <w:rFonts w:ascii="Arial" w:eastAsia="Calibri" w:hAnsi="Arial" w:cs="Arial"/>
                <w:sz w:val="20"/>
                <w:szCs w:val="22"/>
                <w:lang w:val="en-US" w:eastAsia="en-US"/>
              </w:rPr>
            </w:pPr>
            <w:r w:rsidRPr="00BD776E">
              <w:rPr>
                <w:rFonts w:ascii="Arial" w:eastAsia="Calibri" w:hAnsi="Arial" w:cs="Arial"/>
                <w:b/>
                <w:bCs/>
                <w:sz w:val="20"/>
                <w:szCs w:val="22"/>
                <w:lang w:val="en-US" w:eastAsia="en-US"/>
              </w:rPr>
              <w:t>Results:</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 xml:space="preserve">Decellularization effectively removed cellular components while preserving cortical structure, with no significant changes in bone dimensions or tensile strength among groups (p &gt; 0.05). ECM collagen content gradually decreased with immersion time, with 14-day decellularization preserving the highest structural integrity. BMP-2 expression was reduced in decellularized bones, especially after 25 days, although residual expression was observed, indicating </w:t>
            </w:r>
            <w:r>
              <w:rPr>
                <w:rFonts w:ascii="Arial" w:eastAsia="Calibri" w:hAnsi="Arial" w:cs="Arial"/>
                <w:sz w:val="20"/>
                <w:szCs w:val="22"/>
                <w:lang w:val="en-US" w:eastAsia="en-US"/>
              </w:rPr>
              <w:t>that the osteogenic potential was maintained</w:t>
            </w:r>
            <w:r w:rsidRPr="00BD776E">
              <w:rPr>
                <w:rFonts w:ascii="Arial" w:eastAsia="Calibri" w:hAnsi="Arial" w:cs="Arial"/>
                <w:sz w:val="20"/>
                <w:szCs w:val="22"/>
                <w:lang w:val="en-US" w:eastAsia="en-US"/>
              </w:rPr>
              <w:t>. Fourteen days of SDS immersion was identified as optimal for balancing ECM preservation and cell removal.</w:t>
            </w:r>
          </w:p>
          <w:p w14:paraId="5D9F2C8B" w14:textId="751FCB1A" w:rsidR="00505F06" w:rsidRPr="00BD776E" w:rsidRDefault="00BD776E" w:rsidP="00BD776E">
            <w:pPr>
              <w:pStyle w:val="NormalWeb"/>
              <w:spacing w:before="0" w:beforeAutospacing="0" w:after="0" w:afterAutospacing="0"/>
              <w:jc w:val="both"/>
              <w:rPr>
                <w:rFonts w:ascii="Arial" w:eastAsia="Calibri" w:hAnsi="Arial" w:cs="Arial"/>
                <w:sz w:val="20"/>
                <w:szCs w:val="22"/>
                <w:lang w:val="en-US" w:eastAsia="en-US"/>
              </w:rPr>
            </w:pPr>
            <w:r w:rsidRPr="00BD776E">
              <w:rPr>
                <w:rFonts w:ascii="Arial" w:eastAsia="Calibri" w:hAnsi="Arial" w:cs="Arial"/>
                <w:b/>
                <w:bCs/>
                <w:sz w:val="20"/>
                <w:szCs w:val="22"/>
                <w:lang w:val="en-US" w:eastAsia="en-US"/>
              </w:rPr>
              <w:t>Conclusion:</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Goat bone decellularized with SDS retains ECM integrity, biomechanical strength, and partial osteogenic potential, indicating its suitability as a xenograft scaffold. Future studies should focus on optimizing decellularization protocols to enhance BMP-2 retention and evaluating in vivo biocompatibility and regenerative potential.</w:t>
            </w:r>
          </w:p>
        </w:tc>
      </w:tr>
    </w:tbl>
    <w:p w14:paraId="48CBCF50" w14:textId="1DCA758B" w:rsidR="00A24E7E" w:rsidRDefault="00A24E7E" w:rsidP="00441B6F">
      <w:pPr>
        <w:pStyle w:val="Body"/>
        <w:spacing w:after="0"/>
        <w:rPr>
          <w:rFonts w:ascii="Arial" w:hAnsi="Arial" w:cs="Arial"/>
          <w:i/>
        </w:rPr>
      </w:pPr>
      <w:r>
        <w:rPr>
          <w:rFonts w:ascii="Arial" w:hAnsi="Arial" w:cs="Arial"/>
          <w:i/>
        </w:rPr>
        <w:t>Keywords:</w:t>
      </w:r>
      <w:r w:rsidR="009E6DCE">
        <w:rPr>
          <w:rFonts w:ascii="Arial" w:hAnsi="Arial" w:cs="Arial"/>
          <w:i/>
        </w:rPr>
        <w:t xml:space="preserve"> </w:t>
      </w:r>
      <w:r w:rsidR="00BD776E" w:rsidRPr="00BD776E">
        <w:rPr>
          <w:rFonts w:ascii="Arial" w:hAnsi="Arial" w:cs="Arial"/>
          <w:i/>
        </w:rPr>
        <w:t>Biomechanical strength</w:t>
      </w:r>
      <w:r w:rsidR="00BD776E">
        <w:rPr>
          <w:rFonts w:ascii="Arial" w:hAnsi="Arial" w:cs="Arial"/>
          <w:i/>
        </w:rPr>
        <w:t xml:space="preserve">, </w:t>
      </w:r>
      <w:r w:rsidR="00BD776E" w:rsidRPr="00BD776E">
        <w:rPr>
          <w:rFonts w:ascii="Arial" w:hAnsi="Arial" w:cs="Arial"/>
          <w:i/>
        </w:rPr>
        <w:t>BMP-2, Decellularization, ECM</w:t>
      </w:r>
      <w:r w:rsidR="00BD776E">
        <w:rPr>
          <w:rFonts w:ascii="Arial" w:hAnsi="Arial" w:cs="Arial"/>
          <w:i/>
        </w:rPr>
        <w:t xml:space="preserve">, </w:t>
      </w:r>
      <w:r w:rsidR="00BD776E" w:rsidRPr="00BD776E">
        <w:rPr>
          <w:rFonts w:ascii="Arial" w:hAnsi="Arial" w:cs="Arial"/>
          <w:i/>
        </w:rPr>
        <w:t>Goat bone</w:t>
      </w:r>
    </w:p>
    <w:p w14:paraId="4DDD1537" w14:textId="77777777" w:rsidR="00790ADA" w:rsidRDefault="00790ADA" w:rsidP="00441B6F">
      <w:pPr>
        <w:pStyle w:val="Body"/>
        <w:spacing w:after="0"/>
        <w:rPr>
          <w:rFonts w:ascii="Arial" w:hAnsi="Arial" w:cs="Arial"/>
          <w:i/>
        </w:rPr>
      </w:pPr>
    </w:p>
    <w:p w14:paraId="30BAC6DF" w14:textId="3E464D8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86C1987" w14:textId="77777777" w:rsidR="00790ADA" w:rsidRPr="00FB3A86" w:rsidRDefault="00790ADA" w:rsidP="00441B6F">
      <w:pPr>
        <w:pStyle w:val="AbstHead"/>
        <w:spacing w:after="0"/>
        <w:jc w:val="both"/>
        <w:rPr>
          <w:rFonts w:ascii="Arial" w:hAnsi="Arial" w:cs="Arial"/>
        </w:rPr>
      </w:pPr>
    </w:p>
    <w:p w14:paraId="19D81165" w14:textId="37D62F76" w:rsidR="005178A1" w:rsidRDefault="00BD776E" w:rsidP="005178A1">
      <w:pPr>
        <w:pStyle w:val="Body"/>
        <w:spacing w:after="0"/>
      </w:pPr>
      <w:r>
        <w:t xml:space="preserve">Significant bone defects caused by trauma, tumors, degenerative diseases, or infections often require surgical intervention with bone substitutes, as the intrinsic regenerative capacity of bone is limited to small defect sizes. In clinical practice, autografts are considered the gold standard due to their high integration potential; however, their application is limited by donor-site morbidity and restricted graft availability </w:t>
      </w:r>
      <w:r w:rsidR="003D3708">
        <w:fldChar w:fldCharType="begin"/>
      </w:r>
      <w:r w:rsidR="003D3708">
        <w:instrText xml:space="preserve"> ADDIN ZOTERO_ITEM CSL_CITATION {"citationID":"EXYuv0A1","properties":{"unsorted":true,"formattedCitation":"(Giannoudis et al., 2005; Amini et al., 2012)","plainCitation":"(Giannoudis et al., 2005; Amini et al., 2012)","noteIndex":0},"citationItems":[{"id":4270,"uris":["http://zotero.org/users/6623320/items/ZX45GPXT"],"itemData":{"id":4270,"type":"article-journal","container-title":"Injury","DOI":"10.1016/j.injury.2005.07.029","ISSN":"00201383","issue":"3","journalAbbreviation":"Injury","language":"en","license":"https://www.elsevier.com/tdm/userlicense/1.0/","page":"S20-S27","source":"DOI.org (Crossref)","title":"Bone substitutes: An update","title-short":"Bone substitutes","volume":"36","author":[{"family":"Giannoudis","given":"Peter V."},{"family":"Dinopoulos","given":"Haralambos"},{"family":"Tsiridis","given":"Eleftherios"}],"issued":{"date-parts":[["2005",11]]}},"label":"page"},{"id":4267,"uris":["http://zotero.org/users/6623320/items/HK2HLEKZ"],"itemData":{"id":4267,"type":"article-journal","abstract":"The worldwide incidence of bone disorders and conditions has trended steeply upward and is expected to double by 2020, especially in populations where aging is coupled with increased obesity and poor physical activity. Engineered bone tissue has been viewed as a potential alternative to the conventional use of bone grafts, due to their limitless supply and no disease transmission. However, bone tissue engineering practices have not proceeded to clinical practice due to several limitations or challenges. Bone tissue engineering aims to induce new functional bone regeneration via the synergistic combination of biomaterials, cells, and factor therapy. In this review, we discuss the fundamentals of bone tissue engineering, highlighting the current state of this field. Further, we review the recent advances of biomaterial and cell-based research, as well as approaches used to enhance bone regeneration. Specifically, we discuss widely investigated biomaterial scaffolds, micro- and nano-structural properties of these scaffolds, and the incorporation of biomimetic properties and/or growth factors. In addition, we examine various cellular approaches, including the use of mesenchymal stem cells (MSCs), embryonic stem cells (ESCs), adult stem cells, induced pluripotent stem cells (iPSCs), and platelet-rich plasma (PRP), and their clinical application strengths and limitations. We conclude by overviewing the challenges that face the bone tissue engineering field, such as the lack of sufficient vascularization at the defect site, and the research aimed at functional bone tissue engineering. These challenges will drive future research in the field.","container-title":"Critical Reviews in Biomedical Engineering","DOI":"10.1615/critrevbiomedeng.v40.i5.10","ISSN":"0278-940X","issue":"5","journalAbbreviation":"Crit Rev Biomed Eng","language":"eng","note":"PMID: 23339648\nPMCID: PMC3766369","page":"363-408","source":"PubMed","title":"Bone tissue engineering: recent advances and challenges","title-short":"Bone tissue engineering","volume":"40","author":[{"family":"Amini","given":"Ami R."},{"family":"Laurencin","given":"Cato T."},{"family":"Nukavarapu","given":"Syam P."}],"issued":{"date-parts":[["2012"]]}},"label":"page"}],"schema":"https://github.com/citation-style-language/schema/raw/master/csl-citation.json"} </w:instrText>
      </w:r>
      <w:r w:rsidR="003D3708">
        <w:fldChar w:fldCharType="separate"/>
      </w:r>
      <w:r w:rsidR="003D3708" w:rsidRPr="003D3708">
        <w:rPr>
          <w:rFonts w:cs="Helvetica"/>
        </w:rPr>
        <w:t>(Giannoudis et al., 2005; Amini et al., 2012)</w:t>
      </w:r>
      <w:r w:rsidR="003D3708">
        <w:fldChar w:fldCharType="end"/>
      </w:r>
      <w:r w:rsidR="003D3708">
        <w:t>.</w:t>
      </w:r>
      <w:r>
        <w:t xml:space="preserve"> Consequently, alternative graft materials such as xenografts are increasingly explored due to their abundance and structural similarity to human </w:t>
      </w:r>
      <w:r w:rsidRPr="00053B97">
        <w:t xml:space="preserve">bone </w:t>
      </w:r>
      <w:r w:rsidR="00053B97" w:rsidRPr="00053B97">
        <w:fldChar w:fldCharType="begin"/>
      </w:r>
      <w:r w:rsidR="00053B97" w:rsidRPr="00053B97">
        <w:instrText xml:space="preserve"> ADDIN ZOTERO_ITEM CSL_CITATION {"citationID":"7giYhjzZ","properties":{"formattedCitation":"(Rougier et al., 2023; Wang et al., 2024)","plainCitation":"(Rougier et al., 2023; Wang et al., 2024)","noteIndex":0},"citationItems":[{"id":4271,"uris":["http://zotero.org/users/6623320/items/CMEXKY38"],"itemData":{"id":4271,"type":"article-journal","abstract":"Introduction\n              : Durable reconstruction of critical size bone defects is still a surgical challenge despite the availability of numerous autologous and substitute bone options. In this paper, we have investigated the possibility of creating a living bone allograft, using the perfusion/decellularization/recellularization (PDR) technique, which was applied to an original model of vascularized porcine bone graft.\n            \n            \n              Materials and Methods\n              : 11 porcine bone forelimbs, including radius and ulna, were harvested along with their vasculature including the interosseous artery and then decellularized using a sequential detergent perfusion protocol. Cellular clearance, vasculature, extracellular matrix (ECM), and preservation of biomechanical properties were evaluated. The cytocompatibility and\n              in vitro\n              osteoinductive potential of acellular extracellular matrix were studied by static seeding of NIH-3T3 cells and porcine adipose mesenchymal stem cells (pAMSC), respectively.\n            \n            \n              Results\n              : The vascularized bone grafts were successfully decellularized, with an excellent preservation of the 3D morphology and ECM microarchitecture. Measurements of DNA and ECM components revealed complete cellular clearance and preservation of ECM’s major proteins. Bone mineral density (BMD) acquisitions revealed a slight, yet non-significant, decrease after decellularization, while biomechanical testing was unmodified. Cone beam computed tomography (CBCT) acquisitions after vascular injection of barium sulphate confirmed the preservation of the vascular network throughout the whole graft. The non-toxicity of the scaffold was proven by the very low amount of residual sodium dodecyl sulfate (SDS) in the ECM and confirmed by the high live/dead ratio of fibroblasts seeded on periosteum and bone ECM-grafts after 3, 7, and 16 days of culture. Moreover, cell proliferation tests showed a significant multiplication of seeded cell populations at the same endpoints. Lastly, the differentiation study using pAMSC confirmed the ECM graft’s potential to promote osteogenic differentiation. An osteoid-like deposition occurred when pAMSC were cultured on bone ECM in both proliferative and osteogenic differentiation media.\n            \n            \n              Conclusion\n              : Fully decellularized bone grafts can be obtained by perfusion decellularization, thereby preserving ECM architecture and their vascular network, while promoting cell growth and differentiation. These vascularized decellularized bone shaft allografts thus present a true potential for future\n              in vivo\n              reimplantation. Therefore, they may offer new perspectives for repairing large bone defects and for bone tissue engineering.","container-title":"Frontiers in Bioengineering and Biotechnology","DOI":"10.3389/fbioe.2022.1003861","ISSN":"2296-4185","journalAbbreviation":"Front. Bioeng. Biotechnol.","page":"1003861","source":"DOI.org (Crossref)","title":"Decellularized vascularized bone grafts: A preliminary in vitro porcine model for bioengineered transplantable bone shafts","title-short":"Decellularized vascularized bone grafts","volume":"10","author":[{"family":"Rougier","given":"Guillaume"},{"family":"Maistriaux","given":"Louis"},{"family":"Fievé","given":"Lies"},{"family":"Xhema","given":"Daela"},{"family":"Evrard","given":"Robin"},{"family":"Manon","given":"Julie"},{"family":"Olszewski","given":"Raphael"},{"family":"Szmytka","given":"Fabien"},{"family":"Thurieau","given":"Nicolas"},{"family":"Boisson","given":"Jean"},{"family":"Kadlub","given":"Natacha"},{"family":"Gianello","given":"Pierre"},{"family":"Behets","given":"Catherine"},{"family":"Lengelé","given":"Benoît"}],"issued":{"date-parts":[["2023",1,18]]}},"label":"page"},{"id":4273,"uris":["http://zotero.org/users/6623320/items/BP4T52HL"],"itemData":{"id":4273,"type":"article-journal","abstract":"Due to the limited supply of autologous bone grafts, there is a need to develop more bone matrix materials to repair bone defects. Xenograft bone is expected to be used for clinical treatment due to its exact structural similarity to natural bone and its high biocompatibility. In this study, decellularized antler cancellous bone matrix (DACB) was first prepared, and then the extent of decellularization of DACB was verified by histological staining, which demonstrated that it retained the extracellular matrix (ECM). The bioactivity of DACB was assessed using C3H10T1/2 cells, revealing that DACB enhanced cell proliferation and facilitated cell adhesion and osteogenic differentiation. When evaluated by implanting DACB into nude mice, there were no signs of necrosis or inflammation in the epidermal tissues. The bone repair effect of DACB was verified in vivo using sika deer during the antler growth period as an animal model, and the molecular mechanisms of bone repair were further evaluated by transcriptomic analysis of the regenerated tissues. Our findings suggest that the low immunogenicity of DACB enhances the production of bone extracellular matrix components, leading to effective osseointegration between bone and DACB. This study provides a new reference for solving bone defects.","container-title":"Biomolecules","DOI":"10.3390/biom14080907","ISSN":"2218-273X","issue":"8","journalAbbreviation":"Biomolecules","language":"eng","note":"PMID: 39199295\nPMCID: PMC11353137","page":"907","source":"PubMed","title":"Decellularized Antler Cancellous Bone Matrix Material Can Serve as Potential Bone Tissue Scaffold","volume":"14","author":[{"family":"Wang","given":"Yusu"},{"family":"Zong","given":"Ying"},{"family":"Chen","given":"Weijia"},{"family":"Diao","given":"Naichao"},{"family":"Zhao","given":"Quanmin"},{"family":"Li","given":"Chunyi"},{"family":"Jia","given":"Boyin"},{"family":"Zhang","given":"Miao"},{"family":"Li","given":"Jianming"},{"family":"Zhao","given":"Yan"},{"family":"Du","given":"Rui"},{"family":"He","given":"Zhongmei"}],"issued":{"date-parts":[["2024",7,25]]}},"label":"page"}],"schema":"https://github.com/citation-style-language/schema/raw/master/csl-citation.json"} </w:instrText>
      </w:r>
      <w:r w:rsidR="00053B97" w:rsidRPr="00053B97">
        <w:fldChar w:fldCharType="separate"/>
      </w:r>
      <w:r w:rsidR="00053B97" w:rsidRPr="00053B97">
        <w:rPr>
          <w:rFonts w:cs="Helvetica"/>
        </w:rPr>
        <w:t>(Rougier et al., 2023; Wang et al., 2024)</w:t>
      </w:r>
      <w:r w:rsidR="00053B97" w:rsidRPr="00053B97">
        <w:fldChar w:fldCharType="end"/>
      </w:r>
      <w:r>
        <w:t xml:space="preserve">. Among potential sources, goats (Capra </w:t>
      </w:r>
      <w:proofErr w:type="spellStart"/>
      <w:r>
        <w:t>hircus</w:t>
      </w:r>
      <w:proofErr w:type="spellEnd"/>
      <w:r>
        <w:t xml:space="preserve">) represent an attractive candidate due </w:t>
      </w:r>
      <w:r>
        <w:lastRenderedPageBreak/>
        <w:t>to their wide availability and bone size, which is comparable to that of human or pet animal bones in specific anatomical sites</w:t>
      </w:r>
      <w:r w:rsidR="002E046B">
        <w:t xml:space="preserve"> </w:t>
      </w:r>
      <w:r w:rsidR="002E046B">
        <w:fldChar w:fldCharType="begin"/>
      </w:r>
      <w:r w:rsidR="002E046B">
        <w:instrText xml:space="preserve"> ADDIN ZOTERO_ITEM CSL_CITATION {"citationID":"cOhFjPAj","properties":{"formattedCitation":"(Emami et al., 2020, 2025)","plainCitation":"(Emami et al., 2020, 2025)","noteIndex":0},"citationItems":[{"id":4276,"uris":["http://zotero.org/users/6623320/items/4Y9KHWJ5"],"itemData":{"id":4276,"type":"article-journal","abstract":"Abstract\n            \n              Background\n              Extracellular vesicles (ECV) and bone extracellular matrix (ECM) have beneficial effects on the treatment of some pathological conditions. The purpose of this study was to find the synergic effects of decellularized bone (DB) ECM and ECVs on the repair of rabbit.\n            \n            \n              Methods\n              The quality of decellularized sheep bones was confirmed by H&amp;E, Hoechst, DNA quantification, immunohistochemistry, histochemical staining, and scanning electron microscopy (SEM). Osteoblast-derived ECVs were evaluated by internalization test, Transmission electron microscopy, Dynamic light scattering, and flow cytometry for CD9, CD63, CD81 markers. The hydrogel containing DB and hydroxyapatite (HA) with or without ECVs was evaluated for osteoblast functions and bone repair both in vitro and in vivo.\n            \n            \n              Results\n              The data indicated ECM preservation after decellularization as well as cell depletion. In vitro assessments revealed that mineralization and alkaline phosphatase activity did not improve after treatment of MG63 cells by ECVs, while in vivo morphomatrical estimations showed synergic effects of ECVs and DB + HA hydrogels on increasing the number of bone-specific cells and vessel and bone area compared to the control, DB + HA and ECV-treated groups.\n            \n            \n              Conclusions\n              The DB enriched with ECVs can be an ideal scaffold for bone tissue engineering and may provide a suitable niche for bone cell migration and differentiation.","container-title":"Journal of Translational Medicine","DOI":"10.1186/s12967-020-02525-3","ISSN":"1479-5876","issue":"1","journalAbbreviation":"J Transl Med","language":"en","page":"361","source":"DOI.org (Crossref)","title":"Synergic effects of decellularized bone matrix, hydroxyapatite, and extracellular vesicles on repairing of the rabbit mandibular bone defect model","volume":"18","author":[{"family":"Emami","given":"Asrin"},{"family":"Talaei-Khozani","given":"Tahereh"},{"family":"Tavanafar","given":"Saeid"},{"family":"Zareifard","given":"Nehleh"},{"family":"Azarpira","given":"Negar"},{"family":"Vojdani","given":"Zahra"}],"issued":{"date-parts":[["2020",12]]}},"label":"page"},{"id":4278,"uris":["http://zotero.org/users/6623320/items/XW4CHMJT"],"itemData":{"id":4278,"type":"article-journal","container-title":"Tissue and Cell","DOI":"10.1016/j.tice.2025.103047","ISSN":"00408166","journalAbbreviation":"Tissue and Cell","language":"en","page":"103047","source":"DOI.org (Crossref)","title":"Preservation of extracellular matrix in decellularized bone scaffolds: Strategies, challenges, and future directions","title-short":"Preservation of extracellular matrix in decellularized bone scaffolds","volume":"97","author":[{"family":"Emami","given":"Asrin"},{"family":"Izadi","given":"Elaheh"},{"family":"Oskouie","given":"Iman Menbari"}],"issued":{"date-parts":[["2025",12]]}},"label":"page"}],"schema":"https://github.com/citation-style-language/schema/raw/master/csl-citation.json"} </w:instrText>
      </w:r>
      <w:r w:rsidR="002E046B">
        <w:fldChar w:fldCharType="separate"/>
      </w:r>
      <w:r w:rsidR="002E046B" w:rsidRPr="002E046B">
        <w:rPr>
          <w:rFonts w:cs="Helvetica"/>
        </w:rPr>
        <w:t>(Emami et al., 2020, 2025)</w:t>
      </w:r>
      <w:r w:rsidR="002E046B">
        <w:fldChar w:fldCharType="end"/>
      </w:r>
      <w:r w:rsidR="002E046B">
        <w:t>.</w:t>
      </w:r>
    </w:p>
    <w:p w14:paraId="0AE9173F" w14:textId="77777777" w:rsidR="00BD776E" w:rsidRPr="005178A1" w:rsidRDefault="00BD776E" w:rsidP="005178A1">
      <w:pPr>
        <w:pStyle w:val="Body"/>
        <w:spacing w:after="0"/>
      </w:pPr>
    </w:p>
    <w:p w14:paraId="6134A4E3" w14:textId="1EA01A22" w:rsidR="005178A1" w:rsidRDefault="005178A1" w:rsidP="005178A1">
      <w:pPr>
        <w:pStyle w:val="Body"/>
        <w:spacing w:after="0"/>
      </w:pPr>
      <w:r>
        <w:t>Decellularization has emerged as a promising strategy for preparing xenograft bone by removing cellular components while retaining an extracellular matrix (ECM) scaffold rich in collagen. A carefully preserved ECM is crucial for supporting cell adhesion, proliferation, migration, and differentiation, while also minimizing immune rejection</w:t>
      </w:r>
      <w:r w:rsidR="003E1009">
        <w:t xml:space="preserve"> </w:t>
      </w:r>
      <w:r w:rsidR="00771276">
        <w:fldChar w:fldCharType="begin"/>
      </w:r>
      <w:r w:rsidR="00771276">
        <w:instrText xml:space="preserve"> ADDIN ZOTERO_ITEM CSL_CITATION {"citationID":"j6NhMdBL","properties":{"formattedCitation":"(Permata et al., 2012, 2025)","plainCitation":"(Permata et al., 2012, 2025)","noteIndex":0},"citationItems":[{"id":4191,"uris":["http://zotero.org/users/6623320/items/K5SYR3T8"],"itemData":{"id":4191,"type":"article-journal","abstract":"Animal graft tissue  (xenograft) was developed  to replace the limited supply of human graft tissue (allograft). Peripheral nerve graft tissue  is needed to replace  the damage. Swine is the most developed source of tissue donor for the preparation of acellular tissue because a lot of livestocks population and its extracellular matrix components similar to human collagen. Swine xenograft development would be an obstacle in Indonesia because of socio-cultural so that sheep used as swine donor replacement. Sheep cartilage tissue acellular induced less human inflammatory mediators than swine. Xenograft is necessary to decellularizebefore implantation into human that results in only extracellular matrix. However, decellularization process varies depending on the species and methods so that it is needed a preliminary study to get the best decellularization method for sheep peripheral nerve specimens. Five samples of sheep Ischiadicus  nerves were conducted decellularization various processes and one sample of fresh nerve (control). Decellularization methods were 24 hours shaking, tissue soaking and perfusion for both 14 days and 17 days, respectively. Decellularization solution was 0.1% SDS-EDTAin PBS. Post decellularization, samples were observed macroscopically, fixed, HE staining of histopathologic examination for microscopic examination. The data were analyzed descriptively. At the macroscopic observation of post decellularization tissue showed white, and samples of soaking method showed softer consistency than that of shaking and perfusion. Microscopic examination showed that samples were not being completed decellularization at shaking method. There was destruction of collagen fibers of perineurium and endoneurium in 17 days of soaking and perfusion methods, while 14 days soaking and perfusion methods showed that samples were being completed decellularization and both perineurium and endoneurium collagen were still good. Conclusion of this study is that 14 days soaking and perfusion decellularization methods are better than that of 24 hours shaking method and 17 days of soaking and perfusion methods for sheep decellularization peripheral nerve.","container-title":"Jurnal Sain Veteriner","DOI":"10.22146/jsv.2606","ISSN":"0126-0421, 2407-3733","issue":"20","journalAbbreviation":"JSV","page":"61-70","title":"Optimization of Tissue Decellularization Method Based on Macroscopic and Microscopic Observation in The Sheep Peripheral Nerves","volume":"30","author":[{"family":"Permata","given":"Fajar Shodiq"},{"family":"Susilowati","given":"Rina"},{"family":"Dharmastiti","given":"Rini"},{"family":"Sirat","given":"Muhammad Mirandy Pratama"},{"family":"Kartikasari","given":"Pipin Dwi"}],"issued":{"date-parts":[["2012"]]}},"label":"page"},{"id":4187,"uris":["http://zotero.org/users/6623320/items/WQK2MB2E"],"itemData":{"id":4187,"type":"article-journal","container-title":"Regenerative Engineering and Translational Medicine","DOI":"10.1007/s40883-025-00417-w","ISSN":"2364-4133, 2364-4141","journalAbbreviation":"Regen. Eng. Transl. Med.","language":"en","source":"DOI.org (Crossref)","title":"Antigen Removal Enhances Host Tolerance in Sheep-derived Xenogeneic Myocardial Scaffold: Modulating Acute and Chronic Inflammatory Responses in Mice","title-short":"Antigen Removal Enhances Host Tolerance in Sheep-derived Xenogeneic Myocardial Scaffold","URL":"https://link.springer.com/10.1007/s40883-025-00417-w","author":[{"family":"Permata","given":"Fajar Shodiq"},{"family":"Amri","given":"Indah Amalia"},{"family":"Nurmaningdyah","given":"Ajeng Aeka"},{"family":"Mahardika","given":"Fiktor"},{"family":"Budiarto","given":"Sonya"},{"family":"Vera","given":"Amelda Kurnia Esty"},{"family":"Yulian","given":"Bangun Dwi"}],"accessed":{"date-parts":[["2025",8,8]]},"issued":{"date-parts":[["2025",4,30]]}},"label":"page"}],"schema":"https://github.com/citation-style-language/schema/raw/master/csl-citation.json"} </w:instrText>
      </w:r>
      <w:r w:rsidR="00771276">
        <w:fldChar w:fldCharType="separate"/>
      </w:r>
      <w:r w:rsidR="00771276" w:rsidRPr="00771276">
        <w:rPr>
          <w:rFonts w:cs="Helvetica"/>
        </w:rPr>
        <w:t>(Permata et al., 2012, 2025)</w:t>
      </w:r>
      <w:r w:rsidR="00771276">
        <w:fldChar w:fldCharType="end"/>
      </w:r>
      <w:r w:rsidR="00771276">
        <w:t xml:space="preserve">. </w:t>
      </w:r>
      <w:r>
        <w:t>Previous studies in large-animal models, including bovine and deer, have demonstrated that decellularized bone matrices (DBMs) maintain their three-dimensional architecture and mechanical integrity while reducing antigenicity</w:t>
      </w:r>
      <w:r w:rsidR="00687DC8">
        <w:t xml:space="preserve"> </w:t>
      </w:r>
      <w:r w:rsidR="00687DC8">
        <w:fldChar w:fldCharType="begin"/>
      </w:r>
      <w:r w:rsidR="00687DC8">
        <w:instrText xml:space="preserve"> ADDIN ZOTERO_ITEM CSL_CITATION {"citationID":"TVvgOLEI","properties":{"formattedCitation":"(Al Qabbani et al., 2023; Malag\\uc0\\u243{}n-Escand\\uc0\\u243{}n et al., 2021; Wang et al., 2024)","plainCitation":"(Al Qabbani et al., 2023; Malagón-Escandón et al., 2021; Wang et al., 2024)","noteIndex":0},"citationItems":[{"id":4281,"uris":["http://zotero.org/users/6623320/items/HIHAJ7MR"],"itemData":{"id":4281,"type":"article-journal","abstract":"Current immunological issues in bone grafting regarding the transfer of xenogeneic donor bone cells into the recipient are challenging the industry to produce safer acellular natural matrices for bone regeneration. The aim of this study was to investigate the efficacy of a novel decellularization technique for producing bovine cancellous bone scaffold and compare its physicochemical, mechanical, and biological characteristics with demineralized cancellous bone scaffold in an\n              in-vitro\n              study. Cancellous bone blocks were harvested from a bovine femoral head (18–24 months old) subjected to physical cleansing and chemical defatting, and further processed in two ways. Group I was subjected to demineralization, while Group II underwent decellularization through physical, chemical, and enzymatic treatments. Both were then freeze-dried, and gamma radiated, finally producing a demineralized bovine cancellous bone (DMB) scaffold and decellularized bovine cancellous bone (DCC) scaffold. Both DMB and DCC scaffolds were subjected to histological evaluation, scanning electron microscopy/energy-dispersive X-ray spectroscopy (SEM/EDS), fourier-transform infrared spectroscopy (FTIR), quantification of lipid, collagen, and residual nucleic acid content, and mechanical testing. The osteogenic potential was investigated through the recellularization of scaffolds with human osteoblast cell seeding and examined for cell attachment, proliferation, and mineralization by Alizarin staining and gene expression. DCC produced a complete acellular extracellular matrix (ECM) with the absence of nucleic acid content, wider pores with extensive interconnectivity and partially retaining collagen fibrils. DCC demonstrated a higher cell proliferation rate, upregulation of osteogenic differentiation markers, and substantial mineralized nodules production. Our findings suggest that the decellularization technique produced an acellular DCC scaffold with minimal damage to ECM and possesses osteogenic potential through the mechanisms of osteoconduction, osteoinduction, and osteogenesis\n              in-vitro\n              .","container-title":"PLOS ONE","DOI":"10.1371/journal.pone.0283922","ISSN":"1932-6203","issue":"4","journalAbbreviation":"PLoS ONE","language":"en","page":"e0283922","source":"DOI.org (Crossref)","title":"Evaluation of decellularization process for developing osteogenic bovine cancellous bone scaffolds in-vitro","volume":"18","author":[{"family":"Al Qabbani","given":"Ali"},{"family":"Rani","given":"K. G. Aghila"},{"family":"Syarif","given":"Junaidi"},{"family":"AlKawas","given":"Sausan"},{"family":"Sheikh Abdul Hamid","given":"Suzina"},{"family":"Samsudin","given":"A. R."},{"family":"Azlina","given":"Ahmad"}],"editor":[{"family":"Cray","given":"Jj"}],"issued":{"date-parts":[["2023",4,5]]}},"label":"page"},{"id":4283,"uris":["http://zotero.org/users/6623320/items/JQ3MI7UH"],"itemData":{"id":4283,"type":"article-journal","abstract":"The use of three-dimensional porous scaffolds derived from decellularized extracellular matrix (ECM) is increasing for functional repair and regeneration of injured bone tissue. Because these scaffolds retain their native structures and bioactive molecules, in addition to showing low immunogenicity and good biodegradability, they can promote tissue repair and regeneration. Nonetheless, imitating these features in synthetic materials represents a challenging task. Furthermore, due to the complexity of bone tissue, different processes are necessary to maintain these characteristics. We present a novel approach using decellularized ECM material derived from bovine cancellous bone by demineralization, decellularization, and hydrolysis of collagen to obtain a three-dimensional porous scaffold. This study demonstrates that the three-dimensional porous scaffold obtained from bovine bone retained its osteoconductive and osteoinductive properties and presented osteogenic potential when seeded with human Wharton’s jelly mesenchymal stromal cells (hWJ-MSCs). Based on its characteristics, the scaffold described in this work potentially represents a therapeutic strategy for bone repair.","container-title":"Polymers","DOI":"10.3390/polym13244390","ISSN":"2073-4360","issue":"24","journalAbbreviation":"Polymers","language":"en","license":"https://creativecommons.org/licenses/by/4.0/","page":"4390","source":"DOI.org (Crossref)","title":"Three-Dimensional Porous Scaffolds Derived from Bovine Cancellous Bone Matrix Promote Osteoinduction, Osteoconduction, and Osteogenesis","volume":"13","author":[{"family":"Malagón-Escandón","given":"Alda"},{"family":"Hautefeuille","given":"Mathieu"},{"family":"Jimenez-Díaz","given":"Edgar"},{"family":"Arenas-Alatorre","given":"Jesus"},{"family":"Saniger","given":"José Manuel"},{"family":"Badillo-Ramírez","given":"Isidro"},{"family":"Vazquez","given":"Nadia"},{"family":"Piñón-Zarate","given":"Gabriela"},{"family":"Castell-Rodríguez","given":"Andrés"}],"issued":{"date-parts":[["2021",12,15]]}},"label":"page"},{"id":4273,"uris":["http://zotero.org/users/6623320/items/BP4T52HL"],"itemData":{"id":4273,"type":"article-journal","abstract":"Due to the limited supply of autologous bone grafts, there is a need to develop more bone matrix materials to repair bone defects. Xenograft bone is expected to be used for clinical treatment due to its exact structural similarity to natural bone and its high biocompatibility. In this study, decellularized antler cancellous bone matrix (DACB) was first prepared, and then the extent of decellularization of DACB was verified by histological staining, which demonstrated that it retained the extracellular matrix (ECM). The bioactivity of DACB was assessed using C3H10T1/2 cells, revealing that DACB enhanced cell proliferation and facilitated cell adhesion and osteogenic differentiation. When evaluated by implanting DACB into nude mice, there were no signs of necrosis or inflammation in the epidermal tissues. The bone repair effect of DACB was verified in vivo using sika deer during the antler growth period as an animal model, and the molecular mechanisms of bone repair were further evaluated by transcriptomic analysis of the regenerated tissues. Our findings suggest that the low immunogenicity of DACB enhances the production of bone extracellular matrix components, leading to effective osseointegration between bone and DACB. This study provides a new reference for solving bone defects.","container-title":"Biomolecules","DOI":"10.3390/biom14080907","ISSN":"2218-273X","issue":"8","journalAbbreviation":"Biomolecules","language":"eng","note":"PMID: 39199295\nPMCID: PMC11353137","page":"907","source":"PubMed","title":"Decellularized Antler Cancellous Bone Matrix Material Can Serve as Potential Bone Tissue Scaffold","volume":"14","author":[{"family":"Wang","given":"Yusu"},{"family":"Zong","given":"Ying"},{"family":"Chen","given":"Weijia"},{"family":"Diao","given":"Naichao"},{"family":"Zhao","given":"Quanmin"},{"family":"Li","given":"Chunyi"},{"family":"Jia","given":"Boyin"},{"family":"Zhang","given":"Miao"},{"family":"Li","given":"Jianming"},{"family":"Zhao","given":"Yan"},{"family":"Du","given":"Rui"},{"family":"He","given":"Zhongmei"}],"issued":{"date-parts":[["2024",7,25]]}},"label":"page"}],"schema":"https://github.com/citation-style-language/schema/raw/master/csl-citation.json"} </w:instrText>
      </w:r>
      <w:r w:rsidR="00687DC8">
        <w:fldChar w:fldCharType="separate"/>
      </w:r>
      <w:r w:rsidR="00687DC8" w:rsidRPr="00687DC8">
        <w:rPr>
          <w:rFonts w:cs="Helvetica"/>
        </w:rPr>
        <w:t>(Al Qabbani et al., 2023; Malagón-Escandón et al., 2021; Wang et al., 2024)</w:t>
      </w:r>
      <w:r w:rsidR="00687DC8">
        <w:fldChar w:fldCharType="end"/>
      </w:r>
      <w:r>
        <w:t>. These findings support the potential of DBMs as bone substitutes; however, research on goat bone remains limited.</w:t>
      </w:r>
    </w:p>
    <w:p w14:paraId="088450F4" w14:textId="77777777" w:rsidR="005178A1" w:rsidRDefault="005178A1" w:rsidP="005178A1">
      <w:pPr>
        <w:pStyle w:val="Body"/>
        <w:spacing w:after="0"/>
      </w:pPr>
    </w:p>
    <w:p w14:paraId="3BA6948C" w14:textId="57EE638B" w:rsidR="005178A1" w:rsidRDefault="005178A1" w:rsidP="005178A1">
      <w:pPr>
        <w:pStyle w:val="Body"/>
        <w:spacing w:after="0"/>
        <w:rPr>
          <w:rStyle w:val="relative"/>
        </w:rPr>
      </w:pPr>
      <w:r>
        <w:t>Various decellularization methods—such as the use of sodium dodecyl sulfate (SDS), Triton X-100, enzymatic digestion, and freeze–thaw cycles—have been employed to e</w:t>
      </w:r>
      <w:r w:rsidR="00687DC8">
        <w:t xml:space="preserve">ffectively eliminate cellular material </w:t>
      </w:r>
      <w:r w:rsidR="00687DC8">
        <w:fldChar w:fldCharType="begin"/>
      </w:r>
      <w:r w:rsidR="00687DC8">
        <w:instrText xml:space="preserve"> ADDIN ZOTERO_ITEM CSL_CITATION {"citationID":"nl3shq7S","properties":{"formattedCitation":"(Crapo et al., 2011; Permata et al., 2012, 2024, 2025)","plainCitation":"(Crapo et al., 2011; Permata et al., 2012, 2024, 2025)","noteIndex":0},"citationItems":[{"id":3333,"uris":["http://zotero.org/users/6623320/items/3PXLTCBE"],"itemData":{"id":3333,"type":"article-journal","container-title":"Biomaterials","DOI":"10.1016/j.biomaterials.2011.01.057","ISSN":"01429612","issue":"12","journalAbbreviation":"Biomaterials","language":"en","license":"https://www.elsevier.com/tdm/userlicense/1.0/","page":"3233-3243","source":"DOI.org (Crossref)","title":"An overview of tissue and whole organ decellularization processes","volume":"32","author":[{"family":"Crapo","given":"Peter M."},{"family":"Gilbert","given":"Thomas W."},{"family":"Badylak","given":"Stephen F."}],"issued":{"date-parts":[["2011",4]]}},"label":"page"},{"id":4280,"uris":["http://zotero.org/users/6623320/items/C8IVJM68"],"itemData":{"id":4280,"type":"article-journal","abstract":"This study aims to determine the comparison of residual cells in the extracellular matrix of goat myocardium and intestinal segments after immersion in Triton X-100. A total of 20 goat myocardial segments (1x1x0.5 cm) and 20 goat intestinal segments (1x0.5x0.5cm) were divided into 4 treatment groups, namely the decellularization immersion groups for 24 hours, 48 hours, 72 hours and the control group without decellularization. In this research, the emersion technique was used by immersed the samples in 5 mL of absolute Triton X-100 solution. The samples were subjected to Hematoxylin-Eosin (HE) and Mallory staining. The HE staining showed a considerable number of nuclei remained in all of the treatment groups, in the control group, 24-hour group of treatment, 48-hour group of treatment and 72-hour group of treatment. An observation using Mallory staining showed an intact extracellular matrix in tissue samples following the immersion with absolute Triton X-100. Therefore, it can be concluded that the immersion using absolute Triton X-100 could not completely remove the extracellular matrix in the decellularization process until 72 hours of immersion.","container-title":"Jurnal Kedokteran Hewan","DOI":"https://doi.org/10.21157/j.ked.hewan.v18i2.27712","ISSN":"1978-225X; 2502-5600","issue":"2","language":"id","page":"62-68","source":"Zotero","title":"The Use of Triton X-100 Absolute with Variations of Immersion Time in The Decellularization Process of Intestinal and Myocardial Xenograft","volume":"18","author":[{"family":"Permata","given":"Fajar Shodiq"},{"family":"Paramanandi","given":"Dini Agusti"},{"family":"Nobilla","given":"Nadia"},{"family":"Manalu","given":"Rahel Oktarina"},{"family":"Amalia","given":"Rizqina"}],"issued":{"date-parts":[["2024"]]}},"label":"page"},{"id":4191,"uris":["http://zotero.org/users/6623320/items/K5SYR3T8"],"itemData":{"id":4191,"type":"article-journal","abstract":"Animal graft tissue  (xenograft) was developed  to replace the limited supply of human graft tissue (allograft). Peripheral nerve graft tissue  is needed to replace  the damage. Swine is the most developed source of tissue donor for the preparation of acellular tissue because a lot of livestocks population and its extracellular matrix components similar to human collagen. Swine xenograft development would be an obstacle in Indonesia because of socio-cultural so that sheep used as swine donor replacement. Sheep cartilage tissue acellular induced less human inflammatory mediators than swine. Xenograft is necessary to decellularizebefore implantation into human that results in only extracellular matrix. However, decellularization process varies depending on the species and methods so that it is needed a preliminary study to get the best decellularization method for sheep peripheral nerve specimens. Five samples of sheep Ischiadicus  nerves were conducted decellularization various processes and one sample of fresh nerve (control). Decellularization methods were 24 hours shaking, tissue soaking and perfusion for both 14 days and 17 days, respectively. Decellularization solution was 0.1% SDS-EDTAin PBS. Post decellularization, samples were observed macroscopically, fixed, HE staining of histopathologic examination for microscopic examination. The data were analyzed descriptively. At the macroscopic observation of post decellularization tissue showed white, and samples of soaking method showed softer consistency than that of shaking and perfusion. Microscopic examination showed that samples were not being completed decellularization at shaking method. There was destruction of collagen fibers of perineurium and endoneurium in 17 days of soaking and perfusion methods, while 14 days soaking and perfusion methods showed that samples were being completed decellularization and both perineurium and endoneurium collagen were still good. Conclusion of this study is that 14 days soaking and perfusion decellularization methods are better than that of 24 hours shaking method and 17 days of soaking and perfusion methods for sheep decellularization peripheral nerve.","container-title":"Jurnal Sain Veteriner","DOI":"10.22146/jsv.2606","ISSN":"0126-0421, 2407-3733","issue":"20","journalAbbreviation":"JSV","page":"61-70","title":"Optimization of Tissue Decellularization Method Based on Macroscopic and Microscopic Observation in The Sheep Peripheral Nerves","volume":"30","author":[{"family":"Permata","given":"Fajar Shodiq"},{"family":"Susilowati","given":"Rina"},{"family":"Dharmastiti","given":"Rini"},{"family":"Sirat","given":"Muhammad Mirandy Pratama"},{"family":"Kartikasari","given":"Pipin Dwi"}],"issued":{"date-parts":[["2012"]]}},"label":"page"},{"id":4187,"uris":["http://zotero.org/users/6623320/items/WQK2MB2E"],"itemData":{"id":4187,"type":"article-journal","container-title":"Regenerative Engineering and Translational Medicine","DOI":"10.1007/s40883-025-00417-w","ISSN":"2364-4133, 2364-4141","journalAbbreviation":"Regen. Eng. Transl. Med.","language":"en","source":"DOI.org (Crossref)","title":"Antigen Removal Enhances Host Tolerance in Sheep-derived Xenogeneic Myocardial Scaffold: Modulating Acute and Chronic Inflammatory Responses in Mice","title-short":"Antigen Removal Enhances Host Tolerance in Sheep-derived Xenogeneic Myocardial Scaffold","URL":"https://link.springer.com/10.1007/s40883-025-00417-w","author":[{"family":"Permata","given":"Fajar Shodiq"},{"family":"Amri","given":"Indah Amalia"},{"family":"Nurmaningdyah","given":"Ajeng Aeka"},{"family":"Mahardika","given":"Fiktor"},{"family":"Budiarto","given":"Sonya"},{"family":"Vera","given":"Amelda Kurnia Esty"},{"family":"Yulian","given":"Bangun Dwi"}],"accessed":{"date-parts":[["2025",8,8]]},"issued":{"date-parts":[["2025",4,30]]}},"label":"page"}],"schema":"https://github.com/citation-style-language/schema/raw/master/csl-citation.json"} </w:instrText>
      </w:r>
      <w:r w:rsidR="00687DC8">
        <w:fldChar w:fldCharType="separate"/>
      </w:r>
      <w:r w:rsidR="00687DC8" w:rsidRPr="00687DC8">
        <w:rPr>
          <w:rFonts w:cs="Helvetica"/>
        </w:rPr>
        <w:t>(Crapo et al., 2011; Permata et al., 2012, 2024, 2025)</w:t>
      </w:r>
      <w:r w:rsidR="00687DC8">
        <w:fldChar w:fldCharType="end"/>
      </w:r>
      <w:r w:rsidR="00687DC8">
        <w:t>.</w:t>
      </w:r>
      <w:r>
        <w:t xml:space="preserve"> Mechanical and histological evaluations in bovine and porcine bone have revealed that such methods can remove cells while preserving collagen fibers and biomechanical properties</w:t>
      </w:r>
      <w:r w:rsidR="00687DC8">
        <w:t xml:space="preserve"> </w:t>
      </w:r>
      <w:r w:rsidR="00687DC8">
        <w:fldChar w:fldCharType="begin"/>
      </w:r>
      <w:r w:rsidR="00687DC8">
        <w:instrText xml:space="preserve"> ADDIN ZOTERO_ITEM CSL_CITATION {"citationID":"3AtoChLg","properties":{"formattedCitation":"(Malag\\uc0\\u243{}n-Escand\\uc0\\u243{}n et al., 2021; Nie et al., 2020)","plainCitation":"(Malagón-Escandón et al., 2021; Nie et al., 2020)","noteIndex":0},"citationItems":[{"id":4283,"uris":["http://zotero.org/users/6623320/items/JQ3MI7UH"],"itemData":{"id":4283,"type":"article-journal","abstract":"The use of three-dimensional porous scaffolds derived from decellularized extracellular matrix (ECM) is increasing for functional repair and regeneration of injured bone tissue. Because these scaffolds retain their native structures and bioactive molecules, in addition to showing low immunogenicity and good biodegradability, they can promote tissue repair and regeneration. Nonetheless, imitating these features in synthetic materials represents a challenging task. Furthermore, due to the complexity of bone tissue, different processes are necessary to maintain these characteristics. We present a novel approach using decellularized ECM material derived from bovine cancellous bone by demineralization, decellularization, and hydrolysis of collagen to obtain a three-dimensional porous scaffold. This study demonstrates that the three-dimensional porous scaffold obtained from bovine bone retained its osteoconductive and osteoinductive properties and presented osteogenic potential when seeded with human Wharton’s jelly mesenchymal stromal cells (hWJ-MSCs). Based on its characteristics, the scaffold described in this work potentially represents a therapeutic strategy for bone repair.","container-title":"Polymers","DOI":"10.3390/polym13244390","ISSN":"2073-4360","issue":"24","journalAbbreviation":"Polymers","language":"en","license":"https://creativecommons.org/licenses/by/4.0/","page":"4390","source":"DOI.org (Crossref)","title":"Three-Dimensional Porous Scaffolds Derived from Bovine Cancellous Bone Matrix Promote Osteoinduction, Osteoconduction, and Osteogenesis","volume":"13","author":[{"family":"Malagón-Escandón","given":"Alda"},{"family":"Hautefeuille","given":"Mathieu"},{"family":"Jimenez-Díaz","given":"Edgar"},{"family":"Arenas-Alatorre","given":"Jesus"},{"family":"Saniger","given":"José Manuel"},{"family":"Badillo-Ramírez","given":"Isidro"},{"family":"Vazquez","given":"Nadia"},{"family":"Piñón-Zarate","given":"Gabriela"},{"family":"Castell-Rodríguez","given":"Andrés"}],"issued":{"date-parts":[["2021",12,15]]}},"label":"page"},{"id":4285,"uris":["http://zotero.org/users/6623320/items/HFMHZZ83"],"itemData":{"id":4285,"type":"article-journal","abstract":"Aim: The objectives of this study were to develop a new decellularized bone matrix (DBM) and to investigate its effect on the in vitro cell behavior of human bone marrow-derived mesenchymal stem cells (hMSCs), compared with porous β-tricalcium phosphate (β-TCP) scaffolds. Materials &amp; methods: Triton X-100 and deoxycholate sodium solution, combining DNase I and RNase, were used to decellularize porcine bones. The DBM were then characterized by DNA contents and matrix components. hMSCs were then seeded on the DBM and β-TCP scaffolds to study cell behavior. Results: Results showed that most porcine cells were removed and the matrix components of the DBM were maintained. Cell culture results showed that DBM promoted cell attachment and proliferation of hMSCs but did not significantly promote the gene expression of osteogenic genes, compared with β-TCP scaffolds. Conclusion: DBM has similar function on cell behavior to β-TCP scaffolds that have promising potential in bone tissue regeneration.","container-title":"Regenerative Medicine","DOI":"10.2217/rme-2019-0125","ISSN":"1746-076X","issue":"4","journalAbbreviation":"Regen Med","language":"eng","note":"PMID: 32441554\nPMCID: PMC8977946","page":"1519-1534","source":"PubMed","title":"Development of a decellularized porcine bone matrix for potential applications in bone tissue regeneration","volume":"15","author":[{"family":"Nie","given":"Ziyan"},{"family":"Wang","given":"Xuesong"},{"family":"Ren","given":"Liling"},{"family":"Kang","given":"Yunqing"}],"issued":{"date-parts":[["2020",4]]}},"label":"page"}],"schema":"https://github.com/citation-style-language/schema/raw/master/csl-citation.json"} </w:instrText>
      </w:r>
      <w:r w:rsidR="00687DC8">
        <w:fldChar w:fldCharType="separate"/>
      </w:r>
      <w:r w:rsidR="00687DC8" w:rsidRPr="00687DC8">
        <w:rPr>
          <w:rFonts w:cs="Helvetica"/>
        </w:rPr>
        <w:t>(Malagón-Escandón et al., 2021; Nie et al., 2020)</w:t>
      </w:r>
      <w:r w:rsidR="00687DC8">
        <w:fldChar w:fldCharType="end"/>
      </w:r>
      <w:r>
        <w:t>. Nevertheless, suboptimal protocols can damage ECM components, particularly collagen, resulting in reduced biomechanical performance and rendering the scaffold unsuitable for use as a graft</w:t>
      </w:r>
      <w:r w:rsidR="00E31F80">
        <w:t xml:space="preserve"> </w:t>
      </w:r>
      <w:r w:rsidR="003D15E0">
        <w:fldChar w:fldCharType="begin"/>
      </w:r>
      <w:r w:rsidR="003D15E0">
        <w:instrText xml:space="preserve"> ADDIN ZOTERO_ITEM CSL_CITATION {"citationID":"GXkNwlmD","properties":{"formattedCitation":"(Sun et al., 2025; Xing et al., 2014)","plainCitation":"(Sun et al., 2025; Xing et al., 2014)","noteIndex":0},"citationItems":[{"id":4293,"uris":["http://zotero.org/users/6623320/items/AIWSNZ9S"],"itemData":{"id":4293,"type":"article-journal","container-title":"Journal of Biomechanics","DOI":"10.1016/j.jbiomech.2025.112877","ISSN":"00219290","journalAbbreviation":"Journal of Biomechanics","language":"en","page":"112877","source":"DOI.org (Crossref)","title":"Effect of decellularization protocols on the biomechanical properties of porcine ovarian extracellular matrix","volume":"190","author":[{"family":"Sun","given":"Su-Xiu"},{"family":"Li","given":"Da"},{"family":"Yang","given":"You"},{"family":"Zheng","given":"Ting-Hui"},{"family":"Xiao","given":"Zhun"}],"issued":{"date-parts":[["2025",9]]}},"label":"page"},{"id":4294,"uris":["http://zotero.org/users/6623320/items/ICSMKCEP"],"itemData":{"id":4294,"type":"article-journal","container-title":"Experimental and Therapeutic Medicine","DOI":"10.3892/etm.2014.1742","ISSN":"1792-0981, 1792-1015","issue":"2","language":"en","page":"628-634","source":"DOI.org (Crossref)","title":"Effects of various decellularization methods on histological and biomechanical properties of rabbit tendons","volume":"8","author":[{"family":"Xing","given":"Shuxing"},{"family":"Liu","given":"Cong"},{"family":"Xu","given":"Bing"},{"family":"Chen","given":"Jianchang"},{"family":"Yin","given":"Dongfeng"},{"family":"Zhang","given":"Chunhao"}],"issued":{"date-parts":[["2014",8]]}},"label":"page"}],"schema":"https://github.com/citation-style-language/schema/raw/master/csl-citation.json"} </w:instrText>
      </w:r>
      <w:r w:rsidR="003D15E0">
        <w:fldChar w:fldCharType="separate"/>
      </w:r>
      <w:r w:rsidR="003D15E0" w:rsidRPr="003D15E0">
        <w:rPr>
          <w:rFonts w:cs="Helvetica"/>
        </w:rPr>
        <w:t>(Sun et al., 2025; Xing et al., 2014)</w:t>
      </w:r>
      <w:r w:rsidR="003D15E0">
        <w:fldChar w:fldCharType="end"/>
      </w:r>
      <w:r w:rsidR="003D15E0">
        <w:t xml:space="preserve">. </w:t>
      </w:r>
      <w:r>
        <w:t xml:space="preserve">Moreover, there is currently no consensus on the most effective decellularization protocol for goat bone, particularly concerning the optimal SDS concentration and immersion duration required to balance ECM </w:t>
      </w:r>
      <w:r w:rsidRPr="005178A1">
        <w:rPr>
          <w:rStyle w:val="relative"/>
        </w:rPr>
        <w:t>preservation with mechanical strength.</w:t>
      </w:r>
    </w:p>
    <w:p w14:paraId="69D95605" w14:textId="77777777" w:rsidR="005178A1" w:rsidRPr="005178A1" w:rsidRDefault="005178A1" w:rsidP="005178A1">
      <w:pPr>
        <w:pStyle w:val="Body"/>
        <w:spacing w:after="0"/>
        <w:rPr>
          <w:rStyle w:val="relative"/>
        </w:rPr>
      </w:pPr>
    </w:p>
    <w:p w14:paraId="009D90E9" w14:textId="4B5CFCF0" w:rsidR="005178A1" w:rsidRDefault="005178A1" w:rsidP="005178A1">
      <w:pPr>
        <w:pStyle w:val="Body"/>
        <w:spacing w:after="0"/>
        <w:rPr>
          <w:rStyle w:val="relative"/>
        </w:rPr>
      </w:pPr>
      <w:r w:rsidRPr="005178A1">
        <w:rPr>
          <w:rStyle w:val="relative"/>
        </w:rPr>
        <w:t xml:space="preserve">Although substantial work has been carried out in other large animals, </w:t>
      </w:r>
      <w:r>
        <w:rPr>
          <w:rStyle w:val="relative"/>
        </w:rPr>
        <w:t>a clear research gap remains</w:t>
      </w:r>
      <w:r w:rsidRPr="005178A1">
        <w:rPr>
          <w:rStyle w:val="relative"/>
        </w:rPr>
        <w:t xml:space="preserve"> in understanding the histological and biomechanical properties of goat bone following decellularization. Specifically, data are lacking on the structural integrity of the ECM, collagen preservation, and tensile strength after SDS treatment. Such knowledge is cr</w:t>
      </w:r>
      <w:r>
        <w:rPr>
          <w:rStyle w:val="relative"/>
        </w:rPr>
        <w:t>ucial for evaluating</w:t>
      </w:r>
      <w:r w:rsidRPr="005178A1">
        <w:rPr>
          <w:rStyle w:val="relative"/>
        </w:rPr>
        <w:t xml:space="preserve"> the suitability of goat bone as a xenograft material.</w:t>
      </w:r>
    </w:p>
    <w:p w14:paraId="557C66E5" w14:textId="77777777" w:rsidR="005178A1" w:rsidRPr="005178A1" w:rsidRDefault="005178A1" w:rsidP="005178A1">
      <w:pPr>
        <w:pStyle w:val="Body"/>
        <w:spacing w:after="0"/>
        <w:rPr>
          <w:rStyle w:val="relative"/>
        </w:rPr>
      </w:pPr>
    </w:p>
    <w:p w14:paraId="37CCEA26" w14:textId="163D68D5" w:rsidR="005178A1" w:rsidRDefault="005178A1" w:rsidP="005178A1">
      <w:pPr>
        <w:pStyle w:val="Body"/>
        <w:spacing w:after="0"/>
        <w:rPr>
          <w:rStyle w:val="relative"/>
        </w:rPr>
      </w:pPr>
      <w:r w:rsidRPr="005178A1">
        <w:rPr>
          <w:rStyle w:val="relative"/>
        </w:rPr>
        <w:t>The present study hypothesizes that goat bone subjected to decellularization will retain a</w:t>
      </w:r>
      <w:r>
        <w:rPr>
          <w:rStyle w:val="relative"/>
        </w:rPr>
        <w:t>n adequate histological structure and biomechanical strength, making it a suitable candidate for xenograft use</w:t>
      </w:r>
      <w:r w:rsidRPr="005178A1">
        <w:rPr>
          <w:rStyle w:val="relative"/>
        </w:rPr>
        <w:t>. Therefore, this research aims to evaluate the anatomical and biomechanical characteristics of goat bone before and after decellularization. Histological analyses will focus on ECM integrity and osteogenic marker expression, while biomechanical evaluation will include tensile strength assessment. By addressing this gap, the study is expected to contribute to the development of cost-effective, accessible, and standardized goat-derived xenografts for orthopedic and reconstructive applications.</w:t>
      </w:r>
    </w:p>
    <w:p w14:paraId="2150666A" w14:textId="77777777" w:rsidR="001D19E6" w:rsidRPr="00FB3A86" w:rsidRDefault="001D19E6" w:rsidP="00441B6F">
      <w:pPr>
        <w:pStyle w:val="Body"/>
        <w:spacing w:after="0"/>
        <w:rPr>
          <w:rFonts w:ascii="Arial" w:hAnsi="Arial" w:cs="Arial"/>
        </w:rPr>
      </w:pPr>
    </w:p>
    <w:p w14:paraId="661E3F1C" w14:textId="31A1C3C5" w:rsidR="00790ADA" w:rsidRDefault="00902823" w:rsidP="00441B6F">
      <w:pPr>
        <w:pStyle w:val="AbstHead"/>
        <w:spacing w:after="0"/>
        <w:jc w:val="both"/>
        <w:rPr>
          <w:rFonts w:ascii="Arial" w:hAnsi="Arial" w:cs="Arial"/>
        </w:rPr>
      </w:pPr>
      <w:r>
        <w:rPr>
          <w:rFonts w:ascii="Arial" w:hAnsi="Arial" w:cs="Arial"/>
        </w:rPr>
        <w:t xml:space="preserve">2. </w:t>
      </w:r>
      <w:r w:rsidR="00000F8F">
        <w:rPr>
          <w:rFonts w:ascii="Arial" w:hAnsi="Arial" w:cs="Arial"/>
        </w:rPr>
        <w:t>experimental details</w:t>
      </w:r>
      <w:r w:rsidR="006B57D0">
        <w:rPr>
          <w:rFonts w:ascii="Arial" w:hAnsi="Arial" w:cs="Arial"/>
        </w:rPr>
        <w:t xml:space="preserve"> </w:t>
      </w:r>
    </w:p>
    <w:p w14:paraId="7F6AEA10" w14:textId="77777777" w:rsidR="005C7C3C" w:rsidRPr="00FB3A86" w:rsidRDefault="005C7C3C" w:rsidP="00441B6F">
      <w:pPr>
        <w:pStyle w:val="AbstHead"/>
        <w:spacing w:after="0"/>
        <w:jc w:val="both"/>
        <w:rPr>
          <w:rFonts w:ascii="Arial" w:hAnsi="Arial" w:cs="Arial"/>
        </w:rPr>
      </w:pPr>
    </w:p>
    <w:p w14:paraId="651FD74E" w14:textId="2D8D7EDB" w:rsidR="00BA5994" w:rsidRPr="009E6DCE" w:rsidRDefault="00BA5994" w:rsidP="00441B6F">
      <w:pPr>
        <w:pStyle w:val="Body"/>
        <w:spacing w:after="0"/>
        <w:rPr>
          <w:rFonts w:ascii="Arial" w:hAnsi="Arial" w:cs="Arial"/>
          <w:b/>
          <w:sz w:val="22"/>
        </w:rPr>
      </w:pPr>
      <w:r w:rsidRPr="009E6DCE">
        <w:rPr>
          <w:rFonts w:ascii="Arial" w:hAnsi="Arial" w:cs="Arial"/>
          <w:b/>
          <w:sz w:val="22"/>
        </w:rPr>
        <w:t xml:space="preserve">2.1. </w:t>
      </w:r>
      <w:r w:rsidR="005178A1" w:rsidRPr="005178A1">
        <w:rPr>
          <w:rFonts w:ascii="Arial" w:hAnsi="Arial" w:cs="Arial"/>
          <w:b/>
          <w:sz w:val="22"/>
        </w:rPr>
        <w:t>Sample collection and preparation</w:t>
      </w:r>
    </w:p>
    <w:p w14:paraId="54EC3FA8" w14:textId="6D9D5C65" w:rsidR="005178A1" w:rsidRDefault="005178A1" w:rsidP="00441B6F">
      <w:pPr>
        <w:pStyle w:val="Body"/>
        <w:spacing w:after="0"/>
      </w:pPr>
      <w:r>
        <w:t xml:space="preserve">Goat </w:t>
      </w:r>
      <w:proofErr w:type="spellStart"/>
      <w:r>
        <w:t>humerus</w:t>
      </w:r>
      <w:proofErr w:type="spellEnd"/>
      <w:r>
        <w:t xml:space="preserve"> bones were obtained from a local public market in Malang, Indonesia</w:t>
      </w:r>
      <w:r w:rsidR="00BD776E">
        <w:t>, and were frozen for not more than 8 hours</w:t>
      </w:r>
      <w:r>
        <w:t>. All residual soft tissues and muscle</w:t>
      </w:r>
      <w:r w:rsidR="00BD776E">
        <w:t>s</w:t>
      </w:r>
      <w:r>
        <w:t xml:space="preserve"> were carefully removed, and the bones were cut longitudinally into </w:t>
      </w:r>
      <w:r w:rsidR="006E67B9" w:rsidRPr="006E67B9">
        <w:rPr>
          <w:highlight w:val="yellow"/>
        </w:rPr>
        <w:t>similar rectang</w:t>
      </w:r>
      <w:r w:rsidR="006E67B9">
        <w:rPr>
          <w:highlight w:val="yellow"/>
        </w:rPr>
        <w:t>ular</w:t>
      </w:r>
      <w:r w:rsidRPr="006E67B9">
        <w:rPr>
          <w:highlight w:val="yellow"/>
        </w:rPr>
        <w:t xml:space="preserve"> segments</w:t>
      </w:r>
      <w:r>
        <w:t xml:space="preserve"> measuring approximately 0.5 × 0.5 × 25 cm using a bone saw.</w:t>
      </w:r>
    </w:p>
    <w:p w14:paraId="75D02D2E" w14:textId="77777777" w:rsidR="00BA5994" w:rsidRDefault="00BA5994" w:rsidP="00441B6F">
      <w:pPr>
        <w:pStyle w:val="Body"/>
        <w:spacing w:after="0"/>
        <w:rPr>
          <w:rFonts w:ascii="Arial" w:hAnsi="Arial" w:cs="Arial"/>
        </w:rPr>
      </w:pPr>
    </w:p>
    <w:p w14:paraId="2A84D3CE" w14:textId="31FD9D1B" w:rsidR="00345FC2" w:rsidRPr="009E6DCE" w:rsidRDefault="00345FC2" w:rsidP="00345FC2">
      <w:pPr>
        <w:pStyle w:val="Body"/>
        <w:spacing w:after="0"/>
        <w:rPr>
          <w:rFonts w:ascii="Arial" w:hAnsi="Arial" w:cs="Arial"/>
          <w:b/>
          <w:sz w:val="22"/>
        </w:rPr>
      </w:pPr>
      <w:r w:rsidRPr="009E6DCE">
        <w:rPr>
          <w:rFonts w:ascii="Arial" w:hAnsi="Arial" w:cs="Arial"/>
          <w:b/>
          <w:sz w:val="22"/>
        </w:rPr>
        <w:t>2.</w:t>
      </w:r>
      <w:r>
        <w:rPr>
          <w:rFonts w:ascii="Arial" w:hAnsi="Arial" w:cs="Arial"/>
          <w:b/>
          <w:sz w:val="22"/>
        </w:rPr>
        <w:t>2</w:t>
      </w:r>
      <w:r w:rsidRPr="009E6DCE">
        <w:rPr>
          <w:rFonts w:ascii="Arial" w:hAnsi="Arial" w:cs="Arial"/>
          <w:b/>
          <w:sz w:val="22"/>
        </w:rPr>
        <w:t xml:space="preserve">. </w:t>
      </w:r>
      <w:r w:rsidRPr="00345FC2">
        <w:rPr>
          <w:rFonts w:ascii="Arial" w:hAnsi="Arial" w:cs="Arial"/>
          <w:b/>
          <w:sz w:val="22"/>
        </w:rPr>
        <w:t>Decellularization process</w:t>
      </w:r>
    </w:p>
    <w:p w14:paraId="5FC48163" w14:textId="7B775A38" w:rsidR="00345FC2" w:rsidRDefault="00345FC2" w:rsidP="00345FC2">
      <w:pPr>
        <w:pStyle w:val="Body"/>
        <w:spacing w:after="0"/>
      </w:pPr>
      <w:r w:rsidRPr="00345FC2">
        <w:t xml:space="preserve">Bone segments were immersed in 40 mL of 0.1% sodium dodecyl sulfate </w:t>
      </w:r>
      <w:r w:rsidRPr="00170C4B">
        <w:rPr>
          <w:highlight w:val="yellow"/>
        </w:rPr>
        <w:t>(SDS; Merck, USA)</w:t>
      </w:r>
      <w:r w:rsidRPr="00345FC2">
        <w:t xml:space="preserve"> in phosphate-buffered saline (PBS, w/v) within 45 mL Falcon® tubes, with immersion times of 7, 14, and 25 days. Following decellularization, segments were rinsed in PBS</w:t>
      </w:r>
      <w:r w:rsidR="006E67B9">
        <w:t xml:space="preserve"> </w:t>
      </w:r>
      <w:r w:rsidR="006E67B9" w:rsidRPr="00170C4B">
        <w:rPr>
          <w:highlight w:val="yellow"/>
        </w:rPr>
        <w:t>(</w:t>
      </w:r>
      <w:proofErr w:type="spellStart"/>
      <w:r w:rsidR="006E67B9" w:rsidRPr="00170C4B">
        <w:rPr>
          <w:highlight w:val="yellow"/>
        </w:rPr>
        <w:t>HiMedia</w:t>
      </w:r>
      <w:proofErr w:type="spellEnd"/>
      <w:r w:rsidR="006E67B9" w:rsidRPr="00170C4B">
        <w:rPr>
          <w:highlight w:val="yellow"/>
        </w:rPr>
        <w:t>, India)</w:t>
      </w:r>
      <w:r w:rsidRPr="00345FC2">
        <w:t xml:space="preserve"> </w:t>
      </w:r>
      <w:r w:rsidRPr="00345FC2">
        <w:lastRenderedPageBreak/>
        <w:t>and fixed in neutral buffered formalin (NBF)</w:t>
      </w:r>
      <w:r w:rsidR="006E67B9">
        <w:t xml:space="preserve"> </w:t>
      </w:r>
      <w:r w:rsidR="006E67B9" w:rsidRPr="00170C4B">
        <w:rPr>
          <w:highlight w:val="yellow"/>
        </w:rPr>
        <w:t>(</w:t>
      </w:r>
      <w:proofErr w:type="spellStart"/>
      <w:r w:rsidR="006E67B9" w:rsidRPr="00170C4B">
        <w:rPr>
          <w:highlight w:val="yellow"/>
        </w:rPr>
        <w:t>HiMedia</w:t>
      </w:r>
      <w:proofErr w:type="spellEnd"/>
      <w:r w:rsidR="006E67B9" w:rsidRPr="00170C4B">
        <w:rPr>
          <w:highlight w:val="yellow"/>
        </w:rPr>
        <w:t>, India)</w:t>
      </w:r>
      <w:r w:rsidRPr="00345FC2">
        <w:t>.</w:t>
      </w:r>
      <w:r w:rsidR="003D15E0">
        <w:t xml:space="preserve"> The method was modified from </w:t>
      </w:r>
      <w:r w:rsidR="003D15E0">
        <w:fldChar w:fldCharType="begin"/>
      </w:r>
      <w:r w:rsidR="003D15E0">
        <w:instrText xml:space="preserve"> ADDIN ZOTERO_ITEM CSL_CITATION {"citationID":"A6SxI3mO","properties":{"custom":"Permata et al. (2012)","formattedCitation":"Permata et al. (2012)","plainCitation":"Permata et al. (2012)","noteIndex":0},"citationItems":[{"id":4191,"uris":["http://zotero.org/users/6623320/items/K5SYR3T8"],"itemData":{"id":4191,"type":"article-journal","abstract":"Animal graft tissue  (xenograft) was developed  to replace the limited supply of human graft tissue (allograft). Peripheral nerve graft tissue  is needed to replace  the damage. Swine is the most developed source of tissue donor for the preparation of acellular tissue because a lot of livestocks population and its extracellular matrix components similar to human collagen. Swine xenograft development would be an obstacle in Indonesia because of socio-cultural so that sheep used as swine donor replacement. Sheep cartilage tissue acellular induced less human inflammatory mediators than swine. Xenograft is necessary to decellularizebefore implantation into human that results in only extracellular matrix. However, decellularization process varies depending on the species and methods so that it is needed a preliminary study to get the best decellularization method for sheep peripheral nerve specimens. Five samples of sheep Ischiadicus  nerves were conducted decellularization various processes and one sample of fresh nerve (control). Decellularization methods were 24 hours shaking, tissue soaking and perfusion for both 14 days and 17 days, respectively. Decellularization solution was 0.1% SDS-EDTAin PBS. Post decellularization, samples were observed macroscopically, fixed, HE staining of histopathologic examination for microscopic examination. The data were analyzed descriptively. At the macroscopic observation of post decellularization tissue showed white, and samples of soaking method showed softer consistency than that of shaking and perfusion. Microscopic examination showed that samples were not being completed decellularization at shaking method. There was destruction of collagen fibers of perineurium and endoneurium in 17 days of soaking and perfusion methods, while 14 days soaking and perfusion methods showed that samples were being completed decellularization and both perineurium and endoneurium collagen were still good. Conclusion of this study is that 14 days soaking and perfusion decellularization methods are better than that of 24 hours shaking method and 17 days of soaking and perfusion methods for sheep decellularization peripheral nerve.","container-title":"Jurnal Sain Veteriner","DOI":"10.22146/jsv.2606","ISSN":"0126-0421, 2407-3733","issue":"20","journalAbbreviation":"JSV","page":"61-70","title":"Optimization of Tissue Decellularization Method Based on Macroscopic and Microscopic Observation in The Sheep Peripheral Nerves","volume":"30","author":[{"family":"Permata","given":"Fajar Shodiq"},{"family":"Susilowati","given":"Rina"},{"family":"Dharmastiti","given":"Rini"},{"family":"Sirat","given":"Muhammad Mirandy Pratama"},{"family":"Kartikasari","given":"Pipin Dwi"}],"issued":{"date-parts":[["2012"]]}}}],"schema":"https://github.com/citation-style-language/schema/raw/master/csl-citation.json"} </w:instrText>
      </w:r>
      <w:r w:rsidR="003D15E0">
        <w:fldChar w:fldCharType="separate"/>
      </w:r>
      <w:r w:rsidR="003D15E0" w:rsidRPr="003D15E0">
        <w:rPr>
          <w:rFonts w:cs="Helvetica"/>
        </w:rPr>
        <w:t>Permata et al. (2012)</w:t>
      </w:r>
      <w:r w:rsidR="003D15E0">
        <w:fldChar w:fldCharType="end"/>
      </w:r>
    </w:p>
    <w:p w14:paraId="608E53D4" w14:textId="01066BFB" w:rsidR="00345FC2" w:rsidRDefault="00345FC2" w:rsidP="00345FC2">
      <w:pPr>
        <w:pStyle w:val="Body"/>
        <w:spacing w:after="0"/>
      </w:pPr>
      <w:r>
        <w:br/>
      </w:r>
      <w:r w:rsidRPr="00345FC2">
        <w:t>This approach is consistent with decellularization techniques reported in the literature, where chemical immersion methods, particularly SDS-based protocols, have demonstrated effective cellular removal while preserving ECM integrity in large-animal bone models</w:t>
      </w:r>
      <w:r w:rsidR="003D15E0">
        <w:t xml:space="preserve"> </w:t>
      </w:r>
      <w:r w:rsidR="003D15E0">
        <w:fldChar w:fldCharType="begin"/>
      </w:r>
      <w:r w:rsidR="003D15E0">
        <w:instrText xml:space="preserve"> ADDIN ZOTERO_ITEM CSL_CITATION {"citationID":"ULGqk9UC","properties":{"formattedCitation":"(Emami et al., 2020)","plainCitation":"(Emami et al., 2020)","noteIndex":0},"citationItems":[{"id":4276,"uris":["http://zotero.org/users/6623320/items/4Y9KHWJ5"],"itemData":{"id":4276,"type":"article-journal","abstract":"Abstract\n            \n              Background\n              Extracellular vesicles (ECV) and bone extracellular matrix (ECM) have beneficial effects on the treatment of some pathological conditions. The purpose of this study was to find the synergic effects of decellularized bone (DB) ECM and ECVs on the repair of rabbit.\n            \n            \n              Methods\n              The quality of decellularized sheep bones was confirmed by H&amp;E, Hoechst, DNA quantification, immunohistochemistry, histochemical staining, and scanning electron microscopy (SEM). Osteoblast-derived ECVs were evaluated by internalization test, Transmission electron microscopy, Dynamic light scattering, and flow cytometry for CD9, CD63, CD81 markers. The hydrogel containing DB and hydroxyapatite (HA) with or without ECVs was evaluated for osteoblast functions and bone repair both in vitro and in vivo.\n            \n            \n              Results\n              The data indicated ECM preservation after decellularization as well as cell depletion. In vitro assessments revealed that mineralization and alkaline phosphatase activity did not improve after treatment of MG63 cells by ECVs, while in vivo morphomatrical estimations showed synergic effects of ECVs and DB + HA hydrogels on increasing the number of bone-specific cells and vessel and bone area compared to the control, DB + HA and ECV-treated groups.\n            \n            \n              Conclusions\n              The DB enriched with ECVs can be an ideal scaffold for bone tissue engineering and may provide a suitable niche for bone cell migration and differentiation.","container-title":"Journal of Translational Medicine","DOI":"10.1186/s12967-020-02525-3","ISSN":"1479-5876","issue":"1","journalAbbreviation":"J Transl Med","language":"en","page":"361","source":"DOI.org (Crossref)","title":"Synergic effects of decellularized bone matrix, hydroxyapatite, and extracellular vesicles on repairing of the rabbit mandibular bone defect model","volume":"18","author":[{"family":"Emami","given":"Asrin"},{"family":"Talaei-Khozani","given":"Tahereh"},{"family":"Tavanafar","given":"Saeid"},{"family":"Zareifard","given":"Nehleh"},{"family":"Azarpira","given":"Negar"},{"family":"Vojdani","given":"Zahra"}],"issued":{"date-parts":[["2020",12]]}}}],"schema":"https://github.com/citation-style-language/schema/raw/master/csl-citation.json"} </w:instrText>
      </w:r>
      <w:r w:rsidR="003D15E0">
        <w:fldChar w:fldCharType="separate"/>
      </w:r>
      <w:r w:rsidR="003D15E0" w:rsidRPr="003D15E0">
        <w:rPr>
          <w:rFonts w:cs="Helvetica"/>
        </w:rPr>
        <w:t>(Emami et al., 2020)</w:t>
      </w:r>
      <w:r w:rsidR="003D15E0">
        <w:fldChar w:fldCharType="end"/>
      </w:r>
      <w:r w:rsidR="003D15E0">
        <w:t>.</w:t>
      </w:r>
    </w:p>
    <w:p w14:paraId="3F7EA9E1" w14:textId="77777777" w:rsidR="00345FC2" w:rsidRPr="00345FC2" w:rsidRDefault="00345FC2" w:rsidP="00345FC2">
      <w:pPr>
        <w:pStyle w:val="Body"/>
        <w:spacing w:after="0"/>
      </w:pPr>
    </w:p>
    <w:p w14:paraId="4F32E673" w14:textId="77777777" w:rsidR="00345FC2" w:rsidRDefault="00345FC2" w:rsidP="00345FC2">
      <w:pPr>
        <w:pStyle w:val="Body"/>
        <w:spacing w:after="0"/>
      </w:pPr>
      <w:r w:rsidRPr="00345FC2">
        <w:t>Study groups comprised:</w:t>
      </w:r>
    </w:p>
    <w:p w14:paraId="6EBF9BF9" w14:textId="77777777" w:rsidR="00345FC2" w:rsidRDefault="00345FC2" w:rsidP="00345FC2">
      <w:pPr>
        <w:pStyle w:val="Body"/>
        <w:numPr>
          <w:ilvl w:val="0"/>
          <w:numId w:val="32"/>
        </w:numPr>
        <w:spacing w:after="0"/>
      </w:pPr>
      <w:r w:rsidRPr="00345FC2">
        <w:t>Native (non-decellularized) goat bone</w:t>
      </w:r>
    </w:p>
    <w:p w14:paraId="47CF8343" w14:textId="77777777" w:rsidR="00345FC2" w:rsidRDefault="00345FC2" w:rsidP="00345FC2">
      <w:pPr>
        <w:pStyle w:val="Body"/>
        <w:numPr>
          <w:ilvl w:val="0"/>
          <w:numId w:val="32"/>
        </w:numPr>
        <w:spacing w:after="0"/>
      </w:pPr>
      <w:r w:rsidRPr="00345FC2">
        <w:t>Goat bone decellularized for 7 days</w:t>
      </w:r>
    </w:p>
    <w:p w14:paraId="7EEB7914" w14:textId="77777777" w:rsidR="00345FC2" w:rsidRDefault="00345FC2" w:rsidP="00345FC2">
      <w:pPr>
        <w:pStyle w:val="Body"/>
        <w:numPr>
          <w:ilvl w:val="0"/>
          <w:numId w:val="32"/>
        </w:numPr>
        <w:spacing w:after="0"/>
      </w:pPr>
      <w:r w:rsidRPr="00345FC2">
        <w:t>Goat bone decellularized for 14 days</w:t>
      </w:r>
    </w:p>
    <w:p w14:paraId="2A90E901" w14:textId="77777777" w:rsidR="00345FC2" w:rsidRDefault="00345FC2" w:rsidP="00345FC2">
      <w:pPr>
        <w:pStyle w:val="Body"/>
        <w:numPr>
          <w:ilvl w:val="0"/>
          <w:numId w:val="32"/>
        </w:numPr>
        <w:spacing w:after="0"/>
      </w:pPr>
      <w:r w:rsidRPr="00345FC2">
        <w:t>Goat bone decellularized for 25 days</w:t>
      </w:r>
    </w:p>
    <w:p w14:paraId="1447A535" w14:textId="77777777" w:rsidR="00345FC2" w:rsidRDefault="00345FC2" w:rsidP="00345FC2">
      <w:pPr>
        <w:pStyle w:val="Body"/>
        <w:spacing w:after="0"/>
      </w:pPr>
      <w:r w:rsidRPr="00345FC2">
        <w:t>Each group included five replicates (n = 5).</w:t>
      </w:r>
    </w:p>
    <w:p w14:paraId="0DD04699" w14:textId="6EDE706A" w:rsidR="00345FC2" w:rsidRDefault="00345FC2" w:rsidP="00441B6F">
      <w:pPr>
        <w:pStyle w:val="Body"/>
        <w:spacing w:after="0"/>
        <w:rPr>
          <w:rFonts w:ascii="Arial" w:hAnsi="Arial" w:cs="Arial"/>
        </w:rPr>
      </w:pPr>
    </w:p>
    <w:p w14:paraId="2C3C754F" w14:textId="1324D598" w:rsidR="00345FC2" w:rsidRPr="009E6DCE" w:rsidRDefault="00345FC2" w:rsidP="00345FC2">
      <w:pPr>
        <w:pStyle w:val="Body"/>
        <w:spacing w:after="0"/>
        <w:rPr>
          <w:rFonts w:ascii="Arial" w:hAnsi="Arial" w:cs="Arial"/>
          <w:b/>
          <w:sz w:val="22"/>
        </w:rPr>
      </w:pPr>
      <w:r w:rsidRPr="009E6DCE">
        <w:rPr>
          <w:rFonts w:ascii="Arial" w:hAnsi="Arial" w:cs="Arial"/>
          <w:b/>
          <w:sz w:val="22"/>
        </w:rPr>
        <w:t>2.</w:t>
      </w:r>
      <w:r>
        <w:rPr>
          <w:rFonts w:ascii="Arial" w:hAnsi="Arial" w:cs="Arial"/>
          <w:b/>
          <w:sz w:val="22"/>
        </w:rPr>
        <w:t>3</w:t>
      </w:r>
      <w:r w:rsidRPr="009E6DCE">
        <w:rPr>
          <w:rFonts w:ascii="Arial" w:hAnsi="Arial" w:cs="Arial"/>
          <w:b/>
          <w:sz w:val="22"/>
        </w:rPr>
        <w:t xml:space="preserve">. </w:t>
      </w:r>
      <w:r w:rsidRPr="00345FC2">
        <w:rPr>
          <w:rFonts w:ascii="Arial" w:hAnsi="Arial" w:cs="Arial"/>
          <w:b/>
          <w:sz w:val="22"/>
        </w:rPr>
        <w:t>Macroscopic and Dimensional Analysis</w:t>
      </w:r>
    </w:p>
    <w:p w14:paraId="256AB12C" w14:textId="0C5B0A28" w:rsidR="00345FC2" w:rsidRDefault="00345FC2" w:rsidP="00441B6F">
      <w:pPr>
        <w:pStyle w:val="Body"/>
        <w:spacing w:after="0"/>
      </w:pPr>
      <w:r>
        <w:t>Bone segments, pre- and post-decellularization, were photographed and measured using a digital caliper (</w:t>
      </w:r>
      <w:proofErr w:type="spellStart"/>
      <w:r>
        <w:t>Taffware</w:t>
      </w:r>
      <w:proofErr w:type="spellEnd"/>
      <w:r>
        <w:t>, China), with results presented as mean ± standard deviation (SD) in millimeters.</w:t>
      </w:r>
    </w:p>
    <w:p w14:paraId="6423EECA" w14:textId="77777777" w:rsidR="00345FC2" w:rsidRDefault="00345FC2" w:rsidP="00441B6F">
      <w:pPr>
        <w:pStyle w:val="Body"/>
        <w:spacing w:after="0"/>
        <w:rPr>
          <w:rFonts w:ascii="Arial" w:hAnsi="Arial" w:cs="Arial"/>
          <w:b/>
          <w:sz w:val="22"/>
        </w:rPr>
      </w:pPr>
    </w:p>
    <w:p w14:paraId="6EC86E78" w14:textId="252753F6" w:rsidR="00BA5994" w:rsidRPr="009E6DCE" w:rsidRDefault="00BA5994" w:rsidP="00441B6F">
      <w:pPr>
        <w:pStyle w:val="Body"/>
        <w:spacing w:after="0"/>
        <w:rPr>
          <w:rFonts w:ascii="Arial" w:hAnsi="Arial" w:cs="Arial"/>
          <w:b/>
          <w:sz w:val="22"/>
        </w:rPr>
      </w:pPr>
      <w:r w:rsidRPr="009E6DCE">
        <w:rPr>
          <w:rFonts w:ascii="Arial" w:hAnsi="Arial" w:cs="Arial"/>
          <w:b/>
          <w:sz w:val="22"/>
        </w:rPr>
        <w:t>2.</w:t>
      </w:r>
      <w:r w:rsidR="00345FC2">
        <w:rPr>
          <w:rFonts w:ascii="Arial" w:hAnsi="Arial" w:cs="Arial"/>
          <w:b/>
          <w:sz w:val="22"/>
        </w:rPr>
        <w:t>4</w:t>
      </w:r>
      <w:r w:rsidRPr="009E6DCE">
        <w:rPr>
          <w:rFonts w:ascii="Arial" w:hAnsi="Arial" w:cs="Arial"/>
          <w:b/>
          <w:sz w:val="22"/>
        </w:rPr>
        <w:t xml:space="preserve">. </w:t>
      </w:r>
      <w:r w:rsidR="00345FC2" w:rsidRPr="00345FC2">
        <w:rPr>
          <w:rFonts w:ascii="Arial" w:hAnsi="Arial" w:cs="Arial"/>
          <w:b/>
          <w:sz w:val="22"/>
        </w:rPr>
        <w:t>Mechanical Testing—Tensile Strength</w:t>
      </w:r>
    </w:p>
    <w:p w14:paraId="415D27EB" w14:textId="551C1EFC" w:rsidR="00345FC2" w:rsidRDefault="00345FC2" w:rsidP="00345FC2">
      <w:pPr>
        <w:pStyle w:val="Body"/>
        <w:spacing w:after="0"/>
      </w:pPr>
      <w:r w:rsidRPr="00345FC2">
        <w:t xml:space="preserve">A 2 cm portion of each sample was set aside for histological evaluation; the remaining 23 cm were fabricated into a dog-bone model by embedding each end (1.5 cm) in resin to prevent slippage during tensile testing (Figure 1). Tensile testing was performed at the Mechanical Testing Laboratory, Department of Mechanical Engineering, </w:t>
      </w:r>
      <w:proofErr w:type="spellStart"/>
      <w:r w:rsidRPr="00345FC2">
        <w:t>Universitas</w:t>
      </w:r>
      <w:proofErr w:type="spellEnd"/>
      <w:r w:rsidRPr="00345FC2">
        <w:t xml:space="preserve"> </w:t>
      </w:r>
      <w:proofErr w:type="spellStart"/>
      <w:r w:rsidRPr="00345FC2">
        <w:t>Brawijaya</w:t>
      </w:r>
      <w:proofErr w:type="spellEnd"/>
      <w:r w:rsidRPr="00345FC2">
        <w:t>, using a universal tensile testing machine (MFL </w:t>
      </w:r>
      <w:proofErr w:type="spellStart"/>
      <w:r w:rsidRPr="00345FC2">
        <w:t>Piuf</w:t>
      </w:r>
      <w:proofErr w:type="spellEnd"/>
      <w:r w:rsidRPr="00345FC2">
        <w:noBreakHyphen/>
        <w:t xml:space="preserve">Und Me </w:t>
      </w:r>
      <w:proofErr w:type="spellStart"/>
      <w:r w:rsidRPr="00345FC2">
        <w:t>Bsyteme</w:t>
      </w:r>
      <w:proofErr w:type="spellEnd"/>
      <w:r w:rsidRPr="00345FC2">
        <w:t xml:space="preserve"> GmbH; </w:t>
      </w:r>
      <w:r>
        <w:t>M</w:t>
      </w:r>
      <w:r w:rsidRPr="00345FC2">
        <w:t xml:space="preserve">annheim, Germany) with a 0–20 </w:t>
      </w:r>
      <w:proofErr w:type="spellStart"/>
      <w:r w:rsidRPr="00345FC2">
        <w:t>kN</w:t>
      </w:r>
      <w:proofErr w:type="spellEnd"/>
      <w:r w:rsidRPr="00345FC2">
        <w:t xml:space="preserve"> load cell. Ultimate tensile strength (kPa) was calculated as the maximum load (</w:t>
      </w:r>
      <w:proofErr w:type="spellStart"/>
      <w:r w:rsidRPr="00345FC2">
        <w:t>kN</w:t>
      </w:r>
      <w:proofErr w:type="spellEnd"/>
      <w:r w:rsidRPr="00345FC2">
        <w:t>) at fracture divided by the cross-sectional area (mm²).</w:t>
      </w:r>
    </w:p>
    <w:p w14:paraId="2EA11D9A" w14:textId="77777777" w:rsidR="00345FC2" w:rsidRPr="00345FC2" w:rsidRDefault="00345FC2" w:rsidP="00345FC2">
      <w:pPr>
        <w:pStyle w:val="Body"/>
        <w:spacing w:after="0"/>
      </w:pPr>
    </w:p>
    <w:p w14:paraId="2DD12C40" w14:textId="3B56386E" w:rsidR="00345FC2" w:rsidRDefault="00345FC2" w:rsidP="00345FC2">
      <w:pPr>
        <w:pStyle w:val="Body"/>
        <w:spacing w:after="0"/>
      </w:pPr>
      <w:r w:rsidRPr="00345FC2">
        <w:t xml:space="preserve">Decellularization methods have been shown to </w:t>
      </w:r>
      <w:r>
        <w:t>primari</w:t>
      </w:r>
      <w:r w:rsidRPr="00345FC2">
        <w:t xml:space="preserve">ly preserve mechanical properties, including tensile strength, in various tissues, such as decellularized tracheal scaffolds </w:t>
      </w:r>
      <w:r w:rsidR="003D15E0">
        <w:fldChar w:fldCharType="begin"/>
      </w:r>
      <w:r w:rsidR="003D15E0">
        <w:instrText xml:space="preserve"> ADDIN ZOTERO_ITEM CSL_CITATION {"citationID":"67cILYl0","properties":{"formattedCitation":"(Gomes et al., 2025)","plainCitation":"(Gomes et al., 2025)","noteIndex":0},"citationItems":[{"id":4296,"uris":["http://zotero.org/users/6623320/items/ZCXLJS2F"],"itemData":{"id":4296,"type":"article-journal","abstract":"Certain congenital or acquired diseases and defects such as tracheo-oesophageal fistula, tracheomalacia, tracheal stenosis, airway ischemia, infections, and tumours can cause damage to the trachea. Treatments available do not offer any permanent solutions. Moreover, long-segment defects in the trachea have no available surgical treatments. Tissue engineering has gained popularity in current regenerative medicine as a promising approach to bridge this gap. Among the various tissue engineering techniques, decellularization is a widely used approach that removes the cellular and nuclear contents from the tissue while preserving the native extracellular matrix components. The decellularized scaffolds exhibit significantly lower immunogenicity and retain the essential biomechanical and proangiogenic properties of native tissue, creating a foundation for trachea regeneration. The present review provides an overview of trachea decellularization advancements, exploring how recellularization approaches can be optimized by using various stem cells and tissue-specific cells to restore the scaffold's structure and function. We examine critical factors such as mechanical properties, revascularization, and immunogenicity involved in the transplantation of tissue-engineered grafts.","container-title":"Frontiers in Bioengineering and Biotechnology","DOI":"10.3389/fbioe.2025.1518905","ISSN":"2296-4185","journalAbbreviation":"Front Bioeng Biotechnol","language":"eng","note":"PMID: 40092377\nPMCID: PMC11906413","page":"1518905","source":"PubMed","title":"Decellularization techniques: unveiling the blueprint for tracheal tissue engineering","title-short":"Decellularization techniques","volume":"13","author":[{"family":"Gomes","given":"Keisha T."},{"family":"Prasad","given":"Palla Ranga"},{"family":"Sandhu","given":"Jagnoor Singh"},{"family":"Kumar","given":"Ashwini"},{"family":"Kumar","given":"Naveena A. N."},{"family":"Shridhar","given":"N. B."},{"family":"Bisht","given":"Bharti"},{"family":"Paul","given":"Manash K."}],"issued":{"date-parts":[["2025"]]}}}],"schema":"https://github.com/citation-style-language/schema/raw/master/csl-citation.json"} </w:instrText>
      </w:r>
      <w:r w:rsidR="003D15E0">
        <w:fldChar w:fldCharType="separate"/>
      </w:r>
      <w:r w:rsidR="003D15E0" w:rsidRPr="003D15E0">
        <w:rPr>
          <w:rFonts w:cs="Helvetica"/>
        </w:rPr>
        <w:t>(Gomes et al., 2025)</w:t>
      </w:r>
      <w:r w:rsidR="003D15E0">
        <w:fldChar w:fldCharType="end"/>
      </w:r>
      <w:r w:rsidRPr="00345FC2">
        <w:t>, supporting the rationale for tensile testing in this study.</w:t>
      </w:r>
    </w:p>
    <w:p w14:paraId="3D742E02" w14:textId="77777777" w:rsidR="00345FC2" w:rsidRDefault="00345FC2" w:rsidP="00441B6F">
      <w:pPr>
        <w:pStyle w:val="Body"/>
        <w:spacing w:after="0"/>
        <w:rPr>
          <w:rFonts w:ascii="Arial" w:hAnsi="Arial" w:cs="Arial"/>
        </w:rPr>
      </w:pPr>
    </w:p>
    <w:p w14:paraId="0C62A77E" w14:textId="0411EBBE" w:rsidR="00263BF2" w:rsidRDefault="003F376D" w:rsidP="00263BF2">
      <w:pPr>
        <w:pStyle w:val="Body"/>
        <w:spacing w:after="0"/>
        <w:jc w:val="center"/>
        <w:rPr>
          <w:rFonts w:ascii="Arial" w:hAnsi="Arial" w:cs="Arial"/>
          <w:b/>
          <w:caps/>
          <w:sz w:val="22"/>
        </w:rPr>
      </w:pPr>
      <w:r>
        <w:rPr>
          <w:noProof/>
        </w:rPr>
        <w:drawing>
          <wp:inline distT="0" distB="0" distL="0" distR="0" wp14:anchorId="1AB497C5" wp14:editId="1324DA6B">
            <wp:extent cx="5212080" cy="1685925"/>
            <wp:effectExtent l="0" t="0" r="7620" b="9525"/>
            <wp:docPr id="1297679060" name="Picture 4" descr="A dog bone with pink and white in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79060" name="Picture 4" descr="A dog bone with pink and white inside&#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574" b="27906"/>
                    <a:stretch>
                      <a:fillRect/>
                    </a:stretch>
                  </pic:blipFill>
                  <pic:spPr bwMode="auto">
                    <a:xfrm>
                      <a:off x="0" y="0"/>
                      <a:ext cx="5212080"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3739A4EC" w14:textId="5035CDCD" w:rsidR="00345FC2" w:rsidRDefault="00345FC2" w:rsidP="00441B6F">
      <w:pPr>
        <w:pStyle w:val="Body"/>
        <w:spacing w:after="0"/>
      </w:pPr>
      <w:r w:rsidRPr="00345FC2">
        <w:rPr>
          <w:rStyle w:val="Strong"/>
        </w:rPr>
        <w:t>Figure 1.</w:t>
      </w:r>
      <w:r>
        <w:t xml:space="preserve"> </w:t>
      </w:r>
      <w:r w:rsidR="009C2B22">
        <w:t>Preparation of goat bone segments into dog-bone models before and after decellularization, with both ends embedded in resin to prevent slippage during tensile testing.</w:t>
      </w:r>
    </w:p>
    <w:p w14:paraId="35A2B2BD" w14:textId="77777777" w:rsidR="009C2B22" w:rsidRPr="00263BF2" w:rsidRDefault="009C2B22" w:rsidP="00441B6F">
      <w:pPr>
        <w:pStyle w:val="Body"/>
        <w:spacing w:after="0"/>
        <w:rPr>
          <w:rFonts w:ascii="Arial" w:hAnsi="Arial" w:cs="Arial"/>
        </w:rPr>
      </w:pPr>
    </w:p>
    <w:p w14:paraId="6656C826" w14:textId="0F010D20" w:rsidR="00BA5994" w:rsidRPr="009E6DCE" w:rsidRDefault="00BA5994" w:rsidP="00441B6F">
      <w:pPr>
        <w:pStyle w:val="Body"/>
        <w:spacing w:after="0"/>
        <w:rPr>
          <w:rFonts w:ascii="Arial" w:hAnsi="Arial" w:cs="Arial"/>
          <w:b/>
          <w:sz w:val="22"/>
        </w:rPr>
      </w:pPr>
      <w:r w:rsidRPr="009E6DCE">
        <w:rPr>
          <w:rFonts w:ascii="Arial" w:hAnsi="Arial" w:cs="Arial"/>
          <w:b/>
          <w:sz w:val="22"/>
        </w:rPr>
        <w:t>2.</w:t>
      </w:r>
      <w:r w:rsidR="00322B6B">
        <w:rPr>
          <w:rFonts w:ascii="Arial" w:hAnsi="Arial" w:cs="Arial"/>
          <w:b/>
          <w:sz w:val="22"/>
        </w:rPr>
        <w:t>5</w:t>
      </w:r>
      <w:r w:rsidRPr="009E6DCE">
        <w:rPr>
          <w:rFonts w:ascii="Arial" w:hAnsi="Arial" w:cs="Arial"/>
          <w:b/>
          <w:sz w:val="22"/>
        </w:rPr>
        <w:t xml:space="preserve">. </w:t>
      </w:r>
      <w:r w:rsidR="00345FC2" w:rsidRPr="00345FC2">
        <w:rPr>
          <w:rFonts w:ascii="Arial" w:hAnsi="Arial" w:cs="Arial"/>
          <w:b/>
          <w:sz w:val="22"/>
        </w:rPr>
        <w:t>Histological Characterization</w:t>
      </w:r>
    </w:p>
    <w:p w14:paraId="7F532884" w14:textId="73A6967F" w:rsidR="00322B6B" w:rsidRDefault="00322B6B" w:rsidP="00322B6B">
      <w:pPr>
        <w:pStyle w:val="Body"/>
        <w:spacing w:after="0"/>
      </w:pPr>
      <w:r>
        <w:t>A 2 cm portion of goat bone segments fixed in neutral buffered formalin (NBF</w:t>
      </w:r>
      <w:r w:rsidR="00354D85">
        <w:t xml:space="preserve">, </w:t>
      </w:r>
      <w:proofErr w:type="spellStart"/>
      <w:r w:rsidR="00354D85">
        <w:t>HiMedia</w:t>
      </w:r>
      <w:proofErr w:type="spellEnd"/>
      <w:r w:rsidR="00354D85">
        <w:t>, India</w:t>
      </w:r>
      <w:r>
        <w:t xml:space="preserve">) was rinsed in running water and decalcified by immersion in </w:t>
      </w:r>
      <w:r w:rsidR="00170C4B" w:rsidRPr="00170C4B">
        <w:rPr>
          <w:highlight w:val="yellow"/>
        </w:rPr>
        <w:t xml:space="preserve">25 mL of </w:t>
      </w:r>
      <w:r w:rsidRPr="00170C4B">
        <w:rPr>
          <w:highlight w:val="yellow"/>
        </w:rPr>
        <w:t>5% hydrochloric acid</w:t>
      </w:r>
      <w:r w:rsidR="00170C4B" w:rsidRPr="00170C4B">
        <w:rPr>
          <w:highlight w:val="yellow"/>
        </w:rPr>
        <w:t xml:space="preserve"> (HCl from SIGMA, USA</w:t>
      </w:r>
      <w:r w:rsidRPr="00170C4B">
        <w:rPr>
          <w:highlight w:val="yellow"/>
        </w:rPr>
        <w:t>)</w:t>
      </w:r>
      <w:r>
        <w:t xml:space="preserve"> for three days, with daily solution replacement. Once adequately softened, tissues were processed for paraffin embedding. Paraffin blocks were sectioned at 5 </w:t>
      </w:r>
      <w:r>
        <w:lastRenderedPageBreak/>
        <w:t>µm and mounted on both gelatin-coated slides</w:t>
      </w:r>
      <w:r w:rsidR="00170C4B">
        <w:t xml:space="preserve"> </w:t>
      </w:r>
      <w:r w:rsidR="00170C4B" w:rsidRPr="00170C4B">
        <w:rPr>
          <w:highlight w:val="yellow"/>
        </w:rPr>
        <w:t>(Gelatin from Merck, USA)</w:t>
      </w:r>
      <w:r>
        <w:t xml:space="preserve"> and poly-L-lysine slides</w:t>
      </w:r>
      <w:r w:rsidR="00170C4B">
        <w:t xml:space="preserve"> </w:t>
      </w:r>
      <w:r w:rsidR="00170C4B" w:rsidRPr="00170C4B">
        <w:rPr>
          <w:highlight w:val="yellow"/>
        </w:rPr>
        <w:t>(Sigma, USA)</w:t>
      </w:r>
      <w:r w:rsidRPr="00170C4B">
        <w:rPr>
          <w:highlight w:val="yellow"/>
        </w:rPr>
        <w:t>.</w:t>
      </w:r>
    </w:p>
    <w:p w14:paraId="7E7C46DF" w14:textId="77777777" w:rsidR="00322B6B" w:rsidRPr="00322B6B" w:rsidRDefault="00322B6B" w:rsidP="00322B6B">
      <w:pPr>
        <w:pStyle w:val="Body"/>
        <w:spacing w:after="0"/>
      </w:pPr>
    </w:p>
    <w:p w14:paraId="34465D45" w14:textId="5765924F" w:rsidR="00322B6B" w:rsidRDefault="00322B6B" w:rsidP="00322B6B">
      <w:pPr>
        <w:pStyle w:val="Body"/>
        <w:spacing w:after="0"/>
      </w:pPr>
      <w:r>
        <w:t xml:space="preserve">Gelatin-coated slides were stained with </w:t>
      </w:r>
      <w:r w:rsidRPr="00322B6B">
        <w:t>Masson</w:t>
      </w:r>
      <w:r>
        <w:t>'</w:t>
      </w:r>
      <w:r w:rsidRPr="00322B6B">
        <w:t>s Trichrome</w:t>
      </w:r>
      <w:r>
        <w:t xml:space="preserve"> according to a standard protocol to assess </w:t>
      </w:r>
      <w:r w:rsidR="009C2B22">
        <w:t>the integrity of the extracellular matrix (ECM)</w:t>
      </w:r>
      <w:r>
        <w:t xml:space="preserve">, particularly </w:t>
      </w:r>
      <w:r w:rsidR="009E0C71">
        <w:t>the distribution of collage</w:t>
      </w:r>
      <w:r>
        <w:t xml:space="preserve">n. Sections were rehydrated, treated with </w:t>
      </w:r>
      <w:proofErr w:type="spellStart"/>
      <w:r>
        <w:t>Bouin's</w:t>
      </w:r>
      <w:proofErr w:type="spellEnd"/>
      <w:r>
        <w:t xml:space="preserve"> solution (56 °C, </w:t>
      </w:r>
      <w:r w:rsidR="009C2B22">
        <w:t>one</w:t>
      </w:r>
      <w:r>
        <w:t xml:space="preserve"> h), and sequentially stained with </w:t>
      </w:r>
      <w:proofErr w:type="spellStart"/>
      <w:r>
        <w:t>Weigert's</w:t>
      </w:r>
      <w:proofErr w:type="spellEnd"/>
      <w:r>
        <w:t xml:space="preserve"> iron hematoxylin</w:t>
      </w:r>
      <w:r w:rsidR="00170C4B">
        <w:t xml:space="preserve"> </w:t>
      </w:r>
      <w:r w:rsidR="00170C4B" w:rsidRPr="00170C4B">
        <w:rPr>
          <w:highlight w:val="yellow"/>
        </w:rPr>
        <w:t>(Merck, USA)</w:t>
      </w:r>
      <w:r>
        <w:t xml:space="preserve">, </w:t>
      </w:r>
      <w:proofErr w:type="spellStart"/>
      <w:r>
        <w:t>Biebrich</w:t>
      </w:r>
      <w:proofErr w:type="spellEnd"/>
      <w:r>
        <w:t xml:space="preserve"> scarlet–acid fuchsin</w:t>
      </w:r>
      <w:r w:rsidR="00170C4B">
        <w:t xml:space="preserve"> </w:t>
      </w:r>
      <w:r w:rsidR="00170C4B" w:rsidRPr="00170C4B">
        <w:rPr>
          <w:highlight w:val="yellow"/>
        </w:rPr>
        <w:t>(Merck, USA)</w:t>
      </w:r>
      <w:r>
        <w:t>, phosphomolybdic–</w:t>
      </w:r>
      <w:proofErr w:type="spellStart"/>
      <w:r>
        <w:t>phosphotungstic</w:t>
      </w:r>
      <w:proofErr w:type="spellEnd"/>
      <w:r>
        <w:t xml:space="preserve"> acid</w:t>
      </w:r>
      <w:r w:rsidR="00170C4B">
        <w:t xml:space="preserve"> </w:t>
      </w:r>
      <w:r w:rsidR="00170C4B" w:rsidRPr="00170C4B">
        <w:rPr>
          <w:highlight w:val="yellow"/>
        </w:rPr>
        <w:t>(Merck, USA)</w:t>
      </w:r>
      <w:r>
        <w:t>, and aniline blue</w:t>
      </w:r>
      <w:r w:rsidR="00170C4B">
        <w:t xml:space="preserve"> </w:t>
      </w:r>
      <w:r w:rsidR="00170C4B" w:rsidRPr="00170C4B">
        <w:rPr>
          <w:highlight w:val="yellow"/>
        </w:rPr>
        <w:t>(Merck, USA)</w:t>
      </w:r>
      <w:r>
        <w:t xml:space="preserve">. Collagen fibers and ECM were visualized as blue, cytoplasm as red, and nuclei as dark blue/black. This staining method is widely </w:t>
      </w:r>
      <w:r w:rsidR="003D15E0">
        <w:t>used to assess the preservation of the extracellular matrix, such as collagen in</w:t>
      </w:r>
      <w:r>
        <w:t xml:space="preserve"> bone</w:t>
      </w:r>
      <w:r w:rsidR="003D15E0">
        <w:t xml:space="preserve"> </w:t>
      </w:r>
      <w:r w:rsidR="003D15E0">
        <w:fldChar w:fldCharType="begin"/>
      </w:r>
      <w:r w:rsidR="003D15E0">
        <w:instrText xml:space="preserve"> ADDIN ZOTERO_ITEM CSL_CITATION {"citationID":"LY9oUjTr","properties":{"formattedCitation":"(Sherman et al., 2025)","plainCitation":"(Sherman et al., 2025)","noteIndex":0},"citationItems":[{"id":4298,"uris":["http://zotero.org/users/6623320/items/ESIXX2MG"],"itemData":{"id":4298,"type":"article-journal","abstract":"Trisomy of human chromosome 21 (Ts21) individuals present with a spectrum of low bone mineral density (BMD) that predisposes this vulnerable group to skeletal injuries. To determine the bone regenerative capacity of Down syndrome (DS) mice, male and female Dp16 and Ts65Dn DS mice underwent amputation of the digit tip (the terminal phalanx (P3)). This is a well-established mammalian model of bone regeneration that restores the amputated skeletal segment and all associated soft tissues. P3 amputation was performed in 8-week-old male and female DS mice and WT controls and followed by in vivo μCT, histology and immunofluorescence. Following P3 amputation, the bone degradation phase was attenuated in both Dp16 and Ts65Dn males. In Dp16 males, P3 regeneration was delayed but complete by 63 days post amputation (DPA); however, male Ts65Dn exhibited attenuated regeneration by 63 DPA. In both Dp16 and Ts65Dn female DS mice, P3 regenerates were indistinguishable from WT by 42 DPA. In Ts65Dn males, osteoclasts and eroded bone surface were significantly reduced, and osteoblast number significantly decreased in the regenerating digit. In Ts65Dn females, no significant differences were observed in any osteoclast or osteoblast parameter. Like Ts21 individuals and DS mice with sex differences in bone mass, these data expand the characteristic sexually dimorphism to include bone resorption and regeneration in response to skeletal injury in Ts65Dn mice. These observations suggest that sex differences contribute to the poor bone healing of DS and compound the increased risk of bone injury in the Ts21 population.","container-title":"Bone","DOI":"10.1016/j.bone.2024.117374","ISSN":"1873-2763","journalAbbreviation":"Bone","language":"eng","note":"PMID: 39675408\nPMCID: PMC12051361","page":"117374","source":"PubMed","title":"Male Down syndrome Ts65Dn mice have impaired bone regeneration","volume":"192","author":[{"family":"Sherman","given":"Kirby M."},{"family":"Silveira","given":"Catrina J."},{"family":"Yan","given":"Mingquan"},{"family":"Yu","given":"Ling"},{"family":"Leon","given":"Abigail"},{"family":"Klages","given":"Kasey"},{"family":"White","given":"Lauren G."},{"family":"Smith","given":"Hannah M."},{"family":"Wolff","given":"Sarah M."},{"family":"Falck","given":"Alyssa"},{"family":"Muneoka","given":"Ken"},{"family":"Brunauer","given":"Regina"},{"family":"Gaddy","given":"Dana"},{"family":"Suva","given":"Larry J."},{"family":"Dawson","given":"Lindsay A."}],"issued":{"date-parts":[["2025",3]]}}}],"schema":"https://github.com/citation-style-language/schema/raw/master/csl-citation.json"} </w:instrText>
      </w:r>
      <w:r w:rsidR="003D15E0">
        <w:fldChar w:fldCharType="separate"/>
      </w:r>
      <w:r w:rsidR="003D15E0" w:rsidRPr="003D15E0">
        <w:rPr>
          <w:rFonts w:cs="Helvetica"/>
        </w:rPr>
        <w:t>(Sherman et al., 2025)</w:t>
      </w:r>
      <w:r w:rsidR="003D15E0">
        <w:fldChar w:fldCharType="end"/>
      </w:r>
      <w:r w:rsidR="003D15E0">
        <w:t>.</w:t>
      </w:r>
    </w:p>
    <w:p w14:paraId="7EC02473" w14:textId="77777777" w:rsidR="00322B6B" w:rsidRDefault="00322B6B" w:rsidP="00322B6B">
      <w:pPr>
        <w:pStyle w:val="Body"/>
        <w:spacing w:after="0"/>
      </w:pPr>
    </w:p>
    <w:p w14:paraId="0A74E9B9" w14:textId="45A1B45B" w:rsidR="00322B6B" w:rsidRDefault="00322B6B" w:rsidP="00322B6B">
      <w:pPr>
        <w:pStyle w:val="Body"/>
        <w:spacing w:after="0"/>
      </w:pPr>
      <w:r>
        <w:t xml:space="preserve">Poly-L-lysine slides were stained by </w:t>
      </w:r>
      <w:r w:rsidRPr="00286987">
        <w:t>immunohistochemistry (IHC)</w:t>
      </w:r>
      <w:r>
        <w:t xml:space="preserve"> for bone morphogenetic protein-2 (BMP-2) using the </w:t>
      </w:r>
      <w:proofErr w:type="spellStart"/>
      <w:r>
        <w:t>UltraTek</w:t>
      </w:r>
      <w:proofErr w:type="spellEnd"/>
      <w:r>
        <w:t xml:space="preserve"> HRP Anti-Polyvalent (DAB) Staining System (</w:t>
      </w:r>
      <w:proofErr w:type="spellStart"/>
      <w:r>
        <w:t>Scytek</w:t>
      </w:r>
      <w:proofErr w:type="spellEnd"/>
      <w:r>
        <w:t xml:space="preserve">, USA). After deparaffinization and rehydration, endogenous peroxidase activity was blocked with 3% H₂O₂ for 10 min, followed by antigen retrieval in citrate buffer (pH 6.0). Non-specific binding was blocked with casein for 30 min. Sections were incubated overnight at 4 °C with rabbit anti-BMP-2 polyclonal antibody (5 µg/mL, ab5285, Abcam, USA). After washing, slides were incubated with a universal biotinylated secondary antibody, followed by streptavidin-HRP. Visualization was performed with DAB and counterstaining with hematoxylin. Finally, slides were dehydrated, cleared in xylene, and mounted with </w:t>
      </w:r>
      <w:proofErr w:type="spellStart"/>
      <w:r>
        <w:t>Entellan</w:t>
      </w:r>
      <w:proofErr w:type="spellEnd"/>
      <w:r>
        <w:t>. This protocol aligns with recent studies evaluating osteogenic protein expression in decellularized xenograft scaffolds</w:t>
      </w:r>
      <w:r w:rsidR="003D15E0">
        <w:t xml:space="preserve"> </w:t>
      </w:r>
      <w:r w:rsidR="003D15E0">
        <w:fldChar w:fldCharType="begin"/>
      </w:r>
      <w:r w:rsidR="003D15E0">
        <w:instrText xml:space="preserve"> ADDIN ZOTERO_ITEM CSL_CITATION {"citationID":"USSCDrXx","properties":{"formattedCitation":"(Amirazad et al., 2022)","plainCitation":"(Amirazad et al., 2022)","noteIndex":0},"citationItems":[{"id":4290,"uris":["http://zotero.org/users/6623320/items/Q3SCPW3Y"],"itemData":{"id":4290,"type":"article-journal","abstract":"Autologous bone grafts are commonly used as the gold standard to repair and regenerate diseased bones. However, they are strongly associated with postoperative complications, especially at the donor site, and increased surgical costs. In an effort to overcome these limitations, tissue engineering (TE) has been proposed as an alternative to promote bone repair. The successful outcome of tissue engineering depends on the microstructure and composition of the materials used as scaffold. Decellularized bone matrix-based biomaterials have been applied as bioscaffolds in bone tissue engineering. These biomaterials play an important role in providing the mechanical and physical microenvironment needed by cells to proliferate and survive. Decellularized extracellular matrix (dECM) can be used as a powder, hydrogel and electrospun scaffolds. These bioscaffolds mimic the native microenvironment due to their structure similar to the original tissue. The aim of this review is to highlight the bone decellularization techniques. Herein we discuss: (1) bone structure; (2) properties of an ideal scaffold; (3) the potential of decellularized bone as bioscaffolds; (4) terminal sterilization of decellularized bone; (5) cell removing confirmation in decellularized tissues; and (6) post decellularization procedures. Finally, the improvement of bone formation by dECM and the immunogenicity aspect of using the decellularized bone matrix are presented, to illustrate how novel dECM-based materials can be used as bioscaffold in tissue engineering. A comprehensive understanding of tissue engineering may allow for better incorporation of therapeutic approaches in bone defects allowing for bone repair and regeneration.","container-title":"Journal of Biological Engineering","DOI":"10.1186/s13036-021-00282-5","ISSN":"1754-1611","issue":"1","journalAbbreviation":"J Biol Eng","language":"eng","note":"PMID: 34986859\nPMCID: PMC8734306","page":"1","source":"PubMed","title":"Application of decellularized bone matrix as a bioscaffold in bone tissue engineering","volume":"16","author":[{"family":"Amirazad","given":"Halimeh"},{"family":"Dadashpour","given":"Mehdi"},{"family":"Zarghami","given":"Nosratollah"}],"issued":{"date-parts":[["2022",1,5]]}}}],"schema":"https://github.com/citation-style-language/schema/raw/master/csl-citation.json"} </w:instrText>
      </w:r>
      <w:r w:rsidR="003D15E0">
        <w:fldChar w:fldCharType="separate"/>
      </w:r>
      <w:r w:rsidR="003D15E0" w:rsidRPr="003D15E0">
        <w:rPr>
          <w:rFonts w:cs="Helvetica"/>
        </w:rPr>
        <w:t>(Amirazad et al., 2022)</w:t>
      </w:r>
      <w:r w:rsidR="003D15E0">
        <w:fldChar w:fldCharType="end"/>
      </w:r>
      <w:r w:rsidR="003D15E0">
        <w:t>.</w:t>
      </w:r>
    </w:p>
    <w:p w14:paraId="0DD956EE" w14:textId="77777777" w:rsidR="00322B6B" w:rsidRDefault="00322B6B" w:rsidP="00322B6B">
      <w:pPr>
        <w:pStyle w:val="Body"/>
        <w:spacing w:after="0"/>
      </w:pPr>
    </w:p>
    <w:p w14:paraId="423726E3" w14:textId="4E75256A" w:rsidR="00322B6B" w:rsidRDefault="00322B6B" w:rsidP="00322B6B">
      <w:pPr>
        <w:pStyle w:val="Body"/>
        <w:spacing w:after="0"/>
      </w:pPr>
      <w:r>
        <w:t>Microscopic observations were performed under a light microscope at 400× magnification. Images were captured from five randomly selected fields per slide</w:t>
      </w:r>
      <w:r w:rsidR="002F4ED3">
        <w:t xml:space="preserve"> </w:t>
      </w:r>
      <w:r w:rsidR="002F4ED3">
        <w:fldChar w:fldCharType="begin"/>
      </w:r>
      <w:r w:rsidR="002F4ED3">
        <w:instrText xml:space="preserve"> ADDIN ZOTERO_ITEM CSL_CITATION {"citationID":"6fVfhJcd","properties":{"formattedCitation":"(Marraskuranto et al., 2025)","plainCitation":"(Marraskuranto et al., 2025)","noteIndex":0},"citationItems":[{"id":4323,"uris":["http://zotero.org/users/6623320/items/Q38H3SFV"],"itemData":{"id":4323,"type":"article-journal","container-title":"Journal of Pharmaceutical Innovation","DOI":"10.1007/s12247-025-10049-w","ISSN":"1872-5120, 1939-8042","issue":"4","journalAbbreviation":"J Pharm Innov","language":"en","page":"149","source":"DOI.org (Crossref)","title":"Immunostimulatory Activity without Pathological Effects of Fish Protein Hydrolysate from Clarias Catfish","volume":"20","author":[{"family":"Marraskuranto","given":"Endar"},{"family":"Permata","given":"Fajar Shodiq"},{"family":"Chasanah","given":"Ekowati"},{"family":"Martosuyono","given":"Pujoyuwono"},{"family":"Ariyani","given":"Farida"}],"issued":{"date-parts":[["2025",8]]}}}],"schema":"https://github.com/citation-style-language/schema/raw/master/csl-citation.json"} </w:instrText>
      </w:r>
      <w:r w:rsidR="002F4ED3">
        <w:fldChar w:fldCharType="separate"/>
      </w:r>
      <w:r w:rsidR="002F4ED3" w:rsidRPr="002F4ED3">
        <w:rPr>
          <w:rFonts w:cs="Helvetica"/>
        </w:rPr>
        <w:t>(Marraskuranto et al., 2025)</w:t>
      </w:r>
      <w:r w:rsidR="002F4ED3">
        <w:fldChar w:fldCharType="end"/>
      </w:r>
      <w:r>
        <w:t xml:space="preserve">. Image analysis was performed using </w:t>
      </w:r>
      <w:r w:rsidRPr="00322B6B">
        <w:t>Fiji/ImageJ software</w:t>
      </w:r>
      <w:r>
        <w:t xml:space="preserve"> to quantify collagen content (blue area, Masson's Trichrome) and BMP-2 expression (brown intensity, IHC).</w:t>
      </w:r>
    </w:p>
    <w:p w14:paraId="43860D74" w14:textId="7756A51D" w:rsidR="005C7C3C" w:rsidRPr="009024E9" w:rsidRDefault="009024E9" w:rsidP="00441B6F">
      <w:pPr>
        <w:pStyle w:val="Body"/>
        <w:spacing w:after="0"/>
        <w:rPr>
          <w:rFonts w:ascii="Arial" w:hAnsi="Arial" w:cs="Arial"/>
        </w:rPr>
      </w:pPr>
      <w:r>
        <w:rPr>
          <w:rFonts w:ascii="Arial" w:hAnsi="Arial" w:cs="Arial"/>
        </w:rPr>
        <w:t xml:space="preserve"> </w:t>
      </w:r>
      <w:r w:rsidR="005C7C3C">
        <w:rPr>
          <w:rFonts w:ascii="Arial" w:hAnsi="Arial" w:cs="Arial"/>
        </w:rPr>
        <w:t xml:space="preserve"> </w:t>
      </w:r>
    </w:p>
    <w:p w14:paraId="2873E98B" w14:textId="55D7801A" w:rsidR="00BA5994" w:rsidRPr="009E6DCE" w:rsidRDefault="00BA5994" w:rsidP="00441B6F">
      <w:pPr>
        <w:pStyle w:val="Body"/>
        <w:spacing w:after="0"/>
        <w:rPr>
          <w:rFonts w:ascii="Arial" w:hAnsi="Arial" w:cs="Arial"/>
          <w:b/>
          <w:sz w:val="22"/>
        </w:rPr>
      </w:pPr>
      <w:r w:rsidRPr="009E6DCE">
        <w:rPr>
          <w:rFonts w:ascii="Arial" w:hAnsi="Arial" w:cs="Arial"/>
          <w:b/>
          <w:sz w:val="22"/>
        </w:rPr>
        <w:t>2.</w:t>
      </w:r>
      <w:r w:rsidR="00322B6B">
        <w:rPr>
          <w:rFonts w:ascii="Arial" w:hAnsi="Arial" w:cs="Arial"/>
          <w:b/>
          <w:sz w:val="22"/>
        </w:rPr>
        <w:t>6</w:t>
      </w:r>
      <w:r w:rsidRPr="009E6DCE">
        <w:rPr>
          <w:rFonts w:ascii="Arial" w:hAnsi="Arial" w:cs="Arial"/>
          <w:b/>
          <w:sz w:val="22"/>
        </w:rPr>
        <w:t>. D</w:t>
      </w:r>
      <w:r w:rsidR="009E6DCE">
        <w:rPr>
          <w:rFonts w:ascii="Arial" w:hAnsi="Arial" w:cs="Arial"/>
          <w:b/>
          <w:sz w:val="22"/>
        </w:rPr>
        <w:t>ata analysis</w:t>
      </w:r>
    </w:p>
    <w:p w14:paraId="17E2219C" w14:textId="50897586" w:rsidR="00D45697" w:rsidRDefault="00322B6B" w:rsidP="00441B6F">
      <w:pPr>
        <w:pStyle w:val="Body"/>
        <w:spacing w:after="0"/>
        <w:rPr>
          <w:rFonts w:ascii="Arial" w:hAnsi="Arial" w:cs="Arial"/>
        </w:rPr>
      </w:pPr>
      <w:r>
        <w:t xml:space="preserve">Qualitative data included the macroscopic and microscopic features of goat bone before and after decellularization. Quantitative data included tensile strength, dimensional measurements, collagen staining intensity, and BMP-2 expression. Statistical analyses were performed using one-way ANOVA followed by Tukey's post hoc test, with a significance level set at p &lt; 0.05 and statistical power of 95%. Analyses were conducted using </w:t>
      </w:r>
      <w:r w:rsidRPr="00322B6B">
        <w:rPr>
          <w:rStyle w:val="Strong"/>
          <w:b w:val="0"/>
          <w:bCs w:val="0"/>
        </w:rPr>
        <w:t>GraphPad Prism software version 9.5.1</w:t>
      </w:r>
      <w:r w:rsidRPr="00322B6B">
        <w:rPr>
          <w:b/>
          <w:bCs/>
        </w:rPr>
        <w:t xml:space="preserve"> </w:t>
      </w:r>
      <w:r w:rsidRPr="00322B6B">
        <w:t>(</w:t>
      </w:r>
      <w:r>
        <w:t xml:space="preserve">GraphPad Software, USA). This statistical approach has been widely applied for biomechanical and histological evaluation of decellularized scaffolds </w:t>
      </w:r>
      <w:r w:rsidR="001E7EE1">
        <w:fldChar w:fldCharType="begin"/>
      </w:r>
      <w:r w:rsidR="001E7EE1">
        <w:instrText xml:space="preserve"> ADDIN ZOTERO_ITEM CSL_CITATION {"citationID":"A6wmHKvC","properties":{"formattedCitation":"(Al Qabbani et al., 2023)","plainCitation":"(Al Qabbani et al., 2023)","noteIndex":0},"citationItems":[{"id":4281,"uris":["http://zotero.org/users/6623320/items/HIHAJ7MR"],"itemData":{"id":4281,"type":"article-journal","abstract":"Current immunological issues in bone grafting regarding the transfer of xenogeneic donor bone cells into the recipient are challenging the industry to produce safer acellular natural matrices for bone regeneration. The aim of this study was to investigate the efficacy of a novel decellularization technique for producing bovine cancellous bone scaffold and compare its physicochemical, mechanical, and biological characteristics with demineralized cancellous bone scaffold in an\n              in-vitro\n              study. Cancellous bone blocks were harvested from a bovine femoral head (18–24 months old) subjected to physical cleansing and chemical defatting, and further processed in two ways. Group I was subjected to demineralization, while Group II underwent decellularization through physical, chemical, and enzymatic treatments. Both were then freeze-dried, and gamma radiated, finally producing a demineralized bovine cancellous bone (DMB) scaffold and decellularized bovine cancellous bone (DCC) scaffold. Both DMB and DCC scaffolds were subjected to histological evaluation, scanning electron microscopy/energy-dispersive X-ray spectroscopy (SEM/EDS), fourier-transform infrared spectroscopy (FTIR), quantification of lipid, collagen, and residual nucleic acid content, and mechanical testing. The osteogenic potential was investigated through the recellularization of scaffolds with human osteoblast cell seeding and examined for cell attachment, proliferation, and mineralization by Alizarin staining and gene expression. DCC produced a complete acellular extracellular matrix (ECM) with the absence of nucleic acid content, wider pores with extensive interconnectivity and partially retaining collagen fibrils. DCC demonstrated a higher cell proliferation rate, upregulation of osteogenic differentiation markers, and substantial mineralized nodules production. Our findings suggest that the decellularization technique produced an acellular DCC scaffold with minimal damage to ECM and possesses osteogenic potential through the mechanisms of osteoconduction, osteoinduction, and osteogenesis\n              in-vitro\n              .","container-title":"PLOS ONE","DOI":"10.1371/journal.pone.0283922","ISSN":"1932-6203","issue":"4","journalAbbreviation":"PLoS ONE","language":"en","page":"e0283922","source":"DOI.org (Crossref)","title":"Evaluation of decellularization process for developing osteogenic bovine cancellous bone scaffolds in-vitro","volume":"18","author":[{"family":"Al Qabbani","given":"Ali"},{"family":"Rani","given":"K. G. Aghila"},{"family":"Syarif","given":"Junaidi"},{"family":"AlKawas","given":"Sausan"},{"family":"Sheikh Abdul Hamid","given":"Suzina"},{"family":"Samsudin","given":"A. R."},{"family":"Azlina","given":"Ahmad"}],"editor":[{"family":"Cray","given":"Jj"}],"issued":{"date-parts":[["2023",4,5]]}}}],"schema":"https://github.com/citation-style-language/schema/raw/master/csl-citation.json"} </w:instrText>
      </w:r>
      <w:r w:rsidR="001E7EE1">
        <w:fldChar w:fldCharType="separate"/>
      </w:r>
      <w:r w:rsidR="001E7EE1" w:rsidRPr="001E7EE1">
        <w:rPr>
          <w:rFonts w:cs="Helvetica"/>
        </w:rPr>
        <w:t>(Al Qabbani et al., 2023)</w:t>
      </w:r>
      <w:r w:rsidR="001E7EE1">
        <w:fldChar w:fldCharType="end"/>
      </w:r>
      <w:r>
        <w:t>.</w:t>
      </w:r>
      <w:r w:rsidR="00BA5994">
        <w:rPr>
          <w:rFonts w:ascii="Arial" w:hAnsi="Arial" w:cs="Arial"/>
        </w:rPr>
        <w:t xml:space="preserve"> </w:t>
      </w:r>
    </w:p>
    <w:p w14:paraId="01F02788" w14:textId="77777777" w:rsidR="00790ADA" w:rsidRPr="00FB3A86" w:rsidRDefault="00790ADA" w:rsidP="00441B6F">
      <w:pPr>
        <w:pStyle w:val="Body"/>
        <w:spacing w:after="0"/>
        <w:rPr>
          <w:rFonts w:ascii="Arial" w:hAnsi="Arial" w:cs="Arial"/>
        </w:rPr>
      </w:pPr>
    </w:p>
    <w:p w14:paraId="75293ED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A5C5496" w14:textId="77777777" w:rsidR="00790ADA" w:rsidRPr="00FB3A86" w:rsidRDefault="00790ADA" w:rsidP="00441B6F">
      <w:pPr>
        <w:pStyle w:val="Head1"/>
        <w:spacing w:after="0"/>
        <w:jc w:val="both"/>
        <w:rPr>
          <w:rFonts w:ascii="Arial" w:hAnsi="Arial" w:cs="Arial"/>
        </w:rPr>
      </w:pPr>
    </w:p>
    <w:p w14:paraId="2E02593A" w14:textId="6BC9C21F" w:rsidR="009024E9" w:rsidRDefault="009024E9" w:rsidP="009024E9">
      <w:pPr>
        <w:pStyle w:val="Body"/>
        <w:spacing w:after="0"/>
        <w:rPr>
          <w:rFonts w:ascii="Arial" w:hAnsi="Arial" w:cs="Arial"/>
          <w:b/>
          <w:sz w:val="22"/>
        </w:rPr>
      </w:pPr>
      <w:r>
        <w:rPr>
          <w:rFonts w:ascii="Arial" w:hAnsi="Arial" w:cs="Arial"/>
          <w:b/>
          <w:sz w:val="22"/>
        </w:rPr>
        <w:t>3</w:t>
      </w:r>
      <w:r w:rsidRPr="009E6DCE">
        <w:rPr>
          <w:rFonts w:ascii="Arial" w:hAnsi="Arial" w:cs="Arial"/>
          <w:b/>
          <w:sz w:val="22"/>
        </w:rPr>
        <w:t>.</w:t>
      </w:r>
      <w:r>
        <w:rPr>
          <w:rFonts w:ascii="Arial" w:hAnsi="Arial" w:cs="Arial"/>
          <w:b/>
          <w:sz w:val="22"/>
        </w:rPr>
        <w:t>1</w:t>
      </w:r>
      <w:r w:rsidRPr="009E6DCE">
        <w:rPr>
          <w:rFonts w:ascii="Arial" w:hAnsi="Arial" w:cs="Arial"/>
          <w:b/>
          <w:sz w:val="22"/>
        </w:rPr>
        <w:t xml:space="preserve">. </w:t>
      </w:r>
      <w:r>
        <w:rPr>
          <w:rFonts w:ascii="Arial" w:hAnsi="Arial" w:cs="Arial"/>
          <w:b/>
          <w:sz w:val="22"/>
        </w:rPr>
        <w:t>Results</w:t>
      </w:r>
    </w:p>
    <w:p w14:paraId="3FB396E9" w14:textId="5EE36DD7" w:rsidR="009024E9" w:rsidRDefault="009024E9" w:rsidP="009024E9">
      <w:pPr>
        <w:pStyle w:val="Body"/>
        <w:spacing w:after="0"/>
        <w:rPr>
          <w:rFonts w:ascii="Arial" w:hAnsi="Arial" w:cs="Arial"/>
          <w:b/>
          <w:szCs w:val="16"/>
          <w:u w:val="single"/>
        </w:rPr>
      </w:pPr>
      <w:r w:rsidRPr="009024E9">
        <w:rPr>
          <w:rFonts w:ascii="Arial" w:hAnsi="Arial" w:cs="Arial"/>
          <w:b/>
          <w:szCs w:val="16"/>
          <w:u w:val="single"/>
        </w:rPr>
        <w:t xml:space="preserve">3.1.1. </w:t>
      </w:r>
      <w:r w:rsidR="00605395">
        <w:rPr>
          <w:rFonts w:ascii="Arial" w:hAnsi="Arial" w:cs="Arial"/>
          <w:b/>
          <w:szCs w:val="16"/>
          <w:u w:val="single"/>
        </w:rPr>
        <w:t>Macroscopic character</w:t>
      </w:r>
    </w:p>
    <w:p w14:paraId="1B527623" w14:textId="77777777" w:rsidR="00BD15B9" w:rsidRDefault="00BD15B9" w:rsidP="00BD15B9">
      <w:pPr>
        <w:pStyle w:val="Body"/>
        <w:spacing w:after="0"/>
      </w:pPr>
      <w:r>
        <w:t>The gross morphology of goat bone segments was first examined to evaluate the effects of the decellularization process. This observation provided initial insights into whether structural integrity was preserved and whether visible cellular and marrow components were successfully removed.</w:t>
      </w:r>
    </w:p>
    <w:p w14:paraId="263930BA" w14:textId="77777777" w:rsidR="00BD15B9" w:rsidRPr="00BD15B9" w:rsidRDefault="00BD15B9" w:rsidP="00BD15B9">
      <w:pPr>
        <w:pStyle w:val="Body"/>
        <w:spacing w:after="0"/>
      </w:pPr>
    </w:p>
    <w:p w14:paraId="458AD057" w14:textId="77777777" w:rsidR="00BD15B9" w:rsidRDefault="00BD15B9" w:rsidP="00BD15B9">
      <w:pPr>
        <w:pStyle w:val="Body"/>
        <w:spacing w:after="0"/>
      </w:pPr>
      <w:r w:rsidRPr="00BD15B9">
        <w:rPr>
          <w:b/>
          <w:bCs/>
        </w:rPr>
        <w:t>Figure 2</w:t>
      </w:r>
      <w:r>
        <w:t xml:space="preserve"> shows a representative fresh bone sample prior to decellularization. The bone appeared reddish, opaque, and retained marrow remnants and soft tissue residues, which are typical features of native bone.</w:t>
      </w:r>
    </w:p>
    <w:p w14:paraId="603F281A" w14:textId="77777777" w:rsidR="00BD15B9" w:rsidRDefault="00BD15B9" w:rsidP="00BD15B9">
      <w:pPr>
        <w:pStyle w:val="Body"/>
        <w:spacing w:after="0"/>
      </w:pPr>
    </w:p>
    <w:p w14:paraId="79677936" w14:textId="77777777" w:rsidR="00BD15B9" w:rsidRDefault="00BD15B9" w:rsidP="00BD15B9">
      <w:pPr>
        <w:pStyle w:val="Body"/>
        <w:spacing w:after="0"/>
      </w:pPr>
      <w:r>
        <w:lastRenderedPageBreak/>
        <w:t xml:space="preserve">In contrast, </w:t>
      </w:r>
      <w:r w:rsidRPr="00BD15B9">
        <w:rPr>
          <w:b/>
          <w:bCs/>
        </w:rPr>
        <w:t>Figure 3</w:t>
      </w:r>
      <w:r>
        <w:t xml:space="preserve"> demonstrates the appearance of bone after decellularization. The sample became whitish and slightly translucent, indicating the effective removal of marrow and cellular contents while maintaining the overall morphology of the cortical structure. The bone surface appeared clean and intact, with no signs of collapse, fragmentation, or gross deformation.</w:t>
      </w:r>
    </w:p>
    <w:p w14:paraId="6FB052D1" w14:textId="77777777" w:rsidR="00BD15B9" w:rsidRDefault="00BD15B9" w:rsidP="00BD15B9">
      <w:pPr>
        <w:pStyle w:val="Body"/>
        <w:spacing w:after="0"/>
      </w:pPr>
    </w:p>
    <w:p w14:paraId="11A20422" w14:textId="70D204A6" w:rsidR="00BD15B9" w:rsidRDefault="00BD15B9" w:rsidP="00BD15B9">
      <w:pPr>
        <w:pStyle w:val="Body"/>
        <w:spacing w:after="0"/>
      </w:pPr>
      <w:r>
        <w:t xml:space="preserve">The dimensional data of all groups are summarized in </w:t>
      </w:r>
      <w:r w:rsidRPr="00BD15B9">
        <w:rPr>
          <w:b/>
          <w:bCs/>
        </w:rPr>
        <w:t>Table 1</w:t>
      </w:r>
      <w:r>
        <w:t>. Statistical analysis revealed no significant differences in length, width, or base area among groups (</w:t>
      </w:r>
      <w:r w:rsidR="00311DDA" w:rsidRPr="00311DDA">
        <w:rPr>
          <w:i/>
          <w:iCs/>
        </w:rPr>
        <w:t>P</w:t>
      </w:r>
      <w:r>
        <w:t xml:space="preserve"> &gt; 0.05). A slight reduction in thickness was observed in the 14-day and 25-day decellularization groups compared to fresh bone (2.75 ± 0.50 mm vs. 2.00 ± 0.00 mm; p = 0.062), although this difference was not statistically significant. These results indicate that the decellularization protocol effectively preserves the macroscopic morphology of goat bone while removing soft tissue and marrow components.</w:t>
      </w:r>
    </w:p>
    <w:p w14:paraId="2F54A593" w14:textId="77777777" w:rsidR="00BD15B9" w:rsidRDefault="00BD15B9" w:rsidP="00BD15B9">
      <w:pPr>
        <w:pStyle w:val="Body"/>
        <w:spacing w:after="0"/>
      </w:pPr>
    </w:p>
    <w:p w14:paraId="43543E46" w14:textId="2B5C1498" w:rsidR="00BD15B9" w:rsidRPr="00C30251" w:rsidRDefault="00C30251" w:rsidP="00BD15B9">
      <w:pPr>
        <w:pStyle w:val="Body"/>
        <w:spacing w:after="0"/>
        <w:jc w:val="center"/>
      </w:pPr>
      <w:r>
        <w:rPr>
          <w:noProof/>
        </w:rPr>
        <w:drawing>
          <wp:inline distT="0" distB="0" distL="0" distR="0" wp14:anchorId="15DD4F89" wp14:editId="20377EA1">
            <wp:extent cx="5212080" cy="1628140"/>
            <wp:effectExtent l="0" t="0" r="7620" b="0"/>
            <wp:docPr id="281777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080" cy="1628140"/>
                    </a:xfrm>
                    <a:prstGeom prst="rect">
                      <a:avLst/>
                    </a:prstGeom>
                    <a:noFill/>
                    <a:ln>
                      <a:noFill/>
                    </a:ln>
                  </pic:spPr>
                </pic:pic>
              </a:graphicData>
            </a:graphic>
          </wp:inline>
        </w:drawing>
      </w:r>
    </w:p>
    <w:p w14:paraId="68E20F94" w14:textId="02B75D0C" w:rsidR="00BD15B9" w:rsidRDefault="009C2B22" w:rsidP="009C2B22">
      <w:pPr>
        <w:pStyle w:val="Body"/>
        <w:spacing w:after="0"/>
        <w:jc w:val="left"/>
      </w:pPr>
      <w:r>
        <w:t xml:space="preserve">Figure 2. Fresh goat bone sample before the decellularization process, showing reddish and opaque appearance with visible marrow and soft tissue </w:t>
      </w:r>
      <w:proofErr w:type="gramStart"/>
      <w:r>
        <w:t>residues..</w:t>
      </w:r>
      <w:proofErr w:type="gramEnd"/>
    </w:p>
    <w:p w14:paraId="15AFA370" w14:textId="77777777" w:rsidR="00BD15B9" w:rsidRDefault="00BD15B9" w:rsidP="00BD15B9">
      <w:pPr>
        <w:pStyle w:val="Body"/>
        <w:spacing w:after="0"/>
        <w:jc w:val="center"/>
      </w:pPr>
    </w:p>
    <w:p w14:paraId="13C3A896" w14:textId="6B6DEB21" w:rsidR="00BD15B9" w:rsidRDefault="00C30251" w:rsidP="00BD15B9">
      <w:pPr>
        <w:pStyle w:val="Body"/>
        <w:spacing w:after="0"/>
        <w:jc w:val="center"/>
      </w:pPr>
      <w:r>
        <w:rPr>
          <w:noProof/>
        </w:rPr>
        <w:drawing>
          <wp:inline distT="0" distB="0" distL="0" distR="0" wp14:anchorId="7A18B2E5" wp14:editId="26F3FA33">
            <wp:extent cx="5212080" cy="1223645"/>
            <wp:effectExtent l="0" t="0" r="7620" b="0"/>
            <wp:docPr id="1484621829" name="Picture 3" descr="A white cand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21829" name="Picture 3" descr="A white candle on a black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1223645"/>
                    </a:xfrm>
                    <a:prstGeom prst="rect">
                      <a:avLst/>
                    </a:prstGeom>
                    <a:noFill/>
                    <a:ln>
                      <a:noFill/>
                    </a:ln>
                  </pic:spPr>
                </pic:pic>
              </a:graphicData>
            </a:graphic>
          </wp:inline>
        </w:drawing>
      </w:r>
    </w:p>
    <w:p w14:paraId="505788BC" w14:textId="3B6E67B8" w:rsidR="00BD15B9" w:rsidRDefault="009C2B22" w:rsidP="009C2B22">
      <w:pPr>
        <w:pStyle w:val="Body"/>
        <w:spacing w:after="0"/>
        <w:jc w:val="left"/>
      </w:pPr>
      <w:r w:rsidRPr="009C2B22">
        <w:t xml:space="preserve">Figure 3. </w:t>
      </w:r>
      <w:r>
        <w:t>Goat bone sample after the decellularization process, appearing whitish and slightly translucent, indicating removal of marrow and cellular components while preserving cortical morphology.</w:t>
      </w:r>
    </w:p>
    <w:p w14:paraId="6199E55B" w14:textId="77777777" w:rsidR="00BD15B9" w:rsidRDefault="00BD15B9" w:rsidP="00BD15B9">
      <w:pPr>
        <w:pStyle w:val="Body"/>
        <w:spacing w:after="0"/>
        <w:jc w:val="center"/>
      </w:pPr>
    </w:p>
    <w:p w14:paraId="7A428A72" w14:textId="4D0232BF" w:rsidR="00BD15B9" w:rsidRPr="009C2B22" w:rsidRDefault="009C2B22" w:rsidP="009C2B22">
      <w:pPr>
        <w:pStyle w:val="Body"/>
        <w:spacing w:after="0"/>
      </w:pPr>
      <w:r w:rsidRPr="009C2B22">
        <w:t xml:space="preserve">Table 1. </w:t>
      </w:r>
      <w:r>
        <w:t>Macroscopic dimensions of goat bone samples in each group (mean ± SD)</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05"/>
        <w:gridCol w:w="1449"/>
        <w:gridCol w:w="1449"/>
        <w:gridCol w:w="1445"/>
        <w:gridCol w:w="759"/>
      </w:tblGrid>
      <w:tr w:rsidR="009C2B22" w:rsidRPr="0049500D" w14:paraId="0C8928BA" w14:textId="77777777" w:rsidTr="002C62B7">
        <w:tc>
          <w:tcPr>
            <w:tcW w:w="1701" w:type="dxa"/>
            <w:tcBorders>
              <w:top w:val="single" w:sz="4" w:space="0" w:color="auto"/>
              <w:bottom w:val="single" w:sz="4" w:space="0" w:color="auto"/>
            </w:tcBorders>
          </w:tcPr>
          <w:p w14:paraId="65C63272" w14:textId="77777777" w:rsidR="00BD15B9" w:rsidRPr="002C62B7" w:rsidRDefault="00BD15B9" w:rsidP="00DD26A6">
            <w:pPr>
              <w:tabs>
                <w:tab w:val="left" w:pos="284"/>
              </w:tabs>
              <w:jc w:val="both"/>
              <w:rPr>
                <w:rFonts w:ascii="Arial" w:hAnsi="Arial" w:cs="Arial"/>
                <w:bCs/>
                <w:iCs/>
                <w:sz w:val="20"/>
                <w:szCs w:val="20"/>
                <w:lang w:val="id-ID"/>
              </w:rPr>
            </w:pPr>
          </w:p>
        </w:tc>
        <w:tc>
          <w:tcPr>
            <w:tcW w:w="1405" w:type="dxa"/>
            <w:tcBorders>
              <w:top w:val="single" w:sz="4" w:space="0" w:color="auto"/>
              <w:bottom w:val="single" w:sz="4" w:space="0" w:color="auto"/>
            </w:tcBorders>
          </w:tcPr>
          <w:p w14:paraId="7F8A2324" w14:textId="77777777" w:rsidR="00BD15B9" w:rsidRPr="002C62B7" w:rsidRDefault="00BD15B9" w:rsidP="00DD26A6">
            <w:pPr>
              <w:tabs>
                <w:tab w:val="left" w:pos="284"/>
              </w:tabs>
              <w:jc w:val="both"/>
              <w:rPr>
                <w:rFonts w:ascii="Arial" w:hAnsi="Arial" w:cs="Arial"/>
                <w:bCs/>
                <w:iCs/>
                <w:sz w:val="20"/>
                <w:szCs w:val="20"/>
                <w:lang w:val="id-ID"/>
              </w:rPr>
            </w:pPr>
          </w:p>
          <w:p w14:paraId="71731336" w14:textId="77777777" w:rsidR="00BD15B9" w:rsidRPr="002C62B7" w:rsidRDefault="00BD15B9" w:rsidP="00DD26A6">
            <w:pPr>
              <w:tabs>
                <w:tab w:val="left" w:pos="284"/>
              </w:tabs>
              <w:rPr>
                <w:rFonts w:ascii="Arial" w:hAnsi="Arial" w:cs="Arial"/>
                <w:bCs/>
                <w:iCs/>
                <w:sz w:val="20"/>
                <w:szCs w:val="20"/>
                <w:lang w:val="id-ID"/>
              </w:rPr>
            </w:pPr>
            <w:r w:rsidRPr="002C62B7">
              <w:rPr>
                <w:rFonts w:ascii="Arial" w:hAnsi="Arial" w:cs="Arial"/>
                <w:bCs/>
                <w:iCs/>
                <w:sz w:val="20"/>
                <w:szCs w:val="20"/>
                <w:lang w:val="id-ID"/>
              </w:rPr>
              <w:t>Fresh</w:t>
            </w:r>
          </w:p>
        </w:tc>
        <w:tc>
          <w:tcPr>
            <w:tcW w:w="1449" w:type="dxa"/>
            <w:tcBorders>
              <w:top w:val="single" w:sz="4" w:space="0" w:color="auto"/>
              <w:bottom w:val="single" w:sz="4" w:space="0" w:color="auto"/>
            </w:tcBorders>
          </w:tcPr>
          <w:p w14:paraId="478C9C73" w14:textId="10AB2541" w:rsidR="00BD15B9" w:rsidRPr="0049500D" w:rsidRDefault="002C62B7" w:rsidP="00DD26A6">
            <w:pPr>
              <w:tabs>
                <w:tab w:val="left" w:pos="284"/>
              </w:tabs>
              <w:rPr>
                <w:rFonts w:ascii="Arial" w:hAnsi="Arial" w:cs="Arial"/>
                <w:bCs/>
                <w:sz w:val="20"/>
                <w:szCs w:val="20"/>
                <w:lang w:val="id-ID"/>
              </w:rPr>
            </w:pPr>
            <w:r>
              <w:rPr>
                <w:rFonts w:ascii="Arial" w:hAnsi="Arial" w:cs="Arial"/>
                <w:sz w:val="20"/>
                <w:szCs w:val="20"/>
              </w:rPr>
              <w:t>Immersion</w:t>
            </w:r>
            <w:r w:rsidR="009C2B22" w:rsidRPr="0049500D">
              <w:rPr>
                <w:rFonts w:ascii="Arial" w:hAnsi="Arial" w:cs="Arial"/>
                <w:sz w:val="20"/>
                <w:szCs w:val="20"/>
              </w:rPr>
              <w:t xml:space="preserve"> </w:t>
            </w:r>
            <w:r>
              <w:rPr>
                <w:rFonts w:ascii="Arial" w:hAnsi="Arial" w:cs="Arial"/>
                <w:sz w:val="20"/>
                <w:szCs w:val="20"/>
              </w:rPr>
              <w:t xml:space="preserve">         </w:t>
            </w:r>
            <w:r w:rsidR="009C2B22" w:rsidRPr="0049500D">
              <w:rPr>
                <w:rFonts w:ascii="Arial" w:hAnsi="Arial" w:cs="Arial"/>
                <w:sz w:val="20"/>
                <w:szCs w:val="20"/>
              </w:rPr>
              <w:t>7 days</w:t>
            </w:r>
          </w:p>
        </w:tc>
        <w:tc>
          <w:tcPr>
            <w:tcW w:w="1449" w:type="dxa"/>
            <w:tcBorders>
              <w:top w:val="single" w:sz="4" w:space="0" w:color="auto"/>
              <w:bottom w:val="single" w:sz="4" w:space="0" w:color="auto"/>
            </w:tcBorders>
          </w:tcPr>
          <w:p w14:paraId="4F889C20" w14:textId="541E4D79" w:rsidR="00BD15B9" w:rsidRPr="0049500D" w:rsidRDefault="002C62B7" w:rsidP="00DD26A6">
            <w:pPr>
              <w:tabs>
                <w:tab w:val="left" w:pos="284"/>
              </w:tabs>
              <w:rPr>
                <w:rFonts w:ascii="Arial" w:hAnsi="Arial" w:cs="Arial"/>
                <w:bCs/>
                <w:sz w:val="20"/>
                <w:szCs w:val="20"/>
                <w:lang w:val="id-ID"/>
              </w:rPr>
            </w:pPr>
            <w:proofErr w:type="gramStart"/>
            <w:r>
              <w:rPr>
                <w:rFonts w:ascii="Arial" w:hAnsi="Arial" w:cs="Arial"/>
                <w:sz w:val="20"/>
                <w:szCs w:val="20"/>
              </w:rPr>
              <w:t>Immersion</w:t>
            </w:r>
            <w:r w:rsidR="009C2B22" w:rsidRPr="0049500D">
              <w:rPr>
                <w:rFonts w:ascii="Arial" w:hAnsi="Arial" w:cs="Arial"/>
                <w:sz w:val="20"/>
                <w:szCs w:val="20"/>
              </w:rPr>
              <w:t xml:space="preserve"> </w:t>
            </w:r>
            <w:r>
              <w:rPr>
                <w:rFonts w:ascii="Arial" w:hAnsi="Arial" w:cs="Arial"/>
                <w:sz w:val="20"/>
                <w:szCs w:val="20"/>
              </w:rPr>
              <w:t xml:space="preserve"> </w:t>
            </w:r>
            <w:r w:rsidR="009C2B22" w:rsidRPr="0049500D">
              <w:rPr>
                <w:rFonts w:ascii="Arial" w:hAnsi="Arial" w:cs="Arial"/>
                <w:sz w:val="20"/>
                <w:szCs w:val="20"/>
              </w:rPr>
              <w:t>14</w:t>
            </w:r>
            <w:proofErr w:type="gramEnd"/>
            <w:r w:rsidR="009C2B22" w:rsidRPr="0049500D">
              <w:rPr>
                <w:rFonts w:ascii="Arial" w:hAnsi="Arial" w:cs="Arial"/>
                <w:sz w:val="20"/>
                <w:szCs w:val="20"/>
              </w:rPr>
              <w:t xml:space="preserve"> days</w:t>
            </w:r>
          </w:p>
        </w:tc>
        <w:tc>
          <w:tcPr>
            <w:tcW w:w="1445" w:type="dxa"/>
            <w:tcBorders>
              <w:top w:val="single" w:sz="4" w:space="0" w:color="auto"/>
              <w:bottom w:val="single" w:sz="4" w:space="0" w:color="auto"/>
            </w:tcBorders>
          </w:tcPr>
          <w:p w14:paraId="46DA62FF" w14:textId="6DB0B800" w:rsidR="00BD15B9" w:rsidRPr="0049500D" w:rsidRDefault="002C62B7" w:rsidP="00DD26A6">
            <w:pPr>
              <w:tabs>
                <w:tab w:val="left" w:pos="284"/>
              </w:tabs>
              <w:rPr>
                <w:rFonts w:ascii="Arial" w:hAnsi="Arial" w:cs="Arial"/>
                <w:bCs/>
                <w:sz w:val="20"/>
                <w:szCs w:val="20"/>
                <w:lang w:val="id-ID"/>
              </w:rPr>
            </w:pPr>
            <w:proofErr w:type="gramStart"/>
            <w:r>
              <w:rPr>
                <w:rFonts w:ascii="Arial" w:hAnsi="Arial" w:cs="Arial"/>
                <w:sz w:val="20"/>
                <w:szCs w:val="20"/>
              </w:rPr>
              <w:t>Immersion</w:t>
            </w:r>
            <w:r w:rsidR="009C2B22" w:rsidRPr="0049500D">
              <w:rPr>
                <w:rFonts w:ascii="Arial" w:hAnsi="Arial" w:cs="Arial"/>
                <w:sz w:val="20"/>
                <w:szCs w:val="20"/>
              </w:rPr>
              <w:t xml:space="preserve"> </w:t>
            </w:r>
            <w:r>
              <w:rPr>
                <w:rFonts w:ascii="Arial" w:hAnsi="Arial" w:cs="Arial"/>
                <w:sz w:val="20"/>
                <w:szCs w:val="20"/>
              </w:rPr>
              <w:t xml:space="preserve"> </w:t>
            </w:r>
            <w:r w:rsidR="009C2B22" w:rsidRPr="0049500D">
              <w:rPr>
                <w:rFonts w:ascii="Arial" w:hAnsi="Arial" w:cs="Arial"/>
                <w:sz w:val="20"/>
                <w:szCs w:val="20"/>
              </w:rPr>
              <w:t>25</w:t>
            </w:r>
            <w:proofErr w:type="gramEnd"/>
            <w:r w:rsidR="009C2B22" w:rsidRPr="0049500D">
              <w:rPr>
                <w:rFonts w:ascii="Arial" w:hAnsi="Arial" w:cs="Arial"/>
                <w:sz w:val="20"/>
                <w:szCs w:val="20"/>
              </w:rPr>
              <w:t xml:space="preserve"> days</w:t>
            </w:r>
          </w:p>
        </w:tc>
        <w:tc>
          <w:tcPr>
            <w:tcW w:w="759" w:type="dxa"/>
            <w:tcBorders>
              <w:top w:val="single" w:sz="4" w:space="0" w:color="auto"/>
              <w:bottom w:val="single" w:sz="4" w:space="0" w:color="auto"/>
            </w:tcBorders>
          </w:tcPr>
          <w:p w14:paraId="4314B5A4" w14:textId="1D42782A" w:rsidR="00BD15B9" w:rsidRPr="00311DDA" w:rsidRDefault="00311DDA" w:rsidP="00DD26A6">
            <w:pPr>
              <w:tabs>
                <w:tab w:val="left" w:pos="284"/>
              </w:tabs>
              <w:jc w:val="both"/>
              <w:rPr>
                <w:rFonts w:ascii="Arial" w:hAnsi="Arial" w:cs="Arial"/>
                <w:bCs/>
                <w:i/>
                <w:iCs/>
                <w:sz w:val="20"/>
                <w:szCs w:val="20"/>
                <w:lang w:val="id-ID"/>
              </w:rPr>
            </w:pPr>
            <w:r w:rsidRPr="00311DDA">
              <w:rPr>
                <w:rFonts w:ascii="Arial" w:hAnsi="Arial" w:cs="Arial"/>
                <w:bCs/>
                <w:i/>
                <w:iCs/>
                <w:sz w:val="20"/>
                <w:szCs w:val="20"/>
                <w:lang w:val="id-ID"/>
              </w:rPr>
              <w:t>P</w:t>
            </w:r>
            <w:r>
              <w:rPr>
                <w:rFonts w:ascii="Arial" w:hAnsi="Arial" w:cs="Arial"/>
                <w:bCs/>
                <w:i/>
                <w:iCs/>
                <w:sz w:val="20"/>
                <w:szCs w:val="20"/>
                <w:lang w:val="id-ID"/>
              </w:rPr>
              <w:t xml:space="preserve"> </w:t>
            </w:r>
            <w:r>
              <w:rPr>
                <w:rFonts w:ascii="Arial" w:hAnsi="Arial" w:cs="Arial"/>
                <w:bCs/>
                <w:sz w:val="20"/>
                <w:szCs w:val="20"/>
                <w:lang w:val="id-ID"/>
              </w:rPr>
              <w:t>value</w:t>
            </w:r>
            <w:r w:rsidR="00BD15B9" w:rsidRPr="00311DDA">
              <w:rPr>
                <w:rFonts w:ascii="Arial" w:hAnsi="Arial" w:cs="Arial"/>
                <w:bCs/>
                <w:i/>
                <w:iCs/>
                <w:sz w:val="20"/>
                <w:szCs w:val="20"/>
                <w:lang w:val="id-ID"/>
              </w:rPr>
              <w:t xml:space="preserve"> </w:t>
            </w:r>
          </w:p>
        </w:tc>
      </w:tr>
      <w:tr w:rsidR="009C2B22" w:rsidRPr="0049500D" w14:paraId="465CAB1A" w14:textId="77777777" w:rsidTr="002C62B7">
        <w:tc>
          <w:tcPr>
            <w:tcW w:w="1701" w:type="dxa"/>
            <w:tcBorders>
              <w:top w:val="single" w:sz="4" w:space="0" w:color="auto"/>
              <w:bottom w:val="single" w:sz="4" w:space="0" w:color="auto"/>
            </w:tcBorders>
          </w:tcPr>
          <w:p w14:paraId="04EC1A60" w14:textId="3A636EC6" w:rsidR="00BD15B9" w:rsidRPr="0049500D" w:rsidRDefault="009C2B22" w:rsidP="00DD26A6">
            <w:pPr>
              <w:tabs>
                <w:tab w:val="left" w:pos="284"/>
              </w:tabs>
              <w:jc w:val="both"/>
              <w:rPr>
                <w:rFonts w:ascii="Arial" w:hAnsi="Arial" w:cs="Arial"/>
                <w:bCs/>
                <w:sz w:val="20"/>
                <w:szCs w:val="20"/>
                <w:lang w:val="id-ID"/>
              </w:rPr>
            </w:pPr>
            <w:r w:rsidRPr="0049500D">
              <w:rPr>
                <w:rFonts w:ascii="Arial" w:hAnsi="Arial" w:cs="Arial"/>
                <w:bCs/>
                <w:sz w:val="20"/>
                <w:szCs w:val="20"/>
                <w:lang w:val="id-ID"/>
              </w:rPr>
              <w:t xml:space="preserve">Lenght </w:t>
            </w:r>
            <w:r w:rsidR="00BD15B9" w:rsidRPr="0049500D">
              <w:rPr>
                <w:rFonts w:ascii="Arial" w:hAnsi="Arial" w:cs="Arial"/>
                <w:bCs/>
                <w:sz w:val="20"/>
                <w:szCs w:val="20"/>
                <w:lang w:val="id-ID"/>
              </w:rPr>
              <w:t>(mm)</w:t>
            </w:r>
          </w:p>
        </w:tc>
        <w:tc>
          <w:tcPr>
            <w:tcW w:w="1405" w:type="dxa"/>
            <w:tcBorders>
              <w:top w:val="single" w:sz="4" w:space="0" w:color="auto"/>
              <w:bottom w:val="single" w:sz="4" w:space="0" w:color="auto"/>
            </w:tcBorders>
          </w:tcPr>
          <w:p w14:paraId="70BC8E31" w14:textId="5B2A00BF"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97.5±7.90</w:t>
            </w:r>
          </w:p>
        </w:tc>
        <w:tc>
          <w:tcPr>
            <w:tcW w:w="1449" w:type="dxa"/>
            <w:tcBorders>
              <w:top w:val="single" w:sz="4" w:space="0" w:color="auto"/>
              <w:bottom w:val="single" w:sz="4" w:space="0" w:color="auto"/>
            </w:tcBorders>
          </w:tcPr>
          <w:p w14:paraId="0CA7EC48" w14:textId="43E369C5"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98.87±10.88</w:t>
            </w:r>
          </w:p>
        </w:tc>
        <w:tc>
          <w:tcPr>
            <w:tcW w:w="1449" w:type="dxa"/>
            <w:tcBorders>
              <w:top w:val="single" w:sz="4" w:space="0" w:color="auto"/>
              <w:bottom w:val="single" w:sz="4" w:space="0" w:color="auto"/>
            </w:tcBorders>
          </w:tcPr>
          <w:p w14:paraId="21205103" w14:textId="60D6BF03"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105.00±5.00</w:t>
            </w:r>
          </w:p>
        </w:tc>
        <w:tc>
          <w:tcPr>
            <w:tcW w:w="1445" w:type="dxa"/>
            <w:tcBorders>
              <w:top w:val="single" w:sz="4" w:space="0" w:color="auto"/>
              <w:bottom w:val="single" w:sz="4" w:space="0" w:color="auto"/>
            </w:tcBorders>
          </w:tcPr>
          <w:p w14:paraId="6FD0A52C" w14:textId="37B05A14"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102.50±2.52</w:t>
            </w:r>
          </w:p>
        </w:tc>
        <w:tc>
          <w:tcPr>
            <w:tcW w:w="759" w:type="dxa"/>
            <w:tcBorders>
              <w:top w:val="single" w:sz="4" w:space="0" w:color="auto"/>
              <w:bottom w:val="single" w:sz="4" w:space="0" w:color="auto"/>
            </w:tcBorders>
          </w:tcPr>
          <w:p w14:paraId="325D74F5" w14:textId="50C03F49"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0.580</w:t>
            </w:r>
          </w:p>
        </w:tc>
      </w:tr>
      <w:tr w:rsidR="009C2B22" w:rsidRPr="0049500D" w14:paraId="2804B27F" w14:textId="77777777" w:rsidTr="002C62B7">
        <w:tc>
          <w:tcPr>
            <w:tcW w:w="1701" w:type="dxa"/>
            <w:tcBorders>
              <w:top w:val="single" w:sz="4" w:space="0" w:color="auto"/>
              <w:bottom w:val="single" w:sz="4" w:space="0" w:color="auto"/>
            </w:tcBorders>
          </w:tcPr>
          <w:p w14:paraId="6C1CE4F3" w14:textId="5C79CB18" w:rsidR="00BD15B9" w:rsidRPr="0049500D" w:rsidRDefault="00EC67D0" w:rsidP="00DD26A6">
            <w:pPr>
              <w:tabs>
                <w:tab w:val="left" w:pos="284"/>
              </w:tabs>
              <w:jc w:val="both"/>
              <w:rPr>
                <w:rFonts w:ascii="Arial" w:hAnsi="Arial" w:cs="Arial"/>
                <w:bCs/>
                <w:sz w:val="20"/>
                <w:szCs w:val="20"/>
                <w:lang w:val="id-ID"/>
              </w:rPr>
            </w:pPr>
            <w:r>
              <w:rPr>
                <w:rFonts w:ascii="Arial" w:hAnsi="Arial" w:cs="Arial"/>
                <w:bCs/>
                <w:sz w:val="20"/>
                <w:szCs w:val="20"/>
                <w:lang w:val="id-ID"/>
              </w:rPr>
              <w:t>Width</w:t>
            </w:r>
            <w:r w:rsidR="00BD15B9" w:rsidRPr="0049500D">
              <w:rPr>
                <w:rFonts w:ascii="Arial" w:hAnsi="Arial" w:cs="Arial"/>
                <w:bCs/>
                <w:sz w:val="20"/>
                <w:szCs w:val="20"/>
                <w:lang w:val="id-ID"/>
              </w:rPr>
              <w:t xml:space="preserve"> (mm)</w:t>
            </w:r>
          </w:p>
        </w:tc>
        <w:tc>
          <w:tcPr>
            <w:tcW w:w="1405" w:type="dxa"/>
            <w:tcBorders>
              <w:top w:val="single" w:sz="4" w:space="0" w:color="auto"/>
              <w:bottom w:val="single" w:sz="4" w:space="0" w:color="auto"/>
            </w:tcBorders>
          </w:tcPr>
          <w:p w14:paraId="2B883CAF" w14:textId="43D06C8E"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11</w:t>
            </w:r>
            <w:r w:rsidR="00E651B0" w:rsidRPr="0049500D">
              <w:rPr>
                <w:rFonts w:ascii="Arial" w:hAnsi="Arial" w:cs="Arial"/>
                <w:bCs/>
                <w:sz w:val="20"/>
                <w:szCs w:val="20"/>
                <w:lang w:val="id-ID"/>
              </w:rPr>
              <w:t>.</w:t>
            </w:r>
            <w:r w:rsidRPr="0049500D">
              <w:rPr>
                <w:rFonts w:ascii="Arial" w:hAnsi="Arial" w:cs="Arial"/>
                <w:bCs/>
                <w:sz w:val="20"/>
                <w:szCs w:val="20"/>
                <w:lang w:val="id-ID"/>
              </w:rPr>
              <w:t>00±1</w:t>
            </w:r>
            <w:r w:rsidR="00E651B0" w:rsidRPr="0049500D">
              <w:rPr>
                <w:rFonts w:ascii="Arial" w:hAnsi="Arial" w:cs="Arial"/>
                <w:bCs/>
                <w:sz w:val="20"/>
                <w:szCs w:val="20"/>
                <w:lang w:val="id-ID"/>
              </w:rPr>
              <w:t>.</w:t>
            </w:r>
            <w:r w:rsidRPr="0049500D">
              <w:rPr>
                <w:rFonts w:ascii="Arial" w:hAnsi="Arial" w:cs="Arial"/>
                <w:bCs/>
                <w:sz w:val="20"/>
                <w:szCs w:val="20"/>
                <w:lang w:val="id-ID"/>
              </w:rPr>
              <w:t>41</w:t>
            </w:r>
          </w:p>
        </w:tc>
        <w:tc>
          <w:tcPr>
            <w:tcW w:w="1449" w:type="dxa"/>
            <w:tcBorders>
              <w:top w:val="single" w:sz="4" w:space="0" w:color="auto"/>
              <w:bottom w:val="single" w:sz="4" w:space="0" w:color="auto"/>
            </w:tcBorders>
          </w:tcPr>
          <w:p w14:paraId="248CC989" w14:textId="3A800037"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10</w:t>
            </w:r>
            <w:r w:rsidR="00E651B0" w:rsidRPr="0049500D">
              <w:rPr>
                <w:rFonts w:ascii="Arial" w:hAnsi="Arial" w:cs="Arial"/>
                <w:bCs/>
                <w:sz w:val="20"/>
                <w:szCs w:val="20"/>
                <w:lang w:val="id-ID"/>
              </w:rPr>
              <w:t>.</w:t>
            </w:r>
            <w:r w:rsidRPr="0049500D">
              <w:rPr>
                <w:rFonts w:ascii="Arial" w:hAnsi="Arial" w:cs="Arial"/>
                <w:bCs/>
                <w:sz w:val="20"/>
                <w:szCs w:val="20"/>
                <w:lang w:val="id-ID"/>
              </w:rPr>
              <w:t>83±1</w:t>
            </w:r>
            <w:r w:rsidR="00E651B0" w:rsidRPr="0049500D">
              <w:rPr>
                <w:rFonts w:ascii="Arial" w:hAnsi="Arial" w:cs="Arial"/>
                <w:bCs/>
                <w:sz w:val="20"/>
                <w:szCs w:val="20"/>
                <w:lang w:val="id-ID"/>
              </w:rPr>
              <w:t>.</w:t>
            </w:r>
            <w:r w:rsidRPr="0049500D">
              <w:rPr>
                <w:rFonts w:ascii="Arial" w:hAnsi="Arial" w:cs="Arial"/>
                <w:bCs/>
                <w:sz w:val="20"/>
                <w:szCs w:val="20"/>
                <w:lang w:val="id-ID"/>
              </w:rPr>
              <w:t>94</w:t>
            </w:r>
          </w:p>
        </w:tc>
        <w:tc>
          <w:tcPr>
            <w:tcW w:w="1449" w:type="dxa"/>
            <w:tcBorders>
              <w:top w:val="single" w:sz="4" w:space="0" w:color="auto"/>
              <w:bottom w:val="single" w:sz="4" w:space="0" w:color="auto"/>
            </w:tcBorders>
          </w:tcPr>
          <w:p w14:paraId="481C5CF1" w14:textId="4F6FF116"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12</w:t>
            </w:r>
            <w:r w:rsidR="00C35E7C" w:rsidRPr="0049500D">
              <w:rPr>
                <w:rFonts w:ascii="Arial" w:hAnsi="Arial" w:cs="Arial"/>
                <w:bCs/>
                <w:sz w:val="20"/>
                <w:szCs w:val="20"/>
                <w:lang w:val="id-ID"/>
              </w:rPr>
              <w:t>.</w:t>
            </w:r>
            <w:r w:rsidRPr="0049500D">
              <w:rPr>
                <w:rFonts w:ascii="Arial" w:hAnsi="Arial" w:cs="Arial"/>
                <w:bCs/>
                <w:sz w:val="20"/>
                <w:szCs w:val="20"/>
                <w:lang w:val="id-ID"/>
              </w:rPr>
              <w:t>33±2</w:t>
            </w:r>
            <w:r w:rsidR="00C35E7C" w:rsidRPr="0049500D">
              <w:rPr>
                <w:rFonts w:ascii="Arial" w:hAnsi="Arial" w:cs="Arial"/>
                <w:bCs/>
                <w:sz w:val="20"/>
                <w:szCs w:val="20"/>
                <w:lang w:val="id-ID"/>
              </w:rPr>
              <w:t>.</w:t>
            </w:r>
            <w:r w:rsidRPr="0049500D">
              <w:rPr>
                <w:rFonts w:ascii="Arial" w:hAnsi="Arial" w:cs="Arial"/>
                <w:bCs/>
                <w:sz w:val="20"/>
                <w:szCs w:val="20"/>
                <w:lang w:val="id-ID"/>
              </w:rPr>
              <w:t>08</w:t>
            </w:r>
          </w:p>
        </w:tc>
        <w:tc>
          <w:tcPr>
            <w:tcW w:w="1445" w:type="dxa"/>
            <w:tcBorders>
              <w:top w:val="single" w:sz="4" w:space="0" w:color="auto"/>
              <w:bottom w:val="single" w:sz="4" w:space="0" w:color="auto"/>
            </w:tcBorders>
          </w:tcPr>
          <w:p w14:paraId="03267108" w14:textId="6C179E7A"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12</w:t>
            </w:r>
            <w:r w:rsidR="00C35E7C" w:rsidRPr="0049500D">
              <w:rPr>
                <w:rFonts w:ascii="Arial" w:hAnsi="Arial" w:cs="Arial"/>
                <w:bCs/>
                <w:sz w:val="20"/>
                <w:szCs w:val="20"/>
                <w:lang w:val="id-ID"/>
              </w:rPr>
              <w:t>.</w:t>
            </w:r>
            <w:r w:rsidRPr="0049500D">
              <w:rPr>
                <w:rFonts w:ascii="Arial" w:hAnsi="Arial" w:cs="Arial"/>
                <w:bCs/>
                <w:sz w:val="20"/>
                <w:szCs w:val="20"/>
                <w:lang w:val="id-ID"/>
              </w:rPr>
              <w:t>75±1</w:t>
            </w:r>
            <w:r w:rsidR="00C35E7C" w:rsidRPr="0049500D">
              <w:rPr>
                <w:rFonts w:ascii="Arial" w:hAnsi="Arial" w:cs="Arial"/>
                <w:bCs/>
                <w:sz w:val="20"/>
                <w:szCs w:val="20"/>
                <w:lang w:val="id-ID"/>
              </w:rPr>
              <w:t>.</w:t>
            </w:r>
            <w:r w:rsidRPr="0049500D">
              <w:rPr>
                <w:rFonts w:ascii="Arial" w:hAnsi="Arial" w:cs="Arial"/>
                <w:bCs/>
                <w:sz w:val="20"/>
                <w:szCs w:val="20"/>
                <w:lang w:val="id-ID"/>
              </w:rPr>
              <w:t>71</w:t>
            </w:r>
          </w:p>
        </w:tc>
        <w:tc>
          <w:tcPr>
            <w:tcW w:w="759" w:type="dxa"/>
            <w:tcBorders>
              <w:top w:val="single" w:sz="4" w:space="0" w:color="auto"/>
              <w:bottom w:val="single" w:sz="4" w:space="0" w:color="auto"/>
            </w:tcBorders>
          </w:tcPr>
          <w:p w14:paraId="74CAED76" w14:textId="5C7E3624"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0.343</w:t>
            </w:r>
          </w:p>
        </w:tc>
      </w:tr>
      <w:tr w:rsidR="009C2B22" w:rsidRPr="0049500D" w14:paraId="2F54EA65" w14:textId="77777777" w:rsidTr="002C62B7">
        <w:tc>
          <w:tcPr>
            <w:tcW w:w="1701" w:type="dxa"/>
            <w:tcBorders>
              <w:top w:val="single" w:sz="4" w:space="0" w:color="auto"/>
              <w:bottom w:val="single" w:sz="4" w:space="0" w:color="auto"/>
            </w:tcBorders>
          </w:tcPr>
          <w:p w14:paraId="57406875" w14:textId="32F877B9" w:rsidR="00BD15B9" w:rsidRPr="0049500D" w:rsidRDefault="009C2B22" w:rsidP="00DD26A6">
            <w:pPr>
              <w:tabs>
                <w:tab w:val="left" w:pos="284"/>
              </w:tabs>
              <w:jc w:val="both"/>
              <w:rPr>
                <w:rFonts w:ascii="Arial" w:hAnsi="Arial" w:cs="Arial"/>
                <w:bCs/>
                <w:sz w:val="20"/>
                <w:szCs w:val="20"/>
                <w:lang w:val="id-ID"/>
              </w:rPr>
            </w:pPr>
            <w:r w:rsidRPr="0049500D">
              <w:rPr>
                <w:rFonts w:ascii="Arial" w:hAnsi="Arial" w:cs="Arial"/>
                <w:bCs/>
                <w:sz w:val="20"/>
                <w:szCs w:val="20"/>
                <w:lang w:val="id-ID"/>
              </w:rPr>
              <w:t>Thickness</w:t>
            </w:r>
            <w:r w:rsidR="00BD15B9" w:rsidRPr="0049500D">
              <w:rPr>
                <w:rFonts w:ascii="Arial" w:hAnsi="Arial" w:cs="Arial"/>
                <w:bCs/>
                <w:sz w:val="20"/>
                <w:szCs w:val="20"/>
                <w:lang w:val="id-ID"/>
              </w:rPr>
              <w:t xml:space="preserve"> (mm)</w:t>
            </w:r>
          </w:p>
        </w:tc>
        <w:tc>
          <w:tcPr>
            <w:tcW w:w="1405" w:type="dxa"/>
            <w:tcBorders>
              <w:top w:val="single" w:sz="4" w:space="0" w:color="auto"/>
              <w:bottom w:val="single" w:sz="4" w:space="0" w:color="auto"/>
            </w:tcBorders>
          </w:tcPr>
          <w:p w14:paraId="5CF444CB" w14:textId="44808C97"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w:t>
            </w:r>
            <w:r w:rsidR="00E651B0" w:rsidRPr="0049500D">
              <w:rPr>
                <w:rFonts w:ascii="Arial" w:hAnsi="Arial" w:cs="Arial"/>
                <w:bCs/>
                <w:sz w:val="20"/>
                <w:szCs w:val="20"/>
                <w:lang w:val="id-ID"/>
              </w:rPr>
              <w:t>.</w:t>
            </w:r>
            <w:r w:rsidRPr="0049500D">
              <w:rPr>
                <w:rFonts w:ascii="Arial" w:hAnsi="Arial" w:cs="Arial"/>
                <w:bCs/>
                <w:sz w:val="20"/>
                <w:szCs w:val="20"/>
                <w:lang w:val="id-ID"/>
              </w:rPr>
              <w:t>75±0</w:t>
            </w:r>
            <w:r w:rsidR="00E651B0" w:rsidRPr="0049500D">
              <w:rPr>
                <w:rFonts w:ascii="Arial" w:hAnsi="Arial" w:cs="Arial"/>
                <w:bCs/>
                <w:sz w:val="20"/>
                <w:szCs w:val="20"/>
                <w:lang w:val="id-ID"/>
              </w:rPr>
              <w:t>.</w:t>
            </w:r>
            <w:r w:rsidRPr="0049500D">
              <w:rPr>
                <w:rFonts w:ascii="Arial" w:hAnsi="Arial" w:cs="Arial"/>
                <w:bCs/>
                <w:sz w:val="20"/>
                <w:szCs w:val="20"/>
                <w:lang w:val="id-ID"/>
              </w:rPr>
              <w:t>50</w:t>
            </w:r>
          </w:p>
        </w:tc>
        <w:tc>
          <w:tcPr>
            <w:tcW w:w="1449" w:type="dxa"/>
            <w:tcBorders>
              <w:top w:val="single" w:sz="4" w:space="0" w:color="auto"/>
              <w:bottom w:val="single" w:sz="4" w:space="0" w:color="auto"/>
            </w:tcBorders>
          </w:tcPr>
          <w:p w14:paraId="21FFF5FE" w14:textId="2BB1B432"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w:t>
            </w:r>
            <w:r w:rsidR="00E651B0" w:rsidRPr="0049500D">
              <w:rPr>
                <w:rFonts w:ascii="Arial" w:hAnsi="Arial" w:cs="Arial"/>
                <w:bCs/>
                <w:sz w:val="20"/>
                <w:szCs w:val="20"/>
                <w:lang w:val="id-ID"/>
              </w:rPr>
              <w:t>.</w:t>
            </w:r>
            <w:r w:rsidRPr="0049500D">
              <w:rPr>
                <w:rFonts w:ascii="Arial" w:hAnsi="Arial" w:cs="Arial"/>
                <w:bCs/>
                <w:sz w:val="20"/>
                <w:szCs w:val="20"/>
                <w:lang w:val="id-ID"/>
              </w:rPr>
              <w:t>55±0</w:t>
            </w:r>
            <w:r w:rsidR="00E651B0" w:rsidRPr="0049500D">
              <w:rPr>
                <w:rFonts w:ascii="Arial" w:hAnsi="Arial" w:cs="Arial"/>
                <w:bCs/>
                <w:sz w:val="20"/>
                <w:szCs w:val="20"/>
                <w:lang w:val="id-ID"/>
              </w:rPr>
              <w:t>.</w:t>
            </w:r>
            <w:r w:rsidRPr="0049500D">
              <w:rPr>
                <w:rFonts w:ascii="Arial" w:hAnsi="Arial" w:cs="Arial"/>
                <w:bCs/>
                <w:sz w:val="20"/>
                <w:szCs w:val="20"/>
                <w:lang w:val="id-ID"/>
              </w:rPr>
              <w:t>55</w:t>
            </w:r>
          </w:p>
        </w:tc>
        <w:tc>
          <w:tcPr>
            <w:tcW w:w="1449" w:type="dxa"/>
            <w:tcBorders>
              <w:top w:val="single" w:sz="4" w:space="0" w:color="auto"/>
              <w:bottom w:val="single" w:sz="4" w:space="0" w:color="auto"/>
            </w:tcBorders>
          </w:tcPr>
          <w:p w14:paraId="738CC75E" w14:textId="05A9393F"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w:t>
            </w:r>
            <w:r w:rsidR="00E651B0" w:rsidRPr="0049500D">
              <w:rPr>
                <w:rFonts w:ascii="Arial" w:hAnsi="Arial" w:cs="Arial"/>
                <w:bCs/>
                <w:sz w:val="20"/>
                <w:szCs w:val="20"/>
                <w:lang w:val="id-ID"/>
              </w:rPr>
              <w:t>.</w:t>
            </w:r>
            <w:r w:rsidRPr="0049500D">
              <w:rPr>
                <w:rFonts w:ascii="Arial" w:hAnsi="Arial" w:cs="Arial"/>
                <w:bCs/>
                <w:sz w:val="20"/>
                <w:szCs w:val="20"/>
                <w:lang w:val="id-ID"/>
              </w:rPr>
              <w:t>00±0</w:t>
            </w:r>
            <w:r w:rsidR="00E651B0" w:rsidRPr="0049500D">
              <w:rPr>
                <w:rFonts w:ascii="Arial" w:hAnsi="Arial" w:cs="Arial"/>
                <w:bCs/>
                <w:sz w:val="20"/>
                <w:szCs w:val="20"/>
                <w:lang w:val="id-ID"/>
              </w:rPr>
              <w:t>.</w:t>
            </w:r>
            <w:r w:rsidRPr="0049500D">
              <w:rPr>
                <w:rFonts w:ascii="Arial" w:hAnsi="Arial" w:cs="Arial"/>
                <w:bCs/>
                <w:sz w:val="20"/>
                <w:szCs w:val="20"/>
                <w:lang w:val="id-ID"/>
              </w:rPr>
              <w:t>00</w:t>
            </w:r>
          </w:p>
        </w:tc>
        <w:tc>
          <w:tcPr>
            <w:tcW w:w="1445" w:type="dxa"/>
            <w:tcBorders>
              <w:top w:val="single" w:sz="4" w:space="0" w:color="auto"/>
              <w:bottom w:val="single" w:sz="4" w:space="0" w:color="auto"/>
            </w:tcBorders>
          </w:tcPr>
          <w:p w14:paraId="7AC966E4" w14:textId="19D02740"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w:t>
            </w:r>
            <w:r w:rsidR="00E651B0" w:rsidRPr="0049500D">
              <w:rPr>
                <w:rFonts w:ascii="Arial" w:hAnsi="Arial" w:cs="Arial"/>
                <w:bCs/>
                <w:sz w:val="20"/>
                <w:szCs w:val="20"/>
                <w:lang w:val="id-ID"/>
              </w:rPr>
              <w:t>.</w:t>
            </w:r>
            <w:r w:rsidRPr="0049500D">
              <w:rPr>
                <w:rFonts w:ascii="Arial" w:hAnsi="Arial" w:cs="Arial"/>
                <w:bCs/>
                <w:sz w:val="20"/>
                <w:szCs w:val="20"/>
                <w:lang w:val="id-ID"/>
              </w:rPr>
              <w:t>00±0</w:t>
            </w:r>
            <w:r w:rsidR="00E651B0" w:rsidRPr="0049500D">
              <w:rPr>
                <w:rFonts w:ascii="Arial" w:hAnsi="Arial" w:cs="Arial"/>
                <w:bCs/>
                <w:sz w:val="20"/>
                <w:szCs w:val="20"/>
                <w:lang w:val="id-ID"/>
              </w:rPr>
              <w:t>.</w:t>
            </w:r>
            <w:r w:rsidRPr="0049500D">
              <w:rPr>
                <w:rFonts w:ascii="Arial" w:hAnsi="Arial" w:cs="Arial"/>
                <w:bCs/>
                <w:sz w:val="20"/>
                <w:szCs w:val="20"/>
                <w:lang w:val="id-ID"/>
              </w:rPr>
              <w:t>00</w:t>
            </w:r>
          </w:p>
        </w:tc>
        <w:tc>
          <w:tcPr>
            <w:tcW w:w="759" w:type="dxa"/>
            <w:tcBorders>
              <w:top w:val="single" w:sz="4" w:space="0" w:color="auto"/>
              <w:bottom w:val="single" w:sz="4" w:space="0" w:color="auto"/>
            </w:tcBorders>
          </w:tcPr>
          <w:p w14:paraId="1B7D41E0" w14:textId="5229934D"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0.062</w:t>
            </w:r>
          </w:p>
        </w:tc>
      </w:tr>
      <w:tr w:rsidR="009C2B22" w:rsidRPr="0049500D" w14:paraId="3193FB86" w14:textId="77777777" w:rsidTr="002C62B7">
        <w:tc>
          <w:tcPr>
            <w:tcW w:w="1701" w:type="dxa"/>
            <w:tcBorders>
              <w:top w:val="single" w:sz="4" w:space="0" w:color="auto"/>
            </w:tcBorders>
          </w:tcPr>
          <w:p w14:paraId="67B0EB1F" w14:textId="3AC4DFA8" w:rsidR="00BD15B9" w:rsidRPr="0049500D" w:rsidRDefault="009C2B22" w:rsidP="00DD26A6">
            <w:pPr>
              <w:tabs>
                <w:tab w:val="left" w:pos="284"/>
              </w:tabs>
              <w:rPr>
                <w:rFonts w:ascii="Arial" w:hAnsi="Arial" w:cs="Arial"/>
                <w:bCs/>
                <w:sz w:val="20"/>
                <w:szCs w:val="20"/>
                <w:lang w:val="id-ID"/>
              </w:rPr>
            </w:pPr>
            <w:r w:rsidRPr="0049500D">
              <w:rPr>
                <w:rFonts w:ascii="Arial" w:hAnsi="Arial" w:cs="Arial"/>
                <w:bCs/>
                <w:sz w:val="20"/>
                <w:szCs w:val="20"/>
                <w:lang w:val="id-ID"/>
              </w:rPr>
              <w:t>Base area</w:t>
            </w:r>
            <w:r w:rsidR="00BD15B9" w:rsidRPr="0049500D">
              <w:rPr>
                <w:rFonts w:ascii="Arial" w:hAnsi="Arial" w:cs="Arial"/>
                <w:bCs/>
                <w:sz w:val="20"/>
                <w:szCs w:val="20"/>
                <w:lang w:val="id-ID"/>
              </w:rPr>
              <w:t xml:space="preserve"> (mm</w:t>
            </w:r>
            <w:r w:rsidR="00BD15B9" w:rsidRPr="0049500D">
              <w:rPr>
                <w:rFonts w:ascii="Arial" w:hAnsi="Arial" w:cs="Arial"/>
                <w:bCs/>
                <w:sz w:val="20"/>
                <w:szCs w:val="20"/>
                <w:vertAlign w:val="superscript"/>
                <w:lang w:val="id-ID"/>
              </w:rPr>
              <w:t>2</w:t>
            </w:r>
            <w:r w:rsidR="00BD15B9" w:rsidRPr="0049500D">
              <w:rPr>
                <w:rFonts w:ascii="Arial" w:hAnsi="Arial" w:cs="Arial"/>
                <w:bCs/>
                <w:sz w:val="20"/>
                <w:szCs w:val="20"/>
                <w:lang w:val="id-ID"/>
              </w:rPr>
              <w:t>)</w:t>
            </w:r>
          </w:p>
        </w:tc>
        <w:tc>
          <w:tcPr>
            <w:tcW w:w="1405" w:type="dxa"/>
            <w:tcBorders>
              <w:top w:val="single" w:sz="4" w:space="0" w:color="auto"/>
            </w:tcBorders>
          </w:tcPr>
          <w:p w14:paraId="0938FA94" w14:textId="385DF67B"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30</w:t>
            </w:r>
            <w:r w:rsidR="00E651B0" w:rsidRPr="0049500D">
              <w:rPr>
                <w:rFonts w:ascii="Arial" w:hAnsi="Arial" w:cs="Arial"/>
                <w:bCs/>
                <w:sz w:val="20"/>
                <w:szCs w:val="20"/>
                <w:lang w:val="id-ID"/>
              </w:rPr>
              <w:t>.</w:t>
            </w:r>
            <w:r w:rsidRPr="0049500D">
              <w:rPr>
                <w:rFonts w:ascii="Arial" w:hAnsi="Arial" w:cs="Arial"/>
                <w:bCs/>
                <w:sz w:val="20"/>
                <w:szCs w:val="20"/>
                <w:lang w:val="id-ID"/>
              </w:rPr>
              <w:t>25±6,95</w:t>
            </w:r>
          </w:p>
        </w:tc>
        <w:tc>
          <w:tcPr>
            <w:tcW w:w="1449" w:type="dxa"/>
            <w:tcBorders>
              <w:top w:val="single" w:sz="4" w:space="0" w:color="auto"/>
            </w:tcBorders>
          </w:tcPr>
          <w:p w14:paraId="69F1ABF9" w14:textId="6DC4DB14"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24</w:t>
            </w:r>
            <w:r w:rsidR="00E651B0" w:rsidRPr="0049500D">
              <w:rPr>
                <w:rFonts w:ascii="Arial" w:hAnsi="Arial" w:cs="Arial"/>
                <w:bCs/>
                <w:sz w:val="20"/>
                <w:szCs w:val="20"/>
                <w:lang w:val="id-ID"/>
              </w:rPr>
              <w:t>.</w:t>
            </w:r>
            <w:r w:rsidRPr="0049500D">
              <w:rPr>
                <w:rFonts w:ascii="Arial" w:hAnsi="Arial" w:cs="Arial"/>
                <w:bCs/>
                <w:sz w:val="20"/>
                <w:szCs w:val="20"/>
                <w:lang w:val="id-ID"/>
              </w:rPr>
              <w:t>83±4</w:t>
            </w:r>
            <w:r w:rsidR="00E651B0" w:rsidRPr="0049500D">
              <w:rPr>
                <w:rFonts w:ascii="Arial" w:hAnsi="Arial" w:cs="Arial"/>
                <w:bCs/>
                <w:sz w:val="20"/>
                <w:szCs w:val="20"/>
                <w:lang w:val="id-ID"/>
              </w:rPr>
              <w:t>.</w:t>
            </w:r>
            <w:r w:rsidRPr="0049500D">
              <w:rPr>
                <w:rFonts w:ascii="Arial" w:hAnsi="Arial" w:cs="Arial"/>
                <w:bCs/>
                <w:sz w:val="20"/>
                <w:szCs w:val="20"/>
                <w:lang w:val="id-ID"/>
              </w:rPr>
              <w:t>83</w:t>
            </w:r>
          </w:p>
        </w:tc>
        <w:tc>
          <w:tcPr>
            <w:tcW w:w="1449" w:type="dxa"/>
            <w:tcBorders>
              <w:top w:val="single" w:sz="4" w:space="0" w:color="auto"/>
            </w:tcBorders>
          </w:tcPr>
          <w:p w14:paraId="775F4FBD" w14:textId="24AE9E20"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24</w:t>
            </w:r>
            <w:r w:rsidR="00E651B0" w:rsidRPr="0049500D">
              <w:rPr>
                <w:rFonts w:ascii="Arial" w:hAnsi="Arial" w:cs="Arial"/>
                <w:bCs/>
                <w:sz w:val="20"/>
                <w:szCs w:val="20"/>
                <w:lang w:val="id-ID"/>
              </w:rPr>
              <w:t>.</w:t>
            </w:r>
            <w:r w:rsidRPr="0049500D">
              <w:rPr>
                <w:rFonts w:ascii="Arial" w:hAnsi="Arial" w:cs="Arial"/>
                <w:bCs/>
                <w:sz w:val="20"/>
                <w:szCs w:val="20"/>
                <w:lang w:val="id-ID"/>
              </w:rPr>
              <w:t>67±4</w:t>
            </w:r>
            <w:r w:rsidR="00E651B0" w:rsidRPr="0049500D">
              <w:rPr>
                <w:rFonts w:ascii="Arial" w:hAnsi="Arial" w:cs="Arial"/>
                <w:bCs/>
                <w:sz w:val="20"/>
                <w:szCs w:val="20"/>
                <w:lang w:val="id-ID"/>
              </w:rPr>
              <w:t>.</w:t>
            </w:r>
            <w:r w:rsidRPr="0049500D">
              <w:rPr>
                <w:rFonts w:ascii="Arial" w:hAnsi="Arial" w:cs="Arial"/>
                <w:bCs/>
                <w:sz w:val="20"/>
                <w:szCs w:val="20"/>
                <w:lang w:val="id-ID"/>
              </w:rPr>
              <w:t>16</w:t>
            </w:r>
          </w:p>
        </w:tc>
        <w:tc>
          <w:tcPr>
            <w:tcW w:w="1445" w:type="dxa"/>
            <w:tcBorders>
              <w:top w:val="single" w:sz="4" w:space="0" w:color="auto"/>
            </w:tcBorders>
          </w:tcPr>
          <w:p w14:paraId="1E82EF29" w14:textId="6062D1BE"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25</w:t>
            </w:r>
            <w:r w:rsidR="00E651B0" w:rsidRPr="0049500D">
              <w:rPr>
                <w:rFonts w:ascii="Arial" w:hAnsi="Arial" w:cs="Arial"/>
                <w:bCs/>
                <w:sz w:val="20"/>
                <w:szCs w:val="20"/>
                <w:lang w:val="id-ID"/>
              </w:rPr>
              <w:t>.</w:t>
            </w:r>
            <w:r w:rsidRPr="0049500D">
              <w:rPr>
                <w:rFonts w:ascii="Arial" w:hAnsi="Arial" w:cs="Arial"/>
                <w:bCs/>
                <w:sz w:val="20"/>
                <w:szCs w:val="20"/>
                <w:lang w:val="id-ID"/>
              </w:rPr>
              <w:t>50±3</w:t>
            </w:r>
            <w:r w:rsidR="00E651B0" w:rsidRPr="0049500D">
              <w:rPr>
                <w:rFonts w:ascii="Arial" w:hAnsi="Arial" w:cs="Arial"/>
                <w:bCs/>
                <w:sz w:val="20"/>
                <w:szCs w:val="20"/>
                <w:lang w:val="id-ID"/>
              </w:rPr>
              <w:t>.</w:t>
            </w:r>
            <w:r w:rsidRPr="0049500D">
              <w:rPr>
                <w:rFonts w:ascii="Arial" w:hAnsi="Arial" w:cs="Arial"/>
                <w:bCs/>
                <w:sz w:val="20"/>
                <w:szCs w:val="20"/>
                <w:lang w:val="id-ID"/>
              </w:rPr>
              <w:t>42</w:t>
            </w:r>
          </w:p>
        </w:tc>
        <w:tc>
          <w:tcPr>
            <w:tcW w:w="759" w:type="dxa"/>
            <w:tcBorders>
              <w:top w:val="single" w:sz="4" w:space="0" w:color="auto"/>
            </w:tcBorders>
          </w:tcPr>
          <w:p w14:paraId="201DC825" w14:textId="5402D917"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0.376</w:t>
            </w:r>
          </w:p>
        </w:tc>
      </w:tr>
    </w:tbl>
    <w:p w14:paraId="1525137B" w14:textId="02BD728F" w:rsidR="00BD15B9" w:rsidRDefault="009C2B22" w:rsidP="00F40FE1">
      <w:pPr>
        <w:tabs>
          <w:tab w:val="left" w:pos="284"/>
        </w:tabs>
        <w:jc w:val="both"/>
        <w:rPr>
          <w:bCs/>
          <w:lang w:val="id-ID"/>
        </w:rPr>
      </w:pPr>
      <w:r>
        <w:t>No significant differences were observed among groups for length, width, thickness, or base area (p &gt; 0.05).</w:t>
      </w:r>
    </w:p>
    <w:p w14:paraId="6D3F4FC5" w14:textId="05D5D6BB" w:rsidR="00616294" w:rsidRPr="00605395" w:rsidRDefault="00616294" w:rsidP="009024E9">
      <w:pPr>
        <w:pStyle w:val="Body"/>
        <w:spacing w:after="0"/>
        <w:rPr>
          <w:rFonts w:ascii="Arial" w:hAnsi="Arial" w:cs="Arial"/>
          <w:b/>
          <w:szCs w:val="16"/>
        </w:rPr>
      </w:pPr>
    </w:p>
    <w:p w14:paraId="172B8113" w14:textId="5206FC8E" w:rsidR="00DD7FB6" w:rsidRDefault="009024E9" w:rsidP="009024E9">
      <w:pPr>
        <w:pStyle w:val="Body"/>
        <w:spacing w:after="0"/>
        <w:rPr>
          <w:rFonts w:ascii="Arial" w:hAnsi="Arial" w:cs="Arial"/>
          <w:b/>
          <w:szCs w:val="16"/>
          <w:u w:val="single"/>
        </w:rPr>
      </w:pPr>
      <w:r w:rsidRPr="009024E9">
        <w:rPr>
          <w:rFonts w:ascii="Arial" w:hAnsi="Arial" w:cs="Arial"/>
          <w:b/>
          <w:szCs w:val="16"/>
          <w:u w:val="single"/>
        </w:rPr>
        <w:t xml:space="preserve">3.1.2. </w:t>
      </w:r>
      <w:r w:rsidR="00605395">
        <w:rPr>
          <w:rFonts w:ascii="Arial" w:hAnsi="Arial" w:cs="Arial"/>
          <w:b/>
          <w:szCs w:val="16"/>
          <w:u w:val="single"/>
        </w:rPr>
        <w:t>Biomechanical strength character</w:t>
      </w:r>
    </w:p>
    <w:p w14:paraId="1755FC51" w14:textId="77777777" w:rsidR="00DD7FB6" w:rsidRPr="00DD7FB6" w:rsidRDefault="00DD7FB6" w:rsidP="00DD7FB6">
      <w:pPr>
        <w:pStyle w:val="Body"/>
        <w:spacing w:after="0"/>
      </w:pPr>
      <w:r>
        <w:lastRenderedPageBreak/>
        <w:t xml:space="preserve">The ultimate tensile stress (MPa) of goat bone samples was measured to evaluate the effect of decellularization on the biomechanical properties. </w:t>
      </w:r>
      <w:r w:rsidRPr="00DD7FB6">
        <w:rPr>
          <w:b/>
          <w:bCs/>
        </w:rPr>
        <w:t>Table 2</w:t>
      </w:r>
      <w:r>
        <w:t xml:space="preserve"> summarizes the tensile strength data for fresh and decellularized bone samples after 7, 14, and 25 days of immersion in SDS.</w:t>
      </w:r>
    </w:p>
    <w:p w14:paraId="57A6039F" w14:textId="77777777" w:rsidR="00DD7FB6" w:rsidRDefault="00DD7FB6" w:rsidP="00DD7FB6">
      <w:pPr>
        <w:pStyle w:val="Body"/>
        <w:spacing w:after="0"/>
        <w:rPr>
          <w:b/>
          <w:bCs/>
        </w:rPr>
      </w:pPr>
    </w:p>
    <w:p w14:paraId="58BD7987" w14:textId="36057DDE" w:rsidR="00DD7FB6" w:rsidRDefault="002C62B7" w:rsidP="00DD7FB6">
      <w:pPr>
        <w:pStyle w:val="Body"/>
        <w:spacing w:after="0"/>
      </w:pPr>
      <w:r>
        <w:t>T</w:t>
      </w:r>
      <w:r w:rsidR="00DD7FB6">
        <w:t>he ultimate tensile stress of decellularized bone samples increased slightly compared to fresh bone, with the highest value observed in the 14-day decellularized group (112.26 ± 30.98 MPa)</w:t>
      </w:r>
      <w:r>
        <w:t xml:space="preserve"> (Table 2)</w:t>
      </w:r>
      <w:r w:rsidR="00DD7FB6">
        <w:t>. The fresh bone group had a tensile stress of 83.14 ± 7.89 MPa, while the 7-day and 25-day decellularized groups had values of 90.26 ± 15.94 MPa and 98.65 ± 4.31 MPa, respectively. However, statistical analysis revealed no significant differences in tensile stress among the groups (</w:t>
      </w:r>
      <w:r w:rsidR="00311DDA" w:rsidRPr="00311DDA">
        <w:rPr>
          <w:i/>
          <w:iCs/>
        </w:rPr>
        <w:t>P</w:t>
      </w:r>
      <w:r w:rsidR="00DD7FB6">
        <w:t xml:space="preserve"> = 0.154), suggesting that decellularization did not significantly affect the ultimate tensile stress within the tested time points.</w:t>
      </w:r>
    </w:p>
    <w:p w14:paraId="41AC4357" w14:textId="77777777" w:rsidR="00DD7FB6" w:rsidRDefault="00DD7FB6" w:rsidP="009024E9">
      <w:pPr>
        <w:pStyle w:val="Body"/>
        <w:spacing w:after="0"/>
        <w:rPr>
          <w:rFonts w:ascii="Arial" w:hAnsi="Arial" w:cs="Arial"/>
          <w:b/>
          <w:szCs w:val="16"/>
          <w:u w:val="single"/>
        </w:rPr>
      </w:pPr>
    </w:p>
    <w:p w14:paraId="215F4D01" w14:textId="04C03137" w:rsidR="002C62B7" w:rsidRPr="007C2AE9" w:rsidRDefault="002C62B7" w:rsidP="002C62B7">
      <w:pPr>
        <w:tabs>
          <w:tab w:val="left" w:pos="284"/>
        </w:tabs>
        <w:spacing w:line="360" w:lineRule="auto"/>
        <w:jc w:val="both"/>
        <w:rPr>
          <w:b/>
          <w:bCs/>
          <w:lang w:val="id-ID"/>
        </w:rPr>
      </w:pPr>
      <w:r w:rsidRPr="002C62B7">
        <w:rPr>
          <w:lang w:val="id-ID"/>
        </w:rPr>
        <w:t>Table 2. Ultimate tensile stress (MPa) of goat bone samples in each group (mean ± SD)</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276"/>
        <w:gridCol w:w="1417"/>
        <w:gridCol w:w="1560"/>
        <w:gridCol w:w="1275"/>
        <w:gridCol w:w="837"/>
      </w:tblGrid>
      <w:tr w:rsidR="002C62B7" w14:paraId="5E62CF8C" w14:textId="77777777" w:rsidTr="002C62B7">
        <w:tc>
          <w:tcPr>
            <w:tcW w:w="1843" w:type="dxa"/>
            <w:tcBorders>
              <w:top w:val="single" w:sz="4" w:space="0" w:color="auto"/>
              <w:bottom w:val="single" w:sz="4" w:space="0" w:color="auto"/>
            </w:tcBorders>
          </w:tcPr>
          <w:p w14:paraId="6019E293" w14:textId="77777777" w:rsidR="002C62B7" w:rsidRDefault="002C62B7" w:rsidP="002C62B7">
            <w:pPr>
              <w:tabs>
                <w:tab w:val="left" w:pos="284"/>
              </w:tabs>
              <w:jc w:val="both"/>
              <w:rPr>
                <w:bCs/>
                <w:lang w:val="id-ID"/>
              </w:rPr>
            </w:pPr>
          </w:p>
        </w:tc>
        <w:tc>
          <w:tcPr>
            <w:tcW w:w="1276" w:type="dxa"/>
            <w:tcBorders>
              <w:top w:val="single" w:sz="4" w:space="0" w:color="auto"/>
              <w:bottom w:val="single" w:sz="4" w:space="0" w:color="auto"/>
            </w:tcBorders>
          </w:tcPr>
          <w:p w14:paraId="1C461827" w14:textId="77777777" w:rsidR="002C62B7" w:rsidRPr="002C62B7" w:rsidRDefault="002C62B7" w:rsidP="002C62B7">
            <w:pPr>
              <w:tabs>
                <w:tab w:val="left" w:pos="284"/>
              </w:tabs>
              <w:rPr>
                <w:rFonts w:ascii="Arial" w:hAnsi="Arial" w:cs="Arial"/>
                <w:bCs/>
                <w:sz w:val="20"/>
                <w:szCs w:val="20"/>
                <w:lang w:val="id-ID"/>
              </w:rPr>
            </w:pPr>
          </w:p>
          <w:p w14:paraId="5C15F89E" w14:textId="481961EA"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Fresh</w:t>
            </w:r>
          </w:p>
        </w:tc>
        <w:tc>
          <w:tcPr>
            <w:tcW w:w="1417" w:type="dxa"/>
            <w:tcBorders>
              <w:top w:val="single" w:sz="4" w:space="0" w:color="auto"/>
              <w:bottom w:val="single" w:sz="4" w:space="0" w:color="auto"/>
            </w:tcBorders>
          </w:tcPr>
          <w:p w14:paraId="51EFAFB9" w14:textId="50D59640"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Immersion          7 days</w:t>
            </w:r>
          </w:p>
        </w:tc>
        <w:tc>
          <w:tcPr>
            <w:tcW w:w="1560" w:type="dxa"/>
            <w:tcBorders>
              <w:top w:val="single" w:sz="4" w:space="0" w:color="auto"/>
              <w:bottom w:val="single" w:sz="4" w:space="0" w:color="auto"/>
            </w:tcBorders>
          </w:tcPr>
          <w:p w14:paraId="73351C61" w14:textId="72A87672"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 xml:space="preserve">Immersion  </w:t>
            </w:r>
            <w:r>
              <w:rPr>
                <w:rFonts w:ascii="Arial" w:hAnsi="Arial" w:cs="Arial"/>
                <w:bCs/>
                <w:sz w:val="20"/>
                <w:szCs w:val="20"/>
                <w:lang w:val="id-ID"/>
              </w:rPr>
              <w:t xml:space="preserve">      </w:t>
            </w:r>
            <w:r w:rsidRPr="002C62B7">
              <w:rPr>
                <w:rFonts w:ascii="Arial" w:hAnsi="Arial" w:cs="Arial"/>
                <w:bCs/>
                <w:sz w:val="20"/>
                <w:szCs w:val="20"/>
                <w:lang w:val="id-ID"/>
              </w:rPr>
              <w:t>14 days</w:t>
            </w:r>
          </w:p>
        </w:tc>
        <w:tc>
          <w:tcPr>
            <w:tcW w:w="1275" w:type="dxa"/>
            <w:tcBorders>
              <w:top w:val="single" w:sz="4" w:space="0" w:color="auto"/>
              <w:bottom w:val="single" w:sz="4" w:space="0" w:color="auto"/>
            </w:tcBorders>
          </w:tcPr>
          <w:p w14:paraId="578E9CB7" w14:textId="2FF091A5"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 xml:space="preserve">Immersion  </w:t>
            </w:r>
            <w:r>
              <w:rPr>
                <w:rFonts w:ascii="Arial" w:hAnsi="Arial" w:cs="Arial"/>
                <w:bCs/>
                <w:sz w:val="20"/>
                <w:szCs w:val="20"/>
                <w:lang w:val="id-ID"/>
              </w:rPr>
              <w:t xml:space="preserve">         </w:t>
            </w:r>
            <w:r w:rsidRPr="002C62B7">
              <w:rPr>
                <w:rFonts w:ascii="Arial" w:hAnsi="Arial" w:cs="Arial"/>
                <w:bCs/>
                <w:sz w:val="20"/>
                <w:szCs w:val="20"/>
                <w:lang w:val="id-ID"/>
              </w:rPr>
              <w:t>25 days</w:t>
            </w:r>
          </w:p>
        </w:tc>
        <w:tc>
          <w:tcPr>
            <w:tcW w:w="837" w:type="dxa"/>
            <w:tcBorders>
              <w:top w:val="single" w:sz="4" w:space="0" w:color="auto"/>
              <w:bottom w:val="single" w:sz="4" w:space="0" w:color="auto"/>
            </w:tcBorders>
          </w:tcPr>
          <w:p w14:paraId="151EEC7A" w14:textId="11EC8352" w:rsidR="002C62B7" w:rsidRPr="002C62B7" w:rsidRDefault="002C62B7" w:rsidP="002C62B7">
            <w:pPr>
              <w:tabs>
                <w:tab w:val="left" w:pos="284"/>
              </w:tabs>
              <w:rPr>
                <w:rFonts w:ascii="Arial" w:hAnsi="Arial" w:cs="Arial"/>
                <w:bCs/>
                <w:sz w:val="20"/>
                <w:szCs w:val="20"/>
                <w:lang w:val="id-ID"/>
              </w:rPr>
            </w:pPr>
            <w:r w:rsidRPr="0049500D">
              <w:rPr>
                <w:rFonts w:ascii="Arial" w:hAnsi="Arial" w:cs="Arial"/>
                <w:bCs/>
                <w:sz w:val="20"/>
                <w:szCs w:val="20"/>
                <w:lang w:val="id-ID"/>
              </w:rPr>
              <w:t xml:space="preserve">p-value </w:t>
            </w:r>
          </w:p>
        </w:tc>
      </w:tr>
      <w:tr w:rsidR="002C62B7" w14:paraId="04BD0FDD" w14:textId="77777777" w:rsidTr="002C62B7">
        <w:tc>
          <w:tcPr>
            <w:tcW w:w="1843" w:type="dxa"/>
            <w:tcBorders>
              <w:top w:val="single" w:sz="4" w:space="0" w:color="auto"/>
            </w:tcBorders>
          </w:tcPr>
          <w:p w14:paraId="0FC115CA" w14:textId="77777777"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Ultimate tensile stress (MPa)</w:t>
            </w:r>
          </w:p>
        </w:tc>
        <w:tc>
          <w:tcPr>
            <w:tcW w:w="1276" w:type="dxa"/>
            <w:tcBorders>
              <w:top w:val="single" w:sz="4" w:space="0" w:color="auto"/>
            </w:tcBorders>
          </w:tcPr>
          <w:p w14:paraId="7D6D9762" w14:textId="4C2F5BC6"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83</w:t>
            </w:r>
            <w:r>
              <w:rPr>
                <w:rFonts w:ascii="Arial" w:hAnsi="Arial" w:cs="Arial"/>
                <w:bCs/>
                <w:sz w:val="20"/>
                <w:szCs w:val="20"/>
                <w:lang w:val="id-ID"/>
              </w:rPr>
              <w:t>.</w:t>
            </w:r>
            <w:r w:rsidRPr="002C62B7">
              <w:rPr>
                <w:rFonts w:ascii="Arial" w:hAnsi="Arial" w:cs="Arial"/>
                <w:bCs/>
                <w:sz w:val="20"/>
                <w:szCs w:val="20"/>
                <w:lang w:val="id-ID"/>
              </w:rPr>
              <w:t>14±7</w:t>
            </w:r>
            <w:r>
              <w:rPr>
                <w:rFonts w:ascii="Arial" w:hAnsi="Arial" w:cs="Arial"/>
                <w:bCs/>
                <w:sz w:val="20"/>
                <w:szCs w:val="20"/>
                <w:lang w:val="id-ID"/>
              </w:rPr>
              <w:t>.</w:t>
            </w:r>
            <w:r w:rsidRPr="002C62B7">
              <w:rPr>
                <w:rFonts w:ascii="Arial" w:hAnsi="Arial" w:cs="Arial"/>
                <w:bCs/>
                <w:sz w:val="20"/>
                <w:szCs w:val="20"/>
                <w:lang w:val="id-ID"/>
              </w:rPr>
              <w:t>89</w:t>
            </w:r>
          </w:p>
        </w:tc>
        <w:tc>
          <w:tcPr>
            <w:tcW w:w="1417" w:type="dxa"/>
            <w:tcBorders>
              <w:top w:val="single" w:sz="4" w:space="0" w:color="auto"/>
            </w:tcBorders>
          </w:tcPr>
          <w:p w14:paraId="705582DC" w14:textId="212A9ACE"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90</w:t>
            </w:r>
            <w:r>
              <w:rPr>
                <w:rFonts w:ascii="Arial" w:hAnsi="Arial" w:cs="Arial"/>
                <w:bCs/>
                <w:sz w:val="20"/>
                <w:szCs w:val="20"/>
                <w:lang w:val="id-ID"/>
              </w:rPr>
              <w:t>.</w:t>
            </w:r>
            <w:r w:rsidRPr="002C62B7">
              <w:rPr>
                <w:rFonts w:ascii="Arial" w:hAnsi="Arial" w:cs="Arial"/>
                <w:bCs/>
                <w:sz w:val="20"/>
                <w:szCs w:val="20"/>
                <w:lang w:val="id-ID"/>
              </w:rPr>
              <w:t>26±15</w:t>
            </w:r>
            <w:r>
              <w:rPr>
                <w:rFonts w:ascii="Arial" w:hAnsi="Arial" w:cs="Arial"/>
                <w:bCs/>
                <w:sz w:val="20"/>
                <w:szCs w:val="20"/>
                <w:lang w:val="id-ID"/>
              </w:rPr>
              <w:t>.</w:t>
            </w:r>
            <w:r w:rsidRPr="002C62B7">
              <w:rPr>
                <w:rFonts w:ascii="Arial" w:hAnsi="Arial" w:cs="Arial"/>
                <w:bCs/>
                <w:sz w:val="20"/>
                <w:szCs w:val="20"/>
                <w:lang w:val="id-ID"/>
              </w:rPr>
              <w:t>94</w:t>
            </w:r>
          </w:p>
        </w:tc>
        <w:tc>
          <w:tcPr>
            <w:tcW w:w="1560" w:type="dxa"/>
            <w:tcBorders>
              <w:top w:val="single" w:sz="4" w:space="0" w:color="auto"/>
            </w:tcBorders>
          </w:tcPr>
          <w:p w14:paraId="1B8A204B" w14:textId="581C4772"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112</w:t>
            </w:r>
            <w:r>
              <w:rPr>
                <w:rFonts w:ascii="Arial" w:hAnsi="Arial" w:cs="Arial"/>
                <w:bCs/>
                <w:sz w:val="20"/>
                <w:szCs w:val="20"/>
                <w:lang w:val="id-ID"/>
              </w:rPr>
              <w:t>.</w:t>
            </w:r>
            <w:r w:rsidRPr="002C62B7">
              <w:rPr>
                <w:rFonts w:ascii="Arial" w:hAnsi="Arial" w:cs="Arial"/>
                <w:bCs/>
                <w:sz w:val="20"/>
                <w:szCs w:val="20"/>
                <w:lang w:val="id-ID"/>
              </w:rPr>
              <w:t>26±30,98</w:t>
            </w:r>
          </w:p>
        </w:tc>
        <w:tc>
          <w:tcPr>
            <w:tcW w:w="1275" w:type="dxa"/>
            <w:tcBorders>
              <w:top w:val="single" w:sz="4" w:space="0" w:color="auto"/>
            </w:tcBorders>
          </w:tcPr>
          <w:p w14:paraId="1D05A627" w14:textId="013F374F"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98</w:t>
            </w:r>
            <w:r>
              <w:rPr>
                <w:rFonts w:ascii="Arial" w:hAnsi="Arial" w:cs="Arial"/>
                <w:bCs/>
                <w:sz w:val="20"/>
                <w:szCs w:val="20"/>
                <w:lang w:val="id-ID"/>
              </w:rPr>
              <w:t>.</w:t>
            </w:r>
            <w:r w:rsidRPr="002C62B7">
              <w:rPr>
                <w:rFonts w:ascii="Arial" w:hAnsi="Arial" w:cs="Arial"/>
                <w:bCs/>
                <w:sz w:val="20"/>
                <w:szCs w:val="20"/>
                <w:lang w:val="id-ID"/>
              </w:rPr>
              <w:t>65±4</w:t>
            </w:r>
            <w:r>
              <w:rPr>
                <w:rFonts w:ascii="Arial" w:hAnsi="Arial" w:cs="Arial"/>
                <w:bCs/>
                <w:sz w:val="20"/>
                <w:szCs w:val="20"/>
                <w:lang w:val="id-ID"/>
              </w:rPr>
              <w:t>.</w:t>
            </w:r>
            <w:r w:rsidRPr="002C62B7">
              <w:rPr>
                <w:rFonts w:ascii="Arial" w:hAnsi="Arial" w:cs="Arial"/>
                <w:bCs/>
                <w:sz w:val="20"/>
                <w:szCs w:val="20"/>
                <w:lang w:val="id-ID"/>
              </w:rPr>
              <w:t>31</w:t>
            </w:r>
          </w:p>
        </w:tc>
        <w:tc>
          <w:tcPr>
            <w:tcW w:w="837" w:type="dxa"/>
            <w:tcBorders>
              <w:top w:val="single" w:sz="4" w:space="0" w:color="auto"/>
            </w:tcBorders>
          </w:tcPr>
          <w:p w14:paraId="7CC3F5E3" w14:textId="461BA801"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0</w:t>
            </w:r>
            <w:r>
              <w:rPr>
                <w:rFonts w:ascii="Arial" w:hAnsi="Arial" w:cs="Arial"/>
                <w:bCs/>
                <w:sz w:val="20"/>
                <w:szCs w:val="20"/>
                <w:lang w:val="id-ID"/>
              </w:rPr>
              <w:t>.</w:t>
            </w:r>
            <w:r w:rsidRPr="002C62B7">
              <w:rPr>
                <w:rFonts w:ascii="Arial" w:hAnsi="Arial" w:cs="Arial"/>
                <w:bCs/>
                <w:sz w:val="20"/>
                <w:szCs w:val="20"/>
                <w:lang w:val="id-ID"/>
              </w:rPr>
              <w:t>154</w:t>
            </w:r>
          </w:p>
        </w:tc>
      </w:tr>
    </w:tbl>
    <w:p w14:paraId="1E5347B4" w14:textId="1B2A8BD2" w:rsidR="002C62B7" w:rsidRPr="002C62B7" w:rsidRDefault="002C62B7" w:rsidP="002C62B7">
      <w:pPr>
        <w:tabs>
          <w:tab w:val="left" w:pos="284"/>
        </w:tabs>
        <w:spacing w:line="360" w:lineRule="auto"/>
        <w:jc w:val="both"/>
        <w:rPr>
          <w:bCs/>
          <w:lang w:val="id-ID"/>
        </w:rPr>
      </w:pPr>
      <w:r>
        <w:t>No significant differences were observed among groups (p &gt; 0.05).</w:t>
      </w:r>
    </w:p>
    <w:p w14:paraId="390D6C61" w14:textId="7D1F8500" w:rsidR="00DD7FB6" w:rsidRPr="009024E9" w:rsidRDefault="00DD7FB6" w:rsidP="009024E9">
      <w:pPr>
        <w:pStyle w:val="Body"/>
        <w:spacing w:after="0"/>
        <w:rPr>
          <w:rFonts w:ascii="Arial" w:hAnsi="Arial" w:cs="Arial"/>
          <w:b/>
          <w:szCs w:val="16"/>
          <w:u w:val="single"/>
        </w:rPr>
      </w:pPr>
    </w:p>
    <w:p w14:paraId="464E5464" w14:textId="0BFD412A" w:rsidR="009024E9" w:rsidRDefault="009024E9" w:rsidP="009024E9">
      <w:pPr>
        <w:pStyle w:val="Body"/>
        <w:spacing w:after="0"/>
        <w:rPr>
          <w:rFonts w:ascii="Arial" w:hAnsi="Arial" w:cs="Arial"/>
          <w:b/>
          <w:szCs w:val="16"/>
          <w:u w:val="single"/>
        </w:rPr>
      </w:pPr>
      <w:r w:rsidRPr="009024E9">
        <w:rPr>
          <w:rFonts w:ascii="Arial" w:hAnsi="Arial" w:cs="Arial"/>
          <w:b/>
          <w:szCs w:val="16"/>
          <w:u w:val="single"/>
        </w:rPr>
        <w:t>3.1.3.</w:t>
      </w:r>
      <w:r>
        <w:rPr>
          <w:rFonts w:ascii="Arial" w:hAnsi="Arial" w:cs="Arial"/>
          <w:b/>
          <w:szCs w:val="16"/>
          <w:u w:val="single"/>
        </w:rPr>
        <w:t xml:space="preserve"> </w:t>
      </w:r>
      <w:r w:rsidR="00E4683D">
        <w:rPr>
          <w:rFonts w:ascii="Arial" w:hAnsi="Arial" w:cs="Arial"/>
          <w:b/>
          <w:szCs w:val="16"/>
          <w:u w:val="single"/>
        </w:rPr>
        <w:t>E</w:t>
      </w:r>
      <w:r w:rsidR="00605395">
        <w:rPr>
          <w:rFonts w:ascii="Arial" w:hAnsi="Arial" w:cs="Arial"/>
          <w:b/>
          <w:szCs w:val="16"/>
          <w:u w:val="single"/>
        </w:rPr>
        <w:t>xtracellular</w:t>
      </w:r>
      <w:r w:rsidR="00E4683D">
        <w:rPr>
          <w:rFonts w:ascii="Arial" w:hAnsi="Arial" w:cs="Arial"/>
          <w:b/>
          <w:szCs w:val="16"/>
          <w:u w:val="single"/>
        </w:rPr>
        <w:t xml:space="preserve"> matrix (ECM)</w:t>
      </w:r>
      <w:r w:rsidR="00605395">
        <w:rPr>
          <w:rFonts w:ascii="Arial" w:hAnsi="Arial" w:cs="Arial"/>
          <w:b/>
          <w:szCs w:val="16"/>
          <w:u w:val="single"/>
        </w:rPr>
        <w:t xml:space="preserve"> character </w:t>
      </w:r>
    </w:p>
    <w:p w14:paraId="704D86A5" w14:textId="435621AD" w:rsidR="00DA50DE" w:rsidRDefault="00DA50DE" w:rsidP="00DA50DE">
      <w:pPr>
        <w:pStyle w:val="Body"/>
        <w:spacing w:after="0"/>
      </w:pPr>
      <w:r w:rsidRPr="00DA50DE">
        <w:t>Histological analysis of the extracellular matrix (ECM) was conducted using Masson</w:t>
      </w:r>
      <w:r w:rsidR="002961C0">
        <w:t>'</w:t>
      </w:r>
      <w:r w:rsidRPr="00DA50DE">
        <w:t>s Trichrome staining, which highlights collagen fibers in blue. This staining method provided insight into ECM preservation during decellularization at different time points.</w:t>
      </w:r>
    </w:p>
    <w:p w14:paraId="2784659C" w14:textId="77777777" w:rsidR="00DA50DE" w:rsidRPr="00DA50DE" w:rsidRDefault="00DA50DE" w:rsidP="00DA50DE">
      <w:pPr>
        <w:pStyle w:val="Body"/>
        <w:spacing w:after="0"/>
      </w:pPr>
    </w:p>
    <w:p w14:paraId="69336140" w14:textId="77777777" w:rsidR="00DA50DE" w:rsidRDefault="00DA50DE" w:rsidP="00DA50DE">
      <w:pPr>
        <w:pStyle w:val="Body"/>
        <w:spacing w:after="0"/>
      </w:pPr>
      <w:r w:rsidRPr="00DA50DE">
        <w:t>In the fresh bone sample (Figure 4A), the ECM was fully intact, with dense, well-preserved collagen fibers (blue staining) visible throughout. The bone structure remained solid, with visible cellular components within the ECM, confirming its native state.</w:t>
      </w:r>
    </w:p>
    <w:p w14:paraId="17FB611F" w14:textId="77777777" w:rsidR="00DA50DE" w:rsidRPr="00DA50DE" w:rsidRDefault="00DA50DE" w:rsidP="00DA50DE">
      <w:pPr>
        <w:pStyle w:val="Body"/>
        <w:spacing w:after="0"/>
      </w:pPr>
    </w:p>
    <w:p w14:paraId="7326B115" w14:textId="42413B13" w:rsidR="00DA50DE" w:rsidRPr="00DA50DE" w:rsidRDefault="00DA50DE" w:rsidP="00DA50DE">
      <w:pPr>
        <w:pStyle w:val="Body"/>
        <w:spacing w:after="0"/>
      </w:pPr>
      <w:r w:rsidRPr="00DA50DE">
        <w:t xml:space="preserve">After 7 days of decellularization (Figure 4B), the ECM showed slight reductions in cellular content, but collagen fibers were still visible. The intensity of the blue staining decreased slightly, </w:t>
      </w:r>
      <w:r w:rsidR="00160861">
        <w:t>indicating that the decellularization process had begun to remove cellular components while retaining some of th</w:t>
      </w:r>
      <w:r w:rsidRPr="00DA50DE">
        <w:t>e ECM integrity.</w:t>
      </w:r>
    </w:p>
    <w:p w14:paraId="1137357E" w14:textId="77777777" w:rsidR="00DA50DE" w:rsidRDefault="00DA50DE" w:rsidP="00DA50DE">
      <w:pPr>
        <w:pStyle w:val="Body"/>
        <w:spacing w:after="0"/>
      </w:pPr>
    </w:p>
    <w:p w14:paraId="2E6474DB" w14:textId="3504B8ED" w:rsidR="00DA50DE" w:rsidRPr="00DA50DE" w:rsidRDefault="00DA50DE" w:rsidP="00DA50DE">
      <w:pPr>
        <w:pStyle w:val="Body"/>
        <w:spacing w:after="0"/>
      </w:pPr>
      <w:r w:rsidRPr="00DA50DE">
        <w:t>Figure 4C, showing the bone after 14 days of decellularization, displayed a more noticeable reduction in cellular remnants. The intensity of the blue staining increased, indicating more effective removal of cells while preserving the collagen network.</w:t>
      </w:r>
    </w:p>
    <w:p w14:paraId="1B83DB85" w14:textId="77777777" w:rsidR="00DA50DE" w:rsidRDefault="00DA50DE" w:rsidP="00DA50DE">
      <w:pPr>
        <w:pStyle w:val="Body"/>
        <w:spacing w:after="0"/>
      </w:pPr>
    </w:p>
    <w:p w14:paraId="5EE3C3B5" w14:textId="205FEFEB" w:rsidR="00DA50DE" w:rsidRPr="00DA50DE" w:rsidRDefault="00DA50DE" w:rsidP="00DA50DE">
      <w:pPr>
        <w:pStyle w:val="Body"/>
        <w:spacing w:after="0"/>
      </w:pPr>
      <w:r w:rsidRPr="00DA50DE">
        <w:t>At 25 days of decellularization (Figure 4D), the ECM showed minimal cellular remnants, and the collagen network was well-preserved. The matrix was nearly translucent, confirming that decellularization had successfully removed cellular material, leaving the collagen fibers intact.</w:t>
      </w:r>
    </w:p>
    <w:p w14:paraId="62D7E1E6" w14:textId="4AB86AAC" w:rsidR="00DA50DE" w:rsidRPr="00DA50DE" w:rsidRDefault="00DA50DE" w:rsidP="00DA50DE">
      <w:pPr>
        <w:pStyle w:val="Body"/>
        <w:spacing w:after="0"/>
      </w:pPr>
      <w:r w:rsidRPr="00DA50DE">
        <w:t>Figure 5 quantifies ECM preservation by measuring the intensity and area of the blue staining</w:t>
      </w:r>
      <w:r w:rsidR="00160861">
        <w:t>, which represents</w:t>
      </w:r>
      <w:r w:rsidRPr="00DA50DE">
        <w:t xml:space="preserve"> collagen fibers in the samples. The fresh bone (Figure 5A) had the highest intensity and largest area of blue staining, reflecting a dense collagen network typical of native bone.</w:t>
      </w:r>
    </w:p>
    <w:p w14:paraId="0A8A5DDB" w14:textId="77777777" w:rsidR="00DA50DE" w:rsidRDefault="00DA50DE" w:rsidP="00DA50DE">
      <w:pPr>
        <w:pStyle w:val="Body"/>
        <w:spacing w:after="0"/>
      </w:pPr>
    </w:p>
    <w:p w14:paraId="0F022B05" w14:textId="457A26F4" w:rsidR="00DA50DE" w:rsidRPr="00DA50DE" w:rsidRDefault="00DA50DE" w:rsidP="00DA50DE">
      <w:pPr>
        <w:pStyle w:val="Body"/>
        <w:spacing w:after="0"/>
      </w:pPr>
      <w:r w:rsidRPr="00DA50DE">
        <w:t xml:space="preserve">Figure 5B, showing the bone after 25 days of decellularization, exhibited a significant decrease in the intensity and area of blue staining. This decline in ECM intensity </w:t>
      </w:r>
      <w:r w:rsidR="00160861">
        <w:t>suggests that collagen was degraded during the decellularization process, resulting in</w:t>
      </w:r>
      <w:r w:rsidRPr="00DA50DE">
        <w:t xml:space="preserve"> a less preserved ECM after prolonged exposure to SDS.</w:t>
      </w:r>
    </w:p>
    <w:p w14:paraId="0249FBB5" w14:textId="77777777" w:rsidR="00DA50DE" w:rsidRDefault="00DA50DE" w:rsidP="00DA50DE">
      <w:pPr>
        <w:pStyle w:val="Body"/>
        <w:spacing w:after="0"/>
      </w:pPr>
    </w:p>
    <w:p w14:paraId="613918F6" w14:textId="47A79E76" w:rsidR="00DA50DE" w:rsidRPr="00DA50DE" w:rsidRDefault="00DA50DE" w:rsidP="00DA50DE">
      <w:pPr>
        <w:pStyle w:val="Body"/>
        <w:spacing w:after="0"/>
      </w:pPr>
      <w:r w:rsidRPr="00DA50DE">
        <w:t>Statistical analysis of the blue staining intensity and the area occupied by collagen showed significant differences between groups (</w:t>
      </w:r>
      <w:r w:rsidR="00311DDA" w:rsidRPr="00311DDA">
        <w:rPr>
          <w:i/>
          <w:iCs/>
        </w:rPr>
        <w:t>P</w:t>
      </w:r>
      <w:r w:rsidRPr="00DA50DE">
        <w:t xml:space="preserve"> &lt; 0.05). Both intensity and area of collagen were </w:t>
      </w:r>
      <w:r w:rsidRPr="00DA50DE">
        <w:lastRenderedPageBreak/>
        <w:t>significantly lower in the 7-day, 14-day, and 25-day decellularized groups compared to fresh bone, reflecting the gradual destruction of ECM during the decellularization process. These results align with histological observations, confirming that longer immersion times resulted in more extensive degradation of the ECM, particularly the collagen network.</w:t>
      </w:r>
    </w:p>
    <w:p w14:paraId="2C6965A6" w14:textId="77777777" w:rsidR="00880F26" w:rsidRPr="00DA50DE" w:rsidRDefault="00880F26" w:rsidP="002C62B7">
      <w:pPr>
        <w:pStyle w:val="Body"/>
        <w:spacing w:after="0"/>
      </w:pPr>
    </w:p>
    <w:p w14:paraId="635845EB" w14:textId="16A4D067" w:rsidR="00880F26" w:rsidRDefault="00880F26" w:rsidP="002C62B7">
      <w:pPr>
        <w:pStyle w:val="Body"/>
        <w:spacing w:after="0"/>
      </w:pPr>
      <w:r>
        <w:rPr>
          <w:noProof/>
        </w:rPr>
        <w:drawing>
          <wp:inline distT="0" distB="0" distL="0" distR="0" wp14:anchorId="33516386" wp14:editId="7894E8C6">
            <wp:extent cx="5212080" cy="4196080"/>
            <wp:effectExtent l="0" t="0" r="7620" b="0"/>
            <wp:docPr id="927461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4196080"/>
                    </a:xfrm>
                    <a:prstGeom prst="rect">
                      <a:avLst/>
                    </a:prstGeom>
                    <a:noFill/>
                    <a:ln>
                      <a:noFill/>
                    </a:ln>
                  </pic:spPr>
                </pic:pic>
              </a:graphicData>
            </a:graphic>
          </wp:inline>
        </w:drawing>
      </w:r>
    </w:p>
    <w:p w14:paraId="14B3B54B" w14:textId="4DFCE457" w:rsidR="00880F26" w:rsidRDefault="00880F26" w:rsidP="00880F26">
      <w:pPr>
        <w:pStyle w:val="Body"/>
        <w:spacing w:after="0"/>
      </w:pPr>
      <w:r w:rsidRPr="00880F26">
        <w:t>Figure 4.</w:t>
      </w:r>
      <w:r>
        <w:t xml:space="preserve"> Histological sections of goat bone stained with Masson</w:t>
      </w:r>
      <w:r w:rsidR="002961C0">
        <w:t>'</w:t>
      </w:r>
      <w:r>
        <w:t>s Trichrome to assess extracellular matrix (ECM) preservation during decellularization.</w:t>
      </w:r>
      <w:r w:rsidR="006F2CCF">
        <w:t xml:space="preserve"> </w:t>
      </w:r>
      <w:r w:rsidRPr="00880F26">
        <w:rPr>
          <w:b/>
          <w:bCs/>
        </w:rPr>
        <w:t>A.</w:t>
      </w:r>
      <w:r>
        <w:t xml:space="preserve"> Fresh bone showing intact ECM with dense collagen fibers</w:t>
      </w:r>
      <w:r w:rsidR="00DA50DE">
        <w:t>;</w:t>
      </w:r>
      <w:r w:rsidR="006F2CCF">
        <w:t xml:space="preserve"> </w:t>
      </w:r>
      <w:r w:rsidRPr="00880F26">
        <w:rPr>
          <w:b/>
          <w:bCs/>
        </w:rPr>
        <w:t>B.</w:t>
      </w:r>
      <w:r>
        <w:t xml:space="preserve"> </w:t>
      </w:r>
      <w:r w:rsidR="00DA50DE">
        <w:t>B</w:t>
      </w:r>
      <w:r>
        <w:t>one after 7 days of decellularization, with visible collagen fibers</w:t>
      </w:r>
      <w:r w:rsidR="00DA50DE">
        <w:t>. C. Bone after 14 days of decellularization, with prominent collagen fibers, but some areas are already transparent</w:t>
      </w:r>
      <w:r w:rsidRPr="00880F26">
        <w:rPr>
          <w:b/>
          <w:bCs/>
        </w:rPr>
        <w:t>.</w:t>
      </w:r>
      <w:r>
        <w:t xml:space="preserve"> </w:t>
      </w:r>
      <w:r w:rsidR="00DA50DE" w:rsidRPr="00DA50DE">
        <w:rPr>
          <w:b/>
          <w:bCs/>
        </w:rPr>
        <w:t>D.</w:t>
      </w:r>
      <w:r w:rsidR="00DA50DE">
        <w:t xml:space="preserve"> </w:t>
      </w:r>
      <w:r>
        <w:t xml:space="preserve">Bone after 25 days of decellularization, exhibiting a clear ECM with </w:t>
      </w:r>
      <w:r w:rsidR="00DA50DE">
        <w:t xml:space="preserve">a decrement of </w:t>
      </w:r>
      <w:r>
        <w:t>collagen structure.</w:t>
      </w:r>
      <w:r w:rsidR="00485A55">
        <w:t xml:space="preserve"> Scale bar=200 </w:t>
      </w:r>
      <w:r w:rsidR="00485A55">
        <w:rPr>
          <w:rFonts w:cs="Helvetica"/>
        </w:rPr>
        <w:t>µ</w:t>
      </w:r>
      <w:r w:rsidR="00485A55">
        <w:t>m</w:t>
      </w:r>
    </w:p>
    <w:p w14:paraId="1FE4EE41" w14:textId="77777777" w:rsidR="00880F26" w:rsidRDefault="00880F26" w:rsidP="002C62B7">
      <w:pPr>
        <w:pStyle w:val="Body"/>
        <w:spacing w:after="0"/>
      </w:pPr>
    </w:p>
    <w:p w14:paraId="04243A47" w14:textId="62EEDE1D" w:rsidR="00DA50DE" w:rsidRDefault="00160861" w:rsidP="00160861">
      <w:pPr>
        <w:pStyle w:val="Body"/>
        <w:spacing w:after="0"/>
        <w:jc w:val="center"/>
      </w:pPr>
      <w:r>
        <w:rPr>
          <w:noProof/>
        </w:rPr>
        <w:lastRenderedPageBreak/>
        <w:drawing>
          <wp:inline distT="0" distB="0" distL="0" distR="0" wp14:anchorId="7D425094" wp14:editId="421E017B">
            <wp:extent cx="4755613" cy="6800850"/>
            <wp:effectExtent l="0" t="0" r="6985" b="0"/>
            <wp:docPr id="1376661365" name="Picture 3" descr="A graph of different colored rectangular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61365" name="Picture 3" descr="A graph of different colored rectangular shap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7580" cy="6803663"/>
                    </a:xfrm>
                    <a:prstGeom prst="rect">
                      <a:avLst/>
                    </a:prstGeom>
                    <a:noFill/>
                    <a:ln>
                      <a:noFill/>
                    </a:ln>
                  </pic:spPr>
                </pic:pic>
              </a:graphicData>
            </a:graphic>
          </wp:inline>
        </w:drawing>
      </w:r>
    </w:p>
    <w:p w14:paraId="0A4A75A5" w14:textId="0C73940A" w:rsidR="00160861" w:rsidRDefault="00160861" w:rsidP="00160861">
      <w:pPr>
        <w:pStyle w:val="Body"/>
        <w:spacing w:after="0"/>
      </w:pPr>
      <w:r w:rsidRPr="00160861">
        <w:t>Figure 5.</w:t>
      </w:r>
      <w:r>
        <w:t xml:space="preserve"> Quantification of ECM preservation by measuring the intensity and area of blue staining representing collagen fibers in goat bone samples at different decellularization time points</w:t>
      </w:r>
      <w:r w:rsidRPr="00160861">
        <w:t>. A. ECM percentage area: Fresh bone showing the largest area of blue staining, representing dense collagen fibers.</w:t>
      </w:r>
      <w:r>
        <w:t xml:space="preserve"> </w:t>
      </w:r>
      <w:r w:rsidRPr="00160861">
        <w:t>B. Intensity of ECM: Bone after 25 days of decellularization showing reduced intensity of blue staining, indicating degradation of the ECM and loss of collagen integrity.</w:t>
      </w:r>
      <w:r>
        <w:t xml:space="preserve"> Asterisk (*) means significant difference (p &lt; 0.05), and ns means not significant (p ≥ 0.05). </w:t>
      </w:r>
    </w:p>
    <w:p w14:paraId="10B6D1A1" w14:textId="77777777" w:rsidR="002F4ED3" w:rsidRPr="00160861" w:rsidRDefault="002F4ED3" w:rsidP="00160861">
      <w:pPr>
        <w:pStyle w:val="Body"/>
        <w:spacing w:after="0"/>
      </w:pPr>
    </w:p>
    <w:p w14:paraId="7024F3C2" w14:textId="6E0EB903" w:rsidR="009024E9" w:rsidRPr="009024E9" w:rsidRDefault="009024E9" w:rsidP="009024E9">
      <w:pPr>
        <w:pStyle w:val="Body"/>
        <w:spacing w:after="0"/>
        <w:rPr>
          <w:rFonts w:ascii="Arial" w:hAnsi="Arial" w:cs="Arial"/>
          <w:b/>
          <w:szCs w:val="16"/>
          <w:u w:val="single"/>
        </w:rPr>
      </w:pPr>
      <w:r>
        <w:rPr>
          <w:rFonts w:ascii="Arial" w:hAnsi="Arial" w:cs="Arial"/>
          <w:b/>
          <w:szCs w:val="16"/>
          <w:u w:val="single"/>
        </w:rPr>
        <w:t xml:space="preserve">3.1.4. </w:t>
      </w:r>
      <w:r w:rsidR="00605395">
        <w:rPr>
          <w:rFonts w:ascii="Arial" w:hAnsi="Arial" w:cs="Arial"/>
          <w:b/>
          <w:szCs w:val="16"/>
          <w:u w:val="single"/>
        </w:rPr>
        <w:t xml:space="preserve">BMP-2 expression character </w:t>
      </w:r>
    </w:p>
    <w:p w14:paraId="3BAA65B5" w14:textId="77777777" w:rsidR="009024E9" w:rsidRDefault="009024E9" w:rsidP="009024E9">
      <w:pPr>
        <w:pStyle w:val="Body"/>
        <w:spacing w:after="0"/>
        <w:rPr>
          <w:rFonts w:ascii="Arial" w:hAnsi="Arial" w:cs="Arial"/>
          <w:b/>
          <w:sz w:val="22"/>
        </w:rPr>
      </w:pPr>
    </w:p>
    <w:p w14:paraId="67BA31E5" w14:textId="794961EE" w:rsidR="00485A55" w:rsidRPr="00485A55" w:rsidRDefault="00485A55" w:rsidP="00485A55">
      <w:pPr>
        <w:pStyle w:val="Body"/>
        <w:spacing w:after="0"/>
      </w:pPr>
      <w:r w:rsidRPr="00485A55">
        <w:t>Immunohistochemical (IHC) analysis was performed to assess the expression of Bone Morphogenetic Protein-2 (BMP-2), a key marker involved in osteogenesis, in goat bone samples after decellularization. The results are visually captured in Figures 6 and 7, which illustrate the presence and intensity of BMP-2 expression in various bone groups.</w:t>
      </w:r>
    </w:p>
    <w:p w14:paraId="62702244" w14:textId="77777777" w:rsidR="00485A55" w:rsidRPr="00485A55" w:rsidRDefault="00485A55" w:rsidP="00485A55">
      <w:pPr>
        <w:pStyle w:val="Body"/>
        <w:spacing w:after="0"/>
      </w:pPr>
    </w:p>
    <w:p w14:paraId="6D191F5E" w14:textId="6E8DD2AC" w:rsidR="00485A55" w:rsidRDefault="00485A55" w:rsidP="00485A55">
      <w:pPr>
        <w:pStyle w:val="Body"/>
        <w:spacing w:after="0"/>
      </w:pPr>
      <w:r w:rsidRPr="00485A55">
        <w:t xml:space="preserve">Figure 6 shows the BMP-2 expression in the fresh bone sample. The staining revealed moderate to </w:t>
      </w:r>
      <w:r>
        <w:t>intense</w:t>
      </w:r>
      <w:r w:rsidRPr="00485A55">
        <w:t xml:space="preserve"> brown staining in the osteoblasts and surrounding areas, indicating the natural expression of BMP-2 in the bone matrix. The presence of BMP-2 is critical for bone regeneration and osteogenesis, as it plays a </w:t>
      </w:r>
      <w:r>
        <w:t>significant</w:t>
      </w:r>
      <w:r w:rsidRPr="00485A55">
        <w:t xml:space="preserve"> role in the differentiation of stem cells into osteoblasts.</w:t>
      </w:r>
    </w:p>
    <w:p w14:paraId="5AA0E846" w14:textId="77777777" w:rsidR="00485A55" w:rsidRPr="00485A55" w:rsidRDefault="00485A55" w:rsidP="00485A55">
      <w:pPr>
        <w:pStyle w:val="Body"/>
        <w:spacing w:after="0"/>
      </w:pPr>
    </w:p>
    <w:p w14:paraId="77D538AE" w14:textId="5EAFEA7C" w:rsidR="00485A55" w:rsidRDefault="00485A55" w:rsidP="00485A55">
      <w:pPr>
        <w:pStyle w:val="Body"/>
        <w:spacing w:after="0"/>
      </w:pPr>
      <w:r w:rsidRPr="00485A55">
        <w:t xml:space="preserve">After 25 days of decellularization (Figure </w:t>
      </w:r>
      <w:r>
        <w:t>6</w:t>
      </w:r>
      <w:r w:rsidRPr="00485A55">
        <w:t>), BMP-2 expression was evaluated in the decellularized bone samples. The intensity of brown staining was significantly reduced compared to that of fresh bone, suggesting that the decellularization process may have impacted the expression of BMP-2. While some areas still showed weak BMP-2 expression, the overall intensity was lower, indicating that cellular components essential for BMP-2 production were effectively removed during the decellularization process. This result aligns with the histological findings, where ECM integrity was preserved, but the cellular material was progressively removed over time.</w:t>
      </w:r>
    </w:p>
    <w:p w14:paraId="5855D022" w14:textId="77777777" w:rsidR="00485A55" w:rsidRPr="00485A55" w:rsidRDefault="00485A55" w:rsidP="00485A55">
      <w:pPr>
        <w:pStyle w:val="Body"/>
        <w:spacing w:after="0"/>
      </w:pPr>
    </w:p>
    <w:p w14:paraId="49EC5BD4" w14:textId="4B5BF824" w:rsidR="00485A55" w:rsidRPr="00485A55" w:rsidRDefault="00485A55" w:rsidP="00485A55">
      <w:pPr>
        <w:pStyle w:val="Body"/>
        <w:spacing w:after="0"/>
      </w:pPr>
      <w:r w:rsidRPr="00485A55">
        <w:t>Statistical analysis confirmed that the intensity of BMP-2 staining was significantly lower in the 25-day decellularized group compared to the fresh bone (</w:t>
      </w:r>
      <w:r>
        <w:t>P</w:t>
      </w:r>
      <w:r w:rsidRPr="00485A55">
        <w:t xml:space="preserve"> &lt; 0.05), </w:t>
      </w:r>
      <w:r>
        <w:t>indicating a reduction in BMP-2 production resulting from</w:t>
      </w:r>
      <w:r w:rsidRPr="00485A55">
        <w:t xml:space="preserve"> the removal of cells during the decellularization process</w:t>
      </w:r>
      <w:r>
        <w:t xml:space="preserve"> (Figure 7)</w:t>
      </w:r>
      <w:r w:rsidRPr="00485A55">
        <w:t xml:space="preserve">. These findings </w:t>
      </w:r>
      <w:r>
        <w:t>offer valuable insights into the impact of decellularization on osteogenic markers, supporting</w:t>
      </w:r>
      <w:r w:rsidRPr="00485A55">
        <w:t xml:space="preserve"> the use of decellularized bone scaffolds for potential bone regeneration applications.</w:t>
      </w:r>
    </w:p>
    <w:p w14:paraId="235932CA" w14:textId="77777777" w:rsidR="00485A55" w:rsidRPr="00485A55" w:rsidRDefault="00485A55" w:rsidP="009024E9">
      <w:pPr>
        <w:pStyle w:val="Body"/>
        <w:spacing w:after="0"/>
      </w:pPr>
    </w:p>
    <w:p w14:paraId="311F7055" w14:textId="31EA3BAD" w:rsidR="009D5C33" w:rsidRDefault="00485A55" w:rsidP="009024E9">
      <w:pPr>
        <w:pStyle w:val="Body"/>
        <w:spacing w:after="0"/>
        <w:rPr>
          <w:rFonts w:ascii="Arial" w:hAnsi="Arial" w:cs="Arial"/>
          <w:b/>
          <w:sz w:val="22"/>
        </w:rPr>
      </w:pPr>
      <w:r>
        <w:rPr>
          <w:noProof/>
        </w:rPr>
        <w:lastRenderedPageBreak/>
        <w:drawing>
          <wp:inline distT="0" distB="0" distL="0" distR="0" wp14:anchorId="3B36316A" wp14:editId="0439D1C8">
            <wp:extent cx="5212080" cy="4191635"/>
            <wp:effectExtent l="0" t="0" r="7620" b="0"/>
            <wp:docPr id="1787012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4191635"/>
                    </a:xfrm>
                    <a:prstGeom prst="rect">
                      <a:avLst/>
                    </a:prstGeom>
                    <a:noFill/>
                    <a:ln>
                      <a:noFill/>
                    </a:ln>
                  </pic:spPr>
                </pic:pic>
              </a:graphicData>
            </a:graphic>
          </wp:inline>
        </w:drawing>
      </w:r>
    </w:p>
    <w:p w14:paraId="71360783" w14:textId="77777777" w:rsidR="00AF56F2" w:rsidRDefault="00485A55" w:rsidP="00AF56F2">
      <w:pPr>
        <w:pStyle w:val="Body"/>
        <w:spacing w:after="0"/>
      </w:pPr>
      <w:r>
        <w:rPr>
          <w:rStyle w:val="Strong"/>
        </w:rPr>
        <w:t>Figure 6.</w:t>
      </w:r>
      <w:r>
        <w:t xml:space="preserve"> BMP-2 expression in </w:t>
      </w:r>
      <w:r w:rsidRPr="00F05E57">
        <w:rPr>
          <w:rStyle w:val="Strong"/>
          <w:b w:val="0"/>
          <w:bCs w:val="0"/>
        </w:rPr>
        <w:t>fresh goat bone</w:t>
      </w:r>
      <w:r>
        <w:t xml:space="preserve"> stained using IHC. </w:t>
      </w:r>
      <w:r w:rsidRPr="00485A55">
        <w:rPr>
          <w:rStyle w:val="Strong"/>
          <w:b w:val="0"/>
          <w:bCs w:val="0"/>
        </w:rPr>
        <w:t>A</w:t>
      </w:r>
      <w:r w:rsidRPr="00485A55">
        <w:rPr>
          <w:rStyle w:val="Strong"/>
        </w:rPr>
        <w:t>.</w:t>
      </w:r>
      <w:r w:rsidRPr="00485A55">
        <w:t xml:space="preserve"> Fresh bone showing </w:t>
      </w:r>
      <w:r>
        <w:t>intense</w:t>
      </w:r>
      <w:r w:rsidRPr="00485A55">
        <w:t xml:space="preserve"> brown staining, indicating BMP-2 expression in</w:t>
      </w:r>
      <w:r>
        <w:t xml:space="preserve"> the </w:t>
      </w:r>
      <w:r w:rsidRPr="00485A55">
        <w:t>surrounding matrix.</w:t>
      </w:r>
      <w:r>
        <w:t xml:space="preserve">, </w:t>
      </w:r>
      <w:r w:rsidRPr="00485A55">
        <w:rPr>
          <w:rStyle w:val="Strong"/>
        </w:rPr>
        <w:t>B.</w:t>
      </w:r>
      <w:r w:rsidRPr="00485A55">
        <w:t xml:space="preserve"> Bone after 7 days of decellularization, showing moderate BMP-2 expression with slightly reduced</w:t>
      </w:r>
      <w:r>
        <w:t>.</w:t>
      </w:r>
      <w:r w:rsidRPr="00485A55">
        <w:t xml:space="preserve"> Intensity</w:t>
      </w:r>
      <w:r>
        <w:t xml:space="preserve">, </w:t>
      </w:r>
      <w:r w:rsidRPr="00485A55">
        <w:rPr>
          <w:rStyle w:val="Strong"/>
        </w:rPr>
        <w:t>C.</w:t>
      </w:r>
      <w:r w:rsidRPr="00485A55">
        <w:t xml:space="preserve"> Bone after 14 days of decellularization, with reduced BMP-2 expression and lighter brown staining</w:t>
      </w:r>
      <w:r>
        <w:t xml:space="preserve">, </w:t>
      </w:r>
      <w:r w:rsidRPr="00485A55">
        <w:rPr>
          <w:rStyle w:val="Strong"/>
        </w:rPr>
        <w:t>D.</w:t>
      </w:r>
      <w:r w:rsidRPr="00485A55">
        <w:t xml:space="preserve"> Bone after 25 days of decellularization, showing minimal BMP-2 expression, with very faint staining indicating </w:t>
      </w:r>
      <w:r>
        <w:t xml:space="preserve">a </w:t>
      </w:r>
      <w:r w:rsidRPr="00485A55">
        <w:t xml:space="preserve">significant reduction in BMP-2 production. </w:t>
      </w:r>
      <w:r w:rsidR="00AF56F2">
        <w:t xml:space="preserve">Scale bar=200 </w:t>
      </w:r>
      <w:r w:rsidR="00AF56F2">
        <w:rPr>
          <w:rFonts w:cs="Helvetica"/>
        </w:rPr>
        <w:t>µ</w:t>
      </w:r>
      <w:r w:rsidR="00AF56F2">
        <w:t>m</w:t>
      </w:r>
    </w:p>
    <w:p w14:paraId="7A3FFFD3" w14:textId="40CB2693" w:rsidR="009D5C33" w:rsidRPr="00485A55" w:rsidRDefault="009D5C33" w:rsidP="009024E9">
      <w:pPr>
        <w:pStyle w:val="Body"/>
        <w:spacing w:after="0"/>
      </w:pPr>
    </w:p>
    <w:p w14:paraId="109A8D2D" w14:textId="77777777" w:rsidR="00485A55" w:rsidRDefault="00485A55" w:rsidP="009024E9">
      <w:pPr>
        <w:pStyle w:val="Body"/>
        <w:spacing w:after="0"/>
        <w:rPr>
          <w:rFonts w:ascii="Arial" w:hAnsi="Arial" w:cs="Arial"/>
          <w:b/>
          <w:sz w:val="22"/>
        </w:rPr>
      </w:pPr>
    </w:p>
    <w:p w14:paraId="5F18FD13" w14:textId="5B6BFA0C" w:rsidR="00485A55" w:rsidRDefault="00485A55" w:rsidP="009024E9">
      <w:pPr>
        <w:pStyle w:val="Body"/>
        <w:spacing w:after="0"/>
        <w:rPr>
          <w:rFonts w:ascii="Arial" w:hAnsi="Arial" w:cs="Arial"/>
          <w:b/>
          <w:sz w:val="22"/>
        </w:rPr>
      </w:pPr>
      <w:r>
        <w:rPr>
          <w:noProof/>
        </w:rPr>
        <w:lastRenderedPageBreak/>
        <w:drawing>
          <wp:inline distT="0" distB="0" distL="0" distR="0" wp14:anchorId="10CF9DE7" wp14:editId="59FAC3E3">
            <wp:extent cx="5212080" cy="7268210"/>
            <wp:effectExtent l="0" t="0" r="7620" b="8890"/>
            <wp:docPr id="1482296580" name="Picture 5" descr="A graph of different colored rectangular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6580" name="Picture 5" descr="A graph of different colored rectangular shap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7268210"/>
                    </a:xfrm>
                    <a:prstGeom prst="rect">
                      <a:avLst/>
                    </a:prstGeom>
                    <a:noFill/>
                    <a:ln>
                      <a:noFill/>
                    </a:ln>
                  </pic:spPr>
                </pic:pic>
              </a:graphicData>
            </a:graphic>
          </wp:inline>
        </w:drawing>
      </w:r>
    </w:p>
    <w:p w14:paraId="1C79FE35" w14:textId="156CBC95" w:rsidR="003351DD" w:rsidRDefault="003351DD" w:rsidP="003351DD">
      <w:pPr>
        <w:pStyle w:val="Body"/>
        <w:spacing w:after="0"/>
      </w:pPr>
      <w:r w:rsidRPr="003351DD">
        <w:t>Figure 7.</w:t>
      </w:r>
      <w:r>
        <w:t xml:space="preserve"> Quantification of BMP-2 expression in goat bone samples after decellularization at different time points. </w:t>
      </w:r>
      <w:r w:rsidRPr="003351DD">
        <w:t>A. Graph showing the percentage area of BMP-2 expression in fresh bone and decellularized samples at 7, 14, and 25 days. The area of BMP-2 expression decreases significantly</w:t>
      </w:r>
      <w:r>
        <w:t xml:space="preserve"> (P &lt; 0.01) with increasing decellularization time</w:t>
      </w:r>
      <w:r w:rsidR="00AF56F2">
        <w:t xml:space="preserve">. B. Graph illustrating </w:t>
      </w:r>
      <w:r w:rsidR="00AF56F2">
        <w:lastRenderedPageBreak/>
        <w:t xml:space="preserve">the intensity of BMP-2 expression in the bone samples, with an insignificant decrease (P ≥ </w:t>
      </w:r>
      <w:r>
        <w:t>0.05)</w:t>
      </w:r>
      <w:r w:rsidRPr="003351DD">
        <w:t xml:space="preserve"> in</w:t>
      </w:r>
      <w:r>
        <w:t xml:space="preserve"> BMP-2</w:t>
      </w:r>
      <w:r w:rsidRPr="003351DD">
        <w:t xml:space="preserve"> intensity after 7, 14, and 25 days of decellularization, compared to fresh bone.</w:t>
      </w:r>
    </w:p>
    <w:p w14:paraId="3D748BAA" w14:textId="77777777" w:rsidR="00485A55" w:rsidRDefault="00485A55" w:rsidP="009024E9">
      <w:pPr>
        <w:pStyle w:val="Body"/>
        <w:spacing w:after="0"/>
        <w:rPr>
          <w:rFonts w:ascii="Arial" w:hAnsi="Arial" w:cs="Arial"/>
          <w:b/>
          <w:sz w:val="22"/>
        </w:rPr>
      </w:pPr>
    </w:p>
    <w:p w14:paraId="1D505A62" w14:textId="77D83A05" w:rsidR="009024E9" w:rsidRPr="009E6DCE" w:rsidRDefault="009024E9" w:rsidP="009024E9">
      <w:pPr>
        <w:pStyle w:val="Body"/>
        <w:spacing w:after="0"/>
        <w:rPr>
          <w:rFonts w:ascii="Arial" w:hAnsi="Arial" w:cs="Arial"/>
          <w:b/>
          <w:sz w:val="22"/>
        </w:rPr>
      </w:pPr>
      <w:r>
        <w:rPr>
          <w:rFonts w:ascii="Arial" w:hAnsi="Arial" w:cs="Arial"/>
          <w:b/>
          <w:sz w:val="22"/>
        </w:rPr>
        <w:t>3.2. Discussion</w:t>
      </w:r>
    </w:p>
    <w:p w14:paraId="0ABFEFC8" w14:textId="038C3A58" w:rsidR="002277C6" w:rsidRPr="002277C6" w:rsidRDefault="002277C6" w:rsidP="002277C6">
      <w:pPr>
        <w:pStyle w:val="Body"/>
        <w:spacing w:after="0"/>
      </w:pPr>
      <w:r w:rsidRPr="002277C6">
        <w:t>Bone defects resulting from trauma, degenerative diseases, or infections often require bone substitutes for successful healing. The body</w:t>
      </w:r>
      <w:r w:rsidR="002961C0">
        <w:t>'</w:t>
      </w:r>
      <w:r w:rsidRPr="002277C6">
        <w:t xml:space="preserve">s intrinsic regenerative capacity is limited for </w:t>
      </w:r>
      <w:r w:rsidR="002961C0">
        <w:t>significant</w:t>
      </w:r>
      <w:r w:rsidRPr="002277C6">
        <w:t xml:space="preserve"> bone defects</w:t>
      </w:r>
      <w:r w:rsidR="002961C0">
        <w:t>. While autografts remain the gold standard in clinical practice due to their high integration potential, their use is constrained by donor-site morbidity and the</w:t>
      </w:r>
      <w:r w:rsidRPr="002277C6">
        <w:t xml:space="preserve"> limited availability of grafts. As a result, alternative materials, such as xenografts, have gained attention. Among these alternatives, goat bone is a promising candidate due to its structural similarity to human bone, availability, and suitable size for specific anatomical sites. This study investigated the potential of goat bone as a xenograft material by examining its macroscopic morphology, biomechanical properties, </w:t>
      </w:r>
      <w:r w:rsidR="002961C0">
        <w:t>preservation of extracellular matrix (ECM), and expression of osteogenic markers</w:t>
      </w:r>
      <w:r w:rsidRPr="002277C6">
        <w:t xml:space="preserve"> following decellularization. </w:t>
      </w:r>
      <w:r w:rsidR="00365C0D" w:rsidRPr="00365C0D">
        <w:rPr>
          <w:highlight w:val="yellow"/>
        </w:rPr>
        <w:t>The</w:t>
      </w:r>
      <w:r w:rsidRPr="00365C0D">
        <w:rPr>
          <w:highlight w:val="yellow"/>
        </w:rPr>
        <w:t xml:space="preserve"> results</w:t>
      </w:r>
      <w:r w:rsidRPr="002277C6">
        <w:t xml:space="preserve"> indicate that decellularized goat bone preserves ECM integrity, maintains biomechanical properties, and retains some osteogenic potential, making it a suitable candidate for bone graft applications.</w:t>
      </w:r>
    </w:p>
    <w:p w14:paraId="4BB6E5A3" w14:textId="77777777" w:rsidR="002F4ED3" w:rsidRDefault="002F4ED3" w:rsidP="002277C6">
      <w:pPr>
        <w:pStyle w:val="Body"/>
        <w:spacing w:after="0"/>
      </w:pPr>
    </w:p>
    <w:p w14:paraId="0D21159F" w14:textId="224FDBC5" w:rsidR="002F4ED3" w:rsidRDefault="002277C6" w:rsidP="002277C6">
      <w:pPr>
        <w:pStyle w:val="Body"/>
        <w:spacing w:after="0"/>
      </w:pPr>
      <w:r w:rsidRPr="002277C6">
        <w:t>The macroscopic analysis of the bone samples demonstrated that decellularization effectively removed marrow and soft tissue from the bone while preserving the cortical bone structure. The whitish appearance of decellularized bone, as s</w:t>
      </w:r>
      <w:r w:rsidR="001E7EE1">
        <w:t>hown in Figure 3, indicates the successful removal of cellular components, which is crucial for</w:t>
      </w:r>
      <w:r w:rsidRPr="002277C6">
        <w:t xml:space="preserve"> reduc</w:t>
      </w:r>
      <w:r w:rsidR="002961C0">
        <w:t>ing</w:t>
      </w:r>
      <w:r w:rsidRPr="002277C6">
        <w:t xml:space="preserve"> immune rejection. The macroscopic preservation is essential for ensuring that the bone scaffold maintains its structural integrity and can integrate properly when used as a graft material. These results align with </w:t>
      </w:r>
      <w:r w:rsidR="002961C0">
        <w:t xml:space="preserve">those of </w:t>
      </w:r>
      <w:r w:rsidR="001E7EE1">
        <w:fldChar w:fldCharType="begin"/>
      </w:r>
      <w:r w:rsidR="001E7EE1">
        <w:instrText xml:space="preserve"> ADDIN ZOTERO_ITEM CSL_CITATION {"citationID":"L58KIzY6","properties":{"custom":"Wang et al. (2024)","formattedCitation":"Wang et al. (2024)","plainCitation":"Wang et al. (2024)","noteIndex":0},"citationItems":[{"id":4273,"uris":["http://zotero.org/users/6623320/items/BP4T52HL"],"itemData":{"id":4273,"type":"article-journal","abstract":"Due to the limited supply of autologous bone grafts, there is a need to develop more bone matrix materials to repair bone defects. Xenograft bone is expected to be used for clinical treatment due to its exact structural similarity to natural bone and its high biocompatibility. In this study, decellularized antler cancellous bone matrix (DACB) was first prepared, and then the extent of decellularization of DACB was verified by histological staining, which demonstrated that it retained the extracellular matrix (ECM). The bioactivity of DACB was assessed using C3H10T1/2 cells, revealing that DACB enhanced cell proliferation and facilitated cell adhesion and osteogenic differentiation. When evaluated by implanting DACB into nude mice, there were no signs of necrosis or inflammation in the epidermal tissues. The bone repair effect of DACB was verified in vivo using sika deer during the antler growth period as an animal model, and the molecular mechanisms of bone repair were further evaluated by transcriptomic analysis of the regenerated tissues. Our findings suggest that the low immunogenicity of DACB enhances the production of bone extracellular matrix components, leading to effective osseointegration between bone and DACB. This study provides a new reference for solving bone defects.","container-title":"Biomolecules","DOI":"10.3390/biom14080907","ISSN":"2218-273X","issue":"8","journalAbbreviation":"Biomolecules","language":"eng","note":"PMID: 39199295\nPMCID: PMC11353137","page":"907","source":"PubMed","title":"Decellularized Antler Cancellous Bone Matrix Material Can Serve as Potential Bone Tissue Scaffold","volume":"14","author":[{"family":"Wang","given":"Yusu"},{"family":"Zong","given":"Ying"},{"family":"Chen","given":"Weijia"},{"family":"Diao","given":"Naichao"},{"family":"Zhao","given":"Quanmin"},{"family":"Li","given":"Chunyi"},{"family":"Jia","given":"Boyin"},{"family":"Zhang","given":"Miao"},{"family":"Li","given":"Jianming"},{"family":"Zhao","given":"Yan"},{"family":"Du","given":"Rui"},{"family":"He","given":"Zhongmei"}],"issued":{"date-parts":[["2024",7,25]]}}}],"schema":"https://github.com/citation-style-language/schema/raw/master/csl-citation.json"} </w:instrText>
      </w:r>
      <w:r w:rsidR="001E7EE1">
        <w:fldChar w:fldCharType="separate"/>
      </w:r>
      <w:r w:rsidR="001E7EE1" w:rsidRPr="001E7EE1">
        <w:rPr>
          <w:rFonts w:cs="Helvetica"/>
        </w:rPr>
        <w:t>Wang et al. (2024)</w:t>
      </w:r>
      <w:r w:rsidR="001E7EE1">
        <w:fldChar w:fldCharType="end"/>
      </w:r>
      <w:r w:rsidR="001E7EE1">
        <w:t>,</w:t>
      </w:r>
      <w:r w:rsidR="002961C0">
        <w:t xml:space="preserve"> who observed a</w:t>
      </w:r>
      <w:r w:rsidRPr="002277C6">
        <w:t xml:space="preserve"> similar preservation of bone structure in decellularized porcine and bovine bones. Moreover, the dimensional measurements (Table 1) </w:t>
      </w:r>
      <w:r w:rsidR="002961C0">
        <w:t>indicated that decellularization did not result in</w:t>
      </w:r>
      <w:r w:rsidRPr="002277C6">
        <w:t xml:space="preserve"> significant deformation, suggesting that the decellularization protocol was successful in maintaining the physical integrity of the bone.</w:t>
      </w:r>
      <w:r w:rsidR="002F4ED3">
        <w:t xml:space="preserve"> </w:t>
      </w:r>
      <w:r w:rsidR="002F4ED3" w:rsidRPr="002F4ED3">
        <w:rPr>
          <w:highlight w:val="yellow"/>
        </w:rPr>
        <w:t>The findings of this study are in line with recent developments in implantable medical devices for bone regeneration. For example, composite materials combining biodegradable polymers and bioactive ceramics, such as poly-DL-lactide-co-</w:t>
      </w:r>
      <w:proofErr w:type="spellStart"/>
      <w:r w:rsidR="002F4ED3" w:rsidRPr="002F4ED3">
        <w:rPr>
          <w:highlight w:val="yellow"/>
        </w:rPr>
        <w:t>glycolide</w:t>
      </w:r>
      <w:proofErr w:type="spellEnd"/>
      <w:r w:rsidR="002F4ED3" w:rsidRPr="002F4ED3">
        <w:rPr>
          <w:highlight w:val="yellow"/>
        </w:rPr>
        <w:t xml:space="preserve"> (DLPLG) and beta-tricalcium phosphate (βTCP), have shown promising results in promoting osteoblast proliferation and attachment, indicating their suitability for bone graft applications </w:t>
      </w:r>
      <w:r w:rsidR="002F4ED3" w:rsidRPr="002F4ED3">
        <w:rPr>
          <w:highlight w:val="yellow"/>
        </w:rPr>
        <w:fldChar w:fldCharType="begin"/>
      </w:r>
      <w:r w:rsidR="002F4ED3" w:rsidRPr="002F4ED3">
        <w:rPr>
          <w:highlight w:val="yellow"/>
        </w:rPr>
        <w:instrText xml:space="preserve"> ADDIN ZOTERO_ITEM CSL_CITATION {"citationID":"aUveFcSN","properties":{"formattedCitation":"(Gavrilovic &amp; Gavrilovic, 2021)","plainCitation":"(Gavrilovic &amp; Gavrilovic, 2021)","noteIndex":0},"citationItems":[{"id":4322,"uris":["http://zotero.org/users/6623320/items/XDH4FGFB"],"itemData":{"id":4322,"type":"article-journal","container-title":"International Journal of Dental Research and Oral Health","ISSN":"3065-9906","issue":"2","language":"en","page":"1-9","title":"Bone-Grafting-with-a-New-Implantable-Medical-Device-Design-and-the-Biocompatibility","volume":"3","author":[{"family":"Gavrilovic","given":"Anka Letic"},{"family":"Gavrilovic","given":"Ivana"}],"issued":{"date-parts":[["2021"]]}}}],"schema":"https://github.com/citation-style-language/schema/raw/master/csl-citation.json"} </w:instrText>
      </w:r>
      <w:r w:rsidR="002F4ED3" w:rsidRPr="002F4ED3">
        <w:rPr>
          <w:highlight w:val="yellow"/>
        </w:rPr>
        <w:fldChar w:fldCharType="separate"/>
      </w:r>
      <w:r w:rsidR="002F4ED3" w:rsidRPr="002F4ED3">
        <w:rPr>
          <w:rFonts w:cs="Helvetica"/>
          <w:highlight w:val="yellow"/>
        </w:rPr>
        <w:t>(Gavrilovic &amp; Gavrilovic, 2021)</w:t>
      </w:r>
      <w:r w:rsidR="002F4ED3" w:rsidRPr="002F4ED3">
        <w:rPr>
          <w:highlight w:val="yellow"/>
        </w:rPr>
        <w:fldChar w:fldCharType="end"/>
      </w:r>
      <w:r w:rsidR="002F4ED3" w:rsidRPr="002F4ED3">
        <w:rPr>
          <w:highlight w:val="yellow"/>
        </w:rPr>
        <w:t>.</w:t>
      </w:r>
    </w:p>
    <w:p w14:paraId="7C55D7AC" w14:textId="77777777" w:rsidR="002961C0" w:rsidRPr="002277C6" w:rsidRDefault="002961C0" w:rsidP="002277C6">
      <w:pPr>
        <w:pStyle w:val="Body"/>
        <w:spacing w:after="0"/>
      </w:pPr>
    </w:p>
    <w:p w14:paraId="43D2D1F0" w14:textId="781FC10A" w:rsidR="002277C6" w:rsidRDefault="002277C6" w:rsidP="002277C6">
      <w:pPr>
        <w:pStyle w:val="Body"/>
        <w:spacing w:after="0"/>
      </w:pPr>
      <w:r w:rsidRPr="002277C6">
        <w:t xml:space="preserve">Regarding biomechanical properties, we found a slight increase in tensile strength after decellularization, particularly at 14 days (Table 2). This increase, though statistically insignificant (p = 0.154), suggests that decellularization may enhance </w:t>
      </w:r>
      <w:r w:rsidR="002961C0">
        <w:t>specific</w:t>
      </w:r>
      <w:r w:rsidRPr="002277C6">
        <w:t xml:space="preserve"> biomechanical properties. </w:t>
      </w:r>
      <w:r w:rsidR="003F376D" w:rsidRPr="003F376D">
        <w:rPr>
          <w:highlight w:val="yellow"/>
        </w:rPr>
        <w:t>This finding is significant because the biomechanical performance of a bone graft is critical to ensure its ability to withstand physiological loads after implantation. Maintaining tensile strength is essential for the scaffold to support cell proliferation, vascularization, and early weight-bearing without failure</w:t>
      </w:r>
      <w:r w:rsidR="003F376D">
        <w:t xml:space="preserve">. </w:t>
      </w:r>
      <w:r w:rsidRPr="002277C6">
        <w:t>A similar trend was observed by</w:t>
      </w:r>
      <w:r w:rsidR="001E7EE1">
        <w:t xml:space="preserve"> </w:t>
      </w:r>
      <w:r w:rsidR="001E7EE1">
        <w:fldChar w:fldCharType="begin"/>
      </w:r>
      <w:r w:rsidR="001E7EE1">
        <w:instrText xml:space="preserve"> ADDIN ZOTERO_ITEM CSL_CITATION {"citationID":"krXT1Tjs","properties":{"custom":"Emami et al. (2020)","formattedCitation":"Emami et al. (2020)","plainCitation":"Emami et al. (2020)","noteIndex":0},"citationItems":[{"id":4276,"uris":["http://zotero.org/users/6623320/items/4Y9KHWJ5"],"itemData":{"id":4276,"type":"article-journal","abstract":"Abstract\n            \n              Background\n              Extracellular vesicles (ECV) and bone extracellular matrix (ECM) have beneficial effects on the treatment of some pathological conditions. The purpose of this study was to find the synergic effects of decellularized bone (DB) ECM and ECVs on the repair of rabbit.\n            \n            \n              Methods\n              The quality of decellularized sheep bones was confirmed by H&amp;E, Hoechst, DNA quantification, immunohistochemistry, histochemical staining, and scanning electron microscopy (SEM). Osteoblast-derived ECVs were evaluated by internalization test, Transmission electron microscopy, Dynamic light scattering, and flow cytometry for CD9, CD63, CD81 markers. The hydrogel containing DB and hydroxyapatite (HA) with or without ECVs was evaluated for osteoblast functions and bone repair both in vitro and in vivo.\n            \n            \n              Results\n              The data indicated ECM preservation after decellularization as well as cell depletion. In vitro assessments revealed that mineralization and alkaline phosphatase activity did not improve after treatment of MG63 cells by ECVs, while in vivo morphomatrical estimations showed synergic effects of ECVs and DB + HA hydrogels on increasing the number of bone-specific cells and vessel and bone area compared to the control, DB + HA and ECV-treated groups.\n            \n            \n              Conclusions\n              The DB enriched with ECVs can be an ideal scaffold for bone tissue engineering and may provide a suitable niche for bone cell migration and differentiation.","container-title":"Journal of Translational Medicine","DOI":"10.1186/s12967-020-02525-3","ISSN":"1479-5876","issue":"1","journalAbbreviation":"J Transl Med","language":"en","page":"361","source":"DOI.org (Crossref)","title":"Synergic effects of decellularized bone matrix, hydroxyapatite, and extracellular vesicles on repairing of the rabbit mandibular bone defect model","volume":"18","author":[{"family":"Emami","given":"Asrin"},{"family":"Talaei-Khozani","given":"Tahereh"},{"family":"Tavanafar","given":"Saeid"},{"family":"Zareifard","given":"Nehleh"},{"family":"Azarpira","given":"Negar"},{"family":"Vojdani","given":"Zahra"}],"issued":{"date-parts":[["2020",12]]}}}],"schema":"https://github.com/citation-style-language/schema/raw/master/csl-citation.json"} </w:instrText>
      </w:r>
      <w:r w:rsidR="001E7EE1">
        <w:fldChar w:fldCharType="separate"/>
      </w:r>
      <w:r w:rsidR="001E7EE1" w:rsidRPr="001E7EE1">
        <w:rPr>
          <w:rFonts w:cs="Helvetica"/>
        </w:rPr>
        <w:t>Emami et al. (2020)</w:t>
      </w:r>
      <w:r w:rsidR="001E7EE1">
        <w:fldChar w:fldCharType="end"/>
      </w:r>
      <w:r w:rsidRPr="002277C6">
        <w:t xml:space="preserve">, who reported that decellularization in bovine bone scaffolds led to improved biomechanical strength, which is crucial for their application in bone regeneration. However, extended decellularization times, especially beyond 14 days, led to slight reductions in tensile strength, likely due to degradation of the ECM (as seen in the 25-day group). </w:t>
      </w:r>
      <w:r w:rsidR="003F376D" w:rsidRPr="003F376D">
        <w:rPr>
          <w:highlight w:val="yellow"/>
        </w:rPr>
        <w:t>This result also suggests a trade-off between sufficient cell removal and the preservation of mechanical integrity, emphasizing the need to optimize decellularization protocols for functional bone grafts.</w:t>
      </w:r>
      <w:r w:rsidR="003F376D">
        <w:t xml:space="preserve"> </w:t>
      </w:r>
      <w:r w:rsidRPr="002277C6">
        <w:t>The fact that we did not observe a significant loss of tensile strength suggests that the decellularization protocol used in this study is effective in preserving the mechanical integrity of the bone for clinical applications.</w:t>
      </w:r>
      <w:r w:rsidR="003F376D">
        <w:t xml:space="preserve"> </w:t>
      </w:r>
    </w:p>
    <w:p w14:paraId="55AC8A31" w14:textId="77777777" w:rsidR="002F4ED3" w:rsidRDefault="002F4ED3" w:rsidP="002277C6">
      <w:pPr>
        <w:pStyle w:val="Body"/>
        <w:spacing w:after="0"/>
      </w:pPr>
    </w:p>
    <w:p w14:paraId="132E027B" w14:textId="3AD5F390" w:rsidR="002F4ED3" w:rsidRDefault="002F4ED3" w:rsidP="002277C6">
      <w:pPr>
        <w:pStyle w:val="Body"/>
        <w:spacing w:after="0"/>
      </w:pPr>
      <w:r w:rsidRPr="002F4ED3">
        <w:rPr>
          <w:highlight w:val="yellow"/>
        </w:rPr>
        <w:t xml:space="preserve">The trend in tensile strength shows an initial increase up to 14 days of immersion (Table 2), followed by a slight decline after prolonged exposure. This pattern reflects the relationship </w:t>
      </w:r>
      <w:r w:rsidRPr="002F4ED3">
        <w:rPr>
          <w:highlight w:val="yellow"/>
        </w:rPr>
        <w:lastRenderedPageBreak/>
        <w:t xml:space="preserve">between collagen integrity and mechanical performance, as the ECM remains preserved mainly during the early phase but begins to degrade with extended immersion. The peak in strength likely results from the removal of cellular material, reducing internal stress, while the subsequent decline corresponds to collagen degradation, highlighting the need to balance effective decellularization with ECM preservation to maintain biomechanical integrity </w:t>
      </w:r>
      <w:r w:rsidRPr="002F4ED3">
        <w:rPr>
          <w:highlight w:val="yellow"/>
        </w:rPr>
        <w:fldChar w:fldCharType="begin"/>
      </w:r>
      <w:r w:rsidRPr="002F4ED3">
        <w:rPr>
          <w:highlight w:val="yellow"/>
        </w:rPr>
        <w:instrText xml:space="preserve"> ADDIN ZOTERO_ITEM CSL_CITATION {"citationID":"MWkCaVur","properties":{"formattedCitation":"(Nyman &amp; Makowski, 2012)","plainCitation":"(Nyman &amp; Makowski, 2012)","noteIndex":0},"citationItems":[{"id":4324,"uris":["http://zotero.org/users/6623320/items/TWK95MFB"],"itemData":{"id":4324,"type":"article-journal","abstract":"The likelihood of suffering a bone fracture is not solely predicated on areal bone mineral density. As people age, there are numerous changes to the skeleton occurring at multiple length scales (from millimeters to submicron scales) that reduce the ability of bone to resist fracture. Herein is a review of the current knowledge about the role of the extracellular matrix (ECM) in this resistance, with emphasis on engineering principles that characterize fracture resistance beyond bone strength to include bone toughness and fracture toughness. These measurements of the capacity to dissipate energy and to resist crack propagation during failure precipitously decline with age. An age-related loss in collagen integrity is strongly associated with decreases in these mechanical properties. One potential cause for this deleterious change in the ECM is an increase in advanced glycation end products, which accumulate with aging through nonenzymatic collagen crosslinking. Potential regulators and diagnostic tools of the ECM with respect to fracture resistance are also discussed.","container-title":"Current Osteoporosis Reports","DOI":"10.1007/s11914-012-0101-8","ISSN":"1544-2241","issue":"2","journalAbbreviation":"Curr Osteoporos Rep","language":"eng","note":"PMID: 22527725\nPMCID: PMC7980275","page":"169-177","source":"PubMed","title":"The contribution of the extracellular matrix to the fracture resistance of bone","volume":"10","author":[{"family":"Nyman","given":"Jeffry S."},{"family":"Makowski","given":"Alexander J."}],"issued":{"date-parts":[["2012",6]]}}}],"schema":"https://github.com/citation-style-language/schema/raw/master/csl-citation.json"} </w:instrText>
      </w:r>
      <w:r w:rsidRPr="002F4ED3">
        <w:rPr>
          <w:highlight w:val="yellow"/>
        </w:rPr>
        <w:fldChar w:fldCharType="separate"/>
      </w:r>
      <w:r w:rsidRPr="002F4ED3">
        <w:rPr>
          <w:rFonts w:cs="Helvetica"/>
          <w:highlight w:val="yellow"/>
        </w:rPr>
        <w:t>(Nyman &amp; Makowski, 2012)</w:t>
      </w:r>
      <w:r w:rsidRPr="002F4ED3">
        <w:rPr>
          <w:highlight w:val="yellow"/>
        </w:rPr>
        <w:fldChar w:fldCharType="end"/>
      </w:r>
      <w:r w:rsidRPr="002F4ED3">
        <w:rPr>
          <w:highlight w:val="yellow"/>
        </w:rPr>
        <w:t>. However, we acknowledge the limitations of our study, which prevented us from providing strain data and biomechanical stress-strain graphs due to the limitations of the tensile machine to explore this trend further.</w:t>
      </w:r>
    </w:p>
    <w:p w14:paraId="76F27C31" w14:textId="77777777" w:rsidR="002961C0" w:rsidRPr="002277C6" w:rsidRDefault="002961C0" w:rsidP="002277C6">
      <w:pPr>
        <w:pStyle w:val="Body"/>
        <w:spacing w:after="0"/>
      </w:pPr>
    </w:p>
    <w:p w14:paraId="09CCC0BB" w14:textId="1A74315D" w:rsidR="002277C6" w:rsidRDefault="002277C6" w:rsidP="002277C6">
      <w:pPr>
        <w:pStyle w:val="Body"/>
        <w:spacing w:after="0"/>
      </w:pPr>
      <w:r w:rsidRPr="002277C6">
        <w:t>The extracellular matrix (ECM) analysis</w:t>
      </w:r>
      <w:r w:rsidR="002961C0">
        <w:t>, performed using Masson's Trichrome staining (Figure 4),</w:t>
      </w:r>
      <w:r w:rsidRPr="002277C6">
        <w:t xml:space="preserve"> revealed the extent of collagen preservation during the decellularization process. In fresh bone (Figure 4A), the ECM was dense with well-preserved collagen fibers. After decellularization, we observed a gradual reduction in the ECM</w:t>
      </w:r>
      <w:r w:rsidR="002961C0">
        <w:t>'</w:t>
      </w:r>
      <w:r w:rsidRPr="002277C6">
        <w:t xml:space="preserve">s density and collagen content, particularly at 14 and 25 days of decellularization (Figures 4B–D). Figure 5 quantifies this reduction, showing a significant decline in both the intensity and area of blue staining in the decellularized bone, especially in the 25-day group. This decline in ECM preservation after prolonged decellularization is consistent with other studies, such as </w:t>
      </w:r>
      <w:r w:rsidR="002961C0">
        <w:t xml:space="preserve">those by </w:t>
      </w:r>
      <w:r w:rsidR="001E7EE1">
        <w:fldChar w:fldCharType="begin"/>
      </w:r>
      <w:r w:rsidR="003F376D">
        <w:instrText xml:space="preserve"> ADDIN ZOTERO_ITEM CSL_CITATION {"citationID":"E4XoXIo2","properties":{"custom":"Bracey et al. (2019)","formattedCitation":"Bracey et al. (2019)","plainCitation":"Bracey et al. (2019)","noteIndex":0},"citationItems":[{"id":4287,"uris":["http://zotero.org/users/6623320/items/JLRH5H56"],"itemData":{"id":4287,"type":"article-journal","abstract":"Bone grafting is the second most common tissue transplantation procedure worldwide. One of the alternative methods for bone repair under investigation is a tissue-engineered bone substitute. An ideal property of tissue-engineered bone substitutes is osteoinductivity, defined as the ability to stimulate primitive cells to differentiate into a bone-forming lineage. In the current study, we use a decellularization and oxidation protocol to produce a porcine bone scaffold and examine whether it possesses osteoinductive potential and can be used to create a tissue-engineered bone microenvironment. The decellularization protocol was patented by our lab and consists of chemical decellularization and oxidation steps using combinations of deionized water, trypsin, antimicrobials, peracetic acid, and triton-X100. To test if the bone scaffold was a viable host, preosteoblasts were seeded and analyzed for markers of osteogenic differentiation. The osteoinductive potential was observed in vitro with similar osteogenic markers being expressed in preosteoblasts seeded on the scaffolds and demineralized bone matrix. To assess these properties in vivo, scaffolds with and without preosteoblasts preseeded were subcutaneously implanted in mice for 4 weeks. MicroCT scanning revealed 1.6-fold increased bone volume to total volume ratio and 1.4-fold increase in trabecular thickness in scaffolds after implantation. The histological analysis demonstrates new bone formation and blood vessel formation with pentachrome staining demonstrating osteogenesis and angiogenesis, respectively, within the scaffold. Furthermore, CD31+ staining confirmed the endothelial lining of the blood vessels. These results demonstrate that porcine bone maintains its osteoinductive properties after the application of a patented decellularization and oxidation protocol developed in our laboratory. Future work must be performed to definitively prove osteogenesis of human mesenchymal stem cells, biocompatibility in large animal models, and osteoinduction/osseointegration in a relevant clinical model in vivo. The ability to create a functional bone microenvironment using decellularized xenografts will impact regenerative medicine, orthopedic reconstruction, and could be used in the research of multiple diseases.","container-title":"Cells, Tissues, Organs","DOI":"10.1159/000503280","ISSN":"1422-6421","issue":"2","journalAbbreviation":"Cells Tissues Organs","language":"eng","note":"PMID: 31655811\nPMCID: PMC6935535","page":"97-113","source":"PubMed","title":"Investigating the Osteoinductive Potential of a Decellularized Xenograft Bone Substitute","volume":"207","author":[{"family":"Bracey","given":"Daniel N."},{"family":"Jinnah","given":"Alexander H."},{"family":"Willey","given":"Jeffrey S."},{"family":"Seyler","given":"Thorsten M."},{"family":"Hutchinson","given":"Ian D."},{"family":"Whitlock","given":"Patrick W."},{"family":"Smith","given":"Thomas L."},{"family":"Danelson","given":"Kerry A."},{"family":"Emory","given":"Cynthia L."},{"family":"Kerr","given":"Bethany A."}],"issued":{"date-parts":[["2019"]]}}}],"schema":"https://github.com/citation-style-language/schema/raw/master/csl-citation.json"} </w:instrText>
      </w:r>
      <w:r w:rsidR="001E7EE1">
        <w:fldChar w:fldCharType="separate"/>
      </w:r>
      <w:r w:rsidR="003F376D" w:rsidRPr="003F376D">
        <w:rPr>
          <w:rFonts w:cs="Helvetica"/>
        </w:rPr>
        <w:t>Bracey et al. (2019)</w:t>
      </w:r>
      <w:r w:rsidR="001E7EE1">
        <w:fldChar w:fldCharType="end"/>
      </w:r>
      <w:r w:rsidR="001E7EE1">
        <w:t>,</w:t>
      </w:r>
      <w:r w:rsidR="002961C0">
        <w:t xml:space="preserve"> who found that extended decellularization times led to a</w:t>
      </w:r>
      <w:r w:rsidRPr="002277C6">
        <w:t xml:space="preserve"> significant loss of ECM components in bovine and porcine bones, thereby limiting their use as scaffolds for bone regeneration. The preservation of ECM, </w:t>
      </w:r>
      <w:r w:rsidR="002961C0">
        <w:t>primari</w:t>
      </w:r>
      <w:r w:rsidRPr="002277C6">
        <w:t>ly collagen, is crucial for bone grafts because it provides the structural framework necessary for cell adhesion</w:t>
      </w:r>
      <w:r w:rsidR="002961C0">
        <w:t>, differentiation, and</w:t>
      </w:r>
      <w:r w:rsidRPr="002277C6">
        <w:t xml:space="preserve"> mechanical support.</w:t>
      </w:r>
    </w:p>
    <w:p w14:paraId="4C8338AB" w14:textId="77777777" w:rsidR="002961C0" w:rsidRPr="002277C6" w:rsidRDefault="002961C0" w:rsidP="002277C6">
      <w:pPr>
        <w:pStyle w:val="Body"/>
        <w:spacing w:after="0"/>
      </w:pPr>
    </w:p>
    <w:p w14:paraId="0F0A6DF3" w14:textId="6DF36947" w:rsidR="002277C6" w:rsidRPr="002277C6" w:rsidRDefault="002277C6" w:rsidP="002277C6">
      <w:pPr>
        <w:pStyle w:val="Body"/>
        <w:spacing w:after="0"/>
      </w:pPr>
      <w:r w:rsidRPr="002277C6">
        <w:t>The BMP-2 expression, a key marker for osteogenesis, was also assessed using immunohistochemistry (IHC). BMP-2 plays a critical role in osteoblast differentiation and bone regeneration. Figure 6 and Figure 7 show that BMP-2 expression was significantly reduced in decellularized bone samples, particularly after 25 days of decellularization. Fresh bone showed strong BMP-2 expression, especially in osteoblasts and surrounding areas (Figure 6A), which is consistent with the high osteogenic potential of native bone. After decellularization, however, the intensity of BMP-2 staining decreased, particularly in the 25-day decellularized group (Figure 6D). These findings are in agreement with studies by</w:t>
      </w:r>
      <w:r w:rsidR="001E7EE1">
        <w:t xml:space="preserve"> </w:t>
      </w:r>
      <w:r w:rsidR="00F05E57" w:rsidRPr="00F05E57">
        <w:rPr>
          <w:highlight w:val="yellow"/>
        </w:rPr>
        <w:fldChar w:fldCharType="begin"/>
      </w:r>
      <w:r w:rsidR="00F05E57" w:rsidRPr="00F05E57">
        <w:rPr>
          <w:highlight w:val="yellow"/>
        </w:rPr>
        <w:instrText xml:space="preserve"> ADDIN ZOTERO_ITEM CSL_CITATION {"citationID":"0hrRzfDC","properties":{"custom":"Gomes et al. (2025)","formattedCitation":"Gomes et al. (2025)","plainCitation":"Gomes et al. (2025)","noteIndex":0},"citationItems":[{"id":4296,"uris":["http://zotero.org/users/6623320/items/ZCXLJS2F"],"itemData":{"id":4296,"type":"article-journal","abstract":"Certain congenital or acquired diseases and defects such as tracheo-oesophageal fistula, tracheomalacia, tracheal stenosis, airway ischemia, infections, and tumours can cause damage to the trachea. Treatments available do not offer any permanent solutions. Moreover, long-segment defects in the trachea have no available surgical treatments. Tissue engineering has gained popularity in current regenerative medicine as a promising approach to bridge this gap. Among the various tissue engineering techniques, decellularization is a widely used approach that removes the cellular and nuclear contents from the tissue while preserving the native extracellular matrix components. The decellularized scaffolds exhibit significantly lower immunogenicity and retain the essential biomechanical and proangiogenic properties of native tissue, creating a foundation for trachea regeneration. The present review provides an overview of trachea decellularization advancements, exploring how recellularization approaches can be optimized by using various stem cells and tissue-specific cells to restore the scaffold's structure and function. We examine critical factors such as mechanical properties, revascularization, and immunogenicity involved in the transplantation of tissue-engineered grafts.","container-title":"Frontiers in Bioengineering and Biotechnology","DOI":"10.3389/fbioe.2025.1518905","ISSN":"2296-4185","journalAbbreviation":"Front Bioeng Biotechnol","language":"eng","note":"PMID: 40092377\nPMCID: PMC11906413","page":"1518905","source":"PubMed","title":"Decellularization techniques: unveiling the blueprint for tracheal tissue engineering","title-short":"Decellularization techniques","volume":"13","author":[{"family":"Gomes","given":"Keisha T."},{"family":"Prasad","given":"Palla Ranga"},{"family":"Sandhu","given":"Jagnoor Singh"},{"family":"Kumar","given":"Ashwini"},{"family":"Kumar","given":"Naveena A. N."},{"family":"Shridhar","given":"N. B."},{"family":"Bisht","given":"Bharti"},{"family":"Paul","given":"Manash K."}],"issued":{"date-parts":[["2025"]]}}}],"schema":"https://github.com/citation-style-language/schema/raw/master/csl-citation.json"} </w:instrText>
      </w:r>
      <w:r w:rsidR="00F05E57" w:rsidRPr="00F05E57">
        <w:rPr>
          <w:highlight w:val="yellow"/>
        </w:rPr>
        <w:fldChar w:fldCharType="separate"/>
      </w:r>
      <w:r w:rsidR="00F05E57" w:rsidRPr="00F05E57">
        <w:rPr>
          <w:rFonts w:cs="Helvetica"/>
          <w:highlight w:val="yellow"/>
        </w:rPr>
        <w:t>Gomes et al. (2025)</w:t>
      </w:r>
      <w:r w:rsidR="00F05E57" w:rsidRPr="00F05E57">
        <w:rPr>
          <w:highlight w:val="yellow"/>
        </w:rPr>
        <w:fldChar w:fldCharType="end"/>
      </w:r>
      <w:r w:rsidR="002F4ED3">
        <w:rPr>
          <w:highlight w:val="yellow"/>
        </w:rPr>
        <w:t>,</w:t>
      </w:r>
      <w:r w:rsidRPr="002277C6">
        <w:t xml:space="preserve"> who reported a reduction in BMP-2 expression in decellularized bone matrices, potentially due to the loss of osteoblasts, which are the primary producers of BMP-2. Despite the reduction in BMP-2 expression, faint BMP-2 staining was still observed in decellularized samples, suggesting that the preserved ECM may still support some osteogenic activity, even in the absence of high BMP-2 levels.</w:t>
      </w:r>
    </w:p>
    <w:p w14:paraId="3D56BFBB" w14:textId="77777777" w:rsidR="002961C0" w:rsidRDefault="002961C0" w:rsidP="002277C6">
      <w:pPr>
        <w:pStyle w:val="Body"/>
        <w:spacing w:after="0"/>
      </w:pPr>
    </w:p>
    <w:p w14:paraId="1E28B69B" w14:textId="6F4CD137" w:rsidR="002277C6" w:rsidRPr="002277C6" w:rsidRDefault="002277C6" w:rsidP="002277C6">
      <w:pPr>
        <w:pStyle w:val="Body"/>
        <w:spacing w:after="0"/>
      </w:pPr>
      <w:r w:rsidRPr="002277C6">
        <w:t xml:space="preserve">One of the key findings of this study is the effect of decellularization using SDS. Sodium Dodecyl Sulfate (SDS) has been widely used for decellularization due to its ability to break down cellular membranes, thereby removing cells while preserving the ECM. However, prolonged exposure to SDS can degrade ECM components, particularly collagen, which is critical for maintaining the mechanical properties and osteogenic potential of the scaffold </w:t>
      </w:r>
      <w:r w:rsidR="001E7EE1">
        <w:fldChar w:fldCharType="begin"/>
      </w:r>
      <w:r w:rsidR="001E7EE1">
        <w:instrText xml:space="preserve"> ADDIN ZOTERO_ITEM CSL_CITATION {"citationID":"Ab46ZwlW","properties":{"formattedCitation":"(Permata et al., 2012, 2025)","plainCitation":"(Permata et al., 2012, 2025)","noteIndex":0},"citationItems":[{"id":4191,"uris":["http://zotero.org/users/6623320/items/K5SYR3T8"],"itemData":{"id":4191,"type":"article-journal","abstract":"Animal graft tissue  (xenograft) was developed  to replace the limited supply of human graft tissue (allograft). Peripheral nerve graft tissue  is needed to replace  the damage. Swine is the most developed source of tissue donor for the preparation of acellular tissue because a lot of livestocks population and its extracellular matrix components similar to human collagen. Swine xenograft development would be an obstacle in Indonesia because of socio-cultural so that sheep used as swine donor replacement. Sheep cartilage tissue acellular induced less human inflammatory mediators than swine. Xenograft is necessary to decellularizebefore implantation into human that results in only extracellular matrix. However, decellularization process varies depending on the species and methods so that it is needed a preliminary study to get the best decellularization method for sheep peripheral nerve specimens. Five samples of sheep Ischiadicus  nerves were conducted decellularization various processes and one sample of fresh nerve (control). Decellularization methods were 24 hours shaking, tissue soaking and perfusion for both 14 days and 17 days, respectively. Decellularization solution was 0.1% SDS-EDTAin PBS. Post decellularization, samples were observed macroscopically, fixed, HE staining of histopathologic examination for microscopic examination. The data were analyzed descriptively. At the macroscopic observation of post decellularization tissue showed white, and samples of soaking method showed softer consistency than that of shaking and perfusion. Microscopic examination showed that samples were not being completed decellularization at shaking method. There was destruction of collagen fibers of perineurium and endoneurium in 17 days of soaking and perfusion methods, while 14 days soaking and perfusion methods showed that samples were being completed decellularization and both perineurium and endoneurium collagen were still good. Conclusion of this study is that 14 days soaking and perfusion decellularization methods are better than that of 24 hours shaking method and 17 days of soaking and perfusion methods for sheep decellularization peripheral nerve.","container-title":"Jurnal Sain Veteriner","DOI":"10.22146/jsv.2606","ISSN":"0126-0421, 2407-3733","issue":"20","journalAbbreviation":"JSV","page":"61-70","title":"Optimization of Tissue Decellularization Method Based on Macroscopic and Microscopic Observation in The Sheep Peripheral Nerves","volume":"30","author":[{"family":"Permata","given":"Fajar Shodiq"},{"family":"Susilowati","given":"Rina"},{"family":"Dharmastiti","given":"Rini"},{"family":"Sirat","given":"Muhammad Mirandy Pratama"},{"family":"Kartikasari","given":"Pipin Dwi"}],"issued":{"date-parts":[["2012"]]}},"label":"page"},{"id":4187,"uris":["http://zotero.org/users/6623320/items/WQK2MB2E"],"itemData":{"id":4187,"type":"article-journal","container-title":"Regenerative Engineering and Translational Medicine","DOI":"10.1007/s40883-025-00417-w","ISSN":"2364-4133, 2364-4141","journalAbbreviation":"Regen. Eng. Transl. Med.","language":"en","source":"DOI.org (Crossref)","title":"Antigen Removal Enhances Host Tolerance in Sheep-derived Xenogeneic Myocardial Scaffold: Modulating Acute and Chronic Inflammatory Responses in Mice","title-short":"Antigen Removal Enhances Host Tolerance in Sheep-derived Xenogeneic Myocardial Scaffold","URL":"https://link.springer.com/10.1007/s40883-025-00417-w","author":[{"family":"Permata","given":"Fajar Shodiq"},{"family":"Amri","given":"Indah Amalia"},{"family":"Nurmaningdyah","given":"Ajeng Aeka"},{"family":"Mahardika","given":"Fiktor"},{"family":"Budiarto","given":"Sonya"},{"family":"Vera","given":"Amelda Kurnia Esty"},{"family":"Yulian","given":"Bangun Dwi"}],"accessed":{"date-parts":[["2025",8,8]]},"issued":{"date-parts":[["2025",4,30]]}},"label":"page"}],"schema":"https://github.com/citation-style-language/schema/raw/master/csl-citation.json"} </w:instrText>
      </w:r>
      <w:r w:rsidR="001E7EE1">
        <w:fldChar w:fldCharType="separate"/>
      </w:r>
      <w:r w:rsidR="001E7EE1" w:rsidRPr="001E7EE1">
        <w:rPr>
          <w:rFonts w:cs="Helvetica"/>
        </w:rPr>
        <w:t>(Permata et al., 2012, 2025)</w:t>
      </w:r>
      <w:r w:rsidR="001E7EE1">
        <w:fldChar w:fldCharType="end"/>
      </w:r>
      <w:r w:rsidR="001E7EE1">
        <w:t>.</w:t>
      </w:r>
      <w:r w:rsidRPr="002277C6">
        <w:t xml:space="preserve"> In this study, 14 days of SDS immersion (0.1% concentration) resulted in optimal ECM preservation without significantly compromising the mechanical properties or </w:t>
      </w:r>
      <w:r w:rsidR="002961C0">
        <w:t>the expression of osteogenic markers</w:t>
      </w:r>
      <w:r w:rsidRPr="002277C6">
        <w:t>. These results align with findings from</w:t>
      </w:r>
      <w:r w:rsidR="001E7EE1">
        <w:t xml:space="preserve"> </w:t>
      </w:r>
      <w:r w:rsidR="001E7EE1">
        <w:fldChar w:fldCharType="begin"/>
      </w:r>
      <w:r w:rsidR="001E7EE1">
        <w:instrText xml:space="preserve"> ADDIN ZOTERO_ITEM CSL_CITATION {"citationID":"yVbBw3Fm","properties":{"custom":"Wang et al. (2024)","formattedCitation":"Wang et al. (2024)","plainCitation":"Wang et al. (2024)","noteIndex":0},"citationItems":[{"id":4273,"uris":["http://zotero.org/users/6623320/items/BP4T52HL"],"itemData":{"id":4273,"type":"article-journal","abstract":"Due to the limited supply of autologous bone grafts, there is a need to develop more bone matrix materials to repair bone defects. Xenograft bone is expected to be used for clinical treatment due to its exact structural similarity to natural bone and its high biocompatibility. In this study, decellularized antler cancellous bone matrix (DACB) was first prepared, and then the extent of decellularization of DACB was verified by histological staining, which demonstrated that it retained the extracellular matrix (ECM). The bioactivity of DACB was assessed using C3H10T1/2 cells, revealing that DACB enhanced cell proliferation and facilitated cell adhesion and osteogenic differentiation. When evaluated by implanting DACB into nude mice, there were no signs of necrosis or inflammation in the epidermal tissues. The bone repair effect of DACB was verified in vivo using sika deer during the antler growth period as an animal model, and the molecular mechanisms of bone repair were further evaluated by transcriptomic analysis of the regenerated tissues. Our findings suggest that the low immunogenicity of DACB enhances the production of bone extracellular matrix components, leading to effective osseointegration between bone and DACB. This study provides a new reference for solving bone defects.","container-title":"Biomolecules","DOI":"10.3390/biom14080907","ISSN":"2218-273X","issue":"8","journalAbbreviation":"Biomolecules","language":"eng","note":"PMID: 39199295\nPMCID: PMC11353137","page":"907","source":"PubMed","title":"Decellularized Antler Cancellous Bone Matrix Material Can Serve as Potential Bone Tissue Scaffold","volume":"14","author":[{"family":"Wang","given":"Yusu"},{"family":"Zong","given":"Ying"},{"family":"Chen","given":"Weijia"},{"family":"Diao","given":"Naichao"},{"family":"Zhao","given":"Quanmin"},{"family":"Li","given":"Chunyi"},{"family":"Jia","given":"Boyin"},{"family":"Zhang","given":"Miao"},{"family":"Li","given":"Jianming"},{"family":"Zhao","given":"Yan"},{"family":"Du","given":"Rui"},{"family":"He","given":"Zhongmei"}],"issued":{"date-parts":[["2024",7,25]]}}}],"schema":"https://github.com/citation-style-language/schema/raw/master/csl-citation.json"} </w:instrText>
      </w:r>
      <w:r w:rsidR="001E7EE1">
        <w:fldChar w:fldCharType="separate"/>
      </w:r>
      <w:r w:rsidR="001E7EE1" w:rsidRPr="001E7EE1">
        <w:rPr>
          <w:rFonts w:cs="Helvetica"/>
        </w:rPr>
        <w:t>Wang et al. (2024)</w:t>
      </w:r>
      <w:r w:rsidR="001E7EE1">
        <w:fldChar w:fldCharType="end"/>
      </w:r>
      <w:r w:rsidRPr="002277C6">
        <w:t>, who demonstrated that 14 days of decellularization is optimal for preserving ECM and maintaining biomechanical strength in bone scaffolds.</w:t>
      </w:r>
    </w:p>
    <w:p w14:paraId="1AF21C0C" w14:textId="7DFB0FCB" w:rsidR="002277C6" w:rsidRPr="002277C6" w:rsidRDefault="002277C6" w:rsidP="002277C6">
      <w:pPr>
        <w:pStyle w:val="Body"/>
        <w:spacing w:after="0"/>
      </w:pPr>
      <w:r w:rsidRPr="002277C6">
        <w:br/>
        <w:t xml:space="preserve">Despite the promising results, this study has some limitations. Firstly, BMP-2 expression was evaluated only using IHC, which provides qualitative data. </w:t>
      </w:r>
      <w:r w:rsidR="002961C0">
        <w:t>The</w:t>
      </w:r>
      <w:r w:rsidRPr="002277C6">
        <w:t xml:space="preserve"> studies should inc</w:t>
      </w:r>
      <w:r w:rsidR="002961C0">
        <w:t>orporate more quantitative analyses of osteogenic markers to gain a deeper understanding of</w:t>
      </w:r>
      <w:r w:rsidRPr="002277C6">
        <w:t xml:space="preserve"> the potential of decellularized goat bone as a bone graft material. Additionally, the immune response to decellularized goat bone was not evaluated in this study, which is crucial for </w:t>
      </w:r>
      <w:r w:rsidRPr="002277C6">
        <w:lastRenderedPageBreak/>
        <w:t>determining the clinical feasibility of using goat bone xenografts. The long-term stability and osteointegration of the decellularized bone scaffolds in vivo were also not tested, which are essential factors for assessing their potential clinical application.</w:t>
      </w:r>
      <w:r w:rsidR="002F4ED3">
        <w:t xml:space="preserve"> Moreover, the significance of preserving extracellular matrix (ECM), mainly collagen and </w:t>
      </w:r>
      <w:proofErr w:type="spellStart"/>
      <w:r w:rsidR="002F4ED3">
        <w:t>osteoinductive</w:t>
      </w:r>
      <w:proofErr w:type="spellEnd"/>
      <w:r w:rsidR="002F4ED3">
        <w:t xml:space="preserve"> proteins like BMP-2, resonates with previous findings that underscore the role of matrix-bound cytokines and growth factors in regulating bone healing and regeneration </w:t>
      </w:r>
      <w:r w:rsidR="002F4ED3">
        <w:fldChar w:fldCharType="begin"/>
      </w:r>
      <w:r w:rsidR="002F4ED3">
        <w:instrText xml:space="preserve"> ADDIN ZOTERO_ITEM CSL_CITATION {"citationID":"OGcLFcr7","properties":{"formattedCitation":"(Gavrilovic &amp; Gavrilovic, 2020)","plainCitation":"(Gavrilovic &amp; Gavrilovic, 2020)","noteIndex":0},"citationItems":[{"id":4320,"uris":["http://zotero.org/users/6623320/items/KAG4GARE"],"itemData":{"id":4320,"type":"article-journal","container-title":"EC Dental Science","issue":"4","language":"en","page":"17-19","source":"Zotero","title":"Cytokine’s and Growth Factors from Bone and Dentine Extracellular Matrix as Regulators of Bone Engineering","volume":"19","author":[{"family":"Gavrilovic","given":"Anka Letic"},{"family":"Gavrilovic","given":"Ivana"}],"issued":{"date-parts":[["2020"]]}}}],"schema":"https://github.com/citation-style-language/schema/raw/master/csl-citation.json"} </w:instrText>
      </w:r>
      <w:r w:rsidR="002F4ED3">
        <w:fldChar w:fldCharType="separate"/>
      </w:r>
      <w:r w:rsidR="002F4ED3" w:rsidRPr="002F4ED3">
        <w:rPr>
          <w:rFonts w:cs="Helvetica"/>
        </w:rPr>
        <w:t>(Gavrilovic &amp; Gavrilovic, 2020)</w:t>
      </w:r>
      <w:r w:rsidR="002F4ED3">
        <w:fldChar w:fldCharType="end"/>
      </w:r>
      <w:r w:rsidR="002F4ED3">
        <w:t>.</w:t>
      </w:r>
    </w:p>
    <w:p w14:paraId="7FD51C00" w14:textId="77777777" w:rsidR="002961C0" w:rsidRDefault="002961C0" w:rsidP="002277C6">
      <w:pPr>
        <w:pStyle w:val="Body"/>
        <w:spacing w:after="0"/>
      </w:pPr>
    </w:p>
    <w:p w14:paraId="552AB3A0" w14:textId="0438D424" w:rsidR="002277C6" w:rsidRPr="002277C6" w:rsidRDefault="002277C6" w:rsidP="002277C6">
      <w:pPr>
        <w:pStyle w:val="Body"/>
        <w:spacing w:after="0"/>
      </w:pPr>
      <w:r w:rsidRPr="002277C6">
        <w:t xml:space="preserve">Future studies should aim to optimize the decellularization protocol to enhance BMP-2 expression while preserving ECM integrity. In vivo studies are </w:t>
      </w:r>
      <w:r w:rsidR="002961C0">
        <w:t>crucial for evaluating</w:t>
      </w:r>
      <w:r w:rsidRPr="002277C6">
        <w:t xml:space="preserve"> the biocompatibility, immune response, and osteointegration of decellularized goat bone scaffolds. Furthermore, the long-term stability of the decellularized bone in clinical settings should be evaluated, as this will provide critical insights into the potential of goat bone as a xenograft bone material for orthopedic and reconstructive applications.</w:t>
      </w:r>
    </w:p>
    <w:p w14:paraId="5B8197FF" w14:textId="77777777" w:rsidR="00790ADA" w:rsidRPr="00FB3A86" w:rsidRDefault="00790ADA" w:rsidP="00441B6F">
      <w:pPr>
        <w:pStyle w:val="Body"/>
        <w:spacing w:after="0"/>
        <w:rPr>
          <w:rFonts w:ascii="Arial" w:hAnsi="Arial" w:cs="Arial"/>
        </w:rPr>
      </w:pPr>
    </w:p>
    <w:p w14:paraId="15B0FE6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21DB846" w14:textId="77777777" w:rsidR="00790ADA" w:rsidRPr="00FB3A86" w:rsidRDefault="00790ADA" w:rsidP="00441B6F">
      <w:pPr>
        <w:pStyle w:val="ConcHead"/>
        <w:spacing w:after="0"/>
        <w:jc w:val="both"/>
        <w:rPr>
          <w:rFonts w:ascii="Arial" w:hAnsi="Arial" w:cs="Arial"/>
        </w:rPr>
      </w:pPr>
    </w:p>
    <w:p w14:paraId="0A926849" w14:textId="5F3B5690" w:rsidR="00790ADA" w:rsidRDefault="00B415E0" w:rsidP="00441B6F">
      <w:pPr>
        <w:pStyle w:val="Body"/>
        <w:spacing w:after="0"/>
      </w:pPr>
      <w:r w:rsidRPr="00B415E0">
        <w:t>This study demonstrates that goat bone is a promising candidate for xenograft bone material, with the decellularization process effectively preserving the</w:t>
      </w:r>
      <w:r>
        <w:t xml:space="preserve"> </w:t>
      </w:r>
      <w:r w:rsidRPr="00B415E0">
        <w:t xml:space="preserve">ECM and biomechanical properties while removing cellular components. The SDS protocol used in this study, with a 14-day immersion time, was found to be optimal for maintaining collagen integrity and preserving the mechanical strength of the bone, making it a suitable scaffold for bone regeneration applications. While BMP-2 expression was significantly reduced following decellularization, the </w:t>
      </w:r>
      <w:r>
        <w:t>preservation of the ECM</w:t>
      </w:r>
      <w:r w:rsidRPr="00B415E0">
        <w:t xml:space="preserve"> provides a supportive environment for osteogenesis, suggesting that decellularized goat bone scaffolds can still facilitate bone healing.</w:t>
      </w:r>
    </w:p>
    <w:p w14:paraId="2B9C17A9" w14:textId="77777777" w:rsidR="00C63C84" w:rsidRPr="00B415E0" w:rsidRDefault="00C63C84" w:rsidP="00441B6F">
      <w:pPr>
        <w:pStyle w:val="Body"/>
        <w:spacing w:after="0"/>
      </w:pPr>
    </w:p>
    <w:p w14:paraId="730FAC47" w14:textId="5BFA7894" w:rsidR="00790ADA" w:rsidRPr="00FB3A86"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3B01FE70" w14:textId="12F80036" w:rsidR="00D571BB" w:rsidRDefault="00485A55" w:rsidP="00A0206A">
      <w:pPr>
        <w:pStyle w:val="Body"/>
        <w:spacing w:after="0"/>
        <w:rPr>
          <w:rFonts w:ascii="Arial" w:hAnsi="Arial" w:cs="Arial"/>
        </w:rPr>
      </w:pPr>
      <w:r>
        <w:t xml:space="preserve">The authors would like to thank the Faculty of Veterinary Medicine, </w:t>
      </w:r>
      <w:proofErr w:type="spellStart"/>
      <w:r>
        <w:t>Universitas</w:t>
      </w:r>
      <w:proofErr w:type="spellEnd"/>
      <w:r>
        <w:t xml:space="preserve"> </w:t>
      </w:r>
      <w:proofErr w:type="spellStart"/>
      <w:r>
        <w:t>Brawijaya</w:t>
      </w:r>
      <w:proofErr w:type="spellEnd"/>
      <w:r>
        <w:t xml:space="preserve">, for providing the grant for this research: the DPP SPP PKH UB 2014 for macroscopic characterization and mechanical strength testing, and the DPP SPP FKH UB 2015 for extracellular matrix characterization and BMP-2 expression. The authors also wish to thank the Material Testing Laboratory, Department of Mechanical Engineering, Faculty of Engineering, </w:t>
      </w:r>
      <w:proofErr w:type="spellStart"/>
      <w:r>
        <w:t>Universitas</w:t>
      </w:r>
      <w:proofErr w:type="spellEnd"/>
      <w:r>
        <w:t xml:space="preserve"> </w:t>
      </w:r>
      <w:proofErr w:type="spellStart"/>
      <w:r>
        <w:t>Brawijaya</w:t>
      </w:r>
      <w:proofErr w:type="spellEnd"/>
      <w:r>
        <w:t xml:space="preserve">, for providing tensile testing facilities; the Laboratory of Veterinary Histology, Faculty of Veterinary Medicine, </w:t>
      </w:r>
      <w:proofErr w:type="spellStart"/>
      <w:r>
        <w:t>Universitas</w:t>
      </w:r>
      <w:proofErr w:type="spellEnd"/>
      <w:r>
        <w:t xml:space="preserve"> </w:t>
      </w:r>
      <w:proofErr w:type="spellStart"/>
      <w:r>
        <w:t>Brawijaya</w:t>
      </w:r>
      <w:proofErr w:type="spellEnd"/>
      <w:r>
        <w:t>, for providing facilities for decellularization, decalcification, histological slide preparation, and Masson</w:t>
      </w:r>
      <w:r w:rsidR="002961C0">
        <w:t>'</w:t>
      </w:r>
      <w:r>
        <w:t xml:space="preserve">s Trichrome staining; and the Laboratory of Molecular Biology, Faculty of Medicine, </w:t>
      </w:r>
      <w:proofErr w:type="spellStart"/>
      <w:r>
        <w:t>Universitas</w:t>
      </w:r>
      <w:proofErr w:type="spellEnd"/>
      <w:r>
        <w:t xml:space="preserve"> </w:t>
      </w:r>
      <w:proofErr w:type="spellStart"/>
      <w:r>
        <w:t>Brawijaya</w:t>
      </w:r>
      <w:proofErr w:type="spellEnd"/>
      <w:r>
        <w:t>, for providing IHC staining facilities.</w:t>
      </w:r>
    </w:p>
    <w:p w14:paraId="7C8044D5" w14:textId="77777777" w:rsidR="00315186" w:rsidRPr="00315186" w:rsidRDefault="00315186" w:rsidP="00441B6F"/>
    <w:p w14:paraId="5FDD95FE"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52D0105B" w14:textId="77777777" w:rsidR="00860000" w:rsidRPr="00786D36" w:rsidRDefault="00860000" w:rsidP="00441B6F">
      <w:pPr>
        <w:pStyle w:val="ReferHead"/>
        <w:spacing w:after="0"/>
        <w:jc w:val="both"/>
        <w:rPr>
          <w:rFonts w:ascii="Arial" w:hAnsi="Arial" w:cs="Arial"/>
        </w:rPr>
      </w:pPr>
    </w:p>
    <w:p w14:paraId="13106028" w14:textId="6F1ACEF3" w:rsidR="00860000" w:rsidRPr="00A0206A" w:rsidRDefault="00E66E10" w:rsidP="00441B6F">
      <w:pPr>
        <w:pStyle w:val="ReferHead"/>
        <w:spacing w:after="0"/>
        <w:jc w:val="both"/>
        <w:rPr>
          <w:rFonts w:ascii="Arial" w:hAnsi="Arial" w:cs="Arial"/>
          <w:b w:val="0"/>
          <w:caps w:val="0"/>
          <w:sz w:val="20"/>
        </w:rPr>
      </w:pPr>
      <w:r w:rsidRPr="00A0206A">
        <w:rPr>
          <w:rFonts w:ascii="Arial" w:hAnsi="Arial" w:cs="Arial"/>
          <w:b w:val="0"/>
          <w:caps w:val="0"/>
          <w:sz w:val="20"/>
        </w:rPr>
        <w:t>Authors have declared that no competing interests exist.</w:t>
      </w:r>
    </w:p>
    <w:p w14:paraId="7645A3FD" w14:textId="77777777" w:rsidR="00371FB6" w:rsidRDefault="00371FB6" w:rsidP="00441B6F">
      <w:pPr>
        <w:pStyle w:val="ReferHead"/>
        <w:spacing w:after="0"/>
        <w:jc w:val="both"/>
        <w:rPr>
          <w:rFonts w:ascii="Arial" w:hAnsi="Arial" w:cs="Arial"/>
          <w:b w:val="0"/>
          <w:caps w:val="0"/>
          <w:sz w:val="20"/>
        </w:rPr>
      </w:pPr>
    </w:p>
    <w:p w14:paraId="68B1095C" w14:textId="33DE5D80" w:rsidR="00371FB6" w:rsidRDefault="00371FB6" w:rsidP="00441B6F">
      <w:pPr>
        <w:pStyle w:val="ReferHead"/>
        <w:spacing w:after="0"/>
        <w:jc w:val="both"/>
        <w:rPr>
          <w:rFonts w:ascii="Arial" w:hAnsi="Arial" w:cs="Arial"/>
          <w:bCs/>
        </w:rPr>
      </w:pPr>
      <w:r w:rsidRPr="00371FB6">
        <w:rPr>
          <w:rFonts w:ascii="Arial" w:hAnsi="Arial" w:cs="Arial"/>
          <w:bCs/>
        </w:rPr>
        <w:t>Authors</w:t>
      </w:r>
      <w:r w:rsidR="00322B6B">
        <w:rPr>
          <w:rFonts w:ascii="Arial" w:hAnsi="Arial" w:cs="Arial"/>
          <w:bCs/>
        </w:rPr>
        <w:t>'</w:t>
      </w:r>
      <w:r w:rsidRPr="00371FB6">
        <w:rPr>
          <w:rFonts w:ascii="Arial" w:hAnsi="Arial" w:cs="Arial"/>
          <w:bCs/>
        </w:rPr>
        <w:t xml:space="preserve"> Contributions</w:t>
      </w:r>
    </w:p>
    <w:p w14:paraId="6AC0F05A" w14:textId="308D70BB" w:rsidR="00371FB6" w:rsidRPr="00A0206A" w:rsidRDefault="00A0206A" w:rsidP="00441B6F">
      <w:pPr>
        <w:pStyle w:val="ReferHead"/>
        <w:spacing w:after="0"/>
        <w:jc w:val="both"/>
        <w:rPr>
          <w:rFonts w:ascii="Arial" w:hAnsi="Arial" w:cs="Arial"/>
          <w:b w:val="0"/>
          <w:caps w:val="0"/>
          <w:sz w:val="20"/>
        </w:rPr>
      </w:pPr>
      <w:r w:rsidRPr="00A0206A">
        <w:rPr>
          <w:rFonts w:ascii="Arial" w:hAnsi="Arial" w:cs="Arial"/>
          <w:b w:val="0"/>
          <w:caps w:val="0"/>
          <w:sz w:val="20"/>
        </w:rPr>
        <w:t xml:space="preserve">FSP </w:t>
      </w:r>
      <w:r>
        <w:rPr>
          <w:rFonts w:ascii="Arial" w:hAnsi="Arial" w:cs="Arial"/>
          <w:b w:val="0"/>
          <w:caps w:val="0"/>
          <w:sz w:val="20"/>
        </w:rPr>
        <w:t xml:space="preserve">designed the study, </w:t>
      </w:r>
      <w:r w:rsidR="00A528EF">
        <w:rPr>
          <w:rFonts w:ascii="Arial" w:hAnsi="Arial" w:cs="Arial"/>
          <w:b w:val="0"/>
          <w:caps w:val="0"/>
          <w:sz w:val="20"/>
        </w:rPr>
        <w:t xml:space="preserve">prepared the mechanical test, and wrote the manuscript. AWW prepared the decellularization and macroscopic analysis. HP prepared the decalcification and data analysis. DAOAP prepared the IHC staining and </w:t>
      </w:r>
      <w:r w:rsidR="009E0C71">
        <w:rPr>
          <w:rFonts w:ascii="Arial" w:hAnsi="Arial" w:cs="Arial"/>
          <w:b w:val="0"/>
          <w:caps w:val="0"/>
          <w:sz w:val="20"/>
        </w:rPr>
        <w:t>collected the data</w:t>
      </w:r>
      <w:r w:rsidR="00A528EF">
        <w:rPr>
          <w:rFonts w:ascii="Arial" w:hAnsi="Arial" w:cs="Arial"/>
          <w:b w:val="0"/>
          <w:caps w:val="0"/>
          <w:sz w:val="20"/>
        </w:rPr>
        <w:t>. APWM prepared the</w:t>
      </w:r>
      <w:r>
        <w:rPr>
          <w:rFonts w:ascii="Arial" w:hAnsi="Arial" w:cs="Arial"/>
          <w:b w:val="0"/>
          <w:caps w:val="0"/>
          <w:sz w:val="20"/>
        </w:rPr>
        <w:t xml:space="preserve"> </w:t>
      </w:r>
      <w:r w:rsidR="001D19E6">
        <w:rPr>
          <w:rFonts w:ascii="Arial" w:hAnsi="Arial" w:cs="Arial"/>
          <w:b w:val="0"/>
          <w:caps w:val="0"/>
          <w:sz w:val="20"/>
        </w:rPr>
        <w:lastRenderedPageBreak/>
        <w:t>Masson</w:t>
      </w:r>
      <w:r w:rsidR="00322B6B">
        <w:rPr>
          <w:rFonts w:ascii="Arial" w:hAnsi="Arial" w:cs="Arial"/>
          <w:b w:val="0"/>
          <w:caps w:val="0"/>
          <w:sz w:val="20"/>
        </w:rPr>
        <w:t>'</w:t>
      </w:r>
      <w:r w:rsidR="001D19E6">
        <w:rPr>
          <w:rFonts w:ascii="Arial" w:hAnsi="Arial" w:cs="Arial"/>
          <w:b w:val="0"/>
          <w:caps w:val="0"/>
          <w:sz w:val="20"/>
        </w:rPr>
        <w:t>s T</w:t>
      </w:r>
      <w:r>
        <w:rPr>
          <w:rFonts w:ascii="Arial" w:hAnsi="Arial" w:cs="Arial"/>
          <w:b w:val="0"/>
          <w:caps w:val="0"/>
          <w:sz w:val="20"/>
        </w:rPr>
        <w:t xml:space="preserve">richrome staining and </w:t>
      </w:r>
      <w:r w:rsidR="009E0C71">
        <w:rPr>
          <w:rFonts w:ascii="Arial" w:hAnsi="Arial" w:cs="Arial"/>
          <w:b w:val="0"/>
          <w:caps w:val="0"/>
          <w:sz w:val="20"/>
        </w:rPr>
        <w:t>collected the data</w:t>
      </w:r>
      <w:r>
        <w:rPr>
          <w:rFonts w:ascii="Arial" w:hAnsi="Arial" w:cs="Arial"/>
          <w:b w:val="0"/>
          <w:caps w:val="0"/>
          <w:sz w:val="20"/>
        </w:rPr>
        <w:t xml:space="preserve">. </w:t>
      </w:r>
      <w:r w:rsidRPr="00A0206A">
        <w:rPr>
          <w:rFonts w:ascii="Arial" w:hAnsi="Arial" w:cs="Arial"/>
          <w:b w:val="0"/>
          <w:caps w:val="0"/>
          <w:sz w:val="20"/>
        </w:rPr>
        <w:t>All authors read and approved the final manuscript</w:t>
      </w:r>
      <w:r>
        <w:rPr>
          <w:rFonts w:ascii="Arial" w:hAnsi="Arial" w:cs="Arial"/>
          <w:b w:val="0"/>
          <w:caps w:val="0"/>
          <w:sz w:val="20"/>
        </w:rPr>
        <w:t>.</w:t>
      </w:r>
    </w:p>
    <w:p w14:paraId="07B0DBCC" w14:textId="77777777" w:rsidR="005C784C" w:rsidRDefault="005C784C" w:rsidP="00441B6F">
      <w:pPr>
        <w:pStyle w:val="ReferHead"/>
        <w:spacing w:after="0"/>
        <w:jc w:val="both"/>
        <w:rPr>
          <w:rFonts w:ascii="Arial" w:hAnsi="Arial" w:cs="Arial"/>
          <w:b w:val="0"/>
          <w:caps w:val="0"/>
          <w:sz w:val="20"/>
        </w:rPr>
      </w:pPr>
    </w:p>
    <w:p w14:paraId="26ECC7ED" w14:textId="062F587B" w:rsidR="005C784C" w:rsidRDefault="005C784C" w:rsidP="00441B6F">
      <w:pPr>
        <w:pStyle w:val="ReferHead"/>
        <w:spacing w:after="0"/>
        <w:jc w:val="both"/>
        <w:rPr>
          <w:rFonts w:ascii="Arial" w:hAnsi="Arial" w:cs="Arial"/>
          <w:bCs/>
        </w:rPr>
      </w:pPr>
      <w:r>
        <w:rPr>
          <w:rFonts w:ascii="Arial" w:hAnsi="Arial" w:cs="Arial"/>
          <w:bCs/>
        </w:rPr>
        <w:t>Ethical approval</w:t>
      </w:r>
    </w:p>
    <w:p w14:paraId="64BE8605" w14:textId="77777777" w:rsidR="005C784C" w:rsidRPr="002B685A" w:rsidRDefault="005C784C" w:rsidP="00441B6F">
      <w:pPr>
        <w:pStyle w:val="ReferHead"/>
        <w:spacing w:after="0"/>
        <w:jc w:val="both"/>
        <w:rPr>
          <w:rFonts w:ascii="Arial" w:hAnsi="Arial" w:cs="Arial"/>
          <w:bCs/>
        </w:rPr>
      </w:pPr>
    </w:p>
    <w:p w14:paraId="0D2F3AAF" w14:textId="5F4E1AA9" w:rsidR="0041027F" w:rsidRPr="00A0206A" w:rsidRDefault="008671C6" w:rsidP="00441B6F">
      <w:pPr>
        <w:pStyle w:val="ReferHead"/>
        <w:spacing w:after="0"/>
        <w:jc w:val="both"/>
        <w:rPr>
          <w:rFonts w:ascii="Arial" w:hAnsi="Arial" w:cs="Arial"/>
          <w:b w:val="0"/>
          <w:caps w:val="0"/>
          <w:sz w:val="20"/>
        </w:rPr>
      </w:pPr>
      <w:r w:rsidRPr="00A0206A">
        <w:rPr>
          <w:rFonts w:ascii="Arial" w:hAnsi="Arial" w:cs="Arial"/>
          <w:b w:val="0"/>
          <w:caps w:val="0"/>
          <w:sz w:val="20"/>
        </w:rPr>
        <w:t xml:space="preserve">All experiments </w:t>
      </w:r>
      <w:r w:rsidR="009E0C71">
        <w:rPr>
          <w:rFonts w:ascii="Arial" w:hAnsi="Arial" w:cs="Arial"/>
          <w:b w:val="0"/>
          <w:caps w:val="0"/>
          <w:sz w:val="20"/>
        </w:rPr>
        <w:t>were conducted without direct animal involvement; the study only utilized goat bones</w:t>
      </w:r>
      <w:r w:rsidR="001D19E6">
        <w:rPr>
          <w:rFonts w:ascii="Arial" w:hAnsi="Arial" w:cs="Arial"/>
          <w:b w:val="0"/>
          <w:caps w:val="0"/>
          <w:sz w:val="20"/>
        </w:rPr>
        <w:t xml:space="preserve"> obtained from the</w:t>
      </w:r>
      <w:r w:rsidR="00A0206A">
        <w:rPr>
          <w:rFonts w:ascii="Arial" w:hAnsi="Arial" w:cs="Arial"/>
          <w:b w:val="0"/>
          <w:caps w:val="0"/>
          <w:sz w:val="20"/>
        </w:rPr>
        <w:t xml:space="preserve"> public market. We ordered the goat bone from </w:t>
      </w:r>
      <w:r w:rsidR="001D19E6">
        <w:rPr>
          <w:rFonts w:ascii="Arial" w:hAnsi="Arial" w:cs="Arial"/>
          <w:b w:val="0"/>
          <w:caps w:val="0"/>
          <w:sz w:val="20"/>
        </w:rPr>
        <w:t>the butcher, which was stored in the freezer for no</w:t>
      </w:r>
      <w:r w:rsidR="00A0206A">
        <w:rPr>
          <w:rFonts w:ascii="Arial" w:hAnsi="Arial" w:cs="Arial"/>
          <w:b w:val="0"/>
          <w:caps w:val="0"/>
          <w:sz w:val="20"/>
        </w:rPr>
        <w:t xml:space="preserve"> more than 8 hours. </w:t>
      </w:r>
    </w:p>
    <w:p w14:paraId="774A0D55" w14:textId="77777777" w:rsidR="00860000" w:rsidRDefault="00860000" w:rsidP="00441B6F">
      <w:pPr>
        <w:pStyle w:val="ReferHead"/>
        <w:spacing w:after="0"/>
        <w:jc w:val="both"/>
        <w:rPr>
          <w:rFonts w:ascii="Arial" w:hAnsi="Arial" w:cs="Arial"/>
        </w:rPr>
      </w:pPr>
    </w:p>
    <w:p w14:paraId="6EEE6DF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6E93852" w14:textId="77777777" w:rsidR="002F4ED3" w:rsidRPr="002F4ED3" w:rsidRDefault="001E7EE1"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fldChar w:fldCharType="begin"/>
      </w:r>
      <w:r w:rsidRPr="002F4ED3">
        <w:rPr>
          <w:rFonts w:ascii="Arial" w:hAnsi="Arial" w:cs="Arial"/>
          <w:b w:val="0"/>
          <w:caps w:val="0"/>
          <w:sz w:val="20"/>
        </w:rPr>
        <w:instrText xml:space="preserve"> ADDIN ZOTERO_BIBL {"uncited":[],"omitted":[],"custom":[]} CSL_BIBLIOGRAPHY </w:instrText>
      </w:r>
      <w:r w:rsidRPr="002F4ED3">
        <w:rPr>
          <w:rFonts w:ascii="Arial" w:hAnsi="Arial" w:cs="Arial"/>
          <w:b w:val="0"/>
          <w:caps w:val="0"/>
          <w:sz w:val="20"/>
        </w:rPr>
        <w:fldChar w:fldCharType="separate"/>
      </w:r>
      <w:r w:rsidR="002F4ED3" w:rsidRPr="002F4ED3">
        <w:rPr>
          <w:rFonts w:ascii="Arial" w:hAnsi="Arial" w:cs="Arial"/>
          <w:b w:val="0"/>
          <w:caps w:val="0"/>
          <w:sz w:val="20"/>
        </w:rPr>
        <w:t>Al Qabbani, A., Rani, K. G. A., Syarif, J., AlKawas, S., Sheikh Abdul Hamid, S., Samsudin, A. R., &amp; Azlina, A. (2023). Evaluation of decellularization process for developing osteogenic bovine cancellous bone scaffolds in-vitro. PLOS ONE, 18(4), e0283922. https://doi.org/10.1371/journal.pone.0283922</w:t>
      </w:r>
    </w:p>
    <w:p w14:paraId="4C22945B"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Amini, A. R., Laurencin, C. T., &amp; Nukavarapu, S. P. (2012). Bone tissue engineering: Recent advances and challenges. Critical Reviews in Biomedical Engineering, 40(5), 363–408. https://doi.org/10.1615/critrevbiomedeng.v40.i5.10</w:t>
      </w:r>
    </w:p>
    <w:p w14:paraId="65A2367B"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Amirazad, H., Dadashpour, M., &amp; Zarghami, N. (2022). Application of decellularized bone matrix as a bioscaffold in bone tissue engineering. Journal of Biological Engineering, 16(1), 1. https://doi.org/10.1186/s13036-021-00282-5</w:t>
      </w:r>
    </w:p>
    <w:p w14:paraId="1B10FB35"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Bracey, D. N., Jinnah, A. H., Willey, J. S., Seyler, T. M., Hutchinson, I. D., Whitlock, P. W., Smith, T. L., Danelson, K. A., Emory, C. L., &amp; Kerr, B. A. (2019). Investigating the Osteoinductive Potential of a Decellularized Xenograft Bone Substitute. Cells, Tissues, Organs, 207(2), 97–113. https://doi.org/10.1159/000503280</w:t>
      </w:r>
    </w:p>
    <w:p w14:paraId="7581D0A8"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Crapo, P. M., Gilbert, T. W., &amp; Badylak, S. F. (2011). An overview of tissue and whole organ decellularization processes. Biomaterials, 32(12), 3233–3243. https://doi.org/10.1016/j.biomaterials.2011.01.057</w:t>
      </w:r>
    </w:p>
    <w:p w14:paraId="102EA3E9"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Emami, A., Izadi, E., &amp; Oskouie, I. M. (2025). Preservation of extracellular matrix in decellularized bone scaffolds: Strategies, challenges, and future directions. Tissue and Cell, 97, 103047. https://doi.org/10.1016/j.tice.2025.103047</w:t>
      </w:r>
    </w:p>
    <w:p w14:paraId="6852E441"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Emami, A., Talaei-Khozani, T., Tavanafar, S., Zareifard, N., Azarpira, N., &amp; Vojdani, Z. (2020). Synergic effects of decellularized bone matrix, hydroxyapatite, and extracellular vesicles on repairing of the rabbit mandibular bone defect model. Journal of Translational Medicine, 18(1), 361. https://doi.org/10.1186/s12967-020-02525-3</w:t>
      </w:r>
    </w:p>
    <w:p w14:paraId="4F0B7DCF"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Gavrilovic, A. L., &amp; Gavrilovic, I. (2020). Cytokine’s and Growth Factors from Bone and Dentine Extracellular Matrix as Regulators of Bone Engineering. EC Dental Science, 19(4), 17–19.</w:t>
      </w:r>
    </w:p>
    <w:p w14:paraId="06E65322"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Gavrilovic, A. L., &amp; Gavrilovic, I. (2021). Bone-Grafting-with-a-New-Implantable-Medical-Device-Design-and-the-Biocompatibility. International Journal of Dental Research and Oral Health, 3(2), 1–9.</w:t>
      </w:r>
    </w:p>
    <w:p w14:paraId="4D0FE62A"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Giannoudis, P. V., Dinopoulos, H., &amp; Tsiridis, E. (2005). Bone substitutes: An update. Injury, 36(3), S20–S27. https://doi.org/10.1016/j.injury.2005.07.029</w:t>
      </w:r>
    </w:p>
    <w:p w14:paraId="75FDB68A"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Gomes, K. T., Prasad, P. R., Sandhu, J. S., Kumar, A., Kumar, N. A. N., Shridhar, N. B., Bisht, B., &amp; Paul, M. K. (2025). Decellularization techniques: Unveiling the blueprint for tracheal tissue engineering. Frontiers in Bioengineering and Biotechnology, 13, 1518905. https://doi.org/10.3389/fbioe.2025.1518905</w:t>
      </w:r>
    </w:p>
    <w:p w14:paraId="2150D1CF"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Malagón-Escandón, A., Hautefeuille, M., Jimenez-Díaz, E., Arenas-Alatorre, J., Saniger, J. M., Badillo-Ramírez, I., Vazquez, N., Piñón-Zarate, G., &amp; Castell-Rodríguez, A. (2021). Three-Dimensional Porous Scaffolds Derived from Bovine Cancellous Bone Matrix Promote Osteoinduction, Osteoconduction, and Osteogenesis. Polymers, 13(24), 4390. https://doi.org/10.3390/polym13244390</w:t>
      </w:r>
    </w:p>
    <w:p w14:paraId="348DA779"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Marraskuranto, E., Permata, F. S., Chasanah, E., Martosuyono, P., &amp; Ariyani, F. (2025). Immunos</w:t>
      </w:r>
      <w:bookmarkStart w:id="1" w:name="_GoBack"/>
      <w:bookmarkEnd w:id="1"/>
      <w:r w:rsidRPr="002F4ED3">
        <w:rPr>
          <w:rFonts w:ascii="Arial" w:hAnsi="Arial" w:cs="Arial"/>
          <w:b w:val="0"/>
          <w:caps w:val="0"/>
          <w:sz w:val="20"/>
        </w:rPr>
        <w:t xml:space="preserve">timulatory Activity without Pathological Effects of Fish Protein Hydrolysate </w:t>
      </w:r>
      <w:r w:rsidRPr="002F4ED3">
        <w:rPr>
          <w:rFonts w:ascii="Arial" w:hAnsi="Arial" w:cs="Arial"/>
          <w:b w:val="0"/>
          <w:caps w:val="0"/>
          <w:sz w:val="20"/>
        </w:rPr>
        <w:lastRenderedPageBreak/>
        <w:t>from Clarias Catfish. Journal of Pharmaceutical Innovation, 20(4), 149. https://doi.org/10.1007/s12247-025-10049-w</w:t>
      </w:r>
    </w:p>
    <w:p w14:paraId="395EAC6B"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Nie, Z., Wang, X., Ren, L., &amp; Kang, Y. (2020). Development of a decellularized porcine bone matrix for potential applications in bone tissue regeneration. Regenerative Medicine, 15(4), 1519–1534. https://doi.org/10.2217/rme-2019-0125</w:t>
      </w:r>
    </w:p>
    <w:p w14:paraId="00094816"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Nyman, J. S., &amp; Makowski, A. J. (2012). The contribution of the extracellular matrix to the fracture resistance of bone. Current Osteoporosis Reports, 10(2), 169–177. https://doi.org/10.1007/s11914-012-0101-8</w:t>
      </w:r>
    </w:p>
    <w:p w14:paraId="7F1F24D8"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Permata, F. S., Amri, I. A., Nurmaningdyah, A. A., Mahardika, F., Budiarto, S., Vera, A. K. E., &amp; Yulian, B. D. (2025). Antigen Removal Enhances Host Tolerance in Sheep-derived Xenogeneic Myocardial Scaffold: Modulating Acute and Chronic Inflammatory Responses in Mice. Regenerative Engineering and Translational Medicine. https://doi.org/10.1007/s40883-025-00417-w</w:t>
      </w:r>
    </w:p>
    <w:p w14:paraId="68D55CCB"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Permata, F. S., Paramanandi, D. A., Nobilla, N., Manalu, R. O., &amp; Amalia, R. (2024). The Use of Triton X-100 Absolute with Variations of Immersion Time in The Decellularization Process of Intestinal and Myocardial Xenograft. Jurnal Kedokteran Hewan, 18(2), 62–68. https://doi.org/10.21157/j.ked.hewan.v18i2.27712</w:t>
      </w:r>
    </w:p>
    <w:p w14:paraId="5C55B5A1"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Permata, F. S., Susilowati, R., Dharmastiti, R., Sirat, M. M. P., &amp; Kartikasari, P. D. (2012). Optimization of Tissue Decellularization Method Based on Macroscopic and Microscopic Observation in The Sheep Peripheral Nerves. Jurnal Sain Veteriner, 30(20), 61–70. https://doi.org/10.22146/jsv.2606</w:t>
      </w:r>
    </w:p>
    <w:p w14:paraId="5F25D22E"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Rougier, G., Maistriaux, L., Fievé, L., Xhema, D., Evrard, R., Manon, J., Olszewski, R., Szmytka, F., Thurieau, N., Boisson, J., Kadlub, N., Gianello, P., Behets, C., &amp; Lengelé, B. (2023). Decellularized vascularized bone grafts: A preliminary in vitro porcine model for bioengineered transplantable bone shafts. Frontiers in Bioengineering and Biotechnology, 10, 1003861. https://doi.org/10.3389/fbioe.2022.1003861</w:t>
      </w:r>
    </w:p>
    <w:p w14:paraId="48FD0FBE"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Sherman, K. M., Silveira, C. J., Yan, M., Yu, L., Leon, A., Klages, K., White, L. G., Smith, H. M., Wolff, S. M., Falck, A., Muneoka, K., Brunauer, R., Gaddy, D., Suva, L. J., &amp; Dawson, L. A. (2025). Male Down syndrome Ts65Dn mice have impaired bone regeneration. Bone, 192, 117374. https://doi.org/10.1016/j.bone.2024.117374</w:t>
      </w:r>
    </w:p>
    <w:p w14:paraId="2F51CE7B"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Sun, S.-X., Li, D., Yang, Y., Zheng, T.-H., &amp; Xiao, Z. (2025). Effect of decellularization protocols on the biomechanical properties of porcine ovarian extracellular matrix. Journal of Biomechanics, 190, 112877. https://doi.org/10.1016/j.jbiomech.2025.112877</w:t>
      </w:r>
    </w:p>
    <w:p w14:paraId="706B1215"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Wang, Y., Zong, Y., Chen, W., Diao, N., Zhao, Q., Li, C., Jia, B., Zhang, M., Li, J., Zhao, Y., Du, R., &amp; He, Z. (2024). Decellularized Antler Cancellous Bone Matrix Material Can Serve as Potential Bone Tissue Scaffold. Biomolecules, 14(8), 907. https://doi.org/10.3390/biom14080907</w:t>
      </w:r>
    </w:p>
    <w:p w14:paraId="56A1A1D2" w14:textId="77777777" w:rsidR="002F4ED3" w:rsidRPr="002F4ED3" w:rsidRDefault="002F4ED3" w:rsidP="002F4ED3">
      <w:pPr>
        <w:pStyle w:val="ReferHead"/>
        <w:spacing w:after="0"/>
        <w:ind w:left="567" w:hanging="567"/>
        <w:jc w:val="both"/>
        <w:rPr>
          <w:rFonts w:ascii="Arial" w:hAnsi="Arial" w:cs="Arial"/>
          <w:b w:val="0"/>
          <w:caps w:val="0"/>
          <w:sz w:val="20"/>
        </w:rPr>
      </w:pPr>
      <w:r w:rsidRPr="002F4ED3">
        <w:rPr>
          <w:rFonts w:ascii="Arial" w:hAnsi="Arial" w:cs="Arial"/>
          <w:b w:val="0"/>
          <w:caps w:val="0"/>
          <w:sz w:val="20"/>
        </w:rPr>
        <w:t>Xing, S., Liu, C., Xu, B., Chen, J., Yin, D., &amp; Zhang, C. (2014). Effects of various decellularization methods on histological and biomechanical properties of rabbit tendons. Experimental and Therapeutic Medicine, 8(2), 628–634. https://doi.org/10.3892/etm.2014.1742</w:t>
      </w:r>
    </w:p>
    <w:p w14:paraId="4BFE6358" w14:textId="58847CD8" w:rsidR="00790ADA" w:rsidRPr="001E7EE1" w:rsidRDefault="001E7EE1" w:rsidP="002F4ED3">
      <w:pPr>
        <w:pStyle w:val="ReferHead"/>
        <w:spacing w:after="0"/>
        <w:ind w:left="567" w:hanging="567"/>
        <w:jc w:val="both"/>
        <w:rPr>
          <w:rFonts w:ascii="Arial" w:hAnsi="Arial" w:cs="Arial"/>
          <w:sz w:val="20"/>
        </w:rPr>
      </w:pPr>
      <w:r w:rsidRPr="002F4ED3">
        <w:rPr>
          <w:rFonts w:ascii="Arial" w:hAnsi="Arial" w:cs="Arial"/>
          <w:b w:val="0"/>
          <w:caps w:val="0"/>
          <w:sz w:val="20"/>
        </w:rPr>
        <w:fldChar w:fldCharType="end"/>
      </w:r>
    </w:p>
    <w:p w14:paraId="42FDAE7A" w14:textId="77777777" w:rsidR="000D689F" w:rsidRPr="001E7EE1" w:rsidRDefault="000D689F" w:rsidP="001E7EE1">
      <w:pPr>
        <w:pStyle w:val="Body"/>
        <w:spacing w:after="0"/>
      </w:pPr>
    </w:p>
    <w:p w14:paraId="3E6500BA" w14:textId="6ACFBF6A" w:rsidR="004D4277" w:rsidRPr="001E7EE1" w:rsidRDefault="004D4277" w:rsidP="001E7EE1">
      <w:pPr>
        <w:pStyle w:val="Appendix"/>
        <w:spacing w:after="0"/>
        <w:jc w:val="both"/>
        <w:rPr>
          <w:rFonts w:ascii="Arial" w:hAnsi="Arial" w:cs="Arial"/>
          <w:b w:val="0"/>
          <w:sz w:val="20"/>
        </w:rPr>
        <w:sectPr w:rsidR="004D4277" w:rsidRPr="001E7EE1" w:rsidSect="000B1E33">
          <w:footerReference w:type="default" r:id="rId17"/>
          <w:type w:val="continuous"/>
          <w:pgSz w:w="12240" w:h="15840"/>
          <w:pgMar w:top="1440" w:right="2016" w:bottom="2016" w:left="2016" w:header="720" w:footer="1123" w:gutter="0"/>
          <w:lnNumType w:countBy="1" w:restart="continuous"/>
          <w:cols w:space="720"/>
          <w:docGrid w:linePitch="272"/>
        </w:sectPr>
      </w:pPr>
    </w:p>
    <w:p w14:paraId="43D9B450" w14:textId="77777777" w:rsidR="00B01FCD" w:rsidRPr="001E7EE1" w:rsidRDefault="00B01FCD" w:rsidP="001E7EE1">
      <w:pPr>
        <w:pStyle w:val="Appendix"/>
        <w:spacing w:after="0"/>
        <w:jc w:val="both"/>
        <w:rPr>
          <w:rFonts w:ascii="Arial" w:hAnsi="Arial" w:cs="Arial"/>
          <w:b w:val="0"/>
          <w:sz w:val="20"/>
        </w:rPr>
      </w:pPr>
    </w:p>
    <w:sectPr w:rsidR="00B01FCD" w:rsidRPr="001E7EE1"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660E1" w14:textId="77777777" w:rsidR="00E33576" w:rsidRDefault="00E33576" w:rsidP="00C37E61">
      <w:r>
        <w:separator/>
      </w:r>
    </w:p>
  </w:endnote>
  <w:endnote w:type="continuationSeparator" w:id="0">
    <w:p w14:paraId="3F99467D" w14:textId="77777777" w:rsidR="00E33576" w:rsidRDefault="00E3357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D4ACA" w14:textId="77777777" w:rsidR="009E048A" w:rsidRDefault="009E048A">
    <w:pPr>
      <w:pStyle w:val="Footer"/>
      <w:rPr>
        <w:rFonts w:ascii="Arial" w:hAnsi="Arial" w:cs="Arial"/>
        <w:sz w:val="16"/>
      </w:rPr>
    </w:pPr>
  </w:p>
  <w:p w14:paraId="53EADCF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42B77F8" w14:textId="77777777" w:rsidR="009E048A" w:rsidRDefault="009E048A">
    <w:pPr>
      <w:pStyle w:val="Footer"/>
      <w:rPr>
        <w:rFonts w:ascii="Arial" w:hAnsi="Arial" w:cs="Arial"/>
        <w:sz w:val="16"/>
      </w:rPr>
    </w:pPr>
  </w:p>
  <w:p w14:paraId="42A6648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9EE8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78A2C" w14:textId="77777777" w:rsidR="00E33576" w:rsidRDefault="00E33576" w:rsidP="00C37E61">
      <w:r>
        <w:separator/>
      </w:r>
    </w:p>
  </w:footnote>
  <w:footnote w:type="continuationSeparator" w:id="0">
    <w:p w14:paraId="0162A6A5" w14:textId="77777777" w:rsidR="00E33576" w:rsidRDefault="00E3357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36A07" w14:textId="77777777" w:rsidR="00296529" w:rsidRPr="00296529" w:rsidRDefault="00296529" w:rsidP="00296529">
    <w:pPr>
      <w:ind w:left="2160"/>
      <w:jc w:val="center"/>
      <w:rPr>
        <w:rFonts w:ascii="Times New Roman" w:eastAsia="Calibri" w:hAnsi="Times New Roman"/>
        <w:i/>
        <w:sz w:val="18"/>
        <w:szCs w:val="22"/>
      </w:rPr>
    </w:pPr>
  </w:p>
  <w:p w14:paraId="4C47415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4A2ACA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FC671C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B08142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FAA1E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2193B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F5B7BC3"/>
    <w:multiLevelType w:val="hybridMultilevel"/>
    <w:tmpl w:val="717C453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9C8535A"/>
    <w:multiLevelType w:val="multilevel"/>
    <w:tmpl w:val="F040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350D22"/>
    <w:multiLevelType w:val="multilevel"/>
    <w:tmpl w:val="213A1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0"/>
  </w:num>
  <w:num w:numId="31">
    <w:abstractNumId w:val="23"/>
  </w:num>
  <w:num w:numId="32">
    <w:abstractNumId w:val="1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yMTYzMDUzsTQ0sTBR0lEKTi0uzszPAykwNKwFAH8ZShctAAAA"/>
  </w:docVars>
  <w:rsids>
    <w:rsidRoot w:val="00AA6219"/>
    <w:rsid w:val="00000F8F"/>
    <w:rsid w:val="00030174"/>
    <w:rsid w:val="0004579C"/>
    <w:rsid w:val="00052AB1"/>
    <w:rsid w:val="00053B97"/>
    <w:rsid w:val="000767E7"/>
    <w:rsid w:val="000A47FA"/>
    <w:rsid w:val="000A65D3"/>
    <w:rsid w:val="000B1E33"/>
    <w:rsid w:val="000D689F"/>
    <w:rsid w:val="000E79E5"/>
    <w:rsid w:val="000E7B7B"/>
    <w:rsid w:val="000E7D62"/>
    <w:rsid w:val="00103357"/>
    <w:rsid w:val="00123C9F"/>
    <w:rsid w:val="00126190"/>
    <w:rsid w:val="00130F17"/>
    <w:rsid w:val="001320BF"/>
    <w:rsid w:val="00160861"/>
    <w:rsid w:val="001620DD"/>
    <w:rsid w:val="00163BC4"/>
    <w:rsid w:val="00170C4B"/>
    <w:rsid w:val="00191062"/>
    <w:rsid w:val="00192B72"/>
    <w:rsid w:val="001A29D8"/>
    <w:rsid w:val="001A5CAA"/>
    <w:rsid w:val="001B0427"/>
    <w:rsid w:val="001C4271"/>
    <w:rsid w:val="001D19E6"/>
    <w:rsid w:val="001D3A51"/>
    <w:rsid w:val="001D6A33"/>
    <w:rsid w:val="001E10D2"/>
    <w:rsid w:val="001E25B4"/>
    <w:rsid w:val="001E44FE"/>
    <w:rsid w:val="001E4A02"/>
    <w:rsid w:val="001E7EE1"/>
    <w:rsid w:val="00200595"/>
    <w:rsid w:val="00204835"/>
    <w:rsid w:val="00215D41"/>
    <w:rsid w:val="002277C6"/>
    <w:rsid w:val="00231920"/>
    <w:rsid w:val="0023195C"/>
    <w:rsid w:val="0024282C"/>
    <w:rsid w:val="002460DC"/>
    <w:rsid w:val="00250985"/>
    <w:rsid w:val="002556F6"/>
    <w:rsid w:val="00263BF2"/>
    <w:rsid w:val="00283105"/>
    <w:rsid w:val="00284C4C"/>
    <w:rsid w:val="00284CBD"/>
    <w:rsid w:val="00285A16"/>
    <w:rsid w:val="00286987"/>
    <w:rsid w:val="00287E68"/>
    <w:rsid w:val="002961C0"/>
    <w:rsid w:val="00296529"/>
    <w:rsid w:val="002B27FB"/>
    <w:rsid w:val="002B685A"/>
    <w:rsid w:val="002C57D2"/>
    <w:rsid w:val="002C62B7"/>
    <w:rsid w:val="002D6CE2"/>
    <w:rsid w:val="002E046B"/>
    <w:rsid w:val="002E0D56"/>
    <w:rsid w:val="002F4ED3"/>
    <w:rsid w:val="002F57E1"/>
    <w:rsid w:val="00311DDA"/>
    <w:rsid w:val="00315186"/>
    <w:rsid w:val="00322B6B"/>
    <w:rsid w:val="0033343E"/>
    <w:rsid w:val="003351DD"/>
    <w:rsid w:val="00345FC2"/>
    <w:rsid w:val="003512C2"/>
    <w:rsid w:val="00354D85"/>
    <w:rsid w:val="00361A25"/>
    <w:rsid w:val="00365C0D"/>
    <w:rsid w:val="00371FB6"/>
    <w:rsid w:val="003763C1"/>
    <w:rsid w:val="00376BBE"/>
    <w:rsid w:val="0039224F"/>
    <w:rsid w:val="003A43A4"/>
    <w:rsid w:val="003A7E18"/>
    <w:rsid w:val="003C4C86"/>
    <w:rsid w:val="003C6258"/>
    <w:rsid w:val="003D15E0"/>
    <w:rsid w:val="003D3708"/>
    <w:rsid w:val="003D66D7"/>
    <w:rsid w:val="003E1009"/>
    <w:rsid w:val="003E2904"/>
    <w:rsid w:val="003E3926"/>
    <w:rsid w:val="003F376D"/>
    <w:rsid w:val="00401927"/>
    <w:rsid w:val="0041027F"/>
    <w:rsid w:val="00412475"/>
    <w:rsid w:val="00421B7E"/>
    <w:rsid w:val="00423789"/>
    <w:rsid w:val="004347D1"/>
    <w:rsid w:val="00440F43"/>
    <w:rsid w:val="00441B6F"/>
    <w:rsid w:val="00446221"/>
    <w:rsid w:val="00447BC8"/>
    <w:rsid w:val="00450E62"/>
    <w:rsid w:val="004539DB"/>
    <w:rsid w:val="00471A80"/>
    <w:rsid w:val="00485A55"/>
    <w:rsid w:val="0049500D"/>
    <w:rsid w:val="004D305E"/>
    <w:rsid w:val="004D4277"/>
    <w:rsid w:val="004E2665"/>
    <w:rsid w:val="004E3585"/>
    <w:rsid w:val="004F1412"/>
    <w:rsid w:val="004F413D"/>
    <w:rsid w:val="00502516"/>
    <w:rsid w:val="00505F06"/>
    <w:rsid w:val="00506828"/>
    <w:rsid w:val="005178A1"/>
    <w:rsid w:val="0053056E"/>
    <w:rsid w:val="00554FDA"/>
    <w:rsid w:val="00580695"/>
    <w:rsid w:val="00593BA1"/>
    <w:rsid w:val="005C784C"/>
    <w:rsid w:val="005C7C3C"/>
    <w:rsid w:val="005D17F6"/>
    <w:rsid w:val="005E5539"/>
    <w:rsid w:val="00602BF5"/>
    <w:rsid w:val="00605395"/>
    <w:rsid w:val="006069C0"/>
    <w:rsid w:val="00616294"/>
    <w:rsid w:val="00617FDD"/>
    <w:rsid w:val="0063350A"/>
    <w:rsid w:val="00633614"/>
    <w:rsid w:val="00633F68"/>
    <w:rsid w:val="00636EB2"/>
    <w:rsid w:val="006375B8"/>
    <w:rsid w:val="006630E8"/>
    <w:rsid w:val="0066510A"/>
    <w:rsid w:val="00673F9F"/>
    <w:rsid w:val="00686953"/>
    <w:rsid w:val="00687DC8"/>
    <w:rsid w:val="00687DEA"/>
    <w:rsid w:val="00687E67"/>
    <w:rsid w:val="006967F7"/>
    <w:rsid w:val="00697938"/>
    <w:rsid w:val="006A250C"/>
    <w:rsid w:val="006B21D3"/>
    <w:rsid w:val="006B57D0"/>
    <w:rsid w:val="006D30FF"/>
    <w:rsid w:val="006D6940"/>
    <w:rsid w:val="006E67B9"/>
    <w:rsid w:val="006F11EC"/>
    <w:rsid w:val="006F2CCF"/>
    <w:rsid w:val="006F2F35"/>
    <w:rsid w:val="0070082C"/>
    <w:rsid w:val="00705D5C"/>
    <w:rsid w:val="007369E6"/>
    <w:rsid w:val="00742DC1"/>
    <w:rsid w:val="00746E59"/>
    <w:rsid w:val="00754C9A"/>
    <w:rsid w:val="0075599A"/>
    <w:rsid w:val="00761D52"/>
    <w:rsid w:val="00771276"/>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80F26"/>
    <w:rsid w:val="00894882"/>
    <w:rsid w:val="008B459E"/>
    <w:rsid w:val="008E13AE"/>
    <w:rsid w:val="008E1506"/>
    <w:rsid w:val="008E57E0"/>
    <w:rsid w:val="008E710C"/>
    <w:rsid w:val="008F1A45"/>
    <w:rsid w:val="008F69D6"/>
    <w:rsid w:val="009024E9"/>
    <w:rsid w:val="00902823"/>
    <w:rsid w:val="00915CA6"/>
    <w:rsid w:val="00927834"/>
    <w:rsid w:val="009500A6"/>
    <w:rsid w:val="00957C18"/>
    <w:rsid w:val="009659BA"/>
    <w:rsid w:val="00974077"/>
    <w:rsid w:val="00983040"/>
    <w:rsid w:val="009B3FB9"/>
    <w:rsid w:val="009B6160"/>
    <w:rsid w:val="009C2465"/>
    <w:rsid w:val="009C2B22"/>
    <w:rsid w:val="009D35A0"/>
    <w:rsid w:val="009D5C33"/>
    <w:rsid w:val="009D7EB7"/>
    <w:rsid w:val="009E048A"/>
    <w:rsid w:val="009E08E9"/>
    <w:rsid w:val="009E0C71"/>
    <w:rsid w:val="009E3DB9"/>
    <w:rsid w:val="009E6DCE"/>
    <w:rsid w:val="009E6E35"/>
    <w:rsid w:val="009F0EDA"/>
    <w:rsid w:val="00A0206A"/>
    <w:rsid w:val="00A03B96"/>
    <w:rsid w:val="00A05B19"/>
    <w:rsid w:val="00A1134E"/>
    <w:rsid w:val="00A17EDD"/>
    <w:rsid w:val="00A24E7E"/>
    <w:rsid w:val="00A258C3"/>
    <w:rsid w:val="00A26036"/>
    <w:rsid w:val="00A272EF"/>
    <w:rsid w:val="00A347C0"/>
    <w:rsid w:val="00A51431"/>
    <w:rsid w:val="00A528EF"/>
    <w:rsid w:val="00A539AD"/>
    <w:rsid w:val="00A72005"/>
    <w:rsid w:val="00A94063"/>
    <w:rsid w:val="00AA6219"/>
    <w:rsid w:val="00AA74E0"/>
    <w:rsid w:val="00AB703F"/>
    <w:rsid w:val="00AC6BB8"/>
    <w:rsid w:val="00AE008F"/>
    <w:rsid w:val="00AF56F2"/>
    <w:rsid w:val="00B01FCD"/>
    <w:rsid w:val="00B03E3C"/>
    <w:rsid w:val="00B1776C"/>
    <w:rsid w:val="00B415E0"/>
    <w:rsid w:val="00B52583"/>
    <w:rsid w:val="00B52896"/>
    <w:rsid w:val="00B528D6"/>
    <w:rsid w:val="00B62192"/>
    <w:rsid w:val="00B95236"/>
    <w:rsid w:val="00B96BD9"/>
    <w:rsid w:val="00BA1B01"/>
    <w:rsid w:val="00BA2641"/>
    <w:rsid w:val="00BA5994"/>
    <w:rsid w:val="00BA64C0"/>
    <w:rsid w:val="00BB37AA"/>
    <w:rsid w:val="00BC53A0"/>
    <w:rsid w:val="00BD15B9"/>
    <w:rsid w:val="00BD776E"/>
    <w:rsid w:val="00BE62AD"/>
    <w:rsid w:val="00BF121F"/>
    <w:rsid w:val="00BF1F80"/>
    <w:rsid w:val="00C166EF"/>
    <w:rsid w:val="00C17EB0"/>
    <w:rsid w:val="00C27F5F"/>
    <w:rsid w:val="00C30251"/>
    <w:rsid w:val="00C30A0F"/>
    <w:rsid w:val="00C35E7C"/>
    <w:rsid w:val="00C37E61"/>
    <w:rsid w:val="00C55C36"/>
    <w:rsid w:val="00C63C84"/>
    <w:rsid w:val="00C70F1B"/>
    <w:rsid w:val="00C71A47"/>
    <w:rsid w:val="00C7464C"/>
    <w:rsid w:val="00C85588"/>
    <w:rsid w:val="00CD1A17"/>
    <w:rsid w:val="00CD6755"/>
    <w:rsid w:val="00CD6856"/>
    <w:rsid w:val="00CE0089"/>
    <w:rsid w:val="00CE793C"/>
    <w:rsid w:val="00CF193C"/>
    <w:rsid w:val="00D173F1"/>
    <w:rsid w:val="00D45697"/>
    <w:rsid w:val="00D470DE"/>
    <w:rsid w:val="00D571BB"/>
    <w:rsid w:val="00D63D46"/>
    <w:rsid w:val="00D74CB0"/>
    <w:rsid w:val="00D8295D"/>
    <w:rsid w:val="00DA50DE"/>
    <w:rsid w:val="00DC2A65"/>
    <w:rsid w:val="00DC620E"/>
    <w:rsid w:val="00DD7FB6"/>
    <w:rsid w:val="00DE15F0"/>
    <w:rsid w:val="00DE5663"/>
    <w:rsid w:val="00DE78AA"/>
    <w:rsid w:val="00E053D0"/>
    <w:rsid w:val="00E15994"/>
    <w:rsid w:val="00E3114E"/>
    <w:rsid w:val="00E31A1D"/>
    <w:rsid w:val="00E31A70"/>
    <w:rsid w:val="00E31F80"/>
    <w:rsid w:val="00E33576"/>
    <w:rsid w:val="00E35B02"/>
    <w:rsid w:val="00E4683D"/>
    <w:rsid w:val="00E651B0"/>
    <w:rsid w:val="00E66496"/>
    <w:rsid w:val="00E66B35"/>
    <w:rsid w:val="00E66E10"/>
    <w:rsid w:val="00E769F6"/>
    <w:rsid w:val="00E77EF4"/>
    <w:rsid w:val="00E8407C"/>
    <w:rsid w:val="00E84F3C"/>
    <w:rsid w:val="00EA012C"/>
    <w:rsid w:val="00EC67D0"/>
    <w:rsid w:val="00EC6A55"/>
    <w:rsid w:val="00ED0288"/>
    <w:rsid w:val="00EE52CB"/>
    <w:rsid w:val="00EF4C42"/>
    <w:rsid w:val="00EF581D"/>
    <w:rsid w:val="00EF7FD8"/>
    <w:rsid w:val="00F05E57"/>
    <w:rsid w:val="00F06F59"/>
    <w:rsid w:val="00F07794"/>
    <w:rsid w:val="00F17988"/>
    <w:rsid w:val="00F40FE1"/>
    <w:rsid w:val="00F469F0"/>
    <w:rsid w:val="00F53273"/>
    <w:rsid w:val="00F73C62"/>
    <w:rsid w:val="00F755E4"/>
    <w:rsid w:val="00F77D02"/>
    <w:rsid w:val="00FB3A86"/>
    <w:rsid w:val="00FC3B9A"/>
    <w:rsid w:val="00FD36C8"/>
    <w:rsid w:val="00FE7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792DC6"/>
  <w15:docId w15:val="{E06C1B59-E7AE-4B2E-AF45-1D3EA8237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880F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relative">
    <w:name w:val="relative"/>
    <w:basedOn w:val="DefaultParagraphFont"/>
    <w:rsid w:val="008F1A45"/>
  </w:style>
  <w:style w:type="character" w:customStyle="1" w:styleId="ms-1">
    <w:name w:val="ms-1"/>
    <w:basedOn w:val="DefaultParagraphFont"/>
    <w:rsid w:val="008F1A45"/>
  </w:style>
  <w:style w:type="character" w:customStyle="1" w:styleId="max-w-full">
    <w:name w:val="max-w-full"/>
    <w:basedOn w:val="DefaultParagraphFont"/>
    <w:rsid w:val="008F1A45"/>
  </w:style>
  <w:style w:type="character" w:customStyle="1" w:styleId="-me-1">
    <w:name w:val="-me-1"/>
    <w:basedOn w:val="DefaultParagraphFont"/>
    <w:rsid w:val="008F1A45"/>
  </w:style>
  <w:style w:type="paragraph" w:styleId="NormalWeb">
    <w:name w:val="Normal (Web)"/>
    <w:basedOn w:val="Normal"/>
    <w:uiPriority w:val="99"/>
    <w:unhideWhenUsed/>
    <w:rsid w:val="008F1A45"/>
    <w:pPr>
      <w:spacing w:before="100" w:beforeAutospacing="1" w:after="100" w:afterAutospacing="1"/>
    </w:pPr>
    <w:rPr>
      <w:rFonts w:ascii="Times New Roman" w:hAnsi="Times New Roman"/>
      <w:sz w:val="24"/>
      <w:szCs w:val="24"/>
      <w:lang w:val="en-ID" w:eastAsia="ja-JP"/>
    </w:rPr>
  </w:style>
  <w:style w:type="paragraph" w:styleId="ListParagraph">
    <w:name w:val="List Paragraph"/>
    <w:basedOn w:val="Normal"/>
    <w:uiPriority w:val="34"/>
    <w:qFormat/>
    <w:rsid w:val="009024E9"/>
    <w:pPr>
      <w:ind w:left="720"/>
      <w:contextualSpacing/>
      <w:jc w:val="center"/>
    </w:pPr>
    <w:rPr>
      <w:rFonts w:ascii="Times New Roman" w:eastAsiaTheme="minorEastAsia" w:hAnsi="Times New Roman"/>
      <w:sz w:val="24"/>
      <w:szCs w:val="24"/>
      <w:lang w:eastAsia="ja-JP"/>
    </w:rPr>
  </w:style>
  <w:style w:type="character" w:styleId="Strong">
    <w:name w:val="Strong"/>
    <w:basedOn w:val="DefaultParagraphFont"/>
    <w:uiPriority w:val="22"/>
    <w:qFormat/>
    <w:rsid w:val="00345FC2"/>
    <w:rPr>
      <w:b/>
      <w:bCs/>
    </w:rPr>
  </w:style>
  <w:style w:type="character" w:customStyle="1" w:styleId="Heading2Char">
    <w:name w:val="Heading 2 Char"/>
    <w:basedOn w:val="DefaultParagraphFont"/>
    <w:link w:val="Heading2"/>
    <w:semiHidden/>
    <w:rsid w:val="00880F26"/>
    <w:rPr>
      <w:rFonts w:asciiTheme="majorHAnsi" w:eastAsiaTheme="majorEastAsia" w:hAnsiTheme="majorHAnsi" w:cstheme="majorBidi"/>
      <w:color w:val="365F91" w:themeColor="accent1" w:themeShade="BF"/>
      <w:sz w:val="26"/>
      <w:szCs w:val="26"/>
    </w:rPr>
  </w:style>
  <w:style w:type="paragraph" w:styleId="Bibliography">
    <w:name w:val="Bibliography"/>
    <w:basedOn w:val="Normal"/>
    <w:next w:val="Normal"/>
    <w:uiPriority w:val="37"/>
    <w:unhideWhenUsed/>
    <w:rsid w:val="001E7EE1"/>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578184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9284543">
      <w:bodyDiv w:val="1"/>
      <w:marLeft w:val="0"/>
      <w:marRight w:val="0"/>
      <w:marTop w:val="0"/>
      <w:marBottom w:val="0"/>
      <w:divBdr>
        <w:top w:val="none" w:sz="0" w:space="0" w:color="auto"/>
        <w:left w:val="none" w:sz="0" w:space="0" w:color="auto"/>
        <w:bottom w:val="none" w:sz="0" w:space="0" w:color="auto"/>
        <w:right w:val="none" w:sz="0" w:space="0" w:color="auto"/>
      </w:divBdr>
    </w:div>
    <w:div w:id="172578685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BAA46-834D-4871-851E-28002FFEC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16</Pages>
  <Words>17755</Words>
  <Characters>101210</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118728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Editor-11</cp:lastModifiedBy>
  <cp:revision>5</cp:revision>
  <cp:lastPrinted>1999-07-06T11:00:00Z</cp:lastPrinted>
  <dcterms:created xsi:type="dcterms:W3CDTF">2025-09-05T11:02:00Z</dcterms:created>
  <dcterms:modified xsi:type="dcterms:W3CDTF">2025-09-05T11:30:00Z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0835061a-7664-4644-8b61-e282d09f0884</vt:lpwstr>
  </property>
  <property fmtid="{D5CDD505-2E9C-101B-9397-08002B2CF9AE}" pid="3" name="ZOTERO_PREF_1">
    <vt:lpwstr>&lt;data data-version="3" zotero-version="7.0.24"&gt;&lt;session id="Oj5d1Ana"/&gt;&lt;style id="http://www.zotero.org/styles/apa" locale="en-US" hasBibliography="1" bibliographyStyleHasBeenSet="1"/&gt;&lt;prefs&gt;&lt;pref name="fieldType" value="Field"/&gt;&lt;/prefs&gt;&lt;/data&gt;</vt:lpwstr>
  </property>
</Properties>
</file>