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2306" w14:textId="77777777" w:rsidR="00754C9A" w:rsidRPr="005B6E3D" w:rsidRDefault="00754C9A" w:rsidP="00441B6F">
      <w:pPr>
        <w:pStyle w:val="Title"/>
        <w:spacing w:after="0"/>
        <w:jc w:val="both"/>
        <w:rPr>
          <w:rFonts w:ascii="Arial" w:hAnsi="Arial" w:cs="Arial"/>
        </w:rPr>
      </w:pPr>
    </w:p>
    <w:p w14:paraId="5BF6742A" w14:textId="77777777" w:rsidR="0084038E" w:rsidRPr="0084038E" w:rsidRDefault="0084038E" w:rsidP="0084038E">
      <w:pPr>
        <w:jc w:val="right"/>
        <w:rPr>
          <w:rFonts w:ascii="Arial" w:hAnsi="Arial" w:cs="Arial"/>
          <w:b/>
          <w:bCs/>
          <w:i/>
          <w:iCs/>
          <w:sz w:val="36"/>
          <w:szCs w:val="36"/>
          <w:u w:val="single"/>
        </w:rPr>
      </w:pPr>
      <w:r w:rsidRPr="0084038E">
        <w:rPr>
          <w:rFonts w:ascii="Arial" w:hAnsi="Arial" w:cs="Arial"/>
          <w:b/>
          <w:bCs/>
          <w:i/>
          <w:iCs/>
          <w:sz w:val="36"/>
          <w:szCs w:val="36"/>
          <w:u w:val="single"/>
        </w:rPr>
        <w:t>Review Article</w:t>
      </w:r>
    </w:p>
    <w:p w14:paraId="63BFA5FD" w14:textId="77777777" w:rsidR="00155ADC" w:rsidRPr="005B6E3D" w:rsidRDefault="00155ADC" w:rsidP="00155ADC">
      <w:pPr>
        <w:jc w:val="right"/>
        <w:rPr>
          <w:rFonts w:ascii="Arial" w:hAnsi="Arial" w:cs="Arial"/>
          <w:b/>
          <w:bCs/>
          <w:sz w:val="36"/>
          <w:szCs w:val="36"/>
        </w:rPr>
      </w:pPr>
      <w:r w:rsidRPr="005B6E3D">
        <w:rPr>
          <w:rFonts w:ascii="Arial" w:hAnsi="Arial" w:cs="Arial"/>
          <w:b/>
          <w:bCs/>
          <w:sz w:val="36"/>
          <w:szCs w:val="36"/>
        </w:rPr>
        <w:t>Pheromones and Neuropeptides in Silkworms: Coordinating Diapause, Reproduction, and Silk Yield</w:t>
      </w:r>
    </w:p>
    <w:p w14:paraId="44EBA469" w14:textId="77777777" w:rsidR="004B7D9C" w:rsidRPr="005B6E3D" w:rsidRDefault="004B7D9C" w:rsidP="004B7D9C">
      <w:pPr>
        <w:pStyle w:val="Affiliation"/>
        <w:spacing w:after="0" w:line="240" w:lineRule="auto"/>
        <w:ind w:firstLine="720"/>
        <w:jc w:val="both"/>
        <w:rPr>
          <w:rFonts w:ascii="Arial" w:hAnsi="Arial" w:cs="Arial"/>
        </w:rPr>
      </w:pPr>
    </w:p>
    <w:p w14:paraId="6DE56CF8" w14:textId="77777777" w:rsidR="00B01FCD" w:rsidRPr="005B6E3D" w:rsidRDefault="0062761F" w:rsidP="00441B6F">
      <w:pPr>
        <w:pStyle w:val="Copyright"/>
        <w:spacing w:after="0" w:line="240" w:lineRule="auto"/>
        <w:jc w:val="both"/>
        <w:rPr>
          <w:rFonts w:ascii="Arial" w:hAnsi="Arial" w:cs="Arial"/>
        </w:rPr>
        <w:sectPr w:rsidR="00B01FCD" w:rsidRPr="005B6E3D" w:rsidSect="00825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10144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B6E3D">
        <w:rPr>
          <w:rFonts w:ascii="Arial" w:hAnsi="Arial" w:cs="Arial"/>
        </w:rPr>
        <w:t>.</w:t>
      </w:r>
    </w:p>
    <w:p w14:paraId="159245EE" w14:textId="49ECDD21" w:rsidR="00B01FCD" w:rsidRPr="005B6E3D" w:rsidRDefault="00B01FCD" w:rsidP="00441B6F">
      <w:pPr>
        <w:pStyle w:val="AbstHead"/>
        <w:spacing w:after="0"/>
        <w:jc w:val="both"/>
        <w:rPr>
          <w:rFonts w:ascii="Arial" w:hAnsi="Arial" w:cs="Arial"/>
        </w:rPr>
      </w:pPr>
      <w:r w:rsidRPr="005B6E3D">
        <w:rPr>
          <w:rFonts w:ascii="Arial" w:hAnsi="Arial" w:cs="Arial"/>
        </w:rPr>
        <w:t>ABSTRACT</w:t>
      </w:r>
    </w:p>
    <w:p w14:paraId="27917B3A" w14:textId="77777777" w:rsidR="00790ADA" w:rsidRPr="005B6E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B6E3D" w14:paraId="028EF45A" w14:textId="77777777" w:rsidTr="001E44FE">
        <w:tc>
          <w:tcPr>
            <w:tcW w:w="9576" w:type="dxa"/>
            <w:shd w:val="clear" w:color="auto" w:fill="F2F2F2"/>
          </w:tcPr>
          <w:p w14:paraId="3EC40F62" w14:textId="31E45447" w:rsidR="00505F06" w:rsidRPr="005B6E3D" w:rsidRDefault="00155ADC" w:rsidP="00155ADC">
            <w:pPr>
              <w:jc w:val="both"/>
              <w:rPr>
                <w:rFonts w:ascii="Arial" w:hAnsi="Arial" w:cs="Arial"/>
              </w:rPr>
            </w:pPr>
            <w:r w:rsidRPr="005B6E3D">
              <w:rPr>
                <w:rFonts w:ascii="Arial" w:hAnsi="Arial" w:cs="Arial"/>
              </w:rPr>
              <w:t>Sericulture is a vital agro-industry that links molecular biology, developmental physiology, and applied farming practices to the sustainable production of silk. Recent research has highlighted the pivotal role of pheromones and neuropeptides in coordinating diapause, reproductive regulation, and silk gland function, thereby shaping cocoon yield and quality. This review synthesizes advances in understanding pheromone signaling, with emphasis on the pheromone biosynthesis activating neuropeptide (PBAN) and its integration with juvenile hormone (JH), diapause hormone (DH), and other regulatory peptides. We describe how these neuroendocrine networks connect environmental cues such as photoperiod and temperature to systemic resource allocation, mating synchronization, and silk gland transcriptional control. The review also explores how endocrine and pheromone signaling impacts cocoon production by regulating energy partitioning, fibroin expression, and stress responses. Translational opportunities are highlighted across genetic interventions, endocrine manipulations, nutritional and microbiome strategies, and pheromone-based pest management. Together, these insights demonstrate how integrating pheromone biology with neuropeptide and hormonal regulation can inform practical strategies to enhance cocoon yield, support rural economies, and advance eco-friendly sericulture practices.</w:t>
            </w:r>
          </w:p>
        </w:tc>
      </w:tr>
    </w:tbl>
    <w:p w14:paraId="4140DAB1" w14:textId="77777777" w:rsidR="00636EB2" w:rsidRPr="005B6E3D" w:rsidRDefault="00636EB2" w:rsidP="00441B6F">
      <w:pPr>
        <w:pStyle w:val="Body"/>
        <w:spacing w:after="0"/>
        <w:rPr>
          <w:rFonts w:ascii="Arial" w:hAnsi="Arial" w:cs="Arial"/>
          <w:i/>
        </w:rPr>
      </w:pPr>
    </w:p>
    <w:p w14:paraId="4CA36477" w14:textId="201380FE" w:rsidR="0024282C" w:rsidRPr="005B6E3D" w:rsidRDefault="00A24E7E" w:rsidP="00441B6F">
      <w:pPr>
        <w:pStyle w:val="Body"/>
        <w:spacing w:after="0"/>
        <w:rPr>
          <w:rFonts w:ascii="Arial" w:hAnsi="Arial" w:cs="Arial"/>
          <w:i/>
          <w:iCs/>
        </w:rPr>
      </w:pPr>
      <w:r w:rsidRPr="005B6E3D">
        <w:rPr>
          <w:rFonts w:ascii="Arial" w:hAnsi="Arial" w:cs="Arial"/>
          <w:i/>
        </w:rPr>
        <w:t xml:space="preserve">Keywords: </w:t>
      </w:r>
      <w:r w:rsidR="00155ADC" w:rsidRPr="005B6E3D">
        <w:rPr>
          <w:rFonts w:ascii="Arial" w:hAnsi="Arial" w:cs="Arial"/>
          <w:i/>
          <w:iCs/>
        </w:rPr>
        <w:t xml:space="preserve">Pheromone biosynthesis activating neuropeptide (PBAN), Diapause hormone (DH), Juvenile hormone (JH), </w:t>
      </w:r>
      <w:proofErr w:type="spellStart"/>
      <w:r w:rsidR="00155ADC" w:rsidRPr="005B6E3D">
        <w:rPr>
          <w:rFonts w:ascii="Arial" w:hAnsi="Arial" w:cs="Arial"/>
          <w:i/>
          <w:iCs/>
        </w:rPr>
        <w:t>Neuropeptidergic</w:t>
      </w:r>
      <w:proofErr w:type="spellEnd"/>
      <w:r w:rsidR="00155ADC" w:rsidRPr="005B6E3D">
        <w:rPr>
          <w:rFonts w:ascii="Arial" w:hAnsi="Arial" w:cs="Arial"/>
          <w:i/>
          <w:iCs/>
        </w:rPr>
        <w:t xml:space="preserve"> signaling</w:t>
      </w:r>
    </w:p>
    <w:p w14:paraId="335200F9" w14:textId="77777777" w:rsidR="00505F06" w:rsidRPr="005B6E3D" w:rsidRDefault="00505F06" w:rsidP="00441B6F">
      <w:pPr>
        <w:pStyle w:val="Body"/>
        <w:spacing w:after="0"/>
        <w:rPr>
          <w:rFonts w:ascii="Arial" w:hAnsi="Arial" w:cs="Arial"/>
          <w:i/>
        </w:rPr>
      </w:pPr>
    </w:p>
    <w:p w14:paraId="6BFC1ED4" w14:textId="272CC822" w:rsidR="007F7B32" w:rsidRPr="005B6E3D" w:rsidRDefault="00B01FCD" w:rsidP="00155ADC">
      <w:pPr>
        <w:pStyle w:val="AbstHead"/>
        <w:numPr>
          <w:ilvl w:val="0"/>
          <w:numId w:val="33"/>
        </w:numPr>
        <w:spacing w:after="0"/>
        <w:rPr>
          <w:rFonts w:ascii="Arial" w:hAnsi="Arial" w:cs="Arial"/>
        </w:rPr>
      </w:pPr>
      <w:r w:rsidRPr="005B6E3D">
        <w:rPr>
          <w:rFonts w:ascii="Arial" w:hAnsi="Arial" w:cs="Arial"/>
        </w:rPr>
        <w:t>INTRODUCTION</w:t>
      </w:r>
    </w:p>
    <w:p w14:paraId="4237AB11" w14:textId="77777777" w:rsidR="00790ADA" w:rsidRPr="005B6E3D" w:rsidRDefault="00790ADA" w:rsidP="00441B6F">
      <w:pPr>
        <w:pStyle w:val="AbstHead"/>
        <w:spacing w:after="0"/>
        <w:jc w:val="both"/>
        <w:rPr>
          <w:rFonts w:ascii="Arial" w:hAnsi="Arial" w:cs="Arial"/>
        </w:rPr>
      </w:pPr>
    </w:p>
    <w:p w14:paraId="0277C94C" w14:textId="77777777" w:rsidR="00155ADC" w:rsidRPr="005B6E3D" w:rsidRDefault="00155ADC" w:rsidP="00155ADC">
      <w:pPr>
        <w:ind w:firstLine="720"/>
        <w:jc w:val="both"/>
        <w:rPr>
          <w:rFonts w:ascii="Arial" w:hAnsi="Arial" w:cs="Arial"/>
        </w:rPr>
      </w:pPr>
      <w:r w:rsidRPr="005B6E3D">
        <w:rPr>
          <w:rFonts w:ascii="Arial" w:hAnsi="Arial" w:cs="Arial"/>
        </w:rPr>
        <w:t xml:space="preserve">Sericulture remains an economically and culturally important agro-industry across Asia, Africa and parts of Europe, supplying high-value textile </w:t>
      </w:r>
      <w:proofErr w:type="spellStart"/>
      <w:r w:rsidRPr="005B6E3D">
        <w:rPr>
          <w:rFonts w:ascii="Arial" w:hAnsi="Arial" w:cs="Arial"/>
        </w:rPr>
        <w:t>fibre</w:t>
      </w:r>
      <w:proofErr w:type="spellEnd"/>
      <w:r w:rsidRPr="005B6E3D">
        <w:rPr>
          <w:rFonts w:ascii="Arial" w:hAnsi="Arial" w:cs="Arial"/>
        </w:rPr>
        <w:t xml:space="preserve"> and a range of bioproducts while supporting rural livelihoods (Altman &amp; Farrell, 2022). Efficient cocoon production depends not only on larval nutrition and husbandry but also on precise control of reproductive timing and seasonal dormancy. Diapause and the timing of reproduction determine the number and scheduling of cocoon crops per year, the synchronization of mating and oviposition, and thus have direct effects on overall silk yield and farm-level economics (Shimizu, 2024; Easwaran &amp; Montell, 2023). Managing these life-history transitions is therefore a core concern for both fundamental biologists and applied sericulture practitioners.</w:t>
      </w:r>
    </w:p>
    <w:p w14:paraId="48721ABC" w14:textId="77777777" w:rsidR="00155ADC" w:rsidRPr="005B6E3D" w:rsidRDefault="00155ADC" w:rsidP="00155ADC">
      <w:pPr>
        <w:ind w:firstLine="720"/>
        <w:jc w:val="both"/>
        <w:rPr>
          <w:rFonts w:ascii="Arial" w:hAnsi="Arial" w:cs="Arial"/>
        </w:rPr>
      </w:pPr>
      <w:r w:rsidRPr="005B6E3D">
        <w:rPr>
          <w:rFonts w:ascii="Arial" w:hAnsi="Arial" w:cs="Arial"/>
        </w:rPr>
        <w:t xml:space="preserve">At the molecular and physiological level, pheromones and neuropeptides occupy central roles in coordinating reproduction and developmental timing. Sex pheromones drive mate attraction and mating </w:t>
      </w:r>
      <w:proofErr w:type="spellStart"/>
      <w:r w:rsidRPr="005B6E3D">
        <w:rPr>
          <w:rFonts w:ascii="Arial" w:hAnsi="Arial" w:cs="Arial"/>
        </w:rPr>
        <w:t>behaviour</w:t>
      </w:r>
      <w:proofErr w:type="spellEnd"/>
      <w:r w:rsidRPr="005B6E3D">
        <w:rPr>
          <w:rFonts w:ascii="Arial" w:hAnsi="Arial" w:cs="Arial"/>
        </w:rPr>
        <w:t xml:space="preserve">, and their biosynthesis is commonly regulated by the highly conserved Pheromone Biosynthesis Activating Neuropeptide (PBAN) / </w:t>
      </w:r>
      <w:proofErr w:type="spellStart"/>
      <w:r w:rsidRPr="005B6E3D">
        <w:rPr>
          <w:rFonts w:ascii="Arial" w:hAnsi="Arial" w:cs="Arial"/>
        </w:rPr>
        <w:t>pyrokinin</w:t>
      </w:r>
      <w:proofErr w:type="spellEnd"/>
      <w:r w:rsidRPr="005B6E3D">
        <w:rPr>
          <w:rFonts w:ascii="Arial" w:hAnsi="Arial" w:cs="Arial"/>
        </w:rPr>
        <w:t xml:space="preserve"> neuropeptide family and its receptors (Jurenka, 2017; Dou &amp; Jurenka, 2023). Beyond classical roles in pheromone production, accumulating evidence shows that </w:t>
      </w:r>
      <w:proofErr w:type="spellStart"/>
      <w:r w:rsidRPr="005B6E3D">
        <w:rPr>
          <w:rFonts w:ascii="Arial" w:hAnsi="Arial" w:cs="Arial"/>
        </w:rPr>
        <w:t>neuropeptidergic</w:t>
      </w:r>
      <w:proofErr w:type="spellEnd"/>
      <w:r w:rsidRPr="005B6E3D">
        <w:rPr>
          <w:rFonts w:ascii="Arial" w:hAnsi="Arial" w:cs="Arial"/>
        </w:rPr>
        <w:t xml:space="preserve"> signaling, including diapause hormone, PBAN-family peptides, juvenile hormone modulators and clock-linked neuropeptides, forms an integrated network that links </w:t>
      </w:r>
      <w:r w:rsidRPr="005B6E3D">
        <w:rPr>
          <w:rFonts w:ascii="Arial" w:hAnsi="Arial" w:cs="Arial"/>
        </w:rPr>
        <w:lastRenderedPageBreak/>
        <w:t xml:space="preserve">environmental cues (photoperiod, temperature) to endocrine outputs controlling diapause and reproductive physiology (Helfrich-Förster, 2024; Homma </w:t>
      </w:r>
      <w:r w:rsidRPr="005B6E3D">
        <w:rPr>
          <w:rFonts w:ascii="Arial" w:hAnsi="Arial" w:cs="Arial"/>
          <w:i/>
          <w:iCs/>
        </w:rPr>
        <w:t>et al.,</w:t>
      </w:r>
      <w:r w:rsidRPr="005B6E3D">
        <w:rPr>
          <w:rFonts w:ascii="Arial" w:hAnsi="Arial" w:cs="Arial"/>
        </w:rPr>
        <w:t xml:space="preserve"> 2022).</w:t>
      </w:r>
    </w:p>
    <w:p w14:paraId="5C788BFE" w14:textId="77777777" w:rsidR="00155ADC" w:rsidRPr="005B6E3D" w:rsidRDefault="00155ADC" w:rsidP="00155ADC">
      <w:pPr>
        <w:ind w:firstLine="720"/>
        <w:jc w:val="both"/>
        <w:rPr>
          <w:rFonts w:ascii="Arial" w:hAnsi="Arial" w:cs="Arial"/>
        </w:rPr>
      </w:pPr>
      <w:r w:rsidRPr="005B6E3D">
        <w:rPr>
          <w:rFonts w:ascii="Arial" w:hAnsi="Arial" w:cs="Arial"/>
        </w:rPr>
        <w:t xml:space="preserve">Recent studies using transcriptomics, receptor functional assays, genetic perturbations and endocrine measurements reveal multiple points of cross-talk: circadian and photoperiodic pathways modulate neuropeptide release, neuropeptides alter hormone </w:t>
      </w:r>
      <w:proofErr w:type="spellStart"/>
      <w:r w:rsidRPr="005B6E3D">
        <w:rPr>
          <w:rFonts w:ascii="Arial" w:hAnsi="Arial" w:cs="Arial"/>
        </w:rPr>
        <w:t>titres</w:t>
      </w:r>
      <w:proofErr w:type="spellEnd"/>
      <w:r w:rsidRPr="005B6E3D">
        <w:rPr>
          <w:rFonts w:ascii="Arial" w:hAnsi="Arial" w:cs="Arial"/>
        </w:rPr>
        <w:t xml:space="preserve"> and reproductive allocation, and these shifts can feed back to affect </w:t>
      </w:r>
      <w:proofErr w:type="spellStart"/>
      <w:r w:rsidRPr="005B6E3D">
        <w:rPr>
          <w:rFonts w:ascii="Arial" w:hAnsi="Arial" w:cs="Arial"/>
        </w:rPr>
        <w:t>behaviour</w:t>
      </w:r>
      <w:proofErr w:type="spellEnd"/>
      <w:r w:rsidRPr="005B6E3D">
        <w:rPr>
          <w:rFonts w:ascii="Arial" w:hAnsi="Arial" w:cs="Arial"/>
        </w:rPr>
        <w:t xml:space="preserve"> and resource allocation relevant to cocoon formation (Cha </w:t>
      </w:r>
      <w:r w:rsidRPr="005B6E3D">
        <w:rPr>
          <w:rFonts w:ascii="Arial" w:hAnsi="Arial" w:cs="Arial"/>
          <w:i/>
          <w:iCs/>
        </w:rPr>
        <w:t>et al.,</w:t>
      </w:r>
      <w:r w:rsidRPr="005B6E3D">
        <w:rPr>
          <w:rFonts w:ascii="Arial" w:hAnsi="Arial" w:cs="Arial"/>
        </w:rPr>
        <w:t xml:space="preserve"> 2023; Helfrich-Förster, 2024). Such mechanistic integration suggests real translational potential. By targeting neuropeptide or pheromone pathways it may be possible to manipulate diapause induction, reproductive timing, or energy partitioning in ways that enhance seasonal productivity or reduce crop risk, applications of direct interest to modern sericulture (Altman &amp; Farrell, 2022; Shimizu, 2024).</w:t>
      </w:r>
    </w:p>
    <w:p w14:paraId="179F7D1F" w14:textId="77777777" w:rsidR="00155ADC" w:rsidRPr="005B6E3D" w:rsidRDefault="00155ADC" w:rsidP="00155ADC">
      <w:pPr>
        <w:ind w:firstLine="720"/>
        <w:jc w:val="both"/>
        <w:rPr>
          <w:rFonts w:ascii="Arial" w:hAnsi="Arial" w:cs="Arial"/>
          <w:lang w:eastAsia="en-IN"/>
        </w:rPr>
      </w:pPr>
      <w:r w:rsidRPr="005B6E3D">
        <w:rPr>
          <w:rFonts w:ascii="Arial" w:hAnsi="Arial" w:cs="Arial"/>
          <w:lang w:eastAsia="en-IN"/>
        </w:rPr>
        <w:t>The present review aims to consolidate current understanding of how pheromones and neuropeptides coordinate diapause, reproductive regulation, and silk yield in silkworms. Emphasis is placed on conserved molecular pathways, their physiological outcomes, and the links between developmental timing and sericultural productivity. The discussion highlights emerging findings in neuroendocrine and chemical signaling that point toward strategies for improving cocoon production. By bringing together advances in molecular biology, physiology, and applied sericulture, this synthesis outlines both the established knowledge base and the critical directions that could enhance future management and utilization of silkworm resources.</w:t>
      </w:r>
    </w:p>
    <w:p w14:paraId="4EB540E1" w14:textId="77777777" w:rsidR="00790ADA" w:rsidRPr="005B6E3D" w:rsidRDefault="00790ADA" w:rsidP="00441B6F">
      <w:pPr>
        <w:pStyle w:val="Body"/>
        <w:spacing w:after="0"/>
        <w:rPr>
          <w:rFonts w:ascii="Arial" w:hAnsi="Arial" w:cs="Arial"/>
        </w:rPr>
      </w:pPr>
    </w:p>
    <w:p w14:paraId="66CAD694" w14:textId="1BD15337" w:rsidR="00155ADC" w:rsidRPr="005B6E3D" w:rsidRDefault="00A60869" w:rsidP="00A60869">
      <w:pPr>
        <w:pStyle w:val="ListParagraph"/>
        <w:numPr>
          <w:ilvl w:val="0"/>
          <w:numId w:val="33"/>
        </w:numPr>
        <w:jc w:val="both"/>
        <w:rPr>
          <w:rFonts w:ascii="Arial" w:hAnsi="Arial" w:cs="Arial"/>
          <w:b/>
          <w:bCs/>
          <w:sz w:val="22"/>
          <w:szCs w:val="22"/>
          <w:lang w:eastAsia="en-IN"/>
        </w:rPr>
      </w:pPr>
      <w:r w:rsidRPr="005B6E3D">
        <w:rPr>
          <w:rFonts w:ascii="Arial" w:hAnsi="Arial" w:cs="Arial"/>
          <w:b/>
          <w:bCs/>
          <w:sz w:val="22"/>
          <w:szCs w:val="22"/>
          <w:lang w:eastAsia="en-IN"/>
        </w:rPr>
        <w:t>PHEROMONE SIGNALING IN SILKWORMS: FROM MATING TO METABOLIC REGULATION</w:t>
      </w:r>
    </w:p>
    <w:p w14:paraId="0E96E65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signaling in silkworms plays a crucial role in mating behavior and reproductive success. The primary sex pheromone, bombykol, is synthesized and released by females to attract males. This process is tightly regulated by the pheromone biosynthesis activating neuropeptide (PBAN), a member of the </w:t>
      </w:r>
      <w:proofErr w:type="spellStart"/>
      <w:r w:rsidRPr="005B6E3D">
        <w:rPr>
          <w:rFonts w:ascii="Arial" w:hAnsi="Arial" w:cs="Arial"/>
        </w:rPr>
        <w:t>pyrokinin</w:t>
      </w:r>
      <w:proofErr w:type="spellEnd"/>
      <w:r w:rsidRPr="005B6E3D">
        <w:rPr>
          <w:rFonts w:ascii="Arial" w:hAnsi="Arial" w:cs="Arial"/>
        </w:rPr>
        <w:t xml:space="preserve"> family of neuropeptides. PBAN is produced in the </w:t>
      </w:r>
      <w:proofErr w:type="spellStart"/>
      <w:r w:rsidRPr="005B6E3D">
        <w:rPr>
          <w:rFonts w:ascii="Arial" w:hAnsi="Arial" w:cs="Arial"/>
        </w:rPr>
        <w:t>subesophageal</w:t>
      </w:r>
      <w:proofErr w:type="spellEnd"/>
      <w:r w:rsidRPr="005B6E3D">
        <w:rPr>
          <w:rFonts w:ascii="Arial" w:hAnsi="Arial" w:cs="Arial"/>
        </w:rPr>
        <w:t xml:space="preserve"> ganglion and acts on the pheromone glands to stimulate pheromone production (Dou &amp; Jurenka, 2023). Recent transcriptomic analyses have identified PBAN genes across various insect species, highlighting its conserved role in pheromone biosynthesis. Additionally, studies have shown that PBAN's expression is regulated by environmental cues, such as photoperiod and temperature, which influence reproductive timing and diapause induction (Dou &amp; Jurenka, 2023; Shimizu, 2024).</w:t>
      </w:r>
    </w:p>
    <w:p w14:paraId="79E8A033" w14:textId="77777777" w:rsidR="00A60869" w:rsidRPr="005B6E3D" w:rsidRDefault="00A60869" w:rsidP="00155ADC">
      <w:pPr>
        <w:ind w:firstLine="720"/>
        <w:jc w:val="both"/>
        <w:rPr>
          <w:rFonts w:ascii="Arial" w:hAnsi="Arial" w:cs="Arial"/>
        </w:rPr>
      </w:pPr>
    </w:p>
    <w:p w14:paraId="4E0FC47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Mechanism of PBAN Action</w:t>
      </w:r>
    </w:p>
    <w:p w14:paraId="4DF0E4CB" w14:textId="77777777" w:rsidR="00155ADC" w:rsidRPr="005B6E3D" w:rsidRDefault="00155ADC" w:rsidP="00155ADC">
      <w:pPr>
        <w:ind w:firstLine="720"/>
        <w:jc w:val="both"/>
        <w:rPr>
          <w:rFonts w:ascii="Arial" w:hAnsi="Arial" w:cs="Arial"/>
        </w:rPr>
      </w:pPr>
      <w:r w:rsidRPr="005B6E3D">
        <w:rPr>
          <w:rFonts w:ascii="Arial" w:hAnsi="Arial" w:cs="Arial"/>
        </w:rPr>
        <w:t xml:space="preserve">Upon release, PBAN binds to its G-protein-coupled receptor, the pheromone biosynthesis activating neuropeptide receptor (PBANR), located on the pheromone gland cells. This binding initiates a signaling cascade involving the activation of intracellular calcium and cyclic antimicrobial peptides (cAMP) pathways. These secondary messengers lead to the activation of various enzymes responsible for the biosynthesis of bombykol. Recent studies have elucidated the detailed signaling mechanisms, highlighting the role of calcium/calmodulin-dependent protein kinase II in this process (Dou &amp; Jurenka, 2023; Zhang </w:t>
      </w:r>
      <w:r w:rsidRPr="005B6E3D">
        <w:rPr>
          <w:rFonts w:ascii="Arial" w:hAnsi="Arial" w:cs="Arial"/>
          <w:i/>
          <w:iCs/>
        </w:rPr>
        <w:t>et al.,</w:t>
      </w:r>
      <w:r w:rsidRPr="005B6E3D">
        <w:rPr>
          <w:rFonts w:ascii="Arial" w:hAnsi="Arial" w:cs="Arial"/>
        </w:rPr>
        <w:t xml:space="preserve"> 2025). Furthermore, pharmacological studies have demonstrated that inhibitors of calcium channels and protein kinase A can suppress PBAN-induced pheromone production, confirming the involvement of these pathways in PBAN signaling (Zhang </w:t>
      </w:r>
      <w:r w:rsidRPr="005B6E3D">
        <w:rPr>
          <w:rFonts w:ascii="Arial" w:hAnsi="Arial" w:cs="Arial"/>
          <w:i/>
          <w:iCs/>
        </w:rPr>
        <w:t>et al.,</w:t>
      </w:r>
      <w:r w:rsidRPr="005B6E3D">
        <w:rPr>
          <w:rFonts w:ascii="Arial" w:hAnsi="Arial" w:cs="Arial"/>
        </w:rPr>
        <w:t xml:space="preserve"> 2025).</w:t>
      </w:r>
    </w:p>
    <w:p w14:paraId="2BCF5891" w14:textId="77777777" w:rsidR="00A60869" w:rsidRPr="005B6E3D" w:rsidRDefault="00A60869" w:rsidP="00155ADC">
      <w:pPr>
        <w:ind w:firstLine="720"/>
        <w:jc w:val="both"/>
        <w:rPr>
          <w:rFonts w:ascii="Arial" w:hAnsi="Arial" w:cs="Arial"/>
        </w:rPr>
      </w:pPr>
    </w:p>
    <w:p w14:paraId="2D86183D" w14:textId="76E66E6F"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PBAN and Reproductive Behavio</w:t>
      </w:r>
      <w:r w:rsidR="00123408">
        <w:rPr>
          <w:rStyle w:val="Strong"/>
          <w:rFonts w:ascii="Arial" w:eastAsiaTheme="majorEastAsia" w:hAnsi="Arial" w:cs="Arial"/>
          <w:sz w:val="22"/>
          <w:szCs w:val="22"/>
        </w:rPr>
        <w:t>u</w:t>
      </w:r>
      <w:r w:rsidRPr="005B6E3D">
        <w:rPr>
          <w:rStyle w:val="Strong"/>
          <w:rFonts w:ascii="Arial" w:eastAsiaTheme="majorEastAsia" w:hAnsi="Arial" w:cs="Arial"/>
          <w:sz w:val="22"/>
          <w:szCs w:val="22"/>
        </w:rPr>
        <w:t>r</w:t>
      </w:r>
    </w:p>
    <w:p w14:paraId="0C5CA37F" w14:textId="77777777" w:rsidR="00155ADC" w:rsidRPr="005B6E3D" w:rsidRDefault="00155ADC" w:rsidP="00155ADC">
      <w:pPr>
        <w:ind w:firstLine="720"/>
        <w:jc w:val="both"/>
        <w:rPr>
          <w:rFonts w:ascii="Arial" w:hAnsi="Arial" w:cs="Arial"/>
        </w:rPr>
      </w:pPr>
      <w:r w:rsidRPr="005B6E3D">
        <w:rPr>
          <w:rFonts w:ascii="Arial" w:hAnsi="Arial" w:cs="Arial"/>
        </w:rPr>
        <w:t xml:space="preserve">Beyond its role in pheromone production, PBAN influences reproductive behavior. The presence of PBAN and its receptor in various tissues suggests a broader role in regulating reproductive physiology. For instance, PBAN signaling has been implicated in </w:t>
      </w:r>
      <w:r w:rsidRPr="005B6E3D">
        <w:rPr>
          <w:rFonts w:ascii="Arial" w:hAnsi="Arial" w:cs="Arial"/>
        </w:rPr>
        <w:lastRenderedPageBreak/>
        <w:t xml:space="preserve">modulating the activity of accessory glands and </w:t>
      </w:r>
      <w:proofErr w:type="spellStart"/>
      <w:r w:rsidRPr="005B6E3D">
        <w:rPr>
          <w:rFonts w:ascii="Arial" w:hAnsi="Arial" w:cs="Arial"/>
        </w:rPr>
        <w:t>gonoducts</w:t>
      </w:r>
      <w:proofErr w:type="spellEnd"/>
      <w:r w:rsidRPr="005B6E3D">
        <w:rPr>
          <w:rFonts w:ascii="Arial" w:hAnsi="Arial" w:cs="Arial"/>
        </w:rPr>
        <w:t>, which are essential for successful fertilization (</w:t>
      </w:r>
      <w:proofErr w:type="spellStart"/>
      <w:r w:rsidRPr="005B6E3D">
        <w:rPr>
          <w:rFonts w:ascii="Arial" w:hAnsi="Arial" w:cs="Arial"/>
        </w:rPr>
        <w:t>Čižmár</w:t>
      </w:r>
      <w:proofErr w:type="spellEnd"/>
      <w:r w:rsidRPr="005B6E3D">
        <w:rPr>
          <w:rFonts w:ascii="Arial" w:hAnsi="Arial" w:cs="Arial"/>
        </w:rPr>
        <w:t xml:space="preserve"> </w:t>
      </w:r>
      <w:r w:rsidRPr="005B6E3D">
        <w:rPr>
          <w:rFonts w:ascii="Arial" w:hAnsi="Arial" w:cs="Arial"/>
          <w:i/>
          <w:iCs/>
        </w:rPr>
        <w:t>et al.,</w:t>
      </w:r>
      <w:r w:rsidRPr="005B6E3D">
        <w:rPr>
          <w:rFonts w:ascii="Arial" w:hAnsi="Arial" w:cs="Arial"/>
        </w:rPr>
        <w:t xml:space="preserve"> 2019). Additionally, PBAN's involvement in energy metabolism, particularly in lipid mobilization, underscores its significance in supporting reproductive processes (Ohnishi </w:t>
      </w:r>
      <w:r w:rsidRPr="005B6E3D">
        <w:rPr>
          <w:rFonts w:ascii="Arial" w:hAnsi="Arial" w:cs="Arial"/>
          <w:i/>
          <w:iCs/>
        </w:rPr>
        <w:t>et al.,</w:t>
      </w:r>
      <w:r w:rsidRPr="005B6E3D">
        <w:rPr>
          <w:rFonts w:ascii="Arial" w:hAnsi="Arial" w:cs="Arial"/>
        </w:rPr>
        <w:t xml:space="preserve"> 2011). Studies have also shown that PBAN affects mating behavior by influencing the release of other neuropeptides that modulate sexual receptivity and courtship behavior (Tsuchiya </w:t>
      </w:r>
      <w:r w:rsidRPr="005B6E3D">
        <w:rPr>
          <w:rFonts w:ascii="Arial" w:hAnsi="Arial" w:cs="Arial"/>
          <w:i/>
          <w:iCs/>
        </w:rPr>
        <w:t>et al.,</w:t>
      </w:r>
      <w:r w:rsidRPr="005B6E3D">
        <w:rPr>
          <w:rFonts w:ascii="Arial" w:hAnsi="Arial" w:cs="Arial"/>
        </w:rPr>
        <w:t xml:space="preserve"> 2021).</w:t>
      </w:r>
    </w:p>
    <w:p w14:paraId="0792505E" w14:textId="77777777" w:rsidR="00A60869" w:rsidRPr="005B6E3D" w:rsidRDefault="00A60869" w:rsidP="00155ADC">
      <w:pPr>
        <w:ind w:firstLine="720"/>
        <w:jc w:val="both"/>
        <w:rPr>
          <w:rFonts w:ascii="Arial" w:hAnsi="Arial" w:cs="Arial"/>
        </w:rPr>
      </w:pPr>
    </w:p>
    <w:p w14:paraId="58F8EF9D"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Integration with Other Neuropeptides</w:t>
      </w:r>
    </w:p>
    <w:p w14:paraId="610D47E1" w14:textId="77777777" w:rsidR="00155ADC" w:rsidRPr="005B6E3D" w:rsidRDefault="00155ADC" w:rsidP="00155ADC">
      <w:pPr>
        <w:ind w:firstLine="720"/>
        <w:jc w:val="both"/>
        <w:rPr>
          <w:rFonts w:ascii="Arial" w:hAnsi="Arial" w:cs="Arial"/>
        </w:rPr>
      </w:pPr>
      <w:r w:rsidRPr="005B6E3D">
        <w:rPr>
          <w:rFonts w:ascii="Arial" w:hAnsi="Arial" w:cs="Arial"/>
        </w:rPr>
        <w:t xml:space="preserve">PBAN does not function in isolation; it interacts with other neuropeptides to coordinate reproductive events. For example, </w:t>
      </w:r>
      <w:proofErr w:type="spellStart"/>
      <w:r w:rsidRPr="005B6E3D">
        <w:rPr>
          <w:rFonts w:ascii="Arial" w:hAnsi="Arial" w:cs="Arial"/>
        </w:rPr>
        <w:t>allatotropins</w:t>
      </w:r>
      <w:proofErr w:type="spellEnd"/>
      <w:r w:rsidRPr="005B6E3D">
        <w:rPr>
          <w:rFonts w:ascii="Arial" w:hAnsi="Arial" w:cs="Arial"/>
        </w:rPr>
        <w:t xml:space="preserve"> and small neuropeptide F (</w:t>
      </w:r>
      <w:proofErr w:type="spellStart"/>
      <w:r w:rsidRPr="005B6E3D">
        <w:rPr>
          <w:rFonts w:ascii="Arial" w:hAnsi="Arial" w:cs="Arial"/>
        </w:rPr>
        <w:t>sNPF</w:t>
      </w:r>
      <w:proofErr w:type="spellEnd"/>
      <w:r w:rsidRPr="005B6E3D">
        <w:rPr>
          <w:rFonts w:ascii="Arial" w:hAnsi="Arial" w:cs="Arial"/>
        </w:rPr>
        <w:t xml:space="preserve">) have been shown to regulate post-mating refractoriness and reproductive system activity, indicating a complex network of neuropeptide signaling that governs reproductive timing and behavior (Zhu &amp; Nagata, 2025). Moreover, interactions between PBAN and other neuropeptides, such as </w:t>
      </w:r>
      <w:proofErr w:type="spellStart"/>
      <w:r w:rsidRPr="005B6E3D">
        <w:rPr>
          <w:rFonts w:ascii="Arial" w:hAnsi="Arial" w:cs="Arial"/>
        </w:rPr>
        <w:t>corazonin</w:t>
      </w:r>
      <w:proofErr w:type="spellEnd"/>
      <w:r w:rsidRPr="005B6E3D">
        <w:rPr>
          <w:rFonts w:ascii="Arial" w:hAnsi="Arial" w:cs="Arial"/>
        </w:rPr>
        <w:t xml:space="preserve"> and GABAergic signaling pathways, have been implicated in the regulation of diapause induction and termination, highlighting the interconnectedness of these signaling pathways in controlling reproductive cycles (Shimizu, 2024; Liu </w:t>
      </w:r>
      <w:r w:rsidRPr="005B6E3D">
        <w:rPr>
          <w:rFonts w:ascii="Arial" w:hAnsi="Arial" w:cs="Arial"/>
          <w:i/>
          <w:iCs/>
        </w:rPr>
        <w:t>et al.,</w:t>
      </w:r>
      <w:r w:rsidRPr="005B6E3D">
        <w:rPr>
          <w:rFonts w:ascii="Arial" w:hAnsi="Arial" w:cs="Arial"/>
        </w:rPr>
        <w:t xml:space="preserve"> 2025).</w:t>
      </w:r>
    </w:p>
    <w:p w14:paraId="6A3457C1" w14:textId="77777777" w:rsidR="00A60869" w:rsidRPr="005B6E3D" w:rsidRDefault="00A60869" w:rsidP="00155ADC">
      <w:pPr>
        <w:ind w:firstLine="720"/>
        <w:jc w:val="both"/>
        <w:rPr>
          <w:rFonts w:ascii="Arial" w:hAnsi="Arial" w:cs="Arial"/>
        </w:rPr>
      </w:pPr>
    </w:p>
    <w:p w14:paraId="558B6784"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Implications for Sericulture</w:t>
      </w:r>
    </w:p>
    <w:p w14:paraId="600F188E" w14:textId="77777777" w:rsidR="00155ADC" w:rsidRPr="005B6E3D" w:rsidRDefault="00155ADC" w:rsidP="00155ADC">
      <w:pPr>
        <w:ind w:firstLine="720"/>
        <w:jc w:val="both"/>
        <w:rPr>
          <w:rFonts w:ascii="Arial" w:hAnsi="Arial" w:cs="Arial"/>
        </w:rPr>
      </w:pPr>
      <w:r w:rsidRPr="005B6E3D">
        <w:rPr>
          <w:rFonts w:ascii="Arial" w:hAnsi="Arial" w:cs="Arial"/>
        </w:rPr>
        <w:t xml:space="preserve">Understanding the intricacies of PBAN signaling and its role in reproduction offers potential avenues for enhancing silk production. By manipulating PBAN pathways, it may be possible to optimize mating behaviors, synchronize reproductive cycles, and improve overall silk yield. Such insights are valuable for advancing sericulture practices and ensuring sustainable silk production. Recent advancements in gene editing technologies, such as CRISPR/Cas9, have enabled targeted manipulation of PBAN signaling components, providing tools for the development of silkworm strains with improved reproductive traits and increased silk productivity (Liu </w:t>
      </w:r>
      <w:r w:rsidRPr="005B6E3D">
        <w:rPr>
          <w:rFonts w:ascii="Arial" w:hAnsi="Arial" w:cs="Arial"/>
          <w:i/>
          <w:iCs/>
        </w:rPr>
        <w:t>et al.,</w:t>
      </w:r>
      <w:r w:rsidRPr="005B6E3D">
        <w:rPr>
          <w:rFonts w:ascii="Arial" w:hAnsi="Arial" w:cs="Arial"/>
        </w:rPr>
        <w:t xml:space="preserve"> 2025).</w:t>
      </w:r>
    </w:p>
    <w:p w14:paraId="79E8625F" w14:textId="1FEF6143" w:rsidR="00A60869" w:rsidRDefault="00A60869" w:rsidP="00155ADC">
      <w:pPr>
        <w:ind w:firstLine="720"/>
        <w:jc w:val="both"/>
        <w:rPr>
          <w:rFonts w:ascii="Arial" w:hAnsi="Arial" w:cs="Arial"/>
        </w:rPr>
      </w:pPr>
    </w:p>
    <w:p w14:paraId="3D7303CF" w14:textId="77777777" w:rsidR="0039117D" w:rsidRPr="005B6E3D" w:rsidRDefault="0039117D" w:rsidP="00155ADC">
      <w:pPr>
        <w:ind w:firstLine="720"/>
        <w:jc w:val="both"/>
        <w:rPr>
          <w:rFonts w:ascii="Arial" w:hAnsi="Arial" w:cs="Arial"/>
        </w:rPr>
      </w:pPr>
    </w:p>
    <w:p w14:paraId="3E2DE51D" w14:textId="77777777" w:rsidR="00155ADC" w:rsidRPr="005B6E3D" w:rsidRDefault="00A60869" w:rsidP="00155ADC">
      <w:pPr>
        <w:pStyle w:val="ListParagraph"/>
        <w:numPr>
          <w:ilvl w:val="0"/>
          <w:numId w:val="32"/>
        </w:numPr>
        <w:jc w:val="both"/>
        <w:rPr>
          <w:rFonts w:ascii="Arial" w:eastAsia="Times New Roman" w:hAnsi="Arial" w:cs="Arial"/>
          <w:b/>
          <w:bCs/>
          <w:kern w:val="0"/>
          <w:sz w:val="22"/>
          <w:szCs w:val="22"/>
          <w:lang w:eastAsia="en-IN"/>
        </w:rPr>
      </w:pPr>
      <w:r w:rsidRPr="005B6E3D">
        <w:rPr>
          <w:rFonts w:ascii="Arial" w:eastAsia="Times New Roman" w:hAnsi="Arial" w:cs="Arial"/>
          <w:b/>
          <w:bCs/>
          <w:kern w:val="0"/>
          <w:sz w:val="22"/>
          <w:szCs w:val="22"/>
          <w:lang w:eastAsia="en-IN"/>
        </w:rPr>
        <w:t>NEUROPEPTIDES AND HORMONAL INTERACTIONS IN DEVELOPMENTAL TIMING</w:t>
      </w:r>
    </w:p>
    <w:p w14:paraId="01BB6819" w14:textId="77777777" w:rsidR="00155ADC" w:rsidRPr="005B6E3D" w:rsidRDefault="00155ADC" w:rsidP="00155ADC">
      <w:pPr>
        <w:ind w:firstLine="720"/>
        <w:jc w:val="both"/>
        <w:rPr>
          <w:rFonts w:ascii="Arial" w:hAnsi="Arial" w:cs="Arial"/>
        </w:rPr>
      </w:pPr>
      <w:r w:rsidRPr="005B6E3D">
        <w:rPr>
          <w:rFonts w:ascii="Arial" w:hAnsi="Arial" w:cs="Arial"/>
        </w:rPr>
        <w:t xml:space="preserve">Insects use a coordinated neuroendocrine network to convert environmental cues, such as photoperiod, temperature, nutrition into developmental outcomes such as diapause and reproductive maturation. Central to this network are peptide hormones and classic endocrine factors that act at multiple levels, from neurosecretory release to peripheral endocrine glands, producing tightly timed shifts in physiology and </w:t>
      </w:r>
      <w:proofErr w:type="spellStart"/>
      <w:r w:rsidRPr="005B6E3D">
        <w:rPr>
          <w:rFonts w:ascii="Arial" w:hAnsi="Arial" w:cs="Arial"/>
        </w:rPr>
        <w:t>behaviour</w:t>
      </w:r>
      <w:proofErr w:type="spellEnd"/>
      <w:r w:rsidRPr="005B6E3D">
        <w:rPr>
          <w:rFonts w:ascii="Arial" w:hAnsi="Arial" w:cs="Arial"/>
        </w:rPr>
        <w:t xml:space="preserve"> (Hand </w:t>
      </w:r>
      <w:r w:rsidRPr="005B6E3D">
        <w:rPr>
          <w:rFonts w:ascii="Arial" w:hAnsi="Arial" w:cs="Arial"/>
          <w:i/>
          <w:iCs/>
        </w:rPr>
        <w:t>et al.,</w:t>
      </w:r>
      <w:r w:rsidRPr="005B6E3D">
        <w:rPr>
          <w:rFonts w:ascii="Arial" w:hAnsi="Arial" w:cs="Arial"/>
        </w:rPr>
        <w:t xml:space="preserve"> 2016; Dou &amp; Jurenka, 2023).</w:t>
      </w:r>
    </w:p>
    <w:p w14:paraId="66EFB03F" w14:textId="77777777" w:rsidR="00A60869" w:rsidRPr="005B6E3D" w:rsidRDefault="00A60869" w:rsidP="00155ADC">
      <w:pPr>
        <w:ind w:firstLine="720"/>
        <w:jc w:val="both"/>
        <w:rPr>
          <w:rFonts w:ascii="Arial" w:hAnsi="Arial" w:cs="Arial"/>
        </w:rPr>
      </w:pPr>
    </w:p>
    <w:p w14:paraId="0D954367"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Diapause hormone (DH)</w:t>
      </w:r>
    </w:p>
    <w:p w14:paraId="3247825D" w14:textId="18B83780" w:rsidR="00155ADC" w:rsidRPr="005B6E3D" w:rsidRDefault="00155ADC" w:rsidP="00155ADC">
      <w:pPr>
        <w:ind w:firstLine="720"/>
        <w:jc w:val="both"/>
        <w:rPr>
          <w:rFonts w:ascii="Arial" w:hAnsi="Arial" w:cs="Arial"/>
        </w:rPr>
      </w:pPr>
      <w:r w:rsidRPr="005B6E3D">
        <w:rPr>
          <w:rFonts w:ascii="Arial" w:hAnsi="Arial" w:cs="Arial"/>
        </w:rPr>
        <w:t xml:space="preserve">Diapause hormone is a </w:t>
      </w:r>
      <w:proofErr w:type="spellStart"/>
      <w:r w:rsidRPr="005B6E3D">
        <w:rPr>
          <w:rFonts w:ascii="Arial" w:hAnsi="Arial" w:cs="Arial"/>
        </w:rPr>
        <w:t>pyrokinin</w:t>
      </w:r>
      <w:proofErr w:type="spellEnd"/>
      <w:r w:rsidRPr="005B6E3D">
        <w:rPr>
          <w:rFonts w:ascii="Arial" w:hAnsi="Arial" w:cs="Arial"/>
        </w:rPr>
        <w:t xml:space="preserve">-family neuropeptide that directly triggers diapause in many species by acting on embryonic or maternal tissues depending on life-history strategy. DH release is regulated by photoperiodic and circadian inputs, and its downstream effects include metabolic reprogramming (e.g., glycogen or lipid accumulation) that secures a diapause state (Hand </w:t>
      </w:r>
      <w:r w:rsidRPr="005B6E3D">
        <w:rPr>
          <w:rFonts w:ascii="Arial" w:hAnsi="Arial" w:cs="Arial"/>
          <w:i/>
          <w:iCs/>
        </w:rPr>
        <w:t>et al.,</w:t>
      </w:r>
      <w:r w:rsidRPr="005B6E3D">
        <w:rPr>
          <w:rFonts w:ascii="Arial" w:hAnsi="Arial" w:cs="Arial"/>
        </w:rPr>
        <w:t xml:space="preserve"> 2016; Dou </w:t>
      </w:r>
      <w:r w:rsidR="00EA03AE" w:rsidRPr="005B6E3D">
        <w:rPr>
          <w:rFonts w:ascii="Arial" w:hAnsi="Arial" w:cs="Arial"/>
          <w:i/>
          <w:iCs/>
        </w:rPr>
        <w:t xml:space="preserve">&amp; </w:t>
      </w:r>
      <w:r w:rsidR="00EA03AE" w:rsidRPr="005B6E3D">
        <w:rPr>
          <w:rFonts w:ascii="Arial" w:hAnsi="Arial" w:cs="Arial"/>
        </w:rPr>
        <w:t>Jurenka,</w:t>
      </w:r>
      <w:r w:rsidRPr="005B6E3D">
        <w:rPr>
          <w:rFonts w:ascii="Arial" w:hAnsi="Arial" w:cs="Arial"/>
        </w:rPr>
        <w:t xml:space="preserve"> 2023). Recent syntheses highlight how receptor variation and </w:t>
      </w:r>
      <w:proofErr w:type="spellStart"/>
      <w:r w:rsidRPr="005B6E3D">
        <w:rPr>
          <w:rFonts w:ascii="Arial" w:hAnsi="Arial" w:cs="Arial"/>
        </w:rPr>
        <w:t>signalling</w:t>
      </w:r>
      <w:proofErr w:type="spellEnd"/>
      <w:r w:rsidRPr="005B6E3D">
        <w:rPr>
          <w:rFonts w:ascii="Arial" w:hAnsi="Arial" w:cs="Arial"/>
        </w:rPr>
        <w:t xml:space="preserve"> context determine whether DH elicits embryonic diapause, larval arrest, or modifications to development rate, and new reviews emphasize the conserved role of DH across taxa while noting species-specific deployment strategies (Dou &amp; Jurenka, 2023; Izadi, 2025).</w:t>
      </w:r>
    </w:p>
    <w:p w14:paraId="04A65BB7" w14:textId="77777777" w:rsidR="00A60869" w:rsidRPr="005B6E3D" w:rsidRDefault="00A60869" w:rsidP="00155ADC">
      <w:pPr>
        <w:ind w:firstLine="720"/>
        <w:jc w:val="both"/>
        <w:rPr>
          <w:rFonts w:ascii="Arial" w:hAnsi="Arial" w:cs="Arial"/>
        </w:rPr>
      </w:pPr>
    </w:p>
    <w:p w14:paraId="7C610040"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lastRenderedPageBreak/>
        <w:t xml:space="preserve"> Juvenile hormone (JH)</w:t>
      </w:r>
    </w:p>
    <w:p w14:paraId="3053889E" w14:textId="77777777" w:rsidR="00155ADC" w:rsidRPr="005B6E3D" w:rsidRDefault="00155ADC" w:rsidP="00155ADC">
      <w:pPr>
        <w:ind w:firstLine="720"/>
        <w:jc w:val="both"/>
        <w:rPr>
          <w:rFonts w:ascii="Arial" w:hAnsi="Arial" w:cs="Arial"/>
        </w:rPr>
      </w:pPr>
      <w:r w:rsidRPr="005B6E3D">
        <w:rPr>
          <w:rFonts w:ascii="Arial" w:hAnsi="Arial" w:cs="Arial"/>
        </w:rPr>
        <w:t xml:space="preserve">Juvenile hormone is the principal endocrine regulator that integrates developmental and reproductive decisions. Low JH </w:t>
      </w:r>
      <w:proofErr w:type="spellStart"/>
      <w:r w:rsidRPr="005B6E3D">
        <w:rPr>
          <w:rFonts w:ascii="Arial" w:hAnsi="Arial" w:cs="Arial"/>
        </w:rPr>
        <w:t>titres</w:t>
      </w:r>
      <w:proofErr w:type="spellEnd"/>
      <w:r w:rsidRPr="005B6E3D">
        <w:rPr>
          <w:rFonts w:ascii="Arial" w:hAnsi="Arial" w:cs="Arial"/>
        </w:rPr>
        <w:t xml:space="preserve"> are commonly associated with diapause and reproductive arrest, whereas restored JH promotes gonadal maturation and reproductive activity (Zhou </w:t>
      </w:r>
      <w:r w:rsidRPr="005B6E3D">
        <w:rPr>
          <w:rFonts w:ascii="Arial" w:hAnsi="Arial" w:cs="Arial"/>
          <w:i/>
          <w:iCs/>
        </w:rPr>
        <w:t>et al.,</w:t>
      </w:r>
      <w:r w:rsidRPr="005B6E3D">
        <w:rPr>
          <w:rFonts w:ascii="Arial" w:hAnsi="Arial" w:cs="Arial"/>
        </w:rPr>
        <w:t xml:space="preserve"> 2022). Modulation of JH is achieved both by changing biosynthesis in the corpora </w:t>
      </w:r>
      <w:proofErr w:type="spellStart"/>
      <w:r w:rsidRPr="005B6E3D">
        <w:rPr>
          <w:rFonts w:ascii="Arial" w:hAnsi="Arial" w:cs="Arial"/>
        </w:rPr>
        <w:t>allata</w:t>
      </w:r>
      <w:proofErr w:type="spellEnd"/>
      <w:r w:rsidRPr="005B6E3D">
        <w:rPr>
          <w:rFonts w:ascii="Arial" w:hAnsi="Arial" w:cs="Arial"/>
        </w:rPr>
        <w:t xml:space="preserve"> and by altering degradation through juvenile hormone esterase (JHE) and juvenile hormone epoxide hydrolase (JHEH), processes shown experimentally to promote or terminate diapause in diverse insects (Li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2021). Importantly, JH </w:t>
      </w:r>
      <w:proofErr w:type="spellStart"/>
      <w:r w:rsidRPr="005B6E3D">
        <w:rPr>
          <w:rFonts w:ascii="Arial" w:hAnsi="Arial" w:cs="Arial"/>
        </w:rPr>
        <w:t>signalling</w:t>
      </w:r>
      <w:proofErr w:type="spellEnd"/>
      <w:r w:rsidRPr="005B6E3D">
        <w:rPr>
          <w:rFonts w:ascii="Arial" w:hAnsi="Arial" w:cs="Arial"/>
        </w:rPr>
        <w:t xml:space="preserve"> interacts with nutrient-sensing pathways (insulin/FOXO [</w:t>
      </w:r>
      <w:proofErr w:type="spellStart"/>
      <w:r w:rsidRPr="005B6E3D">
        <w:rPr>
          <w:rFonts w:ascii="Arial" w:hAnsi="Arial" w:cs="Arial"/>
        </w:rPr>
        <w:t>Forkhead</w:t>
      </w:r>
      <w:proofErr w:type="spellEnd"/>
      <w:r w:rsidRPr="005B6E3D">
        <w:rPr>
          <w:rFonts w:ascii="Arial" w:hAnsi="Arial" w:cs="Arial"/>
        </w:rPr>
        <w:t xml:space="preserve"> box O] axis) and </w:t>
      </w:r>
      <w:proofErr w:type="spellStart"/>
      <w:r w:rsidRPr="005B6E3D">
        <w:rPr>
          <w:rFonts w:ascii="Arial" w:hAnsi="Arial" w:cs="Arial"/>
        </w:rPr>
        <w:t>ecdysteroids</w:t>
      </w:r>
      <w:proofErr w:type="spellEnd"/>
      <w:r w:rsidRPr="005B6E3D">
        <w:rPr>
          <w:rFonts w:ascii="Arial" w:hAnsi="Arial" w:cs="Arial"/>
        </w:rPr>
        <w:t>, providing a multi-node control system that couples environmental information to reproduction and lifespan trade-offs (</w:t>
      </w:r>
      <w:proofErr w:type="spellStart"/>
      <w:r w:rsidRPr="005B6E3D">
        <w:rPr>
          <w:rFonts w:ascii="Arial" w:hAnsi="Arial" w:cs="Arial"/>
        </w:rPr>
        <w:t>Hutfilz</w:t>
      </w:r>
      <w:proofErr w:type="spellEnd"/>
      <w:r w:rsidRPr="005B6E3D">
        <w:rPr>
          <w:rFonts w:ascii="Arial" w:hAnsi="Arial" w:cs="Arial"/>
        </w:rPr>
        <w:t xml:space="preserve">, 2022; Zhou </w:t>
      </w:r>
      <w:r w:rsidRPr="005B6E3D">
        <w:rPr>
          <w:rFonts w:ascii="Arial" w:hAnsi="Arial" w:cs="Arial"/>
          <w:i/>
          <w:iCs/>
        </w:rPr>
        <w:t>et al.,</w:t>
      </w:r>
      <w:r w:rsidRPr="005B6E3D">
        <w:rPr>
          <w:rFonts w:ascii="Arial" w:hAnsi="Arial" w:cs="Arial"/>
        </w:rPr>
        <w:t xml:space="preserve"> 2022).</w:t>
      </w:r>
    </w:p>
    <w:p w14:paraId="22991769" w14:textId="77777777" w:rsidR="00A60869" w:rsidRPr="005B6E3D" w:rsidRDefault="00A60869" w:rsidP="00155ADC">
      <w:pPr>
        <w:ind w:firstLine="720"/>
        <w:jc w:val="both"/>
        <w:rPr>
          <w:rFonts w:ascii="Arial" w:hAnsi="Arial" w:cs="Arial"/>
        </w:rPr>
      </w:pPr>
    </w:p>
    <w:p w14:paraId="0FACE87F"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w:t>
      </w:r>
      <w:proofErr w:type="spellStart"/>
      <w:r w:rsidRPr="005B6E3D">
        <w:rPr>
          <w:rStyle w:val="Strong"/>
          <w:rFonts w:ascii="Arial" w:eastAsiaTheme="majorEastAsia" w:hAnsi="Arial" w:cs="Arial"/>
          <w:sz w:val="22"/>
          <w:szCs w:val="22"/>
        </w:rPr>
        <w:t>Allatotropins</w:t>
      </w:r>
      <w:proofErr w:type="spellEnd"/>
      <w:r w:rsidRPr="005B6E3D">
        <w:rPr>
          <w:rStyle w:val="Strong"/>
          <w:rFonts w:ascii="Arial" w:eastAsiaTheme="majorEastAsia" w:hAnsi="Arial" w:cs="Arial"/>
          <w:sz w:val="22"/>
          <w:szCs w:val="22"/>
        </w:rPr>
        <w:t xml:space="preserve"> and </w:t>
      </w:r>
      <w:proofErr w:type="spellStart"/>
      <w:r w:rsidRPr="005B6E3D">
        <w:rPr>
          <w:rStyle w:val="Strong"/>
          <w:rFonts w:ascii="Arial" w:eastAsiaTheme="majorEastAsia" w:hAnsi="Arial" w:cs="Arial"/>
          <w:sz w:val="22"/>
          <w:szCs w:val="22"/>
        </w:rPr>
        <w:t>allatostatins</w:t>
      </w:r>
      <w:proofErr w:type="spellEnd"/>
    </w:p>
    <w:p w14:paraId="77601478" w14:textId="77777777" w:rsidR="00155ADC" w:rsidRPr="005B6E3D" w:rsidRDefault="00155ADC" w:rsidP="00155ADC">
      <w:pPr>
        <w:ind w:firstLine="720"/>
        <w:jc w:val="both"/>
        <w:rPr>
          <w:rFonts w:ascii="Arial" w:hAnsi="Arial" w:cs="Arial"/>
        </w:rPr>
      </w:pPr>
      <w:proofErr w:type="spellStart"/>
      <w:r w:rsidRPr="005B6E3D">
        <w:rPr>
          <w:rFonts w:ascii="Arial" w:hAnsi="Arial" w:cs="Arial"/>
        </w:rPr>
        <w:t>Allatoregulatory</w:t>
      </w:r>
      <w:proofErr w:type="spellEnd"/>
      <w:r w:rsidRPr="005B6E3D">
        <w:rPr>
          <w:rFonts w:ascii="Arial" w:hAnsi="Arial" w:cs="Arial"/>
        </w:rPr>
        <w:t xml:space="preserve"> peptides, </w:t>
      </w:r>
      <w:proofErr w:type="spellStart"/>
      <w:r w:rsidRPr="005B6E3D">
        <w:rPr>
          <w:rFonts w:ascii="Arial" w:hAnsi="Arial" w:cs="Arial"/>
        </w:rPr>
        <w:t>allatotropins</w:t>
      </w:r>
      <w:proofErr w:type="spellEnd"/>
      <w:r w:rsidRPr="005B6E3D">
        <w:rPr>
          <w:rFonts w:ascii="Arial" w:hAnsi="Arial" w:cs="Arial"/>
        </w:rPr>
        <w:t xml:space="preserve"> (ATs) and </w:t>
      </w:r>
      <w:proofErr w:type="spellStart"/>
      <w:r w:rsidRPr="005B6E3D">
        <w:rPr>
          <w:rFonts w:ascii="Arial" w:hAnsi="Arial" w:cs="Arial"/>
        </w:rPr>
        <w:t>allatostatins</w:t>
      </w:r>
      <w:proofErr w:type="spellEnd"/>
      <w:r w:rsidRPr="005B6E3D">
        <w:rPr>
          <w:rFonts w:ascii="Arial" w:hAnsi="Arial" w:cs="Arial"/>
        </w:rPr>
        <w:t xml:space="preserve"> (ASTs; A, B and C families) act as upstream modulators of JH biosynthesis and thus exert strong control over diapause and reproductive timing. ATs stimulate corpora </w:t>
      </w:r>
      <w:proofErr w:type="spellStart"/>
      <w:r w:rsidRPr="005B6E3D">
        <w:rPr>
          <w:rFonts w:ascii="Arial" w:hAnsi="Arial" w:cs="Arial"/>
        </w:rPr>
        <w:t>allata</w:t>
      </w:r>
      <w:proofErr w:type="spellEnd"/>
      <w:r w:rsidRPr="005B6E3D">
        <w:rPr>
          <w:rFonts w:ascii="Arial" w:hAnsi="Arial" w:cs="Arial"/>
        </w:rPr>
        <w:t xml:space="preserve"> activity and can promote JH synthesis and related reproductive processes, while ASTs inhibit JH production and support transitions into diapause or quiescence (Alzugaray &amp; Ronderos, 2018; Wegener &amp; Chen, 2022). Recent functional and receptor studies, including AST-C characterizations and discovery of AST-C receptor ligands, show that AST </w:t>
      </w:r>
      <w:proofErr w:type="spellStart"/>
      <w:r w:rsidRPr="005B6E3D">
        <w:rPr>
          <w:rFonts w:ascii="Arial" w:hAnsi="Arial" w:cs="Arial"/>
        </w:rPr>
        <w:t>signalling</w:t>
      </w:r>
      <w:proofErr w:type="spellEnd"/>
      <w:r w:rsidRPr="005B6E3D">
        <w:rPr>
          <w:rFonts w:ascii="Arial" w:hAnsi="Arial" w:cs="Arial"/>
        </w:rPr>
        <w:t xml:space="preserve"> is pleiotropic, modulating feeding, circadian physiology and stress responses in ways that bias the organism toward diapause or reproduction depending on context (Sun </w:t>
      </w:r>
      <w:r w:rsidRPr="005B6E3D">
        <w:rPr>
          <w:rFonts w:ascii="Arial" w:hAnsi="Arial" w:cs="Arial"/>
          <w:i/>
          <w:iCs/>
        </w:rPr>
        <w:t>et al.,</w:t>
      </w:r>
      <w:r w:rsidRPr="005B6E3D">
        <w:rPr>
          <w:rFonts w:ascii="Arial" w:hAnsi="Arial" w:cs="Arial"/>
        </w:rPr>
        <w:t xml:space="preserve"> 2022; Kahveci </w:t>
      </w:r>
      <w:r w:rsidRPr="005B6E3D">
        <w:rPr>
          <w:rFonts w:ascii="Arial" w:hAnsi="Arial" w:cs="Arial"/>
          <w:i/>
          <w:iCs/>
        </w:rPr>
        <w:t>et al.,</w:t>
      </w:r>
      <w:r w:rsidRPr="005B6E3D">
        <w:rPr>
          <w:rFonts w:ascii="Arial" w:hAnsi="Arial" w:cs="Arial"/>
        </w:rPr>
        <w:t xml:space="preserve"> 2024).</w:t>
      </w:r>
    </w:p>
    <w:p w14:paraId="5872D2CB" w14:textId="77777777" w:rsidR="00A60869" w:rsidRPr="005B6E3D" w:rsidRDefault="00A60869" w:rsidP="00155ADC">
      <w:pPr>
        <w:ind w:firstLine="720"/>
        <w:jc w:val="both"/>
        <w:rPr>
          <w:rFonts w:ascii="Arial" w:hAnsi="Arial" w:cs="Arial"/>
        </w:rPr>
      </w:pPr>
    </w:p>
    <w:p w14:paraId="3BFE329C" w14:textId="77777777" w:rsidR="00155ADC" w:rsidRPr="005B6E3D" w:rsidRDefault="00155ADC" w:rsidP="00155ADC">
      <w:pPr>
        <w:pStyle w:val="ListParagraph"/>
        <w:numPr>
          <w:ilvl w:val="1"/>
          <w:numId w:val="32"/>
        </w:numPr>
        <w:jc w:val="both"/>
        <w:rPr>
          <w:rFonts w:ascii="Arial" w:hAnsi="Arial" w:cs="Arial"/>
          <w:sz w:val="22"/>
          <w:szCs w:val="22"/>
        </w:rPr>
      </w:pPr>
      <w:r w:rsidRPr="005B6E3D">
        <w:rPr>
          <w:rStyle w:val="Strong"/>
          <w:rFonts w:ascii="Arial" w:eastAsiaTheme="majorEastAsia" w:hAnsi="Arial" w:cs="Arial"/>
          <w:sz w:val="22"/>
          <w:szCs w:val="22"/>
        </w:rPr>
        <w:t xml:space="preserve"> Network-level crosstalk and integration with pheromone pathways</w:t>
      </w:r>
    </w:p>
    <w:p w14:paraId="3C0B51A1" w14:textId="77777777" w:rsidR="00685C25" w:rsidRDefault="00155ADC" w:rsidP="00155ADC">
      <w:pPr>
        <w:ind w:firstLine="720"/>
        <w:jc w:val="both"/>
        <w:rPr>
          <w:rFonts w:ascii="Arial" w:hAnsi="Arial" w:cs="Arial"/>
        </w:rPr>
      </w:pPr>
      <w:r w:rsidRPr="005B6E3D">
        <w:rPr>
          <w:rFonts w:ascii="Arial" w:hAnsi="Arial" w:cs="Arial"/>
        </w:rPr>
        <w:t>These peptide/hormone systems do not act in isolation. PBAN-family peptides</w:t>
      </w:r>
      <w:r w:rsidR="001D3FD8" w:rsidRPr="005B6E3D">
        <w:rPr>
          <w:rFonts w:ascii="Arial" w:hAnsi="Arial" w:cs="Arial"/>
        </w:rPr>
        <w:t>, i</w:t>
      </w:r>
      <w:r w:rsidRPr="005B6E3D">
        <w:rPr>
          <w:rFonts w:ascii="Arial" w:hAnsi="Arial" w:cs="Arial"/>
        </w:rPr>
        <w:t>ncluding PBAN and DH members</w:t>
      </w:r>
      <w:r w:rsidR="001D3FD8" w:rsidRPr="005B6E3D">
        <w:rPr>
          <w:rFonts w:ascii="Arial" w:hAnsi="Arial" w:cs="Arial"/>
        </w:rPr>
        <w:t xml:space="preserve">, </w:t>
      </w:r>
      <w:r w:rsidRPr="005B6E3D">
        <w:rPr>
          <w:rFonts w:ascii="Arial" w:hAnsi="Arial" w:cs="Arial"/>
        </w:rPr>
        <w:t xml:space="preserve">link pheromone biosynthesis and diapause pathways at the neuroendocrine level. PBAN stimulates pheromone gland biosynthesis via PBAN </w:t>
      </w:r>
    </w:p>
    <w:p w14:paraId="21E85D9F" w14:textId="442716C3" w:rsidR="00155ADC" w:rsidRDefault="00155ADC" w:rsidP="00155ADC">
      <w:pPr>
        <w:ind w:firstLine="720"/>
        <w:jc w:val="both"/>
        <w:rPr>
          <w:rFonts w:ascii="Arial" w:hAnsi="Arial" w:cs="Arial"/>
        </w:rPr>
      </w:pPr>
      <w:r w:rsidRPr="005B6E3D">
        <w:rPr>
          <w:rFonts w:ascii="Arial" w:hAnsi="Arial" w:cs="Arial"/>
        </w:rPr>
        <w:t xml:space="preserve">receptors and second messenger cascades; the production and release of PBAN-family peptides are sensitive to JH status and to circadian/photoperiodic regulators, creating feedback loops that align mating </w:t>
      </w:r>
      <w:proofErr w:type="spellStart"/>
      <w:r w:rsidRPr="005B6E3D">
        <w:rPr>
          <w:rFonts w:ascii="Arial" w:hAnsi="Arial" w:cs="Arial"/>
        </w:rPr>
        <w:t>behaviour</w:t>
      </w:r>
      <w:proofErr w:type="spellEnd"/>
      <w:r w:rsidRPr="005B6E3D">
        <w:rPr>
          <w:rFonts w:ascii="Arial" w:hAnsi="Arial" w:cs="Arial"/>
        </w:rPr>
        <w:t xml:space="preserve"> with reproductive readiness and seasonal timing (Dou &amp; Jurenka, 2023; Cha </w:t>
      </w:r>
      <w:r w:rsidRPr="005B6E3D">
        <w:rPr>
          <w:rFonts w:ascii="Arial" w:hAnsi="Arial" w:cs="Arial"/>
          <w:i/>
          <w:iCs/>
        </w:rPr>
        <w:t>et al.,</w:t>
      </w:r>
      <w:r w:rsidRPr="005B6E3D">
        <w:rPr>
          <w:rFonts w:ascii="Arial" w:hAnsi="Arial" w:cs="Arial"/>
        </w:rPr>
        <w:t xml:space="preserve"> 2023). Likewise, </w:t>
      </w:r>
      <w:proofErr w:type="spellStart"/>
      <w:r w:rsidRPr="005B6E3D">
        <w:rPr>
          <w:rFonts w:ascii="Arial" w:hAnsi="Arial" w:cs="Arial"/>
        </w:rPr>
        <w:t>allatostatins</w:t>
      </w:r>
      <w:proofErr w:type="spellEnd"/>
      <w:r w:rsidRPr="005B6E3D">
        <w:rPr>
          <w:rFonts w:ascii="Arial" w:hAnsi="Arial" w:cs="Arial"/>
        </w:rPr>
        <w:t xml:space="preserve"> and </w:t>
      </w:r>
      <w:proofErr w:type="spellStart"/>
      <w:r w:rsidRPr="005B6E3D">
        <w:rPr>
          <w:rFonts w:ascii="Arial" w:hAnsi="Arial" w:cs="Arial"/>
        </w:rPr>
        <w:t>allatotropins</w:t>
      </w:r>
      <w:proofErr w:type="spellEnd"/>
      <w:r w:rsidRPr="005B6E3D">
        <w:rPr>
          <w:rFonts w:ascii="Arial" w:hAnsi="Arial" w:cs="Arial"/>
        </w:rPr>
        <w:t xml:space="preserve"> modulate corpora </w:t>
      </w:r>
      <w:proofErr w:type="spellStart"/>
      <w:r w:rsidRPr="005B6E3D">
        <w:rPr>
          <w:rFonts w:ascii="Arial" w:hAnsi="Arial" w:cs="Arial"/>
        </w:rPr>
        <w:t>allata</w:t>
      </w:r>
      <w:proofErr w:type="spellEnd"/>
      <w:r w:rsidRPr="005B6E3D">
        <w:rPr>
          <w:rFonts w:ascii="Arial" w:hAnsi="Arial" w:cs="Arial"/>
        </w:rPr>
        <w:t xml:space="preserve"> output and thereby alter PBAN-sensitive processes indirectly by changing JH </w:t>
      </w:r>
      <w:proofErr w:type="spellStart"/>
      <w:r w:rsidRPr="005B6E3D">
        <w:rPr>
          <w:rFonts w:ascii="Arial" w:hAnsi="Arial" w:cs="Arial"/>
        </w:rPr>
        <w:t>titres</w:t>
      </w:r>
      <w:proofErr w:type="spellEnd"/>
      <w:r w:rsidRPr="005B6E3D">
        <w:rPr>
          <w:rFonts w:ascii="Arial" w:hAnsi="Arial" w:cs="Arial"/>
        </w:rPr>
        <w:t xml:space="preserve">. The result is a multilayered regulatory web in which photoperiodic inputs, clock genes, neuropeptide release and endocrine gland responses converge to determine whether an insect invests in immediate reproduction or enters diapause (Hand </w:t>
      </w:r>
      <w:r w:rsidRPr="005B6E3D">
        <w:rPr>
          <w:rFonts w:ascii="Arial" w:hAnsi="Arial" w:cs="Arial"/>
          <w:i/>
          <w:iCs/>
        </w:rPr>
        <w:t>et al.,</w:t>
      </w:r>
      <w:r w:rsidRPr="005B6E3D">
        <w:rPr>
          <w:rFonts w:ascii="Arial" w:hAnsi="Arial" w:cs="Arial"/>
        </w:rPr>
        <w:t xml:space="preserve"> 2016; Song &amp; Stanley, 2024; Dou &amp; Jurenka, 2023). The major neuropeptides and hormones implicated in diapause, reproductive regulation, and silk yield, along with their principal functions, are summarized in Table 1.</w:t>
      </w:r>
    </w:p>
    <w:p w14:paraId="2AA11EC4" w14:textId="02261C93" w:rsidR="00123408" w:rsidRDefault="00123408" w:rsidP="00155ADC">
      <w:pPr>
        <w:ind w:firstLine="720"/>
        <w:jc w:val="both"/>
        <w:rPr>
          <w:rFonts w:ascii="Arial" w:hAnsi="Arial" w:cs="Arial"/>
        </w:rPr>
      </w:pPr>
    </w:p>
    <w:p w14:paraId="0B22DEF0" w14:textId="53CF651F" w:rsidR="00123408" w:rsidRDefault="00123408" w:rsidP="00155ADC">
      <w:pPr>
        <w:ind w:firstLine="720"/>
        <w:jc w:val="both"/>
        <w:rPr>
          <w:rFonts w:ascii="Arial" w:hAnsi="Arial" w:cs="Arial"/>
        </w:rPr>
      </w:pPr>
    </w:p>
    <w:p w14:paraId="56672F1E" w14:textId="4F876CC9" w:rsidR="00123408" w:rsidRDefault="00123408" w:rsidP="00155ADC">
      <w:pPr>
        <w:ind w:firstLine="720"/>
        <w:jc w:val="both"/>
        <w:rPr>
          <w:rFonts w:ascii="Arial" w:hAnsi="Arial" w:cs="Arial"/>
        </w:rPr>
      </w:pPr>
    </w:p>
    <w:p w14:paraId="19654186" w14:textId="5C8F77BC" w:rsidR="00123408" w:rsidRDefault="00123408" w:rsidP="00155ADC">
      <w:pPr>
        <w:ind w:firstLine="720"/>
        <w:jc w:val="both"/>
        <w:rPr>
          <w:rFonts w:ascii="Arial" w:hAnsi="Arial" w:cs="Arial"/>
        </w:rPr>
      </w:pPr>
    </w:p>
    <w:p w14:paraId="06F16122" w14:textId="75281629" w:rsidR="00123408" w:rsidRDefault="00123408" w:rsidP="00155ADC">
      <w:pPr>
        <w:ind w:firstLine="720"/>
        <w:jc w:val="both"/>
        <w:rPr>
          <w:rFonts w:ascii="Arial" w:hAnsi="Arial" w:cs="Arial"/>
        </w:rPr>
      </w:pPr>
    </w:p>
    <w:p w14:paraId="1DE727AB" w14:textId="47E99FDD" w:rsidR="00123408" w:rsidRDefault="00123408" w:rsidP="00155ADC">
      <w:pPr>
        <w:ind w:firstLine="720"/>
        <w:jc w:val="both"/>
        <w:rPr>
          <w:rFonts w:ascii="Arial" w:hAnsi="Arial" w:cs="Arial"/>
        </w:rPr>
      </w:pPr>
    </w:p>
    <w:p w14:paraId="68A6CBD5" w14:textId="61E68F75" w:rsidR="00123408" w:rsidRDefault="00123408" w:rsidP="00155ADC">
      <w:pPr>
        <w:ind w:firstLine="720"/>
        <w:jc w:val="both"/>
        <w:rPr>
          <w:rFonts w:ascii="Arial" w:hAnsi="Arial" w:cs="Arial"/>
        </w:rPr>
      </w:pPr>
    </w:p>
    <w:p w14:paraId="651A569D" w14:textId="3E79C071" w:rsidR="00123408" w:rsidRDefault="00123408" w:rsidP="00155ADC">
      <w:pPr>
        <w:ind w:firstLine="720"/>
        <w:jc w:val="both"/>
        <w:rPr>
          <w:rFonts w:ascii="Arial" w:hAnsi="Arial" w:cs="Arial"/>
        </w:rPr>
      </w:pPr>
    </w:p>
    <w:p w14:paraId="5FD88F1B" w14:textId="11F6F9C5" w:rsidR="00123408" w:rsidRDefault="00123408" w:rsidP="00155ADC">
      <w:pPr>
        <w:ind w:firstLine="720"/>
        <w:jc w:val="both"/>
        <w:rPr>
          <w:rFonts w:ascii="Arial" w:hAnsi="Arial" w:cs="Arial"/>
        </w:rPr>
      </w:pPr>
    </w:p>
    <w:p w14:paraId="4AD8B0D0" w14:textId="77777777" w:rsidR="00123408" w:rsidRPr="005B6E3D" w:rsidRDefault="00123408" w:rsidP="00155ADC">
      <w:pPr>
        <w:ind w:firstLine="720"/>
        <w:jc w:val="both"/>
        <w:rPr>
          <w:rFonts w:ascii="Arial" w:hAnsi="Arial" w:cs="Arial"/>
        </w:rPr>
      </w:pPr>
    </w:p>
    <w:p w14:paraId="10317D61" w14:textId="77777777" w:rsidR="00A60869" w:rsidRPr="005B6E3D" w:rsidRDefault="00A60869" w:rsidP="00155ADC">
      <w:pPr>
        <w:ind w:firstLine="720"/>
        <w:jc w:val="both"/>
        <w:rPr>
          <w:rFonts w:ascii="Arial" w:hAnsi="Arial" w:cs="Arial"/>
        </w:rPr>
      </w:pPr>
    </w:p>
    <w:p w14:paraId="6A5C5328" w14:textId="760408E1" w:rsidR="00155ADC" w:rsidRDefault="00155ADC" w:rsidP="00155ADC">
      <w:pPr>
        <w:jc w:val="center"/>
        <w:rPr>
          <w:rFonts w:ascii="Arial" w:hAnsi="Arial" w:cs="Arial"/>
          <w:b/>
          <w:bCs/>
        </w:rPr>
      </w:pPr>
      <w:r w:rsidRPr="005B6E3D">
        <w:rPr>
          <w:rFonts w:ascii="Arial" w:hAnsi="Arial" w:cs="Arial"/>
          <w:b/>
          <w:bCs/>
        </w:rPr>
        <w:lastRenderedPageBreak/>
        <w:t>Table 1. Neuropeptides and Hormones Regulating Diapause, Reproduction, and Silk Yield</w:t>
      </w:r>
    </w:p>
    <w:p w14:paraId="13D5A078" w14:textId="77777777" w:rsidR="00123408" w:rsidRPr="005B6E3D" w:rsidRDefault="00123408" w:rsidP="00155ADC">
      <w:pPr>
        <w:jc w:val="center"/>
        <w:rPr>
          <w:rFonts w:ascii="Arial" w:hAnsi="Arial" w:cs="Arial"/>
          <w:b/>
          <w:bCs/>
        </w:rPr>
      </w:pPr>
    </w:p>
    <w:tbl>
      <w:tblPr>
        <w:tblStyle w:val="TableGrid"/>
        <w:tblW w:w="9464" w:type="dxa"/>
        <w:tblLayout w:type="fixed"/>
        <w:tblLook w:val="04A0" w:firstRow="1" w:lastRow="0" w:firstColumn="1" w:lastColumn="0" w:noHBand="0" w:noVBand="1"/>
      </w:tblPr>
      <w:tblGrid>
        <w:gridCol w:w="1668"/>
        <w:gridCol w:w="1559"/>
        <w:gridCol w:w="1276"/>
        <w:gridCol w:w="1701"/>
        <w:gridCol w:w="1842"/>
        <w:gridCol w:w="1418"/>
      </w:tblGrid>
      <w:tr w:rsidR="00155ADC" w:rsidRPr="005B6E3D" w14:paraId="632BCD48" w14:textId="77777777" w:rsidTr="00463D6C">
        <w:trPr>
          <w:trHeight w:val="1124"/>
        </w:trPr>
        <w:tc>
          <w:tcPr>
            <w:tcW w:w="1668" w:type="dxa"/>
            <w:vAlign w:val="center"/>
          </w:tcPr>
          <w:p w14:paraId="72EF20C9" w14:textId="77777777" w:rsidR="00155ADC" w:rsidRPr="005B6E3D" w:rsidRDefault="00155ADC" w:rsidP="007B1369">
            <w:pPr>
              <w:jc w:val="both"/>
              <w:rPr>
                <w:rFonts w:ascii="Arial" w:hAnsi="Arial" w:cs="Arial"/>
                <w:b/>
                <w:bCs/>
              </w:rPr>
            </w:pPr>
            <w:r w:rsidRPr="005B6E3D">
              <w:rPr>
                <w:rFonts w:ascii="Arial" w:hAnsi="Arial" w:cs="Arial"/>
                <w:b/>
                <w:bCs/>
              </w:rPr>
              <w:t>Neuropeptide / Hormone</w:t>
            </w:r>
          </w:p>
        </w:tc>
        <w:tc>
          <w:tcPr>
            <w:tcW w:w="1559" w:type="dxa"/>
            <w:vAlign w:val="center"/>
          </w:tcPr>
          <w:p w14:paraId="5AC9B781" w14:textId="77777777" w:rsidR="00155ADC" w:rsidRPr="005B6E3D" w:rsidRDefault="00155ADC" w:rsidP="007B1369">
            <w:pPr>
              <w:jc w:val="both"/>
              <w:rPr>
                <w:rFonts w:ascii="Arial" w:hAnsi="Arial" w:cs="Arial"/>
                <w:b/>
                <w:bCs/>
              </w:rPr>
            </w:pPr>
            <w:r w:rsidRPr="005B6E3D">
              <w:rPr>
                <w:rFonts w:ascii="Arial" w:hAnsi="Arial" w:cs="Arial"/>
                <w:b/>
                <w:bCs/>
              </w:rPr>
              <w:t>Primary Function</w:t>
            </w:r>
          </w:p>
        </w:tc>
        <w:tc>
          <w:tcPr>
            <w:tcW w:w="1276" w:type="dxa"/>
            <w:vAlign w:val="center"/>
          </w:tcPr>
          <w:p w14:paraId="0791ACB4" w14:textId="77777777" w:rsidR="00155ADC" w:rsidRPr="005B6E3D" w:rsidRDefault="00155ADC" w:rsidP="007B1369">
            <w:pPr>
              <w:jc w:val="both"/>
              <w:rPr>
                <w:rFonts w:ascii="Arial" w:hAnsi="Arial" w:cs="Arial"/>
                <w:b/>
                <w:bCs/>
              </w:rPr>
            </w:pPr>
            <w:r w:rsidRPr="005B6E3D">
              <w:rPr>
                <w:rFonts w:ascii="Arial" w:hAnsi="Arial" w:cs="Arial"/>
                <w:b/>
                <w:bCs/>
              </w:rPr>
              <w:t>Target Tissues / Organs</w:t>
            </w:r>
          </w:p>
        </w:tc>
        <w:tc>
          <w:tcPr>
            <w:tcW w:w="1701" w:type="dxa"/>
            <w:vAlign w:val="center"/>
          </w:tcPr>
          <w:p w14:paraId="7A9B2AE3" w14:textId="77777777" w:rsidR="00155ADC" w:rsidRPr="005B6E3D" w:rsidRDefault="00155ADC" w:rsidP="007B1369">
            <w:pPr>
              <w:jc w:val="both"/>
              <w:rPr>
                <w:rFonts w:ascii="Arial" w:hAnsi="Arial" w:cs="Arial"/>
                <w:b/>
                <w:bCs/>
              </w:rPr>
            </w:pPr>
            <w:r w:rsidRPr="005B6E3D">
              <w:rPr>
                <w:rFonts w:ascii="Arial" w:hAnsi="Arial" w:cs="Arial"/>
                <w:b/>
                <w:bCs/>
              </w:rPr>
              <w:t>Role in Diapause &amp; Reproduction</w:t>
            </w:r>
          </w:p>
        </w:tc>
        <w:tc>
          <w:tcPr>
            <w:tcW w:w="1842" w:type="dxa"/>
            <w:vAlign w:val="center"/>
          </w:tcPr>
          <w:p w14:paraId="2DC93AD4" w14:textId="77777777" w:rsidR="00155ADC" w:rsidRPr="005B6E3D" w:rsidRDefault="00155ADC" w:rsidP="007B1369">
            <w:pPr>
              <w:jc w:val="both"/>
              <w:rPr>
                <w:rFonts w:ascii="Arial" w:hAnsi="Arial" w:cs="Arial"/>
                <w:b/>
                <w:bCs/>
              </w:rPr>
            </w:pPr>
            <w:r w:rsidRPr="005B6E3D">
              <w:rPr>
                <w:rFonts w:ascii="Arial" w:hAnsi="Arial" w:cs="Arial"/>
                <w:b/>
                <w:bCs/>
              </w:rPr>
              <w:t>Role in Silk Production</w:t>
            </w:r>
          </w:p>
        </w:tc>
        <w:tc>
          <w:tcPr>
            <w:tcW w:w="1418" w:type="dxa"/>
            <w:vAlign w:val="center"/>
          </w:tcPr>
          <w:p w14:paraId="1BE2B44E" w14:textId="77777777" w:rsidR="00155ADC" w:rsidRPr="005B6E3D" w:rsidRDefault="00155ADC" w:rsidP="007B1369">
            <w:pPr>
              <w:jc w:val="both"/>
              <w:rPr>
                <w:rFonts w:ascii="Arial" w:hAnsi="Arial" w:cs="Arial"/>
                <w:b/>
                <w:bCs/>
              </w:rPr>
            </w:pPr>
            <w:r w:rsidRPr="005B6E3D">
              <w:rPr>
                <w:rFonts w:ascii="Arial" w:hAnsi="Arial" w:cs="Arial"/>
                <w:b/>
                <w:bCs/>
              </w:rPr>
              <w:t>References</w:t>
            </w:r>
          </w:p>
        </w:tc>
      </w:tr>
      <w:tr w:rsidR="00155ADC" w:rsidRPr="005B6E3D" w14:paraId="1EABF0BA" w14:textId="77777777" w:rsidTr="00463D6C">
        <w:trPr>
          <w:trHeight w:val="1835"/>
        </w:trPr>
        <w:tc>
          <w:tcPr>
            <w:tcW w:w="1668" w:type="dxa"/>
            <w:vAlign w:val="center"/>
          </w:tcPr>
          <w:p w14:paraId="226F1ECC" w14:textId="77777777" w:rsidR="00155ADC" w:rsidRPr="005B6E3D" w:rsidRDefault="00155ADC" w:rsidP="007B1369">
            <w:pPr>
              <w:jc w:val="both"/>
              <w:rPr>
                <w:rFonts w:ascii="Arial" w:hAnsi="Arial" w:cs="Arial"/>
              </w:rPr>
            </w:pPr>
            <w:r w:rsidRPr="005B6E3D">
              <w:rPr>
                <w:rFonts w:ascii="Arial" w:hAnsi="Arial" w:cs="Arial"/>
              </w:rPr>
              <w:t>PBAN (Pheromone Biosynthesis Activating Neuropeptide)</w:t>
            </w:r>
          </w:p>
        </w:tc>
        <w:tc>
          <w:tcPr>
            <w:tcW w:w="1559" w:type="dxa"/>
            <w:vAlign w:val="center"/>
          </w:tcPr>
          <w:p w14:paraId="1BFD3135" w14:textId="77777777" w:rsidR="00155ADC" w:rsidRPr="005B6E3D" w:rsidRDefault="00155ADC" w:rsidP="007B1369">
            <w:pPr>
              <w:jc w:val="both"/>
              <w:rPr>
                <w:rFonts w:ascii="Arial" w:hAnsi="Arial" w:cs="Arial"/>
              </w:rPr>
            </w:pPr>
            <w:r w:rsidRPr="005B6E3D">
              <w:rPr>
                <w:rFonts w:ascii="Arial" w:hAnsi="Arial" w:cs="Arial"/>
              </w:rPr>
              <w:t>Stimulates pheromone biosynthesis, regulates mating</w:t>
            </w:r>
          </w:p>
        </w:tc>
        <w:tc>
          <w:tcPr>
            <w:tcW w:w="1276" w:type="dxa"/>
            <w:vAlign w:val="center"/>
          </w:tcPr>
          <w:p w14:paraId="5B558177" w14:textId="77777777" w:rsidR="00155ADC" w:rsidRPr="005B6E3D" w:rsidRDefault="00155ADC" w:rsidP="00463D6C">
            <w:pPr>
              <w:ind w:right="-110"/>
              <w:jc w:val="both"/>
              <w:rPr>
                <w:rFonts w:ascii="Arial" w:hAnsi="Arial" w:cs="Arial"/>
              </w:rPr>
            </w:pPr>
            <w:r w:rsidRPr="005B6E3D">
              <w:rPr>
                <w:rFonts w:ascii="Arial" w:hAnsi="Arial" w:cs="Arial"/>
              </w:rPr>
              <w:t>Pheromone gland</w:t>
            </w:r>
          </w:p>
        </w:tc>
        <w:tc>
          <w:tcPr>
            <w:tcW w:w="1701" w:type="dxa"/>
            <w:vAlign w:val="center"/>
          </w:tcPr>
          <w:p w14:paraId="7A548972" w14:textId="77777777" w:rsidR="00155ADC" w:rsidRPr="005B6E3D" w:rsidRDefault="00155ADC" w:rsidP="007B1369">
            <w:pPr>
              <w:jc w:val="both"/>
              <w:rPr>
                <w:rFonts w:ascii="Arial" w:hAnsi="Arial" w:cs="Arial"/>
              </w:rPr>
            </w:pPr>
            <w:r w:rsidRPr="005B6E3D">
              <w:rPr>
                <w:rFonts w:ascii="Arial" w:hAnsi="Arial" w:cs="Arial"/>
              </w:rPr>
              <w:t>Synchronizes sexual behavior and mating success</w:t>
            </w:r>
          </w:p>
        </w:tc>
        <w:tc>
          <w:tcPr>
            <w:tcW w:w="1842" w:type="dxa"/>
            <w:vAlign w:val="center"/>
          </w:tcPr>
          <w:p w14:paraId="1829C4BD" w14:textId="77777777" w:rsidR="00155ADC" w:rsidRPr="005B6E3D" w:rsidRDefault="00155ADC" w:rsidP="007B1369">
            <w:pPr>
              <w:jc w:val="both"/>
              <w:rPr>
                <w:rFonts w:ascii="Arial" w:hAnsi="Arial" w:cs="Arial"/>
              </w:rPr>
            </w:pPr>
            <w:r w:rsidRPr="005B6E3D">
              <w:rPr>
                <w:rFonts w:ascii="Arial" w:hAnsi="Arial" w:cs="Arial"/>
              </w:rPr>
              <w:t>Indirect via reproductive synchronization</w:t>
            </w:r>
          </w:p>
        </w:tc>
        <w:tc>
          <w:tcPr>
            <w:tcW w:w="1418" w:type="dxa"/>
            <w:vAlign w:val="center"/>
          </w:tcPr>
          <w:p w14:paraId="2A1832B8" w14:textId="01394038" w:rsidR="00EA03AE" w:rsidRPr="005B6E3D" w:rsidRDefault="00155ADC" w:rsidP="007B1369">
            <w:pPr>
              <w:jc w:val="both"/>
              <w:rPr>
                <w:rFonts w:ascii="Arial" w:hAnsi="Arial" w:cs="Arial"/>
              </w:rPr>
            </w:pPr>
            <w:r w:rsidRPr="005B6E3D">
              <w:rPr>
                <w:rFonts w:ascii="Arial" w:hAnsi="Arial" w:cs="Arial"/>
              </w:rPr>
              <w:t>Dou &amp; Jurenka</w:t>
            </w:r>
            <w:r w:rsidR="00EA03AE" w:rsidRPr="005B6E3D">
              <w:rPr>
                <w:rFonts w:ascii="Arial" w:hAnsi="Arial" w:cs="Arial"/>
              </w:rPr>
              <w:t xml:space="preserve">, </w:t>
            </w:r>
            <w:r w:rsidRPr="005B6E3D">
              <w:rPr>
                <w:rFonts w:ascii="Arial" w:hAnsi="Arial" w:cs="Arial"/>
              </w:rPr>
              <w:t xml:space="preserve">2023; </w:t>
            </w:r>
          </w:p>
          <w:p w14:paraId="4EF96C16" w14:textId="77777777" w:rsidR="00EA03AE" w:rsidRPr="005B6E3D" w:rsidRDefault="00155ADC" w:rsidP="007B1369">
            <w:pPr>
              <w:jc w:val="both"/>
              <w:rPr>
                <w:rFonts w:ascii="Arial" w:hAnsi="Arial" w:cs="Arial"/>
              </w:rPr>
            </w:pPr>
            <w:r w:rsidRPr="005B6E3D">
              <w:rPr>
                <w:rFonts w:ascii="Arial" w:hAnsi="Arial" w:cs="Arial"/>
              </w:rPr>
              <w:t xml:space="preserve">Cha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 xml:space="preserve">2023; </w:t>
            </w:r>
          </w:p>
          <w:p w14:paraId="156D56E9" w14:textId="2C9AF017" w:rsidR="00155ADC" w:rsidRPr="005B6E3D" w:rsidRDefault="00155ADC" w:rsidP="007B1369">
            <w:pPr>
              <w:jc w:val="both"/>
              <w:rPr>
                <w:rFonts w:ascii="Arial" w:hAnsi="Arial" w:cs="Arial"/>
              </w:rPr>
            </w:pPr>
            <w:r w:rsidRPr="005B6E3D">
              <w:rPr>
                <w:rFonts w:ascii="Arial" w:hAnsi="Arial" w:cs="Arial"/>
              </w:rPr>
              <w:t xml:space="preserve">Zhang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2025</w:t>
            </w:r>
          </w:p>
        </w:tc>
      </w:tr>
      <w:tr w:rsidR="00155ADC" w:rsidRPr="005B6E3D" w14:paraId="0F4D8ECE" w14:textId="77777777" w:rsidTr="00463D6C">
        <w:trPr>
          <w:trHeight w:val="1844"/>
        </w:trPr>
        <w:tc>
          <w:tcPr>
            <w:tcW w:w="1668" w:type="dxa"/>
            <w:vAlign w:val="center"/>
          </w:tcPr>
          <w:p w14:paraId="453EDF5E" w14:textId="77777777" w:rsidR="00155ADC" w:rsidRPr="005B6E3D" w:rsidRDefault="00155ADC" w:rsidP="007B1369">
            <w:pPr>
              <w:jc w:val="both"/>
              <w:rPr>
                <w:rFonts w:ascii="Arial" w:hAnsi="Arial" w:cs="Arial"/>
              </w:rPr>
            </w:pPr>
            <w:r w:rsidRPr="005B6E3D">
              <w:rPr>
                <w:rFonts w:ascii="Arial" w:hAnsi="Arial" w:cs="Arial"/>
              </w:rPr>
              <w:t>Diapause Hormone (DH)</w:t>
            </w:r>
          </w:p>
        </w:tc>
        <w:tc>
          <w:tcPr>
            <w:tcW w:w="1559" w:type="dxa"/>
            <w:vAlign w:val="center"/>
          </w:tcPr>
          <w:p w14:paraId="180C0426" w14:textId="77777777" w:rsidR="00155ADC" w:rsidRPr="005B6E3D" w:rsidRDefault="00155ADC" w:rsidP="007B1369">
            <w:pPr>
              <w:jc w:val="both"/>
              <w:rPr>
                <w:rFonts w:ascii="Arial" w:hAnsi="Arial" w:cs="Arial"/>
              </w:rPr>
            </w:pPr>
            <w:r w:rsidRPr="005B6E3D">
              <w:rPr>
                <w:rFonts w:ascii="Arial" w:hAnsi="Arial" w:cs="Arial"/>
              </w:rPr>
              <w:t>Triggers diapause initiation</w:t>
            </w:r>
          </w:p>
        </w:tc>
        <w:tc>
          <w:tcPr>
            <w:tcW w:w="1276" w:type="dxa"/>
            <w:vAlign w:val="center"/>
          </w:tcPr>
          <w:p w14:paraId="2007E7F8" w14:textId="77777777" w:rsidR="00155ADC" w:rsidRPr="005B6E3D" w:rsidRDefault="00155ADC" w:rsidP="007B1369">
            <w:pPr>
              <w:jc w:val="both"/>
              <w:rPr>
                <w:rFonts w:ascii="Arial" w:hAnsi="Arial" w:cs="Arial"/>
              </w:rPr>
            </w:pPr>
            <w:r w:rsidRPr="005B6E3D">
              <w:rPr>
                <w:rFonts w:ascii="Arial" w:hAnsi="Arial" w:cs="Arial"/>
              </w:rPr>
              <w:t>Ovaries, embryonic tissues</w:t>
            </w:r>
          </w:p>
        </w:tc>
        <w:tc>
          <w:tcPr>
            <w:tcW w:w="1701" w:type="dxa"/>
            <w:vAlign w:val="center"/>
          </w:tcPr>
          <w:p w14:paraId="6A5AD77A" w14:textId="77777777" w:rsidR="00155ADC" w:rsidRPr="005B6E3D" w:rsidRDefault="00155ADC" w:rsidP="007B1369">
            <w:pPr>
              <w:jc w:val="both"/>
              <w:rPr>
                <w:rFonts w:ascii="Arial" w:hAnsi="Arial" w:cs="Arial"/>
              </w:rPr>
            </w:pPr>
            <w:r w:rsidRPr="005B6E3D">
              <w:rPr>
                <w:rFonts w:ascii="Arial" w:hAnsi="Arial" w:cs="Arial"/>
              </w:rPr>
              <w:t>Controls diapause entry and maternal transmission</w:t>
            </w:r>
          </w:p>
        </w:tc>
        <w:tc>
          <w:tcPr>
            <w:tcW w:w="1842" w:type="dxa"/>
            <w:vAlign w:val="center"/>
          </w:tcPr>
          <w:p w14:paraId="3A0960FA" w14:textId="77777777" w:rsidR="00155ADC" w:rsidRPr="005B6E3D" w:rsidRDefault="00155ADC" w:rsidP="007B1369">
            <w:pPr>
              <w:jc w:val="both"/>
              <w:rPr>
                <w:rFonts w:ascii="Arial" w:hAnsi="Arial" w:cs="Arial"/>
              </w:rPr>
            </w:pPr>
            <w:r w:rsidRPr="005B6E3D">
              <w:rPr>
                <w:rFonts w:ascii="Arial" w:hAnsi="Arial" w:cs="Arial"/>
              </w:rPr>
              <w:t>Diverts resources away from silk yield</w:t>
            </w:r>
          </w:p>
        </w:tc>
        <w:tc>
          <w:tcPr>
            <w:tcW w:w="1418" w:type="dxa"/>
            <w:vAlign w:val="center"/>
          </w:tcPr>
          <w:p w14:paraId="0E89FC8A" w14:textId="77777777" w:rsidR="00EA03AE" w:rsidRPr="005B6E3D" w:rsidRDefault="00155ADC" w:rsidP="007B1369">
            <w:pPr>
              <w:jc w:val="both"/>
              <w:rPr>
                <w:rFonts w:ascii="Arial" w:hAnsi="Arial" w:cs="Arial"/>
              </w:rPr>
            </w:pPr>
            <w:r w:rsidRPr="005B6E3D">
              <w:rPr>
                <w:rFonts w:ascii="Arial" w:hAnsi="Arial" w:cs="Arial"/>
              </w:rPr>
              <w:t xml:space="preserve">Hand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2016;</w:t>
            </w:r>
          </w:p>
          <w:p w14:paraId="11975040" w14:textId="77777777" w:rsidR="00EA03AE" w:rsidRPr="005B6E3D" w:rsidRDefault="00155ADC" w:rsidP="007B1369">
            <w:pPr>
              <w:jc w:val="both"/>
              <w:rPr>
                <w:rFonts w:ascii="Arial" w:hAnsi="Arial" w:cs="Arial"/>
              </w:rPr>
            </w:pPr>
            <w:r w:rsidRPr="005B6E3D">
              <w:rPr>
                <w:rFonts w:ascii="Arial" w:hAnsi="Arial" w:cs="Arial"/>
              </w:rPr>
              <w:t xml:space="preserve">Tsuchiya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2021;</w:t>
            </w:r>
          </w:p>
          <w:p w14:paraId="14DA21C0" w14:textId="6D43709E" w:rsidR="00155ADC" w:rsidRPr="005B6E3D" w:rsidRDefault="00155ADC" w:rsidP="007B1369">
            <w:pPr>
              <w:jc w:val="both"/>
              <w:rPr>
                <w:rFonts w:ascii="Arial" w:hAnsi="Arial" w:cs="Arial"/>
              </w:rPr>
            </w:pPr>
            <w:r w:rsidRPr="005B6E3D">
              <w:rPr>
                <w:rFonts w:ascii="Arial" w:hAnsi="Arial" w:cs="Arial"/>
              </w:rPr>
              <w:t>Izadi</w:t>
            </w:r>
            <w:r w:rsidR="00EA03AE" w:rsidRPr="005B6E3D">
              <w:rPr>
                <w:rFonts w:ascii="Arial" w:hAnsi="Arial" w:cs="Arial"/>
              </w:rPr>
              <w:t xml:space="preserve">, </w:t>
            </w:r>
            <w:r w:rsidRPr="005B6E3D">
              <w:rPr>
                <w:rFonts w:ascii="Arial" w:hAnsi="Arial" w:cs="Arial"/>
              </w:rPr>
              <w:t>2025</w:t>
            </w:r>
          </w:p>
        </w:tc>
      </w:tr>
      <w:tr w:rsidR="00155ADC" w:rsidRPr="005B6E3D" w14:paraId="15DC54F2" w14:textId="77777777" w:rsidTr="00463D6C">
        <w:trPr>
          <w:trHeight w:val="1816"/>
        </w:trPr>
        <w:tc>
          <w:tcPr>
            <w:tcW w:w="1668" w:type="dxa"/>
            <w:vAlign w:val="center"/>
          </w:tcPr>
          <w:p w14:paraId="2D6C3653" w14:textId="77777777" w:rsidR="00155ADC" w:rsidRPr="005B6E3D" w:rsidRDefault="00155ADC" w:rsidP="007B1369">
            <w:pPr>
              <w:jc w:val="both"/>
              <w:rPr>
                <w:rFonts w:ascii="Arial" w:hAnsi="Arial" w:cs="Arial"/>
              </w:rPr>
            </w:pPr>
            <w:r w:rsidRPr="005B6E3D">
              <w:rPr>
                <w:rFonts w:ascii="Arial" w:hAnsi="Arial" w:cs="Arial"/>
              </w:rPr>
              <w:t>Juvenile Hormone (JH)</w:t>
            </w:r>
          </w:p>
        </w:tc>
        <w:tc>
          <w:tcPr>
            <w:tcW w:w="1559" w:type="dxa"/>
            <w:vAlign w:val="center"/>
          </w:tcPr>
          <w:p w14:paraId="2B6CDE8D" w14:textId="77777777" w:rsidR="00155ADC" w:rsidRPr="005B6E3D" w:rsidRDefault="00155ADC" w:rsidP="007B1369">
            <w:pPr>
              <w:jc w:val="both"/>
              <w:rPr>
                <w:rFonts w:ascii="Arial" w:hAnsi="Arial" w:cs="Arial"/>
              </w:rPr>
            </w:pPr>
            <w:r w:rsidRPr="005B6E3D">
              <w:rPr>
                <w:rFonts w:ascii="Arial" w:hAnsi="Arial" w:cs="Arial"/>
              </w:rPr>
              <w:t>Integrates development, reproduction, and metabolism</w:t>
            </w:r>
          </w:p>
        </w:tc>
        <w:tc>
          <w:tcPr>
            <w:tcW w:w="1276" w:type="dxa"/>
            <w:vAlign w:val="center"/>
          </w:tcPr>
          <w:p w14:paraId="0AA29D3E" w14:textId="77777777" w:rsidR="00155ADC" w:rsidRPr="005B6E3D" w:rsidRDefault="00155ADC" w:rsidP="007B1369">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r w:rsidRPr="005B6E3D">
              <w:rPr>
                <w:rFonts w:ascii="Arial" w:hAnsi="Arial" w:cs="Arial"/>
              </w:rPr>
              <w:t>, silk gland</w:t>
            </w:r>
          </w:p>
        </w:tc>
        <w:tc>
          <w:tcPr>
            <w:tcW w:w="1701" w:type="dxa"/>
            <w:vAlign w:val="center"/>
          </w:tcPr>
          <w:p w14:paraId="1B771B15" w14:textId="77777777" w:rsidR="00155ADC" w:rsidRPr="005B6E3D" w:rsidRDefault="00155ADC" w:rsidP="007B1369">
            <w:pPr>
              <w:jc w:val="both"/>
              <w:rPr>
                <w:rFonts w:ascii="Arial" w:hAnsi="Arial" w:cs="Arial"/>
              </w:rPr>
            </w:pPr>
            <w:r w:rsidRPr="005B6E3D">
              <w:rPr>
                <w:rFonts w:ascii="Arial" w:hAnsi="Arial" w:cs="Arial"/>
              </w:rPr>
              <w:t>High JH → reproduction; Low JH → diapause</w:t>
            </w:r>
          </w:p>
        </w:tc>
        <w:tc>
          <w:tcPr>
            <w:tcW w:w="1842" w:type="dxa"/>
            <w:vAlign w:val="center"/>
          </w:tcPr>
          <w:p w14:paraId="4356BA03" w14:textId="77777777" w:rsidR="00155ADC" w:rsidRPr="005B6E3D" w:rsidRDefault="00155ADC" w:rsidP="007B1369">
            <w:pPr>
              <w:jc w:val="both"/>
              <w:rPr>
                <w:rFonts w:ascii="Arial" w:hAnsi="Arial" w:cs="Arial"/>
              </w:rPr>
            </w:pPr>
            <w:r w:rsidRPr="005B6E3D">
              <w:rPr>
                <w:rFonts w:ascii="Arial" w:hAnsi="Arial" w:cs="Arial"/>
              </w:rPr>
              <w:t>Promotes fibroin gene expression and cocoon weight</w:t>
            </w:r>
          </w:p>
        </w:tc>
        <w:tc>
          <w:tcPr>
            <w:tcW w:w="1418" w:type="dxa"/>
            <w:vAlign w:val="center"/>
          </w:tcPr>
          <w:p w14:paraId="011666A9" w14:textId="77777777" w:rsidR="00EA03AE" w:rsidRPr="005B6E3D" w:rsidRDefault="00155ADC" w:rsidP="007B1369">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2021;</w:t>
            </w:r>
          </w:p>
          <w:p w14:paraId="1B8720AC" w14:textId="77777777" w:rsidR="00EA03AE" w:rsidRPr="005B6E3D" w:rsidRDefault="00155ADC" w:rsidP="007B1369">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2022;</w:t>
            </w:r>
          </w:p>
          <w:p w14:paraId="712AE692" w14:textId="54A6BC00" w:rsidR="00155ADC" w:rsidRPr="005B6E3D" w:rsidRDefault="00155ADC" w:rsidP="007B1369">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2023</w:t>
            </w:r>
          </w:p>
        </w:tc>
      </w:tr>
      <w:tr w:rsidR="00155ADC" w:rsidRPr="005B6E3D" w14:paraId="4DDB577B" w14:textId="77777777" w:rsidTr="00463D6C">
        <w:trPr>
          <w:trHeight w:val="1828"/>
        </w:trPr>
        <w:tc>
          <w:tcPr>
            <w:tcW w:w="1668" w:type="dxa"/>
            <w:vAlign w:val="center"/>
          </w:tcPr>
          <w:p w14:paraId="40B37C97" w14:textId="77777777" w:rsidR="00155ADC" w:rsidRPr="005B6E3D" w:rsidRDefault="00155ADC" w:rsidP="007B1369">
            <w:pPr>
              <w:jc w:val="both"/>
              <w:rPr>
                <w:rFonts w:ascii="Arial" w:hAnsi="Arial" w:cs="Arial"/>
              </w:rPr>
            </w:pPr>
            <w:proofErr w:type="spellStart"/>
            <w:r w:rsidRPr="005B6E3D">
              <w:rPr>
                <w:rFonts w:ascii="Arial" w:hAnsi="Arial" w:cs="Arial"/>
              </w:rPr>
              <w:t>Allatotropins</w:t>
            </w:r>
            <w:proofErr w:type="spellEnd"/>
            <w:r w:rsidRPr="005B6E3D">
              <w:rPr>
                <w:rFonts w:ascii="Arial" w:hAnsi="Arial" w:cs="Arial"/>
              </w:rPr>
              <w:t xml:space="preserve"> (ATs) &amp; </w:t>
            </w:r>
            <w:proofErr w:type="spellStart"/>
            <w:r w:rsidRPr="005B6E3D">
              <w:rPr>
                <w:rFonts w:ascii="Arial" w:hAnsi="Arial" w:cs="Arial"/>
              </w:rPr>
              <w:t>Allatostatins</w:t>
            </w:r>
            <w:proofErr w:type="spellEnd"/>
            <w:r w:rsidRPr="005B6E3D">
              <w:rPr>
                <w:rFonts w:ascii="Arial" w:hAnsi="Arial" w:cs="Arial"/>
              </w:rPr>
              <w:t xml:space="preserve"> (ASTs)</w:t>
            </w:r>
          </w:p>
        </w:tc>
        <w:tc>
          <w:tcPr>
            <w:tcW w:w="1559" w:type="dxa"/>
            <w:vAlign w:val="center"/>
          </w:tcPr>
          <w:p w14:paraId="40BF7AEE" w14:textId="77777777" w:rsidR="00155ADC" w:rsidRPr="005B6E3D" w:rsidRDefault="00155ADC" w:rsidP="007B1369">
            <w:pPr>
              <w:jc w:val="both"/>
              <w:rPr>
                <w:rFonts w:ascii="Arial" w:hAnsi="Arial" w:cs="Arial"/>
              </w:rPr>
            </w:pPr>
            <w:r w:rsidRPr="005B6E3D">
              <w:rPr>
                <w:rFonts w:ascii="Arial" w:hAnsi="Arial" w:cs="Arial"/>
              </w:rPr>
              <w:t>Regulate JH synthesis (stimulatory/inhibitory)</w:t>
            </w:r>
          </w:p>
        </w:tc>
        <w:tc>
          <w:tcPr>
            <w:tcW w:w="1276" w:type="dxa"/>
            <w:vAlign w:val="center"/>
          </w:tcPr>
          <w:p w14:paraId="0CDBE0A5" w14:textId="77777777" w:rsidR="00155ADC" w:rsidRPr="005B6E3D" w:rsidRDefault="00155ADC" w:rsidP="007B1369">
            <w:pPr>
              <w:jc w:val="both"/>
              <w:rPr>
                <w:rFonts w:ascii="Arial" w:hAnsi="Arial" w:cs="Arial"/>
              </w:rPr>
            </w:pPr>
            <w:r w:rsidRPr="005B6E3D">
              <w:rPr>
                <w:rFonts w:ascii="Arial" w:hAnsi="Arial" w:cs="Arial"/>
              </w:rPr>
              <w:t xml:space="preserve">Corpora </w:t>
            </w:r>
            <w:proofErr w:type="spellStart"/>
            <w:r w:rsidRPr="005B6E3D">
              <w:rPr>
                <w:rFonts w:ascii="Arial" w:hAnsi="Arial" w:cs="Arial"/>
              </w:rPr>
              <w:t>allata</w:t>
            </w:r>
            <w:proofErr w:type="spellEnd"/>
          </w:p>
        </w:tc>
        <w:tc>
          <w:tcPr>
            <w:tcW w:w="1701" w:type="dxa"/>
            <w:vAlign w:val="center"/>
          </w:tcPr>
          <w:p w14:paraId="6A45C7CC" w14:textId="77777777" w:rsidR="00155ADC" w:rsidRPr="005B6E3D" w:rsidRDefault="00155ADC" w:rsidP="007B1369">
            <w:pPr>
              <w:jc w:val="both"/>
              <w:rPr>
                <w:rFonts w:ascii="Arial" w:hAnsi="Arial" w:cs="Arial"/>
              </w:rPr>
            </w:pPr>
            <w:r w:rsidRPr="005B6E3D">
              <w:rPr>
                <w:rFonts w:ascii="Arial" w:hAnsi="Arial" w:cs="Arial"/>
              </w:rPr>
              <w:t>Fine-tune reproductive maturation and diapause</w:t>
            </w:r>
          </w:p>
        </w:tc>
        <w:tc>
          <w:tcPr>
            <w:tcW w:w="1842" w:type="dxa"/>
            <w:vAlign w:val="center"/>
          </w:tcPr>
          <w:p w14:paraId="120EBD3F" w14:textId="77777777" w:rsidR="00155ADC" w:rsidRPr="005B6E3D" w:rsidRDefault="00155ADC" w:rsidP="007B1369">
            <w:pPr>
              <w:jc w:val="both"/>
              <w:rPr>
                <w:rFonts w:ascii="Arial" w:hAnsi="Arial" w:cs="Arial"/>
              </w:rPr>
            </w:pPr>
            <w:r w:rsidRPr="005B6E3D">
              <w:rPr>
                <w:rFonts w:ascii="Arial" w:hAnsi="Arial" w:cs="Arial"/>
              </w:rPr>
              <w:t>Indirect regulation of silk via JH pathway</w:t>
            </w:r>
          </w:p>
        </w:tc>
        <w:tc>
          <w:tcPr>
            <w:tcW w:w="1418" w:type="dxa"/>
            <w:vAlign w:val="center"/>
          </w:tcPr>
          <w:p w14:paraId="79493C8D" w14:textId="77777777" w:rsidR="00EA03AE" w:rsidRPr="005B6E3D" w:rsidRDefault="00155ADC" w:rsidP="007B1369">
            <w:pPr>
              <w:jc w:val="both"/>
              <w:rPr>
                <w:rFonts w:ascii="Arial" w:hAnsi="Arial" w:cs="Arial"/>
              </w:rPr>
            </w:pPr>
            <w:r w:rsidRPr="005B6E3D">
              <w:rPr>
                <w:rFonts w:ascii="Arial" w:hAnsi="Arial" w:cs="Arial"/>
              </w:rPr>
              <w:t>Wegener &amp; Chen</w:t>
            </w:r>
            <w:r w:rsidR="00EA03AE" w:rsidRPr="005B6E3D">
              <w:rPr>
                <w:rFonts w:ascii="Arial" w:hAnsi="Arial" w:cs="Arial"/>
              </w:rPr>
              <w:t xml:space="preserve">, </w:t>
            </w:r>
            <w:r w:rsidRPr="005B6E3D">
              <w:rPr>
                <w:rFonts w:ascii="Arial" w:hAnsi="Arial" w:cs="Arial"/>
              </w:rPr>
              <w:t>2022;</w:t>
            </w:r>
          </w:p>
          <w:p w14:paraId="26B8D5C4" w14:textId="77777777" w:rsidR="00EA03AE" w:rsidRPr="005B6E3D" w:rsidRDefault="00155ADC" w:rsidP="007B1369">
            <w:pPr>
              <w:jc w:val="both"/>
              <w:rPr>
                <w:rFonts w:ascii="Arial" w:hAnsi="Arial" w:cs="Arial"/>
              </w:rPr>
            </w:pPr>
            <w:r w:rsidRPr="005B6E3D">
              <w:rPr>
                <w:rFonts w:ascii="Arial" w:hAnsi="Arial" w:cs="Arial"/>
              </w:rPr>
              <w:t xml:space="preserve">Sun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5A7ECF16" w14:textId="6505B335" w:rsidR="00155ADC" w:rsidRPr="005B6E3D" w:rsidRDefault="00155ADC" w:rsidP="007B1369">
            <w:pPr>
              <w:jc w:val="both"/>
              <w:rPr>
                <w:rFonts w:ascii="Arial" w:hAnsi="Arial" w:cs="Arial"/>
              </w:rPr>
            </w:pPr>
            <w:r w:rsidRPr="005B6E3D">
              <w:rPr>
                <w:rFonts w:ascii="Arial" w:hAnsi="Arial" w:cs="Arial"/>
              </w:rPr>
              <w:t xml:space="preserve">Kahveci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2024</w:t>
            </w:r>
          </w:p>
        </w:tc>
      </w:tr>
      <w:tr w:rsidR="00155ADC" w:rsidRPr="005B6E3D" w14:paraId="12792B62" w14:textId="77777777" w:rsidTr="00463D6C">
        <w:trPr>
          <w:trHeight w:val="2124"/>
        </w:trPr>
        <w:tc>
          <w:tcPr>
            <w:tcW w:w="1668" w:type="dxa"/>
            <w:vAlign w:val="center"/>
          </w:tcPr>
          <w:p w14:paraId="72B7F760" w14:textId="77777777" w:rsidR="00155ADC" w:rsidRPr="005B6E3D" w:rsidRDefault="00155ADC" w:rsidP="007B1369">
            <w:pPr>
              <w:jc w:val="both"/>
              <w:rPr>
                <w:rFonts w:ascii="Arial" w:hAnsi="Arial" w:cs="Arial"/>
              </w:rPr>
            </w:pPr>
            <w:r w:rsidRPr="005B6E3D">
              <w:rPr>
                <w:rFonts w:ascii="Arial" w:hAnsi="Arial" w:cs="Arial"/>
              </w:rPr>
              <w:t>Insulin-like Peptides (ILPs)</w:t>
            </w:r>
          </w:p>
        </w:tc>
        <w:tc>
          <w:tcPr>
            <w:tcW w:w="1559" w:type="dxa"/>
            <w:vAlign w:val="center"/>
          </w:tcPr>
          <w:p w14:paraId="169A1B15" w14:textId="77777777" w:rsidR="00155ADC" w:rsidRPr="005B6E3D" w:rsidRDefault="00155ADC" w:rsidP="007B1369">
            <w:pPr>
              <w:jc w:val="both"/>
              <w:rPr>
                <w:rFonts w:ascii="Arial" w:hAnsi="Arial" w:cs="Arial"/>
              </w:rPr>
            </w:pPr>
            <w:r w:rsidRPr="005B6E3D">
              <w:rPr>
                <w:rFonts w:ascii="Arial" w:hAnsi="Arial" w:cs="Arial"/>
              </w:rPr>
              <w:t>Regulate metabolism and growth</w:t>
            </w:r>
          </w:p>
        </w:tc>
        <w:tc>
          <w:tcPr>
            <w:tcW w:w="1276" w:type="dxa"/>
            <w:vAlign w:val="center"/>
          </w:tcPr>
          <w:p w14:paraId="310DBC30" w14:textId="77777777" w:rsidR="00155ADC" w:rsidRPr="005B6E3D" w:rsidRDefault="00155ADC" w:rsidP="007B1369">
            <w:pPr>
              <w:jc w:val="both"/>
              <w:rPr>
                <w:rFonts w:ascii="Arial" w:hAnsi="Arial" w:cs="Arial"/>
              </w:rPr>
            </w:pPr>
            <w:r w:rsidRPr="005B6E3D">
              <w:rPr>
                <w:rFonts w:ascii="Arial" w:hAnsi="Arial" w:cs="Arial"/>
              </w:rPr>
              <w:t>Silk gland, fat body</w:t>
            </w:r>
          </w:p>
          <w:p w14:paraId="76F942D1" w14:textId="77777777" w:rsidR="00155ADC" w:rsidRPr="005B6E3D" w:rsidRDefault="00155ADC" w:rsidP="007B1369">
            <w:pPr>
              <w:jc w:val="both"/>
              <w:rPr>
                <w:rFonts w:ascii="Arial" w:hAnsi="Arial" w:cs="Arial"/>
              </w:rPr>
            </w:pPr>
          </w:p>
        </w:tc>
        <w:tc>
          <w:tcPr>
            <w:tcW w:w="1701" w:type="dxa"/>
            <w:vAlign w:val="center"/>
          </w:tcPr>
          <w:p w14:paraId="538553C5" w14:textId="77777777" w:rsidR="00155ADC" w:rsidRPr="005B6E3D" w:rsidRDefault="00155ADC" w:rsidP="007B1369">
            <w:pPr>
              <w:jc w:val="both"/>
              <w:rPr>
                <w:rFonts w:ascii="Arial" w:hAnsi="Arial" w:cs="Arial"/>
              </w:rPr>
            </w:pPr>
            <w:r w:rsidRPr="005B6E3D">
              <w:rPr>
                <w:rFonts w:ascii="Arial" w:hAnsi="Arial" w:cs="Arial"/>
              </w:rPr>
              <w:t>Coordinate growth and energy balance with reproduction</w:t>
            </w:r>
          </w:p>
        </w:tc>
        <w:tc>
          <w:tcPr>
            <w:tcW w:w="1842" w:type="dxa"/>
            <w:vAlign w:val="center"/>
          </w:tcPr>
          <w:p w14:paraId="3CEB928B" w14:textId="77777777" w:rsidR="00155ADC" w:rsidRPr="005B6E3D" w:rsidRDefault="00155ADC" w:rsidP="007B1369">
            <w:pPr>
              <w:jc w:val="both"/>
              <w:rPr>
                <w:rFonts w:ascii="Arial" w:hAnsi="Arial" w:cs="Arial"/>
              </w:rPr>
            </w:pPr>
            <w:r w:rsidRPr="005B6E3D">
              <w:rPr>
                <w:rFonts w:ascii="Arial" w:hAnsi="Arial" w:cs="Arial"/>
              </w:rPr>
              <w:t>Stimulate fibroin synthesis, gland development</w:t>
            </w:r>
          </w:p>
          <w:p w14:paraId="3461C081" w14:textId="77777777" w:rsidR="00155ADC" w:rsidRPr="005B6E3D" w:rsidRDefault="00155ADC" w:rsidP="007B1369">
            <w:pPr>
              <w:jc w:val="both"/>
              <w:rPr>
                <w:rFonts w:ascii="Arial" w:hAnsi="Arial" w:cs="Arial"/>
              </w:rPr>
            </w:pPr>
          </w:p>
        </w:tc>
        <w:tc>
          <w:tcPr>
            <w:tcW w:w="1418" w:type="dxa"/>
            <w:vAlign w:val="center"/>
          </w:tcPr>
          <w:p w14:paraId="49E19A1C" w14:textId="77777777" w:rsidR="00EA03AE" w:rsidRPr="005B6E3D" w:rsidRDefault="00155ADC" w:rsidP="007B1369">
            <w:pPr>
              <w:jc w:val="both"/>
              <w:rPr>
                <w:rFonts w:ascii="Arial" w:hAnsi="Arial" w:cs="Arial"/>
              </w:rPr>
            </w:pPr>
            <w:r w:rsidRPr="005B6E3D">
              <w:rPr>
                <w:rFonts w:ascii="Arial" w:hAnsi="Arial" w:cs="Arial"/>
              </w:rPr>
              <w:t xml:space="preserve">Li </w:t>
            </w:r>
            <w:r w:rsidRPr="005B6E3D">
              <w:rPr>
                <w:rFonts w:ascii="Arial" w:hAnsi="Arial" w:cs="Arial"/>
                <w:i/>
                <w:iCs/>
              </w:rPr>
              <w:t>et al.</w:t>
            </w:r>
            <w:r w:rsidR="00EA03AE" w:rsidRPr="005B6E3D">
              <w:rPr>
                <w:rFonts w:ascii="Arial" w:hAnsi="Arial" w:cs="Arial"/>
              </w:rPr>
              <w:t xml:space="preserve">, </w:t>
            </w:r>
            <w:r w:rsidRPr="005B6E3D">
              <w:rPr>
                <w:rFonts w:ascii="Arial" w:hAnsi="Arial" w:cs="Arial"/>
              </w:rPr>
              <w:t>2015;</w:t>
            </w:r>
          </w:p>
          <w:p w14:paraId="2522DED2" w14:textId="03704E17" w:rsidR="00155ADC" w:rsidRPr="005B6E3D" w:rsidRDefault="00155ADC" w:rsidP="007B1369">
            <w:pPr>
              <w:jc w:val="both"/>
              <w:rPr>
                <w:rFonts w:ascii="Arial" w:hAnsi="Arial" w:cs="Arial"/>
              </w:rPr>
            </w:pPr>
            <w:r w:rsidRPr="005B6E3D">
              <w:rPr>
                <w:rFonts w:ascii="Arial" w:hAnsi="Arial" w:cs="Arial"/>
              </w:rPr>
              <w:t xml:space="preserve">Wu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p w14:paraId="45CADC7B" w14:textId="77777777" w:rsidR="00155ADC" w:rsidRPr="005B6E3D" w:rsidRDefault="00155ADC" w:rsidP="007B1369">
            <w:pPr>
              <w:jc w:val="both"/>
              <w:rPr>
                <w:rFonts w:ascii="Arial" w:hAnsi="Arial" w:cs="Arial"/>
              </w:rPr>
            </w:pPr>
          </w:p>
        </w:tc>
      </w:tr>
    </w:tbl>
    <w:p w14:paraId="4D821A21" w14:textId="0579D179" w:rsidR="00155ADC" w:rsidRDefault="00155ADC" w:rsidP="00155ADC">
      <w:pPr>
        <w:jc w:val="both"/>
        <w:rPr>
          <w:rFonts w:ascii="Arial" w:hAnsi="Arial" w:cs="Arial"/>
        </w:rPr>
      </w:pPr>
    </w:p>
    <w:p w14:paraId="2D65B313" w14:textId="3193A882" w:rsidR="00123408" w:rsidRDefault="00123408" w:rsidP="00155ADC">
      <w:pPr>
        <w:jc w:val="both"/>
        <w:rPr>
          <w:rFonts w:ascii="Arial" w:hAnsi="Arial" w:cs="Arial"/>
        </w:rPr>
      </w:pPr>
    </w:p>
    <w:p w14:paraId="08B45D72" w14:textId="0A718634" w:rsidR="00123408" w:rsidRDefault="00123408" w:rsidP="00155ADC">
      <w:pPr>
        <w:jc w:val="both"/>
        <w:rPr>
          <w:rFonts w:ascii="Arial" w:hAnsi="Arial" w:cs="Arial"/>
        </w:rPr>
      </w:pPr>
    </w:p>
    <w:p w14:paraId="40363DAD" w14:textId="77777777" w:rsidR="00123408" w:rsidRPr="005B6E3D" w:rsidRDefault="00123408" w:rsidP="00155ADC">
      <w:pPr>
        <w:jc w:val="both"/>
        <w:rPr>
          <w:rFonts w:ascii="Arial" w:hAnsi="Arial" w:cs="Arial"/>
        </w:rPr>
      </w:pPr>
    </w:p>
    <w:p w14:paraId="1331416D" w14:textId="16585EAB"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lastRenderedPageBreak/>
        <w:t>LINKS TO COCOON PRODUCTION AND SILK YIELD</w:t>
      </w:r>
    </w:p>
    <w:p w14:paraId="63A7B97A" w14:textId="77777777" w:rsidR="00155ADC" w:rsidRPr="005B6E3D" w:rsidRDefault="00155ADC" w:rsidP="00155ADC">
      <w:pPr>
        <w:ind w:firstLine="720"/>
        <w:jc w:val="both"/>
        <w:rPr>
          <w:rFonts w:ascii="Arial" w:hAnsi="Arial" w:cs="Arial"/>
        </w:rPr>
      </w:pPr>
      <w:r w:rsidRPr="005B6E3D">
        <w:rPr>
          <w:rFonts w:ascii="Arial" w:hAnsi="Arial" w:cs="Arial"/>
        </w:rPr>
        <w:t xml:space="preserve">Pheromonal and </w:t>
      </w:r>
      <w:proofErr w:type="spellStart"/>
      <w:r w:rsidRPr="005B6E3D">
        <w:rPr>
          <w:rFonts w:ascii="Arial" w:hAnsi="Arial" w:cs="Arial"/>
        </w:rPr>
        <w:t>neuropeptidergic</w:t>
      </w:r>
      <w:proofErr w:type="spellEnd"/>
      <w:r w:rsidRPr="005B6E3D">
        <w:rPr>
          <w:rFonts w:ascii="Arial" w:hAnsi="Arial" w:cs="Arial"/>
        </w:rPr>
        <w:t xml:space="preserve"> signaling influence cocoon production indirectly by reshaping whole-animal physiology. They alter how energy is stored and mobilized, shift reproductive allocation, and affect silk gland activity and gene expression. </w:t>
      </w:r>
      <w:r w:rsidRPr="005B6E3D">
        <w:rPr>
          <w:rFonts w:ascii="Arial" w:eastAsiaTheme="minorHAnsi" w:hAnsi="Arial" w:cs="Arial"/>
        </w:rPr>
        <w:t>Recent metabolomic and omics studies show that hormone and peptide axes such as insulin-like peptides, juvenile hormone, and PBAN/DH family peptides modulate silk gland growth, fibroin/sericin expression, and cocoon phenotypes</w:t>
      </w:r>
      <w:r w:rsidRPr="005B6E3D">
        <w:rPr>
          <w:rFonts w:ascii="Arial" w:hAnsi="Arial" w:cs="Arial"/>
        </w:rPr>
        <w:t xml:space="preserve"> (Li </w:t>
      </w:r>
      <w:r w:rsidRPr="005B6E3D">
        <w:rPr>
          <w:rFonts w:ascii="Arial" w:hAnsi="Arial" w:cs="Arial"/>
          <w:i/>
          <w:iCs/>
        </w:rPr>
        <w:t>et al.,</w:t>
      </w:r>
      <w:r w:rsidRPr="005B6E3D">
        <w:rPr>
          <w:rFonts w:ascii="Arial" w:hAnsi="Arial" w:cs="Arial"/>
        </w:rPr>
        <w:t xml:space="preserve"> 2015; Wu </w:t>
      </w:r>
      <w:r w:rsidRPr="005B6E3D">
        <w:rPr>
          <w:rFonts w:ascii="Arial" w:hAnsi="Arial" w:cs="Arial"/>
          <w:i/>
          <w:iCs/>
        </w:rPr>
        <w:t>et al.,</w:t>
      </w:r>
      <w:r w:rsidRPr="005B6E3D">
        <w:rPr>
          <w:rFonts w:ascii="Arial" w:hAnsi="Arial" w:cs="Arial"/>
        </w:rPr>
        <w:t xml:space="preserve"> 2022).</w:t>
      </w:r>
    </w:p>
    <w:p w14:paraId="33B3B0D9" w14:textId="77777777" w:rsidR="00A60869" w:rsidRPr="005B6E3D" w:rsidRDefault="00A60869" w:rsidP="00155ADC">
      <w:pPr>
        <w:ind w:firstLine="720"/>
        <w:jc w:val="both"/>
        <w:rPr>
          <w:rFonts w:ascii="Arial" w:hAnsi="Arial" w:cs="Arial"/>
        </w:rPr>
      </w:pPr>
    </w:p>
    <w:p w14:paraId="34837714"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Energy allocation and metabolic provisioning</w:t>
      </w:r>
    </w:p>
    <w:p w14:paraId="327C1A7A" w14:textId="77777777" w:rsidR="00155ADC" w:rsidRPr="005B6E3D" w:rsidRDefault="00155ADC" w:rsidP="00155ADC">
      <w:pPr>
        <w:ind w:firstLine="720"/>
        <w:jc w:val="both"/>
        <w:rPr>
          <w:rFonts w:ascii="Arial" w:hAnsi="Arial" w:cs="Arial"/>
        </w:rPr>
      </w:pPr>
      <w:r w:rsidRPr="005B6E3D">
        <w:rPr>
          <w:rFonts w:ascii="Arial" w:hAnsi="Arial" w:cs="Arial"/>
        </w:rPr>
        <w:t xml:space="preserve">Peptide hormones regulating lipid and carbohydrate mobilization, including </w:t>
      </w:r>
      <w:proofErr w:type="spellStart"/>
      <w:r w:rsidRPr="005B6E3D">
        <w:rPr>
          <w:rFonts w:ascii="Arial" w:hAnsi="Arial" w:cs="Arial"/>
        </w:rPr>
        <w:t>adipokinetic</w:t>
      </w:r>
      <w:proofErr w:type="spellEnd"/>
      <w:r w:rsidRPr="005B6E3D">
        <w:rPr>
          <w:rFonts w:ascii="Arial" w:hAnsi="Arial" w:cs="Arial"/>
        </w:rPr>
        <w:t xml:space="preserve"> hormone and </w:t>
      </w:r>
      <w:proofErr w:type="spellStart"/>
      <w:r w:rsidRPr="005B6E3D">
        <w:rPr>
          <w:rFonts w:ascii="Arial" w:hAnsi="Arial" w:cs="Arial"/>
        </w:rPr>
        <w:t>bombyxin</w:t>
      </w:r>
      <w:proofErr w:type="spellEnd"/>
      <w:r w:rsidRPr="005B6E3D">
        <w:rPr>
          <w:rFonts w:ascii="Arial" w:hAnsi="Arial" w:cs="Arial"/>
        </w:rPr>
        <w:t xml:space="preserve">-like insulin peptides, are central to reallocating resources between maintenance, reproduction, and silk synthesis (Toprak, 2020). Metabolomic profiling linked poor cocoon yield with disrupted carbohydrate, amino acid, and lipid metabolism in midgut, </w:t>
      </w:r>
      <w:proofErr w:type="spellStart"/>
      <w:r w:rsidRPr="005B6E3D">
        <w:rPr>
          <w:rFonts w:ascii="Arial" w:hAnsi="Arial" w:cs="Arial"/>
        </w:rPr>
        <w:t>haemolymph</w:t>
      </w:r>
      <w:proofErr w:type="spellEnd"/>
      <w:r w:rsidRPr="005B6E3D">
        <w:rPr>
          <w:rFonts w:ascii="Arial" w:hAnsi="Arial" w:cs="Arial"/>
        </w:rPr>
        <w:t xml:space="preserve">, and silk gland tissues (Wu </w:t>
      </w:r>
      <w:r w:rsidRPr="005B6E3D">
        <w:rPr>
          <w:rFonts w:ascii="Arial" w:hAnsi="Arial" w:cs="Arial"/>
          <w:i/>
          <w:iCs/>
        </w:rPr>
        <w:t>et al.,</w:t>
      </w:r>
      <w:r w:rsidRPr="005B6E3D">
        <w:rPr>
          <w:rFonts w:ascii="Arial" w:hAnsi="Arial" w:cs="Arial"/>
        </w:rPr>
        <w:t xml:space="preserve"> 2022). These signatures overlap with pathways regulated by insulin-like peptides in silk gland cells, supporting a mechanistic link between peptide </w:t>
      </w:r>
      <w:proofErr w:type="spellStart"/>
      <w:r w:rsidRPr="005B6E3D">
        <w:rPr>
          <w:rFonts w:ascii="Arial" w:hAnsi="Arial" w:cs="Arial"/>
        </w:rPr>
        <w:t>signalling</w:t>
      </w:r>
      <w:proofErr w:type="spellEnd"/>
      <w:r w:rsidRPr="005B6E3D">
        <w:rPr>
          <w:rFonts w:ascii="Arial" w:hAnsi="Arial" w:cs="Arial"/>
        </w:rPr>
        <w:t xml:space="preserve"> and silk yield (Li </w:t>
      </w:r>
      <w:r w:rsidRPr="005B6E3D">
        <w:rPr>
          <w:rFonts w:ascii="Arial" w:hAnsi="Arial" w:cs="Arial"/>
          <w:i/>
          <w:iCs/>
        </w:rPr>
        <w:t>et al.,</w:t>
      </w:r>
      <w:r w:rsidRPr="005B6E3D">
        <w:rPr>
          <w:rFonts w:ascii="Arial" w:hAnsi="Arial" w:cs="Arial"/>
        </w:rPr>
        <w:t xml:space="preserve"> 2015).</w:t>
      </w:r>
    </w:p>
    <w:p w14:paraId="47F9E0D4" w14:textId="77777777" w:rsidR="00A60869" w:rsidRPr="005B6E3D" w:rsidRDefault="00A60869" w:rsidP="00155ADC">
      <w:pPr>
        <w:ind w:firstLine="720"/>
        <w:jc w:val="both"/>
        <w:rPr>
          <w:rFonts w:ascii="Arial" w:hAnsi="Arial" w:cs="Arial"/>
        </w:rPr>
      </w:pPr>
    </w:p>
    <w:p w14:paraId="5E10767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Neuropeptides, juvenile hormone metabolism and reproductive trade-offs</w:t>
      </w:r>
    </w:p>
    <w:p w14:paraId="389E6DC8" w14:textId="7B324775" w:rsidR="00155ADC" w:rsidRPr="005B6E3D" w:rsidRDefault="00155ADC" w:rsidP="00155ADC">
      <w:pPr>
        <w:ind w:firstLine="720"/>
        <w:jc w:val="both"/>
        <w:rPr>
          <w:rFonts w:ascii="Arial" w:hAnsi="Arial" w:cs="Arial"/>
        </w:rPr>
      </w:pPr>
      <w:r w:rsidRPr="005B6E3D">
        <w:rPr>
          <w:rFonts w:ascii="Arial" w:hAnsi="Arial" w:cs="Arial"/>
        </w:rPr>
        <w:t xml:space="preserve">Juvenile hormone (JH) signaling in the silk gland directly regulates silk gene expression. Elevated JH activity, achieved through analog treatments, prolongs the final larval instar and increases cocoon weight and thickness (Liu </w:t>
      </w:r>
      <w:r w:rsidRPr="005B6E3D">
        <w:rPr>
          <w:rFonts w:ascii="Arial" w:hAnsi="Arial" w:cs="Arial"/>
          <w:i/>
          <w:iCs/>
        </w:rPr>
        <w:t>et al.,</w:t>
      </w:r>
      <w:r w:rsidRPr="005B6E3D">
        <w:rPr>
          <w:rFonts w:ascii="Arial" w:hAnsi="Arial" w:cs="Arial"/>
        </w:rPr>
        <w:t xml:space="preserve"> 2023). Conversely, perturbations in JH-binding proteins (Zhang </w:t>
      </w:r>
      <w:r w:rsidRPr="005B6E3D">
        <w:rPr>
          <w:rFonts w:ascii="Arial" w:hAnsi="Arial" w:cs="Arial"/>
          <w:i/>
          <w:iCs/>
        </w:rPr>
        <w:t>et al.,</w:t>
      </w:r>
      <w:r w:rsidRPr="005B6E3D">
        <w:rPr>
          <w:rFonts w:ascii="Arial" w:hAnsi="Arial" w:cs="Arial"/>
        </w:rPr>
        <w:t xml:space="preserve"> 2023a) or juvenile hormone esterase enzymes (Zhang </w:t>
      </w:r>
      <w:r w:rsidRPr="005B6E3D">
        <w:rPr>
          <w:rFonts w:ascii="Arial" w:hAnsi="Arial" w:cs="Arial"/>
          <w:i/>
          <w:iCs/>
        </w:rPr>
        <w:t>et al.,</w:t>
      </w:r>
      <w:r w:rsidRPr="005B6E3D">
        <w:rPr>
          <w:rFonts w:ascii="Arial" w:hAnsi="Arial" w:cs="Arial"/>
        </w:rPr>
        <w:t xml:space="preserve"> 2023b) depress fibroin expression and lower silk synthesis, highlighting how JH pathway balance influences silk investment.</w:t>
      </w:r>
    </w:p>
    <w:p w14:paraId="08B44506" w14:textId="77777777" w:rsidR="00A60869" w:rsidRPr="005B6E3D" w:rsidRDefault="00A60869" w:rsidP="00155ADC">
      <w:pPr>
        <w:ind w:firstLine="720"/>
        <w:jc w:val="both"/>
        <w:rPr>
          <w:rFonts w:ascii="Arial" w:hAnsi="Arial" w:cs="Arial"/>
        </w:rPr>
      </w:pPr>
    </w:p>
    <w:p w14:paraId="30E6595D" w14:textId="57460BFF" w:rsidR="00155ADC" w:rsidRPr="005B6E3D" w:rsidRDefault="00155ADC" w:rsidP="00A60869">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Silk gland growth, transcriptional control and peptide signals</w:t>
      </w:r>
    </w:p>
    <w:p w14:paraId="0FFF181C" w14:textId="77777777" w:rsidR="00155ADC" w:rsidRPr="005B6E3D" w:rsidRDefault="00155ADC" w:rsidP="00155ADC">
      <w:pPr>
        <w:ind w:firstLine="720"/>
        <w:jc w:val="both"/>
        <w:rPr>
          <w:rFonts w:ascii="Arial" w:hAnsi="Arial" w:cs="Arial"/>
        </w:rPr>
      </w:pPr>
      <w:r w:rsidRPr="005B6E3D">
        <w:rPr>
          <w:rFonts w:ascii="Arial" w:hAnsi="Arial" w:cs="Arial"/>
        </w:rPr>
        <w:t xml:space="preserve">The growth potential of silk glands, driven by endoreplication and cell enlargement, sets the ceiling for silk synthesis. Single-cell transcriptomics has mapped distinct silk gland cell types regulating fibroin production (Ma </w:t>
      </w:r>
      <w:r w:rsidRPr="005B6E3D">
        <w:rPr>
          <w:rFonts w:ascii="Arial" w:hAnsi="Arial" w:cs="Arial"/>
          <w:i/>
          <w:iCs/>
        </w:rPr>
        <w:t>et al.,</w:t>
      </w:r>
      <w:r w:rsidRPr="005B6E3D">
        <w:rPr>
          <w:rFonts w:ascii="Arial" w:hAnsi="Arial" w:cs="Arial"/>
        </w:rPr>
        <w:t xml:space="preserve"> 2022). A follow-up spatial atlas confirmed the architectural basis of silk gland function in the final instar (Ma </w:t>
      </w:r>
      <w:r w:rsidRPr="005B6E3D">
        <w:rPr>
          <w:rFonts w:ascii="Arial" w:hAnsi="Arial" w:cs="Arial"/>
          <w:i/>
          <w:iCs/>
        </w:rPr>
        <w:t>et al.,</w:t>
      </w:r>
      <w:r w:rsidRPr="005B6E3D">
        <w:rPr>
          <w:rFonts w:ascii="Arial" w:hAnsi="Arial" w:cs="Arial"/>
        </w:rPr>
        <w:t xml:space="preserve"> 2024). Functional experiments show that enhancing </w:t>
      </w:r>
      <w:proofErr w:type="spellStart"/>
      <w:r w:rsidRPr="005B6E3D">
        <w:rPr>
          <w:rFonts w:ascii="Arial" w:hAnsi="Arial" w:cs="Arial"/>
        </w:rPr>
        <w:t>Myc</w:t>
      </w:r>
      <w:proofErr w:type="spellEnd"/>
      <w:r w:rsidRPr="005B6E3D">
        <w:rPr>
          <w:rFonts w:ascii="Arial" w:hAnsi="Arial" w:cs="Arial"/>
        </w:rPr>
        <w:t xml:space="preserve">, a conserved transcription factor controlling cell growth and protein synthesis, increases fibroin production and cocoon shell weight, providing direct evidence of transcriptional regulation of silk yield (Qian </w:t>
      </w:r>
      <w:r w:rsidRPr="005B6E3D">
        <w:rPr>
          <w:rFonts w:ascii="Arial" w:hAnsi="Arial" w:cs="Arial"/>
          <w:i/>
          <w:iCs/>
        </w:rPr>
        <w:t>et al.,</w:t>
      </w:r>
      <w:r w:rsidRPr="005B6E3D">
        <w:rPr>
          <w:rFonts w:ascii="Arial" w:hAnsi="Arial" w:cs="Arial"/>
        </w:rPr>
        <w:t xml:space="preserve"> 2021).</w:t>
      </w:r>
    </w:p>
    <w:p w14:paraId="74497E7D" w14:textId="77777777" w:rsidR="00A60869" w:rsidRPr="005B6E3D" w:rsidRDefault="00A60869" w:rsidP="00155ADC">
      <w:pPr>
        <w:ind w:firstLine="720"/>
        <w:jc w:val="both"/>
        <w:rPr>
          <w:rFonts w:ascii="Arial" w:hAnsi="Arial" w:cs="Arial"/>
        </w:rPr>
      </w:pPr>
    </w:p>
    <w:p w14:paraId="484C9D0C"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Stress, gland dysfunction and resource diversion</w:t>
      </w:r>
    </w:p>
    <w:p w14:paraId="3E31BC03" w14:textId="77777777" w:rsidR="00155ADC" w:rsidRPr="005B6E3D" w:rsidRDefault="00155ADC" w:rsidP="00155ADC">
      <w:pPr>
        <w:ind w:firstLine="720"/>
        <w:jc w:val="both"/>
        <w:rPr>
          <w:rFonts w:ascii="Arial" w:hAnsi="Arial" w:cs="Arial"/>
        </w:rPr>
      </w:pPr>
      <w:r w:rsidRPr="005B6E3D">
        <w:rPr>
          <w:rFonts w:ascii="Arial" w:hAnsi="Arial" w:cs="Arial"/>
        </w:rPr>
        <w:t xml:space="preserve">Disruption of silk gland function diverts amino acids and energy reserves away from silk deposition. Cytotoxin-mediated gland dysfunction reduced cocoon shell weight and confirmed the necessity of intact endocrine and silk gland function for normal yield (Lye </w:t>
      </w:r>
      <w:r w:rsidRPr="005B6E3D">
        <w:rPr>
          <w:rFonts w:ascii="Arial" w:hAnsi="Arial" w:cs="Arial"/>
          <w:i/>
          <w:iCs/>
        </w:rPr>
        <w:t>et al.</w:t>
      </w:r>
      <w:r w:rsidRPr="005B6E3D">
        <w:rPr>
          <w:rFonts w:ascii="Arial" w:hAnsi="Arial" w:cs="Arial"/>
        </w:rPr>
        <w:t xml:space="preserve">, 2024). Similarly, multi-tissue metabolic analyses suggest that stress-induced endocrine imbalance reduces cocoon quality (Wu </w:t>
      </w:r>
      <w:r w:rsidRPr="005B6E3D">
        <w:rPr>
          <w:rFonts w:ascii="Arial" w:hAnsi="Arial" w:cs="Arial"/>
          <w:i/>
          <w:iCs/>
        </w:rPr>
        <w:t>et al.,</w:t>
      </w:r>
      <w:r w:rsidRPr="005B6E3D">
        <w:rPr>
          <w:rFonts w:ascii="Arial" w:hAnsi="Arial" w:cs="Arial"/>
        </w:rPr>
        <w:t xml:space="preserve"> 2022).</w:t>
      </w:r>
    </w:p>
    <w:p w14:paraId="3BB62354" w14:textId="77777777" w:rsidR="00A60869" w:rsidRPr="005B6E3D" w:rsidRDefault="00A60869" w:rsidP="00155ADC">
      <w:pPr>
        <w:ind w:firstLine="720"/>
        <w:jc w:val="both"/>
        <w:rPr>
          <w:rFonts w:ascii="Arial" w:hAnsi="Arial" w:cs="Arial"/>
        </w:rPr>
      </w:pPr>
    </w:p>
    <w:p w14:paraId="15069316"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Synthesis and applied implications</w:t>
      </w:r>
    </w:p>
    <w:p w14:paraId="38457E39" w14:textId="77777777" w:rsidR="00155ADC" w:rsidRPr="005B6E3D" w:rsidRDefault="00155ADC" w:rsidP="00155ADC">
      <w:pPr>
        <w:ind w:firstLine="720"/>
        <w:jc w:val="both"/>
        <w:rPr>
          <w:rFonts w:ascii="Arial" w:hAnsi="Arial" w:cs="Arial"/>
        </w:rPr>
      </w:pPr>
      <w:r w:rsidRPr="005B6E3D">
        <w:rPr>
          <w:rFonts w:ascii="Arial" w:hAnsi="Arial" w:cs="Arial"/>
        </w:rPr>
        <w:t xml:space="preserve">Together, these studies suggest three key implications. First, manipulating endocrine and neuropeptide pathways can extend the silk-producing phase and improve yield (Liu </w:t>
      </w:r>
      <w:r w:rsidRPr="005B6E3D">
        <w:rPr>
          <w:rFonts w:ascii="Arial" w:hAnsi="Arial" w:cs="Arial"/>
          <w:i/>
          <w:iCs/>
        </w:rPr>
        <w:t>et al.,</w:t>
      </w:r>
      <w:r w:rsidRPr="005B6E3D">
        <w:rPr>
          <w:rFonts w:ascii="Arial" w:hAnsi="Arial" w:cs="Arial"/>
        </w:rPr>
        <w:t xml:space="preserve"> 2023). Second, omics approaches provide biomarkers linking systemic </w:t>
      </w:r>
      <w:r w:rsidRPr="005B6E3D">
        <w:rPr>
          <w:rFonts w:ascii="Arial" w:hAnsi="Arial" w:cs="Arial"/>
        </w:rPr>
        <w:lastRenderedPageBreak/>
        <w:t xml:space="preserve">metabolism with silk performance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Third, safeguarding silk gland integrity from stressors is critical to sustain high-quality silk output (Lye </w:t>
      </w:r>
      <w:r w:rsidRPr="005B6E3D">
        <w:rPr>
          <w:rFonts w:ascii="Arial" w:hAnsi="Arial" w:cs="Arial"/>
          <w:i/>
          <w:iCs/>
        </w:rPr>
        <w:t>et al.,</w:t>
      </w:r>
      <w:r w:rsidRPr="005B6E3D">
        <w:rPr>
          <w:rFonts w:ascii="Arial" w:hAnsi="Arial" w:cs="Arial"/>
        </w:rPr>
        <w:t xml:space="preserve"> 2024).</w:t>
      </w:r>
    </w:p>
    <w:p w14:paraId="11652B83" w14:textId="77777777" w:rsidR="00A60869" w:rsidRPr="005B6E3D" w:rsidRDefault="00A60869" w:rsidP="00155ADC">
      <w:pPr>
        <w:ind w:firstLine="720"/>
        <w:jc w:val="both"/>
        <w:rPr>
          <w:rFonts w:ascii="Arial" w:hAnsi="Arial" w:cs="Arial"/>
        </w:rPr>
      </w:pPr>
    </w:p>
    <w:p w14:paraId="5D081245" w14:textId="00A25D13"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APPLICATIONS IN SERICULTURE: FROM BREEDING TO PEST MANAGEMENT</w:t>
      </w:r>
    </w:p>
    <w:p w14:paraId="19B1B86F" w14:textId="77777777" w:rsidR="00155ADC" w:rsidRPr="005B6E3D" w:rsidRDefault="00155ADC" w:rsidP="00155ADC">
      <w:pPr>
        <w:ind w:firstLine="720"/>
        <w:jc w:val="both"/>
        <w:rPr>
          <w:rStyle w:val="Emphasis"/>
          <w:rFonts w:ascii="Arial" w:eastAsiaTheme="majorEastAsia" w:hAnsi="Arial" w:cs="Arial"/>
          <w:i w:val="0"/>
          <w:iCs w:val="0"/>
        </w:rPr>
      </w:pPr>
      <w:r w:rsidRPr="005B6E3D">
        <w:rPr>
          <w:rStyle w:val="Emphasis"/>
          <w:rFonts w:ascii="Arial" w:eastAsiaTheme="majorEastAsia" w:hAnsi="Arial" w:cs="Arial"/>
          <w:i w:val="0"/>
          <w:iCs w:val="0"/>
        </w:rPr>
        <w:t xml:space="preserve">Understanding pheromone and </w:t>
      </w:r>
      <w:proofErr w:type="spellStart"/>
      <w:r w:rsidRPr="005B6E3D">
        <w:rPr>
          <w:rStyle w:val="Emphasis"/>
          <w:rFonts w:ascii="Arial" w:eastAsiaTheme="majorEastAsia" w:hAnsi="Arial" w:cs="Arial"/>
          <w:i w:val="0"/>
          <w:iCs w:val="0"/>
        </w:rPr>
        <w:t>neuropeptidergic</w:t>
      </w:r>
      <w:proofErr w:type="spellEnd"/>
      <w:r w:rsidRPr="005B6E3D">
        <w:rPr>
          <w:rStyle w:val="Emphasis"/>
          <w:rFonts w:ascii="Arial" w:eastAsiaTheme="majorEastAsia" w:hAnsi="Arial" w:cs="Arial"/>
          <w:i w:val="0"/>
          <w:iCs w:val="0"/>
        </w:rPr>
        <w:t xml:space="preserve"> pathways opens several practical routes to improve sericulture outcomes. Below we describe translational opportunities grouped into breeding and genetic approaches, endocrine/biotechnological interventions, nutritional and microbiome strategies, and pheromone-based pest management, with each subsection highlighting the experimental or field-level evidence that supports potential sericultural application (Denlinger, 2022; Liu </w:t>
      </w:r>
      <w:r w:rsidRPr="005B6E3D">
        <w:rPr>
          <w:rStyle w:val="Emphasis"/>
          <w:rFonts w:ascii="Arial" w:eastAsiaTheme="majorEastAsia" w:hAnsi="Arial" w:cs="Arial"/>
        </w:rPr>
        <w:t>et al.,</w:t>
      </w:r>
      <w:r w:rsidRPr="005B6E3D">
        <w:rPr>
          <w:rStyle w:val="Emphasis"/>
          <w:rFonts w:ascii="Arial" w:eastAsiaTheme="majorEastAsia" w:hAnsi="Arial" w:cs="Arial"/>
          <w:i w:val="0"/>
          <w:iCs w:val="0"/>
        </w:rPr>
        <w:t xml:space="preserve"> 2023).</w:t>
      </w:r>
    </w:p>
    <w:p w14:paraId="2C2F8C47" w14:textId="77777777" w:rsidR="00A60869" w:rsidRPr="005B6E3D" w:rsidRDefault="00A60869" w:rsidP="00155ADC">
      <w:pPr>
        <w:ind w:firstLine="720"/>
        <w:jc w:val="both"/>
        <w:rPr>
          <w:rStyle w:val="Emphasis"/>
          <w:rFonts w:ascii="Arial" w:eastAsiaTheme="majorEastAsia" w:hAnsi="Arial" w:cs="Arial"/>
          <w:i w:val="0"/>
          <w:iCs w:val="0"/>
        </w:rPr>
      </w:pPr>
    </w:p>
    <w:p w14:paraId="51FD4C38"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Style w:val="Emphasis"/>
          <w:rFonts w:ascii="Arial" w:eastAsiaTheme="majorEastAsia" w:hAnsi="Arial" w:cs="Arial"/>
          <w:b/>
          <w:bCs/>
          <w:i w:val="0"/>
          <w:iCs w:val="0"/>
          <w:sz w:val="22"/>
          <w:szCs w:val="22"/>
        </w:rPr>
        <w:t xml:space="preserve"> </w:t>
      </w:r>
      <w:r w:rsidRPr="005B6E3D">
        <w:rPr>
          <w:rFonts w:ascii="Arial" w:hAnsi="Arial" w:cs="Arial"/>
          <w:b/>
          <w:bCs/>
          <w:sz w:val="22"/>
          <w:szCs w:val="22"/>
        </w:rPr>
        <w:t>Breeding and genetic interventions</w:t>
      </w:r>
    </w:p>
    <w:p w14:paraId="7D61EEA3" w14:textId="77777777" w:rsidR="00155ADC" w:rsidRPr="005B6E3D" w:rsidRDefault="00155ADC" w:rsidP="00155ADC">
      <w:pPr>
        <w:ind w:firstLine="720"/>
        <w:jc w:val="both"/>
        <w:rPr>
          <w:rFonts w:ascii="Arial" w:eastAsiaTheme="majorEastAsia" w:hAnsi="Arial" w:cs="Arial"/>
        </w:rPr>
      </w:pPr>
      <w:r w:rsidRPr="005B6E3D">
        <w:rPr>
          <w:rFonts w:ascii="Arial" w:eastAsiaTheme="majorEastAsia" w:hAnsi="Arial" w:cs="Arial"/>
        </w:rPr>
        <w:t xml:space="preserve">Targeted breeding and genetic modification can exploit knowledge of neuroendocrine control to change life-history timing or enhance silk traits. Genome editing tools such as CRISPR/Cas systems now permit loss- and gain-of-function experiments in silk moths and related lepidopterans, enabling modification of clock, diapause, or endocrine genes that control developmental timing and resource allocation (Xu &amp; </w:t>
      </w:r>
      <w:proofErr w:type="spellStart"/>
      <w:r w:rsidRPr="005B6E3D">
        <w:rPr>
          <w:rFonts w:ascii="Arial" w:eastAsiaTheme="majorEastAsia" w:hAnsi="Arial" w:cs="Arial"/>
        </w:rPr>
        <w:t>O’Brochta</w:t>
      </w:r>
      <w:proofErr w:type="spellEnd"/>
      <w:r w:rsidRPr="005B6E3D">
        <w:rPr>
          <w:rFonts w:ascii="Arial" w:eastAsiaTheme="majorEastAsia" w:hAnsi="Arial" w:cs="Arial"/>
        </w:rPr>
        <w:t xml:space="preserve">, 2015; Yu </w:t>
      </w:r>
      <w:r w:rsidRPr="005B6E3D">
        <w:rPr>
          <w:rFonts w:ascii="Arial" w:eastAsiaTheme="majorEastAsia" w:hAnsi="Arial" w:cs="Arial"/>
          <w:i/>
          <w:iCs/>
        </w:rPr>
        <w:t>et al.,</w:t>
      </w:r>
      <w:r w:rsidRPr="005B6E3D">
        <w:rPr>
          <w:rFonts w:ascii="Arial" w:eastAsiaTheme="majorEastAsia" w:hAnsi="Arial" w:cs="Arial"/>
        </w:rPr>
        <w:t xml:space="preserve"> 2023). Ablation or disruption of diapause-determining neuroendocrine centers has also been shown to abolish egg diapause, pointing to strategies for producing non-diapausing laboratory strains suitable for year-round breeding and transgenesis (Yamada </w:t>
      </w:r>
      <w:r w:rsidRPr="005B6E3D">
        <w:rPr>
          <w:rFonts w:ascii="Arial" w:eastAsiaTheme="majorEastAsia" w:hAnsi="Arial" w:cs="Arial"/>
          <w:i/>
          <w:iCs/>
        </w:rPr>
        <w:t>et al.,</w:t>
      </w:r>
      <w:r w:rsidRPr="005B6E3D">
        <w:rPr>
          <w:rFonts w:ascii="Arial" w:eastAsiaTheme="majorEastAsia" w:hAnsi="Arial" w:cs="Arial"/>
        </w:rPr>
        <w:t xml:space="preserve"> 2022). These genetic tools therefore offer routes to create lines with altered voltinism, synchronized reproduction, or improved silk gland growth while ethical, regulatory and off-target considerations remain important.</w:t>
      </w:r>
    </w:p>
    <w:p w14:paraId="3E08A4F1" w14:textId="77777777" w:rsidR="00A60869" w:rsidRPr="005B6E3D" w:rsidRDefault="00A60869" w:rsidP="00155ADC">
      <w:pPr>
        <w:ind w:firstLine="720"/>
        <w:jc w:val="both"/>
        <w:rPr>
          <w:rFonts w:ascii="Arial" w:eastAsiaTheme="majorEastAsia" w:hAnsi="Arial" w:cs="Arial"/>
        </w:rPr>
      </w:pPr>
    </w:p>
    <w:p w14:paraId="310CCB71"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sz w:val="22"/>
          <w:szCs w:val="22"/>
        </w:rPr>
        <w:t xml:space="preserve"> Endocrine and peptide-targeted manipulations</w:t>
      </w:r>
    </w:p>
    <w:p w14:paraId="52E57B00" w14:textId="77777777" w:rsidR="00155ADC" w:rsidRPr="005B6E3D" w:rsidRDefault="00155ADC" w:rsidP="00155ADC">
      <w:pPr>
        <w:ind w:firstLine="720"/>
        <w:jc w:val="both"/>
        <w:rPr>
          <w:rFonts w:ascii="Arial" w:hAnsi="Arial" w:cs="Arial"/>
        </w:rPr>
      </w:pPr>
      <w:r w:rsidRPr="005B6E3D">
        <w:rPr>
          <w:rFonts w:ascii="Arial" w:hAnsi="Arial" w:cs="Arial"/>
        </w:rPr>
        <w:t xml:space="preserve">Direct manipulation of hormonal axes provides rapid, reversible ways to influence diapause and silk production. Juvenile hormone (JH) analogues and anti-diapause sera have long been used experimentally to alter diapause status and development; recent studies show that JH modulation changes silk gene expression and cocoon traits, and reviews summarize chemical and physical diapause manipulators that could be used in applied settings (Denlinger, 2022; Liu </w:t>
      </w:r>
      <w:r w:rsidRPr="005B6E3D">
        <w:rPr>
          <w:rFonts w:ascii="Arial" w:hAnsi="Arial" w:cs="Arial"/>
          <w:i/>
          <w:iCs/>
        </w:rPr>
        <w:t>et al.,</w:t>
      </w:r>
      <w:r w:rsidRPr="005B6E3D">
        <w:rPr>
          <w:rFonts w:ascii="Arial" w:hAnsi="Arial" w:cs="Arial"/>
        </w:rPr>
        <w:t xml:space="preserve"> 2023). Similarly, peptide-targeted approaches such as antibodies or receptor ligands against diapause hormone or PBAN family peptides have been explored experimentally to modify diapause or pheromone output, suggesting translational potential to adjust reproductive timing without permanent genetic change. These endocrine strategies can be useful where breeding cycles must be altered quickly to meet market demand (Zhang </w:t>
      </w:r>
      <w:r w:rsidRPr="005B6E3D">
        <w:rPr>
          <w:rFonts w:ascii="Arial" w:hAnsi="Arial" w:cs="Arial"/>
          <w:i/>
          <w:iCs/>
        </w:rPr>
        <w:t>et al.,</w:t>
      </w:r>
      <w:r w:rsidRPr="005B6E3D">
        <w:rPr>
          <w:rFonts w:ascii="Arial" w:hAnsi="Arial" w:cs="Arial"/>
        </w:rPr>
        <w:t xml:space="preserve"> 2011).</w:t>
      </w:r>
    </w:p>
    <w:p w14:paraId="13639083" w14:textId="77777777" w:rsidR="00A60869" w:rsidRPr="005B6E3D" w:rsidRDefault="00A60869" w:rsidP="00155ADC">
      <w:pPr>
        <w:ind w:firstLine="720"/>
        <w:jc w:val="both"/>
        <w:rPr>
          <w:rFonts w:ascii="Arial" w:hAnsi="Arial" w:cs="Arial"/>
        </w:rPr>
      </w:pPr>
    </w:p>
    <w:p w14:paraId="48AC9DB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Nutrition, probiotics and microbiome interventions</w:t>
      </w:r>
    </w:p>
    <w:p w14:paraId="212C6DB3" w14:textId="77777777" w:rsidR="00155ADC" w:rsidRPr="005B6E3D" w:rsidRDefault="00155ADC" w:rsidP="00155ADC">
      <w:pPr>
        <w:ind w:firstLine="720"/>
        <w:jc w:val="both"/>
        <w:rPr>
          <w:rFonts w:ascii="Arial" w:hAnsi="Arial" w:cs="Arial"/>
        </w:rPr>
      </w:pPr>
      <w:r w:rsidRPr="005B6E3D">
        <w:rPr>
          <w:rFonts w:ascii="Arial" w:hAnsi="Arial" w:cs="Arial"/>
        </w:rPr>
        <w:t xml:space="preserve">Because neuropeptides and hormones integrate environmental and nutritional signals, diet and microbiome interventions are pragmatic levers for sericulture. Nutritional supplements, prebiotics or probiotics can modify host metabolism and endocrine state, and metabolomic studies link systemic nutrient status to cocoon yield (Wu </w:t>
      </w:r>
      <w:r w:rsidRPr="005B6E3D">
        <w:rPr>
          <w:rFonts w:ascii="Arial" w:hAnsi="Arial" w:cs="Arial"/>
          <w:i/>
          <w:iCs/>
        </w:rPr>
        <w:t>et al.,</w:t>
      </w:r>
      <w:r w:rsidRPr="005B6E3D">
        <w:rPr>
          <w:rFonts w:ascii="Arial" w:hAnsi="Arial" w:cs="Arial"/>
        </w:rPr>
        <w:t xml:space="preserve"> 2022). Early work also indicates that dietary additives or microbiome manipulations can influence JH </w:t>
      </w:r>
      <w:proofErr w:type="spellStart"/>
      <w:r w:rsidRPr="005B6E3D">
        <w:rPr>
          <w:rFonts w:ascii="Arial" w:hAnsi="Arial" w:cs="Arial"/>
        </w:rPr>
        <w:t>titres</w:t>
      </w:r>
      <w:proofErr w:type="spellEnd"/>
      <w:r w:rsidRPr="005B6E3D">
        <w:rPr>
          <w:rFonts w:ascii="Arial" w:hAnsi="Arial" w:cs="Arial"/>
        </w:rPr>
        <w:t xml:space="preserve"> and immune/endocrine resilience, which in turn affect silk gland activity and final cocoon quality. These approaches are attractive because they are non-transgenic and readily implemented at farm scale, though they require dose and safety optimization (</w:t>
      </w: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Pr="005B6E3D">
        <w:rPr>
          <w:rFonts w:ascii="Arial" w:hAnsi="Arial" w:cs="Arial"/>
        </w:rPr>
        <w:t xml:space="preserve">, 2021; Liu </w:t>
      </w:r>
      <w:r w:rsidRPr="005B6E3D">
        <w:rPr>
          <w:rFonts w:ascii="Arial" w:hAnsi="Arial" w:cs="Arial"/>
          <w:i/>
          <w:iCs/>
        </w:rPr>
        <w:t>et al.,</w:t>
      </w:r>
      <w:r w:rsidRPr="005B6E3D">
        <w:rPr>
          <w:rFonts w:ascii="Arial" w:hAnsi="Arial" w:cs="Arial"/>
        </w:rPr>
        <w:t xml:space="preserve"> 2023).</w:t>
      </w:r>
    </w:p>
    <w:p w14:paraId="0C77EC46" w14:textId="77777777" w:rsidR="00A60869" w:rsidRPr="005B6E3D" w:rsidRDefault="00A60869" w:rsidP="00155ADC">
      <w:pPr>
        <w:ind w:firstLine="720"/>
        <w:jc w:val="both"/>
        <w:rPr>
          <w:rFonts w:ascii="Arial" w:hAnsi="Arial" w:cs="Arial"/>
        </w:rPr>
      </w:pPr>
    </w:p>
    <w:p w14:paraId="4079202E"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lastRenderedPageBreak/>
        <w:t xml:space="preserve"> </w:t>
      </w:r>
      <w:r w:rsidRPr="005B6E3D">
        <w:rPr>
          <w:rFonts w:ascii="Arial" w:hAnsi="Arial" w:cs="Arial"/>
          <w:b/>
          <w:bCs/>
          <w:sz w:val="22"/>
          <w:szCs w:val="22"/>
        </w:rPr>
        <w:t>Pheromone-based monitoring and pest management</w:t>
      </w:r>
    </w:p>
    <w:p w14:paraId="01D44860" w14:textId="77777777" w:rsidR="00155ADC" w:rsidRPr="005B6E3D" w:rsidRDefault="00155ADC" w:rsidP="00155ADC">
      <w:pPr>
        <w:ind w:firstLine="720"/>
        <w:jc w:val="both"/>
        <w:rPr>
          <w:rFonts w:ascii="Arial" w:hAnsi="Arial" w:cs="Arial"/>
        </w:rPr>
      </w:pPr>
      <w:r w:rsidRPr="005B6E3D">
        <w:rPr>
          <w:rFonts w:ascii="Arial" w:hAnsi="Arial" w:cs="Arial"/>
        </w:rPr>
        <w:t xml:space="preserve">Pheromone technologies provide immediate, low-residue tools to protect mulberry and cocoon production. Sex pheromone-baited traps, lure-based monitoring, mass trapping and mating disruption have proven effective in many lepidopteran pests and are applicable to key mulberry pests where defined attractants exist (Cui &amp; Zhu, 2016; Lizana </w:t>
      </w:r>
      <w:r w:rsidRPr="005B6E3D">
        <w:rPr>
          <w:rFonts w:ascii="Arial" w:hAnsi="Arial" w:cs="Arial"/>
          <w:i/>
          <w:iCs/>
        </w:rPr>
        <w:t>et al.,</w:t>
      </w:r>
      <w:r w:rsidRPr="005B6E3D">
        <w:rPr>
          <w:rFonts w:ascii="Arial" w:hAnsi="Arial" w:cs="Arial"/>
        </w:rPr>
        <w:t xml:space="preserve"> 2022). Recent work on pheromone-binding proteins and ligand design for mulberry pests illustrates how advances in chemosensory biochemistry can improve trap specificity and longevity (Li </w:t>
      </w:r>
      <w:r w:rsidRPr="005B6E3D">
        <w:rPr>
          <w:rFonts w:ascii="Arial" w:hAnsi="Arial" w:cs="Arial"/>
          <w:i/>
          <w:iCs/>
        </w:rPr>
        <w:t>et al.,</w:t>
      </w:r>
      <w:r w:rsidRPr="005B6E3D">
        <w:rPr>
          <w:rFonts w:ascii="Arial" w:hAnsi="Arial" w:cs="Arial"/>
        </w:rPr>
        <w:t xml:space="preserve"> 2024). Implementing pheromone-based IPM in mulberry plantations can reduce pesticide use, protect leaf quality for rearing, and ultimately support higher cocoon yields when integrated with cultural controls. </w:t>
      </w:r>
    </w:p>
    <w:p w14:paraId="568A2BAD" w14:textId="77777777" w:rsidR="00A60869" w:rsidRPr="005B6E3D" w:rsidRDefault="00A60869" w:rsidP="00155ADC">
      <w:pPr>
        <w:ind w:firstLine="720"/>
        <w:jc w:val="both"/>
        <w:rPr>
          <w:rFonts w:ascii="Arial" w:hAnsi="Arial" w:cs="Arial"/>
        </w:rPr>
      </w:pPr>
    </w:p>
    <w:p w14:paraId="47E93F2D" w14:textId="77777777" w:rsidR="00155ADC" w:rsidRPr="005B6E3D" w:rsidRDefault="00155ADC" w:rsidP="00155ADC">
      <w:pPr>
        <w:pStyle w:val="ListParagraph"/>
        <w:numPr>
          <w:ilvl w:val="1"/>
          <w:numId w:val="32"/>
        </w:numPr>
        <w:jc w:val="both"/>
        <w:rPr>
          <w:rFonts w:ascii="Arial" w:hAnsi="Arial" w:cs="Arial"/>
          <w:b/>
          <w:bCs/>
          <w:sz w:val="22"/>
          <w:szCs w:val="22"/>
        </w:rPr>
      </w:pPr>
      <w:r w:rsidRPr="005B6E3D">
        <w:rPr>
          <w:rFonts w:ascii="Arial" w:hAnsi="Arial" w:cs="Arial"/>
          <w:b/>
          <w:bCs/>
          <w:i/>
          <w:iCs/>
          <w:sz w:val="22"/>
          <w:szCs w:val="22"/>
        </w:rPr>
        <w:t xml:space="preserve"> </w:t>
      </w:r>
      <w:r w:rsidRPr="005B6E3D">
        <w:rPr>
          <w:rFonts w:ascii="Arial" w:hAnsi="Arial" w:cs="Arial"/>
          <w:b/>
          <w:bCs/>
          <w:sz w:val="22"/>
          <w:szCs w:val="22"/>
        </w:rPr>
        <w:t>Implementation challenges and ethical/regulatory considerations</w:t>
      </w:r>
    </w:p>
    <w:p w14:paraId="5A2972F2" w14:textId="77777777" w:rsidR="00155ADC" w:rsidRPr="005B6E3D" w:rsidRDefault="00155ADC" w:rsidP="00155ADC">
      <w:pPr>
        <w:ind w:firstLine="720"/>
        <w:jc w:val="both"/>
        <w:rPr>
          <w:rFonts w:ascii="Arial" w:hAnsi="Arial" w:cs="Arial"/>
        </w:rPr>
      </w:pPr>
      <w:r w:rsidRPr="005B6E3D">
        <w:rPr>
          <w:rFonts w:ascii="Arial" w:hAnsi="Arial" w:cs="Arial"/>
        </w:rPr>
        <w:t xml:space="preserve">Translating fundamental findings into sericulture practice requires addressing scale, cost, and biosafety. Gene-edited or transgenic lines must meet regulatory, trade and public-acceptance hurdles. Hormonal or peptide treatments require residue, non-target and welfare assessment. Pheromone dispensers and formulations need cost-effective, long-lasting controlled-release technologies for smallholder adoption. Reviews of diapause manipulation tools and gene-editing protocols underline both the promise and the caveats: practical deployment must be coupled with risk assessment, farmer training and species-specific validation (Denlinger, 2022; Xu </w:t>
      </w:r>
      <w:r w:rsidRPr="005B6E3D">
        <w:rPr>
          <w:rFonts w:ascii="Arial" w:eastAsiaTheme="majorEastAsia" w:hAnsi="Arial" w:cs="Arial"/>
        </w:rPr>
        <w:t xml:space="preserve">&amp; </w:t>
      </w:r>
      <w:proofErr w:type="spellStart"/>
      <w:r w:rsidRPr="005B6E3D">
        <w:rPr>
          <w:rFonts w:ascii="Arial" w:eastAsiaTheme="majorEastAsia" w:hAnsi="Arial" w:cs="Arial"/>
        </w:rPr>
        <w:t>O’Brochta</w:t>
      </w:r>
      <w:proofErr w:type="spellEnd"/>
      <w:r w:rsidRPr="005B6E3D">
        <w:rPr>
          <w:rFonts w:ascii="Arial" w:hAnsi="Arial" w:cs="Arial"/>
        </w:rPr>
        <w:t>, 2015). Representative interventions that target neuropeptide and pheromone pathways with potential applications in sericulture are summarized in Table 2.</w:t>
      </w:r>
    </w:p>
    <w:p w14:paraId="70E720A9" w14:textId="77777777" w:rsidR="00A60869" w:rsidRPr="005B6E3D" w:rsidRDefault="00A60869" w:rsidP="00155ADC">
      <w:pPr>
        <w:ind w:firstLine="720"/>
        <w:jc w:val="both"/>
        <w:rPr>
          <w:rFonts w:ascii="Arial" w:hAnsi="Arial" w:cs="Arial"/>
        </w:rPr>
      </w:pPr>
    </w:p>
    <w:p w14:paraId="032B9758" w14:textId="77777777" w:rsidR="00155ADC" w:rsidRPr="005B6E3D" w:rsidRDefault="00155ADC" w:rsidP="00155ADC">
      <w:pPr>
        <w:jc w:val="center"/>
        <w:rPr>
          <w:rFonts w:ascii="Arial" w:hAnsi="Arial" w:cs="Arial"/>
          <w:b/>
          <w:bCs/>
        </w:rPr>
      </w:pPr>
      <w:r w:rsidRPr="005B6E3D">
        <w:rPr>
          <w:rFonts w:ascii="Arial" w:hAnsi="Arial" w:cs="Arial"/>
          <w:b/>
          <w:bCs/>
        </w:rPr>
        <w:t>Table 2. Interventions Targeting Neuropeptide and Pheromone Pathways in Sericulture</w:t>
      </w:r>
    </w:p>
    <w:tbl>
      <w:tblPr>
        <w:tblStyle w:val="TableGrid"/>
        <w:tblW w:w="0" w:type="auto"/>
        <w:jc w:val="center"/>
        <w:tblLook w:val="04A0" w:firstRow="1" w:lastRow="0" w:firstColumn="1" w:lastColumn="0" w:noHBand="0" w:noVBand="1"/>
      </w:tblPr>
      <w:tblGrid>
        <w:gridCol w:w="1699"/>
        <w:gridCol w:w="1879"/>
        <w:gridCol w:w="1770"/>
        <w:gridCol w:w="1537"/>
        <w:gridCol w:w="1539"/>
      </w:tblGrid>
      <w:tr w:rsidR="00A60869" w:rsidRPr="005B6E3D" w14:paraId="4485A586" w14:textId="77777777" w:rsidTr="007B1369">
        <w:trPr>
          <w:trHeight w:val="1013"/>
          <w:jc w:val="center"/>
        </w:trPr>
        <w:tc>
          <w:tcPr>
            <w:tcW w:w="1838" w:type="dxa"/>
            <w:vAlign w:val="center"/>
          </w:tcPr>
          <w:p w14:paraId="3A59ADE3" w14:textId="77777777" w:rsidR="00155ADC" w:rsidRPr="005B6E3D" w:rsidRDefault="00155ADC" w:rsidP="007B1369">
            <w:pPr>
              <w:jc w:val="both"/>
              <w:rPr>
                <w:rFonts w:ascii="Arial" w:hAnsi="Arial" w:cs="Arial"/>
                <w:b/>
                <w:bCs/>
              </w:rPr>
            </w:pPr>
            <w:r w:rsidRPr="005B6E3D">
              <w:rPr>
                <w:rFonts w:ascii="Arial" w:hAnsi="Arial" w:cs="Arial"/>
                <w:b/>
                <w:bCs/>
              </w:rPr>
              <w:t>Target Pathway / Signal</w:t>
            </w:r>
          </w:p>
        </w:tc>
        <w:tc>
          <w:tcPr>
            <w:tcW w:w="1985" w:type="dxa"/>
            <w:vAlign w:val="center"/>
          </w:tcPr>
          <w:p w14:paraId="1D70A9AC" w14:textId="77777777" w:rsidR="00155ADC" w:rsidRPr="005B6E3D" w:rsidRDefault="00155ADC" w:rsidP="007B1369">
            <w:pPr>
              <w:jc w:val="both"/>
              <w:rPr>
                <w:rFonts w:ascii="Arial" w:hAnsi="Arial" w:cs="Arial"/>
                <w:b/>
                <w:bCs/>
              </w:rPr>
            </w:pPr>
            <w:r w:rsidRPr="005B6E3D">
              <w:rPr>
                <w:rFonts w:ascii="Arial" w:hAnsi="Arial" w:cs="Arial"/>
                <w:b/>
                <w:bCs/>
              </w:rPr>
              <w:t>Experimental / Field Evidence</w:t>
            </w:r>
          </w:p>
        </w:tc>
        <w:tc>
          <w:tcPr>
            <w:tcW w:w="1826" w:type="dxa"/>
            <w:vAlign w:val="center"/>
          </w:tcPr>
          <w:p w14:paraId="0629EB8D" w14:textId="77777777" w:rsidR="00155ADC" w:rsidRPr="005B6E3D" w:rsidRDefault="00155ADC" w:rsidP="007B1369">
            <w:pPr>
              <w:jc w:val="both"/>
              <w:rPr>
                <w:rFonts w:ascii="Arial" w:hAnsi="Arial" w:cs="Arial"/>
                <w:b/>
                <w:bCs/>
              </w:rPr>
            </w:pPr>
            <w:r w:rsidRPr="005B6E3D">
              <w:rPr>
                <w:rFonts w:ascii="Arial" w:hAnsi="Arial" w:cs="Arial"/>
                <w:b/>
                <w:bCs/>
              </w:rPr>
              <w:t>Effect on Cocoon / Silk Yield</w:t>
            </w:r>
          </w:p>
        </w:tc>
        <w:tc>
          <w:tcPr>
            <w:tcW w:w="1529" w:type="dxa"/>
            <w:vAlign w:val="center"/>
          </w:tcPr>
          <w:p w14:paraId="113E3F51" w14:textId="77777777" w:rsidR="00155ADC" w:rsidRPr="005B6E3D" w:rsidRDefault="00155ADC" w:rsidP="007B1369">
            <w:pPr>
              <w:jc w:val="both"/>
              <w:rPr>
                <w:rFonts w:ascii="Arial" w:hAnsi="Arial" w:cs="Arial"/>
                <w:b/>
                <w:bCs/>
              </w:rPr>
            </w:pPr>
            <w:r w:rsidRPr="005B6E3D">
              <w:rPr>
                <w:rFonts w:ascii="Arial" w:hAnsi="Arial" w:cs="Arial"/>
                <w:b/>
                <w:bCs/>
              </w:rPr>
              <w:t>Potential Challenges</w:t>
            </w:r>
          </w:p>
        </w:tc>
        <w:tc>
          <w:tcPr>
            <w:tcW w:w="1838" w:type="dxa"/>
            <w:vAlign w:val="center"/>
          </w:tcPr>
          <w:p w14:paraId="1C0FB7A8" w14:textId="77777777" w:rsidR="00155ADC" w:rsidRPr="005B6E3D" w:rsidRDefault="00155ADC" w:rsidP="007B1369">
            <w:pPr>
              <w:jc w:val="both"/>
              <w:rPr>
                <w:rFonts w:ascii="Arial" w:hAnsi="Arial" w:cs="Arial"/>
                <w:b/>
                <w:bCs/>
              </w:rPr>
            </w:pPr>
            <w:r w:rsidRPr="005B6E3D">
              <w:rPr>
                <w:rFonts w:ascii="Arial" w:hAnsi="Arial" w:cs="Arial"/>
                <w:b/>
                <w:bCs/>
              </w:rPr>
              <w:t>References</w:t>
            </w:r>
          </w:p>
          <w:p w14:paraId="22056879" w14:textId="77777777" w:rsidR="00155ADC" w:rsidRPr="005B6E3D" w:rsidRDefault="00155ADC" w:rsidP="007B1369">
            <w:pPr>
              <w:jc w:val="both"/>
              <w:rPr>
                <w:rFonts w:ascii="Arial" w:hAnsi="Arial" w:cs="Arial"/>
                <w:b/>
                <w:bCs/>
              </w:rPr>
            </w:pPr>
          </w:p>
        </w:tc>
      </w:tr>
      <w:tr w:rsidR="00A60869" w:rsidRPr="005B6E3D" w14:paraId="5D9E0BF2" w14:textId="77777777" w:rsidTr="007B1369">
        <w:trPr>
          <w:trHeight w:val="1593"/>
          <w:jc w:val="center"/>
        </w:trPr>
        <w:tc>
          <w:tcPr>
            <w:tcW w:w="1838" w:type="dxa"/>
            <w:vAlign w:val="center"/>
          </w:tcPr>
          <w:p w14:paraId="562BEF07" w14:textId="77777777" w:rsidR="00155ADC" w:rsidRPr="005B6E3D" w:rsidRDefault="00155ADC" w:rsidP="007B1369">
            <w:pPr>
              <w:jc w:val="both"/>
              <w:rPr>
                <w:rFonts w:ascii="Arial" w:hAnsi="Arial" w:cs="Arial"/>
              </w:rPr>
            </w:pPr>
            <w:r w:rsidRPr="005B6E3D">
              <w:rPr>
                <w:rFonts w:ascii="Arial" w:hAnsi="Arial" w:cs="Arial"/>
              </w:rPr>
              <w:t>JH-binding proteins, diapause hormone, silk genes</w:t>
            </w:r>
          </w:p>
        </w:tc>
        <w:tc>
          <w:tcPr>
            <w:tcW w:w="1985" w:type="dxa"/>
            <w:vAlign w:val="center"/>
          </w:tcPr>
          <w:p w14:paraId="6E7DC837" w14:textId="77777777" w:rsidR="00155ADC" w:rsidRPr="005B6E3D" w:rsidRDefault="00155ADC" w:rsidP="007B1369">
            <w:pPr>
              <w:jc w:val="both"/>
              <w:rPr>
                <w:rFonts w:ascii="Arial" w:hAnsi="Arial" w:cs="Arial"/>
              </w:rPr>
            </w:pPr>
            <w:r w:rsidRPr="005B6E3D">
              <w:rPr>
                <w:rFonts w:ascii="Arial" w:hAnsi="Arial" w:cs="Arial"/>
              </w:rPr>
              <w:t>Gene knockouts and editing alter diapause and silk synthesis</w:t>
            </w:r>
          </w:p>
        </w:tc>
        <w:tc>
          <w:tcPr>
            <w:tcW w:w="1826" w:type="dxa"/>
            <w:vAlign w:val="center"/>
          </w:tcPr>
          <w:p w14:paraId="6A76DCAA" w14:textId="77777777" w:rsidR="00155ADC" w:rsidRPr="005B6E3D" w:rsidRDefault="00155ADC" w:rsidP="007B1369">
            <w:pPr>
              <w:jc w:val="both"/>
              <w:rPr>
                <w:rFonts w:ascii="Arial" w:hAnsi="Arial" w:cs="Arial"/>
              </w:rPr>
            </w:pPr>
            <w:r w:rsidRPr="005B6E3D">
              <w:rPr>
                <w:rFonts w:ascii="Arial" w:hAnsi="Arial" w:cs="Arial"/>
              </w:rPr>
              <w:t>Non-diapausing strains, increased silk output</w:t>
            </w:r>
          </w:p>
          <w:p w14:paraId="6CFC5B2B" w14:textId="77777777" w:rsidR="00155ADC" w:rsidRPr="005B6E3D" w:rsidRDefault="00155ADC" w:rsidP="007B1369">
            <w:pPr>
              <w:jc w:val="both"/>
              <w:rPr>
                <w:rFonts w:ascii="Arial" w:hAnsi="Arial" w:cs="Arial"/>
              </w:rPr>
            </w:pPr>
          </w:p>
        </w:tc>
        <w:tc>
          <w:tcPr>
            <w:tcW w:w="1529" w:type="dxa"/>
            <w:vAlign w:val="center"/>
          </w:tcPr>
          <w:p w14:paraId="284272AA" w14:textId="77777777" w:rsidR="00155ADC" w:rsidRPr="005B6E3D" w:rsidRDefault="00155ADC" w:rsidP="007B1369">
            <w:pPr>
              <w:jc w:val="both"/>
              <w:rPr>
                <w:rFonts w:ascii="Arial" w:hAnsi="Arial" w:cs="Arial"/>
              </w:rPr>
            </w:pPr>
            <w:r w:rsidRPr="005B6E3D">
              <w:rPr>
                <w:rFonts w:ascii="Arial" w:hAnsi="Arial" w:cs="Arial"/>
              </w:rPr>
              <w:t>Technical and regulatory barriers</w:t>
            </w:r>
          </w:p>
        </w:tc>
        <w:tc>
          <w:tcPr>
            <w:tcW w:w="1838" w:type="dxa"/>
            <w:vAlign w:val="center"/>
          </w:tcPr>
          <w:p w14:paraId="216F5EA7" w14:textId="77777777" w:rsidR="00EA03AE" w:rsidRPr="005B6E3D" w:rsidRDefault="00155ADC" w:rsidP="007B1369">
            <w:pPr>
              <w:jc w:val="both"/>
              <w:rPr>
                <w:rFonts w:ascii="Arial" w:hAnsi="Arial" w:cs="Arial"/>
              </w:rPr>
            </w:pPr>
            <w:r w:rsidRPr="005B6E3D">
              <w:rPr>
                <w:rFonts w:ascii="Arial" w:hAnsi="Arial" w:cs="Arial"/>
              </w:rPr>
              <w:t xml:space="preserve">Xu &amp; </w:t>
            </w:r>
            <w:proofErr w:type="spellStart"/>
            <w:r w:rsidRPr="005B6E3D">
              <w:rPr>
                <w:rFonts w:ascii="Arial" w:hAnsi="Arial" w:cs="Arial"/>
              </w:rPr>
              <w:t>O’Brochta</w:t>
            </w:r>
            <w:proofErr w:type="spellEnd"/>
            <w:r w:rsidR="00EA03AE" w:rsidRPr="005B6E3D">
              <w:rPr>
                <w:rFonts w:ascii="Arial" w:hAnsi="Arial" w:cs="Arial"/>
              </w:rPr>
              <w:t xml:space="preserve">, </w:t>
            </w:r>
            <w:r w:rsidRPr="005B6E3D">
              <w:rPr>
                <w:rFonts w:ascii="Arial" w:hAnsi="Arial" w:cs="Arial"/>
              </w:rPr>
              <w:t>2015;</w:t>
            </w:r>
          </w:p>
          <w:p w14:paraId="54F10E8B" w14:textId="77777777" w:rsidR="00EA03AE" w:rsidRPr="005B6E3D" w:rsidRDefault="00155ADC" w:rsidP="007B1369">
            <w:pPr>
              <w:jc w:val="both"/>
              <w:rPr>
                <w:rFonts w:ascii="Arial" w:hAnsi="Arial" w:cs="Arial"/>
              </w:rPr>
            </w:pPr>
            <w:r w:rsidRPr="005B6E3D">
              <w:rPr>
                <w:rFonts w:ascii="Arial" w:hAnsi="Arial" w:cs="Arial"/>
              </w:rPr>
              <w:t xml:space="preserve">Yu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2023;</w:t>
            </w:r>
          </w:p>
          <w:p w14:paraId="1835A8EB" w14:textId="6BAD527E" w:rsidR="00155ADC" w:rsidRPr="005B6E3D" w:rsidRDefault="00155ADC" w:rsidP="007B1369">
            <w:pPr>
              <w:jc w:val="both"/>
              <w:rPr>
                <w:rFonts w:ascii="Arial" w:hAnsi="Arial" w:cs="Arial"/>
              </w:rPr>
            </w:pPr>
            <w:r w:rsidRPr="005B6E3D">
              <w:rPr>
                <w:rFonts w:ascii="Arial" w:hAnsi="Arial" w:cs="Arial"/>
              </w:rPr>
              <w:t xml:space="preserve">Yamada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4C74832E" w14:textId="77777777" w:rsidTr="007B1369">
        <w:trPr>
          <w:trHeight w:val="1363"/>
          <w:jc w:val="center"/>
        </w:trPr>
        <w:tc>
          <w:tcPr>
            <w:tcW w:w="1838" w:type="dxa"/>
            <w:vAlign w:val="center"/>
          </w:tcPr>
          <w:p w14:paraId="133D352F" w14:textId="77777777" w:rsidR="00155ADC" w:rsidRPr="005B6E3D" w:rsidRDefault="00155ADC" w:rsidP="007B1369">
            <w:pPr>
              <w:jc w:val="both"/>
              <w:rPr>
                <w:rFonts w:ascii="Arial" w:hAnsi="Arial" w:cs="Arial"/>
              </w:rPr>
            </w:pPr>
            <w:r w:rsidRPr="005B6E3D">
              <w:rPr>
                <w:rFonts w:ascii="Arial" w:hAnsi="Arial" w:cs="Arial"/>
              </w:rPr>
              <w:t>JH pathway</w:t>
            </w:r>
          </w:p>
        </w:tc>
        <w:tc>
          <w:tcPr>
            <w:tcW w:w="1985" w:type="dxa"/>
            <w:vAlign w:val="center"/>
          </w:tcPr>
          <w:p w14:paraId="2E2DFFA0" w14:textId="77777777" w:rsidR="00155ADC" w:rsidRPr="005B6E3D" w:rsidRDefault="00155ADC" w:rsidP="007B1369">
            <w:pPr>
              <w:jc w:val="both"/>
              <w:rPr>
                <w:rFonts w:ascii="Arial" w:hAnsi="Arial" w:cs="Arial"/>
              </w:rPr>
            </w:pPr>
            <w:r w:rsidRPr="005B6E3D">
              <w:rPr>
                <w:rFonts w:ascii="Arial" w:hAnsi="Arial" w:cs="Arial"/>
              </w:rPr>
              <w:t>Application delays diapause and prolongs silk gland activity</w:t>
            </w:r>
          </w:p>
        </w:tc>
        <w:tc>
          <w:tcPr>
            <w:tcW w:w="1826" w:type="dxa"/>
            <w:vAlign w:val="center"/>
          </w:tcPr>
          <w:p w14:paraId="35B475C4" w14:textId="77777777" w:rsidR="00155ADC" w:rsidRPr="005B6E3D" w:rsidRDefault="00155ADC" w:rsidP="007B1369">
            <w:pPr>
              <w:jc w:val="both"/>
              <w:rPr>
                <w:rFonts w:ascii="Arial" w:hAnsi="Arial" w:cs="Arial"/>
              </w:rPr>
            </w:pPr>
            <w:r w:rsidRPr="005B6E3D">
              <w:rPr>
                <w:rFonts w:ascii="Arial" w:hAnsi="Arial" w:cs="Arial"/>
              </w:rPr>
              <w:t>Higher fibroin levels, improved cocoon weight</w:t>
            </w:r>
          </w:p>
        </w:tc>
        <w:tc>
          <w:tcPr>
            <w:tcW w:w="1529" w:type="dxa"/>
            <w:vAlign w:val="center"/>
          </w:tcPr>
          <w:p w14:paraId="6716B578" w14:textId="77777777" w:rsidR="00155ADC" w:rsidRPr="005B6E3D" w:rsidRDefault="00155ADC" w:rsidP="007B1369">
            <w:pPr>
              <w:jc w:val="both"/>
              <w:rPr>
                <w:rFonts w:ascii="Arial" w:hAnsi="Arial" w:cs="Arial"/>
              </w:rPr>
            </w:pPr>
            <w:r w:rsidRPr="005B6E3D">
              <w:rPr>
                <w:rFonts w:ascii="Arial" w:hAnsi="Arial" w:cs="Arial"/>
              </w:rPr>
              <w:t>Residue risks, dosage optimization</w:t>
            </w:r>
          </w:p>
        </w:tc>
        <w:tc>
          <w:tcPr>
            <w:tcW w:w="1838" w:type="dxa"/>
            <w:vAlign w:val="center"/>
          </w:tcPr>
          <w:p w14:paraId="39F885D0" w14:textId="77777777" w:rsidR="00EA03AE" w:rsidRPr="005B6E3D" w:rsidRDefault="00155ADC" w:rsidP="007B1369">
            <w:pPr>
              <w:jc w:val="both"/>
              <w:rPr>
                <w:rFonts w:ascii="Arial" w:hAnsi="Arial" w:cs="Arial"/>
              </w:rPr>
            </w:pPr>
            <w:r w:rsidRPr="005B6E3D">
              <w:rPr>
                <w:rFonts w:ascii="Arial" w:hAnsi="Arial" w:cs="Arial"/>
              </w:rPr>
              <w:t xml:space="preserve">Liu </w:t>
            </w:r>
            <w:r w:rsidRPr="005B6E3D">
              <w:rPr>
                <w:rFonts w:ascii="Arial" w:hAnsi="Arial" w:cs="Arial"/>
                <w:i/>
                <w:iCs/>
              </w:rPr>
              <w:t>et al.</w:t>
            </w:r>
            <w:r w:rsidR="00EA03AE" w:rsidRPr="005B6E3D">
              <w:rPr>
                <w:rFonts w:ascii="Arial" w:hAnsi="Arial" w:cs="Arial"/>
                <w:i/>
                <w:iCs/>
              </w:rPr>
              <w:t xml:space="preserve">, </w:t>
            </w:r>
            <w:r w:rsidRPr="005B6E3D">
              <w:rPr>
                <w:rFonts w:ascii="Arial" w:hAnsi="Arial" w:cs="Arial"/>
              </w:rPr>
              <w:t>2023;</w:t>
            </w:r>
          </w:p>
          <w:p w14:paraId="75FF150D" w14:textId="77777777" w:rsidR="00EA03AE" w:rsidRPr="005B6E3D" w:rsidRDefault="00155ADC" w:rsidP="007B1369">
            <w:pPr>
              <w:jc w:val="both"/>
              <w:rPr>
                <w:rFonts w:ascii="Arial" w:hAnsi="Arial" w:cs="Arial"/>
              </w:rPr>
            </w:pPr>
            <w:r w:rsidRPr="005B6E3D">
              <w:rPr>
                <w:rFonts w:ascii="Arial" w:hAnsi="Arial" w:cs="Arial"/>
              </w:rPr>
              <w:t xml:space="preserve">Ma </w:t>
            </w:r>
            <w:r w:rsidRPr="005B6E3D">
              <w:rPr>
                <w:rFonts w:ascii="Arial" w:hAnsi="Arial" w:cs="Arial"/>
                <w:i/>
                <w:iCs/>
              </w:rPr>
              <w:t>et al.</w:t>
            </w:r>
            <w:r w:rsidR="00EA03AE" w:rsidRPr="005B6E3D">
              <w:rPr>
                <w:rFonts w:ascii="Arial" w:hAnsi="Arial" w:cs="Arial"/>
                <w:i/>
                <w:iCs/>
              </w:rPr>
              <w:t>,</w:t>
            </w:r>
            <w:r w:rsidRPr="005B6E3D">
              <w:rPr>
                <w:rFonts w:ascii="Arial" w:hAnsi="Arial" w:cs="Arial"/>
              </w:rPr>
              <w:t xml:space="preserve"> 2021;</w:t>
            </w:r>
          </w:p>
          <w:p w14:paraId="6D3CB18E" w14:textId="64D9D3F3" w:rsidR="00155ADC" w:rsidRPr="005B6E3D" w:rsidRDefault="00155ADC" w:rsidP="007B1369">
            <w:pPr>
              <w:jc w:val="both"/>
              <w:rPr>
                <w:rFonts w:ascii="Arial" w:hAnsi="Arial" w:cs="Arial"/>
              </w:rPr>
            </w:pPr>
            <w:r w:rsidRPr="005B6E3D">
              <w:rPr>
                <w:rFonts w:ascii="Arial" w:hAnsi="Arial" w:cs="Arial"/>
              </w:rPr>
              <w:t xml:space="preserve">Zhou </w:t>
            </w:r>
            <w:r w:rsidRPr="005B6E3D">
              <w:rPr>
                <w:rFonts w:ascii="Arial" w:hAnsi="Arial" w:cs="Arial"/>
                <w:i/>
                <w:iCs/>
              </w:rPr>
              <w:t>et al.</w:t>
            </w:r>
            <w:r w:rsidR="00EA03AE" w:rsidRPr="005B6E3D">
              <w:rPr>
                <w:rFonts w:ascii="Arial" w:hAnsi="Arial" w:cs="Arial"/>
                <w:i/>
                <w:iCs/>
              </w:rPr>
              <w:t>,</w:t>
            </w:r>
            <w:r w:rsidR="00EA03AE" w:rsidRPr="005B6E3D">
              <w:rPr>
                <w:rFonts w:ascii="Arial" w:hAnsi="Arial" w:cs="Arial"/>
              </w:rPr>
              <w:t xml:space="preserve"> </w:t>
            </w:r>
            <w:r w:rsidRPr="005B6E3D">
              <w:rPr>
                <w:rFonts w:ascii="Arial" w:hAnsi="Arial" w:cs="Arial"/>
              </w:rPr>
              <w:t>2022</w:t>
            </w:r>
          </w:p>
        </w:tc>
      </w:tr>
      <w:tr w:rsidR="00A60869" w:rsidRPr="005B6E3D" w14:paraId="24FF4BAD" w14:textId="77777777" w:rsidTr="007B1369">
        <w:trPr>
          <w:trHeight w:val="1599"/>
          <w:jc w:val="center"/>
        </w:trPr>
        <w:tc>
          <w:tcPr>
            <w:tcW w:w="1838" w:type="dxa"/>
            <w:vAlign w:val="center"/>
          </w:tcPr>
          <w:p w14:paraId="2CD95973" w14:textId="77777777" w:rsidR="00155ADC" w:rsidRPr="005B6E3D" w:rsidRDefault="00155ADC" w:rsidP="007B1369">
            <w:pPr>
              <w:jc w:val="both"/>
              <w:rPr>
                <w:rFonts w:ascii="Arial" w:hAnsi="Arial" w:cs="Arial"/>
              </w:rPr>
            </w:pPr>
            <w:r w:rsidRPr="005B6E3D">
              <w:rPr>
                <w:rFonts w:ascii="Arial" w:hAnsi="Arial" w:cs="Arial"/>
              </w:rPr>
              <w:t>PBAN/PBANR signaling</w:t>
            </w:r>
          </w:p>
        </w:tc>
        <w:tc>
          <w:tcPr>
            <w:tcW w:w="1985" w:type="dxa"/>
            <w:vAlign w:val="center"/>
          </w:tcPr>
          <w:p w14:paraId="29494D2C" w14:textId="77777777" w:rsidR="00155ADC" w:rsidRPr="005B6E3D" w:rsidRDefault="00155ADC" w:rsidP="007B1369">
            <w:pPr>
              <w:jc w:val="both"/>
              <w:rPr>
                <w:rFonts w:ascii="Arial" w:hAnsi="Arial" w:cs="Arial"/>
              </w:rPr>
            </w:pPr>
            <w:r w:rsidRPr="005B6E3D">
              <w:rPr>
                <w:rFonts w:ascii="Arial" w:hAnsi="Arial" w:cs="Arial"/>
              </w:rPr>
              <w:t>Altered pheromone biosynthesis in lab and field trials</w:t>
            </w:r>
          </w:p>
        </w:tc>
        <w:tc>
          <w:tcPr>
            <w:tcW w:w="1826" w:type="dxa"/>
            <w:vAlign w:val="center"/>
          </w:tcPr>
          <w:p w14:paraId="7C2253E4" w14:textId="77777777" w:rsidR="00155ADC" w:rsidRPr="005B6E3D" w:rsidRDefault="00155ADC" w:rsidP="007B1369">
            <w:pPr>
              <w:jc w:val="both"/>
              <w:rPr>
                <w:rFonts w:ascii="Arial" w:hAnsi="Arial" w:cs="Arial"/>
              </w:rPr>
            </w:pPr>
            <w:r w:rsidRPr="005B6E3D">
              <w:rPr>
                <w:rFonts w:ascii="Arial" w:hAnsi="Arial" w:cs="Arial"/>
              </w:rPr>
              <w:t>Better synchronization of reproduction, potential diapause control</w:t>
            </w:r>
          </w:p>
        </w:tc>
        <w:tc>
          <w:tcPr>
            <w:tcW w:w="1529" w:type="dxa"/>
            <w:vAlign w:val="center"/>
          </w:tcPr>
          <w:p w14:paraId="4BF959E6" w14:textId="77777777" w:rsidR="00155ADC" w:rsidRPr="005B6E3D" w:rsidRDefault="00155ADC" w:rsidP="007B1369">
            <w:pPr>
              <w:jc w:val="both"/>
              <w:rPr>
                <w:rFonts w:ascii="Arial" w:hAnsi="Arial" w:cs="Arial"/>
              </w:rPr>
            </w:pPr>
            <w:r w:rsidRPr="005B6E3D">
              <w:rPr>
                <w:rFonts w:ascii="Arial" w:hAnsi="Arial" w:cs="Arial"/>
              </w:rPr>
              <w:t>Still experimental, species-specific</w:t>
            </w:r>
          </w:p>
        </w:tc>
        <w:tc>
          <w:tcPr>
            <w:tcW w:w="1838" w:type="dxa"/>
            <w:vAlign w:val="center"/>
          </w:tcPr>
          <w:p w14:paraId="0BB3AB3A" w14:textId="77777777" w:rsidR="007F0D51" w:rsidRPr="005B6E3D" w:rsidRDefault="00155ADC" w:rsidP="007B1369">
            <w:pPr>
              <w:jc w:val="both"/>
              <w:rPr>
                <w:rFonts w:ascii="Arial" w:hAnsi="Arial" w:cs="Arial"/>
              </w:rPr>
            </w:pPr>
            <w:r w:rsidRPr="005B6E3D">
              <w:rPr>
                <w:rFonts w:ascii="Arial" w:hAnsi="Arial" w:cs="Arial"/>
              </w:rPr>
              <w:t>Dou &amp; Jurenka</w:t>
            </w:r>
            <w:r w:rsidR="007F0D51" w:rsidRPr="005B6E3D">
              <w:rPr>
                <w:rFonts w:ascii="Arial" w:hAnsi="Arial" w:cs="Arial"/>
              </w:rPr>
              <w:t xml:space="preserve">, </w:t>
            </w:r>
            <w:r w:rsidRPr="005B6E3D">
              <w:rPr>
                <w:rFonts w:ascii="Arial" w:hAnsi="Arial" w:cs="Arial"/>
              </w:rPr>
              <w:t>2023;</w:t>
            </w:r>
          </w:p>
          <w:p w14:paraId="773BB2A8" w14:textId="77777777" w:rsidR="007F0D51" w:rsidRPr="005B6E3D" w:rsidRDefault="00155ADC" w:rsidP="007B1369">
            <w:pPr>
              <w:jc w:val="both"/>
              <w:rPr>
                <w:rFonts w:ascii="Arial" w:hAnsi="Arial" w:cs="Arial"/>
              </w:rPr>
            </w:pPr>
            <w:r w:rsidRPr="005B6E3D">
              <w:rPr>
                <w:rFonts w:ascii="Arial" w:hAnsi="Arial" w:cs="Arial"/>
              </w:rPr>
              <w:t xml:space="preserve">Cha </w:t>
            </w:r>
            <w:r w:rsidRPr="005B6E3D">
              <w:rPr>
                <w:rFonts w:ascii="Arial" w:hAnsi="Arial" w:cs="Arial"/>
                <w:i/>
                <w:iCs/>
              </w:rPr>
              <w:t>et al.</w:t>
            </w:r>
            <w:r w:rsidR="007F0D51" w:rsidRPr="005B6E3D">
              <w:rPr>
                <w:rFonts w:ascii="Arial" w:hAnsi="Arial" w:cs="Arial"/>
                <w:i/>
                <w:iCs/>
              </w:rPr>
              <w:t>,</w:t>
            </w:r>
            <w:r w:rsidR="007F0D51" w:rsidRPr="005B6E3D">
              <w:rPr>
                <w:rFonts w:ascii="Arial" w:hAnsi="Arial" w:cs="Arial"/>
              </w:rPr>
              <w:t xml:space="preserve"> </w:t>
            </w:r>
            <w:r w:rsidRPr="005B6E3D">
              <w:rPr>
                <w:rFonts w:ascii="Arial" w:hAnsi="Arial" w:cs="Arial"/>
              </w:rPr>
              <w:t>2023;</w:t>
            </w:r>
          </w:p>
          <w:p w14:paraId="37FAA100" w14:textId="4E831E17" w:rsidR="00155ADC" w:rsidRPr="005B6E3D" w:rsidRDefault="00155ADC" w:rsidP="007B1369">
            <w:pPr>
              <w:jc w:val="both"/>
              <w:rPr>
                <w:rFonts w:ascii="Arial" w:hAnsi="Arial" w:cs="Arial"/>
              </w:rPr>
            </w:pPr>
            <w:r w:rsidRPr="005B6E3D">
              <w:rPr>
                <w:rFonts w:ascii="Arial" w:hAnsi="Arial" w:cs="Arial"/>
              </w:rPr>
              <w:t xml:space="preserve">Zhang </w:t>
            </w:r>
            <w:r w:rsidRPr="005B6E3D">
              <w:rPr>
                <w:rFonts w:ascii="Arial" w:hAnsi="Arial" w:cs="Arial"/>
                <w:i/>
                <w:iCs/>
              </w:rPr>
              <w:t>et al</w:t>
            </w:r>
            <w:r w:rsidRPr="005B6E3D">
              <w:rPr>
                <w:rFonts w:ascii="Arial" w:hAnsi="Arial" w:cs="Arial"/>
              </w:rPr>
              <w:t>.</w:t>
            </w:r>
            <w:r w:rsidR="007F0D51" w:rsidRPr="005B6E3D">
              <w:rPr>
                <w:rFonts w:ascii="Arial" w:hAnsi="Arial" w:cs="Arial"/>
              </w:rPr>
              <w:t xml:space="preserve">, </w:t>
            </w:r>
            <w:r w:rsidRPr="005B6E3D">
              <w:rPr>
                <w:rFonts w:ascii="Arial" w:hAnsi="Arial" w:cs="Arial"/>
              </w:rPr>
              <w:t>2025</w:t>
            </w:r>
          </w:p>
        </w:tc>
      </w:tr>
      <w:tr w:rsidR="00A60869" w:rsidRPr="005B6E3D" w14:paraId="0DF05C3B" w14:textId="77777777" w:rsidTr="007B1369">
        <w:trPr>
          <w:trHeight w:val="1693"/>
          <w:jc w:val="center"/>
        </w:trPr>
        <w:tc>
          <w:tcPr>
            <w:tcW w:w="1838" w:type="dxa"/>
            <w:vAlign w:val="center"/>
          </w:tcPr>
          <w:p w14:paraId="7106FB0B" w14:textId="77777777" w:rsidR="00155ADC" w:rsidRPr="005B6E3D" w:rsidRDefault="00155ADC" w:rsidP="007B1369">
            <w:pPr>
              <w:jc w:val="both"/>
              <w:rPr>
                <w:rFonts w:ascii="Arial" w:hAnsi="Arial" w:cs="Arial"/>
              </w:rPr>
            </w:pPr>
            <w:r w:rsidRPr="005B6E3D">
              <w:rPr>
                <w:rFonts w:ascii="Arial" w:hAnsi="Arial" w:cs="Arial"/>
              </w:rPr>
              <w:lastRenderedPageBreak/>
              <w:t>Endocrine–nutrient interactions</w:t>
            </w:r>
          </w:p>
        </w:tc>
        <w:tc>
          <w:tcPr>
            <w:tcW w:w="1985" w:type="dxa"/>
            <w:vAlign w:val="center"/>
          </w:tcPr>
          <w:p w14:paraId="33D9D4FA" w14:textId="77777777" w:rsidR="00155ADC" w:rsidRPr="005B6E3D" w:rsidRDefault="00155ADC" w:rsidP="007B1369">
            <w:pPr>
              <w:jc w:val="both"/>
              <w:rPr>
                <w:rFonts w:ascii="Arial" w:hAnsi="Arial" w:cs="Arial"/>
              </w:rPr>
            </w:pPr>
            <w:r w:rsidRPr="005B6E3D">
              <w:rPr>
                <w:rFonts w:ascii="Arial" w:hAnsi="Arial" w:cs="Arial"/>
              </w:rPr>
              <w:t>Dietary supplementation altered JH titers and survival under stress</w:t>
            </w:r>
          </w:p>
        </w:tc>
        <w:tc>
          <w:tcPr>
            <w:tcW w:w="1826" w:type="dxa"/>
            <w:vAlign w:val="center"/>
          </w:tcPr>
          <w:p w14:paraId="46CC3796" w14:textId="77777777" w:rsidR="00155ADC" w:rsidRPr="005B6E3D" w:rsidRDefault="00155ADC" w:rsidP="007B1369">
            <w:pPr>
              <w:jc w:val="both"/>
              <w:rPr>
                <w:rFonts w:ascii="Arial" w:hAnsi="Arial" w:cs="Arial"/>
              </w:rPr>
            </w:pPr>
            <w:r w:rsidRPr="005B6E3D">
              <w:rPr>
                <w:rFonts w:ascii="Arial" w:hAnsi="Arial" w:cs="Arial"/>
              </w:rPr>
              <w:t>Enhanced cocoon quality and resilience</w:t>
            </w:r>
          </w:p>
        </w:tc>
        <w:tc>
          <w:tcPr>
            <w:tcW w:w="1529" w:type="dxa"/>
            <w:vAlign w:val="center"/>
          </w:tcPr>
          <w:p w14:paraId="237D5B3F" w14:textId="77777777" w:rsidR="00155ADC" w:rsidRPr="005B6E3D" w:rsidRDefault="00155ADC" w:rsidP="007B1369">
            <w:pPr>
              <w:jc w:val="both"/>
              <w:rPr>
                <w:rFonts w:ascii="Arial" w:hAnsi="Arial" w:cs="Arial"/>
              </w:rPr>
            </w:pPr>
            <w:r w:rsidRPr="005B6E3D">
              <w:rPr>
                <w:rFonts w:ascii="Arial" w:hAnsi="Arial" w:cs="Arial"/>
              </w:rPr>
              <w:t>Needs large-scale validation</w:t>
            </w:r>
          </w:p>
        </w:tc>
        <w:tc>
          <w:tcPr>
            <w:tcW w:w="1838" w:type="dxa"/>
            <w:vAlign w:val="center"/>
          </w:tcPr>
          <w:p w14:paraId="50208181" w14:textId="77777777" w:rsidR="00576C5E" w:rsidRPr="005B6E3D" w:rsidRDefault="00155ADC" w:rsidP="007B1369">
            <w:pPr>
              <w:jc w:val="both"/>
              <w:rPr>
                <w:rFonts w:ascii="Arial" w:hAnsi="Arial" w:cs="Arial"/>
              </w:rPr>
            </w:pPr>
            <w:proofErr w:type="spellStart"/>
            <w:r w:rsidRPr="005B6E3D">
              <w:rPr>
                <w:rFonts w:ascii="Arial" w:hAnsi="Arial" w:cs="Arial"/>
              </w:rPr>
              <w:t>Suraporn</w:t>
            </w:r>
            <w:proofErr w:type="spellEnd"/>
            <w:r w:rsidRPr="005B6E3D">
              <w:rPr>
                <w:rFonts w:ascii="Arial" w:hAnsi="Arial" w:cs="Arial"/>
              </w:rPr>
              <w:t xml:space="preserve"> &amp; </w:t>
            </w:r>
            <w:proofErr w:type="spellStart"/>
            <w:r w:rsidRPr="005B6E3D">
              <w:rPr>
                <w:rFonts w:ascii="Arial" w:hAnsi="Arial" w:cs="Arial"/>
              </w:rPr>
              <w:t>Terenius</w:t>
            </w:r>
            <w:proofErr w:type="spellEnd"/>
            <w:r w:rsidR="00576C5E" w:rsidRPr="005B6E3D">
              <w:rPr>
                <w:rFonts w:ascii="Arial" w:hAnsi="Arial" w:cs="Arial"/>
              </w:rPr>
              <w:t xml:space="preserve">, </w:t>
            </w:r>
            <w:r w:rsidRPr="005B6E3D">
              <w:rPr>
                <w:rFonts w:ascii="Arial" w:hAnsi="Arial" w:cs="Arial"/>
              </w:rPr>
              <w:t>2021;</w:t>
            </w:r>
          </w:p>
          <w:p w14:paraId="1B224CFE" w14:textId="139A958E" w:rsidR="00155ADC" w:rsidRPr="005B6E3D" w:rsidRDefault="00155ADC" w:rsidP="007B1369">
            <w:pPr>
              <w:jc w:val="both"/>
              <w:rPr>
                <w:rFonts w:ascii="Arial" w:hAnsi="Arial" w:cs="Arial"/>
              </w:rPr>
            </w:pPr>
            <w:r w:rsidRPr="005B6E3D">
              <w:rPr>
                <w:rFonts w:ascii="Arial" w:hAnsi="Arial" w:cs="Arial"/>
              </w:rPr>
              <w:t xml:space="preserve">Wu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2022</w:t>
            </w:r>
          </w:p>
        </w:tc>
      </w:tr>
      <w:tr w:rsidR="00A60869" w:rsidRPr="005B6E3D" w14:paraId="7C091ABC" w14:textId="77777777" w:rsidTr="007B1369">
        <w:trPr>
          <w:trHeight w:val="1641"/>
          <w:jc w:val="center"/>
        </w:trPr>
        <w:tc>
          <w:tcPr>
            <w:tcW w:w="1838" w:type="dxa"/>
            <w:vAlign w:val="center"/>
          </w:tcPr>
          <w:p w14:paraId="590F0080" w14:textId="77777777" w:rsidR="00155ADC" w:rsidRPr="005B6E3D" w:rsidRDefault="00155ADC" w:rsidP="007B1369">
            <w:pPr>
              <w:jc w:val="both"/>
              <w:rPr>
                <w:rFonts w:ascii="Arial" w:hAnsi="Arial" w:cs="Arial"/>
              </w:rPr>
            </w:pPr>
            <w:r w:rsidRPr="005B6E3D">
              <w:rPr>
                <w:rFonts w:ascii="Arial" w:hAnsi="Arial" w:cs="Arial"/>
              </w:rPr>
              <w:t>Sex pheromone signaling in pests</w:t>
            </w:r>
          </w:p>
        </w:tc>
        <w:tc>
          <w:tcPr>
            <w:tcW w:w="1985" w:type="dxa"/>
            <w:vAlign w:val="center"/>
          </w:tcPr>
          <w:p w14:paraId="2F9309C4" w14:textId="77777777" w:rsidR="00155ADC" w:rsidRPr="005B6E3D" w:rsidRDefault="00155ADC" w:rsidP="007B1369">
            <w:pPr>
              <w:jc w:val="both"/>
              <w:rPr>
                <w:rFonts w:ascii="Arial" w:hAnsi="Arial" w:cs="Arial"/>
              </w:rPr>
            </w:pPr>
            <w:r w:rsidRPr="005B6E3D">
              <w:rPr>
                <w:rFonts w:ascii="Arial" w:hAnsi="Arial" w:cs="Arial"/>
              </w:rPr>
              <w:t>Pheromone traps and lures tested in mulberry pests</w:t>
            </w:r>
          </w:p>
        </w:tc>
        <w:tc>
          <w:tcPr>
            <w:tcW w:w="1826" w:type="dxa"/>
            <w:vAlign w:val="center"/>
          </w:tcPr>
          <w:p w14:paraId="36EA60D2" w14:textId="77777777" w:rsidR="00155ADC" w:rsidRPr="005B6E3D" w:rsidRDefault="00155ADC" w:rsidP="007B1369">
            <w:pPr>
              <w:jc w:val="both"/>
              <w:rPr>
                <w:rFonts w:ascii="Arial" w:hAnsi="Arial" w:cs="Arial"/>
              </w:rPr>
            </w:pPr>
            <w:r w:rsidRPr="005B6E3D">
              <w:rPr>
                <w:rFonts w:ascii="Arial" w:hAnsi="Arial" w:cs="Arial"/>
              </w:rPr>
              <w:t>Improved mulberry leaf quality → higher cocoon yield</w:t>
            </w:r>
          </w:p>
        </w:tc>
        <w:tc>
          <w:tcPr>
            <w:tcW w:w="1529" w:type="dxa"/>
            <w:vAlign w:val="center"/>
          </w:tcPr>
          <w:p w14:paraId="5891301B" w14:textId="77777777" w:rsidR="00155ADC" w:rsidRPr="005B6E3D" w:rsidRDefault="00155ADC" w:rsidP="007B1369">
            <w:pPr>
              <w:jc w:val="both"/>
              <w:rPr>
                <w:rFonts w:ascii="Arial" w:hAnsi="Arial" w:cs="Arial"/>
              </w:rPr>
            </w:pPr>
            <w:r w:rsidRPr="005B6E3D">
              <w:rPr>
                <w:rFonts w:ascii="Arial" w:hAnsi="Arial" w:cs="Arial"/>
              </w:rPr>
              <w:t>Cost-effectiveness and stability</w:t>
            </w:r>
          </w:p>
        </w:tc>
        <w:tc>
          <w:tcPr>
            <w:tcW w:w="1838" w:type="dxa"/>
            <w:vAlign w:val="center"/>
          </w:tcPr>
          <w:p w14:paraId="74DF2A2C" w14:textId="77777777" w:rsidR="00576C5E" w:rsidRPr="005B6E3D" w:rsidRDefault="00155ADC" w:rsidP="007B1369">
            <w:pPr>
              <w:jc w:val="both"/>
              <w:rPr>
                <w:rFonts w:ascii="Arial" w:hAnsi="Arial" w:cs="Arial"/>
              </w:rPr>
            </w:pPr>
            <w:r w:rsidRPr="005B6E3D">
              <w:rPr>
                <w:rFonts w:ascii="Arial" w:hAnsi="Arial" w:cs="Arial"/>
              </w:rPr>
              <w:t>Cui &amp; Zhu</w:t>
            </w:r>
            <w:r w:rsidR="00576C5E" w:rsidRPr="005B6E3D">
              <w:rPr>
                <w:rFonts w:ascii="Arial" w:hAnsi="Arial" w:cs="Arial"/>
              </w:rPr>
              <w:t xml:space="preserve">, </w:t>
            </w:r>
            <w:r w:rsidRPr="005B6E3D">
              <w:rPr>
                <w:rFonts w:ascii="Arial" w:hAnsi="Arial" w:cs="Arial"/>
              </w:rPr>
              <w:t>2016;</w:t>
            </w:r>
          </w:p>
          <w:p w14:paraId="54EF5127" w14:textId="34B0C34F" w:rsidR="00155ADC" w:rsidRPr="005B6E3D" w:rsidRDefault="00155ADC" w:rsidP="007B1369">
            <w:pPr>
              <w:jc w:val="both"/>
              <w:rPr>
                <w:rFonts w:ascii="Arial" w:hAnsi="Arial" w:cs="Arial"/>
              </w:rPr>
            </w:pPr>
            <w:r w:rsidRPr="005B6E3D">
              <w:rPr>
                <w:rFonts w:ascii="Arial" w:hAnsi="Arial" w:cs="Arial"/>
              </w:rPr>
              <w:t xml:space="preserve">Lizana </w:t>
            </w:r>
            <w:r w:rsidRPr="005B6E3D">
              <w:rPr>
                <w:rFonts w:ascii="Arial" w:hAnsi="Arial" w:cs="Arial"/>
                <w:i/>
                <w:iCs/>
              </w:rPr>
              <w:t>et al.</w:t>
            </w:r>
            <w:r w:rsidR="00576C5E" w:rsidRPr="005B6E3D">
              <w:rPr>
                <w:rFonts w:ascii="Arial" w:hAnsi="Arial" w:cs="Arial"/>
              </w:rPr>
              <w:t>,</w:t>
            </w:r>
            <w:r w:rsidRPr="005B6E3D">
              <w:rPr>
                <w:rFonts w:ascii="Arial" w:hAnsi="Arial" w:cs="Arial"/>
              </w:rPr>
              <w:t xml:space="preserve"> 2022; Li </w:t>
            </w:r>
            <w:r w:rsidRPr="005B6E3D">
              <w:rPr>
                <w:rFonts w:ascii="Arial" w:hAnsi="Arial" w:cs="Arial"/>
                <w:i/>
                <w:iCs/>
              </w:rPr>
              <w:t>et al.</w:t>
            </w:r>
            <w:r w:rsidR="00576C5E" w:rsidRPr="005B6E3D">
              <w:rPr>
                <w:rFonts w:ascii="Arial" w:hAnsi="Arial" w:cs="Arial"/>
                <w:i/>
                <w:iCs/>
              </w:rPr>
              <w:t>,</w:t>
            </w:r>
            <w:r w:rsidRPr="005B6E3D">
              <w:rPr>
                <w:rFonts w:ascii="Arial" w:hAnsi="Arial" w:cs="Arial"/>
              </w:rPr>
              <w:t xml:space="preserve"> 2024</w:t>
            </w:r>
          </w:p>
        </w:tc>
      </w:tr>
    </w:tbl>
    <w:p w14:paraId="045388C6" w14:textId="77777777" w:rsidR="00155ADC" w:rsidRPr="005B6E3D" w:rsidRDefault="00155ADC" w:rsidP="00155ADC">
      <w:pPr>
        <w:jc w:val="both"/>
        <w:rPr>
          <w:rFonts w:ascii="Arial" w:hAnsi="Arial" w:cs="Arial"/>
        </w:rPr>
      </w:pPr>
    </w:p>
    <w:p w14:paraId="04D2995C" w14:textId="77777777" w:rsidR="00A60869" w:rsidRPr="005B6E3D" w:rsidRDefault="00A60869" w:rsidP="00155ADC">
      <w:pPr>
        <w:jc w:val="both"/>
        <w:rPr>
          <w:rFonts w:ascii="Arial" w:hAnsi="Arial" w:cs="Arial"/>
        </w:rPr>
      </w:pPr>
    </w:p>
    <w:p w14:paraId="13B2CBC1" w14:textId="6E153806"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FUTURE PERSPECTIVES</w:t>
      </w:r>
    </w:p>
    <w:p w14:paraId="4D3F6AF4" w14:textId="77777777" w:rsidR="00155ADC" w:rsidRPr="005B6E3D" w:rsidRDefault="00155ADC" w:rsidP="00155ADC">
      <w:pPr>
        <w:ind w:firstLine="720"/>
        <w:jc w:val="both"/>
        <w:rPr>
          <w:rFonts w:ascii="Arial" w:hAnsi="Arial" w:cs="Arial"/>
        </w:rPr>
      </w:pPr>
      <w:r w:rsidRPr="005B6E3D">
        <w:rPr>
          <w:rFonts w:ascii="Arial" w:hAnsi="Arial" w:cs="Arial"/>
        </w:rPr>
        <w:t xml:space="preserve">Integrating pheromone biology with neuroendocrine regulation offers new opportunities for advancing sericulture. Single-cell and spatial transcriptomic studies are beginning to map how silk gland cell types respond to systemic signals such as PBAN, juvenile hormone, and insulin-like peptides, providing a framework for linking chemical cues to cocoon traits (Ma </w:t>
      </w:r>
      <w:r w:rsidRPr="005B6E3D">
        <w:rPr>
          <w:rFonts w:ascii="Arial" w:hAnsi="Arial" w:cs="Arial"/>
          <w:i/>
          <w:iCs/>
        </w:rPr>
        <w:t>et al.,</w:t>
      </w:r>
      <w:r w:rsidRPr="005B6E3D">
        <w:rPr>
          <w:rFonts w:ascii="Arial" w:hAnsi="Arial" w:cs="Arial"/>
        </w:rPr>
        <w:t xml:space="preserve"> 2022; Ma </w:t>
      </w:r>
      <w:r w:rsidRPr="005B6E3D">
        <w:rPr>
          <w:rFonts w:ascii="Arial" w:hAnsi="Arial" w:cs="Arial"/>
          <w:i/>
          <w:iCs/>
        </w:rPr>
        <w:t>et al.,</w:t>
      </w:r>
      <w:r w:rsidRPr="005B6E3D">
        <w:rPr>
          <w:rFonts w:ascii="Arial" w:hAnsi="Arial" w:cs="Arial"/>
        </w:rPr>
        <w:t xml:space="preserve"> 2024). CRISPR-based editing and related genomic tools now allow precise manipulation of candidate genes controlling diapause, reproduction, and silk synthesis, accelerating functional discovery (Xu </w:t>
      </w:r>
      <w:r w:rsidRPr="005B6E3D">
        <w:rPr>
          <w:rFonts w:ascii="Arial" w:hAnsi="Arial" w:cs="Arial"/>
          <w:i/>
          <w:iCs/>
        </w:rPr>
        <w:t>et al.,</w:t>
      </w:r>
      <w:r w:rsidRPr="005B6E3D">
        <w:rPr>
          <w:rFonts w:ascii="Arial" w:hAnsi="Arial" w:cs="Arial"/>
        </w:rPr>
        <w:t xml:space="preserve"> 2015; Yu </w:t>
      </w:r>
      <w:r w:rsidRPr="005B6E3D">
        <w:rPr>
          <w:rFonts w:ascii="Arial" w:hAnsi="Arial" w:cs="Arial"/>
          <w:i/>
          <w:iCs/>
        </w:rPr>
        <w:t>et al.,</w:t>
      </w:r>
      <w:r w:rsidRPr="005B6E3D">
        <w:rPr>
          <w:rFonts w:ascii="Arial" w:hAnsi="Arial" w:cs="Arial"/>
        </w:rPr>
        <w:t xml:space="preserve"> 2023).</w:t>
      </w:r>
    </w:p>
    <w:p w14:paraId="14F6E331" w14:textId="77777777" w:rsidR="00155ADC" w:rsidRPr="005B6E3D" w:rsidRDefault="00155ADC" w:rsidP="00155ADC">
      <w:pPr>
        <w:ind w:firstLine="720"/>
        <w:jc w:val="both"/>
        <w:rPr>
          <w:rFonts w:ascii="Arial" w:hAnsi="Arial" w:cs="Arial"/>
        </w:rPr>
      </w:pPr>
      <w:r w:rsidRPr="005B6E3D">
        <w:rPr>
          <w:rFonts w:ascii="Arial" w:hAnsi="Arial" w:cs="Arial"/>
        </w:rPr>
        <w:t xml:space="preserve">At the applied level, hormone and peptide-based treatments could extend rearing seasons, suppress diapause, or boost silk yield, while pheromone-based strategies offer eco-friendly pest control (Denlinger, 2022; Dou &amp; Jurenka, 2023; Liu </w:t>
      </w:r>
      <w:r w:rsidRPr="005B6E3D">
        <w:rPr>
          <w:rFonts w:ascii="Arial" w:hAnsi="Arial" w:cs="Arial"/>
          <w:i/>
          <w:iCs/>
        </w:rPr>
        <w:t>et al.,</w:t>
      </w:r>
      <w:r w:rsidRPr="005B6E3D">
        <w:rPr>
          <w:rFonts w:ascii="Arial" w:hAnsi="Arial" w:cs="Arial"/>
        </w:rPr>
        <w:t xml:space="preserve"> 2023). Omics-guided biomarkers further provide a means to predict and manage silk performance under factory or field conditions (Wu </w:t>
      </w:r>
      <w:r w:rsidRPr="005B6E3D">
        <w:rPr>
          <w:rFonts w:ascii="Arial" w:hAnsi="Arial" w:cs="Arial"/>
          <w:i/>
          <w:iCs/>
        </w:rPr>
        <w:t>et al.,</w:t>
      </w:r>
      <w:r w:rsidRPr="005B6E3D">
        <w:rPr>
          <w:rFonts w:ascii="Arial" w:hAnsi="Arial" w:cs="Arial"/>
        </w:rPr>
        <w:t xml:space="preserve"> 2022; Lye </w:t>
      </w:r>
      <w:r w:rsidRPr="005B6E3D">
        <w:rPr>
          <w:rFonts w:ascii="Arial" w:hAnsi="Arial" w:cs="Arial"/>
          <w:i/>
          <w:iCs/>
        </w:rPr>
        <w:t>et al.,</w:t>
      </w:r>
      <w:r w:rsidRPr="005B6E3D">
        <w:rPr>
          <w:rFonts w:ascii="Arial" w:hAnsi="Arial" w:cs="Arial"/>
        </w:rPr>
        <w:t xml:space="preserve"> 2024). Future work should prioritize integrating multi-omics with functional genomics, validating interventions in field settings, and ensuring open datasets and farmer-oriented applications. With these tools, the next decade may yield both deeper biological insight and tangible improvements in silk production.</w:t>
      </w:r>
    </w:p>
    <w:p w14:paraId="7B56888C" w14:textId="77777777" w:rsidR="00A60869" w:rsidRPr="005B6E3D" w:rsidRDefault="00A60869" w:rsidP="00155ADC">
      <w:pPr>
        <w:ind w:firstLine="720"/>
        <w:jc w:val="both"/>
        <w:rPr>
          <w:rFonts w:ascii="Arial" w:hAnsi="Arial" w:cs="Arial"/>
        </w:rPr>
      </w:pPr>
    </w:p>
    <w:p w14:paraId="5E768C64" w14:textId="0B0D4E92" w:rsidR="00155ADC" w:rsidRPr="005B6E3D" w:rsidRDefault="00A60869" w:rsidP="00155ADC">
      <w:pPr>
        <w:pStyle w:val="ListParagraph"/>
        <w:numPr>
          <w:ilvl w:val="0"/>
          <w:numId w:val="32"/>
        </w:numPr>
        <w:jc w:val="both"/>
        <w:rPr>
          <w:rFonts w:ascii="Arial" w:hAnsi="Arial" w:cs="Arial"/>
          <w:b/>
          <w:bCs/>
          <w:sz w:val="22"/>
          <w:szCs w:val="22"/>
        </w:rPr>
      </w:pPr>
      <w:r w:rsidRPr="005B6E3D">
        <w:rPr>
          <w:rFonts w:ascii="Arial" w:hAnsi="Arial" w:cs="Arial"/>
          <w:b/>
          <w:bCs/>
          <w:sz w:val="22"/>
          <w:szCs w:val="22"/>
        </w:rPr>
        <w:t>CONCLUSION</w:t>
      </w:r>
    </w:p>
    <w:p w14:paraId="04F4BE02" w14:textId="77777777" w:rsidR="00155ADC" w:rsidRPr="005B6E3D" w:rsidRDefault="00155ADC" w:rsidP="00155ADC">
      <w:pPr>
        <w:ind w:firstLine="720"/>
        <w:jc w:val="both"/>
        <w:rPr>
          <w:rFonts w:ascii="Arial" w:hAnsi="Arial" w:cs="Arial"/>
        </w:rPr>
      </w:pPr>
      <w:r w:rsidRPr="005B6E3D">
        <w:rPr>
          <w:rFonts w:ascii="Arial" w:hAnsi="Arial" w:cs="Arial"/>
        </w:rPr>
        <w:t>The regulation of diapause, reproduction, and silk yield in silkworms is governed by a tightly integrated network of pheromones, neuropeptides, and endocrine factors. PBAN and its related pathways exemplify how conserved molecular signals coordinate reproductive timing, energy allocation, and silk gland activity in response to environmental cues. By linking these mechanisms to practical applications, sericulture can benefit from both molecular-level interventions, such as CRISPR-based genetic tools and peptide-targeted treatments, and field-level innovations including probiotics, optimized nutrition, and pheromone-based pest control. The emerging convergence of omics technologies, functional genomics, and applied sericulture research offers a roadmap for enhancing cocoon yield and resilience under variable conditions. Future progress will depend on bridging laboratory discoveries with scalable, sustainable practices that address economic, ecological, and regulatory realities. Harnessing pheromone and neuropeptide biology not only deepens our understanding of silkworm physiology but also creates actionable strategies for the modernization and sustainability of sericulture.</w:t>
      </w:r>
    </w:p>
    <w:p w14:paraId="6A67CFEE" w14:textId="77777777" w:rsidR="00790ADA" w:rsidRPr="005B6E3D" w:rsidRDefault="00790ADA" w:rsidP="00441B6F">
      <w:pPr>
        <w:pStyle w:val="Body"/>
        <w:spacing w:after="0"/>
        <w:rPr>
          <w:rFonts w:ascii="Arial" w:hAnsi="Arial" w:cs="Arial"/>
        </w:rPr>
      </w:pPr>
    </w:p>
    <w:p w14:paraId="581B0759" w14:textId="77777777" w:rsidR="00860000" w:rsidRPr="005B6E3D" w:rsidRDefault="00860000" w:rsidP="00441B6F">
      <w:pPr>
        <w:pStyle w:val="ReferHead"/>
        <w:spacing w:after="0"/>
        <w:jc w:val="both"/>
        <w:rPr>
          <w:rFonts w:ascii="Arial" w:hAnsi="Arial" w:cs="Arial"/>
        </w:rPr>
      </w:pPr>
    </w:p>
    <w:p w14:paraId="1B01AFE4" w14:textId="625B08D4" w:rsidR="00D3265E" w:rsidRPr="005B6E3D" w:rsidRDefault="00D3265E" w:rsidP="00D3265E">
      <w:pPr>
        <w:jc w:val="both"/>
        <w:rPr>
          <w:rFonts w:ascii="Arial" w:hAnsi="Arial" w:cs="Arial"/>
          <w:b/>
          <w:bCs/>
          <w:sz w:val="22"/>
          <w:szCs w:val="22"/>
        </w:rPr>
      </w:pPr>
      <w:commentRangeStart w:id="0"/>
      <w:r w:rsidRPr="005B6E3D">
        <w:rPr>
          <w:rFonts w:ascii="Arial" w:hAnsi="Arial" w:cs="Arial"/>
          <w:b/>
          <w:bCs/>
          <w:sz w:val="22"/>
          <w:szCs w:val="22"/>
        </w:rPr>
        <w:t>REFERENCE</w:t>
      </w:r>
      <w:r w:rsidR="00971144">
        <w:rPr>
          <w:rFonts w:ascii="Arial" w:hAnsi="Arial" w:cs="Arial"/>
          <w:b/>
          <w:bCs/>
          <w:sz w:val="22"/>
          <w:szCs w:val="22"/>
        </w:rPr>
        <w:t>S</w:t>
      </w:r>
      <w:commentRangeEnd w:id="0"/>
      <w:r w:rsidR="00971144">
        <w:rPr>
          <w:rStyle w:val="CommentReference"/>
          <w:rFonts w:ascii="Times New Roman" w:hAnsi="Times New Roman"/>
          <w:lang w:val="nb-NO" w:eastAsia="nb-NO"/>
        </w:rPr>
        <w:commentReference w:id="0"/>
      </w:r>
    </w:p>
    <w:p w14:paraId="460EB2B1" w14:textId="77777777" w:rsidR="00D3265E" w:rsidRPr="005B6E3D" w:rsidRDefault="00D3265E" w:rsidP="00D3265E">
      <w:pPr>
        <w:jc w:val="both"/>
        <w:rPr>
          <w:rFonts w:ascii="Arial" w:hAnsi="Arial" w:cs="Arial"/>
          <w:b/>
          <w:bCs/>
          <w:sz w:val="22"/>
          <w:szCs w:val="22"/>
        </w:rPr>
      </w:pPr>
    </w:p>
    <w:p w14:paraId="2AC57C2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Altman GH, Farrell BD. Sericulture as a sustainable agroindustry. Cleaner and Circular Bioeconomy. 2022 Aug 1; 2:100011.</w:t>
      </w:r>
    </w:p>
    <w:p w14:paraId="75395C41" w14:textId="77777777" w:rsidR="00D3265E" w:rsidRPr="005B6E3D" w:rsidRDefault="00D3265E" w:rsidP="00D3265E">
      <w:pPr>
        <w:pStyle w:val="ListParagraph"/>
        <w:numPr>
          <w:ilvl w:val="0"/>
          <w:numId w:val="34"/>
        </w:numPr>
        <w:jc w:val="both"/>
        <w:rPr>
          <w:rFonts w:ascii="Arial" w:hAnsi="Arial" w:cs="Arial"/>
          <w:sz w:val="20"/>
          <w:szCs w:val="20"/>
        </w:rPr>
      </w:pPr>
      <w:r w:rsidRPr="00123408">
        <w:rPr>
          <w:rFonts w:ascii="Arial" w:hAnsi="Arial" w:cs="Arial"/>
          <w:sz w:val="20"/>
          <w:szCs w:val="20"/>
        </w:rPr>
        <w:t>Shimizu, I. (2024</w:t>
      </w:r>
      <w:r w:rsidRPr="005B6E3D">
        <w:rPr>
          <w:rFonts w:ascii="Arial" w:hAnsi="Arial" w:cs="Arial"/>
          <w:sz w:val="20"/>
          <w:szCs w:val="20"/>
        </w:rPr>
        <w:t xml:space="preserve">). Photoperiodism of Diapause Induction in the Silkworm, </w:t>
      </w:r>
      <w:commentRangeStart w:id="1"/>
      <w:r w:rsidRPr="005B6E3D">
        <w:rPr>
          <w:rFonts w:ascii="Arial" w:hAnsi="Arial" w:cs="Arial"/>
          <w:sz w:val="20"/>
          <w:szCs w:val="20"/>
        </w:rPr>
        <w:t>Bombyx mori</w:t>
      </w:r>
      <w:commentRangeEnd w:id="1"/>
      <w:r w:rsidR="00463D6C">
        <w:rPr>
          <w:rStyle w:val="CommentReference"/>
          <w:rFonts w:ascii="Times New Roman" w:eastAsia="Times New Roman" w:hAnsi="Times New Roman" w:cs="Times New Roman"/>
          <w:kern w:val="0"/>
          <w:lang w:val="nb-NO" w:eastAsia="nb-NO"/>
        </w:rPr>
        <w:commentReference w:id="1"/>
      </w:r>
      <w:r w:rsidRPr="005B6E3D">
        <w:rPr>
          <w:rFonts w:ascii="Arial" w:hAnsi="Arial" w:cs="Arial"/>
          <w:sz w:val="20"/>
          <w:szCs w:val="20"/>
        </w:rPr>
        <w:t>. </w:t>
      </w:r>
      <w:r w:rsidRPr="005B6E3D">
        <w:rPr>
          <w:rFonts w:ascii="Arial" w:hAnsi="Arial" w:cs="Arial"/>
          <w:i/>
          <w:iCs/>
          <w:sz w:val="20"/>
          <w:szCs w:val="20"/>
        </w:rPr>
        <w:t>Zoological science</w:t>
      </w:r>
      <w:r w:rsidRPr="005B6E3D">
        <w:rPr>
          <w:rFonts w:ascii="Arial" w:hAnsi="Arial" w:cs="Arial"/>
          <w:sz w:val="20"/>
          <w:szCs w:val="20"/>
        </w:rPr>
        <w:t>, </w:t>
      </w:r>
      <w:r w:rsidRPr="005B6E3D">
        <w:rPr>
          <w:rFonts w:ascii="Arial" w:hAnsi="Arial" w:cs="Arial"/>
          <w:i/>
          <w:iCs/>
          <w:sz w:val="20"/>
          <w:szCs w:val="20"/>
        </w:rPr>
        <w:t>41</w:t>
      </w:r>
      <w:r w:rsidRPr="005B6E3D">
        <w:rPr>
          <w:rFonts w:ascii="Arial" w:hAnsi="Arial" w:cs="Arial"/>
          <w:sz w:val="20"/>
          <w:szCs w:val="20"/>
        </w:rPr>
        <w:t>(2), 141-158.</w:t>
      </w:r>
    </w:p>
    <w:p w14:paraId="34951343"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Easwaran, S., &amp; Montell, D. J. (2023). The molecular mechanisms of diapause and diapause-like reversible arrest. </w:t>
      </w:r>
      <w:r w:rsidRPr="005B6E3D">
        <w:rPr>
          <w:rFonts w:ascii="Arial" w:hAnsi="Arial" w:cs="Arial"/>
          <w:i/>
          <w:iCs/>
          <w:sz w:val="20"/>
          <w:szCs w:val="20"/>
        </w:rPr>
        <w:t>Biochemical Society Transactions</w:t>
      </w:r>
      <w:r w:rsidRPr="005B6E3D">
        <w:rPr>
          <w:rFonts w:ascii="Arial" w:hAnsi="Arial" w:cs="Arial"/>
          <w:sz w:val="20"/>
          <w:szCs w:val="20"/>
        </w:rPr>
        <w:t>, </w:t>
      </w:r>
      <w:r w:rsidRPr="005B6E3D">
        <w:rPr>
          <w:rFonts w:ascii="Arial" w:hAnsi="Arial" w:cs="Arial"/>
          <w:i/>
          <w:iCs/>
          <w:sz w:val="20"/>
          <w:szCs w:val="20"/>
        </w:rPr>
        <w:t>51</w:t>
      </w:r>
      <w:r w:rsidRPr="005B6E3D">
        <w:rPr>
          <w:rFonts w:ascii="Arial" w:hAnsi="Arial" w:cs="Arial"/>
          <w:sz w:val="20"/>
          <w:szCs w:val="20"/>
        </w:rPr>
        <w:t>(5), 1847-1856.</w:t>
      </w:r>
    </w:p>
    <w:p w14:paraId="5610CF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Jurenka, R. (2017). Regulation of pheromone biosynthesis in moths.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 29-35.</w:t>
      </w:r>
    </w:p>
    <w:p w14:paraId="5DFBED9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Dou, X., &amp; </w:t>
      </w:r>
      <w:bookmarkStart w:id="2" w:name="_Hlk208184516"/>
      <w:r w:rsidRPr="005B6E3D">
        <w:rPr>
          <w:rFonts w:ascii="Arial" w:hAnsi="Arial" w:cs="Arial"/>
          <w:sz w:val="20"/>
          <w:szCs w:val="20"/>
        </w:rPr>
        <w:t>Jurenka</w:t>
      </w:r>
      <w:bookmarkEnd w:id="2"/>
      <w:r w:rsidRPr="005B6E3D">
        <w:rPr>
          <w:rFonts w:ascii="Arial" w:hAnsi="Arial" w:cs="Arial"/>
          <w:sz w:val="20"/>
          <w:szCs w:val="20"/>
        </w:rPr>
        <w:t>, R. (2023). Pheromone biosynthesis activating neuropeptide family in insects: a review.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 1274750.</w:t>
      </w:r>
    </w:p>
    <w:p w14:paraId="24D7DB6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Helfrich-Förster, C. (2024). </w:t>
      </w:r>
      <w:proofErr w:type="spellStart"/>
      <w:r w:rsidRPr="005B6E3D">
        <w:rPr>
          <w:rFonts w:ascii="Arial" w:hAnsi="Arial" w:cs="Arial"/>
          <w:sz w:val="20"/>
          <w:szCs w:val="20"/>
        </w:rPr>
        <w:t>Neuropeptidergic</w:t>
      </w:r>
      <w:proofErr w:type="spellEnd"/>
      <w:r w:rsidRPr="005B6E3D">
        <w:rPr>
          <w:rFonts w:ascii="Arial" w:hAnsi="Arial" w:cs="Arial"/>
          <w:sz w:val="20"/>
          <w:szCs w:val="20"/>
        </w:rPr>
        <w:t xml:space="preserve"> regulation of insect diapause by the circadian clock. </w:t>
      </w:r>
      <w:r w:rsidRPr="005B6E3D">
        <w:rPr>
          <w:rFonts w:ascii="Arial" w:hAnsi="Arial" w:cs="Arial"/>
          <w:i/>
          <w:iCs/>
          <w:sz w:val="20"/>
          <w:szCs w:val="20"/>
        </w:rPr>
        <w:t>Current Opinion in Insect Science</w:t>
      </w:r>
      <w:r w:rsidRPr="005B6E3D">
        <w:rPr>
          <w:rFonts w:ascii="Arial" w:hAnsi="Arial" w:cs="Arial"/>
          <w:sz w:val="20"/>
          <w:szCs w:val="20"/>
        </w:rPr>
        <w:t>, </w:t>
      </w:r>
      <w:r w:rsidRPr="005B6E3D">
        <w:rPr>
          <w:rFonts w:ascii="Arial" w:hAnsi="Arial" w:cs="Arial"/>
          <w:i/>
          <w:iCs/>
          <w:sz w:val="20"/>
          <w:szCs w:val="20"/>
        </w:rPr>
        <w:t>63</w:t>
      </w:r>
      <w:r w:rsidRPr="005B6E3D">
        <w:rPr>
          <w:rFonts w:ascii="Arial" w:hAnsi="Arial" w:cs="Arial"/>
          <w:sz w:val="20"/>
          <w:szCs w:val="20"/>
        </w:rPr>
        <w:t>, 101198.</w:t>
      </w:r>
    </w:p>
    <w:p w14:paraId="0809EFA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Homma, S., Murata, A., Ikegami, M., Kobayashi, M., Yamazaki, M., Ikeda, K., et al. (2022). Circadian clock genes regulate temperature-dependent diapause induction in silkworm Bombyx mori.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863380.</w:t>
      </w:r>
    </w:p>
    <w:p w14:paraId="003C2B6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Cha, W. H., Kim, B., &amp; Lee, D. W. (2023). Functional analysis of pheromone biosynthesis activating neuropeptide receptor isoforms in </w:t>
      </w:r>
      <w:commentRangeStart w:id="3"/>
      <w:commentRangeStart w:id="4"/>
      <w:proofErr w:type="spellStart"/>
      <w:r w:rsidRPr="005B6E3D">
        <w:rPr>
          <w:rFonts w:ascii="Arial" w:hAnsi="Arial" w:cs="Arial"/>
          <w:sz w:val="20"/>
          <w:szCs w:val="20"/>
        </w:rPr>
        <w:t>Maruca</w:t>
      </w:r>
      <w:proofErr w:type="spellEnd"/>
      <w:r w:rsidRPr="005B6E3D">
        <w:rPr>
          <w:rFonts w:ascii="Arial" w:hAnsi="Arial" w:cs="Arial"/>
          <w:sz w:val="20"/>
          <w:szCs w:val="20"/>
        </w:rPr>
        <w:t xml:space="preserve"> </w:t>
      </w:r>
      <w:proofErr w:type="spellStart"/>
      <w:r w:rsidRPr="005B6E3D">
        <w:rPr>
          <w:rFonts w:ascii="Arial" w:hAnsi="Arial" w:cs="Arial"/>
          <w:sz w:val="20"/>
          <w:szCs w:val="20"/>
        </w:rPr>
        <w:t>vitrata</w:t>
      </w:r>
      <w:commentRangeEnd w:id="3"/>
      <w:proofErr w:type="spellEnd"/>
      <w:r w:rsidR="00463D6C">
        <w:rPr>
          <w:rStyle w:val="CommentReference"/>
          <w:rFonts w:ascii="Times New Roman" w:eastAsia="Times New Roman" w:hAnsi="Times New Roman" w:cs="Times New Roman"/>
          <w:kern w:val="0"/>
          <w:lang w:val="nb-NO" w:eastAsia="nb-NO"/>
        </w:rPr>
        <w:commentReference w:id="3"/>
      </w:r>
      <w:commentRangeEnd w:id="4"/>
      <w:r w:rsidR="00463D6C">
        <w:rPr>
          <w:rStyle w:val="CommentReference"/>
          <w:rFonts w:ascii="Times New Roman" w:eastAsia="Times New Roman" w:hAnsi="Times New Roman" w:cs="Times New Roman"/>
          <w:kern w:val="0"/>
          <w:lang w:val="nb-NO" w:eastAsia="nb-NO"/>
        </w:rPr>
        <w:commentReference w:id="4"/>
      </w:r>
      <w:r w:rsidRPr="005B6E3D">
        <w:rPr>
          <w:rFonts w:ascii="Arial" w:hAnsi="Arial" w:cs="Arial"/>
          <w:sz w:val="20"/>
          <w:szCs w:val="20"/>
        </w:rPr>
        <w:t>. </w:t>
      </w:r>
      <w:r w:rsidRPr="005B6E3D">
        <w:rPr>
          <w:rFonts w:ascii="Arial" w:hAnsi="Arial" w:cs="Arial"/>
          <w:i/>
          <w:iCs/>
          <w:sz w:val="20"/>
          <w:szCs w:val="20"/>
        </w:rPr>
        <w:t>Cells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(10), 1410.</w:t>
      </w:r>
    </w:p>
    <w:p w14:paraId="1F5984F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Y., He, R., She, Z., Yin, X., Li, X., Yao, S., et al. (2025). PBAN regulates sex pheromone biosynthesis by Ca2+/</w:t>
      </w:r>
      <w:proofErr w:type="spellStart"/>
      <w:r w:rsidRPr="005B6E3D">
        <w:rPr>
          <w:rFonts w:ascii="Arial" w:hAnsi="Arial" w:cs="Arial"/>
          <w:sz w:val="20"/>
          <w:szCs w:val="20"/>
        </w:rPr>
        <w:t>CaN</w:t>
      </w:r>
      <w:proofErr w:type="spellEnd"/>
      <w:r w:rsidRPr="005B6E3D">
        <w:rPr>
          <w:rFonts w:ascii="Arial" w:hAnsi="Arial" w:cs="Arial"/>
          <w:sz w:val="20"/>
          <w:szCs w:val="20"/>
        </w:rPr>
        <w:t xml:space="preserve">/ACC and Ca2+/PKC/HK2 signal pathways in </w:t>
      </w:r>
      <w:commentRangeStart w:id="5"/>
      <w:proofErr w:type="spellStart"/>
      <w:r w:rsidRPr="005B6E3D">
        <w:rPr>
          <w:rFonts w:ascii="Arial" w:hAnsi="Arial" w:cs="Arial"/>
          <w:sz w:val="20"/>
          <w:szCs w:val="20"/>
        </w:rPr>
        <w:t>Spodoptera</w:t>
      </w:r>
      <w:proofErr w:type="spellEnd"/>
      <w:r w:rsidRPr="005B6E3D">
        <w:rPr>
          <w:rFonts w:ascii="Arial" w:hAnsi="Arial" w:cs="Arial"/>
          <w:sz w:val="20"/>
          <w:szCs w:val="20"/>
        </w:rPr>
        <w:t xml:space="preserve"> </w:t>
      </w:r>
      <w:proofErr w:type="spellStart"/>
      <w:r w:rsidRPr="005B6E3D">
        <w:rPr>
          <w:rFonts w:ascii="Arial" w:hAnsi="Arial" w:cs="Arial"/>
          <w:sz w:val="20"/>
          <w:szCs w:val="20"/>
        </w:rPr>
        <w:t>litura</w:t>
      </w:r>
      <w:commentRangeEnd w:id="5"/>
      <w:proofErr w:type="spellEnd"/>
      <w:r w:rsidR="00463D6C">
        <w:rPr>
          <w:rStyle w:val="CommentReference"/>
          <w:rFonts w:ascii="Times New Roman" w:eastAsia="Times New Roman" w:hAnsi="Times New Roman" w:cs="Times New Roman"/>
          <w:kern w:val="0"/>
          <w:lang w:val="nb-NO" w:eastAsia="nb-NO"/>
        </w:rPr>
        <w:commentReference w:id="5"/>
      </w:r>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34</w:t>
      </w:r>
      <w:r w:rsidRPr="005B6E3D">
        <w:rPr>
          <w:rFonts w:ascii="Arial" w:hAnsi="Arial" w:cs="Arial"/>
          <w:sz w:val="20"/>
          <w:szCs w:val="20"/>
        </w:rPr>
        <w:t>(2), 347-362.</w:t>
      </w:r>
    </w:p>
    <w:p w14:paraId="484F4902" w14:textId="77777777" w:rsidR="00D3265E" w:rsidRPr="005B6E3D" w:rsidRDefault="00D3265E" w:rsidP="00D3265E">
      <w:pPr>
        <w:pStyle w:val="ListParagraph"/>
        <w:numPr>
          <w:ilvl w:val="0"/>
          <w:numId w:val="34"/>
        </w:numPr>
        <w:jc w:val="both"/>
        <w:rPr>
          <w:rFonts w:ascii="Arial" w:hAnsi="Arial" w:cs="Arial"/>
          <w:sz w:val="20"/>
          <w:szCs w:val="20"/>
        </w:rPr>
      </w:pPr>
      <w:proofErr w:type="spellStart"/>
      <w:r w:rsidRPr="005B6E3D">
        <w:rPr>
          <w:rFonts w:ascii="Arial" w:hAnsi="Arial" w:cs="Arial"/>
          <w:sz w:val="20"/>
          <w:szCs w:val="20"/>
        </w:rPr>
        <w:t>Čižmár</w:t>
      </w:r>
      <w:proofErr w:type="spellEnd"/>
      <w:r w:rsidRPr="005B6E3D">
        <w:rPr>
          <w:rFonts w:ascii="Arial" w:hAnsi="Arial" w:cs="Arial"/>
          <w:sz w:val="20"/>
          <w:szCs w:val="20"/>
        </w:rPr>
        <w:t xml:space="preserve">, D., Roller, L., Pillerová, M., Sláma, K., &amp; </w:t>
      </w:r>
      <w:proofErr w:type="spellStart"/>
      <w:r w:rsidRPr="005B6E3D">
        <w:rPr>
          <w:rFonts w:ascii="Arial" w:hAnsi="Arial" w:cs="Arial"/>
          <w:sz w:val="20"/>
          <w:szCs w:val="20"/>
        </w:rPr>
        <w:t>Žitňan</w:t>
      </w:r>
      <w:proofErr w:type="spellEnd"/>
      <w:r w:rsidRPr="005B6E3D">
        <w:rPr>
          <w:rFonts w:ascii="Arial" w:hAnsi="Arial" w:cs="Arial"/>
          <w:sz w:val="20"/>
          <w:szCs w:val="20"/>
        </w:rPr>
        <w:t xml:space="preserve">, D. (2019). Multiple neuropeptides produced by sex-specific neurons control activity of the male accessory glands and </w:t>
      </w:r>
      <w:proofErr w:type="spellStart"/>
      <w:r w:rsidRPr="005B6E3D">
        <w:rPr>
          <w:rFonts w:ascii="Arial" w:hAnsi="Arial" w:cs="Arial"/>
          <w:sz w:val="20"/>
          <w:szCs w:val="20"/>
        </w:rPr>
        <w:t>gonoducts</w:t>
      </w:r>
      <w:proofErr w:type="spellEnd"/>
      <w:r w:rsidRPr="005B6E3D">
        <w:rPr>
          <w:rFonts w:ascii="Arial" w:hAnsi="Arial" w:cs="Arial"/>
          <w:sz w:val="20"/>
          <w:szCs w:val="20"/>
        </w:rPr>
        <w:t xml:space="preserve"> in the silkworm </w:t>
      </w:r>
      <w:commentRangeStart w:id="6"/>
      <w:r w:rsidRPr="005B6E3D">
        <w:rPr>
          <w:rFonts w:ascii="Arial" w:hAnsi="Arial" w:cs="Arial"/>
          <w:sz w:val="20"/>
          <w:szCs w:val="20"/>
        </w:rPr>
        <w:t>Bombyx mori</w:t>
      </w:r>
      <w:commentRangeEnd w:id="6"/>
      <w:r w:rsidR="00463D6C">
        <w:rPr>
          <w:rStyle w:val="CommentReference"/>
          <w:rFonts w:ascii="Times New Roman" w:eastAsia="Times New Roman" w:hAnsi="Times New Roman" w:cs="Times New Roman"/>
          <w:kern w:val="0"/>
          <w:lang w:val="nb-NO" w:eastAsia="nb-NO"/>
        </w:rPr>
        <w:commentReference w:id="6"/>
      </w:r>
      <w:r w:rsidRPr="005B6E3D">
        <w:rPr>
          <w:rFonts w:ascii="Arial" w:hAnsi="Arial" w:cs="Arial"/>
          <w:sz w:val="20"/>
          <w:szCs w:val="20"/>
        </w:rPr>
        <w:t>. </w:t>
      </w:r>
      <w:r w:rsidRPr="005B6E3D">
        <w:rPr>
          <w:rFonts w:ascii="Arial" w:hAnsi="Arial" w:cs="Arial"/>
          <w:i/>
          <w:iCs/>
          <w:sz w:val="20"/>
          <w:szCs w:val="20"/>
        </w:rPr>
        <w:t>Scientific Reports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(1), 2253.</w:t>
      </w:r>
    </w:p>
    <w:p w14:paraId="24B09FF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Ohnishi, A., Hull, J. J., Kaji, M., Hashimoto, K., Lee, J. M., Tsuneizumi, K., et al. (2011). Hormone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linked to </w:t>
      </w:r>
      <w:proofErr w:type="spellStart"/>
      <w:r w:rsidRPr="005B6E3D">
        <w:rPr>
          <w:rFonts w:ascii="Arial" w:hAnsi="Arial" w:cs="Arial"/>
          <w:sz w:val="20"/>
          <w:szCs w:val="20"/>
        </w:rPr>
        <w:t>silkmoth</w:t>
      </w:r>
      <w:proofErr w:type="spellEnd"/>
      <w:r w:rsidRPr="005B6E3D">
        <w:rPr>
          <w:rFonts w:ascii="Arial" w:hAnsi="Arial" w:cs="Arial"/>
          <w:sz w:val="20"/>
          <w:szCs w:val="20"/>
        </w:rPr>
        <w:t xml:space="preserve"> sex pheromone biosynthesis involves Ca2+/calmodulin-dependent protein kinase II-mediated phosphorylation of the insect PAT family protein </w:t>
      </w:r>
      <w:commentRangeStart w:id="7"/>
      <w:r w:rsidRPr="005B6E3D">
        <w:rPr>
          <w:rFonts w:ascii="Arial" w:hAnsi="Arial" w:cs="Arial"/>
          <w:sz w:val="20"/>
          <w:szCs w:val="20"/>
        </w:rPr>
        <w:t>Bombyx mori</w:t>
      </w:r>
      <w:commentRangeEnd w:id="7"/>
      <w:r w:rsidR="00463D6C">
        <w:rPr>
          <w:rStyle w:val="CommentReference"/>
          <w:rFonts w:ascii="Times New Roman" w:eastAsia="Times New Roman" w:hAnsi="Times New Roman" w:cs="Times New Roman"/>
          <w:kern w:val="0"/>
          <w:lang w:val="nb-NO" w:eastAsia="nb-NO"/>
        </w:rPr>
        <w:commentReference w:id="7"/>
      </w:r>
      <w:r w:rsidRPr="005B6E3D">
        <w:rPr>
          <w:rFonts w:ascii="Arial" w:hAnsi="Arial" w:cs="Arial"/>
          <w:sz w:val="20"/>
          <w:szCs w:val="20"/>
        </w:rPr>
        <w:t xml:space="preserve"> lipid storage droplet protein-1 (BmLsd1). </w:t>
      </w:r>
      <w:r w:rsidRPr="005B6E3D">
        <w:rPr>
          <w:rFonts w:ascii="Arial" w:hAnsi="Arial" w:cs="Arial"/>
          <w:i/>
          <w:iCs/>
          <w:sz w:val="20"/>
          <w:szCs w:val="20"/>
        </w:rPr>
        <w:t>Journal of Biological Chemistry</w:t>
      </w:r>
      <w:r w:rsidRPr="005B6E3D">
        <w:rPr>
          <w:rFonts w:ascii="Arial" w:hAnsi="Arial" w:cs="Arial"/>
          <w:sz w:val="20"/>
          <w:szCs w:val="20"/>
        </w:rPr>
        <w:t>, </w:t>
      </w:r>
      <w:r w:rsidRPr="005B6E3D">
        <w:rPr>
          <w:rFonts w:ascii="Arial" w:hAnsi="Arial" w:cs="Arial"/>
          <w:i/>
          <w:iCs/>
          <w:sz w:val="20"/>
          <w:szCs w:val="20"/>
        </w:rPr>
        <w:t>286</w:t>
      </w:r>
      <w:r w:rsidRPr="005B6E3D">
        <w:rPr>
          <w:rFonts w:ascii="Arial" w:hAnsi="Arial" w:cs="Arial"/>
          <w:sz w:val="20"/>
          <w:szCs w:val="20"/>
        </w:rPr>
        <w:t>(27), 24101-24112.</w:t>
      </w:r>
    </w:p>
    <w:p w14:paraId="26F51F6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Tsuchiya, R., </w:t>
      </w:r>
      <w:proofErr w:type="spellStart"/>
      <w:r w:rsidRPr="005B6E3D">
        <w:rPr>
          <w:rFonts w:ascii="Arial" w:hAnsi="Arial" w:cs="Arial"/>
          <w:sz w:val="20"/>
          <w:szCs w:val="20"/>
        </w:rPr>
        <w:t>Kaneshima</w:t>
      </w:r>
      <w:proofErr w:type="spellEnd"/>
      <w:r w:rsidRPr="005B6E3D">
        <w:rPr>
          <w:rFonts w:ascii="Arial" w:hAnsi="Arial" w:cs="Arial"/>
          <w:sz w:val="20"/>
          <w:szCs w:val="20"/>
        </w:rPr>
        <w:t xml:space="preserve">, A., Kobayashi, M., Yamazaki, M., Takasu, Y., </w:t>
      </w:r>
      <w:proofErr w:type="spellStart"/>
      <w:r w:rsidRPr="005B6E3D">
        <w:rPr>
          <w:rFonts w:ascii="Arial" w:hAnsi="Arial" w:cs="Arial"/>
          <w:sz w:val="20"/>
          <w:szCs w:val="20"/>
        </w:rPr>
        <w:t>Sezutsu</w:t>
      </w:r>
      <w:proofErr w:type="spellEnd"/>
      <w:r w:rsidRPr="005B6E3D">
        <w:rPr>
          <w:rFonts w:ascii="Arial" w:hAnsi="Arial" w:cs="Arial"/>
          <w:sz w:val="20"/>
          <w:szCs w:val="20"/>
        </w:rPr>
        <w:t>, H., et al. (2021). Maternal GABAergic and GnRH/</w:t>
      </w:r>
      <w:proofErr w:type="spellStart"/>
      <w:r w:rsidRPr="005B6E3D">
        <w:rPr>
          <w:rFonts w:ascii="Arial" w:hAnsi="Arial" w:cs="Arial"/>
          <w:sz w:val="20"/>
          <w:szCs w:val="20"/>
        </w:rPr>
        <w:t>corazonin</w:t>
      </w:r>
      <w:proofErr w:type="spellEnd"/>
      <w:r w:rsidRPr="005B6E3D">
        <w:rPr>
          <w:rFonts w:ascii="Arial" w:hAnsi="Arial" w:cs="Arial"/>
          <w:sz w:val="20"/>
          <w:szCs w:val="20"/>
        </w:rPr>
        <w:t xml:space="preserve"> pathway modulates egg diapause phenotype of the silkworm </w:t>
      </w:r>
      <w:commentRangeStart w:id="8"/>
      <w:r w:rsidRPr="005B6E3D">
        <w:rPr>
          <w:rFonts w:ascii="Arial" w:hAnsi="Arial" w:cs="Arial"/>
          <w:sz w:val="20"/>
          <w:szCs w:val="20"/>
        </w:rPr>
        <w:t>Bombyx mori</w:t>
      </w:r>
      <w:commentRangeEnd w:id="8"/>
      <w:r w:rsidR="00463D6C">
        <w:rPr>
          <w:rStyle w:val="CommentReference"/>
          <w:rFonts w:ascii="Times New Roman" w:eastAsia="Times New Roman" w:hAnsi="Times New Roman" w:cs="Times New Roman"/>
          <w:kern w:val="0"/>
          <w:lang w:val="nb-NO" w:eastAsia="nb-NO"/>
        </w:rPr>
        <w:commentReference w:id="8"/>
      </w:r>
      <w:r w:rsidRPr="005B6E3D">
        <w:rPr>
          <w:rFonts w:ascii="Arial" w:hAnsi="Arial" w:cs="Arial"/>
          <w:sz w:val="20"/>
          <w:szCs w:val="20"/>
        </w:rPr>
        <w:t>.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118</w:t>
      </w:r>
      <w:r w:rsidRPr="005B6E3D">
        <w:rPr>
          <w:rFonts w:ascii="Arial" w:hAnsi="Arial" w:cs="Arial"/>
          <w:sz w:val="20"/>
          <w:szCs w:val="20"/>
        </w:rPr>
        <w:t>(1), e2020028118.</w:t>
      </w:r>
    </w:p>
    <w:p w14:paraId="24C231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Zhu, Z., &amp; Nagata, S. (2025). Two neuropeptide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regulate post-mating refractoriness and reproductive system in male crickets. </w:t>
      </w:r>
      <w:r w:rsidRPr="005B6E3D">
        <w:rPr>
          <w:rFonts w:ascii="Arial" w:hAnsi="Arial" w:cs="Arial"/>
          <w:i/>
          <w:iCs/>
          <w:sz w:val="20"/>
          <w:szCs w:val="20"/>
        </w:rPr>
        <w:t>Communications Biology</w:t>
      </w:r>
      <w:r w:rsidRPr="005B6E3D">
        <w:rPr>
          <w:rFonts w:ascii="Arial" w:hAnsi="Arial" w:cs="Arial"/>
          <w:sz w:val="20"/>
          <w:szCs w:val="20"/>
        </w:rPr>
        <w:t>, </w:t>
      </w:r>
      <w:r w:rsidRPr="005B6E3D">
        <w:rPr>
          <w:rFonts w:ascii="Arial" w:hAnsi="Arial" w:cs="Arial"/>
          <w:i/>
          <w:iCs/>
          <w:sz w:val="20"/>
          <w:szCs w:val="20"/>
        </w:rPr>
        <w:t>8</w:t>
      </w:r>
      <w:r w:rsidRPr="005B6E3D">
        <w:rPr>
          <w:rFonts w:ascii="Arial" w:hAnsi="Arial" w:cs="Arial"/>
          <w:sz w:val="20"/>
          <w:szCs w:val="20"/>
        </w:rPr>
        <w:t>(1), 910.</w:t>
      </w:r>
    </w:p>
    <w:p w14:paraId="48F84E0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Liu, Z., Idris, N. F. B., Liu, L., Hou, C., Yang, C., Zhan, C., et al. (2025). BmSV2A and BmSV2B Are Involved in Regulating GABAergic Neuron-Related Gene Expression in the Silkworm, </w:t>
      </w:r>
      <w:commentRangeStart w:id="9"/>
      <w:r w:rsidRPr="005B6E3D">
        <w:rPr>
          <w:rFonts w:ascii="Arial" w:hAnsi="Arial" w:cs="Arial"/>
          <w:sz w:val="20"/>
          <w:szCs w:val="20"/>
        </w:rPr>
        <w:t>Bombyx mori</w:t>
      </w:r>
      <w:commentRangeEnd w:id="9"/>
      <w:r w:rsidR="00463D6C">
        <w:rPr>
          <w:rStyle w:val="CommentReference"/>
          <w:rFonts w:ascii="Times New Roman" w:eastAsia="Times New Roman" w:hAnsi="Times New Roman" w:cs="Times New Roman"/>
          <w:kern w:val="0"/>
          <w:lang w:val="nb-NO" w:eastAsia="nb-NO"/>
        </w:rPr>
        <w:commentReference w:id="9"/>
      </w:r>
      <w:r w:rsidRPr="005B6E3D">
        <w:rPr>
          <w:rFonts w:ascii="Arial" w:hAnsi="Arial" w:cs="Arial"/>
          <w:sz w:val="20"/>
          <w:szCs w:val="20"/>
        </w:rPr>
        <w:t>.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251.</w:t>
      </w:r>
    </w:p>
    <w:p w14:paraId="78D550E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Hand, S. C., Denlinger, D. L., </w:t>
      </w:r>
      <w:proofErr w:type="spellStart"/>
      <w:r w:rsidRPr="005B6E3D">
        <w:rPr>
          <w:rFonts w:ascii="Arial" w:hAnsi="Arial" w:cs="Arial"/>
          <w:sz w:val="20"/>
          <w:szCs w:val="20"/>
        </w:rPr>
        <w:t>Podrabsky</w:t>
      </w:r>
      <w:proofErr w:type="spellEnd"/>
      <w:r w:rsidRPr="005B6E3D">
        <w:rPr>
          <w:rFonts w:ascii="Arial" w:hAnsi="Arial" w:cs="Arial"/>
          <w:sz w:val="20"/>
          <w:szCs w:val="20"/>
        </w:rPr>
        <w:t>, J. E., &amp; Roy, R. (2016). Mechanisms of animal diapause: recent developments from nematodes, crustaceans, insects, and fish. </w:t>
      </w:r>
      <w:r w:rsidRPr="005B6E3D">
        <w:rPr>
          <w:rFonts w:ascii="Arial" w:hAnsi="Arial" w:cs="Arial"/>
          <w:i/>
          <w:iCs/>
          <w:sz w:val="20"/>
          <w:szCs w:val="20"/>
        </w:rPr>
        <w:t>American Journal of Physiology-Regulatory, Integrative and Comparative Physiology</w:t>
      </w:r>
      <w:r w:rsidRPr="005B6E3D">
        <w:rPr>
          <w:rFonts w:ascii="Arial" w:hAnsi="Arial" w:cs="Arial"/>
          <w:sz w:val="20"/>
          <w:szCs w:val="20"/>
        </w:rPr>
        <w:t>, </w:t>
      </w:r>
      <w:r w:rsidRPr="005B6E3D">
        <w:rPr>
          <w:rFonts w:ascii="Arial" w:hAnsi="Arial" w:cs="Arial"/>
          <w:i/>
          <w:iCs/>
          <w:sz w:val="20"/>
          <w:szCs w:val="20"/>
        </w:rPr>
        <w:t>310</w:t>
      </w:r>
      <w:r w:rsidRPr="005B6E3D">
        <w:rPr>
          <w:rFonts w:ascii="Arial" w:hAnsi="Arial" w:cs="Arial"/>
          <w:sz w:val="20"/>
          <w:szCs w:val="20"/>
        </w:rPr>
        <w:t>(11), R1193-R1211.</w:t>
      </w:r>
    </w:p>
    <w:p w14:paraId="2A8CC3B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Izadi, H. (2025). Endocrine and enzymatic shifts during insect diapause: a review of regulatory mechanisms.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 1544198.</w:t>
      </w:r>
    </w:p>
    <w:p w14:paraId="753E4189"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Zhou, W. Z., Wu, Y. F., Yin, Z. Y., Guo, J. J., &amp; Li, H. Y. (2022). Juvenile hormone is an important factor in regulating </w:t>
      </w:r>
      <w:commentRangeStart w:id="10"/>
      <w:proofErr w:type="spellStart"/>
      <w:r w:rsidRPr="005B6E3D">
        <w:rPr>
          <w:rFonts w:ascii="Arial" w:hAnsi="Arial" w:cs="Arial"/>
          <w:sz w:val="20"/>
          <w:szCs w:val="20"/>
        </w:rPr>
        <w:t>Aspongopus</w:t>
      </w:r>
      <w:proofErr w:type="spellEnd"/>
      <w:r w:rsidRPr="005B6E3D">
        <w:rPr>
          <w:rFonts w:ascii="Arial" w:hAnsi="Arial" w:cs="Arial"/>
          <w:sz w:val="20"/>
          <w:szCs w:val="20"/>
        </w:rPr>
        <w:t xml:space="preserve"> </w:t>
      </w:r>
      <w:proofErr w:type="spellStart"/>
      <w:r w:rsidRPr="005B6E3D">
        <w:rPr>
          <w:rFonts w:ascii="Arial" w:hAnsi="Arial" w:cs="Arial"/>
          <w:sz w:val="20"/>
          <w:szCs w:val="20"/>
        </w:rPr>
        <w:t>chinensis</w:t>
      </w:r>
      <w:proofErr w:type="spellEnd"/>
      <w:r w:rsidRPr="005B6E3D">
        <w:rPr>
          <w:rFonts w:ascii="Arial" w:hAnsi="Arial" w:cs="Arial"/>
          <w:sz w:val="20"/>
          <w:szCs w:val="20"/>
        </w:rPr>
        <w:t xml:space="preserve"> </w:t>
      </w:r>
      <w:commentRangeEnd w:id="10"/>
      <w:r w:rsidR="00463D6C">
        <w:rPr>
          <w:rStyle w:val="CommentReference"/>
          <w:rFonts w:ascii="Times New Roman" w:eastAsia="Times New Roman" w:hAnsi="Times New Roman" w:cs="Times New Roman"/>
          <w:kern w:val="0"/>
          <w:lang w:val="nb-NO" w:eastAsia="nb-NO"/>
        </w:rPr>
        <w:commentReference w:id="10"/>
      </w:r>
      <w:r w:rsidRPr="005B6E3D">
        <w:rPr>
          <w:rFonts w:ascii="Arial" w:hAnsi="Arial" w:cs="Arial"/>
          <w:sz w:val="20"/>
          <w:szCs w:val="20"/>
        </w:rPr>
        <w:t>Dallas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873580.</w:t>
      </w:r>
    </w:p>
    <w:p w14:paraId="70652C16"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Y., Chen, J. J., Liu, M. Y., He, W. W., Reynolds, J. A., Wang, Y. N., et al. (2022). Enhanced degradation of juvenile hormone promotes reproductive diapause in the predatory ladybeetle </w:t>
      </w:r>
      <w:commentRangeStart w:id="11"/>
      <w:proofErr w:type="spellStart"/>
      <w:r w:rsidRPr="005B6E3D">
        <w:rPr>
          <w:rFonts w:ascii="Arial" w:hAnsi="Arial" w:cs="Arial"/>
          <w:sz w:val="20"/>
          <w:szCs w:val="20"/>
        </w:rPr>
        <w:t>Coccinella</w:t>
      </w:r>
      <w:proofErr w:type="spellEnd"/>
      <w:r w:rsidRPr="005B6E3D">
        <w:rPr>
          <w:rFonts w:ascii="Arial" w:hAnsi="Arial" w:cs="Arial"/>
          <w:sz w:val="20"/>
          <w:szCs w:val="20"/>
        </w:rPr>
        <w:t xml:space="preserve"> </w:t>
      </w:r>
      <w:proofErr w:type="spellStart"/>
      <w:r w:rsidRPr="005B6E3D">
        <w:rPr>
          <w:rFonts w:ascii="Arial" w:hAnsi="Arial" w:cs="Arial"/>
          <w:sz w:val="20"/>
          <w:szCs w:val="20"/>
        </w:rPr>
        <w:t>septempunctata</w:t>
      </w:r>
      <w:commentRangeEnd w:id="11"/>
      <w:proofErr w:type="spellEnd"/>
      <w:r w:rsidR="00463D6C">
        <w:rPr>
          <w:rStyle w:val="CommentReference"/>
          <w:rFonts w:ascii="Times New Roman" w:eastAsia="Times New Roman" w:hAnsi="Times New Roman" w:cs="Times New Roman"/>
          <w:kern w:val="0"/>
          <w:lang w:val="nb-NO" w:eastAsia="nb-NO"/>
        </w:rPr>
        <w:commentReference w:id="11"/>
      </w:r>
      <w:r w:rsidRPr="005B6E3D">
        <w:rPr>
          <w:rFonts w:ascii="Arial" w:hAnsi="Arial" w:cs="Arial"/>
          <w:sz w:val="20"/>
          <w:szCs w:val="20"/>
        </w:rPr>
        <w: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877153.</w:t>
      </w:r>
    </w:p>
    <w:p w14:paraId="745949FD"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Ma, H. Y., Li, Y. Y., Li, L., Tan, Y., &amp; Pang, B. P. (2021). Juvenile hormone regulates the reproductive diapause through </w:t>
      </w:r>
      <w:proofErr w:type="spellStart"/>
      <w:r w:rsidRPr="005B6E3D">
        <w:rPr>
          <w:rFonts w:ascii="Arial" w:hAnsi="Arial" w:cs="Arial"/>
          <w:sz w:val="20"/>
          <w:szCs w:val="20"/>
        </w:rPr>
        <w:t>Methoprene</w:t>
      </w:r>
      <w:proofErr w:type="spellEnd"/>
      <w:r w:rsidRPr="005B6E3D">
        <w:rPr>
          <w:rFonts w:ascii="Cambria Math" w:hAnsi="Cambria Math" w:cs="Cambria Math"/>
          <w:sz w:val="20"/>
          <w:szCs w:val="20"/>
        </w:rPr>
        <w:t>‐</w:t>
      </w:r>
      <w:r w:rsidRPr="005B6E3D">
        <w:rPr>
          <w:rFonts w:ascii="Arial" w:hAnsi="Arial" w:cs="Arial"/>
          <w:sz w:val="20"/>
          <w:szCs w:val="20"/>
        </w:rPr>
        <w:t xml:space="preserve">tolerant gene in </w:t>
      </w:r>
      <w:commentRangeStart w:id="12"/>
      <w:proofErr w:type="spellStart"/>
      <w:r w:rsidRPr="005B6E3D">
        <w:rPr>
          <w:rFonts w:ascii="Arial" w:hAnsi="Arial" w:cs="Arial"/>
          <w:sz w:val="20"/>
          <w:szCs w:val="20"/>
        </w:rPr>
        <w:t>Galeruca</w:t>
      </w:r>
      <w:proofErr w:type="spellEnd"/>
      <w:r w:rsidRPr="005B6E3D">
        <w:rPr>
          <w:rFonts w:ascii="Arial" w:hAnsi="Arial" w:cs="Arial"/>
          <w:sz w:val="20"/>
          <w:szCs w:val="20"/>
        </w:rPr>
        <w:t xml:space="preserve"> </w:t>
      </w:r>
      <w:proofErr w:type="spellStart"/>
      <w:r w:rsidRPr="005B6E3D">
        <w:rPr>
          <w:rFonts w:ascii="Arial" w:hAnsi="Arial" w:cs="Arial"/>
          <w:sz w:val="20"/>
          <w:szCs w:val="20"/>
        </w:rPr>
        <w:t>daurica</w:t>
      </w:r>
      <w:commentRangeEnd w:id="12"/>
      <w:proofErr w:type="spellEnd"/>
      <w:r w:rsidR="00463D6C">
        <w:rPr>
          <w:rStyle w:val="CommentReference"/>
          <w:rFonts w:ascii="Times New Roman" w:eastAsia="Times New Roman" w:hAnsi="Times New Roman" w:cs="Times New Roman"/>
          <w:kern w:val="0"/>
          <w:lang w:val="nb-NO" w:eastAsia="nb-NO"/>
        </w:rPr>
        <w:commentReference w:id="12"/>
      </w:r>
      <w:r w:rsidRPr="005B6E3D">
        <w:rPr>
          <w:rFonts w:ascii="Arial" w:hAnsi="Arial" w:cs="Arial"/>
          <w:sz w:val="20"/>
          <w:szCs w:val="20"/>
        </w:rPr>
        <w:t>. </w:t>
      </w:r>
      <w:r w:rsidRPr="005B6E3D">
        <w:rPr>
          <w:rFonts w:ascii="Arial" w:hAnsi="Arial" w:cs="Arial"/>
          <w:i/>
          <w:iCs/>
          <w:sz w:val="20"/>
          <w:szCs w:val="20"/>
        </w:rPr>
        <w:t>Insect Molecular Biology</w:t>
      </w:r>
      <w:r w:rsidRPr="005B6E3D">
        <w:rPr>
          <w:rFonts w:ascii="Arial" w:hAnsi="Arial" w:cs="Arial"/>
          <w:sz w:val="20"/>
          <w:szCs w:val="20"/>
        </w:rPr>
        <w:t>, </w:t>
      </w:r>
      <w:r w:rsidRPr="005B6E3D">
        <w:rPr>
          <w:rFonts w:ascii="Arial" w:hAnsi="Arial" w:cs="Arial"/>
          <w:i/>
          <w:iCs/>
          <w:sz w:val="20"/>
          <w:szCs w:val="20"/>
        </w:rPr>
        <w:t>30</w:t>
      </w:r>
      <w:r w:rsidRPr="005B6E3D">
        <w:rPr>
          <w:rFonts w:ascii="Arial" w:hAnsi="Arial" w:cs="Arial"/>
          <w:sz w:val="20"/>
          <w:szCs w:val="20"/>
        </w:rPr>
        <w:t>(4), 446-458.</w:t>
      </w:r>
    </w:p>
    <w:p w14:paraId="207874C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Hutfilz, C. (2022). Endocrine regulation of lifespan in insect diapause.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825057.</w:t>
      </w:r>
    </w:p>
    <w:p w14:paraId="4825F37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Alzugaray, M. E., &amp; Ronderos, J. R. (2018). </w:t>
      </w:r>
      <w:proofErr w:type="spellStart"/>
      <w:r w:rsidRPr="005B6E3D">
        <w:rPr>
          <w:rFonts w:ascii="Arial" w:hAnsi="Arial" w:cs="Arial"/>
          <w:sz w:val="20"/>
          <w:szCs w:val="20"/>
        </w:rPr>
        <w:t>Allatoregulatory</w:t>
      </w:r>
      <w:proofErr w:type="spellEnd"/>
      <w:r w:rsidRPr="005B6E3D">
        <w:rPr>
          <w:rFonts w:ascii="Arial" w:hAnsi="Arial" w:cs="Arial"/>
          <w:sz w:val="20"/>
          <w:szCs w:val="20"/>
        </w:rPr>
        <w:t xml:space="preserve">-like systems and changes in cytosolic Ca2+ modulate feeding </w:t>
      </w:r>
      <w:proofErr w:type="spellStart"/>
      <w:r w:rsidRPr="005B6E3D">
        <w:rPr>
          <w:rFonts w:ascii="Arial" w:hAnsi="Arial" w:cs="Arial"/>
          <w:sz w:val="20"/>
          <w:szCs w:val="20"/>
        </w:rPr>
        <w:t>behavior</w:t>
      </w:r>
      <w:proofErr w:type="spellEnd"/>
      <w:r w:rsidRPr="005B6E3D">
        <w:rPr>
          <w:rFonts w:ascii="Arial" w:hAnsi="Arial" w:cs="Arial"/>
          <w:sz w:val="20"/>
          <w:szCs w:val="20"/>
        </w:rPr>
        <w:t xml:space="preserve"> in Hydra. </w:t>
      </w:r>
      <w:r w:rsidRPr="005B6E3D">
        <w:rPr>
          <w:rFonts w:ascii="Arial" w:hAnsi="Arial" w:cs="Arial"/>
          <w:i/>
          <w:iCs/>
          <w:sz w:val="20"/>
          <w:szCs w:val="20"/>
        </w:rPr>
        <w:t>General and Comparative Endocrinology</w:t>
      </w:r>
      <w:r w:rsidRPr="005B6E3D">
        <w:rPr>
          <w:rFonts w:ascii="Arial" w:hAnsi="Arial" w:cs="Arial"/>
          <w:sz w:val="20"/>
          <w:szCs w:val="20"/>
        </w:rPr>
        <w:t>, </w:t>
      </w:r>
      <w:r w:rsidRPr="005B6E3D">
        <w:rPr>
          <w:rFonts w:ascii="Arial" w:hAnsi="Arial" w:cs="Arial"/>
          <w:i/>
          <w:iCs/>
          <w:sz w:val="20"/>
          <w:szCs w:val="20"/>
        </w:rPr>
        <w:t>258</w:t>
      </w:r>
      <w:r w:rsidRPr="005B6E3D">
        <w:rPr>
          <w:rFonts w:ascii="Arial" w:hAnsi="Arial" w:cs="Arial"/>
          <w:sz w:val="20"/>
          <w:szCs w:val="20"/>
        </w:rPr>
        <w:t>, 70-78.</w:t>
      </w:r>
    </w:p>
    <w:p w14:paraId="72F98334"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Wegener, C., &amp; Chen, J. (2022).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A signalling: progress and new challenges from a paradigmatic pleiotropic invertebrate neuropeptide family.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920529.</w:t>
      </w:r>
    </w:p>
    <w:p w14:paraId="692B4877"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Sun, Y., Fu, D., Liu, B., Wang, L., &amp; Chen, H. (2022). Functional characterization of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C (PISCF/AST) and juvenile hormone acid O-methyltransferase in </w:t>
      </w:r>
      <w:commentRangeStart w:id="13"/>
      <w:proofErr w:type="spellStart"/>
      <w:r w:rsidRPr="005B6E3D">
        <w:rPr>
          <w:rFonts w:ascii="Arial" w:hAnsi="Arial" w:cs="Arial"/>
          <w:sz w:val="20"/>
          <w:szCs w:val="20"/>
        </w:rPr>
        <w:t>Dendroctonus</w:t>
      </w:r>
      <w:proofErr w:type="spellEnd"/>
      <w:r w:rsidRPr="005B6E3D">
        <w:rPr>
          <w:rFonts w:ascii="Arial" w:hAnsi="Arial" w:cs="Arial"/>
          <w:sz w:val="20"/>
          <w:szCs w:val="20"/>
        </w:rPr>
        <w:t xml:space="preserve"> </w:t>
      </w:r>
      <w:proofErr w:type="spellStart"/>
      <w:r w:rsidRPr="005B6E3D">
        <w:rPr>
          <w:rFonts w:ascii="Arial" w:hAnsi="Arial" w:cs="Arial"/>
          <w:sz w:val="20"/>
          <w:szCs w:val="20"/>
        </w:rPr>
        <w:t>armandi</w:t>
      </w:r>
      <w:commentRangeEnd w:id="13"/>
      <w:proofErr w:type="spellEnd"/>
      <w:r w:rsidR="00AE542A">
        <w:rPr>
          <w:rStyle w:val="CommentReference"/>
          <w:rFonts w:ascii="Times New Roman" w:eastAsia="Times New Roman" w:hAnsi="Times New Roman" w:cs="Times New Roman"/>
          <w:kern w:val="0"/>
          <w:lang w:val="nb-NO" w:eastAsia="nb-NO"/>
        </w:rPr>
        <w:commentReference w:id="13"/>
      </w:r>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23</w:t>
      </w:r>
      <w:r w:rsidRPr="005B6E3D">
        <w:rPr>
          <w:rFonts w:ascii="Arial" w:hAnsi="Arial" w:cs="Arial"/>
          <w:sz w:val="20"/>
          <w:szCs w:val="20"/>
        </w:rPr>
        <w:t>(5), 2749.</w:t>
      </w:r>
    </w:p>
    <w:p w14:paraId="3C87F0B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Kahveci, K., Düzgün, M. B., </w:t>
      </w:r>
      <w:proofErr w:type="spellStart"/>
      <w:r w:rsidRPr="005B6E3D">
        <w:rPr>
          <w:rFonts w:ascii="Arial" w:hAnsi="Arial" w:cs="Arial"/>
          <w:sz w:val="20"/>
          <w:szCs w:val="20"/>
        </w:rPr>
        <w:t>Atis</w:t>
      </w:r>
      <w:proofErr w:type="spellEnd"/>
      <w:r w:rsidRPr="005B6E3D">
        <w:rPr>
          <w:rFonts w:ascii="Arial" w:hAnsi="Arial" w:cs="Arial"/>
          <w:sz w:val="20"/>
          <w:szCs w:val="20"/>
        </w:rPr>
        <w:t xml:space="preserve">, A. E., Yılmaz, A., </w:t>
      </w:r>
      <w:proofErr w:type="spellStart"/>
      <w:r w:rsidRPr="005B6E3D">
        <w:rPr>
          <w:rFonts w:ascii="Arial" w:hAnsi="Arial" w:cs="Arial"/>
          <w:sz w:val="20"/>
          <w:szCs w:val="20"/>
        </w:rPr>
        <w:t>Shahraki</w:t>
      </w:r>
      <w:proofErr w:type="spellEnd"/>
      <w:r w:rsidRPr="005B6E3D">
        <w:rPr>
          <w:rFonts w:ascii="Arial" w:hAnsi="Arial" w:cs="Arial"/>
          <w:sz w:val="20"/>
          <w:szCs w:val="20"/>
        </w:rPr>
        <w:t xml:space="preserve">, A., Coskun, B., et al. (2024). Discovering </w:t>
      </w:r>
      <w:proofErr w:type="spellStart"/>
      <w:r w:rsidRPr="005B6E3D">
        <w:rPr>
          <w:rFonts w:ascii="Arial" w:hAnsi="Arial" w:cs="Arial"/>
          <w:sz w:val="20"/>
          <w:szCs w:val="20"/>
        </w:rPr>
        <w:t>allatostatin</w:t>
      </w:r>
      <w:proofErr w:type="spellEnd"/>
      <w:r w:rsidRPr="005B6E3D">
        <w:rPr>
          <w:rFonts w:ascii="Arial" w:hAnsi="Arial" w:cs="Arial"/>
          <w:sz w:val="20"/>
          <w:szCs w:val="20"/>
        </w:rPr>
        <w:t xml:space="preserve"> type-C receptor specific agonists.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(1), 3965.</w:t>
      </w:r>
    </w:p>
    <w:p w14:paraId="4629B2FB"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Song, Q., &amp; Stanley, D. (2024). Neuropeptide actions in arthropod biology. </w:t>
      </w:r>
      <w:r w:rsidRPr="005B6E3D">
        <w:rPr>
          <w:rFonts w:ascii="Arial" w:hAnsi="Arial" w:cs="Arial"/>
          <w:i/>
          <w:iCs/>
          <w:sz w:val="20"/>
          <w:szCs w:val="20"/>
        </w:rPr>
        <w:t>Frontiers in Endocrinology</w:t>
      </w:r>
      <w:r w:rsidRPr="005B6E3D">
        <w:rPr>
          <w:rFonts w:ascii="Arial" w:hAnsi="Arial" w:cs="Arial"/>
          <w:sz w:val="20"/>
          <w:szCs w:val="20"/>
        </w:rPr>
        <w:t>, </w:t>
      </w:r>
      <w:r w:rsidRPr="005B6E3D">
        <w:rPr>
          <w:rFonts w:ascii="Arial" w:hAnsi="Arial" w:cs="Arial"/>
          <w:i/>
          <w:iCs/>
          <w:sz w:val="20"/>
          <w:szCs w:val="20"/>
        </w:rPr>
        <w:t>15</w:t>
      </w:r>
      <w:r w:rsidRPr="005B6E3D">
        <w:rPr>
          <w:rFonts w:ascii="Arial" w:hAnsi="Arial" w:cs="Arial"/>
          <w:sz w:val="20"/>
          <w:szCs w:val="20"/>
        </w:rPr>
        <w:t>, 1387176.</w:t>
      </w:r>
    </w:p>
    <w:p w14:paraId="48C42A9D"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Liu, S., Tian, H., Xu, Y., &amp; Wang, H. (2023). Juvenile hormone regulates silk gene expression by m6A RNA methylation. </w:t>
      </w:r>
      <w:r w:rsidRPr="005B6E3D">
        <w:rPr>
          <w:rFonts w:ascii="Arial" w:hAnsi="Arial" w:cs="Arial"/>
          <w:i/>
          <w:iCs/>
          <w:sz w:val="20"/>
          <w:szCs w:val="20"/>
        </w:rPr>
        <w:t>Cellular and Molecular Life Sciences</w:t>
      </w:r>
      <w:r w:rsidRPr="005B6E3D">
        <w:rPr>
          <w:rFonts w:ascii="Arial" w:hAnsi="Arial" w:cs="Arial"/>
          <w:sz w:val="20"/>
          <w:szCs w:val="20"/>
        </w:rPr>
        <w:t>, </w:t>
      </w:r>
      <w:r w:rsidRPr="005B6E3D">
        <w:rPr>
          <w:rFonts w:ascii="Arial" w:hAnsi="Arial" w:cs="Arial"/>
          <w:i/>
          <w:iCs/>
          <w:sz w:val="20"/>
          <w:szCs w:val="20"/>
        </w:rPr>
        <w:t>80</w:t>
      </w:r>
      <w:r w:rsidRPr="005B6E3D">
        <w:rPr>
          <w:rFonts w:ascii="Arial" w:hAnsi="Arial" w:cs="Arial"/>
          <w:sz w:val="20"/>
          <w:szCs w:val="20"/>
        </w:rPr>
        <w:t>(11), 331.</w:t>
      </w:r>
    </w:p>
    <w:p w14:paraId="28A3A44D" w14:textId="77777777" w:rsidR="00D3265E" w:rsidRPr="005B6E3D" w:rsidRDefault="00D3265E" w:rsidP="007B1369">
      <w:pPr>
        <w:pStyle w:val="ListParagraph"/>
        <w:numPr>
          <w:ilvl w:val="0"/>
          <w:numId w:val="34"/>
        </w:numPr>
        <w:tabs>
          <w:tab w:val="left" w:pos="4678"/>
        </w:tabs>
        <w:jc w:val="both"/>
        <w:rPr>
          <w:rFonts w:ascii="Arial" w:hAnsi="Arial" w:cs="Arial"/>
          <w:sz w:val="20"/>
          <w:szCs w:val="20"/>
        </w:rPr>
      </w:pPr>
      <w:r w:rsidRPr="005B6E3D">
        <w:rPr>
          <w:rFonts w:ascii="Arial" w:hAnsi="Arial" w:cs="Arial"/>
          <w:sz w:val="20"/>
          <w:szCs w:val="20"/>
        </w:rPr>
        <w:t>Li, Y., Chen, X., Tang, X., Zhang, C., Wang, L., Chen, P., ... &amp; Lu, C. (2015). DNA synthesis during endomitosis is stimulated by insulin via the PI3K/</w:t>
      </w:r>
      <w:proofErr w:type="spellStart"/>
      <w:r w:rsidRPr="005B6E3D">
        <w:rPr>
          <w:rFonts w:ascii="Arial" w:hAnsi="Arial" w:cs="Arial"/>
          <w:sz w:val="20"/>
          <w:szCs w:val="20"/>
        </w:rPr>
        <w:t>Akt</w:t>
      </w:r>
      <w:proofErr w:type="spellEnd"/>
      <w:r w:rsidRPr="005B6E3D">
        <w:rPr>
          <w:rFonts w:ascii="Arial" w:hAnsi="Arial" w:cs="Arial"/>
          <w:sz w:val="20"/>
          <w:szCs w:val="20"/>
        </w:rPr>
        <w:t xml:space="preserve"> and TOR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pathways in the silk gland cells of </w:t>
      </w:r>
      <w:commentRangeStart w:id="14"/>
      <w:r w:rsidRPr="005B6E3D">
        <w:rPr>
          <w:rFonts w:ascii="Arial" w:hAnsi="Arial" w:cs="Arial"/>
          <w:sz w:val="20"/>
          <w:szCs w:val="20"/>
        </w:rPr>
        <w:t>Bombyx mori</w:t>
      </w:r>
      <w:commentRangeEnd w:id="14"/>
      <w:r w:rsidR="007B1369">
        <w:rPr>
          <w:rStyle w:val="CommentReference"/>
          <w:rFonts w:ascii="Times New Roman" w:eastAsia="Times New Roman" w:hAnsi="Times New Roman" w:cs="Times New Roman"/>
          <w:kern w:val="0"/>
          <w:lang w:val="nb-NO" w:eastAsia="nb-NO"/>
        </w:rPr>
        <w:commentReference w:id="14"/>
      </w:r>
      <w:r w:rsidRPr="005B6E3D">
        <w:rPr>
          <w:rFonts w:ascii="Arial" w:hAnsi="Arial" w:cs="Arial"/>
          <w:sz w:val="20"/>
          <w:szCs w:val="20"/>
        </w:rPr>
        <w:t>. </w:t>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16</w:t>
      </w:r>
      <w:r w:rsidRPr="005B6E3D">
        <w:rPr>
          <w:rFonts w:ascii="Arial" w:hAnsi="Arial" w:cs="Arial"/>
          <w:sz w:val="20"/>
          <w:szCs w:val="20"/>
        </w:rPr>
        <w:t>(3), 6266-6280.</w:t>
      </w:r>
    </w:p>
    <w:p w14:paraId="28E2DA97"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Wu, X., Chen, X., Ye, A., Cao, J., He, R., Pan, M., ... &amp; Zhou, W. (2022). Multi-tissue metabolomic profiling reveals potential mechanisms of cocoon yield in silkworms (Bombyx mori) fed formula feed versus mulberry leaves. </w:t>
      </w:r>
      <w:r w:rsidRPr="005B6E3D">
        <w:rPr>
          <w:rFonts w:ascii="Arial" w:hAnsi="Arial" w:cs="Arial"/>
          <w:i/>
          <w:iCs/>
          <w:sz w:val="20"/>
          <w:szCs w:val="20"/>
        </w:rPr>
        <w:t>Frontiers in Molecular Biosciences</w:t>
      </w:r>
      <w:r w:rsidRPr="005B6E3D">
        <w:rPr>
          <w:rFonts w:ascii="Arial" w:hAnsi="Arial" w:cs="Arial"/>
          <w:sz w:val="20"/>
          <w:szCs w:val="20"/>
        </w:rPr>
        <w:t>, </w:t>
      </w:r>
      <w:r w:rsidRPr="005B6E3D">
        <w:rPr>
          <w:rFonts w:ascii="Arial" w:hAnsi="Arial" w:cs="Arial"/>
          <w:i/>
          <w:iCs/>
          <w:sz w:val="20"/>
          <w:szCs w:val="20"/>
        </w:rPr>
        <w:t>9</w:t>
      </w:r>
      <w:r w:rsidRPr="005B6E3D">
        <w:rPr>
          <w:rFonts w:ascii="Arial" w:hAnsi="Arial" w:cs="Arial"/>
          <w:sz w:val="20"/>
          <w:szCs w:val="20"/>
        </w:rPr>
        <w:t>, 977047.</w:t>
      </w:r>
    </w:p>
    <w:p w14:paraId="21E8AAA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Toprak, U. (2020). The role of peptide hormones in insect lipid metabolism.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11</w:t>
      </w:r>
      <w:r w:rsidRPr="005B6E3D">
        <w:rPr>
          <w:rFonts w:ascii="Arial" w:hAnsi="Arial" w:cs="Arial"/>
          <w:sz w:val="20"/>
          <w:szCs w:val="20"/>
        </w:rPr>
        <w:t>, 434.</w:t>
      </w:r>
    </w:p>
    <w:p w14:paraId="75E85DD3"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J., Zhang, X., Zhang, H., Li, J., Li, W., &amp; Liu, C. (2023a). Overexpression of BmJHBPd2 repressed silk synthesis by inhibiting the JH/Kr-h1 </w:t>
      </w:r>
      <w:proofErr w:type="spellStart"/>
      <w:r w:rsidRPr="005B6E3D">
        <w:rPr>
          <w:rFonts w:ascii="Arial" w:hAnsi="Arial" w:cs="Arial"/>
          <w:sz w:val="20"/>
          <w:szCs w:val="20"/>
        </w:rPr>
        <w:t>signaling</w:t>
      </w:r>
      <w:proofErr w:type="spellEnd"/>
      <w:r w:rsidRPr="005B6E3D">
        <w:rPr>
          <w:rFonts w:ascii="Arial" w:hAnsi="Arial" w:cs="Arial"/>
          <w:sz w:val="20"/>
          <w:szCs w:val="20"/>
        </w:rPr>
        <w:t xml:space="preserve"> pathway in </w:t>
      </w:r>
      <w:commentRangeStart w:id="15"/>
      <w:r w:rsidRPr="005B6E3D">
        <w:rPr>
          <w:rFonts w:ascii="Arial" w:hAnsi="Arial" w:cs="Arial"/>
          <w:sz w:val="20"/>
          <w:szCs w:val="20"/>
        </w:rPr>
        <w:t>Bombyx mori. </w:t>
      </w:r>
      <w:commentRangeEnd w:id="15"/>
      <w:r w:rsidR="007B1369">
        <w:rPr>
          <w:rStyle w:val="CommentReference"/>
          <w:rFonts w:ascii="Times New Roman" w:eastAsia="Times New Roman" w:hAnsi="Times New Roman" w:cs="Times New Roman"/>
          <w:kern w:val="0"/>
          <w:lang w:val="nb-NO" w:eastAsia="nb-NO"/>
        </w:rPr>
        <w:commentReference w:id="15"/>
      </w:r>
      <w:r w:rsidRPr="005B6E3D">
        <w:rPr>
          <w:rFonts w:ascii="Arial" w:hAnsi="Arial" w:cs="Arial"/>
          <w:i/>
          <w:iCs/>
          <w:sz w:val="20"/>
          <w:szCs w:val="20"/>
        </w:rPr>
        <w:t>International Journal of Molecular Sciences</w:t>
      </w:r>
      <w:r w:rsidRPr="005B6E3D">
        <w:rPr>
          <w:rFonts w:ascii="Arial" w:hAnsi="Arial" w:cs="Arial"/>
          <w:sz w:val="20"/>
          <w:szCs w:val="20"/>
        </w:rPr>
        <w:t>, </w:t>
      </w:r>
      <w:r w:rsidRPr="005B6E3D">
        <w:rPr>
          <w:rFonts w:ascii="Arial" w:hAnsi="Arial" w:cs="Arial"/>
          <w:i/>
          <w:iCs/>
          <w:sz w:val="20"/>
          <w:szCs w:val="20"/>
        </w:rPr>
        <w:t>24</w:t>
      </w:r>
      <w:r w:rsidRPr="005B6E3D">
        <w:rPr>
          <w:rFonts w:ascii="Arial" w:hAnsi="Arial" w:cs="Arial"/>
          <w:sz w:val="20"/>
          <w:szCs w:val="20"/>
        </w:rPr>
        <w:t>(16), 12650.</w:t>
      </w:r>
    </w:p>
    <w:p w14:paraId="6E646395"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Zhang, X., Zhang, J., Wu, K., Yang, H., Cheng, T., &amp; Liu, C. (2023b). Identification and Functions of JHE 6 Specifically Expressed in </w:t>
      </w:r>
      <w:commentRangeStart w:id="16"/>
      <w:r w:rsidRPr="005B6E3D">
        <w:rPr>
          <w:rFonts w:ascii="Arial" w:hAnsi="Arial" w:cs="Arial"/>
          <w:sz w:val="20"/>
          <w:szCs w:val="20"/>
        </w:rPr>
        <w:t xml:space="preserve">Bombyx mori </w:t>
      </w:r>
      <w:commentRangeEnd w:id="16"/>
      <w:r w:rsidR="007B1369">
        <w:rPr>
          <w:rStyle w:val="CommentReference"/>
          <w:rFonts w:ascii="Times New Roman" w:eastAsia="Times New Roman" w:hAnsi="Times New Roman" w:cs="Times New Roman"/>
          <w:kern w:val="0"/>
          <w:lang w:val="nb-NO" w:eastAsia="nb-NO"/>
        </w:rPr>
        <w:commentReference w:id="16"/>
      </w:r>
      <w:r w:rsidRPr="005B6E3D">
        <w:rPr>
          <w:rFonts w:ascii="Arial" w:hAnsi="Arial" w:cs="Arial"/>
          <w:sz w:val="20"/>
          <w:szCs w:val="20"/>
        </w:rPr>
        <w:t>Silk Gland.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908.</w:t>
      </w:r>
    </w:p>
    <w:p w14:paraId="1C4D35C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lastRenderedPageBreak/>
        <w:t>Ma, Y., Zeng, W., Ba, Y., Luo, Q., Ou, Y., Liu, R., et al. (2022). A single-cell transcriptomic atlas characterizes the silk-producing organ in the silkworm. </w:t>
      </w:r>
      <w:r w:rsidRPr="005B6E3D">
        <w:rPr>
          <w:rFonts w:ascii="Arial" w:hAnsi="Arial" w:cs="Arial"/>
          <w:i/>
          <w:iCs/>
          <w:sz w:val="20"/>
          <w:szCs w:val="20"/>
        </w:rPr>
        <w:t>Nature Communications</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(1), 3316.</w:t>
      </w:r>
    </w:p>
    <w:p w14:paraId="5913F2D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Ma, Y., Li, Q., Tang, Y., Zhang, Z., Liu, R., Luo, Q., et al. (2024). The architecture of silk-secreting organs during the final larval stage of silkworms revealed by single-nucleus and spatial transcriptomics. </w:t>
      </w:r>
      <w:r w:rsidRPr="005B6E3D">
        <w:rPr>
          <w:rFonts w:ascii="Arial" w:hAnsi="Arial" w:cs="Arial"/>
          <w:i/>
          <w:iCs/>
          <w:sz w:val="20"/>
          <w:szCs w:val="20"/>
        </w:rPr>
        <w:t>Cell Reports</w:t>
      </w:r>
      <w:r w:rsidRPr="005B6E3D">
        <w:rPr>
          <w:rFonts w:ascii="Arial" w:hAnsi="Arial" w:cs="Arial"/>
          <w:sz w:val="20"/>
          <w:szCs w:val="20"/>
        </w:rPr>
        <w:t>, </w:t>
      </w:r>
      <w:r w:rsidRPr="005B6E3D">
        <w:rPr>
          <w:rFonts w:ascii="Arial" w:hAnsi="Arial" w:cs="Arial"/>
          <w:i/>
          <w:iCs/>
          <w:sz w:val="20"/>
          <w:szCs w:val="20"/>
        </w:rPr>
        <w:t>43</w:t>
      </w:r>
      <w:r w:rsidRPr="005B6E3D">
        <w:rPr>
          <w:rFonts w:ascii="Arial" w:hAnsi="Arial" w:cs="Arial"/>
          <w:sz w:val="20"/>
          <w:szCs w:val="20"/>
        </w:rPr>
        <w:t>(7).</w:t>
      </w:r>
    </w:p>
    <w:p w14:paraId="6D5932F8"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Qian, W., Yang, Y., Li, Z., Wu, Y., He, X., Li, H., &amp; Cheng, D. (2021). Enhanced </w:t>
      </w:r>
      <w:proofErr w:type="spellStart"/>
      <w:r w:rsidRPr="005B6E3D">
        <w:rPr>
          <w:rFonts w:ascii="Arial" w:hAnsi="Arial" w:cs="Arial"/>
          <w:sz w:val="20"/>
          <w:szCs w:val="20"/>
        </w:rPr>
        <w:t>Myc</w:t>
      </w:r>
      <w:proofErr w:type="spellEnd"/>
      <w:r w:rsidRPr="005B6E3D">
        <w:rPr>
          <w:rFonts w:ascii="Arial" w:hAnsi="Arial" w:cs="Arial"/>
          <w:sz w:val="20"/>
          <w:szCs w:val="20"/>
        </w:rPr>
        <w:t xml:space="preserve"> expression in silkworm silk gland promotes DNA replication and silk production.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12</w:t>
      </w:r>
      <w:r w:rsidRPr="005B6E3D">
        <w:rPr>
          <w:rFonts w:ascii="Arial" w:hAnsi="Arial" w:cs="Arial"/>
          <w:sz w:val="20"/>
          <w:szCs w:val="20"/>
        </w:rPr>
        <w:t>(4), 361.</w:t>
      </w:r>
    </w:p>
    <w:p w14:paraId="12054BC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Lye, P. Y., Shiraki, C., Fukushima, Y., Takaki, K., Liew, M. W. O., Yamamoto, M., et al. (2024). Cytotoxin-mediated silk gland organ dysfunction diverts resources to enhance silkworm fecundity by potentiating nutrient-sensing IIS/TOR pathways. </w:t>
      </w:r>
      <w:proofErr w:type="spellStart"/>
      <w:r w:rsidRPr="005B6E3D">
        <w:rPr>
          <w:rFonts w:ascii="Arial" w:hAnsi="Arial" w:cs="Arial"/>
          <w:i/>
          <w:iCs/>
          <w:sz w:val="20"/>
          <w:szCs w:val="20"/>
        </w:rPr>
        <w:t>Iscience</w:t>
      </w:r>
      <w:proofErr w:type="spellEnd"/>
      <w:r w:rsidRPr="005B6E3D">
        <w:rPr>
          <w:rFonts w:ascii="Arial" w:hAnsi="Arial" w:cs="Arial"/>
          <w:sz w:val="20"/>
          <w:szCs w:val="20"/>
        </w:rPr>
        <w:t>, </w:t>
      </w:r>
      <w:r w:rsidRPr="005B6E3D">
        <w:rPr>
          <w:rFonts w:ascii="Arial" w:hAnsi="Arial" w:cs="Arial"/>
          <w:i/>
          <w:iCs/>
          <w:sz w:val="20"/>
          <w:szCs w:val="20"/>
        </w:rPr>
        <w:t>27</w:t>
      </w:r>
      <w:r w:rsidRPr="005B6E3D">
        <w:rPr>
          <w:rFonts w:ascii="Arial" w:hAnsi="Arial" w:cs="Arial"/>
          <w:sz w:val="20"/>
          <w:szCs w:val="20"/>
        </w:rPr>
        <w:t>(2).</w:t>
      </w:r>
    </w:p>
    <w:p w14:paraId="70380819"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Denlinger, D. L. (2022). Exploiting tools for manipulating insect diapause. </w:t>
      </w:r>
      <w:r w:rsidRPr="005B6E3D">
        <w:rPr>
          <w:rFonts w:ascii="Arial" w:hAnsi="Arial" w:cs="Arial"/>
          <w:i/>
          <w:iCs/>
          <w:sz w:val="20"/>
          <w:szCs w:val="20"/>
        </w:rPr>
        <w:t>Bulletin of Entomological Research</w:t>
      </w:r>
      <w:r w:rsidRPr="005B6E3D">
        <w:rPr>
          <w:rFonts w:ascii="Arial" w:hAnsi="Arial" w:cs="Arial"/>
          <w:sz w:val="20"/>
          <w:szCs w:val="20"/>
        </w:rPr>
        <w:t>, </w:t>
      </w:r>
      <w:r w:rsidRPr="005B6E3D">
        <w:rPr>
          <w:rFonts w:ascii="Arial" w:hAnsi="Arial" w:cs="Arial"/>
          <w:i/>
          <w:iCs/>
          <w:sz w:val="20"/>
          <w:szCs w:val="20"/>
        </w:rPr>
        <w:t>112</w:t>
      </w:r>
      <w:r w:rsidRPr="005B6E3D">
        <w:rPr>
          <w:rFonts w:ascii="Arial" w:hAnsi="Arial" w:cs="Arial"/>
          <w:sz w:val="20"/>
          <w:szCs w:val="20"/>
        </w:rPr>
        <w:t>(6), 715-723.</w:t>
      </w:r>
    </w:p>
    <w:p w14:paraId="309B90E2"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Xu, H., &amp; </w:t>
      </w:r>
      <w:proofErr w:type="spellStart"/>
      <w:r w:rsidRPr="005B6E3D">
        <w:rPr>
          <w:rFonts w:ascii="Arial" w:hAnsi="Arial" w:cs="Arial"/>
          <w:sz w:val="20"/>
          <w:szCs w:val="20"/>
        </w:rPr>
        <w:t>O'Brochta</w:t>
      </w:r>
      <w:proofErr w:type="spellEnd"/>
      <w:r w:rsidRPr="005B6E3D">
        <w:rPr>
          <w:rFonts w:ascii="Arial" w:hAnsi="Arial" w:cs="Arial"/>
          <w:sz w:val="20"/>
          <w:szCs w:val="20"/>
        </w:rPr>
        <w:t>, D. A. (2015). Advanced technologies for genetically manipulating the silkworm Bombyx mori, a model Lepidopteran insect. </w:t>
      </w:r>
      <w:r w:rsidRPr="005B6E3D">
        <w:rPr>
          <w:rFonts w:ascii="Arial" w:hAnsi="Arial" w:cs="Arial"/>
          <w:i/>
          <w:iCs/>
          <w:sz w:val="20"/>
          <w:szCs w:val="20"/>
        </w:rPr>
        <w:t>Proceedings of the Royal Society B: Biological Sciences</w:t>
      </w:r>
      <w:r w:rsidRPr="005B6E3D">
        <w:rPr>
          <w:rFonts w:ascii="Arial" w:hAnsi="Arial" w:cs="Arial"/>
          <w:sz w:val="20"/>
          <w:szCs w:val="20"/>
        </w:rPr>
        <w:t>, </w:t>
      </w:r>
      <w:r w:rsidRPr="005B6E3D">
        <w:rPr>
          <w:rFonts w:ascii="Arial" w:hAnsi="Arial" w:cs="Arial"/>
          <w:i/>
          <w:iCs/>
          <w:sz w:val="20"/>
          <w:szCs w:val="20"/>
        </w:rPr>
        <w:t>282</w:t>
      </w:r>
      <w:r w:rsidRPr="005B6E3D">
        <w:rPr>
          <w:rFonts w:ascii="Arial" w:hAnsi="Arial" w:cs="Arial"/>
          <w:sz w:val="20"/>
          <w:szCs w:val="20"/>
        </w:rPr>
        <w:t>(1810), 20150487.</w:t>
      </w:r>
    </w:p>
    <w:p w14:paraId="5B11F3DC"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Yu, B., Dong, S., Jiang, X., Qiao, L., Chen, J., Li, T., et al. (2023). Cas9-mediated gene editing using receptor-mediated ovary transduction of cargo (</w:t>
      </w:r>
      <w:proofErr w:type="spellStart"/>
      <w:r w:rsidRPr="005B6E3D">
        <w:rPr>
          <w:rFonts w:ascii="Arial" w:hAnsi="Arial" w:cs="Arial"/>
          <w:sz w:val="20"/>
          <w:szCs w:val="20"/>
        </w:rPr>
        <w:t>ReMOT</w:t>
      </w:r>
      <w:proofErr w:type="spellEnd"/>
      <w:r w:rsidRPr="005B6E3D">
        <w:rPr>
          <w:rFonts w:ascii="Arial" w:hAnsi="Arial" w:cs="Arial"/>
          <w:sz w:val="20"/>
          <w:szCs w:val="20"/>
        </w:rPr>
        <w:t xml:space="preserve">) control in </w:t>
      </w:r>
      <w:commentRangeStart w:id="17"/>
      <w:r w:rsidRPr="005B6E3D">
        <w:rPr>
          <w:rFonts w:ascii="Arial" w:hAnsi="Arial" w:cs="Arial"/>
          <w:sz w:val="20"/>
          <w:szCs w:val="20"/>
        </w:rPr>
        <w:t>Bombyx mori</w:t>
      </w:r>
      <w:commentRangeEnd w:id="17"/>
      <w:r w:rsidR="007B1369">
        <w:rPr>
          <w:rStyle w:val="CommentReference"/>
          <w:rFonts w:ascii="Times New Roman" w:eastAsia="Times New Roman" w:hAnsi="Times New Roman" w:cs="Times New Roman"/>
          <w:kern w:val="0"/>
          <w:lang w:val="nb-NO" w:eastAsia="nb-NO"/>
        </w:rPr>
        <w:commentReference w:id="17"/>
      </w:r>
      <w:r w:rsidRPr="005B6E3D">
        <w:rPr>
          <w:rFonts w:ascii="Arial" w:hAnsi="Arial" w:cs="Arial"/>
          <w:sz w:val="20"/>
          <w:szCs w:val="20"/>
        </w:rPr>
        <w:t>. </w:t>
      </w:r>
      <w:r w:rsidRPr="005B6E3D">
        <w:rPr>
          <w:rFonts w:ascii="Arial" w:hAnsi="Arial" w:cs="Arial"/>
          <w:i/>
          <w:iCs/>
          <w:sz w:val="20"/>
          <w:szCs w:val="20"/>
        </w:rPr>
        <w:t>Insects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(12), 932.</w:t>
      </w:r>
    </w:p>
    <w:p w14:paraId="5AC51CE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Yamada, N., Mise, Y., Yonemura, N., Uchino, K., Zabelina, V., Sezutsu, H., et al. (2022). Abolition of egg diapause by ablation of suboesophageal ganglion in parental females is compatible with genetic engineering methods. </w:t>
      </w:r>
      <w:r w:rsidRPr="005B6E3D">
        <w:rPr>
          <w:rFonts w:ascii="Arial" w:hAnsi="Arial" w:cs="Arial"/>
          <w:i/>
          <w:iCs/>
          <w:sz w:val="20"/>
          <w:szCs w:val="20"/>
        </w:rPr>
        <w:t>Journal of Insect Physiology</w:t>
      </w:r>
      <w:r w:rsidRPr="005B6E3D">
        <w:rPr>
          <w:rFonts w:ascii="Arial" w:hAnsi="Arial" w:cs="Arial"/>
          <w:sz w:val="20"/>
          <w:szCs w:val="20"/>
        </w:rPr>
        <w:t>, </w:t>
      </w:r>
      <w:r w:rsidRPr="005B6E3D">
        <w:rPr>
          <w:rFonts w:ascii="Arial" w:hAnsi="Arial" w:cs="Arial"/>
          <w:i/>
          <w:iCs/>
          <w:sz w:val="20"/>
          <w:szCs w:val="20"/>
        </w:rPr>
        <w:t>142</w:t>
      </w:r>
      <w:r w:rsidRPr="005B6E3D">
        <w:rPr>
          <w:rFonts w:ascii="Arial" w:hAnsi="Arial" w:cs="Arial"/>
          <w:sz w:val="20"/>
          <w:szCs w:val="20"/>
        </w:rPr>
        <w:t>, 104438.</w:t>
      </w:r>
    </w:p>
    <w:p w14:paraId="56F1DB66"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Zhang, Q., Nachman, R. J., Kaczmarek, K., Zabrocki, J., &amp; Denlinger, D. L. (2011). Disruption of insect diapause using agonists and an antagonist of diapause hormone. </w:t>
      </w:r>
      <w:r w:rsidRPr="005B6E3D">
        <w:rPr>
          <w:rFonts w:ascii="Arial" w:hAnsi="Arial" w:cs="Arial"/>
          <w:i/>
          <w:iCs/>
          <w:sz w:val="20"/>
          <w:szCs w:val="20"/>
        </w:rPr>
        <w:t>Proceedings of the National Academy of Sciences</w:t>
      </w:r>
      <w:r w:rsidRPr="005B6E3D">
        <w:rPr>
          <w:rFonts w:ascii="Arial" w:hAnsi="Arial" w:cs="Arial"/>
          <w:sz w:val="20"/>
          <w:szCs w:val="20"/>
        </w:rPr>
        <w:t>, </w:t>
      </w:r>
      <w:r w:rsidRPr="005B6E3D">
        <w:rPr>
          <w:rFonts w:ascii="Arial" w:hAnsi="Arial" w:cs="Arial"/>
          <w:i/>
          <w:iCs/>
          <w:sz w:val="20"/>
          <w:szCs w:val="20"/>
        </w:rPr>
        <w:t>108</w:t>
      </w:r>
      <w:r w:rsidRPr="005B6E3D">
        <w:rPr>
          <w:rFonts w:ascii="Arial" w:hAnsi="Arial" w:cs="Arial"/>
          <w:sz w:val="20"/>
          <w:szCs w:val="20"/>
        </w:rPr>
        <w:t>(41), 16922-16926.</w:t>
      </w:r>
    </w:p>
    <w:p w14:paraId="177AB4F8" w14:textId="77777777" w:rsidR="00D3265E" w:rsidRPr="005B6E3D" w:rsidRDefault="00D3265E" w:rsidP="00D3265E">
      <w:pPr>
        <w:pStyle w:val="ListParagraph"/>
        <w:numPr>
          <w:ilvl w:val="0"/>
          <w:numId w:val="34"/>
        </w:numPr>
        <w:jc w:val="both"/>
        <w:rPr>
          <w:rFonts w:ascii="Arial" w:hAnsi="Arial" w:cs="Arial"/>
          <w:sz w:val="20"/>
          <w:szCs w:val="20"/>
        </w:rPr>
      </w:pPr>
      <w:proofErr w:type="spellStart"/>
      <w:r w:rsidRPr="005B6E3D">
        <w:rPr>
          <w:rFonts w:ascii="Arial" w:hAnsi="Arial" w:cs="Arial"/>
          <w:sz w:val="20"/>
          <w:szCs w:val="20"/>
        </w:rPr>
        <w:t>Suraporn</w:t>
      </w:r>
      <w:proofErr w:type="spellEnd"/>
      <w:r w:rsidRPr="005B6E3D">
        <w:rPr>
          <w:rFonts w:ascii="Arial" w:hAnsi="Arial" w:cs="Arial"/>
          <w:sz w:val="20"/>
          <w:szCs w:val="20"/>
        </w:rPr>
        <w:t xml:space="preserve">, S., &amp; Terenius, O. (2021). Supplementation of Lactobacillus casei reduces the mortality of </w:t>
      </w:r>
      <w:commentRangeStart w:id="18"/>
      <w:r w:rsidRPr="005B6E3D">
        <w:rPr>
          <w:rFonts w:ascii="Arial" w:hAnsi="Arial" w:cs="Arial"/>
          <w:sz w:val="20"/>
          <w:szCs w:val="20"/>
        </w:rPr>
        <w:t xml:space="preserve">Bombyx mori </w:t>
      </w:r>
      <w:commentRangeEnd w:id="18"/>
      <w:r w:rsidR="007B1369">
        <w:rPr>
          <w:rStyle w:val="CommentReference"/>
          <w:rFonts w:ascii="Times New Roman" w:eastAsia="Times New Roman" w:hAnsi="Times New Roman" w:cs="Times New Roman"/>
          <w:kern w:val="0"/>
          <w:lang w:val="nb-NO" w:eastAsia="nb-NO"/>
        </w:rPr>
        <w:commentReference w:id="18"/>
      </w:r>
      <w:r w:rsidRPr="005B6E3D">
        <w:rPr>
          <w:rFonts w:ascii="Arial" w:hAnsi="Arial" w:cs="Arial"/>
          <w:sz w:val="20"/>
          <w:szCs w:val="20"/>
        </w:rPr>
        <w:t xml:space="preserve">larvae challenged by </w:t>
      </w:r>
      <w:commentRangeStart w:id="19"/>
      <w:r w:rsidRPr="005B6E3D">
        <w:rPr>
          <w:rFonts w:ascii="Arial" w:hAnsi="Arial" w:cs="Arial"/>
          <w:sz w:val="20"/>
          <w:szCs w:val="20"/>
        </w:rPr>
        <w:t xml:space="preserve">Nosema </w:t>
      </w:r>
      <w:proofErr w:type="spellStart"/>
      <w:r w:rsidRPr="005B6E3D">
        <w:rPr>
          <w:rFonts w:ascii="Arial" w:hAnsi="Arial" w:cs="Arial"/>
          <w:sz w:val="20"/>
          <w:szCs w:val="20"/>
        </w:rPr>
        <w:t>bombycis</w:t>
      </w:r>
      <w:commentRangeEnd w:id="19"/>
      <w:proofErr w:type="spellEnd"/>
      <w:r w:rsidR="00971144">
        <w:rPr>
          <w:rStyle w:val="CommentReference"/>
          <w:rFonts w:ascii="Times New Roman" w:eastAsia="Times New Roman" w:hAnsi="Times New Roman" w:cs="Times New Roman"/>
          <w:kern w:val="0"/>
          <w:lang w:val="nb-NO" w:eastAsia="nb-NO"/>
        </w:rPr>
        <w:commentReference w:id="19"/>
      </w:r>
      <w:r w:rsidRPr="005B6E3D">
        <w:rPr>
          <w:rFonts w:ascii="Arial" w:hAnsi="Arial" w:cs="Arial"/>
          <w:sz w:val="20"/>
          <w:szCs w:val="20"/>
        </w:rPr>
        <w:t>. </w:t>
      </w:r>
      <w:r w:rsidRPr="005B6E3D">
        <w:rPr>
          <w:rFonts w:ascii="Arial" w:hAnsi="Arial" w:cs="Arial"/>
          <w:i/>
          <w:iCs/>
          <w:sz w:val="20"/>
          <w:szCs w:val="20"/>
        </w:rPr>
        <w:t>BMC Research Notes</w:t>
      </w:r>
      <w:r w:rsidRPr="005B6E3D">
        <w:rPr>
          <w:rFonts w:ascii="Arial" w:hAnsi="Arial" w:cs="Arial"/>
          <w:sz w:val="20"/>
          <w:szCs w:val="20"/>
        </w:rPr>
        <w:t>, </w:t>
      </w:r>
      <w:r w:rsidRPr="005B6E3D">
        <w:rPr>
          <w:rFonts w:ascii="Arial" w:hAnsi="Arial" w:cs="Arial"/>
          <w:i/>
          <w:iCs/>
          <w:sz w:val="20"/>
          <w:szCs w:val="20"/>
        </w:rPr>
        <w:t>14</w:t>
      </w:r>
      <w:r w:rsidRPr="005B6E3D">
        <w:rPr>
          <w:rFonts w:ascii="Arial" w:hAnsi="Arial" w:cs="Arial"/>
          <w:sz w:val="20"/>
          <w:szCs w:val="20"/>
        </w:rPr>
        <w:t>(1), 398.</w:t>
      </w:r>
    </w:p>
    <w:p w14:paraId="597D4A8F"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Cui, G. Z., &amp; Zhu, J. J. (2016). Pheromone-based pest management in China: past, present, and future prospects. </w:t>
      </w:r>
      <w:r w:rsidRPr="005B6E3D">
        <w:rPr>
          <w:rFonts w:ascii="Arial" w:hAnsi="Arial" w:cs="Arial"/>
          <w:i/>
          <w:iCs/>
          <w:sz w:val="20"/>
          <w:szCs w:val="20"/>
        </w:rPr>
        <w:t>Journal of Chemical Ecology</w:t>
      </w:r>
      <w:r w:rsidRPr="005B6E3D">
        <w:rPr>
          <w:rFonts w:ascii="Arial" w:hAnsi="Arial" w:cs="Arial"/>
          <w:sz w:val="20"/>
          <w:szCs w:val="20"/>
        </w:rPr>
        <w:t>, </w:t>
      </w:r>
      <w:r w:rsidRPr="005B6E3D">
        <w:rPr>
          <w:rFonts w:ascii="Arial" w:hAnsi="Arial" w:cs="Arial"/>
          <w:i/>
          <w:iCs/>
          <w:sz w:val="20"/>
          <w:szCs w:val="20"/>
        </w:rPr>
        <w:t>42</w:t>
      </w:r>
      <w:r w:rsidRPr="005B6E3D">
        <w:rPr>
          <w:rFonts w:ascii="Arial" w:hAnsi="Arial" w:cs="Arial"/>
          <w:sz w:val="20"/>
          <w:szCs w:val="20"/>
        </w:rPr>
        <w:t>(7), 557-570.</w:t>
      </w:r>
    </w:p>
    <w:p w14:paraId="36A24031" w14:textId="77777777" w:rsidR="00D3265E" w:rsidRPr="005B6E3D" w:rsidRDefault="00D3265E" w:rsidP="00D3265E">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Lizana, P., Mutis, A., Quiroz, A., &amp; </w:t>
      </w:r>
      <w:proofErr w:type="spellStart"/>
      <w:r w:rsidRPr="005B6E3D">
        <w:rPr>
          <w:rFonts w:ascii="Arial" w:hAnsi="Arial" w:cs="Arial"/>
          <w:sz w:val="20"/>
          <w:szCs w:val="20"/>
        </w:rPr>
        <w:t>Venthur</w:t>
      </w:r>
      <w:proofErr w:type="spellEnd"/>
      <w:r w:rsidRPr="005B6E3D">
        <w:rPr>
          <w:rFonts w:ascii="Arial" w:hAnsi="Arial" w:cs="Arial"/>
          <w:sz w:val="20"/>
          <w:szCs w:val="20"/>
        </w:rPr>
        <w:t>, H. (2022). Insights into chemosensory proteins from non-model insects: Advances and perspectives in the context of pest management. </w:t>
      </w:r>
      <w:r w:rsidRPr="005B6E3D">
        <w:rPr>
          <w:rFonts w:ascii="Arial" w:hAnsi="Arial" w:cs="Arial"/>
          <w:i/>
          <w:iCs/>
          <w:sz w:val="20"/>
          <w:szCs w:val="20"/>
        </w:rPr>
        <w:t>Frontiers in Physiology</w:t>
      </w:r>
      <w:r w:rsidRPr="005B6E3D">
        <w:rPr>
          <w:rFonts w:ascii="Arial" w:hAnsi="Arial" w:cs="Arial"/>
          <w:sz w:val="20"/>
          <w:szCs w:val="20"/>
        </w:rPr>
        <w:t>, </w:t>
      </w:r>
      <w:r w:rsidRPr="005B6E3D">
        <w:rPr>
          <w:rFonts w:ascii="Arial" w:hAnsi="Arial" w:cs="Arial"/>
          <w:i/>
          <w:iCs/>
          <w:sz w:val="20"/>
          <w:szCs w:val="20"/>
        </w:rPr>
        <w:t>13</w:t>
      </w:r>
      <w:r w:rsidRPr="005B6E3D">
        <w:rPr>
          <w:rFonts w:ascii="Arial" w:hAnsi="Arial" w:cs="Arial"/>
          <w:sz w:val="20"/>
          <w:szCs w:val="20"/>
        </w:rPr>
        <w:t>, 924750.</w:t>
      </w:r>
    </w:p>
    <w:p w14:paraId="64CFB3C2" w14:textId="77777777" w:rsidR="004D4277" w:rsidRPr="005B6E3D" w:rsidRDefault="00D3265E" w:rsidP="002F167C">
      <w:pPr>
        <w:pStyle w:val="ListParagraph"/>
        <w:numPr>
          <w:ilvl w:val="0"/>
          <w:numId w:val="34"/>
        </w:numPr>
        <w:jc w:val="both"/>
        <w:rPr>
          <w:rFonts w:ascii="Arial" w:hAnsi="Arial" w:cs="Arial"/>
          <w:sz w:val="20"/>
          <w:szCs w:val="20"/>
        </w:rPr>
      </w:pPr>
      <w:r w:rsidRPr="005B6E3D">
        <w:rPr>
          <w:rFonts w:ascii="Arial" w:hAnsi="Arial" w:cs="Arial"/>
          <w:sz w:val="20"/>
          <w:szCs w:val="20"/>
        </w:rPr>
        <w:t xml:space="preserve">Li, Y. J., Gu, F. M., Chen, H. C., Liu, Z. X., Song, W. M., Wu, F. A., et al. (2024). Binding characteristics of pheromone-binding protein 1 in </w:t>
      </w:r>
      <w:commentRangeStart w:id="20"/>
      <w:proofErr w:type="spellStart"/>
      <w:r w:rsidRPr="005B6E3D">
        <w:rPr>
          <w:rFonts w:ascii="Arial" w:hAnsi="Arial" w:cs="Arial"/>
          <w:sz w:val="20"/>
          <w:szCs w:val="20"/>
        </w:rPr>
        <w:t>Glyphodes</w:t>
      </w:r>
      <w:proofErr w:type="spellEnd"/>
      <w:r w:rsidRPr="005B6E3D">
        <w:rPr>
          <w:rFonts w:ascii="Arial" w:hAnsi="Arial" w:cs="Arial"/>
          <w:sz w:val="20"/>
          <w:szCs w:val="20"/>
        </w:rPr>
        <w:t xml:space="preserve"> </w:t>
      </w:r>
      <w:proofErr w:type="spellStart"/>
      <w:r w:rsidRPr="005B6E3D">
        <w:rPr>
          <w:rFonts w:ascii="Arial" w:hAnsi="Arial" w:cs="Arial"/>
          <w:sz w:val="20"/>
          <w:szCs w:val="20"/>
        </w:rPr>
        <w:t>pyloalis</w:t>
      </w:r>
      <w:proofErr w:type="spellEnd"/>
      <w:r w:rsidRPr="005B6E3D">
        <w:rPr>
          <w:rFonts w:ascii="Arial" w:hAnsi="Arial" w:cs="Arial"/>
          <w:sz w:val="20"/>
          <w:szCs w:val="20"/>
        </w:rPr>
        <w:t xml:space="preserve"> </w:t>
      </w:r>
      <w:commentRangeEnd w:id="20"/>
      <w:r w:rsidR="00971144">
        <w:rPr>
          <w:rStyle w:val="CommentReference"/>
          <w:rFonts w:ascii="Times New Roman" w:eastAsia="Times New Roman" w:hAnsi="Times New Roman" w:cs="Times New Roman"/>
          <w:kern w:val="0"/>
          <w:lang w:val="nb-NO" w:eastAsia="nb-NO"/>
        </w:rPr>
        <w:commentReference w:id="20"/>
      </w:r>
      <w:r w:rsidRPr="005B6E3D">
        <w:rPr>
          <w:rFonts w:ascii="Arial" w:hAnsi="Arial" w:cs="Arial"/>
          <w:sz w:val="20"/>
          <w:szCs w:val="20"/>
        </w:rPr>
        <w:t>to organophosphorus insecticides: Insights from computational and experimental approaches. </w:t>
      </w:r>
      <w:r w:rsidRPr="005B6E3D">
        <w:rPr>
          <w:rFonts w:ascii="Arial" w:hAnsi="Arial" w:cs="Arial"/>
          <w:i/>
          <w:iCs/>
          <w:sz w:val="20"/>
          <w:szCs w:val="20"/>
        </w:rPr>
        <w:t>International Journal of Biological Macromolecules</w:t>
      </w:r>
      <w:r w:rsidRPr="005B6E3D">
        <w:rPr>
          <w:rFonts w:ascii="Arial" w:hAnsi="Arial" w:cs="Arial"/>
          <w:sz w:val="20"/>
          <w:szCs w:val="20"/>
        </w:rPr>
        <w:t>, </w:t>
      </w:r>
      <w:r w:rsidRPr="005B6E3D">
        <w:rPr>
          <w:rFonts w:ascii="Arial" w:hAnsi="Arial" w:cs="Arial"/>
          <w:i/>
          <w:iCs/>
          <w:sz w:val="20"/>
          <w:szCs w:val="20"/>
        </w:rPr>
        <w:t>260</w:t>
      </w:r>
      <w:r w:rsidRPr="005B6E3D">
        <w:rPr>
          <w:rFonts w:ascii="Arial" w:hAnsi="Arial" w:cs="Arial"/>
          <w:sz w:val="20"/>
          <w:szCs w:val="20"/>
        </w:rPr>
        <w:t>, 129339.</w:t>
      </w:r>
    </w:p>
    <w:p w14:paraId="502A3FC6" w14:textId="2A1EAB85" w:rsidR="002F167C" w:rsidRPr="005B6E3D" w:rsidRDefault="002F167C" w:rsidP="002F167C">
      <w:pPr>
        <w:pStyle w:val="ListParagraph"/>
        <w:numPr>
          <w:ilvl w:val="0"/>
          <w:numId w:val="34"/>
        </w:numPr>
        <w:jc w:val="both"/>
        <w:rPr>
          <w:rFonts w:ascii="Arial" w:hAnsi="Arial" w:cs="Arial"/>
          <w:sz w:val="20"/>
          <w:szCs w:val="20"/>
        </w:rPr>
        <w:sectPr w:rsidR="002F167C" w:rsidRPr="005B6E3D" w:rsidSect="00825AA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FDD7966" w14:textId="77777777" w:rsidR="00B01FCD" w:rsidRPr="005B6E3D" w:rsidRDefault="00B01FCD" w:rsidP="00D3265E">
      <w:pPr>
        <w:pStyle w:val="Appendix"/>
        <w:spacing w:after="0"/>
        <w:jc w:val="both"/>
        <w:rPr>
          <w:rFonts w:ascii="Arial" w:hAnsi="Arial" w:cs="Arial"/>
          <w:b w:val="0"/>
          <w:sz w:val="20"/>
        </w:rPr>
      </w:pPr>
      <w:bookmarkStart w:id="21" w:name="_GoBack"/>
      <w:bookmarkEnd w:id="21"/>
    </w:p>
    <w:sectPr w:rsidR="00B01FCD" w:rsidRPr="005B6E3D" w:rsidSect="00825AA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9-12T17:09:00Z" w:initials="H">
    <w:p w14:paraId="596E959D" w14:textId="1605FD1C" w:rsidR="00971144" w:rsidRDefault="00971144">
      <w:pPr>
        <w:pStyle w:val="CommentText"/>
      </w:pPr>
      <w:r>
        <w:rPr>
          <w:rStyle w:val="CommentReference"/>
        </w:rPr>
        <w:annotationRef/>
      </w:r>
      <w:r>
        <w:t>Follow the journal guidelines with respect to references, and present them in alphabetical order.</w:t>
      </w:r>
    </w:p>
  </w:comment>
  <w:comment w:id="1" w:author="HP" w:date="2025-09-12T16:41:00Z" w:initials="H">
    <w:p w14:paraId="5A308947" w14:textId="226A52E7" w:rsidR="007B1369" w:rsidRPr="00463D6C" w:rsidRDefault="007B1369">
      <w:pPr>
        <w:pStyle w:val="CommentText"/>
        <w:rPr>
          <w:i/>
          <w:iCs/>
        </w:rPr>
      </w:pPr>
      <w:r>
        <w:rPr>
          <w:rStyle w:val="CommentReference"/>
        </w:rPr>
        <w:annotationRef/>
      </w:r>
      <w:r>
        <w:rPr>
          <w:i/>
          <w:iCs/>
        </w:rPr>
        <w:t>Bombyx mori</w:t>
      </w:r>
    </w:p>
  </w:comment>
  <w:comment w:id="3" w:author="HP" w:date="2025-09-12T16:42:00Z" w:initials="H">
    <w:p w14:paraId="63FB3FE2" w14:textId="0883F8B9" w:rsidR="007B1369" w:rsidRPr="00463D6C" w:rsidRDefault="007B1369">
      <w:pPr>
        <w:pStyle w:val="CommentText"/>
        <w:rPr>
          <w:i/>
          <w:iCs/>
        </w:rPr>
      </w:pPr>
      <w:r>
        <w:rPr>
          <w:rStyle w:val="CommentReference"/>
        </w:rPr>
        <w:annotationRef/>
      </w:r>
      <w:r>
        <w:t xml:space="preserve">Italics </w:t>
      </w:r>
    </w:p>
  </w:comment>
  <w:comment w:id="4" w:author="HP" w:date="2025-09-12T16:42:00Z" w:initials="H">
    <w:p w14:paraId="2037AC5E" w14:textId="2A6CAB28" w:rsidR="007B1369" w:rsidRPr="00463D6C" w:rsidRDefault="007B1369">
      <w:pPr>
        <w:pStyle w:val="CommentText"/>
        <w:rPr>
          <w:i/>
          <w:iCs/>
        </w:rPr>
      </w:pPr>
      <w:r>
        <w:rPr>
          <w:rStyle w:val="CommentReference"/>
        </w:rPr>
        <w:annotationRef/>
      </w:r>
      <w:r w:rsidRPr="00463D6C">
        <w:rPr>
          <w:i/>
          <w:iCs/>
        </w:rPr>
        <w:t>Maruca</w:t>
      </w:r>
      <w:r>
        <w:rPr>
          <w:i/>
          <w:iCs/>
        </w:rPr>
        <w:t xml:space="preserve"> vitrata</w:t>
      </w:r>
    </w:p>
  </w:comment>
  <w:comment w:id="5" w:author="HP" w:date="2025-09-12T16:43:00Z" w:initials="H">
    <w:p w14:paraId="25EEEC6F" w14:textId="4FB33907" w:rsidR="007B1369" w:rsidRPr="00463D6C" w:rsidRDefault="007B1369">
      <w:pPr>
        <w:pStyle w:val="CommentText"/>
        <w:rPr>
          <w:i/>
          <w:iCs/>
        </w:rPr>
      </w:pPr>
      <w:r>
        <w:rPr>
          <w:rStyle w:val="CommentReference"/>
        </w:rPr>
        <w:annotationRef/>
      </w:r>
      <w:r>
        <w:rPr>
          <w:i/>
          <w:iCs/>
        </w:rPr>
        <w:t>Spodoptera litura</w:t>
      </w:r>
    </w:p>
  </w:comment>
  <w:comment w:id="6" w:author="HP" w:date="2025-09-12T16:43:00Z" w:initials="H">
    <w:p w14:paraId="299FB443" w14:textId="080C29C3" w:rsidR="007B1369" w:rsidRPr="00463D6C" w:rsidRDefault="007B1369">
      <w:pPr>
        <w:pStyle w:val="CommentText"/>
        <w:rPr>
          <w:i/>
          <w:iCs/>
        </w:rPr>
      </w:pPr>
      <w:r>
        <w:rPr>
          <w:rStyle w:val="CommentReference"/>
        </w:rPr>
        <w:annotationRef/>
      </w:r>
      <w:r>
        <w:rPr>
          <w:i/>
          <w:iCs/>
        </w:rPr>
        <w:t>Bombyx mori</w:t>
      </w:r>
    </w:p>
  </w:comment>
  <w:comment w:id="7" w:author="HP" w:date="2025-09-12T16:44:00Z" w:initials="H">
    <w:p w14:paraId="55AACF5E" w14:textId="1FBDDA16" w:rsidR="007B1369" w:rsidRPr="00463D6C" w:rsidRDefault="007B1369">
      <w:pPr>
        <w:pStyle w:val="CommentText"/>
        <w:rPr>
          <w:i/>
          <w:iCs/>
        </w:rPr>
      </w:pPr>
      <w:r>
        <w:rPr>
          <w:rStyle w:val="CommentReference"/>
        </w:rPr>
        <w:annotationRef/>
      </w:r>
      <w:r>
        <w:t xml:space="preserve">Italics </w:t>
      </w:r>
      <w:r>
        <w:rPr>
          <w:i/>
          <w:iCs/>
        </w:rPr>
        <w:t>Bombyx mori</w:t>
      </w:r>
    </w:p>
  </w:comment>
  <w:comment w:id="8" w:author="HP" w:date="2025-09-12T16:44:00Z" w:initials="H">
    <w:p w14:paraId="5164507D" w14:textId="5933294D" w:rsidR="007B1369" w:rsidRPr="00463D6C" w:rsidRDefault="007B1369">
      <w:pPr>
        <w:pStyle w:val="CommentText"/>
        <w:rPr>
          <w:i/>
          <w:iCs/>
        </w:rPr>
      </w:pPr>
      <w:r>
        <w:rPr>
          <w:rStyle w:val="CommentReference"/>
        </w:rPr>
        <w:annotationRef/>
      </w:r>
      <w:r>
        <w:rPr>
          <w:i/>
          <w:iCs/>
        </w:rPr>
        <w:t>Bombyx mori</w:t>
      </w:r>
    </w:p>
  </w:comment>
  <w:comment w:id="9" w:author="HP" w:date="2025-09-12T16:45:00Z" w:initials="H">
    <w:p w14:paraId="1AC45DA5" w14:textId="3D740D5F" w:rsidR="007B1369" w:rsidRPr="00463D6C" w:rsidRDefault="007B1369">
      <w:pPr>
        <w:pStyle w:val="CommentText"/>
        <w:rPr>
          <w:i/>
          <w:iCs/>
        </w:rPr>
      </w:pPr>
      <w:r>
        <w:rPr>
          <w:rStyle w:val="CommentReference"/>
        </w:rPr>
        <w:annotationRef/>
      </w:r>
      <w:r>
        <w:rPr>
          <w:i/>
          <w:iCs/>
        </w:rPr>
        <w:t>Bombyx mori</w:t>
      </w:r>
    </w:p>
  </w:comment>
  <w:comment w:id="10" w:author="HP" w:date="2025-09-12T16:46:00Z" w:initials="H">
    <w:p w14:paraId="2831C264" w14:textId="4EA1F49C" w:rsidR="007B1369" w:rsidRPr="00463D6C" w:rsidRDefault="007B1369">
      <w:pPr>
        <w:pStyle w:val="CommentText"/>
        <w:rPr>
          <w:i/>
          <w:iCs/>
        </w:rPr>
      </w:pPr>
      <w:r>
        <w:rPr>
          <w:rStyle w:val="CommentReference"/>
        </w:rPr>
        <w:annotationRef/>
      </w:r>
      <w:r>
        <w:t xml:space="preserve">Italics </w:t>
      </w:r>
      <w:r>
        <w:rPr>
          <w:i/>
          <w:iCs/>
        </w:rPr>
        <w:t>Aspongopus chinensis</w:t>
      </w:r>
    </w:p>
  </w:comment>
  <w:comment w:id="11" w:author="HP" w:date="2025-09-12T16:46:00Z" w:initials="H">
    <w:p w14:paraId="3631E7BA" w14:textId="6CFF8C3F" w:rsidR="007B1369" w:rsidRPr="00463D6C" w:rsidRDefault="007B1369">
      <w:pPr>
        <w:pStyle w:val="CommentText"/>
        <w:rPr>
          <w:i/>
          <w:iCs/>
        </w:rPr>
      </w:pPr>
      <w:r>
        <w:rPr>
          <w:rStyle w:val="CommentReference"/>
        </w:rPr>
        <w:annotationRef/>
      </w:r>
      <w:r w:rsidRPr="00463D6C">
        <w:rPr>
          <w:i/>
          <w:iCs/>
        </w:rPr>
        <w:t>Coccinella septempunctata</w:t>
      </w:r>
    </w:p>
  </w:comment>
  <w:comment w:id="12" w:author="HP" w:date="2025-09-12T16:47:00Z" w:initials="H">
    <w:p w14:paraId="69D277F8" w14:textId="2E57956A" w:rsidR="007B1369" w:rsidRPr="00AE542A" w:rsidRDefault="007B1369">
      <w:pPr>
        <w:pStyle w:val="CommentText"/>
        <w:rPr>
          <w:i/>
          <w:iCs/>
        </w:rPr>
      </w:pPr>
      <w:r>
        <w:rPr>
          <w:rStyle w:val="CommentReference"/>
        </w:rPr>
        <w:annotationRef/>
      </w:r>
      <w:r w:rsidRPr="00AE542A">
        <w:rPr>
          <w:rFonts w:ascii="Arial" w:hAnsi="Arial" w:cs="Arial"/>
          <w:i/>
          <w:iCs/>
        </w:rPr>
        <w:t>Galeruca daurica</w:t>
      </w:r>
    </w:p>
  </w:comment>
  <w:comment w:id="13" w:author="HP" w:date="2025-09-12T16:48:00Z" w:initials="H">
    <w:p w14:paraId="1F10805B" w14:textId="77777777" w:rsidR="007B1369" w:rsidRDefault="007B1369">
      <w:pPr>
        <w:pStyle w:val="CommentText"/>
        <w:rPr>
          <w:i/>
          <w:iCs/>
        </w:rPr>
      </w:pPr>
      <w:r>
        <w:rPr>
          <w:rStyle w:val="CommentReference"/>
        </w:rPr>
        <w:annotationRef/>
      </w:r>
      <w:r>
        <w:rPr>
          <w:i/>
          <w:iCs/>
        </w:rPr>
        <w:t>Dendroctonus armandi</w:t>
      </w:r>
    </w:p>
    <w:p w14:paraId="139B0F0D" w14:textId="369C23A7" w:rsidR="007B1369" w:rsidRPr="00AE542A" w:rsidRDefault="007B1369">
      <w:pPr>
        <w:pStyle w:val="CommentText"/>
        <w:rPr>
          <w:i/>
          <w:iCs/>
        </w:rPr>
      </w:pPr>
    </w:p>
  </w:comment>
  <w:comment w:id="14" w:author="HP" w:date="2025-09-12T17:02:00Z" w:initials="H">
    <w:p w14:paraId="60089598" w14:textId="3E974C7D" w:rsidR="007B1369" w:rsidRPr="007B1369" w:rsidRDefault="007B1369">
      <w:pPr>
        <w:pStyle w:val="CommentText"/>
        <w:rPr>
          <w:i/>
          <w:iCs/>
        </w:rPr>
      </w:pPr>
      <w:r>
        <w:rPr>
          <w:rStyle w:val="CommentReference"/>
        </w:rPr>
        <w:annotationRef/>
      </w:r>
      <w:r>
        <w:rPr>
          <w:i/>
          <w:iCs/>
        </w:rPr>
        <w:t>Bombyx mori</w:t>
      </w:r>
    </w:p>
  </w:comment>
  <w:comment w:id="15" w:author="HP" w:date="2025-09-12T17:03:00Z" w:initials="H">
    <w:p w14:paraId="4D5E1F57" w14:textId="131C66F2" w:rsidR="007B1369" w:rsidRPr="007B1369" w:rsidRDefault="007B1369">
      <w:pPr>
        <w:pStyle w:val="CommentText"/>
        <w:rPr>
          <w:i/>
          <w:iCs/>
        </w:rPr>
      </w:pPr>
      <w:r>
        <w:rPr>
          <w:rStyle w:val="CommentReference"/>
        </w:rPr>
        <w:annotationRef/>
      </w:r>
      <w:r>
        <w:t xml:space="preserve">Italics </w:t>
      </w:r>
      <w:r>
        <w:rPr>
          <w:i/>
          <w:iCs/>
        </w:rPr>
        <w:t>Bombyx mori</w:t>
      </w:r>
    </w:p>
  </w:comment>
  <w:comment w:id="16" w:author="HP" w:date="2025-09-12T17:03:00Z" w:initials="H">
    <w:p w14:paraId="43A61FFE" w14:textId="65CF9762" w:rsidR="007B1369" w:rsidRPr="007B1369" w:rsidRDefault="007B1369">
      <w:pPr>
        <w:pStyle w:val="CommentText"/>
        <w:rPr>
          <w:i/>
          <w:iCs/>
        </w:rPr>
      </w:pPr>
      <w:r>
        <w:rPr>
          <w:rStyle w:val="CommentReference"/>
        </w:rPr>
        <w:annotationRef/>
      </w:r>
      <w:r>
        <w:rPr>
          <w:i/>
          <w:iCs/>
        </w:rPr>
        <w:t>Bombyx mori</w:t>
      </w:r>
    </w:p>
  </w:comment>
  <w:comment w:id="17" w:author="HP" w:date="2025-09-12T17:04:00Z" w:initials="H">
    <w:p w14:paraId="67EF7CF1" w14:textId="62D7B537" w:rsidR="007B1369" w:rsidRPr="007B1369" w:rsidRDefault="007B1369">
      <w:pPr>
        <w:pStyle w:val="CommentText"/>
        <w:rPr>
          <w:i/>
          <w:iCs/>
        </w:rPr>
      </w:pPr>
      <w:r>
        <w:rPr>
          <w:rStyle w:val="CommentReference"/>
        </w:rPr>
        <w:annotationRef/>
      </w:r>
      <w:r>
        <w:rPr>
          <w:i/>
          <w:iCs/>
        </w:rPr>
        <w:t>Bombyx mori</w:t>
      </w:r>
    </w:p>
  </w:comment>
  <w:comment w:id="18" w:author="HP" w:date="2025-09-12T17:05:00Z" w:initials="H">
    <w:p w14:paraId="084FFCCA" w14:textId="37CDF86C" w:rsidR="007B1369" w:rsidRPr="00971144" w:rsidRDefault="007B1369">
      <w:pPr>
        <w:pStyle w:val="CommentText"/>
        <w:rPr>
          <w:i/>
          <w:iCs/>
        </w:rPr>
      </w:pPr>
      <w:r>
        <w:rPr>
          <w:rStyle w:val="CommentReference"/>
        </w:rPr>
        <w:annotationRef/>
      </w:r>
      <w:r w:rsidR="00971144">
        <w:rPr>
          <w:i/>
          <w:iCs/>
        </w:rPr>
        <w:t>Bombyx mori</w:t>
      </w:r>
    </w:p>
  </w:comment>
  <w:comment w:id="19" w:author="HP" w:date="2025-09-12T17:07:00Z" w:initials="H">
    <w:p w14:paraId="12E77727" w14:textId="28A733EE" w:rsidR="00971144" w:rsidRPr="00971144" w:rsidRDefault="00971144">
      <w:pPr>
        <w:pStyle w:val="CommentText"/>
        <w:rPr>
          <w:i/>
          <w:iCs/>
        </w:rPr>
      </w:pPr>
      <w:r>
        <w:rPr>
          <w:rStyle w:val="CommentReference"/>
        </w:rPr>
        <w:annotationRef/>
      </w:r>
      <w:r>
        <w:rPr>
          <w:i/>
          <w:iCs/>
        </w:rPr>
        <w:t>Nosema bombycis</w:t>
      </w:r>
    </w:p>
  </w:comment>
  <w:comment w:id="20" w:author="HP" w:date="2025-09-12T17:06:00Z" w:initials="H">
    <w:p w14:paraId="115ED8FD" w14:textId="274EBE4E" w:rsidR="00971144" w:rsidRPr="00971144" w:rsidRDefault="00971144">
      <w:pPr>
        <w:pStyle w:val="CommentText"/>
        <w:rPr>
          <w:i/>
          <w:iCs/>
        </w:rPr>
      </w:pPr>
      <w:r>
        <w:rPr>
          <w:rStyle w:val="CommentReference"/>
        </w:rPr>
        <w:annotationRef/>
      </w:r>
      <w:r>
        <w:rPr>
          <w:i/>
          <w:iCs/>
        </w:rPr>
        <w:t>Glyphodes pyloalis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6E959D" w15:done="0"/>
  <w15:commentEx w15:paraId="5A308947" w15:done="0"/>
  <w15:commentEx w15:paraId="63FB3FE2" w15:done="0"/>
  <w15:commentEx w15:paraId="2037AC5E" w15:paraIdParent="63FB3FE2" w15:done="0"/>
  <w15:commentEx w15:paraId="25EEEC6F" w15:done="0"/>
  <w15:commentEx w15:paraId="299FB443" w15:done="0"/>
  <w15:commentEx w15:paraId="55AACF5E" w15:done="0"/>
  <w15:commentEx w15:paraId="5164507D" w15:done="0"/>
  <w15:commentEx w15:paraId="1AC45DA5" w15:done="0"/>
  <w15:commentEx w15:paraId="2831C264" w15:done="0"/>
  <w15:commentEx w15:paraId="3631E7BA" w15:done="0"/>
  <w15:commentEx w15:paraId="69D277F8" w15:done="0"/>
  <w15:commentEx w15:paraId="139B0F0D" w15:done="0"/>
  <w15:commentEx w15:paraId="60089598" w15:done="0"/>
  <w15:commentEx w15:paraId="4D5E1F57" w15:done="0"/>
  <w15:commentEx w15:paraId="43A61FFE" w15:done="0"/>
  <w15:commentEx w15:paraId="67EF7CF1" w15:done="0"/>
  <w15:commentEx w15:paraId="084FFCCA" w15:done="0"/>
  <w15:commentEx w15:paraId="12E77727" w15:done="0"/>
  <w15:commentEx w15:paraId="115ED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E959D" w16cid:durableId="2C6ED235"/>
  <w16cid:commentId w16cid:paraId="5A308947" w16cid:durableId="2C6ECBB4"/>
  <w16cid:commentId w16cid:paraId="63FB3FE2" w16cid:durableId="2C6ECBEA"/>
  <w16cid:commentId w16cid:paraId="2037AC5E" w16cid:durableId="2C6ECBF1"/>
  <w16cid:commentId w16cid:paraId="25EEEC6F" w16cid:durableId="2C6ECC14"/>
  <w16cid:commentId w16cid:paraId="299FB443" w16cid:durableId="2C6ECC24"/>
  <w16cid:commentId w16cid:paraId="55AACF5E" w16cid:durableId="2C6ECC60"/>
  <w16cid:commentId w16cid:paraId="5164507D" w16cid:durableId="2C6ECC89"/>
  <w16cid:commentId w16cid:paraId="1AC45DA5" w16cid:durableId="2C6ECCAF"/>
  <w16cid:commentId w16cid:paraId="2831C264" w16cid:durableId="2C6ECCD5"/>
  <w16cid:commentId w16cid:paraId="3631E7BA" w16cid:durableId="2C6ECCF7"/>
  <w16cid:commentId w16cid:paraId="69D277F8" w16cid:durableId="2C6ECD29"/>
  <w16cid:commentId w16cid:paraId="139B0F0D" w16cid:durableId="2C6ECD6C"/>
  <w16cid:commentId w16cid:paraId="60089598" w16cid:durableId="2C6ED0B3"/>
  <w16cid:commentId w16cid:paraId="4D5E1F57" w16cid:durableId="2C6ED0CB"/>
  <w16cid:commentId w16cid:paraId="43A61FFE" w16cid:durableId="2C6ED0DF"/>
  <w16cid:commentId w16cid:paraId="67EF7CF1" w16cid:durableId="2C6ED137"/>
  <w16cid:commentId w16cid:paraId="084FFCCA" w16cid:durableId="2C6ED153"/>
  <w16cid:commentId w16cid:paraId="12E77727" w16cid:durableId="2C6ED1CC"/>
  <w16cid:commentId w16cid:paraId="115ED8FD" w16cid:durableId="2C6ED1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C8E8" w14:textId="77777777" w:rsidR="0062761F" w:rsidRDefault="0062761F" w:rsidP="00C37E61">
      <w:r>
        <w:separator/>
      </w:r>
    </w:p>
  </w:endnote>
  <w:endnote w:type="continuationSeparator" w:id="0">
    <w:p w14:paraId="684F18C6" w14:textId="77777777" w:rsidR="0062761F" w:rsidRDefault="006276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5534" w14:textId="77777777" w:rsidR="007B1369" w:rsidRDefault="007B1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F3BA" w14:textId="77777777" w:rsidR="007B1369" w:rsidRDefault="007B1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39F2" w14:textId="74FB8947" w:rsidR="007B1369" w:rsidRPr="00825AAC" w:rsidRDefault="007B1369" w:rsidP="00825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842A" w14:textId="77777777" w:rsidR="007B1369" w:rsidRPr="00C37E61" w:rsidRDefault="007B136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5CF6" w14:textId="77777777" w:rsidR="0062761F" w:rsidRDefault="0062761F" w:rsidP="00C37E61">
      <w:r>
        <w:separator/>
      </w:r>
    </w:p>
  </w:footnote>
  <w:footnote w:type="continuationSeparator" w:id="0">
    <w:p w14:paraId="3FEE57C9" w14:textId="77777777" w:rsidR="0062761F" w:rsidRDefault="006276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33E5" w14:textId="2D8544BB" w:rsidR="007B1369" w:rsidRDefault="0062761F">
    <w:pPr>
      <w:pStyle w:val="Header"/>
    </w:pPr>
    <w:r>
      <w:rPr>
        <w:noProof/>
      </w:rPr>
      <w:pict w14:anchorId="32CE4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4092" w14:textId="301F2CDE" w:rsidR="007B1369" w:rsidRDefault="0062761F">
    <w:pPr>
      <w:pStyle w:val="Header"/>
    </w:pPr>
    <w:r>
      <w:rPr>
        <w:noProof/>
      </w:rPr>
      <w:pict w14:anchorId="76BF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1D61" w14:textId="79A5F819" w:rsidR="007B1369" w:rsidRPr="00296529" w:rsidRDefault="0062761F" w:rsidP="00296529">
    <w:pPr>
      <w:ind w:left="2160"/>
      <w:jc w:val="center"/>
      <w:rPr>
        <w:rFonts w:ascii="Times New Roman" w:eastAsia="Calibri" w:hAnsi="Times New Roman"/>
        <w:i/>
        <w:sz w:val="18"/>
        <w:szCs w:val="22"/>
      </w:rPr>
    </w:pPr>
    <w:r>
      <w:rPr>
        <w:noProof/>
      </w:rPr>
      <w:pict w14:anchorId="0153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68CD95" w14:textId="77777777" w:rsidR="007B1369" w:rsidRPr="00296529" w:rsidRDefault="007B136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A3A192" w14:textId="77777777" w:rsidR="007B1369" w:rsidRPr="00296529" w:rsidRDefault="007B136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A5313" w14:textId="77777777" w:rsidR="007B1369" w:rsidRPr="00296529" w:rsidRDefault="007B136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D1F578" w14:textId="77777777" w:rsidR="007B1369" w:rsidRDefault="007B136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C2AFD9" w14:textId="77777777" w:rsidR="007B1369" w:rsidRDefault="007B136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E0D499" w14:textId="77777777" w:rsidR="007B1369" w:rsidRDefault="007B13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C9E0" w14:textId="50433744" w:rsidR="007B1369" w:rsidRDefault="0062761F">
    <w:pPr>
      <w:pStyle w:val="Header"/>
    </w:pPr>
    <w:r>
      <w:rPr>
        <w:noProof/>
      </w:rPr>
      <w:pict w14:anchorId="7983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6FEE" w14:textId="1EB54C3F" w:rsidR="007B1369" w:rsidRDefault="0062761F">
    <w:pPr>
      <w:pStyle w:val="Header"/>
    </w:pPr>
    <w:r>
      <w:rPr>
        <w:noProof/>
      </w:rPr>
      <w:pict w14:anchorId="728CC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001D" w14:textId="27A2B7EF" w:rsidR="007B1369" w:rsidRDefault="0062761F">
    <w:pPr>
      <w:pStyle w:val="Header"/>
    </w:pPr>
    <w:r>
      <w:rPr>
        <w:noProof/>
      </w:rPr>
      <w:pict w14:anchorId="1711F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471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EC4F75"/>
    <w:multiLevelType w:val="multilevel"/>
    <w:tmpl w:val="23D6202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EA368F"/>
    <w:multiLevelType w:val="hybridMultilevel"/>
    <w:tmpl w:val="40A8CF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7741B"/>
    <w:multiLevelType w:val="multilevel"/>
    <w:tmpl w:val="4EFA4DB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720" w:hanging="720"/>
      </w:pPr>
      <w:rPr>
        <w:rFonts w:eastAsiaTheme="majorEastAsia" w:hint="default"/>
        <w:b/>
      </w:rPr>
    </w:lvl>
    <w:lvl w:ilvl="4">
      <w:start w:val="1"/>
      <w:numFmt w:val="decimal"/>
      <w:isLgl/>
      <w:lvlText w:val="%1.%2.%3.%4.%5."/>
      <w:lvlJc w:val="left"/>
      <w:pPr>
        <w:ind w:left="1080" w:hanging="1080"/>
      </w:pPr>
      <w:rPr>
        <w:rFonts w:eastAsiaTheme="majorEastAsia" w:hint="default"/>
        <w:b/>
      </w:rPr>
    </w:lvl>
    <w:lvl w:ilvl="5">
      <w:start w:val="1"/>
      <w:numFmt w:val="decimal"/>
      <w:isLgl/>
      <w:lvlText w:val="%1.%2.%3.%4.%5.%6."/>
      <w:lvlJc w:val="left"/>
      <w:pPr>
        <w:ind w:left="1080" w:hanging="1080"/>
      </w:pPr>
      <w:rPr>
        <w:rFonts w:eastAsiaTheme="majorEastAsia" w:hint="default"/>
        <w:b/>
      </w:rPr>
    </w:lvl>
    <w:lvl w:ilvl="6">
      <w:start w:val="1"/>
      <w:numFmt w:val="decimal"/>
      <w:isLgl/>
      <w:lvlText w:val="%1.%2.%3.%4.%5.%6.%7."/>
      <w:lvlJc w:val="left"/>
      <w:pPr>
        <w:ind w:left="1440" w:hanging="1440"/>
      </w:pPr>
      <w:rPr>
        <w:rFonts w:eastAsiaTheme="majorEastAsia" w:hint="default"/>
        <w:b/>
      </w:rPr>
    </w:lvl>
    <w:lvl w:ilvl="7">
      <w:start w:val="1"/>
      <w:numFmt w:val="decimal"/>
      <w:isLgl/>
      <w:lvlText w:val="%1.%2.%3.%4.%5.%6.%7.%8."/>
      <w:lvlJc w:val="left"/>
      <w:pPr>
        <w:ind w:left="1440" w:hanging="1440"/>
      </w:pPr>
      <w:rPr>
        <w:rFonts w:eastAsiaTheme="majorEastAsia" w:hint="default"/>
        <w:b/>
      </w:rPr>
    </w:lvl>
    <w:lvl w:ilvl="8">
      <w:start w:val="1"/>
      <w:numFmt w:val="decimal"/>
      <w:isLgl/>
      <w:lvlText w:val="%1.%2.%3.%4.%5.%6.%7.%8.%9."/>
      <w:lvlJc w:val="left"/>
      <w:pPr>
        <w:ind w:left="1800" w:hanging="1800"/>
      </w:pPr>
      <w:rPr>
        <w:rFonts w:eastAsiaTheme="majorEastAsia" w:hint="default"/>
        <w:b/>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722AE6"/>
    <w:multiLevelType w:val="hybridMultilevel"/>
    <w:tmpl w:val="C9C667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3243A2"/>
    <w:multiLevelType w:val="hybridMultilevel"/>
    <w:tmpl w:val="1D3498CA"/>
    <w:lvl w:ilvl="0" w:tplc="FAB815B4">
      <w:start w:val="1"/>
      <w:numFmt w:val="decimal"/>
      <w:lvlText w:val="%1)"/>
      <w:lvlJc w:val="lef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8"/>
  </w:num>
  <w:num w:numId="30">
    <w:abstractNumId w:val="11"/>
  </w:num>
  <w:num w:numId="31">
    <w:abstractNumId w:val="19"/>
  </w:num>
  <w:num w:numId="32">
    <w:abstractNumId w:val="7"/>
  </w:num>
  <w:num w:numId="33">
    <w:abstractNumId w:val="13"/>
  </w:num>
  <w:num w:numId="34">
    <w:abstractNumId w:val="21"/>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EE4"/>
    <w:rsid w:val="000A47FA"/>
    <w:rsid w:val="000A65D3"/>
    <w:rsid w:val="000B1E33"/>
    <w:rsid w:val="000D689F"/>
    <w:rsid w:val="000E7B7B"/>
    <w:rsid w:val="000E7D62"/>
    <w:rsid w:val="00103357"/>
    <w:rsid w:val="00123408"/>
    <w:rsid w:val="00123C9F"/>
    <w:rsid w:val="00126190"/>
    <w:rsid w:val="00130F17"/>
    <w:rsid w:val="001320BF"/>
    <w:rsid w:val="00155ADC"/>
    <w:rsid w:val="00163BC4"/>
    <w:rsid w:val="00191062"/>
    <w:rsid w:val="00192B72"/>
    <w:rsid w:val="001A29D8"/>
    <w:rsid w:val="001A5CAA"/>
    <w:rsid w:val="001B0427"/>
    <w:rsid w:val="001B7D04"/>
    <w:rsid w:val="001D3A51"/>
    <w:rsid w:val="001D3FD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7C"/>
    <w:rsid w:val="00315186"/>
    <w:rsid w:val="0033343E"/>
    <w:rsid w:val="003512C2"/>
    <w:rsid w:val="00371FB6"/>
    <w:rsid w:val="003763C1"/>
    <w:rsid w:val="00376BBE"/>
    <w:rsid w:val="0039117D"/>
    <w:rsid w:val="0039224F"/>
    <w:rsid w:val="003A26C5"/>
    <w:rsid w:val="003A43A4"/>
    <w:rsid w:val="003A7E18"/>
    <w:rsid w:val="003C4C86"/>
    <w:rsid w:val="003C6258"/>
    <w:rsid w:val="003E2904"/>
    <w:rsid w:val="00401927"/>
    <w:rsid w:val="0041027F"/>
    <w:rsid w:val="00412475"/>
    <w:rsid w:val="00423789"/>
    <w:rsid w:val="00440F43"/>
    <w:rsid w:val="00441B6F"/>
    <w:rsid w:val="004443F7"/>
    <w:rsid w:val="00446221"/>
    <w:rsid w:val="00450E62"/>
    <w:rsid w:val="004539DB"/>
    <w:rsid w:val="00463D6C"/>
    <w:rsid w:val="00471A80"/>
    <w:rsid w:val="004B7D9C"/>
    <w:rsid w:val="004D1D20"/>
    <w:rsid w:val="004D305E"/>
    <w:rsid w:val="004D4277"/>
    <w:rsid w:val="00502516"/>
    <w:rsid w:val="00505F06"/>
    <w:rsid w:val="00506828"/>
    <w:rsid w:val="00525A48"/>
    <w:rsid w:val="0053056E"/>
    <w:rsid w:val="005463F9"/>
    <w:rsid w:val="00554FDA"/>
    <w:rsid w:val="00571D65"/>
    <w:rsid w:val="00576C5E"/>
    <w:rsid w:val="0058355D"/>
    <w:rsid w:val="005B6E3D"/>
    <w:rsid w:val="005C784C"/>
    <w:rsid w:val="005D17F6"/>
    <w:rsid w:val="005E5539"/>
    <w:rsid w:val="00602BF5"/>
    <w:rsid w:val="00617FDD"/>
    <w:rsid w:val="0062761F"/>
    <w:rsid w:val="00633614"/>
    <w:rsid w:val="00633F68"/>
    <w:rsid w:val="00636EB2"/>
    <w:rsid w:val="006375B8"/>
    <w:rsid w:val="0066510A"/>
    <w:rsid w:val="00673F9F"/>
    <w:rsid w:val="00685C25"/>
    <w:rsid w:val="00686953"/>
    <w:rsid w:val="00687DEA"/>
    <w:rsid w:val="00687E67"/>
    <w:rsid w:val="006967F7"/>
    <w:rsid w:val="006A250C"/>
    <w:rsid w:val="006B21D3"/>
    <w:rsid w:val="006B57D0"/>
    <w:rsid w:val="006D30FF"/>
    <w:rsid w:val="006D6940"/>
    <w:rsid w:val="006F11EC"/>
    <w:rsid w:val="0070082C"/>
    <w:rsid w:val="00712501"/>
    <w:rsid w:val="007369E6"/>
    <w:rsid w:val="00746E59"/>
    <w:rsid w:val="00751D0E"/>
    <w:rsid w:val="00754C9A"/>
    <w:rsid w:val="0075599A"/>
    <w:rsid w:val="00761D52"/>
    <w:rsid w:val="0077749E"/>
    <w:rsid w:val="00790ADA"/>
    <w:rsid w:val="007B1369"/>
    <w:rsid w:val="007D2288"/>
    <w:rsid w:val="007D5DD3"/>
    <w:rsid w:val="007E088F"/>
    <w:rsid w:val="007F0D51"/>
    <w:rsid w:val="007F7B32"/>
    <w:rsid w:val="00804BC2"/>
    <w:rsid w:val="0081431A"/>
    <w:rsid w:val="00825AAC"/>
    <w:rsid w:val="0083216F"/>
    <w:rsid w:val="0084038E"/>
    <w:rsid w:val="00860000"/>
    <w:rsid w:val="00863BD3"/>
    <w:rsid w:val="008641ED"/>
    <w:rsid w:val="00866D66"/>
    <w:rsid w:val="008671C6"/>
    <w:rsid w:val="00875803"/>
    <w:rsid w:val="008A3C0C"/>
    <w:rsid w:val="008B286F"/>
    <w:rsid w:val="008B459E"/>
    <w:rsid w:val="008E13AE"/>
    <w:rsid w:val="008E1506"/>
    <w:rsid w:val="008E710C"/>
    <w:rsid w:val="008F69D6"/>
    <w:rsid w:val="00902823"/>
    <w:rsid w:val="00915CA6"/>
    <w:rsid w:val="00927834"/>
    <w:rsid w:val="009500A6"/>
    <w:rsid w:val="00957C18"/>
    <w:rsid w:val="009659BA"/>
    <w:rsid w:val="00971144"/>
    <w:rsid w:val="00983040"/>
    <w:rsid w:val="00990C2E"/>
    <w:rsid w:val="009A103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869"/>
    <w:rsid w:val="00A6339F"/>
    <w:rsid w:val="00A73B88"/>
    <w:rsid w:val="00A74E6E"/>
    <w:rsid w:val="00A94063"/>
    <w:rsid w:val="00AA6219"/>
    <w:rsid w:val="00AA74E0"/>
    <w:rsid w:val="00AB703F"/>
    <w:rsid w:val="00AC6BB8"/>
    <w:rsid w:val="00AE008F"/>
    <w:rsid w:val="00AE542A"/>
    <w:rsid w:val="00B01FCD"/>
    <w:rsid w:val="00B04151"/>
    <w:rsid w:val="00B1776C"/>
    <w:rsid w:val="00B25B0B"/>
    <w:rsid w:val="00B52583"/>
    <w:rsid w:val="00B52896"/>
    <w:rsid w:val="00B95236"/>
    <w:rsid w:val="00B96BD9"/>
    <w:rsid w:val="00BA1B01"/>
    <w:rsid w:val="00BA2641"/>
    <w:rsid w:val="00BA72A3"/>
    <w:rsid w:val="00BB37AA"/>
    <w:rsid w:val="00BC53A0"/>
    <w:rsid w:val="00BE62AD"/>
    <w:rsid w:val="00BF121F"/>
    <w:rsid w:val="00BF1F80"/>
    <w:rsid w:val="00BF6CF1"/>
    <w:rsid w:val="00C166EF"/>
    <w:rsid w:val="00C17EB0"/>
    <w:rsid w:val="00C27F5F"/>
    <w:rsid w:val="00C30A0F"/>
    <w:rsid w:val="00C37E61"/>
    <w:rsid w:val="00C41D49"/>
    <w:rsid w:val="00C70F1B"/>
    <w:rsid w:val="00C71A47"/>
    <w:rsid w:val="00C7464C"/>
    <w:rsid w:val="00C85588"/>
    <w:rsid w:val="00CD6755"/>
    <w:rsid w:val="00CD6856"/>
    <w:rsid w:val="00CE0089"/>
    <w:rsid w:val="00CE793C"/>
    <w:rsid w:val="00CF193C"/>
    <w:rsid w:val="00D173F1"/>
    <w:rsid w:val="00D3265E"/>
    <w:rsid w:val="00D74CB0"/>
    <w:rsid w:val="00D8295D"/>
    <w:rsid w:val="00DC2A65"/>
    <w:rsid w:val="00DE15F0"/>
    <w:rsid w:val="00DE5663"/>
    <w:rsid w:val="00DE78AA"/>
    <w:rsid w:val="00E053D0"/>
    <w:rsid w:val="00E1381E"/>
    <w:rsid w:val="00E15994"/>
    <w:rsid w:val="00E3114E"/>
    <w:rsid w:val="00E31A70"/>
    <w:rsid w:val="00E35B02"/>
    <w:rsid w:val="00E66496"/>
    <w:rsid w:val="00E66B35"/>
    <w:rsid w:val="00E66E10"/>
    <w:rsid w:val="00E769F6"/>
    <w:rsid w:val="00E8407C"/>
    <w:rsid w:val="00E84F3C"/>
    <w:rsid w:val="00EA012C"/>
    <w:rsid w:val="00EA03A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521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5AD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155ADC"/>
    <w:rPr>
      <w:b/>
      <w:bCs/>
    </w:rPr>
  </w:style>
  <w:style w:type="paragraph" w:styleId="CommentSubject">
    <w:name w:val="annotation subject"/>
    <w:basedOn w:val="CommentText"/>
    <w:next w:val="CommentText"/>
    <w:link w:val="CommentSubjectChar"/>
    <w:semiHidden/>
    <w:unhideWhenUsed/>
    <w:rsid w:val="00463D6C"/>
    <w:rPr>
      <w:rFonts w:ascii="Helvetica" w:hAnsi="Helvetica"/>
      <w:b/>
      <w:bCs/>
      <w:lang w:val="en-US" w:eastAsia="en-US"/>
    </w:rPr>
  </w:style>
  <w:style w:type="character" w:customStyle="1" w:styleId="CommentSubjectChar">
    <w:name w:val="Comment Subject Char"/>
    <w:basedOn w:val="CommentTextChar"/>
    <w:link w:val="CommentSubject"/>
    <w:semiHidden/>
    <w:rsid w:val="00463D6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7026-93CC-436D-83DC-F9F83227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1038</TotalTime>
  <Pages>12</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30</cp:revision>
  <cp:lastPrinted>1999-07-06T11:00:00Z</cp:lastPrinted>
  <dcterms:created xsi:type="dcterms:W3CDTF">2014-10-25T14:34:00Z</dcterms:created>
  <dcterms:modified xsi:type="dcterms:W3CDTF">2025-09-12T11:53:00Z</dcterms:modified>
</cp:coreProperties>
</file>