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BBCB2" w14:textId="77777777" w:rsidR="00754C9A" w:rsidRPr="00332126" w:rsidRDefault="00754C9A" w:rsidP="00441B6F">
      <w:pPr>
        <w:pStyle w:val="Title"/>
        <w:spacing w:after="0"/>
        <w:jc w:val="both"/>
        <w:rPr>
          <w:rFonts w:ascii="Arial" w:hAnsi="Arial" w:cs="Arial"/>
          <w:lang w:val="en-GB"/>
        </w:rPr>
      </w:pPr>
    </w:p>
    <w:p w14:paraId="3AC1E4A4" w14:textId="77777777" w:rsidR="00BD636D" w:rsidRPr="00BD636D" w:rsidRDefault="00BD636D" w:rsidP="00BD636D">
      <w:pPr>
        <w:pStyle w:val="Author"/>
        <w:rPr>
          <w:rFonts w:ascii="Arial" w:hAnsi="Arial" w:cs="Arial"/>
          <w:bCs/>
          <w:i/>
          <w:iCs/>
          <w:kern w:val="28"/>
          <w:sz w:val="18"/>
          <w:szCs w:val="18"/>
          <w:u w:val="single"/>
        </w:rPr>
      </w:pPr>
      <w:r w:rsidRPr="00BD636D">
        <w:rPr>
          <w:rFonts w:ascii="Arial" w:hAnsi="Arial" w:cs="Arial"/>
          <w:bCs/>
          <w:i/>
          <w:iCs/>
          <w:kern w:val="28"/>
          <w:sz w:val="18"/>
          <w:szCs w:val="18"/>
          <w:u w:val="single"/>
        </w:rPr>
        <w:t>Original Research Article</w:t>
      </w:r>
    </w:p>
    <w:p w14:paraId="7692F4D1" w14:textId="77777777" w:rsidR="00163BC4" w:rsidRPr="00332126" w:rsidRDefault="009A45CC" w:rsidP="00441B6F">
      <w:pPr>
        <w:pStyle w:val="Author"/>
        <w:spacing w:line="240" w:lineRule="auto"/>
        <w:rPr>
          <w:rFonts w:ascii="Arial" w:hAnsi="Arial" w:cs="Arial"/>
          <w:bCs/>
          <w:iCs/>
          <w:kern w:val="28"/>
          <w:sz w:val="36"/>
          <w:lang w:val="en-GB"/>
        </w:rPr>
      </w:pPr>
      <w:r w:rsidRPr="00332126">
        <w:rPr>
          <w:rFonts w:ascii="Arial" w:hAnsi="Arial" w:cs="Arial"/>
          <w:bCs/>
          <w:iCs/>
          <w:kern w:val="28"/>
          <w:sz w:val="36"/>
          <w:lang w:val="en-GB"/>
        </w:rPr>
        <w:t xml:space="preserve">Potential of </w:t>
      </w:r>
      <w:proofErr w:type="spellStart"/>
      <w:r w:rsidRPr="00332126">
        <w:rPr>
          <w:rFonts w:ascii="Arial" w:hAnsi="Arial" w:cs="Arial"/>
          <w:bCs/>
          <w:i/>
          <w:iCs/>
          <w:kern w:val="28"/>
          <w:sz w:val="36"/>
          <w:lang w:val="en-GB"/>
        </w:rPr>
        <w:t>Ricinodendron</w:t>
      </w:r>
      <w:proofErr w:type="spellEnd"/>
      <w:r w:rsidRPr="00332126">
        <w:rPr>
          <w:rFonts w:ascii="Arial" w:hAnsi="Arial" w:cs="Arial"/>
          <w:bCs/>
          <w:i/>
          <w:iCs/>
          <w:kern w:val="28"/>
          <w:sz w:val="36"/>
          <w:lang w:val="en-GB"/>
        </w:rPr>
        <w:t xml:space="preserve"> </w:t>
      </w:r>
      <w:proofErr w:type="spellStart"/>
      <w:r w:rsidRPr="00332126">
        <w:rPr>
          <w:rFonts w:ascii="Arial" w:hAnsi="Arial" w:cs="Arial"/>
          <w:bCs/>
          <w:i/>
          <w:iCs/>
          <w:kern w:val="28"/>
          <w:sz w:val="36"/>
          <w:lang w:val="en-GB"/>
        </w:rPr>
        <w:t>heudelotii</w:t>
      </w:r>
      <w:proofErr w:type="spellEnd"/>
      <w:r w:rsidRPr="00332126">
        <w:rPr>
          <w:rFonts w:ascii="Arial" w:hAnsi="Arial" w:cs="Arial"/>
          <w:bCs/>
          <w:iCs/>
          <w:kern w:val="28"/>
          <w:sz w:val="36"/>
          <w:lang w:val="en-GB"/>
        </w:rPr>
        <w:t xml:space="preserve"> (‘</w:t>
      </w:r>
      <w:proofErr w:type="spellStart"/>
      <w:r w:rsidRPr="00332126">
        <w:rPr>
          <w:rFonts w:ascii="Arial" w:hAnsi="Arial" w:cs="Arial"/>
          <w:bCs/>
          <w:iCs/>
          <w:kern w:val="28"/>
          <w:sz w:val="36"/>
          <w:lang w:val="en-GB"/>
        </w:rPr>
        <w:t>akpi</w:t>
      </w:r>
      <w:proofErr w:type="spellEnd"/>
      <w:r w:rsidRPr="00332126">
        <w:rPr>
          <w:rFonts w:ascii="Arial" w:hAnsi="Arial" w:cs="Arial"/>
          <w:bCs/>
          <w:iCs/>
          <w:kern w:val="28"/>
          <w:sz w:val="36"/>
          <w:lang w:val="en-GB"/>
        </w:rPr>
        <w:t>’) cake as a local resource for animal feed in Côte d'Ivoire</w:t>
      </w:r>
      <w:r w:rsidR="00231920" w:rsidRPr="00332126">
        <w:rPr>
          <w:rFonts w:ascii="Arial" w:hAnsi="Arial" w:cs="Arial"/>
          <w:bCs/>
          <w:iCs/>
          <w:kern w:val="28"/>
          <w:sz w:val="36"/>
          <w:lang w:val="en-GB"/>
        </w:rPr>
        <w:t xml:space="preserve"> </w:t>
      </w:r>
    </w:p>
    <w:p w14:paraId="7EC6F54D" w14:textId="77777777" w:rsidR="00A258C3" w:rsidRPr="00332126" w:rsidRDefault="00A258C3" w:rsidP="00441B6F">
      <w:pPr>
        <w:pStyle w:val="Author"/>
        <w:spacing w:line="240" w:lineRule="auto"/>
        <w:jc w:val="both"/>
        <w:rPr>
          <w:rFonts w:ascii="Arial" w:hAnsi="Arial" w:cs="Arial"/>
          <w:sz w:val="36"/>
          <w:lang w:val="en-GB"/>
        </w:rPr>
      </w:pPr>
    </w:p>
    <w:p w14:paraId="1D1D7724" w14:textId="6DE35799" w:rsidR="002C57D2" w:rsidRDefault="002C57D2" w:rsidP="00441B6F">
      <w:pPr>
        <w:pStyle w:val="Affiliation"/>
        <w:spacing w:after="0" w:line="240" w:lineRule="auto"/>
        <w:jc w:val="both"/>
        <w:rPr>
          <w:rFonts w:ascii="Arial" w:hAnsi="Arial" w:cs="Arial"/>
          <w:lang w:val="en-GB"/>
        </w:rPr>
      </w:pPr>
    </w:p>
    <w:p w14:paraId="45A485B6" w14:textId="53AA7E25" w:rsidR="009316E5" w:rsidRDefault="009316E5" w:rsidP="00441B6F">
      <w:pPr>
        <w:pStyle w:val="Affiliation"/>
        <w:spacing w:after="0" w:line="240" w:lineRule="auto"/>
        <w:jc w:val="both"/>
        <w:rPr>
          <w:rFonts w:ascii="Arial" w:hAnsi="Arial" w:cs="Arial"/>
          <w:lang w:val="en-GB"/>
        </w:rPr>
      </w:pPr>
    </w:p>
    <w:p w14:paraId="4EB621EA" w14:textId="3C3FEAFF" w:rsidR="009316E5" w:rsidRDefault="009316E5" w:rsidP="00441B6F">
      <w:pPr>
        <w:pStyle w:val="Affiliation"/>
        <w:spacing w:after="0" w:line="240" w:lineRule="auto"/>
        <w:jc w:val="both"/>
        <w:rPr>
          <w:rFonts w:ascii="Arial" w:hAnsi="Arial" w:cs="Arial"/>
          <w:lang w:val="en-GB"/>
        </w:rPr>
      </w:pPr>
    </w:p>
    <w:p w14:paraId="7B26FC12" w14:textId="21A12AAA" w:rsidR="009316E5" w:rsidRDefault="009316E5" w:rsidP="00441B6F">
      <w:pPr>
        <w:pStyle w:val="Affiliation"/>
        <w:spacing w:after="0" w:line="240" w:lineRule="auto"/>
        <w:jc w:val="both"/>
        <w:rPr>
          <w:rFonts w:ascii="Arial" w:hAnsi="Arial" w:cs="Arial"/>
          <w:lang w:val="en-GB"/>
        </w:rPr>
      </w:pPr>
    </w:p>
    <w:p w14:paraId="3EEE736E" w14:textId="5CCF1B3A" w:rsidR="009316E5" w:rsidRDefault="009316E5" w:rsidP="00441B6F">
      <w:pPr>
        <w:pStyle w:val="Affiliation"/>
        <w:spacing w:after="0" w:line="240" w:lineRule="auto"/>
        <w:jc w:val="both"/>
        <w:rPr>
          <w:rFonts w:ascii="Arial" w:hAnsi="Arial" w:cs="Arial"/>
          <w:lang w:val="en-GB"/>
        </w:rPr>
      </w:pPr>
    </w:p>
    <w:p w14:paraId="105458DD" w14:textId="0EE1D321" w:rsidR="009316E5" w:rsidRDefault="009316E5" w:rsidP="00441B6F">
      <w:pPr>
        <w:pStyle w:val="Affiliation"/>
        <w:spacing w:after="0" w:line="240" w:lineRule="auto"/>
        <w:jc w:val="both"/>
        <w:rPr>
          <w:rFonts w:ascii="Arial" w:hAnsi="Arial" w:cs="Arial"/>
          <w:lang w:val="en-GB"/>
        </w:rPr>
      </w:pPr>
    </w:p>
    <w:p w14:paraId="086D5F5A" w14:textId="77777777" w:rsidR="009316E5" w:rsidRPr="00332126" w:rsidRDefault="009316E5" w:rsidP="00441B6F">
      <w:pPr>
        <w:pStyle w:val="Affiliation"/>
        <w:spacing w:after="0" w:line="240" w:lineRule="auto"/>
        <w:jc w:val="both"/>
        <w:rPr>
          <w:rFonts w:ascii="Arial" w:hAnsi="Arial" w:cs="Arial"/>
          <w:lang w:val="en-GB"/>
        </w:rPr>
      </w:pPr>
    </w:p>
    <w:p w14:paraId="0E7061DE" w14:textId="77777777" w:rsidR="00B01FCD" w:rsidRPr="00332126" w:rsidRDefault="001B25FD" w:rsidP="00441B6F">
      <w:pPr>
        <w:pStyle w:val="Copyright"/>
        <w:spacing w:after="0" w:line="240" w:lineRule="auto"/>
        <w:jc w:val="both"/>
        <w:rPr>
          <w:rFonts w:ascii="Arial" w:hAnsi="Arial" w:cs="Arial"/>
          <w:lang w:val="en-GB"/>
        </w:rPr>
        <w:sectPr w:rsidR="00B01FCD" w:rsidRPr="00332126" w:rsidSect="009316E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332126">
        <w:rPr>
          <w:rFonts w:ascii="Arial" w:hAnsi="Arial" w:cs="Arial"/>
          <w:noProof/>
        </w:rPr>
        <mc:AlternateContent>
          <mc:Choice Requires="wps">
            <w:drawing>
              <wp:inline distT="0" distB="0" distL="0" distR="0" wp14:anchorId="584FCE8C" wp14:editId="08B3C1A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26E7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332126">
        <w:rPr>
          <w:rFonts w:ascii="Arial" w:hAnsi="Arial" w:cs="Arial"/>
          <w:lang w:val="en-GB"/>
        </w:rPr>
        <w:t>.</w:t>
      </w:r>
    </w:p>
    <w:p w14:paraId="0867478F" w14:textId="77777777" w:rsidR="00B01FCD" w:rsidRPr="00332126" w:rsidRDefault="00B01FCD" w:rsidP="00441B6F">
      <w:pPr>
        <w:pStyle w:val="AbstHead"/>
        <w:spacing w:after="0"/>
        <w:jc w:val="both"/>
        <w:rPr>
          <w:rFonts w:ascii="Arial" w:hAnsi="Arial" w:cs="Arial"/>
          <w:lang w:val="en-GB"/>
        </w:rPr>
      </w:pPr>
      <w:r w:rsidRPr="00332126">
        <w:rPr>
          <w:rFonts w:ascii="Arial" w:hAnsi="Arial" w:cs="Arial"/>
          <w:lang w:val="en-GB"/>
        </w:rPr>
        <w:lastRenderedPageBreak/>
        <w:t>ABSTRACT</w:t>
      </w:r>
    </w:p>
    <w:p w14:paraId="7D30FE7B" w14:textId="77777777" w:rsidR="00790ADA" w:rsidRPr="00332126"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32126" w14:paraId="1667572F" w14:textId="77777777" w:rsidTr="001E44FE">
        <w:tc>
          <w:tcPr>
            <w:tcW w:w="9576" w:type="dxa"/>
            <w:shd w:val="clear" w:color="auto" w:fill="F2F2F2"/>
          </w:tcPr>
          <w:p w14:paraId="5B9FA41A" w14:textId="77777777" w:rsidR="00505F06" w:rsidRPr="00332126" w:rsidRDefault="007D4461" w:rsidP="00EE203E">
            <w:pPr>
              <w:pStyle w:val="Body"/>
              <w:spacing w:after="0"/>
              <w:rPr>
                <w:rFonts w:ascii="Arial" w:eastAsia="Calibri" w:hAnsi="Arial" w:cs="Arial"/>
                <w:lang w:val="en-GB"/>
              </w:rPr>
            </w:pPr>
            <w:r w:rsidRPr="00332126">
              <w:rPr>
                <w:rFonts w:ascii="Arial" w:eastAsia="Calibri" w:hAnsi="Arial" w:cs="Arial"/>
                <w:lang w:val="en-GB"/>
              </w:rPr>
              <w:t xml:space="preserve">This study aimed to provide farmers with reliable nutritional data on a locally available, low-cost, and protein-rich ingredient, the defatted flour from </w:t>
            </w:r>
            <w:r w:rsidRPr="00332126">
              <w:rPr>
                <w:rFonts w:ascii="Arial" w:eastAsia="Calibri" w:hAnsi="Arial" w:cs="Arial"/>
                <w:i/>
                <w:lang w:val="en-GB"/>
              </w:rPr>
              <w:t>Ricinodendron heudelotii</w:t>
            </w:r>
            <w:r w:rsidRPr="00332126">
              <w:rPr>
                <w:rFonts w:ascii="Arial" w:eastAsia="Calibri" w:hAnsi="Arial" w:cs="Arial"/>
                <w:lang w:val="en-GB"/>
              </w:rPr>
              <w:t xml:space="preserve"> (Baill.) kernels, as a potential feed resource for livestock. Kernel cakes were collected from f</w:t>
            </w:r>
            <w:r w:rsidR="00E2500A" w:rsidRPr="00332126">
              <w:rPr>
                <w:rFonts w:ascii="Arial" w:eastAsia="Calibri" w:hAnsi="Arial" w:cs="Arial"/>
                <w:lang w:val="en-GB"/>
              </w:rPr>
              <w:t>ive major production areas in Co</w:t>
            </w:r>
            <w:r w:rsidRPr="00332126">
              <w:rPr>
                <w:rFonts w:ascii="Arial" w:eastAsia="Calibri" w:hAnsi="Arial" w:cs="Arial"/>
                <w:lang w:val="en-GB"/>
              </w:rPr>
              <w:t>te d’Ivoire, and aliquots were analyzed in the laboratory. Proximate composition was determined following AOA</w:t>
            </w:r>
            <w:r w:rsidR="00EE203E">
              <w:rPr>
                <w:rFonts w:ascii="Arial" w:eastAsia="Calibri" w:hAnsi="Arial" w:cs="Arial"/>
                <w:lang w:val="en-GB"/>
              </w:rPr>
              <w:t>C procedures. Carbohydrates were</w:t>
            </w:r>
            <w:r w:rsidRPr="00332126">
              <w:rPr>
                <w:rFonts w:ascii="Arial" w:eastAsia="Calibri" w:hAnsi="Arial" w:cs="Arial"/>
                <w:lang w:val="en-GB"/>
              </w:rPr>
              <w:t xml:space="preserve"> calculated by difference and crude fiber was assessed using sulfuric acid digestion. Energy values were estimated using Atwater and Rosa coefficients. Mineral contents (Mg, P, Ca, K, Fe, Cl, Zn) were determined by atomic absorption spectrophotometry and spectrophotometry. Antinutritional factors, including total polyphenols, phytates, flavonoids, tannins, and oxalates, were quantified by spectrophotometric and titrimetric methods. Results showed that proximate values ranged as follows (g/100 g), dry matter 92.7-95.6; ash 11.2-13.1; crude protein 47.0-61.3; carbohydrates 20.5-37.8; crude fiber 9.5-14.4; and metabolizable energy 322-465 kcal/100 g. pH and titratable acidity varied from 6.1 to 7.1 and 1.9 to 4.5 meq/100 g, respectively. Antinutritional compounds were present in significant amounts, total polyphenols (216.6-403.9 mg/100 g), phytates (52.2-71.4 mg/100 g), flavonoids (1.0-4.6 mg/100 g), tannins (16.4-41.8 mg/100 g), and oxalates (714.7-973.6 mg/100 g). </w:t>
            </w:r>
            <w:r w:rsidR="00895D7F" w:rsidRPr="00332126">
              <w:rPr>
                <w:rFonts w:ascii="Arial" w:eastAsia="Calibri" w:hAnsi="Arial" w:cs="Arial"/>
                <w:lang w:val="en-GB"/>
              </w:rPr>
              <w:t xml:space="preserve">The flour was shown to be a good source of proteins, phosphate, potassium, and calcium, even if it had some antinutritional aspects that made it less useful. To sum up, defatted flours made from </w:t>
            </w:r>
            <w:r w:rsidR="00895D7F" w:rsidRPr="00332126">
              <w:rPr>
                <w:rFonts w:ascii="Arial" w:eastAsia="Calibri" w:hAnsi="Arial" w:cs="Arial"/>
                <w:i/>
                <w:lang w:val="en-GB"/>
              </w:rPr>
              <w:t>Ricinodendron heudelotii</w:t>
            </w:r>
            <w:r w:rsidR="00895D7F" w:rsidRPr="00332126">
              <w:rPr>
                <w:rFonts w:ascii="Arial" w:eastAsia="Calibri" w:hAnsi="Arial" w:cs="Arial"/>
                <w:lang w:val="en-GB"/>
              </w:rPr>
              <w:t xml:space="preserve"> kernels are a good alternative protein source for feeding livestock in Côte d'Ivoire. Their nutritional composition suggests the possibility of lowering feed expenditures and enhancing protein sovereignty in animal husbandry. However, antinutritional variables show that animal diets need to be detoxified or processed in the right way to be safe and effective</w:t>
            </w:r>
            <w:r w:rsidRPr="00332126">
              <w:rPr>
                <w:rFonts w:ascii="Arial" w:eastAsia="Calibri" w:hAnsi="Arial" w:cs="Arial"/>
                <w:lang w:val="en-GB"/>
              </w:rPr>
              <w:t>.</w:t>
            </w:r>
          </w:p>
        </w:tc>
      </w:tr>
    </w:tbl>
    <w:p w14:paraId="15886278" w14:textId="77777777" w:rsidR="00636EB2" w:rsidRPr="00332126" w:rsidRDefault="00636EB2" w:rsidP="00441B6F">
      <w:pPr>
        <w:pStyle w:val="Body"/>
        <w:spacing w:after="0"/>
        <w:rPr>
          <w:rFonts w:ascii="Arial" w:hAnsi="Arial" w:cs="Arial"/>
          <w:i/>
          <w:lang w:val="en-GB"/>
        </w:rPr>
      </w:pPr>
    </w:p>
    <w:p w14:paraId="2C365882" w14:textId="77777777" w:rsidR="00A24E7E" w:rsidRPr="00332126" w:rsidRDefault="00A446C2" w:rsidP="00441B6F">
      <w:pPr>
        <w:pStyle w:val="Body"/>
        <w:spacing w:after="0"/>
        <w:rPr>
          <w:rFonts w:ascii="Arial" w:hAnsi="Arial" w:cs="Arial"/>
          <w:i/>
          <w:lang w:val="en-GB"/>
        </w:rPr>
      </w:pPr>
      <w:r w:rsidRPr="00332126">
        <w:rPr>
          <w:rFonts w:ascii="Arial" w:hAnsi="Arial" w:cs="Arial"/>
          <w:i/>
          <w:lang w:val="en-GB"/>
        </w:rPr>
        <w:t>Keywords: Ricinodendron heudelotii, defatted flour, proximate composition, antinutritional factors, livestock feeding, Côte d’Ivoire</w:t>
      </w:r>
    </w:p>
    <w:p w14:paraId="3BEE2E92" w14:textId="77777777" w:rsidR="00790ADA" w:rsidRPr="00332126" w:rsidRDefault="00790ADA" w:rsidP="00441B6F">
      <w:pPr>
        <w:pStyle w:val="Body"/>
        <w:spacing w:after="0"/>
        <w:rPr>
          <w:rFonts w:ascii="Arial" w:hAnsi="Arial" w:cs="Arial"/>
          <w:i/>
          <w:lang w:val="en-GB"/>
        </w:rPr>
      </w:pPr>
    </w:p>
    <w:p w14:paraId="3B7D6B7C" w14:textId="77777777" w:rsidR="0024282C" w:rsidRPr="00332126" w:rsidRDefault="0024282C" w:rsidP="00441B6F">
      <w:pPr>
        <w:pStyle w:val="Body"/>
        <w:spacing w:after="0"/>
        <w:rPr>
          <w:rFonts w:ascii="Arial" w:hAnsi="Arial" w:cs="Arial"/>
          <w:i/>
          <w:sz w:val="18"/>
          <w:lang w:val="en-GB"/>
        </w:rPr>
      </w:pPr>
    </w:p>
    <w:p w14:paraId="559142B8" w14:textId="77777777"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 xml:space="preserve">1. </w:t>
      </w:r>
      <w:r w:rsidR="00B01FCD" w:rsidRPr="00332126">
        <w:rPr>
          <w:rFonts w:ascii="Arial" w:hAnsi="Arial" w:cs="Arial"/>
          <w:lang w:val="en-GB"/>
        </w:rPr>
        <w:t>INTRODUCTION</w:t>
      </w:r>
      <w:r w:rsidR="007F7B32" w:rsidRPr="00332126">
        <w:rPr>
          <w:rFonts w:ascii="Arial" w:hAnsi="Arial" w:cs="Arial"/>
          <w:lang w:val="en-GB"/>
        </w:rPr>
        <w:t xml:space="preserve"> </w:t>
      </w:r>
    </w:p>
    <w:p w14:paraId="40B98268" w14:textId="77777777" w:rsidR="00790ADA" w:rsidRPr="00332126" w:rsidRDefault="00790ADA" w:rsidP="00441B6F">
      <w:pPr>
        <w:pStyle w:val="AbstHead"/>
        <w:spacing w:after="0"/>
        <w:jc w:val="both"/>
        <w:rPr>
          <w:rFonts w:ascii="Arial" w:hAnsi="Arial" w:cs="Arial"/>
          <w:lang w:val="en-GB"/>
        </w:rPr>
      </w:pPr>
    </w:p>
    <w:p w14:paraId="27CCA966" w14:textId="77777777" w:rsidR="001751A1" w:rsidRPr="00332126" w:rsidRDefault="009D0DC9" w:rsidP="001751A1">
      <w:pPr>
        <w:pStyle w:val="Body"/>
        <w:rPr>
          <w:rFonts w:ascii="Arial" w:hAnsi="Arial" w:cs="Arial"/>
          <w:lang w:val="en-GB"/>
        </w:rPr>
      </w:pPr>
      <w:r w:rsidRPr="00332126">
        <w:rPr>
          <w:rFonts w:ascii="Arial" w:hAnsi="Arial" w:cs="Arial"/>
          <w:lang w:val="en-GB"/>
        </w:rPr>
        <w:t xml:space="preserve">Livestock feeding is a major challenge for animal production in Côte d’Ivoire, with direct implications for food security and national sovereignty. </w:t>
      </w:r>
      <w:r w:rsidR="001751A1" w:rsidRPr="00332126">
        <w:rPr>
          <w:rFonts w:ascii="Arial" w:hAnsi="Arial" w:cs="Arial"/>
          <w:lang w:val="en-GB"/>
        </w:rPr>
        <w:t xml:space="preserve">Increasing feed expenses, the necessity to enhance feed quality, and the decrease in imports are pivotal challenges for </w:t>
      </w:r>
      <w:r w:rsidR="001751A1" w:rsidRPr="00332126">
        <w:rPr>
          <w:rFonts w:ascii="Arial" w:hAnsi="Arial" w:cs="Arial"/>
          <w:lang w:val="en-GB"/>
        </w:rPr>
        <w:lastRenderedPageBreak/>
        <w:t>attaining self-sufficiency in animal protein (IPRI, 2019; Ducroquet et al., 2017). Feed constitutes up to 60% of overall production expenses, and sufficient protein consumption is crucial for maintaining animal development, reproduction, and productivity (Feed Business Middle East and Africa, 2025; Poultry News Africa, 2025). Currently, domestic protein supply satisfies merely 57% of national demand, resulting in significant dependence on imports (FAO, 2004).</w:t>
      </w:r>
    </w:p>
    <w:p w14:paraId="718B6AD2" w14:textId="77777777" w:rsidR="001751A1" w:rsidRDefault="001751A1" w:rsidP="001751A1">
      <w:pPr>
        <w:pStyle w:val="Body"/>
        <w:rPr>
          <w:rFonts w:ascii="Arial" w:hAnsi="Arial" w:cs="Arial"/>
          <w:lang w:val="en-GB"/>
        </w:rPr>
      </w:pPr>
      <w:r w:rsidRPr="00332126">
        <w:rPr>
          <w:rFonts w:ascii="Arial" w:hAnsi="Arial" w:cs="Arial"/>
          <w:lang w:val="en-GB"/>
        </w:rPr>
        <w:t xml:space="preserve">To mitigate this deficiency, the enhancement of local plant-derived protein supplies emerges as a feasible approach. The kernel cake of </w:t>
      </w:r>
      <w:proofErr w:type="spellStart"/>
      <w:r w:rsidRPr="00332126">
        <w:rPr>
          <w:rFonts w:ascii="Arial" w:hAnsi="Arial" w:cs="Arial"/>
          <w:i/>
          <w:lang w:val="en-GB"/>
        </w:rPr>
        <w:t>Ricinodendron</w:t>
      </w:r>
      <w:proofErr w:type="spellEnd"/>
      <w:r w:rsidRPr="00332126">
        <w:rPr>
          <w:rFonts w:ascii="Arial" w:hAnsi="Arial" w:cs="Arial"/>
          <w:i/>
          <w:lang w:val="en-GB"/>
        </w:rPr>
        <w:t xml:space="preserve"> </w:t>
      </w:r>
      <w:proofErr w:type="spellStart"/>
      <w:r w:rsidRPr="00332126">
        <w:rPr>
          <w:rFonts w:ascii="Arial" w:hAnsi="Arial" w:cs="Arial"/>
          <w:i/>
          <w:lang w:val="en-GB"/>
        </w:rPr>
        <w:t>heudelotii</w:t>
      </w:r>
      <w:proofErr w:type="spellEnd"/>
      <w:r w:rsidRPr="00332126">
        <w:rPr>
          <w:rFonts w:ascii="Arial" w:hAnsi="Arial" w:cs="Arial"/>
          <w:lang w:val="en-GB"/>
        </w:rPr>
        <w:t>, known as akpi, a by-product of oil extraction from its seeds, has been recognized as a possible protein-rich feed component. Prior research indicates that raw kernels contain approximately 24% protein (Saki et al., 2005), however defatted flours may have up to 61% protein, in addition to significant caloric and mineral content (Coulibaly et al., 2018). Moreover, protein isolates derived from this cake exhibit good digestion (enzymatic digestibility &gt; 90%), with a quality akin to reference proteins (</w:t>
      </w:r>
      <w:proofErr w:type="spellStart"/>
      <w:r w:rsidRPr="00332126">
        <w:rPr>
          <w:rFonts w:ascii="Arial" w:hAnsi="Arial" w:cs="Arial"/>
          <w:lang w:val="en-GB"/>
        </w:rPr>
        <w:t>Kenfack</w:t>
      </w:r>
      <w:proofErr w:type="spellEnd"/>
      <w:r w:rsidRPr="00332126">
        <w:rPr>
          <w:rFonts w:ascii="Arial" w:hAnsi="Arial" w:cs="Arial"/>
          <w:lang w:val="en-GB"/>
        </w:rPr>
        <w:t>, 2010).</w:t>
      </w:r>
    </w:p>
    <w:p w14:paraId="7F518116" w14:textId="77777777" w:rsidR="00697D6C" w:rsidRPr="00332126" w:rsidRDefault="00697D6C" w:rsidP="001751A1">
      <w:pPr>
        <w:pStyle w:val="Body"/>
        <w:rPr>
          <w:rFonts w:ascii="Arial" w:hAnsi="Arial" w:cs="Arial"/>
          <w:lang w:val="en-GB"/>
        </w:rPr>
      </w:pPr>
      <w:r>
        <w:rPr>
          <w:rStyle w:val="CommentReference"/>
          <w:rFonts w:ascii="Times New Roman" w:hAnsi="Times New Roman"/>
          <w:lang w:val="nb-NO" w:eastAsia="nb-NO"/>
        </w:rPr>
        <w:commentReference w:id="0"/>
      </w:r>
    </w:p>
    <w:p w14:paraId="0C8DE00C" w14:textId="77777777" w:rsidR="00B01FCD" w:rsidRPr="00332126" w:rsidRDefault="001751A1" w:rsidP="001751A1">
      <w:pPr>
        <w:pStyle w:val="Body"/>
        <w:rPr>
          <w:rFonts w:ascii="Arial" w:hAnsi="Arial" w:cs="Arial"/>
          <w:lang w:val="en-GB"/>
        </w:rPr>
      </w:pPr>
      <w:r w:rsidRPr="00332126">
        <w:rPr>
          <w:rFonts w:ascii="Arial" w:hAnsi="Arial" w:cs="Arial"/>
          <w:lang w:val="en-GB"/>
        </w:rPr>
        <w:t xml:space="preserve">Notwithstanding these encouraging results, the incorporation of </w:t>
      </w:r>
      <w:r w:rsidRPr="00332126">
        <w:rPr>
          <w:rFonts w:ascii="Arial" w:hAnsi="Arial" w:cs="Arial"/>
          <w:i/>
          <w:lang w:val="en-GB"/>
        </w:rPr>
        <w:t>Ricinodendron heudelotii</w:t>
      </w:r>
      <w:r w:rsidRPr="00332126">
        <w:rPr>
          <w:rFonts w:ascii="Arial" w:hAnsi="Arial" w:cs="Arial"/>
          <w:lang w:val="en-GB"/>
        </w:rPr>
        <w:t xml:space="preserve"> (</w:t>
      </w:r>
      <w:r w:rsidRPr="00332126">
        <w:rPr>
          <w:rFonts w:ascii="Arial" w:hAnsi="Arial" w:cs="Arial"/>
          <w:i/>
          <w:lang w:val="en-GB"/>
        </w:rPr>
        <w:t xml:space="preserve">R. </w:t>
      </w:r>
      <w:proofErr w:type="spellStart"/>
      <w:r w:rsidRPr="00332126">
        <w:rPr>
          <w:rFonts w:ascii="Arial" w:hAnsi="Arial" w:cs="Arial"/>
          <w:i/>
          <w:lang w:val="en-GB"/>
        </w:rPr>
        <w:t>heudelotii</w:t>
      </w:r>
      <w:proofErr w:type="spellEnd"/>
      <w:r w:rsidRPr="00332126">
        <w:rPr>
          <w:rFonts w:ascii="Arial" w:hAnsi="Arial" w:cs="Arial"/>
          <w:lang w:val="en-GB"/>
        </w:rPr>
        <w:t xml:space="preserve">) kernel cake into animal feed formulations is still restricted. This mostly results from the absence of comprehensive, dependable, and current nutritional databases, which limits its judicious application by farmers and feed formulators. This study was conducted to produce an updated nutritional profile of </w:t>
      </w:r>
      <w:r w:rsidRPr="00332126">
        <w:rPr>
          <w:rFonts w:ascii="Arial" w:hAnsi="Arial" w:cs="Arial"/>
          <w:i/>
          <w:lang w:val="en-GB"/>
        </w:rPr>
        <w:t>R. Defatted</w:t>
      </w:r>
      <w:r w:rsidRPr="00332126">
        <w:rPr>
          <w:rFonts w:ascii="Arial" w:hAnsi="Arial" w:cs="Arial"/>
          <w:lang w:val="en-GB"/>
        </w:rPr>
        <w:t xml:space="preserve"> kernel flours of Heudelotii in Côte d'Ivoire. The aims were (1) to analyse their proximate, mineral, and antinutritional makeup, and (2) to emphasise their potential applications in cattle nutrition. This initiative seeks to reduce feed costs, enhance protein sovereignty in the livestock industry, and foster sustainable and competitive animal feeding systems</w:t>
      </w:r>
      <w:r w:rsidR="009D0DC9" w:rsidRPr="00332126">
        <w:rPr>
          <w:rFonts w:ascii="Arial" w:hAnsi="Arial" w:cs="Arial"/>
          <w:lang w:val="en-GB"/>
        </w:rPr>
        <w:t>.</w:t>
      </w:r>
    </w:p>
    <w:p w14:paraId="39D8D33F" w14:textId="77777777"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2. material and method</w:t>
      </w:r>
      <w:r w:rsidR="00000F8F" w:rsidRPr="00332126">
        <w:rPr>
          <w:rFonts w:ascii="Arial" w:hAnsi="Arial" w:cs="Arial"/>
          <w:lang w:val="en-GB"/>
        </w:rPr>
        <w:t xml:space="preserve">s </w:t>
      </w:r>
    </w:p>
    <w:p w14:paraId="4E2CFC24" w14:textId="77777777" w:rsidR="00790ADA" w:rsidRPr="00332126" w:rsidRDefault="00790ADA" w:rsidP="00441B6F">
      <w:pPr>
        <w:pStyle w:val="AbstHead"/>
        <w:spacing w:after="0"/>
        <w:jc w:val="both"/>
        <w:rPr>
          <w:rFonts w:ascii="Arial" w:hAnsi="Arial" w:cs="Arial"/>
          <w:lang w:val="en-GB"/>
        </w:rPr>
      </w:pPr>
    </w:p>
    <w:p w14:paraId="66EE0A94" w14:textId="77777777" w:rsidR="0050484D" w:rsidRDefault="0050484D" w:rsidP="00A85BB5">
      <w:pPr>
        <w:pStyle w:val="Body"/>
        <w:rPr>
          <w:rFonts w:ascii="Arial" w:hAnsi="Arial" w:cs="Arial"/>
          <w:b/>
          <w:lang w:val="en-GB"/>
        </w:rPr>
      </w:pPr>
      <w:r>
        <w:rPr>
          <w:rStyle w:val="CommentReference"/>
          <w:rFonts w:ascii="Times New Roman" w:hAnsi="Times New Roman"/>
          <w:lang w:val="nb-NO" w:eastAsia="nb-NO"/>
        </w:rPr>
        <w:commentReference w:id="1"/>
      </w:r>
    </w:p>
    <w:p w14:paraId="2ED1CC44" w14:textId="77777777" w:rsidR="00A85BB5" w:rsidRPr="00332126" w:rsidRDefault="00A85BB5" w:rsidP="00A85BB5">
      <w:pPr>
        <w:pStyle w:val="Body"/>
        <w:rPr>
          <w:rFonts w:ascii="Arial" w:hAnsi="Arial" w:cs="Arial"/>
          <w:lang w:val="en-GB"/>
        </w:rPr>
      </w:pPr>
      <w:r w:rsidRPr="00332126">
        <w:rPr>
          <w:rFonts w:ascii="Arial" w:hAnsi="Arial" w:cs="Arial"/>
          <w:b/>
          <w:lang w:val="en-GB"/>
        </w:rPr>
        <w:t>Biological material:</w:t>
      </w:r>
      <w:r w:rsidRPr="00332126">
        <w:rPr>
          <w:rFonts w:ascii="Arial" w:hAnsi="Arial" w:cs="Arial"/>
          <w:lang w:val="en-GB"/>
        </w:rPr>
        <w:t xml:space="preserve"> Samples consisted of kernel cakes of </w:t>
      </w:r>
      <w:r w:rsidRPr="00332126">
        <w:rPr>
          <w:rFonts w:ascii="Arial" w:hAnsi="Arial" w:cs="Arial"/>
          <w:i/>
          <w:lang w:val="en-GB"/>
        </w:rPr>
        <w:t>Ricinodendron heudelotii</w:t>
      </w:r>
      <w:r w:rsidRPr="00332126">
        <w:rPr>
          <w:rFonts w:ascii="Arial" w:hAnsi="Arial" w:cs="Arial"/>
          <w:lang w:val="en-GB"/>
        </w:rPr>
        <w:t xml:space="preserve"> (Baill.) obtained from seeds collected in different localities of Côte d’Ivoire.</w:t>
      </w:r>
    </w:p>
    <w:p w14:paraId="419628B7" w14:textId="77777777" w:rsidR="00A85BB5" w:rsidRPr="00332126" w:rsidRDefault="00A85BB5" w:rsidP="00A85BB5">
      <w:pPr>
        <w:pStyle w:val="Body"/>
        <w:rPr>
          <w:rFonts w:ascii="Arial" w:hAnsi="Arial" w:cs="Arial"/>
          <w:lang w:val="en-GB"/>
        </w:rPr>
      </w:pPr>
      <w:r w:rsidRPr="00332126">
        <w:rPr>
          <w:rFonts w:ascii="Arial" w:hAnsi="Arial" w:cs="Arial"/>
          <w:b/>
          <w:lang w:val="en-GB"/>
        </w:rPr>
        <w:t>Reagents and equipment:</w:t>
      </w:r>
      <w:r w:rsidRPr="00332126">
        <w:rPr>
          <w:rFonts w:ascii="Arial" w:hAnsi="Arial" w:cs="Arial"/>
          <w:lang w:val="en-GB"/>
        </w:rPr>
        <w:t xml:space="preserve"> All reagents used were of analytical grade (Sigma-Aldrich®, Merck®). The main equipment included a ventilated oven (Memmert®, Germany), a muffle furnace (Nabertherm®, Germany), a UV-Visible spectrophotometer (Shimadzu®, Japan), a precision balance (Sartorius®, Germany), and an electric grinder (Retsch®, Germany).</w:t>
      </w:r>
    </w:p>
    <w:p w14:paraId="38A4D06B" w14:textId="77777777" w:rsidR="00B95236" w:rsidRPr="00332126" w:rsidRDefault="00A85BB5" w:rsidP="00A85BB5">
      <w:pPr>
        <w:pStyle w:val="Body"/>
        <w:spacing w:after="0"/>
        <w:rPr>
          <w:rFonts w:ascii="Arial" w:hAnsi="Arial" w:cs="Arial"/>
          <w:lang w:val="en-GB"/>
        </w:rPr>
      </w:pPr>
      <w:r w:rsidRPr="00332126">
        <w:rPr>
          <w:rFonts w:ascii="Arial" w:hAnsi="Arial" w:cs="Arial"/>
          <w:b/>
          <w:lang w:val="en-GB"/>
        </w:rPr>
        <w:t>Sampling procedure:</w:t>
      </w:r>
      <w:commentRangeStart w:id="2"/>
      <w:r w:rsidRPr="00332126">
        <w:rPr>
          <w:rFonts w:ascii="Arial" w:hAnsi="Arial" w:cs="Arial"/>
          <w:lang w:val="en-GB"/>
        </w:rPr>
        <w:t xml:space="preserve"> </w:t>
      </w:r>
      <w:commentRangeEnd w:id="2"/>
      <w:r w:rsidR="008607FA">
        <w:rPr>
          <w:rStyle w:val="CommentReference"/>
          <w:rFonts w:ascii="Times New Roman" w:hAnsi="Times New Roman"/>
          <w:lang w:val="nb-NO" w:eastAsia="nb-NO"/>
        </w:rPr>
        <w:commentReference w:id="2"/>
      </w:r>
      <w:r w:rsidRPr="00332126">
        <w:rPr>
          <w:rFonts w:ascii="Arial" w:hAnsi="Arial" w:cs="Arial"/>
          <w:lang w:val="en-GB"/>
        </w:rPr>
        <w:t xml:space="preserve">A prospective survey was conducted in six major markets of Abidjan (Gouro-Adjamé, Abobo, Treichville, Yopougon, Marcory, and Koumassi), which represent the main supply hubs for food products in the city (IFC, 2020). Wholesalers and retailers were interviewed about the origin of </w:t>
      </w:r>
      <w:r w:rsidRPr="00332126">
        <w:rPr>
          <w:rFonts w:ascii="Arial" w:hAnsi="Arial" w:cs="Arial"/>
          <w:i/>
          <w:lang w:val="en-GB"/>
        </w:rPr>
        <w:t>R. heudelotii</w:t>
      </w:r>
      <w:r w:rsidRPr="00332126">
        <w:rPr>
          <w:rFonts w:ascii="Arial" w:hAnsi="Arial" w:cs="Arial"/>
          <w:lang w:val="en-GB"/>
        </w:rPr>
        <w:t xml:space="preserve"> kernels, and ten localities were identified for sample collection. These included the Haut-Sassandra region (Daloa, Vavoua, Issia), the Lôh-Djiboua region (Divo, Lakota), the Gontougo region (Bondoukou), and t</w:t>
      </w:r>
      <w:r w:rsidR="0043799B" w:rsidRPr="00332126">
        <w:rPr>
          <w:rFonts w:ascii="Arial" w:hAnsi="Arial" w:cs="Arial"/>
          <w:lang w:val="en-GB"/>
        </w:rPr>
        <w:t>he District of Abidjan (Fig. 1)</w:t>
      </w:r>
      <w:r w:rsidR="00B95236" w:rsidRPr="00332126">
        <w:rPr>
          <w:rFonts w:ascii="Arial" w:hAnsi="Arial" w:cs="Arial"/>
          <w:lang w:val="en-GB"/>
        </w:rPr>
        <w:t>.</w:t>
      </w:r>
    </w:p>
    <w:p w14:paraId="25DC6DD7" w14:textId="77777777" w:rsidR="00790ADA" w:rsidRPr="00332126" w:rsidRDefault="00790ADA" w:rsidP="00441B6F">
      <w:pPr>
        <w:pStyle w:val="Body"/>
        <w:spacing w:after="0"/>
        <w:rPr>
          <w:rFonts w:ascii="Arial" w:hAnsi="Arial" w:cs="Arial"/>
          <w:lang w:val="en-GB"/>
        </w:rPr>
      </w:pPr>
    </w:p>
    <w:p w14:paraId="146EAA33" w14:textId="77777777" w:rsidR="007B3AB8" w:rsidRPr="00332126" w:rsidRDefault="007B3AB8" w:rsidP="007B3AB8">
      <w:pPr>
        <w:spacing w:line="360" w:lineRule="auto"/>
        <w:jc w:val="center"/>
        <w:rPr>
          <w:rFonts w:ascii="Arial Narrow" w:hAnsi="Arial Narrow"/>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792"/>
        <w:gridCol w:w="2765"/>
      </w:tblGrid>
      <w:tr w:rsidR="007B3AB8" w:rsidRPr="00332126" w14:paraId="1A6FB274" w14:textId="77777777" w:rsidTr="002D1CF3">
        <w:tc>
          <w:tcPr>
            <w:tcW w:w="3123" w:type="dxa"/>
          </w:tcPr>
          <w:p w14:paraId="748418E0"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lastRenderedPageBreak/>
              <w:drawing>
                <wp:anchor distT="0" distB="0" distL="114300" distR="114300" simplePos="0" relativeHeight="251659264" behindDoc="0" locked="0" layoutInCell="1" allowOverlap="1" wp14:anchorId="7317FF1F" wp14:editId="7AA34CF5">
                  <wp:simplePos x="0" y="0"/>
                  <wp:positionH relativeFrom="column">
                    <wp:posOffset>-9525</wp:posOffset>
                  </wp:positionH>
                  <wp:positionV relativeFrom="paragraph">
                    <wp:posOffset>5080</wp:posOffset>
                  </wp:positionV>
                  <wp:extent cx="1440000" cy="1429654"/>
                  <wp:effectExtent l="0" t="0" r="8255" b="0"/>
                  <wp:wrapSquare wrapText="bothSides"/>
                  <wp:docPr id="4" name="Image 4" descr="D:\Ricinodendron\AGBOVILLE AMENGBEU\FILE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Ricinodendron\AGBOVILLE AMENGBEU\FILE1134.JPG"/>
                          <pic:cNvPicPr>
                            <a:picLocks noChangeAspect="1" noChangeArrowheads="1"/>
                          </pic:cNvPicPr>
                        </pic:nvPicPr>
                        <pic:blipFill>
                          <a:blip r:embed="rId16">
                            <a:extLst>
                              <a:ext uri="{28A0092B-C50C-407E-A947-70E740481C1C}">
                                <a14:useLocalDpi xmlns:a14="http://schemas.microsoft.com/office/drawing/2010/main" val="0"/>
                              </a:ext>
                            </a:extLst>
                          </a:blip>
                          <a:srcRect l="29950" t="43401" r="42331" b="6200"/>
                          <a:stretch>
                            <a:fillRect/>
                          </a:stretch>
                        </pic:blipFill>
                        <pic:spPr bwMode="auto">
                          <a:xfrm>
                            <a:off x="0" y="0"/>
                            <a:ext cx="1440000" cy="14296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60288" behindDoc="0" locked="0" layoutInCell="1" allowOverlap="1" wp14:anchorId="65CC4737" wp14:editId="68D4FEB1">
                      <wp:simplePos x="0" y="0"/>
                      <wp:positionH relativeFrom="column">
                        <wp:posOffset>1238250</wp:posOffset>
                      </wp:positionH>
                      <wp:positionV relativeFrom="paragraph">
                        <wp:posOffset>1567180</wp:posOffset>
                      </wp:positionV>
                      <wp:extent cx="429895" cy="307340"/>
                      <wp:effectExtent l="0" t="0" r="8255" b="0"/>
                      <wp:wrapSquare wrapText="bothSides"/>
                      <wp:docPr id="1912" name="Zone de texte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D297B"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C4737" id="_x0000_t202" coordsize="21600,21600" o:spt="202" path="m,l,21600r21600,l21600,xe">
                      <v:stroke joinstyle="miter"/>
                      <v:path gradientshapeok="t" o:connecttype="rect"/>
                    </v:shapetype>
                    <v:shape id="Zone de texte 1912" o:spid="_x0000_s1026" type="#_x0000_t202" style="position:absolute;left:0;text-align:left;margin-left:97.5pt;margin-top:123.4pt;width:33.8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" stroked="f">
                      <v:textbox>
                        <w:txbxContent>
                          <w:p w14:paraId="3FCD297B"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(a)</w:t>
                            </w:r>
                          </w:p>
                        </w:txbxContent>
                      </v:textbox>
                      <w10:wrap type="square"/>
                    </v:shape>
                  </w:pict>
                </mc:Fallback>
              </mc:AlternateContent>
            </w:r>
          </w:p>
        </w:tc>
        <w:tc>
          <w:tcPr>
            <w:tcW w:w="3119" w:type="dxa"/>
          </w:tcPr>
          <w:p w14:paraId="0ABB4BFB"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1312" behindDoc="0" locked="0" layoutInCell="1" allowOverlap="1" wp14:anchorId="4E3BB3DA" wp14:editId="636F8D15">
                  <wp:simplePos x="0" y="0"/>
                  <wp:positionH relativeFrom="column">
                    <wp:posOffset>-4445</wp:posOffset>
                  </wp:positionH>
                  <wp:positionV relativeFrom="paragraph">
                    <wp:posOffset>7620</wp:posOffset>
                  </wp:positionV>
                  <wp:extent cx="1476000" cy="1465395"/>
                  <wp:effectExtent l="0" t="0" r="0" b="1905"/>
                  <wp:wrapNone/>
                  <wp:docPr id="5" name="Image 5" descr="D:\Ricinodendron\AGBOVILLE AMENGBEU\FILE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Ricinodendron\AGBOVILLE AMENGBEU\FILE1105.JPG"/>
                          <pic:cNvPicPr>
                            <a:picLocks noChangeAspect="1" noChangeArrowheads="1"/>
                          </pic:cNvPicPr>
                        </pic:nvPicPr>
                        <pic:blipFill>
                          <a:blip r:embed="rId17" cstate="print">
                            <a:extLst>
                              <a:ext uri="{28A0092B-C50C-407E-A947-70E740481C1C}">
                                <a14:useLocalDpi xmlns:a14="http://schemas.microsoft.com/office/drawing/2010/main" val="0"/>
                              </a:ext>
                            </a:extLst>
                          </a:blip>
                          <a:srcRect l="15227" t="2200" r="26233" b="2592"/>
                          <a:stretch>
                            <a:fillRect/>
                          </a:stretch>
                        </pic:blipFill>
                        <pic:spPr bwMode="auto">
                          <a:xfrm>
                            <a:off x="0" y="0"/>
                            <a:ext cx="1476000" cy="146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62336" behindDoc="0" locked="0" layoutInCell="1" allowOverlap="1" wp14:anchorId="49844521" wp14:editId="725CEF68">
                      <wp:simplePos x="0" y="0"/>
                      <wp:positionH relativeFrom="column">
                        <wp:posOffset>1276350</wp:posOffset>
                      </wp:positionH>
                      <wp:positionV relativeFrom="paragraph">
                        <wp:posOffset>1584325</wp:posOffset>
                      </wp:positionV>
                      <wp:extent cx="429895" cy="307340"/>
                      <wp:effectExtent l="0" t="0" r="8255" b="0"/>
                      <wp:wrapNone/>
                      <wp:docPr id="1913" name="Zone de texte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1617E"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44521" id="Zone de texte 1913" o:spid="_x0000_s1027" type="#_x0000_t202" style="position:absolute;left:0;text-align:left;margin-left:100.5pt;margin-top:124.75pt;width:33.8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" stroked="f">
                      <v:textbox>
                        <w:txbxContent>
                          <w:p w14:paraId="3D91617E"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(b)</w:t>
                            </w:r>
                          </w:p>
                        </w:txbxContent>
                      </v:textbox>
                    </v:shape>
                  </w:pict>
                </mc:Fallback>
              </mc:AlternateContent>
            </w:r>
          </w:p>
        </w:tc>
        <w:tc>
          <w:tcPr>
            <w:tcW w:w="3118" w:type="dxa"/>
          </w:tcPr>
          <w:p w14:paraId="4E5E8060"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3360" behindDoc="0" locked="0" layoutInCell="1" allowOverlap="1" wp14:anchorId="7259629D" wp14:editId="6A29085C">
                  <wp:simplePos x="0" y="0"/>
                  <wp:positionH relativeFrom="column">
                    <wp:posOffset>-2540</wp:posOffset>
                  </wp:positionH>
                  <wp:positionV relativeFrom="paragraph">
                    <wp:posOffset>7620</wp:posOffset>
                  </wp:positionV>
                  <wp:extent cx="1476000" cy="1465395"/>
                  <wp:effectExtent l="0" t="0" r="0" b="1905"/>
                  <wp:wrapNone/>
                  <wp:docPr id="6" name="Image 6" descr="D:\Ricinodendron\PHOTO AKPI\DIVO DIDOKO\P116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icinodendron\PHOTO AKPI\DIVO DIDOKO\P1160262.JPG"/>
                          <pic:cNvPicPr>
                            <a:picLocks noChangeAspect="1" noChangeArrowheads="1"/>
                          </pic:cNvPicPr>
                        </pic:nvPicPr>
                        <pic:blipFill>
                          <a:blip r:embed="rId18" cstate="print">
                            <a:extLst>
                              <a:ext uri="{28A0092B-C50C-407E-A947-70E740481C1C}">
                                <a14:useLocalDpi xmlns:a14="http://schemas.microsoft.com/office/drawing/2010/main" val="0"/>
                              </a:ext>
                            </a:extLst>
                          </a:blip>
                          <a:srcRect l="35233" t="45088" r="24838"/>
                          <a:stretch>
                            <a:fillRect/>
                          </a:stretch>
                        </pic:blipFill>
                        <pic:spPr bwMode="auto">
                          <a:xfrm>
                            <a:off x="0" y="0"/>
                            <a:ext cx="1476000" cy="146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64384" behindDoc="0" locked="0" layoutInCell="1" allowOverlap="1" wp14:anchorId="43329DD8" wp14:editId="07DE3AF1">
                      <wp:simplePos x="0" y="0"/>
                      <wp:positionH relativeFrom="column">
                        <wp:posOffset>1250950</wp:posOffset>
                      </wp:positionH>
                      <wp:positionV relativeFrom="paragraph">
                        <wp:posOffset>1581785</wp:posOffset>
                      </wp:positionV>
                      <wp:extent cx="429895" cy="307340"/>
                      <wp:effectExtent l="0" t="0" r="825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F19B0"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29DD8" id="Zone de texte 7" o:spid="_x0000_s1028" type="#_x0000_t202" style="position:absolute;left:0;text-align:left;margin-left:98.5pt;margin-top:124.55pt;width:33.85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WMiwIAABo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" stroked="f">
                      <v:textbox>
                        <w:txbxContent>
                          <w:p w14:paraId="382F19B0"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(C)</w:t>
                            </w:r>
                          </w:p>
                        </w:txbxContent>
                      </v:textbox>
                    </v:shape>
                  </w:pict>
                </mc:Fallback>
              </mc:AlternateContent>
            </w:r>
          </w:p>
        </w:tc>
      </w:tr>
      <w:tr w:rsidR="007B3AB8" w:rsidRPr="00332126" w14:paraId="38C7BFA0" w14:textId="77777777" w:rsidTr="002D1CF3">
        <w:tc>
          <w:tcPr>
            <w:tcW w:w="3123" w:type="dxa"/>
          </w:tcPr>
          <w:p w14:paraId="4A1DBBDF"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5408" behindDoc="0" locked="0" layoutInCell="1" allowOverlap="1" wp14:anchorId="7387F05C" wp14:editId="411CFE32">
                  <wp:simplePos x="0" y="0"/>
                  <wp:positionH relativeFrom="column">
                    <wp:posOffset>-9525</wp:posOffset>
                  </wp:positionH>
                  <wp:positionV relativeFrom="paragraph">
                    <wp:posOffset>635</wp:posOffset>
                  </wp:positionV>
                  <wp:extent cx="1475740" cy="1448435"/>
                  <wp:effectExtent l="0" t="0" r="0" b="0"/>
                  <wp:wrapSquare wrapText="bothSides"/>
                  <wp:docPr id="8" name="Image 8" descr="D:\Ricinodendron\LAKOTA BRIHIRI\PB21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Ricinodendron\LAKOTA BRIHIRI\PB210086.JPG"/>
                          <pic:cNvPicPr>
                            <a:picLocks noChangeAspect="1" noChangeArrowheads="1"/>
                          </pic:cNvPicPr>
                        </pic:nvPicPr>
                        <pic:blipFill>
                          <a:blip r:embed="rId19" cstate="print">
                            <a:lum bright="-10000" contrast="20000"/>
                            <a:extLst>
                              <a:ext uri="{28A0092B-C50C-407E-A947-70E740481C1C}">
                                <a14:useLocalDpi xmlns:a14="http://schemas.microsoft.com/office/drawing/2010/main" val="0"/>
                              </a:ext>
                            </a:extLst>
                          </a:blip>
                          <a:srcRect l="23016" t="46797" r="49316" b="8897"/>
                          <a:stretch>
                            <a:fillRect/>
                          </a:stretch>
                        </pic:blipFill>
                        <pic:spPr bwMode="auto">
                          <a:xfrm>
                            <a:off x="0" y="0"/>
                            <a:ext cx="1475740" cy="144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66432" behindDoc="0" locked="0" layoutInCell="1" allowOverlap="1" wp14:anchorId="105098E9" wp14:editId="7F06E6D3">
                      <wp:simplePos x="0" y="0"/>
                      <wp:positionH relativeFrom="column">
                        <wp:posOffset>1209675</wp:posOffset>
                      </wp:positionH>
                      <wp:positionV relativeFrom="paragraph">
                        <wp:posOffset>1572260</wp:posOffset>
                      </wp:positionV>
                      <wp:extent cx="469900" cy="307340"/>
                      <wp:effectExtent l="0" t="0" r="6350" b="0"/>
                      <wp:wrapSquare wrapText="bothSides"/>
                      <wp:docPr id="1908" name="Zone de texte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82C2"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5098E9" id="Zone de texte 1908" o:spid="_x0000_s1029" type="#_x0000_t202" style="position:absolute;left:0;text-align:left;margin-left:95.25pt;margin-top:123.8pt;width:37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" stroked="f">
                      <v:textbox>
                        <w:txbxContent>
                          <w:p w14:paraId="538C82C2"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(d)</w:t>
                            </w:r>
                          </w:p>
                        </w:txbxContent>
                      </v:textbox>
                      <w10:wrap type="square"/>
                    </v:shape>
                  </w:pict>
                </mc:Fallback>
              </mc:AlternateContent>
            </w:r>
          </w:p>
        </w:tc>
        <w:tc>
          <w:tcPr>
            <w:tcW w:w="3119" w:type="dxa"/>
          </w:tcPr>
          <w:p w14:paraId="71BD2889"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7456" behindDoc="0" locked="0" layoutInCell="1" allowOverlap="1" wp14:anchorId="46D23818" wp14:editId="09BECBE9">
                  <wp:simplePos x="0" y="0"/>
                  <wp:positionH relativeFrom="column">
                    <wp:posOffset>-7620</wp:posOffset>
                  </wp:positionH>
                  <wp:positionV relativeFrom="paragraph">
                    <wp:posOffset>635</wp:posOffset>
                  </wp:positionV>
                  <wp:extent cx="1368000" cy="1448085"/>
                  <wp:effectExtent l="0" t="0" r="3810" b="0"/>
                  <wp:wrapSquare wrapText="bothSides"/>
                  <wp:docPr id="3" name="Image 3" descr="D:\Ricinodendron\AGBOVILLE AMENGBEU\FILE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Ricinodendron\AGBOVILLE AMENGBEU\FILE0959.JPG"/>
                          <pic:cNvPicPr>
                            <a:picLocks noChangeAspect="1" noChangeArrowheads="1"/>
                          </pic:cNvPicPr>
                        </pic:nvPicPr>
                        <pic:blipFill>
                          <a:blip r:embed="rId20">
                            <a:extLst>
                              <a:ext uri="{28A0092B-C50C-407E-A947-70E740481C1C}">
                                <a14:useLocalDpi xmlns:a14="http://schemas.microsoft.com/office/drawing/2010/main" val="0"/>
                              </a:ext>
                            </a:extLst>
                          </a:blip>
                          <a:srcRect l="23241" t="5377" r="21185" b="13289"/>
                          <a:stretch>
                            <a:fillRect/>
                          </a:stretch>
                        </pic:blipFill>
                        <pic:spPr bwMode="auto">
                          <a:xfrm>
                            <a:off x="0" y="0"/>
                            <a:ext cx="1368000" cy="144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68480" behindDoc="0" locked="0" layoutInCell="1" allowOverlap="1" wp14:anchorId="77A15F4A" wp14:editId="04D19C30">
                      <wp:simplePos x="0" y="0"/>
                      <wp:positionH relativeFrom="column">
                        <wp:posOffset>1243330</wp:posOffset>
                      </wp:positionH>
                      <wp:positionV relativeFrom="paragraph">
                        <wp:posOffset>1572260</wp:posOffset>
                      </wp:positionV>
                      <wp:extent cx="434975" cy="307340"/>
                      <wp:effectExtent l="0" t="0" r="3175" b="0"/>
                      <wp:wrapNone/>
                      <wp:docPr id="1909" name="Zone de texte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706B5"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15F4A" id="Zone de texte 1909" o:spid="_x0000_s1030" type="#_x0000_t202" style="position:absolute;left:0;text-align:left;margin-left:97.9pt;margin-top:123.8pt;width:34.25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" stroked="f">
                      <v:textbox>
                        <w:txbxContent>
                          <w:p w14:paraId="075706B5"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(e)</w:t>
                            </w:r>
                          </w:p>
                        </w:txbxContent>
                      </v:textbox>
                    </v:shape>
                  </w:pict>
                </mc:Fallback>
              </mc:AlternateContent>
            </w:r>
          </w:p>
        </w:tc>
        <w:tc>
          <w:tcPr>
            <w:tcW w:w="3118" w:type="dxa"/>
          </w:tcPr>
          <w:p w14:paraId="00C8F766"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rPr>
              <w:drawing>
                <wp:anchor distT="0" distB="0" distL="114300" distR="114300" simplePos="0" relativeHeight="251669504" behindDoc="0" locked="0" layoutInCell="1" allowOverlap="1" wp14:anchorId="78618C1D" wp14:editId="51493AF5">
                  <wp:simplePos x="0" y="0"/>
                  <wp:positionH relativeFrom="column">
                    <wp:posOffset>-5715</wp:posOffset>
                  </wp:positionH>
                  <wp:positionV relativeFrom="paragraph">
                    <wp:posOffset>635</wp:posOffset>
                  </wp:positionV>
                  <wp:extent cx="1332000" cy="1439689"/>
                  <wp:effectExtent l="0" t="0" r="1905" b="8255"/>
                  <wp:wrapSquare wrapText="bothSides"/>
                  <wp:docPr id="9" name="Image 9" descr="D:\Ricinodendron\HUILES\IMG_20160505_13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Ricinodendron\HUILES\IMG_20160505_130341.jpg"/>
                          <pic:cNvPicPr>
                            <a:picLocks noChangeAspect="1" noChangeArrowheads="1"/>
                          </pic:cNvPicPr>
                        </pic:nvPicPr>
                        <pic:blipFill>
                          <a:blip r:embed="rId21" cstate="print">
                            <a:lum contrast="40000"/>
                            <a:extLst>
                              <a:ext uri="{28A0092B-C50C-407E-A947-70E740481C1C}">
                                <a14:useLocalDpi xmlns:a14="http://schemas.microsoft.com/office/drawing/2010/main" val="0"/>
                              </a:ext>
                            </a:extLst>
                          </a:blip>
                          <a:srcRect l="20763" t="30232" r="19214" b="30309"/>
                          <a:stretch>
                            <a:fillRect/>
                          </a:stretch>
                        </pic:blipFill>
                        <pic:spPr bwMode="auto">
                          <a:xfrm>
                            <a:off x="0" y="0"/>
                            <a:ext cx="1332000" cy="14396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rPr>
              <mc:AlternateContent>
                <mc:Choice Requires="wps">
                  <w:drawing>
                    <wp:anchor distT="0" distB="0" distL="114300" distR="114300" simplePos="0" relativeHeight="251670528" behindDoc="0" locked="0" layoutInCell="1" allowOverlap="1" wp14:anchorId="01679DC0" wp14:editId="7F1B92EE">
                      <wp:simplePos x="0" y="0"/>
                      <wp:positionH relativeFrom="column">
                        <wp:posOffset>1242060</wp:posOffset>
                      </wp:positionH>
                      <wp:positionV relativeFrom="paragraph">
                        <wp:posOffset>1572260</wp:posOffset>
                      </wp:positionV>
                      <wp:extent cx="347980" cy="307340"/>
                      <wp:effectExtent l="0" t="0" r="0" b="0"/>
                      <wp:wrapSquare wrapText="bothSides"/>
                      <wp:docPr id="1907" name="Zone de texte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3E08"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79DC0" id="Zone de texte 1907" o:spid="_x0000_s1031" type="#_x0000_t202" style="position:absolute;left:0;text-align:left;margin-left:97.8pt;margin-top:123.8pt;width:27.4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" stroked="f">
                      <v:textbox>
                        <w:txbxContent>
                          <w:p w14:paraId="5C8D3E08"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(f)</w:t>
                            </w:r>
                          </w:p>
                        </w:txbxContent>
                      </v:textbox>
                      <w10:wrap type="square"/>
                    </v:shape>
                  </w:pict>
                </mc:Fallback>
              </mc:AlternateContent>
            </w:r>
          </w:p>
        </w:tc>
      </w:tr>
    </w:tbl>
    <w:p w14:paraId="620F201C" w14:textId="77777777" w:rsidR="007B3AB8" w:rsidRPr="00332126" w:rsidRDefault="007B3AB8" w:rsidP="00526207">
      <w:pPr>
        <w:jc w:val="both"/>
        <w:rPr>
          <w:rFonts w:ascii="Arial" w:hAnsi="Arial" w:cs="Arial"/>
          <w:b/>
          <w:lang w:val="en-GB"/>
        </w:rPr>
      </w:pPr>
      <w:r w:rsidRPr="00332126">
        <w:rPr>
          <w:rFonts w:ascii="Arial" w:hAnsi="Arial" w:cs="Arial"/>
          <w:b/>
          <w:lang w:val="en-GB"/>
        </w:rPr>
        <w:t>Fig 1. Kernels from the District of Abidjan (a and b), the Lôh-Djiboua region (Divo, c and d), the Gontougo region (Koun-Fao, e) and the Haut-Sassandra region (Issia, f).</w:t>
      </w:r>
    </w:p>
    <w:p w14:paraId="794FC64F" w14:textId="77777777" w:rsidR="00526207" w:rsidRPr="00332126" w:rsidRDefault="00526207" w:rsidP="00526207">
      <w:pPr>
        <w:jc w:val="both"/>
        <w:rPr>
          <w:rFonts w:ascii="Arial" w:hAnsi="Arial" w:cs="Arial"/>
          <w:b/>
          <w:lang w:val="en-GB"/>
        </w:rPr>
      </w:pPr>
    </w:p>
    <w:p w14:paraId="0477B35F" w14:textId="081C0D93" w:rsidR="00526207" w:rsidRPr="00332126" w:rsidRDefault="00526207" w:rsidP="00526207">
      <w:pPr>
        <w:pStyle w:val="Body"/>
        <w:rPr>
          <w:rFonts w:ascii="Arial" w:hAnsi="Arial" w:cs="Arial"/>
          <w:lang w:val="en-GB"/>
        </w:rPr>
      </w:pPr>
      <w:r w:rsidRPr="00332126">
        <w:rPr>
          <w:rFonts w:ascii="Arial" w:hAnsi="Arial" w:cs="Arial"/>
          <w:b/>
          <w:lang w:val="en-GB"/>
        </w:rPr>
        <w:t>Sample preparation:</w:t>
      </w:r>
      <w:r w:rsidRPr="00332126">
        <w:rPr>
          <w:rFonts w:ascii="Arial" w:hAnsi="Arial" w:cs="Arial"/>
          <w:lang w:val="en-GB"/>
        </w:rPr>
        <w:t xml:space="preserve"> Seeds were cooked in boiling distilled water following the method of Kaankuka et al. (1996) adapted from soybean processing. Cooked seeds were drained, decorticated, and</w:t>
      </w:r>
      <w:r w:rsidR="00485FFD">
        <w:rPr>
          <w:rFonts w:ascii="Arial" w:hAnsi="Arial" w:cs="Arial"/>
          <w:lang w:val="en-GB"/>
        </w:rPr>
        <w:t xml:space="preserve"> dried in a ventilated oven (45</w:t>
      </w:r>
      <w:r w:rsidRPr="00332126">
        <w:rPr>
          <w:rFonts w:ascii="Arial" w:hAnsi="Arial" w:cs="Arial"/>
          <w:lang w:val="en-GB"/>
        </w:rPr>
        <w:t>°C, 24 h). Dried kernels were ground (Moulinex®, France) for 5 min and subjected to hexane extraction of crude fat according to AFNOR (1981). Residues (kernel cakes) were desolventized at room temperature (1 h) and oven-dried (45 °C, 2 h). The resulting flours were sieved (500 µm) and stored in airtight glass containers, protected from light and humidity, until analysis.</w:t>
      </w:r>
    </w:p>
    <w:p w14:paraId="7F2901EC" w14:textId="4049CC44" w:rsidR="00526207" w:rsidRPr="00332126" w:rsidRDefault="00526207" w:rsidP="00526207">
      <w:pPr>
        <w:pStyle w:val="Body"/>
        <w:rPr>
          <w:rFonts w:ascii="Arial" w:hAnsi="Arial" w:cs="Arial"/>
          <w:lang w:val="en-GB"/>
        </w:rPr>
      </w:pPr>
      <w:r w:rsidRPr="00332126">
        <w:rPr>
          <w:rFonts w:ascii="Arial" w:hAnsi="Arial" w:cs="Arial"/>
          <w:b/>
          <w:lang w:val="en-GB"/>
        </w:rPr>
        <w:t>Proximate composition:</w:t>
      </w:r>
      <w:r w:rsidRPr="00332126">
        <w:rPr>
          <w:rFonts w:ascii="Arial" w:hAnsi="Arial" w:cs="Arial"/>
          <w:lang w:val="en-GB"/>
        </w:rPr>
        <w:t xml:space="preserve"> Moisture content was d</w:t>
      </w:r>
      <w:r w:rsidR="00485FFD">
        <w:rPr>
          <w:rFonts w:ascii="Arial" w:hAnsi="Arial" w:cs="Arial"/>
          <w:lang w:val="en-GB"/>
        </w:rPr>
        <w:t>etermined by oven drying at 105</w:t>
      </w:r>
      <w:r w:rsidRPr="00332126">
        <w:rPr>
          <w:rFonts w:ascii="Arial" w:hAnsi="Arial" w:cs="Arial"/>
          <w:lang w:val="en-GB"/>
        </w:rPr>
        <w:t xml:space="preserve">°C to constant weight (AOAC, 1990). Crude protein was measured by the Kjeldahl method, using the nitrogen-to-protein conversion factor 6.25. Ash content was obtained by incineration at 550 °C. Total carbohydrates were calculated by difference (FAO/WHO, 1997). Crude fiber was determined by the enzymatic-gravimetric method (Prosky et al., 1988). </w:t>
      </w:r>
      <w:r w:rsidR="009360F5" w:rsidRPr="00332126">
        <w:rPr>
          <w:rFonts w:ascii="Arial" w:hAnsi="Arial" w:cs="Arial"/>
          <w:lang w:val="en-GB"/>
        </w:rPr>
        <w:t>Metabolisable energy was determined with the factors established by Atwater and Rosa (1899). The pH was measured using a calibrated pH meter (Metrohm 744, Switzerland), and titratable acidity was evaluated using titration with 0.1 N NaOH in the presence of phenolphthalein (AOAC, 1990)</w:t>
      </w:r>
      <w:r w:rsidRPr="00332126">
        <w:rPr>
          <w:rFonts w:ascii="Arial" w:hAnsi="Arial" w:cs="Arial"/>
          <w:lang w:val="en-GB"/>
        </w:rPr>
        <w:t>.</w:t>
      </w:r>
    </w:p>
    <w:p w14:paraId="633BC6B3" w14:textId="77777777" w:rsidR="00526207" w:rsidRPr="00332126" w:rsidRDefault="00526207" w:rsidP="00526207">
      <w:pPr>
        <w:pStyle w:val="Body"/>
        <w:rPr>
          <w:rFonts w:ascii="Arial" w:hAnsi="Arial" w:cs="Arial"/>
          <w:lang w:val="en-GB"/>
        </w:rPr>
      </w:pPr>
      <w:r w:rsidRPr="00332126">
        <w:rPr>
          <w:rFonts w:ascii="Arial" w:hAnsi="Arial" w:cs="Arial"/>
          <w:b/>
          <w:lang w:val="en-GB"/>
        </w:rPr>
        <w:t>Mineral composition:</w:t>
      </w:r>
      <w:r w:rsidRPr="00332126">
        <w:rPr>
          <w:rFonts w:ascii="Arial" w:hAnsi="Arial" w:cs="Arial"/>
          <w:lang w:val="en-GB"/>
        </w:rPr>
        <w:t xml:space="preserve"> </w:t>
      </w:r>
      <w:commentRangeStart w:id="4"/>
      <w:r w:rsidR="00AE0173" w:rsidRPr="00332126">
        <w:rPr>
          <w:rFonts w:ascii="Arial" w:hAnsi="Arial" w:cs="Arial"/>
          <w:lang w:val="en-GB"/>
        </w:rPr>
        <w:t xml:space="preserve">The mineral composition, including potassium (K), magnesium (Mg), iron (Fe), calcium (Ca), and zinc (Zn), was analysed using atomic absorption </w:t>
      </w:r>
      <w:r w:rsidR="00AE0173" w:rsidRPr="00332126">
        <w:rPr>
          <w:rFonts w:ascii="Arial" w:hAnsi="Arial" w:cs="Arial"/>
          <w:lang w:val="en-GB"/>
        </w:rPr>
        <w:lastRenderedPageBreak/>
        <w:t xml:space="preserve">spectrophotometry (Analyst 800, Perkin Elmer, USA). Phosphorus and chloride were measured with UV-Visible spectrophotometry (Fiske </w:t>
      </w:r>
      <w:r w:rsidR="000513F0" w:rsidRPr="00332126">
        <w:rPr>
          <w:rFonts w:ascii="Arial" w:hAnsi="Arial" w:cs="Arial"/>
          <w:lang w:val="en-GB"/>
        </w:rPr>
        <w:t xml:space="preserve">&amp; </w:t>
      </w:r>
      <w:proofErr w:type="spellStart"/>
      <w:r w:rsidR="00AE0173" w:rsidRPr="00332126">
        <w:rPr>
          <w:rFonts w:ascii="Arial" w:hAnsi="Arial" w:cs="Arial"/>
          <w:lang w:val="en-GB"/>
        </w:rPr>
        <w:t>Subbarow</w:t>
      </w:r>
      <w:proofErr w:type="spellEnd"/>
      <w:r w:rsidR="00AE0173" w:rsidRPr="00332126">
        <w:rPr>
          <w:rFonts w:ascii="Arial" w:hAnsi="Arial" w:cs="Arial"/>
          <w:lang w:val="en-GB"/>
        </w:rPr>
        <w:t>, 1925).</w:t>
      </w:r>
      <w:commentRangeEnd w:id="4"/>
      <w:r w:rsidR="00485FFD">
        <w:rPr>
          <w:rStyle w:val="CommentReference"/>
          <w:rFonts w:ascii="Times New Roman" w:hAnsi="Times New Roman"/>
          <w:lang w:val="nb-NO" w:eastAsia="nb-NO"/>
        </w:rPr>
        <w:commentReference w:id="4"/>
      </w:r>
    </w:p>
    <w:p w14:paraId="0742A68F" w14:textId="77777777" w:rsidR="00526207" w:rsidRPr="00332126" w:rsidRDefault="00526207" w:rsidP="00526207">
      <w:pPr>
        <w:pStyle w:val="Body"/>
        <w:rPr>
          <w:rFonts w:ascii="Arial" w:hAnsi="Arial" w:cs="Arial"/>
          <w:lang w:val="en-GB"/>
        </w:rPr>
      </w:pPr>
      <w:r w:rsidRPr="00332126">
        <w:rPr>
          <w:rFonts w:ascii="Arial" w:hAnsi="Arial" w:cs="Arial"/>
          <w:b/>
          <w:lang w:val="en-GB"/>
        </w:rPr>
        <w:t>Phytochemical analysis:</w:t>
      </w:r>
      <w:r w:rsidRPr="00332126">
        <w:rPr>
          <w:rFonts w:ascii="Arial" w:hAnsi="Arial" w:cs="Arial"/>
          <w:lang w:val="en-GB"/>
        </w:rPr>
        <w:t xml:space="preserve"> Total flavonoids were determined by the colorimetric method of Meda et al. (2005) and expressed as mg quercetin equivalents/g dry matter. Phytates were measured by the colorimetric method of Mohammed et al. (1986). Condensed tannins were quantified following Bainbridge et al. (1996) and expressed as mg catechin equivalents/g dry matter. Oxalates were determined by the titrimetric method of Day and Underwood (1986). </w:t>
      </w:r>
      <w:r w:rsidR="00C90CC8" w:rsidRPr="00332126">
        <w:rPr>
          <w:rFonts w:ascii="Arial" w:hAnsi="Arial" w:cs="Arial"/>
          <w:lang w:val="en-GB"/>
        </w:rPr>
        <w:t xml:space="preserve">Total phenols were determined </w:t>
      </w:r>
      <w:r w:rsidR="00C90CC8" w:rsidRPr="00332126">
        <w:rPr>
          <w:rFonts w:ascii="Arial" w:hAnsi="Arial" w:cs="Arial"/>
          <w:i/>
          <w:lang w:val="en-GB"/>
        </w:rPr>
        <w:t>via</w:t>
      </w:r>
      <w:r w:rsidR="00C90CC8" w:rsidRPr="00332126">
        <w:rPr>
          <w:rFonts w:ascii="Arial" w:hAnsi="Arial" w:cs="Arial"/>
          <w:lang w:val="en-GB"/>
        </w:rPr>
        <w:t xml:space="preserve"> the Folin-Ciocalteu technique (Singleton et al., 1999) and reported as mg of gallic acid equivalents per 100 g of dry matter</w:t>
      </w:r>
      <w:r w:rsidRPr="00332126">
        <w:rPr>
          <w:rFonts w:ascii="Arial" w:hAnsi="Arial" w:cs="Arial"/>
          <w:lang w:val="en-GB"/>
        </w:rPr>
        <w:t>.</w:t>
      </w:r>
      <w:r w:rsidR="00485FFD">
        <w:rPr>
          <w:rStyle w:val="CommentReference"/>
          <w:rFonts w:ascii="Times New Roman" w:hAnsi="Times New Roman"/>
          <w:lang w:val="nb-NO" w:eastAsia="nb-NO"/>
        </w:rPr>
        <w:commentReference w:id="5"/>
      </w:r>
    </w:p>
    <w:p w14:paraId="22FC7426" w14:textId="77777777" w:rsidR="00A03B96" w:rsidRPr="00332126" w:rsidRDefault="00526207" w:rsidP="00526207">
      <w:pPr>
        <w:pStyle w:val="Body"/>
        <w:spacing w:after="0"/>
        <w:rPr>
          <w:rFonts w:ascii="Arial" w:hAnsi="Arial" w:cs="Arial"/>
          <w:lang w:val="en-GB"/>
        </w:rPr>
      </w:pPr>
      <w:r w:rsidRPr="00332126">
        <w:rPr>
          <w:rFonts w:ascii="Arial" w:hAnsi="Arial" w:cs="Arial"/>
          <w:b/>
          <w:lang w:val="en-GB"/>
        </w:rPr>
        <w:t>Statistical analysis:</w:t>
      </w:r>
      <w:r w:rsidRPr="00332126">
        <w:rPr>
          <w:rFonts w:ascii="Arial" w:hAnsi="Arial" w:cs="Arial"/>
          <w:lang w:val="en-GB"/>
        </w:rPr>
        <w:t xml:space="preserve"> </w:t>
      </w:r>
      <w:r w:rsidR="00B43828" w:rsidRPr="00332126">
        <w:rPr>
          <w:rFonts w:ascii="Arial" w:hAnsi="Arial" w:cs="Arial"/>
          <w:lang w:val="en-GB"/>
        </w:rPr>
        <w:t>All analyses were conducted in triplicate, and findings were presented as mean ± standard deviation. Statistical analyses were conducted utilising Statistica 9.0 (StatSoft, Poland) and Excel 2013. The data underwent one-way ANOVA, and mean comparisons were executed utilising Duncan’s multiple range test at p &lt; 0.05</w:t>
      </w:r>
      <w:r w:rsidRPr="00332126">
        <w:rPr>
          <w:rFonts w:ascii="Arial" w:hAnsi="Arial" w:cs="Arial"/>
          <w:lang w:val="en-GB"/>
        </w:rPr>
        <w:t>.</w:t>
      </w:r>
    </w:p>
    <w:p w14:paraId="4A00921F" w14:textId="77777777" w:rsidR="00790ADA" w:rsidRPr="00332126" w:rsidRDefault="00790ADA" w:rsidP="00441B6F">
      <w:pPr>
        <w:pStyle w:val="Body"/>
        <w:spacing w:after="0"/>
        <w:rPr>
          <w:rFonts w:ascii="Arial" w:hAnsi="Arial" w:cs="Arial"/>
          <w:lang w:val="en-GB"/>
        </w:rPr>
      </w:pPr>
    </w:p>
    <w:p w14:paraId="12F29192" w14:textId="77777777" w:rsidR="00902823" w:rsidRPr="00332126" w:rsidRDefault="00000F8F" w:rsidP="00441B6F">
      <w:pPr>
        <w:pStyle w:val="Head1"/>
        <w:spacing w:after="0"/>
        <w:jc w:val="both"/>
        <w:rPr>
          <w:rFonts w:ascii="Arial" w:hAnsi="Arial" w:cs="Arial"/>
          <w:lang w:val="en-GB"/>
        </w:rPr>
      </w:pPr>
      <w:r w:rsidRPr="00332126">
        <w:rPr>
          <w:rFonts w:ascii="Arial" w:hAnsi="Arial" w:cs="Arial"/>
          <w:lang w:val="en-GB"/>
        </w:rPr>
        <w:t>3</w:t>
      </w:r>
      <w:r w:rsidR="00902823" w:rsidRPr="00332126">
        <w:rPr>
          <w:rFonts w:ascii="Arial" w:hAnsi="Arial" w:cs="Arial"/>
          <w:lang w:val="en-GB"/>
        </w:rPr>
        <w:t xml:space="preserve">. </w:t>
      </w:r>
      <w:r w:rsidRPr="00332126">
        <w:rPr>
          <w:rFonts w:ascii="Arial" w:hAnsi="Arial" w:cs="Arial"/>
          <w:lang w:val="en-GB"/>
        </w:rPr>
        <w:t>results and discussion</w:t>
      </w:r>
    </w:p>
    <w:p w14:paraId="7EC74D80" w14:textId="77777777" w:rsidR="00790ADA" w:rsidRPr="00332126" w:rsidRDefault="00790ADA" w:rsidP="00441B6F">
      <w:pPr>
        <w:pStyle w:val="Head1"/>
        <w:spacing w:after="0"/>
        <w:jc w:val="both"/>
        <w:rPr>
          <w:rFonts w:ascii="Arial" w:hAnsi="Arial" w:cs="Arial"/>
          <w:lang w:val="en-GB"/>
        </w:rPr>
      </w:pPr>
    </w:p>
    <w:p w14:paraId="3EF521EF" w14:textId="77777777" w:rsidR="00B95236" w:rsidRPr="00332126" w:rsidRDefault="00AB57A6" w:rsidP="00441B6F">
      <w:pPr>
        <w:pStyle w:val="Body"/>
        <w:spacing w:after="0"/>
        <w:rPr>
          <w:rFonts w:ascii="Arial" w:hAnsi="Arial" w:cs="Arial"/>
          <w:lang w:val="en-GB"/>
        </w:rPr>
      </w:pPr>
      <w:r w:rsidRPr="00332126">
        <w:rPr>
          <w:rFonts w:ascii="Arial" w:hAnsi="Arial" w:cs="Arial"/>
          <w:lang w:val="en-GB"/>
        </w:rPr>
        <w:t xml:space="preserve">The nutritional </w:t>
      </w:r>
      <w:commentRangeStart w:id="6"/>
      <w:r w:rsidRPr="00332126">
        <w:rPr>
          <w:rFonts w:ascii="Arial" w:hAnsi="Arial" w:cs="Arial"/>
          <w:lang w:val="en-GB"/>
        </w:rPr>
        <w:t>benefits</w:t>
      </w:r>
      <w:commentRangeEnd w:id="6"/>
      <w:r w:rsidR="00B1220B">
        <w:rPr>
          <w:rStyle w:val="CommentReference"/>
          <w:rFonts w:ascii="Times New Roman" w:hAnsi="Times New Roman"/>
          <w:lang w:val="nb-NO" w:eastAsia="nb-NO"/>
        </w:rPr>
        <w:commentReference w:id="6"/>
      </w:r>
      <w:r w:rsidRPr="00332126">
        <w:rPr>
          <w:rFonts w:ascii="Arial" w:hAnsi="Arial" w:cs="Arial"/>
          <w:lang w:val="en-GB"/>
        </w:rPr>
        <w:t xml:space="preserve"> of </w:t>
      </w:r>
      <w:proofErr w:type="spellStart"/>
      <w:r w:rsidRPr="00332126">
        <w:rPr>
          <w:rFonts w:ascii="Arial" w:hAnsi="Arial" w:cs="Arial"/>
          <w:i/>
          <w:lang w:val="en-GB"/>
        </w:rPr>
        <w:t>Ricinodendron</w:t>
      </w:r>
      <w:proofErr w:type="spellEnd"/>
      <w:r w:rsidRPr="00332126">
        <w:rPr>
          <w:rFonts w:ascii="Arial" w:hAnsi="Arial" w:cs="Arial"/>
          <w:i/>
          <w:lang w:val="en-GB"/>
        </w:rPr>
        <w:t xml:space="preserve"> </w:t>
      </w:r>
      <w:proofErr w:type="spellStart"/>
      <w:r w:rsidRPr="00332126">
        <w:rPr>
          <w:rFonts w:ascii="Arial" w:hAnsi="Arial" w:cs="Arial"/>
          <w:i/>
          <w:lang w:val="en-GB"/>
        </w:rPr>
        <w:t>heudelotii</w:t>
      </w:r>
      <w:proofErr w:type="spellEnd"/>
      <w:r w:rsidRPr="00332126">
        <w:rPr>
          <w:rFonts w:ascii="Arial" w:hAnsi="Arial" w:cs="Arial"/>
          <w:lang w:val="en-GB"/>
        </w:rPr>
        <w:t xml:space="preserve"> (</w:t>
      </w:r>
      <w:proofErr w:type="spellStart"/>
      <w:r w:rsidRPr="00332126">
        <w:rPr>
          <w:rFonts w:ascii="Arial" w:hAnsi="Arial" w:cs="Arial"/>
          <w:lang w:val="en-GB"/>
        </w:rPr>
        <w:t>akpi</w:t>
      </w:r>
      <w:proofErr w:type="spellEnd"/>
      <w:r w:rsidRPr="00332126">
        <w:rPr>
          <w:rFonts w:ascii="Arial" w:hAnsi="Arial" w:cs="Arial"/>
          <w:lang w:val="en-GB"/>
        </w:rPr>
        <w:t>) kernel cakes in meeting the nutritional requirements of livestock (cattle, sheep, goats and poultry)</w:t>
      </w:r>
      <w:r w:rsidR="001966AF">
        <w:rPr>
          <w:rFonts w:ascii="Arial" w:hAnsi="Arial" w:cs="Arial"/>
          <w:lang w:val="en-GB"/>
        </w:rPr>
        <w:t xml:space="preserve">. </w:t>
      </w:r>
      <w:r w:rsidRPr="00332126">
        <w:rPr>
          <w:rFonts w:ascii="Arial" w:hAnsi="Arial" w:cs="Arial"/>
          <w:lang w:val="en-GB"/>
        </w:rPr>
        <w:t xml:space="preserve">The proximate composition of </w:t>
      </w:r>
      <w:r w:rsidRPr="00332126">
        <w:rPr>
          <w:rFonts w:ascii="Arial" w:hAnsi="Arial" w:cs="Arial"/>
          <w:i/>
          <w:lang w:val="en-GB"/>
        </w:rPr>
        <w:t>R</w:t>
      </w:r>
      <w:r w:rsidR="00D93C5E"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from four production regions of Côte d’Ivoire is presented in Table 1.</w:t>
      </w:r>
    </w:p>
    <w:p w14:paraId="5D23A02B" w14:textId="77777777" w:rsidR="00790ADA" w:rsidRPr="00332126" w:rsidRDefault="00790ADA" w:rsidP="00441B6F">
      <w:pPr>
        <w:pStyle w:val="Body"/>
        <w:spacing w:after="0"/>
        <w:rPr>
          <w:rFonts w:ascii="Arial" w:hAnsi="Arial" w:cs="Arial"/>
          <w:lang w:val="en-GB"/>
        </w:rPr>
      </w:pPr>
    </w:p>
    <w:p w14:paraId="3AC4835D" w14:textId="77777777" w:rsidR="00AB57A6" w:rsidRPr="00332126" w:rsidRDefault="00AB57A6" w:rsidP="00476761">
      <w:pPr>
        <w:tabs>
          <w:tab w:val="left" w:pos="1080"/>
        </w:tabs>
        <w:jc w:val="both"/>
        <w:rPr>
          <w:rFonts w:ascii="Arial" w:hAnsi="Arial"/>
          <w:b/>
          <w:lang w:val="en-GB"/>
        </w:rPr>
      </w:pPr>
      <w:r w:rsidRPr="00332126">
        <w:rPr>
          <w:rFonts w:ascii="Arial" w:hAnsi="Arial"/>
          <w:b/>
          <w:lang w:val="en-GB"/>
        </w:rPr>
        <w:t>Table 1.</w:t>
      </w:r>
      <w:r w:rsidR="00476761" w:rsidRPr="00332126">
        <w:rPr>
          <w:rFonts w:ascii="Arial" w:hAnsi="Arial"/>
          <w:b/>
          <w:lang w:val="en-GB"/>
        </w:rPr>
        <w:tab/>
      </w:r>
      <w:r w:rsidRPr="00332126">
        <w:rPr>
          <w:rFonts w:ascii="Arial" w:hAnsi="Arial"/>
          <w:b/>
          <w:lang w:val="en-GB"/>
        </w:rPr>
        <w:t xml:space="preserve">Proximate composition and energy values of </w:t>
      </w:r>
      <w:r w:rsidRPr="00332126">
        <w:rPr>
          <w:rFonts w:ascii="Arial" w:hAnsi="Arial"/>
          <w:b/>
          <w:i/>
          <w:lang w:val="en-GB"/>
        </w:rPr>
        <w:t>Ricinodendron heudelotii</w:t>
      </w:r>
      <w:r w:rsidRPr="00332126">
        <w:rPr>
          <w:rFonts w:ascii="Arial" w:hAnsi="Arial"/>
          <w:b/>
          <w:lang w:val="en-GB"/>
        </w:rPr>
        <w:t xml:space="preserve"> kernel cakes (mean ± SD, n = 3).</w:t>
      </w:r>
    </w:p>
    <w:p w14:paraId="1FF05649" w14:textId="77777777" w:rsidR="00476761" w:rsidRPr="00332126" w:rsidRDefault="00476761" w:rsidP="00476761">
      <w:pPr>
        <w:tabs>
          <w:tab w:val="left" w:pos="1080"/>
        </w:tabs>
        <w:jc w:val="both"/>
        <w:rPr>
          <w:rFonts w:ascii="Arial" w:hAnsi="Arial"/>
          <w:b/>
          <w:lang w:val="en-GB"/>
        </w:rPr>
      </w:pPr>
    </w:p>
    <w:tbl>
      <w:tblPr>
        <w:tblStyle w:val="TableGrid"/>
        <w:tblW w:w="5107" w:type="pct"/>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350"/>
        <w:gridCol w:w="902"/>
        <w:gridCol w:w="810"/>
        <w:gridCol w:w="831"/>
        <w:gridCol w:w="1254"/>
        <w:gridCol w:w="745"/>
        <w:gridCol w:w="769"/>
        <w:gridCol w:w="941"/>
        <w:gridCol w:w="1002"/>
      </w:tblGrid>
      <w:tr w:rsidR="00B1220B" w:rsidRPr="00332126" w14:paraId="1BD1A566" w14:textId="77777777" w:rsidTr="0098031F">
        <w:tc>
          <w:tcPr>
            <w:tcW w:w="784" w:type="pct"/>
            <w:tcBorders>
              <w:top w:val="single" w:sz="4" w:space="0" w:color="auto"/>
              <w:bottom w:val="single" w:sz="4" w:space="0" w:color="auto"/>
            </w:tcBorders>
            <w:hideMark/>
          </w:tcPr>
          <w:p w14:paraId="622AFDA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524" w:type="pct"/>
            <w:tcBorders>
              <w:top w:val="single" w:sz="4" w:space="0" w:color="auto"/>
              <w:bottom w:val="single" w:sz="4" w:space="0" w:color="auto"/>
            </w:tcBorders>
            <w:hideMark/>
          </w:tcPr>
          <w:p w14:paraId="2651759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Dry matter (%)</w:t>
            </w:r>
          </w:p>
        </w:tc>
        <w:tc>
          <w:tcPr>
            <w:tcW w:w="471" w:type="pct"/>
            <w:tcBorders>
              <w:top w:val="single" w:sz="4" w:space="0" w:color="auto"/>
              <w:bottom w:val="single" w:sz="4" w:space="0" w:color="auto"/>
            </w:tcBorders>
            <w:hideMark/>
          </w:tcPr>
          <w:p w14:paraId="1E18E2B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Ash (%)</w:t>
            </w:r>
          </w:p>
        </w:tc>
        <w:tc>
          <w:tcPr>
            <w:tcW w:w="483" w:type="pct"/>
            <w:tcBorders>
              <w:top w:val="single" w:sz="4" w:space="0" w:color="auto"/>
              <w:bottom w:val="single" w:sz="4" w:space="0" w:color="auto"/>
            </w:tcBorders>
            <w:hideMark/>
          </w:tcPr>
          <w:p w14:paraId="3BBF786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protein (%)</w:t>
            </w:r>
          </w:p>
        </w:tc>
        <w:tc>
          <w:tcPr>
            <w:tcW w:w="729" w:type="pct"/>
            <w:tcBorders>
              <w:top w:val="single" w:sz="4" w:space="0" w:color="auto"/>
              <w:bottom w:val="single" w:sz="4" w:space="0" w:color="auto"/>
            </w:tcBorders>
            <w:hideMark/>
          </w:tcPr>
          <w:p w14:paraId="3B7AD80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Total carbohydrates (%)</w:t>
            </w:r>
          </w:p>
        </w:tc>
        <w:tc>
          <w:tcPr>
            <w:tcW w:w="433" w:type="pct"/>
            <w:tcBorders>
              <w:top w:val="single" w:sz="4" w:space="0" w:color="auto"/>
              <w:bottom w:val="single" w:sz="4" w:space="0" w:color="auto"/>
            </w:tcBorders>
            <w:hideMark/>
          </w:tcPr>
          <w:p w14:paraId="72BEE28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fiber (%)</w:t>
            </w:r>
          </w:p>
        </w:tc>
        <w:tc>
          <w:tcPr>
            <w:tcW w:w="447" w:type="pct"/>
            <w:tcBorders>
              <w:top w:val="single" w:sz="4" w:space="0" w:color="auto"/>
              <w:bottom w:val="single" w:sz="4" w:space="0" w:color="auto"/>
            </w:tcBorders>
            <w:hideMark/>
          </w:tcPr>
          <w:p w14:paraId="2006432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pH</w:t>
            </w:r>
          </w:p>
        </w:tc>
        <w:tc>
          <w:tcPr>
            <w:tcW w:w="547" w:type="pct"/>
            <w:tcBorders>
              <w:top w:val="single" w:sz="4" w:space="0" w:color="auto"/>
              <w:bottom w:val="single" w:sz="4" w:space="0" w:color="auto"/>
            </w:tcBorders>
            <w:hideMark/>
          </w:tcPr>
          <w:p w14:paraId="2B4AA91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Titratable acidity (meq/100 g)</w:t>
            </w:r>
          </w:p>
        </w:tc>
        <w:tc>
          <w:tcPr>
            <w:tcW w:w="582" w:type="pct"/>
            <w:tcBorders>
              <w:top w:val="single" w:sz="4" w:space="0" w:color="auto"/>
              <w:bottom w:val="single" w:sz="4" w:space="0" w:color="auto"/>
            </w:tcBorders>
            <w:hideMark/>
          </w:tcPr>
          <w:p w14:paraId="6A4608E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Energy (kcal/100 g)</w:t>
            </w:r>
          </w:p>
        </w:tc>
      </w:tr>
      <w:tr w:rsidR="00B1220B" w:rsidRPr="00332126" w14:paraId="16E4BC1A" w14:textId="77777777" w:rsidTr="0098031F">
        <w:tc>
          <w:tcPr>
            <w:tcW w:w="784" w:type="pct"/>
            <w:tcBorders>
              <w:top w:val="single" w:sz="4" w:space="0" w:color="auto"/>
            </w:tcBorders>
            <w:hideMark/>
          </w:tcPr>
          <w:p w14:paraId="54C2F51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524" w:type="pct"/>
            <w:tcBorders>
              <w:top w:val="single" w:sz="4" w:space="0" w:color="auto"/>
            </w:tcBorders>
            <w:hideMark/>
          </w:tcPr>
          <w:p w14:paraId="56419F0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93.5 ± 1.13ᵃ</w:t>
            </w:r>
          </w:p>
        </w:tc>
        <w:tc>
          <w:tcPr>
            <w:tcW w:w="471" w:type="pct"/>
            <w:tcBorders>
              <w:top w:val="single" w:sz="4" w:space="0" w:color="auto"/>
            </w:tcBorders>
            <w:hideMark/>
          </w:tcPr>
          <w:p w14:paraId="2E7E3B9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12.65 ± 0.20ᵃ</w:t>
            </w:r>
          </w:p>
        </w:tc>
        <w:tc>
          <w:tcPr>
            <w:tcW w:w="483" w:type="pct"/>
            <w:tcBorders>
              <w:top w:val="single" w:sz="4" w:space="0" w:color="auto"/>
            </w:tcBorders>
            <w:hideMark/>
          </w:tcPr>
          <w:p w14:paraId="3BC1C3B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53.2 ± 5.37ᵃ</w:t>
            </w:r>
          </w:p>
        </w:tc>
        <w:tc>
          <w:tcPr>
            <w:tcW w:w="729" w:type="pct"/>
            <w:tcBorders>
              <w:top w:val="single" w:sz="4" w:space="0" w:color="auto"/>
            </w:tcBorders>
            <w:hideMark/>
          </w:tcPr>
          <w:p w14:paraId="137EEB00"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27.9 ± 4.53ᵃ</w:t>
            </w:r>
          </w:p>
        </w:tc>
        <w:tc>
          <w:tcPr>
            <w:tcW w:w="433" w:type="pct"/>
            <w:tcBorders>
              <w:top w:val="single" w:sz="4" w:space="0" w:color="auto"/>
            </w:tcBorders>
            <w:hideMark/>
          </w:tcPr>
          <w:p w14:paraId="070A217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11.85 ± 2.62ᵃ</w:t>
            </w:r>
          </w:p>
        </w:tc>
        <w:tc>
          <w:tcPr>
            <w:tcW w:w="447" w:type="pct"/>
            <w:tcBorders>
              <w:top w:val="single" w:sz="4" w:space="0" w:color="auto"/>
            </w:tcBorders>
            <w:hideMark/>
          </w:tcPr>
          <w:p w14:paraId="2AB28A21"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6.15 ± 0.07ᵃ</w:t>
            </w:r>
          </w:p>
        </w:tc>
        <w:tc>
          <w:tcPr>
            <w:tcW w:w="547" w:type="pct"/>
            <w:tcBorders>
              <w:top w:val="single" w:sz="4" w:space="0" w:color="auto"/>
            </w:tcBorders>
            <w:hideMark/>
          </w:tcPr>
          <w:p w14:paraId="1E69DACC"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4.4 ± 0.14ᵃ</w:t>
            </w:r>
          </w:p>
        </w:tc>
        <w:tc>
          <w:tcPr>
            <w:tcW w:w="582" w:type="pct"/>
            <w:tcBorders>
              <w:top w:val="single" w:sz="4" w:space="0" w:color="auto"/>
            </w:tcBorders>
            <w:hideMark/>
          </w:tcPr>
          <w:p w14:paraId="5DFB908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324.45 ± 3.46ᵃ</w:t>
            </w:r>
          </w:p>
        </w:tc>
      </w:tr>
      <w:tr w:rsidR="00B1220B" w:rsidRPr="00332126" w14:paraId="0CBAC7FF" w14:textId="77777777" w:rsidTr="0098031F">
        <w:tc>
          <w:tcPr>
            <w:tcW w:w="784" w:type="pct"/>
            <w:hideMark/>
          </w:tcPr>
          <w:p w14:paraId="6010ED3D" w14:textId="77777777" w:rsidR="00AB57A6" w:rsidRPr="00332126" w:rsidRDefault="00AB57A6" w:rsidP="00693ABE">
            <w:pPr>
              <w:rPr>
                <w:rFonts w:ascii="Arial" w:eastAsia="Times New Roman" w:hAnsi="Arial" w:cs="Arial"/>
                <w:sz w:val="20"/>
                <w:szCs w:val="20"/>
                <w:lang w:val="en-GB"/>
              </w:rPr>
            </w:pPr>
            <w:proofErr w:type="spellStart"/>
            <w:r w:rsidRPr="00332126">
              <w:rPr>
                <w:rFonts w:ascii="Arial" w:eastAsia="Times New Roman" w:hAnsi="Arial" w:cs="Arial"/>
                <w:sz w:val="20"/>
                <w:szCs w:val="20"/>
                <w:lang w:val="en-GB"/>
              </w:rPr>
              <w:t>Lôh-Djiboua</w:t>
            </w:r>
            <w:proofErr w:type="spellEnd"/>
            <w:r w:rsidRPr="00332126">
              <w:rPr>
                <w:rFonts w:ascii="Arial" w:eastAsia="Times New Roman" w:hAnsi="Arial" w:cs="Arial"/>
                <w:sz w:val="20"/>
                <w:szCs w:val="20"/>
                <w:lang w:val="en-GB"/>
              </w:rPr>
              <w:t xml:space="preserve"> region</w:t>
            </w:r>
          </w:p>
        </w:tc>
        <w:tc>
          <w:tcPr>
            <w:tcW w:w="524" w:type="pct"/>
            <w:hideMark/>
          </w:tcPr>
          <w:p w14:paraId="046A150E"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94.8 ± 1.13ᵃ</w:t>
            </w:r>
          </w:p>
        </w:tc>
        <w:tc>
          <w:tcPr>
            <w:tcW w:w="471" w:type="pct"/>
            <w:hideMark/>
          </w:tcPr>
          <w:p w14:paraId="74B67008"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12.55 ± 0.78ᵃ</w:t>
            </w:r>
          </w:p>
        </w:tc>
        <w:tc>
          <w:tcPr>
            <w:tcW w:w="483" w:type="pct"/>
            <w:hideMark/>
          </w:tcPr>
          <w:p w14:paraId="15F4DAB8"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55.05 ± 8.84ᵇ</w:t>
            </w:r>
          </w:p>
        </w:tc>
        <w:tc>
          <w:tcPr>
            <w:tcW w:w="729" w:type="pct"/>
            <w:hideMark/>
          </w:tcPr>
          <w:p w14:paraId="6D77896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27.15 ± 9.40ᵃ</w:t>
            </w:r>
          </w:p>
        </w:tc>
        <w:tc>
          <w:tcPr>
            <w:tcW w:w="433" w:type="pct"/>
            <w:hideMark/>
          </w:tcPr>
          <w:p w14:paraId="1DDF15F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 ± 0.99ᵃ</w:t>
            </w:r>
          </w:p>
        </w:tc>
        <w:tc>
          <w:tcPr>
            <w:tcW w:w="447" w:type="pct"/>
            <w:hideMark/>
          </w:tcPr>
          <w:p w14:paraId="125ADE7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6.6 ± 0.14ᵇ</w:t>
            </w:r>
          </w:p>
        </w:tc>
        <w:tc>
          <w:tcPr>
            <w:tcW w:w="547" w:type="pct"/>
            <w:hideMark/>
          </w:tcPr>
          <w:p w14:paraId="4315D32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 ± 0.57ᵇ</w:t>
            </w:r>
          </w:p>
        </w:tc>
        <w:tc>
          <w:tcPr>
            <w:tcW w:w="582" w:type="pct"/>
            <w:hideMark/>
          </w:tcPr>
          <w:p w14:paraId="37532B8E"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328.9 ± 2.12ᵃ</w:t>
            </w:r>
          </w:p>
        </w:tc>
      </w:tr>
      <w:tr w:rsidR="00B1220B" w:rsidRPr="00332126" w14:paraId="23C9ABD3" w14:textId="77777777" w:rsidTr="0098031F">
        <w:tc>
          <w:tcPr>
            <w:tcW w:w="784" w:type="pct"/>
            <w:hideMark/>
          </w:tcPr>
          <w:p w14:paraId="74973A34" w14:textId="77777777" w:rsidR="00AB57A6" w:rsidRPr="00332126" w:rsidRDefault="00AB57A6" w:rsidP="00693ABE">
            <w:pPr>
              <w:rPr>
                <w:rFonts w:ascii="Arial" w:eastAsia="Times New Roman" w:hAnsi="Arial" w:cs="Arial"/>
                <w:sz w:val="20"/>
                <w:szCs w:val="20"/>
                <w:lang w:val="en-GB"/>
              </w:rPr>
            </w:pPr>
            <w:proofErr w:type="spellStart"/>
            <w:r w:rsidRPr="00332126">
              <w:rPr>
                <w:rFonts w:ascii="Arial" w:eastAsia="Times New Roman" w:hAnsi="Arial" w:cs="Arial"/>
                <w:sz w:val="20"/>
                <w:szCs w:val="20"/>
                <w:lang w:val="en-GB"/>
              </w:rPr>
              <w:t>Gontougo</w:t>
            </w:r>
            <w:proofErr w:type="spellEnd"/>
            <w:r w:rsidRPr="00332126">
              <w:rPr>
                <w:rFonts w:ascii="Arial" w:eastAsia="Times New Roman" w:hAnsi="Arial" w:cs="Arial"/>
                <w:sz w:val="20"/>
                <w:szCs w:val="20"/>
                <w:lang w:val="en-GB"/>
              </w:rPr>
              <w:t xml:space="preserve"> region</w:t>
            </w:r>
          </w:p>
        </w:tc>
        <w:tc>
          <w:tcPr>
            <w:tcW w:w="524" w:type="pct"/>
            <w:hideMark/>
          </w:tcPr>
          <w:p w14:paraId="68A0E26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93.7 ± 0.0ᵃ</w:t>
            </w:r>
          </w:p>
        </w:tc>
        <w:tc>
          <w:tcPr>
            <w:tcW w:w="471" w:type="pct"/>
            <w:hideMark/>
          </w:tcPr>
          <w:p w14:paraId="7F1ACA5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12.2 ± 0.0ᵃ</w:t>
            </w:r>
          </w:p>
        </w:tc>
        <w:tc>
          <w:tcPr>
            <w:tcW w:w="483" w:type="pct"/>
            <w:hideMark/>
          </w:tcPr>
          <w:p w14:paraId="41D1FAB2"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56.6 ± 0.1ᵈ</w:t>
            </w:r>
          </w:p>
        </w:tc>
        <w:tc>
          <w:tcPr>
            <w:tcW w:w="729" w:type="pct"/>
            <w:hideMark/>
          </w:tcPr>
          <w:p w14:paraId="2F8B5F6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24.9 ± 0.1ᵇ</w:t>
            </w:r>
          </w:p>
        </w:tc>
        <w:tc>
          <w:tcPr>
            <w:tcW w:w="433" w:type="pct"/>
            <w:hideMark/>
          </w:tcPr>
          <w:p w14:paraId="10D792A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14.4 ± 0.0ᵇ</w:t>
            </w:r>
          </w:p>
        </w:tc>
        <w:tc>
          <w:tcPr>
            <w:tcW w:w="447" w:type="pct"/>
            <w:hideMark/>
          </w:tcPr>
          <w:p w14:paraId="3921551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7.1 ± 0.0ᵇ</w:t>
            </w:r>
          </w:p>
        </w:tc>
        <w:tc>
          <w:tcPr>
            <w:tcW w:w="547" w:type="pct"/>
            <w:hideMark/>
          </w:tcPr>
          <w:p w14:paraId="4ECA90C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1.9 ± 0.0ᶜ</w:t>
            </w:r>
          </w:p>
        </w:tc>
        <w:tc>
          <w:tcPr>
            <w:tcW w:w="582" w:type="pct"/>
            <w:hideMark/>
          </w:tcPr>
          <w:p w14:paraId="4C20DCF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325.9 ± 0.2ᵃ</w:t>
            </w:r>
          </w:p>
        </w:tc>
      </w:tr>
      <w:tr w:rsidR="00B1220B" w:rsidRPr="00332126" w14:paraId="60B8ADDA" w14:textId="77777777" w:rsidTr="0098031F">
        <w:tc>
          <w:tcPr>
            <w:tcW w:w="784" w:type="pct"/>
            <w:hideMark/>
          </w:tcPr>
          <w:p w14:paraId="0AD18B0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Haut-</w:t>
            </w:r>
            <w:proofErr w:type="spellStart"/>
            <w:r w:rsidRPr="00332126">
              <w:rPr>
                <w:rFonts w:ascii="Arial" w:eastAsia="Times New Roman" w:hAnsi="Arial" w:cs="Arial"/>
                <w:sz w:val="20"/>
                <w:szCs w:val="20"/>
                <w:lang w:val="en-GB"/>
              </w:rPr>
              <w:t>Sassandra</w:t>
            </w:r>
            <w:proofErr w:type="spellEnd"/>
          </w:p>
        </w:tc>
        <w:tc>
          <w:tcPr>
            <w:tcW w:w="524" w:type="pct"/>
            <w:hideMark/>
          </w:tcPr>
          <w:p w14:paraId="23D063E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95.0 ± 0.0ᵃ</w:t>
            </w:r>
          </w:p>
        </w:tc>
        <w:tc>
          <w:tcPr>
            <w:tcW w:w="471" w:type="pct"/>
            <w:hideMark/>
          </w:tcPr>
          <w:p w14:paraId="0C95DAF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11.2 ± 0.1ᶜ</w:t>
            </w:r>
          </w:p>
        </w:tc>
        <w:tc>
          <w:tcPr>
            <w:tcW w:w="483" w:type="pct"/>
            <w:hideMark/>
          </w:tcPr>
          <w:p w14:paraId="6BFD9F6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47.0 ± 0.0ᵉ</w:t>
            </w:r>
          </w:p>
        </w:tc>
        <w:tc>
          <w:tcPr>
            <w:tcW w:w="729" w:type="pct"/>
            <w:hideMark/>
          </w:tcPr>
          <w:p w14:paraId="7BD9074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37.8 ± 0.1ᶜ</w:t>
            </w:r>
          </w:p>
        </w:tc>
        <w:tc>
          <w:tcPr>
            <w:tcW w:w="433" w:type="pct"/>
            <w:hideMark/>
          </w:tcPr>
          <w:p w14:paraId="4FFA5A42"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 ± 0.0ᶜ</w:t>
            </w:r>
          </w:p>
        </w:tc>
        <w:tc>
          <w:tcPr>
            <w:tcW w:w="447" w:type="pct"/>
            <w:hideMark/>
          </w:tcPr>
          <w:p w14:paraId="526579D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6.8 ± 0.0ᵇ</w:t>
            </w:r>
          </w:p>
        </w:tc>
        <w:tc>
          <w:tcPr>
            <w:tcW w:w="547" w:type="pct"/>
            <w:hideMark/>
          </w:tcPr>
          <w:p w14:paraId="1A00A54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 ± 0.0ᵈ</w:t>
            </w:r>
          </w:p>
        </w:tc>
        <w:tc>
          <w:tcPr>
            <w:tcW w:w="582" w:type="pct"/>
            <w:hideMark/>
          </w:tcPr>
          <w:p w14:paraId="25D11253"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339.2 ± 0.2ᵃ</w:t>
            </w:r>
          </w:p>
        </w:tc>
      </w:tr>
    </w:tbl>
    <w:p w14:paraId="27F26AC6" w14:textId="77777777" w:rsidR="00AB57A6" w:rsidRPr="00332126" w:rsidRDefault="00AB57A6" w:rsidP="00B66F65">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(a-e) are not significantly different at the 5% level.</w:t>
      </w:r>
    </w:p>
    <w:p w14:paraId="19F6FAF5" w14:textId="77777777" w:rsidR="00515DFB" w:rsidRPr="00332126" w:rsidRDefault="00515DFB" w:rsidP="00515DFB">
      <w:pPr>
        <w:pStyle w:val="Body"/>
        <w:spacing w:after="0"/>
        <w:rPr>
          <w:rFonts w:ascii="Arial" w:hAnsi="Arial" w:cs="Arial"/>
          <w:lang w:val="en-GB"/>
        </w:rPr>
      </w:pPr>
      <w:r w:rsidRPr="00332126">
        <w:rPr>
          <w:rFonts w:ascii="Arial" w:hAnsi="Arial" w:cs="Arial"/>
          <w:lang w:val="en-GB"/>
        </w:rPr>
        <w:t xml:space="preserve">Dry matter ranged from 92.7 to 95.6%, with low variability across regions, confirming the good stability of the samples. Ash content varied between 11.2 ± 0.1% (Haut-Sassandra) and 13.1 ± 0.1% (Lôh-Djiboua), indicating a substantial mineral fraction. Crude protein levels showed strong variability, from 47.0 ± 0.0% in Haut-Sassandra to 56.6 ± 0.1% in Gontougo. </w:t>
      </w:r>
      <w:r w:rsidR="00367D9A" w:rsidRPr="00332126">
        <w:rPr>
          <w:rFonts w:ascii="Arial" w:hAnsi="Arial" w:cs="Arial"/>
          <w:lang w:val="en-GB"/>
        </w:rPr>
        <w:t xml:space="preserve">Carbohydrates varied from 20.5 ± 0.0% to 37.8 ± 0.1%, whilst crude fibre spanned from 9.5 ± 0.0% to 14.4 ± 0.0%. The pH readings (6.1 - 7.1) suggested slightly acidic to neutral materials; while titratable acidity ranged from 1.9 to 4.5 meq/100 g. Metabolisable energy levels varied from 322.0 ± 0.2 to 339.2 ± 0.2 kcal per 100 grammes. From a nutritional perspective, these protein levels (47 - 61%) significantly surpass the requirements for ruminants, which are estimated at 10 - 14% of the dry matter (NRC, 2016). Therefore, </w:t>
      </w:r>
      <w:r w:rsidR="00367D9A" w:rsidRPr="003B59A9">
        <w:rPr>
          <w:rFonts w:ascii="Arial" w:hAnsi="Arial" w:cs="Arial"/>
          <w:i/>
          <w:lang w:val="en-GB"/>
        </w:rPr>
        <w:t xml:space="preserve">R. </w:t>
      </w:r>
      <w:r w:rsidR="00367D9A" w:rsidRPr="003B59A9">
        <w:rPr>
          <w:rFonts w:ascii="Arial" w:hAnsi="Arial" w:cs="Arial"/>
          <w:i/>
          <w:lang w:val="en-GB"/>
        </w:rPr>
        <w:lastRenderedPageBreak/>
        <w:t>Heudelotii</w:t>
      </w:r>
      <w:r w:rsidR="00367D9A" w:rsidRPr="00332126">
        <w:rPr>
          <w:rFonts w:ascii="Arial" w:hAnsi="Arial" w:cs="Arial"/>
          <w:lang w:val="en-GB"/>
        </w:rPr>
        <w:t xml:space="preserve"> kernel cakes may function as a strategic protein supplement in bovine diets. Moreover, their fibre content (9 - 14%) facilitates rumination and enhances rumen microbial activity. The pH of the cakes varied from 6.1 to 7.1, signifying mildly acidic to neutral levels. This range indicates favourable biochemical stability and minimal microbial activity, hence diminishing the likelihood of spoiling during storage (Atasoy et al., 2024). The pH of feed is pertinent to animal nutrition, as it affects protein solubility and mineral bioavailability. In ruminants, near-neutral pH levels promote microbial fermentation and fibre destruction in the rumen (Kubkomawa, 2021), whereas in poultry, feed pH interacts with gastric acidity, potentially influencing protein digestion and mineral absorption (Humer et al., 2015). Additionally, feed pH may indirectly indicate the presence of antinutritional substances, such tannins and organic acids, which alter the acidity of the matrix (Nuamah et al., 2024; Gocheva et al., 2023</w:t>
      </w:r>
      <w:commentRangeStart w:id="7"/>
      <w:r w:rsidR="00367D9A" w:rsidRPr="00332126">
        <w:rPr>
          <w:rFonts w:ascii="Arial" w:hAnsi="Arial" w:cs="Arial"/>
          <w:lang w:val="en-GB"/>
        </w:rPr>
        <w:t xml:space="preserve">). Titratable acidity exhibited considerable variation among locations (1.9 - 4.5 meq/100 g). </w:t>
      </w:r>
      <w:commentRangeEnd w:id="7"/>
      <w:r w:rsidR="00277BEE">
        <w:rPr>
          <w:rStyle w:val="CommentReference"/>
          <w:rFonts w:ascii="Times New Roman" w:hAnsi="Times New Roman"/>
          <w:lang w:val="nb-NO" w:eastAsia="nb-NO"/>
        </w:rPr>
        <w:commentReference w:id="7"/>
      </w:r>
      <w:r w:rsidR="00367D9A" w:rsidRPr="00332126">
        <w:rPr>
          <w:rFonts w:ascii="Arial" w:hAnsi="Arial" w:cs="Arial"/>
          <w:lang w:val="en-GB"/>
        </w:rPr>
        <w:t xml:space="preserve">This parameter indicates the buffering capacity of the cakes and offers supplementary information to pH. Elevated titratable acidity may signify a higher concentration of organic acids or fermentation byproducts, potentially diminishing feed palatability and altering digestive processes in animals (Day and Underwood, 1986; Ogungbenle et al., 2009). In poultry, the crude protein needs for broilers range from 16% to 22%, contingent upon age, while for layers, it is approximately 16% to 18% (Leeson </w:t>
      </w:r>
      <w:r w:rsidR="007A73D6" w:rsidRPr="00332126">
        <w:rPr>
          <w:rFonts w:ascii="Arial" w:hAnsi="Arial" w:cs="Arial"/>
          <w:lang w:val="en-GB"/>
        </w:rPr>
        <w:t>&amp;</w:t>
      </w:r>
      <w:r w:rsidR="00367D9A" w:rsidRPr="00332126">
        <w:rPr>
          <w:rFonts w:ascii="Arial" w:hAnsi="Arial" w:cs="Arial"/>
          <w:lang w:val="en-GB"/>
        </w:rPr>
        <w:t xml:space="preserve"> Summers, 2009). The protein level of "akpi" kernel cakes significantly surpasses these standards, suggesting it may serve as an alternate protein source to soy and imported flours. The elevated energy density (322 - 339 kcal/100 g) is advantageous for facilitating swift broiler growth and egg production. In chickens, increased acidity can reduce feed consumption, whereas in ruminants it may disrupt the equilibrium of rumen fermentation. Moderate acidity can prevent microbial contamination during storage, hence enhancing feed safety (Meda et al., 2005). Increased concentrations of magnesium, calcium, and iron are vital for bone formation, blood cell production, and energy consumption. The existence of antinutritional chemicals may restrict the digestion of proteins and minerals. For bovines, integrating </w:t>
      </w:r>
      <w:r w:rsidR="00367D9A" w:rsidRPr="003B59A9">
        <w:rPr>
          <w:rFonts w:ascii="Arial" w:hAnsi="Arial" w:cs="Arial"/>
          <w:i/>
          <w:lang w:val="en-GB"/>
        </w:rPr>
        <w:t>R. Heudelotii</w:t>
      </w:r>
      <w:r w:rsidR="00367D9A" w:rsidRPr="00332126">
        <w:rPr>
          <w:rFonts w:ascii="Arial" w:hAnsi="Arial" w:cs="Arial"/>
          <w:lang w:val="en-GB"/>
        </w:rPr>
        <w:t xml:space="preserve"> flour, when combined with local energy sources like maize, cassava, or rice bran, could enhance its valorisation while mitigating the adverse impacts of antinutritional elements.</w:t>
      </w:r>
    </w:p>
    <w:p w14:paraId="3306585B" w14:textId="77777777" w:rsidR="00E053D0" w:rsidRPr="00332126" w:rsidRDefault="00E053D0" w:rsidP="00441B6F">
      <w:pPr>
        <w:pStyle w:val="Body"/>
        <w:spacing w:after="0"/>
        <w:rPr>
          <w:rFonts w:ascii="Arial" w:hAnsi="Arial" w:cs="Arial"/>
          <w:lang w:val="en-GB"/>
        </w:rPr>
      </w:pPr>
    </w:p>
    <w:p w14:paraId="15785C40" w14:textId="77777777" w:rsidR="00A31422" w:rsidRPr="00332126" w:rsidRDefault="006A12AE" w:rsidP="006A12AE">
      <w:pPr>
        <w:pStyle w:val="Body"/>
        <w:spacing w:after="0"/>
        <w:rPr>
          <w:rFonts w:ascii="Arial" w:hAnsi="Arial" w:cs="Arial"/>
          <w:lang w:val="en-GB"/>
        </w:rPr>
      </w:pPr>
      <w:r w:rsidRPr="00332126">
        <w:rPr>
          <w:rFonts w:ascii="Arial" w:hAnsi="Arial" w:cs="Arial"/>
          <w:b/>
          <w:lang w:val="en-GB"/>
        </w:rPr>
        <w:t xml:space="preserve">Toxic and anti-nutritional factors in </w:t>
      </w:r>
      <w:r w:rsidRPr="00332126">
        <w:rPr>
          <w:rFonts w:ascii="Arial" w:hAnsi="Arial" w:cs="Arial"/>
          <w:b/>
          <w:i/>
          <w:lang w:val="en-GB"/>
        </w:rPr>
        <w:t>Ricinodendron heudelotii</w:t>
      </w:r>
      <w:r w:rsidRPr="00332126">
        <w:rPr>
          <w:rFonts w:ascii="Arial" w:hAnsi="Arial" w:cs="Arial"/>
          <w:b/>
          <w:lang w:val="en-GB"/>
        </w:rPr>
        <w:t xml:space="preserve"> (‘akpi’) kernel cakes:</w:t>
      </w:r>
      <w:r w:rsidRPr="00332126">
        <w:rPr>
          <w:rFonts w:ascii="Arial" w:hAnsi="Arial" w:cs="Arial"/>
          <w:lang w:val="en-GB"/>
        </w:rPr>
        <w:t xml:space="preserve"> Table 2 shows significant variations in the antinutritional profile of the kernel cakes according to their geographical origin. </w:t>
      </w:r>
    </w:p>
    <w:p w14:paraId="4577B7C6" w14:textId="77777777" w:rsidR="00A31422" w:rsidRPr="00332126" w:rsidRDefault="00A31422" w:rsidP="006A12AE">
      <w:pPr>
        <w:pStyle w:val="Body"/>
        <w:spacing w:after="0"/>
        <w:rPr>
          <w:rFonts w:ascii="Arial" w:hAnsi="Arial" w:cs="Arial"/>
          <w:lang w:val="en-GB"/>
        </w:rPr>
      </w:pPr>
    </w:p>
    <w:p w14:paraId="1CD20D6F" w14:textId="77777777" w:rsidR="00A31422" w:rsidRPr="00332126" w:rsidRDefault="00A31422" w:rsidP="00A31422">
      <w:pPr>
        <w:tabs>
          <w:tab w:val="left" w:pos="1080"/>
        </w:tabs>
        <w:jc w:val="both"/>
        <w:rPr>
          <w:rFonts w:ascii="Arial" w:hAnsi="Arial"/>
          <w:b/>
          <w:lang w:val="en-GB"/>
        </w:rPr>
      </w:pPr>
      <w:r w:rsidRPr="00332126">
        <w:rPr>
          <w:rFonts w:ascii="Arial" w:hAnsi="Arial"/>
          <w:b/>
          <w:lang w:val="en-GB"/>
        </w:rPr>
        <w:t xml:space="preserve">Table 2. Antinutritional composition of </w:t>
      </w:r>
      <w:r w:rsidRPr="003B59A9">
        <w:rPr>
          <w:rFonts w:ascii="Arial" w:hAnsi="Arial"/>
          <w:b/>
          <w:i/>
          <w:lang w:val="en-GB"/>
        </w:rPr>
        <w:t>Ricinodendron heudelotii</w:t>
      </w:r>
      <w:r w:rsidRPr="00332126">
        <w:rPr>
          <w:rFonts w:ascii="Arial" w:hAnsi="Arial"/>
          <w:b/>
          <w:lang w:val="en-GB"/>
        </w:rPr>
        <w:t xml:space="preserve"> kernel cakes (mean ± SD, n = 3).</w:t>
      </w:r>
    </w:p>
    <w:p w14:paraId="415A2162" w14:textId="77777777" w:rsidR="00A31422" w:rsidRPr="00332126" w:rsidRDefault="00A31422" w:rsidP="00A31422">
      <w:pPr>
        <w:tabs>
          <w:tab w:val="left" w:pos="1080"/>
        </w:tabs>
        <w:jc w:val="both"/>
        <w:rPr>
          <w:rFonts w:ascii="Arial" w:hAnsi="Arial"/>
          <w:b/>
          <w:lang w:val="en-GB"/>
        </w:rPr>
      </w:pPr>
    </w:p>
    <w:tbl>
      <w:tblPr>
        <w:tblStyle w:val="PlainTable2"/>
        <w:tblW w:w="5000" w:type="pct"/>
        <w:tblLook w:val="0620" w:firstRow="1" w:lastRow="0" w:firstColumn="0" w:lastColumn="0" w:noHBand="1" w:noVBand="1"/>
      </w:tblPr>
      <w:tblGrid>
        <w:gridCol w:w="1364"/>
        <w:gridCol w:w="1672"/>
        <w:gridCol w:w="1308"/>
        <w:gridCol w:w="1535"/>
        <w:gridCol w:w="1238"/>
        <w:gridCol w:w="1307"/>
      </w:tblGrid>
      <w:tr w:rsidR="00A31422" w:rsidRPr="00332126" w14:paraId="32052896" w14:textId="77777777" w:rsidTr="002D1CF3">
        <w:trPr>
          <w:cnfStyle w:val="100000000000" w:firstRow="1" w:lastRow="0" w:firstColumn="0" w:lastColumn="0" w:oddVBand="0" w:evenVBand="0" w:oddHBand="0" w:evenHBand="0" w:firstRowFirstColumn="0" w:firstRowLastColumn="0" w:lastRowFirstColumn="0" w:lastRowLastColumn="0"/>
        </w:trPr>
        <w:tc>
          <w:tcPr>
            <w:tcW w:w="809" w:type="pct"/>
            <w:hideMark/>
          </w:tcPr>
          <w:p w14:paraId="39BF8013"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992" w:type="pct"/>
            <w:hideMark/>
          </w:tcPr>
          <w:p w14:paraId="02A119B8"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Polyphenols (mg/100 g)</w:t>
            </w:r>
          </w:p>
        </w:tc>
        <w:tc>
          <w:tcPr>
            <w:tcW w:w="776" w:type="pct"/>
            <w:hideMark/>
          </w:tcPr>
          <w:p w14:paraId="79645FE3"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Phytates (mg/100 g)</w:t>
            </w:r>
          </w:p>
        </w:tc>
        <w:tc>
          <w:tcPr>
            <w:tcW w:w="911" w:type="pct"/>
            <w:hideMark/>
          </w:tcPr>
          <w:p w14:paraId="1ABF829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Flavonoids (mg/100 g)</w:t>
            </w:r>
          </w:p>
        </w:tc>
        <w:tc>
          <w:tcPr>
            <w:tcW w:w="735" w:type="pct"/>
            <w:hideMark/>
          </w:tcPr>
          <w:p w14:paraId="40011C9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Tannins (mg/100 g)</w:t>
            </w:r>
          </w:p>
        </w:tc>
        <w:tc>
          <w:tcPr>
            <w:tcW w:w="776" w:type="pct"/>
            <w:hideMark/>
          </w:tcPr>
          <w:p w14:paraId="05B2A8D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Oxalates (mg/100 g)</w:t>
            </w:r>
          </w:p>
        </w:tc>
      </w:tr>
      <w:tr w:rsidR="00A31422" w:rsidRPr="00332126" w14:paraId="0473D283" w14:textId="77777777" w:rsidTr="002D1CF3">
        <w:tc>
          <w:tcPr>
            <w:tcW w:w="809" w:type="pct"/>
            <w:hideMark/>
          </w:tcPr>
          <w:p w14:paraId="0AF2D77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992" w:type="pct"/>
            <w:hideMark/>
          </w:tcPr>
          <w:p w14:paraId="2140A2F6"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375.15 ± 28.75ᵃ</w:t>
            </w:r>
          </w:p>
        </w:tc>
        <w:tc>
          <w:tcPr>
            <w:tcW w:w="776" w:type="pct"/>
            <w:hideMark/>
          </w:tcPr>
          <w:p w14:paraId="47B869B8"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57.3 ± 5.0ᵃ</w:t>
            </w:r>
          </w:p>
        </w:tc>
        <w:tc>
          <w:tcPr>
            <w:tcW w:w="911" w:type="pct"/>
            <w:hideMark/>
          </w:tcPr>
          <w:p w14:paraId="08BC9416"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2.25 ± 0.45ᵃ</w:t>
            </w:r>
          </w:p>
        </w:tc>
        <w:tc>
          <w:tcPr>
            <w:tcW w:w="735" w:type="pct"/>
            <w:hideMark/>
          </w:tcPr>
          <w:p w14:paraId="4589B41C"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20.15 ± 3.75ᵃ</w:t>
            </w:r>
          </w:p>
        </w:tc>
        <w:tc>
          <w:tcPr>
            <w:tcW w:w="776" w:type="pct"/>
            <w:hideMark/>
          </w:tcPr>
          <w:p w14:paraId="4ECF5EC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972.6 ± 0.3ᵃ</w:t>
            </w:r>
          </w:p>
        </w:tc>
      </w:tr>
      <w:tr w:rsidR="00A31422" w:rsidRPr="00332126" w14:paraId="72E3B003" w14:textId="77777777" w:rsidTr="002D1CF3">
        <w:tc>
          <w:tcPr>
            <w:tcW w:w="809" w:type="pct"/>
            <w:hideMark/>
          </w:tcPr>
          <w:p w14:paraId="6A5F9360"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992" w:type="pct"/>
            <w:hideMark/>
          </w:tcPr>
          <w:p w14:paraId="6FA5B505"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316.3 ± 31.1ᵇ</w:t>
            </w:r>
          </w:p>
        </w:tc>
        <w:tc>
          <w:tcPr>
            <w:tcW w:w="776" w:type="pct"/>
            <w:hideMark/>
          </w:tcPr>
          <w:p w14:paraId="431E774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57.05 ± 4.85ᵃ</w:t>
            </w:r>
          </w:p>
        </w:tc>
        <w:tc>
          <w:tcPr>
            <w:tcW w:w="911" w:type="pct"/>
            <w:hideMark/>
          </w:tcPr>
          <w:p w14:paraId="02D2BF61"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2.05 ± 1.05ᵃ</w:t>
            </w:r>
          </w:p>
        </w:tc>
        <w:tc>
          <w:tcPr>
            <w:tcW w:w="735" w:type="pct"/>
            <w:hideMark/>
          </w:tcPr>
          <w:p w14:paraId="6A04A4E2"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31.8 ± 1.0ᵇ</w:t>
            </w:r>
          </w:p>
        </w:tc>
        <w:tc>
          <w:tcPr>
            <w:tcW w:w="776" w:type="pct"/>
            <w:hideMark/>
          </w:tcPr>
          <w:p w14:paraId="4F36583B"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927.35 ± 46.25ᵃ</w:t>
            </w:r>
          </w:p>
        </w:tc>
      </w:tr>
      <w:tr w:rsidR="00A31422" w:rsidRPr="00332126" w14:paraId="445C753A" w14:textId="77777777" w:rsidTr="002D1CF3">
        <w:tc>
          <w:tcPr>
            <w:tcW w:w="809" w:type="pct"/>
            <w:hideMark/>
          </w:tcPr>
          <w:p w14:paraId="23E4687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992" w:type="pct"/>
            <w:hideMark/>
          </w:tcPr>
          <w:p w14:paraId="0C885CF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216.6 ± 0.2ᵇ</w:t>
            </w:r>
          </w:p>
        </w:tc>
        <w:tc>
          <w:tcPr>
            <w:tcW w:w="776" w:type="pct"/>
            <w:hideMark/>
          </w:tcPr>
          <w:p w14:paraId="66646C3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63.3 ± 0.0ᵃ</w:t>
            </w:r>
          </w:p>
        </w:tc>
        <w:tc>
          <w:tcPr>
            <w:tcW w:w="911" w:type="pct"/>
            <w:hideMark/>
          </w:tcPr>
          <w:p w14:paraId="3598620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1.1 ± 0.0ᵇ</w:t>
            </w:r>
          </w:p>
        </w:tc>
        <w:tc>
          <w:tcPr>
            <w:tcW w:w="735" w:type="pct"/>
            <w:hideMark/>
          </w:tcPr>
          <w:p w14:paraId="31F6986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18.5 ± 0.1ᶜ</w:t>
            </w:r>
          </w:p>
        </w:tc>
        <w:tc>
          <w:tcPr>
            <w:tcW w:w="776" w:type="pct"/>
            <w:hideMark/>
          </w:tcPr>
          <w:p w14:paraId="5C40FDFB"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908.1 ± 0.0ᵃ</w:t>
            </w:r>
          </w:p>
        </w:tc>
      </w:tr>
      <w:tr w:rsidR="00A31422" w:rsidRPr="00332126" w14:paraId="6A7A2823" w14:textId="77777777" w:rsidTr="002D1CF3">
        <w:tc>
          <w:tcPr>
            <w:tcW w:w="809" w:type="pct"/>
            <w:hideMark/>
          </w:tcPr>
          <w:p w14:paraId="2A0A1341"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992" w:type="pct"/>
            <w:hideMark/>
          </w:tcPr>
          <w:p w14:paraId="5F916EA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348.4 ± 0.0ᵇ</w:t>
            </w:r>
          </w:p>
        </w:tc>
        <w:tc>
          <w:tcPr>
            <w:tcW w:w="776" w:type="pct"/>
            <w:hideMark/>
          </w:tcPr>
          <w:p w14:paraId="694E7519"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 ± 0.1ᶜ</w:t>
            </w:r>
          </w:p>
        </w:tc>
        <w:tc>
          <w:tcPr>
            <w:tcW w:w="911" w:type="pct"/>
            <w:hideMark/>
          </w:tcPr>
          <w:p w14:paraId="01EF330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4.6 ± 0.0ᶜ</w:t>
            </w:r>
          </w:p>
        </w:tc>
        <w:tc>
          <w:tcPr>
            <w:tcW w:w="735" w:type="pct"/>
            <w:hideMark/>
          </w:tcPr>
          <w:p w14:paraId="50853915"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22.0 ± 0.0ᵈ</w:t>
            </w:r>
          </w:p>
        </w:tc>
        <w:tc>
          <w:tcPr>
            <w:tcW w:w="776" w:type="pct"/>
            <w:hideMark/>
          </w:tcPr>
          <w:p w14:paraId="21EBB48C"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714.7 ± 0.0ᵃ</w:t>
            </w:r>
          </w:p>
        </w:tc>
      </w:tr>
    </w:tbl>
    <w:p w14:paraId="6B62B947" w14:textId="77777777" w:rsidR="00A31422" w:rsidRPr="00332126" w:rsidRDefault="00A31422" w:rsidP="00A31422">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 - d) are not significantly different at the 5% level.</w:t>
      </w:r>
    </w:p>
    <w:p w14:paraId="456ACE95" w14:textId="77777777" w:rsidR="00A31422" w:rsidRPr="00332126" w:rsidRDefault="00A31422" w:rsidP="00A31422">
      <w:pPr>
        <w:spacing w:line="360" w:lineRule="auto"/>
        <w:jc w:val="both"/>
        <w:rPr>
          <w:rFonts w:ascii="Arial Narrow" w:hAnsi="Arial Narrow"/>
          <w:b/>
          <w:sz w:val="24"/>
          <w:szCs w:val="24"/>
          <w:lang w:val="en-GB"/>
        </w:rPr>
      </w:pPr>
    </w:p>
    <w:p w14:paraId="2D83F249" w14:textId="77777777" w:rsidR="006A12AE" w:rsidRPr="00332126" w:rsidRDefault="00B07758" w:rsidP="006A12AE">
      <w:pPr>
        <w:pStyle w:val="Body"/>
        <w:spacing w:after="0"/>
        <w:rPr>
          <w:rFonts w:ascii="Arial" w:hAnsi="Arial" w:cs="Arial"/>
          <w:lang w:val="en-GB"/>
        </w:rPr>
      </w:pPr>
      <w:r w:rsidRPr="00332126">
        <w:rPr>
          <w:rFonts w:ascii="Arial" w:hAnsi="Arial" w:cs="Arial"/>
          <w:lang w:val="en-GB"/>
        </w:rPr>
        <w:t xml:space="preserve">Total polyphenols varied from 216.6 ± 0.2 mg/100 g in Gontougo to 375.2 ± 28.8 mg/100 g in Abidjan, indicating both antioxidant capacity and reduced protein digestibility. Phytate levels </w:t>
      </w:r>
      <w:r w:rsidRPr="00332126">
        <w:rPr>
          <w:rFonts w:ascii="Arial" w:hAnsi="Arial" w:cs="Arial"/>
          <w:lang w:val="en-GB"/>
        </w:rPr>
        <w:lastRenderedPageBreak/>
        <w:t>(52.2 - 71.4 mg/100 g) may adversely influence phosphorus and mineral bioavailability, but flavonoids were predominantly found in Haut-Sassandra (4.6 ± 0.0 mg/100 g). Tannin concentrations varied from 18.5 ± 0.1 mg/100 g (Gontougo) to 31.8 ± 10 mg/100 g (Lôh-Djiboua), suggesting potential disruption of protein utilisation. Oxalate levels above 700 mg/100 g throughout all regions, peaking at approximately 973 mg/100 g in Abidjan. The protein levels for chicken, ranging from 47% to 61%, significantly surpass the dietary needs of 16% to 22% for broilers and 1</w:t>
      </w:r>
      <w:r w:rsidR="003B59A9">
        <w:rPr>
          <w:rFonts w:ascii="Arial" w:hAnsi="Arial" w:cs="Arial"/>
          <w:lang w:val="en-GB"/>
        </w:rPr>
        <w:t>6% to 18% for layers (Leeson &amp;</w:t>
      </w:r>
      <w:r w:rsidRPr="00332126">
        <w:rPr>
          <w:rFonts w:ascii="Arial" w:hAnsi="Arial" w:cs="Arial"/>
          <w:lang w:val="en-GB"/>
        </w:rPr>
        <w:t xml:space="preserve"> Summers, 2009), rendering </w:t>
      </w:r>
      <w:r w:rsidRPr="003B59A9">
        <w:rPr>
          <w:rFonts w:ascii="Arial" w:hAnsi="Arial" w:cs="Arial"/>
          <w:i/>
          <w:lang w:val="en-GB"/>
        </w:rPr>
        <w:t>R. Heudelotii</w:t>
      </w:r>
      <w:r w:rsidRPr="00332126">
        <w:rPr>
          <w:rFonts w:ascii="Arial" w:hAnsi="Arial" w:cs="Arial"/>
          <w:lang w:val="en-GB"/>
        </w:rPr>
        <w:t xml:space="preserve"> as a viable substitute for soybean meal and foreign flours. The caloric density (322 - 339 kcal/100 g) is enough for promoting development and egg production. Poultry are particularly susceptible to phytates, which diminish phosphorus availability, and to tannins, which decrease palatability. Exogenous enzymes, including phytases, tannases, or oxalases, are essential for enhancing digestibility and utilisation in poultry diets (Humer et al., 2015; Nuamah et al., 2024). Worldwide, </w:t>
      </w:r>
      <w:r w:rsidRPr="000706A3">
        <w:rPr>
          <w:rFonts w:ascii="Arial" w:hAnsi="Arial" w:cs="Arial"/>
          <w:i/>
          <w:lang w:val="en-GB"/>
        </w:rPr>
        <w:t>R. Heudelotii</w:t>
      </w:r>
      <w:r w:rsidRPr="00332126">
        <w:rPr>
          <w:rFonts w:ascii="Arial" w:hAnsi="Arial" w:cs="Arial"/>
          <w:lang w:val="en-GB"/>
        </w:rPr>
        <w:t xml:space="preserve"> kernel cakes offer significant advantages, including high protein content, considerable mineral richness, and local availability, rendering them crucial resources for diminishing reliance on imported soybean meal. However, the significant diversity of antinutritional chemicals necessitates suitable detoxification methods. Various technologies can alleviate these constraints. Thermal processes, including toasting and extrusion, diminish tannins and polyphenols (Arnau et al., 2015). Microbial fermentation, utilising organisms such as Bacillus subtilis, yeasts, or filamentous fungus, enhances protein digestibility and reduces phytate and oxalate concentrations. The incorporation of particular enzymes (phytase, tannase, oxalase) can degrade antinutritional substances and improve mineral absorption (Maas et al., 2025). Basic techniques like soaking or germination also diminish phytates and </w:t>
      </w:r>
      <w:r w:rsidR="000706A3" w:rsidRPr="00332126">
        <w:rPr>
          <w:rFonts w:ascii="Arial" w:hAnsi="Arial" w:cs="Arial"/>
          <w:lang w:val="en-GB"/>
        </w:rPr>
        <w:t>oxalates;</w:t>
      </w:r>
      <w:r w:rsidRPr="00332126">
        <w:rPr>
          <w:rFonts w:ascii="Arial" w:hAnsi="Arial" w:cs="Arial"/>
          <w:lang w:val="en-GB"/>
        </w:rPr>
        <w:t xml:space="preserve"> </w:t>
      </w:r>
      <w:r w:rsidR="000706A3" w:rsidRPr="00332126">
        <w:rPr>
          <w:rFonts w:ascii="Arial" w:hAnsi="Arial" w:cs="Arial"/>
          <w:lang w:val="en-GB"/>
        </w:rPr>
        <w:t>however,</w:t>
      </w:r>
      <w:r w:rsidRPr="00332126">
        <w:rPr>
          <w:rFonts w:ascii="Arial" w:hAnsi="Arial" w:cs="Arial"/>
          <w:lang w:val="en-GB"/>
        </w:rPr>
        <w:t xml:space="preserve"> they are less appropriate for industrial-scale manufacturing. Incorporating these technologies into local feed units would enhance the value of this ingredient and guarantee its safety in animal diets.</w:t>
      </w:r>
    </w:p>
    <w:p w14:paraId="39F2B14A" w14:textId="77777777" w:rsidR="006A12AE" w:rsidRPr="00332126" w:rsidRDefault="006A12AE" w:rsidP="006A12AE">
      <w:pPr>
        <w:spacing w:line="360" w:lineRule="auto"/>
        <w:jc w:val="both"/>
        <w:rPr>
          <w:rFonts w:ascii="Arial Narrow" w:hAnsi="Arial Narrow"/>
          <w:sz w:val="24"/>
          <w:szCs w:val="24"/>
          <w:lang w:val="en-GB"/>
        </w:rPr>
      </w:pPr>
    </w:p>
    <w:p w14:paraId="2E882466" w14:textId="77777777" w:rsidR="00E76371" w:rsidRPr="00332126" w:rsidRDefault="006A12AE" w:rsidP="0082761F">
      <w:pPr>
        <w:pStyle w:val="Body"/>
        <w:spacing w:after="0"/>
        <w:rPr>
          <w:rFonts w:ascii="Arial" w:hAnsi="Arial" w:cs="Arial"/>
          <w:lang w:val="en-GB"/>
        </w:rPr>
      </w:pPr>
      <w:r w:rsidRPr="00332126">
        <w:rPr>
          <w:rFonts w:ascii="Arial" w:hAnsi="Arial" w:cs="Arial"/>
          <w:b/>
          <w:lang w:val="en-GB"/>
        </w:rPr>
        <w:t xml:space="preserve">Mineral composition of </w:t>
      </w:r>
      <w:r w:rsidRPr="00332126">
        <w:rPr>
          <w:rFonts w:ascii="Arial" w:hAnsi="Arial" w:cs="Arial"/>
          <w:b/>
          <w:i/>
          <w:lang w:val="en-GB"/>
        </w:rPr>
        <w:t>Ricinodendron heudelotii</w:t>
      </w:r>
      <w:r w:rsidRPr="00332126">
        <w:rPr>
          <w:rFonts w:ascii="Arial" w:hAnsi="Arial" w:cs="Arial"/>
          <w:b/>
          <w:lang w:val="en-GB"/>
        </w:rPr>
        <w:t xml:space="preserve"> kernel cakes</w:t>
      </w:r>
      <w:r w:rsidRPr="00332126">
        <w:rPr>
          <w:rFonts w:ascii="Arial" w:hAnsi="Arial" w:cs="Arial"/>
          <w:lang w:val="en-GB"/>
        </w:rPr>
        <w:t xml:space="preserve">: The mineral analysis of </w:t>
      </w:r>
      <w:r w:rsidRPr="00332126">
        <w:rPr>
          <w:rFonts w:ascii="Arial" w:hAnsi="Arial" w:cs="Arial"/>
          <w:i/>
          <w:lang w:val="en-GB"/>
        </w:rPr>
        <w:t>R</w:t>
      </w:r>
      <w:r w:rsidR="00722F80"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revealed notable regional variations (Table 3). </w:t>
      </w:r>
    </w:p>
    <w:p w14:paraId="37E91F98" w14:textId="77777777" w:rsidR="00E76371" w:rsidRPr="00332126" w:rsidRDefault="00E76371" w:rsidP="0082761F">
      <w:pPr>
        <w:pStyle w:val="Body"/>
        <w:spacing w:after="0"/>
        <w:rPr>
          <w:rFonts w:ascii="Arial" w:hAnsi="Arial" w:cs="Arial"/>
          <w:lang w:val="en-GB"/>
        </w:rPr>
      </w:pPr>
    </w:p>
    <w:p w14:paraId="056DC916" w14:textId="77777777" w:rsidR="00E76371" w:rsidRPr="00332126" w:rsidRDefault="00E76371" w:rsidP="00E76371">
      <w:pPr>
        <w:tabs>
          <w:tab w:val="left" w:pos="1080"/>
        </w:tabs>
        <w:jc w:val="both"/>
        <w:rPr>
          <w:rFonts w:ascii="Arial" w:hAnsi="Arial"/>
          <w:b/>
          <w:lang w:val="en-GB"/>
        </w:rPr>
      </w:pPr>
      <w:r w:rsidRPr="00332126">
        <w:rPr>
          <w:rFonts w:ascii="Arial" w:hAnsi="Arial"/>
          <w:b/>
          <w:lang w:val="en-GB"/>
        </w:rPr>
        <w:t xml:space="preserve">Table 3. Mineral composition of </w:t>
      </w:r>
      <w:r w:rsidRPr="000706A3">
        <w:rPr>
          <w:rFonts w:ascii="Arial" w:hAnsi="Arial"/>
          <w:b/>
          <w:i/>
          <w:lang w:val="en-GB"/>
        </w:rPr>
        <w:t>Ricinodendron heudelotii</w:t>
      </w:r>
      <w:r w:rsidRPr="00332126">
        <w:rPr>
          <w:rFonts w:ascii="Arial" w:hAnsi="Arial"/>
          <w:b/>
          <w:lang w:val="en-GB"/>
        </w:rPr>
        <w:t xml:space="preserve"> kernel cakes (mean ± SD, n = 3).</w:t>
      </w:r>
    </w:p>
    <w:tbl>
      <w:tblPr>
        <w:tblStyle w:val="PlainTable2"/>
        <w:tblW w:w="5061" w:type="pct"/>
        <w:tblLook w:val="0620" w:firstRow="1" w:lastRow="0" w:firstColumn="0" w:lastColumn="0" w:noHBand="1" w:noVBand="1"/>
      </w:tblPr>
      <w:tblGrid>
        <w:gridCol w:w="1226"/>
        <w:gridCol w:w="1105"/>
        <w:gridCol w:w="972"/>
        <w:gridCol w:w="1130"/>
        <w:gridCol w:w="1075"/>
        <w:gridCol w:w="1075"/>
        <w:gridCol w:w="972"/>
        <w:gridCol w:w="972"/>
      </w:tblGrid>
      <w:tr w:rsidR="00E76371" w:rsidRPr="00332126" w14:paraId="55FD0CDA" w14:textId="77777777" w:rsidTr="003855C9">
        <w:trPr>
          <w:cnfStyle w:val="100000000000" w:firstRow="1" w:lastRow="0" w:firstColumn="0" w:lastColumn="0" w:oddVBand="0" w:evenVBand="0" w:oddHBand="0" w:evenHBand="0" w:firstRowFirstColumn="0" w:firstRowLastColumn="0" w:lastRowFirstColumn="0" w:lastRowLastColumn="0"/>
          <w:trHeight w:val="673"/>
        </w:trPr>
        <w:tc>
          <w:tcPr>
            <w:tcW w:w="727" w:type="pct"/>
            <w:hideMark/>
          </w:tcPr>
          <w:p w14:paraId="5FC813A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656" w:type="pct"/>
            <w:hideMark/>
          </w:tcPr>
          <w:p w14:paraId="19A7C704"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Mg (mg/100 g)</w:t>
            </w:r>
          </w:p>
        </w:tc>
        <w:tc>
          <w:tcPr>
            <w:tcW w:w="557" w:type="pct"/>
            <w:hideMark/>
          </w:tcPr>
          <w:p w14:paraId="548A9EE5"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P (mg/100 g)</w:t>
            </w:r>
          </w:p>
        </w:tc>
        <w:tc>
          <w:tcPr>
            <w:tcW w:w="670" w:type="pct"/>
            <w:hideMark/>
          </w:tcPr>
          <w:p w14:paraId="64FEAB1B"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Ca (mg/100 g)</w:t>
            </w:r>
          </w:p>
        </w:tc>
        <w:tc>
          <w:tcPr>
            <w:tcW w:w="638" w:type="pct"/>
            <w:hideMark/>
          </w:tcPr>
          <w:p w14:paraId="18F70493"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K (mg/100 g)</w:t>
            </w:r>
          </w:p>
        </w:tc>
        <w:tc>
          <w:tcPr>
            <w:tcW w:w="638" w:type="pct"/>
            <w:hideMark/>
          </w:tcPr>
          <w:p w14:paraId="5777461B"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Fe (mg/100 g)</w:t>
            </w:r>
          </w:p>
        </w:tc>
        <w:tc>
          <w:tcPr>
            <w:tcW w:w="557" w:type="pct"/>
            <w:hideMark/>
          </w:tcPr>
          <w:p w14:paraId="15C95752"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Zn (mg/100 g)</w:t>
            </w:r>
          </w:p>
        </w:tc>
        <w:tc>
          <w:tcPr>
            <w:tcW w:w="557" w:type="pct"/>
            <w:hideMark/>
          </w:tcPr>
          <w:p w14:paraId="6827B2A3"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Cl (mg/100 g)</w:t>
            </w:r>
          </w:p>
        </w:tc>
      </w:tr>
      <w:tr w:rsidR="00E76371" w:rsidRPr="00332126" w14:paraId="1563ACE5" w14:textId="77777777" w:rsidTr="003855C9">
        <w:trPr>
          <w:trHeight w:val="695"/>
        </w:trPr>
        <w:tc>
          <w:tcPr>
            <w:tcW w:w="727" w:type="pct"/>
            <w:hideMark/>
          </w:tcPr>
          <w:p w14:paraId="67E2E7C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656" w:type="pct"/>
            <w:hideMark/>
          </w:tcPr>
          <w:p w14:paraId="06E29C4E"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24.5 ± 7.78</w:t>
            </w:r>
            <w:r w:rsidRPr="00332126">
              <w:rPr>
                <w:rFonts w:ascii="Arial" w:eastAsia="Times New Roman" w:hAnsi="Arial" w:cs="Arial"/>
                <w:sz w:val="20"/>
                <w:szCs w:val="20"/>
                <w:vertAlign w:val="superscript"/>
                <w:lang w:val="en-GB"/>
              </w:rPr>
              <w:t>a</w:t>
            </w:r>
          </w:p>
        </w:tc>
        <w:tc>
          <w:tcPr>
            <w:tcW w:w="557" w:type="pct"/>
            <w:hideMark/>
          </w:tcPr>
          <w:p w14:paraId="3E931C1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1.5 ± 0.71</w:t>
            </w:r>
            <w:r w:rsidRPr="00332126">
              <w:rPr>
                <w:rFonts w:ascii="Arial" w:eastAsia="Times New Roman" w:hAnsi="Arial" w:cs="Arial"/>
                <w:sz w:val="20"/>
                <w:szCs w:val="20"/>
                <w:vertAlign w:val="superscript"/>
                <w:lang w:val="en-GB"/>
              </w:rPr>
              <w:t>a</w:t>
            </w:r>
          </w:p>
        </w:tc>
        <w:tc>
          <w:tcPr>
            <w:tcW w:w="670" w:type="pct"/>
            <w:hideMark/>
          </w:tcPr>
          <w:p w14:paraId="2CA9DB0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0.55 ± 0.07</w:t>
            </w:r>
            <w:r w:rsidRPr="00332126">
              <w:rPr>
                <w:rFonts w:ascii="Arial" w:eastAsia="Times New Roman" w:hAnsi="Arial" w:cs="Arial"/>
                <w:sz w:val="20"/>
                <w:szCs w:val="20"/>
                <w:vertAlign w:val="superscript"/>
                <w:lang w:val="en-GB"/>
              </w:rPr>
              <w:t>a</w:t>
            </w:r>
          </w:p>
        </w:tc>
        <w:tc>
          <w:tcPr>
            <w:tcW w:w="638" w:type="pct"/>
            <w:hideMark/>
          </w:tcPr>
          <w:p w14:paraId="0B445D42"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0.25 ± 0.07</w:t>
            </w:r>
            <w:r w:rsidRPr="00332126">
              <w:rPr>
                <w:rFonts w:ascii="Arial" w:eastAsia="Times New Roman" w:hAnsi="Arial" w:cs="Arial"/>
                <w:sz w:val="20"/>
                <w:szCs w:val="20"/>
                <w:vertAlign w:val="superscript"/>
                <w:lang w:val="en-GB"/>
              </w:rPr>
              <w:t>a</w:t>
            </w:r>
          </w:p>
        </w:tc>
        <w:tc>
          <w:tcPr>
            <w:tcW w:w="638" w:type="pct"/>
            <w:hideMark/>
          </w:tcPr>
          <w:p w14:paraId="58BA6BE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2.5 ± 0.71</w:t>
            </w:r>
            <w:r w:rsidRPr="00332126">
              <w:rPr>
                <w:rFonts w:ascii="Arial" w:eastAsia="Times New Roman" w:hAnsi="Arial" w:cs="Arial"/>
                <w:sz w:val="20"/>
                <w:szCs w:val="20"/>
                <w:vertAlign w:val="superscript"/>
                <w:lang w:val="en-GB"/>
              </w:rPr>
              <w:t>a</w:t>
            </w:r>
          </w:p>
        </w:tc>
        <w:tc>
          <w:tcPr>
            <w:tcW w:w="557" w:type="pct"/>
            <w:hideMark/>
          </w:tcPr>
          <w:p w14:paraId="02CAE008"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57" w:type="pct"/>
            <w:hideMark/>
          </w:tcPr>
          <w:p w14:paraId="3C013539"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2DA1248F" w14:textId="77777777" w:rsidTr="003855C9">
        <w:trPr>
          <w:trHeight w:val="673"/>
        </w:trPr>
        <w:tc>
          <w:tcPr>
            <w:tcW w:w="727" w:type="pct"/>
            <w:hideMark/>
          </w:tcPr>
          <w:p w14:paraId="2BEC87D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656" w:type="pct"/>
            <w:hideMark/>
          </w:tcPr>
          <w:p w14:paraId="2C24E561"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16.0 ± 5.66</w:t>
            </w:r>
            <w:r w:rsidRPr="00332126">
              <w:rPr>
                <w:rFonts w:ascii="Arial" w:eastAsia="Times New Roman" w:hAnsi="Arial" w:cs="Arial"/>
                <w:sz w:val="20"/>
                <w:szCs w:val="20"/>
                <w:vertAlign w:val="superscript"/>
                <w:lang w:val="en-GB"/>
              </w:rPr>
              <w:t>b</w:t>
            </w:r>
          </w:p>
        </w:tc>
        <w:tc>
          <w:tcPr>
            <w:tcW w:w="557" w:type="pct"/>
            <w:hideMark/>
          </w:tcPr>
          <w:p w14:paraId="1E8087A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670" w:type="pct"/>
            <w:hideMark/>
          </w:tcPr>
          <w:p w14:paraId="43E06A68"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638" w:type="pct"/>
            <w:hideMark/>
          </w:tcPr>
          <w:p w14:paraId="135EEABB"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0.15 ± 0.07</w:t>
            </w:r>
            <w:r w:rsidRPr="00332126">
              <w:rPr>
                <w:rFonts w:ascii="Arial" w:eastAsia="Times New Roman" w:hAnsi="Arial" w:cs="Arial"/>
                <w:sz w:val="20"/>
                <w:szCs w:val="20"/>
                <w:vertAlign w:val="superscript"/>
                <w:lang w:val="en-GB"/>
              </w:rPr>
              <w:t>b</w:t>
            </w:r>
          </w:p>
        </w:tc>
        <w:tc>
          <w:tcPr>
            <w:tcW w:w="638" w:type="pct"/>
            <w:hideMark/>
          </w:tcPr>
          <w:p w14:paraId="3B5FBE5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2.05 ± 0.07</w:t>
            </w:r>
            <w:r w:rsidRPr="00332126">
              <w:rPr>
                <w:rFonts w:ascii="Arial" w:eastAsia="Times New Roman" w:hAnsi="Arial" w:cs="Arial"/>
                <w:sz w:val="20"/>
                <w:szCs w:val="20"/>
                <w:vertAlign w:val="superscript"/>
                <w:lang w:val="en-GB"/>
              </w:rPr>
              <w:t>a</w:t>
            </w:r>
          </w:p>
        </w:tc>
        <w:tc>
          <w:tcPr>
            <w:tcW w:w="557" w:type="pct"/>
            <w:hideMark/>
          </w:tcPr>
          <w:p w14:paraId="631597C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57" w:type="pct"/>
            <w:hideMark/>
          </w:tcPr>
          <w:p w14:paraId="4E6C590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69412B01" w14:textId="77777777" w:rsidTr="003855C9">
        <w:trPr>
          <w:trHeight w:val="695"/>
        </w:trPr>
        <w:tc>
          <w:tcPr>
            <w:tcW w:w="727" w:type="pct"/>
            <w:hideMark/>
          </w:tcPr>
          <w:p w14:paraId="1A045DD0"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656" w:type="pct"/>
            <w:hideMark/>
          </w:tcPr>
          <w:p w14:paraId="348FC290"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30.0 ± 0.0</w:t>
            </w:r>
            <w:r w:rsidRPr="00332126">
              <w:rPr>
                <w:rFonts w:ascii="Arial" w:eastAsia="Times New Roman" w:hAnsi="Arial" w:cs="Arial"/>
                <w:sz w:val="20"/>
                <w:szCs w:val="20"/>
                <w:vertAlign w:val="superscript"/>
                <w:lang w:val="en-GB"/>
              </w:rPr>
              <w:t>c</w:t>
            </w:r>
          </w:p>
        </w:tc>
        <w:tc>
          <w:tcPr>
            <w:tcW w:w="557" w:type="pct"/>
            <w:hideMark/>
          </w:tcPr>
          <w:p w14:paraId="0A27EB8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b</w:t>
            </w:r>
          </w:p>
        </w:tc>
        <w:tc>
          <w:tcPr>
            <w:tcW w:w="670" w:type="pct"/>
            <w:hideMark/>
          </w:tcPr>
          <w:p w14:paraId="38834C0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38" w:type="pct"/>
            <w:hideMark/>
          </w:tcPr>
          <w:p w14:paraId="20083B9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38" w:type="pct"/>
            <w:hideMark/>
          </w:tcPr>
          <w:p w14:paraId="76E2557C"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2.1 ± 0.0</w:t>
            </w:r>
            <w:r w:rsidRPr="00332126">
              <w:rPr>
                <w:rFonts w:ascii="Arial" w:eastAsia="Times New Roman" w:hAnsi="Arial" w:cs="Arial"/>
                <w:sz w:val="20"/>
                <w:szCs w:val="20"/>
                <w:vertAlign w:val="superscript"/>
                <w:lang w:val="en-GB"/>
              </w:rPr>
              <w:t>a</w:t>
            </w:r>
          </w:p>
        </w:tc>
        <w:tc>
          <w:tcPr>
            <w:tcW w:w="557" w:type="pct"/>
            <w:hideMark/>
          </w:tcPr>
          <w:p w14:paraId="63F6632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57" w:type="pct"/>
            <w:hideMark/>
          </w:tcPr>
          <w:p w14:paraId="7E4647E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3E02B64B" w14:textId="77777777" w:rsidTr="003855C9">
        <w:trPr>
          <w:trHeight w:val="336"/>
        </w:trPr>
        <w:tc>
          <w:tcPr>
            <w:tcW w:w="727" w:type="pct"/>
            <w:hideMark/>
          </w:tcPr>
          <w:p w14:paraId="041BA74C"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656" w:type="pct"/>
            <w:hideMark/>
          </w:tcPr>
          <w:p w14:paraId="33EDD199"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40.0 ± 0.0</w:t>
            </w:r>
            <w:r w:rsidRPr="00332126">
              <w:rPr>
                <w:rFonts w:ascii="Arial" w:eastAsia="Times New Roman" w:hAnsi="Arial" w:cs="Arial"/>
                <w:sz w:val="20"/>
                <w:szCs w:val="20"/>
                <w:vertAlign w:val="superscript"/>
                <w:lang w:val="en-GB"/>
              </w:rPr>
              <w:t>d</w:t>
            </w:r>
          </w:p>
        </w:tc>
        <w:tc>
          <w:tcPr>
            <w:tcW w:w="557" w:type="pct"/>
            <w:hideMark/>
          </w:tcPr>
          <w:p w14:paraId="458E9CE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1.0 ± 0.0</w:t>
            </w:r>
            <w:r w:rsidRPr="00332126">
              <w:rPr>
                <w:rFonts w:ascii="Arial" w:eastAsia="Times New Roman" w:hAnsi="Arial" w:cs="Arial"/>
                <w:sz w:val="20"/>
                <w:szCs w:val="20"/>
                <w:vertAlign w:val="superscript"/>
                <w:lang w:val="en-GB"/>
              </w:rPr>
              <w:t>c</w:t>
            </w:r>
          </w:p>
        </w:tc>
        <w:tc>
          <w:tcPr>
            <w:tcW w:w="670" w:type="pct"/>
            <w:hideMark/>
          </w:tcPr>
          <w:p w14:paraId="0B25CD8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0.6 ± 0.0</w:t>
            </w:r>
            <w:r w:rsidRPr="00332126">
              <w:rPr>
                <w:rFonts w:ascii="Arial" w:eastAsia="Times New Roman" w:hAnsi="Arial" w:cs="Arial"/>
                <w:sz w:val="20"/>
                <w:szCs w:val="20"/>
                <w:vertAlign w:val="superscript"/>
                <w:lang w:val="en-GB"/>
              </w:rPr>
              <w:t>d</w:t>
            </w:r>
          </w:p>
        </w:tc>
        <w:tc>
          <w:tcPr>
            <w:tcW w:w="638" w:type="pct"/>
            <w:hideMark/>
          </w:tcPr>
          <w:p w14:paraId="444A1001"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 ± 0.0</w:t>
            </w:r>
            <w:r w:rsidRPr="00332126">
              <w:rPr>
                <w:rFonts w:ascii="Arial" w:eastAsia="Times New Roman" w:hAnsi="Arial" w:cs="Arial"/>
                <w:sz w:val="20"/>
                <w:szCs w:val="20"/>
                <w:vertAlign w:val="superscript"/>
                <w:lang w:val="en-GB"/>
              </w:rPr>
              <w:t>a</w:t>
            </w:r>
          </w:p>
        </w:tc>
        <w:tc>
          <w:tcPr>
            <w:tcW w:w="638" w:type="pct"/>
            <w:hideMark/>
          </w:tcPr>
          <w:p w14:paraId="6854C20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2.3 ± 0.0</w:t>
            </w:r>
            <w:r w:rsidRPr="00332126">
              <w:rPr>
                <w:rFonts w:ascii="Arial" w:eastAsia="Times New Roman" w:hAnsi="Arial" w:cs="Arial"/>
                <w:sz w:val="20"/>
                <w:szCs w:val="20"/>
                <w:vertAlign w:val="superscript"/>
                <w:lang w:val="en-GB"/>
              </w:rPr>
              <w:t>a</w:t>
            </w:r>
          </w:p>
        </w:tc>
        <w:tc>
          <w:tcPr>
            <w:tcW w:w="557" w:type="pct"/>
            <w:hideMark/>
          </w:tcPr>
          <w:p w14:paraId="16A4E502"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57" w:type="pct"/>
            <w:hideMark/>
          </w:tcPr>
          <w:p w14:paraId="4EF23C5E"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bl>
    <w:p w14:paraId="0918346A" w14:textId="77777777"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n.d.: not detected.</w:t>
      </w:r>
    </w:p>
    <w:p w14:paraId="009F7FD5" w14:textId="77777777"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Means within a column followed by the same superscript letter (a-d) are not significantly different at the 5% level.</w:t>
      </w:r>
    </w:p>
    <w:p w14:paraId="01F7C023" w14:textId="77777777" w:rsidR="00E76371" w:rsidRPr="00332126" w:rsidRDefault="00E76371" w:rsidP="0082761F">
      <w:pPr>
        <w:pStyle w:val="Body"/>
        <w:spacing w:after="0"/>
        <w:rPr>
          <w:rFonts w:ascii="Arial" w:hAnsi="Arial" w:cs="Arial"/>
          <w:lang w:val="en-GB"/>
        </w:rPr>
      </w:pPr>
    </w:p>
    <w:p w14:paraId="1892A335" w14:textId="7A30BCB4" w:rsidR="00556FD0" w:rsidRPr="00332126" w:rsidRDefault="00556FD0" w:rsidP="00556FD0">
      <w:pPr>
        <w:pStyle w:val="Body"/>
        <w:spacing w:after="0"/>
        <w:rPr>
          <w:rFonts w:ascii="Arial" w:hAnsi="Arial" w:cs="Arial"/>
          <w:lang w:val="en-GB"/>
        </w:rPr>
      </w:pPr>
      <w:commentRangeStart w:id="8"/>
      <w:r w:rsidRPr="00332126">
        <w:rPr>
          <w:rFonts w:ascii="Arial" w:hAnsi="Arial" w:cs="Arial"/>
          <w:lang w:val="en-GB"/>
        </w:rPr>
        <w:t xml:space="preserve">In the District of Abidjan, magnesium (Mg) concentrations </w:t>
      </w:r>
      <w:r w:rsidR="005C03FA">
        <w:rPr>
          <w:rFonts w:ascii="Arial" w:hAnsi="Arial" w:cs="Arial"/>
          <w:lang w:val="en-GB"/>
        </w:rPr>
        <w:t>was</w:t>
      </w:r>
      <w:r w:rsidRPr="00332126">
        <w:rPr>
          <w:rFonts w:ascii="Arial" w:hAnsi="Arial" w:cs="Arial"/>
          <w:lang w:val="en-GB"/>
        </w:rPr>
        <w:t xml:space="preserve"> 24.5 ± 7.78 mg/100 g, calcium (Ca) was 0.55 ± 0.07 mg/100 g, and phosphorus (P) was 1.5 ± 0.71 mg/100 g. Potassium (K) was measured at a relatively low level of 0.25 ± 0.07 mg/100 g, whilst iron</w:t>
      </w:r>
      <w:r w:rsidR="005C03FA">
        <w:rPr>
          <w:rFonts w:ascii="Arial" w:hAnsi="Arial" w:cs="Arial"/>
          <w:lang w:val="en-GB"/>
        </w:rPr>
        <w:t xml:space="preserve"> </w:t>
      </w:r>
      <w:r w:rsidRPr="00332126">
        <w:rPr>
          <w:rFonts w:ascii="Arial" w:hAnsi="Arial" w:cs="Arial"/>
          <w:lang w:val="en-GB"/>
        </w:rPr>
        <w:lastRenderedPageBreak/>
        <w:t>(Fe) was found to be comparatively high at 2.5 ± 0.71 mg/100 g. Zinc (Zn) and chloride (</w:t>
      </w:r>
      <w:proofErr w:type="spellStart"/>
      <w:r w:rsidRPr="00332126">
        <w:rPr>
          <w:rFonts w:ascii="Arial" w:hAnsi="Arial" w:cs="Arial"/>
          <w:lang w:val="en-GB"/>
        </w:rPr>
        <w:t>Cl</w:t>
      </w:r>
      <w:proofErr w:type="spellEnd"/>
      <w:r w:rsidRPr="00332126">
        <w:rPr>
          <w:rFonts w:ascii="Arial" w:hAnsi="Arial" w:cs="Arial"/>
          <w:lang w:val="en-GB"/>
        </w:rPr>
        <w:t xml:space="preserve">) </w:t>
      </w:r>
      <w:r w:rsidR="005C03FA">
        <w:rPr>
          <w:rFonts w:ascii="Arial" w:hAnsi="Arial" w:cs="Arial"/>
          <w:lang w:val="en-GB"/>
        </w:rPr>
        <w:t>was</w:t>
      </w:r>
      <w:r w:rsidRPr="00332126">
        <w:rPr>
          <w:rFonts w:ascii="Arial" w:hAnsi="Arial" w:cs="Arial"/>
          <w:lang w:val="en-GB"/>
        </w:rPr>
        <w:t xml:space="preserve"> absent in these samples.</w:t>
      </w:r>
    </w:p>
    <w:p w14:paraId="4C8BF8D6"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 xml:space="preserve">In the Lôh-Djiboua region, the total mineral concentrations were diminished, with magnesium at 16.0 ± 5.66 mg/100 g, calcium and phosphorus each at 0.35 ± 0.07 mg/100 </w:t>
      </w:r>
      <w:r w:rsidR="004C2A2A" w:rsidRPr="00332126">
        <w:rPr>
          <w:rFonts w:ascii="Arial" w:hAnsi="Arial" w:cs="Arial"/>
          <w:lang w:val="en-GB"/>
        </w:rPr>
        <w:t>g and potassium at 0.15 ± 0.07 mg /100</w:t>
      </w:r>
      <w:r w:rsidRPr="00332126">
        <w:rPr>
          <w:rFonts w:ascii="Arial" w:hAnsi="Arial" w:cs="Arial"/>
          <w:lang w:val="en-GB"/>
        </w:rPr>
        <w:t xml:space="preserve"> g. Iron was quantified at 2.05 ± 0.07 mg/100 g, whilst Zn and Cl were not detectable.</w:t>
      </w:r>
    </w:p>
    <w:p w14:paraId="30D60D5C"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Kernel cakes from the Gontougo region had elevated levels of Mg (30.0 ± 0.0 mg/100 g) and K (0.4 ± 0.0 mg/100 g), while both Ca and P were recorded at 0.4 ± 0.0 mg/100 g. The iron level was 2.1 ± 0.0 mg/100 g, although zinc and chlorine were undetectable.</w:t>
      </w:r>
    </w:p>
    <w:p w14:paraId="1ECB5BE3"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The Haut-Sassandra region displayed the greatest levels of Mg (40.0 ± 0.0 mg/100 g) and Ca (0.6 ± 0.0 mg/100 g), with P at 1.0 ± 0.0 mg/100 g and K at 0.2 ± 0.0 mg/100 g. Iron measured 2.3 ± 0.0 mg/100 g, whilst zinc and chlorine were not detected.</w:t>
      </w:r>
    </w:p>
    <w:p w14:paraId="7A90E8A8" w14:textId="77777777" w:rsidR="006A12AE" w:rsidRPr="00332126" w:rsidRDefault="00556FD0" w:rsidP="00556FD0">
      <w:pPr>
        <w:pStyle w:val="Body"/>
        <w:spacing w:after="0"/>
        <w:rPr>
          <w:rFonts w:ascii="Arial" w:hAnsi="Arial" w:cs="Arial"/>
          <w:lang w:val="en-GB"/>
        </w:rPr>
      </w:pPr>
      <w:r w:rsidRPr="00332126">
        <w:rPr>
          <w:rFonts w:ascii="Arial" w:hAnsi="Arial" w:cs="Arial"/>
          <w:lang w:val="en-GB"/>
        </w:rPr>
        <w:t>The kernel cakes from Haut-Sassandra and Gontougo had the highest concentrations of Mg and Ca, potentially enhancing mineral availability in cattle nutrition. Iron levels were consistently stable throughout areas (2.05 - 2.5 mg/100 g), indicating that these cakes may aid in the prevention of anaemia in animals. The lack of detectable Zn and Cl signifies that additional mineral sources are required to provide a balanced nutritional profile.</w:t>
      </w:r>
      <w:r w:rsidR="006A12AE" w:rsidRPr="00332126">
        <w:rPr>
          <w:rFonts w:ascii="Arial" w:hAnsi="Arial" w:cs="Arial"/>
          <w:lang w:val="en-GB"/>
        </w:rPr>
        <w:t xml:space="preserve"> </w:t>
      </w:r>
      <w:commentRangeEnd w:id="8"/>
      <w:r w:rsidR="005C03FA">
        <w:rPr>
          <w:rStyle w:val="CommentReference"/>
          <w:rFonts w:ascii="Times New Roman" w:hAnsi="Times New Roman"/>
          <w:lang w:val="nb-NO" w:eastAsia="nb-NO"/>
        </w:rPr>
        <w:commentReference w:id="8"/>
      </w:r>
    </w:p>
    <w:p w14:paraId="243A6307" w14:textId="77777777" w:rsidR="00160D05" w:rsidRPr="00332126" w:rsidRDefault="00160D05" w:rsidP="00160D05">
      <w:pPr>
        <w:jc w:val="both"/>
        <w:rPr>
          <w:rFonts w:ascii="Arial Narrow" w:hAnsi="Arial Narrow"/>
          <w:i/>
          <w:iCs/>
          <w:lang w:val="en-GB"/>
        </w:rPr>
      </w:pPr>
    </w:p>
    <w:p w14:paraId="6EF5CFE4" w14:textId="77777777" w:rsidR="006A12AE" w:rsidRPr="00332126" w:rsidRDefault="006A12AE" w:rsidP="00CA5DE7">
      <w:pPr>
        <w:pStyle w:val="Body"/>
        <w:spacing w:after="0"/>
        <w:rPr>
          <w:rFonts w:ascii="Arial" w:hAnsi="Arial" w:cs="Arial"/>
          <w:lang w:val="en-GB"/>
        </w:rPr>
      </w:pPr>
      <w:r w:rsidRPr="00332126">
        <w:rPr>
          <w:rFonts w:ascii="Arial" w:hAnsi="Arial" w:cs="Arial"/>
          <w:b/>
          <w:lang w:val="en-GB"/>
        </w:rPr>
        <w:t>Implications for livestock feeding:</w:t>
      </w:r>
      <w:r w:rsidRPr="00332126">
        <w:rPr>
          <w:rFonts w:ascii="Arial" w:hAnsi="Arial" w:cs="Arial"/>
          <w:lang w:val="en-GB"/>
        </w:rPr>
        <w:t xml:space="preserve"> </w:t>
      </w:r>
      <w:r w:rsidR="00456B74" w:rsidRPr="00332126">
        <w:rPr>
          <w:rFonts w:ascii="Arial" w:hAnsi="Arial" w:cs="Arial"/>
          <w:lang w:val="en-GB"/>
        </w:rPr>
        <w:t xml:space="preserve">The incorporation of R. Incorporating heudelotii kernel cakes into animal diets has substantial opportunities for livestock advancement in Côte d'Ivoire. Ruminants are </w:t>
      </w:r>
      <w:r w:rsidR="000706A3" w:rsidRPr="00332126">
        <w:rPr>
          <w:rFonts w:ascii="Arial" w:hAnsi="Arial" w:cs="Arial"/>
          <w:lang w:val="en-GB"/>
        </w:rPr>
        <w:t>well suited</w:t>
      </w:r>
      <w:r w:rsidR="00456B74" w:rsidRPr="00332126">
        <w:rPr>
          <w:rFonts w:ascii="Arial" w:hAnsi="Arial" w:cs="Arial"/>
          <w:lang w:val="en-GB"/>
        </w:rPr>
        <w:t xml:space="preserve"> as nitrogenous supplements because to their high protein and fibre content, provided that energy-dense diets </w:t>
      </w:r>
      <w:r w:rsidR="000706A3" w:rsidRPr="00332126">
        <w:rPr>
          <w:rFonts w:ascii="Arial" w:hAnsi="Arial" w:cs="Arial"/>
          <w:lang w:val="en-GB"/>
        </w:rPr>
        <w:t>be</w:t>
      </w:r>
      <w:r w:rsidR="00456B74" w:rsidRPr="00332126">
        <w:rPr>
          <w:rFonts w:ascii="Arial" w:hAnsi="Arial" w:cs="Arial"/>
          <w:lang w:val="en-GB"/>
        </w:rPr>
        <w:t xml:space="preserve"> adequately incorporated. For chicken, despite sufficient protein and energy levels, enzymatic treatments are necessary to mitigate the impacts of phytates and tannins. By partially replacing imported protein meals, </w:t>
      </w:r>
      <w:r w:rsidR="00456B74" w:rsidRPr="000706A3">
        <w:rPr>
          <w:rFonts w:ascii="Arial" w:hAnsi="Arial" w:cs="Arial"/>
          <w:i/>
          <w:lang w:val="en-GB"/>
        </w:rPr>
        <w:t>R. Heudelotii</w:t>
      </w:r>
      <w:r w:rsidR="00456B74" w:rsidRPr="00332126">
        <w:rPr>
          <w:rFonts w:ascii="Arial" w:hAnsi="Arial" w:cs="Arial"/>
          <w:lang w:val="en-GB"/>
        </w:rPr>
        <w:t xml:space="preserve"> kernel cakes may diminish economic reliance on external markets, augment the valorisation of local resources, and generate additional value inside production chains. This strategy would enhance the competitiveness of the cattle sector and bolster national food security, while fostering sustainable production methods resilient to international market volatility.</w:t>
      </w:r>
    </w:p>
    <w:p w14:paraId="6735618D" w14:textId="77777777" w:rsidR="00790ADA" w:rsidRPr="00332126" w:rsidRDefault="00790ADA" w:rsidP="00441B6F">
      <w:pPr>
        <w:pStyle w:val="Body"/>
        <w:spacing w:after="0"/>
        <w:rPr>
          <w:rFonts w:ascii="Arial" w:hAnsi="Arial" w:cs="Arial"/>
          <w:lang w:val="en-GB"/>
        </w:rPr>
      </w:pPr>
    </w:p>
    <w:p w14:paraId="05EC44A7" w14:textId="77777777" w:rsidR="00B01FCD" w:rsidRPr="00332126" w:rsidRDefault="00000F8F" w:rsidP="00441B6F">
      <w:pPr>
        <w:pStyle w:val="ConcHead"/>
        <w:spacing w:after="0"/>
        <w:jc w:val="both"/>
        <w:rPr>
          <w:rFonts w:ascii="Arial" w:hAnsi="Arial" w:cs="Arial"/>
          <w:lang w:val="en-GB"/>
        </w:rPr>
      </w:pPr>
      <w:r w:rsidRPr="00332126">
        <w:rPr>
          <w:rFonts w:ascii="Arial" w:hAnsi="Arial" w:cs="Arial"/>
          <w:lang w:val="en-GB"/>
        </w:rPr>
        <w:t xml:space="preserve">4. </w:t>
      </w:r>
      <w:r w:rsidR="00B01FCD" w:rsidRPr="00332126">
        <w:rPr>
          <w:rFonts w:ascii="Arial" w:hAnsi="Arial" w:cs="Arial"/>
          <w:lang w:val="en-GB"/>
        </w:rPr>
        <w:t>Conclusion</w:t>
      </w:r>
    </w:p>
    <w:p w14:paraId="541279C2" w14:textId="77777777" w:rsidR="00790ADA" w:rsidRPr="00332126" w:rsidRDefault="00790ADA" w:rsidP="00441B6F">
      <w:pPr>
        <w:pStyle w:val="ConcHead"/>
        <w:spacing w:after="0"/>
        <w:jc w:val="both"/>
        <w:rPr>
          <w:rFonts w:ascii="Arial" w:hAnsi="Arial" w:cs="Arial"/>
          <w:lang w:val="en-GB"/>
        </w:rPr>
      </w:pPr>
    </w:p>
    <w:p w14:paraId="63D5DF11" w14:textId="77777777" w:rsidR="00B01FCD" w:rsidRPr="00332126" w:rsidRDefault="00CB0973" w:rsidP="00441B6F">
      <w:pPr>
        <w:pStyle w:val="Body"/>
        <w:spacing w:after="0"/>
        <w:rPr>
          <w:rFonts w:ascii="Arial" w:hAnsi="Arial" w:cs="Arial"/>
          <w:lang w:val="en-GB"/>
        </w:rPr>
      </w:pPr>
      <w:r w:rsidRPr="00332126">
        <w:rPr>
          <w:rFonts w:ascii="Arial" w:hAnsi="Arial" w:cs="Arial"/>
          <w:lang w:val="en-GB"/>
        </w:rPr>
        <w:t xml:space="preserve">This study indicated that defatted flours derived from </w:t>
      </w:r>
      <w:r w:rsidRPr="00332126">
        <w:rPr>
          <w:rFonts w:ascii="Arial" w:hAnsi="Arial" w:cs="Arial"/>
          <w:i/>
          <w:lang w:val="en-GB"/>
        </w:rPr>
        <w:t>R. Heudelotii</w:t>
      </w:r>
      <w:r w:rsidRPr="00332126">
        <w:rPr>
          <w:rFonts w:ascii="Arial" w:hAnsi="Arial" w:cs="Arial"/>
          <w:lang w:val="en-GB"/>
        </w:rPr>
        <w:t xml:space="preserve"> kernel cakes are abundant in proteins, fibres, and vital minerals including magnesium, calcium, and iron, rendering them significant resources for cattle nutrition in Côte d'Ivoire. Notwithstanding geographical disparities, their nutritional capacity surpasses the needs of both ruminants and poultry, underscoring their significance as strategic substitutes for imported soybean meal. Nonetheless, elevated concentrations of antinutritional substances such as polyphenols, tannins, phytates, and oxalates pose considerable limitations to their direct application, especially in monogastric nutrition. Processing techniques, including heat treatments, microbial fermentation, and enzymatic supplementation, are crucial for enhancing digestibility and nutritional availability. The enhancement of </w:t>
      </w:r>
      <w:r w:rsidRPr="006E7266">
        <w:rPr>
          <w:rFonts w:ascii="Arial" w:hAnsi="Arial" w:cs="Arial"/>
          <w:i/>
          <w:lang w:val="en-GB"/>
        </w:rPr>
        <w:t>R. Heudelotii</w:t>
      </w:r>
      <w:r w:rsidRPr="00332126">
        <w:rPr>
          <w:rFonts w:ascii="Arial" w:hAnsi="Arial" w:cs="Arial"/>
          <w:lang w:val="en-GB"/>
        </w:rPr>
        <w:t xml:space="preserve"> kernel flours may decrease feed expenses, improve protein independence, and bolster the sustainability and competitiveness of animal production systems in Côte d'Ivoire. Subsequent investigations should concentrate on enhancing detoxifying methods and doing in vivo experiments to confirm their safety and efficacy in animal nutrition.</w:t>
      </w:r>
    </w:p>
    <w:p w14:paraId="1EDB75FB" w14:textId="77777777" w:rsidR="00790ADA" w:rsidRPr="00332126" w:rsidRDefault="00790ADA" w:rsidP="00441B6F">
      <w:pPr>
        <w:pStyle w:val="Body"/>
        <w:spacing w:after="0"/>
        <w:rPr>
          <w:rFonts w:ascii="Arial" w:hAnsi="Arial" w:cs="Arial"/>
          <w:lang w:val="en-GB"/>
        </w:rPr>
      </w:pPr>
    </w:p>
    <w:p w14:paraId="6449D9C0" w14:textId="77777777" w:rsidR="00633A8E" w:rsidRPr="00332126" w:rsidRDefault="00633A8E" w:rsidP="00633A8E">
      <w:pPr>
        <w:pStyle w:val="ConcHead"/>
        <w:spacing w:after="0"/>
        <w:jc w:val="both"/>
        <w:rPr>
          <w:rFonts w:ascii="Arial" w:hAnsi="Arial" w:cs="Arial"/>
          <w:lang w:val="en-GB"/>
        </w:rPr>
      </w:pPr>
      <w:r w:rsidRPr="00332126">
        <w:rPr>
          <w:rFonts w:ascii="Arial" w:hAnsi="Arial" w:cs="Arial"/>
          <w:lang w:val="en-GB"/>
        </w:rPr>
        <w:t>DISCLAIMER (ARTIFICIAL INTELLIGENCE)</w:t>
      </w:r>
    </w:p>
    <w:p w14:paraId="0033841A" w14:textId="77777777" w:rsidR="00633A8E" w:rsidRPr="00332126" w:rsidRDefault="00633A8E" w:rsidP="00633A8E">
      <w:pPr>
        <w:pStyle w:val="ConcHead"/>
        <w:spacing w:after="0"/>
        <w:jc w:val="both"/>
        <w:rPr>
          <w:rFonts w:ascii="Arial" w:hAnsi="Arial" w:cs="Arial"/>
          <w:lang w:val="en-GB"/>
        </w:rPr>
      </w:pPr>
    </w:p>
    <w:p w14:paraId="535F9BC2" w14:textId="77777777" w:rsidR="00633A8E" w:rsidRPr="00332126" w:rsidRDefault="00633A8E" w:rsidP="00441B6F">
      <w:pPr>
        <w:pStyle w:val="Body"/>
        <w:spacing w:after="0"/>
        <w:rPr>
          <w:rFonts w:ascii="Arial" w:hAnsi="Arial" w:cs="Arial"/>
          <w:lang w:val="en-GB"/>
        </w:rPr>
      </w:pPr>
      <w:r w:rsidRPr="00332126">
        <w:rPr>
          <w:rFonts w:ascii="Arial" w:hAnsi="Arial" w:cs="Arial"/>
          <w:lang w:val="en-GB"/>
        </w:rPr>
        <w:t>Author(s) hereby declare that NO generative AI technologies such as Large Language Models (ChatGPT, COPILOT, etc) and text-to-image generators have been used during writing or editing of this manuscript.</w:t>
      </w:r>
    </w:p>
    <w:p w14:paraId="15E731CE" w14:textId="77777777" w:rsidR="00633A8E" w:rsidRPr="00332126" w:rsidRDefault="00633A8E" w:rsidP="00441B6F">
      <w:pPr>
        <w:pStyle w:val="Body"/>
        <w:spacing w:after="0"/>
        <w:rPr>
          <w:rFonts w:ascii="Arial" w:hAnsi="Arial" w:cs="Arial"/>
          <w:lang w:val="en-GB"/>
        </w:rPr>
      </w:pPr>
    </w:p>
    <w:p w14:paraId="43739F19" w14:textId="77777777" w:rsidR="00B01FCD" w:rsidRPr="00332126" w:rsidRDefault="00B01FCD" w:rsidP="00441B6F">
      <w:pPr>
        <w:pStyle w:val="ReferHead"/>
        <w:spacing w:after="0"/>
        <w:jc w:val="both"/>
        <w:rPr>
          <w:rFonts w:ascii="Arial" w:hAnsi="Arial" w:cs="Arial"/>
          <w:lang w:val="en-GB"/>
        </w:rPr>
      </w:pPr>
      <w:r w:rsidRPr="00332126">
        <w:rPr>
          <w:rFonts w:ascii="Arial" w:hAnsi="Arial" w:cs="Arial"/>
          <w:lang w:val="en-GB"/>
        </w:rPr>
        <w:lastRenderedPageBreak/>
        <w:t>References</w:t>
      </w:r>
    </w:p>
    <w:p w14:paraId="45AB65BD" w14:textId="77777777" w:rsidR="00790ADA" w:rsidRPr="00332126" w:rsidRDefault="00790ADA" w:rsidP="00441B6F">
      <w:pPr>
        <w:pStyle w:val="ReferHead"/>
        <w:spacing w:after="0"/>
        <w:jc w:val="both"/>
        <w:rPr>
          <w:rFonts w:ascii="Arial" w:hAnsi="Arial" w:cs="Arial"/>
          <w:lang w:val="en-GB"/>
        </w:rPr>
      </w:pPr>
    </w:p>
    <w:p w14:paraId="5B6ACD7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AFNOR. (1981). Corps </w:t>
      </w:r>
      <w:proofErr w:type="spellStart"/>
      <w:r w:rsidRPr="00332126">
        <w:rPr>
          <w:rFonts w:ascii="Arial" w:hAnsi="Arial" w:cs="Arial"/>
          <w:lang w:val="en-GB"/>
        </w:rPr>
        <w:t>gras</w:t>
      </w:r>
      <w:proofErr w:type="spellEnd"/>
      <w:r w:rsidRPr="00332126">
        <w:rPr>
          <w:rFonts w:ascii="Arial" w:hAnsi="Arial" w:cs="Arial"/>
          <w:lang w:val="en-GB"/>
        </w:rPr>
        <w:t xml:space="preserve">, </w:t>
      </w:r>
      <w:proofErr w:type="spellStart"/>
      <w:r w:rsidRPr="00332126">
        <w:rPr>
          <w:rFonts w:ascii="Arial" w:hAnsi="Arial" w:cs="Arial"/>
          <w:lang w:val="en-GB"/>
        </w:rPr>
        <w:t>graines</w:t>
      </w:r>
      <w:proofErr w:type="spellEnd"/>
      <w:r w:rsidRPr="00332126">
        <w:rPr>
          <w:rFonts w:ascii="Arial" w:hAnsi="Arial" w:cs="Arial"/>
          <w:lang w:val="en-GB"/>
        </w:rPr>
        <w:t xml:space="preserve"> </w:t>
      </w:r>
      <w:proofErr w:type="spellStart"/>
      <w:r w:rsidRPr="00332126">
        <w:rPr>
          <w:rFonts w:ascii="Arial" w:hAnsi="Arial" w:cs="Arial"/>
          <w:lang w:val="en-GB"/>
        </w:rPr>
        <w:t>oléagineuses</w:t>
      </w:r>
      <w:proofErr w:type="spellEnd"/>
      <w:r w:rsidRPr="00332126">
        <w:rPr>
          <w:rFonts w:ascii="Arial" w:hAnsi="Arial" w:cs="Arial"/>
          <w:lang w:val="en-GB"/>
        </w:rPr>
        <w:t xml:space="preserve"> et </w:t>
      </w:r>
      <w:proofErr w:type="spellStart"/>
      <w:r w:rsidRPr="00332126">
        <w:rPr>
          <w:rFonts w:ascii="Arial" w:hAnsi="Arial" w:cs="Arial"/>
          <w:lang w:val="en-GB"/>
        </w:rPr>
        <w:t>produits</w:t>
      </w:r>
      <w:proofErr w:type="spellEnd"/>
      <w:r w:rsidRPr="00332126">
        <w:rPr>
          <w:rFonts w:ascii="Arial" w:hAnsi="Arial" w:cs="Arial"/>
          <w:lang w:val="en-GB"/>
        </w:rPr>
        <w:t xml:space="preserve"> </w:t>
      </w:r>
      <w:proofErr w:type="spellStart"/>
      <w:r w:rsidRPr="00332126">
        <w:rPr>
          <w:rFonts w:ascii="Arial" w:hAnsi="Arial" w:cs="Arial"/>
          <w:lang w:val="en-GB"/>
        </w:rPr>
        <w:t>dérivés</w:t>
      </w:r>
      <w:proofErr w:type="spellEnd"/>
      <w:r w:rsidRPr="00332126">
        <w:rPr>
          <w:rFonts w:ascii="Arial" w:hAnsi="Arial" w:cs="Arial"/>
          <w:lang w:val="en-GB"/>
        </w:rPr>
        <w:t xml:space="preserve">. </w:t>
      </w:r>
      <w:proofErr w:type="spellStart"/>
      <w:r w:rsidRPr="00332126">
        <w:rPr>
          <w:rFonts w:ascii="Arial" w:hAnsi="Arial" w:cs="Arial"/>
          <w:lang w:val="en-GB"/>
        </w:rPr>
        <w:t>Recueil</w:t>
      </w:r>
      <w:proofErr w:type="spellEnd"/>
      <w:r w:rsidRPr="00332126">
        <w:rPr>
          <w:rFonts w:ascii="Arial" w:hAnsi="Arial" w:cs="Arial"/>
          <w:lang w:val="en-GB"/>
        </w:rPr>
        <w:t xml:space="preserve"> des </w:t>
      </w:r>
      <w:proofErr w:type="spellStart"/>
      <w:r w:rsidRPr="00332126">
        <w:rPr>
          <w:rFonts w:ascii="Arial" w:hAnsi="Arial" w:cs="Arial"/>
          <w:lang w:val="en-GB"/>
        </w:rPr>
        <w:t>normes</w:t>
      </w:r>
      <w:proofErr w:type="spellEnd"/>
      <w:r w:rsidRPr="00332126">
        <w:rPr>
          <w:rFonts w:ascii="Arial" w:hAnsi="Arial" w:cs="Arial"/>
          <w:lang w:val="en-GB"/>
        </w:rPr>
        <w:t xml:space="preserve"> </w:t>
      </w:r>
      <w:proofErr w:type="spellStart"/>
      <w:r w:rsidRPr="00332126">
        <w:rPr>
          <w:rFonts w:ascii="Arial" w:hAnsi="Arial" w:cs="Arial"/>
          <w:lang w:val="en-GB"/>
        </w:rPr>
        <w:t>françaises</w:t>
      </w:r>
      <w:proofErr w:type="spellEnd"/>
      <w:r w:rsidRPr="00332126">
        <w:rPr>
          <w:rFonts w:ascii="Arial" w:hAnsi="Arial" w:cs="Arial"/>
          <w:lang w:val="en-GB"/>
        </w:rPr>
        <w:t xml:space="preserve"> (2e </w:t>
      </w:r>
      <w:proofErr w:type="spellStart"/>
      <w:r w:rsidRPr="00332126">
        <w:rPr>
          <w:rFonts w:ascii="Arial" w:hAnsi="Arial" w:cs="Arial"/>
          <w:lang w:val="en-GB"/>
        </w:rPr>
        <w:t>éd</w:t>
      </w:r>
      <w:proofErr w:type="spellEnd"/>
      <w:r w:rsidRPr="00332126">
        <w:rPr>
          <w:rFonts w:ascii="Arial" w:hAnsi="Arial" w:cs="Arial"/>
          <w:lang w:val="en-GB"/>
        </w:rPr>
        <w:t>.). Paris: AFNOR. 438 p.</w:t>
      </w:r>
    </w:p>
    <w:p w14:paraId="2B5924D9" w14:textId="77777777" w:rsidR="00D26A51" w:rsidRPr="00332126" w:rsidRDefault="003246D8" w:rsidP="00D26A51">
      <w:pPr>
        <w:pStyle w:val="Reference"/>
        <w:numPr>
          <w:ilvl w:val="0"/>
          <w:numId w:val="0"/>
        </w:numPr>
        <w:ind w:left="720" w:hanging="720"/>
        <w:rPr>
          <w:rFonts w:ascii="Arial" w:hAnsi="Arial" w:cs="Arial"/>
          <w:lang w:val="en-GB"/>
        </w:rPr>
      </w:pPr>
      <w:r w:rsidRPr="00332126">
        <w:rPr>
          <w:rFonts w:ascii="Arial" w:hAnsi="Arial" w:cs="Arial"/>
          <w:lang w:val="en-GB"/>
        </w:rPr>
        <w:t>AOAC. (1990). Official Methods of Analysis (15th ed.). Washington, DC: Association of Official Analytical Chemists.</w:t>
      </w:r>
    </w:p>
    <w:p w14:paraId="15E771C6" w14:textId="77777777" w:rsidR="00D26A51" w:rsidRPr="00332126" w:rsidRDefault="00D26A51" w:rsidP="00D26A51">
      <w:pPr>
        <w:pStyle w:val="Reference"/>
        <w:numPr>
          <w:ilvl w:val="0"/>
          <w:numId w:val="0"/>
        </w:numPr>
        <w:ind w:left="720" w:hanging="720"/>
        <w:rPr>
          <w:rFonts w:ascii="Arial" w:hAnsi="Arial" w:cs="Arial"/>
          <w:lang w:val="en-GB"/>
        </w:rPr>
      </w:pPr>
      <w:r w:rsidRPr="00332126">
        <w:rPr>
          <w:rFonts w:ascii="Arial" w:hAnsi="Arial" w:cs="Arial"/>
          <w:lang w:val="en-GB"/>
        </w:rPr>
        <w:t>Arnau, J., Vidal, A., Sanchis, V., Ramos, A. J., &amp; Marín, S. (2015). Thermal stability and kinetics of degradation of deoxynivalenol, deoxynivalenol conjugates and ochratoxin A during baking of wheat bakery products. Food Chemistry, 178, 276–286. https://doi.org/10.1016/j.foodchem.2015.01.098</w:t>
      </w:r>
    </w:p>
    <w:p w14:paraId="6B0483B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Atasoy, M., Álvarez Ordóñez, A., </w:t>
      </w:r>
      <w:proofErr w:type="spellStart"/>
      <w:r w:rsidRPr="00332126">
        <w:rPr>
          <w:rFonts w:ascii="Arial" w:hAnsi="Arial" w:cs="Arial"/>
          <w:lang w:val="en-GB"/>
        </w:rPr>
        <w:t>Cenian</w:t>
      </w:r>
      <w:proofErr w:type="spellEnd"/>
      <w:r w:rsidRPr="00332126">
        <w:rPr>
          <w:rFonts w:ascii="Arial" w:hAnsi="Arial" w:cs="Arial"/>
          <w:lang w:val="en-GB"/>
        </w:rPr>
        <w:t xml:space="preserve">, A., </w:t>
      </w:r>
      <w:proofErr w:type="spellStart"/>
      <w:r w:rsidRPr="00332126">
        <w:rPr>
          <w:rFonts w:ascii="Arial" w:hAnsi="Arial" w:cs="Arial"/>
          <w:lang w:val="en-GB"/>
        </w:rPr>
        <w:t>Djukić-Vuković</w:t>
      </w:r>
      <w:proofErr w:type="spellEnd"/>
      <w:r w:rsidRPr="00332126">
        <w:rPr>
          <w:rFonts w:ascii="Arial" w:hAnsi="Arial" w:cs="Arial"/>
          <w:lang w:val="en-GB"/>
        </w:rPr>
        <w:t xml:space="preserve">, A., Lund, P. A., </w:t>
      </w:r>
      <w:proofErr w:type="spellStart"/>
      <w:r w:rsidRPr="00332126">
        <w:rPr>
          <w:rFonts w:ascii="Arial" w:hAnsi="Arial" w:cs="Arial"/>
          <w:lang w:val="en-GB"/>
        </w:rPr>
        <w:t>Ozogul</w:t>
      </w:r>
      <w:proofErr w:type="spellEnd"/>
      <w:r w:rsidRPr="00332126">
        <w:rPr>
          <w:rFonts w:ascii="Arial" w:hAnsi="Arial" w:cs="Arial"/>
          <w:lang w:val="en-GB"/>
        </w:rPr>
        <w:t>, F</w:t>
      </w:r>
      <w:r w:rsidR="00C35EAE" w:rsidRPr="00332126">
        <w:rPr>
          <w:rFonts w:ascii="Arial" w:hAnsi="Arial" w:cs="Arial"/>
          <w:lang w:val="en-GB"/>
        </w:rPr>
        <w:t>.,</w:t>
      </w:r>
      <w:r w:rsidR="00CA6882" w:rsidRPr="00332126">
        <w:rPr>
          <w:rFonts w:ascii="Arial" w:hAnsi="Arial" w:cs="Arial"/>
          <w:lang w:val="en-GB"/>
        </w:rPr>
        <w:t xml:space="preserve"> &amp;</w:t>
      </w:r>
      <w:r w:rsidRPr="00332126">
        <w:rPr>
          <w:rFonts w:ascii="Arial" w:hAnsi="Arial" w:cs="Arial"/>
          <w:lang w:val="en-GB"/>
        </w:rPr>
        <w:t xml:space="preserve"> De Biase, D. (2024). Exploitation of microbial activities at low pH to enhance planetary health. FEMS Microbiology Reviews, 48(1), fuad062. https://doi.org/10.1093/femsre/fuad062 PMID: 37985709; PMCID: PMC10963064</w:t>
      </w:r>
    </w:p>
    <w:p w14:paraId="273D9B3C"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Atwater, W., &amp; Rosa, E. (1899). A new respiratory calorimeter and the conservation of energy in human body. Physical Review, 9, 214–251.</w:t>
      </w:r>
    </w:p>
    <w:p w14:paraId="0179169B"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Bainbridge, Z., Tomlins, K., &amp; Westby, A. (1996). Methods for assessing quality characteristics of non-grain starch (Part 3: Laboratory methods). Chatham, UK: Natural Resources Institute.</w:t>
      </w:r>
    </w:p>
    <w:p w14:paraId="1D64E891"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Coulibaly, M., Kouamé, C. A., N’Dri, D. Y., Kouassi, N. K., </w:t>
      </w:r>
      <w:proofErr w:type="spellStart"/>
      <w:r w:rsidRPr="00332126">
        <w:rPr>
          <w:rFonts w:ascii="Arial" w:hAnsi="Arial" w:cs="Arial"/>
          <w:lang w:val="en-GB"/>
        </w:rPr>
        <w:t>Pereko</w:t>
      </w:r>
      <w:proofErr w:type="spellEnd"/>
      <w:r w:rsidRPr="00332126">
        <w:rPr>
          <w:rFonts w:ascii="Arial" w:hAnsi="Arial" w:cs="Arial"/>
          <w:lang w:val="en-GB"/>
        </w:rPr>
        <w:t xml:space="preserve">, K. K. A., &amp; Amani, G. N. (2018). Effect of post-harvest traditional technologies on the nutrient content and antioxidant compounds of defatted flours from </w:t>
      </w:r>
      <w:proofErr w:type="spellStart"/>
      <w:r w:rsidRPr="00332126">
        <w:rPr>
          <w:rFonts w:ascii="Arial" w:hAnsi="Arial" w:cs="Arial"/>
          <w:i/>
          <w:lang w:val="en-GB"/>
        </w:rPr>
        <w:t>Ricinodendron</w:t>
      </w:r>
      <w:proofErr w:type="spellEnd"/>
      <w:r w:rsidRPr="00332126">
        <w:rPr>
          <w:rFonts w:ascii="Arial" w:hAnsi="Arial" w:cs="Arial"/>
          <w:i/>
          <w:lang w:val="en-GB"/>
        </w:rPr>
        <w:t xml:space="preserve"> </w:t>
      </w:r>
      <w:proofErr w:type="spellStart"/>
      <w:r w:rsidRPr="00332126">
        <w:rPr>
          <w:rFonts w:ascii="Arial" w:hAnsi="Arial" w:cs="Arial"/>
          <w:i/>
          <w:lang w:val="en-GB"/>
        </w:rPr>
        <w:t>heudelotii</w:t>
      </w:r>
      <w:proofErr w:type="spellEnd"/>
      <w:r w:rsidRPr="00332126">
        <w:rPr>
          <w:rFonts w:ascii="Arial" w:hAnsi="Arial" w:cs="Arial"/>
          <w:lang w:val="en-GB"/>
        </w:rPr>
        <w:t xml:space="preserve"> seed kernels. Technologies, 6(2), 37.</w:t>
      </w:r>
    </w:p>
    <w:p w14:paraId="433AB541"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Day, R. A., &amp; Underwood, A. L. (1986). Quantitative Analysis (5th ed.). London: Prentice Hall. 701 p.</w:t>
      </w:r>
    </w:p>
    <w:p w14:paraId="3E4854E5"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Ducroquet</w:t>
      </w:r>
      <w:proofErr w:type="spellEnd"/>
      <w:r w:rsidRPr="00332126">
        <w:rPr>
          <w:rFonts w:ascii="Arial" w:hAnsi="Arial" w:cs="Arial"/>
          <w:lang w:val="en-GB"/>
        </w:rPr>
        <w:t xml:space="preserve">, H., Tillie, P., </w:t>
      </w:r>
      <w:proofErr w:type="spellStart"/>
      <w:r w:rsidRPr="00332126">
        <w:rPr>
          <w:rFonts w:ascii="Arial" w:hAnsi="Arial" w:cs="Arial"/>
          <w:lang w:val="en-GB"/>
        </w:rPr>
        <w:t>Louhichi</w:t>
      </w:r>
      <w:proofErr w:type="spellEnd"/>
      <w:r w:rsidRPr="00332126">
        <w:rPr>
          <w:rFonts w:ascii="Arial" w:hAnsi="Arial" w:cs="Arial"/>
          <w:lang w:val="en-GB"/>
        </w:rPr>
        <w:t>, K., &amp; Gomez-Y-Paloma, S. (2017). Agriculture in Côte d’Ivoire: Review of production systems and policy. JRC Science for Policy Report. European Union. 242 p.</w:t>
      </w:r>
    </w:p>
    <w:p w14:paraId="77EDA1EA"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 (2004). FAO global information and early warning system on food and agriculture. FAO/WFP Crop and Food Supply Assessment Mission to Côte d’Ivoire. Special report, March 2004. Rome: FAO.</w:t>
      </w:r>
    </w:p>
    <w:p w14:paraId="72698E3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FAO/WHO Expert Consultation. (1997). Carbohydrates in Human Nutrition. FAO Food and Nutrition Paper 66. Rome: FAO.</w:t>
      </w:r>
    </w:p>
    <w:p w14:paraId="56817F5D"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Feed Business Middle East and Africa. (2025, April). Côte d’Ivoire cuts feed import taxes to spur livestock growth: New fiscal measures and investment projects aim to boost local production and reduce dependency on imports. Feed Business Middle East and Africa.</w:t>
      </w:r>
    </w:p>
    <w:p w14:paraId="40FFF338"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Fiske, C. H., &amp; Subbarow, Y. (1925). The colorimetric determination of phosphorus. Journal of Biological Chemistry, 66, 375–400.</w:t>
      </w:r>
    </w:p>
    <w:p w14:paraId="36227C6B"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Gocheva</w:t>
      </w:r>
      <w:proofErr w:type="spellEnd"/>
      <w:r w:rsidRPr="00332126">
        <w:rPr>
          <w:rFonts w:ascii="Arial" w:hAnsi="Arial" w:cs="Arial"/>
          <w:lang w:val="en-GB"/>
        </w:rPr>
        <w:t xml:space="preserve">, Y., </w:t>
      </w:r>
      <w:proofErr w:type="spellStart"/>
      <w:r w:rsidRPr="00332126">
        <w:rPr>
          <w:rFonts w:ascii="Arial" w:hAnsi="Arial" w:cs="Arial"/>
          <w:lang w:val="en-GB"/>
        </w:rPr>
        <w:t>Engibarov</w:t>
      </w:r>
      <w:proofErr w:type="spellEnd"/>
      <w:r w:rsidRPr="00332126">
        <w:rPr>
          <w:rFonts w:ascii="Arial" w:hAnsi="Arial" w:cs="Arial"/>
          <w:lang w:val="en-GB"/>
        </w:rPr>
        <w:t xml:space="preserve">, S., </w:t>
      </w:r>
      <w:proofErr w:type="spellStart"/>
      <w:r w:rsidRPr="00332126">
        <w:rPr>
          <w:rFonts w:ascii="Arial" w:hAnsi="Arial" w:cs="Arial"/>
          <w:lang w:val="en-GB"/>
        </w:rPr>
        <w:t>Lazarkevich</w:t>
      </w:r>
      <w:proofErr w:type="spellEnd"/>
      <w:r w:rsidRPr="00332126">
        <w:rPr>
          <w:rFonts w:ascii="Arial" w:hAnsi="Arial" w:cs="Arial"/>
          <w:lang w:val="en-GB"/>
        </w:rPr>
        <w:t xml:space="preserve">, I., &amp; </w:t>
      </w:r>
      <w:proofErr w:type="spellStart"/>
      <w:r w:rsidRPr="00332126">
        <w:rPr>
          <w:rFonts w:ascii="Arial" w:hAnsi="Arial" w:cs="Arial"/>
          <w:lang w:val="en-GB"/>
        </w:rPr>
        <w:t>Eneva</w:t>
      </w:r>
      <w:proofErr w:type="spellEnd"/>
      <w:r w:rsidRPr="00332126">
        <w:rPr>
          <w:rFonts w:ascii="Arial" w:hAnsi="Arial" w:cs="Arial"/>
          <w:lang w:val="en-GB"/>
        </w:rPr>
        <w:t xml:space="preserve">, R. (2023). Phytases – types, sources, and factors affecting their activity. </w:t>
      </w:r>
      <w:proofErr w:type="spellStart"/>
      <w:r w:rsidRPr="00332126">
        <w:rPr>
          <w:rFonts w:ascii="Arial" w:hAnsi="Arial" w:cs="Arial"/>
          <w:lang w:val="en-GB"/>
        </w:rPr>
        <w:t>Acta</w:t>
      </w:r>
      <w:proofErr w:type="spellEnd"/>
      <w:r w:rsidRPr="00332126">
        <w:rPr>
          <w:rFonts w:ascii="Arial" w:hAnsi="Arial" w:cs="Arial"/>
          <w:lang w:val="en-GB"/>
        </w:rPr>
        <w:t xml:space="preserve"> </w:t>
      </w:r>
      <w:proofErr w:type="spellStart"/>
      <w:r w:rsidRPr="00332126">
        <w:rPr>
          <w:rFonts w:ascii="Arial" w:hAnsi="Arial" w:cs="Arial"/>
          <w:lang w:val="en-GB"/>
        </w:rPr>
        <w:t>Microbiologica</w:t>
      </w:r>
      <w:proofErr w:type="spellEnd"/>
      <w:r w:rsidRPr="00332126">
        <w:rPr>
          <w:rFonts w:ascii="Arial" w:hAnsi="Arial" w:cs="Arial"/>
          <w:lang w:val="en-GB"/>
        </w:rPr>
        <w:t xml:space="preserve"> </w:t>
      </w:r>
      <w:proofErr w:type="spellStart"/>
      <w:r w:rsidRPr="00332126">
        <w:rPr>
          <w:rFonts w:ascii="Arial" w:hAnsi="Arial" w:cs="Arial"/>
          <w:lang w:val="en-GB"/>
        </w:rPr>
        <w:t>Bulgarica</w:t>
      </w:r>
      <w:proofErr w:type="spellEnd"/>
      <w:r w:rsidRPr="00332126">
        <w:rPr>
          <w:rFonts w:ascii="Arial" w:hAnsi="Arial" w:cs="Arial"/>
          <w:lang w:val="en-GB"/>
        </w:rPr>
        <w:t>, 39(3), 249–263.</w:t>
      </w:r>
    </w:p>
    <w:p w14:paraId="640BDCE0"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Humer, E., Schwarz, C., &amp; </w:t>
      </w:r>
      <w:proofErr w:type="spellStart"/>
      <w:r w:rsidRPr="00332126">
        <w:rPr>
          <w:rFonts w:ascii="Arial" w:hAnsi="Arial" w:cs="Arial"/>
          <w:lang w:val="en-GB"/>
        </w:rPr>
        <w:t>Schedle</w:t>
      </w:r>
      <w:proofErr w:type="spellEnd"/>
      <w:r w:rsidRPr="00332126">
        <w:rPr>
          <w:rFonts w:ascii="Arial" w:hAnsi="Arial" w:cs="Arial"/>
          <w:lang w:val="en-GB"/>
        </w:rPr>
        <w:t>, K. (2015). Phytate in pig and poultry nutrition. Journal of Animal Physiology and Animal Nutrition, 99(4), 605–625.</w:t>
      </w:r>
    </w:p>
    <w:p w14:paraId="36256C92"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IPRI. (2019). Côte d’Ivoire Country Profile. Meat and Dairy Sector Report. </w:t>
      </w:r>
      <w:proofErr w:type="spellStart"/>
      <w:r w:rsidRPr="00332126">
        <w:rPr>
          <w:rFonts w:ascii="Arial" w:hAnsi="Arial" w:cs="Arial"/>
          <w:lang w:val="en-GB"/>
        </w:rPr>
        <w:t>Agentur</w:t>
      </w:r>
      <w:proofErr w:type="spellEnd"/>
      <w:r w:rsidRPr="00332126">
        <w:rPr>
          <w:rFonts w:ascii="Arial" w:hAnsi="Arial" w:cs="Arial"/>
          <w:lang w:val="en-GB"/>
        </w:rPr>
        <w:t xml:space="preserve"> </w:t>
      </w:r>
      <w:proofErr w:type="spellStart"/>
      <w:r w:rsidRPr="00332126">
        <w:rPr>
          <w:rFonts w:ascii="Arial" w:hAnsi="Arial" w:cs="Arial"/>
          <w:lang w:val="en-GB"/>
        </w:rPr>
        <w:t>für</w:t>
      </w:r>
      <w:proofErr w:type="spellEnd"/>
      <w:r w:rsidRPr="00332126">
        <w:rPr>
          <w:rFonts w:ascii="Arial" w:hAnsi="Arial" w:cs="Arial"/>
          <w:lang w:val="en-GB"/>
        </w:rPr>
        <w:t xml:space="preserve"> </w:t>
      </w:r>
      <w:proofErr w:type="spellStart"/>
      <w:r w:rsidRPr="00332126">
        <w:rPr>
          <w:rFonts w:ascii="Arial" w:hAnsi="Arial" w:cs="Arial"/>
          <w:lang w:val="en-GB"/>
        </w:rPr>
        <w:t>Wirtschaft</w:t>
      </w:r>
      <w:proofErr w:type="spellEnd"/>
      <w:r w:rsidRPr="00332126">
        <w:rPr>
          <w:rFonts w:ascii="Arial" w:hAnsi="Arial" w:cs="Arial"/>
          <w:lang w:val="en-GB"/>
        </w:rPr>
        <w:t xml:space="preserve"> und </w:t>
      </w:r>
      <w:proofErr w:type="spellStart"/>
      <w:r w:rsidRPr="00332126">
        <w:rPr>
          <w:rFonts w:ascii="Arial" w:hAnsi="Arial" w:cs="Arial"/>
          <w:lang w:val="en-GB"/>
        </w:rPr>
        <w:t>Entwicklung</w:t>
      </w:r>
      <w:proofErr w:type="spellEnd"/>
      <w:r w:rsidRPr="00332126">
        <w:rPr>
          <w:rFonts w:ascii="Arial" w:hAnsi="Arial" w:cs="Arial"/>
          <w:lang w:val="en-GB"/>
        </w:rPr>
        <w:t xml:space="preserve"> (AWE). 45 p.</w:t>
      </w:r>
    </w:p>
    <w:p w14:paraId="54C2E5CB"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International Finance Corporation (IFC). (2020). A Country Private Sector Diagnostic: Creating Markets in Côte d’Ivoire – Mobilizing the Private Sector in Support of Economic Transformation in Côte d’Ivoire. Washington, DC: IFC. Disponible sur: www.ifc.org</w:t>
      </w:r>
    </w:p>
    <w:p w14:paraId="53F684E5"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lastRenderedPageBreak/>
        <w:t>Kaankuka</w:t>
      </w:r>
      <w:proofErr w:type="spellEnd"/>
      <w:r w:rsidRPr="00332126">
        <w:rPr>
          <w:rFonts w:ascii="Arial" w:hAnsi="Arial" w:cs="Arial"/>
          <w:lang w:val="en-GB"/>
        </w:rPr>
        <w:t xml:space="preserve">, F. G., Balogun, T., &amp; </w:t>
      </w:r>
      <w:proofErr w:type="spellStart"/>
      <w:r w:rsidRPr="00332126">
        <w:rPr>
          <w:rFonts w:ascii="Arial" w:hAnsi="Arial" w:cs="Arial"/>
          <w:lang w:val="en-GB"/>
        </w:rPr>
        <w:t>Tegbe</w:t>
      </w:r>
      <w:proofErr w:type="spellEnd"/>
      <w:r w:rsidRPr="00332126">
        <w:rPr>
          <w:rFonts w:ascii="Arial" w:hAnsi="Arial" w:cs="Arial"/>
          <w:lang w:val="en-GB"/>
        </w:rPr>
        <w:t>, T. S. B. (1996). Effects of duration of cooking full-fat soybeans on proximate analysis, levels of antinutritional factors and digestibility by weanling pigs. Animal Feed Science and Technology, 62, 229–237.</w:t>
      </w:r>
    </w:p>
    <w:p w14:paraId="3355317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Kenfack, M. B. L. (2010). Nutritional and functional properties of proteins from </w:t>
      </w:r>
      <w:proofErr w:type="spellStart"/>
      <w:r w:rsidRPr="00332126">
        <w:rPr>
          <w:rFonts w:ascii="Arial" w:hAnsi="Arial" w:cs="Arial"/>
          <w:lang w:val="en-GB"/>
        </w:rPr>
        <w:t>Ricinodendron</w:t>
      </w:r>
      <w:proofErr w:type="spellEnd"/>
      <w:r w:rsidRPr="00332126">
        <w:rPr>
          <w:rFonts w:ascii="Arial" w:hAnsi="Arial" w:cs="Arial"/>
          <w:lang w:val="en-GB"/>
        </w:rPr>
        <w:t xml:space="preserve"> </w:t>
      </w:r>
      <w:proofErr w:type="spellStart"/>
      <w:r w:rsidRPr="00332126">
        <w:rPr>
          <w:rFonts w:ascii="Arial" w:hAnsi="Arial" w:cs="Arial"/>
          <w:lang w:val="en-GB"/>
        </w:rPr>
        <w:t>heudelotii</w:t>
      </w:r>
      <w:proofErr w:type="spellEnd"/>
      <w:r w:rsidRPr="00332126">
        <w:rPr>
          <w:rFonts w:ascii="Arial" w:hAnsi="Arial" w:cs="Arial"/>
          <w:lang w:val="en-GB"/>
        </w:rPr>
        <w:t xml:space="preserve"> and </w:t>
      </w:r>
      <w:proofErr w:type="spellStart"/>
      <w:r w:rsidRPr="00332126">
        <w:rPr>
          <w:rFonts w:ascii="Arial" w:hAnsi="Arial" w:cs="Arial"/>
          <w:lang w:val="en-GB"/>
        </w:rPr>
        <w:t>Tetracarpidium</w:t>
      </w:r>
      <w:proofErr w:type="spellEnd"/>
      <w:r w:rsidRPr="00332126">
        <w:rPr>
          <w:rFonts w:ascii="Arial" w:hAnsi="Arial" w:cs="Arial"/>
          <w:lang w:val="en-GB"/>
        </w:rPr>
        <w:t xml:space="preserve"> </w:t>
      </w:r>
      <w:proofErr w:type="spellStart"/>
      <w:r w:rsidRPr="00332126">
        <w:rPr>
          <w:rFonts w:ascii="Arial" w:hAnsi="Arial" w:cs="Arial"/>
          <w:lang w:val="en-GB"/>
        </w:rPr>
        <w:t>conophorum</w:t>
      </w:r>
      <w:proofErr w:type="spellEnd"/>
      <w:r w:rsidRPr="00332126">
        <w:rPr>
          <w:rFonts w:ascii="Arial" w:hAnsi="Arial" w:cs="Arial"/>
          <w:lang w:val="en-GB"/>
        </w:rPr>
        <w:t xml:space="preserve"> (Ph.D. thesis, unpublished). Nancy, France: </w:t>
      </w:r>
      <w:proofErr w:type="spellStart"/>
      <w:r w:rsidRPr="00332126">
        <w:rPr>
          <w:rFonts w:ascii="Arial" w:hAnsi="Arial" w:cs="Arial"/>
          <w:lang w:val="en-GB"/>
        </w:rPr>
        <w:t>Institut</w:t>
      </w:r>
      <w:proofErr w:type="spellEnd"/>
      <w:r w:rsidRPr="00332126">
        <w:rPr>
          <w:rFonts w:ascii="Arial" w:hAnsi="Arial" w:cs="Arial"/>
          <w:lang w:val="en-GB"/>
        </w:rPr>
        <w:t xml:space="preserve"> National </w:t>
      </w:r>
      <w:proofErr w:type="spellStart"/>
      <w:r w:rsidRPr="00332126">
        <w:rPr>
          <w:rFonts w:ascii="Arial" w:hAnsi="Arial" w:cs="Arial"/>
          <w:lang w:val="en-GB"/>
        </w:rPr>
        <w:t>Polytechnique</w:t>
      </w:r>
      <w:proofErr w:type="spellEnd"/>
      <w:r w:rsidRPr="00332126">
        <w:rPr>
          <w:rFonts w:ascii="Arial" w:hAnsi="Arial" w:cs="Arial"/>
          <w:lang w:val="en-GB"/>
        </w:rPr>
        <w:t xml:space="preserve"> de Lorraine, ENSA. 226 p.</w:t>
      </w:r>
    </w:p>
    <w:p w14:paraId="665767C3"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Kubkomawa</w:t>
      </w:r>
      <w:proofErr w:type="spellEnd"/>
      <w:r w:rsidRPr="00332126">
        <w:rPr>
          <w:rFonts w:ascii="Arial" w:hAnsi="Arial" w:cs="Arial"/>
          <w:lang w:val="en-GB"/>
        </w:rPr>
        <w:t>, H. I. (2021). Nutrient requirements of livestock for sustainable productivity in tropical Africa. Global Journal of Agricultural Research, 9(2), 38–76.</w:t>
      </w:r>
    </w:p>
    <w:p w14:paraId="42349342"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Leeson, S., &amp; Summers, J. D. (2009). Commercial Poultry Nutrition (3rd ed.). Nottingham, UK: Nottingham University Press.</w:t>
      </w:r>
    </w:p>
    <w:p w14:paraId="760228A2" w14:textId="77777777" w:rsidR="009B52F4" w:rsidRPr="00332126" w:rsidRDefault="009B52F4" w:rsidP="009B52F4">
      <w:pPr>
        <w:pStyle w:val="Reference"/>
        <w:numPr>
          <w:ilvl w:val="0"/>
          <w:numId w:val="0"/>
        </w:numPr>
        <w:ind w:left="720" w:hanging="720"/>
        <w:rPr>
          <w:rFonts w:ascii="Arial" w:hAnsi="Arial" w:cs="Arial"/>
          <w:lang w:val="en-GB"/>
        </w:rPr>
      </w:pPr>
      <w:r w:rsidRPr="00332126">
        <w:rPr>
          <w:rFonts w:ascii="Arial" w:hAnsi="Arial" w:cs="Arial"/>
          <w:lang w:val="en-GB"/>
        </w:rPr>
        <w:t xml:space="preserve">Maas, J. M., Kokou, F., </w:t>
      </w:r>
      <w:proofErr w:type="spellStart"/>
      <w:r w:rsidRPr="00332126">
        <w:rPr>
          <w:rFonts w:ascii="Arial" w:hAnsi="Arial" w:cs="Arial"/>
          <w:lang w:val="en-GB"/>
        </w:rPr>
        <w:t>Verdegem</w:t>
      </w:r>
      <w:proofErr w:type="spellEnd"/>
      <w:r w:rsidRPr="00332126">
        <w:rPr>
          <w:rFonts w:ascii="Arial" w:hAnsi="Arial" w:cs="Arial"/>
          <w:lang w:val="en-GB"/>
        </w:rPr>
        <w:t xml:space="preserve">, M. C. J., &amp; </w:t>
      </w:r>
      <w:proofErr w:type="spellStart"/>
      <w:r w:rsidRPr="00332126">
        <w:rPr>
          <w:rFonts w:ascii="Arial" w:hAnsi="Arial" w:cs="Arial"/>
          <w:lang w:val="en-GB"/>
        </w:rPr>
        <w:t>Schrama</w:t>
      </w:r>
      <w:proofErr w:type="spellEnd"/>
      <w:r w:rsidRPr="00332126">
        <w:rPr>
          <w:rFonts w:ascii="Arial" w:hAnsi="Arial" w:cs="Arial"/>
          <w:lang w:val="en-GB"/>
        </w:rPr>
        <w:t>, J. W. (2025). Enzyme supplementation (phytase and xylanase) improves low quality diets in Nile tilapia. Aquaculture Reports, 40, 102650. https://doi.org/10.1016/j.aqrep.2025.102650</w:t>
      </w:r>
    </w:p>
    <w:p w14:paraId="4BDDD100"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Meda, A., Lamien, C. E., Romito, M., Millogo, J., &amp; Nacoulma, O. G. (2005). Determination of total phenolic, flavonoid and proline contents in Burkina Faso honeys as well as their radical scavenging activity. Food Chemistry, 91, 571–577.</w:t>
      </w:r>
    </w:p>
    <w:p w14:paraId="17A7DA79"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Mohammed, A. I., </w:t>
      </w:r>
      <w:proofErr w:type="spellStart"/>
      <w:r w:rsidRPr="00332126">
        <w:rPr>
          <w:rFonts w:ascii="Arial" w:hAnsi="Arial" w:cs="Arial"/>
          <w:lang w:val="en-GB"/>
        </w:rPr>
        <w:t>Ponnamperuma</w:t>
      </w:r>
      <w:proofErr w:type="spellEnd"/>
      <w:r w:rsidRPr="00332126">
        <w:rPr>
          <w:rFonts w:ascii="Arial" w:hAnsi="Arial" w:cs="Arial"/>
          <w:lang w:val="en-GB"/>
        </w:rPr>
        <w:t>, A. J. P., &amp; Hafez, Y. S. (1986). New chromophore method for phytic acid determination. Cereal Chemistry, 63, 475–478.</w:t>
      </w:r>
    </w:p>
    <w:p w14:paraId="1D7515E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NRC. (2016). Nutrient Requirements of Beef Cattle (8th rev. ed.). Washington, DC: National Academy Press.</w:t>
      </w:r>
    </w:p>
    <w:p w14:paraId="2FD5C60A"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Nuamah, E., Okon, U. M., Jeong, E., Con, Y. M. I., Chae, B., Odoi, F. N. A</w:t>
      </w:r>
      <w:r w:rsidR="0016240E" w:rsidRPr="00332126">
        <w:rPr>
          <w:rFonts w:ascii="Arial" w:hAnsi="Arial" w:cs="Arial"/>
          <w:lang w:val="en-GB"/>
        </w:rPr>
        <w:t>., &amp;</w:t>
      </w:r>
      <w:r w:rsidRPr="00332126">
        <w:rPr>
          <w:rFonts w:ascii="Arial" w:hAnsi="Arial" w:cs="Arial"/>
          <w:lang w:val="en-GB"/>
        </w:rPr>
        <w:t xml:space="preserve"> Choi, N.-J. (2024). Unlocking phytate with phytase: A meta-analytic view of meat-type chicken muscle growth and bone mineralization potential. Animals, 14(14), 2090. https://doi.org/10.3390/ani14142090</w:t>
      </w:r>
    </w:p>
    <w:p w14:paraId="371B2AED"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Ogungbenle</w:t>
      </w:r>
      <w:proofErr w:type="spellEnd"/>
      <w:r w:rsidRPr="00332126">
        <w:rPr>
          <w:rFonts w:ascii="Arial" w:hAnsi="Arial" w:cs="Arial"/>
          <w:lang w:val="en-GB"/>
        </w:rPr>
        <w:t>, H. N., Oshodi, A. A., &amp; Oladimeji, M. O. (2009). Direct and indirect effects of salt applications on some functional properties of quinoa flour. Pakistan Journal of Nutrition, 8(1), 49–52.</w:t>
      </w:r>
    </w:p>
    <w:p w14:paraId="284A8FE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Poultry News Africa. (2025, April). Côte d’Ivoire eases import taxes on animal feed to boost livestock production. Poultry News Africa.</w:t>
      </w:r>
    </w:p>
    <w:p w14:paraId="4F7F6789"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Prosky</w:t>
      </w:r>
      <w:proofErr w:type="spellEnd"/>
      <w:r w:rsidRPr="00332126">
        <w:rPr>
          <w:rFonts w:ascii="Arial" w:hAnsi="Arial" w:cs="Arial"/>
          <w:lang w:val="en-GB"/>
        </w:rPr>
        <w:t xml:space="preserve">, L., Asp, N. G., Schweizer, T. F., De Vries, J. W., &amp; Furda, I. (1988). Determination of insoluble, soluble, and total dietary </w:t>
      </w:r>
      <w:proofErr w:type="spellStart"/>
      <w:r w:rsidRPr="00332126">
        <w:rPr>
          <w:rFonts w:ascii="Arial" w:hAnsi="Arial" w:cs="Arial"/>
          <w:lang w:val="en-GB"/>
        </w:rPr>
        <w:t>fiber</w:t>
      </w:r>
      <w:proofErr w:type="spellEnd"/>
      <w:r w:rsidRPr="00332126">
        <w:rPr>
          <w:rFonts w:ascii="Arial" w:hAnsi="Arial" w:cs="Arial"/>
          <w:lang w:val="en-GB"/>
        </w:rPr>
        <w:t xml:space="preserve"> in foods and food products: Interlaboratory study. Journal of the Association of Official Analytical Chemists, 71, 1017–1023.</w:t>
      </w:r>
    </w:p>
    <w:p w14:paraId="65B3CBB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Saki, S. J., Mosso, K., Sea, T. B., &amp; </w:t>
      </w:r>
      <w:proofErr w:type="spellStart"/>
      <w:r w:rsidRPr="00332126">
        <w:rPr>
          <w:rFonts w:ascii="Arial" w:hAnsi="Arial" w:cs="Arial"/>
          <w:lang w:val="en-GB"/>
        </w:rPr>
        <w:t>Diopoh</w:t>
      </w:r>
      <w:proofErr w:type="spellEnd"/>
      <w:r w:rsidRPr="00332126">
        <w:rPr>
          <w:rFonts w:ascii="Arial" w:hAnsi="Arial" w:cs="Arial"/>
          <w:lang w:val="en-GB"/>
        </w:rPr>
        <w:t xml:space="preserve">, K. J. (2005). Determination of some essential components of </w:t>
      </w:r>
      <w:proofErr w:type="spellStart"/>
      <w:r w:rsidRPr="00332126">
        <w:rPr>
          <w:rFonts w:ascii="Arial" w:hAnsi="Arial" w:cs="Arial"/>
          <w:lang w:val="en-GB"/>
        </w:rPr>
        <w:t>Ricinodendron</w:t>
      </w:r>
      <w:proofErr w:type="spellEnd"/>
      <w:r w:rsidRPr="00332126">
        <w:rPr>
          <w:rFonts w:ascii="Arial" w:hAnsi="Arial" w:cs="Arial"/>
          <w:lang w:val="en-GB"/>
        </w:rPr>
        <w:t xml:space="preserve"> </w:t>
      </w:r>
      <w:proofErr w:type="spellStart"/>
      <w:r w:rsidRPr="00332126">
        <w:rPr>
          <w:rFonts w:ascii="Arial" w:hAnsi="Arial" w:cs="Arial"/>
          <w:lang w:val="en-GB"/>
        </w:rPr>
        <w:t>heudelotii</w:t>
      </w:r>
      <w:proofErr w:type="spellEnd"/>
      <w:r w:rsidRPr="00332126">
        <w:rPr>
          <w:rFonts w:ascii="Arial" w:hAnsi="Arial" w:cs="Arial"/>
          <w:lang w:val="en-GB"/>
        </w:rPr>
        <w:t xml:space="preserve"> kernels in Côte d’Ivoire. </w:t>
      </w:r>
      <w:proofErr w:type="spellStart"/>
      <w:r w:rsidRPr="00332126">
        <w:rPr>
          <w:rFonts w:ascii="Arial" w:hAnsi="Arial" w:cs="Arial"/>
          <w:lang w:val="en-GB"/>
        </w:rPr>
        <w:t>Agronomie</w:t>
      </w:r>
      <w:proofErr w:type="spellEnd"/>
      <w:r w:rsidRPr="00332126">
        <w:rPr>
          <w:rFonts w:ascii="Arial" w:hAnsi="Arial" w:cs="Arial"/>
          <w:lang w:val="en-GB"/>
        </w:rPr>
        <w:t xml:space="preserve"> </w:t>
      </w:r>
      <w:proofErr w:type="spellStart"/>
      <w:r w:rsidRPr="00332126">
        <w:rPr>
          <w:rFonts w:ascii="Arial" w:hAnsi="Arial" w:cs="Arial"/>
          <w:lang w:val="en-GB"/>
        </w:rPr>
        <w:t>Africaine</w:t>
      </w:r>
      <w:proofErr w:type="spellEnd"/>
      <w:r w:rsidRPr="00332126">
        <w:rPr>
          <w:rFonts w:ascii="Arial" w:hAnsi="Arial" w:cs="Arial"/>
          <w:lang w:val="en-GB"/>
        </w:rPr>
        <w:t>, 17(2), 137–142.</w:t>
      </w:r>
    </w:p>
    <w:p w14:paraId="3D9ACFE5" w14:textId="77777777" w:rsidR="00B01FCD" w:rsidRPr="00332126" w:rsidRDefault="003246D8" w:rsidP="003246D8">
      <w:pPr>
        <w:pStyle w:val="Reference"/>
        <w:numPr>
          <w:ilvl w:val="0"/>
          <w:numId w:val="0"/>
        </w:numPr>
        <w:spacing w:line="240" w:lineRule="auto"/>
        <w:ind w:left="720" w:hanging="720"/>
        <w:rPr>
          <w:rFonts w:ascii="Arial" w:hAnsi="Arial" w:cs="Arial"/>
          <w:lang w:val="en-GB"/>
        </w:rPr>
      </w:pPr>
      <w:r w:rsidRPr="00332126">
        <w:rPr>
          <w:rFonts w:ascii="Arial" w:hAnsi="Arial" w:cs="Arial"/>
          <w:lang w:val="en-GB"/>
        </w:rPr>
        <w:t xml:space="preserve">Singleton, V. L., </w:t>
      </w:r>
      <w:proofErr w:type="spellStart"/>
      <w:r w:rsidRPr="00332126">
        <w:rPr>
          <w:rFonts w:ascii="Arial" w:hAnsi="Arial" w:cs="Arial"/>
          <w:lang w:val="en-GB"/>
        </w:rPr>
        <w:t>Orthofer</w:t>
      </w:r>
      <w:proofErr w:type="spellEnd"/>
      <w:r w:rsidRPr="00332126">
        <w:rPr>
          <w:rFonts w:ascii="Arial" w:hAnsi="Arial" w:cs="Arial"/>
          <w:lang w:val="en-GB"/>
        </w:rPr>
        <w:t xml:space="preserve">, R., &amp; </w:t>
      </w:r>
      <w:proofErr w:type="spellStart"/>
      <w:r w:rsidRPr="00332126">
        <w:rPr>
          <w:rFonts w:ascii="Arial" w:hAnsi="Arial" w:cs="Arial"/>
          <w:lang w:val="en-GB"/>
        </w:rPr>
        <w:t>Lamuela-Raventos</w:t>
      </w:r>
      <w:proofErr w:type="spellEnd"/>
      <w:r w:rsidRPr="00332126">
        <w:rPr>
          <w:rFonts w:ascii="Arial" w:hAnsi="Arial" w:cs="Arial"/>
          <w:lang w:val="en-GB"/>
        </w:rPr>
        <w:t xml:space="preserve">, R. M. (1999). Analysis of total phenols and other oxidation substrates and antioxidants by </w:t>
      </w:r>
      <w:proofErr w:type="spellStart"/>
      <w:r w:rsidRPr="00332126">
        <w:rPr>
          <w:rFonts w:ascii="Arial" w:hAnsi="Arial" w:cs="Arial"/>
          <w:lang w:val="en-GB"/>
        </w:rPr>
        <w:t>Folin</w:t>
      </w:r>
      <w:proofErr w:type="spellEnd"/>
      <w:r w:rsidRPr="00332126">
        <w:rPr>
          <w:rFonts w:ascii="Arial" w:hAnsi="Arial" w:cs="Arial"/>
          <w:lang w:val="en-GB"/>
        </w:rPr>
        <w:t>–</w:t>
      </w:r>
      <w:proofErr w:type="spellStart"/>
      <w:r w:rsidRPr="00332126">
        <w:rPr>
          <w:rFonts w:ascii="Arial" w:hAnsi="Arial" w:cs="Arial"/>
          <w:lang w:val="en-GB"/>
        </w:rPr>
        <w:t>Ciocalteu</w:t>
      </w:r>
      <w:proofErr w:type="spellEnd"/>
      <w:r w:rsidRPr="00332126">
        <w:rPr>
          <w:rFonts w:ascii="Arial" w:hAnsi="Arial" w:cs="Arial"/>
          <w:lang w:val="en-GB"/>
        </w:rPr>
        <w:t xml:space="preserve"> reagent. Methods in Enzymology, 299, 152–178.</w:t>
      </w:r>
    </w:p>
    <w:p w14:paraId="772668AB" w14:textId="77777777" w:rsidR="003246D8" w:rsidRPr="00332126" w:rsidRDefault="003246D8" w:rsidP="00441B6F">
      <w:pPr>
        <w:pStyle w:val="Reference"/>
        <w:numPr>
          <w:ilvl w:val="0"/>
          <w:numId w:val="0"/>
        </w:numPr>
        <w:spacing w:line="240" w:lineRule="auto"/>
        <w:rPr>
          <w:rFonts w:ascii="Arial" w:hAnsi="Arial" w:cs="Arial"/>
          <w:lang w:val="en-GB"/>
        </w:rPr>
      </w:pPr>
    </w:p>
    <w:p w14:paraId="178A5837" w14:textId="77777777" w:rsidR="004D4277" w:rsidRPr="00332126" w:rsidRDefault="004D4277" w:rsidP="00441B6F">
      <w:pPr>
        <w:pStyle w:val="Appendix"/>
        <w:spacing w:after="0"/>
        <w:jc w:val="both"/>
        <w:rPr>
          <w:rFonts w:ascii="Arial" w:hAnsi="Arial" w:cs="Arial"/>
          <w:b w:val="0"/>
          <w:lang w:val="en-GB"/>
        </w:rPr>
        <w:sectPr w:rsidR="004D4277" w:rsidRPr="00332126" w:rsidSect="009316E5">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316705A1" w14:textId="77777777" w:rsidR="00B01FCD" w:rsidRPr="00332126" w:rsidRDefault="00B01FCD" w:rsidP="00441B6F">
      <w:pPr>
        <w:pStyle w:val="Appendix"/>
        <w:spacing w:after="0"/>
        <w:jc w:val="both"/>
        <w:rPr>
          <w:rFonts w:ascii="Arial" w:hAnsi="Arial" w:cs="Arial"/>
          <w:b w:val="0"/>
          <w:lang w:val="en-GB"/>
        </w:rPr>
      </w:pPr>
    </w:p>
    <w:sectPr w:rsidR="00B01FCD" w:rsidRPr="00332126" w:rsidSect="009316E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hu" w:date="2025-09-06T22:02:00Z" w:initials="ah">
    <w:p w14:paraId="3E692A91" w14:textId="2E46CE5F" w:rsidR="00697D6C" w:rsidRDefault="00697D6C">
      <w:pPr>
        <w:pStyle w:val="CommentText"/>
      </w:pPr>
      <w:r>
        <w:rPr>
          <w:rStyle w:val="CommentReference"/>
        </w:rPr>
        <w:annotationRef/>
      </w:r>
      <w:r>
        <w:t xml:space="preserve">The aboundence or availblity of  </w:t>
      </w:r>
      <w:proofErr w:type="spellStart"/>
      <w:r w:rsidRPr="00332126">
        <w:rPr>
          <w:rFonts w:ascii="Arial" w:hAnsi="Arial" w:cs="Arial"/>
          <w:i/>
          <w:lang w:val="en-GB"/>
        </w:rPr>
        <w:t>Ricinodendron</w:t>
      </w:r>
      <w:proofErr w:type="spellEnd"/>
      <w:r w:rsidRPr="00332126">
        <w:rPr>
          <w:rFonts w:ascii="Arial" w:hAnsi="Arial" w:cs="Arial"/>
          <w:i/>
          <w:lang w:val="en-GB"/>
        </w:rPr>
        <w:t xml:space="preserve"> </w:t>
      </w:r>
      <w:proofErr w:type="spellStart"/>
      <w:r w:rsidRPr="00332126">
        <w:rPr>
          <w:rFonts w:ascii="Arial" w:hAnsi="Arial" w:cs="Arial"/>
          <w:i/>
          <w:lang w:val="en-GB"/>
        </w:rPr>
        <w:t>heudelotii</w:t>
      </w:r>
      <w:proofErr w:type="spellEnd"/>
      <w:r w:rsidRPr="00332126">
        <w:rPr>
          <w:rFonts w:ascii="Arial" w:hAnsi="Arial" w:cs="Arial"/>
          <w:lang w:val="en-GB"/>
        </w:rPr>
        <w:t xml:space="preserve"> (</w:t>
      </w:r>
      <w:r w:rsidRPr="00332126">
        <w:rPr>
          <w:rFonts w:ascii="Arial" w:hAnsi="Arial" w:cs="Arial"/>
          <w:i/>
          <w:lang w:val="en-GB"/>
        </w:rPr>
        <w:t xml:space="preserve">R. </w:t>
      </w:r>
      <w:proofErr w:type="spellStart"/>
      <w:proofErr w:type="gramStart"/>
      <w:r w:rsidRPr="00332126">
        <w:rPr>
          <w:rFonts w:ascii="Arial" w:hAnsi="Arial" w:cs="Arial"/>
          <w:i/>
          <w:lang w:val="en-GB"/>
        </w:rPr>
        <w:t>heudelotii</w:t>
      </w:r>
      <w:proofErr w:type="spellEnd"/>
      <w:proofErr w:type="gramEnd"/>
      <w:r w:rsidRPr="00332126">
        <w:rPr>
          <w:rFonts w:ascii="Arial" w:hAnsi="Arial" w:cs="Arial"/>
          <w:lang w:val="en-GB"/>
        </w:rPr>
        <w:t>) kernel cake</w:t>
      </w:r>
      <w:r>
        <w:rPr>
          <w:rFonts w:ascii="Arial" w:hAnsi="Arial" w:cs="Arial"/>
          <w:lang w:val="en-GB"/>
        </w:rPr>
        <w:t xml:space="preserve"> in country should be incorporated with recent data. This supports the </w:t>
      </w:r>
      <w:r w:rsidR="00023EB0">
        <w:rPr>
          <w:rFonts w:ascii="Arial" w:hAnsi="Arial" w:cs="Arial"/>
          <w:lang w:val="en-GB"/>
        </w:rPr>
        <w:t xml:space="preserve">investigation value </w:t>
      </w:r>
    </w:p>
  </w:comment>
  <w:comment w:id="1" w:author="ahmed hu" w:date="2025-09-08T23:22:00Z" w:initials="ah">
    <w:p w14:paraId="5518BD9C" w14:textId="1E4FA839" w:rsidR="0050484D" w:rsidRDefault="0050484D">
      <w:pPr>
        <w:pStyle w:val="CommentText"/>
      </w:pPr>
      <w:r>
        <w:rPr>
          <w:rStyle w:val="CommentReference"/>
        </w:rPr>
        <w:annotationRef/>
      </w:r>
      <w:r>
        <w:t xml:space="preserve">Short and breif description of study area (location like alitude, latitude...., rainfall, temprature, bordering area, distance from national capital city, study population , livestock population, </w:t>
      </w:r>
      <w:r w:rsidR="008607FA">
        <w:t xml:space="preserve">and if possible map of study area should be included. These data will increase the inpact this article. </w:t>
      </w:r>
    </w:p>
  </w:comment>
  <w:comment w:id="2" w:author="ahmed hu" w:date="2025-09-09T00:09:00Z" w:initials="ah">
    <w:p w14:paraId="70F55AEF" w14:textId="15C1915A" w:rsidR="008607FA" w:rsidRDefault="008607FA">
      <w:pPr>
        <w:pStyle w:val="CommentText"/>
      </w:pPr>
      <w:r>
        <w:rPr>
          <w:rStyle w:val="CommentReference"/>
        </w:rPr>
        <w:annotationRef/>
      </w:r>
      <w:r>
        <w:t>To be representative  what the are procedures followed to select and conduct study on these markets. How you select these study</w:t>
      </w:r>
      <w:r w:rsidR="00BE0F5E">
        <w:t xml:space="preserve"> areas? </w:t>
      </w:r>
      <w:r w:rsidR="00BE0F5E">
        <w:t xml:space="preserve">Are they represenative? </w:t>
      </w:r>
      <w:bookmarkStart w:id="3" w:name="_GoBack"/>
      <w:bookmarkEnd w:id="3"/>
      <w:r>
        <w:t xml:space="preserve"> </w:t>
      </w:r>
    </w:p>
  </w:comment>
  <w:comment w:id="4" w:author="ahmed hu" w:date="2025-09-08T22:15:00Z" w:initials="ah">
    <w:p w14:paraId="3741876F" w14:textId="4A3DAEE3" w:rsidR="00485FFD" w:rsidRDefault="00485FFD">
      <w:pPr>
        <w:pStyle w:val="CommentText"/>
      </w:pPr>
      <w:r>
        <w:rPr>
          <w:rStyle w:val="CommentReference"/>
        </w:rPr>
        <w:annotationRef/>
      </w:r>
      <w:r>
        <w:t xml:space="preserve">Mention place of laboratory analysis </w:t>
      </w:r>
    </w:p>
  </w:comment>
  <w:comment w:id="5" w:author="ahmed hu" w:date="2025-09-08T22:19:00Z" w:initials="ah">
    <w:p w14:paraId="3B6B1188" w14:textId="644D9E25" w:rsidR="00485FFD" w:rsidRDefault="00485FFD">
      <w:pPr>
        <w:pStyle w:val="CommentText"/>
      </w:pPr>
      <w:r>
        <w:rPr>
          <w:rStyle w:val="CommentReference"/>
        </w:rPr>
        <w:annotationRef/>
      </w:r>
      <w:r>
        <w:t xml:space="preserve">Mention where these parameters were conducted </w:t>
      </w:r>
    </w:p>
  </w:comment>
  <w:comment w:id="6" w:author="ahmed hu" w:date="2025-09-06T22:12:00Z" w:initials="ah">
    <w:p w14:paraId="25E80647" w14:textId="22D3EFCE" w:rsidR="00B1220B" w:rsidRDefault="00B1220B">
      <w:pPr>
        <w:pStyle w:val="CommentText"/>
      </w:pPr>
      <w:r>
        <w:rPr>
          <w:rStyle w:val="CommentReference"/>
        </w:rPr>
        <w:annotationRef/>
      </w:r>
      <w:r>
        <w:t xml:space="preserve">Replace by coponet </w:t>
      </w:r>
    </w:p>
  </w:comment>
  <w:comment w:id="7" w:author="ahmed hu" w:date="2025-09-08T22:51:00Z" w:initials="ah">
    <w:p w14:paraId="3EEA5A95" w14:textId="3E4171CB" w:rsidR="00277BEE" w:rsidRDefault="00277BEE">
      <w:pPr>
        <w:pStyle w:val="CommentText"/>
      </w:pPr>
      <w:r>
        <w:rPr>
          <w:rStyle w:val="CommentReference"/>
        </w:rPr>
        <w:annotationRef/>
      </w:r>
      <w:r>
        <w:t xml:space="preserve">What is the reason for this much variation. </w:t>
      </w:r>
    </w:p>
  </w:comment>
  <w:comment w:id="8" w:author="ahmed hu" w:date="2025-09-08T23:10:00Z" w:initials="ah">
    <w:p w14:paraId="3AC444B2" w14:textId="6D07438A" w:rsidR="005C03FA" w:rsidRDefault="005C03FA">
      <w:pPr>
        <w:pStyle w:val="CommentText"/>
      </w:pPr>
      <w:r>
        <w:rPr>
          <w:rStyle w:val="CommentReference"/>
        </w:rPr>
        <w:annotationRef/>
      </w:r>
      <w:r>
        <w:t xml:space="preserve">Compare your result with other prevous study to signfy the investigation of each mininral presence or absance  and drew conclusion and recomendation easly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33E3B" w14:textId="77777777" w:rsidR="00752AF8" w:rsidRDefault="00752AF8" w:rsidP="00C37E61">
      <w:r>
        <w:separator/>
      </w:r>
    </w:p>
  </w:endnote>
  <w:endnote w:type="continuationSeparator" w:id="0">
    <w:p w14:paraId="1685578E" w14:textId="77777777" w:rsidR="00752AF8" w:rsidRDefault="00752A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EA8F" w14:textId="77777777" w:rsidR="00D8631C" w:rsidRDefault="00D86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E019E" w14:textId="77777777" w:rsidR="00D8631C" w:rsidRDefault="00D86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9FA3" w14:textId="253651FF" w:rsidR="00754C9A" w:rsidRPr="009316E5" w:rsidRDefault="00754C9A" w:rsidP="009316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0FDF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B6A32" w14:textId="77777777" w:rsidR="00752AF8" w:rsidRDefault="00752AF8" w:rsidP="00C37E61">
      <w:r>
        <w:separator/>
      </w:r>
    </w:p>
  </w:footnote>
  <w:footnote w:type="continuationSeparator" w:id="0">
    <w:p w14:paraId="026241C7" w14:textId="77777777" w:rsidR="00752AF8" w:rsidRDefault="00752AF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7BEE" w14:textId="68199A07" w:rsidR="00D8631C" w:rsidRDefault="00752AF8">
    <w:pPr>
      <w:pStyle w:val="Header"/>
    </w:pPr>
    <w:r>
      <w:rPr>
        <w:noProof/>
      </w:rPr>
      <w:pict w14:anchorId="523F7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07F72" w14:textId="7850D238" w:rsidR="00D8631C" w:rsidRDefault="00752AF8">
    <w:pPr>
      <w:pStyle w:val="Header"/>
    </w:pPr>
    <w:r>
      <w:rPr>
        <w:noProof/>
      </w:rPr>
      <w:pict w14:anchorId="47393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8C400" w14:textId="4BDBA40A" w:rsidR="00296529" w:rsidRPr="00296529" w:rsidRDefault="00752AF8" w:rsidP="00296529">
    <w:pPr>
      <w:ind w:left="2160"/>
      <w:jc w:val="center"/>
      <w:rPr>
        <w:rFonts w:ascii="Times New Roman" w:eastAsia="Calibri" w:hAnsi="Times New Roman"/>
        <w:i/>
        <w:sz w:val="18"/>
        <w:szCs w:val="22"/>
      </w:rPr>
    </w:pPr>
    <w:r>
      <w:rPr>
        <w:noProof/>
      </w:rPr>
      <w:pict w14:anchorId="13981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E412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94BB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B4F8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5804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A438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274BE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53F8A" w14:textId="4EB124AB" w:rsidR="00D8631C" w:rsidRDefault="00752AF8">
    <w:pPr>
      <w:pStyle w:val="Header"/>
    </w:pPr>
    <w:r>
      <w:rPr>
        <w:noProof/>
      </w:rPr>
      <w:pict w14:anchorId="1F710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BBB71" w14:textId="0F289292" w:rsidR="00D8631C" w:rsidRDefault="00752AF8">
    <w:pPr>
      <w:pStyle w:val="Header"/>
    </w:pPr>
    <w:r>
      <w:rPr>
        <w:noProof/>
      </w:rPr>
      <w:pict w14:anchorId="081B0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3DB5" w14:textId="23350BBB" w:rsidR="00D8631C" w:rsidRDefault="00752AF8">
    <w:pPr>
      <w:pStyle w:val="Header"/>
    </w:pPr>
    <w:r>
      <w:rPr>
        <w:noProof/>
      </w:rPr>
      <w:pict w14:anchorId="713BE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72FB"/>
    <w:rsid w:val="00021A2F"/>
    <w:rsid w:val="00023EB0"/>
    <w:rsid w:val="00030174"/>
    <w:rsid w:val="0004579C"/>
    <w:rsid w:val="00045FED"/>
    <w:rsid w:val="000513F0"/>
    <w:rsid w:val="0006602A"/>
    <w:rsid w:val="000706A3"/>
    <w:rsid w:val="0007514A"/>
    <w:rsid w:val="00090E2D"/>
    <w:rsid w:val="000A0192"/>
    <w:rsid w:val="000A47FA"/>
    <w:rsid w:val="000A65D3"/>
    <w:rsid w:val="000B1E33"/>
    <w:rsid w:val="000D689F"/>
    <w:rsid w:val="000E75A7"/>
    <w:rsid w:val="000E7B7B"/>
    <w:rsid w:val="000E7D62"/>
    <w:rsid w:val="00103357"/>
    <w:rsid w:val="001070E1"/>
    <w:rsid w:val="00123C9F"/>
    <w:rsid w:val="00126190"/>
    <w:rsid w:val="00130F17"/>
    <w:rsid w:val="001320BF"/>
    <w:rsid w:val="00140EB9"/>
    <w:rsid w:val="00160D05"/>
    <w:rsid w:val="0016240E"/>
    <w:rsid w:val="0016276C"/>
    <w:rsid w:val="00163BC4"/>
    <w:rsid w:val="001728E5"/>
    <w:rsid w:val="0017397E"/>
    <w:rsid w:val="001751A1"/>
    <w:rsid w:val="00191062"/>
    <w:rsid w:val="00192B72"/>
    <w:rsid w:val="001966AF"/>
    <w:rsid w:val="001A29D8"/>
    <w:rsid w:val="001A5CAA"/>
    <w:rsid w:val="001B0427"/>
    <w:rsid w:val="001B25FD"/>
    <w:rsid w:val="001D3A51"/>
    <w:rsid w:val="001E10D2"/>
    <w:rsid w:val="001E25B4"/>
    <w:rsid w:val="001E44FE"/>
    <w:rsid w:val="00200595"/>
    <w:rsid w:val="00204835"/>
    <w:rsid w:val="00231920"/>
    <w:rsid w:val="0023195C"/>
    <w:rsid w:val="0024282C"/>
    <w:rsid w:val="002460DC"/>
    <w:rsid w:val="00250985"/>
    <w:rsid w:val="002556F6"/>
    <w:rsid w:val="00277BEE"/>
    <w:rsid w:val="00283105"/>
    <w:rsid w:val="00283CC7"/>
    <w:rsid w:val="00284C4C"/>
    <w:rsid w:val="00287E68"/>
    <w:rsid w:val="0029177E"/>
    <w:rsid w:val="00296529"/>
    <w:rsid w:val="002B27FB"/>
    <w:rsid w:val="002B685A"/>
    <w:rsid w:val="002C57D2"/>
    <w:rsid w:val="002C716B"/>
    <w:rsid w:val="002D7C35"/>
    <w:rsid w:val="002E0D56"/>
    <w:rsid w:val="002E1DF7"/>
    <w:rsid w:val="002E3BC5"/>
    <w:rsid w:val="002F50D4"/>
    <w:rsid w:val="002F73A1"/>
    <w:rsid w:val="00315186"/>
    <w:rsid w:val="00320E21"/>
    <w:rsid w:val="003246D8"/>
    <w:rsid w:val="00332126"/>
    <w:rsid w:val="0033343E"/>
    <w:rsid w:val="00335FC7"/>
    <w:rsid w:val="003509DC"/>
    <w:rsid w:val="003512C2"/>
    <w:rsid w:val="00367D9A"/>
    <w:rsid w:val="00371FB6"/>
    <w:rsid w:val="003763C1"/>
    <w:rsid w:val="00376BBE"/>
    <w:rsid w:val="003855C9"/>
    <w:rsid w:val="00390FB6"/>
    <w:rsid w:val="0039224F"/>
    <w:rsid w:val="003A43A4"/>
    <w:rsid w:val="003A7E18"/>
    <w:rsid w:val="003B1B2A"/>
    <w:rsid w:val="003B2DD9"/>
    <w:rsid w:val="003B59A9"/>
    <w:rsid w:val="003C4C86"/>
    <w:rsid w:val="003C6258"/>
    <w:rsid w:val="003E0EC5"/>
    <w:rsid w:val="003E2904"/>
    <w:rsid w:val="00401927"/>
    <w:rsid w:val="004064F5"/>
    <w:rsid w:val="0041027F"/>
    <w:rsid w:val="00412475"/>
    <w:rsid w:val="00423789"/>
    <w:rsid w:val="00434AB7"/>
    <w:rsid w:val="0043722D"/>
    <w:rsid w:val="0043777B"/>
    <w:rsid w:val="0043799B"/>
    <w:rsid w:val="00440F43"/>
    <w:rsid w:val="00441B6F"/>
    <w:rsid w:val="00441E0D"/>
    <w:rsid w:val="00446221"/>
    <w:rsid w:val="00450E62"/>
    <w:rsid w:val="004539DB"/>
    <w:rsid w:val="00456B74"/>
    <w:rsid w:val="00471A80"/>
    <w:rsid w:val="00476761"/>
    <w:rsid w:val="0047726E"/>
    <w:rsid w:val="00485FFD"/>
    <w:rsid w:val="004A3575"/>
    <w:rsid w:val="004A3D1E"/>
    <w:rsid w:val="004C2A2A"/>
    <w:rsid w:val="004D305E"/>
    <w:rsid w:val="004D4277"/>
    <w:rsid w:val="004F17DF"/>
    <w:rsid w:val="004F4581"/>
    <w:rsid w:val="00502516"/>
    <w:rsid w:val="0050484D"/>
    <w:rsid w:val="00505F06"/>
    <w:rsid w:val="00506828"/>
    <w:rsid w:val="00515DFB"/>
    <w:rsid w:val="00526207"/>
    <w:rsid w:val="0053056E"/>
    <w:rsid w:val="00536C5D"/>
    <w:rsid w:val="00554FDA"/>
    <w:rsid w:val="00556FD0"/>
    <w:rsid w:val="00577A79"/>
    <w:rsid w:val="005B3298"/>
    <w:rsid w:val="005C03FA"/>
    <w:rsid w:val="005C784C"/>
    <w:rsid w:val="005D17F6"/>
    <w:rsid w:val="005E5539"/>
    <w:rsid w:val="005F28ED"/>
    <w:rsid w:val="00602BF5"/>
    <w:rsid w:val="006076D1"/>
    <w:rsid w:val="00617FDD"/>
    <w:rsid w:val="00633614"/>
    <w:rsid w:val="00633A8E"/>
    <w:rsid w:val="00633F68"/>
    <w:rsid w:val="00636EB2"/>
    <w:rsid w:val="006375B8"/>
    <w:rsid w:val="0066510A"/>
    <w:rsid w:val="00673F9F"/>
    <w:rsid w:val="00676AA1"/>
    <w:rsid w:val="00686953"/>
    <w:rsid w:val="00687DEA"/>
    <w:rsid w:val="00687E67"/>
    <w:rsid w:val="00693ABE"/>
    <w:rsid w:val="006967F7"/>
    <w:rsid w:val="00697D6C"/>
    <w:rsid w:val="006A12AE"/>
    <w:rsid w:val="006A250C"/>
    <w:rsid w:val="006B21D3"/>
    <w:rsid w:val="006B348F"/>
    <w:rsid w:val="006B57D0"/>
    <w:rsid w:val="006C107E"/>
    <w:rsid w:val="006D30FF"/>
    <w:rsid w:val="006D6940"/>
    <w:rsid w:val="006E7266"/>
    <w:rsid w:val="006F069D"/>
    <w:rsid w:val="006F11EC"/>
    <w:rsid w:val="0070082C"/>
    <w:rsid w:val="00722F80"/>
    <w:rsid w:val="007369E6"/>
    <w:rsid w:val="00746E59"/>
    <w:rsid w:val="00752AF8"/>
    <w:rsid w:val="0075302E"/>
    <w:rsid w:val="00754C9A"/>
    <w:rsid w:val="0075599A"/>
    <w:rsid w:val="00761D52"/>
    <w:rsid w:val="00763D1E"/>
    <w:rsid w:val="0077749E"/>
    <w:rsid w:val="007821A9"/>
    <w:rsid w:val="00790ADA"/>
    <w:rsid w:val="00794285"/>
    <w:rsid w:val="00794798"/>
    <w:rsid w:val="007A6260"/>
    <w:rsid w:val="007A73D6"/>
    <w:rsid w:val="007B3AB8"/>
    <w:rsid w:val="007C0F0B"/>
    <w:rsid w:val="007D1E15"/>
    <w:rsid w:val="007D2288"/>
    <w:rsid w:val="007D4461"/>
    <w:rsid w:val="007E088F"/>
    <w:rsid w:val="007E11AF"/>
    <w:rsid w:val="007F10C9"/>
    <w:rsid w:val="007F7B32"/>
    <w:rsid w:val="00804BC2"/>
    <w:rsid w:val="0081431A"/>
    <w:rsid w:val="0082761F"/>
    <w:rsid w:val="0083216F"/>
    <w:rsid w:val="00843DA2"/>
    <w:rsid w:val="00860000"/>
    <w:rsid w:val="008607FA"/>
    <w:rsid w:val="00863BD3"/>
    <w:rsid w:val="008641ED"/>
    <w:rsid w:val="00866D66"/>
    <w:rsid w:val="008671C6"/>
    <w:rsid w:val="00875803"/>
    <w:rsid w:val="008854B5"/>
    <w:rsid w:val="00895D7F"/>
    <w:rsid w:val="008B459E"/>
    <w:rsid w:val="008E13AE"/>
    <w:rsid w:val="008E1506"/>
    <w:rsid w:val="008E710C"/>
    <w:rsid w:val="008F69D6"/>
    <w:rsid w:val="00902531"/>
    <w:rsid w:val="00902823"/>
    <w:rsid w:val="0090370E"/>
    <w:rsid w:val="00915CA6"/>
    <w:rsid w:val="00917BF0"/>
    <w:rsid w:val="00927834"/>
    <w:rsid w:val="009316E5"/>
    <w:rsid w:val="009360F5"/>
    <w:rsid w:val="009500A6"/>
    <w:rsid w:val="00957C18"/>
    <w:rsid w:val="009659BA"/>
    <w:rsid w:val="0098031F"/>
    <w:rsid w:val="00983040"/>
    <w:rsid w:val="00992087"/>
    <w:rsid w:val="009A45CC"/>
    <w:rsid w:val="009B3FB9"/>
    <w:rsid w:val="009B52F4"/>
    <w:rsid w:val="009C2465"/>
    <w:rsid w:val="009D0DC9"/>
    <w:rsid w:val="009D35A0"/>
    <w:rsid w:val="009D7EB7"/>
    <w:rsid w:val="009E048A"/>
    <w:rsid w:val="009E08E9"/>
    <w:rsid w:val="009E0C09"/>
    <w:rsid w:val="009E3DB9"/>
    <w:rsid w:val="009E6E35"/>
    <w:rsid w:val="009F0EDA"/>
    <w:rsid w:val="00A03B96"/>
    <w:rsid w:val="00A05B19"/>
    <w:rsid w:val="00A1134E"/>
    <w:rsid w:val="00A24E7E"/>
    <w:rsid w:val="00A258C3"/>
    <w:rsid w:val="00A31422"/>
    <w:rsid w:val="00A347C0"/>
    <w:rsid w:val="00A446C2"/>
    <w:rsid w:val="00A51431"/>
    <w:rsid w:val="00A539AD"/>
    <w:rsid w:val="00A85BB5"/>
    <w:rsid w:val="00A94063"/>
    <w:rsid w:val="00AA181C"/>
    <w:rsid w:val="00AA418D"/>
    <w:rsid w:val="00AA6219"/>
    <w:rsid w:val="00AA642A"/>
    <w:rsid w:val="00AA74E0"/>
    <w:rsid w:val="00AB1D24"/>
    <w:rsid w:val="00AB57A6"/>
    <w:rsid w:val="00AB703F"/>
    <w:rsid w:val="00AC6BB8"/>
    <w:rsid w:val="00AC72C8"/>
    <w:rsid w:val="00AE008F"/>
    <w:rsid w:val="00AE0173"/>
    <w:rsid w:val="00B01FCD"/>
    <w:rsid w:val="00B03485"/>
    <w:rsid w:val="00B07758"/>
    <w:rsid w:val="00B1220B"/>
    <w:rsid w:val="00B1776C"/>
    <w:rsid w:val="00B43828"/>
    <w:rsid w:val="00B464FD"/>
    <w:rsid w:val="00B52583"/>
    <w:rsid w:val="00B52896"/>
    <w:rsid w:val="00B66F65"/>
    <w:rsid w:val="00B67E80"/>
    <w:rsid w:val="00B911B9"/>
    <w:rsid w:val="00B95236"/>
    <w:rsid w:val="00B969CD"/>
    <w:rsid w:val="00B96BD9"/>
    <w:rsid w:val="00BA1B01"/>
    <w:rsid w:val="00BA2641"/>
    <w:rsid w:val="00BB37AA"/>
    <w:rsid w:val="00BB66C8"/>
    <w:rsid w:val="00BC53A0"/>
    <w:rsid w:val="00BC5722"/>
    <w:rsid w:val="00BD636D"/>
    <w:rsid w:val="00BE0F5E"/>
    <w:rsid w:val="00BE4DEA"/>
    <w:rsid w:val="00BE62AD"/>
    <w:rsid w:val="00BF121F"/>
    <w:rsid w:val="00BF1F80"/>
    <w:rsid w:val="00C04868"/>
    <w:rsid w:val="00C12B27"/>
    <w:rsid w:val="00C166EF"/>
    <w:rsid w:val="00C17EB0"/>
    <w:rsid w:val="00C27F5F"/>
    <w:rsid w:val="00C30A0F"/>
    <w:rsid w:val="00C35EAE"/>
    <w:rsid w:val="00C37E61"/>
    <w:rsid w:val="00C640A0"/>
    <w:rsid w:val="00C70F1B"/>
    <w:rsid w:val="00C71A47"/>
    <w:rsid w:val="00C7464C"/>
    <w:rsid w:val="00C81596"/>
    <w:rsid w:val="00C85588"/>
    <w:rsid w:val="00C90CC8"/>
    <w:rsid w:val="00CA5DE7"/>
    <w:rsid w:val="00CA6882"/>
    <w:rsid w:val="00CB0973"/>
    <w:rsid w:val="00CB4BC9"/>
    <w:rsid w:val="00CD6755"/>
    <w:rsid w:val="00CD6856"/>
    <w:rsid w:val="00CE0089"/>
    <w:rsid w:val="00CE793C"/>
    <w:rsid w:val="00CF13B0"/>
    <w:rsid w:val="00CF193C"/>
    <w:rsid w:val="00D173F1"/>
    <w:rsid w:val="00D26A51"/>
    <w:rsid w:val="00D5153A"/>
    <w:rsid w:val="00D55B56"/>
    <w:rsid w:val="00D74CB0"/>
    <w:rsid w:val="00D775B7"/>
    <w:rsid w:val="00D8295D"/>
    <w:rsid w:val="00D8631C"/>
    <w:rsid w:val="00D93C5E"/>
    <w:rsid w:val="00DA18E3"/>
    <w:rsid w:val="00DC2A65"/>
    <w:rsid w:val="00DC37BC"/>
    <w:rsid w:val="00DD3D1E"/>
    <w:rsid w:val="00DE15F0"/>
    <w:rsid w:val="00DE5663"/>
    <w:rsid w:val="00DE78AA"/>
    <w:rsid w:val="00E053D0"/>
    <w:rsid w:val="00E15994"/>
    <w:rsid w:val="00E245F5"/>
    <w:rsid w:val="00E2500A"/>
    <w:rsid w:val="00E3114E"/>
    <w:rsid w:val="00E31A70"/>
    <w:rsid w:val="00E35B02"/>
    <w:rsid w:val="00E571B0"/>
    <w:rsid w:val="00E66496"/>
    <w:rsid w:val="00E66B35"/>
    <w:rsid w:val="00E66E10"/>
    <w:rsid w:val="00E76371"/>
    <w:rsid w:val="00E769F6"/>
    <w:rsid w:val="00E8407C"/>
    <w:rsid w:val="00E84F3C"/>
    <w:rsid w:val="00EA012C"/>
    <w:rsid w:val="00EC6A55"/>
    <w:rsid w:val="00ED0288"/>
    <w:rsid w:val="00EE203E"/>
    <w:rsid w:val="00EE52CB"/>
    <w:rsid w:val="00EF581D"/>
    <w:rsid w:val="00EF7FD8"/>
    <w:rsid w:val="00F06F59"/>
    <w:rsid w:val="00F100EA"/>
    <w:rsid w:val="00F12F56"/>
    <w:rsid w:val="00F17988"/>
    <w:rsid w:val="00F22DC1"/>
    <w:rsid w:val="00F40EA1"/>
    <w:rsid w:val="00F469F0"/>
    <w:rsid w:val="00F53273"/>
    <w:rsid w:val="00F755E4"/>
    <w:rsid w:val="00F77D02"/>
    <w:rsid w:val="00F927D7"/>
    <w:rsid w:val="00FA5F5E"/>
    <w:rsid w:val="00FB3A86"/>
    <w:rsid w:val="00FC6D5C"/>
    <w:rsid w:val="00FD36C8"/>
    <w:rsid w:val="00FE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ED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AB57A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697D6C"/>
    <w:rPr>
      <w:rFonts w:ascii="Helvetica" w:hAnsi="Helvetica"/>
      <w:b/>
      <w:bCs/>
      <w:lang w:val="en-US" w:eastAsia="en-US"/>
    </w:rPr>
  </w:style>
  <w:style w:type="character" w:customStyle="1" w:styleId="CommentSubjectChar">
    <w:name w:val="Comment Subject Char"/>
    <w:basedOn w:val="CommentTextChar"/>
    <w:link w:val="CommentSubject"/>
    <w:semiHidden/>
    <w:rsid w:val="00697D6C"/>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AB57A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697D6C"/>
    <w:rPr>
      <w:rFonts w:ascii="Helvetica" w:hAnsi="Helvetica"/>
      <w:b/>
      <w:bCs/>
      <w:lang w:val="en-US" w:eastAsia="en-US"/>
    </w:rPr>
  </w:style>
  <w:style w:type="character" w:customStyle="1" w:styleId="CommentSubjectChar">
    <w:name w:val="Comment Subject Char"/>
    <w:basedOn w:val="CommentTextChar"/>
    <w:link w:val="CommentSubject"/>
    <w:semiHidden/>
    <w:rsid w:val="00697D6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DDAD-1A2C-4100-9967-AE651465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267</TotalTime>
  <Pages>9</Pages>
  <Words>4060</Words>
  <Characters>23144</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27150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ahmed hu</cp:lastModifiedBy>
  <cp:revision>71</cp:revision>
  <cp:lastPrinted>1999-07-06T11:00:00Z</cp:lastPrinted>
  <dcterms:created xsi:type="dcterms:W3CDTF">2025-09-05T17:10:00Z</dcterms:created>
  <dcterms:modified xsi:type="dcterms:W3CDTF">2025-09-08T21:09:00Z</dcterms:modified>
</cp:coreProperties>
</file>