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3B541" w14:textId="77777777" w:rsidR="00754C9A" w:rsidRDefault="00754C9A" w:rsidP="00441B6F">
      <w:pPr>
        <w:pStyle w:val="Ttulo"/>
        <w:spacing w:after="0"/>
        <w:jc w:val="both"/>
        <w:rPr>
          <w:rFonts w:ascii="Arial" w:hAnsi="Arial" w:cs="Arial"/>
        </w:rPr>
      </w:pPr>
    </w:p>
    <w:p w14:paraId="7A5D627D" w14:textId="24D12EA3" w:rsidR="00163BC4" w:rsidRPr="00163BC4" w:rsidRDefault="004F413D" w:rsidP="009E6DCE">
      <w:pPr>
        <w:pStyle w:val="Author"/>
        <w:spacing w:line="240" w:lineRule="auto"/>
        <w:rPr>
          <w:rFonts w:ascii="Arial" w:hAnsi="Arial" w:cs="Arial"/>
          <w:bCs/>
          <w:iCs/>
          <w:kern w:val="28"/>
          <w:sz w:val="36"/>
        </w:rPr>
      </w:pPr>
      <w:bookmarkStart w:id="0" w:name="OLE_LINK1"/>
      <w:r>
        <w:rPr>
          <w:rFonts w:ascii="Arial" w:hAnsi="Arial" w:cs="Arial"/>
          <w:bCs/>
          <w:iCs/>
          <w:kern w:val="28"/>
          <w:sz w:val="36"/>
        </w:rPr>
        <w:t>Biom</w:t>
      </w:r>
      <w:r w:rsidR="009024E9">
        <w:rPr>
          <w:rFonts w:ascii="Arial" w:hAnsi="Arial" w:cs="Arial"/>
          <w:bCs/>
          <w:iCs/>
          <w:kern w:val="28"/>
          <w:sz w:val="36"/>
        </w:rPr>
        <w:t xml:space="preserve">echanical </w:t>
      </w:r>
      <w:r w:rsidR="009E6DCE">
        <w:rPr>
          <w:rFonts w:ascii="Arial" w:hAnsi="Arial" w:cs="Arial"/>
          <w:bCs/>
          <w:iCs/>
          <w:kern w:val="28"/>
          <w:sz w:val="36"/>
        </w:rPr>
        <w:t>Strength</w:t>
      </w:r>
      <w:r w:rsidR="009024E9">
        <w:rPr>
          <w:rFonts w:ascii="Arial" w:hAnsi="Arial" w:cs="Arial"/>
          <w:bCs/>
          <w:iCs/>
          <w:kern w:val="28"/>
          <w:sz w:val="36"/>
        </w:rPr>
        <w:t xml:space="preserve"> and Anatomical</w:t>
      </w:r>
      <w:r w:rsidR="00705D5C" w:rsidRPr="00705D5C">
        <w:rPr>
          <w:rFonts w:ascii="Arial" w:hAnsi="Arial" w:cs="Arial"/>
          <w:bCs/>
          <w:iCs/>
          <w:kern w:val="28"/>
          <w:sz w:val="36"/>
        </w:rPr>
        <w:t xml:space="preserve"> Characteristic</w:t>
      </w:r>
      <w:r w:rsidR="00705D5C">
        <w:rPr>
          <w:rFonts w:ascii="Arial" w:hAnsi="Arial" w:cs="Arial"/>
          <w:bCs/>
          <w:iCs/>
          <w:kern w:val="28"/>
          <w:sz w:val="36"/>
        </w:rPr>
        <w:t>s</w:t>
      </w:r>
      <w:r w:rsidR="00705D5C" w:rsidRPr="00705D5C">
        <w:rPr>
          <w:rFonts w:ascii="Arial" w:hAnsi="Arial" w:cs="Arial"/>
          <w:bCs/>
          <w:iCs/>
          <w:kern w:val="28"/>
          <w:sz w:val="36"/>
        </w:rPr>
        <w:t xml:space="preserve"> </w:t>
      </w:r>
      <w:r w:rsidR="00705D5C">
        <w:rPr>
          <w:rFonts w:ascii="Arial" w:hAnsi="Arial" w:cs="Arial"/>
          <w:bCs/>
          <w:iCs/>
          <w:kern w:val="28"/>
          <w:sz w:val="36"/>
        </w:rPr>
        <w:t>o</w:t>
      </w:r>
      <w:r w:rsidR="00705D5C" w:rsidRPr="00705D5C">
        <w:rPr>
          <w:rFonts w:ascii="Arial" w:hAnsi="Arial" w:cs="Arial"/>
          <w:bCs/>
          <w:iCs/>
          <w:kern w:val="28"/>
          <w:sz w:val="36"/>
        </w:rPr>
        <w:t>f Decellularized Bone</w:t>
      </w:r>
      <w:r w:rsidR="00BA5994">
        <w:rPr>
          <w:rFonts w:ascii="Arial" w:hAnsi="Arial" w:cs="Arial"/>
          <w:bCs/>
          <w:iCs/>
          <w:kern w:val="28"/>
          <w:sz w:val="36"/>
        </w:rPr>
        <w:t xml:space="preserve"> </w:t>
      </w:r>
      <w:r w:rsidR="009E6DCE">
        <w:rPr>
          <w:rFonts w:ascii="Arial" w:hAnsi="Arial" w:cs="Arial"/>
          <w:bCs/>
          <w:iCs/>
          <w:kern w:val="28"/>
          <w:sz w:val="36"/>
        </w:rPr>
        <w:t xml:space="preserve">               </w:t>
      </w:r>
      <w:r w:rsidR="00BA5994">
        <w:rPr>
          <w:rFonts w:ascii="Arial" w:hAnsi="Arial" w:cs="Arial"/>
          <w:bCs/>
          <w:iCs/>
          <w:kern w:val="28"/>
          <w:sz w:val="36"/>
        </w:rPr>
        <w:t>from Goat</w:t>
      </w:r>
      <w:r w:rsidR="00705D5C" w:rsidRPr="00705D5C">
        <w:rPr>
          <w:rFonts w:ascii="Arial" w:hAnsi="Arial" w:cs="Arial"/>
          <w:bCs/>
          <w:iCs/>
          <w:kern w:val="28"/>
          <w:sz w:val="36"/>
        </w:rPr>
        <w:t xml:space="preserve"> </w:t>
      </w:r>
      <w:r w:rsidR="00705D5C">
        <w:rPr>
          <w:rFonts w:ascii="Arial" w:hAnsi="Arial" w:cs="Arial"/>
          <w:bCs/>
          <w:iCs/>
          <w:kern w:val="28"/>
          <w:sz w:val="36"/>
        </w:rPr>
        <w:t>as</w:t>
      </w:r>
      <w:r w:rsidR="00705D5C" w:rsidRPr="00705D5C">
        <w:rPr>
          <w:rFonts w:ascii="Arial" w:hAnsi="Arial" w:cs="Arial"/>
          <w:bCs/>
          <w:iCs/>
          <w:kern w:val="28"/>
          <w:sz w:val="36"/>
        </w:rPr>
        <w:t xml:space="preserve"> Bone Xenograft Candidate</w:t>
      </w:r>
      <w:r w:rsidR="00705D5C">
        <w:t xml:space="preserve"> </w:t>
      </w:r>
      <w:r w:rsidR="00231920">
        <w:rPr>
          <w:rFonts w:ascii="Arial" w:hAnsi="Arial" w:cs="Arial"/>
          <w:bCs/>
          <w:iCs/>
          <w:kern w:val="28"/>
          <w:sz w:val="36"/>
        </w:rPr>
        <w:t xml:space="preserve"> </w:t>
      </w:r>
      <w:bookmarkEnd w:id="0"/>
    </w:p>
    <w:p w14:paraId="6B985A7B" w14:textId="77777777" w:rsidR="00A258C3" w:rsidRPr="00790ADA" w:rsidRDefault="00A258C3" w:rsidP="00441B6F">
      <w:pPr>
        <w:pStyle w:val="Author"/>
        <w:spacing w:line="240" w:lineRule="auto"/>
        <w:jc w:val="both"/>
        <w:rPr>
          <w:rFonts w:ascii="Arial" w:hAnsi="Arial" w:cs="Arial"/>
          <w:sz w:val="36"/>
        </w:rPr>
      </w:pPr>
    </w:p>
    <w:p w14:paraId="7DB40A0B" w14:textId="77777777" w:rsidR="003E3926" w:rsidRDefault="003E3926" w:rsidP="00441B6F">
      <w:pPr>
        <w:pStyle w:val="Affiliation"/>
        <w:spacing w:after="0" w:line="240" w:lineRule="auto"/>
        <w:rPr>
          <w:rFonts w:ascii="Arial" w:hAnsi="Arial" w:cs="Arial"/>
          <w:i/>
        </w:rPr>
      </w:pPr>
    </w:p>
    <w:p w14:paraId="12552D2E" w14:textId="477A890C" w:rsidR="00B01FCD" w:rsidRPr="00FB3A86" w:rsidRDefault="00285A16" w:rsidP="00441B6F">
      <w:pPr>
        <w:pStyle w:val="Copyright"/>
        <w:spacing w:after="0" w:line="240" w:lineRule="auto"/>
        <w:jc w:val="both"/>
        <w:rPr>
          <w:rFonts w:ascii="Arial" w:hAnsi="Arial" w:cs="Arial"/>
        </w:rPr>
        <w:sectPr w:rsidR="00B01FCD" w:rsidRPr="00FB3A86" w:rsidSect="00BC75A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1E74B9D" wp14:editId="2217D52C">
                <wp:extent cx="5303520" cy="635"/>
                <wp:effectExtent l="13335" t="17145" r="17145" b="11430"/>
                <wp:docPr id="50946820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AC6F47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DDD1537" w14:textId="77777777" w:rsidR="00790ADA" w:rsidRDefault="00790ADA" w:rsidP="00441B6F">
      <w:pPr>
        <w:pStyle w:val="Body"/>
        <w:spacing w:after="0"/>
        <w:rPr>
          <w:rFonts w:ascii="Arial" w:hAnsi="Arial" w:cs="Arial"/>
          <w:i/>
        </w:rPr>
      </w:pPr>
    </w:p>
    <w:p w14:paraId="661E3F1C" w14:textId="31A1C3C5" w:rsidR="00790ADA" w:rsidRDefault="00902823" w:rsidP="00441B6F">
      <w:pPr>
        <w:pStyle w:val="AbstHead"/>
        <w:spacing w:after="0"/>
        <w:jc w:val="both"/>
        <w:rPr>
          <w:rFonts w:ascii="Arial" w:hAnsi="Arial" w:cs="Arial"/>
        </w:rPr>
      </w:pPr>
      <w:r>
        <w:rPr>
          <w:rFonts w:ascii="Arial" w:hAnsi="Arial" w:cs="Arial"/>
        </w:rPr>
        <w:t xml:space="preserve">2. </w:t>
      </w:r>
      <w:r w:rsidR="00000F8F">
        <w:rPr>
          <w:rFonts w:ascii="Arial" w:hAnsi="Arial" w:cs="Arial"/>
        </w:rPr>
        <w:t>experimental details</w:t>
      </w:r>
      <w:r w:rsidR="006B57D0">
        <w:rPr>
          <w:rFonts w:ascii="Arial" w:hAnsi="Arial" w:cs="Arial"/>
        </w:rPr>
        <w:t xml:space="preserve"> </w:t>
      </w:r>
    </w:p>
    <w:p w14:paraId="7F6AEA10" w14:textId="77777777" w:rsidR="005C7C3C" w:rsidRPr="00FB3A86" w:rsidRDefault="005C7C3C" w:rsidP="00441B6F">
      <w:pPr>
        <w:pStyle w:val="AbstHead"/>
        <w:spacing w:after="0"/>
        <w:jc w:val="both"/>
        <w:rPr>
          <w:rFonts w:ascii="Arial" w:hAnsi="Arial" w:cs="Arial"/>
        </w:rPr>
      </w:pPr>
    </w:p>
    <w:p w14:paraId="651FD74E" w14:textId="2D8D7EDB" w:rsidR="00BA5994" w:rsidRPr="009E6DCE" w:rsidRDefault="00BA5994" w:rsidP="00441B6F">
      <w:pPr>
        <w:pStyle w:val="Body"/>
        <w:spacing w:after="0"/>
        <w:rPr>
          <w:rFonts w:ascii="Arial" w:hAnsi="Arial" w:cs="Arial"/>
          <w:b/>
          <w:sz w:val="22"/>
        </w:rPr>
      </w:pPr>
      <w:r w:rsidRPr="009E6DCE">
        <w:rPr>
          <w:rFonts w:ascii="Arial" w:hAnsi="Arial" w:cs="Arial"/>
          <w:b/>
          <w:sz w:val="22"/>
        </w:rPr>
        <w:t xml:space="preserve">2.1. </w:t>
      </w:r>
      <w:r w:rsidR="005178A1" w:rsidRPr="005178A1">
        <w:rPr>
          <w:rFonts w:ascii="Arial" w:hAnsi="Arial" w:cs="Arial"/>
          <w:b/>
          <w:sz w:val="22"/>
        </w:rPr>
        <w:t>Sample collection and preparation</w:t>
      </w:r>
    </w:p>
    <w:p w14:paraId="54EC3FA8" w14:textId="71706010" w:rsidR="005178A1" w:rsidRDefault="005178A1" w:rsidP="00441B6F">
      <w:pPr>
        <w:pStyle w:val="Body"/>
        <w:spacing w:after="0"/>
      </w:pPr>
      <w:r>
        <w:t>Goat humerus bones were obtained from a local public market in Malang, Indonesia</w:t>
      </w:r>
      <w:r w:rsidR="00BD776E">
        <w:t>, and were frozen for not more than 8 hours</w:t>
      </w:r>
      <w:r>
        <w:t>. All residual soft tissues and muscle</w:t>
      </w:r>
      <w:r w:rsidR="00BD776E">
        <w:t>s</w:t>
      </w:r>
      <w:r>
        <w:t xml:space="preserve"> were carefully removed, and the bones were cut longitudinally into </w:t>
      </w:r>
      <w:commentRangeStart w:id="1"/>
      <w:commentRangeStart w:id="2"/>
      <w:r>
        <w:t xml:space="preserve">standardized segments measuring approximately 0.5 × 0.5 × 25 </w:t>
      </w:r>
      <w:commentRangeEnd w:id="1"/>
      <w:r w:rsidR="00E76362">
        <w:rPr>
          <w:rStyle w:val="Refdecomentario"/>
          <w:rFonts w:ascii="Times New Roman" w:hAnsi="Times New Roman"/>
          <w:lang w:val="nb-NO" w:eastAsia="nb-NO"/>
        </w:rPr>
        <w:commentReference w:id="1"/>
      </w:r>
      <w:commentRangeEnd w:id="2"/>
      <w:r w:rsidR="00460172">
        <w:rPr>
          <w:rStyle w:val="Refdecomentario"/>
          <w:rFonts w:ascii="Times New Roman" w:hAnsi="Times New Roman"/>
          <w:lang w:val="nb-NO" w:eastAsia="nb-NO"/>
        </w:rPr>
        <w:commentReference w:id="2"/>
      </w:r>
      <w:r>
        <w:t>cm using a bone saw.</w:t>
      </w:r>
    </w:p>
    <w:p w14:paraId="75D02D2E" w14:textId="77777777" w:rsidR="00BA5994" w:rsidRDefault="00BA5994" w:rsidP="00441B6F">
      <w:pPr>
        <w:pStyle w:val="Body"/>
        <w:spacing w:after="0"/>
        <w:rPr>
          <w:rFonts w:ascii="Arial" w:hAnsi="Arial" w:cs="Arial"/>
        </w:rPr>
      </w:pPr>
    </w:p>
    <w:p w14:paraId="3D742E02" w14:textId="77777777" w:rsidR="00345FC2" w:rsidRDefault="00345FC2" w:rsidP="00441B6F">
      <w:pPr>
        <w:pStyle w:val="Body"/>
        <w:spacing w:after="0"/>
        <w:rPr>
          <w:rFonts w:ascii="Arial" w:hAnsi="Arial" w:cs="Arial"/>
        </w:rPr>
      </w:pPr>
    </w:p>
    <w:p w14:paraId="0C62A77E" w14:textId="19EC0B4D" w:rsidR="00263BF2" w:rsidRDefault="00263BF2" w:rsidP="00263BF2">
      <w:pPr>
        <w:pStyle w:val="Body"/>
        <w:spacing w:after="0"/>
        <w:jc w:val="center"/>
        <w:rPr>
          <w:rFonts w:ascii="Arial" w:hAnsi="Arial" w:cs="Arial"/>
          <w:b/>
          <w:caps/>
          <w:sz w:val="22"/>
        </w:rPr>
      </w:pPr>
    </w:p>
    <w:p w14:paraId="3739A4EC" w14:textId="5035CDCD" w:rsidR="00345FC2" w:rsidRDefault="00345FC2" w:rsidP="00441B6F">
      <w:pPr>
        <w:pStyle w:val="Body"/>
        <w:spacing w:after="0"/>
      </w:pPr>
      <w:r w:rsidRPr="00345FC2">
        <w:rPr>
          <w:rStyle w:val="Textoennegrita"/>
        </w:rPr>
        <w:t>Figure 1.</w:t>
      </w:r>
      <w:r>
        <w:t xml:space="preserve"> </w:t>
      </w:r>
      <w:r w:rsidR="009C2B22">
        <w:t xml:space="preserve">Preparation of goat bone segments into dog-bone models before and after decellularization, with both ends embedded in resin </w:t>
      </w:r>
      <w:r w:rsidR="009C2B22" w:rsidRPr="00460172">
        <w:rPr>
          <w:strike/>
        </w:rPr>
        <w:t>to prevent slippage during tensile testing.</w:t>
      </w:r>
    </w:p>
    <w:p w14:paraId="35A2B2BD" w14:textId="77777777" w:rsidR="009C2B22" w:rsidRPr="00263BF2" w:rsidRDefault="009C2B22" w:rsidP="00441B6F">
      <w:pPr>
        <w:pStyle w:val="Body"/>
        <w:spacing w:after="0"/>
        <w:rPr>
          <w:rFonts w:ascii="Arial" w:hAnsi="Arial" w:cs="Arial"/>
        </w:rPr>
      </w:pPr>
    </w:p>
    <w:p w14:paraId="6656C826" w14:textId="0F010D20" w:rsidR="00BA5994" w:rsidRPr="009E6DCE" w:rsidRDefault="00BA5994" w:rsidP="00441B6F">
      <w:pPr>
        <w:pStyle w:val="Body"/>
        <w:spacing w:after="0"/>
        <w:rPr>
          <w:rFonts w:ascii="Arial" w:hAnsi="Arial" w:cs="Arial"/>
          <w:b/>
          <w:sz w:val="22"/>
        </w:rPr>
      </w:pPr>
      <w:r w:rsidRPr="009E6DCE">
        <w:rPr>
          <w:rFonts w:ascii="Arial" w:hAnsi="Arial" w:cs="Arial"/>
          <w:b/>
          <w:sz w:val="22"/>
        </w:rPr>
        <w:t>2.</w:t>
      </w:r>
      <w:r w:rsidR="00322B6B">
        <w:rPr>
          <w:rFonts w:ascii="Arial" w:hAnsi="Arial" w:cs="Arial"/>
          <w:b/>
          <w:sz w:val="22"/>
        </w:rPr>
        <w:t>5</w:t>
      </w:r>
      <w:r w:rsidRPr="009E6DCE">
        <w:rPr>
          <w:rFonts w:ascii="Arial" w:hAnsi="Arial" w:cs="Arial"/>
          <w:b/>
          <w:sz w:val="22"/>
        </w:rPr>
        <w:t xml:space="preserve">. </w:t>
      </w:r>
      <w:r w:rsidR="00345FC2" w:rsidRPr="00345FC2">
        <w:rPr>
          <w:rFonts w:ascii="Arial" w:hAnsi="Arial" w:cs="Arial"/>
          <w:b/>
          <w:sz w:val="22"/>
        </w:rPr>
        <w:t>Histological Characterization</w:t>
      </w:r>
    </w:p>
    <w:p w14:paraId="7EC02473" w14:textId="77777777" w:rsidR="00322B6B" w:rsidRDefault="00322B6B" w:rsidP="00322B6B">
      <w:pPr>
        <w:pStyle w:val="Body"/>
        <w:spacing w:after="0"/>
      </w:pPr>
    </w:p>
    <w:p w14:paraId="0A74E9B9" w14:textId="45A1B45B" w:rsidR="00322B6B" w:rsidRDefault="00322B6B" w:rsidP="00322B6B">
      <w:pPr>
        <w:pStyle w:val="Body"/>
        <w:spacing w:after="0"/>
      </w:pPr>
      <w:r>
        <w:t xml:space="preserve">Poly-L-lysine slides were stained by </w:t>
      </w:r>
      <w:commentRangeStart w:id="3"/>
      <w:r w:rsidRPr="00322B6B">
        <w:rPr>
          <w:b/>
          <w:bCs/>
        </w:rPr>
        <w:t>immunohistochemistry (IHC)</w:t>
      </w:r>
      <w:r>
        <w:t xml:space="preserve"> </w:t>
      </w:r>
      <w:commentRangeEnd w:id="3"/>
      <w:r w:rsidR="00E66143">
        <w:rPr>
          <w:rStyle w:val="Refdecomentario"/>
          <w:rFonts w:ascii="Times New Roman" w:hAnsi="Times New Roman"/>
          <w:lang w:val="nb-NO" w:eastAsia="nb-NO"/>
        </w:rPr>
        <w:commentReference w:id="3"/>
      </w:r>
      <w:r>
        <w:t xml:space="preserve">for bone morphogenetic protein-2 (BMP-2) using the </w:t>
      </w:r>
      <w:proofErr w:type="spellStart"/>
      <w:r>
        <w:t>UltraTek</w:t>
      </w:r>
      <w:proofErr w:type="spellEnd"/>
      <w:r>
        <w:t xml:space="preserve"> HRP Anti-Polyvalent (DAB) Staining System (</w:t>
      </w:r>
      <w:proofErr w:type="spellStart"/>
      <w:r>
        <w:t>Scytek</w:t>
      </w:r>
      <w:proofErr w:type="spellEnd"/>
      <w:r>
        <w:t xml:space="preserve">, USA). After deparaffinization and rehydration, endogenous peroxidase activity was blocked with 3% H₂O₂ for 10 min, followed by antigen retrieval in citrate buffer (pH 6.0). Non-specific binding was blocked with casein for 30 min. Sections were incubated overnight at 4 °C with rabbit anti-BMP-2 polyclonal antibody (5 </w:t>
      </w:r>
      <w:proofErr w:type="gramStart"/>
      <w:r>
        <w:t>µg</w:t>
      </w:r>
      <w:proofErr w:type="gramEnd"/>
      <w:r>
        <w:t xml:space="preserve">/mL, ab5285, Abcam, USA). After washing, slides were incubated with a universal biotinylated secondary antibody, followed by streptavidin-HRP. Visualization was performed with DAB and counterstaining with hematoxylin. Finally, slides were dehydrated, cleared in xylene, and mounted with </w:t>
      </w:r>
      <w:proofErr w:type="spellStart"/>
      <w:r>
        <w:t>Entellan</w:t>
      </w:r>
      <w:proofErr w:type="spellEnd"/>
      <w:r>
        <w:t>. This protocol aligns with recent studies evaluating osteogenic protein expression in decellularized xenograft scaffolds</w:t>
      </w:r>
      <w:r w:rsidR="003D15E0">
        <w:t xml:space="preserve"> </w:t>
      </w:r>
      <w:r w:rsidR="003D15E0">
        <w:fldChar w:fldCharType="begin"/>
      </w:r>
      <w:r w:rsidR="003D15E0">
        <w:instrText xml:space="preserve"> ADDIN ZOTERO_ITEM CSL_CITATION {"citationID":"USSCDrXx","properties":{"formattedCitation":"(Amirazad et al., 2022)","plainCitation":"(Amirazad et al., 2022)","noteIndex":0},"citationItems":[{"id":4290,"uris":["http://zotero.org/users/6623320/items/Q3SCPW3Y"],"itemData":{"id":4290,"type":"article-journal","abstract":"Autologous bone grafts are commonly used as the gold standard to repair and regenerate diseased bones. However, they are strongly associated with postoperative complications, especially at the donor site, and increased surgical costs. In an effort to overcome these limitations, tissue engineering (TE) has been proposed as an alternative to promote bone repair. The successful outcome of tissue engineering depends on the microstructure and composition of the materials used as scaffold. Decellularized bone matrix-based biomaterials have been applied as bioscaffolds in bone tissue engineering. These biomaterials play an important role in providing the mechanical and physical microenvironment needed by cells to proliferate and survive. Decellularized extracellular matrix (dECM) can be used as a powder, hydrogel and electrospun scaffolds. These bioscaffolds mimic the native microenvironment due to their structure similar to the original tissue. The aim of this review is to highlight the bone decellularization techniques. Herein we discuss: (1) bone structure; (2) properties of an ideal scaffold; (3) the potential of decellularized bone as bioscaffolds; (4) terminal sterilization of decellularized bone; (5) cell removing confirmation in decellularized tissues; and (6) post decellularization procedures. Finally, the improvement of bone formation by dECM and the immunogenicity aspect of using the decellularized bone matrix are presented, to illustrate how novel dECM-based materials can be used as bioscaffold in tissue engineering. A comprehensive understanding of tissue engineering may allow for better incorporation of therapeutic approaches in bone defects allowing for bone repair and regeneration.","container-title":"Journal of Biological Engineering","DOI":"10.1186/s13036-021-00282-5","ISSN":"1754-1611","issue":"1","journalAbbreviation":"J Biol Eng","language":"eng","note":"PMID: 34986859\nPMCID: PMC8734306","page":"1","source":"PubMed","title":"Application of decellularized bone matrix as a bioscaffold in bone tissue engineering","volume":"16","author":[{"family":"Amirazad","given":"Halimeh"},{"family":"Dadashpour","given":"Mehdi"},{"family":"Zarghami","given":"Nosratollah"}],"issued":{"date-parts":[["2022",1,5]]}}}],"schema":"https://github.com/citation-style-language/schema/raw/master/csl-citation.json"} </w:instrText>
      </w:r>
      <w:r w:rsidR="003D15E0">
        <w:fldChar w:fldCharType="separate"/>
      </w:r>
      <w:r w:rsidR="003D15E0" w:rsidRPr="003D15E0">
        <w:rPr>
          <w:rFonts w:cs="Helvetica"/>
        </w:rPr>
        <w:t>(Amirazad et al., 2022)</w:t>
      </w:r>
      <w:r w:rsidR="003D15E0">
        <w:fldChar w:fldCharType="end"/>
      </w:r>
      <w:r w:rsidR="003D15E0">
        <w:t>.</w:t>
      </w:r>
    </w:p>
    <w:p w14:paraId="0DD956EE" w14:textId="77777777" w:rsidR="00322B6B" w:rsidRDefault="00322B6B" w:rsidP="00322B6B">
      <w:pPr>
        <w:pStyle w:val="Body"/>
        <w:spacing w:after="0"/>
      </w:pPr>
    </w:p>
    <w:p w14:paraId="01F02788" w14:textId="77777777" w:rsidR="00790ADA" w:rsidRPr="00FB3A86" w:rsidRDefault="00790ADA" w:rsidP="00441B6F">
      <w:pPr>
        <w:pStyle w:val="Body"/>
        <w:spacing w:after="0"/>
        <w:rPr>
          <w:rFonts w:ascii="Arial" w:hAnsi="Arial" w:cs="Arial"/>
        </w:rPr>
      </w:pPr>
    </w:p>
    <w:p w14:paraId="4A5C5496" w14:textId="77777777" w:rsidR="00790ADA" w:rsidRPr="00FB3A86" w:rsidRDefault="00790ADA" w:rsidP="00441B6F">
      <w:pPr>
        <w:pStyle w:val="Head1"/>
        <w:spacing w:after="0"/>
        <w:jc w:val="both"/>
        <w:rPr>
          <w:rFonts w:ascii="Arial" w:hAnsi="Arial" w:cs="Arial"/>
        </w:rPr>
      </w:pPr>
    </w:p>
    <w:p w14:paraId="3FB396E9" w14:textId="5EE36DD7" w:rsidR="009024E9" w:rsidRDefault="009024E9" w:rsidP="009024E9">
      <w:pPr>
        <w:pStyle w:val="Body"/>
        <w:spacing w:after="0"/>
        <w:rPr>
          <w:rFonts w:ascii="Arial" w:hAnsi="Arial" w:cs="Arial"/>
          <w:b/>
          <w:szCs w:val="16"/>
          <w:u w:val="single"/>
        </w:rPr>
      </w:pPr>
      <w:r w:rsidRPr="009024E9">
        <w:rPr>
          <w:rFonts w:ascii="Arial" w:hAnsi="Arial" w:cs="Arial"/>
          <w:b/>
          <w:szCs w:val="16"/>
          <w:u w:val="single"/>
        </w:rPr>
        <w:t xml:space="preserve">3.1.1. </w:t>
      </w:r>
      <w:r w:rsidR="00605395">
        <w:rPr>
          <w:rFonts w:ascii="Arial" w:hAnsi="Arial" w:cs="Arial"/>
          <w:b/>
          <w:szCs w:val="16"/>
          <w:u w:val="single"/>
        </w:rPr>
        <w:t>Macroscopic character</w:t>
      </w:r>
    </w:p>
    <w:p w14:paraId="2F54A593" w14:textId="77777777" w:rsidR="00BD15B9" w:rsidRDefault="00BD15B9" w:rsidP="00BD15B9">
      <w:pPr>
        <w:pStyle w:val="Body"/>
        <w:spacing w:after="0"/>
      </w:pPr>
    </w:p>
    <w:p w14:paraId="43543E46" w14:textId="4AD7F650" w:rsidR="00BD15B9" w:rsidRDefault="00BD15B9" w:rsidP="00BD15B9">
      <w:pPr>
        <w:pStyle w:val="Body"/>
        <w:spacing w:after="0"/>
        <w:jc w:val="center"/>
      </w:pPr>
      <w:commentRangeStart w:id="4"/>
      <w:r>
        <w:rPr>
          <w:bCs/>
          <w:noProof/>
          <w:lang w:val="en-GB"/>
        </w:rPr>
        <w:drawing>
          <wp:inline distT="0" distB="0" distL="0" distR="0" wp14:anchorId="5A113AAB" wp14:editId="6204A9A1">
            <wp:extent cx="3187287" cy="997528"/>
            <wp:effectExtent l="19050" t="0" r="0" b="0"/>
            <wp:docPr id="9" name="Picture 4" descr="D:\Drh. Fajar SP, M.Biotech\hibah\HIBAH DPP SPP\foto\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h. Fajar SP, M.Biotech\hibah\HIBAH DPP SPP\foto\DSC_0002.jpg"/>
                    <pic:cNvPicPr>
                      <a:picLocks noChangeAspect="1" noChangeArrowheads="1"/>
                    </pic:cNvPicPr>
                  </pic:nvPicPr>
                  <pic:blipFill>
                    <a:blip r:embed="rId18" cstate="print"/>
                    <a:srcRect l="22517" t="44475" r="21677" b="32271"/>
                    <a:stretch>
                      <a:fillRect/>
                    </a:stretch>
                  </pic:blipFill>
                  <pic:spPr bwMode="auto">
                    <a:xfrm>
                      <a:off x="0" y="0"/>
                      <a:ext cx="3187287" cy="997528"/>
                    </a:xfrm>
                    <a:prstGeom prst="rect">
                      <a:avLst/>
                    </a:prstGeom>
                    <a:noFill/>
                    <a:ln w="9525">
                      <a:noFill/>
                      <a:miter lim="800000"/>
                      <a:headEnd/>
                      <a:tailEnd/>
                    </a:ln>
                  </pic:spPr>
                </pic:pic>
              </a:graphicData>
            </a:graphic>
          </wp:inline>
        </w:drawing>
      </w:r>
      <w:commentRangeEnd w:id="4"/>
      <w:r w:rsidR="00460172">
        <w:rPr>
          <w:rStyle w:val="Refdecomentario"/>
          <w:rFonts w:ascii="Times New Roman" w:hAnsi="Times New Roman"/>
          <w:lang w:val="nb-NO" w:eastAsia="nb-NO"/>
        </w:rPr>
        <w:commentReference w:id="4"/>
      </w:r>
    </w:p>
    <w:p w14:paraId="68E20F94" w14:textId="02B75D0C" w:rsidR="00BD15B9" w:rsidRDefault="009C2B22" w:rsidP="009C2B22">
      <w:pPr>
        <w:pStyle w:val="Body"/>
        <w:spacing w:after="0"/>
        <w:jc w:val="left"/>
      </w:pPr>
      <w:r>
        <w:t xml:space="preserve">Figure 2. Fresh goat bone sample before the decellularization process, showing reddish and opaque appearance with visible marrow and soft tissue </w:t>
      </w:r>
      <w:proofErr w:type="gramStart"/>
      <w:r>
        <w:t>residues.</w:t>
      </w:r>
      <w:commentRangeStart w:id="5"/>
      <w:r>
        <w:t>.</w:t>
      </w:r>
      <w:commentRangeEnd w:id="5"/>
      <w:proofErr w:type="gramEnd"/>
      <w:r w:rsidR="00460172">
        <w:rPr>
          <w:rStyle w:val="Refdecomentario"/>
          <w:rFonts w:ascii="Times New Roman" w:hAnsi="Times New Roman"/>
          <w:lang w:val="nb-NO" w:eastAsia="nb-NO"/>
        </w:rPr>
        <w:commentReference w:id="5"/>
      </w:r>
    </w:p>
    <w:p w14:paraId="15AFA370" w14:textId="77777777" w:rsidR="00BD15B9" w:rsidRDefault="00BD15B9" w:rsidP="00BD15B9">
      <w:pPr>
        <w:pStyle w:val="Body"/>
        <w:spacing w:after="0"/>
        <w:jc w:val="center"/>
      </w:pPr>
    </w:p>
    <w:p w14:paraId="13C3A896" w14:textId="3C1CA77B" w:rsidR="00BD15B9" w:rsidRDefault="00BD15B9" w:rsidP="00BD15B9">
      <w:pPr>
        <w:pStyle w:val="Body"/>
        <w:spacing w:after="0"/>
        <w:jc w:val="center"/>
      </w:pPr>
      <w:commentRangeStart w:id="6"/>
      <w:r>
        <w:rPr>
          <w:bCs/>
          <w:noProof/>
          <w:lang w:val="en-GB"/>
        </w:rPr>
        <w:lastRenderedPageBreak/>
        <w:drawing>
          <wp:inline distT="0" distB="0" distL="0" distR="0" wp14:anchorId="3251E609" wp14:editId="0AF2C4A2">
            <wp:extent cx="3222913" cy="758098"/>
            <wp:effectExtent l="19050" t="0" r="0" b="0"/>
            <wp:docPr id="10" name="Picture 5" descr="D:\Drh. Fajar SP, M.Biotech\hibah\HIBAH DPP SPP\foto\IMG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rh. Fajar SP, M.Biotech\hibah\HIBAH DPP SPP\foto\IMG_4223.JPG"/>
                    <pic:cNvPicPr>
                      <a:picLocks noChangeAspect="1" noChangeArrowheads="1"/>
                    </pic:cNvPicPr>
                  </pic:nvPicPr>
                  <pic:blipFill>
                    <a:blip r:embed="rId19" cstate="print"/>
                    <a:srcRect l="11290" t="42804" r="20548" b="33578"/>
                    <a:stretch>
                      <a:fillRect/>
                    </a:stretch>
                  </pic:blipFill>
                  <pic:spPr bwMode="auto">
                    <a:xfrm>
                      <a:off x="0" y="0"/>
                      <a:ext cx="3231090" cy="760021"/>
                    </a:xfrm>
                    <a:prstGeom prst="rect">
                      <a:avLst/>
                    </a:prstGeom>
                    <a:noFill/>
                    <a:ln w="9525">
                      <a:noFill/>
                      <a:miter lim="800000"/>
                      <a:headEnd/>
                      <a:tailEnd/>
                    </a:ln>
                  </pic:spPr>
                </pic:pic>
              </a:graphicData>
            </a:graphic>
          </wp:inline>
        </w:drawing>
      </w:r>
      <w:commentRangeEnd w:id="6"/>
      <w:r w:rsidR="00460172">
        <w:rPr>
          <w:rStyle w:val="Refdecomentario"/>
          <w:rFonts w:ascii="Times New Roman" w:hAnsi="Times New Roman"/>
          <w:lang w:val="nb-NO" w:eastAsia="nb-NO"/>
        </w:rPr>
        <w:commentReference w:id="6"/>
      </w:r>
    </w:p>
    <w:p w14:paraId="505788BC" w14:textId="3B6E67B8" w:rsidR="00BD15B9" w:rsidRDefault="009C2B22" w:rsidP="009C2B22">
      <w:pPr>
        <w:pStyle w:val="Body"/>
        <w:spacing w:after="0"/>
        <w:jc w:val="left"/>
      </w:pPr>
      <w:r w:rsidRPr="009C2B22">
        <w:t xml:space="preserve">Figure 3. </w:t>
      </w:r>
      <w:r>
        <w:t xml:space="preserve">Goat bone sample after the decellularization process, appearing whitish and slightly translucent, </w:t>
      </w:r>
      <w:r w:rsidRPr="00460172">
        <w:rPr>
          <w:strike/>
        </w:rPr>
        <w:t>indicating removal of marrow and cellular components while preserving cortical morphology</w:t>
      </w:r>
      <w:r>
        <w:t>.</w:t>
      </w:r>
    </w:p>
    <w:p w14:paraId="6199E55B" w14:textId="77777777" w:rsidR="00BD15B9" w:rsidRDefault="00BD15B9" w:rsidP="00BD15B9">
      <w:pPr>
        <w:pStyle w:val="Body"/>
        <w:spacing w:after="0"/>
        <w:jc w:val="center"/>
      </w:pPr>
    </w:p>
    <w:p w14:paraId="6D3F4FC5" w14:textId="05D5D6BB" w:rsidR="00616294" w:rsidRPr="00605395" w:rsidRDefault="00616294" w:rsidP="009024E9">
      <w:pPr>
        <w:pStyle w:val="Body"/>
        <w:spacing w:after="0"/>
        <w:rPr>
          <w:rFonts w:ascii="Arial" w:hAnsi="Arial" w:cs="Arial"/>
          <w:b/>
          <w:szCs w:val="16"/>
        </w:rPr>
      </w:pPr>
    </w:p>
    <w:p w14:paraId="172B8113" w14:textId="5206FC8E" w:rsidR="00DD7FB6" w:rsidRDefault="009024E9" w:rsidP="009024E9">
      <w:pPr>
        <w:pStyle w:val="Body"/>
        <w:spacing w:after="0"/>
        <w:rPr>
          <w:rFonts w:ascii="Arial" w:hAnsi="Arial" w:cs="Arial"/>
          <w:b/>
          <w:szCs w:val="16"/>
          <w:u w:val="single"/>
        </w:rPr>
      </w:pPr>
      <w:r w:rsidRPr="009024E9">
        <w:rPr>
          <w:rFonts w:ascii="Arial" w:hAnsi="Arial" w:cs="Arial"/>
          <w:b/>
          <w:szCs w:val="16"/>
          <w:u w:val="single"/>
        </w:rPr>
        <w:t xml:space="preserve">3.1.2. </w:t>
      </w:r>
      <w:r w:rsidR="00605395">
        <w:rPr>
          <w:rFonts w:ascii="Arial" w:hAnsi="Arial" w:cs="Arial"/>
          <w:b/>
          <w:szCs w:val="16"/>
          <w:u w:val="single"/>
        </w:rPr>
        <w:t>Biomechanical strength character</w:t>
      </w:r>
    </w:p>
    <w:p w14:paraId="1755FC51" w14:textId="77777777" w:rsidR="00DD7FB6" w:rsidRPr="00DD7FB6" w:rsidRDefault="00DD7FB6" w:rsidP="00DD7FB6">
      <w:pPr>
        <w:pStyle w:val="Body"/>
        <w:spacing w:after="0"/>
      </w:pPr>
      <w:r>
        <w:t xml:space="preserve">The ultimate tensile stress (MPa) of goat bone samples was measured to evaluate the effect of decellularization on the biomechanical properties. </w:t>
      </w:r>
      <w:commentRangeStart w:id="7"/>
      <w:commentRangeStart w:id="8"/>
      <w:r w:rsidRPr="00DD7FB6">
        <w:rPr>
          <w:b/>
          <w:bCs/>
        </w:rPr>
        <w:t>Table 2</w:t>
      </w:r>
      <w:r>
        <w:t xml:space="preserve"> summarizes the tensile strength data for fresh and decellularized bone samples after 7, 14, and 25 days of immersion in SDS.</w:t>
      </w:r>
      <w:commentRangeEnd w:id="7"/>
      <w:r w:rsidR="007E600F">
        <w:rPr>
          <w:rStyle w:val="Refdecomentario"/>
          <w:rFonts w:ascii="Times New Roman" w:hAnsi="Times New Roman"/>
          <w:lang w:val="nb-NO" w:eastAsia="nb-NO"/>
        </w:rPr>
        <w:commentReference w:id="7"/>
      </w:r>
      <w:commentRangeEnd w:id="8"/>
      <w:r w:rsidR="007B4BE2">
        <w:rPr>
          <w:rStyle w:val="Refdecomentario"/>
          <w:rFonts w:ascii="Times New Roman" w:hAnsi="Times New Roman"/>
          <w:lang w:val="nb-NO" w:eastAsia="nb-NO"/>
        </w:rPr>
        <w:commentReference w:id="8"/>
      </w:r>
    </w:p>
    <w:p w14:paraId="57A6039F" w14:textId="77777777" w:rsidR="00DD7FB6" w:rsidRDefault="00DD7FB6" w:rsidP="00DD7FB6">
      <w:pPr>
        <w:pStyle w:val="Body"/>
        <w:spacing w:after="0"/>
        <w:rPr>
          <w:b/>
          <w:bCs/>
        </w:rPr>
      </w:pPr>
    </w:p>
    <w:p w14:paraId="58BD7987" w14:textId="36057DDE" w:rsidR="00DD7FB6" w:rsidRDefault="002C62B7" w:rsidP="00DD7FB6">
      <w:pPr>
        <w:pStyle w:val="Body"/>
        <w:spacing w:after="0"/>
      </w:pPr>
      <w:r>
        <w:t>T</w:t>
      </w:r>
      <w:r w:rsidR="00DD7FB6">
        <w:t>he ultimate tensile stress of decellularized bone samples increased slightly compared to fresh bone, with the highest value observed in the 14-day decellularized group (112.26 ± 30.98 MPa)</w:t>
      </w:r>
      <w:r>
        <w:t xml:space="preserve"> (Table 2)</w:t>
      </w:r>
      <w:r w:rsidR="00DD7FB6">
        <w:t>. The fresh bone group had a tensile stress of 83.14 ± 7.89 MPa, while the 7-day and 25-day decellularized groups had values of 90.26 ± 15.94 MPa and 98.65 ± 4.31 MPa, respectively. However, statistical analysis revealed no significant differences in tensile stress among the groups (</w:t>
      </w:r>
      <w:r w:rsidR="00311DDA" w:rsidRPr="00311DDA">
        <w:rPr>
          <w:i/>
          <w:iCs/>
        </w:rPr>
        <w:t>P</w:t>
      </w:r>
      <w:r w:rsidR="00DD7FB6">
        <w:t xml:space="preserve"> = 0.154), suggesting that decellularization did not significantly affect the ultimate tensile stress within the tested time points.</w:t>
      </w:r>
    </w:p>
    <w:p w14:paraId="41AC4357" w14:textId="77777777" w:rsidR="00DD7FB6" w:rsidRDefault="00DD7FB6" w:rsidP="009024E9">
      <w:pPr>
        <w:pStyle w:val="Body"/>
        <w:spacing w:after="0"/>
        <w:rPr>
          <w:rFonts w:ascii="Arial" w:hAnsi="Arial" w:cs="Arial"/>
          <w:b/>
          <w:szCs w:val="16"/>
          <w:u w:val="single"/>
        </w:rPr>
      </w:pPr>
    </w:p>
    <w:p w14:paraId="215F4D01" w14:textId="04C03137" w:rsidR="002C62B7" w:rsidRPr="007C2AE9" w:rsidRDefault="002C62B7" w:rsidP="002C62B7">
      <w:pPr>
        <w:tabs>
          <w:tab w:val="left" w:pos="284"/>
        </w:tabs>
        <w:spacing w:line="360" w:lineRule="auto"/>
        <w:jc w:val="both"/>
        <w:rPr>
          <w:b/>
          <w:bCs/>
          <w:lang w:val="id-ID"/>
        </w:rPr>
      </w:pPr>
      <w:r w:rsidRPr="002C62B7">
        <w:rPr>
          <w:lang w:val="id-ID"/>
        </w:rPr>
        <w:t>Table 2. Ultimate tensile stress (MPa) of goat bone samples in each group (mean ± SD)</w:t>
      </w:r>
    </w:p>
    <w:tbl>
      <w:tblPr>
        <w:tblStyle w:val="Tablaconcuadrcula"/>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276"/>
        <w:gridCol w:w="1417"/>
        <w:gridCol w:w="1560"/>
        <w:gridCol w:w="1275"/>
        <w:gridCol w:w="837"/>
      </w:tblGrid>
      <w:tr w:rsidR="002C62B7" w14:paraId="5E62CF8C" w14:textId="77777777" w:rsidTr="002C62B7">
        <w:tc>
          <w:tcPr>
            <w:tcW w:w="1843" w:type="dxa"/>
            <w:tcBorders>
              <w:top w:val="single" w:sz="4" w:space="0" w:color="auto"/>
              <w:bottom w:val="single" w:sz="4" w:space="0" w:color="auto"/>
            </w:tcBorders>
          </w:tcPr>
          <w:p w14:paraId="6019E293" w14:textId="77777777" w:rsidR="002C62B7" w:rsidRDefault="002C62B7" w:rsidP="002C62B7">
            <w:pPr>
              <w:tabs>
                <w:tab w:val="left" w:pos="284"/>
              </w:tabs>
              <w:jc w:val="both"/>
              <w:rPr>
                <w:bCs/>
                <w:lang w:val="id-ID"/>
              </w:rPr>
            </w:pPr>
          </w:p>
        </w:tc>
        <w:tc>
          <w:tcPr>
            <w:tcW w:w="1276" w:type="dxa"/>
            <w:tcBorders>
              <w:top w:val="single" w:sz="4" w:space="0" w:color="auto"/>
              <w:bottom w:val="single" w:sz="4" w:space="0" w:color="auto"/>
            </w:tcBorders>
          </w:tcPr>
          <w:p w14:paraId="1C461827" w14:textId="77777777" w:rsidR="002C62B7" w:rsidRPr="002C62B7" w:rsidRDefault="002C62B7" w:rsidP="002C62B7">
            <w:pPr>
              <w:tabs>
                <w:tab w:val="left" w:pos="284"/>
              </w:tabs>
              <w:rPr>
                <w:rFonts w:ascii="Arial" w:hAnsi="Arial" w:cs="Arial"/>
                <w:bCs/>
                <w:sz w:val="20"/>
                <w:szCs w:val="20"/>
                <w:lang w:val="id-ID"/>
              </w:rPr>
            </w:pPr>
          </w:p>
          <w:p w14:paraId="5C15F89E" w14:textId="481961EA"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Fresh</w:t>
            </w:r>
          </w:p>
        </w:tc>
        <w:tc>
          <w:tcPr>
            <w:tcW w:w="1417" w:type="dxa"/>
            <w:tcBorders>
              <w:top w:val="single" w:sz="4" w:space="0" w:color="auto"/>
              <w:bottom w:val="single" w:sz="4" w:space="0" w:color="auto"/>
            </w:tcBorders>
          </w:tcPr>
          <w:p w14:paraId="51EFAFB9" w14:textId="50D59640"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Immersion          7 days</w:t>
            </w:r>
          </w:p>
        </w:tc>
        <w:tc>
          <w:tcPr>
            <w:tcW w:w="1560" w:type="dxa"/>
            <w:tcBorders>
              <w:top w:val="single" w:sz="4" w:space="0" w:color="auto"/>
              <w:bottom w:val="single" w:sz="4" w:space="0" w:color="auto"/>
            </w:tcBorders>
          </w:tcPr>
          <w:p w14:paraId="73351C61" w14:textId="72A87672"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 xml:space="preserve">Immersion  </w:t>
            </w:r>
            <w:r>
              <w:rPr>
                <w:rFonts w:ascii="Arial" w:hAnsi="Arial" w:cs="Arial"/>
                <w:bCs/>
                <w:sz w:val="20"/>
                <w:szCs w:val="20"/>
                <w:lang w:val="id-ID"/>
              </w:rPr>
              <w:t xml:space="preserve">      </w:t>
            </w:r>
            <w:r w:rsidRPr="002C62B7">
              <w:rPr>
                <w:rFonts w:ascii="Arial" w:hAnsi="Arial" w:cs="Arial"/>
                <w:bCs/>
                <w:sz w:val="20"/>
                <w:szCs w:val="20"/>
                <w:lang w:val="id-ID"/>
              </w:rPr>
              <w:t>14 days</w:t>
            </w:r>
          </w:p>
        </w:tc>
        <w:tc>
          <w:tcPr>
            <w:tcW w:w="1275" w:type="dxa"/>
            <w:tcBorders>
              <w:top w:val="single" w:sz="4" w:space="0" w:color="auto"/>
              <w:bottom w:val="single" w:sz="4" w:space="0" w:color="auto"/>
            </w:tcBorders>
          </w:tcPr>
          <w:p w14:paraId="578E9CB7" w14:textId="2FF091A5"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 xml:space="preserve">Immersion  </w:t>
            </w:r>
            <w:r>
              <w:rPr>
                <w:rFonts w:ascii="Arial" w:hAnsi="Arial" w:cs="Arial"/>
                <w:bCs/>
                <w:sz w:val="20"/>
                <w:szCs w:val="20"/>
                <w:lang w:val="id-ID"/>
              </w:rPr>
              <w:t xml:space="preserve">         </w:t>
            </w:r>
            <w:r w:rsidRPr="002C62B7">
              <w:rPr>
                <w:rFonts w:ascii="Arial" w:hAnsi="Arial" w:cs="Arial"/>
                <w:bCs/>
                <w:sz w:val="20"/>
                <w:szCs w:val="20"/>
                <w:lang w:val="id-ID"/>
              </w:rPr>
              <w:t>25 days</w:t>
            </w:r>
          </w:p>
        </w:tc>
        <w:tc>
          <w:tcPr>
            <w:tcW w:w="837" w:type="dxa"/>
            <w:tcBorders>
              <w:top w:val="single" w:sz="4" w:space="0" w:color="auto"/>
              <w:bottom w:val="single" w:sz="4" w:space="0" w:color="auto"/>
            </w:tcBorders>
          </w:tcPr>
          <w:p w14:paraId="151EEC7A" w14:textId="11EC8352" w:rsidR="002C62B7" w:rsidRPr="002C62B7" w:rsidRDefault="002C62B7" w:rsidP="002C62B7">
            <w:pPr>
              <w:tabs>
                <w:tab w:val="left" w:pos="284"/>
              </w:tabs>
              <w:rPr>
                <w:rFonts w:ascii="Arial" w:hAnsi="Arial" w:cs="Arial"/>
                <w:bCs/>
                <w:sz w:val="20"/>
                <w:szCs w:val="20"/>
                <w:lang w:val="id-ID"/>
              </w:rPr>
            </w:pPr>
            <w:r w:rsidRPr="0049500D">
              <w:rPr>
                <w:rFonts w:ascii="Arial" w:hAnsi="Arial" w:cs="Arial"/>
                <w:bCs/>
                <w:sz w:val="20"/>
                <w:szCs w:val="20"/>
                <w:lang w:val="id-ID"/>
              </w:rPr>
              <w:t xml:space="preserve">p-value </w:t>
            </w:r>
          </w:p>
        </w:tc>
      </w:tr>
      <w:tr w:rsidR="002C62B7" w14:paraId="04BD0FDD" w14:textId="77777777" w:rsidTr="002C62B7">
        <w:tc>
          <w:tcPr>
            <w:tcW w:w="1843" w:type="dxa"/>
            <w:tcBorders>
              <w:top w:val="single" w:sz="4" w:space="0" w:color="auto"/>
            </w:tcBorders>
          </w:tcPr>
          <w:p w14:paraId="0FC115CA" w14:textId="77777777" w:rsidR="002C62B7" w:rsidRPr="002C62B7" w:rsidRDefault="002C62B7" w:rsidP="002C62B7">
            <w:pPr>
              <w:tabs>
                <w:tab w:val="left" w:pos="284"/>
              </w:tabs>
              <w:rPr>
                <w:rFonts w:ascii="Arial" w:hAnsi="Arial" w:cs="Arial"/>
                <w:bCs/>
                <w:sz w:val="20"/>
                <w:szCs w:val="20"/>
                <w:lang w:val="id-ID"/>
              </w:rPr>
            </w:pPr>
            <w:commentRangeStart w:id="9"/>
            <w:r w:rsidRPr="002C62B7">
              <w:rPr>
                <w:rFonts w:ascii="Arial" w:hAnsi="Arial" w:cs="Arial"/>
                <w:bCs/>
                <w:sz w:val="20"/>
                <w:szCs w:val="20"/>
                <w:lang w:val="id-ID"/>
              </w:rPr>
              <w:t>Ultimate tensile stress (MPa)</w:t>
            </w:r>
          </w:p>
        </w:tc>
        <w:tc>
          <w:tcPr>
            <w:tcW w:w="1276" w:type="dxa"/>
            <w:tcBorders>
              <w:top w:val="single" w:sz="4" w:space="0" w:color="auto"/>
            </w:tcBorders>
          </w:tcPr>
          <w:p w14:paraId="7D6D9762" w14:textId="4C2F5BC6" w:rsidR="002C62B7" w:rsidRPr="002C62B7" w:rsidRDefault="002C62B7" w:rsidP="002C62B7">
            <w:pPr>
              <w:tabs>
                <w:tab w:val="left" w:pos="284"/>
              </w:tabs>
              <w:rPr>
                <w:rFonts w:ascii="Arial" w:hAnsi="Arial" w:cs="Arial"/>
                <w:bCs/>
                <w:sz w:val="20"/>
                <w:szCs w:val="20"/>
                <w:lang w:val="id-ID"/>
              </w:rPr>
            </w:pPr>
            <w:commentRangeStart w:id="10"/>
            <w:r w:rsidRPr="002C62B7">
              <w:rPr>
                <w:rFonts w:ascii="Arial" w:hAnsi="Arial" w:cs="Arial"/>
                <w:bCs/>
                <w:sz w:val="20"/>
                <w:szCs w:val="20"/>
                <w:lang w:val="id-ID"/>
              </w:rPr>
              <w:t>83</w:t>
            </w:r>
            <w:r>
              <w:rPr>
                <w:rFonts w:ascii="Arial" w:hAnsi="Arial" w:cs="Arial"/>
                <w:bCs/>
                <w:sz w:val="20"/>
                <w:szCs w:val="20"/>
                <w:lang w:val="id-ID"/>
              </w:rPr>
              <w:t>.</w:t>
            </w:r>
            <w:r w:rsidRPr="002C62B7">
              <w:rPr>
                <w:rFonts w:ascii="Arial" w:hAnsi="Arial" w:cs="Arial"/>
                <w:bCs/>
                <w:sz w:val="20"/>
                <w:szCs w:val="20"/>
                <w:lang w:val="id-ID"/>
              </w:rPr>
              <w:t>14±7</w:t>
            </w:r>
            <w:r>
              <w:rPr>
                <w:rFonts w:ascii="Arial" w:hAnsi="Arial" w:cs="Arial"/>
                <w:bCs/>
                <w:sz w:val="20"/>
                <w:szCs w:val="20"/>
                <w:lang w:val="id-ID"/>
              </w:rPr>
              <w:t>.</w:t>
            </w:r>
            <w:r w:rsidRPr="002C62B7">
              <w:rPr>
                <w:rFonts w:ascii="Arial" w:hAnsi="Arial" w:cs="Arial"/>
                <w:bCs/>
                <w:sz w:val="20"/>
                <w:szCs w:val="20"/>
                <w:lang w:val="id-ID"/>
              </w:rPr>
              <w:t>89</w:t>
            </w:r>
          </w:p>
        </w:tc>
        <w:tc>
          <w:tcPr>
            <w:tcW w:w="1417" w:type="dxa"/>
            <w:tcBorders>
              <w:top w:val="single" w:sz="4" w:space="0" w:color="auto"/>
            </w:tcBorders>
          </w:tcPr>
          <w:p w14:paraId="705582DC" w14:textId="212A9ACE"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90</w:t>
            </w:r>
            <w:r>
              <w:rPr>
                <w:rFonts w:ascii="Arial" w:hAnsi="Arial" w:cs="Arial"/>
                <w:bCs/>
                <w:sz w:val="20"/>
                <w:szCs w:val="20"/>
                <w:lang w:val="id-ID"/>
              </w:rPr>
              <w:t>.</w:t>
            </w:r>
            <w:r w:rsidRPr="002C62B7">
              <w:rPr>
                <w:rFonts w:ascii="Arial" w:hAnsi="Arial" w:cs="Arial"/>
                <w:bCs/>
                <w:sz w:val="20"/>
                <w:szCs w:val="20"/>
                <w:lang w:val="id-ID"/>
              </w:rPr>
              <w:t>26±15</w:t>
            </w:r>
            <w:r>
              <w:rPr>
                <w:rFonts w:ascii="Arial" w:hAnsi="Arial" w:cs="Arial"/>
                <w:bCs/>
                <w:sz w:val="20"/>
                <w:szCs w:val="20"/>
                <w:lang w:val="id-ID"/>
              </w:rPr>
              <w:t>.</w:t>
            </w:r>
            <w:r w:rsidRPr="002C62B7">
              <w:rPr>
                <w:rFonts w:ascii="Arial" w:hAnsi="Arial" w:cs="Arial"/>
                <w:bCs/>
                <w:sz w:val="20"/>
                <w:szCs w:val="20"/>
                <w:lang w:val="id-ID"/>
              </w:rPr>
              <w:t>94</w:t>
            </w:r>
          </w:p>
        </w:tc>
        <w:tc>
          <w:tcPr>
            <w:tcW w:w="1560" w:type="dxa"/>
            <w:tcBorders>
              <w:top w:val="single" w:sz="4" w:space="0" w:color="auto"/>
            </w:tcBorders>
          </w:tcPr>
          <w:p w14:paraId="1B8A204B" w14:textId="581C4772"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112</w:t>
            </w:r>
            <w:r>
              <w:rPr>
                <w:rFonts w:ascii="Arial" w:hAnsi="Arial" w:cs="Arial"/>
                <w:bCs/>
                <w:sz w:val="20"/>
                <w:szCs w:val="20"/>
                <w:lang w:val="id-ID"/>
              </w:rPr>
              <w:t>.</w:t>
            </w:r>
            <w:r w:rsidRPr="002C62B7">
              <w:rPr>
                <w:rFonts w:ascii="Arial" w:hAnsi="Arial" w:cs="Arial"/>
                <w:bCs/>
                <w:sz w:val="20"/>
                <w:szCs w:val="20"/>
                <w:lang w:val="id-ID"/>
              </w:rPr>
              <w:t>26±30,98</w:t>
            </w:r>
          </w:p>
        </w:tc>
        <w:tc>
          <w:tcPr>
            <w:tcW w:w="1275" w:type="dxa"/>
            <w:tcBorders>
              <w:top w:val="single" w:sz="4" w:space="0" w:color="auto"/>
            </w:tcBorders>
          </w:tcPr>
          <w:p w14:paraId="1D05A627" w14:textId="013F374F"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98</w:t>
            </w:r>
            <w:r>
              <w:rPr>
                <w:rFonts w:ascii="Arial" w:hAnsi="Arial" w:cs="Arial"/>
                <w:bCs/>
                <w:sz w:val="20"/>
                <w:szCs w:val="20"/>
                <w:lang w:val="id-ID"/>
              </w:rPr>
              <w:t>.</w:t>
            </w:r>
            <w:r w:rsidRPr="002C62B7">
              <w:rPr>
                <w:rFonts w:ascii="Arial" w:hAnsi="Arial" w:cs="Arial"/>
                <w:bCs/>
                <w:sz w:val="20"/>
                <w:szCs w:val="20"/>
                <w:lang w:val="id-ID"/>
              </w:rPr>
              <w:t>65±4</w:t>
            </w:r>
            <w:r>
              <w:rPr>
                <w:rFonts w:ascii="Arial" w:hAnsi="Arial" w:cs="Arial"/>
                <w:bCs/>
                <w:sz w:val="20"/>
                <w:szCs w:val="20"/>
                <w:lang w:val="id-ID"/>
              </w:rPr>
              <w:t>.</w:t>
            </w:r>
            <w:r w:rsidRPr="002C62B7">
              <w:rPr>
                <w:rFonts w:ascii="Arial" w:hAnsi="Arial" w:cs="Arial"/>
                <w:bCs/>
                <w:sz w:val="20"/>
                <w:szCs w:val="20"/>
                <w:lang w:val="id-ID"/>
              </w:rPr>
              <w:t>31</w:t>
            </w:r>
            <w:commentRangeEnd w:id="10"/>
            <w:r w:rsidR="00FD0D8F">
              <w:rPr>
                <w:rStyle w:val="Refdecomentario"/>
                <w:rFonts w:ascii="Times New Roman" w:eastAsia="Times New Roman" w:hAnsi="Times New Roman"/>
                <w:lang w:val="nb-NO" w:eastAsia="nb-NO"/>
              </w:rPr>
              <w:commentReference w:id="10"/>
            </w:r>
            <w:r w:rsidR="00FD0D8F">
              <w:rPr>
                <w:rStyle w:val="Refdecomentario"/>
                <w:rFonts w:ascii="Times New Roman" w:eastAsia="Times New Roman" w:hAnsi="Times New Roman"/>
                <w:lang w:val="nb-NO" w:eastAsia="nb-NO"/>
              </w:rPr>
              <w:commentReference w:id="9"/>
            </w:r>
          </w:p>
        </w:tc>
        <w:tc>
          <w:tcPr>
            <w:tcW w:w="837" w:type="dxa"/>
            <w:tcBorders>
              <w:top w:val="single" w:sz="4" w:space="0" w:color="auto"/>
            </w:tcBorders>
          </w:tcPr>
          <w:p w14:paraId="7CC3F5E3" w14:textId="461BA801" w:rsidR="002C62B7" w:rsidRPr="002C62B7" w:rsidRDefault="002C62B7" w:rsidP="002C62B7">
            <w:pPr>
              <w:tabs>
                <w:tab w:val="left" w:pos="284"/>
              </w:tabs>
              <w:rPr>
                <w:rFonts w:ascii="Arial" w:hAnsi="Arial" w:cs="Arial"/>
                <w:bCs/>
                <w:sz w:val="20"/>
                <w:szCs w:val="20"/>
                <w:lang w:val="id-ID"/>
              </w:rPr>
            </w:pPr>
            <w:r w:rsidRPr="002C62B7">
              <w:rPr>
                <w:rFonts w:ascii="Arial" w:hAnsi="Arial" w:cs="Arial"/>
                <w:bCs/>
                <w:sz w:val="20"/>
                <w:szCs w:val="20"/>
                <w:lang w:val="id-ID"/>
              </w:rPr>
              <w:t>0</w:t>
            </w:r>
            <w:r>
              <w:rPr>
                <w:rFonts w:ascii="Arial" w:hAnsi="Arial" w:cs="Arial"/>
                <w:bCs/>
                <w:sz w:val="20"/>
                <w:szCs w:val="20"/>
                <w:lang w:val="id-ID"/>
              </w:rPr>
              <w:t>.</w:t>
            </w:r>
            <w:r w:rsidRPr="002C62B7">
              <w:rPr>
                <w:rFonts w:ascii="Arial" w:hAnsi="Arial" w:cs="Arial"/>
                <w:bCs/>
                <w:sz w:val="20"/>
                <w:szCs w:val="20"/>
                <w:lang w:val="id-ID"/>
              </w:rPr>
              <w:t>154</w:t>
            </w:r>
          </w:p>
        </w:tc>
      </w:tr>
    </w:tbl>
    <w:commentRangeEnd w:id="9"/>
    <w:p w14:paraId="1E5347B4" w14:textId="1B2A8BD2" w:rsidR="002C62B7" w:rsidRPr="002C62B7" w:rsidRDefault="002C62B7" w:rsidP="002C62B7">
      <w:pPr>
        <w:tabs>
          <w:tab w:val="left" w:pos="284"/>
        </w:tabs>
        <w:spacing w:line="360" w:lineRule="auto"/>
        <w:jc w:val="both"/>
        <w:rPr>
          <w:bCs/>
          <w:lang w:val="id-ID"/>
        </w:rPr>
      </w:pPr>
      <w:r>
        <w:t>No significant differences were observed among groups (p &gt; 0.05).</w:t>
      </w:r>
    </w:p>
    <w:p w14:paraId="390D6C61" w14:textId="7D1F8500" w:rsidR="00DD7FB6" w:rsidRPr="009024E9" w:rsidRDefault="00DD7FB6" w:rsidP="009024E9">
      <w:pPr>
        <w:pStyle w:val="Body"/>
        <w:spacing w:after="0"/>
        <w:rPr>
          <w:rFonts w:ascii="Arial" w:hAnsi="Arial" w:cs="Arial"/>
          <w:b/>
          <w:szCs w:val="16"/>
          <w:u w:val="single"/>
        </w:rPr>
      </w:pPr>
    </w:p>
    <w:p w14:paraId="235932CA" w14:textId="77777777" w:rsidR="00485A55" w:rsidRPr="00485A55" w:rsidRDefault="00485A55" w:rsidP="009024E9">
      <w:pPr>
        <w:pStyle w:val="Body"/>
        <w:spacing w:after="0"/>
      </w:pPr>
    </w:p>
    <w:p w14:paraId="311F7055" w14:textId="68AB51C7" w:rsidR="009D5C33" w:rsidRDefault="009D5C33" w:rsidP="009024E9">
      <w:pPr>
        <w:pStyle w:val="Body"/>
        <w:spacing w:after="0"/>
        <w:rPr>
          <w:rFonts w:ascii="Arial" w:hAnsi="Arial" w:cs="Arial"/>
          <w:b/>
          <w:sz w:val="22"/>
        </w:rPr>
      </w:pPr>
    </w:p>
    <w:p w14:paraId="7A3FFFD3" w14:textId="7F4E4890" w:rsidR="009D5C33" w:rsidRPr="00485A55" w:rsidRDefault="00485A55" w:rsidP="009024E9">
      <w:pPr>
        <w:pStyle w:val="Body"/>
        <w:spacing w:after="0"/>
      </w:pPr>
      <w:r>
        <w:rPr>
          <w:rStyle w:val="Textoennegrita"/>
        </w:rPr>
        <w:t>Figure 6.</w:t>
      </w:r>
      <w:r>
        <w:t xml:space="preserve"> BMP-2 expression in </w:t>
      </w:r>
      <w:commentRangeStart w:id="11"/>
      <w:r>
        <w:rPr>
          <w:rStyle w:val="Textoennegrita"/>
        </w:rPr>
        <w:t>fresh goat bone</w:t>
      </w:r>
      <w:r>
        <w:t xml:space="preserve"> </w:t>
      </w:r>
      <w:commentRangeEnd w:id="11"/>
      <w:r w:rsidR="00C34D2E">
        <w:rPr>
          <w:rStyle w:val="Refdecomentario"/>
          <w:rFonts w:ascii="Times New Roman" w:hAnsi="Times New Roman"/>
          <w:lang w:val="nb-NO" w:eastAsia="nb-NO"/>
        </w:rPr>
        <w:commentReference w:id="11"/>
      </w:r>
      <w:r>
        <w:t xml:space="preserve">stained using IHC. </w:t>
      </w:r>
      <w:commentRangeStart w:id="12"/>
      <w:commentRangeStart w:id="13"/>
      <w:r w:rsidRPr="00485A55">
        <w:rPr>
          <w:rStyle w:val="Textoennegrita"/>
          <w:b w:val="0"/>
          <w:bCs w:val="0"/>
        </w:rPr>
        <w:t>A</w:t>
      </w:r>
      <w:r w:rsidRPr="00485A55">
        <w:rPr>
          <w:rStyle w:val="Textoennegrita"/>
        </w:rPr>
        <w:t>.</w:t>
      </w:r>
      <w:r w:rsidRPr="00485A55">
        <w:t xml:space="preserve"> </w:t>
      </w:r>
      <w:commentRangeEnd w:id="12"/>
      <w:r w:rsidR="00C34D2E">
        <w:rPr>
          <w:rStyle w:val="Refdecomentario"/>
          <w:rFonts w:ascii="Times New Roman" w:hAnsi="Times New Roman"/>
          <w:lang w:val="nb-NO" w:eastAsia="nb-NO"/>
        </w:rPr>
        <w:commentReference w:id="12"/>
      </w:r>
      <w:commentRangeEnd w:id="13"/>
      <w:r w:rsidR="00C34D2E">
        <w:rPr>
          <w:rStyle w:val="Refdecomentario"/>
          <w:rFonts w:ascii="Times New Roman" w:hAnsi="Times New Roman"/>
          <w:lang w:val="nb-NO" w:eastAsia="nb-NO"/>
        </w:rPr>
        <w:commentReference w:id="13"/>
      </w:r>
      <w:r w:rsidRPr="00485A55">
        <w:t xml:space="preserve">Fresh bone showing </w:t>
      </w:r>
      <w:r>
        <w:t>intense</w:t>
      </w:r>
      <w:r w:rsidRPr="00485A55">
        <w:t xml:space="preserve"> brown staining, indicating BMP-2 expression in</w:t>
      </w:r>
      <w:r>
        <w:t xml:space="preserve"> the </w:t>
      </w:r>
      <w:r w:rsidRPr="00485A55">
        <w:t>surrounding matrix.</w:t>
      </w:r>
      <w:r>
        <w:t xml:space="preserve">, </w:t>
      </w:r>
      <w:r w:rsidRPr="00485A55">
        <w:rPr>
          <w:rStyle w:val="Textoennegrita"/>
        </w:rPr>
        <w:t>B.</w:t>
      </w:r>
      <w:r w:rsidRPr="00485A55">
        <w:t xml:space="preserve"> Bone after 7 days of decellularization, showing moderate BMP-2 expression with slightly reduced</w:t>
      </w:r>
      <w:r>
        <w:t>.</w:t>
      </w:r>
      <w:r w:rsidRPr="00485A55">
        <w:t xml:space="preserve"> Intensity</w:t>
      </w:r>
      <w:r>
        <w:t xml:space="preserve">, </w:t>
      </w:r>
      <w:r w:rsidRPr="00485A55">
        <w:rPr>
          <w:rStyle w:val="Textoennegrita"/>
        </w:rPr>
        <w:t>C.</w:t>
      </w:r>
      <w:r w:rsidRPr="00485A55">
        <w:t xml:space="preserve"> Bone after 14 days of decellularization, with reduced BMP-2 expression and lighter brown staining</w:t>
      </w:r>
      <w:r>
        <w:t xml:space="preserve">, </w:t>
      </w:r>
      <w:r w:rsidRPr="00485A55">
        <w:rPr>
          <w:rStyle w:val="Textoennegrita"/>
        </w:rPr>
        <w:t>D.</w:t>
      </w:r>
      <w:r w:rsidRPr="00485A55">
        <w:t xml:space="preserve"> Bone after 25 days of decellularization, showing minimal BMP-2 expression, with very faint staining indicating </w:t>
      </w:r>
      <w:r>
        <w:t xml:space="preserve">a </w:t>
      </w:r>
      <w:r w:rsidRPr="00485A55">
        <w:t xml:space="preserve">significant reduction in BMP-2 production. </w:t>
      </w:r>
    </w:p>
    <w:p w14:paraId="109A8D2D" w14:textId="77777777" w:rsidR="00485A55" w:rsidRDefault="00485A55" w:rsidP="009024E9">
      <w:pPr>
        <w:pStyle w:val="Body"/>
        <w:spacing w:after="0"/>
        <w:rPr>
          <w:rFonts w:ascii="Arial" w:hAnsi="Arial" w:cs="Arial"/>
          <w:b/>
          <w:sz w:val="22"/>
        </w:rPr>
      </w:pPr>
    </w:p>
    <w:p w14:paraId="1C79FE35" w14:textId="4289BD09" w:rsidR="003351DD" w:rsidRDefault="003351DD" w:rsidP="003351DD">
      <w:pPr>
        <w:pStyle w:val="Body"/>
        <w:spacing w:after="0"/>
      </w:pPr>
      <w:r w:rsidRPr="003351DD">
        <w:t>the intensity of BMP-2 expression in the bone samples, with a</w:t>
      </w:r>
      <w:r>
        <w:t>n</w:t>
      </w:r>
      <w:r w:rsidRPr="003351DD">
        <w:t xml:space="preserve"> </w:t>
      </w:r>
      <w:r>
        <w:t>insignificant</w:t>
      </w:r>
      <w:r w:rsidRPr="003351DD">
        <w:t xml:space="preserve"> decrease</w:t>
      </w:r>
      <w:r>
        <w:t xml:space="preserve"> (P</w:t>
      </w:r>
      <w:r>
        <w:rPr>
          <w:rFonts w:cs="Helvetica"/>
        </w:rPr>
        <w:t>≥</w:t>
      </w:r>
      <w:r>
        <w:t>0.05)</w:t>
      </w:r>
      <w:r w:rsidRPr="003351DD">
        <w:t xml:space="preserve"> in</w:t>
      </w:r>
      <w:r>
        <w:t xml:space="preserve"> BMP-2</w:t>
      </w:r>
      <w:r w:rsidRPr="003351DD">
        <w:t xml:space="preserve"> intensity after 7, 14, and 25 days of decellularization, compared to fresh bone.</w:t>
      </w:r>
    </w:p>
    <w:p w14:paraId="3D748BAA" w14:textId="77777777" w:rsidR="00485A55" w:rsidRDefault="00485A55" w:rsidP="009024E9">
      <w:pPr>
        <w:pStyle w:val="Body"/>
        <w:spacing w:after="0"/>
        <w:rPr>
          <w:rFonts w:ascii="Arial" w:hAnsi="Arial" w:cs="Arial"/>
          <w:b/>
          <w:sz w:val="22"/>
        </w:rPr>
      </w:pPr>
    </w:p>
    <w:p w14:paraId="1D505A62" w14:textId="77D83A05" w:rsidR="009024E9" w:rsidRPr="009E6DCE" w:rsidRDefault="009024E9" w:rsidP="009024E9">
      <w:pPr>
        <w:pStyle w:val="Body"/>
        <w:spacing w:after="0"/>
        <w:rPr>
          <w:rFonts w:ascii="Arial" w:hAnsi="Arial" w:cs="Arial"/>
          <w:b/>
          <w:sz w:val="22"/>
        </w:rPr>
      </w:pPr>
      <w:r>
        <w:rPr>
          <w:rFonts w:ascii="Arial" w:hAnsi="Arial" w:cs="Arial"/>
          <w:b/>
          <w:sz w:val="22"/>
        </w:rPr>
        <w:t>3.2. Discussion</w:t>
      </w:r>
    </w:p>
    <w:p w14:paraId="0ABFEFC8" w14:textId="4C707185" w:rsidR="002277C6" w:rsidRPr="002277C6" w:rsidRDefault="002277C6" w:rsidP="002277C6">
      <w:pPr>
        <w:pStyle w:val="Body"/>
        <w:spacing w:after="0"/>
      </w:pPr>
      <w:r w:rsidRPr="002277C6">
        <w:t>Bone defects resulting from trauma, degenerative diseases, or infections often require bone substitutes for successful healing. The body</w:t>
      </w:r>
      <w:r w:rsidR="002961C0">
        <w:t>'</w:t>
      </w:r>
      <w:r w:rsidRPr="002277C6">
        <w:t xml:space="preserve">s intrinsic regenerative capacity is limited for </w:t>
      </w:r>
      <w:r w:rsidR="002961C0">
        <w:t>significant</w:t>
      </w:r>
      <w:r w:rsidRPr="002277C6">
        <w:t xml:space="preserve"> bone defects</w:t>
      </w:r>
      <w:r w:rsidR="002961C0">
        <w:t>. While autografts remain the gold standard in clinical practice due to their high integration potential, their use is constrained by donor-site morbidity and the</w:t>
      </w:r>
      <w:r w:rsidRPr="002277C6">
        <w:t xml:space="preserve"> limited availability of grafts. As a result, alternative materials, such as xenografts, have gained attention. Among these alternatives, goat bone is a promising candidate due to its structural similarity to human bone, availability, and suitable size for specific anatomical sites. This study investigated the potential of goat bone as a xenograft material by examining its macroscopic morphology, biomechanical properties, </w:t>
      </w:r>
      <w:r w:rsidR="002961C0">
        <w:t>preservation of extracellular matrix (ECM), and expression of osteogenic markers</w:t>
      </w:r>
      <w:r w:rsidRPr="002277C6">
        <w:t xml:space="preserve"> following decellularization.</w:t>
      </w:r>
      <w:commentRangeStart w:id="14"/>
      <w:r w:rsidRPr="002277C6">
        <w:t xml:space="preserve"> Our </w:t>
      </w:r>
      <w:commentRangeEnd w:id="14"/>
      <w:r w:rsidR="00C34D2E">
        <w:rPr>
          <w:rStyle w:val="Refdecomentario"/>
          <w:rFonts w:ascii="Times New Roman" w:hAnsi="Times New Roman"/>
          <w:lang w:val="nb-NO" w:eastAsia="nb-NO"/>
        </w:rPr>
        <w:commentReference w:id="14"/>
      </w:r>
      <w:r w:rsidRPr="002277C6">
        <w:t>results indicate that decellularized goat bone preserves ECM integrity, maintains biomechanical properties, and retains some osteogenic potential, making it a suitable candidate for bone graft applications.</w:t>
      </w:r>
    </w:p>
    <w:p w14:paraId="4C8338AB" w14:textId="77777777" w:rsidR="002961C0" w:rsidRPr="002277C6" w:rsidRDefault="002961C0" w:rsidP="002277C6">
      <w:pPr>
        <w:pStyle w:val="Body"/>
        <w:spacing w:after="0"/>
      </w:pPr>
    </w:p>
    <w:p w14:paraId="43D9B450" w14:textId="1D88E437" w:rsidR="00B01FCD" w:rsidRPr="00366CFB" w:rsidRDefault="002277C6" w:rsidP="00366CFB">
      <w:pPr>
        <w:pStyle w:val="Body"/>
        <w:spacing w:after="0"/>
      </w:pPr>
      <w:r w:rsidRPr="002277C6">
        <w:t xml:space="preserve">The BMP-2 expression, a key marker for osteogenesis, was also assessed using immunohistochemistry (IHC). BMP-2 plays a critical role in osteoblast differentiation and bone regeneration. Figure 6 and Figure 7 show that BMP-2 expression was significantly reduced in decellularized bone samples, particularly after 25 days of decellularization. Fresh </w:t>
      </w:r>
      <w:proofErr w:type="gramStart"/>
      <w:r w:rsidRPr="002277C6">
        <w:t>bone</w:t>
      </w:r>
      <w:proofErr w:type="gramEnd"/>
      <w:r w:rsidRPr="002277C6">
        <w:t xml:space="preserve"> showed strong BMP-2 expression, especially in osteoblasts and surrounding areas (Figure 6A), which is consistent with the high osteogenic potential of native </w:t>
      </w:r>
      <w:proofErr w:type="gramStart"/>
      <w:r w:rsidRPr="002277C6">
        <w:t>bone</w:t>
      </w:r>
      <w:proofErr w:type="gramEnd"/>
      <w:r w:rsidRPr="002277C6">
        <w:t xml:space="preserve">. After decellularization, however, the intensity of BMP-2 staining decreased, particularly in the 25-day decellularized group (Figure 6D). These findings </w:t>
      </w:r>
      <w:proofErr w:type="gramStart"/>
      <w:r w:rsidRPr="002277C6">
        <w:t>are in agreement</w:t>
      </w:r>
      <w:proofErr w:type="gramEnd"/>
      <w:r w:rsidRPr="002277C6">
        <w:t xml:space="preserve"> with studies by</w:t>
      </w:r>
      <w:r w:rsidR="001E7EE1">
        <w:t xml:space="preserve"> Gomes et al.</w:t>
      </w:r>
      <w:commentRangeStart w:id="15"/>
      <w:r w:rsidR="001E7EE1">
        <w:t xml:space="preserve"> (,</w:t>
      </w:r>
      <w:r w:rsidRPr="002277C6">
        <w:t xml:space="preserve"> </w:t>
      </w:r>
      <w:commentRangeEnd w:id="15"/>
      <w:r w:rsidR="0077735F">
        <w:rPr>
          <w:rStyle w:val="Refdecomentario"/>
          <w:rFonts w:ascii="Times New Roman" w:hAnsi="Times New Roman"/>
          <w:lang w:val="nb-NO" w:eastAsia="nb-NO"/>
        </w:rPr>
        <w:commentReference w:id="15"/>
      </w:r>
      <w:r w:rsidRPr="002277C6">
        <w:t>who reported a reduction in BMP-2 expression in decellularized bone matrices, potentially due to the loss of osteoblasts, which are the primary producers of BMP-2. Despite the reduction in BMP-2 expression, faint BMP-2 staining was still observed in decellularized samples, suggesting that the preserved ECM may still support some osteogenic activity, even in the absence of high BMP-2 levels.</w:t>
      </w:r>
    </w:p>
    <w:sectPr w:rsidR="00B01FCD" w:rsidRPr="00366CFB" w:rsidSect="00BC75A4">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Edgar Ramirez" w:date="2025-09-01T16:48:00Z" w:initials="ER">
    <w:p w14:paraId="30876B77" w14:textId="77777777" w:rsidR="00E76362" w:rsidRDefault="00E76362" w:rsidP="00E76362">
      <w:pPr>
        <w:pStyle w:val="Textocomentario"/>
      </w:pPr>
      <w:r>
        <w:rPr>
          <w:rStyle w:val="Refdecomentario"/>
        </w:rPr>
        <w:annotationRef/>
      </w:r>
      <w:r>
        <w:t>Which standard did you follow?</w:t>
      </w:r>
    </w:p>
  </w:comment>
  <w:comment w:id="2" w:author="Edgar Ramirez" w:date="2025-09-02T15:52:00Z" w:initials="ER">
    <w:p w14:paraId="151D2D20" w14:textId="77777777" w:rsidR="00352809" w:rsidRDefault="00460172" w:rsidP="00352809">
      <w:pPr>
        <w:pStyle w:val="Textocomentario"/>
      </w:pPr>
      <w:r>
        <w:rPr>
          <w:rStyle w:val="Refdecomentario"/>
        </w:rPr>
        <w:annotationRef/>
      </w:r>
      <w:r w:rsidR="00352809">
        <w:t>The dimensios of the sample are correct? Looks different the proportion showed in figure 1</w:t>
      </w:r>
    </w:p>
  </w:comment>
  <w:comment w:id="3" w:author="Edgar Ramirez" w:date="2025-09-02T08:46:00Z" w:initials="ER">
    <w:p w14:paraId="22A58FC3" w14:textId="472A8557" w:rsidR="00E66143" w:rsidRDefault="00E66143" w:rsidP="00E66143">
      <w:pPr>
        <w:pStyle w:val="Textocomentario"/>
      </w:pPr>
      <w:r>
        <w:rPr>
          <w:rStyle w:val="Refdecomentario"/>
        </w:rPr>
        <w:annotationRef/>
      </w:r>
      <w:r>
        <w:t>Is not necesary the use of black letters font</w:t>
      </w:r>
    </w:p>
  </w:comment>
  <w:comment w:id="4" w:author="Edgar Ramirez" w:date="2025-09-02T15:55:00Z" w:initials="ER">
    <w:p w14:paraId="1FC4574F" w14:textId="77777777" w:rsidR="00460172" w:rsidRDefault="00460172" w:rsidP="00460172">
      <w:pPr>
        <w:pStyle w:val="Textocomentario"/>
      </w:pPr>
      <w:r>
        <w:rPr>
          <w:rStyle w:val="Refdecomentario"/>
        </w:rPr>
        <w:annotationRef/>
      </w:r>
      <w:r>
        <w:t>The quality of the figure could be better</w:t>
      </w:r>
    </w:p>
  </w:comment>
  <w:comment w:id="5" w:author="Edgar Ramirez" w:date="2025-09-02T15:52:00Z" w:initials="ER">
    <w:p w14:paraId="6CCDC2B4" w14:textId="498F65FD" w:rsidR="00460172" w:rsidRDefault="00460172" w:rsidP="00460172">
      <w:pPr>
        <w:pStyle w:val="Textocomentario"/>
      </w:pPr>
      <w:r>
        <w:rPr>
          <w:rStyle w:val="Refdecomentario"/>
        </w:rPr>
        <w:annotationRef/>
      </w:r>
      <w:r>
        <w:t>Double final point</w:t>
      </w:r>
    </w:p>
  </w:comment>
  <w:comment w:id="6" w:author="Edgar Ramirez" w:date="2025-09-02T15:57:00Z" w:initials="ER">
    <w:p w14:paraId="009979C5" w14:textId="77777777" w:rsidR="00352809" w:rsidRDefault="00460172" w:rsidP="00352809">
      <w:pPr>
        <w:pStyle w:val="Textocomentario"/>
      </w:pPr>
      <w:r>
        <w:rPr>
          <w:rStyle w:val="Refdecomentario"/>
        </w:rPr>
        <w:annotationRef/>
      </w:r>
      <w:r w:rsidR="00352809">
        <w:t>The quality of the figure is not the best, you can use a better bacgrounds for the pitures with higher contrast</w:t>
      </w:r>
    </w:p>
  </w:comment>
  <w:comment w:id="7" w:author="Edgar Ramirez" w:date="2025-09-02T16:08:00Z" w:initials="ER">
    <w:p w14:paraId="7BEF3E36" w14:textId="036AE63A" w:rsidR="007E600F" w:rsidRDefault="007E600F" w:rsidP="007E600F">
      <w:pPr>
        <w:pStyle w:val="Textocomentario"/>
      </w:pPr>
      <w:r>
        <w:rPr>
          <w:rStyle w:val="Refdecomentario"/>
        </w:rPr>
        <w:annotationRef/>
      </w:r>
      <w:r>
        <w:t>Could be better to present the stress-strain curves obtained, to analyze the behaviour</w:t>
      </w:r>
    </w:p>
  </w:comment>
  <w:comment w:id="8" w:author="Edgar Ramirez" w:date="2025-09-02T17:44:00Z" w:initials="ER">
    <w:p w14:paraId="68704C69" w14:textId="77777777" w:rsidR="00366CFB" w:rsidRDefault="007B4BE2" w:rsidP="00366CFB">
      <w:pPr>
        <w:pStyle w:val="Textocomentario"/>
      </w:pPr>
      <w:r>
        <w:rPr>
          <w:rStyle w:val="Refdecomentario"/>
        </w:rPr>
        <w:annotationRef/>
      </w:r>
      <w:r w:rsidR="00366CFB">
        <w:rPr>
          <w:color w:val="000000"/>
        </w:rPr>
        <w:t>In</w:t>
      </w:r>
      <w:r w:rsidR="00366CFB">
        <w:rPr>
          <w:color w:val="000000"/>
          <w:highlight w:val="blue"/>
        </w:rPr>
        <w:t xml:space="preserve"> </w:t>
      </w:r>
      <w:r w:rsidR="00366CFB">
        <w:rPr>
          <w:color w:val="000000"/>
        </w:rPr>
        <w:t>the</w:t>
      </w:r>
      <w:r w:rsidR="00366CFB">
        <w:rPr>
          <w:color w:val="000000"/>
          <w:highlight w:val="blue"/>
        </w:rPr>
        <w:t xml:space="preserve"> </w:t>
      </w:r>
      <w:r w:rsidR="00366CFB">
        <w:rPr>
          <w:color w:val="000000"/>
        </w:rPr>
        <w:t>title</w:t>
      </w:r>
      <w:r w:rsidR="00366CFB">
        <w:rPr>
          <w:color w:val="000000"/>
          <w:highlight w:val="blue"/>
        </w:rPr>
        <w:t xml:space="preserve"> </w:t>
      </w:r>
      <w:r w:rsidR="00366CFB">
        <w:rPr>
          <w:color w:val="000000"/>
        </w:rPr>
        <w:t>it</w:t>
      </w:r>
      <w:r w:rsidR="00366CFB">
        <w:rPr>
          <w:color w:val="000000"/>
          <w:highlight w:val="blue"/>
        </w:rPr>
        <w:t xml:space="preserve"> </w:t>
      </w:r>
      <w:r w:rsidR="00366CFB">
        <w:rPr>
          <w:color w:val="000000"/>
        </w:rPr>
        <w:t>seems</w:t>
      </w:r>
      <w:r w:rsidR="00366CFB">
        <w:rPr>
          <w:color w:val="000000"/>
          <w:highlight w:val="blue"/>
        </w:rPr>
        <w:t xml:space="preserve"> </w:t>
      </w:r>
      <w:r w:rsidR="00366CFB">
        <w:rPr>
          <w:color w:val="000000"/>
        </w:rPr>
        <w:t>that</w:t>
      </w:r>
      <w:r w:rsidR="00366CFB">
        <w:rPr>
          <w:color w:val="000000"/>
          <w:highlight w:val="blue"/>
        </w:rPr>
        <w:t xml:space="preserve"> </w:t>
      </w:r>
      <w:r w:rsidR="00366CFB">
        <w:rPr>
          <w:color w:val="000000"/>
        </w:rPr>
        <w:t>the</w:t>
      </w:r>
      <w:r w:rsidR="00366CFB">
        <w:rPr>
          <w:color w:val="000000"/>
          <w:highlight w:val="blue"/>
        </w:rPr>
        <w:t xml:space="preserve"> </w:t>
      </w:r>
      <w:r w:rsidR="00366CFB">
        <w:rPr>
          <w:color w:val="000000"/>
        </w:rPr>
        <w:t>biomechanical</w:t>
      </w:r>
      <w:r w:rsidR="00366CFB">
        <w:rPr>
          <w:color w:val="000000"/>
          <w:highlight w:val="blue"/>
        </w:rPr>
        <w:t xml:space="preserve"> </w:t>
      </w:r>
      <w:r w:rsidR="00366CFB">
        <w:rPr>
          <w:color w:val="000000"/>
        </w:rPr>
        <w:t>characterization</w:t>
      </w:r>
      <w:r w:rsidR="00366CFB">
        <w:rPr>
          <w:color w:val="000000"/>
          <w:highlight w:val="blue"/>
        </w:rPr>
        <w:t xml:space="preserve"> </w:t>
      </w:r>
      <w:r w:rsidR="00366CFB">
        <w:rPr>
          <w:color w:val="000000"/>
        </w:rPr>
        <w:t>is</w:t>
      </w:r>
      <w:r w:rsidR="00366CFB">
        <w:rPr>
          <w:color w:val="000000"/>
          <w:highlight w:val="blue"/>
        </w:rPr>
        <w:t xml:space="preserve"> </w:t>
      </w:r>
      <w:r w:rsidR="00366CFB">
        <w:rPr>
          <w:color w:val="000000"/>
        </w:rPr>
        <w:t>very</w:t>
      </w:r>
      <w:r w:rsidR="00366CFB">
        <w:rPr>
          <w:color w:val="000000"/>
          <w:highlight w:val="blue"/>
        </w:rPr>
        <w:t xml:space="preserve"> </w:t>
      </w:r>
      <w:r w:rsidR="00366CFB">
        <w:rPr>
          <w:color w:val="000000"/>
        </w:rPr>
        <w:t>important</w:t>
      </w:r>
      <w:r w:rsidR="00366CFB">
        <w:rPr>
          <w:color w:val="000000"/>
          <w:highlight w:val="blue"/>
        </w:rPr>
        <w:t xml:space="preserve"> </w:t>
      </w:r>
      <w:r w:rsidR="00366CFB">
        <w:rPr>
          <w:color w:val="000000"/>
        </w:rPr>
        <w:t>within</w:t>
      </w:r>
      <w:r w:rsidR="00366CFB">
        <w:rPr>
          <w:color w:val="000000"/>
          <w:highlight w:val="blue"/>
        </w:rPr>
        <w:t xml:space="preserve"> </w:t>
      </w:r>
      <w:r w:rsidR="00366CFB">
        <w:rPr>
          <w:color w:val="000000"/>
        </w:rPr>
        <w:t>the</w:t>
      </w:r>
      <w:r w:rsidR="00366CFB">
        <w:rPr>
          <w:color w:val="000000"/>
          <w:highlight w:val="blue"/>
        </w:rPr>
        <w:t xml:space="preserve"> </w:t>
      </w:r>
      <w:r w:rsidR="00366CFB">
        <w:rPr>
          <w:color w:val="000000"/>
        </w:rPr>
        <w:t>document,</w:t>
      </w:r>
      <w:r w:rsidR="00366CFB">
        <w:rPr>
          <w:color w:val="000000"/>
          <w:highlight w:val="blue"/>
        </w:rPr>
        <w:t xml:space="preserve"> </w:t>
      </w:r>
      <w:r w:rsidR="00366CFB">
        <w:rPr>
          <w:color w:val="000000"/>
        </w:rPr>
        <w:t>the</w:t>
      </w:r>
      <w:r w:rsidR="00366CFB">
        <w:rPr>
          <w:color w:val="000000"/>
          <w:highlight w:val="blue"/>
        </w:rPr>
        <w:t xml:space="preserve"> </w:t>
      </w:r>
      <w:r w:rsidR="00366CFB">
        <w:rPr>
          <w:color w:val="000000"/>
        </w:rPr>
        <w:t>analysis</w:t>
      </w:r>
      <w:r w:rsidR="00366CFB">
        <w:rPr>
          <w:color w:val="000000"/>
          <w:highlight w:val="blue"/>
        </w:rPr>
        <w:t xml:space="preserve"> </w:t>
      </w:r>
      <w:r w:rsidR="00366CFB">
        <w:rPr>
          <w:color w:val="000000"/>
        </w:rPr>
        <w:t>could be deeper</w:t>
      </w:r>
      <w:r w:rsidR="00366CFB">
        <w:rPr>
          <w:color w:val="000000"/>
          <w:highlight w:val="blue"/>
        </w:rPr>
        <w:t xml:space="preserve"> </w:t>
      </w:r>
      <w:r w:rsidR="00366CFB">
        <w:rPr>
          <w:color w:val="000000"/>
        </w:rPr>
        <w:t>studying</w:t>
      </w:r>
      <w:r w:rsidR="00366CFB">
        <w:rPr>
          <w:color w:val="000000"/>
          <w:highlight w:val="blue"/>
        </w:rPr>
        <w:t xml:space="preserve"> </w:t>
      </w:r>
      <w:r w:rsidR="00366CFB">
        <w:rPr>
          <w:color w:val="000000"/>
        </w:rPr>
        <w:t>the</w:t>
      </w:r>
      <w:r w:rsidR="00366CFB">
        <w:rPr>
          <w:color w:val="000000"/>
          <w:highlight w:val="blue"/>
        </w:rPr>
        <w:t xml:space="preserve"> </w:t>
      </w:r>
      <w:r w:rsidR="00366CFB">
        <w:rPr>
          <w:color w:val="000000"/>
        </w:rPr>
        <w:t>behavior</w:t>
      </w:r>
      <w:r w:rsidR="00366CFB">
        <w:rPr>
          <w:color w:val="000000"/>
          <w:highlight w:val="blue"/>
        </w:rPr>
        <w:t xml:space="preserve"> </w:t>
      </w:r>
      <w:r w:rsidR="00366CFB">
        <w:rPr>
          <w:color w:val="000000"/>
        </w:rPr>
        <w:t>of</w:t>
      </w:r>
      <w:r w:rsidR="00366CFB">
        <w:rPr>
          <w:color w:val="000000"/>
          <w:highlight w:val="blue"/>
        </w:rPr>
        <w:t xml:space="preserve"> </w:t>
      </w:r>
      <w:r w:rsidR="00366CFB">
        <w:rPr>
          <w:color w:val="000000"/>
        </w:rPr>
        <w:t>the</w:t>
      </w:r>
      <w:r w:rsidR="00366CFB">
        <w:rPr>
          <w:color w:val="000000"/>
          <w:highlight w:val="blue"/>
        </w:rPr>
        <w:t xml:space="preserve"> </w:t>
      </w:r>
      <w:r w:rsidR="00366CFB">
        <w:rPr>
          <w:color w:val="000000"/>
        </w:rPr>
        <w:t>stress-strain</w:t>
      </w:r>
      <w:r w:rsidR="00366CFB">
        <w:rPr>
          <w:color w:val="000000"/>
          <w:highlight w:val="blue"/>
        </w:rPr>
        <w:t xml:space="preserve"> </w:t>
      </w:r>
      <w:r w:rsidR="00366CFB">
        <w:rPr>
          <w:color w:val="000000"/>
        </w:rPr>
        <w:t>curves</w:t>
      </w:r>
      <w:r w:rsidR="00366CFB">
        <w:rPr>
          <w:color w:val="000000"/>
          <w:highlight w:val="blue"/>
        </w:rPr>
        <w:t xml:space="preserve"> </w:t>
      </w:r>
      <w:r w:rsidR="00366CFB">
        <w:rPr>
          <w:color w:val="000000"/>
        </w:rPr>
        <w:t>in</w:t>
      </w:r>
      <w:r w:rsidR="00366CFB">
        <w:rPr>
          <w:color w:val="000000"/>
          <w:highlight w:val="blue"/>
        </w:rPr>
        <w:t xml:space="preserve"> </w:t>
      </w:r>
      <w:r w:rsidR="00366CFB">
        <w:rPr>
          <w:color w:val="000000"/>
        </w:rPr>
        <w:t>more</w:t>
      </w:r>
      <w:r w:rsidR="00366CFB">
        <w:rPr>
          <w:color w:val="000000"/>
          <w:highlight w:val="blue"/>
        </w:rPr>
        <w:t xml:space="preserve"> </w:t>
      </w:r>
      <w:r w:rsidR="00366CFB">
        <w:rPr>
          <w:color w:val="000000"/>
        </w:rPr>
        <w:t>detail</w:t>
      </w:r>
      <w:r w:rsidR="00366CFB">
        <w:t xml:space="preserve"> </w:t>
      </w:r>
    </w:p>
  </w:comment>
  <w:comment w:id="10" w:author="Edgar Ramirez" w:date="2025-09-02T16:14:00Z" w:initials="ER">
    <w:p w14:paraId="50304A32" w14:textId="4AD30C3A" w:rsidR="00FD0D8F" w:rsidRDefault="00FD0D8F" w:rsidP="00FD0D8F">
      <w:pPr>
        <w:pStyle w:val="Textocomentario"/>
      </w:pPr>
      <w:r>
        <w:rPr>
          <w:rStyle w:val="Refdecomentario"/>
        </w:rPr>
        <w:annotationRef/>
      </w:r>
      <w:r>
        <w:t>How do you explain the trend of the results?</w:t>
      </w:r>
    </w:p>
  </w:comment>
  <w:comment w:id="9" w:author="Edgar Ramirez" w:date="2025-09-02T16:21:00Z" w:initials="ER">
    <w:p w14:paraId="6C47F63C" w14:textId="77777777" w:rsidR="00FD0D8F" w:rsidRDefault="00FD0D8F" w:rsidP="00FD0D8F">
      <w:pPr>
        <w:pStyle w:val="Textocomentario"/>
      </w:pPr>
      <w:r>
        <w:rPr>
          <w:rStyle w:val="Refdecomentario"/>
        </w:rPr>
        <w:annotationRef/>
      </w:r>
      <w:r>
        <w:t>Then what is the effect of decellularization ?</w:t>
      </w:r>
    </w:p>
  </w:comment>
  <w:comment w:id="11" w:author="Edgar Ramirez" w:date="2025-09-02T16:43:00Z" w:initials="ER">
    <w:p w14:paraId="2CD522D9" w14:textId="77777777" w:rsidR="00C34D2E" w:rsidRDefault="00C34D2E" w:rsidP="00C34D2E">
      <w:pPr>
        <w:pStyle w:val="Textocomentario"/>
      </w:pPr>
      <w:r>
        <w:rPr>
          <w:rStyle w:val="Refdecomentario"/>
        </w:rPr>
        <w:annotationRef/>
      </w:r>
      <w:r>
        <w:t>Innecesary black font</w:t>
      </w:r>
    </w:p>
  </w:comment>
  <w:comment w:id="12" w:author="Edgar Ramirez" w:date="2025-09-02T16:43:00Z" w:initials="ER">
    <w:p w14:paraId="0D2DA805" w14:textId="77777777" w:rsidR="00C34D2E" w:rsidRDefault="00C34D2E" w:rsidP="00C34D2E">
      <w:pPr>
        <w:pStyle w:val="Textocomentario"/>
      </w:pPr>
      <w:r>
        <w:rPr>
          <w:rStyle w:val="Refdecomentario"/>
        </w:rPr>
        <w:annotationRef/>
      </w:r>
      <w:r>
        <w:t>Should be Black?</w:t>
      </w:r>
    </w:p>
  </w:comment>
  <w:comment w:id="13" w:author="Edgar Ramirez" w:date="2025-09-02T16:44:00Z" w:initials="ER">
    <w:p w14:paraId="54F14F14" w14:textId="77777777" w:rsidR="00050979" w:rsidRDefault="00C34D2E" w:rsidP="00050979">
      <w:pPr>
        <w:pStyle w:val="Textocomentario"/>
      </w:pPr>
      <w:r>
        <w:rPr>
          <w:rStyle w:val="Refdecomentario"/>
        </w:rPr>
        <w:annotationRef/>
      </w:r>
      <w:r w:rsidR="00050979">
        <w:t>Scale bar? (In figure 6)</w:t>
      </w:r>
    </w:p>
  </w:comment>
  <w:comment w:id="14" w:author="Edgar Ramirez" w:date="2025-09-02T16:50:00Z" w:initials="ER">
    <w:p w14:paraId="3980AE90" w14:textId="06C55C7B" w:rsidR="00C34D2E" w:rsidRDefault="00C34D2E" w:rsidP="00C34D2E">
      <w:pPr>
        <w:pStyle w:val="Textocomentario"/>
      </w:pPr>
      <w:r>
        <w:rPr>
          <w:rStyle w:val="Refdecomentario"/>
        </w:rPr>
        <w:annotationRef/>
      </w:r>
      <w:r>
        <w:t>The</w:t>
      </w:r>
    </w:p>
  </w:comment>
  <w:comment w:id="15" w:author="Edgar Ramirez" w:date="2025-09-02T16:59:00Z" w:initials="ER">
    <w:p w14:paraId="5CB19E1D" w14:textId="77777777" w:rsidR="0077735F" w:rsidRDefault="0077735F" w:rsidP="0077735F">
      <w:pPr>
        <w:pStyle w:val="Textocomentario"/>
      </w:pPr>
      <w:r>
        <w:rPr>
          <w:rStyle w:val="Refdecomentario"/>
        </w:rPr>
        <w:annotationRef/>
      </w:r>
      <w:r>
        <w:t>Check this symbols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876B77" w15:done="0"/>
  <w15:commentEx w15:paraId="151D2D20" w15:paraIdParent="30876B77" w15:done="0"/>
  <w15:commentEx w15:paraId="22A58FC3" w15:done="0"/>
  <w15:commentEx w15:paraId="1FC4574F" w15:done="0"/>
  <w15:commentEx w15:paraId="6CCDC2B4" w15:done="0"/>
  <w15:commentEx w15:paraId="009979C5" w15:done="0"/>
  <w15:commentEx w15:paraId="7BEF3E36" w15:done="0"/>
  <w15:commentEx w15:paraId="68704C69" w15:paraIdParent="7BEF3E36" w15:done="0"/>
  <w15:commentEx w15:paraId="50304A32" w15:done="0"/>
  <w15:commentEx w15:paraId="6C47F63C" w15:paraIdParent="50304A32" w15:done="0"/>
  <w15:commentEx w15:paraId="2CD522D9" w15:done="0"/>
  <w15:commentEx w15:paraId="0D2DA805" w15:done="0"/>
  <w15:commentEx w15:paraId="54F14F14" w15:paraIdParent="0D2DA805" w15:done="0"/>
  <w15:commentEx w15:paraId="3980AE90" w15:done="0"/>
  <w15:commentEx w15:paraId="5CB19E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AF4374" w16cex:dateUtc="2025-09-01T22:48:00Z"/>
  <w16cex:commentExtensible w16cex:durableId="0365D3C2" w16cex:dateUtc="2025-09-02T21:52:00Z"/>
  <w16cex:commentExtensible w16cex:durableId="1E5E5956" w16cex:dateUtc="2025-09-02T14:46:00Z"/>
  <w16cex:commentExtensible w16cex:durableId="256A7D8A" w16cex:dateUtc="2025-09-02T21:55:00Z"/>
  <w16cex:commentExtensible w16cex:durableId="1FFF57BC" w16cex:dateUtc="2025-09-02T21:52:00Z"/>
  <w16cex:commentExtensible w16cex:durableId="6564F8A8" w16cex:dateUtc="2025-09-02T21:57:00Z"/>
  <w16cex:commentExtensible w16cex:durableId="3265BD2B" w16cex:dateUtc="2025-09-02T22:08:00Z"/>
  <w16cex:commentExtensible w16cex:durableId="6C901E81" w16cex:dateUtc="2025-09-02T23:44:00Z"/>
  <w16cex:commentExtensible w16cex:durableId="7B6812A6" w16cex:dateUtc="2025-09-02T22:14:00Z"/>
  <w16cex:commentExtensible w16cex:durableId="2E949189" w16cex:dateUtc="2025-09-02T22:21:00Z"/>
  <w16cex:commentExtensible w16cex:durableId="697D3551" w16cex:dateUtc="2025-09-02T22:43:00Z"/>
  <w16cex:commentExtensible w16cex:durableId="6B6C3098" w16cex:dateUtc="2025-09-02T22:43:00Z"/>
  <w16cex:commentExtensible w16cex:durableId="16D6B878" w16cex:dateUtc="2025-09-02T22:44:00Z"/>
  <w16cex:commentExtensible w16cex:durableId="4E593203" w16cex:dateUtc="2025-09-02T22:50:00Z"/>
  <w16cex:commentExtensible w16cex:durableId="3024FE3B" w16cex:dateUtc="2025-09-02T22: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876B77" w16cid:durableId="71AF4374"/>
  <w16cid:commentId w16cid:paraId="151D2D20" w16cid:durableId="0365D3C2"/>
  <w16cid:commentId w16cid:paraId="22A58FC3" w16cid:durableId="1E5E5956"/>
  <w16cid:commentId w16cid:paraId="1FC4574F" w16cid:durableId="256A7D8A"/>
  <w16cid:commentId w16cid:paraId="6CCDC2B4" w16cid:durableId="1FFF57BC"/>
  <w16cid:commentId w16cid:paraId="009979C5" w16cid:durableId="6564F8A8"/>
  <w16cid:commentId w16cid:paraId="7BEF3E36" w16cid:durableId="3265BD2B"/>
  <w16cid:commentId w16cid:paraId="68704C69" w16cid:durableId="6C901E81"/>
  <w16cid:commentId w16cid:paraId="50304A32" w16cid:durableId="7B6812A6"/>
  <w16cid:commentId w16cid:paraId="6C47F63C" w16cid:durableId="2E949189"/>
  <w16cid:commentId w16cid:paraId="2CD522D9" w16cid:durableId="697D3551"/>
  <w16cid:commentId w16cid:paraId="0D2DA805" w16cid:durableId="6B6C3098"/>
  <w16cid:commentId w16cid:paraId="54F14F14" w16cid:durableId="16D6B878"/>
  <w16cid:commentId w16cid:paraId="3980AE90" w16cid:durableId="4E593203"/>
  <w16cid:commentId w16cid:paraId="5CB19E1D" w16cid:durableId="3024FE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A9ACC" w14:textId="77777777" w:rsidR="003435E1" w:rsidRDefault="003435E1" w:rsidP="00C37E61">
      <w:r>
        <w:separator/>
      </w:r>
    </w:p>
  </w:endnote>
  <w:endnote w:type="continuationSeparator" w:id="0">
    <w:p w14:paraId="53D9697A" w14:textId="77777777" w:rsidR="003435E1" w:rsidRDefault="003435E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5444" w14:textId="77777777" w:rsidR="00BC75A4" w:rsidRDefault="00BC75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A2C3" w14:textId="77777777" w:rsidR="00BC75A4" w:rsidRDefault="00BC75A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6648C" w14:textId="1849064C" w:rsidR="00754C9A" w:rsidRPr="00BC75A4" w:rsidRDefault="00754C9A" w:rsidP="00BC75A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9EE83" w14:textId="77777777" w:rsidR="00C37E61" w:rsidRPr="00C37E61" w:rsidRDefault="00C37E61" w:rsidP="00C37E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F7292" w14:textId="77777777" w:rsidR="003435E1" w:rsidRDefault="003435E1" w:rsidP="00C37E61">
      <w:r>
        <w:separator/>
      </w:r>
    </w:p>
  </w:footnote>
  <w:footnote w:type="continuationSeparator" w:id="0">
    <w:p w14:paraId="4D6473F8" w14:textId="77777777" w:rsidR="003435E1" w:rsidRDefault="003435E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9D001" w14:textId="2FA1A205" w:rsidR="00BC75A4" w:rsidRDefault="00000000">
    <w:pPr>
      <w:pStyle w:val="Encabezado"/>
    </w:pPr>
    <w:r>
      <w:rPr>
        <w:noProof/>
      </w:rPr>
      <w:pict w14:anchorId="4F70A6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5E64D" w14:textId="233C8C07" w:rsidR="00BC75A4" w:rsidRDefault="00000000">
    <w:pPr>
      <w:pStyle w:val="Encabezado"/>
    </w:pPr>
    <w:r>
      <w:rPr>
        <w:noProof/>
      </w:rPr>
      <w:pict w14:anchorId="4F4B9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6A07" w14:textId="26E60A81" w:rsidR="00296529" w:rsidRPr="00296529" w:rsidRDefault="00000000" w:rsidP="00296529">
    <w:pPr>
      <w:ind w:left="2160"/>
      <w:jc w:val="center"/>
      <w:rPr>
        <w:rFonts w:ascii="Times New Roman" w:eastAsia="Calibri" w:hAnsi="Times New Roman"/>
        <w:i/>
        <w:sz w:val="18"/>
        <w:szCs w:val="22"/>
      </w:rPr>
    </w:pPr>
    <w:r>
      <w:rPr>
        <w:noProof/>
      </w:rPr>
      <w:pict w14:anchorId="66355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2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C47415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A2ACA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C671C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08142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FAA1E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2193B9" w14:textId="77777777" w:rsidR="00296529" w:rsidRDefault="00754C9A">
    <w:pPr>
      <w:pStyle w:val="Encabezado"/>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54CE4" w14:textId="7890241C" w:rsidR="00BC75A4" w:rsidRDefault="00000000">
    <w:pPr>
      <w:pStyle w:val="Encabezado"/>
    </w:pPr>
    <w:r>
      <w:rPr>
        <w:noProof/>
      </w:rPr>
      <w:pict w14:anchorId="5217D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EF4B" w14:textId="711330A0" w:rsidR="00BC75A4" w:rsidRDefault="00000000">
    <w:pPr>
      <w:pStyle w:val="Encabezado"/>
    </w:pPr>
    <w:r>
      <w:rPr>
        <w:noProof/>
      </w:rPr>
      <w:pict w14:anchorId="10FDB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2DF8" w14:textId="4A90542B" w:rsidR="00BC75A4" w:rsidRDefault="00000000">
    <w:pPr>
      <w:pStyle w:val="Encabezado"/>
    </w:pPr>
    <w:r>
      <w:rPr>
        <w:noProof/>
      </w:rPr>
      <w:pict w14:anchorId="7FADD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57883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F5B7BC3"/>
    <w:multiLevelType w:val="hybridMultilevel"/>
    <w:tmpl w:val="717C453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9C8535A"/>
    <w:multiLevelType w:val="multilevel"/>
    <w:tmpl w:val="F040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350D22"/>
    <w:multiLevelType w:val="multilevel"/>
    <w:tmpl w:val="213A1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7480428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63007228">
    <w:abstractNumId w:val="17"/>
  </w:num>
  <w:num w:numId="3" w16cid:durableId="32118461">
    <w:abstractNumId w:val="26"/>
  </w:num>
  <w:num w:numId="4" w16cid:durableId="35777603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31759382">
    <w:abstractNumId w:val="7"/>
  </w:num>
  <w:num w:numId="6" w16cid:durableId="258367247">
    <w:abstractNumId w:val="6"/>
  </w:num>
  <w:num w:numId="7" w16cid:durableId="164907658">
    <w:abstractNumId w:val="1"/>
  </w:num>
  <w:num w:numId="8" w16cid:durableId="1173833058">
    <w:abstractNumId w:val="12"/>
  </w:num>
  <w:num w:numId="9" w16cid:durableId="1354841690">
    <w:abstractNumId w:val="28"/>
  </w:num>
  <w:num w:numId="10" w16cid:durableId="659693047">
    <w:abstractNumId w:val="2"/>
  </w:num>
  <w:num w:numId="11" w16cid:durableId="1319846505">
    <w:abstractNumId w:val="20"/>
  </w:num>
  <w:num w:numId="12" w16cid:durableId="1515419578">
    <w:abstractNumId w:val="3"/>
  </w:num>
  <w:num w:numId="13" w16cid:durableId="2004234128">
    <w:abstractNumId w:val="19"/>
  </w:num>
  <w:num w:numId="14" w16cid:durableId="633100429">
    <w:abstractNumId w:val="8"/>
  </w:num>
  <w:num w:numId="15" w16cid:durableId="426315593">
    <w:abstractNumId w:val="24"/>
  </w:num>
  <w:num w:numId="16" w16cid:durableId="2078357282">
    <w:abstractNumId w:val="5"/>
  </w:num>
  <w:num w:numId="17" w16cid:durableId="1238055813">
    <w:abstractNumId w:val="25"/>
  </w:num>
  <w:num w:numId="18" w16cid:durableId="1688142093">
    <w:abstractNumId w:val="15"/>
  </w:num>
  <w:num w:numId="19" w16cid:durableId="226302301">
    <w:abstractNumId w:val="31"/>
  </w:num>
  <w:num w:numId="20" w16cid:durableId="658851190">
    <w:abstractNumId w:val="11"/>
  </w:num>
  <w:num w:numId="21" w16cid:durableId="2032804174">
    <w:abstractNumId w:val="9"/>
  </w:num>
  <w:num w:numId="22" w16cid:durableId="333532416">
    <w:abstractNumId w:val="13"/>
  </w:num>
  <w:num w:numId="23" w16cid:durableId="836308215">
    <w:abstractNumId w:val="21"/>
  </w:num>
  <w:num w:numId="24" w16cid:durableId="353966312">
    <w:abstractNumId w:val="29"/>
  </w:num>
  <w:num w:numId="25" w16cid:durableId="6642132">
    <w:abstractNumId w:val="4"/>
  </w:num>
  <w:num w:numId="26" w16cid:durableId="1222255204">
    <w:abstractNumId w:val="18"/>
  </w:num>
  <w:num w:numId="27" w16cid:durableId="1191455245">
    <w:abstractNumId w:val="22"/>
  </w:num>
  <w:num w:numId="28" w16cid:durableId="1017999286">
    <w:abstractNumId w:val="30"/>
  </w:num>
  <w:num w:numId="29" w16cid:durableId="1298949075">
    <w:abstractNumId w:val="27"/>
  </w:num>
  <w:num w:numId="30" w16cid:durableId="708147805">
    <w:abstractNumId w:val="10"/>
  </w:num>
  <w:num w:numId="31" w16cid:durableId="777257403">
    <w:abstractNumId w:val="23"/>
  </w:num>
  <w:num w:numId="32" w16cid:durableId="1940721372">
    <w:abstractNumId w:val="14"/>
  </w:num>
  <w:num w:numId="33" w16cid:durableId="26091991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gar Ramirez">
    <w15:presenceInfo w15:providerId="Windows Live" w15:userId="9b1541def126aa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yMTYzMDUzsTQ0sTBR0lEKTi0uzszPAykwrwUA+Ob92ywAAAA="/>
  </w:docVars>
  <w:rsids>
    <w:rsidRoot w:val="00AA6219"/>
    <w:rsid w:val="00000F8F"/>
    <w:rsid w:val="00030174"/>
    <w:rsid w:val="0004579C"/>
    <w:rsid w:val="00050979"/>
    <w:rsid w:val="00052AB1"/>
    <w:rsid w:val="00053B97"/>
    <w:rsid w:val="000767E7"/>
    <w:rsid w:val="00093915"/>
    <w:rsid w:val="000A47FA"/>
    <w:rsid w:val="000A65D3"/>
    <w:rsid w:val="000B1E33"/>
    <w:rsid w:val="000D689F"/>
    <w:rsid w:val="000E79E5"/>
    <w:rsid w:val="000E7B7B"/>
    <w:rsid w:val="000E7D62"/>
    <w:rsid w:val="00103357"/>
    <w:rsid w:val="00123C9F"/>
    <w:rsid w:val="00126190"/>
    <w:rsid w:val="00130F17"/>
    <w:rsid w:val="001320BF"/>
    <w:rsid w:val="00160861"/>
    <w:rsid w:val="001620DD"/>
    <w:rsid w:val="00163BC4"/>
    <w:rsid w:val="00191062"/>
    <w:rsid w:val="00192B72"/>
    <w:rsid w:val="001A29D8"/>
    <w:rsid w:val="001A5CAA"/>
    <w:rsid w:val="001B0427"/>
    <w:rsid w:val="001C4271"/>
    <w:rsid w:val="001D19E6"/>
    <w:rsid w:val="001D3A51"/>
    <w:rsid w:val="001D6A33"/>
    <w:rsid w:val="001E10D2"/>
    <w:rsid w:val="001E25B4"/>
    <w:rsid w:val="001E44FE"/>
    <w:rsid w:val="001E4A02"/>
    <w:rsid w:val="001E7EE1"/>
    <w:rsid w:val="00200595"/>
    <w:rsid w:val="00204835"/>
    <w:rsid w:val="00215D41"/>
    <w:rsid w:val="002277C6"/>
    <w:rsid w:val="00231920"/>
    <w:rsid w:val="0023195C"/>
    <w:rsid w:val="0024282C"/>
    <w:rsid w:val="002460DC"/>
    <w:rsid w:val="00250985"/>
    <w:rsid w:val="002556F6"/>
    <w:rsid w:val="00263BF2"/>
    <w:rsid w:val="00283105"/>
    <w:rsid w:val="00284C4C"/>
    <w:rsid w:val="00284CBD"/>
    <w:rsid w:val="00285A16"/>
    <w:rsid w:val="00287E68"/>
    <w:rsid w:val="002961C0"/>
    <w:rsid w:val="00296529"/>
    <w:rsid w:val="002B27FB"/>
    <w:rsid w:val="002B685A"/>
    <w:rsid w:val="002C57D2"/>
    <w:rsid w:val="002C62B7"/>
    <w:rsid w:val="002D6CE2"/>
    <w:rsid w:val="002E046B"/>
    <w:rsid w:val="002E0D56"/>
    <w:rsid w:val="002E3986"/>
    <w:rsid w:val="002F57E1"/>
    <w:rsid w:val="00311DDA"/>
    <w:rsid w:val="00315186"/>
    <w:rsid w:val="00322B6B"/>
    <w:rsid w:val="0033343E"/>
    <w:rsid w:val="003351DD"/>
    <w:rsid w:val="003435E1"/>
    <w:rsid w:val="00345FC2"/>
    <w:rsid w:val="003512C2"/>
    <w:rsid w:val="00352809"/>
    <w:rsid w:val="00366CFB"/>
    <w:rsid w:val="00371FB6"/>
    <w:rsid w:val="003763C1"/>
    <w:rsid w:val="00376BBE"/>
    <w:rsid w:val="0039224F"/>
    <w:rsid w:val="003A43A4"/>
    <w:rsid w:val="003A7E18"/>
    <w:rsid w:val="003C4C86"/>
    <w:rsid w:val="003C6258"/>
    <w:rsid w:val="003D15E0"/>
    <w:rsid w:val="003D3708"/>
    <w:rsid w:val="003D66D7"/>
    <w:rsid w:val="003E1009"/>
    <w:rsid w:val="003E2904"/>
    <w:rsid w:val="003E3926"/>
    <w:rsid w:val="00401927"/>
    <w:rsid w:val="0041027F"/>
    <w:rsid w:val="00412475"/>
    <w:rsid w:val="00423789"/>
    <w:rsid w:val="004347D1"/>
    <w:rsid w:val="00440F43"/>
    <w:rsid w:val="00441B6F"/>
    <w:rsid w:val="00446221"/>
    <w:rsid w:val="00447BC8"/>
    <w:rsid w:val="00450E62"/>
    <w:rsid w:val="004539DB"/>
    <w:rsid w:val="00460172"/>
    <w:rsid w:val="00471A80"/>
    <w:rsid w:val="00485A55"/>
    <w:rsid w:val="0049500D"/>
    <w:rsid w:val="004D305E"/>
    <w:rsid w:val="004D4277"/>
    <w:rsid w:val="004F1412"/>
    <w:rsid w:val="004F413D"/>
    <w:rsid w:val="00502516"/>
    <w:rsid w:val="00505F06"/>
    <w:rsid w:val="00506828"/>
    <w:rsid w:val="005178A1"/>
    <w:rsid w:val="0053056E"/>
    <w:rsid w:val="00554FDA"/>
    <w:rsid w:val="00580695"/>
    <w:rsid w:val="00591530"/>
    <w:rsid w:val="005C784C"/>
    <w:rsid w:val="005C7C3C"/>
    <w:rsid w:val="005D17F6"/>
    <w:rsid w:val="005D654E"/>
    <w:rsid w:val="005E5539"/>
    <w:rsid w:val="00602BF5"/>
    <w:rsid w:val="00605395"/>
    <w:rsid w:val="006069C0"/>
    <w:rsid w:val="006154AB"/>
    <w:rsid w:val="00616294"/>
    <w:rsid w:val="00617FDD"/>
    <w:rsid w:val="0063350A"/>
    <w:rsid w:val="00633614"/>
    <w:rsid w:val="00633F68"/>
    <w:rsid w:val="00636EB2"/>
    <w:rsid w:val="006375B8"/>
    <w:rsid w:val="006630E8"/>
    <w:rsid w:val="0066510A"/>
    <w:rsid w:val="00673F9F"/>
    <w:rsid w:val="00686953"/>
    <w:rsid w:val="00687DC8"/>
    <w:rsid w:val="00687DEA"/>
    <w:rsid w:val="00687E67"/>
    <w:rsid w:val="006967F7"/>
    <w:rsid w:val="00697938"/>
    <w:rsid w:val="006A250C"/>
    <w:rsid w:val="006B21D3"/>
    <w:rsid w:val="006B57D0"/>
    <w:rsid w:val="006D30FF"/>
    <w:rsid w:val="006D4B86"/>
    <w:rsid w:val="006D6940"/>
    <w:rsid w:val="006F11EC"/>
    <w:rsid w:val="006F2CCF"/>
    <w:rsid w:val="006F2F35"/>
    <w:rsid w:val="0070082C"/>
    <w:rsid w:val="00705D5C"/>
    <w:rsid w:val="007369E6"/>
    <w:rsid w:val="00742DC1"/>
    <w:rsid w:val="00746E59"/>
    <w:rsid w:val="00754C9A"/>
    <w:rsid w:val="0075599A"/>
    <w:rsid w:val="00761D52"/>
    <w:rsid w:val="00771276"/>
    <w:rsid w:val="0077735F"/>
    <w:rsid w:val="0077749E"/>
    <w:rsid w:val="00790ADA"/>
    <w:rsid w:val="007B4BE2"/>
    <w:rsid w:val="007C45AD"/>
    <w:rsid w:val="007D2288"/>
    <w:rsid w:val="007D291E"/>
    <w:rsid w:val="007E088F"/>
    <w:rsid w:val="007E600F"/>
    <w:rsid w:val="007F7B32"/>
    <w:rsid w:val="00804BC2"/>
    <w:rsid w:val="0081431A"/>
    <w:rsid w:val="0083216F"/>
    <w:rsid w:val="00860000"/>
    <w:rsid w:val="00863BD3"/>
    <w:rsid w:val="008641ED"/>
    <w:rsid w:val="00866D66"/>
    <w:rsid w:val="008671C6"/>
    <w:rsid w:val="00875803"/>
    <w:rsid w:val="00880F26"/>
    <w:rsid w:val="008B459E"/>
    <w:rsid w:val="008E13AE"/>
    <w:rsid w:val="008E1506"/>
    <w:rsid w:val="008E710C"/>
    <w:rsid w:val="008F1A45"/>
    <w:rsid w:val="008F69D6"/>
    <w:rsid w:val="009024E9"/>
    <w:rsid w:val="00902823"/>
    <w:rsid w:val="00915CA6"/>
    <w:rsid w:val="00927834"/>
    <w:rsid w:val="009500A6"/>
    <w:rsid w:val="00957C18"/>
    <w:rsid w:val="009659BA"/>
    <w:rsid w:val="00974077"/>
    <w:rsid w:val="00983040"/>
    <w:rsid w:val="009B3FB9"/>
    <w:rsid w:val="009C2465"/>
    <w:rsid w:val="009C2B22"/>
    <w:rsid w:val="009D35A0"/>
    <w:rsid w:val="009D5C33"/>
    <w:rsid w:val="009D7EB7"/>
    <w:rsid w:val="009E048A"/>
    <w:rsid w:val="009E08E9"/>
    <w:rsid w:val="009E0C71"/>
    <w:rsid w:val="009E3DB9"/>
    <w:rsid w:val="009E6DCE"/>
    <w:rsid w:val="009E6E35"/>
    <w:rsid w:val="009F0EDA"/>
    <w:rsid w:val="00A0206A"/>
    <w:rsid w:val="00A03B96"/>
    <w:rsid w:val="00A05B19"/>
    <w:rsid w:val="00A1134E"/>
    <w:rsid w:val="00A17EDD"/>
    <w:rsid w:val="00A24E7E"/>
    <w:rsid w:val="00A258C3"/>
    <w:rsid w:val="00A26036"/>
    <w:rsid w:val="00A347C0"/>
    <w:rsid w:val="00A51431"/>
    <w:rsid w:val="00A528EF"/>
    <w:rsid w:val="00A539AD"/>
    <w:rsid w:val="00A72005"/>
    <w:rsid w:val="00A94063"/>
    <w:rsid w:val="00AA0C4E"/>
    <w:rsid w:val="00AA6219"/>
    <w:rsid w:val="00AA74E0"/>
    <w:rsid w:val="00AB43D3"/>
    <w:rsid w:val="00AB703F"/>
    <w:rsid w:val="00AC6BB8"/>
    <w:rsid w:val="00AE008F"/>
    <w:rsid w:val="00B01FCD"/>
    <w:rsid w:val="00B03E3C"/>
    <w:rsid w:val="00B1776C"/>
    <w:rsid w:val="00B415E0"/>
    <w:rsid w:val="00B52583"/>
    <w:rsid w:val="00B52896"/>
    <w:rsid w:val="00B528D6"/>
    <w:rsid w:val="00B95236"/>
    <w:rsid w:val="00B96BD9"/>
    <w:rsid w:val="00BA1B01"/>
    <w:rsid w:val="00BA2641"/>
    <w:rsid w:val="00BA5994"/>
    <w:rsid w:val="00BA64C0"/>
    <w:rsid w:val="00BB37AA"/>
    <w:rsid w:val="00BC53A0"/>
    <w:rsid w:val="00BC75A4"/>
    <w:rsid w:val="00BD15B9"/>
    <w:rsid w:val="00BD776E"/>
    <w:rsid w:val="00BE62AD"/>
    <w:rsid w:val="00BF121F"/>
    <w:rsid w:val="00BF1F80"/>
    <w:rsid w:val="00C166EF"/>
    <w:rsid w:val="00C17EB0"/>
    <w:rsid w:val="00C27F5F"/>
    <w:rsid w:val="00C30A0F"/>
    <w:rsid w:val="00C34D2E"/>
    <w:rsid w:val="00C35E7C"/>
    <w:rsid w:val="00C37E61"/>
    <w:rsid w:val="00C70F1B"/>
    <w:rsid w:val="00C71A47"/>
    <w:rsid w:val="00C7464C"/>
    <w:rsid w:val="00C85588"/>
    <w:rsid w:val="00CD1A17"/>
    <w:rsid w:val="00CD6755"/>
    <w:rsid w:val="00CD6856"/>
    <w:rsid w:val="00CE0089"/>
    <w:rsid w:val="00CE793C"/>
    <w:rsid w:val="00CF193C"/>
    <w:rsid w:val="00D173F1"/>
    <w:rsid w:val="00D45697"/>
    <w:rsid w:val="00D470DE"/>
    <w:rsid w:val="00D571BB"/>
    <w:rsid w:val="00D63D46"/>
    <w:rsid w:val="00D711E3"/>
    <w:rsid w:val="00D726D7"/>
    <w:rsid w:val="00D74CB0"/>
    <w:rsid w:val="00D8295D"/>
    <w:rsid w:val="00DA50DE"/>
    <w:rsid w:val="00DC2A65"/>
    <w:rsid w:val="00DC620E"/>
    <w:rsid w:val="00DD7FB6"/>
    <w:rsid w:val="00DE15F0"/>
    <w:rsid w:val="00DE5663"/>
    <w:rsid w:val="00DE78AA"/>
    <w:rsid w:val="00DF228C"/>
    <w:rsid w:val="00E053D0"/>
    <w:rsid w:val="00E15994"/>
    <w:rsid w:val="00E3114E"/>
    <w:rsid w:val="00E31A1D"/>
    <w:rsid w:val="00E31A70"/>
    <w:rsid w:val="00E31F80"/>
    <w:rsid w:val="00E35B02"/>
    <w:rsid w:val="00E4683D"/>
    <w:rsid w:val="00E651B0"/>
    <w:rsid w:val="00E66143"/>
    <w:rsid w:val="00E66496"/>
    <w:rsid w:val="00E66B35"/>
    <w:rsid w:val="00E66E10"/>
    <w:rsid w:val="00E76362"/>
    <w:rsid w:val="00E769F6"/>
    <w:rsid w:val="00E77EF4"/>
    <w:rsid w:val="00E8407C"/>
    <w:rsid w:val="00E84F3C"/>
    <w:rsid w:val="00EA012C"/>
    <w:rsid w:val="00EC6A55"/>
    <w:rsid w:val="00ED0288"/>
    <w:rsid w:val="00EE52CB"/>
    <w:rsid w:val="00EE6F3B"/>
    <w:rsid w:val="00EF4C42"/>
    <w:rsid w:val="00EF581D"/>
    <w:rsid w:val="00EF7FD8"/>
    <w:rsid w:val="00F06F59"/>
    <w:rsid w:val="00F07794"/>
    <w:rsid w:val="00F17988"/>
    <w:rsid w:val="00F469F0"/>
    <w:rsid w:val="00F53273"/>
    <w:rsid w:val="00F649B8"/>
    <w:rsid w:val="00F73C62"/>
    <w:rsid w:val="00F755E4"/>
    <w:rsid w:val="00F77D02"/>
    <w:rsid w:val="00F87B1F"/>
    <w:rsid w:val="00FB3A86"/>
    <w:rsid w:val="00FD0D8F"/>
    <w:rsid w:val="00FD36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92DC6"/>
  <w15:docId w15:val="{E06C1B59-E7AE-4B2E-AF45-1D3EA8237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tulo1">
    <w:name w:val="heading 1"/>
    <w:basedOn w:val="Normal"/>
    <w:next w:val="Normal"/>
    <w:qFormat/>
    <w:rsid w:val="00423789"/>
    <w:pPr>
      <w:keepNext/>
      <w:spacing w:before="240" w:after="60"/>
      <w:outlineLvl w:val="0"/>
    </w:pPr>
    <w:rPr>
      <w:rFonts w:ascii="Arial" w:hAnsi="Arial"/>
      <w:b/>
      <w:kern w:val="28"/>
      <w:sz w:val="28"/>
    </w:rPr>
  </w:style>
  <w:style w:type="paragraph" w:styleId="Ttulo2">
    <w:name w:val="heading 2"/>
    <w:basedOn w:val="Normal"/>
    <w:next w:val="Normal"/>
    <w:link w:val="Ttulo2Car"/>
    <w:semiHidden/>
    <w:unhideWhenUsed/>
    <w:qFormat/>
    <w:rsid w:val="00880F2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tulo">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epgina">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cabezado">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Firma">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Fuentedeprrafopredeter"/>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ipervnculo">
    <w:name w:val="Hyperlink"/>
    <w:basedOn w:val="Fuentedeprrafopredeter"/>
    <w:rsid w:val="00030174"/>
    <w:rPr>
      <w:color w:val="FF0080"/>
      <w:u w:val="single"/>
    </w:rPr>
  </w:style>
  <w:style w:type="character" w:styleId="Hipervnculovisitado">
    <w:name w:val="FollowedHyperlink"/>
    <w:basedOn w:val="Fuentedeprrafopredeter"/>
    <w:rsid w:val="00FB3A86"/>
    <w:rPr>
      <w:color w:val="800080"/>
      <w:u w:val="single"/>
    </w:rPr>
  </w:style>
  <w:style w:type="table" w:styleId="Tablaconcuadrcula">
    <w:name w:val="Table Grid"/>
    <w:basedOn w:val="Tabla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2">
    <w:name w:val="Body Text 2"/>
    <w:basedOn w:val="Normal"/>
    <w:link w:val="Textoindependiente2Car"/>
    <w:rsid w:val="00EF7FD8"/>
    <w:pPr>
      <w:spacing w:after="120" w:line="480" w:lineRule="auto"/>
    </w:pPr>
  </w:style>
  <w:style w:type="character" w:customStyle="1" w:styleId="Textoindependiente2Car">
    <w:name w:val="Texto independiente 2 Car"/>
    <w:basedOn w:val="Fuentedeprrafopredeter"/>
    <w:link w:val="Textoindependiente2"/>
    <w:rsid w:val="00EF7FD8"/>
    <w:rPr>
      <w:rFonts w:ascii="Helvetica" w:hAnsi="Helvetica"/>
    </w:rPr>
  </w:style>
  <w:style w:type="character" w:styleId="Refdecomentario">
    <w:name w:val="annotation reference"/>
    <w:basedOn w:val="Fuentedeprrafopredeter"/>
    <w:uiPriority w:val="99"/>
    <w:unhideWhenUsed/>
    <w:rsid w:val="00746E59"/>
    <w:rPr>
      <w:sz w:val="16"/>
      <w:szCs w:val="16"/>
    </w:rPr>
  </w:style>
  <w:style w:type="paragraph" w:styleId="Textocomentario">
    <w:name w:val="annotation text"/>
    <w:basedOn w:val="Normal"/>
    <w:link w:val="TextocomentarioCar"/>
    <w:uiPriority w:val="99"/>
    <w:unhideWhenUsed/>
    <w:rsid w:val="00746E59"/>
    <w:rPr>
      <w:rFonts w:ascii="Times New Roman" w:hAnsi="Times New Roman"/>
      <w:lang w:val="nb-NO" w:eastAsia="nb-NO"/>
    </w:rPr>
  </w:style>
  <w:style w:type="character" w:customStyle="1" w:styleId="TextocomentarioCar">
    <w:name w:val="Texto comentario Car"/>
    <w:basedOn w:val="Fuentedeprrafopredeter"/>
    <w:link w:val="Textocomentario"/>
    <w:uiPriority w:val="99"/>
    <w:rsid w:val="00746E59"/>
    <w:rPr>
      <w:lang w:val="nb-NO" w:eastAsia="nb-NO"/>
    </w:rPr>
  </w:style>
  <w:style w:type="paragraph" w:styleId="Textodeglobo">
    <w:name w:val="Balloon Text"/>
    <w:basedOn w:val="Normal"/>
    <w:link w:val="TextodegloboCar"/>
    <w:rsid w:val="00746E59"/>
    <w:rPr>
      <w:rFonts w:ascii="Tahoma" w:hAnsi="Tahoma" w:cs="Tahoma"/>
      <w:sz w:val="16"/>
      <w:szCs w:val="16"/>
    </w:rPr>
  </w:style>
  <w:style w:type="character" w:customStyle="1" w:styleId="TextodegloboCar">
    <w:name w:val="Texto de globo Car"/>
    <w:basedOn w:val="Fuentedeprrafopredeter"/>
    <w:link w:val="Textodeglobo"/>
    <w:rsid w:val="00746E59"/>
    <w:rPr>
      <w:rFonts w:ascii="Tahoma" w:hAnsi="Tahoma" w:cs="Tahoma"/>
      <w:sz w:val="16"/>
      <w:szCs w:val="16"/>
    </w:rPr>
  </w:style>
  <w:style w:type="paragraph" w:styleId="Textoindependiente3">
    <w:name w:val="Body Text 3"/>
    <w:basedOn w:val="Normal"/>
    <w:link w:val="Textoindependiente3Car"/>
    <w:rsid w:val="00231920"/>
    <w:pPr>
      <w:spacing w:after="120"/>
    </w:pPr>
    <w:rPr>
      <w:sz w:val="16"/>
      <w:szCs w:val="16"/>
    </w:rPr>
  </w:style>
  <w:style w:type="character" w:customStyle="1" w:styleId="Textoindependiente3Car">
    <w:name w:val="Texto independiente 3 Car"/>
    <w:basedOn w:val="Fuentedeprrafopredeter"/>
    <w:link w:val="Textoindependiente3"/>
    <w:rsid w:val="00231920"/>
    <w:rPr>
      <w:rFonts w:ascii="Helvetica" w:hAnsi="Helvetica"/>
      <w:sz w:val="16"/>
      <w:szCs w:val="16"/>
    </w:rPr>
  </w:style>
  <w:style w:type="character" w:styleId="Nmerodelnea">
    <w:name w:val="line number"/>
    <w:basedOn w:val="Fuentedeprrafopredeter"/>
    <w:rsid w:val="00412475"/>
  </w:style>
  <w:style w:type="character" w:styleId="nfasis">
    <w:name w:val="Emphasis"/>
    <w:basedOn w:val="Fuentedeprrafopredeter"/>
    <w:uiPriority w:val="20"/>
    <w:qFormat/>
    <w:rsid w:val="0024282C"/>
    <w:rPr>
      <w:i/>
      <w:iCs/>
    </w:rPr>
  </w:style>
  <w:style w:type="character" w:styleId="Mencinsinresolver">
    <w:name w:val="Unresolved Mention"/>
    <w:basedOn w:val="Fuentedeprrafopredeter"/>
    <w:uiPriority w:val="99"/>
    <w:semiHidden/>
    <w:unhideWhenUsed/>
    <w:rsid w:val="00287E68"/>
    <w:rPr>
      <w:color w:val="605E5C"/>
      <w:shd w:val="clear" w:color="auto" w:fill="E1DFDD"/>
    </w:rPr>
  </w:style>
  <w:style w:type="character" w:customStyle="1" w:styleId="relative">
    <w:name w:val="relative"/>
    <w:basedOn w:val="Fuentedeprrafopredeter"/>
    <w:rsid w:val="008F1A45"/>
  </w:style>
  <w:style w:type="character" w:customStyle="1" w:styleId="ms-1">
    <w:name w:val="ms-1"/>
    <w:basedOn w:val="Fuentedeprrafopredeter"/>
    <w:rsid w:val="008F1A45"/>
  </w:style>
  <w:style w:type="character" w:customStyle="1" w:styleId="max-w-full">
    <w:name w:val="max-w-full"/>
    <w:basedOn w:val="Fuentedeprrafopredeter"/>
    <w:rsid w:val="008F1A45"/>
  </w:style>
  <w:style w:type="character" w:customStyle="1" w:styleId="-me-1">
    <w:name w:val="-me-1"/>
    <w:basedOn w:val="Fuentedeprrafopredeter"/>
    <w:rsid w:val="008F1A45"/>
  </w:style>
  <w:style w:type="paragraph" w:styleId="NormalWeb">
    <w:name w:val="Normal (Web)"/>
    <w:basedOn w:val="Normal"/>
    <w:uiPriority w:val="99"/>
    <w:unhideWhenUsed/>
    <w:rsid w:val="008F1A45"/>
    <w:pPr>
      <w:spacing w:before="100" w:beforeAutospacing="1" w:after="100" w:afterAutospacing="1"/>
    </w:pPr>
    <w:rPr>
      <w:rFonts w:ascii="Times New Roman" w:hAnsi="Times New Roman"/>
      <w:sz w:val="24"/>
      <w:szCs w:val="24"/>
      <w:lang w:val="en-ID" w:eastAsia="ja-JP"/>
    </w:rPr>
  </w:style>
  <w:style w:type="paragraph" w:styleId="Prrafodelista">
    <w:name w:val="List Paragraph"/>
    <w:basedOn w:val="Normal"/>
    <w:uiPriority w:val="34"/>
    <w:qFormat/>
    <w:rsid w:val="009024E9"/>
    <w:pPr>
      <w:ind w:left="720"/>
      <w:contextualSpacing/>
      <w:jc w:val="center"/>
    </w:pPr>
    <w:rPr>
      <w:rFonts w:ascii="Times New Roman" w:eastAsiaTheme="minorEastAsia" w:hAnsi="Times New Roman"/>
      <w:sz w:val="24"/>
      <w:szCs w:val="24"/>
      <w:lang w:eastAsia="ja-JP"/>
    </w:rPr>
  </w:style>
  <w:style w:type="character" w:styleId="Textoennegrita">
    <w:name w:val="Strong"/>
    <w:basedOn w:val="Fuentedeprrafopredeter"/>
    <w:uiPriority w:val="22"/>
    <w:qFormat/>
    <w:rsid w:val="00345FC2"/>
    <w:rPr>
      <w:b/>
      <w:bCs/>
    </w:rPr>
  </w:style>
  <w:style w:type="character" w:customStyle="1" w:styleId="Ttulo2Car">
    <w:name w:val="Título 2 Car"/>
    <w:basedOn w:val="Fuentedeprrafopredeter"/>
    <w:link w:val="Ttulo2"/>
    <w:semiHidden/>
    <w:rsid w:val="00880F26"/>
    <w:rPr>
      <w:rFonts w:asciiTheme="majorHAnsi" w:eastAsiaTheme="majorEastAsia" w:hAnsiTheme="majorHAnsi" w:cstheme="majorBidi"/>
      <w:color w:val="365F91" w:themeColor="accent1" w:themeShade="BF"/>
      <w:sz w:val="26"/>
      <w:szCs w:val="26"/>
    </w:rPr>
  </w:style>
  <w:style w:type="paragraph" w:styleId="Bibliografa">
    <w:name w:val="Bibliography"/>
    <w:basedOn w:val="Normal"/>
    <w:next w:val="Normal"/>
    <w:uiPriority w:val="37"/>
    <w:unhideWhenUsed/>
    <w:rsid w:val="001E7EE1"/>
    <w:pPr>
      <w:spacing w:line="480" w:lineRule="auto"/>
      <w:ind w:left="720" w:hanging="720"/>
    </w:pPr>
  </w:style>
  <w:style w:type="paragraph" w:styleId="Asuntodelcomentario">
    <w:name w:val="annotation subject"/>
    <w:basedOn w:val="Textocomentario"/>
    <w:next w:val="Textocomentario"/>
    <w:link w:val="AsuntodelcomentarioCar"/>
    <w:semiHidden/>
    <w:unhideWhenUsed/>
    <w:rsid w:val="00E76362"/>
    <w:rPr>
      <w:rFonts w:ascii="Helvetica" w:hAnsi="Helvetica"/>
      <w:b/>
      <w:bCs/>
      <w:lang w:val="en-US" w:eastAsia="en-US"/>
    </w:rPr>
  </w:style>
  <w:style w:type="character" w:customStyle="1" w:styleId="AsuntodelcomentarioCar">
    <w:name w:val="Asunto del comentario Car"/>
    <w:basedOn w:val="TextocomentarioCar"/>
    <w:link w:val="Asuntodelcomentario"/>
    <w:semiHidden/>
    <w:rsid w:val="00E76362"/>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578184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99284543">
      <w:bodyDiv w:val="1"/>
      <w:marLeft w:val="0"/>
      <w:marRight w:val="0"/>
      <w:marTop w:val="0"/>
      <w:marBottom w:val="0"/>
      <w:divBdr>
        <w:top w:val="none" w:sz="0" w:space="0" w:color="auto"/>
        <w:left w:val="none" w:sz="0" w:space="0" w:color="auto"/>
        <w:bottom w:val="none" w:sz="0" w:space="0" w:color="auto"/>
        <w:right w:val="none" w:sz="0" w:space="0" w:color="auto"/>
      </w:divBdr>
    </w:div>
    <w:div w:id="17257868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8497E-2F2F-4845-A14F-55DCA13E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TotalTime>
  <Pages>3</Pages>
  <Words>1383</Words>
  <Characters>7612</Characters>
  <Application>Microsoft Office Word</Application>
  <DocSecurity>0</DocSecurity>
  <Lines>63</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8978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Edgar Ramirez</cp:lastModifiedBy>
  <cp:revision>7</cp:revision>
  <cp:lastPrinted>1999-07-06T11:00:00Z</cp:lastPrinted>
  <dcterms:created xsi:type="dcterms:W3CDTF">2025-09-02T23:40:00Z</dcterms:created>
  <dcterms:modified xsi:type="dcterms:W3CDTF">2025-09-03T00:06:00Z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0835061a-7664-4644-8b61-e282d09f0884</vt:lpwstr>
  </property>
  <property fmtid="{D5CDD505-2E9C-101B-9397-08002B2CF9AE}" pid="3" name="ZOTERO_PREF_1">
    <vt:lpwstr>&lt;data data-version="3" zotero-version="6.0.36"&gt;&lt;session id="veMI4E4Y"/&gt;&lt;style id="http://www.zotero.org/styles/apa" locale="en-US" hasBibliography="1" bibliographyStyleHasBeenSet="1"/&gt;&lt;prefs&gt;&lt;pref name="fieldType" value="Field"/&gt;&lt;/prefs&gt;&lt;/data&gt;</vt:lpwstr>
  </property>
</Properties>
</file>