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AE8A6" w14:textId="77777777" w:rsidR="00754C9A" w:rsidRPr="00B2227E" w:rsidRDefault="00754C9A" w:rsidP="00441B6F">
      <w:pPr>
        <w:pStyle w:val="Title"/>
        <w:spacing w:after="0"/>
        <w:jc w:val="both"/>
        <w:rPr>
          <w:rFonts w:ascii="Arial" w:hAnsi="Arial" w:cs="Arial"/>
        </w:rPr>
      </w:pPr>
    </w:p>
    <w:p w14:paraId="4EB6BB0A" w14:textId="77777777" w:rsidR="00B70B7A" w:rsidRPr="00B70B7A" w:rsidRDefault="00B70B7A" w:rsidP="00B70B7A">
      <w:pPr>
        <w:ind w:left="284" w:hanging="360"/>
        <w:jc w:val="right"/>
        <w:rPr>
          <w:rFonts w:ascii="Arial" w:hAnsi="Arial" w:cs="Arial"/>
          <w:b/>
          <w:bCs/>
          <w:i/>
          <w:iCs/>
          <w:sz w:val="36"/>
          <w:szCs w:val="36"/>
          <w:u w:val="single"/>
        </w:rPr>
      </w:pPr>
      <w:r w:rsidRPr="00B70B7A">
        <w:rPr>
          <w:rFonts w:ascii="Arial" w:hAnsi="Arial" w:cs="Arial"/>
          <w:b/>
          <w:bCs/>
          <w:i/>
          <w:iCs/>
          <w:sz w:val="36"/>
          <w:szCs w:val="36"/>
          <w:u w:val="single"/>
        </w:rPr>
        <w:t>Review Article</w:t>
      </w:r>
    </w:p>
    <w:p w14:paraId="13F9AE1E" w14:textId="77777777" w:rsidR="00B2227E" w:rsidRPr="00B2227E" w:rsidRDefault="00B2227E" w:rsidP="00B2227E">
      <w:pPr>
        <w:ind w:left="284" w:hanging="360"/>
        <w:jc w:val="right"/>
        <w:rPr>
          <w:rFonts w:ascii="Arial" w:hAnsi="Arial" w:cs="Arial"/>
          <w:b/>
          <w:bCs/>
          <w:sz w:val="36"/>
          <w:szCs w:val="36"/>
        </w:rPr>
      </w:pPr>
      <w:r w:rsidRPr="00B2227E">
        <w:rPr>
          <w:rFonts w:ascii="Arial" w:hAnsi="Arial" w:cs="Arial"/>
          <w:b/>
          <w:bCs/>
          <w:sz w:val="36"/>
          <w:szCs w:val="36"/>
        </w:rPr>
        <w:t>The Mulberry-Silkworm Nexus: Nutritional Ecology, Stress Responses, and Their Impact on Silk Production</w:t>
      </w:r>
    </w:p>
    <w:p w14:paraId="3EB7F6EE" w14:textId="77777777" w:rsidR="00A258C3" w:rsidRPr="00B2227E" w:rsidRDefault="00A258C3" w:rsidP="00441B6F">
      <w:pPr>
        <w:pStyle w:val="Author"/>
        <w:spacing w:line="240" w:lineRule="auto"/>
        <w:jc w:val="both"/>
        <w:rPr>
          <w:rFonts w:ascii="Arial" w:hAnsi="Arial" w:cs="Arial"/>
          <w:sz w:val="36"/>
        </w:rPr>
      </w:pPr>
    </w:p>
    <w:p w14:paraId="0E45B4C7" w14:textId="7D4A6968" w:rsidR="00303BC4" w:rsidRPr="00B2227E" w:rsidRDefault="00303BC4" w:rsidP="00441B6F">
      <w:pPr>
        <w:pStyle w:val="Affiliation"/>
        <w:spacing w:after="0" w:line="240" w:lineRule="auto"/>
        <w:jc w:val="both"/>
        <w:rPr>
          <w:rFonts w:ascii="Arial" w:hAnsi="Arial" w:cs="Arial"/>
        </w:rPr>
      </w:pPr>
      <w:r>
        <w:rPr>
          <w:rFonts w:ascii="Arial" w:hAnsi="Arial" w:cs="Arial"/>
        </w:rPr>
        <w:t xml:space="preserve"> </w:t>
      </w:r>
    </w:p>
    <w:p w14:paraId="04BF836F" w14:textId="77777777" w:rsidR="002C57D2" w:rsidRPr="00B2227E" w:rsidRDefault="002C57D2" w:rsidP="00441B6F">
      <w:pPr>
        <w:pStyle w:val="Affiliation"/>
        <w:spacing w:after="0" w:line="240" w:lineRule="auto"/>
        <w:jc w:val="both"/>
        <w:rPr>
          <w:rFonts w:ascii="Arial" w:hAnsi="Arial" w:cs="Arial"/>
        </w:rPr>
      </w:pPr>
    </w:p>
    <w:p w14:paraId="4221DBCB" w14:textId="77777777" w:rsidR="00B01FCD" w:rsidRPr="00B2227E" w:rsidRDefault="00A82C20" w:rsidP="00441B6F">
      <w:pPr>
        <w:pStyle w:val="Copyright"/>
        <w:spacing w:after="0" w:line="240" w:lineRule="auto"/>
        <w:jc w:val="both"/>
        <w:rPr>
          <w:rFonts w:ascii="Arial" w:hAnsi="Arial" w:cs="Arial"/>
        </w:rPr>
        <w:sectPr w:rsidR="00B01FCD" w:rsidRPr="00B2227E" w:rsidSect="0088360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894C16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B2227E">
        <w:rPr>
          <w:rFonts w:ascii="Arial" w:hAnsi="Arial" w:cs="Arial"/>
        </w:rPr>
        <w:t>.</w:t>
      </w:r>
    </w:p>
    <w:p w14:paraId="27F9C381" w14:textId="3B440D5E" w:rsidR="00B01FCD" w:rsidRPr="00B2227E" w:rsidRDefault="00B01FCD" w:rsidP="00441B6F">
      <w:pPr>
        <w:pStyle w:val="AbstHead"/>
        <w:spacing w:after="0"/>
        <w:jc w:val="both"/>
        <w:rPr>
          <w:rFonts w:ascii="Arial" w:hAnsi="Arial" w:cs="Arial"/>
        </w:rPr>
      </w:pPr>
      <w:r w:rsidRPr="00B2227E">
        <w:rPr>
          <w:rFonts w:ascii="Arial" w:hAnsi="Arial" w:cs="Arial"/>
        </w:rPr>
        <w:t>ABSTRACT</w:t>
      </w:r>
    </w:p>
    <w:p w14:paraId="33CDEDA7" w14:textId="77777777" w:rsidR="00790ADA" w:rsidRPr="00B2227E"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B2227E" w14:paraId="6C65B432" w14:textId="77777777" w:rsidTr="001E44FE">
        <w:tc>
          <w:tcPr>
            <w:tcW w:w="9576" w:type="dxa"/>
            <w:shd w:val="clear" w:color="auto" w:fill="F2F2F2"/>
          </w:tcPr>
          <w:p w14:paraId="32D33A06" w14:textId="0E685051" w:rsidR="00505F06" w:rsidRPr="00B2227E" w:rsidRDefault="00B2227E" w:rsidP="00B2227E">
            <w:pPr>
              <w:ind w:left="-76"/>
              <w:jc w:val="both"/>
              <w:rPr>
                <w:rFonts w:ascii="Arial" w:hAnsi="Arial" w:cs="Arial"/>
              </w:rPr>
            </w:pPr>
            <w:r w:rsidRPr="00B2227E">
              <w:rPr>
                <w:rFonts w:ascii="Arial" w:hAnsi="Arial" w:cs="Arial"/>
              </w:rPr>
              <w:t xml:space="preserve">Silk production in </w:t>
            </w:r>
            <w:r w:rsidRPr="00B2227E">
              <w:rPr>
                <w:rFonts w:ascii="Arial" w:hAnsi="Arial" w:cs="Arial"/>
                <w:i/>
                <w:iCs/>
              </w:rPr>
              <w:t>Bombyx mori</w:t>
            </w:r>
            <w:r w:rsidRPr="00B2227E">
              <w:rPr>
                <w:rFonts w:ascii="Arial" w:hAnsi="Arial" w:cs="Arial"/>
              </w:rPr>
              <w:t xml:space="preserve"> is intricately linked to the nutritional quality of mulberry leaves and the stressors encountered during larval development. This review examines the mulberry-silkworm nexus, focusing on how leaf composition, including proteins, amino acids, sugars, vitamins, and secondary metabolites, affects silkworm physiology, silk protein synthesis, and cocoon traits. It also explores the impacts of abiotic, such as temperature, humidity, and drought, and biotic, such as pathogens, pests, and pesticides stressors on digestion, nutrient absorption, gut microbiota, metabolic </w:t>
            </w:r>
            <w:proofErr w:type="spellStart"/>
            <w:r w:rsidRPr="00B2227E">
              <w:rPr>
                <w:rFonts w:ascii="Arial" w:hAnsi="Arial" w:cs="Arial"/>
              </w:rPr>
              <w:t>signalling</w:t>
            </w:r>
            <w:proofErr w:type="spellEnd"/>
            <w:r w:rsidRPr="00B2227E">
              <w:rPr>
                <w:rFonts w:ascii="Arial" w:hAnsi="Arial" w:cs="Arial"/>
              </w:rPr>
              <w:t>, and molecular stress responses, highlighting the trade-offs between resilience and productivity. Mechanistic insights into digestive efficiency, nutrient transport, microbiome interactions, and metabolic pathways demonstrate how targeted interventions, ranging from leaf selection and nutrient management to microbial supplementation and strain optimization, can improve silk quality and yield. Future directions emphasize integrated strategies combining breeding, biotechnology, and farm-level practices to stabilize nutrition, mitigate stress effects, and produce consistent, high-quality silk.</w:t>
            </w:r>
          </w:p>
        </w:tc>
      </w:tr>
    </w:tbl>
    <w:p w14:paraId="14BECEF7" w14:textId="77777777" w:rsidR="00636EB2" w:rsidRPr="00B2227E" w:rsidRDefault="00636EB2" w:rsidP="00441B6F">
      <w:pPr>
        <w:pStyle w:val="Body"/>
        <w:spacing w:after="0"/>
        <w:rPr>
          <w:rFonts w:ascii="Arial" w:hAnsi="Arial" w:cs="Arial"/>
          <w:i/>
        </w:rPr>
      </w:pPr>
    </w:p>
    <w:p w14:paraId="77168350" w14:textId="2764C07D" w:rsidR="00A24E7E" w:rsidRPr="00B2227E" w:rsidRDefault="00A24E7E" w:rsidP="00441B6F">
      <w:pPr>
        <w:pStyle w:val="Body"/>
        <w:spacing w:after="0"/>
        <w:rPr>
          <w:rFonts w:ascii="Arial" w:hAnsi="Arial" w:cs="Arial"/>
          <w:i/>
        </w:rPr>
      </w:pPr>
      <w:r w:rsidRPr="00B2227E">
        <w:rPr>
          <w:rFonts w:ascii="Arial" w:hAnsi="Arial" w:cs="Arial"/>
          <w:i/>
        </w:rPr>
        <w:t xml:space="preserve">Keywords: </w:t>
      </w:r>
      <w:r w:rsidR="00B2227E" w:rsidRPr="00B2227E">
        <w:rPr>
          <w:rFonts w:ascii="Arial" w:hAnsi="Arial" w:cs="Arial"/>
          <w:i/>
        </w:rPr>
        <w:t>Nutritional ecology, Stress response, Fibroin synthesis, Silk production, Silk quality</w:t>
      </w:r>
    </w:p>
    <w:p w14:paraId="35B88CFF" w14:textId="77777777" w:rsidR="00790ADA" w:rsidRPr="00B2227E" w:rsidRDefault="00790ADA" w:rsidP="00441B6F">
      <w:pPr>
        <w:pStyle w:val="Body"/>
        <w:spacing w:after="0"/>
        <w:rPr>
          <w:rFonts w:ascii="Arial" w:hAnsi="Arial" w:cs="Arial"/>
          <w:i/>
        </w:rPr>
      </w:pPr>
    </w:p>
    <w:p w14:paraId="76DAE39B" w14:textId="4F178C47" w:rsidR="007F7B32" w:rsidRPr="00B2227E" w:rsidRDefault="00B01FCD" w:rsidP="00B2227E">
      <w:pPr>
        <w:pStyle w:val="AbstHead"/>
        <w:numPr>
          <w:ilvl w:val="0"/>
          <w:numId w:val="31"/>
        </w:numPr>
        <w:spacing w:after="0"/>
        <w:jc w:val="both"/>
        <w:rPr>
          <w:rFonts w:ascii="Arial" w:hAnsi="Arial" w:cs="Arial"/>
        </w:rPr>
      </w:pPr>
      <w:r w:rsidRPr="00B2227E">
        <w:rPr>
          <w:rFonts w:ascii="Arial" w:hAnsi="Arial" w:cs="Arial"/>
        </w:rPr>
        <w:t>INTRODUCTION</w:t>
      </w:r>
    </w:p>
    <w:p w14:paraId="6926FE88" w14:textId="77777777" w:rsidR="00B2227E" w:rsidRPr="00B2227E" w:rsidRDefault="00B2227E" w:rsidP="00B2227E">
      <w:pPr>
        <w:pStyle w:val="NormalWeb"/>
        <w:ind w:firstLine="360"/>
        <w:jc w:val="both"/>
        <w:rPr>
          <w:rFonts w:ascii="Arial" w:hAnsi="Arial" w:cs="Arial"/>
          <w:sz w:val="20"/>
          <w:szCs w:val="20"/>
        </w:rPr>
      </w:pPr>
      <w:r w:rsidRPr="00B2227E">
        <w:rPr>
          <w:rFonts w:ascii="Arial" w:hAnsi="Arial" w:cs="Arial"/>
          <w:sz w:val="20"/>
          <w:szCs w:val="20"/>
        </w:rPr>
        <w:t xml:space="preserve">Sericulture relies on a deceptively simple partnership between an insect and its food source, the mulberry leaf. For the domesticated silkworm, </w:t>
      </w:r>
      <w:r w:rsidRPr="00B2227E">
        <w:rPr>
          <w:rStyle w:val="Emphasis"/>
          <w:rFonts w:ascii="Arial" w:eastAsiaTheme="majorEastAsia" w:hAnsi="Arial" w:cs="Arial"/>
          <w:sz w:val="20"/>
          <w:szCs w:val="20"/>
        </w:rPr>
        <w:t>Bombyx mori</w:t>
      </w:r>
      <w:r w:rsidRPr="00B2227E">
        <w:rPr>
          <w:rFonts w:ascii="Arial" w:hAnsi="Arial" w:cs="Arial"/>
          <w:sz w:val="20"/>
          <w:szCs w:val="20"/>
        </w:rPr>
        <w:t>, mulberry (</w:t>
      </w:r>
      <w:r w:rsidRPr="00B2227E">
        <w:rPr>
          <w:rStyle w:val="Emphasis"/>
          <w:rFonts w:ascii="Arial" w:eastAsiaTheme="majorEastAsia" w:hAnsi="Arial" w:cs="Arial"/>
          <w:sz w:val="20"/>
          <w:szCs w:val="20"/>
        </w:rPr>
        <w:t>Morus</w:t>
      </w:r>
      <w:r w:rsidRPr="00B2227E">
        <w:rPr>
          <w:rFonts w:ascii="Arial" w:hAnsi="Arial" w:cs="Arial"/>
          <w:sz w:val="20"/>
          <w:szCs w:val="20"/>
        </w:rPr>
        <w:t xml:space="preserve"> spp.) leaves are nearly their only food supply. Even slight changes in the chemistry or availability of the leaves have an impact on the development of the larva, the construction of the cocoon, and the final quality of the silk (Sangha </w:t>
      </w:r>
      <w:r w:rsidRPr="00B2227E">
        <w:rPr>
          <w:rFonts w:ascii="Arial" w:hAnsi="Arial" w:cs="Arial"/>
          <w:i/>
          <w:iCs/>
          <w:sz w:val="20"/>
          <w:szCs w:val="20"/>
        </w:rPr>
        <w:t>et al.,</w:t>
      </w:r>
      <w:r w:rsidRPr="00B2227E">
        <w:rPr>
          <w:rFonts w:ascii="Arial" w:hAnsi="Arial" w:cs="Arial"/>
          <w:sz w:val="20"/>
          <w:szCs w:val="20"/>
        </w:rPr>
        <w:t xml:space="preserve"> 2024). The mulberry-silkworm relationship is both delicate and extremely sensitive due to this close trophic link; changes in leaf protein, sugar balance, or secondary metabolites can affect spinning behaviour, accelerate or slow down larval development, and change fibre qualities that are important to the market (Tassoni </w:t>
      </w:r>
      <w:r w:rsidRPr="00B2227E">
        <w:rPr>
          <w:rFonts w:ascii="Arial" w:hAnsi="Arial" w:cs="Arial"/>
          <w:i/>
          <w:iCs/>
          <w:sz w:val="20"/>
          <w:szCs w:val="20"/>
        </w:rPr>
        <w:t>et al.,</w:t>
      </w:r>
      <w:r w:rsidRPr="00B2227E">
        <w:rPr>
          <w:rFonts w:ascii="Arial" w:hAnsi="Arial" w:cs="Arial"/>
          <w:sz w:val="20"/>
          <w:szCs w:val="20"/>
        </w:rPr>
        <w:t xml:space="preserve"> 2022; </w:t>
      </w:r>
      <w:proofErr w:type="spellStart"/>
      <w:r w:rsidRPr="00B2227E">
        <w:rPr>
          <w:rFonts w:ascii="Arial" w:hAnsi="Arial" w:cs="Arial"/>
          <w:sz w:val="20"/>
          <w:szCs w:val="20"/>
        </w:rPr>
        <w:t>Doliș</w:t>
      </w:r>
      <w:proofErr w:type="spellEnd"/>
      <w:r w:rsidRPr="00B2227E">
        <w:rPr>
          <w:rFonts w:ascii="Arial" w:hAnsi="Arial" w:cs="Arial"/>
          <w:sz w:val="20"/>
          <w:szCs w:val="20"/>
        </w:rPr>
        <w:t xml:space="preserve"> </w:t>
      </w:r>
      <w:r w:rsidRPr="00B2227E">
        <w:rPr>
          <w:rFonts w:ascii="Arial" w:hAnsi="Arial" w:cs="Arial"/>
          <w:i/>
          <w:iCs/>
          <w:sz w:val="20"/>
          <w:szCs w:val="20"/>
        </w:rPr>
        <w:t>et al.,</w:t>
      </w:r>
      <w:r w:rsidRPr="00B2227E">
        <w:rPr>
          <w:rFonts w:ascii="Arial" w:hAnsi="Arial" w:cs="Arial"/>
          <w:sz w:val="20"/>
          <w:szCs w:val="20"/>
        </w:rPr>
        <w:t xml:space="preserve"> 2024).</w:t>
      </w:r>
    </w:p>
    <w:p w14:paraId="17FF83CC" w14:textId="065F0FE0"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Amino acids, vitamins, and antioxidants found in mulberry leaves directly support the silk gland's production of fibroin and sericin. Larvae more effectively transform nutrients into cocoon biomass and silk that is finer, stronger, and glossier when leaf quality is high (</w:t>
      </w:r>
      <w:r w:rsidR="00C61474" w:rsidRPr="00B2227E">
        <w:rPr>
          <w:rFonts w:ascii="Arial" w:hAnsi="Arial" w:cs="Arial"/>
          <w:sz w:val="20"/>
          <w:szCs w:val="20"/>
        </w:rPr>
        <w:t xml:space="preserve">Tassoni </w:t>
      </w:r>
      <w:r w:rsidR="00C61474" w:rsidRPr="00B2227E">
        <w:rPr>
          <w:rFonts w:ascii="Arial" w:hAnsi="Arial" w:cs="Arial"/>
          <w:i/>
          <w:iCs/>
          <w:sz w:val="20"/>
          <w:szCs w:val="20"/>
        </w:rPr>
        <w:t>et al.,</w:t>
      </w:r>
      <w:r w:rsidR="00C61474" w:rsidRPr="00B2227E">
        <w:rPr>
          <w:rFonts w:ascii="Arial" w:hAnsi="Arial" w:cs="Arial"/>
          <w:sz w:val="20"/>
          <w:szCs w:val="20"/>
        </w:rPr>
        <w:t xml:space="preserve"> 2022</w:t>
      </w:r>
      <w:r w:rsidR="00C61474">
        <w:rPr>
          <w:rFonts w:ascii="Arial" w:hAnsi="Arial" w:cs="Arial"/>
          <w:sz w:val="20"/>
          <w:szCs w:val="20"/>
        </w:rPr>
        <w:t xml:space="preserve">; </w:t>
      </w:r>
      <w:proofErr w:type="spellStart"/>
      <w:r w:rsidRPr="00B2227E">
        <w:rPr>
          <w:rFonts w:ascii="Arial" w:hAnsi="Arial" w:cs="Arial"/>
          <w:sz w:val="20"/>
          <w:szCs w:val="20"/>
        </w:rPr>
        <w:t>Doliș</w:t>
      </w:r>
      <w:proofErr w:type="spellEnd"/>
      <w:r w:rsidRPr="00B2227E">
        <w:rPr>
          <w:rFonts w:ascii="Arial" w:hAnsi="Arial" w:cs="Arial"/>
          <w:sz w:val="20"/>
          <w:szCs w:val="20"/>
        </w:rPr>
        <w:t xml:space="preserve"> </w:t>
      </w:r>
      <w:r w:rsidRPr="00B2227E">
        <w:rPr>
          <w:rFonts w:ascii="Arial" w:hAnsi="Arial" w:cs="Arial"/>
          <w:i/>
          <w:iCs/>
          <w:sz w:val="20"/>
          <w:szCs w:val="20"/>
        </w:rPr>
        <w:t>et al.,</w:t>
      </w:r>
      <w:r w:rsidRPr="00B2227E">
        <w:rPr>
          <w:rFonts w:ascii="Arial" w:hAnsi="Arial" w:cs="Arial"/>
          <w:sz w:val="20"/>
          <w:szCs w:val="20"/>
        </w:rPr>
        <w:t xml:space="preserve"> 2024). However, factors such as leaf variety, post-harvest handling, and storage practices can reduce protein availability and antioxidant capacity. Even if these changes do not cause obvious growth problems, they can increase oxidative </w:t>
      </w:r>
      <w:r w:rsidRPr="00B2227E">
        <w:rPr>
          <w:rFonts w:ascii="Arial" w:hAnsi="Arial" w:cs="Arial"/>
          <w:sz w:val="20"/>
          <w:szCs w:val="20"/>
        </w:rPr>
        <w:lastRenderedPageBreak/>
        <w:t xml:space="preserve">stress and lower silk protein synthesis, leading to measurable declines in fibre quality (Peng </w:t>
      </w:r>
      <w:r w:rsidRPr="00B2227E">
        <w:rPr>
          <w:rFonts w:ascii="Arial" w:hAnsi="Arial" w:cs="Arial"/>
          <w:i/>
          <w:iCs/>
          <w:sz w:val="20"/>
          <w:szCs w:val="20"/>
        </w:rPr>
        <w:t>et al.,</w:t>
      </w:r>
      <w:r w:rsidRPr="00B2227E">
        <w:rPr>
          <w:rFonts w:ascii="Arial" w:hAnsi="Arial" w:cs="Arial"/>
          <w:sz w:val="20"/>
          <w:szCs w:val="20"/>
        </w:rPr>
        <w:t xml:space="preserve"> 2023).</w:t>
      </w:r>
    </w:p>
    <w:p w14:paraId="406FDB29"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In addition to nutrition, stressors are a constant in real farms. Variations in temperature, drought, or humidity affect the metabolism of mulberries and the physiology of silkworms; additional stressors include diseases, pesticide residues, and exposure to sublethal chemicals. Silkworms respond with behavioural, physiological, and molecular adjustments such as alternated feeding, detoxifying enzymes, heat-shock chaperones, and immunological signalling, and these responses frequently interfere with silk production (Homma </w:t>
      </w:r>
      <w:r w:rsidRPr="00B2227E">
        <w:rPr>
          <w:rFonts w:ascii="Arial" w:hAnsi="Arial" w:cs="Arial"/>
          <w:i/>
          <w:iCs/>
          <w:sz w:val="20"/>
          <w:szCs w:val="20"/>
        </w:rPr>
        <w:t>et al.,</w:t>
      </w:r>
      <w:r w:rsidRPr="00B2227E">
        <w:rPr>
          <w:rFonts w:ascii="Arial" w:hAnsi="Arial" w:cs="Arial"/>
          <w:sz w:val="20"/>
          <w:szCs w:val="20"/>
        </w:rPr>
        <w:t xml:space="preserve"> 2022; Chen </w:t>
      </w:r>
      <w:r w:rsidRPr="00B2227E">
        <w:rPr>
          <w:rFonts w:ascii="Arial" w:hAnsi="Arial" w:cs="Arial"/>
          <w:i/>
          <w:iCs/>
          <w:sz w:val="20"/>
          <w:szCs w:val="20"/>
        </w:rPr>
        <w:t>et al.,</w:t>
      </w:r>
      <w:r w:rsidRPr="00B2227E">
        <w:rPr>
          <w:rFonts w:ascii="Arial" w:hAnsi="Arial" w:cs="Arial"/>
          <w:sz w:val="20"/>
          <w:szCs w:val="20"/>
        </w:rPr>
        <w:t xml:space="preserve"> 2023a). For instance, even minor pesticide residues on leaves can disrupt digestive function and microbes in the gut, decreasing nutritional absorption and hindering the development of cocoons (Chen </w:t>
      </w:r>
      <w:r w:rsidRPr="00B2227E">
        <w:rPr>
          <w:rFonts w:ascii="Arial" w:hAnsi="Arial" w:cs="Arial"/>
          <w:i/>
          <w:iCs/>
          <w:sz w:val="20"/>
          <w:szCs w:val="20"/>
        </w:rPr>
        <w:t>et al.,</w:t>
      </w:r>
      <w:r w:rsidRPr="00B2227E">
        <w:rPr>
          <w:rFonts w:ascii="Arial" w:hAnsi="Arial" w:cs="Arial"/>
          <w:sz w:val="20"/>
          <w:szCs w:val="20"/>
        </w:rPr>
        <w:t xml:space="preserve"> 2023a).</w:t>
      </w:r>
    </w:p>
    <w:p w14:paraId="1E379AA0"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Although a mulberry variety with balanced phytochemicals and a high protein content can withstand minor environmental stress, no leaf can completely adapt for extreme heat or significant pesticide drift (Sangha </w:t>
      </w:r>
      <w:r w:rsidRPr="00B2227E">
        <w:rPr>
          <w:rFonts w:ascii="Arial" w:hAnsi="Arial" w:cs="Arial"/>
          <w:i/>
          <w:iCs/>
          <w:sz w:val="20"/>
          <w:szCs w:val="20"/>
        </w:rPr>
        <w:t>et al.,</w:t>
      </w:r>
      <w:r w:rsidRPr="00B2227E">
        <w:rPr>
          <w:rFonts w:ascii="Arial" w:hAnsi="Arial" w:cs="Arial"/>
          <w:sz w:val="20"/>
          <w:szCs w:val="20"/>
        </w:rPr>
        <w:t xml:space="preserve"> 2024; Peng </w:t>
      </w:r>
      <w:r w:rsidRPr="00B2227E">
        <w:rPr>
          <w:rFonts w:ascii="Arial" w:hAnsi="Arial" w:cs="Arial"/>
          <w:i/>
          <w:iCs/>
          <w:sz w:val="20"/>
          <w:szCs w:val="20"/>
        </w:rPr>
        <w:t>et al.,</w:t>
      </w:r>
      <w:r w:rsidRPr="00B2227E">
        <w:rPr>
          <w:rFonts w:ascii="Arial" w:hAnsi="Arial" w:cs="Arial"/>
          <w:sz w:val="20"/>
          <w:szCs w:val="20"/>
        </w:rPr>
        <w:t xml:space="preserve"> 2023). Similarly, management decisions on pesticide safety windows, leaf post-harvest handling, harvest timing, and variety selection significantly affect the nutritional environment the silkworms live in and, consequently, the consistency and quality of the silk produced.</w:t>
      </w:r>
    </w:p>
    <w:p w14:paraId="28473961" w14:textId="4936AC2C"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Gaining a better knowledge of the relationship between mulberry nutrition and silkworm stress responses is essential to enhancing silk output in spite of current difficulties. Tracing how nutrition and stress affect </w:t>
      </w:r>
      <w:r w:rsidRPr="00B2227E">
        <w:rPr>
          <w:rStyle w:val="Emphasis"/>
          <w:rFonts w:ascii="Arial" w:eastAsiaTheme="majorEastAsia" w:hAnsi="Arial" w:cs="Arial"/>
          <w:sz w:val="20"/>
          <w:szCs w:val="20"/>
        </w:rPr>
        <w:t>Bombyx mori</w:t>
      </w:r>
      <w:r w:rsidRPr="00B2227E">
        <w:rPr>
          <w:rFonts w:ascii="Arial" w:hAnsi="Arial" w:cs="Arial"/>
          <w:sz w:val="20"/>
          <w:szCs w:val="20"/>
        </w:rPr>
        <w:t xml:space="preserve"> physiology allows us to identify areas where interventions, like improving rearing circumstances or creating hardy mulberry cultivars, can have the greatest impact on producing consistent, premium silk.</w:t>
      </w:r>
    </w:p>
    <w:p w14:paraId="13CEBD2F" w14:textId="73AFDF7E" w:rsidR="00B2227E" w:rsidRPr="00B2227E" w:rsidRDefault="00B2227E" w:rsidP="00B2227E">
      <w:pPr>
        <w:pStyle w:val="ListParagraph"/>
        <w:numPr>
          <w:ilvl w:val="0"/>
          <w:numId w:val="31"/>
        </w:numPr>
        <w:jc w:val="both"/>
        <w:rPr>
          <w:rFonts w:ascii="Arial" w:hAnsi="Arial" w:cs="Arial"/>
          <w:b/>
          <w:bCs/>
          <w:sz w:val="22"/>
          <w:szCs w:val="22"/>
          <w:lang w:eastAsia="en-IN"/>
        </w:rPr>
      </w:pPr>
      <w:r w:rsidRPr="00B2227E">
        <w:rPr>
          <w:rFonts w:ascii="Arial" w:hAnsi="Arial" w:cs="Arial"/>
          <w:b/>
          <w:bCs/>
          <w:sz w:val="22"/>
          <w:szCs w:val="22"/>
          <w:lang w:eastAsia="en-IN"/>
        </w:rPr>
        <w:t>NUTRITIONAL ECOLOGY OF MULBERRY LEAVES</w:t>
      </w:r>
    </w:p>
    <w:p w14:paraId="7D3C5D0E"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Mulberry leaves are not just “leaf and water” for the silkworm. They are an intricate combination of nutrients that determines the rate of development of the larva and the final silk produced by the animal. The major drivers are protein and free amino acids, simple sugars, and a suite of secondary metabolites. Protein and amino acids act as the building blocks for silk proteins (fibroin and sericin), while sugars supply quick energy for feeding and silk gland activity. Phenolics, flavonoids, and alkaloids are examples of secondary compounds that can aid in self-defence, but they also affect digestion, palatability, and the oxidative balance of silkworms (Jan </w:t>
      </w:r>
      <w:r w:rsidRPr="00B2227E">
        <w:rPr>
          <w:rFonts w:ascii="Arial" w:hAnsi="Arial" w:cs="Arial"/>
          <w:i/>
          <w:iCs/>
          <w:sz w:val="20"/>
          <w:szCs w:val="20"/>
        </w:rPr>
        <w:t>et al.,</w:t>
      </w:r>
      <w:r w:rsidRPr="00B2227E">
        <w:rPr>
          <w:rFonts w:ascii="Arial" w:hAnsi="Arial" w:cs="Arial"/>
          <w:sz w:val="20"/>
          <w:szCs w:val="20"/>
        </w:rPr>
        <w:t xml:space="preserve"> 2021; Yan </w:t>
      </w:r>
      <w:r w:rsidRPr="00B2227E">
        <w:rPr>
          <w:rFonts w:ascii="Arial" w:hAnsi="Arial" w:cs="Arial"/>
          <w:i/>
          <w:iCs/>
          <w:sz w:val="20"/>
          <w:szCs w:val="20"/>
        </w:rPr>
        <w:t>et al.,</w:t>
      </w:r>
      <w:r w:rsidRPr="00B2227E">
        <w:rPr>
          <w:rFonts w:ascii="Arial" w:hAnsi="Arial" w:cs="Arial"/>
          <w:sz w:val="20"/>
          <w:szCs w:val="20"/>
        </w:rPr>
        <w:t xml:space="preserve"> 2024).</w:t>
      </w:r>
      <w:r w:rsidRPr="00B2227E">
        <w:rPr>
          <w:rFonts w:ascii="Arial" w:eastAsiaTheme="minorHAnsi" w:hAnsi="Arial" w:cs="Arial"/>
          <w:kern w:val="2"/>
          <w:sz w:val="20"/>
          <w:szCs w:val="20"/>
          <w:lang w:eastAsia="en-US"/>
        </w:rPr>
        <w:t xml:space="preserve"> </w:t>
      </w:r>
      <w:r w:rsidRPr="00B2227E">
        <w:rPr>
          <w:rFonts w:ascii="Arial" w:hAnsi="Arial" w:cs="Arial"/>
          <w:sz w:val="20"/>
          <w:szCs w:val="20"/>
        </w:rPr>
        <w:t xml:space="preserve">The major nutrients and secondary metabolites in mulberry leaves, along with their direct or indirect influence on silkworm development and silk quality, are summarized in </w:t>
      </w:r>
      <w:r w:rsidRPr="00B2227E">
        <w:rPr>
          <w:rFonts w:ascii="Arial" w:hAnsi="Arial" w:cs="Arial"/>
          <w:b/>
          <w:bCs/>
          <w:sz w:val="20"/>
          <w:szCs w:val="20"/>
        </w:rPr>
        <w:t>Table 1.</w:t>
      </w:r>
    </w:p>
    <w:p w14:paraId="0FCAF001" w14:textId="77777777" w:rsidR="00B2227E" w:rsidRPr="00B2227E" w:rsidRDefault="00B2227E" w:rsidP="00B2227E">
      <w:pPr>
        <w:pStyle w:val="NormalWeb"/>
        <w:jc w:val="center"/>
        <w:rPr>
          <w:rFonts w:ascii="Arial" w:hAnsi="Arial" w:cs="Arial"/>
          <w:b/>
          <w:bCs/>
          <w:sz w:val="20"/>
          <w:szCs w:val="20"/>
        </w:rPr>
      </w:pPr>
      <w:r w:rsidRPr="00B2227E">
        <w:rPr>
          <w:rFonts w:ascii="Arial" w:hAnsi="Arial" w:cs="Arial"/>
          <w:b/>
          <w:bCs/>
          <w:sz w:val="20"/>
          <w:szCs w:val="20"/>
        </w:rPr>
        <w:t>Table 1. Nutritional composition of mulberry leaves and their role in silkworm biology and silk traits</w:t>
      </w:r>
    </w:p>
    <w:tbl>
      <w:tblPr>
        <w:tblStyle w:val="TableGrid"/>
        <w:tblW w:w="0" w:type="auto"/>
        <w:jc w:val="center"/>
        <w:tblLook w:val="04A0" w:firstRow="1" w:lastRow="0" w:firstColumn="1" w:lastColumn="0" w:noHBand="0" w:noVBand="1"/>
      </w:tblPr>
      <w:tblGrid>
        <w:gridCol w:w="1430"/>
        <w:gridCol w:w="2581"/>
        <w:gridCol w:w="2823"/>
        <w:gridCol w:w="1590"/>
      </w:tblGrid>
      <w:tr w:rsidR="00B2227E" w:rsidRPr="00B2227E" w14:paraId="3D9221E9" w14:textId="77777777" w:rsidTr="00B2227E">
        <w:trPr>
          <w:trHeight w:val="744"/>
          <w:jc w:val="center"/>
        </w:trPr>
        <w:tc>
          <w:tcPr>
            <w:tcW w:w="1456" w:type="dxa"/>
            <w:vAlign w:val="center"/>
          </w:tcPr>
          <w:p w14:paraId="77660B09" w14:textId="77777777" w:rsidR="00B2227E" w:rsidRPr="00B2227E" w:rsidRDefault="00B2227E" w:rsidP="008810EB">
            <w:pPr>
              <w:pStyle w:val="NormalWeb"/>
              <w:rPr>
                <w:rFonts w:ascii="Arial" w:hAnsi="Arial" w:cs="Arial"/>
                <w:b/>
                <w:bCs/>
                <w:sz w:val="20"/>
                <w:szCs w:val="20"/>
              </w:rPr>
            </w:pPr>
            <w:r w:rsidRPr="00B2227E">
              <w:rPr>
                <w:rFonts w:ascii="Arial" w:hAnsi="Arial" w:cs="Arial"/>
                <w:b/>
                <w:bCs/>
                <w:sz w:val="20"/>
                <w:szCs w:val="20"/>
              </w:rPr>
              <w:t>Nutrient / Compound</w:t>
            </w:r>
          </w:p>
        </w:tc>
        <w:tc>
          <w:tcPr>
            <w:tcW w:w="2799" w:type="dxa"/>
            <w:vAlign w:val="center"/>
          </w:tcPr>
          <w:p w14:paraId="20C24CB6" w14:textId="77777777" w:rsidR="00B2227E" w:rsidRPr="00B2227E" w:rsidRDefault="00B2227E" w:rsidP="008810EB">
            <w:pPr>
              <w:pStyle w:val="NormalWeb"/>
              <w:rPr>
                <w:rFonts w:ascii="Arial" w:hAnsi="Arial" w:cs="Arial"/>
                <w:b/>
                <w:bCs/>
                <w:sz w:val="20"/>
                <w:szCs w:val="20"/>
              </w:rPr>
            </w:pPr>
            <w:r w:rsidRPr="00B2227E">
              <w:rPr>
                <w:rFonts w:ascii="Arial" w:hAnsi="Arial" w:cs="Arial"/>
                <w:b/>
                <w:bCs/>
                <w:sz w:val="20"/>
                <w:szCs w:val="20"/>
              </w:rPr>
              <w:t>Role in Silkworm Biology</w:t>
            </w:r>
          </w:p>
        </w:tc>
        <w:tc>
          <w:tcPr>
            <w:tcW w:w="3111" w:type="dxa"/>
            <w:vAlign w:val="center"/>
          </w:tcPr>
          <w:p w14:paraId="5905A015" w14:textId="77777777" w:rsidR="00B2227E" w:rsidRPr="00B2227E" w:rsidRDefault="00B2227E" w:rsidP="008810EB">
            <w:pPr>
              <w:pStyle w:val="NormalWeb"/>
              <w:rPr>
                <w:rFonts w:ascii="Arial" w:hAnsi="Arial" w:cs="Arial"/>
                <w:b/>
                <w:bCs/>
                <w:sz w:val="20"/>
                <w:szCs w:val="20"/>
              </w:rPr>
            </w:pPr>
            <w:r w:rsidRPr="00B2227E">
              <w:rPr>
                <w:rFonts w:ascii="Arial" w:hAnsi="Arial" w:cs="Arial"/>
                <w:b/>
                <w:bCs/>
                <w:sz w:val="20"/>
                <w:szCs w:val="20"/>
              </w:rPr>
              <w:t>Impact on Silk Traits</w:t>
            </w:r>
          </w:p>
        </w:tc>
        <w:tc>
          <w:tcPr>
            <w:tcW w:w="1650" w:type="dxa"/>
            <w:vAlign w:val="center"/>
          </w:tcPr>
          <w:p w14:paraId="47DB27C9" w14:textId="77777777" w:rsidR="00B2227E" w:rsidRPr="00B2227E" w:rsidRDefault="00B2227E" w:rsidP="008810EB">
            <w:pPr>
              <w:pStyle w:val="NormalWeb"/>
              <w:rPr>
                <w:rFonts w:ascii="Arial" w:hAnsi="Arial" w:cs="Arial"/>
                <w:b/>
                <w:bCs/>
                <w:sz w:val="20"/>
                <w:szCs w:val="20"/>
              </w:rPr>
            </w:pPr>
            <w:r w:rsidRPr="00B2227E">
              <w:rPr>
                <w:rFonts w:ascii="Arial" w:hAnsi="Arial" w:cs="Arial"/>
                <w:b/>
                <w:bCs/>
                <w:sz w:val="20"/>
                <w:szCs w:val="20"/>
              </w:rPr>
              <w:t>References</w:t>
            </w:r>
          </w:p>
        </w:tc>
      </w:tr>
      <w:tr w:rsidR="00B2227E" w:rsidRPr="00B2227E" w14:paraId="1127ABDB" w14:textId="77777777" w:rsidTr="00B2227E">
        <w:trPr>
          <w:trHeight w:val="1263"/>
          <w:jc w:val="center"/>
        </w:trPr>
        <w:tc>
          <w:tcPr>
            <w:tcW w:w="1456" w:type="dxa"/>
            <w:vAlign w:val="center"/>
          </w:tcPr>
          <w:p w14:paraId="2A2BC3F5"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Proteins &amp; Amino acids</w:t>
            </w:r>
          </w:p>
        </w:tc>
        <w:tc>
          <w:tcPr>
            <w:tcW w:w="2799" w:type="dxa"/>
            <w:vAlign w:val="center"/>
          </w:tcPr>
          <w:p w14:paraId="6C095F73"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Building blocks for fibroin and sericin; support larval growth and cocoon development</w:t>
            </w:r>
          </w:p>
        </w:tc>
        <w:tc>
          <w:tcPr>
            <w:tcW w:w="3111" w:type="dxa"/>
            <w:vAlign w:val="center"/>
          </w:tcPr>
          <w:p w14:paraId="3E9FA9A0"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Increased cocoon weight, finer denier, stronger and more elastic </w:t>
            </w:r>
            <w:proofErr w:type="spellStart"/>
            <w:r w:rsidRPr="00B2227E">
              <w:rPr>
                <w:rFonts w:ascii="Arial" w:hAnsi="Arial" w:cs="Arial"/>
                <w:sz w:val="20"/>
                <w:szCs w:val="20"/>
              </w:rPr>
              <w:t>fibers</w:t>
            </w:r>
            <w:proofErr w:type="spellEnd"/>
          </w:p>
        </w:tc>
        <w:tc>
          <w:tcPr>
            <w:tcW w:w="1650" w:type="dxa"/>
            <w:vAlign w:val="center"/>
          </w:tcPr>
          <w:p w14:paraId="0E3B39DE" w14:textId="2E42976C" w:rsidR="00B2227E" w:rsidRPr="00B2227E" w:rsidRDefault="00C61474" w:rsidP="008810EB">
            <w:pPr>
              <w:pStyle w:val="NormalWeb"/>
              <w:rPr>
                <w:rFonts w:ascii="Arial" w:hAnsi="Arial" w:cs="Arial"/>
                <w:sz w:val="20"/>
                <w:szCs w:val="20"/>
              </w:rPr>
            </w:pPr>
            <w:proofErr w:type="spellStart"/>
            <w:r w:rsidRPr="00B2227E">
              <w:rPr>
                <w:rFonts w:ascii="Arial" w:hAnsi="Arial" w:cs="Arial"/>
                <w:sz w:val="20"/>
                <w:szCs w:val="20"/>
              </w:rPr>
              <w:t>Doliș</w:t>
            </w:r>
            <w:proofErr w:type="spellEnd"/>
            <w:r w:rsidRPr="00B2227E">
              <w:rPr>
                <w:rFonts w:ascii="Arial" w:hAnsi="Arial" w:cs="Arial"/>
                <w:sz w:val="20"/>
                <w:szCs w:val="20"/>
              </w:rPr>
              <w:t xml:space="preserve"> </w:t>
            </w:r>
            <w:r w:rsidRPr="00B2227E">
              <w:rPr>
                <w:rFonts w:ascii="Arial" w:hAnsi="Arial" w:cs="Arial"/>
                <w:i/>
                <w:iCs/>
                <w:sz w:val="20"/>
                <w:szCs w:val="20"/>
              </w:rPr>
              <w:t>et al.,</w:t>
            </w:r>
            <w:r w:rsidRPr="00B2227E">
              <w:rPr>
                <w:rFonts w:ascii="Arial" w:hAnsi="Arial" w:cs="Arial"/>
                <w:sz w:val="20"/>
                <w:szCs w:val="20"/>
              </w:rPr>
              <w:t xml:space="preserve"> 2024</w:t>
            </w:r>
            <w:r>
              <w:rPr>
                <w:rFonts w:ascii="Arial" w:hAnsi="Arial" w:cs="Arial"/>
                <w:sz w:val="20"/>
                <w:szCs w:val="20"/>
              </w:rPr>
              <w:t xml:space="preserve">; </w:t>
            </w:r>
            <w:r w:rsidR="00B2227E" w:rsidRPr="00B2227E">
              <w:rPr>
                <w:rFonts w:ascii="Arial" w:hAnsi="Arial" w:cs="Arial"/>
                <w:sz w:val="20"/>
                <w:szCs w:val="20"/>
              </w:rPr>
              <w:t xml:space="preserve">Jan </w:t>
            </w:r>
            <w:r w:rsidR="00B2227E" w:rsidRPr="00B2227E">
              <w:rPr>
                <w:rFonts w:ascii="Arial" w:hAnsi="Arial" w:cs="Arial"/>
                <w:i/>
                <w:iCs/>
                <w:sz w:val="20"/>
                <w:szCs w:val="20"/>
              </w:rPr>
              <w:t>et al.,</w:t>
            </w:r>
            <w:r w:rsidR="00B2227E" w:rsidRPr="00B2227E">
              <w:rPr>
                <w:rFonts w:ascii="Arial" w:hAnsi="Arial" w:cs="Arial"/>
                <w:sz w:val="20"/>
                <w:szCs w:val="20"/>
              </w:rPr>
              <w:t xml:space="preserve"> 2021</w:t>
            </w:r>
          </w:p>
        </w:tc>
      </w:tr>
      <w:tr w:rsidR="00B2227E" w:rsidRPr="00B2227E" w14:paraId="5F304A38" w14:textId="77777777" w:rsidTr="00B2227E">
        <w:trPr>
          <w:trHeight w:val="1267"/>
          <w:jc w:val="center"/>
        </w:trPr>
        <w:tc>
          <w:tcPr>
            <w:tcW w:w="1456" w:type="dxa"/>
            <w:vAlign w:val="center"/>
          </w:tcPr>
          <w:p w14:paraId="39F8987F"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lastRenderedPageBreak/>
              <w:t>Sugars (glucose, sucrose, fructose)</w:t>
            </w:r>
          </w:p>
        </w:tc>
        <w:tc>
          <w:tcPr>
            <w:tcW w:w="2799" w:type="dxa"/>
            <w:vAlign w:val="center"/>
          </w:tcPr>
          <w:p w14:paraId="10FF12DC"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Energy source for feeding and silk gland activity; regulates growth and spinning rate</w:t>
            </w:r>
          </w:p>
        </w:tc>
        <w:tc>
          <w:tcPr>
            <w:tcW w:w="3111" w:type="dxa"/>
            <w:vAlign w:val="center"/>
          </w:tcPr>
          <w:p w14:paraId="248349C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Faster larval development, improved silk gland metabolism</w:t>
            </w:r>
          </w:p>
        </w:tc>
        <w:tc>
          <w:tcPr>
            <w:tcW w:w="1650" w:type="dxa"/>
            <w:vAlign w:val="center"/>
          </w:tcPr>
          <w:p w14:paraId="5BB2388C" w14:textId="2A3B8430" w:rsidR="00B2227E" w:rsidRPr="00B2227E" w:rsidRDefault="00C61474" w:rsidP="008810EB">
            <w:pPr>
              <w:pStyle w:val="NormalWeb"/>
              <w:rPr>
                <w:rFonts w:ascii="Arial" w:hAnsi="Arial" w:cs="Arial"/>
                <w:sz w:val="20"/>
                <w:szCs w:val="20"/>
              </w:rPr>
            </w:pPr>
            <w:r w:rsidRPr="00B2227E">
              <w:rPr>
                <w:rFonts w:ascii="Arial" w:hAnsi="Arial" w:cs="Arial"/>
                <w:sz w:val="20"/>
                <w:szCs w:val="20"/>
              </w:rPr>
              <w:t xml:space="preserve">Peng </w:t>
            </w:r>
            <w:r w:rsidRPr="00B2227E">
              <w:rPr>
                <w:rFonts w:ascii="Arial" w:hAnsi="Arial" w:cs="Arial"/>
                <w:i/>
                <w:iCs/>
                <w:sz w:val="20"/>
                <w:szCs w:val="20"/>
              </w:rPr>
              <w:t>et al.,</w:t>
            </w:r>
            <w:r w:rsidRPr="00B2227E">
              <w:rPr>
                <w:rFonts w:ascii="Arial" w:hAnsi="Arial" w:cs="Arial"/>
                <w:sz w:val="20"/>
                <w:szCs w:val="20"/>
              </w:rPr>
              <w:t xml:space="preserve"> 2023</w:t>
            </w:r>
            <w:r>
              <w:rPr>
                <w:rFonts w:ascii="Arial" w:hAnsi="Arial" w:cs="Arial"/>
                <w:sz w:val="20"/>
                <w:szCs w:val="20"/>
              </w:rPr>
              <w:t xml:space="preserve">; </w:t>
            </w:r>
            <w:r w:rsidR="00B2227E" w:rsidRPr="00B2227E">
              <w:rPr>
                <w:rFonts w:ascii="Arial" w:hAnsi="Arial" w:cs="Arial"/>
                <w:sz w:val="20"/>
                <w:szCs w:val="20"/>
              </w:rPr>
              <w:t xml:space="preserve">Liu </w:t>
            </w:r>
            <w:r w:rsidR="00B2227E" w:rsidRPr="00B2227E">
              <w:rPr>
                <w:rFonts w:ascii="Arial" w:hAnsi="Arial" w:cs="Arial"/>
                <w:i/>
                <w:iCs/>
                <w:sz w:val="20"/>
                <w:szCs w:val="20"/>
              </w:rPr>
              <w:t>et al.,</w:t>
            </w:r>
            <w:r w:rsidR="00B2227E" w:rsidRPr="00B2227E">
              <w:rPr>
                <w:rFonts w:ascii="Arial" w:hAnsi="Arial" w:cs="Arial"/>
                <w:sz w:val="20"/>
                <w:szCs w:val="20"/>
              </w:rPr>
              <w:t xml:space="preserve"> 2024</w:t>
            </w:r>
            <w:r w:rsidR="00E63D32">
              <w:rPr>
                <w:rFonts w:ascii="Arial" w:hAnsi="Arial" w:cs="Arial"/>
                <w:sz w:val="20"/>
                <w:szCs w:val="20"/>
              </w:rPr>
              <w:t>a</w:t>
            </w:r>
          </w:p>
        </w:tc>
      </w:tr>
      <w:tr w:rsidR="00B2227E" w:rsidRPr="00B2227E" w14:paraId="1FD5C3DC" w14:textId="77777777" w:rsidTr="00B2227E">
        <w:trPr>
          <w:trHeight w:val="1271"/>
          <w:jc w:val="center"/>
        </w:trPr>
        <w:tc>
          <w:tcPr>
            <w:tcW w:w="1456" w:type="dxa"/>
            <w:vAlign w:val="center"/>
          </w:tcPr>
          <w:p w14:paraId="5A9C2DBE"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Phenolics &amp; Flavonoids</w:t>
            </w:r>
          </w:p>
        </w:tc>
        <w:tc>
          <w:tcPr>
            <w:tcW w:w="2799" w:type="dxa"/>
            <w:vAlign w:val="center"/>
          </w:tcPr>
          <w:p w14:paraId="3493C557"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Antioxidant protection; modulate oxidative stress and detoxification</w:t>
            </w:r>
          </w:p>
        </w:tc>
        <w:tc>
          <w:tcPr>
            <w:tcW w:w="3111" w:type="dxa"/>
            <w:vAlign w:val="center"/>
          </w:tcPr>
          <w:p w14:paraId="240662FD"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Supports silk protein synthesis; excessive levels may reduce feeding and silk yield</w:t>
            </w:r>
          </w:p>
        </w:tc>
        <w:tc>
          <w:tcPr>
            <w:tcW w:w="1650" w:type="dxa"/>
            <w:vAlign w:val="center"/>
          </w:tcPr>
          <w:p w14:paraId="24104939" w14:textId="38661C5A" w:rsidR="00B2227E" w:rsidRPr="00B2227E" w:rsidRDefault="00C61474" w:rsidP="008810EB">
            <w:pPr>
              <w:pStyle w:val="NormalWeb"/>
              <w:rPr>
                <w:rFonts w:ascii="Arial" w:hAnsi="Arial" w:cs="Arial"/>
                <w:sz w:val="20"/>
                <w:szCs w:val="20"/>
              </w:rPr>
            </w:pPr>
            <w:r w:rsidRPr="00B2227E">
              <w:rPr>
                <w:rFonts w:ascii="Arial" w:hAnsi="Arial" w:cs="Arial"/>
                <w:sz w:val="20"/>
                <w:szCs w:val="20"/>
              </w:rPr>
              <w:t xml:space="preserve">Jan </w:t>
            </w:r>
            <w:r w:rsidRPr="00B2227E">
              <w:rPr>
                <w:rFonts w:ascii="Arial" w:hAnsi="Arial" w:cs="Arial"/>
                <w:i/>
                <w:iCs/>
                <w:sz w:val="20"/>
                <w:szCs w:val="20"/>
              </w:rPr>
              <w:t>et al.</w:t>
            </w:r>
            <w:r w:rsidRPr="00B2227E">
              <w:rPr>
                <w:rFonts w:ascii="Arial" w:hAnsi="Arial" w:cs="Arial"/>
                <w:sz w:val="20"/>
                <w:szCs w:val="20"/>
              </w:rPr>
              <w:t>, 2021</w:t>
            </w:r>
            <w:r>
              <w:rPr>
                <w:rFonts w:ascii="Arial" w:hAnsi="Arial" w:cs="Arial"/>
                <w:sz w:val="20"/>
                <w:szCs w:val="20"/>
              </w:rPr>
              <w:t xml:space="preserve">; </w:t>
            </w:r>
            <w:r w:rsidR="00B2227E" w:rsidRPr="00B2227E">
              <w:rPr>
                <w:rFonts w:ascii="Arial" w:hAnsi="Arial" w:cs="Arial"/>
                <w:sz w:val="20"/>
                <w:szCs w:val="20"/>
              </w:rPr>
              <w:t xml:space="preserve">Fatima </w:t>
            </w:r>
            <w:r w:rsidR="00B2227E" w:rsidRPr="00B2227E">
              <w:rPr>
                <w:rFonts w:ascii="Arial" w:hAnsi="Arial" w:cs="Arial"/>
                <w:i/>
                <w:iCs/>
                <w:sz w:val="20"/>
                <w:szCs w:val="20"/>
              </w:rPr>
              <w:t>et al.,</w:t>
            </w:r>
            <w:r w:rsidR="00B2227E" w:rsidRPr="00B2227E">
              <w:rPr>
                <w:rFonts w:ascii="Arial" w:hAnsi="Arial" w:cs="Arial"/>
                <w:sz w:val="20"/>
                <w:szCs w:val="20"/>
              </w:rPr>
              <w:t xml:space="preserve"> 2024</w:t>
            </w:r>
          </w:p>
        </w:tc>
      </w:tr>
      <w:tr w:rsidR="00B2227E" w:rsidRPr="00B2227E" w14:paraId="762285AC" w14:textId="77777777" w:rsidTr="00B2227E">
        <w:trPr>
          <w:trHeight w:val="983"/>
          <w:jc w:val="center"/>
        </w:trPr>
        <w:tc>
          <w:tcPr>
            <w:tcW w:w="1456" w:type="dxa"/>
            <w:vAlign w:val="center"/>
          </w:tcPr>
          <w:p w14:paraId="66C79295"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Vitamins (A, C, E, B complex)</w:t>
            </w:r>
          </w:p>
        </w:tc>
        <w:tc>
          <w:tcPr>
            <w:tcW w:w="2799" w:type="dxa"/>
            <w:vAlign w:val="center"/>
          </w:tcPr>
          <w:p w14:paraId="114F38CC"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Cofactors in enzymatic reactions; antioxidant and developmental roles</w:t>
            </w:r>
          </w:p>
        </w:tc>
        <w:tc>
          <w:tcPr>
            <w:tcW w:w="3111" w:type="dxa"/>
            <w:vAlign w:val="center"/>
          </w:tcPr>
          <w:p w14:paraId="2742955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Indirectly improve silk gland health, </w:t>
            </w:r>
            <w:proofErr w:type="spellStart"/>
            <w:r w:rsidRPr="00B2227E">
              <w:rPr>
                <w:rFonts w:ascii="Arial" w:hAnsi="Arial" w:cs="Arial"/>
                <w:sz w:val="20"/>
                <w:szCs w:val="20"/>
              </w:rPr>
              <w:t>fiber</w:t>
            </w:r>
            <w:proofErr w:type="spellEnd"/>
            <w:r w:rsidRPr="00B2227E">
              <w:rPr>
                <w:rFonts w:ascii="Arial" w:hAnsi="Arial" w:cs="Arial"/>
                <w:sz w:val="20"/>
                <w:szCs w:val="20"/>
              </w:rPr>
              <w:t xml:space="preserve"> quality, and </w:t>
            </w:r>
            <w:proofErr w:type="spellStart"/>
            <w:r w:rsidRPr="00B2227E">
              <w:rPr>
                <w:rFonts w:ascii="Arial" w:hAnsi="Arial" w:cs="Arial"/>
                <w:sz w:val="20"/>
                <w:szCs w:val="20"/>
              </w:rPr>
              <w:t>luster</w:t>
            </w:r>
            <w:proofErr w:type="spellEnd"/>
          </w:p>
        </w:tc>
        <w:tc>
          <w:tcPr>
            <w:tcW w:w="1650" w:type="dxa"/>
            <w:vAlign w:val="center"/>
          </w:tcPr>
          <w:p w14:paraId="40682364"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Tassoni </w:t>
            </w:r>
            <w:r w:rsidRPr="00B2227E">
              <w:rPr>
                <w:rFonts w:ascii="Arial" w:hAnsi="Arial" w:cs="Arial"/>
                <w:i/>
                <w:iCs/>
                <w:sz w:val="20"/>
                <w:szCs w:val="20"/>
              </w:rPr>
              <w:t>et al.,</w:t>
            </w:r>
            <w:r w:rsidRPr="00B2227E">
              <w:rPr>
                <w:rFonts w:ascii="Arial" w:hAnsi="Arial" w:cs="Arial"/>
                <w:sz w:val="20"/>
                <w:szCs w:val="20"/>
              </w:rPr>
              <w:t xml:space="preserve"> 2022; Hou </w:t>
            </w:r>
            <w:r w:rsidRPr="00B2227E">
              <w:rPr>
                <w:rFonts w:ascii="Arial" w:hAnsi="Arial" w:cs="Arial"/>
                <w:i/>
                <w:iCs/>
                <w:sz w:val="20"/>
                <w:szCs w:val="20"/>
              </w:rPr>
              <w:t xml:space="preserve">et al., </w:t>
            </w:r>
            <w:r w:rsidRPr="00B2227E">
              <w:rPr>
                <w:rFonts w:ascii="Arial" w:hAnsi="Arial" w:cs="Arial"/>
                <w:sz w:val="20"/>
                <w:szCs w:val="20"/>
              </w:rPr>
              <w:t>2021</w:t>
            </w:r>
          </w:p>
        </w:tc>
      </w:tr>
      <w:tr w:rsidR="00B2227E" w:rsidRPr="00B2227E" w14:paraId="37E4B793" w14:textId="77777777" w:rsidTr="00B2227E">
        <w:trPr>
          <w:trHeight w:val="985"/>
          <w:jc w:val="center"/>
        </w:trPr>
        <w:tc>
          <w:tcPr>
            <w:tcW w:w="1456" w:type="dxa"/>
            <w:vAlign w:val="center"/>
          </w:tcPr>
          <w:p w14:paraId="256F093A"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Minerals (Ca, Mg, K, Zn, Fe)</w:t>
            </w:r>
          </w:p>
        </w:tc>
        <w:tc>
          <w:tcPr>
            <w:tcW w:w="2799" w:type="dxa"/>
            <w:vAlign w:val="center"/>
          </w:tcPr>
          <w:p w14:paraId="2FC1C5B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Maintain gut health, enzyme function, and metabolic balance</w:t>
            </w:r>
          </w:p>
        </w:tc>
        <w:tc>
          <w:tcPr>
            <w:tcW w:w="3111" w:type="dxa"/>
            <w:vAlign w:val="center"/>
          </w:tcPr>
          <w:p w14:paraId="37CB00E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Affects </w:t>
            </w:r>
            <w:proofErr w:type="spellStart"/>
            <w:r w:rsidRPr="00B2227E">
              <w:rPr>
                <w:rFonts w:ascii="Arial" w:hAnsi="Arial" w:cs="Arial"/>
                <w:sz w:val="20"/>
                <w:szCs w:val="20"/>
              </w:rPr>
              <w:t>fiber</w:t>
            </w:r>
            <w:proofErr w:type="spellEnd"/>
            <w:r w:rsidRPr="00B2227E">
              <w:rPr>
                <w:rFonts w:ascii="Arial" w:hAnsi="Arial" w:cs="Arial"/>
                <w:sz w:val="20"/>
                <w:szCs w:val="20"/>
              </w:rPr>
              <w:t xml:space="preserve"> strength, cocoon shell weight, and uniformity</w:t>
            </w:r>
          </w:p>
        </w:tc>
        <w:tc>
          <w:tcPr>
            <w:tcW w:w="1650" w:type="dxa"/>
            <w:vAlign w:val="center"/>
          </w:tcPr>
          <w:p w14:paraId="01EE8EB0" w14:textId="1C2B6A6A" w:rsidR="00B2227E" w:rsidRPr="00B2227E" w:rsidRDefault="00FF32F5" w:rsidP="008810EB">
            <w:pPr>
              <w:pStyle w:val="NormalWeb"/>
              <w:rPr>
                <w:rFonts w:ascii="Arial" w:hAnsi="Arial" w:cs="Arial"/>
                <w:sz w:val="20"/>
                <w:szCs w:val="20"/>
              </w:rPr>
            </w:pPr>
            <w:r w:rsidRPr="00B2227E">
              <w:rPr>
                <w:rFonts w:ascii="Arial" w:hAnsi="Arial" w:cs="Arial"/>
                <w:sz w:val="20"/>
                <w:szCs w:val="20"/>
              </w:rPr>
              <w:t xml:space="preserve">Liu </w:t>
            </w:r>
            <w:r w:rsidRPr="00B2227E">
              <w:rPr>
                <w:rFonts w:ascii="Arial" w:hAnsi="Arial" w:cs="Arial"/>
                <w:i/>
                <w:iCs/>
                <w:sz w:val="20"/>
                <w:szCs w:val="20"/>
              </w:rPr>
              <w:t>et al.,</w:t>
            </w:r>
            <w:r w:rsidRPr="00B2227E">
              <w:rPr>
                <w:rFonts w:ascii="Arial" w:hAnsi="Arial" w:cs="Arial"/>
                <w:sz w:val="20"/>
                <w:szCs w:val="20"/>
              </w:rPr>
              <w:t xml:space="preserve"> 2024</w:t>
            </w:r>
            <w:r w:rsidR="00E63D32">
              <w:rPr>
                <w:rFonts w:ascii="Arial" w:hAnsi="Arial" w:cs="Arial"/>
                <w:sz w:val="20"/>
                <w:szCs w:val="20"/>
              </w:rPr>
              <w:t>a</w:t>
            </w:r>
            <w:r>
              <w:rPr>
                <w:rFonts w:ascii="Arial" w:hAnsi="Arial" w:cs="Arial"/>
                <w:sz w:val="20"/>
                <w:szCs w:val="20"/>
              </w:rPr>
              <w:t xml:space="preserve">; </w:t>
            </w:r>
            <w:r w:rsidR="00B2227E" w:rsidRPr="00B2227E">
              <w:rPr>
                <w:rFonts w:ascii="Arial" w:hAnsi="Arial" w:cs="Arial"/>
                <w:sz w:val="20"/>
                <w:szCs w:val="20"/>
              </w:rPr>
              <w:t xml:space="preserve">Li </w:t>
            </w:r>
            <w:r w:rsidR="00B2227E" w:rsidRPr="00B2227E">
              <w:rPr>
                <w:rFonts w:ascii="Arial" w:hAnsi="Arial" w:cs="Arial"/>
                <w:i/>
                <w:iCs/>
                <w:sz w:val="20"/>
                <w:szCs w:val="20"/>
              </w:rPr>
              <w:t>et al.,</w:t>
            </w:r>
            <w:r w:rsidR="00B2227E" w:rsidRPr="00B2227E">
              <w:rPr>
                <w:rFonts w:ascii="Arial" w:hAnsi="Arial" w:cs="Arial"/>
                <w:sz w:val="20"/>
                <w:szCs w:val="20"/>
              </w:rPr>
              <w:t xml:space="preserve"> 2023</w:t>
            </w:r>
          </w:p>
        </w:tc>
      </w:tr>
      <w:tr w:rsidR="00B2227E" w:rsidRPr="00B2227E" w14:paraId="008637B5" w14:textId="77777777" w:rsidTr="00B2227E">
        <w:trPr>
          <w:trHeight w:val="1265"/>
          <w:jc w:val="center"/>
        </w:trPr>
        <w:tc>
          <w:tcPr>
            <w:tcW w:w="1456" w:type="dxa"/>
            <w:vAlign w:val="center"/>
          </w:tcPr>
          <w:p w14:paraId="5C6360BD"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Alkaloids &amp; Secondary metabolites</w:t>
            </w:r>
          </w:p>
        </w:tc>
        <w:tc>
          <w:tcPr>
            <w:tcW w:w="2799" w:type="dxa"/>
            <w:vAlign w:val="center"/>
          </w:tcPr>
          <w:p w14:paraId="6B831770" w14:textId="77777777" w:rsidR="00B2227E" w:rsidRPr="00B2227E" w:rsidRDefault="00B2227E" w:rsidP="008810EB">
            <w:pPr>
              <w:pStyle w:val="NormalWeb"/>
              <w:rPr>
                <w:rFonts w:ascii="Arial" w:hAnsi="Arial" w:cs="Arial"/>
                <w:sz w:val="20"/>
                <w:szCs w:val="20"/>
              </w:rPr>
            </w:pPr>
            <w:proofErr w:type="spellStart"/>
            <w:r w:rsidRPr="00B2227E">
              <w:rPr>
                <w:rFonts w:ascii="Arial" w:hAnsi="Arial" w:cs="Arial"/>
                <w:sz w:val="20"/>
                <w:szCs w:val="20"/>
              </w:rPr>
              <w:t>Defense</w:t>
            </w:r>
            <w:proofErr w:type="spellEnd"/>
            <w:r w:rsidRPr="00B2227E">
              <w:rPr>
                <w:rFonts w:ascii="Arial" w:hAnsi="Arial" w:cs="Arial"/>
                <w:sz w:val="20"/>
                <w:szCs w:val="20"/>
              </w:rPr>
              <w:t xml:space="preserve"> compounds; influence palatability and gut microbiota</w:t>
            </w:r>
          </w:p>
        </w:tc>
        <w:tc>
          <w:tcPr>
            <w:tcW w:w="3111" w:type="dxa"/>
            <w:vAlign w:val="center"/>
          </w:tcPr>
          <w:p w14:paraId="1F27094B"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Excessive amounts can reduce silk output; moderate levels may aid stress tolerance</w:t>
            </w:r>
          </w:p>
        </w:tc>
        <w:tc>
          <w:tcPr>
            <w:tcW w:w="1650" w:type="dxa"/>
            <w:vAlign w:val="center"/>
          </w:tcPr>
          <w:p w14:paraId="379C4169"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Jan </w:t>
            </w:r>
            <w:r w:rsidRPr="00B2227E">
              <w:rPr>
                <w:rFonts w:ascii="Arial" w:hAnsi="Arial" w:cs="Arial"/>
                <w:i/>
                <w:iCs/>
                <w:sz w:val="20"/>
                <w:szCs w:val="20"/>
              </w:rPr>
              <w:t>et al.,</w:t>
            </w:r>
            <w:r w:rsidRPr="00B2227E">
              <w:rPr>
                <w:rFonts w:ascii="Arial" w:hAnsi="Arial" w:cs="Arial"/>
                <w:sz w:val="20"/>
                <w:szCs w:val="20"/>
              </w:rPr>
              <w:t xml:space="preserve"> 2021; Yan </w:t>
            </w:r>
            <w:r w:rsidRPr="00B2227E">
              <w:rPr>
                <w:rFonts w:ascii="Arial" w:hAnsi="Arial" w:cs="Arial"/>
                <w:i/>
                <w:iCs/>
                <w:sz w:val="20"/>
                <w:szCs w:val="20"/>
              </w:rPr>
              <w:t xml:space="preserve">et al., </w:t>
            </w:r>
            <w:r w:rsidRPr="00B2227E">
              <w:rPr>
                <w:rFonts w:ascii="Arial" w:hAnsi="Arial" w:cs="Arial"/>
                <w:sz w:val="20"/>
                <w:szCs w:val="20"/>
              </w:rPr>
              <w:t>2024</w:t>
            </w:r>
          </w:p>
        </w:tc>
      </w:tr>
      <w:tr w:rsidR="00B2227E" w:rsidRPr="00B2227E" w14:paraId="4391F8AE" w14:textId="77777777" w:rsidTr="00B2227E">
        <w:trPr>
          <w:trHeight w:val="975"/>
          <w:jc w:val="center"/>
        </w:trPr>
        <w:tc>
          <w:tcPr>
            <w:tcW w:w="1456" w:type="dxa"/>
            <w:vAlign w:val="center"/>
          </w:tcPr>
          <w:p w14:paraId="3813D712"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Antioxidants</w:t>
            </w:r>
          </w:p>
        </w:tc>
        <w:tc>
          <w:tcPr>
            <w:tcW w:w="2799" w:type="dxa"/>
            <w:vAlign w:val="center"/>
          </w:tcPr>
          <w:p w14:paraId="6C2EAFD8"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Neutralize ROS; protect midgut and silk gland cells</w:t>
            </w:r>
          </w:p>
        </w:tc>
        <w:tc>
          <w:tcPr>
            <w:tcW w:w="3111" w:type="dxa"/>
            <w:vAlign w:val="center"/>
          </w:tcPr>
          <w:p w14:paraId="561CE2C2" w14:textId="77777777" w:rsidR="00B2227E" w:rsidRPr="00B2227E" w:rsidRDefault="00B2227E" w:rsidP="008810EB">
            <w:pPr>
              <w:pStyle w:val="NormalWeb"/>
              <w:rPr>
                <w:rFonts w:ascii="Arial" w:hAnsi="Arial" w:cs="Arial"/>
                <w:sz w:val="20"/>
                <w:szCs w:val="20"/>
              </w:rPr>
            </w:pPr>
            <w:r w:rsidRPr="00B2227E">
              <w:rPr>
                <w:rFonts w:ascii="Arial" w:hAnsi="Arial" w:cs="Arial"/>
                <w:sz w:val="20"/>
                <w:szCs w:val="20"/>
              </w:rPr>
              <w:t xml:space="preserve">Prevents oxidative damage to fibroin, maintaining </w:t>
            </w:r>
            <w:proofErr w:type="spellStart"/>
            <w:r w:rsidRPr="00B2227E">
              <w:rPr>
                <w:rFonts w:ascii="Arial" w:hAnsi="Arial" w:cs="Arial"/>
                <w:sz w:val="20"/>
                <w:szCs w:val="20"/>
              </w:rPr>
              <w:t>fiber</w:t>
            </w:r>
            <w:proofErr w:type="spellEnd"/>
            <w:r w:rsidRPr="00B2227E">
              <w:rPr>
                <w:rFonts w:ascii="Arial" w:hAnsi="Arial" w:cs="Arial"/>
                <w:sz w:val="20"/>
                <w:szCs w:val="20"/>
              </w:rPr>
              <w:t xml:space="preserve"> integrity and tensile strength</w:t>
            </w:r>
          </w:p>
        </w:tc>
        <w:tc>
          <w:tcPr>
            <w:tcW w:w="1650" w:type="dxa"/>
            <w:vAlign w:val="center"/>
          </w:tcPr>
          <w:p w14:paraId="2D341EE5" w14:textId="65E8E9A6" w:rsidR="00B2227E" w:rsidRPr="00B2227E" w:rsidRDefault="00FF32F5" w:rsidP="008810EB">
            <w:pPr>
              <w:pStyle w:val="NormalWeb"/>
              <w:rPr>
                <w:rFonts w:ascii="Arial" w:hAnsi="Arial" w:cs="Arial"/>
                <w:sz w:val="20"/>
                <w:szCs w:val="20"/>
              </w:rPr>
            </w:pPr>
            <w:proofErr w:type="spellStart"/>
            <w:r w:rsidRPr="00B2227E">
              <w:rPr>
                <w:rFonts w:ascii="Arial" w:hAnsi="Arial" w:cs="Arial"/>
                <w:sz w:val="20"/>
                <w:szCs w:val="20"/>
              </w:rPr>
              <w:t>Doliș</w:t>
            </w:r>
            <w:proofErr w:type="spellEnd"/>
            <w:r w:rsidRPr="00B2227E">
              <w:rPr>
                <w:rFonts w:ascii="Arial" w:hAnsi="Arial" w:cs="Arial"/>
                <w:sz w:val="20"/>
                <w:szCs w:val="20"/>
              </w:rPr>
              <w:t xml:space="preserve"> </w:t>
            </w:r>
            <w:r w:rsidRPr="00B2227E">
              <w:rPr>
                <w:rFonts w:ascii="Arial" w:hAnsi="Arial" w:cs="Arial"/>
                <w:i/>
                <w:iCs/>
                <w:sz w:val="20"/>
                <w:szCs w:val="20"/>
              </w:rPr>
              <w:t>et al.,</w:t>
            </w:r>
            <w:r w:rsidRPr="00B2227E">
              <w:rPr>
                <w:rFonts w:ascii="Arial" w:hAnsi="Arial" w:cs="Arial"/>
                <w:sz w:val="20"/>
                <w:szCs w:val="20"/>
              </w:rPr>
              <w:t xml:space="preserve"> 2024</w:t>
            </w:r>
            <w:r>
              <w:rPr>
                <w:rFonts w:ascii="Arial" w:hAnsi="Arial" w:cs="Arial"/>
                <w:sz w:val="20"/>
                <w:szCs w:val="20"/>
              </w:rPr>
              <w:t xml:space="preserve">; </w:t>
            </w:r>
            <w:r w:rsidR="00B2227E" w:rsidRPr="00B2227E">
              <w:rPr>
                <w:rFonts w:ascii="Arial" w:hAnsi="Arial" w:cs="Arial"/>
                <w:sz w:val="20"/>
                <w:szCs w:val="20"/>
              </w:rPr>
              <w:t xml:space="preserve">Peng </w:t>
            </w:r>
            <w:r w:rsidR="00B2227E" w:rsidRPr="00B2227E">
              <w:rPr>
                <w:rFonts w:ascii="Arial" w:hAnsi="Arial" w:cs="Arial"/>
                <w:i/>
                <w:iCs/>
                <w:sz w:val="20"/>
                <w:szCs w:val="20"/>
              </w:rPr>
              <w:t>et al.,</w:t>
            </w:r>
            <w:r w:rsidR="00B2227E" w:rsidRPr="00B2227E">
              <w:rPr>
                <w:rFonts w:ascii="Arial" w:hAnsi="Arial" w:cs="Arial"/>
                <w:sz w:val="20"/>
                <w:szCs w:val="20"/>
              </w:rPr>
              <w:t xml:space="preserve"> 2023</w:t>
            </w:r>
          </w:p>
        </w:tc>
      </w:tr>
    </w:tbl>
    <w:p w14:paraId="51FDFB9C" w14:textId="2E6C3F9A"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Protein content varies a lot. Tender, young leaves typically have higher crude protein and nitrogen than mature leaves. Those top-position leaves also show distinct proteomic profiles that reflect active protein synthesis and different photosynthetic roles compared with basal leaves (Hou </w:t>
      </w:r>
      <w:r w:rsidRPr="00B2227E">
        <w:rPr>
          <w:rFonts w:ascii="Arial" w:hAnsi="Arial" w:cs="Arial"/>
          <w:i/>
          <w:iCs/>
          <w:sz w:val="20"/>
          <w:szCs w:val="20"/>
        </w:rPr>
        <w:t>et al.,</w:t>
      </w:r>
      <w:r w:rsidRPr="00B2227E">
        <w:rPr>
          <w:rFonts w:ascii="Arial" w:hAnsi="Arial" w:cs="Arial"/>
          <w:sz w:val="20"/>
          <w:szCs w:val="20"/>
        </w:rPr>
        <w:t xml:space="preserve"> 2021). Practically, this means which leaves are picked and when they are harvested matters. Younger leaves usually give faster larval growth and better conversion to cocoon mass than over-mature leaves (Li </w:t>
      </w:r>
      <w:r w:rsidRPr="00B2227E">
        <w:rPr>
          <w:rFonts w:ascii="Arial" w:hAnsi="Arial" w:cs="Arial"/>
          <w:i/>
          <w:iCs/>
          <w:sz w:val="20"/>
          <w:szCs w:val="20"/>
        </w:rPr>
        <w:t>et al.,</w:t>
      </w:r>
      <w:r w:rsidRPr="00B2227E">
        <w:rPr>
          <w:rFonts w:ascii="Arial" w:hAnsi="Arial" w:cs="Arial"/>
          <w:sz w:val="20"/>
          <w:szCs w:val="20"/>
        </w:rPr>
        <w:t xml:space="preserve"> 2023).</w:t>
      </w:r>
    </w:p>
    <w:p w14:paraId="17AA65B1" w14:textId="1B0EB852"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Sugars and carbohydrate balance matter too. Simple sugars help maintain feeding rates and gut transit time; they influence how quickly larvae reach the spinning stage. Seasonal swings in carbohydrate levels, driven by light, temperature and plant phenology, translate into measurable changes in larval development time and feed conversion efficiency (Jan </w:t>
      </w:r>
      <w:r w:rsidRPr="00B2227E">
        <w:rPr>
          <w:rFonts w:ascii="Arial" w:hAnsi="Arial" w:cs="Arial"/>
          <w:i/>
          <w:iCs/>
          <w:sz w:val="20"/>
          <w:szCs w:val="20"/>
        </w:rPr>
        <w:t>et al.,</w:t>
      </w:r>
      <w:r w:rsidRPr="00B2227E">
        <w:rPr>
          <w:rFonts w:ascii="Arial" w:hAnsi="Arial" w:cs="Arial"/>
          <w:sz w:val="20"/>
          <w:szCs w:val="20"/>
        </w:rPr>
        <w:t xml:space="preserve"> 2021; Liu </w:t>
      </w:r>
      <w:r w:rsidRPr="00B2227E">
        <w:rPr>
          <w:rFonts w:ascii="Arial" w:hAnsi="Arial" w:cs="Arial"/>
          <w:i/>
          <w:iCs/>
          <w:sz w:val="20"/>
          <w:szCs w:val="20"/>
        </w:rPr>
        <w:t>et al.,</w:t>
      </w:r>
      <w:r w:rsidRPr="00B2227E">
        <w:rPr>
          <w:rFonts w:ascii="Arial" w:hAnsi="Arial" w:cs="Arial"/>
          <w:sz w:val="20"/>
          <w:szCs w:val="20"/>
        </w:rPr>
        <w:t xml:space="preserve"> 2024</w:t>
      </w:r>
      <w:r w:rsidR="00E63D32">
        <w:rPr>
          <w:rFonts w:ascii="Arial" w:hAnsi="Arial" w:cs="Arial"/>
          <w:sz w:val="20"/>
          <w:szCs w:val="20"/>
        </w:rPr>
        <w:t>a</w:t>
      </w:r>
      <w:r w:rsidRPr="00B2227E">
        <w:rPr>
          <w:rFonts w:ascii="Arial" w:hAnsi="Arial" w:cs="Arial"/>
          <w:sz w:val="20"/>
          <w:szCs w:val="20"/>
        </w:rPr>
        <w:t>).</w:t>
      </w:r>
    </w:p>
    <w:p w14:paraId="7F0BFEDB" w14:textId="3BD7F4DB"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Secondary metabolites introduce important trade-offs. Many mulberry cultivars contain flavonoids and polyphenols that contribute antioxidant capacity. At moderate levels, these compounds protect larvae from oxidative stress during periods of rapid growth, supporting silk protein synthesis. However, excessive concentrations can reduce leaf palatability, lower intake, and interfere with larval detoxification and digestion (</w:t>
      </w:r>
      <w:r w:rsidR="00E63D32" w:rsidRPr="00B2227E">
        <w:rPr>
          <w:rFonts w:ascii="Arial" w:hAnsi="Arial" w:cs="Arial"/>
          <w:sz w:val="20"/>
          <w:szCs w:val="20"/>
        </w:rPr>
        <w:t xml:space="preserve">Jan </w:t>
      </w:r>
      <w:r w:rsidR="00E63D32" w:rsidRPr="00B2227E">
        <w:rPr>
          <w:rFonts w:ascii="Arial" w:hAnsi="Arial" w:cs="Arial"/>
          <w:i/>
          <w:iCs/>
          <w:sz w:val="20"/>
          <w:szCs w:val="20"/>
        </w:rPr>
        <w:t>et al.,</w:t>
      </w:r>
      <w:r w:rsidR="00E63D32" w:rsidRPr="00B2227E">
        <w:rPr>
          <w:rFonts w:ascii="Arial" w:hAnsi="Arial" w:cs="Arial"/>
          <w:sz w:val="20"/>
          <w:szCs w:val="20"/>
        </w:rPr>
        <w:t xml:space="preserve"> 2021</w:t>
      </w:r>
      <w:r w:rsidR="00E63D32">
        <w:rPr>
          <w:rFonts w:ascii="Arial" w:hAnsi="Arial" w:cs="Arial"/>
          <w:sz w:val="20"/>
          <w:szCs w:val="20"/>
        </w:rPr>
        <w:t xml:space="preserve">; </w:t>
      </w:r>
      <w:r w:rsidRPr="00B2227E">
        <w:rPr>
          <w:rFonts w:ascii="Arial" w:hAnsi="Arial" w:cs="Arial"/>
          <w:sz w:val="20"/>
          <w:szCs w:val="20"/>
        </w:rPr>
        <w:t xml:space="preserve">Fatima </w:t>
      </w:r>
      <w:r w:rsidRPr="00B2227E">
        <w:rPr>
          <w:rFonts w:ascii="Arial" w:hAnsi="Arial" w:cs="Arial"/>
          <w:i/>
          <w:iCs/>
          <w:sz w:val="20"/>
          <w:szCs w:val="20"/>
        </w:rPr>
        <w:t>et al.,</w:t>
      </w:r>
      <w:r w:rsidRPr="00B2227E">
        <w:rPr>
          <w:rFonts w:ascii="Arial" w:hAnsi="Arial" w:cs="Arial"/>
          <w:sz w:val="20"/>
          <w:szCs w:val="20"/>
        </w:rPr>
        <w:t xml:space="preserve"> 202</w:t>
      </w:r>
      <w:r w:rsidR="00E63D32">
        <w:rPr>
          <w:rFonts w:ascii="Arial" w:hAnsi="Arial" w:cs="Arial"/>
          <w:sz w:val="20"/>
          <w:szCs w:val="20"/>
        </w:rPr>
        <w:t>4</w:t>
      </w:r>
      <w:r w:rsidRPr="00B2227E">
        <w:rPr>
          <w:rFonts w:ascii="Arial" w:hAnsi="Arial" w:cs="Arial"/>
          <w:sz w:val="20"/>
          <w:szCs w:val="20"/>
        </w:rPr>
        <w:t>). Consequently, cultivar selection should consider not only yield per hectare but also the biochemical profile of the leaves consumed by silkworms.</w:t>
      </w:r>
    </w:p>
    <w:p w14:paraId="0A3D034F" w14:textId="0593EE70" w:rsidR="00B2227E" w:rsidRDefault="00B2227E" w:rsidP="00B2227E">
      <w:pPr>
        <w:ind w:firstLine="720"/>
        <w:jc w:val="both"/>
        <w:rPr>
          <w:rFonts w:ascii="Arial" w:hAnsi="Arial" w:cs="Arial"/>
          <w:lang w:eastAsia="en-IN"/>
        </w:rPr>
      </w:pPr>
      <w:r w:rsidRPr="00B2227E">
        <w:rPr>
          <w:rFonts w:ascii="Arial" w:hAnsi="Arial" w:cs="Arial"/>
          <w:lang w:eastAsia="en-IN"/>
        </w:rPr>
        <w:lastRenderedPageBreak/>
        <w:t xml:space="preserve">Varietal and seasonal differences in mulberry nutrition are now well-documented. Recent proteomic and metabolomic studies demonstrate that these differences, along with management practices such as pruning systems, influence leaf amino acid composition, antioxidant capacity, and protein content (Liu </w:t>
      </w:r>
      <w:r w:rsidRPr="00B2227E">
        <w:rPr>
          <w:rFonts w:ascii="Arial" w:hAnsi="Arial" w:cs="Arial"/>
          <w:i/>
          <w:iCs/>
          <w:lang w:eastAsia="en-IN"/>
        </w:rPr>
        <w:t>et al.,</w:t>
      </w:r>
      <w:r w:rsidRPr="00B2227E">
        <w:rPr>
          <w:rFonts w:ascii="Arial" w:hAnsi="Arial" w:cs="Arial"/>
          <w:lang w:eastAsia="en-IN"/>
        </w:rPr>
        <w:t xml:space="preserve"> 2024</w:t>
      </w:r>
      <w:r w:rsidR="00E63D32">
        <w:rPr>
          <w:rFonts w:ascii="Arial" w:hAnsi="Arial" w:cs="Arial"/>
          <w:lang w:eastAsia="en-IN"/>
        </w:rPr>
        <w:t>a</w:t>
      </w:r>
      <w:r w:rsidRPr="00B2227E">
        <w:rPr>
          <w:rFonts w:ascii="Arial" w:hAnsi="Arial" w:cs="Arial"/>
          <w:lang w:eastAsia="en-IN"/>
        </w:rPr>
        <w:t xml:space="preserve">). Advances in remote sensing, including hyperspectral imaging, allow rapid and non-destructive assessment of leaf protein content in the field, highlighting how genotype, leaf position, and developmental stage collectively shape nutritive quality in ways that are relevant for both research and production (Li </w:t>
      </w:r>
      <w:r w:rsidRPr="00B2227E">
        <w:rPr>
          <w:rFonts w:ascii="Arial" w:hAnsi="Arial" w:cs="Arial"/>
          <w:i/>
          <w:iCs/>
          <w:lang w:eastAsia="en-IN"/>
        </w:rPr>
        <w:t>et al.,</w:t>
      </w:r>
      <w:r w:rsidRPr="00B2227E">
        <w:rPr>
          <w:rFonts w:ascii="Arial" w:hAnsi="Arial" w:cs="Arial"/>
          <w:lang w:eastAsia="en-IN"/>
        </w:rPr>
        <w:t xml:space="preserve"> 2023). </w:t>
      </w:r>
      <w:r w:rsidRPr="00B2227E">
        <w:rPr>
          <w:rFonts w:ascii="Arial" w:hAnsi="Arial" w:cs="Arial"/>
          <w:b/>
          <w:bCs/>
          <w:lang w:eastAsia="en-IN"/>
        </w:rPr>
        <w:t>Figure 1</w:t>
      </w:r>
      <w:r w:rsidRPr="00B2227E">
        <w:rPr>
          <w:rFonts w:ascii="Arial" w:hAnsi="Arial" w:cs="Arial"/>
          <w:lang w:eastAsia="en-IN"/>
        </w:rPr>
        <w:t xml:space="preserve"> summarizes practical strategies to optimize mulberry leaf nutrition and silkworm performance by integrating breeding, biotechnology, and farm-level management practices, all aimed at enhancing silk quality and yield.</w:t>
      </w:r>
    </w:p>
    <w:p w14:paraId="6FB83525" w14:textId="77777777" w:rsidR="004627C4" w:rsidRPr="00B2227E" w:rsidRDefault="004627C4" w:rsidP="00B2227E">
      <w:pPr>
        <w:ind w:firstLine="720"/>
        <w:jc w:val="both"/>
        <w:rPr>
          <w:rFonts w:ascii="Arial" w:hAnsi="Arial" w:cs="Arial"/>
          <w:lang w:eastAsia="en-IN"/>
        </w:rPr>
      </w:pPr>
    </w:p>
    <w:p w14:paraId="61B4A8F7" w14:textId="77777777" w:rsidR="00B2227E" w:rsidRPr="00B2227E" w:rsidRDefault="00B2227E" w:rsidP="00B2227E">
      <w:pPr>
        <w:jc w:val="center"/>
        <w:rPr>
          <w:rFonts w:ascii="Arial" w:hAnsi="Arial" w:cs="Arial"/>
          <w:lang w:eastAsia="en-IN"/>
        </w:rPr>
      </w:pPr>
      <w:r w:rsidRPr="00B2227E">
        <w:rPr>
          <w:rFonts w:ascii="Arial" w:hAnsi="Arial" w:cs="Arial"/>
          <w:b/>
          <w:bCs/>
          <w:noProof/>
        </w:rPr>
        <w:drawing>
          <wp:inline distT="0" distB="0" distL="0" distR="0" wp14:anchorId="0362FCED" wp14:editId="078DCCDE">
            <wp:extent cx="3463172" cy="2362200"/>
            <wp:effectExtent l="0" t="0" r="4445" b="0"/>
            <wp:docPr id="1550879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79122" name="Picture 1550879122"/>
                    <pic:cNvPicPr/>
                  </pic:nvPicPr>
                  <pic:blipFill rotWithShape="1">
                    <a:blip r:embed="rId14"/>
                    <a:srcRect l="6777" t="2540" r="6318" b="8539"/>
                    <a:stretch>
                      <a:fillRect/>
                    </a:stretch>
                  </pic:blipFill>
                  <pic:spPr bwMode="auto">
                    <a:xfrm>
                      <a:off x="0" y="0"/>
                      <a:ext cx="3579852" cy="2441787"/>
                    </a:xfrm>
                    <a:prstGeom prst="rect">
                      <a:avLst/>
                    </a:prstGeom>
                    <a:ln>
                      <a:noFill/>
                    </a:ln>
                    <a:extLst>
                      <a:ext uri="{53640926-AAD7-44D8-BBD7-CCE9431645EC}">
                        <a14:shadowObscured xmlns:a14="http://schemas.microsoft.com/office/drawing/2010/main"/>
                      </a:ext>
                    </a:extLst>
                  </pic:spPr>
                </pic:pic>
              </a:graphicData>
            </a:graphic>
          </wp:inline>
        </w:drawing>
      </w:r>
    </w:p>
    <w:p w14:paraId="61DB03DB" w14:textId="77777777" w:rsidR="00B2227E" w:rsidRDefault="00B2227E" w:rsidP="00B2227E">
      <w:pPr>
        <w:jc w:val="center"/>
        <w:rPr>
          <w:rFonts w:ascii="Arial" w:hAnsi="Arial" w:cs="Arial"/>
          <w:b/>
          <w:bCs/>
          <w:lang w:eastAsia="en-IN"/>
        </w:rPr>
      </w:pPr>
    </w:p>
    <w:p w14:paraId="6AC2FF91" w14:textId="257703D7" w:rsidR="00B2227E" w:rsidRDefault="00B2227E" w:rsidP="00B2227E">
      <w:pPr>
        <w:jc w:val="center"/>
        <w:rPr>
          <w:rFonts w:ascii="Arial" w:hAnsi="Arial" w:cs="Arial"/>
          <w:b/>
          <w:bCs/>
          <w:lang w:eastAsia="en-IN"/>
        </w:rPr>
      </w:pPr>
      <w:r w:rsidRPr="00B2227E">
        <w:rPr>
          <w:rFonts w:ascii="Arial" w:hAnsi="Arial" w:cs="Arial"/>
          <w:b/>
          <w:bCs/>
          <w:lang w:eastAsia="en-IN"/>
        </w:rPr>
        <w:t>Figure 1. Practical interventions framework for enhancing silk production: integrating breeding, biotechnology, and farm management strategies.</w:t>
      </w:r>
    </w:p>
    <w:p w14:paraId="43659D99" w14:textId="77777777" w:rsidR="00B2227E" w:rsidRPr="00B2227E" w:rsidRDefault="00B2227E" w:rsidP="00B2227E">
      <w:pPr>
        <w:jc w:val="center"/>
        <w:rPr>
          <w:rFonts w:ascii="Arial" w:hAnsi="Arial" w:cs="Arial"/>
          <w:b/>
          <w:bCs/>
          <w:lang w:eastAsia="en-IN"/>
        </w:rPr>
      </w:pPr>
    </w:p>
    <w:p w14:paraId="55D356D5" w14:textId="77777777" w:rsidR="00B2227E" w:rsidRDefault="00B2227E" w:rsidP="00B2227E">
      <w:pPr>
        <w:ind w:firstLine="720"/>
        <w:jc w:val="both"/>
        <w:rPr>
          <w:rFonts w:ascii="Arial" w:hAnsi="Arial" w:cs="Arial"/>
          <w:lang w:eastAsia="en-IN"/>
        </w:rPr>
      </w:pPr>
      <w:r w:rsidRPr="00B2227E">
        <w:rPr>
          <w:rFonts w:ascii="Arial" w:hAnsi="Arial" w:cs="Arial"/>
          <w:lang w:eastAsia="en-IN"/>
        </w:rPr>
        <w:t>In short, good silk starts at the leaf. Choosing the right cultivar, harvesting the right leaf age, and managing seasonality or using management practices that stabilize leaf nutrient profiles are low-tech, high-impact levers for keeping larval growth steady and silk quality high.</w:t>
      </w:r>
    </w:p>
    <w:p w14:paraId="11594E35" w14:textId="77777777" w:rsidR="00B2227E" w:rsidRPr="00B2227E" w:rsidRDefault="00B2227E" w:rsidP="00B2227E">
      <w:pPr>
        <w:ind w:firstLine="720"/>
        <w:jc w:val="both"/>
        <w:rPr>
          <w:rFonts w:ascii="Arial" w:hAnsi="Arial" w:cs="Arial"/>
          <w:lang w:eastAsia="en-IN"/>
        </w:rPr>
      </w:pPr>
    </w:p>
    <w:p w14:paraId="27B71E92" w14:textId="2FF559A5" w:rsidR="00B2227E" w:rsidRPr="00B2227E" w:rsidRDefault="00B2227E" w:rsidP="00B2227E">
      <w:pPr>
        <w:pStyle w:val="ListParagraph"/>
        <w:numPr>
          <w:ilvl w:val="0"/>
          <w:numId w:val="31"/>
        </w:numPr>
        <w:jc w:val="both"/>
        <w:rPr>
          <w:rFonts w:ascii="Arial" w:eastAsia="Times New Roman" w:hAnsi="Arial" w:cs="Arial"/>
          <w:b/>
          <w:bCs/>
          <w:kern w:val="0"/>
          <w:sz w:val="22"/>
          <w:szCs w:val="22"/>
          <w:lang w:eastAsia="en-IN"/>
        </w:rPr>
      </w:pPr>
      <w:r w:rsidRPr="00B2227E">
        <w:rPr>
          <w:rFonts w:ascii="Arial" w:eastAsia="Times New Roman" w:hAnsi="Arial" w:cs="Arial"/>
          <w:b/>
          <w:bCs/>
          <w:kern w:val="0"/>
          <w:sz w:val="22"/>
          <w:szCs w:val="22"/>
          <w:lang w:eastAsia="en-IN"/>
        </w:rPr>
        <w:t>SILKWORM FEEDING PHYSIOLOGY AND NUTRIENT UTILIZATION</w:t>
      </w:r>
    </w:p>
    <w:p w14:paraId="371C7DD0" w14:textId="77777777" w:rsidR="00B2227E" w:rsidRPr="00B2227E" w:rsidRDefault="00B2227E" w:rsidP="00B2227E">
      <w:pPr>
        <w:ind w:firstLine="720"/>
        <w:jc w:val="both"/>
        <w:rPr>
          <w:rFonts w:ascii="Arial" w:hAnsi="Arial" w:cs="Arial"/>
          <w:lang w:eastAsia="en-IN"/>
        </w:rPr>
      </w:pPr>
      <w:r w:rsidRPr="00B2227E">
        <w:rPr>
          <w:rFonts w:ascii="Arial" w:hAnsi="Arial" w:cs="Arial"/>
          <w:lang w:eastAsia="en-IN"/>
        </w:rPr>
        <w:t xml:space="preserve">Silkworms consume plant leaf tissue and convert a significant portion of certain nutrients into cocoon proteins, making them exceptional converters. In addition to its hidden partner, the gut microbiota, this efficiency is dependent on four interconnected systems, intracellular metabolic </w:t>
      </w:r>
      <w:proofErr w:type="spellStart"/>
      <w:r w:rsidRPr="00B2227E">
        <w:rPr>
          <w:rFonts w:ascii="Arial" w:hAnsi="Arial" w:cs="Arial"/>
          <w:lang w:eastAsia="en-IN"/>
        </w:rPr>
        <w:t>signalling</w:t>
      </w:r>
      <w:proofErr w:type="spellEnd"/>
      <w:r w:rsidRPr="00B2227E">
        <w:rPr>
          <w:rFonts w:ascii="Arial" w:hAnsi="Arial" w:cs="Arial"/>
          <w:lang w:eastAsia="en-IN"/>
        </w:rPr>
        <w:t xml:space="preserve">, nutrient transport, digestive enzymes, and ingestion and gut environment. Any modifications to those processes alter the amount and type of food the silkworm can produce, which in turn affects the weight of the cocoon and the characteristics of the silk (Tang </w:t>
      </w:r>
      <w:r w:rsidRPr="00B2227E">
        <w:rPr>
          <w:rFonts w:ascii="Arial" w:hAnsi="Arial" w:cs="Arial"/>
          <w:i/>
          <w:iCs/>
          <w:lang w:eastAsia="en-IN"/>
        </w:rPr>
        <w:t>et al.,</w:t>
      </w:r>
      <w:r w:rsidRPr="00B2227E">
        <w:rPr>
          <w:rFonts w:ascii="Arial" w:hAnsi="Arial" w:cs="Arial"/>
          <w:lang w:eastAsia="en-IN"/>
        </w:rPr>
        <w:t xml:space="preserve"> 2024; Wu </w:t>
      </w:r>
      <w:r w:rsidRPr="00B2227E">
        <w:rPr>
          <w:rFonts w:ascii="Arial" w:hAnsi="Arial" w:cs="Arial"/>
          <w:i/>
          <w:iCs/>
          <w:lang w:eastAsia="en-IN"/>
        </w:rPr>
        <w:t>et al.,</w:t>
      </w:r>
      <w:r w:rsidRPr="00B2227E">
        <w:rPr>
          <w:rFonts w:ascii="Arial" w:hAnsi="Arial" w:cs="Arial"/>
          <w:lang w:eastAsia="en-IN"/>
        </w:rPr>
        <w:t xml:space="preserve"> 2022).</w:t>
      </w:r>
    </w:p>
    <w:p w14:paraId="5B1365EF" w14:textId="2FBB186F"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Digestive efficiency and gut environment</w:t>
      </w:r>
    </w:p>
    <w:p w14:paraId="123A65B5"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The silkworm midgut is highly alkaline and specialized for rapid breakdown of plant material. That alkaline lumen optimizes activity of major proteases and </w:t>
      </w:r>
      <w:proofErr w:type="spellStart"/>
      <w:r w:rsidRPr="00B2227E">
        <w:rPr>
          <w:rFonts w:ascii="Arial" w:hAnsi="Arial" w:cs="Arial"/>
          <w:sz w:val="20"/>
          <w:szCs w:val="20"/>
        </w:rPr>
        <w:t>carbohydrases</w:t>
      </w:r>
      <w:proofErr w:type="spellEnd"/>
      <w:r w:rsidRPr="00B2227E">
        <w:rPr>
          <w:rFonts w:ascii="Arial" w:hAnsi="Arial" w:cs="Arial"/>
          <w:sz w:val="20"/>
          <w:szCs w:val="20"/>
        </w:rPr>
        <w:t xml:space="preserve">, so food is processed quickly during the intensive feeding of the final instars (Cao </w:t>
      </w:r>
      <w:r w:rsidRPr="00B2227E">
        <w:rPr>
          <w:rFonts w:ascii="Arial" w:hAnsi="Arial" w:cs="Arial"/>
          <w:i/>
          <w:iCs/>
          <w:sz w:val="20"/>
          <w:szCs w:val="20"/>
        </w:rPr>
        <w:t>et al.,</w:t>
      </w:r>
      <w:r w:rsidRPr="00B2227E">
        <w:rPr>
          <w:rFonts w:ascii="Arial" w:hAnsi="Arial" w:cs="Arial"/>
          <w:sz w:val="20"/>
          <w:szCs w:val="20"/>
        </w:rPr>
        <w:t xml:space="preserve"> 2021). Anything that disrupts midgut pH, enzyme secretion or tissue integrity, such as heat, heavy </w:t>
      </w:r>
      <w:r w:rsidRPr="00B2227E">
        <w:rPr>
          <w:rFonts w:ascii="Arial" w:hAnsi="Arial" w:cs="Arial"/>
          <w:sz w:val="20"/>
          <w:szCs w:val="20"/>
        </w:rPr>
        <w:lastRenderedPageBreak/>
        <w:t xml:space="preserve">metals, pathogens reduce digestion efficiency and lowers the nutrient pool available for silk gland use (Chen </w:t>
      </w:r>
      <w:r w:rsidRPr="00B2227E">
        <w:rPr>
          <w:rFonts w:ascii="Arial" w:hAnsi="Arial" w:cs="Arial"/>
          <w:i/>
          <w:iCs/>
          <w:sz w:val="20"/>
          <w:szCs w:val="20"/>
        </w:rPr>
        <w:t>et al.,</w:t>
      </w:r>
      <w:r w:rsidRPr="00B2227E">
        <w:rPr>
          <w:rFonts w:ascii="Arial" w:hAnsi="Arial" w:cs="Arial"/>
          <w:sz w:val="20"/>
          <w:szCs w:val="20"/>
        </w:rPr>
        <w:t xml:space="preserve"> 2023b; Xin </w:t>
      </w:r>
      <w:r w:rsidRPr="00B2227E">
        <w:rPr>
          <w:rFonts w:ascii="Arial" w:hAnsi="Arial" w:cs="Arial"/>
          <w:i/>
          <w:iCs/>
          <w:sz w:val="20"/>
          <w:szCs w:val="20"/>
        </w:rPr>
        <w:t>et al.,</w:t>
      </w:r>
      <w:r w:rsidRPr="00B2227E">
        <w:rPr>
          <w:rFonts w:ascii="Arial" w:hAnsi="Arial" w:cs="Arial"/>
          <w:sz w:val="20"/>
          <w:szCs w:val="20"/>
        </w:rPr>
        <w:t xml:space="preserve"> 2024).</w:t>
      </w:r>
    </w:p>
    <w:p w14:paraId="655C8919" w14:textId="634C9F68"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Key digestive enzymes and absorption</w:t>
      </w:r>
    </w:p>
    <w:p w14:paraId="2A0474B3"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Proteases like </w:t>
      </w:r>
      <w:proofErr w:type="spellStart"/>
      <w:r w:rsidRPr="00B2227E">
        <w:rPr>
          <w:rFonts w:ascii="Arial" w:hAnsi="Arial" w:cs="Arial"/>
          <w:sz w:val="20"/>
          <w:szCs w:val="20"/>
        </w:rPr>
        <w:t>trypsins</w:t>
      </w:r>
      <w:proofErr w:type="spellEnd"/>
      <w:r w:rsidRPr="00B2227E">
        <w:rPr>
          <w:rFonts w:ascii="Arial" w:hAnsi="Arial" w:cs="Arial"/>
          <w:sz w:val="20"/>
          <w:szCs w:val="20"/>
        </w:rPr>
        <w:t xml:space="preserve"> and </w:t>
      </w:r>
      <w:proofErr w:type="spellStart"/>
      <w:r w:rsidRPr="00B2227E">
        <w:rPr>
          <w:rFonts w:ascii="Arial" w:hAnsi="Arial" w:cs="Arial"/>
          <w:sz w:val="20"/>
          <w:szCs w:val="20"/>
        </w:rPr>
        <w:t>chymotrypsins</w:t>
      </w:r>
      <w:proofErr w:type="spellEnd"/>
      <w:r w:rsidRPr="00B2227E">
        <w:rPr>
          <w:rFonts w:ascii="Arial" w:hAnsi="Arial" w:cs="Arial"/>
          <w:sz w:val="20"/>
          <w:szCs w:val="20"/>
        </w:rPr>
        <w:t xml:space="preserve"> dominate protein digestion, while amylases and glycosidases handle carbohydrates. Variation in expression or activity of these enzymes alters the fraction of leaf protein that becomes free amino acids in the haemolymph. Those free amino acids are the direct precursors for fibroin and sericin synthesis in the silk gland (Cao </w:t>
      </w:r>
      <w:r w:rsidRPr="00B2227E">
        <w:rPr>
          <w:rFonts w:ascii="Arial" w:hAnsi="Arial" w:cs="Arial"/>
          <w:i/>
          <w:iCs/>
          <w:sz w:val="20"/>
          <w:szCs w:val="20"/>
        </w:rPr>
        <w:t>et al.,</w:t>
      </w:r>
      <w:r w:rsidRPr="00B2227E">
        <w:rPr>
          <w:rFonts w:ascii="Arial" w:hAnsi="Arial" w:cs="Arial"/>
          <w:sz w:val="20"/>
          <w:szCs w:val="20"/>
        </w:rPr>
        <w:t xml:space="preserve"> 2021; Wu </w:t>
      </w:r>
      <w:r w:rsidRPr="00B2227E">
        <w:rPr>
          <w:rFonts w:ascii="Arial" w:hAnsi="Arial" w:cs="Arial"/>
          <w:i/>
          <w:iCs/>
          <w:sz w:val="20"/>
          <w:szCs w:val="20"/>
        </w:rPr>
        <w:t>et al.,</w:t>
      </w:r>
      <w:r w:rsidRPr="00B2227E">
        <w:rPr>
          <w:rFonts w:ascii="Arial" w:hAnsi="Arial" w:cs="Arial"/>
          <w:sz w:val="20"/>
          <w:szCs w:val="20"/>
        </w:rPr>
        <w:t xml:space="preserve"> 2022). Recent studies also show specific nutrient transporters in the silk gland and gut are critical. For example, the amino acid transporter BmSLC7A5 (LAT1 homolog) is essential for leucine uptake and TOR signalling that drives silk protein synthesis (Tang </w:t>
      </w:r>
      <w:r w:rsidRPr="00B2227E">
        <w:rPr>
          <w:rFonts w:ascii="Arial" w:hAnsi="Arial" w:cs="Arial"/>
          <w:i/>
          <w:iCs/>
          <w:sz w:val="20"/>
          <w:szCs w:val="20"/>
        </w:rPr>
        <w:t>et al.,</w:t>
      </w:r>
      <w:r w:rsidRPr="00B2227E">
        <w:rPr>
          <w:rFonts w:ascii="Arial" w:hAnsi="Arial" w:cs="Arial"/>
          <w:sz w:val="20"/>
          <w:szCs w:val="20"/>
        </w:rPr>
        <w:t xml:space="preserve"> 2024).</w:t>
      </w:r>
    </w:p>
    <w:p w14:paraId="07FDD118" w14:textId="77777777"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 xml:space="preserve"> Metabolic signalling that links diet to silk synthesis</w:t>
      </w:r>
    </w:p>
    <w:p w14:paraId="2F4B45EF"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Nutrient sensing pathways translate the biochemical state of the haemolymph into silk-production decisions. The PI3K–</w:t>
      </w:r>
      <w:proofErr w:type="spellStart"/>
      <w:r w:rsidRPr="00B2227E">
        <w:rPr>
          <w:rFonts w:ascii="Arial" w:hAnsi="Arial" w:cs="Arial"/>
          <w:sz w:val="20"/>
          <w:szCs w:val="20"/>
        </w:rPr>
        <w:t>Akt</w:t>
      </w:r>
      <w:proofErr w:type="spellEnd"/>
      <w:r w:rsidRPr="00B2227E">
        <w:rPr>
          <w:rFonts w:ascii="Arial" w:hAnsi="Arial" w:cs="Arial"/>
          <w:sz w:val="20"/>
          <w:szCs w:val="20"/>
        </w:rPr>
        <w:t>–SGF1–</w:t>
      </w:r>
      <w:proofErr w:type="spellStart"/>
      <w:r w:rsidRPr="00B2227E">
        <w:rPr>
          <w:rFonts w:ascii="Arial" w:hAnsi="Arial" w:cs="Arial"/>
          <w:sz w:val="20"/>
          <w:szCs w:val="20"/>
        </w:rPr>
        <w:t>Dimm</w:t>
      </w:r>
      <w:proofErr w:type="spellEnd"/>
      <w:r w:rsidRPr="00B2227E">
        <w:rPr>
          <w:rFonts w:ascii="Arial" w:hAnsi="Arial" w:cs="Arial"/>
          <w:sz w:val="20"/>
          <w:szCs w:val="20"/>
        </w:rPr>
        <w:t xml:space="preserve"> pathway and TORC1 signalling respond to dietary nutrients and regulate the transcription and translation of silk genes (Cao </w:t>
      </w:r>
      <w:r w:rsidRPr="00B2227E">
        <w:rPr>
          <w:rFonts w:ascii="Arial" w:hAnsi="Arial" w:cs="Arial"/>
          <w:i/>
          <w:iCs/>
          <w:sz w:val="20"/>
          <w:szCs w:val="20"/>
        </w:rPr>
        <w:t>et al.,</w:t>
      </w:r>
      <w:r w:rsidRPr="00B2227E">
        <w:rPr>
          <w:rFonts w:ascii="Arial" w:hAnsi="Arial" w:cs="Arial"/>
          <w:sz w:val="20"/>
          <w:szCs w:val="20"/>
        </w:rPr>
        <w:t xml:space="preserve"> 2024; Tang </w:t>
      </w:r>
      <w:r w:rsidRPr="00B2227E">
        <w:rPr>
          <w:rFonts w:ascii="Arial" w:hAnsi="Arial" w:cs="Arial"/>
          <w:i/>
          <w:iCs/>
          <w:sz w:val="20"/>
          <w:szCs w:val="20"/>
        </w:rPr>
        <w:t>et al.,</w:t>
      </w:r>
      <w:r w:rsidRPr="00B2227E">
        <w:rPr>
          <w:rFonts w:ascii="Arial" w:hAnsi="Arial" w:cs="Arial"/>
          <w:sz w:val="20"/>
          <w:szCs w:val="20"/>
        </w:rPr>
        <w:t xml:space="preserve"> 2024). When dietary amino acids or signalling are low, fibroin gene activity drops. Silk protein translation is reduced, resulting in lower cocoon shell weight even if larvae survive (Wu </w:t>
      </w:r>
      <w:r w:rsidRPr="00B2227E">
        <w:rPr>
          <w:rFonts w:ascii="Arial" w:hAnsi="Arial" w:cs="Arial"/>
          <w:i/>
          <w:iCs/>
          <w:sz w:val="20"/>
          <w:szCs w:val="20"/>
        </w:rPr>
        <w:t>et al.,</w:t>
      </w:r>
      <w:r w:rsidRPr="00B2227E">
        <w:rPr>
          <w:rFonts w:ascii="Arial" w:hAnsi="Arial" w:cs="Arial"/>
          <w:sz w:val="20"/>
          <w:szCs w:val="20"/>
        </w:rPr>
        <w:t xml:space="preserve"> 2022).</w:t>
      </w:r>
    </w:p>
    <w:p w14:paraId="75C6AED9" w14:textId="77777777"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 xml:space="preserve"> The microbiota as a modifier of digestion and nutrition</w:t>
      </w:r>
    </w:p>
    <w:p w14:paraId="622EB08B"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Gut bacteria shape digestion and provide metabolites that affect host metabolism. Disruptions from heavy metals, pesticides, or dietary switch change microbiota composition and metabolite profiles, which in turn modify digestive enzyme expression and nutrient availability to the silk gland (Chen </w:t>
      </w:r>
      <w:r w:rsidRPr="00B2227E">
        <w:rPr>
          <w:rFonts w:ascii="Arial" w:hAnsi="Arial" w:cs="Arial"/>
          <w:i/>
          <w:iCs/>
          <w:sz w:val="20"/>
          <w:szCs w:val="20"/>
        </w:rPr>
        <w:t>et al.,</w:t>
      </w:r>
      <w:r w:rsidRPr="00B2227E">
        <w:rPr>
          <w:rFonts w:ascii="Arial" w:hAnsi="Arial" w:cs="Arial"/>
          <w:sz w:val="20"/>
          <w:szCs w:val="20"/>
        </w:rPr>
        <w:t xml:space="preserve"> 2023a; Xin </w:t>
      </w:r>
      <w:r w:rsidRPr="00B2227E">
        <w:rPr>
          <w:rFonts w:ascii="Arial" w:hAnsi="Arial" w:cs="Arial"/>
          <w:i/>
          <w:iCs/>
          <w:sz w:val="20"/>
          <w:szCs w:val="20"/>
        </w:rPr>
        <w:t>et al.,</w:t>
      </w:r>
      <w:r w:rsidRPr="00B2227E">
        <w:rPr>
          <w:rFonts w:ascii="Arial" w:hAnsi="Arial" w:cs="Arial"/>
          <w:sz w:val="20"/>
          <w:szCs w:val="20"/>
        </w:rPr>
        <w:t xml:space="preserve"> 2024). This is one of the reasons that different diets can produce varied cocoon results, such as formula feeds and mulberry leaves (Wu </w:t>
      </w:r>
      <w:r w:rsidRPr="00B2227E">
        <w:rPr>
          <w:rFonts w:ascii="Arial" w:hAnsi="Arial" w:cs="Arial"/>
          <w:i/>
          <w:iCs/>
          <w:sz w:val="20"/>
          <w:szCs w:val="20"/>
        </w:rPr>
        <w:t>et al.,</w:t>
      </w:r>
      <w:r w:rsidRPr="00B2227E">
        <w:rPr>
          <w:rFonts w:ascii="Arial" w:hAnsi="Arial" w:cs="Arial"/>
          <w:sz w:val="20"/>
          <w:szCs w:val="20"/>
        </w:rPr>
        <w:t xml:space="preserve"> 2022).</w:t>
      </w:r>
    </w:p>
    <w:p w14:paraId="3437AC1F" w14:textId="77777777" w:rsidR="00B2227E" w:rsidRPr="00B2227E" w:rsidRDefault="00B2227E" w:rsidP="00B2227E">
      <w:pPr>
        <w:pStyle w:val="NormalWeb"/>
        <w:numPr>
          <w:ilvl w:val="1"/>
          <w:numId w:val="36"/>
        </w:numPr>
        <w:jc w:val="both"/>
        <w:rPr>
          <w:rFonts w:ascii="Arial" w:hAnsi="Arial" w:cs="Arial"/>
          <w:sz w:val="22"/>
          <w:szCs w:val="22"/>
        </w:rPr>
      </w:pPr>
      <w:r w:rsidRPr="00B2227E">
        <w:rPr>
          <w:rStyle w:val="Strong"/>
          <w:rFonts w:ascii="Arial" w:eastAsiaTheme="majorEastAsia" w:hAnsi="Arial" w:cs="Arial"/>
          <w:sz w:val="22"/>
          <w:szCs w:val="22"/>
        </w:rPr>
        <w:t xml:space="preserve"> From diet to cocoon: observed links</w:t>
      </w:r>
    </w:p>
    <w:p w14:paraId="56D3031E" w14:textId="77777777" w:rsidR="00B2227E" w:rsidRPr="00B2227E" w:rsidRDefault="00B2227E" w:rsidP="00B2227E">
      <w:pPr>
        <w:pStyle w:val="NormalWeb"/>
        <w:ind w:firstLine="720"/>
        <w:jc w:val="both"/>
        <w:rPr>
          <w:rFonts w:ascii="Arial" w:hAnsi="Arial" w:cs="Arial"/>
          <w:sz w:val="20"/>
          <w:szCs w:val="20"/>
        </w:rPr>
      </w:pPr>
      <w:r w:rsidRPr="00B2227E">
        <w:rPr>
          <w:rFonts w:ascii="Arial" w:hAnsi="Arial" w:cs="Arial"/>
          <w:sz w:val="20"/>
          <w:szCs w:val="20"/>
        </w:rPr>
        <w:t xml:space="preserve">Empirical metabolomic and physiological studies connect diet composition directly to cocoon traits. Silkworms fed suboptimal or formula diets show altered metabolic profiles in the midgut, haemolymph, and silk gland. These changes correlate with lower cocoon shell rates, reduced fibroin levels, or altered silk mechanical properties (Wu </w:t>
      </w:r>
      <w:r w:rsidRPr="00B2227E">
        <w:rPr>
          <w:rFonts w:ascii="Arial" w:hAnsi="Arial" w:cs="Arial"/>
          <w:i/>
          <w:iCs/>
          <w:sz w:val="20"/>
          <w:szCs w:val="20"/>
        </w:rPr>
        <w:t>et al.,</w:t>
      </w:r>
      <w:r w:rsidRPr="00B2227E">
        <w:rPr>
          <w:rFonts w:ascii="Arial" w:hAnsi="Arial" w:cs="Arial"/>
          <w:sz w:val="20"/>
          <w:szCs w:val="20"/>
        </w:rPr>
        <w:t xml:space="preserve"> 2022). Targeted manipulation of single nutrients, such as leucine, or transport mechanisms like BmSLC7A5 can increase silk protein synthesis. These results demonstrate that nutritional or genetic interventions are viable strategies for improving cocoon yield (Tang </w:t>
      </w:r>
      <w:r w:rsidRPr="00B2227E">
        <w:rPr>
          <w:rFonts w:ascii="Arial" w:hAnsi="Arial" w:cs="Arial"/>
          <w:i/>
          <w:iCs/>
          <w:sz w:val="20"/>
          <w:szCs w:val="20"/>
        </w:rPr>
        <w:t>et al.,</w:t>
      </w:r>
      <w:r w:rsidRPr="00B2227E">
        <w:rPr>
          <w:rFonts w:ascii="Arial" w:hAnsi="Arial" w:cs="Arial"/>
          <w:sz w:val="20"/>
          <w:szCs w:val="20"/>
        </w:rPr>
        <w:t xml:space="preserve"> 2024; Wu </w:t>
      </w:r>
      <w:r w:rsidRPr="00B2227E">
        <w:rPr>
          <w:rFonts w:ascii="Arial" w:hAnsi="Arial" w:cs="Arial"/>
          <w:i/>
          <w:iCs/>
          <w:sz w:val="20"/>
          <w:szCs w:val="20"/>
        </w:rPr>
        <w:t>et al.,</w:t>
      </w:r>
      <w:r w:rsidRPr="00B2227E">
        <w:rPr>
          <w:rFonts w:ascii="Arial" w:hAnsi="Arial" w:cs="Arial"/>
          <w:sz w:val="20"/>
          <w:szCs w:val="20"/>
        </w:rPr>
        <w:t xml:space="preserve"> 2022).</w:t>
      </w:r>
    </w:p>
    <w:p w14:paraId="782B7847" w14:textId="373EADBD" w:rsidR="00B2227E" w:rsidRPr="004627C4" w:rsidRDefault="004627C4" w:rsidP="00B2227E">
      <w:pPr>
        <w:pStyle w:val="ListParagraph"/>
        <w:numPr>
          <w:ilvl w:val="0"/>
          <w:numId w:val="36"/>
        </w:numPr>
        <w:jc w:val="both"/>
        <w:rPr>
          <w:rFonts w:ascii="Arial" w:eastAsia="Times New Roman" w:hAnsi="Arial" w:cs="Arial"/>
          <w:b/>
          <w:bCs/>
          <w:kern w:val="0"/>
          <w:sz w:val="22"/>
          <w:szCs w:val="22"/>
          <w:lang w:eastAsia="en-IN"/>
        </w:rPr>
      </w:pPr>
      <w:r w:rsidRPr="004627C4">
        <w:rPr>
          <w:rFonts w:ascii="Arial" w:eastAsia="Times New Roman" w:hAnsi="Arial" w:cs="Arial"/>
          <w:b/>
          <w:bCs/>
          <w:kern w:val="0"/>
          <w:sz w:val="22"/>
          <w:szCs w:val="22"/>
          <w:lang w:eastAsia="en-IN"/>
        </w:rPr>
        <w:t>STRESS RESPONSES IN THE MULBERRY-SILKWORM SYSTEM</w:t>
      </w:r>
    </w:p>
    <w:p w14:paraId="36B22897" w14:textId="77777777" w:rsidR="00B2227E" w:rsidRPr="004627C4" w:rsidRDefault="00B2227E" w:rsidP="00B2227E">
      <w:pPr>
        <w:pStyle w:val="NormalWeb"/>
        <w:ind w:firstLine="720"/>
        <w:jc w:val="both"/>
        <w:rPr>
          <w:rFonts w:ascii="Arial" w:hAnsi="Arial" w:cs="Arial"/>
          <w:sz w:val="20"/>
          <w:szCs w:val="20"/>
        </w:rPr>
      </w:pPr>
      <w:r w:rsidRPr="004627C4">
        <w:rPr>
          <w:rFonts w:ascii="Arial" w:hAnsi="Arial" w:cs="Arial"/>
          <w:sz w:val="20"/>
          <w:szCs w:val="20"/>
        </w:rPr>
        <w:t xml:space="preserve">Sericulture is highly sensitive to environmental and biological stresses, which can significantly impair larval performance and reduce silk yield. These stresses can be broadly categorized into two groups. Abiotic stresses, including temperature fluctuations, humidity variations, and drought, influence both the biochemical composition of mulberry leaves and the physiological status of the silkworm. Biotic stresses, such as pathogenic infections, pest </w:t>
      </w:r>
      <w:r w:rsidRPr="004627C4">
        <w:rPr>
          <w:rFonts w:ascii="Arial" w:hAnsi="Arial" w:cs="Arial"/>
          <w:sz w:val="20"/>
          <w:szCs w:val="20"/>
        </w:rPr>
        <w:lastRenderedPageBreak/>
        <w:t xml:space="preserve">infestations, and exposure to agrochemicals, affect the insect directly or indirectly by altering the nutritional quality of its food. Silkworms exhibit a range of responses at behavioural, physiological, and molecular levels to cope with these challenges; however, the activation of stress-response mechanisms often involves trade-offs that compromise silk production (Liu </w:t>
      </w:r>
      <w:r w:rsidRPr="004627C4">
        <w:rPr>
          <w:rFonts w:ascii="Arial" w:hAnsi="Arial" w:cs="Arial"/>
          <w:i/>
          <w:iCs/>
          <w:sz w:val="20"/>
          <w:szCs w:val="20"/>
        </w:rPr>
        <w:t xml:space="preserve">et al., </w:t>
      </w:r>
      <w:r w:rsidRPr="004627C4">
        <w:rPr>
          <w:rFonts w:ascii="Arial" w:hAnsi="Arial" w:cs="Arial"/>
          <w:sz w:val="20"/>
          <w:szCs w:val="20"/>
        </w:rPr>
        <w:t xml:space="preserve">2024b; Wang </w:t>
      </w:r>
      <w:r w:rsidRPr="004627C4">
        <w:rPr>
          <w:rFonts w:ascii="Arial" w:hAnsi="Arial" w:cs="Arial"/>
          <w:i/>
          <w:iCs/>
          <w:sz w:val="20"/>
          <w:szCs w:val="20"/>
        </w:rPr>
        <w:t>et al.,</w:t>
      </w:r>
      <w:r w:rsidRPr="004627C4">
        <w:rPr>
          <w:rFonts w:ascii="Arial" w:hAnsi="Arial" w:cs="Arial"/>
          <w:sz w:val="20"/>
          <w:szCs w:val="20"/>
        </w:rPr>
        <w:t xml:space="preserve"> 2024).</w:t>
      </w:r>
      <w:r w:rsidRPr="004627C4">
        <w:rPr>
          <w:rFonts w:ascii="Arial" w:eastAsiaTheme="minorHAnsi" w:hAnsi="Arial" w:cs="Arial"/>
          <w:kern w:val="2"/>
          <w:sz w:val="20"/>
          <w:szCs w:val="20"/>
          <w:lang w:eastAsia="en-US"/>
        </w:rPr>
        <w:t xml:space="preserve"> </w:t>
      </w:r>
      <w:r w:rsidRPr="004627C4">
        <w:rPr>
          <w:rFonts w:ascii="Arial" w:hAnsi="Arial" w:cs="Arial"/>
          <w:sz w:val="20"/>
          <w:szCs w:val="20"/>
        </w:rPr>
        <w:t xml:space="preserve">Key abiotic and biotic stressors, along with their physiological effects on silkworms and impacts on silk quality and yield, are summarized in </w:t>
      </w:r>
      <w:r w:rsidRPr="004627C4">
        <w:rPr>
          <w:rFonts w:ascii="Arial" w:hAnsi="Arial" w:cs="Arial"/>
          <w:b/>
          <w:bCs/>
          <w:sz w:val="20"/>
          <w:szCs w:val="20"/>
        </w:rPr>
        <w:t>Table 2.</w:t>
      </w:r>
    </w:p>
    <w:p w14:paraId="6BCBF8CD" w14:textId="77777777" w:rsidR="00B2227E" w:rsidRPr="004627C4" w:rsidRDefault="00B2227E" w:rsidP="00B2227E">
      <w:pPr>
        <w:pStyle w:val="NormalWeb"/>
        <w:jc w:val="center"/>
        <w:rPr>
          <w:rFonts w:ascii="Arial" w:hAnsi="Arial" w:cs="Arial"/>
          <w:b/>
          <w:bCs/>
          <w:sz w:val="20"/>
          <w:szCs w:val="20"/>
        </w:rPr>
      </w:pPr>
      <w:r w:rsidRPr="004627C4">
        <w:rPr>
          <w:rFonts w:ascii="Arial" w:hAnsi="Arial" w:cs="Arial"/>
          <w:b/>
          <w:bCs/>
          <w:sz w:val="20"/>
          <w:szCs w:val="20"/>
        </w:rPr>
        <w:t>Table 2. Stress factors affecting silkworm physiology and silk production</w:t>
      </w:r>
    </w:p>
    <w:tbl>
      <w:tblPr>
        <w:tblStyle w:val="TableGrid"/>
        <w:tblW w:w="0" w:type="auto"/>
        <w:jc w:val="center"/>
        <w:tblLook w:val="04A0" w:firstRow="1" w:lastRow="0" w:firstColumn="1" w:lastColumn="0" w:noHBand="0" w:noVBand="1"/>
      </w:tblPr>
      <w:tblGrid>
        <w:gridCol w:w="1781"/>
        <w:gridCol w:w="2330"/>
        <w:gridCol w:w="2614"/>
        <w:gridCol w:w="1699"/>
      </w:tblGrid>
      <w:tr w:rsidR="00B2227E" w:rsidRPr="004627C4" w14:paraId="340F4C8D" w14:textId="77777777" w:rsidTr="004627C4">
        <w:trPr>
          <w:trHeight w:val="733"/>
          <w:jc w:val="center"/>
        </w:trPr>
        <w:tc>
          <w:tcPr>
            <w:tcW w:w="1838" w:type="dxa"/>
            <w:vAlign w:val="center"/>
          </w:tcPr>
          <w:p w14:paraId="0B14C969" w14:textId="77777777" w:rsidR="00B2227E" w:rsidRPr="004627C4" w:rsidRDefault="00B2227E" w:rsidP="008810EB">
            <w:pPr>
              <w:pStyle w:val="NormalWeb"/>
              <w:rPr>
                <w:rFonts w:ascii="Arial" w:hAnsi="Arial" w:cs="Arial"/>
                <w:b/>
                <w:bCs/>
                <w:sz w:val="20"/>
                <w:szCs w:val="20"/>
              </w:rPr>
            </w:pPr>
            <w:r w:rsidRPr="004627C4">
              <w:rPr>
                <w:rFonts w:ascii="Arial" w:hAnsi="Arial" w:cs="Arial"/>
                <w:b/>
                <w:bCs/>
                <w:sz w:val="20"/>
                <w:szCs w:val="20"/>
              </w:rPr>
              <w:t>Stress Factor</w:t>
            </w:r>
          </w:p>
        </w:tc>
        <w:tc>
          <w:tcPr>
            <w:tcW w:w="2552" w:type="dxa"/>
            <w:vAlign w:val="center"/>
          </w:tcPr>
          <w:p w14:paraId="377F7B37" w14:textId="77777777" w:rsidR="00B2227E" w:rsidRPr="004627C4" w:rsidRDefault="00B2227E" w:rsidP="008810EB">
            <w:pPr>
              <w:pStyle w:val="NormalWeb"/>
              <w:rPr>
                <w:rFonts w:ascii="Arial" w:hAnsi="Arial" w:cs="Arial"/>
                <w:b/>
                <w:bCs/>
                <w:sz w:val="20"/>
                <w:szCs w:val="20"/>
              </w:rPr>
            </w:pPr>
            <w:r w:rsidRPr="004627C4">
              <w:rPr>
                <w:rFonts w:ascii="Arial" w:hAnsi="Arial" w:cs="Arial"/>
                <w:b/>
                <w:bCs/>
                <w:sz w:val="20"/>
                <w:szCs w:val="20"/>
              </w:rPr>
              <w:t>Silkworm Response</w:t>
            </w:r>
          </w:p>
        </w:tc>
        <w:tc>
          <w:tcPr>
            <w:tcW w:w="2835" w:type="dxa"/>
            <w:vAlign w:val="center"/>
          </w:tcPr>
          <w:p w14:paraId="30A6BE0E" w14:textId="77777777" w:rsidR="00B2227E" w:rsidRPr="004627C4" w:rsidRDefault="00B2227E" w:rsidP="008810EB">
            <w:pPr>
              <w:pStyle w:val="NormalWeb"/>
              <w:rPr>
                <w:rFonts w:ascii="Arial" w:hAnsi="Arial" w:cs="Arial"/>
                <w:b/>
                <w:bCs/>
                <w:sz w:val="20"/>
                <w:szCs w:val="20"/>
              </w:rPr>
            </w:pPr>
            <w:r w:rsidRPr="004627C4">
              <w:rPr>
                <w:rFonts w:ascii="Arial" w:hAnsi="Arial" w:cs="Arial"/>
                <w:b/>
                <w:bCs/>
                <w:sz w:val="20"/>
                <w:szCs w:val="20"/>
              </w:rPr>
              <w:t>Consequences for Silk Production</w:t>
            </w:r>
          </w:p>
        </w:tc>
        <w:tc>
          <w:tcPr>
            <w:tcW w:w="1791" w:type="dxa"/>
            <w:vAlign w:val="center"/>
          </w:tcPr>
          <w:p w14:paraId="07D5E719" w14:textId="77777777" w:rsidR="00B2227E" w:rsidRPr="004627C4" w:rsidRDefault="00B2227E" w:rsidP="008810EB">
            <w:pPr>
              <w:pStyle w:val="NormalWeb"/>
              <w:rPr>
                <w:rFonts w:ascii="Arial" w:hAnsi="Arial" w:cs="Arial"/>
                <w:b/>
                <w:bCs/>
                <w:sz w:val="20"/>
                <w:szCs w:val="20"/>
              </w:rPr>
            </w:pPr>
            <w:r w:rsidRPr="004627C4">
              <w:rPr>
                <w:rFonts w:ascii="Arial" w:hAnsi="Arial" w:cs="Arial"/>
                <w:b/>
                <w:bCs/>
                <w:sz w:val="20"/>
                <w:szCs w:val="20"/>
              </w:rPr>
              <w:t>References</w:t>
            </w:r>
          </w:p>
        </w:tc>
      </w:tr>
      <w:tr w:rsidR="00B2227E" w:rsidRPr="004627C4" w14:paraId="0BCF42A2" w14:textId="77777777" w:rsidTr="004627C4">
        <w:trPr>
          <w:trHeight w:val="1254"/>
          <w:jc w:val="center"/>
        </w:trPr>
        <w:tc>
          <w:tcPr>
            <w:tcW w:w="1838" w:type="dxa"/>
            <w:vAlign w:val="center"/>
          </w:tcPr>
          <w:p w14:paraId="49F885FA"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Heat / Temperature fluctuations</w:t>
            </w:r>
          </w:p>
        </w:tc>
        <w:tc>
          <w:tcPr>
            <w:tcW w:w="2552" w:type="dxa"/>
            <w:vAlign w:val="center"/>
          </w:tcPr>
          <w:p w14:paraId="5E38AFF8"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Induction of heat-shock proteins (HSPs), increased ROS, metabolic shifts</w:t>
            </w:r>
          </w:p>
        </w:tc>
        <w:tc>
          <w:tcPr>
            <w:tcW w:w="2835" w:type="dxa"/>
            <w:vAlign w:val="center"/>
          </w:tcPr>
          <w:p w14:paraId="3FC3A95E"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Reduced fibroin synthesis, smaller cocoon size, lower </w:t>
            </w:r>
            <w:proofErr w:type="spellStart"/>
            <w:r w:rsidRPr="004627C4">
              <w:rPr>
                <w:rFonts w:ascii="Arial" w:hAnsi="Arial" w:cs="Arial"/>
                <w:sz w:val="20"/>
                <w:szCs w:val="20"/>
              </w:rPr>
              <w:t>fiber</w:t>
            </w:r>
            <w:proofErr w:type="spellEnd"/>
            <w:r w:rsidRPr="004627C4">
              <w:rPr>
                <w:rFonts w:ascii="Arial" w:hAnsi="Arial" w:cs="Arial"/>
                <w:sz w:val="20"/>
                <w:szCs w:val="20"/>
              </w:rPr>
              <w:t xml:space="preserve"> strength and </w:t>
            </w:r>
            <w:proofErr w:type="spellStart"/>
            <w:r w:rsidRPr="004627C4">
              <w:rPr>
                <w:rFonts w:ascii="Arial" w:hAnsi="Arial" w:cs="Arial"/>
                <w:sz w:val="20"/>
                <w:szCs w:val="20"/>
              </w:rPr>
              <w:t>luster</w:t>
            </w:r>
            <w:proofErr w:type="spellEnd"/>
          </w:p>
        </w:tc>
        <w:tc>
          <w:tcPr>
            <w:tcW w:w="1791" w:type="dxa"/>
            <w:vAlign w:val="center"/>
          </w:tcPr>
          <w:p w14:paraId="504540AE"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Wang </w:t>
            </w:r>
            <w:r w:rsidRPr="004627C4">
              <w:rPr>
                <w:rFonts w:ascii="Arial" w:hAnsi="Arial" w:cs="Arial"/>
                <w:i/>
                <w:iCs/>
                <w:sz w:val="20"/>
                <w:szCs w:val="20"/>
              </w:rPr>
              <w:t>et al.,</w:t>
            </w:r>
            <w:r w:rsidRPr="004627C4">
              <w:rPr>
                <w:rFonts w:ascii="Arial" w:hAnsi="Arial" w:cs="Arial"/>
                <w:sz w:val="20"/>
                <w:szCs w:val="20"/>
              </w:rPr>
              <w:t xml:space="preserve"> 2024; Iqbal </w:t>
            </w:r>
            <w:r w:rsidRPr="004627C4">
              <w:rPr>
                <w:rFonts w:ascii="Arial" w:hAnsi="Arial" w:cs="Arial"/>
                <w:i/>
                <w:iCs/>
                <w:sz w:val="20"/>
                <w:szCs w:val="20"/>
              </w:rPr>
              <w:t>et al.,</w:t>
            </w:r>
            <w:r w:rsidRPr="004627C4">
              <w:rPr>
                <w:rFonts w:ascii="Arial" w:hAnsi="Arial" w:cs="Arial"/>
                <w:sz w:val="20"/>
                <w:szCs w:val="20"/>
              </w:rPr>
              <w:t xml:space="preserve"> 2025</w:t>
            </w:r>
          </w:p>
        </w:tc>
      </w:tr>
      <w:tr w:rsidR="00B2227E" w:rsidRPr="004627C4" w14:paraId="501F7B18" w14:textId="77777777" w:rsidTr="004627C4">
        <w:trPr>
          <w:trHeight w:val="1271"/>
          <w:jc w:val="center"/>
        </w:trPr>
        <w:tc>
          <w:tcPr>
            <w:tcW w:w="1838" w:type="dxa"/>
            <w:vAlign w:val="center"/>
          </w:tcPr>
          <w:p w14:paraId="293BF826"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Humidity extremes (low/high)</w:t>
            </w:r>
          </w:p>
        </w:tc>
        <w:tc>
          <w:tcPr>
            <w:tcW w:w="2552" w:type="dxa"/>
            <w:vAlign w:val="center"/>
          </w:tcPr>
          <w:p w14:paraId="7CABA597"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Altered water balance, disrupted moulting and spinning behaviour</w:t>
            </w:r>
          </w:p>
        </w:tc>
        <w:tc>
          <w:tcPr>
            <w:tcW w:w="2835" w:type="dxa"/>
            <w:vAlign w:val="center"/>
          </w:tcPr>
          <w:p w14:paraId="5FFC7F40"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Incomplete spinning, irregular </w:t>
            </w:r>
            <w:proofErr w:type="spellStart"/>
            <w:r w:rsidRPr="004627C4">
              <w:rPr>
                <w:rFonts w:ascii="Arial" w:hAnsi="Arial" w:cs="Arial"/>
                <w:sz w:val="20"/>
                <w:szCs w:val="20"/>
              </w:rPr>
              <w:t>fiber</w:t>
            </w:r>
            <w:proofErr w:type="spellEnd"/>
            <w:r w:rsidRPr="004627C4">
              <w:rPr>
                <w:rFonts w:ascii="Arial" w:hAnsi="Arial" w:cs="Arial"/>
                <w:sz w:val="20"/>
                <w:szCs w:val="20"/>
              </w:rPr>
              <w:t xml:space="preserve"> structure, increased pathogen susceptibility</w:t>
            </w:r>
          </w:p>
        </w:tc>
        <w:tc>
          <w:tcPr>
            <w:tcW w:w="1791" w:type="dxa"/>
            <w:vAlign w:val="center"/>
          </w:tcPr>
          <w:p w14:paraId="74AA9B94"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Manjunatha </w:t>
            </w:r>
            <w:r w:rsidRPr="004627C4">
              <w:rPr>
                <w:rFonts w:ascii="Arial" w:hAnsi="Arial" w:cs="Arial"/>
                <w:i/>
                <w:iCs/>
                <w:sz w:val="20"/>
                <w:szCs w:val="20"/>
              </w:rPr>
              <w:t>et al.,</w:t>
            </w:r>
            <w:r w:rsidRPr="004627C4">
              <w:rPr>
                <w:rFonts w:ascii="Arial" w:hAnsi="Arial" w:cs="Arial"/>
                <w:sz w:val="20"/>
                <w:szCs w:val="20"/>
              </w:rPr>
              <w:t xml:space="preserve"> 2010; Ashraf &amp; Qamar, 2023</w:t>
            </w:r>
          </w:p>
        </w:tc>
      </w:tr>
      <w:tr w:rsidR="00B2227E" w:rsidRPr="004627C4" w14:paraId="0E1DECAE" w14:textId="77777777" w:rsidTr="004627C4">
        <w:trPr>
          <w:trHeight w:val="992"/>
          <w:jc w:val="center"/>
        </w:trPr>
        <w:tc>
          <w:tcPr>
            <w:tcW w:w="1838" w:type="dxa"/>
            <w:vAlign w:val="center"/>
          </w:tcPr>
          <w:p w14:paraId="62C22B26"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Drought / Water stress</w:t>
            </w:r>
          </w:p>
        </w:tc>
        <w:tc>
          <w:tcPr>
            <w:tcW w:w="2552" w:type="dxa"/>
            <w:vAlign w:val="center"/>
          </w:tcPr>
          <w:p w14:paraId="4DFE2C11"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Reduced feeding, elevated oxidative stress</w:t>
            </w:r>
          </w:p>
        </w:tc>
        <w:tc>
          <w:tcPr>
            <w:tcW w:w="2835" w:type="dxa"/>
            <w:vAlign w:val="center"/>
          </w:tcPr>
          <w:p w14:paraId="2AED6B28"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Lower cocoon weight, decreased silk yield</w:t>
            </w:r>
          </w:p>
        </w:tc>
        <w:tc>
          <w:tcPr>
            <w:tcW w:w="1791" w:type="dxa"/>
            <w:vAlign w:val="center"/>
          </w:tcPr>
          <w:p w14:paraId="7134B558" w14:textId="3474AB5C" w:rsidR="00B2227E" w:rsidRPr="004627C4" w:rsidRDefault="00E63D32" w:rsidP="008810EB">
            <w:pPr>
              <w:pStyle w:val="NormalWeb"/>
              <w:rPr>
                <w:rFonts w:ascii="Arial" w:hAnsi="Arial" w:cs="Arial"/>
                <w:sz w:val="20"/>
                <w:szCs w:val="20"/>
              </w:rPr>
            </w:pPr>
            <w:r w:rsidRPr="004627C4">
              <w:rPr>
                <w:rFonts w:ascii="Arial" w:hAnsi="Arial" w:cs="Arial"/>
                <w:sz w:val="20"/>
                <w:szCs w:val="20"/>
              </w:rPr>
              <w:t xml:space="preserve">Peng </w:t>
            </w:r>
            <w:r w:rsidRPr="004627C4">
              <w:rPr>
                <w:rFonts w:ascii="Arial" w:hAnsi="Arial" w:cs="Arial"/>
                <w:i/>
                <w:iCs/>
                <w:sz w:val="20"/>
                <w:szCs w:val="20"/>
              </w:rPr>
              <w:t xml:space="preserve">et al., </w:t>
            </w:r>
            <w:r w:rsidRPr="004627C4">
              <w:rPr>
                <w:rFonts w:ascii="Arial" w:hAnsi="Arial" w:cs="Arial"/>
                <w:sz w:val="20"/>
                <w:szCs w:val="20"/>
              </w:rPr>
              <w:t>2023</w:t>
            </w:r>
            <w:r>
              <w:rPr>
                <w:rFonts w:ascii="Arial" w:hAnsi="Arial" w:cs="Arial"/>
                <w:sz w:val="20"/>
                <w:szCs w:val="20"/>
              </w:rPr>
              <w:t xml:space="preserve">; </w:t>
            </w:r>
            <w:r w:rsidR="00B2227E" w:rsidRPr="004627C4">
              <w:rPr>
                <w:rFonts w:ascii="Arial" w:hAnsi="Arial" w:cs="Arial"/>
                <w:sz w:val="20"/>
                <w:szCs w:val="20"/>
              </w:rPr>
              <w:t xml:space="preserve">Liu </w:t>
            </w:r>
            <w:r w:rsidR="00B2227E" w:rsidRPr="004627C4">
              <w:rPr>
                <w:rFonts w:ascii="Arial" w:hAnsi="Arial" w:cs="Arial"/>
                <w:i/>
                <w:iCs/>
                <w:sz w:val="20"/>
                <w:szCs w:val="20"/>
              </w:rPr>
              <w:t>et al.,</w:t>
            </w:r>
            <w:r w:rsidR="00B2227E" w:rsidRPr="004627C4">
              <w:rPr>
                <w:rFonts w:ascii="Arial" w:hAnsi="Arial" w:cs="Arial"/>
                <w:sz w:val="20"/>
                <w:szCs w:val="20"/>
              </w:rPr>
              <w:t xml:space="preserve"> 2024b</w:t>
            </w:r>
          </w:p>
        </w:tc>
      </w:tr>
      <w:tr w:rsidR="00B2227E" w:rsidRPr="004627C4" w14:paraId="12C49399" w14:textId="77777777" w:rsidTr="004627C4">
        <w:trPr>
          <w:trHeight w:val="1247"/>
          <w:jc w:val="center"/>
        </w:trPr>
        <w:tc>
          <w:tcPr>
            <w:tcW w:w="1838" w:type="dxa"/>
            <w:vAlign w:val="center"/>
          </w:tcPr>
          <w:p w14:paraId="2D0D7E7E"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Viral &amp; bacterial pathogens (e.g., </w:t>
            </w:r>
            <w:proofErr w:type="spellStart"/>
            <w:r w:rsidRPr="004627C4">
              <w:rPr>
                <w:rFonts w:ascii="Arial" w:hAnsi="Arial" w:cs="Arial"/>
                <w:sz w:val="20"/>
                <w:szCs w:val="20"/>
              </w:rPr>
              <w:t>BmNPV</w:t>
            </w:r>
            <w:proofErr w:type="spellEnd"/>
            <w:r w:rsidRPr="004627C4">
              <w:rPr>
                <w:rFonts w:ascii="Arial" w:hAnsi="Arial" w:cs="Arial"/>
                <w:sz w:val="20"/>
                <w:szCs w:val="20"/>
              </w:rPr>
              <w:t>)</w:t>
            </w:r>
          </w:p>
        </w:tc>
        <w:tc>
          <w:tcPr>
            <w:tcW w:w="2552" w:type="dxa"/>
            <w:vAlign w:val="center"/>
          </w:tcPr>
          <w:p w14:paraId="79BA72D9"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Immune activation, resource diversion to </w:t>
            </w:r>
            <w:proofErr w:type="spellStart"/>
            <w:r w:rsidRPr="004627C4">
              <w:rPr>
                <w:rFonts w:ascii="Arial" w:hAnsi="Arial" w:cs="Arial"/>
                <w:sz w:val="20"/>
                <w:szCs w:val="20"/>
              </w:rPr>
              <w:t>defense</w:t>
            </w:r>
            <w:proofErr w:type="spellEnd"/>
          </w:p>
        </w:tc>
        <w:tc>
          <w:tcPr>
            <w:tcW w:w="2835" w:type="dxa"/>
            <w:vAlign w:val="center"/>
          </w:tcPr>
          <w:p w14:paraId="00D4EF30"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Decreased cocoon shell weight, altered </w:t>
            </w:r>
            <w:proofErr w:type="spellStart"/>
            <w:r w:rsidRPr="004627C4">
              <w:rPr>
                <w:rFonts w:ascii="Arial" w:hAnsi="Arial" w:cs="Arial"/>
                <w:sz w:val="20"/>
                <w:szCs w:val="20"/>
              </w:rPr>
              <w:t>fiber</w:t>
            </w:r>
            <w:proofErr w:type="spellEnd"/>
            <w:r w:rsidRPr="004627C4">
              <w:rPr>
                <w:rFonts w:ascii="Arial" w:hAnsi="Arial" w:cs="Arial"/>
                <w:sz w:val="20"/>
                <w:szCs w:val="20"/>
              </w:rPr>
              <w:t xml:space="preserve"> composition</w:t>
            </w:r>
          </w:p>
        </w:tc>
        <w:tc>
          <w:tcPr>
            <w:tcW w:w="1791" w:type="dxa"/>
            <w:vAlign w:val="center"/>
          </w:tcPr>
          <w:p w14:paraId="03E8BDC3"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Wang </w:t>
            </w:r>
            <w:r w:rsidRPr="004627C4">
              <w:rPr>
                <w:rFonts w:ascii="Arial" w:hAnsi="Arial" w:cs="Arial"/>
                <w:i/>
                <w:iCs/>
                <w:sz w:val="20"/>
                <w:szCs w:val="20"/>
              </w:rPr>
              <w:t>et al.,</w:t>
            </w:r>
            <w:r w:rsidRPr="004627C4">
              <w:rPr>
                <w:rFonts w:ascii="Arial" w:hAnsi="Arial" w:cs="Arial"/>
                <w:sz w:val="20"/>
                <w:szCs w:val="20"/>
              </w:rPr>
              <w:t xml:space="preserve"> 2017; Liang </w:t>
            </w:r>
            <w:r w:rsidRPr="004627C4">
              <w:rPr>
                <w:rFonts w:ascii="Arial" w:hAnsi="Arial" w:cs="Arial"/>
                <w:i/>
                <w:iCs/>
                <w:sz w:val="20"/>
                <w:szCs w:val="20"/>
              </w:rPr>
              <w:t xml:space="preserve">et al., </w:t>
            </w:r>
            <w:r w:rsidRPr="004627C4">
              <w:rPr>
                <w:rFonts w:ascii="Arial" w:hAnsi="Arial" w:cs="Arial"/>
                <w:sz w:val="20"/>
                <w:szCs w:val="20"/>
              </w:rPr>
              <w:t>2024</w:t>
            </w:r>
          </w:p>
        </w:tc>
      </w:tr>
      <w:tr w:rsidR="00B2227E" w:rsidRPr="004627C4" w14:paraId="591C3CCE" w14:textId="77777777" w:rsidTr="004627C4">
        <w:trPr>
          <w:trHeight w:val="997"/>
          <w:jc w:val="center"/>
        </w:trPr>
        <w:tc>
          <w:tcPr>
            <w:tcW w:w="1838" w:type="dxa"/>
            <w:vAlign w:val="center"/>
          </w:tcPr>
          <w:p w14:paraId="1A5F0492"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Pesticide residues / Agrochemicals</w:t>
            </w:r>
          </w:p>
        </w:tc>
        <w:tc>
          <w:tcPr>
            <w:tcW w:w="2552" w:type="dxa"/>
            <w:vAlign w:val="center"/>
          </w:tcPr>
          <w:p w14:paraId="4A3F2126"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Detox enzyme induction, gut microbiota disruption</w:t>
            </w:r>
          </w:p>
        </w:tc>
        <w:tc>
          <w:tcPr>
            <w:tcW w:w="2835" w:type="dxa"/>
            <w:vAlign w:val="center"/>
          </w:tcPr>
          <w:p w14:paraId="72E77F1B"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Impaired digestion, smaller cocoons, weaker/coarser </w:t>
            </w:r>
            <w:proofErr w:type="spellStart"/>
            <w:r w:rsidRPr="004627C4">
              <w:rPr>
                <w:rFonts w:ascii="Arial" w:hAnsi="Arial" w:cs="Arial"/>
                <w:sz w:val="20"/>
                <w:szCs w:val="20"/>
              </w:rPr>
              <w:t>fibers</w:t>
            </w:r>
            <w:proofErr w:type="spellEnd"/>
          </w:p>
        </w:tc>
        <w:tc>
          <w:tcPr>
            <w:tcW w:w="1791" w:type="dxa"/>
            <w:vAlign w:val="center"/>
          </w:tcPr>
          <w:p w14:paraId="36042C17"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Chen </w:t>
            </w:r>
            <w:r w:rsidRPr="004627C4">
              <w:rPr>
                <w:rFonts w:ascii="Arial" w:hAnsi="Arial" w:cs="Arial"/>
                <w:i/>
                <w:iCs/>
                <w:sz w:val="20"/>
                <w:szCs w:val="20"/>
              </w:rPr>
              <w:t>et al.,</w:t>
            </w:r>
            <w:r w:rsidRPr="004627C4">
              <w:rPr>
                <w:rFonts w:ascii="Arial" w:hAnsi="Arial" w:cs="Arial"/>
                <w:sz w:val="20"/>
                <w:szCs w:val="20"/>
              </w:rPr>
              <w:t xml:space="preserve"> 2023b; Sun </w:t>
            </w:r>
            <w:r w:rsidRPr="004627C4">
              <w:rPr>
                <w:rFonts w:ascii="Arial" w:hAnsi="Arial" w:cs="Arial"/>
                <w:i/>
                <w:iCs/>
                <w:sz w:val="20"/>
                <w:szCs w:val="20"/>
              </w:rPr>
              <w:t xml:space="preserve">et al., </w:t>
            </w:r>
            <w:r w:rsidRPr="004627C4">
              <w:rPr>
                <w:rFonts w:ascii="Arial" w:hAnsi="Arial" w:cs="Arial"/>
                <w:sz w:val="20"/>
                <w:szCs w:val="20"/>
              </w:rPr>
              <w:t>2024</w:t>
            </w:r>
          </w:p>
        </w:tc>
      </w:tr>
      <w:tr w:rsidR="00B2227E" w:rsidRPr="004627C4" w14:paraId="68D3C983" w14:textId="77777777" w:rsidTr="004627C4">
        <w:trPr>
          <w:trHeight w:val="985"/>
          <w:jc w:val="center"/>
        </w:trPr>
        <w:tc>
          <w:tcPr>
            <w:tcW w:w="1838" w:type="dxa"/>
            <w:vAlign w:val="center"/>
          </w:tcPr>
          <w:p w14:paraId="2B558B7F"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Oxidative stress</w:t>
            </w:r>
          </w:p>
        </w:tc>
        <w:tc>
          <w:tcPr>
            <w:tcW w:w="2552" w:type="dxa"/>
            <w:vAlign w:val="center"/>
          </w:tcPr>
          <w:p w14:paraId="0BD546C1"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Upregulation of antioxidant enzymes (SOD, CAT, GST)</w:t>
            </w:r>
          </w:p>
        </w:tc>
        <w:tc>
          <w:tcPr>
            <w:tcW w:w="2835" w:type="dxa"/>
            <w:vAlign w:val="center"/>
          </w:tcPr>
          <w:p w14:paraId="100815C2"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Maintains </w:t>
            </w:r>
            <w:proofErr w:type="spellStart"/>
            <w:r w:rsidRPr="004627C4">
              <w:rPr>
                <w:rFonts w:ascii="Arial" w:hAnsi="Arial" w:cs="Arial"/>
                <w:sz w:val="20"/>
                <w:szCs w:val="20"/>
              </w:rPr>
              <w:t>fiber</w:t>
            </w:r>
            <w:proofErr w:type="spellEnd"/>
            <w:r w:rsidRPr="004627C4">
              <w:rPr>
                <w:rFonts w:ascii="Arial" w:hAnsi="Arial" w:cs="Arial"/>
                <w:sz w:val="20"/>
                <w:szCs w:val="20"/>
              </w:rPr>
              <w:t xml:space="preserve"> integrity if moderate; excessive stress reduces quality</w:t>
            </w:r>
          </w:p>
        </w:tc>
        <w:tc>
          <w:tcPr>
            <w:tcW w:w="1791" w:type="dxa"/>
            <w:vAlign w:val="center"/>
          </w:tcPr>
          <w:p w14:paraId="21377D6F"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Wang </w:t>
            </w:r>
            <w:r w:rsidRPr="004627C4">
              <w:rPr>
                <w:rFonts w:ascii="Arial" w:hAnsi="Arial" w:cs="Arial"/>
                <w:i/>
                <w:iCs/>
                <w:sz w:val="20"/>
                <w:szCs w:val="20"/>
              </w:rPr>
              <w:t>et al.,</w:t>
            </w:r>
            <w:r w:rsidRPr="004627C4">
              <w:rPr>
                <w:rFonts w:ascii="Arial" w:hAnsi="Arial" w:cs="Arial"/>
                <w:sz w:val="20"/>
                <w:szCs w:val="20"/>
              </w:rPr>
              <w:t xml:space="preserve"> 2024; Wen </w:t>
            </w:r>
            <w:r w:rsidRPr="004627C4">
              <w:rPr>
                <w:rFonts w:ascii="Arial" w:hAnsi="Arial" w:cs="Arial"/>
                <w:i/>
                <w:iCs/>
                <w:sz w:val="20"/>
                <w:szCs w:val="20"/>
              </w:rPr>
              <w:t xml:space="preserve">et al., </w:t>
            </w:r>
            <w:r w:rsidRPr="004627C4">
              <w:rPr>
                <w:rFonts w:ascii="Arial" w:hAnsi="Arial" w:cs="Arial"/>
                <w:sz w:val="20"/>
                <w:szCs w:val="20"/>
              </w:rPr>
              <w:t>2024</w:t>
            </w:r>
          </w:p>
        </w:tc>
      </w:tr>
      <w:tr w:rsidR="00B2227E" w:rsidRPr="004627C4" w14:paraId="16FA6449" w14:textId="77777777" w:rsidTr="004627C4">
        <w:trPr>
          <w:trHeight w:val="973"/>
          <w:jc w:val="center"/>
        </w:trPr>
        <w:tc>
          <w:tcPr>
            <w:tcW w:w="1838" w:type="dxa"/>
            <w:vAlign w:val="center"/>
          </w:tcPr>
          <w:p w14:paraId="1FE69DA7"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Gut dysbiosis</w:t>
            </w:r>
          </w:p>
        </w:tc>
        <w:tc>
          <w:tcPr>
            <w:tcW w:w="2552" w:type="dxa"/>
            <w:vAlign w:val="center"/>
          </w:tcPr>
          <w:p w14:paraId="6D3ADB31"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Altered microbial composition, reduced nutrient absorption</w:t>
            </w:r>
          </w:p>
        </w:tc>
        <w:tc>
          <w:tcPr>
            <w:tcW w:w="2835" w:type="dxa"/>
            <w:vAlign w:val="center"/>
          </w:tcPr>
          <w:p w14:paraId="05F7EA9B"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Lower fibroin synthesis, decreased cocoon mass</w:t>
            </w:r>
          </w:p>
        </w:tc>
        <w:tc>
          <w:tcPr>
            <w:tcW w:w="1791" w:type="dxa"/>
            <w:vAlign w:val="center"/>
          </w:tcPr>
          <w:p w14:paraId="12EFDCE8" w14:textId="77777777" w:rsidR="00B2227E" w:rsidRPr="004627C4" w:rsidRDefault="00B2227E" w:rsidP="008810EB">
            <w:pPr>
              <w:pStyle w:val="NormalWeb"/>
              <w:rPr>
                <w:rFonts w:ascii="Arial" w:hAnsi="Arial" w:cs="Arial"/>
                <w:sz w:val="20"/>
                <w:szCs w:val="20"/>
              </w:rPr>
            </w:pPr>
            <w:r w:rsidRPr="004627C4">
              <w:rPr>
                <w:rFonts w:ascii="Arial" w:hAnsi="Arial" w:cs="Arial"/>
                <w:sz w:val="20"/>
                <w:szCs w:val="20"/>
              </w:rPr>
              <w:t xml:space="preserve">Xin </w:t>
            </w:r>
            <w:r w:rsidRPr="004627C4">
              <w:rPr>
                <w:rFonts w:ascii="Arial" w:hAnsi="Arial" w:cs="Arial"/>
                <w:i/>
                <w:iCs/>
                <w:sz w:val="20"/>
                <w:szCs w:val="20"/>
              </w:rPr>
              <w:t>et al.,</w:t>
            </w:r>
            <w:r w:rsidRPr="004627C4">
              <w:rPr>
                <w:rFonts w:ascii="Arial" w:hAnsi="Arial" w:cs="Arial"/>
                <w:sz w:val="20"/>
                <w:szCs w:val="20"/>
              </w:rPr>
              <w:t xml:space="preserve"> 2024; Yuan </w:t>
            </w:r>
            <w:r w:rsidRPr="004627C4">
              <w:rPr>
                <w:rFonts w:ascii="Arial" w:hAnsi="Arial" w:cs="Arial"/>
                <w:i/>
                <w:iCs/>
                <w:sz w:val="20"/>
                <w:szCs w:val="20"/>
              </w:rPr>
              <w:t>et al.,</w:t>
            </w:r>
            <w:r w:rsidRPr="004627C4">
              <w:rPr>
                <w:rFonts w:ascii="Arial" w:hAnsi="Arial" w:cs="Arial"/>
                <w:sz w:val="20"/>
                <w:szCs w:val="20"/>
              </w:rPr>
              <w:t xml:space="preserve"> 2023</w:t>
            </w:r>
          </w:p>
        </w:tc>
      </w:tr>
    </w:tbl>
    <w:p w14:paraId="1EE5FA3F" w14:textId="77777777" w:rsidR="00B2227E" w:rsidRPr="00B2227E" w:rsidRDefault="00B2227E" w:rsidP="00B2227E">
      <w:pPr>
        <w:pStyle w:val="NormalWeb"/>
        <w:spacing w:before="0" w:beforeAutospacing="0" w:after="0" w:afterAutospacing="0"/>
        <w:jc w:val="both"/>
        <w:rPr>
          <w:rFonts w:ascii="Arial" w:hAnsi="Arial" w:cs="Arial"/>
        </w:rPr>
      </w:pPr>
    </w:p>
    <w:p w14:paraId="77BDFF6D" w14:textId="77777777" w:rsidR="00B2227E" w:rsidRPr="004627C4" w:rsidRDefault="00B2227E" w:rsidP="00B2227E">
      <w:pPr>
        <w:pStyle w:val="ListParagraph"/>
        <w:numPr>
          <w:ilvl w:val="1"/>
          <w:numId w:val="36"/>
        </w:numPr>
        <w:jc w:val="both"/>
        <w:rPr>
          <w:rFonts w:ascii="Arial" w:eastAsia="Times New Roman" w:hAnsi="Arial" w:cs="Arial"/>
          <w:kern w:val="0"/>
          <w:sz w:val="22"/>
          <w:szCs w:val="22"/>
          <w:lang w:eastAsia="en-IN"/>
        </w:rPr>
      </w:pPr>
      <w:r w:rsidRPr="004627C4">
        <w:rPr>
          <w:rFonts w:ascii="Arial" w:eastAsia="Times New Roman" w:hAnsi="Arial" w:cs="Arial"/>
          <w:b/>
          <w:bCs/>
          <w:kern w:val="0"/>
          <w:sz w:val="22"/>
          <w:szCs w:val="22"/>
          <w:lang w:eastAsia="en-IN"/>
        </w:rPr>
        <w:t xml:space="preserve"> Environmental stresses (temperature, humidity, drought)</w:t>
      </w:r>
    </w:p>
    <w:p w14:paraId="4EFCEFCF"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5888B1BD" w14:textId="77777777" w:rsidR="00B2227E" w:rsidRPr="004627C4" w:rsidRDefault="00B2227E" w:rsidP="00B2227E">
      <w:pPr>
        <w:pStyle w:val="ListParagraph"/>
        <w:numPr>
          <w:ilvl w:val="0"/>
          <w:numId w:val="33"/>
        </w:numPr>
        <w:spacing w:after="0" w:line="240" w:lineRule="auto"/>
        <w:jc w:val="both"/>
        <w:rPr>
          <w:rFonts w:ascii="Arial" w:eastAsia="Times New Roman" w:hAnsi="Arial" w:cs="Arial"/>
          <w:kern w:val="0"/>
          <w:sz w:val="20"/>
          <w:szCs w:val="20"/>
          <w:lang w:eastAsia="en-IN"/>
        </w:rPr>
      </w:pPr>
      <w:r w:rsidRPr="004627C4">
        <w:rPr>
          <w:rFonts w:ascii="Arial" w:eastAsia="Times New Roman" w:hAnsi="Arial" w:cs="Arial"/>
          <w:kern w:val="0"/>
          <w:sz w:val="20"/>
          <w:szCs w:val="20"/>
          <w:lang w:eastAsia="en-IN"/>
        </w:rPr>
        <w:t xml:space="preserve">Heat and abrupt temperature changes increase reactive oxygen species (ROS) and metabolic rate. Unless protective systems take over, that damages cells in the midgut </w:t>
      </w:r>
      <w:r w:rsidRPr="004627C4">
        <w:rPr>
          <w:rFonts w:ascii="Arial" w:eastAsia="Times New Roman" w:hAnsi="Arial" w:cs="Arial"/>
          <w:kern w:val="0"/>
          <w:sz w:val="20"/>
          <w:szCs w:val="20"/>
          <w:lang w:eastAsia="en-IN"/>
        </w:rPr>
        <w:lastRenderedPageBreak/>
        <w:t xml:space="preserve">and silk glands and lowers the production of silk proteins. Although heat-shock proteins and chaperones are the main buffers, they are energy-intensive and divert resources from the production of silk. Even short, sublethal heat events can reduce the quality of the fibre and the cocoon shell ratio (Wang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 Iqbal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2025).</w:t>
      </w:r>
    </w:p>
    <w:p w14:paraId="0F177BD3" w14:textId="77777777" w:rsidR="00B2227E" w:rsidRPr="004627C4" w:rsidRDefault="00B2227E" w:rsidP="00B2227E">
      <w:pPr>
        <w:pStyle w:val="ListParagraph"/>
        <w:numPr>
          <w:ilvl w:val="0"/>
          <w:numId w:val="33"/>
        </w:numPr>
        <w:jc w:val="both"/>
        <w:rPr>
          <w:rFonts w:ascii="Arial" w:eastAsia="Times New Roman" w:hAnsi="Arial" w:cs="Arial"/>
          <w:kern w:val="0"/>
          <w:sz w:val="20"/>
          <w:szCs w:val="20"/>
          <w:lang w:eastAsia="en-IN"/>
        </w:rPr>
      </w:pPr>
      <w:r w:rsidRPr="004627C4">
        <w:rPr>
          <w:rFonts w:ascii="Arial" w:eastAsia="Times New Roman" w:hAnsi="Arial" w:cs="Arial"/>
          <w:kern w:val="0"/>
          <w:sz w:val="20"/>
          <w:szCs w:val="20"/>
          <w:lang w:eastAsia="en-IN"/>
        </w:rPr>
        <w:t>Humidity affects larval water balance, moulting and spinning behaviour. Low humidity increases water loss and can cause incomplete spinning; high humidity encourages pathogens and disrupts silk drying and fibre properties (</w:t>
      </w:r>
      <w:r w:rsidRPr="004627C4">
        <w:rPr>
          <w:rFonts w:ascii="Arial" w:hAnsi="Arial" w:cs="Arial"/>
          <w:sz w:val="20"/>
          <w:szCs w:val="20"/>
        </w:rPr>
        <w:t xml:space="preserve">Manjunatha </w:t>
      </w:r>
      <w:r w:rsidRPr="004627C4">
        <w:rPr>
          <w:rFonts w:ascii="Arial" w:hAnsi="Arial" w:cs="Arial"/>
          <w:i/>
          <w:iCs/>
          <w:sz w:val="20"/>
          <w:szCs w:val="20"/>
        </w:rPr>
        <w:t>et al.,</w:t>
      </w:r>
      <w:r w:rsidRPr="004627C4">
        <w:rPr>
          <w:rFonts w:ascii="Arial" w:hAnsi="Arial" w:cs="Arial"/>
          <w:sz w:val="20"/>
          <w:szCs w:val="20"/>
        </w:rPr>
        <w:t xml:space="preserve"> </w:t>
      </w:r>
      <w:r w:rsidRPr="004627C4">
        <w:rPr>
          <w:rFonts w:ascii="Arial" w:eastAsia="Times New Roman" w:hAnsi="Arial" w:cs="Arial"/>
          <w:kern w:val="0"/>
          <w:sz w:val="20"/>
          <w:szCs w:val="20"/>
          <w:lang w:eastAsia="en-IN"/>
        </w:rPr>
        <w:t>2010; Ashraf &amp; Qamar, 2023).</w:t>
      </w:r>
    </w:p>
    <w:p w14:paraId="12F6112A"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04FD44FD" w14:textId="77777777" w:rsidR="00B2227E" w:rsidRPr="004627C4" w:rsidRDefault="00B2227E" w:rsidP="00B2227E">
      <w:pPr>
        <w:pStyle w:val="ListParagraph"/>
        <w:numPr>
          <w:ilvl w:val="1"/>
          <w:numId w:val="36"/>
        </w:numPr>
        <w:jc w:val="both"/>
        <w:rPr>
          <w:rFonts w:ascii="Arial" w:eastAsia="Times New Roman" w:hAnsi="Arial" w:cs="Arial"/>
          <w:kern w:val="0"/>
          <w:sz w:val="22"/>
          <w:szCs w:val="22"/>
          <w:lang w:eastAsia="en-IN"/>
        </w:rPr>
      </w:pPr>
      <w:r w:rsidRPr="004627C4">
        <w:rPr>
          <w:rFonts w:ascii="Arial" w:eastAsia="Times New Roman" w:hAnsi="Arial" w:cs="Arial"/>
          <w:b/>
          <w:bCs/>
          <w:kern w:val="0"/>
          <w:sz w:val="22"/>
          <w:szCs w:val="22"/>
          <w:lang w:eastAsia="en-IN"/>
        </w:rPr>
        <w:t xml:space="preserve"> Biotic stresses: diseases, pests, and agrochemical exposure</w:t>
      </w:r>
    </w:p>
    <w:p w14:paraId="034C5164"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21DB14A4" w14:textId="77777777" w:rsidR="00B2227E" w:rsidRPr="004627C4" w:rsidRDefault="00B2227E" w:rsidP="00B2227E">
      <w:pPr>
        <w:pStyle w:val="ListParagraph"/>
        <w:numPr>
          <w:ilvl w:val="0"/>
          <w:numId w:val="34"/>
        </w:numPr>
        <w:jc w:val="both"/>
        <w:rPr>
          <w:rFonts w:ascii="Arial" w:eastAsia="Times New Roman" w:hAnsi="Arial" w:cs="Arial"/>
          <w:kern w:val="0"/>
          <w:sz w:val="20"/>
          <w:szCs w:val="20"/>
          <w:lang w:eastAsia="en-IN"/>
        </w:rPr>
      </w:pPr>
      <w:r w:rsidRPr="004627C4">
        <w:rPr>
          <w:rFonts w:ascii="Arial" w:eastAsia="Times New Roman" w:hAnsi="Arial" w:cs="Arial"/>
          <w:kern w:val="0"/>
          <w:sz w:val="20"/>
          <w:szCs w:val="20"/>
          <w:lang w:eastAsia="en-IN"/>
        </w:rPr>
        <w:t xml:space="preserve">Viral and bacterial pathogens (especially, </w:t>
      </w:r>
      <w:proofErr w:type="spellStart"/>
      <w:r w:rsidRPr="004627C4">
        <w:rPr>
          <w:rFonts w:ascii="Arial" w:eastAsia="Times New Roman" w:hAnsi="Arial" w:cs="Arial"/>
          <w:kern w:val="0"/>
          <w:sz w:val="20"/>
          <w:szCs w:val="20"/>
          <w:lang w:eastAsia="en-IN"/>
        </w:rPr>
        <w:t>BmNPV</w:t>
      </w:r>
      <w:proofErr w:type="spellEnd"/>
      <w:r w:rsidRPr="004627C4">
        <w:rPr>
          <w:rFonts w:ascii="Arial" w:eastAsia="Times New Roman" w:hAnsi="Arial" w:cs="Arial"/>
          <w:kern w:val="0"/>
          <w:sz w:val="20"/>
          <w:szCs w:val="20"/>
          <w:lang w:eastAsia="en-IN"/>
        </w:rPr>
        <w:t xml:space="preserve">) trigger widespread changes in host transcription and protein networks; infected larvae divert resources to immune responses and cell-repair pathways, which lowers silk output and may alter fibre composition (Wang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2017; Liang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w:t>
      </w:r>
    </w:p>
    <w:p w14:paraId="6CB38A9B" w14:textId="723122AA" w:rsidR="00B2227E" w:rsidRPr="004627C4" w:rsidRDefault="00B2227E" w:rsidP="00B2227E">
      <w:pPr>
        <w:pStyle w:val="ListParagraph"/>
        <w:numPr>
          <w:ilvl w:val="0"/>
          <w:numId w:val="34"/>
        </w:numPr>
        <w:jc w:val="both"/>
        <w:rPr>
          <w:rFonts w:ascii="Arial" w:eastAsia="Times New Roman" w:hAnsi="Arial" w:cs="Arial"/>
          <w:kern w:val="0"/>
          <w:sz w:val="20"/>
          <w:szCs w:val="20"/>
          <w:lang w:eastAsia="en-IN"/>
        </w:rPr>
      </w:pPr>
      <w:r w:rsidRPr="004627C4">
        <w:rPr>
          <w:rFonts w:ascii="Arial" w:eastAsia="Times New Roman" w:hAnsi="Arial" w:cs="Arial"/>
          <w:kern w:val="0"/>
          <w:sz w:val="20"/>
          <w:szCs w:val="20"/>
          <w:lang w:eastAsia="en-IN"/>
        </w:rPr>
        <w:t xml:space="preserve">Pesticide residues and sublethal agrochemical exposure cause behavioural and physiological damage, including slower growth, midgut histopathology, enzyme induction related to detoxification, microbiota dysbiosis, and reduced cocoon traits. These effects are often subtle but cumulative, and they represent a common cause of unexpectedly low yields in mixed-crop landscapes (Chen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2023b; Sun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w:t>
      </w:r>
      <w:r w:rsidR="00E63D32">
        <w:rPr>
          <w:rFonts w:ascii="Arial" w:eastAsia="Times New Roman" w:hAnsi="Arial" w:cs="Arial"/>
          <w:kern w:val="0"/>
          <w:sz w:val="20"/>
          <w:szCs w:val="20"/>
          <w:lang w:eastAsia="en-IN"/>
        </w:rPr>
        <w:t xml:space="preserve">; </w:t>
      </w:r>
      <w:r w:rsidR="00E63D32" w:rsidRPr="004627C4">
        <w:rPr>
          <w:rFonts w:ascii="Arial" w:eastAsia="Times New Roman" w:hAnsi="Arial" w:cs="Arial"/>
          <w:kern w:val="0"/>
          <w:sz w:val="20"/>
          <w:szCs w:val="20"/>
          <w:lang w:eastAsia="en-IN"/>
        </w:rPr>
        <w:t xml:space="preserve">Liu </w:t>
      </w:r>
      <w:r w:rsidR="00E63D32" w:rsidRPr="004627C4">
        <w:rPr>
          <w:rFonts w:ascii="Arial" w:eastAsia="Times New Roman" w:hAnsi="Arial" w:cs="Arial"/>
          <w:i/>
          <w:iCs/>
          <w:kern w:val="0"/>
          <w:sz w:val="20"/>
          <w:szCs w:val="20"/>
          <w:lang w:eastAsia="en-IN"/>
        </w:rPr>
        <w:t>et al.,</w:t>
      </w:r>
      <w:r w:rsidR="00E63D32" w:rsidRPr="004627C4">
        <w:rPr>
          <w:rFonts w:ascii="Arial" w:eastAsia="Times New Roman" w:hAnsi="Arial" w:cs="Arial"/>
          <w:kern w:val="0"/>
          <w:sz w:val="20"/>
          <w:szCs w:val="20"/>
          <w:lang w:eastAsia="en-IN"/>
        </w:rPr>
        <w:t xml:space="preserve"> 2022</w:t>
      </w:r>
      <w:r w:rsidRPr="004627C4">
        <w:rPr>
          <w:rFonts w:ascii="Arial" w:eastAsia="Times New Roman" w:hAnsi="Arial" w:cs="Arial"/>
          <w:kern w:val="0"/>
          <w:sz w:val="20"/>
          <w:szCs w:val="20"/>
          <w:lang w:eastAsia="en-IN"/>
        </w:rPr>
        <w:t>).</w:t>
      </w:r>
    </w:p>
    <w:p w14:paraId="3ED9418A"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2FB40DE5" w14:textId="77777777" w:rsidR="00B2227E" w:rsidRPr="004627C4" w:rsidRDefault="00B2227E" w:rsidP="00B2227E">
      <w:pPr>
        <w:pStyle w:val="ListParagraph"/>
        <w:numPr>
          <w:ilvl w:val="1"/>
          <w:numId w:val="36"/>
        </w:numPr>
        <w:jc w:val="both"/>
        <w:rPr>
          <w:rFonts w:ascii="Arial" w:eastAsia="Times New Roman" w:hAnsi="Arial" w:cs="Arial"/>
          <w:kern w:val="0"/>
          <w:sz w:val="22"/>
          <w:szCs w:val="22"/>
          <w:lang w:eastAsia="en-IN"/>
        </w:rPr>
      </w:pPr>
      <w:r w:rsidRPr="004627C4">
        <w:rPr>
          <w:rFonts w:ascii="Arial" w:eastAsia="Times New Roman" w:hAnsi="Arial" w:cs="Arial"/>
          <w:b/>
          <w:bCs/>
          <w:kern w:val="0"/>
          <w:sz w:val="22"/>
          <w:szCs w:val="22"/>
          <w:lang w:eastAsia="en-IN"/>
        </w:rPr>
        <w:t xml:space="preserve"> Physiological and molecular responses in silkworms</w:t>
      </w:r>
    </w:p>
    <w:p w14:paraId="2985DDF7" w14:textId="77777777" w:rsidR="00B2227E" w:rsidRPr="00B2227E" w:rsidRDefault="00B2227E" w:rsidP="00B2227E">
      <w:pPr>
        <w:pStyle w:val="ListParagraph"/>
        <w:spacing w:after="0"/>
        <w:ind w:left="360"/>
        <w:jc w:val="both"/>
        <w:rPr>
          <w:rFonts w:ascii="Arial" w:eastAsia="Times New Roman" w:hAnsi="Arial" w:cs="Arial"/>
          <w:kern w:val="0"/>
          <w:lang w:eastAsia="en-IN"/>
        </w:rPr>
      </w:pPr>
    </w:p>
    <w:p w14:paraId="0FA1030F" w14:textId="7E945C7C" w:rsidR="00B2227E" w:rsidRPr="004627C4" w:rsidRDefault="00B2227E" w:rsidP="00B2227E">
      <w:pPr>
        <w:pStyle w:val="ListParagraph"/>
        <w:numPr>
          <w:ilvl w:val="0"/>
          <w:numId w:val="35"/>
        </w:numPr>
        <w:jc w:val="both"/>
        <w:rPr>
          <w:rFonts w:ascii="Arial" w:eastAsia="Times New Roman" w:hAnsi="Arial" w:cs="Arial"/>
          <w:kern w:val="0"/>
          <w:sz w:val="20"/>
          <w:szCs w:val="20"/>
          <w:lang w:eastAsia="en-IN"/>
        </w:rPr>
      </w:pPr>
      <w:r w:rsidRPr="004627C4">
        <w:rPr>
          <w:rFonts w:ascii="Arial" w:eastAsia="Times New Roman" w:hAnsi="Arial" w:cs="Arial"/>
          <w:b/>
          <w:bCs/>
          <w:kern w:val="0"/>
          <w:sz w:val="20"/>
          <w:szCs w:val="20"/>
          <w:lang w:eastAsia="en-IN"/>
        </w:rPr>
        <w:t>Heat-shock response and chaperones.</w:t>
      </w:r>
      <w:r w:rsidRPr="004627C4">
        <w:rPr>
          <w:rFonts w:ascii="Arial" w:eastAsia="Times New Roman" w:hAnsi="Arial" w:cs="Arial"/>
          <w:kern w:val="0"/>
          <w:sz w:val="20"/>
          <w:szCs w:val="20"/>
          <w:lang w:eastAsia="en-IN"/>
        </w:rPr>
        <w:t xml:space="preserve"> Heat-shock proteins (HSPs) and small chaperones rise quickly after thermal stress. They protect protein folding in the silk gland, but prolonged HSP activation correlates with reduced fibroin expression and smaller cocoons (</w:t>
      </w:r>
      <w:r w:rsidR="005842F6" w:rsidRPr="004627C4">
        <w:rPr>
          <w:rFonts w:ascii="Arial" w:eastAsia="Times New Roman" w:hAnsi="Arial" w:cs="Arial"/>
          <w:kern w:val="0"/>
          <w:sz w:val="20"/>
          <w:szCs w:val="20"/>
          <w:lang w:eastAsia="en-IN"/>
        </w:rPr>
        <w:t xml:space="preserve">Liu </w:t>
      </w:r>
      <w:r w:rsidR="005842F6" w:rsidRPr="004627C4">
        <w:rPr>
          <w:rFonts w:ascii="Arial" w:eastAsia="Times New Roman" w:hAnsi="Arial" w:cs="Arial"/>
          <w:i/>
          <w:iCs/>
          <w:kern w:val="0"/>
          <w:sz w:val="20"/>
          <w:szCs w:val="20"/>
          <w:lang w:eastAsia="en-IN"/>
        </w:rPr>
        <w:t>et al.,</w:t>
      </w:r>
      <w:r w:rsidR="005842F6" w:rsidRPr="004627C4">
        <w:rPr>
          <w:rFonts w:ascii="Arial" w:eastAsia="Times New Roman" w:hAnsi="Arial" w:cs="Arial"/>
          <w:kern w:val="0"/>
          <w:sz w:val="20"/>
          <w:szCs w:val="20"/>
          <w:lang w:eastAsia="en-IN"/>
        </w:rPr>
        <w:t xml:space="preserve"> 2024b</w:t>
      </w:r>
      <w:r w:rsidR="005842F6">
        <w:rPr>
          <w:rFonts w:ascii="Arial" w:eastAsia="Times New Roman" w:hAnsi="Arial" w:cs="Arial"/>
          <w:kern w:val="0"/>
          <w:sz w:val="20"/>
          <w:szCs w:val="20"/>
          <w:lang w:eastAsia="en-IN"/>
        </w:rPr>
        <w:t xml:space="preserve">; </w:t>
      </w:r>
      <w:r w:rsidRPr="004627C4">
        <w:rPr>
          <w:rFonts w:ascii="Arial" w:eastAsia="Times New Roman" w:hAnsi="Arial" w:cs="Arial"/>
          <w:kern w:val="0"/>
          <w:sz w:val="20"/>
          <w:szCs w:val="20"/>
          <w:lang w:eastAsia="en-IN"/>
        </w:rPr>
        <w:t xml:space="preserve">Iqbal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w:t>
      </w:r>
      <w:r w:rsidR="005842F6">
        <w:rPr>
          <w:rFonts w:ascii="Arial" w:eastAsia="Times New Roman" w:hAnsi="Arial" w:cs="Arial"/>
          <w:kern w:val="0"/>
          <w:sz w:val="20"/>
          <w:szCs w:val="20"/>
          <w:lang w:eastAsia="en-IN"/>
        </w:rPr>
        <w:t>5</w:t>
      </w:r>
      <w:r w:rsidRPr="004627C4">
        <w:rPr>
          <w:rFonts w:ascii="Arial" w:eastAsia="Times New Roman" w:hAnsi="Arial" w:cs="Arial"/>
          <w:kern w:val="0"/>
          <w:sz w:val="20"/>
          <w:szCs w:val="20"/>
          <w:lang w:eastAsia="en-IN"/>
        </w:rPr>
        <w:t>).</w:t>
      </w:r>
    </w:p>
    <w:p w14:paraId="2EFEFE03" w14:textId="77777777" w:rsidR="00B2227E" w:rsidRPr="004627C4" w:rsidRDefault="00B2227E" w:rsidP="00B2227E">
      <w:pPr>
        <w:pStyle w:val="ListParagraph"/>
        <w:numPr>
          <w:ilvl w:val="0"/>
          <w:numId w:val="35"/>
        </w:numPr>
        <w:jc w:val="both"/>
        <w:rPr>
          <w:rFonts w:ascii="Arial" w:eastAsia="Times New Roman" w:hAnsi="Arial" w:cs="Arial"/>
          <w:kern w:val="0"/>
          <w:sz w:val="20"/>
          <w:szCs w:val="20"/>
          <w:lang w:eastAsia="en-IN"/>
        </w:rPr>
      </w:pPr>
      <w:r w:rsidRPr="004627C4">
        <w:rPr>
          <w:rFonts w:ascii="Arial" w:eastAsia="Times New Roman" w:hAnsi="Arial" w:cs="Arial"/>
          <w:b/>
          <w:bCs/>
          <w:kern w:val="0"/>
          <w:sz w:val="20"/>
          <w:szCs w:val="20"/>
          <w:lang w:eastAsia="en-IN"/>
        </w:rPr>
        <w:t>Oxidative stress and antioxidant systems.</w:t>
      </w:r>
      <w:r w:rsidRPr="004627C4">
        <w:rPr>
          <w:rFonts w:ascii="Arial" w:eastAsia="Times New Roman" w:hAnsi="Arial" w:cs="Arial"/>
          <w:kern w:val="0"/>
          <w:sz w:val="20"/>
          <w:szCs w:val="20"/>
          <w:lang w:eastAsia="en-IN"/>
        </w:rPr>
        <w:t xml:space="preserve"> ROS levels spike under heat or chemical stress. Antioxidant enzymes, including superoxide dismutase (SOD), catalase (CAT), and glutathione S-transferase (GST), along with related genes, are upregulated to counter oxidative damage; however, if these </w:t>
      </w:r>
      <w:proofErr w:type="spellStart"/>
      <w:r w:rsidRPr="004627C4">
        <w:rPr>
          <w:rFonts w:ascii="Arial" w:eastAsia="Times New Roman" w:hAnsi="Arial" w:cs="Arial"/>
          <w:kern w:val="0"/>
          <w:sz w:val="20"/>
          <w:szCs w:val="20"/>
          <w:lang w:eastAsia="en-IN"/>
        </w:rPr>
        <w:t>defense</w:t>
      </w:r>
      <w:proofErr w:type="spellEnd"/>
      <w:r w:rsidRPr="004627C4">
        <w:rPr>
          <w:rFonts w:ascii="Arial" w:eastAsia="Times New Roman" w:hAnsi="Arial" w:cs="Arial"/>
          <w:kern w:val="0"/>
          <w:sz w:val="20"/>
          <w:szCs w:val="20"/>
          <w:lang w:eastAsia="en-IN"/>
        </w:rPr>
        <w:t xml:space="preserve"> systems are overwhelmed, cellular damage to DNA, lipids, and proteins occurs, which impairs silk gland function and reduces silk synthesis (Wang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 Wen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w:t>
      </w:r>
    </w:p>
    <w:p w14:paraId="07638F56" w14:textId="77777777" w:rsidR="00B2227E" w:rsidRPr="004627C4" w:rsidRDefault="00B2227E" w:rsidP="00B2227E">
      <w:pPr>
        <w:pStyle w:val="ListParagraph"/>
        <w:numPr>
          <w:ilvl w:val="0"/>
          <w:numId w:val="35"/>
        </w:numPr>
        <w:jc w:val="both"/>
        <w:rPr>
          <w:rFonts w:ascii="Arial" w:eastAsia="Times New Roman" w:hAnsi="Arial" w:cs="Arial"/>
          <w:kern w:val="0"/>
          <w:sz w:val="20"/>
          <w:szCs w:val="20"/>
          <w:lang w:eastAsia="en-IN"/>
        </w:rPr>
      </w:pPr>
      <w:r w:rsidRPr="004627C4">
        <w:rPr>
          <w:rFonts w:ascii="Arial" w:eastAsia="Times New Roman" w:hAnsi="Arial" w:cs="Arial"/>
          <w:b/>
          <w:bCs/>
          <w:kern w:val="0"/>
          <w:sz w:val="20"/>
          <w:szCs w:val="20"/>
          <w:lang w:eastAsia="en-IN"/>
        </w:rPr>
        <w:t>Detoxification and immune signalling.</w:t>
      </w:r>
      <w:r w:rsidRPr="004627C4">
        <w:rPr>
          <w:rFonts w:ascii="Arial" w:eastAsia="Times New Roman" w:hAnsi="Arial" w:cs="Arial"/>
          <w:kern w:val="0"/>
          <w:sz w:val="20"/>
          <w:szCs w:val="20"/>
          <w:lang w:eastAsia="en-IN"/>
        </w:rPr>
        <w:t xml:space="preserve"> Exposure to pesticides or pathogens induces xenobiotic-metabolizing enzymes such as cytochrome P450s (CYPs), carboxylesterases, and glutathione S-transferases (GSTs), as well as immune pathways including Toll, immune deficiency (</w:t>
      </w:r>
      <w:proofErr w:type="spellStart"/>
      <w:r w:rsidRPr="004627C4">
        <w:rPr>
          <w:rFonts w:ascii="Arial" w:eastAsia="Times New Roman" w:hAnsi="Arial" w:cs="Arial"/>
          <w:kern w:val="0"/>
          <w:sz w:val="20"/>
          <w:szCs w:val="20"/>
          <w:lang w:eastAsia="en-IN"/>
        </w:rPr>
        <w:t>Imd</w:t>
      </w:r>
      <w:proofErr w:type="spellEnd"/>
      <w:r w:rsidRPr="004627C4">
        <w:rPr>
          <w:rFonts w:ascii="Arial" w:eastAsia="Times New Roman" w:hAnsi="Arial" w:cs="Arial"/>
          <w:kern w:val="0"/>
          <w:sz w:val="20"/>
          <w:szCs w:val="20"/>
          <w:lang w:eastAsia="en-IN"/>
        </w:rPr>
        <w:t xml:space="preserve">), and Janus kinase/signal transducer and activator of transcription (JAK/STAT). Activation of these detoxification and immune responses competes for amino acids and energy, reducing allocation to silk protein synthesis (Chen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2023b; Liang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2024).</w:t>
      </w:r>
    </w:p>
    <w:p w14:paraId="117E8C58" w14:textId="39E54F41" w:rsidR="00B2227E" w:rsidRPr="004627C4" w:rsidRDefault="00B2227E" w:rsidP="00B2227E">
      <w:pPr>
        <w:pStyle w:val="ListParagraph"/>
        <w:numPr>
          <w:ilvl w:val="0"/>
          <w:numId w:val="35"/>
        </w:numPr>
        <w:jc w:val="both"/>
        <w:rPr>
          <w:rFonts w:ascii="Arial" w:eastAsia="Times New Roman" w:hAnsi="Arial" w:cs="Arial"/>
          <w:kern w:val="0"/>
          <w:sz w:val="20"/>
          <w:szCs w:val="20"/>
          <w:lang w:eastAsia="en-IN"/>
        </w:rPr>
      </w:pPr>
      <w:r w:rsidRPr="004627C4">
        <w:rPr>
          <w:rFonts w:ascii="Arial" w:eastAsia="Times New Roman" w:hAnsi="Arial" w:cs="Arial"/>
          <w:b/>
          <w:bCs/>
          <w:kern w:val="0"/>
          <w:sz w:val="20"/>
          <w:szCs w:val="20"/>
          <w:lang w:eastAsia="en-IN"/>
        </w:rPr>
        <w:t>Gut integrity and microbiota shifts.</w:t>
      </w:r>
      <w:r w:rsidRPr="004627C4">
        <w:rPr>
          <w:rFonts w:ascii="Arial" w:eastAsia="Times New Roman" w:hAnsi="Arial" w:cs="Arial"/>
          <w:kern w:val="0"/>
          <w:sz w:val="20"/>
          <w:szCs w:val="20"/>
          <w:lang w:eastAsia="en-IN"/>
        </w:rPr>
        <w:t xml:space="preserve"> Stressors change gut structure and community composition. Gut dysbiosis impairs digestion and nutrient absorption, indirectly shrinking the nutrient pool available for silk production (</w:t>
      </w:r>
      <w:r w:rsidR="00573BAA" w:rsidRPr="004627C4">
        <w:rPr>
          <w:rFonts w:ascii="Arial" w:eastAsia="Times New Roman" w:hAnsi="Arial" w:cs="Arial"/>
          <w:kern w:val="0"/>
          <w:sz w:val="20"/>
          <w:szCs w:val="20"/>
          <w:lang w:eastAsia="en-IN"/>
        </w:rPr>
        <w:t xml:space="preserve">Xin </w:t>
      </w:r>
      <w:r w:rsidR="00573BAA" w:rsidRPr="004627C4">
        <w:rPr>
          <w:rFonts w:ascii="Arial" w:eastAsia="Times New Roman" w:hAnsi="Arial" w:cs="Arial"/>
          <w:i/>
          <w:iCs/>
          <w:kern w:val="0"/>
          <w:sz w:val="20"/>
          <w:szCs w:val="20"/>
          <w:lang w:eastAsia="en-IN"/>
        </w:rPr>
        <w:t>et al.,</w:t>
      </w:r>
      <w:r w:rsidR="00573BAA" w:rsidRPr="004627C4">
        <w:rPr>
          <w:rFonts w:ascii="Arial" w:eastAsia="Times New Roman" w:hAnsi="Arial" w:cs="Arial"/>
          <w:kern w:val="0"/>
          <w:sz w:val="20"/>
          <w:szCs w:val="20"/>
          <w:lang w:eastAsia="en-IN"/>
        </w:rPr>
        <w:t xml:space="preserve"> 2024</w:t>
      </w:r>
      <w:r w:rsidR="00573BAA">
        <w:rPr>
          <w:rFonts w:ascii="Arial" w:eastAsia="Times New Roman" w:hAnsi="Arial" w:cs="Arial"/>
          <w:kern w:val="0"/>
          <w:sz w:val="20"/>
          <w:szCs w:val="20"/>
          <w:lang w:eastAsia="en-IN"/>
        </w:rPr>
        <w:t xml:space="preserve">; </w:t>
      </w:r>
      <w:r w:rsidRPr="004627C4">
        <w:rPr>
          <w:rFonts w:ascii="Arial" w:eastAsia="Times New Roman" w:hAnsi="Arial" w:cs="Arial"/>
          <w:kern w:val="0"/>
          <w:sz w:val="20"/>
          <w:szCs w:val="20"/>
          <w:lang w:eastAsia="en-IN"/>
        </w:rPr>
        <w:t xml:space="preserve">Yuan </w:t>
      </w:r>
      <w:r w:rsidRPr="004627C4">
        <w:rPr>
          <w:rFonts w:ascii="Arial" w:eastAsia="Times New Roman" w:hAnsi="Arial" w:cs="Arial"/>
          <w:i/>
          <w:iCs/>
          <w:kern w:val="0"/>
          <w:sz w:val="20"/>
          <w:szCs w:val="20"/>
          <w:lang w:eastAsia="en-IN"/>
        </w:rPr>
        <w:t>et al.,</w:t>
      </w:r>
      <w:r w:rsidRPr="004627C4">
        <w:rPr>
          <w:rFonts w:ascii="Arial" w:eastAsia="Times New Roman" w:hAnsi="Arial" w:cs="Arial"/>
          <w:kern w:val="0"/>
          <w:sz w:val="20"/>
          <w:szCs w:val="20"/>
          <w:lang w:eastAsia="en-IN"/>
        </w:rPr>
        <w:t xml:space="preserve"> 2023). Restoring beneficial microbiota often improves growth and cocoons. The integrated </w:t>
      </w:r>
      <w:r w:rsidRPr="004627C4">
        <w:rPr>
          <w:rFonts w:ascii="Arial" w:eastAsia="Times New Roman" w:hAnsi="Arial" w:cs="Arial"/>
          <w:kern w:val="0"/>
          <w:sz w:val="20"/>
          <w:szCs w:val="20"/>
          <w:lang w:eastAsia="en-IN"/>
        </w:rPr>
        <w:lastRenderedPageBreak/>
        <w:t xml:space="preserve">molecular and physiological pathways through which silkworms respond to environmental and biotic stressors are illustrated in </w:t>
      </w:r>
      <w:r w:rsidRPr="004627C4">
        <w:rPr>
          <w:rFonts w:ascii="Arial" w:eastAsia="Times New Roman" w:hAnsi="Arial" w:cs="Arial"/>
          <w:b/>
          <w:bCs/>
          <w:kern w:val="0"/>
          <w:sz w:val="20"/>
          <w:szCs w:val="20"/>
          <w:lang w:eastAsia="en-IN"/>
        </w:rPr>
        <w:t>Figure 2</w:t>
      </w:r>
      <w:r w:rsidRPr="004627C4">
        <w:rPr>
          <w:rFonts w:ascii="Arial" w:eastAsia="Times New Roman" w:hAnsi="Arial" w:cs="Arial"/>
          <w:kern w:val="0"/>
          <w:sz w:val="20"/>
          <w:szCs w:val="20"/>
          <w:lang w:eastAsia="en-IN"/>
        </w:rPr>
        <w:t>.</w:t>
      </w:r>
    </w:p>
    <w:p w14:paraId="3EDAC4FD" w14:textId="77777777" w:rsidR="00B2227E" w:rsidRPr="00B2227E" w:rsidRDefault="00B2227E" w:rsidP="00B2227E">
      <w:pPr>
        <w:pStyle w:val="ListParagraph"/>
        <w:ind w:left="360"/>
        <w:jc w:val="both"/>
        <w:rPr>
          <w:rFonts w:ascii="Arial" w:eastAsia="Times New Roman" w:hAnsi="Arial" w:cs="Arial"/>
          <w:kern w:val="0"/>
          <w:lang w:eastAsia="en-IN"/>
        </w:rPr>
      </w:pPr>
    </w:p>
    <w:p w14:paraId="69C40083" w14:textId="77777777" w:rsidR="00B2227E" w:rsidRPr="00B2227E" w:rsidRDefault="00B2227E" w:rsidP="00B2227E">
      <w:pPr>
        <w:pStyle w:val="ListParagraph"/>
        <w:ind w:left="360"/>
        <w:jc w:val="center"/>
        <w:rPr>
          <w:rFonts w:ascii="Arial" w:eastAsia="Times New Roman" w:hAnsi="Arial" w:cs="Arial"/>
          <w:kern w:val="0"/>
          <w:lang w:eastAsia="en-IN"/>
        </w:rPr>
      </w:pPr>
      <w:r w:rsidRPr="00B2227E">
        <w:rPr>
          <w:rFonts w:ascii="Arial" w:hAnsi="Arial" w:cs="Arial"/>
          <w:b/>
          <w:bCs/>
          <w:noProof/>
          <w:lang w:val="en-US"/>
        </w:rPr>
        <w:drawing>
          <wp:inline distT="0" distB="0" distL="0" distR="0" wp14:anchorId="65F92009" wp14:editId="214EECBC">
            <wp:extent cx="3563620" cy="2724150"/>
            <wp:effectExtent l="0" t="0" r="0" b="0"/>
            <wp:docPr id="53183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831805" name="Picture 531831805"/>
                    <pic:cNvPicPr/>
                  </pic:nvPicPr>
                  <pic:blipFill rotWithShape="1">
                    <a:blip r:embed="rId15"/>
                    <a:srcRect l="9173" r="11642" b="4032"/>
                    <a:stretch>
                      <a:fillRect/>
                    </a:stretch>
                  </pic:blipFill>
                  <pic:spPr bwMode="auto">
                    <a:xfrm>
                      <a:off x="0" y="0"/>
                      <a:ext cx="3589468" cy="2743909"/>
                    </a:xfrm>
                    <a:prstGeom prst="rect">
                      <a:avLst/>
                    </a:prstGeom>
                    <a:ln>
                      <a:noFill/>
                    </a:ln>
                    <a:extLst>
                      <a:ext uri="{53640926-AAD7-44D8-BBD7-CCE9431645EC}">
                        <a14:shadowObscured xmlns:a14="http://schemas.microsoft.com/office/drawing/2010/main"/>
                      </a:ext>
                    </a:extLst>
                  </pic:spPr>
                </pic:pic>
              </a:graphicData>
            </a:graphic>
          </wp:inline>
        </w:drawing>
      </w:r>
    </w:p>
    <w:p w14:paraId="1F54A34B" w14:textId="77777777" w:rsidR="00B2227E" w:rsidRPr="00B2227E" w:rsidRDefault="00B2227E" w:rsidP="00B2227E">
      <w:pPr>
        <w:pStyle w:val="ListParagraph"/>
        <w:spacing w:after="0"/>
        <w:ind w:left="360"/>
        <w:jc w:val="center"/>
        <w:rPr>
          <w:rFonts w:ascii="Arial" w:eastAsia="Times New Roman" w:hAnsi="Arial" w:cs="Arial"/>
          <w:b/>
          <w:bCs/>
          <w:kern w:val="0"/>
          <w:sz w:val="18"/>
          <w:szCs w:val="18"/>
          <w:lang w:eastAsia="en-IN"/>
        </w:rPr>
      </w:pPr>
    </w:p>
    <w:p w14:paraId="0D0937D6" w14:textId="77777777" w:rsidR="00B2227E" w:rsidRPr="004627C4" w:rsidRDefault="00B2227E" w:rsidP="00B2227E">
      <w:pPr>
        <w:pStyle w:val="ListParagraph"/>
        <w:ind w:left="360"/>
        <w:jc w:val="center"/>
        <w:rPr>
          <w:rFonts w:ascii="Arial" w:eastAsia="Times New Roman" w:hAnsi="Arial" w:cs="Arial"/>
          <w:b/>
          <w:bCs/>
          <w:kern w:val="0"/>
          <w:sz w:val="20"/>
          <w:szCs w:val="20"/>
          <w:lang w:eastAsia="en-IN"/>
        </w:rPr>
      </w:pPr>
      <w:r w:rsidRPr="004627C4">
        <w:rPr>
          <w:rFonts w:ascii="Arial" w:eastAsia="Times New Roman" w:hAnsi="Arial" w:cs="Arial"/>
          <w:b/>
          <w:bCs/>
          <w:kern w:val="0"/>
          <w:sz w:val="20"/>
          <w:szCs w:val="20"/>
          <w:lang w:eastAsia="en-IN"/>
        </w:rPr>
        <w:t>Figure 2. Stress response pathways in Bombyx mori linking heat, pesticides, and pathogens to silk gland function and cocoon yield</w:t>
      </w:r>
    </w:p>
    <w:p w14:paraId="35AFBA13" w14:textId="26BAC880" w:rsidR="00B2227E" w:rsidRPr="004627C4" w:rsidRDefault="00B2227E" w:rsidP="00B2227E">
      <w:pPr>
        <w:pStyle w:val="NormalWeb"/>
        <w:jc w:val="both"/>
        <w:rPr>
          <w:rFonts w:ascii="Arial" w:hAnsi="Arial" w:cs="Arial"/>
          <w:b/>
          <w:bCs/>
          <w:sz w:val="20"/>
          <w:szCs w:val="20"/>
        </w:rPr>
      </w:pPr>
      <w:r w:rsidRPr="004627C4">
        <w:rPr>
          <w:rFonts w:ascii="Arial" w:eastAsiaTheme="majorEastAsia" w:hAnsi="Arial" w:cs="Arial"/>
          <w:sz w:val="20"/>
          <w:szCs w:val="20"/>
        </w:rPr>
        <w:t xml:space="preserve">Stress responses carry significant energy costs. Even when larvae survive, combined or repeated stresses, </w:t>
      </w:r>
      <w:r w:rsidRPr="004627C4">
        <w:rPr>
          <w:rStyle w:val="Strong"/>
          <w:rFonts w:ascii="Arial" w:eastAsiaTheme="majorEastAsia" w:hAnsi="Arial" w:cs="Arial"/>
          <w:b w:val="0"/>
          <w:bCs w:val="0"/>
          <w:sz w:val="20"/>
          <w:szCs w:val="20"/>
        </w:rPr>
        <w:t xml:space="preserve">such as heat with pesticide exposure, or drought with pathogen pressure reduce cocoon shell weight and alter </w:t>
      </w:r>
      <w:proofErr w:type="spellStart"/>
      <w:r w:rsidRPr="004627C4">
        <w:rPr>
          <w:rStyle w:val="Strong"/>
          <w:rFonts w:ascii="Arial" w:eastAsiaTheme="majorEastAsia" w:hAnsi="Arial" w:cs="Arial"/>
          <w:b w:val="0"/>
          <w:bCs w:val="0"/>
          <w:sz w:val="20"/>
          <w:szCs w:val="20"/>
        </w:rPr>
        <w:t>fiber</w:t>
      </w:r>
      <w:proofErr w:type="spellEnd"/>
      <w:r w:rsidRPr="004627C4">
        <w:rPr>
          <w:rStyle w:val="Strong"/>
          <w:rFonts w:ascii="Arial" w:eastAsiaTheme="majorEastAsia" w:hAnsi="Arial" w:cs="Arial"/>
          <w:b w:val="0"/>
          <w:bCs w:val="0"/>
          <w:sz w:val="20"/>
          <w:szCs w:val="20"/>
        </w:rPr>
        <w:t xml:space="preserve"> mechanical properties. Effective field practices, including the removal of contaminated leaves, harvesting at cooler periods, and minimizing pesticide drift are therefore as critical as genetic or biotechnological interventions for maintaining consistent silk quality (</w:t>
      </w:r>
      <w:r w:rsidR="00BD1F6F" w:rsidRPr="004627C4">
        <w:rPr>
          <w:rStyle w:val="Strong"/>
          <w:rFonts w:ascii="Arial" w:eastAsiaTheme="majorEastAsia" w:hAnsi="Arial" w:cs="Arial"/>
          <w:b w:val="0"/>
          <w:bCs w:val="0"/>
          <w:sz w:val="20"/>
          <w:szCs w:val="20"/>
        </w:rPr>
        <w:t xml:space="preserve">Chen </w:t>
      </w:r>
      <w:r w:rsidR="00BD1F6F" w:rsidRPr="004627C4">
        <w:rPr>
          <w:rStyle w:val="Strong"/>
          <w:rFonts w:ascii="Arial" w:eastAsiaTheme="majorEastAsia" w:hAnsi="Arial" w:cs="Arial"/>
          <w:b w:val="0"/>
          <w:bCs w:val="0"/>
          <w:i/>
          <w:iCs/>
          <w:sz w:val="20"/>
          <w:szCs w:val="20"/>
        </w:rPr>
        <w:t>et al.,</w:t>
      </w:r>
      <w:r w:rsidR="00BD1F6F" w:rsidRPr="004627C4">
        <w:rPr>
          <w:rStyle w:val="Strong"/>
          <w:rFonts w:ascii="Arial" w:eastAsiaTheme="majorEastAsia" w:hAnsi="Arial" w:cs="Arial"/>
          <w:b w:val="0"/>
          <w:bCs w:val="0"/>
          <w:sz w:val="20"/>
          <w:szCs w:val="20"/>
        </w:rPr>
        <w:t xml:space="preserve"> 2023a</w:t>
      </w:r>
      <w:r w:rsidR="00BD1F6F">
        <w:rPr>
          <w:rStyle w:val="Strong"/>
          <w:rFonts w:ascii="Arial" w:eastAsiaTheme="majorEastAsia" w:hAnsi="Arial" w:cs="Arial"/>
          <w:b w:val="0"/>
          <w:bCs w:val="0"/>
          <w:sz w:val="20"/>
          <w:szCs w:val="20"/>
        </w:rPr>
        <w:t xml:space="preserve">; </w:t>
      </w:r>
      <w:r w:rsidRPr="004627C4">
        <w:rPr>
          <w:rStyle w:val="Strong"/>
          <w:rFonts w:ascii="Arial" w:eastAsiaTheme="majorEastAsia" w:hAnsi="Arial" w:cs="Arial"/>
          <w:b w:val="0"/>
          <w:bCs w:val="0"/>
          <w:sz w:val="20"/>
          <w:szCs w:val="20"/>
        </w:rPr>
        <w:t xml:space="preserve">Liu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w:t>
      </w:r>
      <w:r w:rsidR="00BD1F6F">
        <w:rPr>
          <w:rStyle w:val="Strong"/>
          <w:rFonts w:ascii="Arial" w:eastAsiaTheme="majorEastAsia" w:hAnsi="Arial" w:cs="Arial"/>
          <w:b w:val="0"/>
          <w:bCs w:val="0"/>
          <w:sz w:val="20"/>
          <w:szCs w:val="20"/>
        </w:rPr>
        <w:t>b</w:t>
      </w:r>
      <w:r w:rsidRPr="004627C4">
        <w:rPr>
          <w:rStyle w:val="Strong"/>
          <w:rFonts w:ascii="Arial" w:eastAsiaTheme="majorEastAsia" w:hAnsi="Arial" w:cs="Arial"/>
          <w:b w:val="0"/>
          <w:bCs w:val="0"/>
          <w:sz w:val="20"/>
          <w:szCs w:val="20"/>
        </w:rPr>
        <w:t>).</w:t>
      </w:r>
    </w:p>
    <w:p w14:paraId="3182409F" w14:textId="2F3EFBBA" w:rsidR="00B2227E" w:rsidRPr="004627C4" w:rsidRDefault="004627C4" w:rsidP="00B2227E">
      <w:pPr>
        <w:pStyle w:val="ListParagraph"/>
        <w:numPr>
          <w:ilvl w:val="0"/>
          <w:numId w:val="36"/>
        </w:numPr>
        <w:jc w:val="both"/>
        <w:rPr>
          <w:rFonts w:ascii="Arial" w:eastAsia="Times New Roman" w:hAnsi="Arial" w:cs="Arial"/>
          <w:b/>
          <w:bCs/>
          <w:kern w:val="0"/>
          <w:sz w:val="22"/>
          <w:szCs w:val="22"/>
          <w:lang w:eastAsia="en-IN"/>
        </w:rPr>
      </w:pPr>
      <w:r w:rsidRPr="004627C4">
        <w:rPr>
          <w:rFonts w:ascii="Arial" w:eastAsia="Times New Roman" w:hAnsi="Arial" w:cs="Arial"/>
          <w:b/>
          <w:bCs/>
          <w:kern w:val="0"/>
          <w:sz w:val="22"/>
          <w:szCs w:val="22"/>
          <w:lang w:eastAsia="en-IN"/>
        </w:rPr>
        <w:t>IMPLICATIONS FOR SILK QUALITY AND YIELD</w:t>
      </w:r>
    </w:p>
    <w:p w14:paraId="6CF5E5CE" w14:textId="77777777" w:rsidR="00B2227E" w:rsidRDefault="00B2227E" w:rsidP="00B2227E">
      <w:pPr>
        <w:ind w:firstLine="720"/>
        <w:jc w:val="both"/>
        <w:rPr>
          <w:rFonts w:ascii="Arial" w:hAnsi="Arial" w:cs="Arial"/>
          <w:lang w:eastAsia="en-IN"/>
        </w:rPr>
      </w:pPr>
      <w:r w:rsidRPr="00B2227E">
        <w:rPr>
          <w:rFonts w:ascii="Arial" w:hAnsi="Arial" w:cs="Arial"/>
          <w:lang w:eastAsia="en-IN"/>
        </w:rPr>
        <w:t>The quality and yield of silk are deeply influenced by the nutrition and stress levels experienced by silkworms during their development. These factors not only affect the quantity of silk produced but also its intrinsic properties such as denier, strength, and luster.</w:t>
      </w:r>
    </w:p>
    <w:p w14:paraId="11A6412C" w14:textId="77777777" w:rsidR="004627C4" w:rsidRPr="00B2227E" w:rsidRDefault="004627C4" w:rsidP="00B2227E">
      <w:pPr>
        <w:ind w:firstLine="720"/>
        <w:jc w:val="both"/>
        <w:rPr>
          <w:rFonts w:ascii="Arial" w:hAnsi="Arial" w:cs="Arial"/>
          <w:lang w:eastAsia="en-IN"/>
        </w:rPr>
      </w:pPr>
    </w:p>
    <w:p w14:paraId="307E0C11" w14:textId="77777777" w:rsidR="00B2227E" w:rsidRPr="004627C4" w:rsidRDefault="00B2227E" w:rsidP="00B2227E">
      <w:pPr>
        <w:pStyle w:val="ListParagraph"/>
        <w:numPr>
          <w:ilvl w:val="1"/>
          <w:numId w:val="36"/>
        </w:numPr>
        <w:jc w:val="both"/>
        <w:rPr>
          <w:rFonts w:ascii="Arial" w:eastAsia="Times New Roman" w:hAnsi="Arial" w:cs="Arial"/>
          <w:b/>
          <w:bCs/>
          <w:kern w:val="0"/>
          <w:sz w:val="22"/>
          <w:szCs w:val="22"/>
          <w:lang w:eastAsia="en-IN"/>
        </w:rPr>
      </w:pPr>
      <w:r w:rsidRPr="004627C4">
        <w:rPr>
          <w:rFonts w:ascii="Arial" w:eastAsia="Times New Roman" w:hAnsi="Arial" w:cs="Arial"/>
          <w:b/>
          <w:bCs/>
          <w:kern w:val="0"/>
          <w:sz w:val="22"/>
          <w:szCs w:val="22"/>
          <w:lang w:eastAsia="en-IN"/>
        </w:rPr>
        <w:t xml:space="preserve"> Role of Nutrition in Silk Quality</w:t>
      </w:r>
    </w:p>
    <w:p w14:paraId="6EA1C84E" w14:textId="77777777" w:rsidR="00B2227E" w:rsidRPr="004627C4" w:rsidRDefault="00B2227E" w:rsidP="00B2227E">
      <w:pPr>
        <w:pStyle w:val="NormalWeb"/>
        <w:ind w:firstLine="720"/>
        <w:jc w:val="both"/>
        <w:rPr>
          <w:rFonts w:ascii="Arial" w:hAnsi="Arial" w:cs="Arial"/>
          <w:b/>
          <w:bCs/>
          <w:sz w:val="20"/>
          <w:szCs w:val="20"/>
        </w:rPr>
      </w:pPr>
      <w:r w:rsidRPr="004627C4">
        <w:rPr>
          <w:rStyle w:val="Strong"/>
          <w:rFonts w:ascii="Arial" w:eastAsiaTheme="majorEastAsia" w:hAnsi="Arial" w:cs="Arial"/>
          <w:b w:val="0"/>
          <w:bCs w:val="0"/>
          <w:sz w:val="20"/>
          <w:szCs w:val="20"/>
        </w:rPr>
        <w:t xml:space="preserve">Good nutrition is a key determinant of silk quality. When silkworms consume mulberry leaves rich in protein and balanced in amino acids, they obtain the necessary building blocks to synthesize fibroin and sericin efficiently. This results in longer filaments with finer denier, improved tensile strength, and enhanced </w:t>
      </w:r>
      <w:proofErr w:type="spellStart"/>
      <w:r w:rsidRPr="004627C4">
        <w:rPr>
          <w:rStyle w:val="Strong"/>
          <w:rFonts w:ascii="Arial" w:eastAsiaTheme="majorEastAsia" w:hAnsi="Arial" w:cs="Arial"/>
          <w:b w:val="0"/>
          <w:bCs w:val="0"/>
          <w:sz w:val="20"/>
          <w:szCs w:val="20"/>
        </w:rPr>
        <w:t>luster</w:t>
      </w:r>
      <w:proofErr w:type="spellEnd"/>
      <w:r w:rsidRPr="004627C4">
        <w:rPr>
          <w:rStyle w:val="Strong"/>
          <w:rFonts w:ascii="Arial" w:eastAsiaTheme="majorEastAsia" w:hAnsi="Arial" w:cs="Arial"/>
          <w:b w:val="0"/>
          <w:bCs w:val="0"/>
          <w:sz w:val="20"/>
          <w:szCs w:val="20"/>
        </w:rPr>
        <w:t xml:space="preserve"> (</w:t>
      </w:r>
      <w:proofErr w:type="spellStart"/>
      <w:r w:rsidRPr="004627C4">
        <w:rPr>
          <w:rStyle w:val="Strong"/>
          <w:rFonts w:ascii="Arial" w:eastAsiaTheme="majorEastAsia" w:hAnsi="Arial" w:cs="Arial"/>
          <w:b w:val="0"/>
          <w:bCs w:val="0"/>
          <w:sz w:val="20"/>
          <w:szCs w:val="20"/>
        </w:rPr>
        <w:t>Muzamil</w:t>
      </w:r>
      <w:proofErr w:type="spellEnd"/>
      <w:r w:rsidRPr="004627C4">
        <w:rPr>
          <w:rStyle w:val="Strong"/>
          <w:rFonts w:ascii="Arial" w:eastAsiaTheme="majorEastAsia" w:hAnsi="Arial" w:cs="Arial"/>
          <w:b w:val="0"/>
          <w:bCs w:val="0"/>
          <w:sz w:val="20"/>
          <w:szCs w:val="20"/>
        </w:rPr>
        <w:t xml:space="preserve">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Trials with leaves fortified with amino acids such as glycine, alanine, and serine, the principal components of fibroin, demonstrated that silk threads became stronger and more elastic due to improved protein structure during spinning (Kim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Improving mulberry leaf quality through fertilization or nutrient management has also been shown to consistently increase cocoon yield and enhance filament properties (Muzamil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w:t>
      </w:r>
    </w:p>
    <w:p w14:paraId="4F8E5A43" w14:textId="77777777" w:rsidR="00B2227E" w:rsidRPr="004627C4" w:rsidRDefault="00B2227E" w:rsidP="00B2227E">
      <w:pPr>
        <w:pStyle w:val="ListParagraph"/>
        <w:numPr>
          <w:ilvl w:val="1"/>
          <w:numId w:val="36"/>
        </w:numPr>
        <w:jc w:val="both"/>
        <w:rPr>
          <w:rFonts w:ascii="Arial" w:eastAsia="Times New Roman" w:hAnsi="Arial" w:cs="Arial"/>
          <w:b/>
          <w:bCs/>
          <w:kern w:val="0"/>
          <w:sz w:val="22"/>
          <w:szCs w:val="22"/>
          <w:lang w:eastAsia="en-IN"/>
        </w:rPr>
      </w:pPr>
      <w:r w:rsidRPr="004627C4">
        <w:rPr>
          <w:rFonts w:ascii="Arial" w:eastAsia="Times New Roman" w:hAnsi="Arial" w:cs="Arial"/>
          <w:kern w:val="0"/>
          <w:sz w:val="22"/>
          <w:szCs w:val="22"/>
          <w:lang w:eastAsia="en-IN"/>
        </w:rPr>
        <w:lastRenderedPageBreak/>
        <w:t xml:space="preserve"> </w:t>
      </w:r>
      <w:r w:rsidRPr="004627C4">
        <w:rPr>
          <w:rFonts w:ascii="Arial" w:eastAsia="Times New Roman" w:hAnsi="Arial" w:cs="Arial"/>
          <w:b/>
          <w:bCs/>
          <w:kern w:val="0"/>
          <w:sz w:val="22"/>
          <w:szCs w:val="22"/>
          <w:lang w:eastAsia="en-IN"/>
        </w:rPr>
        <w:t>Stress Effects on Fiber Properties</w:t>
      </w:r>
    </w:p>
    <w:p w14:paraId="232994FB" w14:textId="77777777" w:rsidR="00B2227E" w:rsidRPr="004627C4" w:rsidRDefault="00B2227E" w:rsidP="00B2227E">
      <w:pPr>
        <w:pStyle w:val="NormalWeb"/>
        <w:ind w:firstLine="720"/>
        <w:jc w:val="both"/>
        <w:rPr>
          <w:rFonts w:ascii="Arial" w:hAnsi="Arial" w:cs="Arial"/>
          <w:b/>
          <w:bCs/>
          <w:sz w:val="20"/>
          <w:szCs w:val="20"/>
        </w:rPr>
      </w:pPr>
      <w:r w:rsidRPr="004627C4">
        <w:rPr>
          <w:rStyle w:val="Strong"/>
          <w:rFonts w:ascii="Arial" w:eastAsiaTheme="majorEastAsia" w:hAnsi="Arial" w:cs="Arial"/>
          <w:b w:val="0"/>
          <w:bCs w:val="0"/>
          <w:sz w:val="20"/>
          <w:szCs w:val="20"/>
        </w:rPr>
        <w:t xml:space="preserve">Stress undermines silk quality. High temperatures, poor-quality leaves, or crowded rearing conditions force silkworms to divert energy away from silk gland growth and fibroin synthesis. The outcome is shorter, coarser, and more variable filaments with reduced tensile strength (Chen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Chemical stressors can be even more damaging, as exposure to insecticides such as dinotefuran induces oxidative damage and autophagy in silk glands, weakening </w:t>
      </w:r>
      <w:proofErr w:type="spellStart"/>
      <w:r w:rsidRPr="004627C4">
        <w:rPr>
          <w:rStyle w:val="Strong"/>
          <w:rFonts w:ascii="Arial" w:eastAsiaTheme="majorEastAsia" w:hAnsi="Arial" w:cs="Arial"/>
          <w:b w:val="0"/>
          <w:bCs w:val="0"/>
          <w:sz w:val="20"/>
          <w:szCs w:val="20"/>
        </w:rPr>
        <w:t>fiber</w:t>
      </w:r>
      <w:proofErr w:type="spellEnd"/>
      <w:r w:rsidRPr="004627C4">
        <w:rPr>
          <w:rStyle w:val="Strong"/>
          <w:rFonts w:ascii="Arial" w:eastAsiaTheme="majorEastAsia" w:hAnsi="Arial" w:cs="Arial"/>
          <w:b w:val="0"/>
          <w:bCs w:val="0"/>
          <w:sz w:val="20"/>
          <w:szCs w:val="20"/>
        </w:rPr>
        <w:t xml:space="preserve"> structure and diminishing </w:t>
      </w:r>
      <w:proofErr w:type="spellStart"/>
      <w:r w:rsidRPr="004627C4">
        <w:rPr>
          <w:rStyle w:val="Strong"/>
          <w:rFonts w:ascii="Arial" w:eastAsiaTheme="majorEastAsia" w:hAnsi="Arial" w:cs="Arial"/>
          <w:b w:val="0"/>
          <w:bCs w:val="0"/>
          <w:sz w:val="20"/>
          <w:szCs w:val="20"/>
        </w:rPr>
        <w:t>luster</w:t>
      </w:r>
      <w:proofErr w:type="spellEnd"/>
      <w:r w:rsidRPr="004627C4">
        <w:rPr>
          <w:rStyle w:val="Strong"/>
          <w:rFonts w:ascii="Arial" w:eastAsiaTheme="majorEastAsia" w:hAnsi="Arial" w:cs="Arial"/>
          <w:b w:val="0"/>
          <w:bCs w:val="0"/>
          <w:sz w:val="20"/>
          <w:szCs w:val="20"/>
        </w:rPr>
        <w:t xml:space="preserve"> (Huang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When larvae prioritize survival over spinning, both yield and quality inevitably decline.</w:t>
      </w:r>
    </w:p>
    <w:p w14:paraId="0D453675" w14:textId="77777777" w:rsidR="00B2227E" w:rsidRPr="004627C4" w:rsidRDefault="00B2227E" w:rsidP="00B2227E">
      <w:pPr>
        <w:pStyle w:val="ListParagraph"/>
        <w:numPr>
          <w:ilvl w:val="1"/>
          <w:numId w:val="36"/>
        </w:numPr>
        <w:jc w:val="both"/>
        <w:rPr>
          <w:rFonts w:ascii="Arial" w:eastAsia="Times New Roman" w:hAnsi="Arial" w:cs="Arial"/>
          <w:b/>
          <w:bCs/>
          <w:kern w:val="0"/>
          <w:sz w:val="22"/>
          <w:szCs w:val="22"/>
          <w:lang w:eastAsia="en-IN"/>
        </w:rPr>
      </w:pPr>
      <w:r w:rsidRPr="004627C4">
        <w:rPr>
          <w:rFonts w:ascii="Arial" w:eastAsia="Times New Roman" w:hAnsi="Arial" w:cs="Arial"/>
          <w:kern w:val="0"/>
          <w:sz w:val="22"/>
          <w:szCs w:val="22"/>
          <w:lang w:eastAsia="en-IN"/>
        </w:rPr>
        <w:t xml:space="preserve"> </w:t>
      </w:r>
      <w:r w:rsidRPr="004627C4">
        <w:rPr>
          <w:rFonts w:ascii="Arial" w:eastAsia="Times New Roman" w:hAnsi="Arial" w:cs="Arial"/>
          <w:b/>
          <w:bCs/>
          <w:kern w:val="0"/>
          <w:sz w:val="22"/>
          <w:szCs w:val="22"/>
          <w:lang w:eastAsia="en-IN"/>
        </w:rPr>
        <w:t>Influence of the Gut Microbiome</w:t>
      </w:r>
    </w:p>
    <w:p w14:paraId="3346CEBE" w14:textId="77777777" w:rsidR="00B2227E" w:rsidRPr="004627C4" w:rsidRDefault="00B2227E" w:rsidP="00B2227E">
      <w:pPr>
        <w:pStyle w:val="NormalWeb"/>
        <w:ind w:firstLine="720"/>
        <w:jc w:val="both"/>
        <w:rPr>
          <w:rFonts w:ascii="Arial" w:hAnsi="Arial" w:cs="Arial"/>
          <w:b/>
          <w:bCs/>
          <w:sz w:val="20"/>
          <w:szCs w:val="20"/>
        </w:rPr>
      </w:pPr>
      <w:r w:rsidRPr="004627C4">
        <w:rPr>
          <w:rStyle w:val="Strong"/>
          <w:rFonts w:ascii="Arial" w:eastAsiaTheme="majorEastAsia" w:hAnsi="Arial" w:cs="Arial"/>
          <w:b w:val="0"/>
          <w:bCs w:val="0"/>
          <w:sz w:val="20"/>
          <w:szCs w:val="20"/>
        </w:rPr>
        <w:t xml:space="preserve">The gut microbiota plays an important role in determining silk quality. Balanced microbial communities enhance the digestion of mulberry leaves and improve access to essential amino acids (Xin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However, the inclusion of certain synthetic or natural preservatives in diets can disrupt this balance, leading to alterations in cocoon traits and overall silk yield (Lei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This highlights a promising research frontier, identifying beneficial microbial strains could support the development of probiotic or microbiome-informed diets that enhance both resilience and productivity (Xin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w:t>
      </w:r>
    </w:p>
    <w:p w14:paraId="3E761741" w14:textId="77777777" w:rsidR="00B2227E" w:rsidRPr="004627C4" w:rsidRDefault="00B2227E" w:rsidP="00B2227E">
      <w:pPr>
        <w:pStyle w:val="ListParagraph"/>
        <w:numPr>
          <w:ilvl w:val="1"/>
          <w:numId w:val="36"/>
        </w:numPr>
        <w:jc w:val="both"/>
        <w:rPr>
          <w:rFonts w:ascii="Arial" w:eastAsia="Times New Roman" w:hAnsi="Arial" w:cs="Arial"/>
          <w:kern w:val="0"/>
          <w:sz w:val="16"/>
          <w:szCs w:val="16"/>
          <w:lang w:eastAsia="en-IN"/>
        </w:rPr>
      </w:pPr>
      <w:r w:rsidRPr="004627C4">
        <w:rPr>
          <w:rFonts w:ascii="Arial" w:eastAsia="Times New Roman" w:hAnsi="Arial" w:cs="Arial"/>
          <w:b/>
          <w:bCs/>
          <w:kern w:val="0"/>
          <w:sz w:val="22"/>
          <w:szCs w:val="22"/>
          <w:lang w:eastAsia="en-IN"/>
        </w:rPr>
        <w:t xml:space="preserve"> Trade-Offs Between Resilience and Productivity</w:t>
      </w:r>
    </w:p>
    <w:p w14:paraId="5366F659" w14:textId="77777777" w:rsidR="00B2227E" w:rsidRPr="004627C4" w:rsidRDefault="00B2227E" w:rsidP="00B2227E">
      <w:pPr>
        <w:pStyle w:val="NormalWeb"/>
        <w:ind w:firstLine="720"/>
        <w:jc w:val="both"/>
        <w:rPr>
          <w:rFonts w:ascii="Arial" w:hAnsi="Arial" w:cs="Arial"/>
          <w:sz w:val="20"/>
          <w:szCs w:val="20"/>
        </w:rPr>
      </w:pPr>
      <w:r w:rsidRPr="004627C4">
        <w:rPr>
          <w:rFonts w:ascii="Arial" w:hAnsi="Arial" w:cs="Arial"/>
          <w:sz w:val="20"/>
          <w:szCs w:val="20"/>
        </w:rPr>
        <w:t xml:space="preserve">It is rarely a free trade-off. Strains that withstand heat or chemical stress often develop smaller silk glands and produce less fibroin, resulting in thicker but less abundant silk (Chen </w:t>
      </w:r>
      <w:r w:rsidRPr="004627C4">
        <w:rPr>
          <w:rFonts w:ascii="Arial" w:hAnsi="Arial" w:cs="Arial"/>
          <w:i/>
          <w:iCs/>
          <w:sz w:val="20"/>
          <w:szCs w:val="20"/>
        </w:rPr>
        <w:t>et al.,</w:t>
      </w:r>
      <w:r w:rsidRPr="004627C4">
        <w:rPr>
          <w:rFonts w:ascii="Arial" w:hAnsi="Arial" w:cs="Arial"/>
          <w:sz w:val="20"/>
          <w:szCs w:val="20"/>
        </w:rPr>
        <w:t xml:space="preserve"> 2024). In contrast, strains selected for high yield generate longer and glossier filaments, but only under optimal rearing conditions (Kim </w:t>
      </w:r>
      <w:r w:rsidRPr="004627C4">
        <w:rPr>
          <w:rFonts w:ascii="Arial" w:hAnsi="Arial" w:cs="Arial"/>
          <w:i/>
          <w:iCs/>
          <w:sz w:val="20"/>
          <w:szCs w:val="20"/>
        </w:rPr>
        <w:t>et al.,</w:t>
      </w:r>
      <w:r w:rsidRPr="004627C4">
        <w:rPr>
          <w:rFonts w:ascii="Arial" w:hAnsi="Arial" w:cs="Arial"/>
          <w:sz w:val="20"/>
          <w:szCs w:val="20"/>
        </w:rPr>
        <w:t xml:space="preserve"> 2023). In practical sericulture systems, the strain must be matched to the prevailing environment. Without adequate nutrition and stable conditions, producers risk sacrificing either resilience or silk quality (Muzamil </w:t>
      </w:r>
      <w:r w:rsidRPr="004627C4">
        <w:rPr>
          <w:rFonts w:ascii="Arial" w:hAnsi="Arial" w:cs="Arial"/>
          <w:i/>
          <w:iCs/>
          <w:sz w:val="20"/>
          <w:szCs w:val="20"/>
        </w:rPr>
        <w:t>et al.,</w:t>
      </w:r>
      <w:r w:rsidRPr="004627C4">
        <w:rPr>
          <w:rFonts w:ascii="Arial" w:hAnsi="Arial" w:cs="Arial"/>
          <w:sz w:val="20"/>
          <w:szCs w:val="20"/>
        </w:rPr>
        <w:t xml:space="preserve"> 2023; Xin </w:t>
      </w:r>
      <w:r w:rsidRPr="004627C4">
        <w:rPr>
          <w:rFonts w:ascii="Arial" w:hAnsi="Arial" w:cs="Arial"/>
          <w:i/>
          <w:iCs/>
          <w:sz w:val="20"/>
          <w:szCs w:val="20"/>
        </w:rPr>
        <w:t>et al.,</w:t>
      </w:r>
      <w:r w:rsidRPr="004627C4">
        <w:rPr>
          <w:rFonts w:ascii="Arial" w:hAnsi="Arial" w:cs="Arial"/>
          <w:sz w:val="20"/>
          <w:szCs w:val="20"/>
        </w:rPr>
        <w:t xml:space="preserve"> 2024).</w:t>
      </w:r>
    </w:p>
    <w:p w14:paraId="30059717" w14:textId="77777777" w:rsidR="00B2227E" w:rsidRPr="004627C4" w:rsidRDefault="00B2227E" w:rsidP="00B2227E">
      <w:pPr>
        <w:pStyle w:val="ListParagraph"/>
        <w:numPr>
          <w:ilvl w:val="1"/>
          <w:numId w:val="36"/>
        </w:numPr>
        <w:jc w:val="both"/>
        <w:rPr>
          <w:rFonts w:ascii="Arial" w:eastAsia="Times New Roman" w:hAnsi="Arial" w:cs="Arial"/>
          <w:b/>
          <w:bCs/>
          <w:kern w:val="0"/>
          <w:sz w:val="22"/>
          <w:szCs w:val="22"/>
          <w:lang w:eastAsia="en-IN"/>
        </w:rPr>
      </w:pPr>
      <w:r w:rsidRPr="004627C4">
        <w:rPr>
          <w:rFonts w:ascii="Arial" w:eastAsia="Times New Roman" w:hAnsi="Arial" w:cs="Arial"/>
          <w:kern w:val="0"/>
          <w:sz w:val="22"/>
          <w:szCs w:val="22"/>
          <w:lang w:eastAsia="en-IN"/>
        </w:rPr>
        <w:t xml:space="preserve"> </w:t>
      </w:r>
      <w:r w:rsidRPr="004627C4">
        <w:rPr>
          <w:rFonts w:ascii="Arial" w:eastAsia="Times New Roman" w:hAnsi="Arial" w:cs="Arial"/>
          <w:b/>
          <w:bCs/>
          <w:kern w:val="0"/>
          <w:sz w:val="22"/>
          <w:szCs w:val="22"/>
          <w:lang w:eastAsia="en-IN"/>
        </w:rPr>
        <w:t>Practical Implications for Sericulture</w:t>
      </w:r>
    </w:p>
    <w:p w14:paraId="61821044" w14:textId="77777777" w:rsidR="00B2227E" w:rsidRPr="004627C4" w:rsidRDefault="00B2227E" w:rsidP="00B2227E">
      <w:pPr>
        <w:pStyle w:val="NormalWeb"/>
        <w:ind w:firstLine="720"/>
        <w:jc w:val="both"/>
        <w:rPr>
          <w:rFonts w:ascii="Arial" w:hAnsi="Arial" w:cs="Arial"/>
          <w:b/>
          <w:bCs/>
          <w:sz w:val="20"/>
          <w:szCs w:val="20"/>
        </w:rPr>
      </w:pPr>
      <w:r w:rsidRPr="004627C4">
        <w:rPr>
          <w:rStyle w:val="Strong"/>
          <w:rFonts w:ascii="Arial" w:eastAsiaTheme="majorEastAsia" w:hAnsi="Arial" w:cs="Arial"/>
          <w:b w:val="0"/>
          <w:bCs w:val="0"/>
          <w:sz w:val="20"/>
          <w:szCs w:val="20"/>
        </w:rPr>
        <w:t xml:space="preserve">In practical terms, improving leaf nutrition through targeted amino acid fortification or optimized fertilization can enhance filament quality and yield (Muzamil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Minimizing pesticide exposure is equally important, as it protects silk glands from oxidative damage and helps preserve </w:t>
      </w:r>
      <w:proofErr w:type="spellStart"/>
      <w:r w:rsidRPr="004627C4">
        <w:rPr>
          <w:rStyle w:val="Strong"/>
          <w:rFonts w:ascii="Arial" w:eastAsiaTheme="majorEastAsia" w:hAnsi="Arial" w:cs="Arial"/>
          <w:b w:val="0"/>
          <w:bCs w:val="0"/>
          <w:sz w:val="20"/>
          <w:szCs w:val="20"/>
        </w:rPr>
        <w:t>fiber</w:t>
      </w:r>
      <w:proofErr w:type="spellEnd"/>
      <w:r w:rsidRPr="004627C4">
        <w:rPr>
          <w:rStyle w:val="Strong"/>
          <w:rFonts w:ascii="Arial" w:eastAsiaTheme="majorEastAsia" w:hAnsi="Arial" w:cs="Arial"/>
          <w:b w:val="0"/>
          <w:bCs w:val="0"/>
          <w:sz w:val="20"/>
          <w:szCs w:val="20"/>
        </w:rPr>
        <w:t xml:space="preserve"> strength and </w:t>
      </w:r>
      <w:proofErr w:type="spellStart"/>
      <w:r w:rsidRPr="004627C4">
        <w:rPr>
          <w:rStyle w:val="Strong"/>
          <w:rFonts w:ascii="Arial" w:eastAsiaTheme="majorEastAsia" w:hAnsi="Arial" w:cs="Arial"/>
          <w:b w:val="0"/>
          <w:bCs w:val="0"/>
          <w:sz w:val="20"/>
          <w:szCs w:val="20"/>
        </w:rPr>
        <w:t>luster</w:t>
      </w:r>
      <w:proofErr w:type="spellEnd"/>
      <w:r w:rsidRPr="004627C4">
        <w:rPr>
          <w:rStyle w:val="Strong"/>
          <w:rFonts w:ascii="Arial" w:eastAsiaTheme="majorEastAsia" w:hAnsi="Arial" w:cs="Arial"/>
          <w:b w:val="0"/>
          <w:bCs w:val="0"/>
          <w:sz w:val="20"/>
          <w:szCs w:val="20"/>
        </w:rPr>
        <w:t xml:space="preserve"> (Huang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 Attention to gut health also presents new opportunities; probiotic supplementation or microbiome-informed diets may improve nutrient utilization and cocoon characteristics (Xin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Finally, selecting appropriate strains for local environments remains essential. Under harsh or variable conditions, resilient strains provide greater stability, while in optimal environments, high-yielding strains can maximize productivity (Chen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2024; Kim </w:t>
      </w:r>
      <w:r w:rsidRPr="004627C4">
        <w:rPr>
          <w:rStyle w:val="Strong"/>
          <w:rFonts w:ascii="Arial" w:eastAsiaTheme="majorEastAsia" w:hAnsi="Arial" w:cs="Arial"/>
          <w:b w:val="0"/>
          <w:bCs w:val="0"/>
          <w:i/>
          <w:iCs/>
          <w:sz w:val="20"/>
          <w:szCs w:val="20"/>
        </w:rPr>
        <w:t>et al.,</w:t>
      </w:r>
      <w:r w:rsidRPr="004627C4">
        <w:rPr>
          <w:rStyle w:val="Strong"/>
          <w:rFonts w:ascii="Arial" w:eastAsiaTheme="majorEastAsia" w:hAnsi="Arial" w:cs="Arial"/>
          <w:b w:val="0"/>
          <w:bCs w:val="0"/>
          <w:sz w:val="20"/>
          <w:szCs w:val="20"/>
        </w:rPr>
        <w:t xml:space="preserve"> 2023).</w:t>
      </w:r>
    </w:p>
    <w:p w14:paraId="55B6E269" w14:textId="692A5F48" w:rsidR="00B2227E" w:rsidRPr="004627C4" w:rsidRDefault="004627C4" w:rsidP="00B2227E">
      <w:pPr>
        <w:pStyle w:val="ListParagraph"/>
        <w:numPr>
          <w:ilvl w:val="0"/>
          <w:numId w:val="36"/>
        </w:numPr>
        <w:jc w:val="both"/>
        <w:rPr>
          <w:rFonts w:ascii="Arial" w:eastAsia="Times New Roman" w:hAnsi="Arial" w:cs="Arial"/>
          <w:b/>
          <w:bCs/>
          <w:kern w:val="0"/>
          <w:sz w:val="22"/>
          <w:szCs w:val="22"/>
          <w:lang w:eastAsia="en-IN"/>
        </w:rPr>
      </w:pPr>
      <w:r w:rsidRPr="004627C4">
        <w:rPr>
          <w:rFonts w:ascii="Arial" w:eastAsia="Times New Roman" w:hAnsi="Arial" w:cs="Arial"/>
          <w:b/>
          <w:bCs/>
          <w:kern w:val="0"/>
          <w:sz w:val="22"/>
          <w:szCs w:val="22"/>
          <w:lang w:eastAsia="en-IN"/>
        </w:rPr>
        <w:t>CONCLUSION AND FUTURE PROSPECTS</w:t>
      </w:r>
    </w:p>
    <w:p w14:paraId="6418AA96" w14:textId="1B63118B" w:rsidR="00B2227E" w:rsidRPr="004627C4" w:rsidRDefault="00B2227E" w:rsidP="00B2227E">
      <w:pPr>
        <w:pStyle w:val="NormalWeb"/>
        <w:ind w:firstLine="720"/>
        <w:jc w:val="both"/>
        <w:rPr>
          <w:rFonts w:ascii="Arial" w:hAnsi="Arial" w:cs="Arial"/>
          <w:sz w:val="20"/>
          <w:szCs w:val="20"/>
        </w:rPr>
      </w:pPr>
      <w:r w:rsidRPr="004627C4">
        <w:rPr>
          <w:rFonts w:ascii="Arial" w:hAnsi="Arial" w:cs="Arial"/>
          <w:sz w:val="20"/>
          <w:szCs w:val="20"/>
        </w:rPr>
        <w:t>Nutrition and stress interact continuously to determine silk production outcomes. High-quality mulberry leaves provide the amino acids and energy required for efficient synthesis of fibroin and sericin, while leaf antioxidants and secondary metabolites help modulate oxidative load and digestion. Under optimal nutrition, silkworms achieve faster growth, greater conversion efficiency, and improved fibre characteristics. Conversely, when nutrition is compromised or stressors accumulate, such as temperature fluctuations, cold-</w:t>
      </w:r>
      <w:r w:rsidRPr="004627C4">
        <w:rPr>
          <w:rFonts w:ascii="Arial" w:hAnsi="Arial" w:cs="Arial"/>
          <w:sz w:val="20"/>
          <w:szCs w:val="20"/>
        </w:rPr>
        <w:lastRenderedPageBreak/>
        <w:t xml:space="preserve">stored leaves, pesticide residues, or pathogens, larvae activate detoxification pathways. They also trigger additional stress-response mechanisms to cope with these challenges. These processes divert resources away from silk synthesis and ultimately reduce yield and quality (Sangha </w:t>
      </w:r>
      <w:r w:rsidRPr="004627C4">
        <w:rPr>
          <w:rFonts w:ascii="Arial" w:hAnsi="Arial" w:cs="Arial"/>
          <w:i/>
          <w:iCs/>
          <w:sz w:val="20"/>
          <w:szCs w:val="20"/>
        </w:rPr>
        <w:t>et al.,</w:t>
      </w:r>
      <w:r w:rsidRPr="004627C4">
        <w:rPr>
          <w:rFonts w:ascii="Arial" w:hAnsi="Arial" w:cs="Arial"/>
          <w:sz w:val="20"/>
          <w:szCs w:val="20"/>
        </w:rPr>
        <w:t xml:space="preserve"> 2024; </w:t>
      </w:r>
      <w:r w:rsidR="00E23652" w:rsidRPr="004627C4">
        <w:rPr>
          <w:rFonts w:ascii="Arial" w:hAnsi="Arial" w:cs="Arial"/>
          <w:sz w:val="20"/>
          <w:szCs w:val="20"/>
        </w:rPr>
        <w:t xml:space="preserve">Peng </w:t>
      </w:r>
      <w:r w:rsidR="00E23652" w:rsidRPr="004627C4">
        <w:rPr>
          <w:rFonts w:ascii="Arial" w:hAnsi="Arial" w:cs="Arial"/>
          <w:i/>
          <w:iCs/>
          <w:sz w:val="20"/>
          <w:szCs w:val="20"/>
        </w:rPr>
        <w:t>et al.,</w:t>
      </w:r>
      <w:r w:rsidR="00E23652" w:rsidRPr="004627C4">
        <w:rPr>
          <w:rFonts w:ascii="Arial" w:hAnsi="Arial" w:cs="Arial"/>
          <w:sz w:val="20"/>
          <w:szCs w:val="20"/>
        </w:rPr>
        <w:t xml:space="preserve"> 2023</w:t>
      </w:r>
      <w:r w:rsidR="00E23652">
        <w:rPr>
          <w:rFonts w:ascii="Arial" w:hAnsi="Arial" w:cs="Arial"/>
          <w:sz w:val="20"/>
          <w:szCs w:val="20"/>
        </w:rPr>
        <w:t xml:space="preserve">; </w:t>
      </w:r>
      <w:r w:rsidRPr="004627C4">
        <w:rPr>
          <w:rFonts w:ascii="Arial" w:hAnsi="Arial" w:cs="Arial"/>
          <w:sz w:val="20"/>
          <w:szCs w:val="20"/>
        </w:rPr>
        <w:t xml:space="preserve">Liu </w:t>
      </w:r>
      <w:r w:rsidRPr="004627C4">
        <w:rPr>
          <w:rFonts w:ascii="Arial" w:hAnsi="Arial" w:cs="Arial"/>
          <w:i/>
          <w:iCs/>
          <w:sz w:val="20"/>
          <w:szCs w:val="20"/>
        </w:rPr>
        <w:t>et al.,</w:t>
      </w:r>
      <w:r w:rsidRPr="004627C4">
        <w:rPr>
          <w:rFonts w:ascii="Arial" w:hAnsi="Arial" w:cs="Arial"/>
          <w:sz w:val="20"/>
          <w:szCs w:val="20"/>
        </w:rPr>
        <w:t xml:space="preserve"> 2024</w:t>
      </w:r>
      <w:r w:rsidR="00E23652">
        <w:rPr>
          <w:rFonts w:ascii="Arial" w:hAnsi="Arial" w:cs="Arial"/>
          <w:sz w:val="20"/>
          <w:szCs w:val="20"/>
        </w:rPr>
        <w:t>a</w:t>
      </w:r>
      <w:r w:rsidRPr="004627C4">
        <w:rPr>
          <w:rFonts w:ascii="Arial" w:hAnsi="Arial" w:cs="Arial"/>
          <w:sz w:val="20"/>
          <w:szCs w:val="20"/>
        </w:rPr>
        <w:t>).</w:t>
      </w:r>
    </w:p>
    <w:p w14:paraId="21553188" w14:textId="77777777" w:rsidR="00B2227E" w:rsidRPr="004627C4" w:rsidRDefault="00B2227E" w:rsidP="00B2227E">
      <w:pPr>
        <w:pStyle w:val="NormalWeb"/>
        <w:ind w:firstLine="720"/>
        <w:jc w:val="both"/>
        <w:rPr>
          <w:rFonts w:ascii="Arial" w:hAnsi="Arial" w:cs="Arial"/>
          <w:sz w:val="20"/>
          <w:szCs w:val="20"/>
        </w:rPr>
      </w:pPr>
      <w:r w:rsidRPr="004627C4">
        <w:rPr>
          <w:rFonts w:ascii="Arial" w:hAnsi="Arial" w:cs="Arial"/>
          <w:sz w:val="20"/>
          <w:szCs w:val="20"/>
        </w:rPr>
        <w:t xml:space="preserve">Looking ahead, three practical directions hold the greatest promise. First, targeted breeding of mulberry and silkworm varieties that combine high nutritional profiles with stress tolerance will provide material better suited to variable field conditions (Manjunath </w:t>
      </w:r>
      <w:r w:rsidRPr="004627C4">
        <w:rPr>
          <w:rFonts w:ascii="Arial" w:hAnsi="Arial" w:cs="Arial"/>
          <w:i/>
          <w:iCs/>
          <w:sz w:val="20"/>
          <w:szCs w:val="20"/>
        </w:rPr>
        <w:t>et al.,</w:t>
      </w:r>
      <w:r w:rsidRPr="004627C4">
        <w:rPr>
          <w:rFonts w:ascii="Arial" w:hAnsi="Arial" w:cs="Arial"/>
          <w:sz w:val="20"/>
          <w:szCs w:val="20"/>
        </w:rPr>
        <w:t xml:space="preserve"> 2023). Second, advances in biotechnology, including marker-assisted selection, gene editing, and transgenic approaches, offer opportunities to enhance leaf nutrient composition, pest resistance, and silkworm resilience. However, these innovations must be accompanied by careful biosafety assessment and societal acceptance (Kumar </w:t>
      </w:r>
      <w:r w:rsidRPr="004627C4">
        <w:rPr>
          <w:rFonts w:ascii="Arial" w:hAnsi="Arial" w:cs="Arial"/>
          <w:i/>
          <w:iCs/>
          <w:sz w:val="20"/>
          <w:szCs w:val="20"/>
        </w:rPr>
        <w:t>et al.,</w:t>
      </w:r>
      <w:r w:rsidRPr="004627C4">
        <w:rPr>
          <w:rFonts w:ascii="Arial" w:hAnsi="Arial" w:cs="Arial"/>
          <w:sz w:val="20"/>
          <w:szCs w:val="20"/>
        </w:rPr>
        <w:t xml:space="preserve"> 2024; </w:t>
      </w:r>
      <w:proofErr w:type="spellStart"/>
      <w:r w:rsidRPr="004627C4">
        <w:rPr>
          <w:rFonts w:ascii="Arial" w:hAnsi="Arial" w:cs="Arial"/>
          <w:sz w:val="20"/>
          <w:szCs w:val="20"/>
        </w:rPr>
        <w:t>Attria</w:t>
      </w:r>
      <w:proofErr w:type="spellEnd"/>
      <w:r w:rsidRPr="004627C4">
        <w:rPr>
          <w:rFonts w:ascii="Arial" w:hAnsi="Arial" w:cs="Arial"/>
          <w:sz w:val="20"/>
          <w:szCs w:val="20"/>
        </w:rPr>
        <w:t xml:space="preserve"> </w:t>
      </w:r>
      <w:r w:rsidRPr="004627C4">
        <w:rPr>
          <w:rFonts w:ascii="Arial" w:hAnsi="Arial" w:cs="Arial"/>
          <w:i/>
          <w:iCs/>
          <w:sz w:val="20"/>
          <w:szCs w:val="20"/>
        </w:rPr>
        <w:t>et al.,</w:t>
      </w:r>
      <w:r w:rsidRPr="004627C4">
        <w:rPr>
          <w:rFonts w:ascii="Arial" w:hAnsi="Arial" w:cs="Arial"/>
          <w:sz w:val="20"/>
          <w:szCs w:val="20"/>
        </w:rPr>
        <w:t xml:space="preserve"> 2024). Third, improved farm practices, such as timely harvesting, minimal leaf storage, integrated pest management, and the adoption of monitoring tools (e.g., hyperspectral imaging or biochemical assays), represent cost-effective strategies to stabilize nutrition and mitigate stress impacts. Integrating these three approaches provides a pathway toward producing consistently high-quality silk without compromising resilience (Li </w:t>
      </w:r>
      <w:r w:rsidRPr="004627C4">
        <w:rPr>
          <w:rFonts w:ascii="Arial" w:hAnsi="Arial" w:cs="Arial"/>
          <w:i/>
          <w:iCs/>
          <w:sz w:val="20"/>
          <w:szCs w:val="20"/>
        </w:rPr>
        <w:t>et al.,</w:t>
      </w:r>
      <w:r w:rsidRPr="004627C4">
        <w:rPr>
          <w:rFonts w:ascii="Arial" w:hAnsi="Arial" w:cs="Arial"/>
          <w:sz w:val="20"/>
          <w:szCs w:val="20"/>
        </w:rPr>
        <w:t xml:space="preserve"> 2023; Huang </w:t>
      </w:r>
      <w:r w:rsidRPr="004627C4">
        <w:rPr>
          <w:rFonts w:ascii="Arial" w:hAnsi="Arial" w:cs="Arial"/>
          <w:i/>
          <w:iCs/>
          <w:sz w:val="20"/>
          <w:szCs w:val="20"/>
        </w:rPr>
        <w:t>et al.,</w:t>
      </w:r>
      <w:r w:rsidRPr="004627C4">
        <w:rPr>
          <w:rFonts w:ascii="Arial" w:hAnsi="Arial" w:cs="Arial"/>
          <w:sz w:val="20"/>
          <w:szCs w:val="20"/>
        </w:rPr>
        <w:t xml:space="preserve"> 2018).</w:t>
      </w:r>
    </w:p>
    <w:p w14:paraId="63D57EB4" w14:textId="425BD231" w:rsidR="00AB67E5" w:rsidRPr="00AB67E5" w:rsidRDefault="00B2227E" w:rsidP="005A7A49">
      <w:pPr>
        <w:pStyle w:val="NormalWeb"/>
        <w:spacing w:before="0" w:beforeAutospacing="0" w:after="0" w:afterAutospacing="0"/>
        <w:ind w:firstLine="720"/>
        <w:jc w:val="both"/>
        <w:rPr>
          <w:rFonts w:ascii="Arial" w:hAnsi="Arial" w:cs="Arial"/>
          <w:sz w:val="20"/>
          <w:szCs w:val="20"/>
        </w:rPr>
      </w:pPr>
      <w:r w:rsidRPr="004627C4">
        <w:rPr>
          <w:rFonts w:ascii="Arial" w:hAnsi="Arial" w:cs="Arial"/>
          <w:sz w:val="20"/>
          <w:szCs w:val="20"/>
        </w:rPr>
        <w:t xml:space="preserve">Future research should focus on three priority areas: (1) mechanistic studies that connect specific mulberry leaf metabolites to silk biochemical pathways, (2) field-level trials to evaluate nutrient-aware pruning and harvest schedules across seasons, and (3) socio-regulatory studies addressing the adoption of biotechnology in sericulture. Addressing these gaps will help transition the sector from reactive management to proactive, evidence-driven systems that support both silkworm health and farmer livelihoods (Sangha </w:t>
      </w:r>
      <w:r w:rsidRPr="004627C4">
        <w:rPr>
          <w:rFonts w:ascii="Arial" w:hAnsi="Arial" w:cs="Arial"/>
          <w:i/>
          <w:iCs/>
          <w:sz w:val="20"/>
          <w:szCs w:val="20"/>
        </w:rPr>
        <w:t>et al.,</w:t>
      </w:r>
      <w:r w:rsidRPr="004627C4">
        <w:rPr>
          <w:rFonts w:ascii="Arial" w:hAnsi="Arial" w:cs="Arial"/>
          <w:sz w:val="20"/>
          <w:szCs w:val="20"/>
        </w:rPr>
        <w:t xml:space="preserve"> 2024; Liu </w:t>
      </w:r>
      <w:r w:rsidRPr="004627C4">
        <w:rPr>
          <w:rFonts w:ascii="Arial" w:hAnsi="Arial" w:cs="Arial"/>
          <w:i/>
          <w:iCs/>
          <w:sz w:val="20"/>
          <w:szCs w:val="20"/>
        </w:rPr>
        <w:t xml:space="preserve">et al., </w:t>
      </w:r>
      <w:r w:rsidRPr="004627C4">
        <w:rPr>
          <w:rFonts w:ascii="Arial" w:hAnsi="Arial" w:cs="Arial"/>
          <w:sz w:val="20"/>
          <w:szCs w:val="20"/>
        </w:rPr>
        <w:t>2024).</w:t>
      </w:r>
    </w:p>
    <w:p w14:paraId="10B01FB4" w14:textId="77777777" w:rsidR="005A7A49" w:rsidRDefault="005A7A49" w:rsidP="005A7A49">
      <w:pPr>
        <w:pStyle w:val="ReferHead"/>
        <w:spacing w:after="0"/>
        <w:jc w:val="both"/>
        <w:rPr>
          <w:rFonts w:ascii="Arial" w:hAnsi="Arial" w:cs="Arial"/>
          <w:bCs/>
        </w:rPr>
      </w:pPr>
    </w:p>
    <w:p w14:paraId="35CBDE2C" w14:textId="77777777" w:rsidR="00860000" w:rsidRPr="00B2227E" w:rsidRDefault="00860000" w:rsidP="00441B6F">
      <w:pPr>
        <w:pStyle w:val="ReferHead"/>
        <w:spacing w:after="0"/>
        <w:jc w:val="both"/>
        <w:rPr>
          <w:rFonts w:ascii="Arial" w:hAnsi="Arial" w:cs="Arial"/>
        </w:rPr>
      </w:pPr>
    </w:p>
    <w:p w14:paraId="6916FD99" w14:textId="77777777" w:rsidR="00B01FCD" w:rsidRDefault="00B01FCD" w:rsidP="00441B6F">
      <w:pPr>
        <w:pStyle w:val="ReferHead"/>
        <w:spacing w:after="0"/>
        <w:jc w:val="both"/>
        <w:rPr>
          <w:rFonts w:ascii="Arial" w:hAnsi="Arial" w:cs="Arial"/>
        </w:rPr>
      </w:pPr>
      <w:r w:rsidRPr="00B2227E">
        <w:rPr>
          <w:rFonts w:ascii="Arial" w:hAnsi="Arial" w:cs="Arial"/>
        </w:rPr>
        <w:t>References</w:t>
      </w:r>
    </w:p>
    <w:p w14:paraId="43BE938C" w14:textId="77777777" w:rsidR="00AB67E5" w:rsidRDefault="00AB67E5" w:rsidP="00441B6F">
      <w:pPr>
        <w:pStyle w:val="ReferHead"/>
        <w:spacing w:after="0"/>
        <w:jc w:val="both"/>
        <w:rPr>
          <w:rFonts w:ascii="Arial" w:hAnsi="Arial" w:cs="Arial"/>
        </w:rPr>
      </w:pPr>
    </w:p>
    <w:p w14:paraId="2717B5B9"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Sangha, M. N., </w:t>
      </w:r>
      <w:proofErr w:type="spellStart"/>
      <w:r w:rsidRPr="0027064C">
        <w:rPr>
          <w:rFonts w:ascii="Arial" w:hAnsi="Arial" w:cs="Arial"/>
          <w:sz w:val="20"/>
          <w:szCs w:val="20"/>
        </w:rPr>
        <w:t>Barwani</w:t>
      </w:r>
      <w:proofErr w:type="spellEnd"/>
      <w:r w:rsidRPr="0027064C">
        <w:rPr>
          <w:rFonts w:ascii="Arial" w:hAnsi="Arial" w:cs="Arial"/>
          <w:sz w:val="20"/>
          <w:szCs w:val="20"/>
        </w:rPr>
        <w:t>, D. K., Xavier, C., Muhonja, L., Moseti, K., Karanja, P. N., et al. (2024). We are what we eat: Implications of host plant suitability on sustainable production of silkworm pupae as novel ingredient with dietary and health benefits. </w:t>
      </w:r>
      <w:proofErr w:type="spellStart"/>
      <w:r w:rsidRPr="0027064C">
        <w:rPr>
          <w:rFonts w:ascii="Arial" w:hAnsi="Arial" w:cs="Arial"/>
          <w:i/>
          <w:iCs/>
          <w:sz w:val="20"/>
          <w:szCs w:val="20"/>
        </w:rPr>
        <w:t>PloS</w:t>
      </w:r>
      <w:proofErr w:type="spellEnd"/>
      <w:r w:rsidRPr="0027064C">
        <w:rPr>
          <w:rFonts w:ascii="Arial" w:hAnsi="Arial" w:cs="Arial"/>
          <w:i/>
          <w:iCs/>
          <w:sz w:val="20"/>
          <w:szCs w:val="20"/>
        </w:rPr>
        <w:t xml:space="preserve"> one</w:t>
      </w:r>
      <w:r w:rsidRPr="0027064C">
        <w:rPr>
          <w:rFonts w:ascii="Arial" w:hAnsi="Arial" w:cs="Arial"/>
          <w:sz w:val="20"/>
          <w:szCs w:val="20"/>
        </w:rPr>
        <w:t>, </w:t>
      </w:r>
      <w:r w:rsidRPr="0027064C">
        <w:rPr>
          <w:rFonts w:ascii="Arial" w:hAnsi="Arial" w:cs="Arial"/>
          <w:i/>
          <w:iCs/>
          <w:sz w:val="20"/>
          <w:szCs w:val="20"/>
        </w:rPr>
        <w:t>19</w:t>
      </w:r>
      <w:r w:rsidRPr="0027064C">
        <w:rPr>
          <w:rFonts w:ascii="Arial" w:hAnsi="Arial" w:cs="Arial"/>
          <w:sz w:val="20"/>
          <w:szCs w:val="20"/>
        </w:rPr>
        <w:t>(12), e0316290.</w:t>
      </w:r>
    </w:p>
    <w:p w14:paraId="53A35026"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Tassoni, L., </w:t>
      </w:r>
      <w:proofErr w:type="spellStart"/>
      <w:r w:rsidRPr="0027064C">
        <w:rPr>
          <w:rFonts w:ascii="Arial" w:hAnsi="Arial" w:cs="Arial"/>
          <w:sz w:val="20"/>
          <w:szCs w:val="20"/>
        </w:rPr>
        <w:t>Cappellozza</w:t>
      </w:r>
      <w:proofErr w:type="spellEnd"/>
      <w:r w:rsidRPr="0027064C">
        <w:rPr>
          <w:rFonts w:ascii="Arial" w:hAnsi="Arial" w:cs="Arial"/>
          <w:sz w:val="20"/>
          <w:szCs w:val="20"/>
        </w:rPr>
        <w:t xml:space="preserve">, S., </w:t>
      </w:r>
      <w:proofErr w:type="spellStart"/>
      <w:r w:rsidRPr="0027064C">
        <w:rPr>
          <w:rFonts w:ascii="Arial" w:hAnsi="Arial" w:cs="Arial"/>
          <w:sz w:val="20"/>
          <w:szCs w:val="20"/>
        </w:rPr>
        <w:t>Dalle</w:t>
      </w:r>
      <w:proofErr w:type="spellEnd"/>
      <w:r w:rsidRPr="0027064C">
        <w:rPr>
          <w:rFonts w:ascii="Arial" w:hAnsi="Arial" w:cs="Arial"/>
          <w:sz w:val="20"/>
          <w:szCs w:val="20"/>
        </w:rPr>
        <w:t xml:space="preserve"> </w:t>
      </w:r>
      <w:proofErr w:type="spellStart"/>
      <w:r w:rsidRPr="0027064C">
        <w:rPr>
          <w:rFonts w:ascii="Arial" w:hAnsi="Arial" w:cs="Arial"/>
          <w:sz w:val="20"/>
          <w:szCs w:val="20"/>
        </w:rPr>
        <w:t>Zotte</w:t>
      </w:r>
      <w:proofErr w:type="spellEnd"/>
      <w:r w:rsidRPr="0027064C">
        <w:rPr>
          <w:rFonts w:ascii="Arial" w:hAnsi="Arial" w:cs="Arial"/>
          <w:sz w:val="20"/>
          <w:szCs w:val="20"/>
        </w:rPr>
        <w:t xml:space="preserve">, A., </w:t>
      </w:r>
      <w:proofErr w:type="spellStart"/>
      <w:r w:rsidRPr="0027064C">
        <w:rPr>
          <w:rFonts w:ascii="Arial" w:hAnsi="Arial" w:cs="Arial"/>
          <w:sz w:val="20"/>
          <w:szCs w:val="20"/>
        </w:rPr>
        <w:t>Belluco</w:t>
      </w:r>
      <w:proofErr w:type="spellEnd"/>
      <w:r w:rsidRPr="0027064C">
        <w:rPr>
          <w:rFonts w:ascii="Arial" w:hAnsi="Arial" w:cs="Arial"/>
          <w:sz w:val="20"/>
          <w:szCs w:val="20"/>
        </w:rPr>
        <w:t xml:space="preserve">, S., Antonelli, P., </w:t>
      </w:r>
      <w:proofErr w:type="spellStart"/>
      <w:r w:rsidRPr="0027064C">
        <w:rPr>
          <w:rFonts w:ascii="Arial" w:hAnsi="Arial" w:cs="Arial"/>
          <w:sz w:val="20"/>
          <w:szCs w:val="20"/>
        </w:rPr>
        <w:t>Marzoli</w:t>
      </w:r>
      <w:proofErr w:type="spellEnd"/>
      <w:r w:rsidRPr="0027064C">
        <w:rPr>
          <w:rFonts w:ascii="Arial" w:hAnsi="Arial" w:cs="Arial"/>
          <w:sz w:val="20"/>
          <w:szCs w:val="20"/>
        </w:rPr>
        <w:t xml:space="preserve">, F., et al. (2022). Nutritional composition of </w:t>
      </w:r>
      <w:r w:rsidRPr="0027064C">
        <w:rPr>
          <w:rFonts w:ascii="Arial" w:hAnsi="Arial" w:cs="Arial"/>
          <w:i/>
          <w:iCs/>
          <w:sz w:val="20"/>
          <w:szCs w:val="20"/>
        </w:rPr>
        <w:t>Bombyx mori</w:t>
      </w:r>
      <w:r w:rsidRPr="0027064C">
        <w:rPr>
          <w:rFonts w:ascii="Arial" w:hAnsi="Arial" w:cs="Arial"/>
          <w:sz w:val="20"/>
          <w:szCs w:val="20"/>
        </w:rPr>
        <w:t xml:space="preserve"> pupae: A systematic review. </w:t>
      </w:r>
      <w:r w:rsidRPr="0027064C">
        <w:rPr>
          <w:rFonts w:ascii="Arial" w:hAnsi="Arial" w:cs="Arial"/>
          <w:i/>
          <w:iCs/>
          <w:sz w:val="20"/>
          <w:szCs w:val="20"/>
        </w:rPr>
        <w:t>Insects</w:t>
      </w:r>
      <w:r w:rsidRPr="0027064C">
        <w:rPr>
          <w:rFonts w:ascii="Arial" w:hAnsi="Arial" w:cs="Arial"/>
          <w:sz w:val="20"/>
          <w:szCs w:val="20"/>
        </w:rPr>
        <w:t>, </w:t>
      </w:r>
      <w:r w:rsidRPr="0027064C">
        <w:rPr>
          <w:rFonts w:ascii="Arial" w:hAnsi="Arial" w:cs="Arial"/>
          <w:i/>
          <w:iCs/>
          <w:sz w:val="20"/>
          <w:szCs w:val="20"/>
        </w:rPr>
        <w:t>13</w:t>
      </w:r>
      <w:r w:rsidRPr="0027064C">
        <w:rPr>
          <w:rFonts w:ascii="Arial" w:hAnsi="Arial" w:cs="Arial"/>
          <w:sz w:val="20"/>
          <w:szCs w:val="20"/>
        </w:rPr>
        <w:t>(7), 644.</w:t>
      </w:r>
    </w:p>
    <w:p w14:paraId="3B46A8C2" w14:textId="77777777" w:rsidR="0027064C" w:rsidRPr="0027064C" w:rsidRDefault="0027064C" w:rsidP="0027064C">
      <w:pPr>
        <w:pStyle w:val="ListParagraph"/>
        <w:numPr>
          <w:ilvl w:val="0"/>
          <w:numId w:val="37"/>
        </w:numPr>
        <w:jc w:val="both"/>
        <w:rPr>
          <w:rFonts w:ascii="Arial" w:hAnsi="Arial" w:cs="Arial"/>
          <w:sz w:val="20"/>
          <w:szCs w:val="20"/>
          <w:lang w:val="en-US"/>
        </w:rPr>
      </w:pPr>
      <w:proofErr w:type="spellStart"/>
      <w:r w:rsidRPr="0027064C">
        <w:rPr>
          <w:rFonts w:ascii="Arial" w:hAnsi="Arial" w:cs="Arial"/>
          <w:sz w:val="20"/>
          <w:szCs w:val="20"/>
        </w:rPr>
        <w:t>Doliș</w:t>
      </w:r>
      <w:proofErr w:type="spellEnd"/>
      <w:r w:rsidRPr="0027064C">
        <w:rPr>
          <w:rFonts w:ascii="Arial" w:hAnsi="Arial" w:cs="Arial"/>
          <w:sz w:val="20"/>
          <w:szCs w:val="20"/>
        </w:rPr>
        <w:t xml:space="preserve">, M. G., </w:t>
      </w:r>
      <w:proofErr w:type="spellStart"/>
      <w:r w:rsidRPr="0027064C">
        <w:rPr>
          <w:rFonts w:ascii="Arial" w:hAnsi="Arial" w:cs="Arial"/>
          <w:sz w:val="20"/>
          <w:szCs w:val="20"/>
        </w:rPr>
        <w:t>Pânzaru</w:t>
      </w:r>
      <w:proofErr w:type="spellEnd"/>
      <w:r w:rsidRPr="0027064C">
        <w:rPr>
          <w:rFonts w:ascii="Arial" w:hAnsi="Arial" w:cs="Arial"/>
          <w:sz w:val="20"/>
          <w:szCs w:val="20"/>
        </w:rPr>
        <w:t xml:space="preserve">, C., </w:t>
      </w:r>
      <w:proofErr w:type="spellStart"/>
      <w:r w:rsidRPr="0027064C">
        <w:rPr>
          <w:rFonts w:ascii="Arial" w:hAnsi="Arial" w:cs="Arial"/>
          <w:sz w:val="20"/>
          <w:szCs w:val="20"/>
        </w:rPr>
        <w:t>Usturoi</w:t>
      </w:r>
      <w:proofErr w:type="spellEnd"/>
      <w:r w:rsidRPr="0027064C">
        <w:rPr>
          <w:rFonts w:ascii="Arial" w:hAnsi="Arial" w:cs="Arial"/>
          <w:sz w:val="20"/>
          <w:szCs w:val="20"/>
        </w:rPr>
        <w:t xml:space="preserve">, M. G., </w:t>
      </w:r>
      <w:proofErr w:type="spellStart"/>
      <w:r w:rsidRPr="0027064C">
        <w:rPr>
          <w:rFonts w:ascii="Arial" w:hAnsi="Arial" w:cs="Arial"/>
          <w:sz w:val="20"/>
          <w:szCs w:val="20"/>
        </w:rPr>
        <w:t>Usturoi</w:t>
      </w:r>
      <w:proofErr w:type="spellEnd"/>
      <w:r w:rsidRPr="0027064C">
        <w:rPr>
          <w:rFonts w:ascii="Arial" w:hAnsi="Arial" w:cs="Arial"/>
          <w:sz w:val="20"/>
          <w:szCs w:val="20"/>
        </w:rPr>
        <w:t xml:space="preserve">, A., Radu-Rusu, C. G., &amp; Davidescu, M. A. (2024). On the digestibility of mulberry leaf fed to </w:t>
      </w:r>
      <w:r w:rsidRPr="0027064C">
        <w:rPr>
          <w:rFonts w:ascii="Arial" w:hAnsi="Arial" w:cs="Arial"/>
          <w:i/>
          <w:iCs/>
          <w:sz w:val="20"/>
          <w:szCs w:val="20"/>
        </w:rPr>
        <w:t>Bombyx mori</w:t>
      </w:r>
      <w:r w:rsidRPr="0027064C">
        <w:rPr>
          <w:rFonts w:ascii="Arial" w:hAnsi="Arial" w:cs="Arial"/>
          <w:sz w:val="20"/>
          <w:szCs w:val="20"/>
        </w:rPr>
        <w:t xml:space="preserve"> larvae. </w:t>
      </w:r>
      <w:r w:rsidRPr="0027064C">
        <w:rPr>
          <w:rFonts w:ascii="Arial" w:hAnsi="Arial" w:cs="Arial"/>
          <w:i/>
          <w:iCs/>
          <w:sz w:val="20"/>
          <w:szCs w:val="20"/>
        </w:rPr>
        <w:t>Agriculture</w:t>
      </w:r>
      <w:r w:rsidRPr="0027064C">
        <w:rPr>
          <w:rFonts w:ascii="Arial" w:hAnsi="Arial" w:cs="Arial"/>
          <w:sz w:val="20"/>
          <w:szCs w:val="20"/>
        </w:rPr>
        <w:t>, </w:t>
      </w:r>
      <w:r w:rsidRPr="0027064C">
        <w:rPr>
          <w:rFonts w:ascii="Arial" w:hAnsi="Arial" w:cs="Arial"/>
          <w:i/>
          <w:iCs/>
          <w:sz w:val="20"/>
          <w:szCs w:val="20"/>
        </w:rPr>
        <w:t>14</w:t>
      </w:r>
      <w:r w:rsidRPr="0027064C">
        <w:rPr>
          <w:rFonts w:ascii="Arial" w:hAnsi="Arial" w:cs="Arial"/>
          <w:sz w:val="20"/>
          <w:szCs w:val="20"/>
        </w:rPr>
        <w:t>(8), 1394.</w:t>
      </w:r>
    </w:p>
    <w:p w14:paraId="20C4E3FC"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Peng, M., Wang, G., &amp; Zhu, S. (2023). Cold</w:t>
      </w:r>
      <w:r w:rsidRPr="0027064C">
        <w:rPr>
          <w:rFonts w:ascii="Cambria Math" w:hAnsi="Cambria Math" w:cs="Cambria Math"/>
          <w:sz w:val="20"/>
          <w:szCs w:val="20"/>
        </w:rPr>
        <w:t>‐</w:t>
      </w:r>
      <w:r w:rsidRPr="0027064C">
        <w:rPr>
          <w:rFonts w:ascii="Arial" w:hAnsi="Arial" w:cs="Arial"/>
          <w:sz w:val="20"/>
          <w:szCs w:val="20"/>
        </w:rPr>
        <w:t>stored mulberry leaves affect antioxidant system and silk proteins of silkworm (</w:t>
      </w:r>
      <w:r w:rsidRPr="0027064C">
        <w:rPr>
          <w:rFonts w:ascii="Arial" w:hAnsi="Arial" w:cs="Arial"/>
          <w:i/>
          <w:iCs/>
          <w:sz w:val="20"/>
          <w:szCs w:val="20"/>
        </w:rPr>
        <w:t>Bombyx mori</w:t>
      </w:r>
      <w:r w:rsidRPr="0027064C">
        <w:rPr>
          <w:rFonts w:ascii="Arial" w:hAnsi="Arial" w:cs="Arial"/>
          <w:sz w:val="20"/>
          <w:szCs w:val="20"/>
        </w:rPr>
        <w:t>) larva. </w:t>
      </w:r>
      <w:r w:rsidRPr="0027064C">
        <w:rPr>
          <w:rFonts w:ascii="Arial" w:hAnsi="Arial" w:cs="Arial"/>
          <w:i/>
          <w:iCs/>
          <w:sz w:val="20"/>
          <w:szCs w:val="20"/>
        </w:rPr>
        <w:t>Journal of the Science of Food and Agriculture</w:t>
      </w:r>
      <w:r w:rsidRPr="0027064C">
        <w:rPr>
          <w:rFonts w:ascii="Arial" w:hAnsi="Arial" w:cs="Arial"/>
          <w:sz w:val="20"/>
          <w:szCs w:val="20"/>
        </w:rPr>
        <w:t>, </w:t>
      </w:r>
      <w:r w:rsidRPr="0027064C">
        <w:rPr>
          <w:rFonts w:ascii="Arial" w:hAnsi="Arial" w:cs="Arial"/>
          <w:i/>
          <w:iCs/>
          <w:sz w:val="20"/>
          <w:szCs w:val="20"/>
        </w:rPr>
        <w:t>103</w:t>
      </w:r>
      <w:r w:rsidRPr="0027064C">
        <w:rPr>
          <w:rFonts w:ascii="Arial" w:hAnsi="Arial" w:cs="Arial"/>
          <w:sz w:val="20"/>
          <w:szCs w:val="20"/>
        </w:rPr>
        <w:t>(15), 7673-7682.</w:t>
      </w:r>
    </w:p>
    <w:p w14:paraId="3C6AF54B"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Homma, S., Murata, A., Ikegami, M., Kobayashi, M., Yamazaki, M., Ikeda, K., et al. (2022). Circadian clock genes regulate temperature-dependent diapause induction in silkworm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Frontiers in Physiology</w:t>
      </w:r>
      <w:r w:rsidRPr="0027064C">
        <w:rPr>
          <w:rFonts w:ascii="Arial" w:hAnsi="Arial" w:cs="Arial"/>
          <w:sz w:val="20"/>
          <w:szCs w:val="20"/>
        </w:rPr>
        <w:t>, </w:t>
      </w:r>
      <w:r w:rsidRPr="0027064C">
        <w:rPr>
          <w:rFonts w:ascii="Arial" w:hAnsi="Arial" w:cs="Arial"/>
          <w:i/>
          <w:iCs/>
          <w:sz w:val="20"/>
          <w:szCs w:val="20"/>
        </w:rPr>
        <w:t>13</w:t>
      </w:r>
      <w:r w:rsidRPr="0027064C">
        <w:rPr>
          <w:rFonts w:ascii="Arial" w:hAnsi="Arial" w:cs="Arial"/>
          <w:sz w:val="20"/>
          <w:szCs w:val="20"/>
        </w:rPr>
        <w:t>, 863380.</w:t>
      </w:r>
    </w:p>
    <w:p w14:paraId="6E51014E"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Chen, Q., Sun, S., Yang, X., Yan, H., Wang, K., Ba, X., et al. (2023a). Sublethal effects of neonicotinoid insecticides on the development, body weight and economic characteristics of silkworm. </w:t>
      </w:r>
      <w:r w:rsidRPr="0027064C">
        <w:rPr>
          <w:rFonts w:ascii="Arial" w:hAnsi="Arial" w:cs="Arial"/>
          <w:i/>
          <w:iCs/>
          <w:sz w:val="20"/>
          <w:szCs w:val="20"/>
        </w:rPr>
        <w:t>Toxics</w:t>
      </w:r>
      <w:r w:rsidRPr="0027064C">
        <w:rPr>
          <w:rFonts w:ascii="Arial" w:hAnsi="Arial" w:cs="Arial"/>
          <w:sz w:val="20"/>
          <w:szCs w:val="20"/>
        </w:rPr>
        <w:t>, </w:t>
      </w:r>
      <w:r w:rsidRPr="0027064C">
        <w:rPr>
          <w:rFonts w:ascii="Arial" w:hAnsi="Arial" w:cs="Arial"/>
          <w:i/>
          <w:iCs/>
          <w:sz w:val="20"/>
          <w:szCs w:val="20"/>
        </w:rPr>
        <w:t>11</w:t>
      </w:r>
      <w:r w:rsidRPr="0027064C">
        <w:rPr>
          <w:rFonts w:ascii="Arial" w:hAnsi="Arial" w:cs="Arial"/>
          <w:sz w:val="20"/>
          <w:szCs w:val="20"/>
        </w:rPr>
        <w:t>(5), 402.</w:t>
      </w:r>
    </w:p>
    <w:p w14:paraId="34ABFCFB"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lastRenderedPageBreak/>
        <w:t>Jan, B., Parveen, R., Zahiruddin, S., Khan, M. U., Mohapatra, S., &amp; Ahmad, S. (2021). Nutritional constituents of mulberry and their potential applications in food and pharmaceuticals: A review. </w:t>
      </w:r>
      <w:r w:rsidRPr="0027064C">
        <w:rPr>
          <w:rFonts w:ascii="Arial" w:hAnsi="Arial" w:cs="Arial"/>
          <w:i/>
          <w:iCs/>
          <w:sz w:val="20"/>
          <w:szCs w:val="20"/>
        </w:rPr>
        <w:t>Saudi journal of biological sciences</w:t>
      </w:r>
      <w:r w:rsidRPr="0027064C">
        <w:rPr>
          <w:rFonts w:ascii="Arial" w:hAnsi="Arial" w:cs="Arial"/>
          <w:sz w:val="20"/>
          <w:szCs w:val="20"/>
        </w:rPr>
        <w:t>, </w:t>
      </w:r>
      <w:r w:rsidRPr="0027064C">
        <w:rPr>
          <w:rFonts w:ascii="Arial" w:hAnsi="Arial" w:cs="Arial"/>
          <w:i/>
          <w:iCs/>
          <w:sz w:val="20"/>
          <w:szCs w:val="20"/>
        </w:rPr>
        <w:t>28</w:t>
      </w:r>
      <w:r w:rsidRPr="0027064C">
        <w:rPr>
          <w:rFonts w:ascii="Arial" w:hAnsi="Arial" w:cs="Arial"/>
          <w:sz w:val="20"/>
          <w:szCs w:val="20"/>
        </w:rPr>
        <w:t>(7), 3909-3921.</w:t>
      </w:r>
    </w:p>
    <w:p w14:paraId="4514F589"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Yan, C. H., Chen, F. H., Yang, Y. L., Shen, L. W., Xun, X. M., Zhang, Z. A., et al. (2024). Biochemical and protein nutritional potential of mulberry (</w:t>
      </w:r>
      <w:r w:rsidRPr="0027064C">
        <w:rPr>
          <w:rFonts w:ascii="Arial" w:hAnsi="Arial" w:cs="Arial"/>
          <w:i/>
          <w:iCs/>
          <w:sz w:val="20"/>
          <w:szCs w:val="20"/>
        </w:rPr>
        <w:t>Morus alba</w:t>
      </w:r>
      <w:r w:rsidRPr="0027064C">
        <w:rPr>
          <w:rFonts w:ascii="Arial" w:hAnsi="Arial" w:cs="Arial"/>
          <w:sz w:val="20"/>
          <w:szCs w:val="20"/>
        </w:rPr>
        <w:t xml:space="preserve"> L.) leaf: partial substitution improves the nutrition of conventional protein. </w:t>
      </w:r>
      <w:r w:rsidRPr="0027064C">
        <w:rPr>
          <w:rFonts w:ascii="Arial" w:hAnsi="Arial" w:cs="Arial"/>
          <w:i/>
          <w:iCs/>
          <w:sz w:val="20"/>
          <w:szCs w:val="20"/>
        </w:rPr>
        <w:t>Journal of the Science of Food and Agriculture</w:t>
      </w:r>
      <w:r w:rsidRPr="0027064C">
        <w:rPr>
          <w:rFonts w:ascii="Arial" w:hAnsi="Arial" w:cs="Arial"/>
          <w:sz w:val="20"/>
          <w:szCs w:val="20"/>
        </w:rPr>
        <w:t>, </w:t>
      </w:r>
      <w:r w:rsidRPr="0027064C">
        <w:rPr>
          <w:rFonts w:ascii="Arial" w:hAnsi="Arial" w:cs="Arial"/>
          <w:i/>
          <w:iCs/>
          <w:sz w:val="20"/>
          <w:szCs w:val="20"/>
        </w:rPr>
        <w:t>104</w:t>
      </w:r>
      <w:r w:rsidRPr="0027064C">
        <w:rPr>
          <w:rFonts w:ascii="Arial" w:hAnsi="Arial" w:cs="Arial"/>
          <w:sz w:val="20"/>
          <w:szCs w:val="20"/>
        </w:rPr>
        <w:t>(4), 2204-2214.</w:t>
      </w:r>
    </w:p>
    <w:p w14:paraId="501C6621"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Liu, Y., </w:t>
      </w:r>
      <w:proofErr w:type="spellStart"/>
      <w:r w:rsidRPr="0027064C">
        <w:rPr>
          <w:rFonts w:ascii="Arial" w:hAnsi="Arial" w:cs="Arial"/>
          <w:sz w:val="20"/>
          <w:szCs w:val="20"/>
        </w:rPr>
        <w:t>Lv</w:t>
      </w:r>
      <w:proofErr w:type="spellEnd"/>
      <w:r w:rsidRPr="0027064C">
        <w:rPr>
          <w:rFonts w:ascii="Arial" w:hAnsi="Arial" w:cs="Arial"/>
          <w:sz w:val="20"/>
          <w:szCs w:val="20"/>
        </w:rPr>
        <w:t>, Z., Wei, J., Liu, P., Pan, M., Ma, H., et al. (2024a). Comparative Physiological, Proteomic, and Metabolomic Insights into a Promising Low-Pruning Mulberry Cultivar for Silkworm Rearing. </w:t>
      </w:r>
      <w:r w:rsidRPr="0027064C">
        <w:rPr>
          <w:rFonts w:ascii="Arial" w:hAnsi="Arial" w:cs="Arial"/>
          <w:i/>
          <w:iCs/>
          <w:sz w:val="20"/>
          <w:szCs w:val="20"/>
        </w:rPr>
        <w:t>International Journal of Molecular Sciences</w:t>
      </w:r>
      <w:r w:rsidRPr="0027064C">
        <w:rPr>
          <w:rFonts w:ascii="Arial" w:hAnsi="Arial" w:cs="Arial"/>
          <w:sz w:val="20"/>
          <w:szCs w:val="20"/>
        </w:rPr>
        <w:t>, </w:t>
      </w:r>
      <w:r w:rsidRPr="0027064C">
        <w:rPr>
          <w:rFonts w:ascii="Arial" w:hAnsi="Arial" w:cs="Arial"/>
          <w:i/>
          <w:iCs/>
          <w:sz w:val="20"/>
          <w:szCs w:val="20"/>
        </w:rPr>
        <w:t>25</w:t>
      </w:r>
      <w:r w:rsidRPr="0027064C">
        <w:rPr>
          <w:rFonts w:ascii="Arial" w:hAnsi="Arial" w:cs="Arial"/>
          <w:sz w:val="20"/>
          <w:szCs w:val="20"/>
        </w:rPr>
        <w:t>(24), 13483.</w:t>
      </w:r>
    </w:p>
    <w:p w14:paraId="6C86E643"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Fatima, M., Dar, M. A., </w:t>
      </w:r>
      <w:proofErr w:type="spellStart"/>
      <w:r w:rsidRPr="0027064C">
        <w:rPr>
          <w:rFonts w:ascii="Arial" w:hAnsi="Arial" w:cs="Arial"/>
          <w:sz w:val="20"/>
          <w:szCs w:val="20"/>
        </w:rPr>
        <w:t>Dhanavade</w:t>
      </w:r>
      <w:proofErr w:type="spellEnd"/>
      <w:r w:rsidRPr="0027064C">
        <w:rPr>
          <w:rFonts w:ascii="Arial" w:hAnsi="Arial" w:cs="Arial"/>
          <w:sz w:val="20"/>
          <w:szCs w:val="20"/>
        </w:rPr>
        <w:t>, M. J., Abbas, S. Z., Bukhari, M. N., Arsalan, A., et al. (2024). Biosynthesis and pharmacological activities of the bioactive compounds of white mulberry (</w:t>
      </w:r>
      <w:r w:rsidRPr="0027064C">
        <w:rPr>
          <w:rFonts w:ascii="Arial" w:hAnsi="Arial" w:cs="Arial"/>
          <w:i/>
          <w:iCs/>
          <w:sz w:val="20"/>
          <w:szCs w:val="20"/>
        </w:rPr>
        <w:t>Morus alba</w:t>
      </w:r>
      <w:r w:rsidRPr="0027064C">
        <w:rPr>
          <w:rFonts w:ascii="Arial" w:hAnsi="Arial" w:cs="Arial"/>
          <w:sz w:val="20"/>
          <w:szCs w:val="20"/>
        </w:rPr>
        <w:t>): Current paradigms and future challenges. </w:t>
      </w:r>
      <w:r w:rsidRPr="0027064C">
        <w:rPr>
          <w:rFonts w:ascii="Arial" w:hAnsi="Arial" w:cs="Arial"/>
          <w:i/>
          <w:iCs/>
          <w:sz w:val="20"/>
          <w:szCs w:val="20"/>
        </w:rPr>
        <w:t>Biology</w:t>
      </w:r>
      <w:r w:rsidRPr="0027064C">
        <w:rPr>
          <w:rFonts w:ascii="Arial" w:hAnsi="Arial" w:cs="Arial"/>
          <w:sz w:val="20"/>
          <w:szCs w:val="20"/>
        </w:rPr>
        <w:t>, </w:t>
      </w:r>
      <w:r w:rsidRPr="0027064C">
        <w:rPr>
          <w:rFonts w:ascii="Arial" w:hAnsi="Arial" w:cs="Arial"/>
          <w:i/>
          <w:iCs/>
          <w:sz w:val="20"/>
          <w:szCs w:val="20"/>
        </w:rPr>
        <w:t>13</w:t>
      </w:r>
      <w:r w:rsidRPr="0027064C">
        <w:rPr>
          <w:rFonts w:ascii="Arial" w:hAnsi="Arial" w:cs="Arial"/>
          <w:sz w:val="20"/>
          <w:szCs w:val="20"/>
        </w:rPr>
        <w:t>(7), 506.</w:t>
      </w:r>
    </w:p>
    <w:p w14:paraId="0E3C9639"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Hou, Z., Xu, D., Deng, N., Li, Y., Yang, L., Li, S., et al. (2021). Comparative proteomics of mulberry leaves at different developmental stages identify novel proteins function related to photosynthesis. </w:t>
      </w:r>
      <w:r w:rsidRPr="0027064C">
        <w:rPr>
          <w:rFonts w:ascii="Arial" w:hAnsi="Arial" w:cs="Arial"/>
          <w:i/>
          <w:iCs/>
          <w:sz w:val="20"/>
          <w:szCs w:val="20"/>
        </w:rPr>
        <w:t>Frontiers in Plant Science</w:t>
      </w:r>
      <w:r w:rsidRPr="0027064C">
        <w:rPr>
          <w:rFonts w:ascii="Arial" w:hAnsi="Arial" w:cs="Arial"/>
          <w:sz w:val="20"/>
          <w:szCs w:val="20"/>
        </w:rPr>
        <w:t>, </w:t>
      </w:r>
      <w:r w:rsidRPr="0027064C">
        <w:rPr>
          <w:rFonts w:ascii="Arial" w:hAnsi="Arial" w:cs="Arial"/>
          <w:i/>
          <w:iCs/>
          <w:sz w:val="20"/>
          <w:szCs w:val="20"/>
        </w:rPr>
        <w:t>12</w:t>
      </w:r>
      <w:r w:rsidRPr="0027064C">
        <w:rPr>
          <w:rFonts w:ascii="Arial" w:hAnsi="Arial" w:cs="Arial"/>
          <w:sz w:val="20"/>
          <w:szCs w:val="20"/>
        </w:rPr>
        <w:t>, 797631.</w:t>
      </w:r>
    </w:p>
    <w:p w14:paraId="455BC22D"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Li, X., Peng, F., Wei, Z., Han, G., &amp; Liu, J. (2023). Non-destructive detection of protein content in mulberry leaves by using hyperspectral imaging. </w:t>
      </w:r>
      <w:r w:rsidRPr="0027064C">
        <w:rPr>
          <w:rFonts w:ascii="Arial" w:hAnsi="Arial" w:cs="Arial"/>
          <w:i/>
          <w:iCs/>
          <w:sz w:val="20"/>
          <w:szCs w:val="20"/>
        </w:rPr>
        <w:t>Frontiers in Plant Science</w:t>
      </w:r>
      <w:r w:rsidRPr="0027064C">
        <w:rPr>
          <w:rFonts w:ascii="Arial" w:hAnsi="Arial" w:cs="Arial"/>
          <w:sz w:val="20"/>
          <w:szCs w:val="20"/>
        </w:rPr>
        <w:t>, </w:t>
      </w:r>
      <w:r w:rsidRPr="0027064C">
        <w:rPr>
          <w:rFonts w:ascii="Arial" w:hAnsi="Arial" w:cs="Arial"/>
          <w:i/>
          <w:iCs/>
          <w:sz w:val="20"/>
          <w:szCs w:val="20"/>
        </w:rPr>
        <w:t>14</w:t>
      </w:r>
      <w:r w:rsidRPr="0027064C">
        <w:rPr>
          <w:rFonts w:ascii="Arial" w:hAnsi="Arial" w:cs="Arial"/>
          <w:sz w:val="20"/>
          <w:szCs w:val="20"/>
        </w:rPr>
        <w:t>, 1275004.</w:t>
      </w:r>
    </w:p>
    <w:p w14:paraId="6C351E66"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Tang, X., Liu, H., Wang, X., Chang, L., Liu, Q., Xia, Q., et al. (2024). BmSLC7A5 is essential for silk protein synthesis and larval development in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Insect Science</w:t>
      </w:r>
      <w:r w:rsidRPr="0027064C">
        <w:rPr>
          <w:rFonts w:ascii="Arial" w:hAnsi="Arial" w:cs="Arial"/>
          <w:sz w:val="20"/>
          <w:szCs w:val="20"/>
        </w:rPr>
        <w:t>, </w:t>
      </w:r>
      <w:r w:rsidRPr="0027064C">
        <w:rPr>
          <w:rFonts w:ascii="Arial" w:hAnsi="Arial" w:cs="Arial"/>
          <w:i/>
          <w:iCs/>
          <w:sz w:val="20"/>
          <w:szCs w:val="20"/>
        </w:rPr>
        <w:t>31</w:t>
      </w:r>
      <w:r w:rsidRPr="0027064C">
        <w:rPr>
          <w:rFonts w:ascii="Arial" w:hAnsi="Arial" w:cs="Arial"/>
          <w:sz w:val="20"/>
          <w:szCs w:val="20"/>
        </w:rPr>
        <w:t>(5), 1425-1439.</w:t>
      </w:r>
    </w:p>
    <w:p w14:paraId="4CDC1807"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Wu, X., Chen, X., Ye, A., Cao, J., He, R., Pan, M., et al. (2022). Multi-tissue metabolomic profiling reveals potential mechanisms of cocoon yield in silkworms (</w:t>
      </w:r>
      <w:r w:rsidRPr="0027064C">
        <w:rPr>
          <w:rFonts w:ascii="Arial" w:hAnsi="Arial" w:cs="Arial"/>
          <w:i/>
          <w:iCs/>
          <w:sz w:val="20"/>
          <w:szCs w:val="20"/>
        </w:rPr>
        <w:t>Bombyx mori</w:t>
      </w:r>
      <w:r w:rsidRPr="0027064C">
        <w:rPr>
          <w:rFonts w:ascii="Arial" w:hAnsi="Arial" w:cs="Arial"/>
          <w:sz w:val="20"/>
          <w:szCs w:val="20"/>
        </w:rPr>
        <w:t>) fed formula feed versus mulberry leaves. </w:t>
      </w:r>
      <w:r w:rsidRPr="0027064C">
        <w:rPr>
          <w:rFonts w:ascii="Arial" w:hAnsi="Arial" w:cs="Arial"/>
          <w:i/>
          <w:iCs/>
          <w:sz w:val="20"/>
          <w:szCs w:val="20"/>
        </w:rPr>
        <w:t>Frontiers in Molecular Biosciences</w:t>
      </w:r>
      <w:r w:rsidRPr="0027064C">
        <w:rPr>
          <w:rFonts w:ascii="Arial" w:hAnsi="Arial" w:cs="Arial"/>
          <w:sz w:val="20"/>
          <w:szCs w:val="20"/>
        </w:rPr>
        <w:t>, </w:t>
      </w:r>
      <w:r w:rsidRPr="0027064C">
        <w:rPr>
          <w:rFonts w:ascii="Arial" w:hAnsi="Arial" w:cs="Arial"/>
          <w:i/>
          <w:iCs/>
          <w:sz w:val="20"/>
          <w:szCs w:val="20"/>
        </w:rPr>
        <w:t>9</w:t>
      </w:r>
      <w:r w:rsidRPr="0027064C">
        <w:rPr>
          <w:rFonts w:ascii="Arial" w:hAnsi="Arial" w:cs="Arial"/>
          <w:sz w:val="20"/>
          <w:szCs w:val="20"/>
        </w:rPr>
        <w:t>, 977047.</w:t>
      </w:r>
    </w:p>
    <w:p w14:paraId="3292B0D1"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Cao, H. H., Zhang, S. Z., Zhu, L. B., Wang, J., Liu, Y. X., Wang, Y. L., et al. (2021). The digestive proteinase trypsin, alkaline A contributes to anti-</w:t>
      </w:r>
      <w:proofErr w:type="spellStart"/>
      <w:r w:rsidRPr="0027064C">
        <w:rPr>
          <w:rFonts w:ascii="Arial" w:hAnsi="Arial" w:cs="Arial"/>
          <w:sz w:val="20"/>
          <w:szCs w:val="20"/>
        </w:rPr>
        <w:t>BmNPV</w:t>
      </w:r>
      <w:proofErr w:type="spellEnd"/>
      <w:r w:rsidRPr="0027064C">
        <w:rPr>
          <w:rFonts w:ascii="Arial" w:hAnsi="Arial" w:cs="Arial"/>
          <w:sz w:val="20"/>
          <w:szCs w:val="20"/>
        </w:rPr>
        <w:t xml:space="preserve"> activity in silkworm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Developmental &amp; Comparative Immunology</w:t>
      </w:r>
      <w:r w:rsidRPr="0027064C">
        <w:rPr>
          <w:rFonts w:ascii="Arial" w:hAnsi="Arial" w:cs="Arial"/>
          <w:sz w:val="20"/>
          <w:szCs w:val="20"/>
        </w:rPr>
        <w:t>, </w:t>
      </w:r>
      <w:r w:rsidRPr="0027064C">
        <w:rPr>
          <w:rFonts w:ascii="Arial" w:hAnsi="Arial" w:cs="Arial"/>
          <w:i/>
          <w:iCs/>
          <w:sz w:val="20"/>
          <w:szCs w:val="20"/>
        </w:rPr>
        <w:t>119</w:t>
      </w:r>
      <w:r w:rsidRPr="0027064C">
        <w:rPr>
          <w:rFonts w:ascii="Arial" w:hAnsi="Arial" w:cs="Arial"/>
          <w:sz w:val="20"/>
          <w:szCs w:val="20"/>
        </w:rPr>
        <w:t>, 104035.</w:t>
      </w:r>
    </w:p>
    <w:p w14:paraId="40960776"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Chen, Y. Z., Rong, W. T., Qin, Y. C., Lu, L. Y., Liu, J., Li, M. J., et al. (2023b). Integrative analysis of microbiota and metabolomics in chromium-exposed silkworm (</w:t>
      </w:r>
      <w:r w:rsidRPr="0027064C">
        <w:rPr>
          <w:rFonts w:ascii="Arial" w:hAnsi="Arial" w:cs="Arial"/>
          <w:i/>
          <w:iCs/>
          <w:sz w:val="20"/>
          <w:szCs w:val="20"/>
        </w:rPr>
        <w:t>Bombyx mori</w:t>
      </w:r>
      <w:r w:rsidRPr="0027064C">
        <w:rPr>
          <w:rFonts w:ascii="Arial" w:hAnsi="Arial" w:cs="Arial"/>
          <w:sz w:val="20"/>
          <w:szCs w:val="20"/>
        </w:rPr>
        <w:t>) midguts based on 16S rDNA sequencing and LC/MS metabolomics. </w:t>
      </w:r>
      <w:r w:rsidRPr="0027064C">
        <w:rPr>
          <w:rFonts w:ascii="Arial" w:hAnsi="Arial" w:cs="Arial"/>
          <w:i/>
          <w:iCs/>
          <w:sz w:val="20"/>
          <w:szCs w:val="20"/>
        </w:rPr>
        <w:t>Frontiers in Microbiology</w:t>
      </w:r>
      <w:r w:rsidRPr="0027064C">
        <w:rPr>
          <w:rFonts w:ascii="Arial" w:hAnsi="Arial" w:cs="Arial"/>
          <w:sz w:val="20"/>
          <w:szCs w:val="20"/>
        </w:rPr>
        <w:t>, </w:t>
      </w:r>
      <w:r w:rsidRPr="0027064C">
        <w:rPr>
          <w:rFonts w:ascii="Arial" w:hAnsi="Arial" w:cs="Arial"/>
          <w:i/>
          <w:iCs/>
          <w:sz w:val="20"/>
          <w:szCs w:val="20"/>
        </w:rPr>
        <w:t>14</w:t>
      </w:r>
      <w:r w:rsidRPr="0027064C">
        <w:rPr>
          <w:rFonts w:ascii="Arial" w:hAnsi="Arial" w:cs="Arial"/>
          <w:sz w:val="20"/>
          <w:szCs w:val="20"/>
        </w:rPr>
        <w:t>, 1278271.</w:t>
      </w:r>
    </w:p>
    <w:p w14:paraId="56A902EC"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Xin, L., Chen, Y., Rong, W., Qin, Y., Li, X., &amp; Guan, D. (2024). Gut microbiota analysis in silkworms (</w:t>
      </w:r>
      <w:r w:rsidRPr="0027064C">
        <w:rPr>
          <w:rFonts w:ascii="Arial" w:hAnsi="Arial" w:cs="Arial"/>
          <w:i/>
          <w:iCs/>
          <w:sz w:val="20"/>
          <w:szCs w:val="20"/>
        </w:rPr>
        <w:t>Bombyx mori</w:t>
      </w:r>
      <w:r w:rsidRPr="0027064C">
        <w:rPr>
          <w:rFonts w:ascii="Arial" w:hAnsi="Arial" w:cs="Arial"/>
          <w:sz w:val="20"/>
          <w:szCs w:val="20"/>
        </w:rPr>
        <w:t xml:space="preserve">) provides insights into identifying key </w:t>
      </w:r>
      <w:proofErr w:type="spellStart"/>
      <w:r w:rsidRPr="0027064C">
        <w:rPr>
          <w:rFonts w:ascii="Arial" w:hAnsi="Arial" w:cs="Arial"/>
          <w:sz w:val="20"/>
          <w:szCs w:val="20"/>
        </w:rPr>
        <w:t>bacterials</w:t>
      </w:r>
      <w:proofErr w:type="spellEnd"/>
      <w:r w:rsidRPr="0027064C">
        <w:rPr>
          <w:rFonts w:ascii="Arial" w:hAnsi="Arial" w:cs="Arial"/>
          <w:sz w:val="20"/>
          <w:szCs w:val="20"/>
        </w:rPr>
        <w:t xml:space="preserve"> for inclusion in artificial diet formulations. </w:t>
      </w:r>
      <w:r w:rsidRPr="0027064C">
        <w:rPr>
          <w:rFonts w:ascii="Arial" w:hAnsi="Arial" w:cs="Arial"/>
          <w:i/>
          <w:iCs/>
          <w:sz w:val="20"/>
          <w:szCs w:val="20"/>
        </w:rPr>
        <w:t>Animals</w:t>
      </w:r>
      <w:r w:rsidRPr="0027064C">
        <w:rPr>
          <w:rFonts w:ascii="Arial" w:hAnsi="Arial" w:cs="Arial"/>
          <w:sz w:val="20"/>
          <w:szCs w:val="20"/>
        </w:rPr>
        <w:t>, </w:t>
      </w:r>
      <w:r w:rsidRPr="0027064C">
        <w:rPr>
          <w:rFonts w:ascii="Arial" w:hAnsi="Arial" w:cs="Arial"/>
          <w:i/>
          <w:iCs/>
          <w:sz w:val="20"/>
          <w:szCs w:val="20"/>
        </w:rPr>
        <w:t>14</w:t>
      </w:r>
      <w:r w:rsidRPr="0027064C">
        <w:rPr>
          <w:rFonts w:ascii="Arial" w:hAnsi="Arial" w:cs="Arial"/>
          <w:sz w:val="20"/>
          <w:szCs w:val="20"/>
        </w:rPr>
        <w:t>(9), 1261.</w:t>
      </w:r>
    </w:p>
    <w:p w14:paraId="2CE1F565"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Liu, Z., Li, C., Yang, W., Wu, Q., Xiao, W., Zhu, Y., et al. (2024b). The </w:t>
      </w:r>
      <w:r w:rsidRPr="0027064C">
        <w:rPr>
          <w:rFonts w:ascii="Arial" w:hAnsi="Arial" w:cs="Arial"/>
          <w:i/>
          <w:iCs/>
          <w:sz w:val="20"/>
          <w:szCs w:val="20"/>
        </w:rPr>
        <w:t>Bombyx mori</w:t>
      </w:r>
      <w:r w:rsidRPr="0027064C">
        <w:rPr>
          <w:rFonts w:ascii="Arial" w:hAnsi="Arial" w:cs="Arial"/>
          <w:sz w:val="20"/>
          <w:szCs w:val="20"/>
        </w:rPr>
        <w:t xml:space="preserve"> singed gene is involved in the high-temperature resistance of silkworms. </w:t>
      </w:r>
      <w:r w:rsidRPr="0027064C">
        <w:rPr>
          <w:rFonts w:ascii="Arial" w:hAnsi="Arial" w:cs="Arial"/>
          <w:i/>
          <w:iCs/>
          <w:sz w:val="20"/>
          <w:szCs w:val="20"/>
        </w:rPr>
        <w:t>Insects</w:t>
      </w:r>
      <w:r w:rsidRPr="0027064C">
        <w:rPr>
          <w:rFonts w:ascii="Arial" w:hAnsi="Arial" w:cs="Arial"/>
          <w:sz w:val="20"/>
          <w:szCs w:val="20"/>
        </w:rPr>
        <w:t>, </w:t>
      </w:r>
      <w:r w:rsidRPr="0027064C">
        <w:rPr>
          <w:rFonts w:ascii="Arial" w:hAnsi="Arial" w:cs="Arial"/>
          <w:i/>
          <w:iCs/>
          <w:sz w:val="20"/>
          <w:szCs w:val="20"/>
        </w:rPr>
        <w:t>15</w:t>
      </w:r>
      <w:r w:rsidRPr="0027064C">
        <w:rPr>
          <w:rFonts w:ascii="Arial" w:hAnsi="Arial" w:cs="Arial"/>
          <w:sz w:val="20"/>
          <w:szCs w:val="20"/>
        </w:rPr>
        <w:t>(4), 264.</w:t>
      </w:r>
    </w:p>
    <w:p w14:paraId="738FFF7A"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Wang, Y., Zhang, X., Tian, C., Guo, X., Shu, Q., Gu, H., et al. (2024). Effects of different diets on thermal tolerance in the silkworm, </w:t>
      </w:r>
      <w:r w:rsidRPr="0027064C">
        <w:rPr>
          <w:rFonts w:ascii="Arial" w:hAnsi="Arial" w:cs="Arial"/>
          <w:i/>
          <w:iCs/>
          <w:sz w:val="20"/>
          <w:szCs w:val="20"/>
        </w:rPr>
        <w:t>Bombyx mori</w:t>
      </w:r>
      <w:r w:rsidRPr="0027064C">
        <w:rPr>
          <w:rFonts w:ascii="Arial" w:hAnsi="Arial" w:cs="Arial"/>
          <w:sz w:val="20"/>
          <w:szCs w:val="20"/>
        </w:rPr>
        <w:t>. </w:t>
      </w:r>
      <w:proofErr w:type="spellStart"/>
      <w:r w:rsidRPr="0027064C">
        <w:rPr>
          <w:rFonts w:ascii="Arial" w:hAnsi="Arial" w:cs="Arial"/>
          <w:i/>
          <w:iCs/>
          <w:sz w:val="20"/>
          <w:szCs w:val="20"/>
        </w:rPr>
        <w:t>Entomologia</w:t>
      </w:r>
      <w:proofErr w:type="spellEnd"/>
      <w:r w:rsidRPr="0027064C">
        <w:rPr>
          <w:rFonts w:ascii="Arial" w:hAnsi="Arial" w:cs="Arial"/>
          <w:i/>
          <w:iCs/>
          <w:sz w:val="20"/>
          <w:szCs w:val="20"/>
        </w:rPr>
        <w:t xml:space="preserve"> </w:t>
      </w:r>
      <w:proofErr w:type="spellStart"/>
      <w:r w:rsidRPr="0027064C">
        <w:rPr>
          <w:rFonts w:ascii="Arial" w:hAnsi="Arial" w:cs="Arial"/>
          <w:i/>
          <w:iCs/>
          <w:sz w:val="20"/>
          <w:szCs w:val="20"/>
        </w:rPr>
        <w:t>Experimentalis</w:t>
      </w:r>
      <w:proofErr w:type="spellEnd"/>
      <w:r w:rsidRPr="0027064C">
        <w:rPr>
          <w:rFonts w:ascii="Arial" w:hAnsi="Arial" w:cs="Arial"/>
          <w:i/>
          <w:iCs/>
          <w:sz w:val="20"/>
          <w:szCs w:val="20"/>
        </w:rPr>
        <w:t xml:space="preserve"> et </w:t>
      </w:r>
      <w:proofErr w:type="spellStart"/>
      <w:r w:rsidRPr="0027064C">
        <w:rPr>
          <w:rFonts w:ascii="Arial" w:hAnsi="Arial" w:cs="Arial"/>
          <w:i/>
          <w:iCs/>
          <w:sz w:val="20"/>
          <w:szCs w:val="20"/>
        </w:rPr>
        <w:t>Applicata</w:t>
      </w:r>
      <w:proofErr w:type="spellEnd"/>
      <w:r w:rsidRPr="0027064C">
        <w:rPr>
          <w:rFonts w:ascii="Arial" w:hAnsi="Arial" w:cs="Arial"/>
          <w:sz w:val="20"/>
          <w:szCs w:val="20"/>
        </w:rPr>
        <w:t>, </w:t>
      </w:r>
      <w:r w:rsidRPr="0027064C">
        <w:rPr>
          <w:rFonts w:ascii="Arial" w:hAnsi="Arial" w:cs="Arial"/>
          <w:i/>
          <w:iCs/>
          <w:sz w:val="20"/>
          <w:szCs w:val="20"/>
        </w:rPr>
        <w:t>172</w:t>
      </w:r>
      <w:r w:rsidRPr="0027064C">
        <w:rPr>
          <w:rFonts w:ascii="Arial" w:hAnsi="Arial" w:cs="Arial"/>
          <w:sz w:val="20"/>
          <w:szCs w:val="20"/>
        </w:rPr>
        <w:t>(1), 27-34.</w:t>
      </w:r>
    </w:p>
    <w:p w14:paraId="7648D8B6"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Iqbal, J., Lei, X., Qian, Z., Zhang, H., Li, Y., Ahmad, F., et al. (2025). Insights into the heat shock protein 19.9 and 90 in </w:t>
      </w:r>
      <w:r w:rsidRPr="0027064C">
        <w:rPr>
          <w:rFonts w:ascii="Arial" w:hAnsi="Arial" w:cs="Arial"/>
          <w:i/>
          <w:iCs/>
          <w:sz w:val="20"/>
          <w:szCs w:val="20"/>
        </w:rPr>
        <w:t>Bombyx mori</w:t>
      </w:r>
      <w:r w:rsidRPr="0027064C">
        <w:rPr>
          <w:rFonts w:ascii="Arial" w:hAnsi="Arial" w:cs="Arial"/>
          <w:sz w:val="20"/>
          <w:szCs w:val="20"/>
        </w:rPr>
        <w:t>: Key molecular chaperones in heat stress adaptation. </w:t>
      </w:r>
      <w:r w:rsidRPr="0027064C">
        <w:rPr>
          <w:rFonts w:ascii="Arial" w:hAnsi="Arial" w:cs="Arial"/>
          <w:i/>
          <w:iCs/>
          <w:sz w:val="20"/>
          <w:szCs w:val="20"/>
        </w:rPr>
        <w:t>International Journal of Biological Macromolecules</w:t>
      </w:r>
      <w:r w:rsidRPr="0027064C">
        <w:rPr>
          <w:rFonts w:ascii="Arial" w:hAnsi="Arial" w:cs="Arial"/>
          <w:sz w:val="20"/>
          <w:szCs w:val="20"/>
        </w:rPr>
        <w:t>, </w:t>
      </w:r>
      <w:r w:rsidRPr="0027064C">
        <w:rPr>
          <w:rFonts w:ascii="Arial" w:hAnsi="Arial" w:cs="Arial"/>
          <w:i/>
          <w:iCs/>
          <w:sz w:val="20"/>
          <w:szCs w:val="20"/>
        </w:rPr>
        <w:t>320</w:t>
      </w:r>
      <w:r w:rsidRPr="0027064C">
        <w:rPr>
          <w:rFonts w:ascii="Arial" w:hAnsi="Arial" w:cs="Arial"/>
          <w:sz w:val="20"/>
          <w:szCs w:val="20"/>
        </w:rPr>
        <w:t>, 145838.</w:t>
      </w:r>
    </w:p>
    <w:p w14:paraId="63AEC5CF"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lastRenderedPageBreak/>
        <w:t xml:space="preserve">Manjunatha, H. B., Rajesh, R. K., &amp; Aparna, H. S. (2010). Silkworm thermal biology: A review of heat shock response, heat shock proteins and heat acclimation in the domesticated silkworm,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Journal of Insect Science</w:t>
      </w:r>
      <w:r w:rsidRPr="0027064C">
        <w:rPr>
          <w:rFonts w:ascii="Arial" w:hAnsi="Arial" w:cs="Arial"/>
          <w:sz w:val="20"/>
          <w:szCs w:val="20"/>
        </w:rPr>
        <w:t>, </w:t>
      </w:r>
      <w:r w:rsidRPr="0027064C">
        <w:rPr>
          <w:rFonts w:ascii="Arial" w:hAnsi="Arial" w:cs="Arial"/>
          <w:i/>
          <w:iCs/>
          <w:sz w:val="20"/>
          <w:szCs w:val="20"/>
        </w:rPr>
        <w:t>10</w:t>
      </w:r>
      <w:r w:rsidRPr="0027064C">
        <w:rPr>
          <w:rFonts w:ascii="Arial" w:hAnsi="Arial" w:cs="Arial"/>
          <w:sz w:val="20"/>
          <w:szCs w:val="20"/>
        </w:rPr>
        <w:t>(1), 204.</w:t>
      </w:r>
    </w:p>
    <w:p w14:paraId="42E7949A"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Ashraf, H., &amp; Qamar, A. (2023). A review on heat stress altering the insect life history strategies and underlying mechanisms: Special reference to an economically important Lepidoptera, </w:t>
      </w:r>
      <w:r w:rsidRPr="0027064C">
        <w:rPr>
          <w:rFonts w:ascii="Arial" w:hAnsi="Arial" w:cs="Arial"/>
          <w:i/>
          <w:iCs/>
          <w:sz w:val="20"/>
          <w:szCs w:val="20"/>
        </w:rPr>
        <w:t>Bombyx mori</w:t>
      </w:r>
      <w:r w:rsidRPr="0027064C">
        <w:rPr>
          <w:rFonts w:ascii="Arial" w:hAnsi="Arial" w:cs="Arial"/>
          <w:sz w:val="20"/>
          <w:szCs w:val="20"/>
        </w:rPr>
        <w:t xml:space="preserve"> (Linnaeus, 1758) (Lepidoptera: Bombycidae). </w:t>
      </w:r>
      <w:r w:rsidRPr="0027064C">
        <w:rPr>
          <w:rFonts w:ascii="Arial" w:hAnsi="Arial" w:cs="Arial"/>
          <w:i/>
          <w:iCs/>
          <w:sz w:val="20"/>
          <w:szCs w:val="20"/>
        </w:rPr>
        <w:t xml:space="preserve">SHILAP </w:t>
      </w:r>
      <w:proofErr w:type="spellStart"/>
      <w:r w:rsidRPr="0027064C">
        <w:rPr>
          <w:rFonts w:ascii="Arial" w:hAnsi="Arial" w:cs="Arial"/>
          <w:i/>
          <w:iCs/>
          <w:sz w:val="20"/>
          <w:szCs w:val="20"/>
        </w:rPr>
        <w:t>Revista</w:t>
      </w:r>
      <w:proofErr w:type="spellEnd"/>
      <w:r w:rsidRPr="0027064C">
        <w:rPr>
          <w:rFonts w:ascii="Arial" w:hAnsi="Arial" w:cs="Arial"/>
          <w:i/>
          <w:iCs/>
          <w:sz w:val="20"/>
          <w:szCs w:val="20"/>
        </w:rPr>
        <w:t xml:space="preserve"> de </w:t>
      </w:r>
      <w:proofErr w:type="spellStart"/>
      <w:r w:rsidRPr="0027064C">
        <w:rPr>
          <w:rFonts w:ascii="Arial" w:hAnsi="Arial" w:cs="Arial"/>
          <w:i/>
          <w:iCs/>
          <w:sz w:val="20"/>
          <w:szCs w:val="20"/>
        </w:rPr>
        <w:t>lepidopterología</w:t>
      </w:r>
      <w:proofErr w:type="spellEnd"/>
      <w:r w:rsidRPr="0027064C">
        <w:rPr>
          <w:rFonts w:ascii="Arial" w:hAnsi="Arial" w:cs="Arial"/>
          <w:sz w:val="20"/>
          <w:szCs w:val="20"/>
        </w:rPr>
        <w:t>, </w:t>
      </w:r>
      <w:r w:rsidRPr="0027064C">
        <w:rPr>
          <w:rFonts w:ascii="Arial" w:hAnsi="Arial" w:cs="Arial"/>
          <w:i/>
          <w:iCs/>
          <w:sz w:val="20"/>
          <w:szCs w:val="20"/>
        </w:rPr>
        <w:t>51</w:t>
      </w:r>
      <w:r w:rsidRPr="0027064C">
        <w:rPr>
          <w:rFonts w:ascii="Arial" w:hAnsi="Arial" w:cs="Arial"/>
          <w:sz w:val="20"/>
          <w:szCs w:val="20"/>
        </w:rPr>
        <w:t>(202), 339-357.</w:t>
      </w:r>
    </w:p>
    <w:p w14:paraId="493CC232"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Wang, X. Y., Yu, H. Z., Xu, J. P., Zhang, S. Z., Yu, D., Liu, M. H., et al. (2017). Comparative subcellular proteomics analysis of susceptible and near-isogenic resistant </w:t>
      </w:r>
      <w:r w:rsidRPr="0027064C">
        <w:rPr>
          <w:rFonts w:ascii="Arial" w:hAnsi="Arial" w:cs="Arial"/>
          <w:i/>
          <w:iCs/>
          <w:sz w:val="20"/>
          <w:szCs w:val="20"/>
        </w:rPr>
        <w:t>Bombyx mori</w:t>
      </w:r>
      <w:r w:rsidRPr="0027064C">
        <w:rPr>
          <w:rFonts w:ascii="Arial" w:hAnsi="Arial" w:cs="Arial"/>
          <w:sz w:val="20"/>
          <w:szCs w:val="20"/>
        </w:rPr>
        <w:t xml:space="preserve"> (Lepidoptera) larval midgut response to </w:t>
      </w:r>
      <w:proofErr w:type="spellStart"/>
      <w:r w:rsidRPr="0027064C">
        <w:rPr>
          <w:rFonts w:ascii="Arial" w:hAnsi="Arial" w:cs="Arial"/>
          <w:sz w:val="20"/>
          <w:szCs w:val="20"/>
        </w:rPr>
        <w:t>BmNPV</w:t>
      </w:r>
      <w:proofErr w:type="spellEnd"/>
      <w:r w:rsidRPr="0027064C">
        <w:rPr>
          <w:rFonts w:ascii="Arial" w:hAnsi="Arial" w:cs="Arial"/>
          <w:sz w:val="20"/>
          <w:szCs w:val="20"/>
        </w:rPr>
        <w:t xml:space="preserve"> infection. </w:t>
      </w:r>
      <w:r w:rsidRPr="0027064C">
        <w:rPr>
          <w:rFonts w:ascii="Arial" w:hAnsi="Arial" w:cs="Arial"/>
          <w:i/>
          <w:iCs/>
          <w:sz w:val="20"/>
          <w:szCs w:val="20"/>
        </w:rPr>
        <w:t>Scientific Reports</w:t>
      </w:r>
      <w:r w:rsidRPr="0027064C">
        <w:rPr>
          <w:rFonts w:ascii="Arial" w:hAnsi="Arial" w:cs="Arial"/>
          <w:sz w:val="20"/>
          <w:szCs w:val="20"/>
        </w:rPr>
        <w:t>, </w:t>
      </w:r>
      <w:r w:rsidRPr="0027064C">
        <w:rPr>
          <w:rFonts w:ascii="Arial" w:hAnsi="Arial" w:cs="Arial"/>
          <w:i/>
          <w:iCs/>
          <w:sz w:val="20"/>
          <w:szCs w:val="20"/>
        </w:rPr>
        <w:t>7</w:t>
      </w:r>
      <w:r w:rsidRPr="0027064C">
        <w:rPr>
          <w:rFonts w:ascii="Arial" w:hAnsi="Arial" w:cs="Arial"/>
          <w:sz w:val="20"/>
          <w:szCs w:val="20"/>
        </w:rPr>
        <w:t>(1), 45690.</w:t>
      </w:r>
    </w:p>
    <w:p w14:paraId="3AF2C15F"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Liang, W., Zhou, L., Dang, Z., Wang, S., Zhao, P., Xia, Q., et al. (2024). Downregulation of </w:t>
      </w:r>
      <w:proofErr w:type="spellStart"/>
      <w:r w:rsidRPr="0027064C">
        <w:rPr>
          <w:rFonts w:ascii="Arial" w:hAnsi="Arial" w:cs="Arial"/>
          <w:sz w:val="20"/>
          <w:szCs w:val="20"/>
        </w:rPr>
        <w:t>BmSTAT</w:t>
      </w:r>
      <w:proofErr w:type="spellEnd"/>
      <w:r w:rsidRPr="0027064C">
        <w:rPr>
          <w:rFonts w:ascii="Arial" w:hAnsi="Arial" w:cs="Arial"/>
          <w:sz w:val="20"/>
          <w:szCs w:val="20"/>
        </w:rPr>
        <w:t xml:space="preserve"> transcription factor promoted </w:t>
      </w:r>
      <w:proofErr w:type="spellStart"/>
      <w:r w:rsidRPr="0027064C">
        <w:rPr>
          <w:rFonts w:ascii="Arial" w:hAnsi="Arial" w:cs="Arial"/>
          <w:sz w:val="20"/>
          <w:szCs w:val="20"/>
        </w:rPr>
        <w:t>nucleopolyhedrovirus</w:t>
      </w:r>
      <w:proofErr w:type="spellEnd"/>
      <w:r w:rsidRPr="0027064C">
        <w:rPr>
          <w:rFonts w:ascii="Arial" w:hAnsi="Arial" w:cs="Arial"/>
          <w:sz w:val="20"/>
          <w:szCs w:val="20"/>
        </w:rPr>
        <w:t xml:space="preserve"> replication in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Frontiers in Microbiology</w:t>
      </w:r>
      <w:r w:rsidRPr="0027064C">
        <w:rPr>
          <w:rFonts w:ascii="Arial" w:hAnsi="Arial" w:cs="Arial"/>
          <w:sz w:val="20"/>
          <w:szCs w:val="20"/>
        </w:rPr>
        <w:t>, </w:t>
      </w:r>
      <w:r w:rsidRPr="0027064C">
        <w:rPr>
          <w:rFonts w:ascii="Arial" w:hAnsi="Arial" w:cs="Arial"/>
          <w:i/>
          <w:iCs/>
          <w:sz w:val="20"/>
          <w:szCs w:val="20"/>
        </w:rPr>
        <w:t>15</w:t>
      </w:r>
      <w:r w:rsidRPr="0027064C">
        <w:rPr>
          <w:rFonts w:ascii="Arial" w:hAnsi="Arial" w:cs="Arial"/>
          <w:sz w:val="20"/>
          <w:szCs w:val="20"/>
        </w:rPr>
        <w:t>, 1485951.</w:t>
      </w:r>
    </w:p>
    <w:p w14:paraId="0DF11EC0"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Sun, S., Chen, Q., Gao, J., Qu, M., Chen, Z., Wang, K., et al. (2024). Sublethal effects of nitenpyram on the development of silkworm. </w:t>
      </w:r>
      <w:r w:rsidRPr="0027064C">
        <w:rPr>
          <w:rFonts w:ascii="Arial" w:hAnsi="Arial" w:cs="Arial"/>
          <w:i/>
          <w:iCs/>
          <w:sz w:val="20"/>
          <w:szCs w:val="20"/>
        </w:rPr>
        <w:t>Science of the Total Environment</w:t>
      </w:r>
      <w:r w:rsidRPr="0027064C">
        <w:rPr>
          <w:rFonts w:ascii="Arial" w:hAnsi="Arial" w:cs="Arial"/>
          <w:sz w:val="20"/>
          <w:szCs w:val="20"/>
        </w:rPr>
        <w:t>, </w:t>
      </w:r>
      <w:r w:rsidRPr="0027064C">
        <w:rPr>
          <w:rFonts w:ascii="Arial" w:hAnsi="Arial" w:cs="Arial"/>
          <w:i/>
          <w:iCs/>
          <w:sz w:val="20"/>
          <w:szCs w:val="20"/>
        </w:rPr>
        <w:t>950</w:t>
      </w:r>
      <w:r w:rsidRPr="0027064C">
        <w:rPr>
          <w:rFonts w:ascii="Arial" w:hAnsi="Arial" w:cs="Arial"/>
          <w:sz w:val="20"/>
          <w:szCs w:val="20"/>
        </w:rPr>
        <w:t>, 175262.</w:t>
      </w:r>
    </w:p>
    <w:p w14:paraId="763558EE"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Wen, H., Wang, Y., Ji, Y., Chen, J., Xiao, Y., Lu, Q., et al. (2024). Effect of acute exposure of Hg on physiological parameters and transcriptome expression in silkworms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Frontiers in Veterinary Science</w:t>
      </w:r>
      <w:r w:rsidRPr="0027064C">
        <w:rPr>
          <w:rFonts w:ascii="Arial" w:hAnsi="Arial" w:cs="Arial"/>
          <w:sz w:val="20"/>
          <w:szCs w:val="20"/>
        </w:rPr>
        <w:t>, </w:t>
      </w:r>
      <w:r w:rsidRPr="0027064C">
        <w:rPr>
          <w:rFonts w:ascii="Arial" w:hAnsi="Arial" w:cs="Arial"/>
          <w:i/>
          <w:iCs/>
          <w:sz w:val="20"/>
          <w:szCs w:val="20"/>
        </w:rPr>
        <w:t>11</w:t>
      </w:r>
      <w:r w:rsidRPr="0027064C">
        <w:rPr>
          <w:rFonts w:ascii="Arial" w:hAnsi="Arial" w:cs="Arial"/>
          <w:sz w:val="20"/>
          <w:szCs w:val="20"/>
        </w:rPr>
        <w:t>, 1405541.</w:t>
      </w:r>
    </w:p>
    <w:p w14:paraId="77A1909A"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Yuan, S., Sun, Y., Chang, W., Zhang, J., Sang, J., Zhao, J., et al. (2023). The silkworm (</w:t>
      </w:r>
      <w:r w:rsidRPr="0027064C">
        <w:rPr>
          <w:rFonts w:ascii="Arial" w:hAnsi="Arial" w:cs="Arial"/>
          <w:i/>
          <w:iCs/>
          <w:sz w:val="20"/>
          <w:szCs w:val="20"/>
        </w:rPr>
        <w:t>Bombyx mori</w:t>
      </w:r>
      <w:r w:rsidRPr="0027064C">
        <w:rPr>
          <w:rFonts w:ascii="Arial" w:hAnsi="Arial" w:cs="Arial"/>
          <w:sz w:val="20"/>
          <w:szCs w:val="20"/>
        </w:rPr>
        <w:t xml:space="preserve">) gut microbiota is involved in metabolic detoxification by </w:t>
      </w:r>
      <w:proofErr w:type="spellStart"/>
      <w:r w:rsidRPr="0027064C">
        <w:rPr>
          <w:rFonts w:ascii="Arial" w:hAnsi="Arial" w:cs="Arial"/>
          <w:sz w:val="20"/>
          <w:szCs w:val="20"/>
        </w:rPr>
        <w:t>glucosylation</w:t>
      </w:r>
      <w:proofErr w:type="spellEnd"/>
      <w:r w:rsidRPr="0027064C">
        <w:rPr>
          <w:rFonts w:ascii="Arial" w:hAnsi="Arial" w:cs="Arial"/>
          <w:sz w:val="20"/>
          <w:szCs w:val="20"/>
        </w:rPr>
        <w:t xml:space="preserve"> of plant toxins. </w:t>
      </w:r>
      <w:r w:rsidRPr="0027064C">
        <w:rPr>
          <w:rFonts w:ascii="Arial" w:hAnsi="Arial" w:cs="Arial"/>
          <w:i/>
          <w:iCs/>
          <w:sz w:val="20"/>
          <w:szCs w:val="20"/>
        </w:rPr>
        <w:t>Communications Biology</w:t>
      </w:r>
      <w:r w:rsidRPr="0027064C">
        <w:rPr>
          <w:rFonts w:ascii="Arial" w:hAnsi="Arial" w:cs="Arial"/>
          <w:sz w:val="20"/>
          <w:szCs w:val="20"/>
        </w:rPr>
        <w:t>, </w:t>
      </w:r>
      <w:r w:rsidRPr="0027064C">
        <w:rPr>
          <w:rFonts w:ascii="Arial" w:hAnsi="Arial" w:cs="Arial"/>
          <w:i/>
          <w:iCs/>
          <w:sz w:val="20"/>
          <w:szCs w:val="20"/>
        </w:rPr>
        <w:t>6</w:t>
      </w:r>
      <w:r w:rsidRPr="0027064C">
        <w:rPr>
          <w:rFonts w:ascii="Arial" w:hAnsi="Arial" w:cs="Arial"/>
          <w:sz w:val="20"/>
          <w:szCs w:val="20"/>
        </w:rPr>
        <w:t>(1), 790.</w:t>
      </w:r>
    </w:p>
    <w:p w14:paraId="0C3564C0"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Liu, X., Yang, J., Chen, J., Li, F., Sun, H., Wei, J., et al. (2022). Impact of sublethal chlorantraniliprole on epidermis of </w:t>
      </w:r>
      <w:r w:rsidRPr="0027064C">
        <w:rPr>
          <w:rFonts w:ascii="Arial" w:hAnsi="Arial" w:cs="Arial"/>
          <w:i/>
          <w:iCs/>
          <w:sz w:val="20"/>
          <w:szCs w:val="20"/>
        </w:rPr>
        <w:t>Bombyx mori</w:t>
      </w:r>
      <w:r w:rsidRPr="0027064C">
        <w:rPr>
          <w:rFonts w:ascii="Arial" w:hAnsi="Arial" w:cs="Arial"/>
          <w:sz w:val="20"/>
          <w:szCs w:val="20"/>
        </w:rPr>
        <w:t xml:space="preserve"> during prepupal-pupal transition. </w:t>
      </w:r>
      <w:r w:rsidRPr="0027064C">
        <w:rPr>
          <w:rFonts w:ascii="Arial" w:hAnsi="Arial" w:cs="Arial"/>
          <w:i/>
          <w:iCs/>
          <w:sz w:val="20"/>
          <w:szCs w:val="20"/>
        </w:rPr>
        <w:t>Pesticide Biochemistry and Physiology</w:t>
      </w:r>
      <w:r w:rsidRPr="0027064C">
        <w:rPr>
          <w:rFonts w:ascii="Arial" w:hAnsi="Arial" w:cs="Arial"/>
          <w:sz w:val="20"/>
          <w:szCs w:val="20"/>
        </w:rPr>
        <w:t>, </w:t>
      </w:r>
      <w:r w:rsidRPr="0027064C">
        <w:rPr>
          <w:rFonts w:ascii="Arial" w:hAnsi="Arial" w:cs="Arial"/>
          <w:i/>
          <w:iCs/>
          <w:sz w:val="20"/>
          <w:szCs w:val="20"/>
        </w:rPr>
        <w:t>187</w:t>
      </w:r>
      <w:r w:rsidRPr="0027064C">
        <w:rPr>
          <w:rFonts w:ascii="Arial" w:hAnsi="Arial" w:cs="Arial"/>
          <w:sz w:val="20"/>
          <w:szCs w:val="20"/>
        </w:rPr>
        <w:t>, 105200.</w:t>
      </w:r>
    </w:p>
    <w:p w14:paraId="7766D684"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Muzamil, A., Tahir, H. M., Ali, A., Bhatti, M. F., Munir, F., Ijaz, F., et al. (2023). Effect of amino acid fortified mulberry leaves on economic and biological traits of </w:t>
      </w:r>
      <w:r w:rsidRPr="0027064C">
        <w:rPr>
          <w:rFonts w:ascii="Arial" w:hAnsi="Arial" w:cs="Arial"/>
          <w:i/>
          <w:iCs/>
          <w:sz w:val="20"/>
          <w:szCs w:val="20"/>
        </w:rPr>
        <w:t>Bombyx mori</w:t>
      </w:r>
      <w:r w:rsidRPr="0027064C">
        <w:rPr>
          <w:rFonts w:ascii="Arial" w:hAnsi="Arial" w:cs="Arial"/>
          <w:sz w:val="20"/>
          <w:szCs w:val="20"/>
        </w:rPr>
        <w:t xml:space="preserve"> L. </w:t>
      </w:r>
      <w:proofErr w:type="spellStart"/>
      <w:r w:rsidRPr="0027064C">
        <w:rPr>
          <w:rFonts w:ascii="Arial" w:hAnsi="Arial" w:cs="Arial"/>
          <w:i/>
          <w:iCs/>
          <w:sz w:val="20"/>
          <w:szCs w:val="20"/>
        </w:rPr>
        <w:t>Heliyon</w:t>
      </w:r>
      <w:proofErr w:type="spellEnd"/>
      <w:r w:rsidRPr="0027064C">
        <w:rPr>
          <w:rFonts w:ascii="Arial" w:hAnsi="Arial" w:cs="Arial"/>
          <w:sz w:val="20"/>
          <w:szCs w:val="20"/>
        </w:rPr>
        <w:t>, </w:t>
      </w:r>
      <w:r w:rsidRPr="0027064C">
        <w:rPr>
          <w:rFonts w:ascii="Arial" w:hAnsi="Arial" w:cs="Arial"/>
          <w:i/>
          <w:iCs/>
          <w:sz w:val="20"/>
          <w:szCs w:val="20"/>
        </w:rPr>
        <w:t>9</w:t>
      </w:r>
      <w:r w:rsidRPr="0027064C">
        <w:rPr>
          <w:rFonts w:ascii="Arial" w:hAnsi="Arial" w:cs="Arial"/>
          <w:sz w:val="20"/>
          <w:szCs w:val="20"/>
        </w:rPr>
        <w:t>(10).</w:t>
      </w:r>
    </w:p>
    <w:p w14:paraId="3F406BB5"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Kim, Y., Yoon, T., Park, W. B., &amp; Na, S. (2023). Predicting mechanical properties of silk from its amino acid sequences via machine learning. </w:t>
      </w:r>
      <w:r w:rsidRPr="0027064C">
        <w:rPr>
          <w:rFonts w:ascii="Arial" w:hAnsi="Arial" w:cs="Arial"/>
          <w:i/>
          <w:iCs/>
          <w:sz w:val="20"/>
          <w:szCs w:val="20"/>
        </w:rPr>
        <w:t xml:space="preserve">Journal of the Mechanical </w:t>
      </w:r>
      <w:proofErr w:type="spellStart"/>
      <w:r w:rsidRPr="0027064C">
        <w:rPr>
          <w:rFonts w:ascii="Arial" w:hAnsi="Arial" w:cs="Arial"/>
          <w:i/>
          <w:iCs/>
          <w:sz w:val="20"/>
          <w:szCs w:val="20"/>
        </w:rPr>
        <w:t>Behavior</w:t>
      </w:r>
      <w:proofErr w:type="spellEnd"/>
      <w:r w:rsidRPr="0027064C">
        <w:rPr>
          <w:rFonts w:ascii="Arial" w:hAnsi="Arial" w:cs="Arial"/>
          <w:i/>
          <w:iCs/>
          <w:sz w:val="20"/>
          <w:szCs w:val="20"/>
        </w:rPr>
        <w:t xml:space="preserve"> of Biomedical Materials</w:t>
      </w:r>
      <w:r w:rsidRPr="0027064C">
        <w:rPr>
          <w:rFonts w:ascii="Arial" w:hAnsi="Arial" w:cs="Arial"/>
          <w:sz w:val="20"/>
          <w:szCs w:val="20"/>
        </w:rPr>
        <w:t>, </w:t>
      </w:r>
      <w:r w:rsidRPr="0027064C">
        <w:rPr>
          <w:rFonts w:ascii="Arial" w:hAnsi="Arial" w:cs="Arial"/>
          <w:i/>
          <w:iCs/>
          <w:sz w:val="20"/>
          <w:szCs w:val="20"/>
        </w:rPr>
        <w:t>140</w:t>
      </w:r>
      <w:r w:rsidRPr="0027064C">
        <w:rPr>
          <w:rFonts w:ascii="Arial" w:hAnsi="Arial" w:cs="Arial"/>
          <w:sz w:val="20"/>
          <w:szCs w:val="20"/>
        </w:rPr>
        <w:t>, 105739.</w:t>
      </w:r>
    </w:p>
    <w:p w14:paraId="2570CC02"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Chen, L., Zhang, J., Ding, L., Gu, T., Andoh, V., Ma, A., et al. (2024). Transcriptomics analyses combined with intestinal microorganism survey suggest Resveratrol (RSV) anti-aging and anti-oxidant effects in silkworm (</w:t>
      </w:r>
      <w:r w:rsidRPr="0027064C">
        <w:rPr>
          <w:rFonts w:ascii="Arial" w:hAnsi="Arial" w:cs="Arial"/>
          <w:i/>
          <w:iCs/>
          <w:sz w:val="20"/>
          <w:szCs w:val="20"/>
        </w:rPr>
        <w:t>Bombyx mori</w:t>
      </w:r>
      <w:r w:rsidRPr="0027064C">
        <w:rPr>
          <w:rFonts w:ascii="Arial" w:hAnsi="Arial" w:cs="Arial"/>
          <w:sz w:val="20"/>
          <w:szCs w:val="20"/>
        </w:rPr>
        <w:t>). </w:t>
      </w:r>
      <w:r w:rsidRPr="0027064C">
        <w:rPr>
          <w:rFonts w:ascii="Arial" w:hAnsi="Arial" w:cs="Arial"/>
          <w:i/>
          <w:iCs/>
          <w:sz w:val="20"/>
          <w:szCs w:val="20"/>
        </w:rPr>
        <w:t>Comparative Biochemistry and Physiology Part D: Genomics and Proteomics</w:t>
      </w:r>
      <w:r w:rsidRPr="0027064C">
        <w:rPr>
          <w:rFonts w:ascii="Arial" w:hAnsi="Arial" w:cs="Arial"/>
          <w:sz w:val="20"/>
          <w:szCs w:val="20"/>
        </w:rPr>
        <w:t>, </w:t>
      </w:r>
      <w:r w:rsidRPr="0027064C">
        <w:rPr>
          <w:rFonts w:ascii="Arial" w:hAnsi="Arial" w:cs="Arial"/>
          <w:i/>
          <w:iCs/>
          <w:sz w:val="20"/>
          <w:szCs w:val="20"/>
        </w:rPr>
        <w:t>52</w:t>
      </w:r>
      <w:r w:rsidRPr="0027064C">
        <w:rPr>
          <w:rFonts w:ascii="Arial" w:hAnsi="Arial" w:cs="Arial"/>
          <w:sz w:val="20"/>
          <w:szCs w:val="20"/>
        </w:rPr>
        <w:t>, 101344.</w:t>
      </w:r>
    </w:p>
    <w:p w14:paraId="734F269D"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Huang, Y., Zou, S., Zhan, P., Hao, Z., Lu, Q., Jing, W., et al. (2023). Dinotefuran induces oxidative stress and autophagy on </w:t>
      </w:r>
      <w:r w:rsidRPr="0027064C">
        <w:rPr>
          <w:rFonts w:ascii="Arial" w:hAnsi="Arial" w:cs="Arial"/>
          <w:i/>
          <w:iCs/>
          <w:sz w:val="20"/>
          <w:szCs w:val="20"/>
        </w:rPr>
        <w:t>Bombyx mori</w:t>
      </w:r>
      <w:r w:rsidRPr="0027064C">
        <w:rPr>
          <w:rFonts w:ascii="Arial" w:hAnsi="Arial" w:cs="Arial"/>
          <w:sz w:val="20"/>
          <w:szCs w:val="20"/>
        </w:rPr>
        <w:t xml:space="preserve"> silk gland: Toxic effects and implications for nontarget organisms. </w:t>
      </w:r>
      <w:r w:rsidRPr="0027064C">
        <w:rPr>
          <w:rFonts w:ascii="Arial" w:hAnsi="Arial" w:cs="Arial"/>
          <w:i/>
          <w:iCs/>
          <w:sz w:val="20"/>
          <w:szCs w:val="20"/>
        </w:rPr>
        <w:t>Environmental Pollution</w:t>
      </w:r>
      <w:r w:rsidRPr="0027064C">
        <w:rPr>
          <w:rFonts w:ascii="Arial" w:hAnsi="Arial" w:cs="Arial"/>
          <w:sz w:val="20"/>
          <w:szCs w:val="20"/>
        </w:rPr>
        <w:t>, </w:t>
      </w:r>
      <w:r w:rsidRPr="0027064C">
        <w:rPr>
          <w:rFonts w:ascii="Arial" w:hAnsi="Arial" w:cs="Arial"/>
          <w:i/>
          <w:iCs/>
          <w:sz w:val="20"/>
          <w:szCs w:val="20"/>
        </w:rPr>
        <w:t>336</w:t>
      </w:r>
      <w:r w:rsidRPr="0027064C">
        <w:rPr>
          <w:rFonts w:ascii="Arial" w:hAnsi="Arial" w:cs="Arial"/>
          <w:sz w:val="20"/>
          <w:szCs w:val="20"/>
        </w:rPr>
        <w:t>, 122470.</w:t>
      </w:r>
    </w:p>
    <w:p w14:paraId="3E895696"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 xml:space="preserve">Lei, X., Qian, Z., Zhu, X., Zhang, N., He, J., Xiao, J., et al. (2024). Fitness effects of synthetic and natural diet preservatives on the edible insect </w:t>
      </w:r>
      <w:r w:rsidRPr="0027064C">
        <w:rPr>
          <w:rFonts w:ascii="Arial" w:hAnsi="Arial" w:cs="Arial"/>
          <w:i/>
          <w:iCs/>
          <w:sz w:val="20"/>
          <w:szCs w:val="20"/>
        </w:rPr>
        <w:t>Bombyx mori</w:t>
      </w:r>
      <w:r w:rsidRPr="0027064C">
        <w:rPr>
          <w:rFonts w:ascii="Arial" w:hAnsi="Arial" w:cs="Arial"/>
          <w:sz w:val="20"/>
          <w:szCs w:val="20"/>
        </w:rPr>
        <w:t>. </w:t>
      </w:r>
      <w:proofErr w:type="spellStart"/>
      <w:r w:rsidRPr="0027064C">
        <w:rPr>
          <w:rFonts w:ascii="Arial" w:hAnsi="Arial" w:cs="Arial"/>
          <w:i/>
          <w:iCs/>
          <w:sz w:val="20"/>
          <w:szCs w:val="20"/>
        </w:rPr>
        <w:t>npj</w:t>
      </w:r>
      <w:proofErr w:type="spellEnd"/>
      <w:r w:rsidRPr="0027064C">
        <w:rPr>
          <w:rFonts w:ascii="Arial" w:hAnsi="Arial" w:cs="Arial"/>
          <w:i/>
          <w:iCs/>
          <w:sz w:val="20"/>
          <w:szCs w:val="20"/>
        </w:rPr>
        <w:t xml:space="preserve"> Science of Food</w:t>
      </w:r>
      <w:r w:rsidRPr="0027064C">
        <w:rPr>
          <w:rFonts w:ascii="Arial" w:hAnsi="Arial" w:cs="Arial"/>
          <w:sz w:val="20"/>
          <w:szCs w:val="20"/>
        </w:rPr>
        <w:t>, </w:t>
      </w:r>
      <w:r w:rsidRPr="0027064C">
        <w:rPr>
          <w:rFonts w:ascii="Arial" w:hAnsi="Arial" w:cs="Arial"/>
          <w:i/>
          <w:iCs/>
          <w:sz w:val="20"/>
          <w:szCs w:val="20"/>
        </w:rPr>
        <w:t>8</w:t>
      </w:r>
      <w:r w:rsidRPr="0027064C">
        <w:rPr>
          <w:rFonts w:ascii="Arial" w:hAnsi="Arial" w:cs="Arial"/>
          <w:sz w:val="20"/>
          <w:szCs w:val="20"/>
        </w:rPr>
        <w:t>(1), 39.</w:t>
      </w:r>
    </w:p>
    <w:p w14:paraId="35CB9494"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t>Manjunath, K. K., Bs, H., Nm, A., &amp; Ha, B. (2023). Breeding for mulberry improvement: A review. </w:t>
      </w:r>
      <w:r w:rsidRPr="0027064C">
        <w:rPr>
          <w:rFonts w:ascii="Arial" w:hAnsi="Arial" w:cs="Arial"/>
          <w:i/>
          <w:iCs/>
          <w:sz w:val="20"/>
          <w:szCs w:val="20"/>
        </w:rPr>
        <w:t>Pharma Innov</w:t>
      </w:r>
      <w:r w:rsidRPr="0027064C">
        <w:rPr>
          <w:rFonts w:ascii="Arial" w:hAnsi="Arial" w:cs="Arial"/>
          <w:sz w:val="20"/>
          <w:szCs w:val="20"/>
        </w:rPr>
        <w:t>, </w:t>
      </w:r>
      <w:r w:rsidRPr="0027064C">
        <w:rPr>
          <w:rFonts w:ascii="Arial" w:hAnsi="Arial" w:cs="Arial"/>
          <w:i/>
          <w:iCs/>
          <w:sz w:val="20"/>
          <w:szCs w:val="20"/>
        </w:rPr>
        <w:t>12</w:t>
      </w:r>
      <w:r w:rsidRPr="0027064C">
        <w:rPr>
          <w:rFonts w:ascii="Arial" w:hAnsi="Arial" w:cs="Arial"/>
          <w:sz w:val="20"/>
          <w:szCs w:val="20"/>
        </w:rPr>
        <w:t>, 477-481.</w:t>
      </w:r>
    </w:p>
    <w:p w14:paraId="5E0FD4AB" w14:textId="77777777" w:rsidR="0027064C" w:rsidRPr="0027064C" w:rsidRDefault="0027064C" w:rsidP="0027064C">
      <w:pPr>
        <w:pStyle w:val="ListParagraph"/>
        <w:numPr>
          <w:ilvl w:val="0"/>
          <w:numId w:val="37"/>
        </w:numPr>
        <w:jc w:val="both"/>
        <w:rPr>
          <w:rFonts w:ascii="Arial" w:hAnsi="Arial" w:cs="Arial"/>
          <w:sz w:val="20"/>
          <w:szCs w:val="20"/>
          <w:lang w:val="en-US"/>
        </w:rPr>
      </w:pPr>
      <w:r w:rsidRPr="0027064C">
        <w:rPr>
          <w:rFonts w:ascii="Arial" w:hAnsi="Arial" w:cs="Arial"/>
          <w:sz w:val="20"/>
          <w:szCs w:val="20"/>
        </w:rPr>
        <w:lastRenderedPageBreak/>
        <w:t xml:space="preserve">Kumar, C. D. S., Gowthami, B., &amp; Durga, V. P. N. (2024). Biotechnological approaches for enhancing mulberry yield and quality. </w:t>
      </w:r>
      <w:r w:rsidRPr="0027064C">
        <w:rPr>
          <w:rFonts w:ascii="Arial" w:hAnsi="Arial" w:cs="Arial"/>
          <w:i/>
          <w:iCs/>
          <w:sz w:val="20"/>
          <w:szCs w:val="20"/>
        </w:rPr>
        <w:t>International Journal of Advanced Biochemistry Research, 8</w:t>
      </w:r>
      <w:r w:rsidRPr="0027064C">
        <w:rPr>
          <w:rFonts w:ascii="Arial" w:hAnsi="Arial" w:cs="Arial"/>
          <w:sz w:val="20"/>
          <w:szCs w:val="20"/>
        </w:rPr>
        <w:t>(8), 1507–1511.</w:t>
      </w:r>
    </w:p>
    <w:p w14:paraId="205E9B56" w14:textId="77777777" w:rsidR="0027064C" w:rsidRPr="0027064C" w:rsidRDefault="0027064C" w:rsidP="0027064C">
      <w:pPr>
        <w:pStyle w:val="ListParagraph"/>
        <w:numPr>
          <w:ilvl w:val="0"/>
          <w:numId w:val="37"/>
        </w:numPr>
        <w:jc w:val="both"/>
        <w:rPr>
          <w:rFonts w:ascii="Arial" w:hAnsi="Arial" w:cs="Arial"/>
          <w:i/>
          <w:iCs/>
          <w:sz w:val="20"/>
          <w:szCs w:val="20"/>
          <w:lang w:val="en-US"/>
        </w:rPr>
      </w:pPr>
      <w:proofErr w:type="spellStart"/>
      <w:r w:rsidRPr="0027064C">
        <w:rPr>
          <w:rFonts w:ascii="Arial" w:hAnsi="Arial" w:cs="Arial"/>
          <w:sz w:val="20"/>
          <w:szCs w:val="20"/>
        </w:rPr>
        <w:t>Attria</w:t>
      </w:r>
      <w:proofErr w:type="spellEnd"/>
      <w:r w:rsidRPr="0027064C">
        <w:rPr>
          <w:rFonts w:ascii="Arial" w:hAnsi="Arial" w:cs="Arial"/>
          <w:sz w:val="20"/>
          <w:szCs w:val="20"/>
        </w:rPr>
        <w:t xml:space="preserve">+, K., </w:t>
      </w:r>
      <w:proofErr w:type="spellStart"/>
      <w:r w:rsidRPr="0027064C">
        <w:rPr>
          <w:rFonts w:ascii="Arial" w:hAnsi="Arial" w:cs="Arial"/>
          <w:sz w:val="20"/>
          <w:szCs w:val="20"/>
        </w:rPr>
        <w:t>GSb</w:t>
      </w:r>
      <w:proofErr w:type="spellEnd"/>
      <w:r w:rsidRPr="0027064C">
        <w:rPr>
          <w:rFonts w:ascii="Arial" w:hAnsi="Arial" w:cs="Arial"/>
          <w:sz w:val="20"/>
          <w:szCs w:val="20"/>
        </w:rPr>
        <w:t xml:space="preserve">, S., </w:t>
      </w:r>
      <w:proofErr w:type="spellStart"/>
      <w:r w:rsidRPr="0027064C">
        <w:rPr>
          <w:rFonts w:ascii="Arial" w:hAnsi="Arial" w:cs="Arial"/>
          <w:sz w:val="20"/>
          <w:szCs w:val="20"/>
        </w:rPr>
        <w:t>Jekinakatti</w:t>
      </w:r>
      <w:proofErr w:type="spellEnd"/>
      <w:r w:rsidRPr="0027064C">
        <w:rPr>
          <w:rFonts w:ascii="Arial" w:hAnsi="Arial" w:cs="Arial"/>
          <w:sz w:val="20"/>
          <w:szCs w:val="20"/>
        </w:rPr>
        <w:t xml:space="preserve">, B., </w:t>
      </w:r>
      <w:proofErr w:type="spellStart"/>
      <w:r w:rsidRPr="0027064C">
        <w:rPr>
          <w:rFonts w:ascii="Arial" w:hAnsi="Arial" w:cs="Arial"/>
          <w:sz w:val="20"/>
          <w:szCs w:val="20"/>
        </w:rPr>
        <w:t>Thrilekha</w:t>
      </w:r>
      <w:proofErr w:type="spellEnd"/>
      <w:r w:rsidRPr="0027064C">
        <w:rPr>
          <w:rFonts w:ascii="Arial" w:hAnsi="Arial" w:cs="Arial"/>
          <w:sz w:val="20"/>
          <w:szCs w:val="20"/>
        </w:rPr>
        <w:t xml:space="preserve">, D., Devi, D. L., Garai, I., et al. (2024). Advancements in Sericulture: Innovations and Sustainability in Silk. </w:t>
      </w:r>
      <w:r w:rsidRPr="0027064C">
        <w:rPr>
          <w:rFonts w:ascii="Arial" w:hAnsi="Arial" w:cs="Arial"/>
          <w:i/>
          <w:iCs/>
          <w:sz w:val="20"/>
          <w:szCs w:val="20"/>
        </w:rPr>
        <w:t>Uttar Pradesh Journal of Zoology, 45</w:t>
      </w:r>
      <w:r w:rsidRPr="0027064C">
        <w:rPr>
          <w:rFonts w:ascii="Arial" w:hAnsi="Arial" w:cs="Arial"/>
          <w:sz w:val="20"/>
          <w:szCs w:val="20"/>
        </w:rPr>
        <w:t>(16), 305-317.</w:t>
      </w:r>
    </w:p>
    <w:p w14:paraId="129DE054" w14:textId="77777777" w:rsidR="004D4277" w:rsidRPr="00584DFF" w:rsidRDefault="0027064C" w:rsidP="00584DFF">
      <w:pPr>
        <w:pStyle w:val="ListParagraph"/>
        <w:numPr>
          <w:ilvl w:val="0"/>
          <w:numId w:val="37"/>
        </w:numPr>
        <w:jc w:val="both"/>
        <w:rPr>
          <w:rFonts w:ascii="Arial" w:hAnsi="Arial" w:cs="Arial"/>
          <w:sz w:val="20"/>
          <w:szCs w:val="20"/>
          <w:lang w:val="en-US"/>
        </w:rPr>
      </w:pPr>
      <w:r w:rsidRPr="0027064C">
        <w:rPr>
          <w:rFonts w:ascii="Arial" w:eastAsia="Times New Roman" w:hAnsi="Arial" w:cs="Arial"/>
          <w:color w:val="000000"/>
          <w:kern w:val="36"/>
          <w:sz w:val="20"/>
          <w:szCs w:val="20"/>
          <w:lang w:eastAsia="en-IN"/>
        </w:rPr>
        <w:t xml:space="preserve">Huang, L., Yang, L., Meng, L., Wang, J., Li, S., Fu, X., et al. (2018). Potential of visible and near-infrared hyperspectral imaging for detection of </w:t>
      </w:r>
      <w:proofErr w:type="spellStart"/>
      <w:r w:rsidRPr="0027064C">
        <w:rPr>
          <w:rFonts w:ascii="Arial" w:eastAsia="Times New Roman" w:hAnsi="Arial" w:cs="Arial"/>
          <w:i/>
          <w:iCs/>
          <w:color w:val="000000"/>
          <w:kern w:val="36"/>
          <w:sz w:val="20"/>
          <w:szCs w:val="20"/>
          <w:lang w:eastAsia="en-IN"/>
        </w:rPr>
        <w:t>Diaphania</w:t>
      </w:r>
      <w:proofErr w:type="spellEnd"/>
      <w:r w:rsidRPr="0027064C">
        <w:rPr>
          <w:rFonts w:ascii="Arial" w:eastAsia="Times New Roman" w:hAnsi="Arial" w:cs="Arial"/>
          <w:i/>
          <w:iCs/>
          <w:color w:val="000000"/>
          <w:kern w:val="36"/>
          <w:sz w:val="20"/>
          <w:szCs w:val="20"/>
          <w:lang w:eastAsia="en-IN"/>
        </w:rPr>
        <w:t xml:space="preserve"> </w:t>
      </w:r>
      <w:proofErr w:type="spellStart"/>
      <w:r w:rsidRPr="0027064C">
        <w:rPr>
          <w:rFonts w:ascii="Arial" w:eastAsia="Times New Roman" w:hAnsi="Arial" w:cs="Arial"/>
          <w:i/>
          <w:iCs/>
          <w:color w:val="000000"/>
          <w:kern w:val="36"/>
          <w:sz w:val="20"/>
          <w:szCs w:val="20"/>
          <w:lang w:eastAsia="en-IN"/>
        </w:rPr>
        <w:t>pyloalis</w:t>
      </w:r>
      <w:proofErr w:type="spellEnd"/>
      <w:r w:rsidRPr="0027064C">
        <w:rPr>
          <w:rFonts w:ascii="Arial" w:eastAsia="Times New Roman" w:hAnsi="Arial" w:cs="Arial"/>
          <w:color w:val="000000"/>
          <w:kern w:val="36"/>
          <w:sz w:val="20"/>
          <w:szCs w:val="20"/>
          <w:lang w:eastAsia="en-IN"/>
        </w:rPr>
        <w:t xml:space="preserve"> larvae and damage on mulberry leaves. </w:t>
      </w:r>
      <w:r w:rsidRPr="0027064C">
        <w:rPr>
          <w:rFonts w:ascii="Arial" w:eastAsia="Times New Roman" w:hAnsi="Arial" w:cs="Arial"/>
          <w:i/>
          <w:iCs/>
          <w:color w:val="000000"/>
          <w:kern w:val="36"/>
          <w:sz w:val="20"/>
          <w:szCs w:val="20"/>
          <w:lang w:eastAsia="en-IN"/>
        </w:rPr>
        <w:t>Sensors</w:t>
      </w:r>
      <w:r w:rsidRPr="0027064C">
        <w:rPr>
          <w:rFonts w:ascii="Arial" w:eastAsia="Times New Roman" w:hAnsi="Arial" w:cs="Arial"/>
          <w:color w:val="000000"/>
          <w:kern w:val="36"/>
          <w:sz w:val="20"/>
          <w:szCs w:val="20"/>
          <w:lang w:eastAsia="en-IN"/>
        </w:rPr>
        <w:t>, </w:t>
      </w:r>
      <w:r w:rsidRPr="0027064C">
        <w:rPr>
          <w:rFonts w:ascii="Arial" w:eastAsia="Times New Roman" w:hAnsi="Arial" w:cs="Arial"/>
          <w:i/>
          <w:iCs/>
          <w:color w:val="000000"/>
          <w:kern w:val="36"/>
          <w:sz w:val="20"/>
          <w:szCs w:val="20"/>
          <w:lang w:eastAsia="en-IN"/>
        </w:rPr>
        <w:t>18</w:t>
      </w:r>
      <w:r w:rsidRPr="0027064C">
        <w:rPr>
          <w:rFonts w:ascii="Arial" w:eastAsia="Times New Roman" w:hAnsi="Arial" w:cs="Arial"/>
          <w:color w:val="000000"/>
          <w:kern w:val="36"/>
          <w:sz w:val="20"/>
          <w:szCs w:val="20"/>
          <w:lang w:eastAsia="en-IN"/>
        </w:rPr>
        <w:t>(7), 2077.</w:t>
      </w:r>
    </w:p>
    <w:p w14:paraId="10993A31" w14:textId="4B44EA22" w:rsidR="00584DFF" w:rsidRPr="00584DFF" w:rsidRDefault="00584DFF" w:rsidP="00584DFF">
      <w:pPr>
        <w:pStyle w:val="ListParagraph"/>
        <w:numPr>
          <w:ilvl w:val="0"/>
          <w:numId w:val="37"/>
        </w:numPr>
        <w:jc w:val="both"/>
        <w:rPr>
          <w:rFonts w:ascii="Arial" w:hAnsi="Arial" w:cs="Arial"/>
          <w:sz w:val="20"/>
          <w:szCs w:val="20"/>
          <w:lang w:val="en-US"/>
        </w:rPr>
        <w:sectPr w:rsidR="00584DFF" w:rsidRPr="00584DFF" w:rsidSect="0088360D">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615A2A76" w14:textId="77777777" w:rsidR="00B01FCD" w:rsidRPr="00B2227E" w:rsidRDefault="00B01FCD" w:rsidP="00441B6F">
      <w:pPr>
        <w:pStyle w:val="Appendix"/>
        <w:spacing w:after="0"/>
        <w:jc w:val="both"/>
        <w:rPr>
          <w:rFonts w:ascii="Arial" w:hAnsi="Arial" w:cs="Arial"/>
          <w:b w:val="0"/>
        </w:rPr>
      </w:pPr>
    </w:p>
    <w:sectPr w:rsidR="00B01FCD" w:rsidRPr="00B2227E" w:rsidSect="0088360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B9763E" w14:textId="77777777" w:rsidR="00A82C20" w:rsidRDefault="00A82C20" w:rsidP="00C37E61">
      <w:r>
        <w:separator/>
      </w:r>
    </w:p>
  </w:endnote>
  <w:endnote w:type="continuationSeparator" w:id="0">
    <w:p w14:paraId="2A84F1A3" w14:textId="77777777" w:rsidR="00A82C20" w:rsidRDefault="00A82C2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156E0" w14:textId="77777777" w:rsidR="0088360D" w:rsidRDefault="008836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97382" w14:textId="77777777" w:rsidR="0088360D" w:rsidRDefault="008836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7D2A4" w14:textId="281F44F5" w:rsidR="00754C9A" w:rsidRPr="00FC0CAE" w:rsidRDefault="00754C9A" w:rsidP="00FC0CAE">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D6C5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538EA7" w14:textId="77777777" w:rsidR="00A82C20" w:rsidRDefault="00A82C20" w:rsidP="00C37E61">
      <w:r>
        <w:separator/>
      </w:r>
    </w:p>
  </w:footnote>
  <w:footnote w:type="continuationSeparator" w:id="0">
    <w:p w14:paraId="61D3419A" w14:textId="77777777" w:rsidR="00A82C20" w:rsidRDefault="00A82C2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1B312" w14:textId="701A892B" w:rsidR="0088360D" w:rsidRDefault="0088360D">
    <w:pPr>
      <w:pStyle w:val="Header"/>
    </w:pPr>
    <w:r>
      <w:rPr>
        <w:noProof/>
      </w:rPr>
      <w:pict w14:anchorId="60CB3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A934B" w14:textId="3F2C342B" w:rsidR="0088360D" w:rsidRDefault="0088360D">
    <w:pPr>
      <w:pStyle w:val="Header"/>
    </w:pPr>
    <w:r>
      <w:rPr>
        <w:noProof/>
      </w:rPr>
      <w:pict w14:anchorId="22735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73BEB" w14:textId="02D4C6B8" w:rsidR="00296529" w:rsidRPr="00296529" w:rsidRDefault="0088360D" w:rsidP="00296529">
    <w:pPr>
      <w:ind w:left="2160"/>
      <w:jc w:val="center"/>
      <w:rPr>
        <w:rFonts w:ascii="Times New Roman" w:eastAsia="Calibri" w:hAnsi="Times New Roman"/>
        <w:i/>
        <w:sz w:val="18"/>
        <w:szCs w:val="22"/>
      </w:rPr>
    </w:pPr>
    <w:r>
      <w:rPr>
        <w:noProof/>
      </w:rPr>
      <w:pict w14:anchorId="28132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2526EE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F75672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603888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998DD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DE25E8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51EF9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F634A" w14:textId="6C16ED58" w:rsidR="0088360D" w:rsidRDefault="0088360D">
    <w:pPr>
      <w:pStyle w:val="Header"/>
    </w:pPr>
    <w:r>
      <w:rPr>
        <w:noProof/>
      </w:rPr>
      <w:pict w14:anchorId="001621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B2B0E" w14:textId="46D782B8" w:rsidR="0088360D" w:rsidRDefault="0088360D">
    <w:pPr>
      <w:pStyle w:val="Header"/>
    </w:pPr>
    <w:r>
      <w:rPr>
        <w:noProof/>
      </w:rPr>
      <w:pict w14:anchorId="22D45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0057" w14:textId="0F142B07" w:rsidR="0088360D" w:rsidRDefault="0088360D">
    <w:pPr>
      <w:pStyle w:val="Header"/>
    </w:pPr>
    <w:r>
      <w:rPr>
        <w:noProof/>
      </w:rPr>
      <w:pict w14:anchorId="310B06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49911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A06B9F"/>
    <w:multiLevelType w:val="hybridMultilevel"/>
    <w:tmpl w:val="084A7A1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3874A6"/>
    <w:multiLevelType w:val="multilevel"/>
    <w:tmpl w:val="77CAF95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Theme="majorEastAsia" w:hint="default"/>
        <w:b/>
        <w:sz w:val="24"/>
        <w:szCs w:val="24"/>
      </w:rPr>
    </w:lvl>
    <w:lvl w:ilvl="2">
      <w:start w:val="1"/>
      <w:numFmt w:val="decimal"/>
      <w:isLgl/>
      <w:lvlText w:val="%1.%2.%3."/>
      <w:lvlJc w:val="left"/>
      <w:pPr>
        <w:ind w:left="720" w:hanging="720"/>
      </w:pPr>
      <w:rPr>
        <w:rFonts w:eastAsiaTheme="majorEastAsia" w:hint="default"/>
        <w:b/>
      </w:rPr>
    </w:lvl>
    <w:lvl w:ilvl="3">
      <w:start w:val="1"/>
      <w:numFmt w:val="decimal"/>
      <w:isLgl/>
      <w:lvlText w:val="%1.%2.%3.%4."/>
      <w:lvlJc w:val="left"/>
      <w:pPr>
        <w:ind w:left="720" w:hanging="720"/>
      </w:pPr>
      <w:rPr>
        <w:rFonts w:eastAsiaTheme="majorEastAsia" w:hint="default"/>
        <w:b/>
      </w:rPr>
    </w:lvl>
    <w:lvl w:ilvl="4">
      <w:start w:val="1"/>
      <w:numFmt w:val="decimal"/>
      <w:isLgl/>
      <w:lvlText w:val="%1.%2.%3.%4.%5."/>
      <w:lvlJc w:val="left"/>
      <w:pPr>
        <w:ind w:left="1080" w:hanging="1080"/>
      </w:pPr>
      <w:rPr>
        <w:rFonts w:eastAsiaTheme="majorEastAsia" w:hint="default"/>
        <w:b/>
      </w:rPr>
    </w:lvl>
    <w:lvl w:ilvl="5">
      <w:start w:val="1"/>
      <w:numFmt w:val="decimal"/>
      <w:isLgl/>
      <w:lvlText w:val="%1.%2.%3.%4.%5.%6."/>
      <w:lvlJc w:val="left"/>
      <w:pPr>
        <w:ind w:left="1080" w:hanging="1080"/>
      </w:pPr>
      <w:rPr>
        <w:rFonts w:eastAsiaTheme="majorEastAsia" w:hint="default"/>
        <w:b/>
      </w:rPr>
    </w:lvl>
    <w:lvl w:ilvl="6">
      <w:start w:val="1"/>
      <w:numFmt w:val="decimal"/>
      <w:isLgl/>
      <w:lvlText w:val="%1.%2.%3.%4.%5.%6.%7."/>
      <w:lvlJc w:val="left"/>
      <w:pPr>
        <w:ind w:left="1440" w:hanging="1440"/>
      </w:pPr>
      <w:rPr>
        <w:rFonts w:eastAsiaTheme="majorEastAsia" w:hint="default"/>
        <w:b/>
      </w:rPr>
    </w:lvl>
    <w:lvl w:ilvl="7">
      <w:start w:val="1"/>
      <w:numFmt w:val="decimal"/>
      <w:isLgl/>
      <w:lvlText w:val="%1.%2.%3.%4.%5.%6.%7.%8."/>
      <w:lvlJc w:val="left"/>
      <w:pPr>
        <w:ind w:left="1440" w:hanging="1440"/>
      </w:pPr>
      <w:rPr>
        <w:rFonts w:eastAsiaTheme="majorEastAsia" w:hint="default"/>
        <w:b/>
      </w:rPr>
    </w:lvl>
    <w:lvl w:ilvl="8">
      <w:start w:val="1"/>
      <w:numFmt w:val="decimal"/>
      <w:isLgl/>
      <w:lvlText w:val="%1.%2.%3.%4.%5.%6.%7.%8.%9."/>
      <w:lvlJc w:val="left"/>
      <w:pPr>
        <w:ind w:left="1800" w:hanging="1800"/>
      </w:pPr>
      <w:rPr>
        <w:rFonts w:eastAsiaTheme="majorEastAsia" w:hint="default"/>
        <w:b/>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CC24433"/>
    <w:multiLevelType w:val="hybridMultilevel"/>
    <w:tmpl w:val="D750CF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CD156ED"/>
    <w:multiLevelType w:val="hybridMultilevel"/>
    <w:tmpl w:val="2FA6510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120988"/>
    <w:multiLevelType w:val="multilevel"/>
    <w:tmpl w:val="5DC85D64"/>
    <w:lvl w:ilvl="0">
      <w:start w:val="3"/>
      <w:numFmt w:val="decimal"/>
      <w:lvlText w:val="%1."/>
      <w:lvlJc w:val="left"/>
      <w:pPr>
        <w:ind w:left="408" w:hanging="408"/>
      </w:pPr>
      <w:rPr>
        <w:rFonts w:eastAsiaTheme="majorEastAsia" w:hint="default"/>
        <w:b/>
      </w:rPr>
    </w:lvl>
    <w:lvl w:ilvl="1">
      <w:start w:val="1"/>
      <w:numFmt w:val="decimal"/>
      <w:lvlText w:val="%1.%2."/>
      <w:lvlJc w:val="left"/>
      <w:pPr>
        <w:ind w:left="720" w:hanging="720"/>
      </w:pPr>
      <w:rPr>
        <w:rFonts w:eastAsiaTheme="majorEastAsia" w:hint="default"/>
        <w:b/>
        <w:sz w:val="22"/>
        <w:szCs w:val="22"/>
      </w:rPr>
    </w:lvl>
    <w:lvl w:ilvl="2">
      <w:start w:val="1"/>
      <w:numFmt w:val="decimal"/>
      <w:lvlText w:val="%1.%2.%3."/>
      <w:lvlJc w:val="left"/>
      <w:pPr>
        <w:ind w:left="720" w:hanging="720"/>
      </w:pPr>
      <w:rPr>
        <w:rFonts w:eastAsiaTheme="majorEastAsia" w:hint="default"/>
        <w:b/>
      </w:rPr>
    </w:lvl>
    <w:lvl w:ilvl="3">
      <w:start w:val="1"/>
      <w:numFmt w:val="decimal"/>
      <w:lvlText w:val="%1.%2.%3.%4."/>
      <w:lvlJc w:val="left"/>
      <w:pPr>
        <w:ind w:left="1080" w:hanging="1080"/>
      </w:pPr>
      <w:rPr>
        <w:rFonts w:eastAsiaTheme="majorEastAsia" w:hint="default"/>
        <w:b/>
      </w:rPr>
    </w:lvl>
    <w:lvl w:ilvl="4">
      <w:start w:val="1"/>
      <w:numFmt w:val="decimal"/>
      <w:lvlText w:val="%1.%2.%3.%4.%5."/>
      <w:lvlJc w:val="left"/>
      <w:pPr>
        <w:ind w:left="1080" w:hanging="1080"/>
      </w:pPr>
      <w:rPr>
        <w:rFonts w:eastAsiaTheme="majorEastAsia" w:hint="default"/>
        <w:b/>
      </w:rPr>
    </w:lvl>
    <w:lvl w:ilvl="5">
      <w:start w:val="1"/>
      <w:numFmt w:val="decimal"/>
      <w:lvlText w:val="%1.%2.%3.%4.%5.%6."/>
      <w:lvlJc w:val="left"/>
      <w:pPr>
        <w:ind w:left="1440" w:hanging="1440"/>
      </w:pPr>
      <w:rPr>
        <w:rFonts w:eastAsiaTheme="majorEastAsia" w:hint="default"/>
        <w:b/>
      </w:rPr>
    </w:lvl>
    <w:lvl w:ilvl="6">
      <w:start w:val="1"/>
      <w:numFmt w:val="decimal"/>
      <w:lvlText w:val="%1.%2.%3.%4.%5.%6.%7."/>
      <w:lvlJc w:val="left"/>
      <w:pPr>
        <w:ind w:left="1440" w:hanging="1440"/>
      </w:pPr>
      <w:rPr>
        <w:rFonts w:eastAsiaTheme="majorEastAsia" w:hint="default"/>
        <w:b/>
      </w:rPr>
    </w:lvl>
    <w:lvl w:ilvl="7">
      <w:start w:val="1"/>
      <w:numFmt w:val="decimal"/>
      <w:lvlText w:val="%1.%2.%3.%4.%5.%6.%7.%8."/>
      <w:lvlJc w:val="left"/>
      <w:pPr>
        <w:ind w:left="1800" w:hanging="1800"/>
      </w:pPr>
      <w:rPr>
        <w:rFonts w:eastAsiaTheme="majorEastAsia" w:hint="default"/>
        <w:b/>
      </w:rPr>
    </w:lvl>
    <w:lvl w:ilvl="8">
      <w:start w:val="1"/>
      <w:numFmt w:val="decimal"/>
      <w:lvlText w:val="%1.%2.%3.%4.%5.%6.%7.%8.%9."/>
      <w:lvlJc w:val="left"/>
      <w:pPr>
        <w:ind w:left="2160" w:hanging="2160"/>
      </w:pPr>
      <w:rPr>
        <w:rFonts w:eastAsiaTheme="majorEastAsia" w:hint="default"/>
        <w:b/>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2437DFB"/>
    <w:multiLevelType w:val="hybridMultilevel"/>
    <w:tmpl w:val="236C5C16"/>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6615B0B"/>
    <w:multiLevelType w:val="hybridMultilevel"/>
    <w:tmpl w:val="F10CEE0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67532ED"/>
    <w:multiLevelType w:val="hybridMultilevel"/>
    <w:tmpl w:val="FE18633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3"/>
  </w:num>
  <w:num w:numId="10">
    <w:abstractNumId w:val="2"/>
  </w:num>
  <w:num w:numId="11">
    <w:abstractNumId w:val="25"/>
  </w:num>
  <w:num w:numId="12">
    <w:abstractNumId w:val="3"/>
  </w:num>
  <w:num w:numId="13">
    <w:abstractNumId w:val="22"/>
  </w:num>
  <w:num w:numId="14">
    <w:abstractNumId w:val="10"/>
  </w:num>
  <w:num w:numId="15">
    <w:abstractNumId w:val="28"/>
  </w:num>
  <w:num w:numId="16">
    <w:abstractNumId w:val="5"/>
  </w:num>
  <w:num w:numId="17">
    <w:abstractNumId w:val="29"/>
  </w:num>
  <w:num w:numId="18">
    <w:abstractNumId w:val="17"/>
  </w:num>
  <w:num w:numId="19">
    <w:abstractNumId w:val="36"/>
  </w:num>
  <w:num w:numId="20">
    <w:abstractNumId w:val="13"/>
  </w:num>
  <w:num w:numId="21">
    <w:abstractNumId w:val="11"/>
  </w:num>
  <w:num w:numId="22">
    <w:abstractNumId w:val="16"/>
  </w:num>
  <w:num w:numId="23">
    <w:abstractNumId w:val="26"/>
  </w:num>
  <w:num w:numId="24">
    <w:abstractNumId w:val="34"/>
  </w:num>
  <w:num w:numId="25">
    <w:abstractNumId w:val="4"/>
  </w:num>
  <w:num w:numId="26">
    <w:abstractNumId w:val="20"/>
  </w:num>
  <w:num w:numId="27">
    <w:abstractNumId w:val="27"/>
  </w:num>
  <w:num w:numId="28">
    <w:abstractNumId w:val="35"/>
  </w:num>
  <w:num w:numId="29">
    <w:abstractNumId w:val="32"/>
  </w:num>
  <w:num w:numId="30">
    <w:abstractNumId w:val="12"/>
  </w:num>
  <w:num w:numId="31">
    <w:abstractNumId w:val="23"/>
  </w:num>
  <w:num w:numId="32">
    <w:abstractNumId w:val="9"/>
  </w:num>
  <w:num w:numId="33">
    <w:abstractNumId w:val="14"/>
  </w:num>
  <w:num w:numId="34">
    <w:abstractNumId w:val="7"/>
  </w:num>
  <w:num w:numId="35">
    <w:abstractNumId w:val="24"/>
  </w:num>
  <w:num w:numId="36">
    <w:abstractNumId w:val="21"/>
  </w:num>
  <w:num w:numId="37">
    <w:abstractNumId w:val="31"/>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064C"/>
    <w:rsid w:val="00283105"/>
    <w:rsid w:val="00284C4C"/>
    <w:rsid w:val="00287E68"/>
    <w:rsid w:val="00296529"/>
    <w:rsid w:val="002B27FB"/>
    <w:rsid w:val="002B685A"/>
    <w:rsid w:val="002C401A"/>
    <w:rsid w:val="002C57D2"/>
    <w:rsid w:val="002E0D56"/>
    <w:rsid w:val="00303BC4"/>
    <w:rsid w:val="00315186"/>
    <w:rsid w:val="00324208"/>
    <w:rsid w:val="0033343E"/>
    <w:rsid w:val="003512C2"/>
    <w:rsid w:val="00371FB6"/>
    <w:rsid w:val="003763C1"/>
    <w:rsid w:val="00376BBE"/>
    <w:rsid w:val="0039224F"/>
    <w:rsid w:val="003A43A4"/>
    <w:rsid w:val="003A7E18"/>
    <w:rsid w:val="003B1798"/>
    <w:rsid w:val="003C4C86"/>
    <w:rsid w:val="003C6258"/>
    <w:rsid w:val="003E2904"/>
    <w:rsid w:val="00401927"/>
    <w:rsid w:val="0041027F"/>
    <w:rsid w:val="00412475"/>
    <w:rsid w:val="00423789"/>
    <w:rsid w:val="00440F43"/>
    <w:rsid w:val="00441B6F"/>
    <w:rsid w:val="00446221"/>
    <w:rsid w:val="00450E62"/>
    <w:rsid w:val="004539DB"/>
    <w:rsid w:val="004627C4"/>
    <w:rsid w:val="00471A80"/>
    <w:rsid w:val="004D305E"/>
    <w:rsid w:val="004D4277"/>
    <w:rsid w:val="00502516"/>
    <w:rsid w:val="00505F06"/>
    <w:rsid w:val="00506828"/>
    <w:rsid w:val="00524212"/>
    <w:rsid w:val="0053056E"/>
    <w:rsid w:val="00554FDA"/>
    <w:rsid w:val="00573BAA"/>
    <w:rsid w:val="005842F6"/>
    <w:rsid w:val="00584DFF"/>
    <w:rsid w:val="005A7A4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819EE"/>
    <w:rsid w:val="0088360D"/>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4DC"/>
    <w:rsid w:val="00A03B96"/>
    <w:rsid w:val="00A05B19"/>
    <w:rsid w:val="00A1134E"/>
    <w:rsid w:val="00A24E7E"/>
    <w:rsid w:val="00A258C3"/>
    <w:rsid w:val="00A347C0"/>
    <w:rsid w:val="00A51431"/>
    <w:rsid w:val="00A539AD"/>
    <w:rsid w:val="00A82C20"/>
    <w:rsid w:val="00A94063"/>
    <w:rsid w:val="00AA5CAA"/>
    <w:rsid w:val="00AA6219"/>
    <w:rsid w:val="00AA74E0"/>
    <w:rsid w:val="00AB67E5"/>
    <w:rsid w:val="00AB703F"/>
    <w:rsid w:val="00AC6BB8"/>
    <w:rsid w:val="00AE008F"/>
    <w:rsid w:val="00B01FCD"/>
    <w:rsid w:val="00B1776C"/>
    <w:rsid w:val="00B2227E"/>
    <w:rsid w:val="00B52583"/>
    <w:rsid w:val="00B52896"/>
    <w:rsid w:val="00B53A73"/>
    <w:rsid w:val="00B70B7A"/>
    <w:rsid w:val="00B95236"/>
    <w:rsid w:val="00B96BD9"/>
    <w:rsid w:val="00BA1B01"/>
    <w:rsid w:val="00BA2641"/>
    <w:rsid w:val="00BB37AA"/>
    <w:rsid w:val="00BC53A0"/>
    <w:rsid w:val="00BD1F6F"/>
    <w:rsid w:val="00BE62AD"/>
    <w:rsid w:val="00BF121F"/>
    <w:rsid w:val="00BF1F80"/>
    <w:rsid w:val="00C166EF"/>
    <w:rsid w:val="00C17EB0"/>
    <w:rsid w:val="00C27F5F"/>
    <w:rsid w:val="00C30A0F"/>
    <w:rsid w:val="00C37E61"/>
    <w:rsid w:val="00C61474"/>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23652"/>
    <w:rsid w:val="00E3114E"/>
    <w:rsid w:val="00E31A70"/>
    <w:rsid w:val="00E35B02"/>
    <w:rsid w:val="00E617FE"/>
    <w:rsid w:val="00E63D32"/>
    <w:rsid w:val="00E66496"/>
    <w:rsid w:val="00E66B35"/>
    <w:rsid w:val="00E66E10"/>
    <w:rsid w:val="00E769F6"/>
    <w:rsid w:val="00E8407C"/>
    <w:rsid w:val="00E84F3C"/>
    <w:rsid w:val="00EA012C"/>
    <w:rsid w:val="00EB6200"/>
    <w:rsid w:val="00EC6A55"/>
    <w:rsid w:val="00ED0288"/>
    <w:rsid w:val="00EE52CB"/>
    <w:rsid w:val="00EF581D"/>
    <w:rsid w:val="00EF7FD8"/>
    <w:rsid w:val="00F06F59"/>
    <w:rsid w:val="00F17988"/>
    <w:rsid w:val="00F469F0"/>
    <w:rsid w:val="00F53273"/>
    <w:rsid w:val="00F755E4"/>
    <w:rsid w:val="00F77D02"/>
    <w:rsid w:val="00FB3A86"/>
    <w:rsid w:val="00FC0CAE"/>
    <w:rsid w:val="00FD36C8"/>
    <w:rsid w:val="00FF3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EB6E56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2227E"/>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B2227E"/>
    <w:pPr>
      <w:spacing w:after="160" w:line="278" w:lineRule="auto"/>
      <w:ind w:left="720"/>
      <w:contextualSpacing/>
    </w:pPr>
    <w:rPr>
      <w:rFonts w:asciiTheme="minorHAnsi" w:eastAsiaTheme="minorHAnsi" w:hAnsiTheme="minorHAnsi" w:cstheme="minorBidi"/>
      <w:kern w:val="2"/>
      <w:sz w:val="24"/>
      <w:szCs w:val="24"/>
      <w:lang w:val="en-IN"/>
    </w:rPr>
  </w:style>
  <w:style w:type="character" w:styleId="Strong">
    <w:name w:val="Strong"/>
    <w:basedOn w:val="DefaultParagraphFont"/>
    <w:uiPriority w:val="22"/>
    <w:qFormat/>
    <w:rsid w:val="00B222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E7246-EF9A-4929-92EA-82E931690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71</TotalTime>
  <Pages>13</Pages>
  <Words>5273</Words>
  <Characters>30058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35261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26</cp:revision>
  <cp:lastPrinted>1999-07-06T11:00:00Z</cp:lastPrinted>
  <dcterms:created xsi:type="dcterms:W3CDTF">2014-10-25T14:34:00Z</dcterms:created>
  <dcterms:modified xsi:type="dcterms:W3CDTF">2025-09-10T12:33:00Z</dcterms:modified>
</cp:coreProperties>
</file>