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2756F" w14:textId="26C29988" w:rsidR="00163BC4" w:rsidRPr="00FE7B41" w:rsidRDefault="007A1899" w:rsidP="0094376E">
      <w:pPr>
        <w:pStyle w:val="Author"/>
        <w:spacing w:line="240" w:lineRule="auto"/>
        <w:rPr>
          <w:rFonts w:ascii="Arial" w:hAnsi="Arial" w:cs="Arial"/>
          <w:bCs/>
          <w:iCs/>
          <w:kern w:val="28"/>
          <w:sz w:val="36"/>
          <w:szCs w:val="36"/>
        </w:rPr>
      </w:pPr>
      <w:bookmarkStart w:id="0" w:name="_Hlk206707955"/>
      <w:bookmarkEnd w:id="0"/>
      <w:r w:rsidRPr="00FE7B41">
        <w:rPr>
          <w:rFonts w:ascii="Arial" w:hAnsi="Arial" w:cs="Arial"/>
          <w:sz w:val="36"/>
          <w:szCs w:val="36"/>
        </w:rPr>
        <w:t xml:space="preserve">From Nutritional Value to Safety: </w:t>
      </w:r>
      <w:r w:rsidR="00C93B20">
        <w:rPr>
          <w:rFonts w:ascii="Arial" w:hAnsi="Arial" w:cs="Arial"/>
          <w:sz w:val="36"/>
          <w:szCs w:val="36"/>
        </w:rPr>
        <w:t>Sub-a</w:t>
      </w:r>
      <w:r w:rsidRPr="00FE7B41">
        <w:rPr>
          <w:rFonts w:ascii="Arial" w:hAnsi="Arial" w:cs="Arial"/>
          <w:sz w:val="36"/>
          <w:szCs w:val="36"/>
        </w:rPr>
        <w:t xml:space="preserve">cute Toxicity Assessment of </w:t>
      </w:r>
      <w:r w:rsidRPr="00FE7B41">
        <w:rPr>
          <w:rStyle w:val="Emphasis"/>
          <w:rFonts w:ascii="Arial" w:hAnsi="Arial" w:cs="Arial"/>
          <w:sz w:val="36"/>
          <w:szCs w:val="36"/>
        </w:rPr>
        <w:t>Gnetum gnemon</w:t>
      </w:r>
      <w:r w:rsidR="00A371E0">
        <w:rPr>
          <w:rStyle w:val="Emphasis"/>
          <w:rFonts w:ascii="Arial" w:hAnsi="Arial" w:cs="Arial"/>
          <w:sz w:val="36"/>
          <w:szCs w:val="36"/>
        </w:rPr>
        <w:t xml:space="preserve"> </w:t>
      </w:r>
      <w:r w:rsidR="00A371E0" w:rsidRPr="00A371E0">
        <w:rPr>
          <w:rStyle w:val="Emphasis"/>
          <w:rFonts w:ascii="Arial" w:hAnsi="Arial" w:cs="Arial"/>
          <w:i w:val="0"/>
          <w:iCs w:val="0"/>
          <w:sz w:val="36"/>
          <w:szCs w:val="36"/>
        </w:rPr>
        <w:t>L.</w:t>
      </w:r>
      <w:r w:rsidRPr="00FE7B41">
        <w:rPr>
          <w:rFonts w:ascii="Arial" w:hAnsi="Arial" w:cs="Arial"/>
          <w:sz w:val="36"/>
          <w:szCs w:val="36"/>
        </w:rPr>
        <w:t xml:space="preserve"> Extract in Swiss Albino</w:t>
      </w:r>
      <w:r w:rsidR="0094376E" w:rsidRPr="00FE7B41">
        <w:rPr>
          <w:rFonts w:ascii="Arial" w:hAnsi="Arial" w:cs="Arial"/>
          <w:sz w:val="36"/>
          <w:szCs w:val="36"/>
        </w:rPr>
        <w:t xml:space="preserve"> </w:t>
      </w:r>
      <w:r w:rsidR="00FE7B41">
        <w:rPr>
          <w:rFonts w:ascii="Arial" w:hAnsi="Arial" w:cs="Arial"/>
          <w:sz w:val="36"/>
          <w:szCs w:val="36"/>
        </w:rPr>
        <w:t>Mice</w:t>
      </w:r>
    </w:p>
    <w:p w14:paraId="7400289E" w14:textId="77777777" w:rsidR="00A258C3" w:rsidRPr="00790ADA" w:rsidRDefault="00A258C3" w:rsidP="00441B6F">
      <w:pPr>
        <w:pStyle w:val="Author"/>
        <w:spacing w:line="240" w:lineRule="auto"/>
        <w:jc w:val="both"/>
        <w:rPr>
          <w:rFonts w:ascii="Arial" w:hAnsi="Arial" w:cs="Arial"/>
          <w:sz w:val="36"/>
        </w:rPr>
      </w:pPr>
    </w:p>
    <w:p w14:paraId="2166E55E" w14:textId="77777777" w:rsidR="00912173" w:rsidRPr="00376DE4" w:rsidRDefault="00912173" w:rsidP="00912173">
      <w:pPr>
        <w:rPr>
          <w:rFonts w:ascii="Times New Roman" w:hAnsi="Times New Roman"/>
          <w:bCs/>
          <w:sz w:val="24"/>
          <w:szCs w:val="24"/>
          <w:vertAlign w:val="superscript"/>
        </w:rPr>
      </w:pPr>
      <w:bookmarkStart w:id="1" w:name="_Hlk206941429"/>
    </w:p>
    <w:bookmarkEnd w:id="1"/>
    <w:p w14:paraId="05AD1276" w14:textId="77777777" w:rsidR="002C57D2" w:rsidRPr="00FB3A86" w:rsidRDefault="002C57D2" w:rsidP="00441B6F">
      <w:pPr>
        <w:pStyle w:val="Affiliation"/>
        <w:spacing w:after="0" w:line="240" w:lineRule="auto"/>
        <w:jc w:val="both"/>
        <w:rPr>
          <w:rFonts w:ascii="Arial" w:hAnsi="Arial" w:cs="Arial"/>
        </w:rPr>
      </w:pPr>
    </w:p>
    <w:p w14:paraId="7A381980" w14:textId="5F7877B4" w:rsidR="0094376E" w:rsidRDefault="0063719C" w:rsidP="00441B6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7E4D2919" wp14:editId="2F1BFAFD">
                <wp:extent cx="5303520" cy="635"/>
                <wp:effectExtent l="13335" t="17780" r="17145" b="10795"/>
                <wp:docPr id="152061792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1EF2BC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4CED2AFA" w14:textId="77777777" w:rsidR="0094376E" w:rsidRDefault="0094376E" w:rsidP="00441B6F">
      <w:pPr>
        <w:pStyle w:val="Copyright"/>
        <w:spacing w:after="0" w:line="240" w:lineRule="auto"/>
        <w:jc w:val="both"/>
        <w:rPr>
          <w:rFonts w:ascii="Arial" w:hAnsi="Arial" w:cs="Arial"/>
        </w:rPr>
      </w:pPr>
    </w:p>
    <w:p w14:paraId="5BA9FE2D" w14:textId="4C872676" w:rsidR="00B01FCD" w:rsidRPr="00FB3A86" w:rsidRDefault="00B01FCD" w:rsidP="00441B6F">
      <w:pPr>
        <w:pStyle w:val="Copyright"/>
        <w:spacing w:after="0" w:line="240" w:lineRule="auto"/>
        <w:jc w:val="both"/>
        <w:rPr>
          <w:rFonts w:ascii="Arial" w:hAnsi="Arial" w:cs="Arial"/>
        </w:rPr>
        <w:sectPr w:rsidR="00B01FCD" w:rsidRPr="00FB3A86" w:rsidSect="00A5381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2388F5DB" w14:textId="5E24987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84CA43B" w14:textId="77777777" w:rsidR="00790ADA" w:rsidRPr="00FB3A86" w:rsidRDefault="00790ADA" w:rsidP="00441B6F">
      <w:pPr>
        <w:pStyle w:val="AbstHead"/>
        <w:spacing w:after="0"/>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437FEA" w14:paraId="5300B490" w14:textId="77777777" w:rsidTr="00437FEA">
        <w:trPr>
          <w:jc w:val="center"/>
        </w:trPr>
        <w:tc>
          <w:tcPr>
            <w:tcW w:w="9576" w:type="dxa"/>
            <w:shd w:val="clear" w:color="auto" w:fill="F2F2F2"/>
          </w:tcPr>
          <w:p w14:paraId="76F8728D" w14:textId="263B45FE" w:rsidR="00D27C05" w:rsidRPr="00D27C05" w:rsidRDefault="00D27C05" w:rsidP="00057067">
            <w:pPr>
              <w:pStyle w:val="NormalWeb"/>
              <w:spacing w:line="480" w:lineRule="auto"/>
              <w:jc w:val="both"/>
              <w:rPr>
                <w:rFonts w:ascii="Arial" w:eastAsia="Calibri" w:hAnsi="Arial" w:cs="Arial"/>
                <w:sz w:val="20"/>
                <w:szCs w:val="20"/>
              </w:rPr>
            </w:pPr>
            <w:r w:rsidRPr="00D27C05">
              <w:rPr>
                <w:rFonts w:ascii="Arial" w:eastAsia="Calibri" w:hAnsi="Arial" w:cs="Arial"/>
                <w:b/>
                <w:bCs/>
                <w:sz w:val="20"/>
                <w:szCs w:val="20"/>
              </w:rPr>
              <w:t>Aim</w:t>
            </w:r>
            <w:r w:rsidRPr="00D27C05">
              <w:rPr>
                <w:rFonts w:ascii="Arial" w:eastAsia="Calibri" w:hAnsi="Arial" w:cs="Arial"/>
                <w:sz w:val="20"/>
                <w:szCs w:val="20"/>
              </w:rPr>
              <w:t>: The aim of the study was to estimate the nutrient content, bioactive compounds</w:t>
            </w:r>
            <w:r>
              <w:rPr>
                <w:rFonts w:ascii="Arial" w:eastAsia="Calibri" w:hAnsi="Arial" w:cs="Arial"/>
                <w:sz w:val="20"/>
                <w:szCs w:val="20"/>
              </w:rPr>
              <w:t>,</w:t>
            </w:r>
            <w:r w:rsidRPr="00D27C05">
              <w:rPr>
                <w:rFonts w:ascii="Arial" w:eastAsia="Calibri" w:hAnsi="Arial" w:cs="Arial"/>
                <w:sz w:val="20"/>
                <w:szCs w:val="20"/>
              </w:rPr>
              <w:t xml:space="preserve"> and safety of </w:t>
            </w:r>
            <w:r w:rsidRPr="008534DB">
              <w:rPr>
                <w:rFonts w:ascii="Arial" w:eastAsia="Calibri" w:hAnsi="Arial" w:cs="Arial"/>
                <w:i/>
                <w:iCs/>
                <w:sz w:val="20"/>
                <w:szCs w:val="20"/>
              </w:rPr>
              <w:t>Gnetum gnemon</w:t>
            </w:r>
            <w:r w:rsidRPr="00D27C05">
              <w:rPr>
                <w:rFonts w:ascii="Arial" w:eastAsia="Calibri" w:hAnsi="Arial" w:cs="Arial"/>
                <w:sz w:val="20"/>
                <w:szCs w:val="20"/>
              </w:rPr>
              <w:t xml:space="preserve"> (GG) leaf extract to determine its usefulness as a functional food source and a therapeutic agent.</w:t>
            </w:r>
          </w:p>
          <w:p w14:paraId="2FB1547C" w14:textId="7DAA5ED6" w:rsidR="00D27C05" w:rsidRDefault="00D27C05" w:rsidP="00057067">
            <w:pPr>
              <w:pStyle w:val="NormalWeb"/>
              <w:spacing w:line="480" w:lineRule="auto"/>
              <w:jc w:val="both"/>
              <w:rPr>
                <w:rFonts w:ascii="Arial" w:eastAsia="Calibri" w:hAnsi="Arial" w:cs="Arial"/>
                <w:sz w:val="20"/>
                <w:szCs w:val="20"/>
              </w:rPr>
            </w:pPr>
            <w:r w:rsidRPr="00D27C05">
              <w:rPr>
                <w:rFonts w:ascii="Arial" w:eastAsia="Calibri" w:hAnsi="Arial" w:cs="Arial"/>
                <w:b/>
                <w:bCs/>
                <w:sz w:val="20"/>
                <w:szCs w:val="20"/>
              </w:rPr>
              <w:t>Study Design</w:t>
            </w:r>
            <w:r w:rsidRPr="00D27C05">
              <w:rPr>
                <w:rFonts w:ascii="Arial" w:eastAsia="Calibri" w:hAnsi="Arial" w:cs="Arial"/>
                <w:sz w:val="20"/>
                <w:szCs w:val="20"/>
              </w:rPr>
              <w:t xml:space="preserve">: The experiment consisted of proximate analysis, LC-MS profiling, and </w:t>
            </w:r>
            <w:r w:rsidRPr="009448DB">
              <w:rPr>
                <w:rFonts w:ascii="Arial" w:eastAsia="Calibri" w:hAnsi="Arial" w:cs="Arial"/>
                <w:i/>
                <w:iCs/>
                <w:sz w:val="20"/>
                <w:szCs w:val="20"/>
              </w:rPr>
              <w:t>in</w:t>
            </w:r>
            <w:r w:rsidRPr="00D27C05">
              <w:rPr>
                <w:rFonts w:ascii="Arial" w:eastAsia="Calibri" w:hAnsi="Arial" w:cs="Arial"/>
                <w:sz w:val="20"/>
                <w:szCs w:val="20"/>
              </w:rPr>
              <w:t xml:space="preserve"> </w:t>
            </w:r>
            <w:r w:rsidRPr="009448DB">
              <w:rPr>
                <w:rFonts w:ascii="Arial" w:eastAsia="Calibri" w:hAnsi="Arial" w:cs="Arial"/>
                <w:i/>
                <w:iCs/>
                <w:sz w:val="20"/>
                <w:szCs w:val="20"/>
              </w:rPr>
              <w:t xml:space="preserve">vivo </w:t>
            </w:r>
            <w:r w:rsidRPr="00D27C05">
              <w:rPr>
                <w:rFonts w:ascii="Arial" w:eastAsia="Calibri" w:hAnsi="Arial" w:cs="Arial"/>
                <w:sz w:val="20"/>
                <w:szCs w:val="20"/>
              </w:rPr>
              <w:t>toxicity measurement of Swiss albino mice.</w:t>
            </w:r>
          </w:p>
          <w:p w14:paraId="344F8715" w14:textId="33260095" w:rsidR="00D27C05" w:rsidRPr="00D27C05" w:rsidRDefault="00D27C05" w:rsidP="00057067">
            <w:pPr>
              <w:pStyle w:val="NormalWeb"/>
              <w:spacing w:line="480" w:lineRule="auto"/>
              <w:jc w:val="both"/>
              <w:rPr>
                <w:rFonts w:ascii="Arial" w:eastAsia="Calibri" w:hAnsi="Arial" w:cs="Arial"/>
                <w:sz w:val="20"/>
                <w:szCs w:val="20"/>
              </w:rPr>
            </w:pPr>
            <w:r w:rsidRPr="00D27C05">
              <w:rPr>
                <w:rFonts w:ascii="Arial" w:eastAsia="Calibri" w:hAnsi="Arial" w:cs="Arial"/>
                <w:b/>
                <w:bCs/>
                <w:sz w:val="20"/>
                <w:szCs w:val="20"/>
              </w:rPr>
              <w:t>Place and Duration of the study</w:t>
            </w:r>
            <w:r>
              <w:rPr>
                <w:rFonts w:ascii="Arial" w:eastAsia="Calibri" w:hAnsi="Arial" w:cs="Arial"/>
                <w:sz w:val="20"/>
                <w:szCs w:val="20"/>
              </w:rPr>
              <w:t>:</w:t>
            </w:r>
            <w:r w:rsidRPr="00D27C05">
              <w:rPr>
                <w:rFonts w:ascii="Arial" w:eastAsia="Calibri" w:hAnsi="Arial" w:cs="Arial"/>
                <w:sz w:val="20"/>
                <w:szCs w:val="20"/>
              </w:rPr>
              <w:t xml:space="preserve"> The present study is an experimental study conducted in </w:t>
            </w:r>
            <w:r>
              <w:rPr>
                <w:rFonts w:ascii="Arial" w:eastAsia="Calibri" w:hAnsi="Arial" w:cs="Arial"/>
                <w:sz w:val="20"/>
                <w:szCs w:val="20"/>
              </w:rPr>
              <w:t xml:space="preserve">a </w:t>
            </w:r>
            <w:r w:rsidRPr="00D27C05">
              <w:rPr>
                <w:rFonts w:ascii="Arial" w:eastAsia="Calibri" w:hAnsi="Arial" w:cs="Arial"/>
                <w:sz w:val="20"/>
                <w:szCs w:val="20"/>
              </w:rPr>
              <w:t>laboratory in the Department of Zoology, Cotton University, between February 2025 and June 2025</w:t>
            </w:r>
          </w:p>
          <w:p w14:paraId="69FDEDD8" w14:textId="00207460" w:rsidR="00D27C05" w:rsidRPr="00D27C05" w:rsidRDefault="00D27C05" w:rsidP="00057067">
            <w:pPr>
              <w:pStyle w:val="NormalWeb"/>
              <w:spacing w:line="480" w:lineRule="auto"/>
              <w:jc w:val="both"/>
              <w:rPr>
                <w:rFonts w:ascii="Arial" w:eastAsia="Calibri" w:hAnsi="Arial" w:cs="Arial"/>
                <w:sz w:val="20"/>
                <w:szCs w:val="20"/>
              </w:rPr>
            </w:pPr>
            <w:r w:rsidRPr="00D27C05">
              <w:rPr>
                <w:rFonts w:ascii="Arial" w:eastAsia="Calibri" w:hAnsi="Arial" w:cs="Arial"/>
                <w:b/>
                <w:bCs/>
                <w:sz w:val="20"/>
                <w:szCs w:val="20"/>
              </w:rPr>
              <w:t>The Methodology</w:t>
            </w:r>
            <w:r w:rsidRPr="00D27C05">
              <w:rPr>
                <w:rFonts w:ascii="Arial" w:eastAsia="Calibri" w:hAnsi="Arial" w:cs="Arial"/>
                <w:sz w:val="20"/>
                <w:szCs w:val="20"/>
              </w:rPr>
              <w:t>: GG leaf extract determined parameters of moisture, protein, fat, fiber, ash</w:t>
            </w:r>
            <w:r>
              <w:rPr>
                <w:rFonts w:ascii="Arial" w:eastAsia="Calibri" w:hAnsi="Arial" w:cs="Arial"/>
                <w:sz w:val="20"/>
                <w:szCs w:val="20"/>
              </w:rPr>
              <w:t>,</w:t>
            </w:r>
            <w:r w:rsidRPr="00D27C05">
              <w:rPr>
                <w:rFonts w:ascii="Arial" w:eastAsia="Calibri" w:hAnsi="Arial" w:cs="Arial"/>
                <w:sz w:val="20"/>
                <w:szCs w:val="20"/>
              </w:rPr>
              <w:t xml:space="preserve"> and carbohydrate content. LC-MS was carried out to determine bioactive phytochemicals. To evaluate safety, the extract was administered to mice, and hematological (WBC, RBC, Hb, HCT, MCV, MCH, MCHC, platelets, </w:t>
            </w:r>
            <w:r w:rsidR="007A3F1E">
              <w:rPr>
                <w:rFonts w:ascii="Arial" w:eastAsia="Calibri" w:hAnsi="Arial" w:cs="Arial"/>
                <w:sz w:val="20"/>
                <w:szCs w:val="20"/>
              </w:rPr>
              <w:t xml:space="preserve">and </w:t>
            </w:r>
            <w:r w:rsidRPr="00D27C05">
              <w:rPr>
                <w:rFonts w:ascii="Arial" w:eastAsia="Calibri" w:hAnsi="Arial" w:cs="Arial"/>
                <w:sz w:val="20"/>
                <w:szCs w:val="20"/>
              </w:rPr>
              <w:t>P</w:t>
            </w:r>
            <w:r w:rsidR="009448DB">
              <w:rPr>
                <w:rFonts w:ascii="Arial" w:eastAsia="Calibri" w:hAnsi="Arial" w:cs="Arial"/>
                <w:sz w:val="20"/>
                <w:szCs w:val="20"/>
              </w:rPr>
              <w:t>C</w:t>
            </w:r>
            <w:r w:rsidRPr="00D27C05">
              <w:rPr>
                <w:rFonts w:ascii="Arial" w:eastAsia="Calibri" w:hAnsi="Arial" w:cs="Arial"/>
                <w:sz w:val="20"/>
                <w:szCs w:val="20"/>
              </w:rPr>
              <w:t xml:space="preserve">V) and biochemical (ALT, AST, creatinine, </w:t>
            </w:r>
            <w:r w:rsidR="007A3F1E">
              <w:rPr>
                <w:rFonts w:ascii="Arial" w:eastAsia="Calibri" w:hAnsi="Arial" w:cs="Arial"/>
                <w:sz w:val="20"/>
                <w:szCs w:val="20"/>
              </w:rPr>
              <w:t xml:space="preserve">and </w:t>
            </w:r>
            <w:r w:rsidRPr="00D27C05">
              <w:rPr>
                <w:rFonts w:ascii="Arial" w:eastAsia="Calibri" w:hAnsi="Arial" w:cs="Arial"/>
                <w:sz w:val="20"/>
                <w:szCs w:val="20"/>
              </w:rPr>
              <w:t xml:space="preserve">urea) variables were determined. Data are represented as mean ± SEM (n = 5), and a p </w:t>
            </w:r>
            <w:r w:rsidR="00831AD2">
              <w:rPr>
                <w:rFonts w:ascii="Arial" w:eastAsia="Calibri" w:hAnsi="Arial" w:cs="Arial"/>
                <w:sz w:val="20"/>
                <w:szCs w:val="20"/>
              </w:rPr>
              <w:t>&lt;</w:t>
            </w:r>
            <w:r w:rsidRPr="00D27C05">
              <w:rPr>
                <w:rFonts w:ascii="Arial" w:eastAsia="Calibri" w:hAnsi="Arial" w:cs="Arial"/>
                <w:sz w:val="20"/>
                <w:szCs w:val="20"/>
              </w:rPr>
              <w:t xml:space="preserve"> 0.05 value is considered significant.</w:t>
            </w:r>
          </w:p>
          <w:p w14:paraId="4D9A60AB" w14:textId="7F7C9C40" w:rsidR="00D27C05" w:rsidRPr="00D27C05" w:rsidRDefault="00D27C05" w:rsidP="00057067">
            <w:pPr>
              <w:pStyle w:val="NormalWeb"/>
              <w:spacing w:line="480" w:lineRule="auto"/>
              <w:jc w:val="both"/>
              <w:rPr>
                <w:rFonts w:ascii="Arial" w:eastAsia="Calibri" w:hAnsi="Arial" w:cs="Arial"/>
                <w:sz w:val="20"/>
                <w:szCs w:val="20"/>
              </w:rPr>
            </w:pPr>
            <w:r w:rsidRPr="00D27C05">
              <w:rPr>
                <w:rFonts w:ascii="Arial" w:eastAsia="Calibri" w:hAnsi="Arial" w:cs="Arial"/>
                <w:b/>
                <w:bCs/>
                <w:sz w:val="20"/>
                <w:szCs w:val="20"/>
              </w:rPr>
              <w:t>Results</w:t>
            </w:r>
            <w:r w:rsidRPr="00D27C05">
              <w:rPr>
                <w:rFonts w:ascii="Arial" w:eastAsia="Calibri" w:hAnsi="Arial" w:cs="Arial"/>
                <w:sz w:val="20"/>
                <w:szCs w:val="20"/>
              </w:rPr>
              <w:t xml:space="preserve">: In this study, proximate analysis of the leaf </w:t>
            </w:r>
            <w:r>
              <w:rPr>
                <w:rFonts w:ascii="Arial" w:eastAsia="Calibri" w:hAnsi="Arial" w:cs="Arial"/>
                <w:sz w:val="20"/>
                <w:szCs w:val="20"/>
              </w:rPr>
              <w:t>extract</w:t>
            </w:r>
            <w:r w:rsidRPr="00D27C05">
              <w:rPr>
                <w:rFonts w:ascii="Arial" w:eastAsia="Calibri" w:hAnsi="Arial" w:cs="Arial"/>
                <w:sz w:val="20"/>
                <w:szCs w:val="20"/>
              </w:rPr>
              <w:t xml:space="preserve"> showed that it has high carbohydrate (85.40 ± 0.50%) and protein levels (17.30 ± 0.30%) and but </w:t>
            </w:r>
            <w:r>
              <w:rPr>
                <w:rFonts w:ascii="Arial" w:eastAsia="Calibri" w:hAnsi="Arial" w:cs="Arial"/>
                <w:sz w:val="20"/>
                <w:szCs w:val="20"/>
              </w:rPr>
              <w:t xml:space="preserve">the </w:t>
            </w:r>
            <w:r w:rsidRPr="00D27C05">
              <w:rPr>
                <w:rFonts w:ascii="Arial" w:eastAsia="Calibri" w:hAnsi="Arial" w:cs="Arial"/>
                <w:sz w:val="20"/>
                <w:szCs w:val="20"/>
              </w:rPr>
              <w:t xml:space="preserve">extract </w:t>
            </w:r>
            <w:r>
              <w:rPr>
                <w:rFonts w:ascii="Arial" w:eastAsia="Calibri" w:hAnsi="Arial" w:cs="Arial"/>
                <w:sz w:val="20"/>
                <w:szCs w:val="20"/>
              </w:rPr>
              <w:t>has</w:t>
            </w:r>
            <w:r w:rsidRPr="00D27C05">
              <w:rPr>
                <w:rFonts w:ascii="Arial" w:eastAsia="Calibri" w:hAnsi="Arial" w:cs="Arial"/>
                <w:sz w:val="20"/>
                <w:szCs w:val="20"/>
              </w:rPr>
              <w:t xml:space="preserve"> low fat (3.05 ± 0.10%) and moisture (</w:t>
            </w:r>
            <w:r w:rsidR="00C668E2">
              <w:rPr>
                <w:rFonts w:ascii="Arial" w:eastAsia="Calibri" w:hAnsi="Arial" w:cs="Arial"/>
                <w:sz w:val="20"/>
                <w:szCs w:val="20"/>
              </w:rPr>
              <w:t>65</w:t>
            </w:r>
            <w:r w:rsidRPr="00D27C05">
              <w:rPr>
                <w:rFonts w:ascii="Arial" w:eastAsia="Calibri" w:hAnsi="Arial" w:cs="Arial"/>
                <w:sz w:val="20"/>
                <w:szCs w:val="20"/>
              </w:rPr>
              <w:t xml:space="preserve">.20 ± 0.25%) contents. Bioactive compounds found </w:t>
            </w:r>
            <w:r w:rsidRPr="00D27C05">
              <w:rPr>
                <w:rFonts w:ascii="Arial" w:eastAsia="Calibri" w:hAnsi="Arial" w:cs="Arial"/>
                <w:sz w:val="20"/>
                <w:szCs w:val="20"/>
              </w:rPr>
              <w:lastRenderedPageBreak/>
              <w:t xml:space="preserve">in LC-MS analysis were stilbenoids such as resveratrol (m/z 227.13) and gnetin C (m/z 453.30). There were no changes in hematological and biochemical parameters, and no anaemia, immunotoxicity, hepatotoxicity, or nephrotoxicity was found in the mice </w:t>
            </w:r>
            <w:r w:rsidR="00203679">
              <w:rPr>
                <w:rFonts w:ascii="Arial" w:eastAsia="Calibri" w:hAnsi="Arial" w:cs="Arial"/>
                <w:sz w:val="20"/>
                <w:szCs w:val="20"/>
              </w:rPr>
              <w:t>bodies</w:t>
            </w:r>
            <w:r w:rsidRPr="00D27C05">
              <w:rPr>
                <w:rFonts w:ascii="Arial" w:eastAsia="Calibri" w:hAnsi="Arial" w:cs="Arial"/>
                <w:sz w:val="20"/>
                <w:szCs w:val="20"/>
              </w:rPr>
              <w:t>.</w:t>
            </w:r>
          </w:p>
          <w:p w14:paraId="367B5ADC" w14:textId="1F6EC54D" w:rsidR="00D27C05" w:rsidRPr="00D27C05" w:rsidRDefault="00D27C05" w:rsidP="00057067">
            <w:pPr>
              <w:pStyle w:val="NormalWeb"/>
              <w:spacing w:line="480" w:lineRule="auto"/>
              <w:jc w:val="both"/>
              <w:rPr>
                <w:rFonts w:ascii="Arial" w:eastAsia="Calibri" w:hAnsi="Arial" w:cs="Arial"/>
                <w:sz w:val="20"/>
                <w:szCs w:val="20"/>
              </w:rPr>
            </w:pPr>
            <w:r w:rsidRPr="00D27C05">
              <w:rPr>
                <w:rFonts w:ascii="Arial" w:eastAsia="Calibri" w:hAnsi="Arial" w:cs="Arial"/>
                <w:b/>
                <w:bCs/>
                <w:sz w:val="20"/>
                <w:szCs w:val="20"/>
              </w:rPr>
              <w:t>Conclusion</w:t>
            </w:r>
            <w:r w:rsidRPr="00D27C05">
              <w:rPr>
                <w:rFonts w:ascii="Arial" w:eastAsia="Calibri" w:hAnsi="Arial" w:cs="Arial"/>
                <w:sz w:val="20"/>
                <w:szCs w:val="20"/>
              </w:rPr>
              <w:t>: GG leaf extract is not only nutritionally useful, but it also contains strong biological phytochemicals, is haematologically and biochemically safe, and is useful in nutrition as a functional food and safe therapeutic agent.</w:t>
            </w:r>
          </w:p>
          <w:p w14:paraId="4FD5AAA7" w14:textId="4340FA0A" w:rsidR="00505F06" w:rsidRPr="00437FEA" w:rsidRDefault="00505F06" w:rsidP="00D27C05">
            <w:pPr>
              <w:pStyle w:val="NormalWeb"/>
              <w:jc w:val="both"/>
              <w:rPr>
                <w:rFonts w:ascii="Arial" w:eastAsia="Calibri" w:hAnsi="Arial" w:cs="Arial"/>
              </w:rPr>
            </w:pPr>
          </w:p>
        </w:tc>
      </w:tr>
    </w:tbl>
    <w:p w14:paraId="5D1BE7BB" w14:textId="77777777" w:rsidR="00636EB2" w:rsidRDefault="00636EB2" w:rsidP="00441B6F">
      <w:pPr>
        <w:pStyle w:val="Body"/>
        <w:spacing w:after="0"/>
        <w:rPr>
          <w:rFonts w:ascii="Arial" w:hAnsi="Arial" w:cs="Arial"/>
          <w:i/>
        </w:rPr>
      </w:pPr>
    </w:p>
    <w:p w14:paraId="444BA811" w14:textId="0C61A32D" w:rsidR="00D1773B" w:rsidRPr="00D1773B" w:rsidRDefault="00A24E7E" w:rsidP="00441B6F">
      <w:pPr>
        <w:pStyle w:val="Body"/>
        <w:spacing w:after="0"/>
        <w:rPr>
          <w:rFonts w:ascii="Arial" w:hAnsi="Arial" w:cs="Arial"/>
          <w:i/>
          <w:iCs/>
        </w:rPr>
      </w:pPr>
      <w:r>
        <w:rPr>
          <w:rFonts w:ascii="Arial" w:hAnsi="Arial" w:cs="Arial"/>
          <w:i/>
        </w:rPr>
        <w:t>Keywords:</w:t>
      </w:r>
      <w:r w:rsidR="00BB7A8B" w:rsidRPr="00BB7A8B">
        <w:rPr>
          <w:rStyle w:val="Emphasis"/>
          <w:rFonts w:ascii="Arial" w:hAnsi="Arial" w:cs="Arial"/>
        </w:rPr>
        <w:t xml:space="preserve"> </w:t>
      </w:r>
      <w:r w:rsidR="00BB7A8B" w:rsidRPr="00D1773B">
        <w:rPr>
          <w:rStyle w:val="Emphasis"/>
          <w:rFonts w:ascii="Arial" w:hAnsi="Arial" w:cs="Arial"/>
        </w:rPr>
        <w:t>Gnetum gnemon</w:t>
      </w:r>
      <w:r w:rsidR="00BB7A8B" w:rsidRPr="00D1773B">
        <w:rPr>
          <w:rFonts w:ascii="Arial" w:hAnsi="Arial" w:cs="Arial"/>
        </w:rPr>
        <w:t xml:space="preserve">; </w:t>
      </w:r>
      <w:r w:rsidR="00BB7A8B" w:rsidRPr="00D1773B">
        <w:rPr>
          <w:rFonts w:ascii="Arial" w:hAnsi="Arial" w:cs="Arial"/>
          <w:i/>
          <w:iCs/>
        </w:rPr>
        <w:t>LC-MS</w:t>
      </w:r>
      <w:r w:rsidR="00BB7A8B">
        <w:rPr>
          <w:rFonts w:ascii="Arial" w:hAnsi="Arial" w:cs="Arial"/>
          <w:i/>
          <w:iCs/>
        </w:rPr>
        <w:t xml:space="preserve">; </w:t>
      </w:r>
      <w:r w:rsidR="00BB7A8B" w:rsidRPr="00D1773B">
        <w:rPr>
          <w:rFonts w:ascii="Arial" w:hAnsi="Arial" w:cs="Arial"/>
          <w:i/>
          <w:iCs/>
        </w:rPr>
        <w:t xml:space="preserve">nutritional value; </w:t>
      </w:r>
      <w:r w:rsidR="00BB7A8B">
        <w:rPr>
          <w:rFonts w:ascii="Arial" w:hAnsi="Arial" w:cs="Arial"/>
          <w:i/>
          <w:iCs/>
        </w:rPr>
        <w:t>Swiss</w:t>
      </w:r>
      <w:r w:rsidR="00BB7A8B" w:rsidRPr="00D1773B">
        <w:rPr>
          <w:rFonts w:ascii="Arial" w:hAnsi="Arial" w:cs="Arial"/>
          <w:i/>
          <w:iCs/>
        </w:rPr>
        <w:t xml:space="preserve"> albino mice</w:t>
      </w:r>
      <w:r w:rsidR="00BB7A8B">
        <w:rPr>
          <w:rFonts w:ascii="Arial" w:hAnsi="Arial" w:cs="Arial"/>
          <w:i/>
          <w:iCs/>
        </w:rPr>
        <w:t>;</w:t>
      </w:r>
      <w:r w:rsidR="00BB7A8B" w:rsidRPr="00CC2E78">
        <w:rPr>
          <w:rFonts w:ascii="Arial" w:hAnsi="Arial" w:cs="Arial"/>
          <w:i/>
          <w:iCs/>
        </w:rPr>
        <w:t xml:space="preserve"> </w:t>
      </w:r>
      <w:r w:rsidR="00BB7A8B" w:rsidRPr="00D1773B">
        <w:rPr>
          <w:rFonts w:ascii="Arial" w:hAnsi="Arial" w:cs="Arial"/>
          <w:i/>
          <w:iCs/>
        </w:rPr>
        <w:t>toxicity</w:t>
      </w:r>
      <w:r>
        <w:rPr>
          <w:rFonts w:ascii="Arial" w:hAnsi="Arial" w:cs="Arial"/>
          <w:i/>
        </w:rPr>
        <w:t xml:space="preserve"> </w:t>
      </w:r>
    </w:p>
    <w:p w14:paraId="17E56A8A" w14:textId="77777777" w:rsidR="0024282C" w:rsidRDefault="0024282C" w:rsidP="00441B6F">
      <w:pPr>
        <w:pStyle w:val="Body"/>
        <w:spacing w:after="0"/>
        <w:rPr>
          <w:rFonts w:ascii="Arial" w:hAnsi="Arial" w:cs="Arial"/>
          <w:i/>
          <w:sz w:val="18"/>
        </w:rPr>
      </w:pPr>
    </w:p>
    <w:p w14:paraId="5734FD75" w14:textId="77777777" w:rsidR="00505F06" w:rsidRPr="00A24E7E" w:rsidRDefault="00505F06" w:rsidP="00441B6F">
      <w:pPr>
        <w:pStyle w:val="Body"/>
        <w:spacing w:after="0"/>
        <w:rPr>
          <w:rFonts w:ascii="Arial" w:hAnsi="Arial" w:cs="Arial"/>
          <w:i/>
        </w:rPr>
      </w:pPr>
    </w:p>
    <w:p w14:paraId="26EC5CBA" w14:textId="7A7E9517" w:rsidR="007F7B32" w:rsidRPr="00403042" w:rsidRDefault="00902823" w:rsidP="00441B6F">
      <w:pPr>
        <w:pStyle w:val="AbstHead"/>
        <w:spacing w:after="0"/>
        <w:jc w:val="both"/>
        <w:rPr>
          <w:rFonts w:ascii="Arial" w:hAnsi="Arial" w:cs="Arial"/>
          <w:b w:val="0"/>
          <w:bCs/>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721282A" w14:textId="25DDC357" w:rsidR="006A46D8" w:rsidRPr="006A46D8" w:rsidRDefault="006A46D8" w:rsidP="00360D3A">
      <w:pPr>
        <w:pStyle w:val="NormalWeb"/>
        <w:spacing w:line="480" w:lineRule="auto"/>
        <w:jc w:val="both"/>
        <w:rPr>
          <w:rFonts w:ascii="Arial" w:hAnsi="Arial" w:cs="Arial"/>
          <w:sz w:val="20"/>
          <w:szCs w:val="20"/>
        </w:rPr>
      </w:pPr>
      <w:r w:rsidRPr="006A46D8">
        <w:rPr>
          <w:rFonts w:ascii="Arial" w:hAnsi="Arial" w:cs="Arial"/>
          <w:sz w:val="20"/>
          <w:szCs w:val="20"/>
        </w:rPr>
        <w:t xml:space="preserve">Plants </w:t>
      </w:r>
      <w:r>
        <w:rPr>
          <w:rFonts w:ascii="Arial" w:hAnsi="Arial" w:cs="Arial"/>
          <w:sz w:val="20"/>
          <w:szCs w:val="20"/>
        </w:rPr>
        <w:t>have</w:t>
      </w:r>
      <w:r w:rsidRPr="006A46D8">
        <w:rPr>
          <w:rFonts w:ascii="Arial" w:hAnsi="Arial" w:cs="Arial"/>
          <w:sz w:val="20"/>
          <w:szCs w:val="20"/>
        </w:rPr>
        <w:t xml:space="preserve"> been used since ancient times not only as food sources but also as an aid in the development of flavors and </w:t>
      </w:r>
      <w:r>
        <w:rPr>
          <w:rFonts w:ascii="Arial" w:hAnsi="Arial" w:cs="Arial"/>
          <w:sz w:val="20"/>
          <w:szCs w:val="20"/>
        </w:rPr>
        <w:t xml:space="preserve">the </w:t>
      </w:r>
      <w:r w:rsidRPr="006A46D8">
        <w:rPr>
          <w:rFonts w:ascii="Arial" w:hAnsi="Arial" w:cs="Arial"/>
          <w:sz w:val="20"/>
          <w:szCs w:val="20"/>
        </w:rPr>
        <w:t>treatment of disease</w:t>
      </w:r>
      <w:r w:rsidR="00747DB1">
        <w:rPr>
          <w:rFonts w:ascii="Arial" w:hAnsi="Arial" w:cs="Arial"/>
          <w:sz w:val="20"/>
          <w:szCs w:val="20"/>
        </w:rPr>
        <w:t>(</w:t>
      </w:r>
      <w:r w:rsidR="009C580B">
        <w:rPr>
          <w:rFonts w:ascii="Arial" w:hAnsi="Arial" w:cs="Arial"/>
          <w:sz w:val="20"/>
          <w:szCs w:val="20"/>
        </w:rPr>
        <w:fldChar w:fldCharType="begin" w:fldLock="1"/>
      </w:r>
      <w:r w:rsidR="00747DB1">
        <w:rPr>
          <w:rFonts w:ascii="Arial" w:hAnsi="Arial" w:cs="Arial"/>
          <w:sz w:val="20"/>
          <w:szCs w:val="20"/>
        </w:rPr>
        <w:instrText>ADDIN CSL_CITATION {"citationItems":[{"id":"ITEM-1","itemData":{"ISSN":"1660-4601","author":[{"dropping-particle":"","family":"Salmerón-Manzano","given":"Esther","non-dropping-particle":"","parse-names":false,"suffix":""},{"dropping-particle":"","family":"Garrido-Cardenas","given":"Jose Antonio","non-dropping-particle":"","parse-names":false,"suffix":""},{"dropping-particle":"","family":"Manzano-Agugliaro","given":"Francisco","non-dropping-particle":"","parse-names":false,"suffix":""}],"container-title":"International journal of environmental research and public health","id":"ITEM-1","issue":"10","issued":{"date-parts":[["2020"]]},"page":"3376","publisher":"MDPI","title":"Worldwide research trends on medicinal plants","type":"article-journal","volume":"17"},"uris":["http://www.mendeley.com/documents/?uuid=36a31ef0-8199-435f-abbb-3b2c2ac426be"]}],"mendeley":{"formattedCitation":"(Salmerón-Manzano et al., 2020)","manualFormatting":"Salmerón-Manzano et al., 2020","plainTextFormattedCitation":"(Salmerón-Manzano et al., 2020)","previouslyFormattedCitation":"(Salmerón-Manzano et al., 2020)"},"properties":{"noteIndex":0},"schema":"https://github.com/citation-style-language/schema/raw/master/csl-citation.json"}</w:instrText>
      </w:r>
      <w:r w:rsidR="009C580B">
        <w:rPr>
          <w:rFonts w:ascii="Arial" w:hAnsi="Arial" w:cs="Arial"/>
          <w:sz w:val="20"/>
          <w:szCs w:val="20"/>
        </w:rPr>
        <w:fldChar w:fldCharType="separate"/>
      </w:r>
      <w:r w:rsidR="00C21AB0" w:rsidRPr="00C21AB0">
        <w:rPr>
          <w:rFonts w:ascii="Arial" w:hAnsi="Arial" w:cs="Arial"/>
          <w:noProof/>
          <w:sz w:val="20"/>
          <w:szCs w:val="20"/>
        </w:rPr>
        <w:t xml:space="preserve">Salmerón-Manzano </w:t>
      </w:r>
      <w:r w:rsidR="00C21AB0" w:rsidRPr="004D5179">
        <w:rPr>
          <w:rFonts w:ascii="Arial" w:hAnsi="Arial" w:cs="Arial"/>
          <w:i/>
          <w:iCs/>
          <w:noProof/>
          <w:sz w:val="20"/>
          <w:szCs w:val="20"/>
        </w:rPr>
        <w:t>et al</w:t>
      </w:r>
      <w:r w:rsidR="00C21AB0" w:rsidRPr="00C21AB0">
        <w:rPr>
          <w:rFonts w:ascii="Arial" w:hAnsi="Arial" w:cs="Arial"/>
          <w:noProof/>
          <w:sz w:val="20"/>
          <w:szCs w:val="20"/>
        </w:rPr>
        <w:t>., 2020</w:t>
      </w:r>
      <w:r w:rsidR="009C580B">
        <w:rPr>
          <w:rFonts w:ascii="Arial" w:hAnsi="Arial" w:cs="Arial"/>
          <w:sz w:val="20"/>
          <w:szCs w:val="20"/>
        </w:rPr>
        <w:fldChar w:fldCharType="end"/>
      </w:r>
      <w:r w:rsidR="00747DB1">
        <w:rPr>
          <w:rFonts w:ascii="Arial" w:hAnsi="Arial" w:cs="Arial"/>
          <w:sz w:val="20"/>
          <w:szCs w:val="20"/>
        </w:rPr>
        <w:t>;</w:t>
      </w:r>
      <w:r w:rsidR="00747DB1">
        <w:rPr>
          <w:rFonts w:ascii="Arial" w:hAnsi="Arial" w:cs="Arial"/>
          <w:sz w:val="20"/>
          <w:szCs w:val="20"/>
        </w:rPr>
        <w:fldChar w:fldCharType="begin" w:fldLock="1"/>
      </w:r>
      <w:r w:rsidR="00C93D2B">
        <w:rPr>
          <w:rFonts w:ascii="Arial" w:hAnsi="Arial" w:cs="Arial"/>
          <w:sz w:val="20"/>
          <w:szCs w:val="20"/>
        </w:rPr>
        <w:instrText>ADDIN CSL_CITATION {"citationItems":[{"id":"ITEM-1","itemData":{"ISSN":"1420-3049","author":[{"dropping-particle":"","family":"Sun","given":"Wenli","non-dropping-particle":"","parse-names":false,"suffix":""},{"dropping-particle":"","family":"Shahrajabian","given":"Mohamad Hesam","non-dropping-particle":"","parse-names":false,"suffix":""}],"container-title":"Molecules","id":"ITEM-1","issue":"4","issued":{"date-parts":[["2023"]]},"page":"1845","publisher":"MDPI","title":"Therapeutic potential of phenolic compounds in medicinal plants—Natural health products for human health","type":"article-journal","volume":"28"},"uris":["http://www.mendeley.com/documents/?uuid=0f226342-4465-4269-a9cd-c538c8c71326"]}],"mendeley":{"formattedCitation":"(Sun &amp; Shahrajabian, 2023)","manualFormatting":"Sun &amp; Shahrajabian, 2023)","plainTextFormattedCitation":"(Sun &amp; Shahrajabian, 2023)","previouslyFormattedCitation":"(Sun &amp; Shahrajabian, 2023)"},"properties":{"noteIndex":0},"schema":"https://github.com/citation-style-language/schema/raw/master/csl-citation.json"}</w:instrText>
      </w:r>
      <w:r w:rsidR="00747DB1">
        <w:rPr>
          <w:rFonts w:ascii="Arial" w:hAnsi="Arial" w:cs="Arial"/>
          <w:sz w:val="20"/>
          <w:szCs w:val="20"/>
        </w:rPr>
        <w:fldChar w:fldCharType="separate"/>
      </w:r>
      <w:r w:rsidR="00747DB1" w:rsidRPr="00747DB1">
        <w:rPr>
          <w:rFonts w:ascii="Arial" w:hAnsi="Arial" w:cs="Arial"/>
          <w:noProof/>
          <w:sz w:val="20"/>
          <w:szCs w:val="20"/>
        </w:rPr>
        <w:t>Sun &amp; Shahrajabian, 2023)</w:t>
      </w:r>
      <w:r w:rsidR="00747DB1">
        <w:rPr>
          <w:rFonts w:ascii="Arial" w:hAnsi="Arial" w:cs="Arial"/>
          <w:sz w:val="20"/>
          <w:szCs w:val="20"/>
        </w:rPr>
        <w:fldChar w:fldCharType="end"/>
      </w:r>
      <w:r w:rsidRPr="006A46D8">
        <w:rPr>
          <w:rFonts w:ascii="Arial" w:hAnsi="Arial" w:cs="Arial"/>
          <w:sz w:val="20"/>
          <w:szCs w:val="20"/>
        </w:rPr>
        <w:t>. Various parts of plants, such as seeds, leaves, flowers, fruit, stems, and roots,</w:t>
      </w:r>
      <w:r>
        <w:rPr>
          <w:rFonts w:ascii="Arial" w:hAnsi="Arial" w:cs="Arial"/>
          <w:sz w:val="20"/>
          <w:szCs w:val="20"/>
        </w:rPr>
        <w:t xml:space="preserve"> </w:t>
      </w:r>
      <w:r w:rsidRPr="006A46D8">
        <w:rPr>
          <w:rFonts w:ascii="Arial" w:hAnsi="Arial" w:cs="Arial"/>
          <w:sz w:val="20"/>
          <w:szCs w:val="20"/>
        </w:rPr>
        <w:t>are rich in phytochemicals</w:t>
      </w:r>
      <w:r>
        <w:rPr>
          <w:rFonts w:ascii="Arial" w:hAnsi="Arial" w:cs="Arial"/>
          <w:sz w:val="20"/>
          <w:szCs w:val="20"/>
        </w:rPr>
        <w:t>,</w:t>
      </w:r>
      <w:r w:rsidRPr="006A46D8">
        <w:rPr>
          <w:rFonts w:ascii="Arial" w:hAnsi="Arial" w:cs="Arial"/>
          <w:sz w:val="20"/>
          <w:szCs w:val="20"/>
        </w:rPr>
        <w:t xml:space="preserve"> and these parts are all related to the medicinal and nutritional properties of plants</w:t>
      </w:r>
      <w:r w:rsidR="009C580B">
        <w:rPr>
          <w:rFonts w:ascii="Arial" w:hAnsi="Arial" w:cs="Arial"/>
          <w:sz w:val="20"/>
          <w:szCs w:val="20"/>
        </w:rPr>
        <w:fldChar w:fldCharType="begin" w:fldLock="1"/>
      </w:r>
      <w:r w:rsidR="009C580B">
        <w:rPr>
          <w:rFonts w:ascii="Arial" w:hAnsi="Arial" w:cs="Arial"/>
          <w:sz w:val="20"/>
          <w:szCs w:val="20"/>
        </w:rPr>
        <w:instrText>ADDIN CSL_CITATION {"citationItems":[{"id":"ITEM-1","itemData":{"ISSN":"0976-7126","author":[{"dropping-particle":"","family":"Chanda","given":"Sayantani","non-dropping-particle":"","parse-names":false,"suffix":""},{"dropping-particle":"V","family":"Ramachandra","given":"T","non-dropping-particle":"","parse-names":false,"suffix":""}],"container-title":"International Journal of Pharmacy &amp; Life Sciences","id":"ITEM-1","issue":"1","issued":{"date-parts":[["2019"]]},"title":"A review on some Therapeutic aspects of Phytochemicals present in Medicinal plants.","type":"article-journal","volume":"10"},"uris":["http://www.mendeley.com/documents/?uuid=decd5b2f-ada6-46bd-a7b6-5adbdb15ef1b"]}],"mendeley":{"formattedCitation":"(Chanda &amp; Ramachandra, 2019)","plainTextFormattedCitation":"(Chanda &amp; Ramachandra, 2019)","previouslyFormattedCitation":"(Chanda &amp; Ramachandra, 2019)"},"properties":{"noteIndex":0},"schema":"https://github.com/citation-style-language/schema/raw/master/csl-citation.json"}</w:instrText>
      </w:r>
      <w:r w:rsidR="009C580B">
        <w:rPr>
          <w:rFonts w:ascii="Arial" w:hAnsi="Arial" w:cs="Arial"/>
          <w:sz w:val="20"/>
          <w:szCs w:val="20"/>
        </w:rPr>
        <w:fldChar w:fldCharType="separate"/>
      </w:r>
      <w:r w:rsidR="009C580B" w:rsidRPr="009C580B">
        <w:rPr>
          <w:rFonts w:ascii="Arial" w:hAnsi="Arial" w:cs="Arial"/>
          <w:noProof/>
          <w:sz w:val="20"/>
          <w:szCs w:val="20"/>
        </w:rPr>
        <w:t>(Chanda &amp; Ramachandra, 2019)</w:t>
      </w:r>
      <w:r w:rsidR="009C580B">
        <w:rPr>
          <w:rFonts w:ascii="Arial" w:hAnsi="Arial" w:cs="Arial"/>
          <w:sz w:val="20"/>
          <w:szCs w:val="20"/>
        </w:rPr>
        <w:fldChar w:fldCharType="end"/>
      </w:r>
      <w:r w:rsidRPr="006A46D8">
        <w:rPr>
          <w:rFonts w:ascii="Arial" w:hAnsi="Arial" w:cs="Arial"/>
          <w:sz w:val="20"/>
          <w:szCs w:val="20"/>
        </w:rPr>
        <w:t>.</w:t>
      </w:r>
      <w:r>
        <w:rPr>
          <w:rFonts w:ascii="Arial" w:hAnsi="Arial" w:cs="Arial"/>
          <w:sz w:val="20"/>
          <w:szCs w:val="20"/>
        </w:rPr>
        <w:t xml:space="preserve"> </w:t>
      </w:r>
      <w:r w:rsidRPr="006A46D8">
        <w:rPr>
          <w:rFonts w:ascii="Arial" w:hAnsi="Arial" w:cs="Arial"/>
          <w:sz w:val="20"/>
          <w:szCs w:val="20"/>
        </w:rPr>
        <w:t>Compounds including flavonoids, alkaloids, terpenoids, stilbenoids, and phenolic acids are particularly significant, as they have been shown to contribute to therapeutic benefits through their antioxidant, anti-inflammatory, antimicrobial, antibacterial, and anticancer activities</w:t>
      </w:r>
      <w:r w:rsidR="009C580B">
        <w:rPr>
          <w:rFonts w:ascii="Arial" w:hAnsi="Arial" w:cs="Arial"/>
          <w:sz w:val="20"/>
          <w:szCs w:val="20"/>
        </w:rPr>
        <w:fldChar w:fldCharType="begin" w:fldLock="1"/>
      </w:r>
      <w:r w:rsidR="009C580B">
        <w:rPr>
          <w:rFonts w:ascii="Arial" w:hAnsi="Arial" w:cs="Arial"/>
          <w:sz w:val="20"/>
          <w:szCs w:val="20"/>
        </w:rPr>
        <w:instrText>ADDIN CSL_CITATION {"citationItems":[{"id":"ITEM-1","itemData":{"author":[{"dropping-particle":"","family":"Dar","given":"Refaz Ahmad","non-dropping-particle":"","parse-names":false,"suffix":""},{"dropping-particle":"","family":"Shahnawaz","given":"Mohd","non-dropping-particle":"","parse-names":false,"suffix":""},{"dropping-particle":"","family":"Ahanger","given":"Muzaffer Ahmad","non-dropping-particle":"","parse-names":false,"suffix":""},{"dropping-particle":"","family":"Majid","given":"I ul","non-dropping-particle":"","parse-names":false,"suffix":""}],"container-title":"J. Phytopharm","id":"ITEM-1","issue":"3","issued":{"date-parts":[["2023"]]},"page":"189-195","title":"Exploring the diverse bioactive compounds from medicinal plants: a review","type":"article-journal","volume":"12"},"uris":["http://www.mendeley.com/documents/?uuid=36107a88-b49d-4f0a-b058-3c6242b82db1"]}],"mendeley":{"formattedCitation":"(Dar et al., 2023)","plainTextFormattedCitation":"(Dar et al., 2023)","previouslyFormattedCitation":"(Dar et al., 2023)"},"properties":{"noteIndex":0},"schema":"https://github.com/citation-style-language/schema/raw/master/csl-citation.json"}</w:instrText>
      </w:r>
      <w:r w:rsidR="009C580B">
        <w:rPr>
          <w:rFonts w:ascii="Arial" w:hAnsi="Arial" w:cs="Arial"/>
          <w:sz w:val="20"/>
          <w:szCs w:val="20"/>
        </w:rPr>
        <w:fldChar w:fldCharType="separate"/>
      </w:r>
      <w:r w:rsidR="009C580B" w:rsidRPr="009C580B">
        <w:rPr>
          <w:rFonts w:ascii="Arial" w:hAnsi="Arial" w:cs="Arial"/>
          <w:noProof/>
          <w:sz w:val="20"/>
          <w:szCs w:val="20"/>
        </w:rPr>
        <w:t xml:space="preserve">(Dar </w:t>
      </w:r>
      <w:r w:rsidR="009C580B" w:rsidRPr="00403042">
        <w:rPr>
          <w:rFonts w:ascii="Arial" w:hAnsi="Arial" w:cs="Arial"/>
          <w:i/>
          <w:iCs/>
          <w:noProof/>
          <w:sz w:val="20"/>
          <w:szCs w:val="20"/>
        </w:rPr>
        <w:t>et al</w:t>
      </w:r>
      <w:r w:rsidR="009C580B" w:rsidRPr="009C580B">
        <w:rPr>
          <w:rFonts w:ascii="Arial" w:hAnsi="Arial" w:cs="Arial"/>
          <w:noProof/>
          <w:sz w:val="20"/>
          <w:szCs w:val="20"/>
        </w:rPr>
        <w:t>., 2023)</w:t>
      </w:r>
      <w:r w:rsidR="009C580B">
        <w:rPr>
          <w:rFonts w:ascii="Arial" w:hAnsi="Arial" w:cs="Arial"/>
          <w:sz w:val="20"/>
          <w:szCs w:val="20"/>
        </w:rPr>
        <w:fldChar w:fldCharType="end"/>
      </w:r>
      <w:r w:rsidRPr="006A46D8">
        <w:rPr>
          <w:rFonts w:ascii="Arial" w:hAnsi="Arial" w:cs="Arial"/>
          <w:sz w:val="20"/>
          <w:szCs w:val="20"/>
        </w:rPr>
        <w:t xml:space="preserve">. Due to these characteristics, the role of plants is increasingly becoming appreciated, contributing </w:t>
      </w:r>
      <w:r>
        <w:rPr>
          <w:rFonts w:ascii="Arial" w:hAnsi="Arial" w:cs="Arial"/>
          <w:sz w:val="20"/>
          <w:szCs w:val="20"/>
        </w:rPr>
        <w:t>to</w:t>
      </w:r>
      <w:r w:rsidRPr="006A46D8">
        <w:rPr>
          <w:rFonts w:ascii="Arial" w:hAnsi="Arial" w:cs="Arial"/>
          <w:sz w:val="20"/>
          <w:szCs w:val="20"/>
        </w:rPr>
        <w:t xml:space="preserve"> health promotion and </w:t>
      </w:r>
      <w:r>
        <w:rPr>
          <w:rFonts w:ascii="Arial" w:hAnsi="Arial" w:cs="Arial"/>
          <w:sz w:val="20"/>
          <w:szCs w:val="20"/>
        </w:rPr>
        <w:t xml:space="preserve">the </w:t>
      </w:r>
      <w:r w:rsidRPr="006A46D8">
        <w:rPr>
          <w:rFonts w:ascii="Arial" w:hAnsi="Arial" w:cs="Arial"/>
          <w:sz w:val="20"/>
          <w:szCs w:val="20"/>
        </w:rPr>
        <w:t>prevention of diseases</w:t>
      </w:r>
      <w:r w:rsidR="009C580B">
        <w:rPr>
          <w:rFonts w:ascii="Arial" w:hAnsi="Arial" w:cs="Arial"/>
          <w:sz w:val="20"/>
          <w:szCs w:val="20"/>
        </w:rPr>
        <w:fldChar w:fldCharType="begin" w:fldLock="1"/>
      </w:r>
      <w:r w:rsidR="009F2605">
        <w:rPr>
          <w:rFonts w:ascii="Arial" w:hAnsi="Arial" w:cs="Arial"/>
          <w:sz w:val="20"/>
          <w:szCs w:val="20"/>
        </w:rPr>
        <w:instrText>ADDIN CSL_CITATION {"citationItems":[{"id":"ITEM-1","itemData":{"ISSN":"2048-7177","author":[{"dropping-particle":"","family":"Hossain","given":"Md Sakhawot","non-dropping-particle":"","parse-names":false,"suffix":""},{"dropping-particle":"","family":"Wazed","given":"Md Abdul","non-dropping-particle":"","parse-names":false,"suffix":""},{"dropping-particle":"","family":"Asha","given":"Sharmin","non-dropping-particle":"","parse-names":false,"suffix":""},{"dropping-particle":"","family":"Amin","given":"Md Ruhul","non-dropping-particle":"","parse-names":false,"suffix":""},{"dropping-particle":"","family":"Shimul","given":"Islam Md","non-dropping-particle":"","parse-names":false,"suffix":""}],"container-title":"Food Science &amp; Nutrition","id":"ITEM-1","issue":"3","issued":{"date-parts":[["2025"]]},"page":"e70101","publisher":"Wiley Online Library","title":"Dietary phytochemicals in health and disease: Mechanisms, clinical evidence, and applications—a comprehensive review","type":"article-journal","volume":"13"},"uris":["http://www.mendeley.com/documents/?uuid=249bc5be-1271-4c51-a4bf-c26a5f4500c3"]}],"mendeley":{"formattedCitation":"(Hossain et al., 2025)","plainTextFormattedCitation":"(Hossain et al., 2025)","previouslyFormattedCitation":"(Hossain et al., 2025)"},"properties":{"noteIndex":0},"schema":"https://github.com/citation-style-language/schema/raw/master/csl-citation.json"}</w:instrText>
      </w:r>
      <w:r w:rsidR="009C580B">
        <w:rPr>
          <w:rFonts w:ascii="Arial" w:hAnsi="Arial" w:cs="Arial"/>
          <w:sz w:val="20"/>
          <w:szCs w:val="20"/>
        </w:rPr>
        <w:fldChar w:fldCharType="separate"/>
      </w:r>
      <w:r w:rsidR="009C580B" w:rsidRPr="009C580B">
        <w:rPr>
          <w:rFonts w:ascii="Arial" w:hAnsi="Arial" w:cs="Arial"/>
          <w:noProof/>
          <w:sz w:val="20"/>
          <w:szCs w:val="20"/>
        </w:rPr>
        <w:t xml:space="preserve">(Hossain </w:t>
      </w:r>
      <w:r w:rsidR="009C580B" w:rsidRPr="00696A05">
        <w:rPr>
          <w:rFonts w:ascii="Arial" w:hAnsi="Arial" w:cs="Arial"/>
          <w:i/>
          <w:iCs/>
          <w:noProof/>
          <w:sz w:val="20"/>
          <w:szCs w:val="20"/>
        </w:rPr>
        <w:t>et al</w:t>
      </w:r>
      <w:r w:rsidR="009C580B" w:rsidRPr="009C580B">
        <w:rPr>
          <w:rFonts w:ascii="Arial" w:hAnsi="Arial" w:cs="Arial"/>
          <w:noProof/>
          <w:sz w:val="20"/>
          <w:szCs w:val="20"/>
        </w:rPr>
        <w:t>., 2025)</w:t>
      </w:r>
      <w:r w:rsidR="009C580B">
        <w:rPr>
          <w:rFonts w:ascii="Arial" w:hAnsi="Arial" w:cs="Arial"/>
          <w:sz w:val="20"/>
          <w:szCs w:val="20"/>
        </w:rPr>
        <w:fldChar w:fldCharType="end"/>
      </w:r>
      <w:r w:rsidRPr="006A46D8">
        <w:rPr>
          <w:rFonts w:ascii="Arial" w:hAnsi="Arial" w:cs="Arial"/>
          <w:sz w:val="20"/>
          <w:szCs w:val="20"/>
        </w:rPr>
        <w:t>.</w:t>
      </w:r>
    </w:p>
    <w:p w14:paraId="6401D30E" w14:textId="37D69A73" w:rsidR="00214828" w:rsidRPr="00D43597" w:rsidRDefault="006A46D8" w:rsidP="00360D3A">
      <w:pPr>
        <w:pStyle w:val="NormalWeb"/>
        <w:spacing w:line="480" w:lineRule="auto"/>
        <w:jc w:val="both"/>
        <w:rPr>
          <w:rFonts w:ascii="Arial" w:hAnsi="Arial" w:cs="Arial"/>
          <w:sz w:val="20"/>
          <w:szCs w:val="20"/>
        </w:rPr>
      </w:pPr>
      <w:r w:rsidRPr="006A46D8">
        <w:rPr>
          <w:rFonts w:ascii="Arial" w:hAnsi="Arial" w:cs="Arial"/>
          <w:i/>
          <w:iCs/>
          <w:sz w:val="20"/>
          <w:szCs w:val="20"/>
        </w:rPr>
        <w:t>Gnetum gnemon</w:t>
      </w:r>
      <w:r w:rsidRPr="006A46D8">
        <w:rPr>
          <w:rFonts w:ascii="Arial" w:hAnsi="Arial" w:cs="Arial"/>
          <w:sz w:val="20"/>
          <w:szCs w:val="20"/>
        </w:rPr>
        <w:t xml:space="preserve"> is a plant belonging to the genus Gnetum and family Gnetaceae, the only genus in this family consisting of tropical evergreen trees, shrubs, and climbers found in lowland areas in Northeast South America, tropical West Africa, China</w:t>
      </w:r>
      <w:r>
        <w:rPr>
          <w:rFonts w:ascii="Arial" w:hAnsi="Arial" w:cs="Arial"/>
          <w:sz w:val="20"/>
          <w:szCs w:val="20"/>
        </w:rPr>
        <w:t>,</w:t>
      </w:r>
      <w:r w:rsidRPr="006A46D8">
        <w:rPr>
          <w:rFonts w:ascii="Arial" w:hAnsi="Arial" w:cs="Arial"/>
          <w:sz w:val="20"/>
          <w:szCs w:val="20"/>
        </w:rPr>
        <w:t xml:space="preserve"> and Asia</w:t>
      </w:r>
      <w:r w:rsidR="00C93D2B">
        <w:rPr>
          <w:rFonts w:ascii="Arial" w:hAnsi="Arial" w:cs="Arial"/>
          <w:sz w:val="20"/>
          <w:szCs w:val="20"/>
        </w:rPr>
        <w:t>(</w:t>
      </w:r>
      <w:r w:rsidR="009F2605">
        <w:rPr>
          <w:rFonts w:ascii="Arial" w:hAnsi="Arial" w:cs="Arial"/>
          <w:sz w:val="20"/>
          <w:szCs w:val="20"/>
        </w:rPr>
        <w:fldChar w:fldCharType="begin" w:fldLock="1"/>
      </w:r>
      <w:r w:rsidR="00BD4DB0">
        <w:rPr>
          <w:rFonts w:ascii="Arial" w:hAnsi="Arial" w:cs="Arial"/>
          <w:sz w:val="20"/>
          <w:szCs w:val="20"/>
        </w:rPr>
        <w:instrText>ADDIN CSL_CITATION {"citationItems":[{"id":"ITEM-1","itemData":{"ISBN":"7547833284","author":[{"dropping-particle":"","family":"Yang","given":"Yong","non-dropping-particle":"","parse-names":false,"suffix":""},{"dropping-particle":"","family":"Wang","given":"Zhiheng","non-dropping-particle":"","parse-names":false,"suffix":""},{"dropping-particle":"","family":"Xu","given":"Xiaoting","non-dropping-particle":"","parse-names":false,"suffix":""}],"id":"ITEM-1","issued":{"date-parts":[["2017"]]},"publisher":"China Scientific Books","title":"Taxonomy and distribution of global gymnosperms","type":"book"},"uris":["http://www.mendeley.com/documents/?uuid=7ee56b18-e264-413e-a731-f0dc8b7d91cb"]}],"mendeley":{"formattedCitation":"(Yang et al., 2017)","manualFormatting":"Yang et al., 2017","plainTextFormattedCitation":"(Yang et al., 2017)","previouslyFormattedCitation":"(Yang et al., 2017)"},"properties":{"noteIndex":0},"schema":"https://github.com/citation-style-language/schema/raw/master/csl-citation.json"}</w:instrText>
      </w:r>
      <w:r w:rsidR="009F2605">
        <w:rPr>
          <w:rFonts w:ascii="Arial" w:hAnsi="Arial" w:cs="Arial"/>
          <w:sz w:val="20"/>
          <w:szCs w:val="20"/>
        </w:rPr>
        <w:fldChar w:fldCharType="separate"/>
      </w:r>
      <w:r w:rsidR="00C21AB0" w:rsidRPr="00C21AB0">
        <w:rPr>
          <w:rFonts w:ascii="Arial" w:hAnsi="Arial" w:cs="Arial"/>
          <w:noProof/>
          <w:sz w:val="20"/>
          <w:szCs w:val="20"/>
        </w:rPr>
        <w:t xml:space="preserve">Yang </w:t>
      </w:r>
      <w:r w:rsidR="00C21AB0" w:rsidRPr="00453F01">
        <w:rPr>
          <w:rFonts w:ascii="Arial" w:hAnsi="Arial" w:cs="Arial"/>
          <w:i/>
          <w:iCs/>
          <w:noProof/>
          <w:sz w:val="20"/>
          <w:szCs w:val="20"/>
        </w:rPr>
        <w:t>et al</w:t>
      </w:r>
      <w:r w:rsidR="00C21AB0" w:rsidRPr="00C21AB0">
        <w:rPr>
          <w:rFonts w:ascii="Arial" w:hAnsi="Arial" w:cs="Arial"/>
          <w:noProof/>
          <w:sz w:val="20"/>
          <w:szCs w:val="20"/>
        </w:rPr>
        <w:t>., 2017</w:t>
      </w:r>
      <w:r w:rsidR="009F2605">
        <w:rPr>
          <w:rFonts w:ascii="Arial" w:hAnsi="Arial" w:cs="Arial"/>
          <w:sz w:val="20"/>
          <w:szCs w:val="20"/>
        </w:rPr>
        <w:fldChar w:fldCharType="end"/>
      </w:r>
      <w:r w:rsidR="00C93D2B">
        <w:rPr>
          <w:rFonts w:ascii="Arial" w:hAnsi="Arial" w:cs="Arial"/>
          <w:sz w:val="20"/>
          <w:szCs w:val="20"/>
        </w:rPr>
        <w:t>;</w:t>
      </w:r>
      <w:r w:rsidR="00C93D2B">
        <w:rPr>
          <w:rFonts w:ascii="Arial" w:hAnsi="Arial" w:cs="Arial"/>
          <w:sz w:val="20"/>
          <w:szCs w:val="20"/>
        </w:rPr>
        <w:fldChar w:fldCharType="begin" w:fldLock="1"/>
      </w:r>
      <w:r w:rsidR="00BD4DB0">
        <w:rPr>
          <w:rFonts w:ascii="Arial" w:hAnsi="Arial" w:cs="Arial"/>
          <w:sz w:val="20"/>
          <w:szCs w:val="20"/>
        </w:rPr>
        <w:instrText>ADDIN CSL_CITATION {"citationItems":[{"id":"ITEM-1","itemData":{"author":[{"dropping-particle":"","family":"Jin","given":"Wei-Yin","non-dropping-particle":"","parse-names":false,"suffix":""},{"dropping-particle":"","family":"Liu","given":"Bing","non-dropping-particle":"","parse-names":false,"suffix":""},{"dropping-particle":"","family":"Zhang","given":"Shou-Zhou","non-dropping-particle":"","parse-names":false,"suffix":""},{"dropping-particle":"","family":"Wan","given":"Tao","non-dropping-particle":"","parse-names":false,"suffix":""},{"dropping-particle":"","family":"Hou","given":"Chen","non-dropping-particle":"","parse-names":false,"suffix":""},{"dropping-particle":"","family":"Yang","given":"Yong","non-dropping-particle":"","parse-names":false,"suffix":""}],"container-title":"PhytoKeys","id":"ITEM-1","issued":{"date-parts":[["2020"]]},"page":"105","title":"Gnetum chinense, a new species of Gnetaceae from southwestern China","type":"article-journal","volume":"148"},"uris":["http://www.mendeley.com/documents/?uuid=f97d9eb2-fcc7-44b7-91c3-ad2d74cbed1e"]}],"mendeley":{"formattedCitation":"(Jin et al., 2020)","manualFormatting":"Jin et al., 2020)","plainTextFormattedCitation":"(Jin et al., 2020)","previouslyFormattedCitation":"(Jin et al., 2020)"},"properties":{"noteIndex":0},"schema":"https://github.com/citation-style-language/schema/raw/master/csl-citation.json"}</w:instrText>
      </w:r>
      <w:r w:rsidR="00C93D2B">
        <w:rPr>
          <w:rFonts w:ascii="Arial" w:hAnsi="Arial" w:cs="Arial"/>
          <w:sz w:val="20"/>
          <w:szCs w:val="20"/>
        </w:rPr>
        <w:fldChar w:fldCharType="separate"/>
      </w:r>
      <w:r w:rsidR="00C93D2B" w:rsidRPr="00C93D2B">
        <w:rPr>
          <w:rFonts w:ascii="Arial" w:hAnsi="Arial" w:cs="Arial"/>
          <w:noProof/>
          <w:sz w:val="20"/>
          <w:szCs w:val="20"/>
        </w:rPr>
        <w:t xml:space="preserve">Jin </w:t>
      </w:r>
      <w:r w:rsidR="00C93D2B" w:rsidRPr="00C93D2B">
        <w:rPr>
          <w:rFonts w:ascii="Arial" w:hAnsi="Arial" w:cs="Arial"/>
          <w:i/>
          <w:iCs/>
          <w:noProof/>
          <w:sz w:val="20"/>
          <w:szCs w:val="20"/>
        </w:rPr>
        <w:t>et al</w:t>
      </w:r>
      <w:r w:rsidR="00C93D2B" w:rsidRPr="00C93D2B">
        <w:rPr>
          <w:rFonts w:ascii="Arial" w:hAnsi="Arial" w:cs="Arial"/>
          <w:noProof/>
          <w:sz w:val="20"/>
          <w:szCs w:val="20"/>
        </w:rPr>
        <w:t>., 2020)</w:t>
      </w:r>
      <w:r w:rsidR="00C93D2B">
        <w:rPr>
          <w:rFonts w:ascii="Arial" w:hAnsi="Arial" w:cs="Arial"/>
          <w:sz w:val="20"/>
          <w:szCs w:val="20"/>
        </w:rPr>
        <w:fldChar w:fldCharType="end"/>
      </w:r>
      <w:r w:rsidRPr="006A46D8">
        <w:rPr>
          <w:rFonts w:ascii="Arial" w:hAnsi="Arial" w:cs="Arial"/>
          <w:sz w:val="20"/>
          <w:szCs w:val="20"/>
        </w:rPr>
        <w:t>. They have traditionally been used in foods like soups, stews, and salads</w:t>
      </w:r>
      <w:r>
        <w:rPr>
          <w:rFonts w:ascii="Arial" w:hAnsi="Arial" w:cs="Arial"/>
          <w:sz w:val="20"/>
          <w:szCs w:val="20"/>
        </w:rPr>
        <w:t>,</w:t>
      </w:r>
      <w:r w:rsidRPr="006A46D8">
        <w:rPr>
          <w:rFonts w:ascii="Arial" w:hAnsi="Arial" w:cs="Arial"/>
          <w:sz w:val="20"/>
          <w:szCs w:val="20"/>
        </w:rPr>
        <w:t xml:space="preserve"> as well as having some medicinal </w:t>
      </w:r>
      <w:r>
        <w:rPr>
          <w:rFonts w:ascii="Arial" w:hAnsi="Arial" w:cs="Arial"/>
          <w:sz w:val="20"/>
          <w:szCs w:val="20"/>
        </w:rPr>
        <w:t>purposes</w:t>
      </w:r>
      <w:r w:rsidRPr="006A46D8">
        <w:rPr>
          <w:rFonts w:ascii="Arial" w:hAnsi="Arial" w:cs="Arial"/>
          <w:sz w:val="20"/>
          <w:szCs w:val="20"/>
        </w:rPr>
        <w:t>, in their leaves and seeds</w:t>
      </w:r>
      <w:r w:rsidR="009F2605">
        <w:rPr>
          <w:rFonts w:ascii="Arial" w:hAnsi="Arial" w:cs="Arial"/>
          <w:sz w:val="20"/>
          <w:szCs w:val="20"/>
        </w:rPr>
        <w:fldChar w:fldCharType="begin" w:fldLock="1"/>
      </w:r>
      <w:r w:rsidR="00575CE7">
        <w:rPr>
          <w:rFonts w:ascii="Arial" w:hAnsi="Arial" w:cs="Arial"/>
          <w:sz w:val="20"/>
          <w:szCs w:val="20"/>
        </w:rPr>
        <w:instrText>ADDIN CSL_CITATION {"citationItems":[{"id":"ITEM-1","itemData":{"ISSN":"0367-326X","author":[{"dropping-particle":"","family":"Huong","given":"Nguyen Thi","non-dropping-particle":"","parse-names":false,"suffix":""},{"dropping-particle":"","family":"Hop","given":"Nguyen Quang","non-dropping-particle":"","parse-names":false,"suffix":""},{"dropping-particle":"","family":"Duy","given":"Duong Anh","non-dropping-particle":"","parse-names":false,"suffix":""},{"dropping-particle":"","family":"Son","given":"Ninh The","non-dropping-particle":"","parse-names":false,"suffix":""}],"container-title":"Fitoterapia","id":"ITEM-1","issued":{"date-parts":[["2025"]]},"page":"106461","publisher":"Elsevier","title":"The genus Gnetum: Traditional use, phytochemistry, nutritional value, biosynthesis, synthesis, pharmacology, toxicology, synthetic advance, and pharmacokinetics","type":"article-journal"},"uris":["http://www.mendeley.com/documents/?uuid=e21c0052-903e-4b20-8b3d-24a2ac2f9165"]}],"mendeley":{"formattedCitation":"(Huong et al., 2025)","plainTextFormattedCitation":"(Huong et al., 2025)","previouslyFormattedCitation":"(Huong et al., 2025)"},"properties":{"noteIndex":0},"schema":"https://github.com/citation-style-language/schema/raw/master/csl-citation.json"}</w:instrText>
      </w:r>
      <w:r w:rsidR="009F2605">
        <w:rPr>
          <w:rFonts w:ascii="Arial" w:hAnsi="Arial" w:cs="Arial"/>
          <w:sz w:val="20"/>
          <w:szCs w:val="20"/>
        </w:rPr>
        <w:fldChar w:fldCharType="separate"/>
      </w:r>
      <w:r w:rsidR="009F2605" w:rsidRPr="009F2605">
        <w:rPr>
          <w:rFonts w:ascii="Arial" w:hAnsi="Arial" w:cs="Arial"/>
          <w:noProof/>
          <w:sz w:val="20"/>
          <w:szCs w:val="20"/>
        </w:rPr>
        <w:t xml:space="preserve">(Huong </w:t>
      </w:r>
      <w:r w:rsidR="009F2605" w:rsidRPr="006A6327">
        <w:rPr>
          <w:rFonts w:ascii="Arial" w:hAnsi="Arial" w:cs="Arial"/>
          <w:i/>
          <w:iCs/>
          <w:noProof/>
          <w:sz w:val="20"/>
          <w:szCs w:val="20"/>
        </w:rPr>
        <w:t>et al</w:t>
      </w:r>
      <w:r w:rsidR="009F2605" w:rsidRPr="009F2605">
        <w:rPr>
          <w:rFonts w:ascii="Arial" w:hAnsi="Arial" w:cs="Arial"/>
          <w:noProof/>
          <w:sz w:val="20"/>
          <w:szCs w:val="20"/>
        </w:rPr>
        <w:t xml:space="preserve">., </w:t>
      </w:r>
      <w:r w:rsidR="009F2605" w:rsidRPr="009F2605">
        <w:rPr>
          <w:rFonts w:ascii="Arial" w:hAnsi="Arial" w:cs="Arial"/>
          <w:noProof/>
          <w:sz w:val="20"/>
          <w:szCs w:val="20"/>
        </w:rPr>
        <w:lastRenderedPageBreak/>
        <w:t>2025)</w:t>
      </w:r>
      <w:r w:rsidR="009F2605">
        <w:rPr>
          <w:rFonts w:ascii="Arial" w:hAnsi="Arial" w:cs="Arial"/>
          <w:sz w:val="20"/>
          <w:szCs w:val="20"/>
        </w:rPr>
        <w:fldChar w:fldCharType="end"/>
      </w:r>
      <w:r w:rsidRPr="006A46D8">
        <w:rPr>
          <w:rFonts w:ascii="Arial" w:hAnsi="Arial" w:cs="Arial"/>
          <w:sz w:val="20"/>
          <w:szCs w:val="20"/>
        </w:rPr>
        <w:t>. These properties endow Gnetum species with nutritional as well as medical potential, especially as sources of functional foods</w:t>
      </w:r>
      <w:r w:rsidR="00357F95">
        <w:rPr>
          <w:rFonts w:ascii="Arial" w:hAnsi="Arial" w:cs="Arial"/>
          <w:sz w:val="20"/>
          <w:szCs w:val="20"/>
        </w:rPr>
        <w:t xml:space="preserve"> </w:t>
      </w:r>
      <w:r w:rsidR="009F2605">
        <w:rPr>
          <w:rFonts w:ascii="Arial" w:hAnsi="Arial" w:cs="Arial"/>
          <w:sz w:val="20"/>
          <w:szCs w:val="20"/>
        </w:rPr>
        <w:fldChar w:fldCharType="begin" w:fldLock="1"/>
      </w:r>
      <w:r w:rsidR="009F2605">
        <w:rPr>
          <w:rFonts w:ascii="Arial" w:hAnsi="Arial" w:cs="Arial"/>
          <w:sz w:val="20"/>
          <w:szCs w:val="20"/>
        </w:rPr>
        <w:instrText>ADDIN CSL_CITATION {"citationItems":[{"id":"ITEM-1","itemData":{"DOI":"10.1248/bpb.35.993","author":[{"dropping-particle":"","family":"Tatefuji","given":"Tomoki","non-dropping-particle":"","parse-names":false,"suffix":""},{"dropping-particle":"","family":"Hashimoto","given":"Ken","non-dropping-particle":"","parse-names":false,"suffix":""},{"dropping-particle":"","family":"Company","given":"Yamada Bee","non-dropping-particle":"","parse-names":false,"suffix":""}],"id":"ITEM-1","issue":"November","issued":{"date-parts":[["2014"]]},"title":"Inhibitory Effect of Gnetin C , a Resveratrol Dimer from Melinjo ( Gnetum gnemon ), on Tyrosinase Activity and Melanin Biosynthesis","type":"article-journal"},"uris":["http://www.mendeley.com/documents/?uuid=dd8fe795-dde7-4b73-8319-78628b1b0f9e"]}],"mendeley":{"formattedCitation":"(Tatefuji et al., 2014)","plainTextFormattedCitation":"(Tatefuji et al., 2014)","previouslyFormattedCitation":"(Tatefuji et al., 2014)"},"properties":{"noteIndex":0},"schema":"https://github.com/citation-style-language/schema/raw/master/csl-citation.json"}</w:instrText>
      </w:r>
      <w:r w:rsidR="009F2605">
        <w:rPr>
          <w:rFonts w:ascii="Arial" w:hAnsi="Arial" w:cs="Arial"/>
          <w:sz w:val="20"/>
          <w:szCs w:val="20"/>
        </w:rPr>
        <w:fldChar w:fldCharType="separate"/>
      </w:r>
      <w:r w:rsidR="009F2605" w:rsidRPr="009F2605">
        <w:rPr>
          <w:rFonts w:ascii="Arial" w:hAnsi="Arial" w:cs="Arial"/>
          <w:noProof/>
          <w:sz w:val="20"/>
          <w:szCs w:val="20"/>
        </w:rPr>
        <w:t xml:space="preserve">(Tatefuji </w:t>
      </w:r>
      <w:r w:rsidR="009F2605" w:rsidRPr="006A6327">
        <w:rPr>
          <w:rFonts w:ascii="Arial" w:hAnsi="Arial" w:cs="Arial"/>
          <w:i/>
          <w:iCs/>
          <w:noProof/>
          <w:sz w:val="20"/>
          <w:szCs w:val="20"/>
        </w:rPr>
        <w:t>et al</w:t>
      </w:r>
      <w:r w:rsidR="009F2605" w:rsidRPr="009F2605">
        <w:rPr>
          <w:rFonts w:ascii="Arial" w:hAnsi="Arial" w:cs="Arial"/>
          <w:noProof/>
          <w:sz w:val="20"/>
          <w:szCs w:val="20"/>
        </w:rPr>
        <w:t>., 2014)</w:t>
      </w:r>
      <w:r w:rsidR="009F2605">
        <w:rPr>
          <w:rFonts w:ascii="Arial" w:hAnsi="Arial" w:cs="Arial"/>
          <w:sz w:val="20"/>
          <w:szCs w:val="20"/>
        </w:rPr>
        <w:fldChar w:fldCharType="end"/>
      </w:r>
      <w:r>
        <w:rPr>
          <w:rFonts w:ascii="Arial" w:hAnsi="Arial" w:cs="Arial"/>
          <w:sz w:val="20"/>
          <w:szCs w:val="20"/>
        </w:rPr>
        <w:t>.</w:t>
      </w:r>
      <w:r w:rsidR="00214828" w:rsidRPr="00214828">
        <w:t xml:space="preserve"> </w:t>
      </w:r>
      <w:r w:rsidR="00214828" w:rsidRPr="00214828">
        <w:rPr>
          <w:rFonts w:ascii="Arial" w:hAnsi="Arial" w:cs="Arial"/>
          <w:sz w:val="20"/>
          <w:szCs w:val="20"/>
        </w:rPr>
        <w:t xml:space="preserve">In addition to these characteristics, </w:t>
      </w:r>
      <w:r w:rsidR="00214828">
        <w:rPr>
          <w:rFonts w:ascii="Arial" w:hAnsi="Arial" w:cs="Arial"/>
          <w:sz w:val="20"/>
          <w:szCs w:val="20"/>
        </w:rPr>
        <w:t xml:space="preserve">the </w:t>
      </w:r>
      <w:r w:rsidR="00214828" w:rsidRPr="00214828">
        <w:rPr>
          <w:rFonts w:ascii="Arial" w:hAnsi="Arial" w:cs="Arial"/>
          <w:sz w:val="20"/>
          <w:szCs w:val="20"/>
        </w:rPr>
        <w:t xml:space="preserve">safety profile of </w:t>
      </w:r>
      <w:r w:rsidR="00214828" w:rsidRPr="00D43597">
        <w:rPr>
          <w:rFonts w:ascii="Arial" w:hAnsi="Arial" w:cs="Arial"/>
          <w:i/>
          <w:iCs/>
          <w:sz w:val="20"/>
          <w:szCs w:val="20"/>
        </w:rPr>
        <w:t>G. gnemon</w:t>
      </w:r>
      <w:r w:rsidR="00214828" w:rsidRPr="00214828">
        <w:rPr>
          <w:rFonts w:ascii="Arial" w:hAnsi="Arial" w:cs="Arial"/>
          <w:sz w:val="20"/>
          <w:szCs w:val="20"/>
        </w:rPr>
        <w:t xml:space="preserve"> analys</w:t>
      </w:r>
      <w:r w:rsidR="00214828">
        <w:rPr>
          <w:rFonts w:ascii="Arial" w:hAnsi="Arial" w:cs="Arial"/>
          <w:sz w:val="20"/>
          <w:szCs w:val="20"/>
        </w:rPr>
        <w:t>is was also an important part of this study</w:t>
      </w:r>
      <w:r w:rsidR="00214828" w:rsidRPr="00214828">
        <w:rPr>
          <w:rFonts w:ascii="Arial" w:hAnsi="Arial" w:cs="Arial"/>
          <w:sz w:val="20"/>
          <w:szCs w:val="20"/>
        </w:rPr>
        <w:t>. Most plants possessing medicinal properties have negative effects when used at high doses or for a long period</w:t>
      </w:r>
      <w:r w:rsidR="00066BA7">
        <w:rPr>
          <w:rFonts w:ascii="Arial" w:hAnsi="Arial" w:cs="Arial"/>
          <w:sz w:val="20"/>
          <w:szCs w:val="20"/>
        </w:rPr>
        <w:t xml:space="preserve"> </w:t>
      </w:r>
      <w:r w:rsidR="00575CE7">
        <w:rPr>
          <w:rFonts w:ascii="Arial" w:hAnsi="Arial" w:cs="Arial"/>
          <w:sz w:val="20"/>
          <w:szCs w:val="20"/>
        </w:rPr>
        <w:fldChar w:fldCharType="begin" w:fldLock="1"/>
      </w:r>
      <w:r w:rsidR="00D80CBC">
        <w:rPr>
          <w:rFonts w:ascii="Arial" w:hAnsi="Arial" w:cs="Arial"/>
          <w:sz w:val="20"/>
          <w:szCs w:val="20"/>
        </w:rPr>
        <w:instrText>ADDIN CSL_CITATION {"citationItems":[{"id":"ITEM-1","itemData":{"ISSN":"1854-1941","author":[{"dropping-particle":"","family":"VONČINA","given":"Mateja","non-dropping-particle":"","parse-names":false,"suffix":""},{"dropping-particle":"","family":"Baričevič","given":"Dea","non-dropping-particle":"","parse-names":false,"suffix":""},{"dropping-particle":"","family":"Brvar","given":"Miran","non-dropping-particle":"","parse-names":false,"suffix":""}],"container-title":"Acta agriculturae Slovenica","id":"ITEM-1","issue":"2","issued":{"date-parts":[["2014"]]},"page":"263-270","title":"Adverse effects and intoxications related to medicinal/harmful plants","type":"article-journal","volume":"103"},"uris":["http://www.mendeley.com/documents/?uuid=25b5442e-dcb9-4fe6-951b-1e6ec6f6df17"]}],"mendeley":{"formattedCitation":"(VONČINA et al., 2014)","manualFormatting":"(Vonica et al., 2014)","plainTextFormattedCitation":"(VONČINA et al., 2014)","previouslyFormattedCitation":"(VONČINA et al., 2014)"},"properties":{"noteIndex":0},"schema":"https://github.com/citation-style-language/schema/raw/master/csl-citation.json"}</w:instrText>
      </w:r>
      <w:r w:rsidR="00575CE7">
        <w:rPr>
          <w:rFonts w:ascii="Arial" w:hAnsi="Arial" w:cs="Arial"/>
          <w:sz w:val="20"/>
          <w:szCs w:val="20"/>
        </w:rPr>
        <w:fldChar w:fldCharType="separate"/>
      </w:r>
      <w:r w:rsidR="00575CE7" w:rsidRPr="00575CE7">
        <w:rPr>
          <w:rFonts w:ascii="Arial" w:hAnsi="Arial" w:cs="Arial"/>
          <w:noProof/>
          <w:sz w:val="20"/>
          <w:szCs w:val="20"/>
        </w:rPr>
        <w:t>(V</w:t>
      </w:r>
      <w:r w:rsidR="00575CE7">
        <w:rPr>
          <w:rFonts w:ascii="Arial" w:hAnsi="Arial" w:cs="Arial"/>
          <w:noProof/>
          <w:sz w:val="20"/>
          <w:szCs w:val="20"/>
        </w:rPr>
        <w:t>onica</w:t>
      </w:r>
      <w:r w:rsidR="00575CE7" w:rsidRPr="00575CE7">
        <w:rPr>
          <w:rFonts w:ascii="Arial" w:hAnsi="Arial" w:cs="Arial"/>
          <w:noProof/>
          <w:sz w:val="20"/>
          <w:szCs w:val="20"/>
        </w:rPr>
        <w:t xml:space="preserve"> </w:t>
      </w:r>
      <w:r w:rsidR="00575CE7" w:rsidRPr="003E6985">
        <w:rPr>
          <w:rFonts w:ascii="Arial" w:hAnsi="Arial" w:cs="Arial"/>
          <w:i/>
          <w:iCs/>
          <w:noProof/>
          <w:sz w:val="20"/>
          <w:szCs w:val="20"/>
        </w:rPr>
        <w:t>et al</w:t>
      </w:r>
      <w:r w:rsidR="00575CE7" w:rsidRPr="00575CE7">
        <w:rPr>
          <w:rFonts w:ascii="Arial" w:hAnsi="Arial" w:cs="Arial"/>
          <w:noProof/>
          <w:sz w:val="20"/>
          <w:szCs w:val="20"/>
        </w:rPr>
        <w:t>., 2014)</w:t>
      </w:r>
      <w:r w:rsidR="00575CE7">
        <w:rPr>
          <w:rFonts w:ascii="Arial" w:hAnsi="Arial" w:cs="Arial"/>
          <w:sz w:val="20"/>
          <w:szCs w:val="20"/>
        </w:rPr>
        <w:fldChar w:fldCharType="end"/>
      </w:r>
      <w:r w:rsidR="00214828" w:rsidRPr="00214828">
        <w:rPr>
          <w:rFonts w:ascii="Arial" w:hAnsi="Arial" w:cs="Arial"/>
          <w:sz w:val="20"/>
          <w:szCs w:val="20"/>
        </w:rPr>
        <w:t>.</w:t>
      </w:r>
      <w:r w:rsidR="00D43597" w:rsidRPr="00D43597">
        <w:t xml:space="preserve"> </w:t>
      </w:r>
      <w:r w:rsidR="00D43597" w:rsidRPr="00D43597">
        <w:rPr>
          <w:rFonts w:ascii="Arial" w:hAnsi="Arial" w:cs="Arial"/>
          <w:sz w:val="20"/>
          <w:szCs w:val="20"/>
        </w:rPr>
        <w:t>Thus, toxicological investigations should be conducted to ascertain the exact harmful impact of this extract</w:t>
      </w:r>
      <w:r w:rsidR="00214828" w:rsidRPr="00214828">
        <w:rPr>
          <w:rFonts w:ascii="Arial" w:hAnsi="Arial" w:cs="Arial"/>
          <w:sz w:val="20"/>
          <w:szCs w:val="20"/>
        </w:rPr>
        <w:t xml:space="preserve">. Only </w:t>
      </w:r>
      <w:r w:rsidR="00D43597">
        <w:rPr>
          <w:rFonts w:ascii="Arial" w:hAnsi="Arial" w:cs="Arial"/>
          <w:sz w:val="20"/>
          <w:szCs w:val="20"/>
        </w:rPr>
        <w:t>basic</w:t>
      </w:r>
      <w:r w:rsidR="00214828" w:rsidRPr="00214828">
        <w:rPr>
          <w:rFonts w:ascii="Arial" w:hAnsi="Arial" w:cs="Arial"/>
          <w:sz w:val="20"/>
          <w:szCs w:val="20"/>
        </w:rPr>
        <w:t xml:space="preserve"> </w:t>
      </w:r>
      <w:r w:rsidR="00884559">
        <w:rPr>
          <w:rFonts w:ascii="Arial" w:hAnsi="Arial" w:cs="Arial"/>
          <w:sz w:val="20"/>
          <w:szCs w:val="20"/>
        </w:rPr>
        <w:t xml:space="preserve">results </w:t>
      </w:r>
      <w:r w:rsidR="00214828" w:rsidRPr="00214828">
        <w:rPr>
          <w:rFonts w:ascii="Arial" w:hAnsi="Arial" w:cs="Arial"/>
          <w:sz w:val="20"/>
          <w:szCs w:val="20"/>
        </w:rPr>
        <w:t>can be obtained from acute toxicity studies, whereas data from sub</w:t>
      </w:r>
      <w:r w:rsidR="003F43F4">
        <w:rPr>
          <w:rFonts w:ascii="Arial" w:hAnsi="Arial" w:cs="Arial"/>
          <w:sz w:val="20"/>
          <w:szCs w:val="20"/>
        </w:rPr>
        <w:t>-</w:t>
      </w:r>
      <w:r w:rsidR="00214828" w:rsidRPr="00214828">
        <w:rPr>
          <w:rFonts w:ascii="Arial" w:hAnsi="Arial" w:cs="Arial"/>
          <w:sz w:val="20"/>
          <w:szCs w:val="20"/>
        </w:rPr>
        <w:t>acute studies can be more specific as they study the effects of repeated dosing, which may produce cumulative and/or time-released toxicities.</w:t>
      </w:r>
    </w:p>
    <w:p w14:paraId="350AA311" w14:textId="3F95B257" w:rsidR="00214828" w:rsidRPr="00214828" w:rsidRDefault="00D43597" w:rsidP="00360D3A">
      <w:pPr>
        <w:pStyle w:val="NormalWeb"/>
        <w:spacing w:line="480" w:lineRule="auto"/>
        <w:jc w:val="both"/>
        <w:rPr>
          <w:rFonts w:ascii="Arial" w:hAnsi="Arial" w:cs="Arial"/>
          <w:sz w:val="20"/>
          <w:szCs w:val="20"/>
        </w:rPr>
      </w:pPr>
      <w:r>
        <w:rPr>
          <w:rFonts w:ascii="Arial" w:hAnsi="Arial" w:cs="Arial"/>
          <w:sz w:val="20"/>
          <w:szCs w:val="20"/>
        </w:rPr>
        <w:t>The present study aimed</w:t>
      </w:r>
      <w:r w:rsidR="00214828" w:rsidRPr="00214828">
        <w:rPr>
          <w:rFonts w:ascii="Arial" w:hAnsi="Arial" w:cs="Arial"/>
          <w:sz w:val="20"/>
          <w:szCs w:val="20"/>
        </w:rPr>
        <w:t xml:space="preserve"> to investigate the sub</w:t>
      </w:r>
      <w:r w:rsidR="003F43F4">
        <w:rPr>
          <w:rFonts w:ascii="Arial" w:hAnsi="Arial" w:cs="Arial"/>
          <w:sz w:val="20"/>
          <w:szCs w:val="20"/>
        </w:rPr>
        <w:t>-</w:t>
      </w:r>
      <w:r w:rsidR="00214828" w:rsidRPr="00214828">
        <w:rPr>
          <w:rFonts w:ascii="Arial" w:hAnsi="Arial" w:cs="Arial"/>
          <w:sz w:val="20"/>
          <w:szCs w:val="20"/>
        </w:rPr>
        <w:t xml:space="preserve">acute toxicity of </w:t>
      </w:r>
      <w:r w:rsidR="00214828" w:rsidRPr="00D43597">
        <w:rPr>
          <w:rFonts w:ascii="Arial" w:hAnsi="Arial" w:cs="Arial"/>
          <w:i/>
          <w:iCs/>
          <w:sz w:val="20"/>
          <w:szCs w:val="20"/>
        </w:rPr>
        <w:t>G. gnemon</w:t>
      </w:r>
      <w:r w:rsidR="00214828" w:rsidRPr="00214828">
        <w:rPr>
          <w:rFonts w:ascii="Arial" w:hAnsi="Arial" w:cs="Arial"/>
          <w:sz w:val="20"/>
          <w:szCs w:val="20"/>
        </w:rPr>
        <w:t xml:space="preserve"> extract to </w:t>
      </w:r>
      <w:r>
        <w:rPr>
          <w:rFonts w:ascii="Arial" w:hAnsi="Arial" w:cs="Arial"/>
          <w:sz w:val="20"/>
          <w:szCs w:val="20"/>
        </w:rPr>
        <w:t>Swiss</w:t>
      </w:r>
      <w:r w:rsidR="00214828" w:rsidRPr="00214828">
        <w:rPr>
          <w:rFonts w:ascii="Arial" w:hAnsi="Arial" w:cs="Arial"/>
          <w:sz w:val="20"/>
          <w:szCs w:val="20"/>
        </w:rPr>
        <w:t xml:space="preserve"> albino mice. This is an essential step for demonstrating its safety as a nutritional and medicinal</w:t>
      </w:r>
      <w:r w:rsidR="00A536D8">
        <w:rPr>
          <w:rFonts w:ascii="Arial" w:hAnsi="Arial" w:cs="Arial"/>
          <w:sz w:val="20"/>
          <w:szCs w:val="20"/>
        </w:rPr>
        <w:t xml:space="preserve"> plant</w:t>
      </w:r>
      <w:r w:rsidR="00214828" w:rsidRPr="00214828">
        <w:rPr>
          <w:rFonts w:ascii="Arial" w:hAnsi="Arial" w:cs="Arial"/>
          <w:sz w:val="20"/>
          <w:szCs w:val="20"/>
        </w:rPr>
        <w:t>.</w:t>
      </w:r>
    </w:p>
    <w:p w14:paraId="40C739C9" w14:textId="75857AC1" w:rsidR="00790ADA" w:rsidRDefault="00902823" w:rsidP="00360D3A">
      <w:pPr>
        <w:pStyle w:val="AbstHead"/>
        <w:spacing w:after="0" w:line="480" w:lineRule="auto"/>
        <w:jc w:val="both"/>
        <w:rPr>
          <w:rFonts w:ascii="Arial" w:hAnsi="Arial" w:cs="Arial"/>
        </w:rPr>
      </w:pPr>
      <w:r>
        <w:rPr>
          <w:rFonts w:ascii="Arial" w:hAnsi="Arial" w:cs="Arial"/>
        </w:rPr>
        <w:t>2. material</w:t>
      </w:r>
      <w:r w:rsidR="00F91BD4">
        <w:rPr>
          <w:rFonts w:ascii="Arial" w:hAnsi="Arial" w:cs="Arial"/>
        </w:rPr>
        <w:t>s</w:t>
      </w:r>
      <w:r>
        <w:rPr>
          <w:rFonts w:ascii="Arial" w:hAnsi="Arial" w:cs="Arial"/>
        </w:rPr>
        <w:t xml:space="preserve"> and </w:t>
      </w:r>
      <w:r w:rsidR="00B629C0">
        <w:rPr>
          <w:rFonts w:ascii="Arial" w:hAnsi="Arial" w:cs="Arial"/>
        </w:rPr>
        <w:t>Methods</w:t>
      </w:r>
      <w:r w:rsidR="00000F8F">
        <w:rPr>
          <w:rFonts w:ascii="Arial" w:hAnsi="Arial" w:cs="Arial"/>
        </w:rPr>
        <w:t xml:space="preserve"> </w:t>
      </w:r>
    </w:p>
    <w:p w14:paraId="0EE6004B" w14:textId="77777777" w:rsidR="00B629C0" w:rsidRPr="00FB3A86" w:rsidRDefault="00B629C0" w:rsidP="00360D3A">
      <w:pPr>
        <w:pStyle w:val="AbstHead"/>
        <w:spacing w:after="0" w:line="480" w:lineRule="auto"/>
        <w:jc w:val="both"/>
        <w:rPr>
          <w:rFonts w:ascii="Arial" w:hAnsi="Arial" w:cs="Arial"/>
        </w:rPr>
      </w:pPr>
    </w:p>
    <w:p w14:paraId="73DAF678" w14:textId="7020CE93" w:rsidR="00B629C0" w:rsidRPr="00B629C0" w:rsidRDefault="00B629C0" w:rsidP="00360D3A">
      <w:pPr>
        <w:pStyle w:val="Body"/>
        <w:spacing w:after="0" w:line="480" w:lineRule="auto"/>
        <w:jc w:val="left"/>
        <w:rPr>
          <w:rFonts w:ascii="Arial" w:hAnsi="Arial" w:cs="Arial"/>
          <w:b/>
          <w:bCs/>
          <w:sz w:val="22"/>
          <w:szCs w:val="22"/>
        </w:rPr>
      </w:pPr>
      <w:r w:rsidRPr="00B629C0">
        <w:rPr>
          <w:rFonts w:ascii="Arial" w:hAnsi="Arial" w:cs="Arial"/>
          <w:b/>
          <w:bCs/>
          <w:sz w:val="22"/>
          <w:szCs w:val="22"/>
        </w:rPr>
        <w:t>2.1 Extraction of plant material</w:t>
      </w:r>
    </w:p>
    <w:p w14:paraId="030E8E2D" w14:textId="77777777" w:rsidR="00B629C0" w:rsidRPr="00B629C0" w:rsidRDefault="00B629C0" w:rsidP="00360D3A">
      <w:pPr>
        <w:pStyle w:val="Body"/>
        <w:spacing w:after="0" w:line="480" w:lineRule="auto"/>
        <w:jc w:val="left"/>
        <w:rPr>
          <w:rFonts w:ascii="Arial" w:hAnsi="Arial" w:cs="Arial"/>
          <w:b/>
          <w:bCs/>
          <w:sz w:val="22"/>
          <w:szCs w:val="22"/>
        </w:rPr>
      </w:pPr>
    </w:p>
    <w:p w14:paraId="32327D61" w14:textId="2ACA55B1" w:rsidR="00E66E10" w:rsidRDefault="00B629C0" w:rsidP="00360D3A">
      <w:pPr>
        <w:pStyle w:val="Body"/>
        <w:spacing w:after="0" w:line="480" w:lineRule="auto"/>
        <w:rPr>
          <w:rFonts w:ascii="Arial" w:hAnsi="Arial" w:cs="Arial"/>
        </w:rPr>
      </w:pPr>
      <w:r w:rsidRPr="00B629C0">
        <w:rPr>
          <w:rFonts w:ascii="Arial" w:hAnsi="Arial" w:cs="Arial"/>
        </w:rPr>
        <w:t xml:space="preserve">Fresh leaves of </w:t>
      </w:r>
      <w:r w:rsidRPr="0067146D">
        <w:rPr>
          <w:rFonts w:ascii="Arial" w:hAnsi="Arial" w:cs="Arial"/>
          <w:i/>
          <w:iCs/>
        </w:rPr>
        <w:t>Gnetum gnemon</w:t>
      </w:r>
      <w:r w:rsidRPr="00B629C0">
        <w:rPr>
          <w:rFonts w:ascii="Arial" w:hAnsi="Arial" w:cs="Arial"/>
        </w:rPr>
        <w:t xml:space="preserve"> L. were collected from Chala village,</w:t>
      </w:r>
      <w:r>
        <w:rPr>
          <w:rFonts w:ascii="Arial" w:hAnsi="Arial" w:cs="Arial"/>
        </w:rPr>
        <w:t xml:space="preserve"> </w:t>
      </w:r>
      <w:r w:rsidRPr="00B629C0">
        <w:rPr>
          <w:rFonts w:ascii="Arial" w:hAnsi="Arial" w:cs="Arial"/>
        </w:rPr>
        <w:t xml:space="preserve">Charaideo district, authenticated by a taxonomist from the Department of Botany, </w:t>
      </w:r>
      <w:r>
        <w:rPr>
          <w:rFonts w:ascii="Arial" w:hAnsi="Arial" w:cs="Arial"/>
        </w:rPr>
        <w:t xml:space="preserve">Guwahati </w:t>
      </w:r>
      <w:r w:rsidRPr="00B629C0">
        <w:rPr>
          <w:rFonts w:ascii="Arial" w:hAnsi="Arial" w:cs="Arial"/>
        </w:rPr>
        <w:t>University</w:t>
      </w:r>
      <w:r>
        <w:rPr>
          <w:rFonts w:ascii="Arial" w:hAnsi="Arial" w:cs="Arial"/>
        </w:rPr>
        <w:t>,</w:t>
      </w:r>
      <w:r w:rsidRPr="00B629C0">
        <w:rPr>
          <w:rFonts w:ascii="Arial" w:hAnsi="Arial" w:cs="Arial"/>
        </w:rPr>
        <w:t xml:space="preserve"> with voucher specimen No.</w:t>
      </w:r>
      <w:r>
        <w:rPr>
          <w:rFonts w:ascii="Arial" w:hAnsi="Arial" w:cs="Arial"/>
        </w:rPr>
        <w:t xml:space="preserve"> </w:t>
      </w:r>
      <w:r w:rsidRPr="00B629C0">
        <w:rPr>
          <w:rFonts w:ascii="Arial" w:hAnsi="Arial" w:cs="Arial"/>
        </w:rPr>
        <w:t xml:space="preserve">(No. GUBH20508), and washed thoroughly with distilled water. The leaves were shade-dried at room temperature, powdered using a mechanical grinder, and stored in airtight containers until </w:t>
      </w:r>
      <w:r w:rsidR="00F91BD4">
        <w:rPr>
          <w:rFonts w:ascii="Arial" w:hAnsi="Arial" w:cs="Arial"/>
        </w:rPr>
        <w:t>use</w:t>
      </w:r>
      <w:r w:rsidR="00184504">
        <w:rPr>
          <w:rFonts w:ascii="Arial" w:hAnsi="Arial" w:cs="Arial"/>
        </w:rPr>
        <w:t>.</w:t>
      </w:r>
      <w:r w:rsidR="00F91BD4">
        <w:rPr>
          <w:rFonts w:ascii="Arial" w:hAnsi="Arial" w:cs="Arial"/>
        </w:rPr>
        <w:t xml:space="preserve"> </w:t>
      </w:r>
      <w:r w:rsidRPr="00B629C0">
        <w:rPr>
          <w:rFonts w:ascii="Arial" w:hAnsi="Arial" w:cs="Arial"/>
        </w:rPr>
        <w:t xml:space="preserve">100 grams of powdered </w:t>
      </w:r>
      <w:r w:rsidRPr="00786E6B">
        <w:rPr>
          <w:rFonts w:ascii="Arial" w:hAnsi="Arial" w:cs="Arial"/>
          <w:i/>
          <w:iCs/>
        </w:rPr>
        <w:t>Gnetum gnemon</w:t>
      </w:r>
      <w:r w:rsidRPr="00786E6B">
        <w:rPr>
          <w:rFonts w:ascii="Arial" w:hAnsi="Arial" w:cs="Arial"/>
        </w:rPr>
        <w:t xml:space="preserve"> L</w:t>
      </w:r>
      <w:r w:rsidRPr="00B629C0">
        <w:rPr>
          <w:rFonts w:ascii="Arial" w:hAnsi="Arial" w:cs="Arial"/>
        </w:rPr>
        <w:t xml:space="preserve">. leaves were ground and placed in </w:t>
      </w:r>
      <w:r w:rsidR="00624D97">
        <w:rPr>
          <w:rFonts w:ascii="Arial" w:hAnsi="Arial" w:cs="Arial"/>
        </w:rPr>
        <w:t>an</w:t>
      </w:r>
      <w:r w:rsidRPr="00B629C0">
        <w:rPr>
          <w:rFonts w:ascii="Arial" w:hAnsi="Arial" w:cs="Arial"/>
        </w:rPr>
        <w:t xml:space="preserve"> amber conical flask containing 500 mL of methanol, then macerated for three days</w:t>
      </w:r>
      <w:r w:rsidR="00D80CBC">
        <w:rPr>
          <w:rFonts w:ascii="Arial" w:hAnsi="Arial" w:cs="Arial"/>
        </w:rPr>
        <w:fldChar w:fldCharType="begin" w:fldLock="1"/>
      </w:r>
      <w:r w:rsidR="00D80CBC">
        <w:rPr>
          <w:rFonts w:ascii="Arial" w:hAnsi="Arial" w:cs="Arial"/>
        </w:rPr>
        <w:instrText>ADDIN CSL_CITATION {"citationItems":[{"id":"ITEM-1","itemData":{"ISSN":"0976-4879","author":[{"dropping-particle":"","family":"Abubakar","given":"Abdullahi R","non-dropping-particle":"","parse-names":false,"suffix":""},{"dropping-particle":"","family":"Haque","given":"Mainul","non-dropping-particle":"","parse-names":false,"suffix":""}],"container-title":"Journal of Pharmacy and Bioallied Sciences","id":"ITEM-1","issue":"1","issued":{"date-parts":[["2020"]]},"page":"1-10","publisher":"Medknow","title":"Preparation of medicinal plants: Basic extraction and fractionation procedures for experimental purposes","type":"article-journal","volume":"12"},"uris":["http://www.mendeley.com/documents/?uuid=b48e28d7-fcb7-4a56-b260-eecf2b1d8a86"]}],"mendeley":{"formattedCitation":"(Abubakar &amp; Haque, 2020)","plainTextFormattedCitation":"(Abubakar &amp; Haque, 2020)","previouslyFormattedCitation":"(Abubakar &amp; Haque, 2020)"},"properties":{"noteIndex":0},"schema":"https://github.com/citation-style-language/schema/raw/master/csl-citation.json"}</w:instrText>
      </w:r>
      <w:r w:rsidR="00D80CBC">
        <w:rPr>
          <w:rFonts w:ascii="Arial" w:hAnsi="Arial" w:cs="Arial"/>
        </w:rPr>
        <w:fldChar w:fldCharType="separate"/>
      </w:r>
      <w:r w:rsidR="00D80CBC" w:rsidRPr="00D80CBC">
        <w:rPr>
          <w:rFonts w:ascii="Arial" w:hAnsi="Arial" w:cs="Arial"/>
          <w:noProof/>
        </w:rPr>
        <w:t>(Abubakar &amp; Haque, 2020)</w:t>
      </w:r>
      <w:r w:rsidR="00D80CBC">
        <w:rPr>
          <w:rFonts w:ascii="Arial" w:hAnsi="Arial" w:cs="Arial"/>
        </w:rPr>
        <w:fldChar w:fldCharType="end"/>
      </w:r>
      <w:r w:rsidRPr="00B629C0">
        <w:rPr>
          <w:rFonts w:ascii="Arial" w:hAnsi="Arial" w:cs="Arial"/>
        </w:rPr>
        <w:t xml:space="preserve">. The extraction mixture was periodically filtered through muslin cloth at 24-hour intervals to maximize yield. After maceration, the extract was filtered using Whatman filter paper, and the solvent was removed using a rotary evaporator </w:t>
      </w:r>
      <w:r w:rsidRPr="00B629C0">
        <w:rPr>
          <w:rFonts w:ascii="Arial" w:hAnsi="Arial" w:cs="Arial"/>
        </w:rPr>
        <w:lastRenderedPageBreak/>
        <w:t>under reduced pressure. Residual methanol was further dried in an oven at a temperature not exceeding 45°C for at least 48 hours to ensure complete removal. The dried extract was stored in an amber glass bottle at 4°C until further use</w:t>
      </w:r>
      <w:r w:rsidR="00D80CBC">
        <w:rPr>
          <w:rFonts w:ascii="Arial" w:hAnsi="Arial" w:cs="Arial"/>
        </w:rPr>
        <w:fldChar w:fldCharType="begin" w:fldLock="1"/>
      </w:r>
      <w:r w:rsidR="00106379">
        <w:rPr>
          <w:rFonts w:ascii="Arial" w:hAnsi="Arial" w:cs="Arial"/>
        </w:rPr>
        <w:instrText>ADDIN CSL_CITATION {"citationItems":[{"id":"ITEM-1","itemData":{"ISSN":"2662-7671","author":[{"dropping-particle":"","family":"Wado","given":"Teshale Etiso","non-dropping-particle":"","parse-names":false,"suffix":""},{"dropping-particle":"","family":"Suleman","given":"Sultan","non-dropping-particle":"","parse-names":false,"suffix":""},{"dropping-particle":"","family":"Mohammed","given":"Tesfaye","non-dropping-particle":"","parse-names":false,"suffix":""}],"container-title":"BMC Complementary Medicine and Therapies","id":"ITEM-1","issue":"1","issued":{"date-parts":[["2022"]]},"page":"219","publisher":"Springer","title":"Antimicrobial evaluation of sequentially extracted leaf of vernonia auriculifera hiern (Rejicho)","type":"article-journal","volume":"22"},"uris":["http://www.mendeley.com/documents/?uuid=cf719876-2712-4c08-8ce0-dca8f310cb69"]}],"mendeley":{"formattedCitation":"(Wado et al., 2022)","plainTextFormattedCitation":"(Wado et al., 2022)","previouslyFormattedCitation":"(Wado et al., 2022)"},"properties":{"noteIndex":0},"schema":"https://github.com/citation-style-language/schema/raw/master/csl-citation.json"}</w:instrText>
      </w:r>
      <w:r w:rsidR="00D80CBC">
        <w:rPr>
          <w:rFonts w:ascii="Arial" w:hAnsi="Arial" w:cs="Arial"/>
        </w:rPr>
        <w:fldChar w:fldCharType="separate"/>
      </w:r>
      <w:r w:rsidR="00D80CBC" w:rsidRPr="00D80CBC">
        <w:rPr>
          <w:rFonts w:ascii="Arial" w:hAnsi="Arial" w:cs="Arial"/>
          <w:noProof/>
        </w:rPr>
        <w:t xml:space="preserve">(Wado </w:t>
      </w:r>
      <w:r w:rsidR="00D80CBC" w:rsidRPr="00D56613">
        <w:rPr>
          <w:rFonts w:ascii="Arial" w:hAnsi="Arial" w:cs="Arial"/>
          <w:i/>
          <w:iCs/>
          <w:noProof/>
        </w:rPr>
        <w:t>et al</w:t>
      </w:r>
      <w:r w:rsidR="00D80CBC" w:rsidRPr="00D80CBC">
        <w:rPr>
          <w:rFonts w:ascii="Arial" w:hAnsi="Arial" w:cs="Arial"/>
          <w:noProof/>
        </w:rPr>
        <w:t>., 2022)</w:t>
      </w:r>
      <w:r w:rsidR="00D80CBC">
        <w:rPr>
          <w:rFonts w:ascii="Arial" w:hAnsi="Arial" w:cs="Arial"/>
        </w:rPr>
        <w:fldChar w:fldCharType="end"/>
      </w:r>
      <w:r>
        <w:rPr>
          <w:rFonts w:ascii="Arial" w:hAnsi="Arial" w:cs="Arial"/>
        </w:rPr>
        <w:t>.</w:t>
      </w:r>
    </w:p>
    <w:p w14:paraId="5600C8DB" w14:textId="77777777" w:rsidR="00790ADA" w:rsidRDefault="00790ADA" w:rsidP="00360D3A">
      <w:pPr>
        <w:pStyle w:val="Body"/>
        <w:spacing w:after="0" w:line="480" w:lineRule="auto"/>
        <w:rPr>
          <w:rFonts w:ascii="Arial" w:hAnsi="Arial" w:cs="Arial"/>
        </w:rPr>
      </w:pPr>
    </w:p>
    <w:p w14:paraId="03C7C967" w14:textId="2C817EE9" w:rsidR="009534A5" w:rsidRDefault="009534A5" w:rsidP="00360D3A">
      <w:pPr>
        <w:pStyle w:val="Body"/>
        <w:spacing w:after="0" w:line="480" w:lineRule="auto"/>
        <w:rPr>
          <w:rFonts w:ascii="Arial" w:hAnsi="Arial" w:cs="Arial"/>
          <w:b/>
          <w:bCs/>
          <w:sz w:val="22"/>
          <w:szCs w:val="22"/>
        </w:rPr>
      </w:pPr>
      <w:r w:rsidRPr="009534A5">
        <w:rPr>
          <w:rFonts w:ascii="Arial" w:hAnsi="Arial" w:cs="Arial"/>
          <w:b/>
          <w:bCs/>
          <w:sz w:val="22"/>
          <w:szCs w:val="22"/>
        </w:rPr>
        <w:t>2.2 Nutritional composition analysis</w:t>
      </w:r>
    </w:p>
    <w:p w14:paraId="296E218C" w14:textId="77777777" w:rsidR="00514945" w:rsidRDefault="00514945" w:rsidP="00360D3A">
      <w:pPr>
        <w:pStyle w:val="Body"/>
        <w:spacing w:after="0" w:line="480" w:lineRule="auto"/>
      </w:pPr>
    </w:p>
    <w:p w14:paraId="7CCEC2E4" w14:textId="7A0E5D31" w:rsidR="00E96821" w:rsidRDefault="00514945" w:rsidP="00360D3A">
      <w:pPr>
        <w:spacing w:line="480" w:lineRule="auto"/>
        <w:jc w:val="both"/>
      </w:pPr>
      <w:r w:rsidRPr="00514945">
        <w:rPr>
          <w:rFonts w:ascii="Arial" w:hAnsi="Arial" w:cs="Arial"/>
        </w:rPr>
        <w:t xml:space="preserve">The proximate composition of </w:t>
      </w:r>
      <w:r w:rsidRPr="00514945">
        <w:rPr>
          <w:rStyle w:val="Emphasis"/>
          <w:rFonts w:ascii="Arial" w:hAnsi="Arial" w:cs="Arial"/>
        </w:rPr>
        <w:t>Gnetum gnemon</w:t>
      </w:r>
      <w:r w:rsidRPr="00514945">
        <w:rPr>
          <w:rFonts w:ascii="Arial" w:hAnsi="Arial" w:cs="Arial"/>
        </w:rPr>
        <w:t xml:space="preserve"> leaves, including carbohydrate, protein, crude fiber, moisture, ash, and fat content, was determined</w:t>
      </w:r>
      <w:r w:rsidR="00453DD1">
        <w:rPr>
          <w:rFonts w:ascii="Arial" w:hAnsi="Arial" w:cs="Arial"/>
        </w:rPr>
        <w:t xml:space="preserve"> as mentioned by </w:t>
      </w:r>
      <w:r w:rsidR="00BD4DB0">
        <w:rPr>
          <w:rFonts w:ascii="Arial" w:hAnsi="Arial" w:cs="Arial"/>
        </w:rPr>
        <w:t>(</w:t>
      </w:r>
      <w:r w:rsidR="00106379">
        <w:rPr>
          <w:rFonts w:ascii="Arial" w:hAnsi="Arial" w:cs="Arial"/>
        </w:rPr>
        <w:fldChar w:fldCharType="begin" w:fldLock="1"/>
      </w:r>
      <w:r w:rsidR="00BD4DB0">
        <w:rPr>
          <w:rFonts w:ascii="Arial" w:hAnsi="Arial" w:cs="Arial"/>
        </w:rPr>
        <w:instrText>ADDIN CSL_CITATION {"citationItems":[{"id":"ITEM-1","itemData":{"ISSN":"1684-5374","author":[{"dropping-particle":"","family":"Habtamu","given":"F G","non-dropping-particle":"","parse-names":false,"suffix":""},{"dropping-particle":"","family":"Haki","given":"G D","non-dropping-particle":"","parse-names":false,"suffix":""},{"dropping-particle":"","family":"Fekadu","given":"B","non-dropping-particle":"","parse-names":false,"suffix":""},{"dropping-particle":"","family":"Rakshit","given":"S K","non-dropping-particle":"","parse-names":false,"suffix":""},{"dropping-particle":"","family":"Ashagrie","given":"Z W","non-dropping-particle":"","parse-names":false,"suffix":""}],"container-title":"African Journal of food, agriculture, nutrition and development","id":"ITEM-1","issue":"1","issued":{"date-parts":[["2018"]]},"title":"Nutritional and antinutritional evaluation of indigenous Ethiopian Okra (Abelmoschus esculentus) seed accessions","type":"article-journal","volume":"18"},"uris":["http://www.mendeley.com/documents/?uuid=ec318a21-f734-4d19-9002-158d35f4eaab"]}],"mendeley":{"formattedCitation":"(Habtamu et al., 2018)","manualFormatting":"Abdulkadir et al., 2016","plainTextFormattedCitation":"(Habtamu et al., 2018)","previouslyFormattedCitation":"(Habtamu et al., 2018)"},"properties":{"noteIndex":0},"schema":"https://github.com/citation-style-language/schema/raw/master/csl-citation.json"}</w:instrText>
      </w:r>
      <w:r w:rsidR="00106379">
        <w:rPr>
          <w:rFonts w:ascii="Arial" w:hAnsi="Arial" w:cs="Arial"/>
        </w:rPr>
        <w:fldChar w:fldCharType="separate"/>
      </w:r>
      <w:r w:rsidR="00BD4DB0">
        <w:rPr>
          <w:rFonts w:ascii="Arial" w:hAnsi="Arial" w:cs="Arial"/>
          <w:noProof/>
        </w:rPr>
        <w:t xml:space="preserve">Abdulkadir </w:t>
      </w:r>
      <w:r w:rsidR="00106379" w:rsidRPr="003937EA">
        <w:rPr>
          <w:rFonts w:ascii="Arial" w:hAnsi="Arial" w:cs="Arial"/>
          <w:i/>
          <w:iCs/>
          <w:noProof/>
        </w:rPr>
        <w:t>et al</w:t>
      </w:r>
      <w:r w:rsidR="00106379" w:rsidRPr="00106379">
        <w:rPr>
          <w:rFonts w:ascii="Arial" w:hAnsi="Arial" w:cs="Arial"/>
          <w:noProof/>
        </w:rPr>
        <w:t>., 201</w:t>
      </w:r>
      <w:r w:rsidR="00BD4DB0">
        <w:rPr>
          <w:rFonts w:ascii="Arial" w:hAnsi="Arial" w:cs="Arial"/>
          <w:noProof/>
        </w:rPr>
        <w:t>6</w:t>
      </w:r>
      <w:r w:rsidR="00106379">
        <w:rPr>
          <w:rFonts w:ascii="Arial" w:hAnsi="Arial" w:cs="Arial"/>
        </w:rPr>
        <w:fldChar w:fldCharType="end"/>
      </w:r>
      <w:r w:rsidR="00BD4DB0">
        <w:rPr>
          <w:rFonts w:ascii="Arial" w:hAnsi="Arial" w:cs="Arial"/>
        </w:rPr>
        <w:t>)</w:t>
      </w:r>
      <w:r w:rsidR="00DD7A52">
        <w:rPr>
          <w:rFonts w:ascii="Arial" w:hAnsi="Arial" w:cs="Arial"/>
        </w:rPr>
        <w:t xml:space="preserve"> and </w:t>
      </w:r>
      <w:r w:rsidR="00FD31A1">
        <w:rPr>
          <w:rFonts w:ascii="Arial" w:hAnsi="Arial" w:cs="Arial"/>
        </w:rPr>
        <w:fldChar w:fldCharType="begin" w:fldLock="1"/>
      </w:r>
      <w:r w:rsidR="00494EFA">
        <w:rPr>
          <w:rFonts w:ascii="Arial" w:hAnsi="Arial" w:cs="Arial"/>
        </w:rPr>
        <w:instrText>ADDIN CSL_CITATION {"citationItems":[{"id":"ITEM-1","itemData":{"ISSN":"1684-5374","author":[{"dropping-particle":"","family":"Habtamu","given":"F G","non-dropping-particle":"","parse-names":false,"suffix":""},{"dropping-particle":"","family":"Haki","given":"G D","non-dropping-particle":"","parse-names":false,"suffix":""},{"dropping-particle":"","family":"Fekadu","given":"B","non-dropping-particle":"","parse-names":false,"suffix":""},{"dropping-particle":"","family":"Rakshit","given":"S K","non-dropping-particle":"","parse-names":false,"suffix":""},{"dropping-particle":"","family":"Ashagrie","given":"Z W","non-dropping-particle":"","parse-names":false,"suffix":""}],"container-title":"African Journal of food, agriculture, nutrition and development","id":"ITEM-1","issue":"1","issued":{"date-parts":[["2018"]]},"title":"Nutritional and antinutritional evaluation of indigenous Ethiopian Okra (Abelmoschus esculentus) seed accessions","type":"article-journal","volume":"18"},"uris":["http://www.mendeley.com/documents/?uuid=ec318a21-f734-4d19-9002-158d35f4eaab"]}],"mendeley":{"formattedCitation":"(Habtamu et al., 2018)","plainTextFormattedCitation":"(Habtamu et al., 2018)","previouslyFormattedCitation":"(Habtamu et al., 2018)"},"properties":{"noteIndex":0},"schema":"https://github.com/citation-style-language/schema/raw/master/csl-citation.json"}</w:instrText>
      </w:r>
      <w:r w:rsidR="00FD31A1">
        <w:rPr>
          <w:rFonts w:ascii="Arial" w:hAnsi="Arial" w:cs="Arial"/>
        </w:rPr>
        <w:fldChar w:fldCharType="separate"/>
      </w:r>
      <w:r w:rsidR="00BD4DB0" w:rsidRPr="00BD4DB0">
        <w:rPr>
          <w:rFonts w:ascii="Arial" w:hAnsi="Arial" w:cs="Arial"/>
          <w:noProof/>
        </w:rPr>
        <w:t xml:space="preserve">(Habtamu </w:t>
      </w:r>
      <w:r w:rsidR="00BD4DB0" w:rsidRPr="00BD4DB0">
        <w:rPr>
          <w:rFonts w:ascii="Arial" w:hAnsi="Arial" w:cs="Arial"/>
          <w:i/>
          <w:iCs/>
          <w:noProof/>
        </w:rPr>
        <w:t>et al</w:t>
      </w:r>
      <w:r w:rsidR="00BD4DB0" w:rsidRPr="00BD4DB0">
        <w:rPr>
          <w:rFonts w:ascii="Arial" w:hAnsi="Arial" w:cs="Arial"/>
          <w:noProof/>
        </w:rPr>
        <w:t>., 2018)</w:t>
      </w:r>
      <w:r w:rsidR="00FD31A1">
        <w:rPr>
          <w:rFonts w:ascii="Arial" w:hAnsi="Arial" w:cs="Arial"/>
        </w:rPr>
        <w:fldChar w:fldCharType="end"/>
      </w:r>
      <w:r w:rsidR="00C17182" w:rsidRPr="00514945">
        <w:rPr>
          <w:rFonts w:ascii="Arial" w:hAnsi="Arial" w:cs="Arial"/>
        </w:rPr>
        <w:t>.</w:t>
      </w:r>
      <w:r w:rsidR="00C17182" w:rsidRPr="00E51792">
        <w:rPr>
          <w:rFonts w:ascii="Arial" w:hAnsi="Arial" w:cs="Arial"/>
        </w:rPr>
        <w:t xml:space="preserve"> Moisture</w:t>
      </w:r>
      <w:r w:rsidR="00E96821" w:rsidRPr="00E51792">
        <w:rPr>
          <w:rFonts w:ascii="Arial" w:hAnsi="Arial" w:cs="Arial"/>
        </w:rPr>
        <w:t xml:space="preserve"> </w:t>
      </w:r>
      <w:r w:rsidR="002F0796">
        <w:rPr>
          <w:rFonts w:ascii="Arial" w:hAnsi="Arial" w:cs="Arial"/>
        </w:rPr>
        <w:t>c</w:t>
      </w:r>
      <w:r w:rsidR="00E96821" w:rsidRPr="00E51792">
        <w:rPr>
          <w:rFonts w:ascii="Arial" w:hAnsi="Arial" w:cs="Arial"/>
        </w:rPr>
        <w:t xml:space="preserve">ontent was measured using the hot air oven </w:t>
      </w:r>
      <w:r w:rsidR="00453DD1" w:rsidRPr="00E51792">
        <w:rPr>
          <w:rFonts w:ascii="Arial" w:hAnsi="Arial" w:cs="Arial"/>
        </w:rPr>
        <w:t>method by</w:t>
      </w:r>
      <w:r w:rsidR="00E96821" w:rsidRPr="00E51792">
        <w:rPr>
          <w:rFonts w:ascii="Arial" w:hAnsi="Arial" w:cs="Arial"/>
        </w:rPr>
        <w:t xml:space="preserve"> drying the leaf samples until a constant weight was obtained at</w:t>
      </w:r>
      <w:r w:rsidR="00E96821" w:rsidRPr="00E96821">
        <w:rPr>
          <w:rFonts w:ascii="Cambria" w:hAnsi="Cambria"/>
          <w:color w:val="1B1B1B"/>
          <w:sz w:val="28"/>
          <w:szCs w:val="28"/>
          <w:shd w:val="clear" w:color="auto" w:fill="FFFFFF"/>
        </w:rPr>
        <w:t xml:space="preserve"> </w:t>
      </w:r>
      <w:r w:rsidR="00E96821" w:rsidRPr="00E96821">
        <w:rPr>
          <w:rFonts w:ascii="Arial" w:hAnsi="Arial" w:cs="Arial"/>
          <w:color w:val="1B1B1B"/>
          <w:shd w:val="clear" w:color="auto" w:fill="FFFFFF"/>
        </w:rPr>
        <w:t>105°C</w:t>
      </w:r>
      <w:r w:rsidR="00E96821" w:rsidRPr="00E51792">
        <w:rPr>
          <w:rFonts w:ascii="Arial" w:hAnsi="Arial" w:cs="Arial"/>
        </w:rPr>
        <w:t xml:space="preserve">. Crude </w:t>
      </w:r>
      <w:r w:rsidR="007266AD">
        <w:rPr>
          <w:rFonts w:ascii="Arial" w:hAnsi="Arial" w:cs="Arial"/>
        </w:rPr>
        <w:t>p</w:t>
      </w:r>
      <w:r w:rsidR="00E96821" w:rsidRPr="00E51792">
        <w:rPr>
          <w:rFonts w:ascii="Arial" w:hAnsi="Arial" w:cs="Arial"/>
        </w:rPr>
        <w:t xml:space="preserve">rotein was determined by </w:t>
      </w:r>
      <w:r w:rsidR="008213A2">
        <w:rPr>
          <w:rFonts w:ascii="Arial" w:hAnsi="Arial" w:cs="Arial"/>
        </w:rPr>
        <w:t xml:space="preserve">the </w:t>
      </w:r>
      <w:r w:rsidR="00E96821" w:rsidRPr="00E51792">
        <w:rPr>
          <w:rFonts w:ascii="Arial" w:hAnsi="Arial" w:cs="Arial"/>
        </w:rPr>
        <w:t>Kjeldahl procedure</w:t>
      </w:r>
      <w:r w:rsidR="00111197" w:rsidRPr="00E51792">
        <w:rPr>
          <w:rFonts w:ascii="Arial" w:hAnsi="Arial" w:cs="Arial"/>
        </w:rPr>
        <w:t>. Total</w:t>
      </w:r>
      <w:r w:rsidR="00E96821" w:rsidRPr="00E51792">
        <w:rPr>
          <w:rFonts w:ascii="Arial" w:hAnsi="Arial" w:cs="Arial"/>
        </w:rPr>
        <w:t xml:space="preserve"> </w:t>
      </w:r>
      <w:r w:rsidR="007266AD">
        <w:rPr>
          <w:rFonts w:ascii="Arial" w:hAnsi="Arial" w:cs="Arial"/>
        </w:rPr>
        <w:t>f</w:t>
      </w:r>
      <w:r w:rsidR="00E96821" w:rsidRPr="00E51792">
        <w:rPr>
          <w:rFonts w:ascii="Arial" w:hAnsi="Arial" w:cs="Arial"/>
        </w:rPr>
        <w:t>at was quantified through acid hydrolysis,</w:t>
      </w:r>
      <w:r w:rsidR="00453DD1">
        <w:rPr>
          <w:rFonts w:ascii="Arial" w:hAnsi="Arial" w:cs="Arial"/>
        </w:rPr>
        <w:t xml:space="preserve"> </w:t>
      </w:r>
      <w:r w:rsidR="00E96821" w:rsidRPr="00E51792">
        <w:rPr>
          <w:rFonts w:ascii="Arial" w:hAnsi="Arial" w:cs="Arial"/>
        </w:rPr>
        <w:t xml:space="preserve">employing a Soxhlet extractor containing petroleum ether at </w:t>
      </w:r>
      <w:bookmarkStart w:id="3" w:name="_Hlk206597965"/>
      <w:r w:rsidR="00E96821" w:rsidRPr="00E96821">
        <w:rPr>
          <w:rFonts w:ascii="Arial" w:hAnsi="Arial" w:cs="Arial"/>
          <w:color w:val="1B1B1B"/>
          <w:shd w:val="clear" w:color="auto" w:fill="FFFFFF"/>
        </w:rPr>
        <w:t>60°</w:t>
      </w:r>
      <w:bookmarkEnd w:id="3"/>
      <w:r w:rsidR="00E96821" w:rsidRPr="00E51792">
        <w:rPr>
          <w:rFonts w:ascii="Arial" w:hAnsi="Arial" w:cs="Arial"/>
        </w:rPr>
        <w:t xml:space="preserve">C until it </w:t>
      </w:r>
      <w:r w:rsidR="008213A2">
        <w:rPr>
          <w:rFonts w:ascii="Arial" w:hAnsi="Arial" w:cs="Arial"/>
        </w:rPr>
        <w:t>reached</w:t>
      </w:r>
      <w:r w:rsidR="00E96821" w:rsidRPr="00E51792">
        <w:rPr>
          <w:rFonts w:ascii="Arial" w:hAnsi="Arial" w:cs="Arial"/>
        </w:rPr>
        <w:t xml:space="preserve"> a steady </w:t>
      </w:r>
      <w:r w:rsidR="00111197" w:rsidRPr="00E51792">
        <w:rPr>
          <w:rFonts w:ascii="Arial" w:hAnsi="Arial" w:cs="Arial"/>
        </w:rPr>
        <w:t>weight. The</w:t>
      </w:r>
      <w:r w:rsidR="00E96821" w:rsidRPr="00E51792">
        <w:rPr>
          <w:rFonts w:ascii="Arial" w:hAnsi="Arial" w:cs="Arial"/>
        </w:rPr>
        <w:t xml:space="preserve"> enzymatic-gravimetric procedure was used to estimate </w:t>
      </w:r>
      <w:r w:rsidR="007266AD">
        <w:rPr>
          <w:rFonts w:ascii="Arial" w:hAnsi="Arial" w:cs="Arial"/>
        </w:rPr>
        <w:t>d</w:t>
      </w:r>
      <w:r w:rsidR="00E96821" w:rsidRPr="00E51792">
        <w:rPr>
          <w:rFonts w:ascii="Arial" w:hAnsi="Arial" w:cs="Arial"/>
        </w:rPr>
        <w:t xml:space="preserve">ietary </w:t>
      </w:r>
      <w:r w:rsidR="007266AD">
        <w:rPr>
          <w:rFonts w:ascii="Arial" w:hAnsi="Arial" w:cs="Arial"/>
        </w:rPr>
        <w:t>f</w:t>
      </w:r>
      <w:r w:rsidR="00E96821" w:rsidRPr="00E51792">
        <w:rPr>
          <w:rFonts w:ascii="Arial" w:hAnsi="Arial" w:cs="Arial"/>
        </w:rPr>
        <w:t>iber.</w:t>
      </w:r>
      <w:r w:rsidR="00453DD1">
        <w:rPr>
          <w:rFonts w:ascii="Arial" w:hAnsi="Arial" w:cs="Arial"/>
        </w:rPr>
        <w:t xml:space="preserve"> </w:t>
      </w:r>
      <w:r w:rsidR="00E96821" w:rsidRPr="00E51792">
        <w:rPr>
          <w:rFonts w:ascii="Arial" w:hAnsi="Arial" w:cs="Arial"/>
        </w:rPr>
        <w:t>Leaves were successively treated with 1alpha-amylase, protease</w:t>
      </w:r>
      <w:r w:rsidR="008213A2">
        <w:rPr>
          <w:rFonts w:ascii="Arial" w:hAnsi="Arial" w:cs="Arial"/>
        </w:rPr>
        <w:t>,</w:t>
      </w:r>
      <w:r w:rsidR="00E96821" w:rsidRPr="00E51792">
        <w:rPr>
          <w:rFonts w:ascii="Arial" w:hAnsi="Arial" w:cs="Arial"/>
        </w:rPr>
        <w:t xml:space="preserve"> and </w:t>
      </w:r>
      <w:r w:rsidR="00111197" w:rsidRPr="00E51792">
        <w:rPr>
          <w:rFonts w:ascii="Arial" w:hAnsi="Arial" w:cs="Arial"/>
        </w:rPr>
        <w:t>amyl glucosidase</w:t>
      </w:r>
      <w:r w:rsidR="00E96821" w:rsidRPr="00E51792">
        <w:rPr>
          <w:rFonts w:ascii="Arial" w:hAnsi="Arial" w:cs="Arial"/>
        </w:rPr>
        <w:t xml:space="preserve"> at </w:t>
      </w:r>
      <w:r w:rsidR="00111197" w:rsidRPr="00E96821">
        <w:rPr>
          <w:rFonts w:ascii="Arial" w:hAnsi="Arial" w:cs="Arial"/>
          <w:color w:val="1B1B1B"/>
          <w:shd w:val="clear" w:color="auto" w:fill="FFFFFF"/>
        </w:rPr>
        <w:t>60°</w:t>
      </w:r>
      <w:r w:rsidR="00E96821" w:rsidRPr="00E51792">
        <w:rPr>
          <w:rFonts w:ascii="Arial" w:hAnsi="Arial" w:cs="Arial"/>
        </w:rPr>
        <w:t xml:space="preserve">C, precipitated by ethanol with </w:t>
      </w:r>
      <w:r w:rsidR="00111197" w:rsidRPr="00E51792">
        <w:rPr>
          <w:rFonts w:ascii="Arial" w:hAnsi="Arial" w:cs="Arial"/>
        </w:rPr>
        <w:t>fiber. Ash</w:t>
      </w:r>
      <w:r w:rsidR="00E96821" w:rsidRPr="00E51792">
        <w:rPr>
          <w:rFonts w:ascii="Arial" w:hAnsi="Arial" w:cs="Arial"/>
        </w:rPr>
        <w:t xml:space="preserve"> </w:t>
      </w:r>
      <w:r w:rsidR="00B37A8B">
        <w:rPr>
          <w:rFonts w:ascii="Arial" w:hAnsi="Arial" w:cs="Arial"/>
        </w:rPr>
        <w:t>c</w:t>
      </w:r>
      <w:r w:rsidR="00E96821" w:rsidRPr="00E51792">
        <w:rPr>
          <w:rFonts w:ascii="Arial" w:hAnsi="Arial" w:cs="Arial"/>
        </w:rPr>
        <w:t xml:space="preserve">ontent was identified using </w:t>
      </w:r>
      <w:r w:rsidR="008213A2">
        <w:rPr>
          <w:rFonts w:ascii="Arial" w:hAnsi="Arial" w:cs="Arial"/>
        </w:rPr>
        <w:t xml:space="preserve">the </w:t>
      </w:r>
      <w:r w:rsidR="00E96821" w:rsidRPr="00E51792">
        <w:rPr>
          <w:rFonts w:ascii="Arial" w:hAnsi="Arial" w:cs="Arial"/>
        </w:rPr>
        <w:t xml:space="preserve">gravimetric technique by combustion of dried leaf samples in a muffle furnace at </w:t>
      </w:r>
      <w:r w:rsidR="00111197" w:rsidRPr="00111197">
        <w:rPr>
          <w:rFonts w:ascii="Arial" w:hAnsi="Arial" w:cs="Arial"/>
          <w:color w:val="1B1B1B"/>
          <w:shd w:val="clear" w:color="auto" w:fill="FFFFFF"/>
        </w:rPr>
        <w:t>550°</w:t>
      </w:r>
      <w:r w:rsidR="00111197">
        <w:rPr>
          <w:rFonts w:ascii="Arial" w:hAnsi="Arial" w:cs="Arial"/>
          <w:color w:val="1B1B1B"/>
          <w:shd w:val="clear" w:color="auto" w:fill="FFFFFF"/>
        </w:rPr>
        <w:t>C</w:t>
      </w:r>
      <w:r w:rsidR="00E96821" w:rsidRPr="00E51792">
        <w:rPr>
          <w:rFonts w:ascii="Arial" w:hAnsi="Arial" w:cs="Arial"/>
        </w:rPr>
        <w:t xml:space="preserve"> until a constant weight </w:t>
      </w:r>
      <w:r w:rsidR="00453DD1">
        <w:rPr>
          <w:rFonts w:ascii="Arial" w:hAnsi="Arial" w:cs="Arial"/>
        </w:rPr>
        <w:t>was</w:t>
      </w:r>
      <w:r w:rsidR="00E96821" w:rsidRPr="00E51792">
        <w:rPr>
          <w:rFonts w:ascii="Arial" w:hAnsi="Arial" w:cs="Arial"/>
        </w:rPr>
        <w:t xml:space="preserve"> obtained.</w:t>
      </w:r>
      <w:r w:rsidR="0007764C" w:rsidRPr="0007764C">
        <w:t xml:space="preserve"> </w:t>
      </w:r>
      <w:r w:rsidR="00A4727F" w:rsidRPr="00A4727F">
        <w:t>The percentage of carbohydrates in leaf extract was calculated by difference according to, using the formula: % Carbohydrate=100− (% Moisture+% Protein+% Fat+% Crude Fiber+% Ash).</w:t>
      </w:r>
    </w:p>
    <w:p w14:paraId="177FB1E5" w14:textId="77777777" w:rsidR="00A4727F" w:rsidRPr="00E51792" w:rsidRDefault="00A4727F" w:rsidP="00360D3A">
      <w:pPr>
        <w:spacing w:line="480" w:lineRule="auto"/>
        <w:jc w:val="both"/>
        <w:rPr>
          <w:rFonts w:ascii="Arial" w:hAnsi="Arial" w:cs="Arial"/>
        </w:rPr>
      </w:pPr>
    </w:p>
    <w:p w14:paraId="7E54AED0" w14:textId="6992CA99" w:rsidR="00DE3C90" w:rsidRDefault="00DE3C90" w:rsidP="00360D3A">
      <w:pPr>
        <w:pStyle w:val="Body"/>
        <w:spacing w:after="0" w:line="480" w:lineRule="auto"/>
        <w:rPr>
          <w:rFonts w:ascii="Arial" w:hAnsi="Arial" w:cs="Arial"/>
          <w:b/>
          <w:bCs/>
          <w:sz w:val="22"/>
          <w:szCs w:val="22"/>
        </w:rPr>
      </w:pPr>
      <w:r>
        <w:rPr>
          <w:rFonts w:ascii="Arial" w:hAnsi="Arial" w:cs="Arial"/>
          <w:b/>
          <w:bCs/>
          <w:sz w:val="22"/>
          <w:szCs w:val="22"/>
        </w:rPr>
        <w:t>2.3 LC-MS analysis</w:t>
      </w:r>
    </w:p>
    <w:p w14:paraId="6B729CDC" w14:textId="77777777" w:rsidR="007D29E5" w:rsidRDefault="007D29E5" w:rsidP="00360D3A">
      <w:pPr>
        <w:pStyle w:val="Body"/>
        <w:spacing w:after="0" w:line="480" w:lineRule="auto"/>
        <w:rPr>
          <w:rFonts w:ascii="Arial" w:hAnsi="Arial" w:cs="Arial"/>
          <w:b/>
          <w:bCs/>
          <w:sz w:val="22"/>
          <w:szCs w:val="22"/>
        </w:rPr>
      </w:pPr>
    </w:p>
    <w:p w14:paraId="5FD38C21" w14:textId="3871B55B" w:rsidR="007D29E5" w:rsidRPr="009A2708" w:rsidRDefault="007D29E5" w:rsidP="00360D3A">
      <w:pPr>
        <w:spacing w:line="480" w:lineRule="auto"/>
        <w:jc w:val="both"/>
        <w:rPr>
          <w:rFonts w:ascii="Arial" w:hAnsi="Arial" w:cs="Arial"/>
        </w:rPr>
      </w:pPr>
      <w:r w:rsidRPr="009A2708">
        <w:rPr>
          <w:rFonts w:ascii="Arial" w:hAnsi="Arial" w:cs="Arial"/>
        </w:rPr>
        <w:t xml:space="preserve">Phytochemical profiling of </w:t>
      </w:r>
      <w:r w:rsidRPr="009A2708">
        <w:rPr>
          <w:rFonts w:ascii="Arial" w:hAnsi="Arial" w:cs="Arial"/>
          <w:i/>
          <w:iCs/>
        </w:rPr>
        <w:t>Gnetum gnemon</w:t>
      </w:r>
      <w:r w:rsidRPr="009A2708">
        <w:rPr>
          <w:rFonts w:ascii="Arial" w:hAnsi="Arial" w:cs="Arial"/>
        </w:rPr>
        <w:t xml:space="preserve"> leaf extract was performed using an A 6410 Triple Quadrupole LC/MS system (Agilent Technologies, USA) with a liquid autosampler at Biotech Park, Guwahati, Assam, India. Chromatographic separation technique was carried out on a 1260 Infinity High-Performance Liquid Chromatography (HPLC) system, Agilent Technologies, USA. The HPLC was equipped using a liquid autosampler for analytical and </w:t>
      </w:r>
      <w:r w:rsidRPr="009A2708">
        <w:rPr>
          <w:rFonts w:ascii="Arial" w:hAnsi="Arial" w:cs="Arial"/>
        </w:rPr>
        <w:lastRenderedPageBreak/>
        <w:t>preparative purposes. The LC–MS system allows simultaneous liquid chromatographic separation and mass spectrometric detection. It is suitable for the quantification of trace organic compounds, macromolecules, and bioactive metabolites. The mass spectrometer scanned a mass range of m/z 15–1650 amu using electrospray ionization (ESI) in positive and negative modes. Compounds were tentatively identified based on retention times, m/z values, and comparison with spectral databases</w:t>
      </w:r>
      <w:r w:rsidR="009A2708">
        <w:rPr>
          <w:rFonts w:ascii="Arial" w:hAnsi="Arial" w:cs="Arial"/>
        </w:rPr>
        <w:t>.</w:t>
      </w:r>
    </w:p>
    <w:p w14:paraId="054FC6DC" w14:textId="77777777" w:rsidR="007D29E5" w:rsidRDefault="007D29E5" w:rsidP="00360D3A">
      <w:pPr>
        <w:pStyle w:val="Body"/>
        <w:spacing w:after="0" w:line="480" w:lineRule="auto"/>
        <w:rPr>
          <w:rFonts w:ascii="Arial" w:hAnsi="Arial" w:cs="Arial"/>
          <w:b/>
          <w:bCs/>
          <w:sz w:val="22"/>
          <w:szCs w:val="22"/>
        </w:rPr>
      </w:pPr>
    </w:p>
    <w:p w14:paraId="436BA269" w14:textId="77777777" w:rsidR="008C531F" w:rsidRDefault="00DE3C90" w:rsidP="00360D3A">
      <w:pPr>
        <w:pStyle w:val="Body"/>
        <w:spacing w:after="0" w:line="480" w:lineRule="auto"/>
        <w:rPr>
          <w:rFonts w:ascii="Arial" w:hAnsi="Arial" w:cs="Arial"/>
          <w:b/>
          <w:bCs/>
          <w:sz w:val="22"/>
          <w:szCs w:val="22"/>
        </w:rPr>
      </w:pPr>
      <w:r>
        <w:rPr>
          <w:rFonts w:ascii="Arial" w:hAnsi="Arial" w:cs="Arial"/>
          <w:b/>
          <w:bCs/>
          <w:sz w:val="22"/>
          <w:szCs w:val="22"/>
        </w:rPr>
        <w:t>2.4 Experimental animals</w:t>
      </w:r>
      <w:r w:rsidR="008C531F" w:rsidRPr="008C531F">
        <w:rPr>
          <w:rFonts w:ascii="Arial" w:hAnsi="Arial" w:cs="Arial"/>
          <w:b/>
          <w:bCs/>
          <w:sz w:val="22"/>
          <w:szCs w:val="22"/>
        </w:rPr>
        <w:t xml:space="preserve"> </w:t>
      </w:r>
    </w:p>
    <w:p w14:paraId="758F9F27" w14:textId="77777777" w:rsidR="008C531F" w:rsidRDefault="008C531F" w:rsidP="00360D3A">
      <w:pPr>
        <w:pStyle w:val="Body"/>
        <w:spacing w:after="0" w:line="480" w:lineRule="auto"/>
        <w:rPr>
          <w:rFonts w:ascii="Arial" w:hAnsi="Arial" w:cs="Arial"/>
          <w:b/>
          <w:bCs/>
          <w:sz w:val="22"/>
          <w:szCs w:val="22"/>
        </w:rPr>
      </w:pPr>
    </w:p>
    <w:p w14:paraId="4552EBF0" w14:textId="63C0E9B7" w:rsidR="00DE3C90" w:rsidRPr="008C531F" w:rsidRDefault="008C531F" w:rsidP="00360D3A">
      <w:pPr>
        <w:pStyle w:val="Body"/>
        <w:spacing w:after="0" w:line="480" w:lineRule="auto"/>
        <w:rPr>
          <w:rFonts w:ascii="Arial" w:hAnsi="Arial" w:cs="Arial"/>
        </w:rPr>
      </w:pPr>
      <w:r w:rsidRPr="008C531F">
        <w:rPr>
          <w:rFonts w:ascii="Arial" w:hAnsi="Arial" w:cs="Arial"/>
        </w:rPr>
        <w:t xml:space="preserve">Mature Swiss albino female mice weighing 25-30g were acclimatized to laboratory conditions at least 2 weeks </w:t>
      </w:r>
      <w:r w:rsidR="00C715D3">
        <w:rPr>
          <w:rFonts w:ascii="Arial" w:hAnsi="Arial" w:cs="Arial"/>
        </w:rPr>
        <w:t>before</w:t>
      </w:r>
      <w:r w:rsidRPr="008C531F">
        <w:rPr>
          <w:rFonts w:ascii="Arial" w:hAnsi="Arial" w:cs="Arial"/>
        </w:rPr>
        <w:t xml:space="preserve"> </w:t>
      </w:r>
      <w:r w:rsidR="00C715D3">
        <w:rPr>
          <w:rFonts w:ascii="Arial" w:hAnsi="Arial" w:cs="Arial"/>
        </w:rPr>
        <w:t xml:space="preserve">the </w:t>
      </w:r>
      <w:r w:rsidRPr="008C531F">
        <w:rPr>
          <w:rFonts w:ascii="Arial" w:hAnsi="Arial" w:cs="Arial"/>
        </w:rPr>
        <w:t>experiment. The mice were kept in groups of five in clean metal cages with a controlled temperature of 2</w:t>
      </w:r>
      <w:r w:rsidR="00E64C75">
        <w:rPr>
          <w:rFonts w:ascii="Arial" w:hAnsi="Arial" w:cs="Arial"/>
        </w:rPr>
        <w:t>2</w:t>
      </w:r>
      <w:r w:rsidRPr="008C531F">
        <w:rPr>
          <w:rFonts w:ascii="Arial" w:hAnsi="Arial" w:cs="Arial"/>
        </w:rPr>
        <w:t xml:space="preserve"> </w:t>
      </w:r>
      <w:r w:rsidR="00386C3C">
        <w:rPr>
          <w:rFonts w:ascii="Arial" w:hAnsi="Arial" w:cs="Arial"/>
        </w:rPr>
        <w:t xml:space="preserve">± </w:t>
      </w:r>
      <w:r w:rsidRPr="008C531F">
        <w:rPr>
          <w:rFonts w:ascii="Arial" w:hAnsi="Arial" w:cs="Arial"/>
        </w:rPr>
        <w:t>20</w:t>
      </w:r>
      <w:r w:rsidR="00386C3C" w:rsidRPr="00386C3C">
        <w:rPr>
          <w:rFonts w:ascii="Arial" w:hAnsi="Arial" w:cs="Arial"/>
          <w:color w:val="040F21"/>
          <w:shd w:val="clear" w:color="auto" w:fill="FFFFFF"/>
        </w:rPr>
        <w:t>°</w:t>
      </w:r>
      <w:r w:rsidR="00E914D8" w:rsidRPr="00386C3C">
        <w:rPr>
          <w:rFonts w:ascii="Arial" w:hAnsi="Arial" w:cs="Arial"/>
          <w:color w:val="040F21"/>
          <w:shd w:val="clear" w:color="auto" w:fill="FFFFFF"/>
        </w:rPr>
        <w:t>C</w:t>
      </w:r>
      <w:r w:rsidR="00E914D8" w:rsidRPr="008C531F">
        <w:rPr>
          <w:rFonts w:ascii="Arial" w:hAnsi="Arial" w:cs="Arial"/>
        </w:rPr>
        <w:t>,</w:t>
      </w:r>
      <w:r w:rsidRPr="008C531F">
        <w:rPr>
          <w:rFonts w:ascii="Arial" w:hAnsi="Arial" w:cs="Arial"/>
        </w:rPr>
        <w:t xml:space="preserve"> relative humidity of 50</w:t>
      </w:r>
      <w:r w:rsidR="00386C3C">
        <w:rPr>
          <w:rFonts w:ascii="Arial" w:hAnsi="Arial" w:cs="Arial"/>
        </w:rPr>
        <w:t>-</w:t>
      </w:r>
      <w:r w:rsidRPr="008C531F">
        <w:rPr>
          <w:rFonts w:ascii="Arial" w:hAnsi="Arial" w:cs="Arial"/>
        </w:rPr>
        <w:t xml:space="preserve">60 %, and </w:t>
      </w:r>
      <w:r w:rsidR="00C715D3">
        <w:rPr>
          <w:rFonts w:ascii="Arial" w:hAnsi="Arial" w:cs="Arial"/>
        </w:rPr>
        <w:t xml:space="preserve">a </w:t>
      </w:r>
      <w:r w:rsidRPr="008C531F">
        <w:rPr>
          <w:rFonts w:ascii="Arial" w:hAnsi="Arial" w:cs="Arial"/>
        </w:rPr>
        <w:t>12-hour light-dark cycle</w:t>
      </w:r>
      <w:r w:rsidR="00953073">
        <w:rPr>
          <w:rFonts w:ascii="Arial" w:hAnsi="Arial" w:cs="Arial"/>
        </w:rPr>
        <w:fldChar w:fldCharType="begin" w:fldLock="1"/>
      </w:r>
      <w:r w:rsidR="00747DB1">
        <w:rPr>
          <w:rFonts w:ascii="Arial" w:hAnsi="Arial" w:cs="Arial"/>
        </w:rPr>
        <w:instrText>ADDIN CSL_CITATION {"citationItems":[{"id":"ITEM-1","itemData":{"ISSN":"2225-4110","author":[{"dropping-particle":"","family":"Thummar","given":"Vipul R","non-dropping-particle":"","parse-names":false,"suffix":""},{"dropping-particle":"","family":"Parasuraman","given":"Subramani","non-dropping-particle":"","parse-names":false,"suffix":""},{"dropping-particle":"","family":"Basu","given":"Debdatta","non-dropping-particle":"","parse-names":false,"suffix":""},{"dropping-particle":"","family":"Raveendran","given":"Ramasamy","non-dropping-particle":"","parse-names":false,"suffix":""}],"container-title":"Journal of traditional and complementary medicine","id":"ITEM-1","issue":"4","issued":{"date-parts":[["2016"]]},"page":"383-388","publisher":"Elsevier","title":"Evaluation of in vivo antitumor activity of cleistanthin B in Swiss albino mice","type":"article-journal","volume":"6"},"uris":["http://www.mendeley.com/documents/?uuid=5ed5e90c-b8de-43c2-b05c-136cee2cdb9d"]}],"mendeley":{"formattedCitation":"(Thummar et al., 2016)","manualFormatting":"(Thummar et al., 2016","plainTextFormattedCitation":"(Thummar et al., 2016)","previouslyFormattedCitation":"(Thummar et al., 2016)"},"properties":{"noteIndex":0},"schema":"https://github.com/citation-style-language/schema/raw/master/csl-citation.json"}</w:instrText>
      </w:r>
      <w:r w:rsidR="00953073">
        <w:rPr>
          <w:rFonts w:ascii="Arial" w:hAnsi="Arial" w:cs="Arial"/>
        </w:rPr>
        <w:fldChar w:fldCharType="separate"/>
      </w:r>
      <w:r w:rsidR="00C21AB0" w:rsidRPr="00C21AB0">
        <w:rPr>
          <w:rFonts w:ascii="Arial" w:hAnsi="Arial" w:cs="Arial"/>
          <w:noProof/>
        </w:rPr>
        <w:t xml:space="preserve">(Thummar </w:t>
      </w:r>
      <w:r w:rsidR="00C21AB0" w:rsidRPr="00DC2544">
        <w:rPr>
          <w:rFonts w:ascii="Arial" w:hAnsi="Arial" w:cs="Arial"/>
          <w:i/>
          <w:iCs/>
          <w:noProof/>
        </w:rPr>
        <w:t>et al</w:t>
      </w:r>
      <w:r w:rsidR="00C21AB0" w:rsidRPr="00C21AB0">
        <w:rPr>
          <w:rFonts w:ascii="Arial" w:hAnsi="Arial" w:cs="Arial"/>
          <w:noProof/>
        </w:rPr>
        <w:t>., 2016</w:t>
      </w:r>
      <w:r w:rsidR="00953073">
        <w:rPr>
          <w:rFonts w:ascii="Arial" w:hAnsi="Arial" w:cs="Arial"/>
        </w:rPr>
        <w:fldChar w:fldCharType="end"/>
      </w:r>
      <w:r w:rsidR="00F74376">
        <w:rPr>
          <w:rFonts w:ascii="Arial" w:hAnsi="Arial" w:cs="Arial"/>
        </w:rPr>
        <w:t>;</w:t>
      </w:r>
      <w:r w:rsidR="00FF6E0B">
        <w:rPr>
          <w:rFonts w:ascii="Arial" w:hAnsi="Arial" w:cs="Arial"/>
        </w:rPr>
        <w:fldChar w:fldCharType="begin" w:fldLock="1"/>
      </w:r>
      <w:r w:rsidR="00747DB1">
        <w:rPr>
          <w:rFonts w:ascii="Arial" w:hAnsi="Arial" w:cs="Arial"/>
        </w:rPr>
        <w:instrText>ADDIN CSL_CITATION {"citationItems":[{"id":"ITEM-1","itemData":{"author":[{"dropping-particle":"","family":"Elyasi","given":"Zohreh","non-dropping-particle":"","parse-names":false,"suffix":""},{"dropping-particle":"","family":"Rajashekhar","given":"U","non-dropping-particle":"","parse-names":false,"suffix":""},{"dropping-particle":"","family":"Jha","given":"Deepak Kumar","non-dropping-particle":"","parse-names":false,"suffix":""},{"dropping-particle":"","family":"Khadka","given":"Jeevan","non-dropping-particle":"","parse-names":false,"suffix":""}],"container-title":"J. Pharm. Res. Int.","id":"ITEM-1","issued":{"date-parts":[["2022"]]},"page":"26-50","title":"Evaluation of in-vivo anticancer activity Choerospondias axillaris in Swiss albino mice models","type":"article-journal","volume":"34"},"uris":["http://www.mendeley.com/documents/?uuid=eaa8a222-a165-40b4-aef5-0f8c670c6210"]}],"mendeley":{"formattedCitation":"(Elyasi et al., 2022)","manualFormatting":"Elyasi et al., 2022)","plainTextFormattedCitation":"(Elyasi et al., 2022)","previouslyFormattedCitation":"(Elyasi et al., 2022)"},"properties":{"noteIndex":0},"schema":"https://github.com/citation-style-language/schema/raw/master/csl-citation.json"}</w:instrText>
      </w:r>
      <w:r w:rsidR="00FF6E0B">
        <w:rPr>
          <w:rFonts w:ascii="Arial" w:hAnsi="Arial" w:cs="Arial"/>
        </w:rPr>
        <w:fldChar w:fldCharType="separate"/>
      </w:r>
      <w:r w:rsidR="00C21AB0" w:rsidRPr="00C21AB0">
        <w:rPr>
          <w:rFonts w:ascii="Arial" w:hAnsi="Arial" w:cs="Arial"/>
          <w:noProof/>
        </w:rPr>
        <w:t xml:space="preserve">Elyasi </w:t>
      </w:r>
      <w:r w:rsidR="00C21AB0" w:rsidRPr="00441F79">
        <w:rPr>
          <w:rFonts w:ascii="Arial" w:hAnsi="Arial" w:cs="Arial"/>
          <w:i/>
          <w:iCs/>
          <w:noProof/>
        </w:rPr>
        <w:t>et al</w:t>
      </w:r>
      <w:r w:rsidR="00C21AB0" w:rsidRPr="00C21AB0">
        <w:rPr>
          <w:rFonts w:ascii="Arial" w:hAnsi="Arial" w:cs="Arial"/>
          <w:noProof/>
        </w:rPr>
        <w:t>., 2022)</w:t>
      </w:r>
      <w:r w:rsidR="00FF6E0B">
        <w:rPr>
          <w:rFonts w:ascii="Arial" w:hAnsi="Arial" w:cs="Arial"/>
        </w:rPr>
        <w:fldChar w:fldCharType="end"/>
      </w:r>
      <w:r w:rsidRPr="008C531F">
        <w:rPr>
          <w:rFonts w:ascii="Arial" w:hAnsi="Arial" w:cs="Arial"/>
        </w:rPr>
        <w:t xml:space="preserve">. All experiments were carried out in </w:t>
      </w:r>
      <w:r w:rsidR="00C715D3">
        <w:rPr>
          <w:rFonts w:ascii="Arial" w:hAnsi="Arial" w:cs="Arial"/>
        </w:rPr>
        <w:t xml:space="preserve">the </w:t>
      </w:r>
      <w:r w:rsidRPr="008C531F">
        <w:rPr>
          <w:rFonts w:ascii="Arial" w:hAnsi="Arial" w:cs="Arial"/>
        </w:rPr>
        <w:t xml:space="preserve">light phase according to the </w:t>
      </w:r>
      <w:r w:rsidR="00C715D3">
        <w:rPr>
          <w:rFonts w:ascii="Arial" w:hAnsi="Arial" w:cs="Arial"/>
        </w:rPr>
        <w:t>requirements</w:t>
      </w:r>
      <w:r w:rsidRPr="008C531F">
        <w:rPr>
          <w:rFonts w:ascii="Arial" w:hAnsi="Arial" w:cs="Arial"/>
        </w:rPr>
        <w:t xml:space="preserve"> of the Institutional Animal Ethics Committee. The mice were marked </w:t>
      </w:r>
      <w:r w:rsidR="00C715D3">
        <w:rPr>
          <w:rFonts w:ascii="Arial" w:hAnsi="Arial" w:cs="Arial"/>
        </w:rPr>
        <w:t xml:space="preserve">with </w:t>
      </w:r>
      <w:r w:rsidRPr="008C531F">
        <w:rPr>
          <w:rFonts w:ascii="Arial" w:hAnsi="Arial" w:cs="Arial"/>
        </w:rPr>
        <w:t xml:space="preserve">identifiers on the tail and given standard rodent food and water </w:t>
      </w:r>
      <w:r w:rsidRPr="00F251EE">
        <w:rPr>
          <w:rFonts w:ascii="Arial" w:hAnsi="Arial" w:cs="Arial"/>
          <w:i/>
          <w:iCs/>
        </w:rPr>
        <w:t>ad libitum</w:t>
      </w:r>
      <w:r w:rsidRPr="008C531F">
        <w:rPr>
          <w:rFonts w:ascii="Arial" w:hAnsi="Arial" w:cs="Arial"/>
        </w:rPr>
        <w:t xml:space="preserve">. This study was </w:t>
      </w:r>
      <w:r w:rsidR="00D179BE">
        <w:rPr>
          <w:rFonts w:ascii="Arial" w:hAnsi="Arial" w:cs="Arial"/>
        </w:rPr>
        <w:t xml:space="preserve">approved </w:t>
      </w:r>
      <w:r w:rsidRPr="008C531F">
        <w:rPr>
          <w:rFonts w:ascii="Arial" w:hAnsi="Arial" w:cs="Arial"/>
        </w:rPr>
        <w:t xml:space="preserve">by the </w:t>
      </w:r>
      <w:r w:rsidR="00D179BE">
        <w:rPr>
          <w:rFonts w:ascii="Arial" w:hAnsi="Arial" w:cs="Arial"/>
        </w:rPr>
        <w:t xml:space="preserve">Animal </w:t>
      </w:r>
      <w:r w:rsidRPr="008C531F">
        <w:rPr>
          <w:rFonts w:ascii="Arial" w:hAnsi="Arial" w:cs="Arial"/>
        </w:rPr>
        <w:t>Ethical Committee of Cotton University (Reg. No. 15/IAEC/CU/05/01/2021).</w:t>
      </w:r>
    </w:p>
    <w:p w14:paraId="6FCB7FCE" w14:textId="77777777" w:rsidR="00DE3C90" w:rsidRDefault="00DE3C90" w:rsidP="00360D3A">
      <w:pPr>
        <w:pStyle w:val="Body"/>
        <w:spacing w:after="0" w:line="480" w:lineRule="auto"/>
        <w:rPr>
          <w:rFonts w:ascii="Arial" w:hAnsi="Arial" w:cs="Arial"/>
          <w:b/>
          <w:bCs/>
          <w:sz w:val="22"/>
          <w:szCs w:val="22"/>
        </w:rPr>
      </w:pPr>
    </w:p>
    <w:p w14:paraId="504FE1D0" w14:textId="7C6EBCCF" w:rsidR="005935D3" w:rsidRDefault="00DE3C90" w:rsidP="00360D3A">
      <w:pPr>
        <w:pStyle w:val="Body"/>
        <w:spacing w:after="0" w:line="480" w:lineRule="auto"/>
      </w:pPr>
      <w:r>
        <w:rPr>
          <w:rFonts w:ascii="Arial" w:hAnsi="Arial" w:cs="Arial"/>
          <w:b/>
          <w:bCs/>
          <w:sz w:val="22"/>
          <w:szCs w:val="22"/>
        </w:rPr>
        <w:t xml:space="preserve">2.5 </w:t>
      </w:r>
      <w:r w:rsidR="00ED1983">
        <w:rPr>
          <w:rFonts w:ascii="Arial" w:hAnsi="Arial" w:cs="Arial"/>
          <w:b/>
          <w:bCs/>
          <w:sz w:val="22"/>
          <w:szCs w:val="22"/>
        </w:rPr>
        <w:t>Sub-a</w:t>
      </w:r>
      <w:r>
        <w:rPr>
          <w:rFonts w:ascii="Arial" w:hAnsi="Arial" w:cs="Arial"/>
          <w:b/>
          <w:bCs/>
          <w:sz w:val="22"/>
          <w:szCs w:val="22"/>
        </w:rPr>
        <w:t>cute toxicity study</w:t>
      </w:r>
      <w:r w:rsidR="005935D3" w:rsidRPr="005935D3">
        <w:t xml:space="preserve"> </w:t>
      </w:r>
    </w:p>
    <w:p w14:paraId="6E868D76" w14:textId="77777777" w:rsidR="005935D3" w:rsidRDefault="005935D3" w:rsidP="00360D3A">
      <w:pPr>
        <w:pStyle w:val="Body"/>
        <w:spacing w:after="0" w:line="480" w:lineRule="auto"/>
      </w:pPr>
    </w:p>
    <w:p w14:paraId="429CE14F" w14:textId="2E7F724A" w:rsidR="00DE3C90" w:rsidRPr="005935D3" w:rsidRDefault="005935D3" w:rsidP="00360D3A">
      <w:pPr>
        <w:pStyle w:val="Body"/>
        <w:spacing w:after="0" w:line="480" w:lineRule="auto"/>
        <w:rPr>
          <w:rFonts w:ascii="Arial" w:hAnsi="Arial" w:cs="Arial"/>
        </w:rPr>
      </w:pPr>
      <w:r w:rsidRPr="005935D3">
        <w:rPr>
          <w:rFonts w:ascii="Arial" w:hAnsi="Arial" w:cs="Arial"/>
        </w:rPr>
        <w:t xml:space="preserve">Methanolic extract of </w:t>
      </w:r>
      <w:r w:rsidRPr="005935D3">
        <w:rPr>
          <w:rFonts w:ascii="Arial" w:hAnsi="Arial" w:cs="Arial"/>
          <w:i/>
          <w:iCs/>
        </w:rPr>
        <w:t>Gnetum gnemon</w:t>
      </w:r>
      <w:r w:rsidRPr="005935D3">
        <w:rPr>
          <w:rFonts w:ascii="Arial" w:hAnsi="Arial" w:cs="Arial"/>
        </w:rPr>
        <w:t xml:space="preserve"> (GG) </w:t>
      </w:r>
      <w:r w:rsidR="00AD5C3D">
        <w:rPr>
          <w:rFonts w:ascii="Arial" w:hAnsi="Arial" w:cs="Arial"/>
        </w:rPr>
        <w:t>sub-</w:t>
      </w:r>
      <w:r w:rsidRPr="005935D3">
        <w:rPr>
          <w:rFonts w:ascii="Arial" w:hAnsi="Arial" w:cs="Arial"/>
        </w:rPr>
        <w:t xml:space="preserve">acute oral toxicity was determined based on </w:t>
      </w:r>
      <w:r w:rsidR="00754987">
        <w:rPr>
          <w:rFonts w:ascii="Arial" w:hAnsi="Arial" w:cs="Arial"/>
        </w:rPr>
        <w:t>(</w:t>
      </w:r>
      <w:r w:rsidRPr="005935D3">
        <w:rPr>
          <w:rFonts w:ascii="Arial" w:hAnsi="Arial" w:cs="Arial"/>
        </w:rPr>
        <w:t>OECD</w:t>
      </w:r>
      <w:r w:rsidR="00EC3181">
        <w:rPr>
          <w:rFonts w:ascii="Arial" w:hAnsi="Arial" w:cs="Arial"/>
        </w:rPr>
        <w:t>,</w:t>
      </w:r>
      <w:r w:rsidR="00754987">
        <w:rPr>
          <w:rFonts w:ascii="Arial" w:hAnsi="Arial" w:cs="Arial"/>
        </w:rPr>
        <w:t>2008)</w:t>
      </w:r>
      <w:r w:rsidRPr="005935D3">
        <w:rPr>
          <w:rFonts w:ascii="Arial" w:hAnsi="Arial" w:cs="Arial"/>
        </w:rPr>
        <w:t xml:space="preserve"> guideline 4</w:t>
      </w:r>
      <w:r w:rsidR="00B06D24">
        <w:rPr>
          <w:rFonts w:ascii="Arial" w:hAnsi="Arial" w:cs="Arial"/>
        </w:rPr>
        <w:t>07</w:t>
      </w:r>
      <w:r w:rsidRPr="005935D3">
        <w:rPr>
          <w:rFonts w:ascii="Arial" w:hAnsi="Arial" w:cs="Arial"/>
        </w:rPr>
        <w:t xml:space="preserve"> in </w:t>
      </w:r>
      <w:r w:rsidR="00830DA3">
        <w:rPr>
          <w:rFonts w:ascii="Arial" w:hAnsi="Arial" w:cs="Arial"/>
        </w:rPr>
        <w:t xml:space="preserve">male and </w:t>
      </w:r>
      <w:r w:rsidR="008F30D2">
        <w:rPr>
          <w:rFonts w:ascii="Arial" w:hAnsi="Arial" w:cs="Arial"/>
        </w:rPr>
        <w:t>fe</w:t>
      </w:r>
      <w:r w:rsidRPr="005935D3">
        <w:rPr>
          <w:rFonts w:ascii="Arial" w:hAnsi="Arial" w:cs="Arial"/>
        </w:rPr>
        <w:t xml:space="preserve">male Swiss albino mice. The mice were subjected </w:t>
      </w:r>
      <w:r w:rsidR="00E4471D" w:rsidRPr="005935D3">
        <w:rPr>
          <w:rFonts w:ascii="Arial" w:hAnsi="Arial" w:cs="Arial"/>
        </w:rPr>
        <w:t xml:space="preserve">to </w:t>
      </w:r>
      <w:r w:rsidR="00E4471D">
        <w:rPr>
          <w:rFonts w:ascii="Arial" w:hAnsi="Arial" w:cs="Arial"/>
        </w:rPr>
        <w:t xml:space="preserve">a </w:t>
      </w:r>
      <w:r w:rsidR="00E4471D" w:rsidRPr="005935D3">
        <w:rPr>
          <w:rFonts w:ascii="Arial" w:hAnsi="Arial" w:cs="Arial"/>
        </w:rPr>
        <w:t>7</w:t>
      </w:r>
      <w:r w:rsidR="00C715D3">
        <w:rPr>
          <w:rFonts w:ascii="Arial" w:hAnsi="Arial" w:cs="Arial"/>
        </w:rPr>
        <w:t>-day</w:t>
      </w:r>
      <w:r w:rsidRPr="005935D3">
        <w:rPr>
          <w:rFonts w:ascii="Arial" w:hAnsi="Arial" w:cs="Arial"/>
        </w:rPr>
        <w:t xml:space="preserve"> acclimatization period followed by the grouping of the animals into two groups (n = 5). Group I was given vehicle control (PBS)</w:t>
      </w:r>
      <w:r w:rsidR="00C715D3">
        <w:rPr>
          <w:rFonts w:ascii="Arial" w:hAnsi="Arial" w:cs="Arial"/>
        </w:rPr>
        <w:t>,</w:t>
      </w:r>
      <w:r w:rsidRPr="005935D3">
        <w:rPr>
          <w:rFonts w:ascii="Arial" w:hAnsi="Arial" w:cs="Arial"/>
        </w:rPr>
        <w:t xml:space="preserve"> and GG was administered to Group </w:t>
      </w:r>
      <w:r w:rsidR="00E4471D" w:rsidRPr="005935D3">
        <w:rPr>
          <w:rFonts w:ascii="Arial" w:hAnsi="Arial" w:cs="Arial"/>
        </w:rPr>
        <w:t xml:space="preserve">II </w:t>
      </w:r>
      <w:r w:rsidR="00E4471D">
        <w:rPr>
          <w:rFonts w:ascii="Arial" w:hAnsi="Arial" w:cs="Arial"/>
        </w:rPr>
        <w:t>and</w:t>
      </w:r>
      <w:r w:rsidR="00C715D3">
        <w:rPr>
          <w:rFonts w:ascii="Arial" w:hAnsi="Arial" w:cs="Arial"/>
        </w:rPr>
        <w:t xml:space="preserve"> Group III </w:t>
      </w:r>
      <w:r w:rsidRPr="005935D3">
        <w:rPr>
          <w:rFonts w:ascii="Arial" w:hAnsi="Arial" w:cs="Arial"/>
        </w:rPr>
        <w:t>at 200 mg/kg b</w:t>
      </w:r>
      <w:r w:rsidR="00C715D3">
        <w:rPr>
          <w:rFonts w:ascii="Arial" w:hAnsi="Arial" w:cs="Arial"/>
        </w:rPr>
        <w:t>w and 400mg/kg bw</w:t>
      </w:r>
      <w:r w:rsidRPr="005935D3">
        <w:rPr>
          <w:rFonts w:ascii="Arial" w:hAnsi="Arial" w:cs="Arial"/>
        </w:rPr>
        <w:t xml:space="preserve"> </w:t>
      </w:r>
      <w:r w:rsidR="00E4471D">
        <w:rPr>
          <w:rFonts w:ascii="Arial" w:hAnsi="Arial" w:cs="Arial"/>
        </w:rPr>
        <w:t>doses</w:t>
      </w:r>
      <w:r w:rsidRPr="005935D3">
        <w:rPr>
          <w:rFonts w:ascii="Arial" w:hAnsi="Arial" w:cs="Arial"/>
        </w:rPr>
        <w:t xml:space="preserve">. Oral administration was done after </w:t>
      </w:r>
      <w:r w:rsidR="00C715D3">
        <w:rPr>
          <w:rFonts w:ascii="Arial" w:hAnsi="Arial" w:cs="Arial"/>
        </w:rPr>
        <w:t xml:space="preserve">an </w:t>
      </w:r>
      <w:r w:rsidRPr="005935D3">
        <w:rPr>
          <w:rFonts w:ascii="Arial" w:hAnsi="Arial" w:cs="Arial"/>
        </w:rPr>
        <w:t xml:space="preserve">overnight </w:t>
      </w:r>
      <w:r w:rsidR="00E4471D">
        <w:rPr>
          <w:rFonts w:ascii="Arial" w:hAnsi="Arial" w:cs="Arial"/>
        </w:rPr>
        <w:t>fast</w:t>
      </w:r>
      <w:r w:rsidRPr="005935D3">
        <w:rPr>
          <w:rFonts w:ascii="Arial" w:hAnsi="Arial" w:cs="Arial"/>
        </w:rPr>
        <w:t xml:space="preserve"> </w:t>
      </w:r>
      <w:r w:rsidR="00E4471D">
        <w:rPr>
          <w:rFonts w:ascii="Arial" w:hAnsi="Arial" w:cs="Arial"/>
        </w:rPr>
        <w:t>in</w:t>
      </w:r>
      <w:r w:rsidRPr="005935D3">
        <w:rPr>
          <w:rFonts w:ascii="Arial" w:hAnsi="Arial" w:cs="Arial"/>
        </w:rPr>
        <w:t xml:space="preserve"> the mice. Animals were closely monitored within 1 hour of treatment, monitored at </w:t>
      </w:r>
      <w:r w:rsidRPr="005935D3">
        <w:rPr>
          <w:rFonts w:ascii="Arial" w:hAnsi="Arial" w:cs="Arial"/>
        </w:rPr>
        <w:lastRenderedPageBreak/>
        <w:t>regular intervals up to 4 hours</w:t>
      </w:r>
      <w:r w:rsidR="00C715D3">
        <w:rPr>
          <w:rFonts w:ascii="Arial" w:hAnsi="Arial" w:cs="Arial"/>
        </w:rPr>
        <w:t>,</w:t>
      </w:r>
      <w:r w:rsidRPr="005935D3">
        <w:rPr>
          <w:rFonts w:ascii="Arial" w:hAnsi="Arial" w:cs="Arial"/>
        </w:rPr>
        <w:t xml:space="preserve"> and once a day </w:t>
      </w:r>
      <w:r w:rsidR="00E4471D">
        <w:rPr>
          <w:rFonts w:ascii="Arial" w:hAnsi="Arial" w:cs="Arial"/>
        </w:rPr>
        <w:t>for</w:t>
      </w:r>
      <w:r w:rsidRPr="005935D3">
        <w:rPr>
          <w:rFonts w:ascii="Arial" w:hAnsi="Arial" w:cs="Arial"/>
        </w:rPr>
        <w:t xml:space="preserve"> </w:t>
      </w:r>
      <w:r w:rsidR="0015389E">
        <w:rPr>
          <w:rFonts w:ascii="Arial" w:hAnsi="Arial" w:cs="Arial"/>
        </w:rPr>
        <w:t>28</w:t>
      </w:r>
      <w:r w:rsidRPr="005935D3">
        <w:rPr>
          <w:rFonts w:ascii="Arial" w:hAnsi="Arial" w:cs="Arial"/>
        </w:rPr>
        <w:t xml:space="preserve"> days. At the end of the </w:t>
      </w:r>
      <w:r w:rsidR="0015389E">
        <w:rPr>
          <w:rFonts w:ascii="Arial" w:hAnsi="Arial" w:cs="Arial"/>
        </w:rPr>
        <w:t>28</w:t>
      </w:r>
      <w:r w:rsidRPr="005935D3">
        <w:rPr>
          <w:rFonts w:ascii="Arial" w:hAnsi="Arial" w:cs="Arial"/>
        </w:rPr>
        <w:t xml:space="preserve"> days, the mice were sacrificed, and blood samples were obtained. Then</w:t>
      </w:r>
      <w:r w:rsidR="00360349">
        <w:rPr>
          <w:rFonts w:ascii="Arial" w:hAnsi="Arial" w:cs="Arial"/>
        </w:rPr>
        <w:t>,</w:t>
      </w:r>
      <w:r w:rsidRPr="005935D3">
        <w:rPr>
          <w:rFonts w:ascii="Arial" w:hAnsi="Arial" w:cs="Arial"/>
        </w:rPr>
        <w:t xml:space="preserve"> the blood and serum samples were used to examine hematological and biochemical parameters</w:t>
      </w:r>
      <w:r w:rsidR="00C21AB0">
        <w:rPr>
          <w:rFonts w:ascii="Arial" w:hAnsi="Arial" w:cs="Arial"/>
        </w:rPr>
        <w:fldChar w:fldCharType="begin" w:fldLock="1"/>
      </w:r>
      <w:r w:rsidR="002C5731">
        <w:rPr>
          <w:rFonts w:ascii="Arial" w:hAnsi="Arial" w:cs="Arial"/>
        </w:rPr>
        <w:instrText>ADDIN CSL_CITATION {"citationItems":[{"id":"ITEM-1","itemData":{"author":[{"dropping-particle":"","family":"Wahyuni","given":"Fatma Sri","non-dropping-particle":"","parse-names":false,"suffix":""},{"dropping-particle":"","family":"Arisanty","given":"Dessy","non-dropping-particle":"","parse-names":false,"suffix":""},{"dropping-particle":"","family":"Hayaty","given":"Nelsi Fitri","non-dropping-particle":"","parse-names":false,"suffix":""},{"dropping-particle":"","family":"Juwita","given":"Dian Ayu","non-dropping-particle":"","parse-names":false,"suffix":""}],"container-title":"Pharmacognosy Journal","id":"ITEM-1","issue":"3","issued":{"date-parts":[["2017"]]},"title":"Sub-acute toxicity study of the ethyl acetate fraction of Asam Kandis Rinds (Garcinia cowa Roxb.) on the liver and renal function in mice","type":"article-journal","volume":"9"},"uris":["http://www.mendeley.com/documents/?uuid=e6854026-abeb-452c-9eed-1a9666112008"]}],"mendeley":{"formattedCitation":"(Wahyuni et al., 2017)","plainTextFormattedCitation":"(Wahyuni et al., 2017)","previouslyFormattedCitation":"(Wahyuni et al., 2017)"},"properties":{"noteIndex":0},"schema":"https://github.com/citation-style-language/schema/raw/master/csl-citation.json"}</w:instrText>
      </w:r>
      <w:r w:rsidR="00C21AB0">
        <w:rPr>
          <w:rFonts w:ascii="Arial" w:hAnsi="Arial" w:cs="Arial"/>
        </w:rPr>
        <w:fldChar w:fldCharType="separate"/>
      </w:r>
      <w:r w:rsidR="00C21AB0" w:rsidRPr="00C21AB0">
        <w:rPr>
          <w:rFonts w:ascii="Arial" w:hAnsi="Arial" w:cs="Arial"/>
          <w:noProof/>
        </w:rPr>
        <w:t xml:space="preserve">(Wahyuni </w:t>
      </w:r>
      <w:r w:rsidR="00C21AB0" w:rsidRPr="00DD1BF5">
        <w:rPr>
          <w:rFonts w:ascii="Arial" w:hAnsi="Arial" w:cs="Arial"/>
          <w:i/>
          <w:iCs/>
          <w:noProof/>
        </w:rPr>
        <w:t>et al</w:t>
      </w:r>
      <w:r w:rsidR="00C21AB0" w:rsidRPr="00C21AB0">
        <w:rPr>
          <w:rFonts w:ascii="Arial" w:hAnsi="Arial" w:cs="Arial"/>
          <w:noProof/>
        </w:rPr>
        <w:t>., 2017)</w:t>
      </w:r>
      <w:r w:rsidR="00C21AB0">
        <w:rPr>
          <w:rFonts w:ascii="Arial" w:hAnsi="Arial" w:cs="Arial"/>
        </w:rPr>
        <w:fldChar w:fldCharType="end"/>
      </w:r>
      <w:r w:rsidRPr="005935D3">
        <w:rPr>
          <w:rFonts w:ascii="Arial" w:hAnsi="Arial" w:cs="Arial"/>
        </w:rPr>
        <w:t>.</w:t>
      </w:r>
    </w:p>
    <w:p w14:paraId="370D56F9" w14:textId="77777777" w:rsidR="00DE3C90" w:rsidRDefault="00DE3C90" w:rsidP="00360D3A">
      <w:pPr>
        <w:pStyle w:val="Body"/>
        <w:spacing w:after="0" w:line="480" w:lineRule="auto"/>
        <w:rPr>
          <w:rFonts w:ascii="Arial" w:hAnsi="Arial" w:cs="Arial"/>
          <w:b/>
          <w:bCs/>
          <w:sz w:val="22"/>
          <w:szCs w:val="22"/>
        </w:rPr>
      </w:pPr>
    </w:p>
    <w:p w14:paraId="085D99A4" w14:textId="77777777" w:rsidR="00B729B3" w:rsidRDefault="00DE3C90" w:rsidP="00360D3A">
      <w:pPr>
        <w:pStyle w:val="Body"/>
        <w:spacing w:after="0" w:line="480" w:lineRule="auto"/>
      </w:pPr>
      <w:r w:rsidRPr="00DE3C90">
        <w:rPr>
          <w:rFonts w:ascii="Arial" w:hAnsi="Arial" w:cs="Arial"/>
          <w:b/>
          <w:bCs/>
        </w:rPr>
        <w:t>2.5.1 Hematological and biochemical parameter analysis</w:t>
      </w:r>
      <w:r w:rsidR="00B729B3" w:rsidRPr="00B729B3">
        <w:t xml:space="preserve"> </w:t>
      </w:r>
    </w:p>
    <w:p w14:paraId="6DB3FC18" w14:textId="77777777" w:rsidR="00B729B3" w:rsidRDefault="00B729B3" w:rsidP="00360D3A">
      <w:pPr>
        <w:pStyle w:val="Body"/>
        <w:spacing w:after="0" w:line="480" w:lineRule="auto"/>
        <w:rPr>
          <w:rFonts w:ascii="Arial" w:hAnsi="Arial" w:cs="Arial"/>
          <w:b/>
          <w:bCs/>
        </w:rPr>
      </w:pPr>
    </w:p>
    <w:p w14:paraId="2FF6EE60" w14:textId="3F0E0410" w:rsidR="00DE3C90" w:rsidRPr="00B729B3" w:rsidRDefault="00FD532E" w:rsidP="00360D3A">
      <w:pPr>
        <w:pStyle w:val="Body"/>
        <w:spacing w:after="0" w:line="480" w:lineRule="auto"/>
        <w:rPr>
          <w:rFonts w:ascii="Arial" w:hAnsi="Arial" w:cs="Arial"/>
        </w:rPr>
      </w:pPr>
      <w:r w:rsidRPr="00FD532E">
        <w:rPr>
          <w:rFonts w:ascii="Arial" w:hAnsi="Arial" w:cs="Arial"/>
        </w:rPr>
        <w:t xml:space="preserve">Blood samples collected from mice were collected in EDTA-coated tubes and analyzed using a Mindray hematology analyzer. The parameters measured included white blood cells (WBC), red blood cells (RBC), hemoglobin (Hb), hematocrit (HCT), mean corpuscular volume (MCV), mean corpuscular hemoglobin (MCH), mean corpuscular hemoglobin concentration (MCHC), platelet count (PLT), and </w:t>
      </w:r>
      <w:r w:rsidR="00D702FE">
        <w:rPr>
          <w:rFonts w:ascii="Arial" w:hAnsi="Arial" w:cs="Arial"/>
        </w:rPr>
        <w:t xml:space="preserve">packed cell </w:t>
      </w:r>
      <w:r w:rsidRPr="00FD532E">
        <w:rPr>
          <w:rFonts w:ascii="Arial" w:hAnsi="Arial" w:cs="Arial"/>
        </w:rPr>
        <w:t>volume (</w:t>
      </w:r>
      <w:r w:rsidR="00D702FE">
        <w:rPr>
          <w:rFonts w:ascii="Arial" w:hAnsi="Arial" w:cs="Arial"/>
        </w:rPr>
        <w:t>PCV</w:t>
      </w:r>
      <w:r w:rsidRPr="00FD532E">
        <w:rPr>
          <w:rFonts w:ascii="Arial" w:hAnsi="Arial" w:cs="Arial"/>
        </w:rPr>
        <w:t>)</w:t>
      </w:r>
      <w:r w:rsidR="00494EFA">
        <w:rPr>
          <w:rFonts w:ascii="Arial" w:hAnsi="Arial" w:cs="Arial"/>
        </w:rPr>
        <w:t xml:space="preserve"> (</w:t>
      </w:r>
      <w:r w:rsidR="00714F3A">
        <w:rPr>
          <w:rFonts w:ascii="Arial" w:hAnsi="Arial" w:cs="Arial"/>
        </w:rPr>
        <w:fldChar w:fldCharType="begin" w:fldLock="1"/>
      </w:r>
      <w:r w:rsidR="00747DB1">
        <w:rPr>
          <w:rFonts w:ascii="Arial" w:hAnsi="Arial" w:cs="Arial"/>
        </w:rPr>
        <w:instrText>ADDIN CSL_CITATION {"citationItems":[{"id":"ITEM-1","itemData":{"ISSN":"1976-8257","author":[{"dropping-particle":"","family":"Abdou","given":"Rania H","non-dropping-particle":"","parse-names":false,"suffix":""},{"dropping-particle":"","family":"Basha","given":"Walaa A","non-dropping-particle":"","parse-names":false,"suffix":""},{"dropping-particle":"","family":"Khalil","given":"Waleed F","non-dropping-particle":"","parse-names":false,"suffix":""}],"container-title":"Toxicological research","id":"ITEM-1","issue":"3","issued":{"date-parts":[["2019"]]},"page":"233-239","publisher":"Springer","title":"Subacute toxicity of Nerium oleander ethanolic extract in mice","type":"article-journal","volume":"35"},"uris":["http://www.mendeley.com/documents/?uuid=6bfd79be-49f2-4c79-a3c6-6aef8d677266"]}],"mendeley":{"formattedCitation":"(Abdou et al., 2019)","manualFormatting":"Abdou et al., 2019)","plainTextFormattedCitation":"(Abdou et al., 2019)","previouslyFormattedCitation":"(Abdou et al., 2019)"},"properties":{"noteIndex":0},"schema":"https://github.com/citation-style-language/schema/raw/master/csl-citation.json"}</w:instrText>
      </w:r>
      <w:r w:rsidR="00714F3A">
        <w:rPr>
          <w:rFonts w:ascii="Arial" w:hAnsi="Arial" w:cs="Arial"/>
        </w:rPr>
        <w:fldChar w:fldCharType="separate"/>
      </w:r>
      <w:r w:rsidR="00C21AB0" w:rsidRPr="00C21AB0">
        <w:rPr>
          <w:rFonts w:ascii="Arial" w:hAnsi="Arial" w:cs="Arial"/>
          <w:noProof/>
        </w:rPr>
        <w:t xml:space="preserve">Abdou </w:t>
      </w:r>
      <w:r w:rsidR="00C21AB0" w:rsidRPr="00413748">
        <w:rPr>
          <w:rFonts w:ascii="Arial" w:hAnsi="Arial" w:cs="Arial"/>
          <w:i/>
          <w:iCs/>
          <w:noProof/>
        </w:rPr>
        <w:t>et al</w:t>
      </w:r>
      <w:r w:rsidR="00C21AB0" w:rsidRPr="00C21AB0">
        <w:rPr>
          <w:rFonts w:ascii="Arial" w:hAnsi="Arial" w:cs="Arial"/>
          <w:noProof/>
        </w:rPr>
        <w:t>., 2019</w:t>
      </w:r>
      <w:r w:rsidR="00714F3A">
        <w:rPr>
          <w:rFonts w:ascii="Arial" w:hAnsi="Arial" w:cs="Arial"/>
        </w:rPr>
        <w:fldChar w:fldCharType="end"/>
      </w:r>
      <w:r w:rsidR="00494EFA">
        <w:rPr>
          <w:rFonts w:ascii="Arial" w:hAnsi="Arial" w:cs="Arial"/>
        </w:rPr>
        <w:t>;</w:t>
      </w:r>
      <w:r w:rsidR="00494EFA">
        <w:rPr>
          <w:rFonts w:ascii="Arial" w:hAnsi="Arial" w:cs="Arial"/>
        </w:rPr>
        <w:fldChar w:fldCharType="begin" w:fldLock="1"/>
      </w:r>
      <w:r w:rsidR="00494EFA">
        <w:rPr>
          <w:rFonts w:ascii="Arial" w:hAnsi="Arial" w:cs="Arial"/>
        </w:rPr>
        <w:instrText>ADDIN CSL_CITATION {"citationItems":[{"id":"ITEM-1","itemData":{"ISSN":"2540-9328","author":[{"dropping-particle":"","family":"Edem","given":"Utibe A","non-dropping-particle":"","parse-names":false,"suffix":""},{"dropping-particle":"","family":"Okokon","given":"Jude E","non-dropping-particle":"","parse-names":false,"suffix":""}],"container-title":"Biology, Medicine, &amp; Natural Product Chemistry","id":"ITEM-1","issue":"1","issued":{"date-parts":[["2025"]]},"page":"91-100","title":"Subacute Toxicity Study of Leaf Extract of Saccharum officinarum","type":"article-journal","volume":"14"},"uris":["http://www.mendeley.com/documents/?uuid=8cba3841-2c67-452b-a3cf-ec37c99c488f"]}],"mendeley":{"formattedCitation":"(Edem &amp; Okokon, 2025)","manualFormatting":"Edem &amp; Okokon, 2025)","plainTextFormattedCitation":"(Edem &amp; Okokon, 2025)"},"properties":{"noteIndex":0},"schema":"https://github.com/citation-style-language/schema/raw/master/csl-citation.json"}</w:instrText>
      </w:r>
      <w:r w:rsidR="00494EFA">
        <w:rPr>
          <w:rFonts w:ascii="Arial" w:hAnsi="Arial" w:cs="Arial"/>
        </w:rPr>
        <w:fldChar w:fldCharType="separate"/>
      </w:r>
      <w:r w:rsidR="00494EFA" w:rsidRPr="00494EFA">
        <w:rPr>
          <w:rFonts w:ascii="Arial" w:hAnsi="Arial" w:cs="Arial"/>
          <w:noProof/>
        </w:rPr>
        <w:t>Edem &amp; Okokon, 2025)</w:t>
      </w:r>
      <w:r w:rsidR="00494EFA">
        <w:rPr>
          <w:rFonts w:ascii="Arial" w:hAnsi="Arial" w:cs="Arial"/>
        </w:rPr>
        <w:fldChar w:fldCharType="end"/>
      </w:r>
      <w:r w:rsidRPr="00FD532E">
        <w:rPr>
          <w:rFonts w:ascii="Arial" w:hAnsi="Arial" w:cs="Arial"/>
        </w:rPr>
        <w:t>.</w:t>
      </w:r>
      <w:r w:rsidR="00B729B3" w:rsidRPr="00B729B3">
        <w:rPr>
          <w:rFonts w:ascii="Arial" w:hAnsi="Arial" w:cs="Arial"/>
        </w:rPr>
        <w:t xml:space="preserve">Biochemical analysis of serum samples was carried out using an automated </w:t>
      </w:r>
      <w:r w:rsidR="0092237D">
        <w:rPr>
          <w:rFonts w:ascii="Arial" w:hAnsi="Arial" w:cs="Arial"/>
        </w:rPr>
        <w:t xml:space="preserve">chemistry </w:t>
      </w:r>
      <w:r w:rsidR="00B729B3" w:rsidRPr="0092237D">
        <w:rPr>
          <w:rFonts w:ascii="Arial" w:hAnsi="Arial" w:cs="Arial"/>
        </w:rPr>
        <w:t>analyzer</w:t>
      </w:r>
      <w:r w:rsidR="0092237D" w:rsidRPr="0092237D">
        <w:rPr>
          <w:rFonts w:ascii="Times New Roman" w:hAnsi="Times New Roman"/>
          <w:sz w:val="24"/>
          <w:szCs w:val="24"/>
        </w:rPr>
        <w:t xml:space="preserve"> </w:t>
      </w:r>
      <w:r w:rsidR="0092237D">
        <w:rPr>
          <w:rFonts w:ascii="Times New Roman" w:hAnsi="Times New Roman"/>
          <w:sz w:val="24"/>
          <w:szCs w:val="24"/>
        </w:rPr>
        <w:t>(</w:t>
      </w:r>
      <w:r w:rsidR="0092237D" w:rsidRPr="0092237D">
        <w:rPr>
          <w:rFonts w:ascii="Arial" w:hAnsi="Arial" w:cs="Arial"/>
        </w:rPr>
        <w:t>COBAS INTEGRA 800 Autoanalyzer (Roche Diagnostics, Germany)</w:t>
      </w:r>
      <w:r w:rsidR="0028782C">
        <w:rPr>
          <w:rFonts w:ascii="Arial" w:hAnsi="Arial" w:cs="Arial"/>
        </w:rPr>
        <w:t>.</w:t>
      </w:r>
      <w:r w:rsidR="00B729B3" w:rsidRPr="00B729B3">
        <w:rPr>
          <w:rFonts w:ascii="Arial" w:hAnsi="Arial" w:cs="Arial"/>
        </w:rPr>
        <w:t xml:space="preserve"> The parameters measured included alanine aminotransferase (ALT), aspartate aminotransferase (AST), creatinine, </w:t>
      </w:r>
      <w:r w:rsidR="009C0469">
        <w:rPr>
          <w:rFonts w:ascii="Arial" w:hAnsi="Arial" w:cs="Arial"/>
        </w:rPr>
        <w:t xml:space="preserve">and </w:t>
      </w:r>
      <w:r w:rsidR="00B729B3" w:rsidRPr="00B729B3">
        <w:rPr>
          <w:rFonts w:ascii="Arial" w:hAnsi="Arial" w:cs="Arial"/>
        </w:rPr>
        <w:t xml:space="preserve">urea </w:t>
      </w:r>
      <w:r w:rsidR="0028782C">
        <w:rPr>
          <w:rFonts w:ascii="Arial" w:hAnsi="Arial" w:cs="Arial"/>
        </w:rPr>
        <w:fldChar w:fldCharType="begin" w:fldLock="1"/>
      </w:r>
      <w:r w:rsidR="00747DB1">
        <w:rPr>
          <w:rFonts w:ascii="Arial" w:hAnsi="Arial" w:cs="Arial"/>
        </w:rPr>
        <w:instrText>ADDIN CSL_CITATION {"citationItems":[{"id":"ITEM-1","itemData":{"ISSN":"1741-4288","author":[{"dropping-particle":"","family":"Loha","given":"Million","non-dropping-particle":"","parse-names":false,"suffix":""},{"dropping-particle":"","family":"Mulu","given":"Abay","non-dropping-particle":"","parse-names":false,"suffix":""},{"dropping-particle":"","family":"Abay","given":"Solomon M","non-dropping-particle":"","parse-names":false,"suffix":""},{"dropping-particle":"","family":"Ergete","given":"Wondwossen","non-dropping-particle":"","parse-names":false,"suffix":""},{"dropping-particle":"","family":"Geleta","given":"Bekesho","non-dropping-particle":"","parse-names":false,"suffix":""}],"container-title":"Evidence</w:instrText>
      </w:r>
      <w:r w:rsidR="00747DB1">
        <w:rPr>
          <w:rFonts w:ascii="Cambria Math" w:hAnsi="Cambria Math" w:cs="Cambria Math"/>
        </w:rPr>
        <w:instrText>‐</w:instrText>
      </w:r>
      <w:r w:rsidR="00747DB1">
        <w:rPr>
          <w:rFonts w:ascii="Arial" w:hAnsi="Arial" w:cs="Arial"/>
        </w:rPr>
        <w:instrText>Based Complementary and Alternative Medicine","id":"ITEM-1","issue":"1","issued":{"date-parts":[["2019"]]},"page":"5702159","publisher":"Wiley Online Library","title":"Acute and subacute toxicity of methanol extract of Syzygium guineense leaves on the histology of the liver and kidney and biochemical compositions of blood in rats","type":"article-journal","volume":"2019"},"uris":["http://www.mendeley.com/documents/?uuid=315eee11-cb22-4d51-a55a-7d598e45ea1c"]}],"mendeley":{"formattedCitation":"(Loha et al., 2019)","manualFormatting":"(Loha et al., 2019","plainTextFormattedCitation":"(Loha et al., 2019)","previouslyFormattedCitation":"(Loha et al., 2019)"},"properties":{"noteIndex":0},"schema":"https://github.com/citation-style-language/schema/raw/master/csl-citation.json"}</w:instrText>
      </w:r>
      <w:r w:rsidR="0028782C">
        <w:rPr>
          <w:rFonts w:ascii="Arial" w:hAnsi="Arial" w:cs="Arial"/>
        </w:rPr>
        <w:fldChar w:fldCharType="separate"/>
      </w:r>
      <w:r w:rsidR="00C21AB0" w:rsidRPr="00C21AB0">
        <w:rPr>
          <w:rFonts w:ascii="Arial" w:hAnsi="Arial" w:cs="Arial"/>
          <w:noProof/>
        </w:rPr>
        <w:t xml:space="preserve">(Loha </w:t>
      </w:r>
      <w:r w:rsidR="00C21AB0" w:rsidRPr="0076002B">
        <w:rPr>
          <w:rFonts w:ascii="Arial" w:hAnsi="Arial" w:cs="Arial"/>
          <w:i/>
          <w:iCs/>
          <w:noProof/>
        </w:rPr>
        <w:t>et al</w:t>
      </w:r>
      <w:r w:rsidR="00C21AB0" w:rsidRPr="00C21AB0">
        <w:rPr>
          <w:rFonts w:ascii="Arial" w:hAnsi="Arial" w:cs="Arial"/>
          <w:noProof/>
        </w:rPr>
        <w:t>., 2019</w:t>
      </w:r>
      <w:r w:rsidR="0028782C">
        <w:rPr>
          <w:rFonts w:ascii="Arial" w:hAnsi="Arial" w:cs="Arial"/>
        </w:rPr>
        <w:fldChar w:fldCharType="end"/>
      </w:r>
      <w:r w:rsidR="003F14F9">
        <w:rPr>
          <w:rFonts w:ascii="Arial" w:hAnsi="Arial" w:cs="Arial"/>
        </w:rPr>
        <w:t>;</w:t>
      </w:r>
      <w:r w:rsidR="00C466C1">
        <w:rPr>
          <w:rFonts w:ascii="Arial" w:hAnsi="Arial" w:cs="Arial"/>
        </w:rPr>
        <w:fldChar w:fldCharType="begin" w:fldLock="1"/>
      </w:r>
      <w:r w:rsidR="00747DB1">
        <w:rPr>
          <w:rFonts w:ascii="Arial" w:hAnsi="Arial" w:cs="Arial"/>
        </w:rPr>
        <w:instrText>ADDIN CSL_CITATION {"citationItems":[{"id":"ITEM-1","itemData":{"ISSN":"1663-9812","author":[{"dropping-particle":"","family":"Obakiro","given":"Samuel Baker","non-dropping-particle":"","parse-names":false,"suffix":""},{"dropping-particle":"","family":"Kiprop","given":"Ambrose","non-dropping-particle":"","parse-names":false,"suffix":""},{"dropping-particle":"","family":"Kigondu","given":"Elizabeth","non-dropping-particle":"","parse-names":false,"suffix":""},{"dropping-particle":"","family":"K’owino","given":"Isaac","non-dropping-particle":"","parse-names":false,"suffix":""},{"dropping-particle":"","family":"Kiyimba","given":"Kenedy","non-dropping-particle":"","parse-names":false,"suffix":""},{"dropping-particle":"","family":"Drago Kato","given":"Charles","non-dropping-particle":"","parse-names":false,"suffix":""},{"dropping-particle":"","family":"Gavamukulya","given":"Yahaya","non-dropping-particle":"","parse-names":false,"suffix":""}],"container-title":"Frontiers in Pharmacology","id":"ITEM-1","issued":{"date-parts":[["2021"]]},"page":"740305","publisher":"Frontiers Media SA","title":"Sub-acute toxicity effects of methanolic stem bark extract of Entada abyssinica on biochemical, haematological and histopathological parameters in wistar albino rats","type":"article-journal","volume":"12"},"uris":["http://www.mendeley.com/documents/?uuid=654b5953-532c-432a-a24d-7ae0e5577fdb"]}],"mendeley":{"formattedCitation":"(Obakiro et al., 2021)","manualFormatting":"Obakiro et al., 2021)","plainTextFormattedCitation":"(Obakiro et al., 2021)","previouslyFormattedCitation":"(Obakiro et al., 2021)"},"properties":{"noteIndex":0},"schema":"https://github.com/citation-style-language/schema/raw/master/csl-citation.json"}</w:instrText>
      </w:r>
      <w:r w:rsidR="00C466C1">
        <w:rPr>
          <w:rFonts w:ascii="Arial" w:hAnsi="Arial" w:cs="Arial"/>
        </w:rPr>
        <w:fldChar w:fldCharType="separate"/>
      </w:r>
      <w:r w:rsidR="00C21AB0" w:rsidRPr="00C21AB0">
        <w:rPr>
          <w:rFonts w:ascii="Arial" w:hAnsi="Arial" w:cs="Arial"/>
          <w:noProof/>
        </w:rPr>
        <w:t xml:space="preserve">Obakiro </w:t>
      </w:r>
      <w:r w:rsidR="00C21AB0" w:rsidRPr="0076002B">
        <w:rPr>
          <w:rFonts w:ascii="Arial" w:hAnsi="Arial" w:cs="Arial"/>
          <w:i/>
          <w:iCs/>
          <w:noProof/>
        </w:rPr>
        <w:t>et al</w:t>
      </w:r>
      <w:r w:rsidR="00C21AB0" w:rsidRPr="00C21AB0">
        <w:rPr>
          <w:rFonts w:ascii="Arial" w:hAnsi="Arial" w:cs="Arial"/>
          <w:noProof/>
        </w:rPr>
        <w:t>., 2021)</w:t>
      </w:r>
      <w:r w:rsidR="00C466C1">
        <w:rPr>
          <w:rFonts w:ascii="Arial" w:hAnsi="Arial" w:cs="Arial"/>
        </w:rPr>
        <w:fldChar w:fldCharType="end"/>
      </w:r>
      <w:r w:rsidR="00B729B3" w:rsidRPr="00B729B3">
        <w:rPr>
          <w:rFonts w:ascii="Arial" w:hAnsi="Arial" w:cs="Arial"/>
        </w:rPr>
        <w:t xml:space="preserve"> .</w:t>
      </w:r>
    </w:p>
    <w:p w14:paraId="0837900B" w14:textId="77777777" w:rsidR="00790ADA" w:rsidRDefault="00790ADA" w:rsidP="00360D3A">
      <w:pPr>
        <w:pStyle w:val="Body"/>
        <w:spacing w:after="0" w:line="480" w:lineRule="auto"/>
        <w:rPr>
          <w:rFonts w:ascii="Arial" w:hAnsi="Arial" w:cs="Arial"/>
          <w:b/>
          <w:bCs/>
        </w:rPr>
      </w:pPr>
    </w:p>
    <w:p w14:paraId="64D35E15" w14:textId="77777777" w:rsidR="002C723D" w:rsidRDefault="007160A1" w:rsidP="00360D3A">
      <w:pPr>
        <w:pStyle w:val="Body"/>
        <w:spacing w:after="0" w:line="480" w:lineRule="auto"/>
      </w:pPr>
      <w:r w:rsidRPr="007160A1">
        <w:rPr>
          <w:rFonts w:ascii="Arial" w:hAnsi="Arial" w:cs="Arial"/>
          <w:b/>
          <w:bCs/>
          <w:sz w:val="22"/>
          <w:szCs w:val="22"/>
        </w:rPr>
        <w:t>2.6 Statistical analysis</w:t>
      </w:r>
      <w:r w:rsidR="002C723D" w:rsidRPr="002C723D">
        <w:t xml:space="preserve"> </w:t>
      </w:r>
    </w:p>
    <w:p w14:paraId="0AFFEB74" w14:textId="77777777" w:rsidR="002C723D" w:rsidRDefault="002C723D" w:rsidP="00360D3A">
      <w:pPr>
        <w:pStyle w:val="Body"/>
        <w:spacing w:after="0" w:line="480" w:lineRule="auto"/>
      </w:pPr>
    </w:p>
    <w:p w14:paraId="16A2D08E" w14:textId="54D4953B" w:rsidR="007160A1" w:rsidRPr="002C723D" w:rsidRDefault="00DE166A" w:rsidP="00360D3A">
      <w:pPr>
        <w:pStyle w:val="Body"/>
        <w:spacing w:after="0" w:line="480" w:lineRule="auto"/>
        <w:rPr>
          <w:rFonts w:ascii="Arial" w:hAnsi="Arial" w:cs="Arial"/>
        </w:rPr>
      </w:pPr>
      <w:r>
        <w:rPr>
          <w:rFonts w:ascii="Arial" w:hAnsi="Arial" w:cs="Arial"/>
        </w:rPr>
        <w:t>Statistical analysis was performed using GraphPad Prism 10. The sample size per group was calculated to achieve 80% power at a significance level of p = 0.05, using LaMotte’s</w:t>
      </w:r>
      <w:r w:rsidR="002C723D" w:rsidRPr="002C723D">
        <w:rPr>
          <w:rFonts w:ascii="Arial" w:hAnsi="Arial" w:cs="Arial"/>
        </w:rPr>
        <w:t xml:space="preserve"> power calculation method, resulting in n = 5 per group. Data were tested for normality using the Shapiro–Wilk test. Values are presented as mean ± SEM. Comparisons among experimental groups were calculated with one-way ANOVA, followed by Bonferroni post hoc test for multiple comparisons with significance set at p &lt; 0.05.</w:t>
      </w:r>
    </w:p>
    <w:p w14:paraId="02F9F00C" w14:textId="77777777" w:rsidR="00AA6DBE" w:rsidRDefault="00AA6DBE" w:rsidP="00360D3A">
      <w:pPr>
        <w:pStyle w:val="Body"/>
        <w:spacing w:after="0" w:line="480" w:lineRule="auto"/>
        <w:rPr>
          <w:rFonts w:ascii="Arial" w:hAnsi="Arial" w:cs="Arial"/>
          <w:b/>
          <w:bCs/>
          <w:sz w:val="22"/>
          <w:szCs w:val="22"/>
        </w:rPr>
      </w:pPr>
    </w:p>
    <w:p w14:paraId="7FD2DEE3" w14:textId="77777777" w:rsidR="00AA6DBE" w:rsidRPr="007160A1" w:rsidRDefault="00AA6DBE" w:rsidP="00360D3A">
      <w:pPr>
        <w:pStyle w:val="Body"/>
        <w:spacing w:after="0" w:line="480" w:lineRule="auto"/>
        <w:rPr>
          <w:rFonts w:ascii="Arial" w:hAnsi="Arial" w:cs="Arial"/>
          <w:b/>
          <w:bCs/>
          <w:sz w:val="22"/>
          <w:szCs w:val="22"/>
        </w:rPr>
      </w:pPr>
    </w:p>
    <w:p w14:paraId="569D99F6" w14:textId="68664F80" w:rsidR="00902823" w:rsidRDefault="00000F8F" w:rsidP="00360D3A">
      <w:pPr>
        <w:pStyle w:val="Head1"/>
        <w:spacing w:after="0" w:line="480" w:lineRule="auto"/>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17AE900E" w14:textId="77777777" w:rsidR="00E053D0" w:rsidRDefault="00E053D0" w:rsidP="00360D3A">
      <w:pPr>
        <w:pStyle w:val="Body"/>
        <w:spacing w:after="0" w:line="480" w:lineRule="auto"/>
        <w:rPr>
          <w:rFonts w:ascii="Arial" w:hAnsi="Arial" w:cs="Arial"/>
        </w:rPr>
      </w:pPr>
    </w:p>
    <w:p w14:paraId="29FFA58E" w14:textId="25C8EF67" w:rsidR="003809FB" w:rsidRDefault="003809FB" w:rsidP="00360D3A">
      <w:pPr>
        <w:pStyle w:val="Body"/>
        <w:spacing w:after="0" w:line="480" w:lineRule="auto"/>
        <w:rPr>
          <w:rFonts w:ascii="Arial" w:hAnsi="Arial" w:cs="Arial"/>
          <w:b/>
          <w:bCs/>
        </w:rPr>
      </w:pPr>
      <w:r w:rsidRPr="003809FB">
        <w:rPr>
          <w:rFonts w:ascii="Arial" w:hAnsi="Arial" w:cs="Arial"/>
          <w:b/>
          <w:bCs/>
        </w:rPr>
        <w:t>3.1 Nutritional analysis</w:t>
      </w:r>
    </w:p>
    <w:p w14:paraId="38B9733E" w14:textId="77777777" w:rsidR="00206534" w:rsidRDefault="00206534" w:rsidP="00360D3A">
      <w:pPr>
        <w:pStyle w:val="Body"/>
        <w:spacing w:after="0" w:line="480" w:lineRule="auto"/>
        <w:rPr>
          <w:rFonts w:ascii="Arial" w:hAnsi="Arial" w:cs="Arial"/>
          <w:b/>
          <w:bCs/>
        </w:rPr>
      </w:pPr>
    </w:p>
    <w:p w14:paraId="6EA9C9E7" w14:textId="2936FD3D" w:rsidR="00206534" w:rsidRDefault="00F21744" w:rsidP="00360D3A">
      <w:pPr>
        <w:pStyle w:val="Body"/>
        <w:spacing w:line="480" w:lineRule="auto"/>
        <w:rPr>
          <w:rFonts w:ascii="Arial" w:hAnsi="Arial" w:cs="Arial"/>
        </w:rPr>
      </w:pPr>
      <w:r w:rsidRPr="00F21744">
        <w:rPr>
          <w:rFonts w:ascii="Arial" w:hAnsi="Arial" w:cs="Arial"/>
        </w:rPr>
        <w:t xml:space="preserve">The details proximate analysis of </w:t>
      </w:r>
      <w:r w:rsidR="00766827">
        <w:rPr>
          <w:rFonts w:ascii="Arial" w:hAnsi="Arial" w:cs="Arial"/>
        </w:rPr>
        <w:t xml:space="preserve">the </w:t>
      </w:r>
      <w:r w:rsidRPr="00F21744">
        <w:rPr>
          <w:rFonts w:ascii="Arial" w:hAnsi="Arial" w:cs="Arial"/>
        </w:rPr>
        <w:t>GG leaf extract was presented in Table 1. The high moisture content in GG. The moisture content was</w:t>
      </w:r>
      <w:r w:rsidR="007F7C09" w:rsidRPr="007F7C09">
        <w:t xml:space="preserve"> </w:t>
      </w:r>
      <w:r w:rsidR="006A4F30">
        <w:rPr>
          <w:rFonts w:ascii="Arial" w:hAnsi="Arial" w:cs="Arial"/>
        </w:rPr>
        <w:t>65</w:t>
      </w:r>
      <w:r w:rsidR="007F7C09" w:rsidRPr="007F7C09">
        <w:rPr>
          <w:rFonts w:ascii="Arial" w:hAnsi="Arial" w:cs="Arial"/>
        </w:rPr>
        <w:t>.20 ± 0.25%</w:t>
      </w:r>
      <w:r w:rsidRPr="007F7C09">
        <w:rPr>
          <w:rFonts w:ascii="Arial" w:hAnsi="Arial" w:cs="Arial"/>
        </w:rPr>
        <w:t>,</w:t>
      </w:r>
      <w:r w:rsidRPr="00F21744">
        <w:rPr>
          <w:rFonts w:ascii="Arial" w:hAnsi="Arial" w:cs="Arial"/>
        </w:rPr>
        <w:t xml:space="preserve"> crude protein 17.30 ± 0.30%, crude fat 3.05 ± 0.10%, crude fiber </w:t>
      </w:r>
      <w:r w:rsidR="001C6F75">
        <w:rPr>
          <w:rFonts w:ascii="Arial" w:hAnsi="Arial" w:cs="Arial"/>
        </w:rPr>
        <w:t>15.10</w:t>
      </w:r>
      <w:r w:rsidRPr="00F21744">
        <w:rPr>
          <w:rFonts w:ascii="Arial" w:hAnsi="Arial" w:cs="Arial"/>
        </w:rPr>
        <w:t xml:space="preserve"> ± 0.</w:t>
      </w:r>
      <w:r w:rsidR="001C6F75">
        <w:rPr>
          <w:rFonts w:ascii="Arial" w:hAnsi="Arial" w:cs="Arial"/>
        </w:rPr>
        <w:t>28</w:t>
      </w:r>
      <w:r w:rsidRPr="00F21744">
        <w:rPr>
          <w:rFonts w:ascii="Arial" w:hAnsi="Arial" w:cs="Arial"/>
        </w:rPr>
        <w:t>%, and ash content 1.25 ± 0.06%. Carbohydrates constituted the highest amount at 85.40 ± 0.50%</w:t>
      </w:r>
      <w:r w:rsidR="00F63885">
        <w:rPr>
          <w:rFonts w:ascii="Arial" w:hAnsi="Arial" w:cs="Arial"/>
        </w:rPr>
        <w:t xml:space="preserve"> (Table.1)</w:t>
      </w:r>
      <w:r w:rsidRPr="00F21744">
        <w:rPr>
          <w:rFonts w:ascii="Arial" w:hAnsi="Arial" w:cs="Arial"/>
        </w:rPr>
        <w:t>.</w:t>
      </w:r>
      <w:r w:rsidR="00766827">
        <w:rPr>
          <w:rFonts w:ascii="Arial" w:hAnsi="Arial" w:cs="Arial"/>
        </w:rPr>
        <w:t xml:space="preserve"> </w:t>
      </w:r>
      <w:r w:rsidRPr="00F21744">
        <w:rPr>
          <w:rFonts w:ascii="Arial" w:hAnsi="Arial" w:cs="Arial"/>
        </w:rPr>
        <w:t>These findings indicate that G</w:t>
      </w:r>
      <w:r w:rsidR="00766827">
        <w:rPr>
          <w:rFonts w:ascii="Arial" w:hAnsi="Arial" w:cs="Arial"/>
        </w:rPr>
        <w:t>G</w:t>
      </w:r>
      <w:r w:rsidRPr="00F21744">
        <w:rPr>
          <w:rFonts w:ascii="Arial" w:hAnsi="Arial" w:cs="Arial"/>
        </w:rPr>
        <w:t xml:space="preserve"> leaves are high sources of carbohydrates and proteins, but the sources of fats and </w:t>
      </w:r>
      <w:r w:rsidR="007F7C09">
        <w:rPr>
          <w:rFonts w:ascii="Arial" w:hAnsi="Arial" w:cs="Arial"/>
        </w:rPr>
        <w:t xml:space="preserve">moisture </w:t>
      </w:r>
      <w:r w:rsidRPr="00F21744">
        <w:rPr>
          <w:rFonts w:ascii="Arial" w:hAnsi="Arial" w:cs="Arial"/>
        </w:rPr>
        <w:t xml:space="preserve">are relatively low. The substantial carbohydrate percentage </w:t>
      </w:r>
      <w:r w:rsidR="00766827" w:rsidRPr="00F21744">
        <w:rPr>
          <w:rFonts w:ascii="Arial" w:hAnsi="Arial" w:cs="Arial"/>
        </w:rPr>
        <w:t>emphasizes</w:t>
      </w:r>
      <w:r w:rsidRPr="00F21744">
        <w:rPr>
          <w:rFonts w:ascii="Arial" w:hAnsi="Arial" w:cs="Arial"/>
        </w:rPr>
        <w:t xml:space="preserve"> their potential as an energy source, and the large amount of protein content indicates their nutritional use in animal growth and maintenance. </w:t>
      </w:r>
      <w:r w:rsidR="00766827">
        <w:rPr>
          <w:rFonts w:ascii="Arial" w:hAnsi="Arial" w:cs="Arial"/>
        </w:rPr>
        <w:t>Low-fat</w:t>
      </w:r>
      <w:r w:rsidRPr="00F21744">
        <w:rPr>
          <w:rFonts w:ascii="Arial" w:hAnsi="Arial" w:cs="Arial"/>
        </w:rPr>
        <w:t xml:space="preserve"> content is an advantage to the formulation of low-energy diets, and the fiber and ash fractions indicate digestive and mineral supplements</w:t>
      </w:r>
      <w:r w:rsidR="000950C7">
        <w:rPr>
          <w:rFonts w:ascii="Arial" w:hAnsi="Arial" w:cs="Arial"/>
        </w:rPr>
        <w:t>.</w:t>
      </w:r>
      <w:r w:rsidR="000950C7" w:rsidRPr="000950C7">
        <w:t xml:space="preserve"> </w:t>
      </w:r>
      <w:r w:rsidR="000950C7" w:rsidRPr="000950C7">
        <w:rPr>
          <w:rFonts w:ascii="Arial" w:hAnsi="Arial" w:cs="Arial"/>
        </w:rPr>
        <w:t xml:space="preserve">Moisture means </w:t>
      </w:r>
      <w:r w:rsidR="000950C7">
        <w:rPr>
          <w:rFonts w:ascii="Arial" w:hAnsi="Arial" w:cs="Arial"/>
        </w:rPr>
        <w:t>the presence of</w:t>
      </w:r>
      <w:r w:rsidR="000950C7" w:rsidRPr="000950C7">
        <w:rPr>
          <w:rFonts w:ascii="Arial" w:hAnsi="Arial" w:cs="Arial"/>
        </w:rPr>
        <w:t xml:space="preserve"> water content, </w:t>
      </w:r>
      <w:r w:rsidR="000950C7">
        <w:rPr>
          <w:rFonts w:ascii="Arial" w:hAnsi="Arial" w:cs="Arial"/>
        </w:rPr>
        <w:t xml:space="preserve">which </w:t>
      </w:r>
      <w:r w:rsidR="000950C7" w:rsidRPr="000950C7">
        <w:rPr>
          <w:rFonts w:ascii="Arial" w:hAnsi="Arial" w:cs="Arial"/>
        </w:rPr>
        <w:t xml:space="preserve">is essential for </w:t>
      </w:r>
      <w:r w:rsidR="0000010D">
        <w:rPr>
          <w:rFonts w:ascii="Arial" w:hAnsi="Arial" w:cs="Arial"/>
        </w:rPr>
        <w:t>life</w:t>
      </w:r>
      <w:r w:rsidRPr="00F21744">
        <w:rPr>
          <w:rFonts w:ascii="Arial" w:hAnsi="Arial" w:cs="Arial"/>
        </w:rPr>
        <w:t xml:space="preserve">. These results agree with previous studies that describe </w:t>
      </w:r>
      <w:r w:rsidR="008A4CDB" w:rsidRPr="008A4CDB">
        <w:rPr>
          <w:rFonts w:ascii="Arial" w:hAnsi="Arial" w:cs="Arial"/>
        </w:rPr>
        <w:t>GG</w:t>
      </w:r>
      <w:r w:rsidRPr="00F21744">
        <w:rPr>
          <w:rFonts w:ascii="Arial" w:hAnsi="Arial" w:cs="Arial"/>
        </w:rPr>
        <w:t xml:space="preserve"> as one of the functional foods with nutritional and therapeutic significance</w:t>
      </w:r>
      <w:r w:rsidR="002D1EA0">
        <w:rPr>
          <w:rFonts w:ascii="Arial" w:hAnsi="Arial" w:cs="Arial"/>
        </w:rPr>
        <w:fldChar w:fldCharType="begin" w:fldLock="1"/>
      </w:r>
      <w:r w:rsidR="00747DB1">
        <w:rPr>
          <w:rFonts w:ascii="Arial" w:hAnsi="Arial" w:cs="Arial"/>
        </w:rPr>
        <w:instrText>ADDIN CSL_CITATION {"citationItems":[{"id":"ITEM-1","itemData":{"ISSN":"0308-8146","author":[{"dropping-particle":"","family":"Bhat","given":"Rajeev","non-dropping-particle":"","parse-names":false,"suffix":""},{"dropping-particle":"","family":"binti Yahya","given":"Nabilah","non-dropping-particle":"","parse-names":false,"suffix":""}],"container-title":"Food chemistry","id":"ITEM-1","issued":{"date-parts":[["2014"]]},"page":"42-49","publisher":"Elsevier","title":"Evaluating belinjau (Gnetum gnemon L.) seed flour quality as a base for development of novel food products and food formulations","type":"article-journal","volume":"156"},"uris":["http://www.mendeley.com/documents/?uuid=89d37a29-a1c5-4551-af56-108109e9719f"]}],"mendeley":{"formattedCitation":"(Bhat &amp; binti Yahya, 2014)","manualFormatting":"(Bhat &amp; binti Yahya, 2014","plainTextFormattedCitation":"(Bhat &amp; binti Yahya, 2014)","previouslyFormattedCitation":"(Bhat &amp; binti Yahya, 2014)"},"properties":{"noteIndex":0},"schema":"https://github.com/citation-style-language/schema/raw/master/csl-citation.json"}</w:instrText>
      </w:r>
      <w:r w:rsidR="002D1EA0">
        <w:rPr>
          <w:rFonts w:ascii="Arial" w:hAnsi="Arial" w:cs="Arial"/>
        </w:rPr>
        <w:fldChar w:fldCharType="separate"/>
      </w:r>
      <w:r w:rsidR="00C21AB0" w:rsidRPr="00C21AB0">
        <w:rPr>
          <w:rFonts w:ascii="Arial" w:hAnsi="Arial" w:cs="Arial"/>
          <w:noProof/>
        </w:rPr>
        <w:t>(Bhat &amp; binti Yahya, 2014</w:t>
      </w:r>
      <w:r w:rsidR="002D1EA0">
        <w:rPr>
          <w:rFonts w:ascii="Arial" w:hAnsi="Arial" w:cs="Arial"/>
        </w:rPr>
        <w:fldChar w:fldCharType="end"/>
      </w:r>
      <w:r w:rsidR="00D27D61">
        <w:rPr>
          <w:rFonts w:ascii="Arial" w:hAnsi="Arial" w:cs="Arial"/>
        </w:rPr>
        <w:t>;</w:t>
      </w:r>
      <w:r w:rsidR="00B93864">
        <w:rPr>
          <w:rFonts w:ascii="Arial" w:hAnsi="Arial" w:cs="Arial"/>
        </w:rPr>
        <w:fldChar w:fldCharType="begin" w:fldLock="1"/>
      </w:r>
      <w:r w:rsidR="00C21AB0">
        <w:rPr>
          <w:rFonts w:ascii="Arial" w:hAnsi="Arial" w:cs="Arial"/>
        </w:rPr>
        <w:instrText>ADDIN CSL_CITATION {"citationItems":[{"id":"ITEM-1","itemData":{"author":[{"dropping-particle":"V","family":"MOLLEJON","given":"CHARITO","non-dropping-particle":"","parse-names":false,"suffix":""},{"dropping-particle":"","family":"GABANE","given":"L E O S","non-dropping-particle":"","parse-names":false,"suffix":""}],"container-title":"NUTRITIONAL AND NUTRACEUTICAL CONTENT OF Gnetum gnemon (BAGO) LEAF EXTRACT","id":"ITEM-1","issue":"2","issued":{"date-parts":[["2019"]]},"page":"75","title":"Nutritional and nutraceutical content of Gnetum gnemon (bago) leaf extract","type":"article-journal","volume":"31"},"uris":["http://www.mendeley.com/documents/?uuid=cde194c4-f7b8-4b2e-9e41-712515c79447"]}],"mendeley":{"formattedCitation":"(MOLLEJON &amp; GABANE, 2019)","manualFormatting":"Mollejon &amp; Gabane, 2019)","plainTextFormattedCitation":"(MOLLEJON &amp; GABANE, 2019)","previouslyFormattedCitation":"(MOLLEJON &amp; GABANE, 2019)"},"properties":{"noteIndex":0},"schema":"https://github.com/citation-style-language/schema/raw/master/csl-citation.json"}</w:instrText>
      </w:r>
      <w:r w:rsidR="00B93864">
        <w:rPr>
          <w:rFonts w:ascii="Arial" w:hAnsi="Arial" w:cs="Arial"/>
        </w:rPr>
        <w:fldChar w:fldCharType="separate"/>
      </w:r>
      <w:r w:rsidR="00B93864" w:rsidRPr="00B93864">
        <w:rPr>
          <w:rFonts w:ascii="Arial" w:hAnsi="Arial" w:cs="Arial"/>
          <w:noProof/>
        </w:rPr>
        <w:t>M</w:t>
      </w:r>
      <w:r w:rsidR="00B93864">
        <w:rPr>
          <w:rFonts w:ascii="Arial" w:hAnsi="Arial" w:cs="Arial"/>
          <w:noProof/>
        </w:rPr>
        <w:t>ollejon</w:t>
      </w:r>
      <w:r w:rsidR="00B93864" w:rsidRPr="00B93864">
        <w:rPr>
          <w:rFonts w:ascii="Arial" w:hAnsi="Arial" w:cs="Arial"/>
          <w:noProof/>
        </w:rPr>
        <w:t xml:space="preserve"> &amp; </w:t>
      </w:r>
      <w:r w:rsidR="00B93864">
        <w:rPr>
          <w:rFonts w:ascii="Arial" w:hAnsi="Arial" w:cs="Arial"/>
          <w:noProof/>
        </w:rPr>
        <w:t>Gabane</w:t>
      </w:r>
      <w:r w:rsidR="00B93864" w:rsidRPr="00B93864">
        <w:rPr>
          <w:rFonts w:ascii="Arial" w:hAnsi="Arial" w:cs="Arial"/>
          <w:noProof/>
        </w:rPr>
        <w:t>, 2019)</w:t>
      </w:r>
      <w:r w:rsidR="00B93864">
        <w:rPr>
          <w:rFonts w:ascii="Arial" w:hAnsi="Arial" w:cs="Arial"/>
        </w:rPr>
        <w:fldChar w:fldCharType="end"/>
      </w:r>
      <w:r w:rsidRPr="00F21744">
        <w:rPr>
          <w:rFonts w:ascii="Arial" w:hAnsi="Arial" w:cs="Arial"/>
        </w:rPr>
        <w:t>.</w:t>
      </w:r>
    </w:p>
    <w:p w14:paraId="0738E876" w14:textId="2E63A004" w:rsidR="000A1B56" w:rsidRDefault="000A1B56" w:rsidP="00360D3A">
      <w:pPr>
        <w:pStyle w:val="Body"/>
        <w:spacing w:line="480" w:lineRule="auto"/>
        <w:jc w:val="center"/>
        <w:rPr>
          <w:rFonts w:ascii="Arial" w:hAnsi="Arial" w:cs="Arial"/>
          <w:b/>
          <w:bCs/>
        </w:rPr>
      </w:pPr>
      <w:r w:rsidRPr="000A1B56">
        <w:rPr>
          <w:rFonts w:ascii="Arial" w:hAnsi="Arial" w:cs="Arial"/>
          <w:b/>
          <w:bCs/>
        </w:rPr>
        <w:t>Table 1. Proximate analysis of GG leaf extract</w:t>
      </w:r>
    </w:p>
    <w:tbl>
      <w:tblPr>
        <w:tblStyle w:val="GridTable6Colorful2"/>
        <w:tblW w:w="8500" w:type="dxa"/>
        <w:tblLook w:val="04A0" w:firstRow="1" w:lastRow="0" w:firstColumn="1" w:lastColumn="0" w:noHBand="0" w:noVBand="1"/>
      </w:tblPr>
      <w:tblGrid>
        <w:gridCol w:w="4945"/>
        <w:gridCol w:w="3555"/>
      </w:tblGrid>
      <w:tr w:rsidR="00EF43FE" w:rsidRPr="00EF43FE" w14:paraId="4D228CEB" w14:textId="77777777" w:rsidTr="00781A51">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4945" w:type="dxa"/>
          </w:tcPr>
          <w:p w14:paraId="25057747" w14:textId="77777777" w:rsidR="00EF43FE" w:rsidRPr="00EF43FE" w:rsidRDefault="00EF43FE" w:rsidP="00EF43FE">
            <w:pPr>
              <w:jc w:val="center"/>
              <w:rPr>
                <w:rFonts w:ascii="Arial" w:hAnsi="Arial" w:cs="Arial"/>
              </w:rPr>
            </w:pPr>
            <w:r w:rsidRPr="00EF43FE">
              <w:rPr>
                <w:rFonts w:ascii="Arial" w:hAnsi="Arial" w:cs="Arial"/>
              </w:rPr>
              <w:t>Parameters</w:t>
            </w:r>
          </w:p>
        </w:tc>
        <w:tc>
          <w:tcPr>
            <w:tcW w:w="3555" w:type="dxa"/>
          </w:tcPr>
          <w:p w14:paraId="5DBD95A4" w14:textId="77777777" w:rsidR="00EF43FE" w:rsidRPr="00EF43FE" w:rsidRDefault="00EF43FE" w:rsidP="00EF43F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F43FE">
              <w:rPr>
                <w:rFonts w:ascii="Arial" w:hAnsi="Arial" w:cs="Arial"/>
              </w:rPr>
              <w:t>Value (Mean ± SEM, n = 5)</w:t>
            </w:r>
          </w:p>
        </w:tc>
      </w:tr>
      <w:tr w:rsidR="00EF43FE" w:rsidRPr="00EF43FE" w14:paraId="7B5857A2" w14:textId="77777777" w:rsidTr="00781A5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4945" w:type="dxa"/>
          </w:tcPr>
          <w:p w14:paraId="4184F321" w14:textId="77777777" w:rsidR="00EF43FE" w:rsidRPr="00EF43FE" w:rsidRDefault="00EF43FE" w:rsidP="00EF43FE">
            <w:pPr>
              <w:jc w:val="center"/>
              <w:rPr>
                <w:rFonts w:ascii="Arial" w:hAnsi="Arial" w:cs="Arial"/>
              </w:rPr>
            </w:pPr>
            <w:r w:rsidRPr="00EF43FE">
              <w:rPr>
                <w:rFonts w:ascii="Arial" w:hAnsi="Arial" w:cs="Arial"/>
              </w:rPr>
              <w:t>Moisture content</w:t>
            </w:r>
          </w:p>
        </w:tc>
        <w:tc>
          <w:tcPr>
            <w:tcW w:w="3555" w:type="dxa"/>
          </w:tcPr>
          <w:p w14:paraId="24701813" w14:textId="77777777" w:rsidR="00EF43FE" w:rsidRPr="00EF43FE" w:rsidRDefault="00EF43FE" w:rsidP="00EF43F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F43FE">
              <w:rPr>
                <w:rFonts w:ascii="Arial" w:hAnsi="Arial" w:cs="Arial"/>
              </w:rPr>
              <w:t>65.20 ± 0.25 %</w:t>
            </w:r>
          </w:p>
        </w:tc>
      </w:tr>
      <w:tr w:rsidR="00EF43FE" w:rsidRPr="00EF43FE" w14:paraId="6BE4BD79" w14:textId="77777777" w:rsidTr="00781A51">
        <w:trPr>
          <w:trHeight w:val="528"/>
        </w:trPr>
        <w:tc>
          <w:tcPr>
            <w:cnfStyle w:val="001000000000" w:firstRow="0" w:lastRow="0" w:firstColumn="1" w:lastColumn="0" w:oddVBand="0" w:evenVBand="0" w:oddHBand="0" w:evenHBand="0" w:firstRowFirstColumn="0" w:firstRowLastColumn="0" w:lastRowFirstColumn="0" w:lastRowLastColumn="0"/>
            <w:tcW w:w="4945" w:type="dxa"/>
          </w:tcPr>
          <w:p w14:paraId="0726CDAD" w14:textId="77777777" w:rsidR="00EF43FE" w:rsidRPr="00EF43FE" w:rsidRDefault="00EF43FE" w:rsidP="00EF43FE">
            <w:pPr>
              <w:jc w:val="center"/>
              <w:rPr>
                <w:rFonts w:ascii="Arial" w:hAnsi="Arial" w:cs="Arial"/>
              </w:rPr>
            </w:pPr>
            <w:r w:rsidRPr="00EF43FE">
              <w:rPr>
                <w:rFonts w:ascii="Arial" w:hAnsi="Arial" w:cs="Arial"/>
              </w:rPr>
              <w:t>Crude protein</w:t>
            </w:r>
          </w:p>
        </w:tc>
        <w:tc>
          <w:tcPr>
            <w:tcW w:w="3555" w:type="dxa"/>
          </w:tcPr>
          <w:p w14:paraId="76AD2802" w14:textId="77777777" w:rsidR="00EF43FE" w:rsidRPr="00EF43FE" w:rsidRDefault="00EF43FE" w:rsidP="00EF43F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F43FE">
              <w:rPr>
                <w:rFonts w:ascii="Arial" w:hAnsi="Arial" w:cs="Arial"/>
              </w:rPr>
              <w:t>17.30 ± 0.30 %</w:t>
            </w:r>
          </w:p>
        </w:tc>
      </w:tr>
      <w:tr w:rsidR="00EF43FE" w:rsidRPr="00EF43FE" w14:paraId="06C99ECF" w14:textId="77777777" w:rsidTr="00781A5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4945" w:type="dxa"/>
          </w:tcPr>
          <w:p w14:paraId="4145C8C3" w14:textId="77777777" w:rsidR="00EF43FE" w:rsidRPr="00EF43FE" w:rsidRDefault="00EF43FE" w:rsidP="00EF43FE">
            <w:pPr>
              <w:jc w:val="center"/>
              <w:rPr>
                <w:rFonts w:ascii="Arial" w:hAnsi="Arial" w:cs="Arial"/>
              </w:rPr>
            </w:pPr>
            <w:r w:rsidRPr="00EF43FE">
              <w:rPr>
                <w:rFonts w:ascii="Arial" w:hAnsi="Arial" w:cs="Arial"/>
              </w:rPr>
              <w:t>Crude fat</w:t>
            </w:r>
          </w:p>
          <w:p w14:paraId="2D33B9C8" w14:textId="77777777" w:rsidR="00EF43FE" w:rsidRPr="00EF43FE" w:rsidRDefault="00EF43FE" w:rsidP="00EF43FE">
            <w:pPr>
              <w:jc w:val="center"/>
              <w:rPr>
                <w:rFonts w:ascii="Arial" w:hAnsi="Arial" w:cs="Arial"/>
              </w:rPr>
            </w:pPr>
          </w:p>
        </w:tc>
        <w:tc>
          <w:tcPr>
            <w:tcW w:w="3555" w:type="dxa"/>
          </w:tcPr>
          <w:p w14:paraId="346AF870" w14:textId="77777777" w:rsidR="00EF43FE" w:rsidRPr="00EF43FE" w:rsidRDefault="00EF43FE" w:rsidP="00EF43F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F43FE">
              <w:rPr>
                <w:rFonts w:ascii="Arial" w:hAnsi="Arial" w:cs="Arial"/>
              </w:rPr>
              <w:t>3.05 ± 0.10 %</w:t>
            </w:r>
          </w:p>
        </w:tc>
      </w:tr>
      <w:tr w:rsidR="00EF43FE" w:rsidRPr="00EF43FE" w14:paraId="5ED06D49" w14:textId="77777777" w:rsidTr="00781A51">
        <w:trPr>
          <w:trHeight w:val="528"/>
        </w:trPr>
        <w:tc>
          <w:tcPr>
            <w:cnfStyle w:val="001000000000" w:firstRow="0" w:lastRow="0" w:firstColumn="1" w:lastColumn="0" w:oddVBand="0" w:evenVBand="0" w:oddHBand="0" w:evenHBand="0" w:firstRowFirstColumn="0" w:firstRowLastColumn="0" w:lastRowFirstColumn="0" w:lastRowLastColumn="0"/>
            <w:tcW w:w="4945" w:type="dxa"/>
          </w:tcPr>
          <w:p w14:paraId="7FDE0E90" w14:textId="77777777" w:rsidR="00EF43FE" w:rsidRPr="00EF43FE" w:rsidRDefault="00EF43FE" w:rsidP="00EF43FE">
            <w:pPr>
              <w:jc w:val="center"/>
              <w:rPr>
                <w:rFonts w:ascii="Arial" w:hAnsi="Arial" w:cs="Arial"/>
              </w:rPr>
            </w:pPr>
            <w:r w:rsidRPr="00EF43FE">
              <w:rPr>
                <w:rFonts w:ascii="Arial" w:hAnsi="Arial" w:cs="Arial"/>
              </w:rPr>
              <w:t>Crude fiber</w:t>
            </w:r>
          </w:p>
        </w:tc>
        <w:tc>
          <w:tcPr>
            <w:tcW w:w="3555" w:type="dxa"/>
          </w:tcPr>
          <w:p w14:paraId="04E1A054" w14:textId="77777777" w:rsidR="00EF43FE" w:rsidRPr="00EF43FE" w:rsidRDefault="00EF43FE" w:rsidP="00EF43F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F43FE">
              <w:rPr>
                <w:rFonts w:ascii="Arial" w:hAnsi="Arial" w:cs="Arial"/>
              </w:rPr>
              <w:t>15.10 ± 0.28%</w:t>
            </w:r>
          </w:p>
        </w:tc>
      </w:tr>
      <w:tr w:rsidR="00EF43FE" w:rsidRPr="00EF43FE" w14:paraId="5885868E" w14:textId="77777777" w:rsidTr="00781A5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4945" w:type="dxa"/>
          </w:tcPr>
          <w:p w14:paraId="7CFD8140" w14:textId="77777777" w:rsidR="00EF43FE" w:rsidRPr="00EF43FE" w:rsidRDefault="00EF43FE" w:rsidP="00EF43FE">
            <w:pPr>
              <w:jc w:val="center"/>
              <w:rPr>
                <w:rFonts w:ascii="Arial" w:hAnsi="Arial" w:cs="Arial"/>
              </w:rPr>
            </w:pPr>
            <w:r w:rsidRPr="00EF43FE">
              <w:rPr>
                <w:rFonts w:ascii="Arial" w:hAnsi="Arial" w:cs="Arial"/>
              </w:rPr>
              <w:t>Ash content</w:t>
            </w:r>
          </w:p>
        </w:tc>
        <w:tc>
          <w:tcPr>
            <w:tcW w:w="3555" w:type="dxa"/>
          </w:tcPr>
          <w:p w14:paraId="24547E7F" w14:textId="77777777" w:rsidR="00EF43FE" w:rsidRPr="00EF43FE" w:rsidRDefault="00EF43FE" w:rsidP="00EF43F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F43FE">
              <w:rPr>
                <w:rFonts w:ascii="Arial" w:hAnsi="Arial" w:cs="Arial"/>
              </w:rPr>
              <w:t>1.25 ± 0.06 %</w:t>
            </w:r>
          </w:p>
        </w:tc>
      </w:tr>
      <w:tr w:rsidR="00EF43FE" w:rsidRPr="00EF43FE" w14:paraId="681F190C" w14:textId="77777777" w:rsidTr="00781A51">
        <w:trPr>
          <w:trHeight w:val="528"/>
        </w:trPr>
        <w:tc>
          <w:tcPr>
            <w:cnfStyle w:val="001000000000" w:firstRow="0" w:lastRow="0" w:firstColumn="1" w:lastColumn="0" w:oddVBand="0" w:evenVBand="0" w:oddHBand="0" w:evenHBand="0" w:firstRowFirstColumn="0" w:firstRowLastColumn="0" w:lastRowFirstColumn="0" w:lastRowLastColumn="0"/>
            <w:tcW w:w="4945" w:type="dxa"/>
          </w:tcPr>
          <w:p w14:paraId="1587ED2D" w14:textId="77777777" w:rsidR="00EF43FE" w:rsidRPr="00EF43FE" w:rsidRDefault="00EF43FE" w:rsidP="00EF43FE">
            <w:pPr>
              <w:jc w:val="center"/>
              <w:rPr>
                <w:rFonts w:ascii="Arial" w:hAnsi="Arial" w:cs="Arial"/>
              </w:rPr>
            </w:pPr>
            <w:r w:rsidRPr="00EF43FE">
              <w:rPr>
                <w:rFonts w:ascii="Arial" w:hAnsi="Arial" w:cs="Arial"/>
              </w:rPr>
              <w:t>Carbohydrate content</w:t>
            </w:r>
          </w:p>
        </w:tc>
        <w:tc>
          <w:tcPr>
            <w:tcW w:w="3555" w:type="dxa"/>
          </w:tcPr>
          <w:p w14:paraId="1AA286EE" w14:textId="77777777" w:rsidR="00EF43FE" w:rsidRPr="00EF43FE" w:rsidRDefault="00EF43FE" w:rsidP="00EF43F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F43FE">
              <w:rPr>
                <w:rFonts w:ascii="Arial" w:hAnsi="Arial" w:cs="Arial"/>
              </w:rPr>
              <w:t>85.40 ± 0.50 %</w:t>
            </w:r>
          </w:p>
        </w:tc>
      </w:tr>
    </w:tbl>
    <w:p w14:paraId="50656728" w14:textId="526E9346" w:rsidR="00ED310B" w:rsidRPr="00B97915" w:rsidRDefault="00ED310B" w:rsidP="00360D3A">
      <w:pPr>
        <w:pStyle w:val="Body"/>
        <w:spacing w:line="480" w:lineRule="auto"/>
        <w:rPr>
          <w:rFonts w:ascii="Arial" w:hAnsi="Arial" w:cs="Arial"/>
          <w:b/>
          <w:bCs/>
        </w:rPr>
      </w:pPr>
    </w:p>
    <w:p w14:paraId="4723EAD2" w14:textId="77777777" w:rsidR="005F7277" w:rsidRDefault="006C10CA" w:rsidP="00360D3A">
      <w:pPr>
        <w:pStyle w:val="Body"/>
        <w:spacing w:line="480" w:lineRule="auto"/>
        <w:rPr>
          <w:rFonts w:ascii="Arial" w:hAnsi="Arial" w:cs="Arial"/>
          <w:b/>
          <w:bCs/>
        </w:rPr>
      </w:pPr>
      <w:r>
        <w:rPr>
          <w:rFonts w:ascii="Arial" w:hAnsi="Arial" w:cs="Arial"/>
          <w:b/>
          <w:bCs/>
        </w:rPr>
        <w:lastRenderedPageBreak/>
        <w:t>3.2 LC-MS analysis</w:t>
      </w:r>
    </w:p>
    <w:p w14:paraId="268E4603" w14:textId="172FAE1C" w:rsidR="000A1B56" w:rsidRDefault="005F7277" w:rsidP="00360D3A">
      <w:pPr>
        <w:pStyle w:val="Body"/>
        <w:spacing w:line="480" w:lineRule="auto"/>
        <w:rPr>
          <w:rFonts w:ascii="Arial" w:hAnsi="Arial" w:cs="Arial"/>
        </w:rPr>
      </w:pPr>
      <w:r w:rsidRPr="005F7277">
        <w:t xml:space="preserve"> </w:t>
      </w:r>
      <w:r w:rsidRPr="005F7277">
        <w:rPr>
          <w:rFonts w:ascii="Arial" w:hAnsi="Arial" w:cs="Arial"/>
        </w:rPr>
        <w:t xml:space="preserve">LC-MS analysis of </w:t>
      </w:r>
      <w:r w:rsidR="002B7440">
        <w:rPr>
          <w:rFonts w:ascii="Arial" w:hAnsi="Arial" w:cs="Arial"/>
        </w:rPr>
        <w:t xml:space="preserve">GG </w:t>
      </w:r>
      <w:r w:rsidRPr="005F7277">
        <w:rPr>
          <w:rFonts w:ascii="Arial" w:hAnsi="Arial" w:cs="Arial"/>
        </w:rPr>
        <w:t xml:space="preserve">extract showed the presence of </w:t>
      </w:r>
      <w:r>
        <w:rPr>
          <w:rFonts w:ascii="Arial" w:hAnsi="Arial" w:cs="Arial"/>
        </w:rPr>
        <w:t>several</w:t>
      </w:r>
      <w:r w:rsidRPr="005F7277">
        <w:rPr>
          <w:rFonts w:ascii="Arial" w:hAnsi="Arial" w:cs="Arial"/>
        </w:rPr>
        <w:t xml:space="preserve"> key peaks with major ions found at m/z</w:t>
      </w:r>
      <w:r>
        <w:rPr>
          <w:rFonts w:ascii="Arial" w:hAnsi="Arial" w:cs="Arial"/>
        </w:rPr>
        <w:t xml:space="preserve"> </w:t>
      </w:r>
      <w:r w:rsidRPr="002E1665">
        <w:t>132.95,</w:t>
      </w:r>
      <w:r>
        <w:t xml:space="preserve"> </w:t>
      </w:r>
      <w:r w:rsidRPr="002E1665">
        <w:t>232.76,</w:t>
      </w:r>
      <w:r>
        <w:t xml:space="preserve"> </w:t>
      </w:r>
      <w:r w:rsidRPr="002E1665">
        <w:t>289.94,</w:t>
      </w:r>
      <w:r>
        <w:t xml:space="preserve"> </w:t>
      </w:r>
      <w:r w:rsidRPr="002E1665">
        <w:t>416.94,</w:t>
      </w:r>
      <w:r>
        <w:t xml:space="preserve"> </w:t>
      </w:r>
      <w:r w:rsidRPr="002E1665">
        <w:t>487.20,</w:t>
      </w:r>
      <w:r>
        <w:t xml:space="preserve"> </w:t>
      </w:r>
      <w:r w:rsidRPr="002E1665">
        <w:t>514.25,</w:t>
      </w:r>
      <w:r>
        <w:t xml:space="preserve"> </w:t>
      </w:r>
      <w:r w:rsidRPr="002E1665">
        <w:t>585.17,713.33,104.16,</w:t>
      </w:r>
      <w:r w:rsidR="002B7440">
        <w:t xml:space="preserve"> </w:t>
      </w:r>
      <w:r w:rsidRPr="002E1665">
        <w:t>186.06,</w:t>
      </w:r>
      <w:r w:rsidR="002B7440">
        <w:t xml:space="preserve"> </w:t>
      </w:r>
      <w:r w:rsidRPr="002E1665">
        <w:t>227.13,</w:t>
      </w:r>
      <w:r w:rsidR="002B7440">
        <w:t xml:space="preserve"> </w:t>
      </w:r>
      <w:r w:rsidRPr="002E1665">
        <w:t>274.21,</w:t>
      </w:r>
      <w:r w:rsidR="002B7440">
        <w:t xml:space="preserve"> </w:t>
      </w:r>
      <w:r w:rsidRPr="002E1665">
        <w:t>340.27,</w:t>
      </w:r>
      <w:r w:rsidR="002B7440">
        <w:t xml:space="preserve"> </w:t>
      </w:r>
      <w:r w:rsidRPr="002E1665">
        <w:t>453.30,</w:t>
      </w:r>
      <w:r w:rsidR="002B7440">
        <w:t xml:space="preserve"> </w:t>
      </w:r>
      <w:r w:rsidRPr="002E1665">
        <w:t>491.24,</w:t>
      </w:r>
      <w:r w:rsidR="002B7440">
        <w:t xml:space="preserve"> </w:t>
      </w:r>
      <w:r w:rsidRPr="002E1665">
        <w:t>556.39,</w:t>
      </w:r>
      <w:r w:rsidR="002B7440">
        <w:t xml:space="preserve"> </w:t>
      </w:r>
      <w:r w:rsidRPr="002E1665">
        <w:t>679.46,</w:t>
      </w:r>
      <w:r w:rsidR="002B7440">
        <w:t xml:space="preserve"> </w:t>
      </w:r>
      <w:r w:rsidRPr="002E1665">
        <w:t>717.40,</w:t>
      </w:r>
      <w:r w:rsidR="002B7440">
        <w:t xml:space="preserve"> </w:t>
      </w:r>
      <w:r w:rsidRPr="002E1665">
        <w:t>871.50</w:t>
      </w:r>
      <w:r w:rsidR="00DF7B22">
        <w:t>(Fig.1a and b)</w:t>
      </w:r>
      <w:r>
        <w:t>.</w:t>
      </w:r>
      <w:r w:rsidRPr="005F7277">
        <w:rPr>
          <w:rFonts w:ascii="Arial" w:hAnsi="Arial" w:cs="Arial"/>
        </w:rPr>
        <w:t xml:space="preserve"> These prominent peaks were accompanied by other minor peaks that were found, which can possibly add to the total bioactivity of the extract. Interestingly, certain of the observed peaks</w:t>
      </w:r>
      <w:r w:rsidR="000C0191">
        <w:rPr>
          <w:rFonts w:ascii="Arial" w:hAnsi="Arial" w:cs="Arial"/>
        </w:rPr>
        <w:t xml:space="preserve"> m/z</w:t>
      </w:r>
      <w:r w:rsidRPr="005F7277">
        <w:rPr>
          <w:rFonts w:ascii="Arial" w:hAnsi="Arial" w:cs="Arial"/>
        </w:rPr>
        <w:t xml:space="preserve"> </w:t>
      </w:r>
      <w:r w:rsidR="000C0191">
        <w:rPr>
          <w:rFonts w:ascii="Arial" w:hAnsi="Arial" w:cs="Arial"/>
        </w:rPr>
        <w:t xml:space="preserve">453.30 and 227.13 </w:t>
      </w:r>
      <w:r w:rsidRPr="005F7277">
        <w:rPr>
          <w:rFonts w:ascii="Arial" w:hAnsi="Arial" w:cs="Arial"/>
        </w:rPr>
        <w:t xml:space="preserve">were closely related to those </w:t>
      </w:r>
      <w:r>
        <w:rPr>
          <w:rFonts w:ascii="Arial" w:hAnsi="Arial" w:cs="Arial"/>
        </w:rPr>
        <w:t>previously</w:t>
      </w:r>
      <w:r w:rsidRPr="005F7277">
        <w:rPr>
          <w:rFonts w:ascii="Arial" w:hAnsi="Arial" w:cs="Arial"/>
        </w:rPr>
        <w:t xml:space="preserve"> reported in G</w:t>
      </w:r>
      <w:r w:rsidR="0050513E">
        <w:rPr>
          <w:rFonts w:ascii="Arial" w:hAnsi="Arial" w:cs="Arial"/>
        </w:rPr>
        <w:t>G</w:t>
      </w:r>
      <w:r w:rsidR="00B42897">
        <w:rPr>
          <w:rFonts w:ascii="Arial" w:hAnsi="Arial" w:cs="Arial"/>
        </w:rPr>
        <w:fldChar w:fldCharType="begin" w:fldLock="1"/>
      </w:r>
      <w:r w:rsidR="00956D90">
        <w:rPr>
          <w:rFonts w:ascii="Arial" w:hAnsi="Arial" w:cs="Arial"/>
        </w:rPr>
        <w:instrText>ADDIN CSL_CITATION {"citationItems":[{"id":"ITEM-1","itemData":{"ISSN":"2455-3891","author":[{"dropping-particle":"","family":"Mun'im","given":"Abdul","non-dropping-particle":"","parse-names":false,"suffix":""},{"dropping-particle":"","family":"Munadhil","given":"Muhammad Ashar","non-dropping-particle":"","parse-names":false,"suffix":""},{"dropping-particle":"","family":"Puspitasari","given":"Nuraini","non-dropping-particle":"","parse-names":false,"suffix":""},{"dropping-particle":"","family":"Yanuar","given":"Arry","non-dropping-particle":"","parse-names":false,"suffix":""}],"container-title":"Asian Journal of Pharmaceutical and Clinical Research","id":"ITEM-1","issued":{"date-parts":[["2017"]]},"page":"148-243","title":"Angiotensin converting enzyme inhibitory activity of Melinjo (Gnetum gnemon L.) seed extracts and molecular docking of its stilbene constituents","type":"article-journal"},"uris":["http://www.mendeley.com/documents/?uuid=2b20613d-2fa7-40b5-8132-95efcb6908bf"]}],"mendeley":{"formattedCitation":"(Mun’im et al., 2017)","manualFormatting":"(Munim et al., 2017)","plainTextFormattedCitation":"(Mun’im et al., 2017)","previouslyFormattedCitation":"(Mun’im et al., 2017)"},"properties":{"noteIndex":0},"schema":"https://github.com/citation-style-language/schema/raw/master/csl-citation.json"}</w:instrText>
      </w:r>
      <w:r w:rsidR="00B42897">
        <w:rPr>
          <w:rFonts w:ascii="Arial" w:hAnsi="Arial" w:cs="Arial"/>
        </w:rPr>
        <w:fldChar w:fldCharType="separate"/>
      </w:r>
      <w:r w:rsidR="00B42897" w:rsidRPr="00B42897">
        <w:rPr>
          <w:rFonts w:ascii="Arial" w:hAnsi="Arial" w:cs="Arial"/>
          <w:noProof/>
        </w:rPr>
        <w:t xml:space="preserve">(Munim </w:t>
      </w:r>
      <w:r w:rsidR="00B42897" w:rsidRPr="00554C04">
        <w:rPr>
          <w:rFonts w:ascii="Arial" w:hAnsi="Arial" w:cs="Arial"/>
          <w:i/>
          <w:iCs/>
          <w:noProof/>
        </w:rPr>
        <w:t>et al</w:t>
      </w:r>
      <w:r w:rsidR="00B42897" w:rsidRPr="00B42897">
        <w:rPr>
          <w:rFonts w:ascii="Arial" w:hAnsi="Arial" w:cs="Arial"/>
          <w:noProof/>
        </w:rPr>
        <w:t>., 2017)</w:t>
      </w:r>
      <w:r w:rsidR="00B42897">
        <w:rPr>
          <w:rFonts w:ascii="Arial" w:hAnsi="Arial" w:cs="Arial"/>
        </w:rPr>
        <w:fldChar w:fldCharType="end"/>
      </w:r>
      <w:r w:rsidRPr="005F7277">
        <w:rPr>
          <w:rFonts w:ascii="Arial" w:hAnsi="Arial" w:cs="Arial"/>
        </w:rPr>
        <w:t>. As an example, m/z 227 was similar to resveratrol</w:t>
      </w:r>
      <w:r>
        <w:rPr>
          <w:rFonts w:ascii="Arial" w:hAnsi="Arial" w:cs="Arial"/>
        </w:rPr>
        <w:t>,</w:t>
      </w:r>
      <w:r w:rsidRPr="005F7277">
        <w:rPr>
          <w:rFonts w:ascii="Arial" w:hAnsi="Arial" w:cs="Arial"/>
        </w:rPr>
        <w:t xml:space="preserve"> and m/z 455.19 was similar to gnetin C, which are well-known stilbenoid derivatives with powerful antioxidant and pharmacologic properties</w:t>
      </w:r>
      <w:r w:rsidR="007B0E05">
        <w:rPr>
          <w:rFonts w:ascii="Arial" w:hAnsi="Arial" w:cs="Arial"/>
        </w:rPr>
        <w:fldChar w:fldCharType="begin" w:fldLock="1"/>
      </w:r>
      <w:r w:rsidR="00B42897">
        <w:rPr>
          <w:rFonts w:ascii="Arial" w:hAnsi="Arial" w:cs="Arial"/>
        </w:rPr>
        <w:instrText>ADDIN CSL_CITATION {"citationItems":[{"id":"ITEM-1","itemData":{"author":[{"dropping-particle":"","family":"Hafidz","given":"Kholid Abdul","non-dropping-particle":"","parse-names":false,"suffix":""},{"dropping-particle":"","family":"Puspitasari","given":"Nuraini","non-dropping-particle":"","parse-names":false,"suffix":""},{"dropping-particle":"","family":"Yanuar","given":"Arry","non-dropping-particle":"","parse-names":false,"suffix":""},{"dropping-particle":"","family":"Artha","given":"Yuditya","non-dropping-particle":"","parse-names":false,"suffix":""},{"dropping-particle":"","family":"Mun’im","given":"Abdul","non-dropping-particle":"","parse-names":false,"suffix":""}],"container-title":"Journal of Young Pharmacists","id":"ITEM-1","issue":"4","issued":{"date-parts":[["2017"]]},"page":"559","title":"HMG-CoA Reductase inhibitory activity of Gnetum gnemon seed extract and identification of potential inhibitors for lowering cholesterol level","type":"article-journal","volume":"9"},"uris":["http://www.mendeley.com/documents/?uuid=0cc2f876-bb17-499b-adf9-367a3c5ad801"]}],"mendeley":{"formattedCitation":"(Hafidz et al., 2017)","plainTextFormattedCitation":"(Hafidz et al., 2017)","previouslyFormattedCitation":"(Hafidz et al., 2017)"},"properties":{"noteIndex":0},"schema":"https://github.com/citation-style-language/schema/raw/master/csl-citation.json"}</w:instrText>
      </w:r>
      <w:r w:rsidR="007B0E05">
        <w:rPr>
          <w:rFonts w:ascii="Arial" w:hAnsi="Arial" w:cs="Arial"/>
        </w:rPr>
        <w:fldChar w:fldCharType="separate"/>
      </w:r>
      <w:r w:rsidR="007B0E05" w:rsidRPr="007B0E05">
        <w:rPr>
          <w:rFonts w:ascii="Arial" w:hAnsi="Arial" w:cs="Arial"/>
          <w:noProof/>
        </w:rPr>
        <w:t xml:space="preserve">(Hafidz </w:t>
      </w:r>
      <w:r w:rsidR="007B0E05" w:rsidRPr="00554C04">
        <w:rPr>
          <w:rFonts w:ascii="Arial" w:hAnsi="Arial" w:cs="Arial"/>
          <w:i/>
          <w:iCs/>
          <w:noProof/>
        </w:rPr>
        <w:t>et al</w:t>
      </w:r>
      <w:r w:rsidR="007B0E05" w:rsidRPr="007B0E05">
        <w:rPr>
          <w:rFonts w:ascii="Arial" w:hAnsi="Arial" w:cs="Arial"/>
          <w:noProof/>
        </w:rPr>
        <w:t>., 2017)</w:t>
      </w:r>
      <w:r w:rsidR="007B0E05">
        <w:rPr>
          <w:rFonts w:ascii="Arial" w:hAnsi="Arial" w:cs="Arial"/>
        </w:rPr>
        <w:fldChar w:fldCharType="end"/>
      </w:r>
      <w:r w:rsidRPr="005F7277">
        <w:rPr>
          <w:rFonts w:ascii="Arial" w:hAnsi="Arial" w:cs="Arial"/>
        </w:rPr>
        <w:t xml:space="preserve">. The availability of these bioactive components indicates the possible contribution of the extract to its therapeutic effects, thus indicating that </w:t>
      </w:r>
      <w:r w:rsidR="002B7440">
        <w:rPr>
          <w:rFonts w:ascii="Arial" w:hAnsi="Arial" w:cs="Arial"/>
        </w:rPr>
        <w:t>GG</w:t>
      </w:r>
      <w:r w:rsidRPr="005F7277">
        <w:rPr>
          <w:rFonts w:ascii="Arial" w:hAnsi="Arial" w:cs="Arial"/>
        </w:rPr>
        <w:t xml:space="preserve"> is a potential source of functional phytochemicals.</w:t>
      </w:r>
    </w:p>
    <w:p w14:paraId="7133ED1C" w14:textId="3350BBB5" w:rsidR="00316216" w:rsidRDefault="00316216" w:rsidP="00360D3A">
      <w:pPr>
        <w:pStyle w:val="Body"/>
        <w:spacing w:line="480" w:lineRule="auto"/>
        <w:rPr>
          <w:rFonts w:ascii="Arial" w:hAnsi="Arial" w:cs="Arial"/>
        </w:rPr>
      </w:pPr>
      <w:r>
        <w:rPr>
          <w:noProof/>
        </w:rPr>
        <w:drawing>
          <wp:inline distT="0" distB="0" distL="0" distR="0" wp14:anchorId="166F9F15" wp14:editId="0891FD93">
            <wp:extent cx="5417222" cy="2415540"/>
            <wp:effectExtent l="0" t="0" r="0" b="3810"/>
            <wp:docPr id="18835619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450859" cy="2430539"/>
                    </a:xfrm>
                    <a:prstGeom prst="rect">
                      <a:avLst/>
                    </a:prstGeom>
                    <a:noFill/>
                    <a:ln>
                      <a:noFill/>
                    </a:ln>
                  </pic:spPr>
                </pic:pic>
              </a:graphicData>
            </a:graphic>
          </wp:inline>
        </w:drawing>
      </w:r>
    </w:p>
    <w:p w14:paraId="52B3CE53" w14:textId="5FF0FAB5" w:rsidR="00316216" w:rsidRDefault="0098383B" w:rsidP="00360D3A">
      <w:pPr>
        <w:pStyle w:val="Body"/>
        <w:spacing w:line="480" w:lineRule="auto"/>
        <w:rPr>
          <w:rFonts w:ascii="Arial" w:hAnsi="Arial" w:cs="Arial"/>
        </w:rPr>
      </w:pPr>
      <w:r>
        <w:rPr>
          <w:rFonts w:ascii="Arial" w:hAnsi="Arial" w:cs="Arial"/>
        </w:rPr>
        <w:lastRenderedPageBreak/>
        <w:t xml:space="preserve">    </w:t>
      </w:r>
      <w:r w:rsidR="00316216">
        <w:rPr>
          <w:noProof/>
        </w:rPr>
        <w:drawing>
          <wp:inline distT="0" distB="0" distL="0" distR="0" wp14:anchorId="740032D9" wp14:editId="059542CF">
            <wp:extent cx="5474208" cy="2369820"/>
            <wp:effectExtent l="0" t="0" r="0" b="0"/>
            <wp:docPr id="14836887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BEBA8EAE-BF5A-486C-A8C5-ECC9F3942E4B}">
                          <a14:imgProps xmlns:a14="http://schemas.microsoft.com/office/drawing/2010/main">
                            <a14:imgLayer r:embed="rId1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525628" cy="2392080"/>
                    </a:xfrm>
                    <a:prstGeom prst="rect">
                      <a:avLst/>
                    </a:prstGeom>
                    <a:noFill/>
                    <a:ln>
                      <a:noFill/>
                    </a:ln>
                  </pic:spPr>
                </pic:pic>
              </a:graphicData>
            </a:graphic>
          </wp:inline>
        </w:drawing>
      </w:r>
    </w:p>
    <w:p w14:paraId="515FB2B6" w14:textId="00E75678" w:rsidR="00316216" w:rsidRDefault="000C66C3" w:rsidP="00360D3A">
      <w:pPr>
        <w:pStyle w:val="Body"/>
        <w:spacing w:line="480" w:lineRule="auto"/>
        <w:rPr>
          <w:rFonts w:ascii="Arial" w:hAnsi="Arial" w:cs="Arial"/>
        </w:rPr>
      </w:pPr>
      <w:r w:rsidRPr="00690DDC">
        <w:rPr>
          <w:b/>
          <w:bCs/>
        </w:rPr>
        <w:t>Fig</w:t>
      </w:r>
      <w:r w:rsidR="003761E8">
        <w:rPr>
          <w:b/>
          <w:bCs/>
        </w:rPr>
        <w:t xml:space="preserve"> </w:t>
      </w:r>
      <w:r w:rsidRPr="00690DDC">
        <w:rPr>
          <w:b/>
          <w:bCs/>
        </w:rPr>
        <w:t xml:space="preserve">1.LC–MS chromatograms and mass spectra of </w:t>
      </w:r>
      <w:r w:rsidR="00690DDC" w:rsidRPr="00690DDC">
        <w:rPr>
          <w:rStyle w:val="Emphasis"/>
          <w:b/>
          <w:bCs/>
        </w:rPr>
        <w:t xml:space="preserve">GG </w:t>
      </w:r>
      <w:r w:rsidRPr="00690DDC">
        <w:rPr>
          <w:b/>
          <w:bCs/>
        </w:rPr>
        <w:t>extract (Fig. a and Fig. b) showing the presence of several bioactive compounds</w:t>
      </w:r>
      <w:r>
        <w:t>.</w:t>
      </w:r>
    </w:p>
    <w:p w14:paraId="3CCF2D0F" w14:textId="77777777" w:rsidR="006C10CA" w:rsidRDefault="006C10CA" w:rsidP="00360D3A">
      <w:pPr>
        <w:pStyle w:val="Body"/>
        <w:spacing w:line="480" w:lineRule="auto"/>
      </w:pPr>
      <w:r>
        <w:rPr>
          <w:rFonts w:ascii="Arial" w:hAnsi="Arial" w:cs="Arial"/>
          <w:b/>
          <w:bCs/>
        </w:rPr>
        <w:t>3.4 Hematological parameter analysis</w:t>
      </w:r>
      <w:r w:rsidRPr="006C10CA">
        <w:t xml:space="preserve"> </w:t>
      </w:r>
    </w:p>
    <w:p w14:paraId="701C6D0E" w14:textId="6AE41E02" w:rsidR="006C10CA" w:rsidRPr="001512AB" w:rsidRDefault="001512AB" w:rsidP="00360D3A">
      <w:pPr>
        <w:spacing w:after="200" w:line="480" w:lineRule="auto"/>
        <w:jc w:val="both"/>
        <w:rPr>
          <w:rFonts w:ascii="Arial" w:eastAsiaTheme="minorHAnsi" w:hAnsi="Arial" w:cs="Arial"/>
          <w:kern w:val="2"/>
          <w14:ligatures w14:val="standardContextual"/>
        </w:rPr>
      </w:pPr>
      <w:r w:rsidRPr="001512AB">
        <w:rPr>
          <w:rFonts w:ascii="Arial" w:eastAsiaTheme="minorHAnsi" w:hAnsi="Arial" w:cs="Arial"/>
          <w:kern w:val="2"/>
          <w14:ligatures w14:val="standardContextual"/>
        </w:rPr>
        <w:t>Hematological profile of the mice receiving GG leaf extract was shown in Fig. There were no statistically significant differences in the values of hematological parameters such as (WBC; Dose: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0.32,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.732; Sex: F</w:t>
      </w:r>
      <w:r w:rsidRPr="001512AB">
        <w:rPr>
          <w:rFonts w:ascii="Cambria Math" w:eastAsiaTheme="minorHAnsi" w:hAnsi="Cambria Math" w:cs="Cambria Math"/>
          <w:kern w:val="2"/>
          <w14:ligatures w14:val="standardContextual"/>
        </w:rPr>
        <w:t>₁</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0.69,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.423; Interaction: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1.08,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.372), </w:t>
      </w:r>
      <w:bookmarkStart w:id="4" w:name="_Hlk206868893"/>
      <w:r w:rsidRPr="001512AB">
        <w:rPr>
          <w:rFonts w:ascii="Arial" w:eastAsiaTheme="minorHAnsi" w:hAnsi="Arial" w:cs="Arial"/>
          <w:kern w:val="2"/>
          <w14:ligatures w14:val="standardContextual"/>
        </w:rPr>
        <w:t>(MCV; Dose: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3.12,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.081; Sex: F</w:t>
      </w:r>
      <w:r w:rsidRPr="001512AB">
        <w:rPr>
          <w:rFonts w:ascii="Cambria Math" w:eastAsiaTheme="minorHAnsi" w:hAnsi="Cambria Math" w:cs="Cambria Math"/>
          <w:kern w:val="2"/>
          <w14:ligatures w14:val="standardContextual"/>
        </w:rPr>
        <w:t>₁</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0.53,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.480; Interaction: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0.44,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.653), (MCH; Dose: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0.39,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.688; Sex: F</w:t>
      </w:r>
      <w:r w:rsidRPr="001512AB">
        <w:rPr>
          <w:rFonts w:ascii="Cambria Math" w:eastAsiaTheme="minorHAnsi" w:hAnsi="Cambria Math" w:cs="Cambria Math"/>
          <w:kern w:val="2"/>
          <w14:ligatures w14:val="standardContextual"/>
        </w:rPr>
        <w:t>₁</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2.70,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.126; Interaction: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0.44,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.654), (MCHC; Dose: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2.36,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.137; Sex: F</w:t>
      </w:r>
      <w:r w:rsidRPr="001512AB">
        <w:rPr>
          <w:rFonts w:ascii="Cambria Math" w:eastAsiaTheme="minorHAnsi" w:hAnsi="Cambria Math" w:cs="Cambria Math"/>
          <w:kern w:val="2"/>
          <w14:ligatures w14:val="standardContextual"/>
        </w:rPr>
        <w:t>₁</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2.14,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.169; Interaction: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0.07,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.932), (platelets; Dose: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0.83,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.460; Sex: F</w:t>
      </w:r>
      <w:r w:rsidRPr="001512AB">
        <w:rPr>
          <w:rFonts w:ascii="Cambria Math" w:eastAsiaTheme="minorHAnsi" w:hAnsi="Cambria Math" w:cs="Cambria Math"/>
          <w:kern w:val="2"/>
          <w14:ligatures w14:val="standardContextual"/>
        </w:rPr>
        <w:t>₁</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3.82,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.075; Interaction: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0.14,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.869), and (PCV; Dose: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0.69,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.520; Sex: F</w:t>
      </w:r>
      <w:r w:rsidRPr="001512AB">
        <w:rPr>
          <w:rFonts w:ascii="Cambria Math" w:eastAsiaTheme="minorHAnsi" w:hAnsi="Cambria Math" w:cs="Cambria Math"/>
          <w:kern w:val="2"/>
          <w14:ligatures w14:val="standardContextual"/>
        </w:rPr>
        <w:t>₁</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1.07,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.321; Interaction: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0.14,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.874) between the treated groups and the control group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&gt;.05), a slight increase in (RBC; Dose: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2.13,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.161; Sex: F</w:t>
      </w:r>
      <w:r w:rsidRPr="001512AB">
        <w:rPr>
          <w:rFonts w:ascii="Cambria Math" w:eastAsiaTheme="minorHAnsi" w:hAnsi="Cambria Math" w:cs="Cambria Math"/>
          <w:kern w:val="2"/>
          <w14:ligatures w14:val="standardContextual"/>
        </w:rPr>
        <w:t>₁</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0.05,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.826; Interaction: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1.21,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.332), (Hb; Dose: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1.69,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.226; Sex: F</w:t>
      </w:r>
      <w:r w:rsidRPr="001512AB">
        <w:rPr>
          <w:rFonts w:ascii="Cambria Math" w:eastAsiaTheme="minorHAnsi" w:hAnsi="Cambria Math" w:cs="Cambria Math"/>
          <w:kern w:val="2"/>
          <w14:ligatures w14:val="standardContextual"/>
        </w:rPr>
        <w:t>₁</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1.87,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.196; Interaction: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2.91,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.093)and (HCT; Dose: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1.20,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.334; Sex: F</w:t>
      </w:r>
      <w:r w:rsidRPr="001512AB">
        <w:rPr>
          <w:rFonts w:ascii="Cambria Math" w:eastAsiaTheme="minorHAnsi" w:hAnsi="Cambria Math" w:cs="Cambria Math"/>
          <w:kern w:val="2"/>
          <w14:ligatures w14:val="standardContextual"/>
        </w:rPr>
        <w:t>₁</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2.17,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.167; Interaction: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2.54,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.120) was observed in the higher dose treated </w:t>
      </w:r>
      <w:r w:rsidRPr="001512AB">
        <w:rPr>
          <w:rFonts w:ascii="Arial" w:eastAsiaTheme="minorHAnsi" w:hAnsi="Arial" w:cs="Arial"/>
          <w:kern w:val="2"/>
          <w14:ligatures w14:val="standardContextual"/>
        </w:rPr>
        <w:lastRenderedPageBreak/>
        <w:t>female mice group(</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&gt;.05) </w:t>
      </w:r>
      <w:bookmarkEnd w:id="4"/>
      <w:r w:rsidRPr="001512AB">
        <w:rPr>
          <w:rFonts w:ascii="Arial" w:eastAsiaTheme="minorHAnsi" w:hAnsi="Arial" w:cs="Arial"/>
          <w:kern w:val="2"/>
          <w14:ligatures w14:val="standardContextual"/>
        </w:rPr>
        <w:t>but still within the normal physiological range</w:t>
      </w:r>
      <w:r w:rsidR="005034A2">
        <w:rPr>
          <w:rFonts w:ascii="Arial" w:hAnsi="Arial" w:cs="Arial"/>
        </w:rPr>
        <w:fldChar w:fldCharType="begin" w:fldLock="1"/>
      </w:r>
      <w:r w:rsidR="006E6C61">
        <w:rPr>
          <w:rFonts w:ascii="Arial" w:hAnsi="Arial" w:cs="Arial"/>
        </w:rPr>
        <w:instrText>ADDIN CSL_CITATION {"citationItems":[{"id":"ITEM-1","itemData":{"ISSN":"0918-6158","author":[{"dropping-particle":"","family":"Suksanga","given":"Anunya","non-dropping-particle":"","parse-names":false,"suffix":""},{"dropping-particle":"","family":"Siripongvutikorn","given":"Sunisa","non-dropping-particle":"","parse-names":false,"suffix":""},{"dropping-particle":"","family":"Leelawattana","given":"Rattana","non-dropping-particle":"","parse-names":false,"suffix":""},{"dropping-particle":"","family":"Yupanqui","given":"Chutha Takahashi","non-dropping-particle":"","parse-names":false,"suffix":""},{"dropping-particle":"","family":"Idowu","given":"Ayodeji Oluwafemi","non-dropping-particle":"","parse-names":false,"suffix":""}],"container-title":"Biological and Pharmaceutical Bulletin","id":"ITEM-1","issue":"12","issued":{"date-parts":[["2023"]]},"page":"1666-1675","publisher":"The Pharmaceutical Society of Japan","title":"Assessment of biological activities, acute and sub-chronic toxicity of Liang (Gnetum gnemon var. tenerum) leaves powder, a natural product","type":"article-journal","volume":"46"},"uris":["http://www.mendeley.com/documents/?uuid=af500f15-a167-4e85-a405-8ab424008e02"]}],"mendeley":{"formattedCitation":"(Suksanga et al., 2023)","plainTextFormattedCitation":"(Suksanga et al., 2023)","previouslyFormattedCitation":"(Suksanga et al., 2023)"},"properties":{"noteIndex":0},"schema":"https://github.com/citation-style-language/schema/raw/master/csl-citation.json"}</w:instrText>
      </w:r>
      <w:r w:rsidR="005034A2">
        <w:rPr>
          <w:rFonts w:ascii="Arial" w:hAnsi="Arial" w:cs="Arial"/>
        </w:rPr>
        <w:fldChar w:fldCharType="separate"/>
      </w:r>
      <w:r w:rsidR="005034A2" w:rsidRPr="005034A2">
        <w:rPr>
          <w:rFonts w:ascii="Arial" w:hAnsi="Arial" w:cs="Arial"/>
          <w:noProof/>
        </w:rPr>
        <w:t xml:space="preserve">(Suksanga </w:t>
      </w:r>
      <w:r w:rsidR="005034A2" w:rsidRPr="00097375">
        <w:rPr>
          <w:rFonts w:ascii="Arial" w:hAnsi="Arial" w:cs="Arial"/>
          <w:i/>
          <w:iCs/>
          <w:noProof/>
        </w:rPr>
        <w:t>et al</w:t>
      </w:r>
      <w:r w:rsidR="005034A2" w:rsidRPr="005034A2">
        <w:rPr>
          <w:rFonts w:ascii="Arial" w:hAnsi="Arial" w:cs="Arial"/>
          <w:noProof/>
        </w:rPr>
        <w:t>., 2023)</w:t>
      </w:r>
      <w:r w:rsidR="005034A2">
        <w:rPr>
          <w:rFonts w:ascii="Arial" w:hAnsi="Arial" w:cs="Arial"/>
        </w:rPr>
        <w:fldChar w:fldCharType="end"/>
      </w:r>
      <w:r w:rsidR="00FB3047">
        <w:rPr>
          <w:rFonts w:ascii="Arial" w:hAnsi="Arial" w:cs="Arial"/>
        </w:rPr>
        <w:t>(Fig</w:t>
      </w:r>
      <w:r w:rsidR="002520E2">
        <w:rPr>
          <w:rFonts w:ascii="Arial" w:hAnsi="Arial" w:cs="Arial"/>
        </w:rPr>
        <w:t>.</w:t>
      </w:r>
      <w:r w:rsidR="00FB3047">
        <w:rPr>
          <w:rFonts w:ascii="Arial" w:hAnsi="Arial" w:cs="Arial"/>
        </w:rPr>
        <w:t xml:space="preserve"> 2)</w:t>
      </w:r>
      <w:r w:rsidR="00200039">
        <w:rPr>
          <w:rFonts w:ascii="Arial" w:hAnsi="Arial" w:cs="Arial"/>
        </w:rPr>
        <w:t>.</w:t>
      </w:r>
      <w:r w:rsidR="006C10CA" w:rsidRPr="006C10CA">
        <w:rPr>
          <w:rFonts w:ascii="Arial" w:hAnsi="Arial" w:cs="Arial"/>
        </w:rPr>
        <w:t xml:space="preserve"> The stable values of RBC, hemoglobin, and hematocrit levels show that the extract did not cause any anemia or any effect on erythropoiesis, and the unaltered WBC values show that the production of leukocytes and the immune process was not compromised. The count of platelets and the volume of mean platelets were also observed to be within the normal physiological range, indicating that the process of thrombopoiesis and the coagulation processes were not affected. The absence of marked changes in all the hematological indices indicates that G</w:t>
      </w:r>
      <w:r w:rsidR="00AC5510">
        <w:rPr>
          <w:rFonts w:ascii="Arial" w:hAnsi="Arial" w:cs="Arial"/>
        </w:rPr>
        <w:t>G leaf</w:t>
      </w:r>
      <w:r w:rsidR="006C10CA" w:rsidRPr="006C10CA">
        <w:rPr>
          <w:rFonts w:ascii="Arial" w:hAnsi="Arial" w:cs="Arial"/>
        </w:rPr>
        <w:t xml:space="preserve"> extract is hematologically safe and it does not cause toxic effects to the </w:t>
      </w:r>
      <w:r w:rsidR="00200039">
        <w:rPr>
          <w:rFonts w:ascii="Arial" w:hAnsi="Arial" w:cs="Arial"/>
        </w:rPr>
        <w:t>blood-forming</w:t>
      </w:r>
      <w:r w:rsidR="006C10CA" w:rsidRPr="006C10CA">
        <w:rPr>
          <w:rFonts w:ascii="Arial" w:hAnsi="Arial" w:cs="Arial"/>
        </w:rPr>
        <w:t xml:space="preserve"> organs, which is in agreement with previous study findings that </w:t>
      </w:r>
      <w:r w:rsidR="00200039">
        <w:rPr>
          <w:rFonts w:ascii="Arial" w:hAnsi="Arial" w:cs="Arial"/>
        </w:rPr>
        <w:t xml:space="preserve">the </w:t>
      </w:r>
      <w:r w:rsidR="006C10CA" w:rsidRPr="006C10CA">
        <w:rPr>
          <w:rFonts w:ascii="Arial" w:hAnsi="Arial" w:cs="Arial"/>
        </w:rPr>
        <w:t>majority of plant-derived extracts do not affect hematological parameters in sub-acute toxicity studies</w:t>
      </w:r>
      <w:r w:rsidR="006E6C61">
        <w:rPr>
          <w:rFonts w:ascii="Arial" w:hAnsi="Arial" w:cs="Arial"/>
        </w:rPr>
        <w:fldChar w:fldCharType="begin" w:fldLock="1"/>
      </w:r>
      <w:r w:rsidR="00C21AB0">
        <w:rPr>
          <w:rFonts w:ascii="Arial" w:hAnsi="Arial" w:cs="Arial"/>
        </w:rPr>
        <w:instrText>ADDIN CSL_CITATION {"citationItems":[{"id":"ITEM-1","itemData":{"ISSN":"1687-9694","author":[{"dropping-particle":"","family":"Ounjaijean","given":"Sakaewan","non-dropping-particle":"","parse-names":false,"suffix":""},{"dropping-particle":"","family":"Somsak","given":"Voravuth","non-dropping-particle":"","parse-names":false,"suffix":""}],"container-title":"Journal of Tropical Medicine","id":"ITEM-1","issue":"1","issued":{"date-parts":[["2024"]]},"page":"3471083","publisher":"Wiley Online Library","title":"Exploring the Antimalarial Potential of Gnetum Gnemon Leaf Extract Against Plasmodium berghei in Mice","type":"article-journal","volume":"2024"},"uris":["http://www.mendeley.com/documents/?uuid=2bfcce36-fd27-4d47-95c8-4047e6ec7e87"]}],"mendeley":{"formattedCitation":"(Ounjaijean &amp; Somsak, 2024)","plainTextFormattedCitation":"(Ounjaijean &amp; Somsak, 2024)","previouslyFormattedCitation":"(Ounjaijean &amp; Somsak, 2024)"},"properties":{"noteIndex":0},"schema":"https://github.com/citation-style-language/schema/raw/master/csl-citation.json"}</w:instrText>
      </w:r>
      <w:r w:rsidR="006E6C61">
        <w:rPr>
          <w:rFonts w:ascii="Arial" w:hAnsi="Arial" w:cs="Arial"/>
        </w:rPr>
        <w:fldChar w:fldCharType="separate"/>
      </w:r>
      <w:r w:rsidR="006E6C61" w:rsidRPr="006E6C61">
        <w:rPr>
          <w:rFonts w:ascii="Arial" w:hAnsi="Arial" w:cs="Arial"/>
          <w:noProof/>
        </w:rPr>
        <w:t>(Ounjaijean &amp; Somsak, 2024)</w:t>
      </w:r>
      <w:r w:rsidR="006E6C61">
        <w:rPr>
          <w:rFonts w:ascii="Arial" w:hAnsi="Arial" w:cs="Arial"/>
        </w:rPr>
        <w:fldChar w:fldCharType="end"/>
      </w:r>
      <w:r w:rsidR="000D1A12">
        <w:rPr>
          <w:rFonts w:ascii="Arial" w:hAnsi="Arial" w:cs="Arial"/>
        </w:rPr>
        <w:t>.</w:t>
      </w:r>
      <w:r w:rsidR="006C10CA" w:rsidRPr="006C10CA">
        <w:rPr>
          <w:rFonts w:ascii="Arial" w:hAnsi="Arial" w:cs="Arial"/>
          <w:b/>
          <w:bCs/>
        </w:rPr>
        <w:t xml:space="preserve"> </w:t>
      </w:r>
    </w:p>
    <w:p w14:paraId="6E3E2DB7" w14:textId="5FFDD5FA" w:rsidR="00500857" w:rsidRDefault="001426DC" w:rsidP="00360D3A">
      <w:pPr>
        <w:pStyle w:val="Body"/>
        <w:spacing w:line="480" w:lineRule="auto"/>
        <w:rPr>
          <w:rFonts w:ascii="Arial" w:hAnsi="Arial" w:cs="Arial"/>
          <w:b/>
          <w:bCs/>
        </w:rPr>
      </w:pPr>
      <w:r>
        <w:rPr>
          <w:rFonts w:ascii="Arial" w:hAnsi="Arial" w:cs="Arial"/>
          <w:b/>
          <w:bCs/>
          <w:noProof/>
        </w:rPr>
        <w:drawing>
          <wp:inline distT="0" distB="0" distL="0" distR="0" wp14:anchorId="2806B76E" wp14:editId="4194F81A">
            <wp:extent cx="5212800" cy="3159760"/>
            <wp:effectExtent l="0" t="0" r="6985" b="2540"/>
            <wp:docPr id="18513989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398945" name="Picture 1851398945"/>
                    <pic:cNvPicPr/>
                  </pic:nvPicPr>
                  <pic:blipFill rotWithShape="1">
                    <a:blip r:embed="rId18" cstate="print">
                      <a:extLst>
                        <a:ext uri="{28A0092B-C50C-407E-A947-70E740481C1C}">
                          <a14:useLocalDpi xmlns:a14="http://schemas.microsoft.com/office/drawing/2010/main" val="0"/>
                        </a:ext>
                      </a:extLst>
                    </a:blip>
                    <a:srcRect l="2213" t="3055" r="4740" b="1137"/>
                    <a:stretch>
                      <a:fillRect/>
                    </a:stretch>
                  </pic:blipFill>
                  <pic:spPr bwMode="auto">
                    <a:xfrm>
                      <a:off x="0" y="0"/>
                      <a:ext cx="5230470" cy="3170471"/>
                    </a:xfrm>
                    <a:prstGeom prst="rect">
                      <a:avLst/>
                    </a:prstGeom>
                    <a:ln>
                      <a:noFill/>
                    </a:ln>
                    <a:extLst>
                      <a:ext uri="{53640926-AAD7-44D8-BBD7-CCE9431645EC}">
                        <a14:shadowObscured xmlns:a14="http://schemas.microsoft.com/office/drawing/2010/main"/>
                      </a:ext>
                    </a:extLst>
                  </pic:spPr>
                </pic:pic>
              </a:graphicData>
            </a:graphic>
          </wp:inline>
        </w:drawing>
      </w:r>
    </w:p>
    <w:p w14:paraId="7EA05090" w14:textId="77777777" w:rsidR="009A14FD" w:rsidRDefault="00500857" w:rsidP="00360D3A">
      <w:pPr>
        <w:pStyle w:val="Body"/>
        <w:spacing w:line="480" w:lineRule="auto"/>
        <w:rPr>
          <w:b/>
          <w:bCs/>
        </w:rPr>
      </w:pPr>
      <w:r>
        <w:rPr>
          <w:rFonts w:ascii="Arial" w:hAnsi="Arial" w:cs="Arial"/>
          <w:b/>
          <w:bCs/>
        </w:rPr>
        <w:t xml:space="preserve">Fig </w:t>
      </w:r>
      <w:r w:rsidR="002B1E29">
        <w:rPr>
          <w:rFonts w:ascii="Arial" w:hAnsi="Arial" w:cs="Arial"/>
          <w:b/>
          <w:bCs/>
        </w:rPr>
        <w:t>2.</w:t>
      </w:r>
      <w:r w:rsidR="002B1E29" w:rsidRPr="002B1E29">
        <w:t xml:space="preserve"> </w:t>
      </w:r>
      <w:r w:rsidR="002B1E29" w:rsidRPr="002B1E29">
        <w:rPr>
          <w:b/>
          <w:bCs/>
        </w:rPr>
        <w:t xml:space="preserve">Hematological parameters of Swiss albino mice </w:t>
      </w:r>
      <w:r w:rsidR="002B1E29">
        <w:rPr>
          <w:b/>
          <w:bCs/>
        </w:rPr>
        <w:t xml:space="preserve">of control and </w:t>
      </w:r>
      <w:r w:rsidR="002B1E29" w:rsidRPr="002B1E29">
        <w:rPr>
          <w:b/>
          <w:bCs/>
          <w:i/>
          <w:iCs/>
        </w:rPr>
        <w:t>Gnetum gnemon</w:t>
      </w:r>
      <w:r w:rsidR="002B1E29" w:rsidRPr="002B1E29">
        <w:rPr>
          <w:b/>
          <w:bCs/>
        </w:rPr>
        <w:t xml:space="preserve"> (GG) leaf </w:t>
      </w:r>
      <w:r w:rsidR="00BF1FF9">
        <w:rPr>
          <w:b/>
          <w:bCs/>
        </w:rPr>
        <w:t>extract-treated</w:t>
      </w:r>
      <w:r w:rsidR="002B1E29">
        <w:rPr>
          <w:b/>
          <w:bCs/>
        </w:rPr>
        <w:t xml:space="preserve"> mi</w:t>
      </w:r>
      <w:r>
        <w:rPr>
          <w:b/>
          <w:bCs/>
        </w:rPr>
        <w:t>ce</w:t>
      </w:r>
    </w:p>
    <w:p w14:paraId="01D41391" w14:textId="42CBCB55" w:rsidR="00CD5EF8" w:rsidRPr="00500857" w:rsidRDefault="00CD5EF8" w:rsidP="00360D3A">
      <w:pPr>
        <w:pStyle w:val="Body"/>
        <w:spacing w:line="480" w:lineRule="auto"/>
        <w:rPr>
          <w:b/>
          <w:bCs/>
        </w:rPr>
      </w:pPr>
      <w:r w:rsidRPr="00CD5EF8">
        <w:rPr>
          <w:i/>
          <w:iCs/>
        </w:rPr>
        <w:lastRenderedPageBreak/>
        <w:t>Values are expressed as mean ± SEM (n = 5). No statistically significant differences (p &gt; .05) were observed</w:t>
      </w:r>
      <w:r w:rsidR="00BF1FF9">
        <w:rPr>
          <w:i/>
          <w:iCs/>
        </w:rPr>
        <w:t xml:space="preserve"> for</w:t>
      </w:r>
      <w:r w:rsidR="00BF1FF9" w:rsidRPr="00BF1FF9">
        <w:rPr>
          <w:rFonts w:ascii="Arial" w:hAnsi="Arial" w:cs="Arial"/>
        </w:rPr>
        <w:t xml:space="preserve"> </w:t>
      </w:r>
      <w:r w:rsidR="00BF1FF9" w:rsidRPr="006C10CA">
        <w:rPr>
          <w:rFonts w:ascii="Arial" w:hAnsi="Arial" w:cs="Arial"/>
        </w:rPr>
        <w:t xml:space="preserve">MCV, MCH, MCHC, platelets, and MPV between the treated groups and the control </w:t>
      </w:r>
      <w:r w:rsidR="005034A2" w:rsidRPr="006C10CA">
        <w:rPr>
          <w:rFonts w:ascii="Arial" w:hAnsi="Arial" w:cs="Arial"/>
        </w:rPr>
        <w:t>group</w:t>
      </w:r>
      <w:r w:rsidR="00414BB1">
        <w:rPr>
          <w:rFonts w:ascii="Arial" w:hAnsi="Arial" w:cs="Arial"/>
        </w:rPr>
        <w:t>. A</w:t>
      </w:r>
      <w:r w:rsidR="00BF1FF9">
        <w:rPr>
          <w:rFonts w:ascii="Arial" w:hAnsi="Arial" w:cs="Arial"/>
        </w:rPr>
        <w:t xml:space="preserve"> slight increase in RBC, Hb, and HCT was observed in the higher dose treated </w:t>
      </w:r>
      <w:r w:rsidR="00B417F0">
        <w:rPr>
          <w:rFonts w:ascii="Arial" w:hAnsi="Arial" w:cs="Arial"/>
        </w:rPr>
        <w:t xml:space="preserve">female </w:t>
      </w:r>
      <w:r w:rsidR="00BF1FF9">
        <w:rPr>
          <w:rFonts w:ascii="Arial" w:hAnsi="Arial" w:cs="Arial"/>
        </w:rPr>
        <w:t>group</w:t>
      </w:r>
      <w:r w:rsidR="00786E11">
        <w:rPr>
          <w:rFonts w:ascii="Arial" w:hAnsi="Arial" w:cs="Arial"/>
        </w:rPr>
        <w:t>,</w:t>
      </w:r>
      <w:r w:rsidR="001426DC">
        <w:rPr>
          <w:rFonts w:ascii="Arial" w:hAnsi="Arial" w:cs="Arial"/>
        </w:rPr>
        <w:t xml:space="preserve"> but</w:t>
      </w:r>
      <w:r w:rsidR="00B417F0">
        <w:rPr>
          <w:rFonts w:ascii="Arial" w:hAnsi="Arial" w:cs="Arial"/>
        </w:rPr>
        <w:t xml:space="preserve"> </w:t>
      </w:r>
      <w:r w:rsidR="00EE75A0">
        <w:rPr>
          <w:rFonts w:ascii="Arial" w:hAnsi="Arial" w:cs="Arial"/>
        </w:rPr>
        <w:t>showed</w:t>
      </w:r>
      <w:r w:rsidR="001426DC">
        <w:rPr>
          <w:rFonts w:ascii="Arial" w:hAnsi="Arial" w:cs="Arial"/>
        </w:rPr>
        <w:t xml:space="preserve"> non-significant(</w:t>
      </w:r>
      <w:r w:rsidR="001426DC" w:rsidRPr="001426DC">
        <w:rPr>
          <w:rFonts w:ascii="Arial" w:hAnsi="Arial" w:cs="Arial"/>
          <w:i/>
          <w:iCs/>
        </w:rPr>
        <w:t>p</w:t>
      </w:r>
      <w:r w:rsidR="001426DC">
        <w:rPr>
          <w:rFonts w:ascii="Arial" w:hAnsi="Arial" w:cs="Arial"/>
        </w:rPr>
        <w:t>&gt;.05)</w:t>
      </w:r>
      <w:r>
        <w:rPr>
          <w:i/>
          <w:iCs/>
        </w:rPr>
        <w:t>.</w:t>
      </w:r>
    </w:p>
    <w:p w14:paraId="741D32C3" w14:textId="77777777" w:rsidR="00585508" w:rsidRDefault="001649B2" w:rsidP="00360D3A">
      <w:pPr>
        <w:pStyle w:val="Body"/>
        <w:spacing w:line="480" w:lineRule="auto"/>
      </w:pPr>
      <w:r>
        <w:rPr>
          <w:rFonts w:ascii="Arial" w:hAnsi="Arial" w:cs="Arial"/>
          <w:b/>
          <w:bCs/>
        </w:rPr>
        <w:t>3.5</w:t>
      </w:r>
      <w:r w:rsidR="000969EE">
        <w:rPr>
          <w:rFonts w:ascii="Arial" w:hAnsi="Arial" w:cs="Arial"/>
          <w:b/>
          <w:bCs/>
        </w:rPr>
        <w:t xml:space="preserve"> Biochemical parameters analysis</w:t>
      </w:r>
      <w:r w:rsidR="00585508" w:rsidRPr="00585508">
        <w:t xml:space="preserve"> </w:t>
      </w:r>
    </w:p>
    <w:p w14:paraId="3CDA4A1A" w14:textId="17A463E7" w:rsidR="00E45B05" w:rsidRPr="005A0513" w:rsidRDefault="002C772A" w:rsidP="00360D3A">
      <w:pPr>
        <w:spacing w:after="200" w:line="480" w:lineRule="auto"/>
        <w:jc w:val="both"/>
        <w:rPr>
          <w:rFonts w:ascii="Arial" w:eastAsiaTheme="minorHAnsi" w:hAnsi="Arial" w:cs="Arial"/>
          <w:kern w:val="2"/>
          <w14:ligatures w14:val="standardContextual"/>
        </w:rPr>
      </w:pPr>
      <w:r w:rsidRPr="002C772A">
        <w:rPr>
          <w:rFonts w:ascii="Arial" w:eastAsiaTheme="minorHAnsi" w:hAnsi="Arial" w:cs="Arial"/>
          <w:kern w:val="2"/>
          <w14:ligatures w14:val="standardContextual"/>
        </w:rPr>
        <w:t xml:space="preserve">The biochemical test results showed that the serum level of alanine aminotransferase (ALT; Dose: F (2,24) =2.511, </w:t>
      </w:r>
      <w:r w:rsidRPr="002C772A">
        <w:rPr>
          <w:rFonts w:ascii="Arial" w:eastAsiaTheme="minorHAnsi" w:hAnsi="Arial" w:cs="Arial"/>
          <w:i/>
          <w:iCs/>
          <w:kern w:val="2"/>
          <w14:ligatures w14:val="standardContextual"/>
        </w:rPr>
        <w:t>p</w:t>
      </w:r>
      <w:r w:rsidRPr="002C772A">
        <w:rPr>
          <w:rFonts w:ascii="Arial" w:eastAsiaTheme="minorHAnsi" w:hAnsi="Arial" w:cs="Arial"/>
          <w:kern w:val="2"/>
          <w14:ligatures w14:val="standardContextual"/>
        </w:rPr>
        <w:t xml:space="preserve">=.10; Sex: F (1,24) =0.115, </w:t>
      </w:r>
      <w:r w:rsidRPr="002C772A">
        <w:rPr>
          <w:rFonts w:ascii="Arial" w:eastAsiaTheme="minorHAnsi" w:hAnsi="Arial" w:cs="Arial"/>
          <w:i/>
          <w:iCs/>
          <w:kern w:val="2"/>
          <w14:ligatures w14:val="standardContextual"/>
        </w:rPr>
        <w:t>p</w:t>
      </w:r>
      <w:r w:rsidRPr="002C772A">
        <w:rPr>
          <w:rFonts w:ascii="Arial" w:eastAsiaTheme="minorHAnsi" w:hAnsi="Arial" w:cs="Arial"/>
          <w:kern w:val="2"/>
          <w14:ligatures w14:val="standardContextual"/>
        </w:rPr>
        <w:t xml:space="preserve">=.73; Interaction: F (2,24) =0.076, </w:t>
      </w:r>
      <w:r w:rsidRPr="002C772A">
        <w:rPr>
          <w:rFonts w:ascii="Arial" w:eastAsiaTheme="minorHAnsi" w:hAnsi="Arial" w:cs="Arial"/>
          <w:i/>
          <w:iCs/>
          <w:kern w:val="2"/>
          <w14:ligatures w14:val="standardContextual"/>
        </w:rPr>
        <w:t>p</w:t>
      </w:r>
      <w:r w:rsidRPr="002C772A">
        <w:rPr>
          <w:rFonts w:ascii="Arial" w:eastAsiaTheme="minorHAnsi" w:hAnsi="Arial" w:cs="Arial"/>
          <w:kern w:val="2"/>
          <w14:ligatures w14:val="standardContextual"/>
        </w:rPr>
        <w:t>=.92, Two-way ANOVA), aspartate aminotransferase (AST; Dose: F</w:t>
      </w:r>
      <w:r w:rsidRPr="002C772A">
        <w:rPr>
          <w:rFonts w:ascii="Cambria Math" w:eastAsiaTheme="minorHAnsi" w:hAnsi="Cambria Math" w:cs="Cambria Math"/>
          <w:kern w:val="2"/>
          <w14:ligatures w14:val="standardContextual"/>
        </w:rPr>
        <w:t>₂</w:t>
      </w:r>
      <w:r w:rsidRPr="002C772A">
        <w:rPr>
          <w:rFonts w:ascii="Arial" w:eastAsiaTheme="minorHAnsi" w:hAnsi="Arial" w:cs="Arial"/>
          <w:kern w:val="2"/>
          <w14:ligatures w14:val="standardContextual"/>
        </w:rPr>
        <w:t>,</w:t>
      </w:r>
      <w:r w:rsidRPr="002C772A">
        <w:rPr>
          <w:rFonts w:ascii="Cambria Math" w:eastAsiaTheme="minorHAnsi" w:hAnsi="Cambria Math" w:cs="Cambria Math"/>
          <w:kern w:val="2"/>
          <w14:ligatures w14:val="standardContextual"/>
        </w:rPr>
        <w:t>₂₄</w:t>
      </w:r>
      <w:r w:rsidRPr="002C772A">
        <w:rPr>
          <w:rFonts w:ascii="Arial" w:eastAsiaTheme="minorHAnsi" w:hAnsi="Arial" w:cs="Arial"/>
          <w:kern w:val="2"/>
          <w14:ligatures w14:val="standardContextual"/>
        </w:rPr>
        <w:t xml:space="preserve"> = 3.02, </w:t>
      </w:r>
      <w:r w:rsidRPr="002C772A">
        <w:rPr>
          <w:rFonts w:ascii="Arial" w:eastAsiaTheme="minorHAnsi" w:hAnsi="Arial" w:cs="Arial"/>
          <w:i/>
          <w:iCs/>
          <w:kern w:val="2"/>
          <w14:ligatures w14:val="standardContextual"/>
        </w:rPr>
        <w:t>p</w:t>
      </w:r>
      <w:r w:rsidRPr="002C772A">
        <w:rPr>
          <w:rFonts w:ascii="Arial" w:eastAsiaTheme="minorHAnsi" w:hAnsi="Arial" w:cs="Arial"/>
          <w:kern w:val="2"/>
          <w14:ligatures w14:val="standardContextual"/>
        </w:rPr>
        <w:t xml:space="preserve"> = .07; Sex: F</w:t>
      </w:r>
      <w:r w:rsidRPr="002C772A">
        <w:rPr>
          <w:rFonts w:ascii="Cambria Math" w:eastAsiaTheme="minorHAnsi" w:hAnsi="Cambria Math" w:cs="Cambria Math"/>
          <w:kern w:val="2"/>
          <w14:ligatures w14:val="standardContextual"/>
        </w:rPr>
        <w:t>₁</w:t>
      </w:r>
      <w:r w:rsidRPr="002C772A">
        <w:rPr>
          <w:rFonts w:ascii="Arial" w:eastAsiaTheme="minorHAnsi" w:hAnsi="Arial" w:cs="Arial"/>
          <w:kern w:val="2"/>
          <w14:ligatures w14:val="standardContextual"/>
        </w:rPr>
        <w:t>,</w:t>
      </w:r>
      <w:r w:rsidRPr="002C772A">
        <w:rPr>
          <w:rFonts w:ascii="Cambria Math" w:eastAsiaTheme="minorHAnsi" w:hAnsi="Cambria Math" w:cs="Cambria Math"/>
          <w:kern w:val="2"/>
          <w14:ligatures w14:val="standardContextual"/>
        </w:rPr>
        <w:t>₂₄</w:t>
      </w:r>
      <w:r w:rsidRPr="002C772A">
        <w:rPr>
          <w:rFonts w:ascii="Arial" w:eastAsiaTheme="minorHAnsi" w:hAnsi="Arial" w:cs="Arial"/>
          <w:kern w:val="2"/>
          <w14:ligatures w14:val="standardContextual"/>
        </w:rPr>
        <w:t xml:space="preserve"> = 1.31, </w:t>
      </w:r>
      <w:r w:rsidRPr="002C772A">
        <w:rPr>
          <w:rFonts w:ascii="Arial" w:eastAsiaTheme="minorHAnsi" w:hAnsi="Arial" w:cs="Arial"/>
          <w:i/>
          <w:iCs/>
          <w:kern w:val="2"/>
          <w14:ligatures w14:val="standardContextual"/>
        </w:rPr>
        <w:t>p</w:t>
      </w:r>
      <w:r w:rsidRPr="002C772A">
        <w:rPr>
          <w:rFonts w:ascii="Arial" w:eastAsiaTheme="minorHAnsi" w:hAnsi="Arial" w:cs="Arial"/>
          <w:kern w:val="2"/>
          <w14:ligatures w14:val="standardContextual"/>
        </w:rPr>
        <w:t xml:space="preserve"> = .26; Interaction: F</w:t>
      </w:r>
      <w:r w:rsidRPr="002C772A">
        <w:rPr>
          <w:rFonts w:ascii="Cambria Math" w:eastAsiaTheme="minorHAnsi" w:hAnsi="Cambria Math" w:cs="Cambria Math"/>
          <w:kern w:val="2"/>
          <w14:ligatures w14:val="standardContextual"/>
        </w:rPr>
        <w:t>₂</w:t>
      </w:r>
      <w:r w:rsidRPr="002C772A">
        <w:rPr>
          <w:rFonts w:ascii="Arial" w:eastAsiaTheme="minorHAnsi" w:hAnsi="Arial" w:cs="Arial"/>
          <w:kern w:val="2"/>
          <w14:ligatures w14:val="standardContextual"/>
        </w:rPr>
        <w:t>,</w:t>
      </w:r>
      <w:r w:rsidRPr="002C772A">
        <w:rPr>
          <w:rFonts w:ascii="Cambria Math" w:eastAsiaTheme="minorHAnsi" w:hAnsi="Cambria Math" w:cs="Cambria Math"/>
          <w:kern w:val="2"/>
          <w14:ligatures w14:val="standardContextual"/>
        </w:rPr>
        <w:t>₂₄</w:t>
      </w:r>
      <w:r w:rsidRPr="002C772A">
        <w:rPr>
          <w:rFonts w:ascii="Arial" w:eastAsiaTheme="minorHAnsi" w:hAnsi="Arial" w:cs="Arial"/>
          <w:kern w:val="2"/>
          <w14:ligatures w14:val="standardContextual"/>
        </w:rPr>
        <w:t xml:space="preserve"> = 0.79, </w:t>
      </w:r>
      <w:r w:rsidRPr="002C772A">
        <w:rPr>
          <w:rFonts w:ascii="Arial" w:eastAsiaTheme="minorHAnsi" w:hAnsi="Arial" w:cs="Arial"/>
          <w:i/>
          <w:iCs/>
          <w:kern w:val="2"/>
          <w14:ligatures w14:val="standardContextual"/>
        </w:rPr>
        <w:t>p</w:t>
      </w:r>
      <w:r w:rsidRPr="002C772A">
        <w:rPr>
          <w:rFonts w:ascii="Arial" w:eastAsiaTheme="minorHAnsi" w:hAnsi="Arial" w:cs="Arial"/>
          <w:kern w:val="2"/>
          <w14:ligatures w14:val="standardContextual"/>
        </w:rPr>
        <w:t xml:space="preserve"> = .47), (creatinine; Dose: F</w:t>
      </w:r>
      <w:r w:rsidRPr="002C772A">
        <w:rPr>
          <w:rFonts w:ascii="Cambria Math" w:eastAsiaTheme="minorHAnsi" w:hAnsi="Cambria Math" w:cs="Cambria Math"/>
          <w:kern w:val="2"/>
          <w14:ligatures w14:val="standardContextual"/>
        </w:rPr>
        <w:t>₂</w:t>
      </w:r>
      <w:r w:rsidRPr="002C772A">
        <w:rPr>
          <w:rFonts w:ascii="Arial" w:eastAsiaTheme="minorHAnsi" w:hAnsi="Arial" w:cs="Arial"/>
          <w:kern w:val="2"/>
          <w14:ligatures w14:val="standardContextual"/>
        </w:rPr>
        <w:t>,</w:t>
      </w:r>
      <w:r w:rsidRPr="002C772A">
        <w:rPr>
          <w:rFonts w:ascii="Cambria Math" w:eastAsiaTheme="minorHAnsi" w:hAnsi="Cambria Math" w:cs="Cambria Math"/>
          <w:kern w:val="2"/>
          <w14:ligatures w14:val="standardContextual"/>
        </w:rPr>
        <w:t>₁₂</w:t>
      </w:r>
      <w:r w:rsidRPr="002C772A">
        <w:rPr>
          <w:rFonts w:ascii="Arial" w:eastAsiaTheme="minorHAnsi" w:hAnsi="Arial" w:cs="Arial"/>
          <w:kern w:val="2"/>
          <w14:ligatures w14:val="standardContextual"/>
        </w:rPr>
        <w:t xml:space="preserve"> = 1.08, </w:t>
      </w:r>
      <w:r w:rsidRPr="002C772A">
        <w:rPr>
          <w:rFonts w:ascii="Arial" w:eastAsiaTheme="minorHAnsi" w:hAnsi="Arial" w:cs="Arial"/>
          <w:i/>
          <w:iCs/>
          <w:kern w:val="2"/>
          <w14:ligatures w14:val="standardContextual"/>
        </w:rPr>
        <w:t>p</w:t>
      </w:r>
      <w:r w:rsidRPr="002C772A">
        <w:rPr>
          <w:rFonts w:ascii="Arial" w:eastAsiaTheme="minorHAnsi" w:hAnsi="Arial" w:cs="Arial"/>
          <w:kern w:val="2"/>
          <w14:ligatures w14:val="standardContextual"/>
        </w:rPr>
        <w:t xml:space="preserve"> = .371; Sex: F</w:t>
      </w:r>
      <w:r w:rsidRPr="002C772A">
        <w:rPr>
          <w:rFonts w:ascii="Cambria Math" w:eastAsiaTheme="minorHAnsi" w:hAnsi="Cambria Math" w:cs="Cambria Math"/>
          <w:kern w:val="2"/>
          <w14:ligatures w14:val="standardContextual"/>
        </w:rPr>
        <w:t>₁</w:t>
      </w:r>
      <w:r w:rsidRPr="002C772A">
        <w:rPr>
          <w:rFonts w:ascii="Arial" w:eastAsiaTheme="minorHAnsi" w:hAnsi="Arial" w:cs="Arial"/>
          <w:kern w:val="2"/>
          <w14:ligatures w14:val="standardContextual"/>
        </w:rPr>
        <w:t>,</w:t>
      </w:r>
      <w:r w:rsidRPr="002C772A">
        <w:rPr>
          <w:rFonts w:ascii="Cambria Math" w:eastAsiaTheme="minorHAnsi" w:hAnsi="Cambria Math" w:cs="Cambria Math"/>
          <w:kern w:val="2"/>
          <w14:ligatures w14:val="standardContextual"/>
        </w:rPr>
        <w:t>₁₂</w:t>
      </w:r>
      <w:r w:rsidRPr="002C772A">
        <w:rPr>
          <w:rFonts w:ascii="Arial" w:eastAsiaTheme="minorHAnsi" w:hAnsi="Arial" w:cs="Arial"/>
          <w:kern w:val="2"/>
          <w14:ligatures w14:val="standardContextual"/>
        </w:rPr>
        <w:t xml:space="preserve"> = 0.12, </w:t>
      </w:r>
      <w:r w:rsidRPr="002C772A">
        <w:rPr>
          <w:rFonts w:ascii="Arial" w:eastAsiaTheme="minorHAnsi" w:hAnsi="Arial" w:cs="Arial"/>
          <w:i/>
          <w:iCs/>
          <w:kern w:val="2"/>
          <w14:ligatures w14:val="standardContextual"/>
        </w:rPr>
        <w:t>p</w:t>
      </w:r>
      <w:r w:rsidRPr="002C772A">
        <w:rPr>
          <w:rFonts w:ascii="Arial" w:eastAsiaTheme="minorHAnsi" w:hAnsi="Arial" w:cs="Arial"/>
          <w:kern w:val="2"/>
          <w14:ligatures w14:val="standardContextual"/>
        </w:rPr>
        <w:t xml:space="preserve"> = .732; Interaction: F</w:t>
      </w:r>
      <w:r w:rsidRPr="002C772A">
        <w:rPr>
          <w:rFonts w:ascii="Cambria Math" w:eastAsiaTheme="minorHAnsi" w:hAnsi="Cambria Math" w:cs="Cambria Math"/>
          <w:kern w:val="2"/>
          <w14:ligatures w14:val="standardContextual"/>
        </w:rPr>
        <w:t>₂</w:t>
      </w:r>
      <w:r w:rsidRPr="002C772A">
        <w:rPr>
          <w:rFonts w:ascii="Arial" w:eastAsiaTheme="minorHAnsi" w:hAnsi="Arial" w:cs="Arial"/>
          <w:kern w:val="2"/>
          <w14:ligatures w14:val="standardContextual"/>
        </w:rPr>
        <w:t>,</w:t>
      </w:r>
      <w:r w:rsidRPr="002C772A">
        <w:rPr>
          <w:rFonts w:ascii="Cambria Math" w:eastAsiaTheme="minorHAnsi" w:hAnsi="Cambria Math" w:cs="Cambria Math"/>
          <w:kern w:val="2"/>
          <w14:ligatures w14:val="standardContextual"/>
        </w:rPr>
        <w:t>₁₂</w:t>
      </w:r>
      <w:r w:rsidRPr="002C772A">
        <w:rPr>
          <w:rFonts w:ascii="Arial" w:eastAsiaTheme="minorHAnsi" w:hAnsi="Arial" w:cs="Arial"/>
          <w:kern w:val="2"/>
          <w14:ligatures w14:val="standardContextual"/>
        </w:rPr>
        <w:t xml:space="preserve"> = 0.57, </w:t>
      </w:r>
      <w:r w:rsidRPr="002C772A">
        <w:rPr>
          <w:rFonts w:ascii="Arial" w:eastAsiaTheme="minorHAnsi" w:hAnsi="Arial" w:cs="Arial"/>
          <w:i/>
          <w:iCs/>
          <w:kern w:val="2"/>
          <w14:ligatures w14:val="standardContextual"/>
        </w:rPr>
        <w:t>p</w:t>
      </w:r>
      <w:r w:rsidRPr="002C772A">
        <w:rPr>
          <w:rFonts w:ascii="Arial" w:eastAsiaTheme="minorHAnsi" w:hAnsi="Arial" w:cs="Arial"/>
          <w:kern w:val="2"/>
          <w14:ligatures w14:val="standardContextual"/>
        </w:rPr>
        <w:t xml:space="preserve"> = .581, Two-way Anova) and (urea; Dose: F</w:t>
      </w:r>
      <w:r w:rsidRPr="002C772A">
        <w:rPr>
          <w:rFonts w:ascii="Cambria Math" w:eastAsiaTheme="minorHAnsi" w:hAnsi="Cambria Math" w:cs="Cambria Math"/>
          <w:kern w:val="2"/>
          <w14:ligatures w14:val="standardContextual"/>
        </w:rPr>
        <w:t>₂</w:t>
      </w:r>
      <w:r w:rsidRPr="002C772A">
        <w:rPr>
          <w:rFonts w:ascii="Arial" w:eastAsiaTheme="minorHAnsi" w:hAnsi="Arial" w:cs="Arial"/>
          <w:kern w:val="2"/>
          <w14:ligatures w14:val="standardContextual"/>
        </w:rPr>
        <w:t>,</w:t>
      </w:r>
      <w:r w:rsidRPr="002C772A">
        <w:rPr>
          <w:rFonts w:ascii="Cambria Math" w:eastAsiaTheme="minorHAnsi" w:hAnsi="Cambria Math" w:cs="Cambria Math"/>
          <w:kern w:val="2"/>
          <w14:ligatures w14:val="standardContextual"/>
        </w:rPr>
        <w:t>₁₂</w:t>
      </w:r>
      <w:r w:rsidRPr="002C772A">
        <w:rPr>
          <w:rFonts w:ascii="Arial" w:eastAsiaTheme="minorHAnsi" w:hAnsi="Arial" w:cs="Arial"/>
          <w:kern w:val="2"/>
          <w14:ligatures w14:val="standardContextual"/>
        </w:rPr>
        <w:t xml:space="preserve"> = 1.37, </w:t>
      </w:r>
      <w:r w:rsidRPr="002C772A">
        <w:rPr>
          <w:rFonts w:ascii="Arial" w:eastAsiaTheme="minorHAnsi" w:hAnsi="Arial" w:cs="Arial"/>
          <w:i/>
          <w:iCs/>
          <w:kern w:val="2"/>
          <w14:ligatures w14:val="standardContextual"/>
        </w:rPr>
        <w:t>p</w:t>
      </w:r>
      <w:r w:rsidRPr="002C772A">
        <w:rPr>
          <w:rFonts w:ascii="Arial" w:eastAsiaTheme="minorHAnsi" w:hAnsi="Arial" w:cs="Arial"/>
          <w:kern w:val="2"/>
          <w14:ligatures w14:val="standardContextual"/>
        </w:rPr>
        <w:t xml:space="preserve"> = .291; Sex: F</w:t>
      </w:r>
      <w:r w:rsidRPr="002C772A">
        <w:rPr>
          <w:rFonts w:ascii="Cambria Math" w:eastAsiaTheme="minorHAnsi" w:hAnsi="Cambria Math" w:cs="Cambria Math"/>
          <w:kern w:val="2"/>
          <w14:ligatures w14:val="standardContextual"/>
        </w:rPr>
        <w:t>₁</w:t>
      </w:r>
      <w:r w:rsidRPr="002C772A">
        <w:rPr>
          <w:rFonts w:ascii="Arial" w:eastAsiaTheme="minorHAnsi" w:hAnsi="Arial" w:cs="Arial"/>
          <w:kern w:val="2"/>
          <w14:ligatures w14:val="standardContextual"/>
        </w:rPr>
        <w:t>,</w:t>
      </w:r>
      <w:r w:rsidRPr="002C772A">
        <w:rPr>
          <w:rFonts w:ascii="Cambria Math" w:eastAsiaTheme="minorHAnsi" w:hAnsi="Cambria Math" w:cs="Cambria Math"/>
          <w:kern w:val="2"/>
          <w14:ligatures w14:val="standardContextual"/>
        </w:rPr>
        <w:t>₁₂</w:t>
      </w:r>
      <w:r w:rsidRPr="002C772A">
        <w:rPr>
          <w:rFonts w:ascii="Arial" w:eastAsiaTheme="minorHAnsi" w:hAnsi="Arial" w:cs="Arial"/>
          <w:kern w:val="2"/>
          <w14:ligatures w14:val="standardContextual"/>
        </w:rPr>
        <w:t xml:space="preserve"> = 0.81, </w:t>
      </w:r>
      <w:r w:rsidRPr="002C772A">
        <w:rPr>
          <w:rFonts w:ascii="Arial" w:eastAsiaTheme="minorHAnsi" w:hAnsi="Arial" w:cs="Arial"/>
          <w:i/>
          <w:iCs/>
          <w:kern w:val="2"/>
          <w14:ligatures w14:val="standardContextual"/>
        </w:rPr>
        <w:t>p</w:t>
      </w:r>
      <w:r w:rsidRPr="002C772A">
        <w:rPr>
          <w:rFonts w:ascii="Arial" w:eastAsiaTheme="minorHAnsi" w:hAnsi="Arial" w:cs="Arial"/>
          <w:kern w:val="2"/>
          <w14:ligatures w14:val="standardContextual"/>
        </w:rPr>
        <w:t xml:space="preserve"> = .386; Interaction: F</w:t>
      </w:r>
      <w:r w:rsidRPr="002C772A">
        <w:rPr>
          <w:rFonts w:ascii="Cambria Math" w:eastAsiaTheme="minorHAnsi" w:hAnsi="Cambria Math" w:cs="Cambria Math"/>
          <w:kern w:val="2"/>
          <w14:ligatures w14:val="standardContextual"/>
        </w:rPr>
        <w:t>₂</w:t>
      </w:r>
      <w:r w:rsidRPr="002C772A">
        <w:rPr>
          <w:rFonts w:ascii="Arial" w:eastAsiaTheme="minorHAnsi" w:hAnsi="Arial" w:cs="Arial"/>
          <w:kern w:val="2"/>
          <w14:ligatures w14:val="standardContextual"/>
        </w:rPr>
        <w:t>,</w:t>
      </w:r>
      <w:r w:rsidRPr="002C772A">
        <w:rPr>
          <w:rFonts w:ascii="Cambria Math" w:eastAsiaTheme="minorHAnsi" w:hAnsi="Cambria Math" w:cs="Cambria Math"/>
          <w:kern w:val="2"/>
          <w14:ligatures w14:val="standardContextual"/>
        </w:rPr>
        <w:t>₁₂</w:t>
      </w:r>
      <w:r w:rsidRPr="002C772A">
        <w:rPr>
          <w:rFonts w:ascii="Arial" w:eastAsiaTheme="minorHAnsi" w:hAnsi="Arial" w:cs="Arial"/>
          <w:kern w:val="2"/>
          <w14:ligatures w14:val="standardContextual"/>
        </w:rPr>
        <w:t xml:space="preserve"> = 2.41, </w:t>
      </w:r>
      <w:r w:rsidRPr="002C772A">
        <w:rPr>
          <w:rFonts w:ascii="Arial" w:eastAsiaTheme="minorHAnsi" w:hAnsi="Arial" w:cs="Arial"/>
          <w:i/>
          <w:iCs/>
          <w:kern w:val="2"/>
          <w14:ligatures w14:val="standardContextual"/>
        </w:rPr>
        <w:t>p</w:t>
      </w:r>
      <w:r w:rsidRPr="002C772A">
        <w:rPr>
          <w:rFonts w:ascii="Arial" w:eastAsiaTheme="minorHAnsi" w:hAnsi="Arial" w:cs="Arial"/>
          <w:kern w:val="2"/>
          <w14:ligatures w14:val="standardContextual"/>
        </w:rPr>
        <w:t xml:space="preserve"> = .132) in mice that were administered with GG extract were of no significant difference, and were comparable with that of the control group (</w:t>
      </w:r>
      <w:r w:rsidRPr="002C772A">
        <w:rPr>
          <w:rFonts w:ascii="Arial" w:eastAsiaTheme="minorHAnsi" w:hAnsi="Arial" w:cs="Arial"/>
          <w:i/>
          <w:iCs/>
          <w:kern w:val="2"/>
          <w14:ligatures w14:val="standardContextual"/>
        </w:rPr>
        <w:t>p</w:t>
      </w:r>
      <w:r w:rsidRPr="002C772A">
        <w:rPr>
          <w:rFonts w:ascii="Arial" w:eastAsiaTheme="minorHAnsi" w:hAnsi="Arial" w:cs="Arial"/>
          <w:kern w:val="2"/>
          <w14:ligatures w14:val="standardContextual"/>
        </w:rPr>
        <w:t xml:space="preserve"> &gt; .05) (Fig.3).</w:t>
      </w:r>
      <w:r w:rsidR="00444397">
        <w:rPr>
          <w:rFonts w:ascii="Arial" w:eastAsiaTheme="minorHAnsi" w:hAnsi="Arial" w:cs="Arial"/>
          <w:kern w:val="2"/>
          <w14:ligatures w14:val="standardContextual"/>
        </w:rPr>
        <w:t xml:space="preserve"> </w:t>
      </w:r>
      <w:r w:rsidR="00585508" w:rsidRPr="00585508">
        <w:rPr>
          <w:rFonts w:ascii="Arial" w:hAnsi="Arial" w:cs="Arial"/>
        </w:rPr>
        <w:t xml:space="preserve">The consistency of ALT and AST levels implies that the extract did not trigger hepatocellular leakage or hepatocellular necrosis, corresponding to a lack of liver toxicity. Similarly, stable creatinine and urea values indicate that there are no abnormalities in the renal parameters, and this stability confirms that </w:t>
      </w:r>
      <w:r w:rsidR="00585508">
        <w:rPr>
          <w:rFonts w:ascii="Arial" w:hAnsi="Arial" w:cs="Arial"/>
        </w:rPr>
        <w:t xml:space="preserve">no </w:t>
      </w:r>
      <w:r w:rsidR="00585508" w:rsidRPr="00585508">
        <w:rPr>
          <w:rFonts w:ascii="Arial" w:hAnsi="Arial" w:cs="Arial"/>
        </w:rPr>
        <w:t xml:space="preserve">glomerular </w:t>
      </w:r>
      <w:r w:rsidR="008E2D27">
        <w:rPr>
          <w:rFonts w:ascii="Arial" w:hAnsi="Arial" w:cs="Arial"/>
        </w:rPr>
        <w:t>damage</w:t>
      </w:r>
      <w:r w:rsidR="00585508">
        <w:rPr>
          <w:rFonts w:ascii="Arial" w:hAnsi="Arial" w:cs="Arial"/>
        </w:rPr>
        <w:t xml:space="preserve"> occurs in the kidney</w:t>
      </w:r>
      <w:r w:rsidR="00494ED4" w:rsidRPr="00585508">
        <w:rPr>
          <w:rFonts w:ascii="Arial" w:hAnsi="Arial" w:cs="Arial"/>
        </w:rPr>
        <w:t>.</w:t>
      </w:r>
      <w:r w:rsidR="00494ED4" w:rsidRPr="002542C1">
        <w:rPr>
          <w:rFonts w:ascii="Arial" w:hAnsi="Arial" w:cs="Arial"/>
        </w:rPr>
        <w:t xml:space="preserve"> The</w:t>
      </w:r>
      <w:r w:rsidR="002542C1" w:rsidRPr="002542C1">
        <w:rPr>
          <w:rFonts w:ascii="Arial" w:hAnsi="Arial" w:cs="Arial"/>
        </w:rPr>
        <w:t xml:space="preserve"> results have significance as changes in ALT and AST are reported as the early signs of hepatotoxicity, whereas high levels of creatinine and urea are the indicators of kidney dysfunction. The lack of these changes in the treated groups suggests that G</w:t>
      </w:r>
      <w:r w:rsidR="005510F0">
        <w:rPr>
          <w:rFonts w:ascii="Arial" w:hAnsi="Arial" w:cs="Arial"/>
        </w:rPr>
        <w:t xml:space="preserve">G </w:t>
      </w:r>
      <w:r w:rsidR="002542C1" w:rsidRPr="002542C1">
        <w:rPr>
          <w:rFonts w:ascii="Arial" w:hAnsi="Arial" w:cs="Arial"/>
        </w:rPr>
        <w:t xml:space="preserve">extract does not act or </w:t>
      </w:r>
      <w:r w:rsidR="00F91991">
        <w:rPr>
          <w:rFonts w:ascii="Arial" w:hAnsi="Arial" w:cs="Arial"/>
        </w:rPr>
        <w:t>interfere</w:t>
      </w:r>
      <w:r w:rsidR="002542C1" w:rsidRPr="002542C1">
        <w:rPr>
          <w:rFonts w:ascii="Arial" w:hAnsi="Arial" w:cs="Arial"/>
        </w:rPr>
        <w:t xml:space="preserve"> with hepatic or renal functions during its repeated use. The same findings have been observed with other medicinal plants in toxicity studies, where liver and kidney markers were stable and </w:t>
      </w:r>
      <w:r w:rsidR="00F91991">
        <w:rPr>
          <w:rFonts w:ascii="Arial" w:hAnsi="Arial" w:cs="Arial"/>
        </w:rPr>
        <w:t>indicating</w:t>
      </w:r>
      <w:r w:rsidR="002542C1" w:rsidRPr="002542C1">
        <w:rPr>
          <w:rFonts w:ascii="Arial" w:hAnsi="Arial" w:cs="Arial"/>
        </w:rPr>
        <w:t xml:space="preserve"> that the extracts of the plants were safe to </w:t>
      </w:r>
      <w:r w:rsidR="00494ED4" w:rsidRPr="002542C1">
        <w:rPr>
          <w:rFonts w:ascii="Arial" w:hAnsi="Arial" w:cs="Arial"/>
        </w:rPr>
        <w:t>use</w:t>
      </w:r>
      <w:r w:rsidR="00F91991">
        <w:rPr>
          <w:rFonts w:ascii="Arial" w:hAnsi="Arial" w:cs="Arial"/>
        </w:rPr>
        <w:fldChar w:fldCharType="begin" w:fldLock="1"/>
      </w:r>
      <w:r w:rsidR="005034A2">
        <w:rPr>
          <w:rFonts w:ascii="Arial" w:hAnsi="Arial" w:cs="Arial"/>
        </w:rPr>
        <w:instrText>ADDIN CSL_CITATION {"citationItems":[{"id":"ITEM-1","itemData":{"ISSN":"0918-6158","author":[{"dropping-particle":"","family":"Suksanga","given":"Anunya","non-dropping-particle":"","parse-names":false,"suffix":""},{"dropping-particle":"","family":"Siripongvutikorn","given":"Sunisa","non-dropping-particle":"","parse-names":false,"suffix":""},{"dropping-particle":"","family":"Leelawattana","given":"Rattana","non-dropping-particle":"","parse-names":false,"suffix":""},{"dropping-particle":"","family":"Yupanqui","given":"Chutha Takahashi","non-dropping-particle":"","parse-names":false,"suffix":""},{"dropping-particle":"","family":"Idowu","given":"Ayodeji Oluwafemi","non-dropping-particle":"","parse-names":false,"suffix":""}],"container-title":"Biological and Pharmaceutical Bulletin","id":"ITEM-1","issue":"12","issued":{"date-parts":[["2023"]]},"page":"1666-1675","publisher":"The Pharmaceutical Society of Japan","title":"Assessment of biological activities, acute and sub-chronic toxicity of Liang (Gnetum gnemon var. tenerum) leaves powder, a natural product","type":"article-journal","volume":"46"},"uris":["http://www.mendeley.com/documents/?uuid=af500f15-a167-4e85-a405-8ab424008e02"]}],"mendeley":{"formattedCitation":"(Suksanga et al., 2023)","plainTextFormattedCitation":"(Suksanga et al., 2023)","previouslyFormattedCitation":"(Suksanga et al., 2023)"},"properties":{"noteIndex":0},"schema":"https://github.com/citation-style-language/schema/raw/master/csl-citation.json"}</w:instrText>
      </w:r>
      <w:r w:rsidR="00F91991">
        <w:rPr>
          <w:rFonts w:ascii="Arial" w:hAnsi="Arial" w:cs="Arial"/>
        </w:rPr>
        <w:fldChar w:fldCharType="separate"/>
      </w:r>
      <w:r w:rsidR="00F91991" w:rsidRPr="00F91991">
        <w:rPr>
          <w:rFonts w:ascii="Arial" w:hAnsi="Arial" w:cs="Arial"/>
          <w:noProof/>
        </w:rPr>
        <w:t xml:space="preserve">(Suksanga </w:t>
      </w:r>
      <w:r w:rsidR="00F91991" w:rsidRPr="00E40168">
        <w:rPr>
          <w:rFonts w:ascii="Arial" w:hAnsi="Arial" w:cs="Arial"/>
          <w:i/>
          <w:iCs/>
          <w:noProof/>
        </w:rPr>
        <w:t>et al</w:t>
      </w:r>
      <w:r w:rsidR="00F91991" w:rsidRPr="00F91991">
        <w:rPr>
          <w:rFonts w:ascii="Arial" w:hAnsi="Arial" w:cs="Arial"/>
          <w:noProof/>
        </w:rPr>
        <w:t>., 2023)</w:t>
      </w:r>
      <w:r w:rsidR="00F91991">
        <w:rPr>
          <w:rFonts w:ascii="Arial" w:hAnsi="Arial" w:cs="Arial"/>
        </w:rPr>
        <w:fldChar w:fldCharType="end"/>
      </w:r>
      <w:r w:rsidR="00494ED4" w:rsidRPr="002542C1">
        <w:rPr>
          <w:rFonts w:ascii="Arial" w:hAnsi="Arial" w:cs="Arial"/>
        </w:rPr>
        <w:t>.</w:t>
      </w:r>
      <w:r w:rsidR="002542C1" w:rsidRPr="002542C1">
        <w:rPr>
          <w:rFonts w:ascii="Arial" w:hAnsi="Arial" w:cs="Arial"/>
        </w:rPr>
        <w:t xml:space="preserve"> The present findings</w:t>
      </w:r>
      <w:r w:rsidR="00F91991">
        <w:rPr>
          <w:rFonts w:ascii="Arial" w:hAnsi="Arial" w:cs="Arial"/>
        </w:rPr>
        <w:t>,</w:t>
      </w:r>
      <w:r w:rsidR="002542C1" w:rsidRPr="002542C1">
        <w:rPr>
          <w:rFonts w:ascii="Arial" w:hAnsi="Arial" w:cs="Arial"/>
        </w:rPr>
        <w:t xml:space="preserve"> therefore</w:t>
      </w:r>
      <w:r w:rsidR="00F91991">
        <w:rPr>
          <w:rFonts w:ascii="Arial" w:hAnsi="Arial" w:cs="Arial"/>
        </w:rPr>
        <w:t>,</w:t>
      </w:r>
      <w:r w:rsidR="002542C1" w:rsidRPr="002542C1">
        <w:rPr>
          <w:rFonts w:ascii="Arial" w:hAnsi="Arial" w:cs="Arial"/>
        </w:rPr>
        <w:t xml:space="preserve"> underscore the biochemical safety profile of G</w:t>
      </w:r>
      <w:r w:rsidR="005510F0">
        <w:rPr>
          <w:rFonts w:ascii="Arial" w:hAnsi="Arial" w:cs="Arial"/>
        </w:rPr>
        <w:t>G</w:t>
      </w:r>
      <w:r w:rsidR="002542C1" w:rsidRPr="002542C1">
        <w:rPr>
          <w:rFonts w:ascii="Arial" w:hAnsi="Arial" w:cs="Arial"/>
        </w:rPr>
        <w:t xml:space="preserve"> and </w:t>
      </w:r>
      <w:r w:rsidR="00494ED4" w:rsidRPr="002542C1">
        <w:rPr>
          <w:rFonts w:ascii="Arial" w:hAnsi="Arial" w:cs="Arial"/>
        </w:rPr>
        <w:t>justify</w:t>
      </w:r>
      <w:r w:rsidR="002542C1" w:rsidRPr="002542C1">
        <w:rPr>
          <w:rFonts w:ascii="Arial" w:hAnsi="Arial" w:cs="Arial"/>
        </w:rPr>
        <w:t xml:space="preserve"> its potential as a nutritionally safe therapeutic candidate.</w:t>
      </w:r>
      <w:r w:rsidR="0057753E" w:rsidRPr="0057753E">
        <w:t xml:space="preserve"> </w:t>
      </w:r>
    </w:p>
    <w:p w14:paraId="22A734D1" w14:textId="5BAB4CDA" w:rsidR="00D57D6A" w:rsidRDefault="00B2751D" w:rsidP="00360D3A">
      <w:pPr>
        <w:pStyle w:val="Body"/>
        <w:spacing w:line="480" w:lineRule="auto"/>
      </w:pPr>
      <w:r>
        <w:rPr>
          <w:noProof/>
        </w:rPr>
        <w:lastRenderedPageBreak/>
        <w:drawing>
          <wp:inline distT="0" distB="0" distL="0" distR="0" wp14:anchorId="55B02A40" wp14:editId="3971A556">
            <wp:extent cx="4787840" cy="3333006"/>
            <wp:effectExtent l="0" t="0" r="0" b="1270"/>
            <wp:docPr id="18354183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418355" name="Picture 1835418355"/>
                    <pic:cNvPicPr/>
                  </pic:nvPicPr>
                  <pic:blipFill rotWithShape="1">
                    <a:blip r:embed="rId19" cstate="print">
                      <a:extLst>
                        <a:ext uri="{28A0092B-C50C-407E-A947-70E740481C1C}">
                          <a14:useLocalDpi xmlns:a14="http://schemas.microsoft.com/office/drawing/2010/main" val="0"/>
                        </a:ext>
                      </a:extLst>
                    </a:blip>
                    <a:srcRect l="2488" r="5619"/>
                    <a:stretch>
                      <a:fillRect/>
                    </a:stretch>
                  </pic:blipFill>
                  <pic:spPr bwMode="auto">
                    <a:xfrm>
                      <a:off x="0" y="0"/>
                      <a:ext cx="4791413" cy="3335494"/>
                    </a:xfrm>
                    <a:prstGeom prst="rect">
                      <a:avLst/>
                    </a:prstGeom>
                    <a:ln>
                      <a:noFill/>
                    </a:ln>
                    <a:extLst>
                      <a:ext uri="{53640926-AAD7-44D8-BBD7-CCE9431645EC}">
                        <a14:shadowObscured xmlns:a14="http://schemas.microsoft.com/office/drawing/2010/main"/>
                      </a:ext>
                    </a:extLst>
                  </pic:spPr>
                </pic:pic>
              </a:graphicData>
            </a:graphic>
          </wp:inline>
        </w:drawing>
      </w:r>
    </w:p>
    <w:p w14:paraId="3BFD20B9" w14:textId="77777777" w:rsidR="00D57D6A" w:rsidRDefault="00D57D6A" w:rsidP="00360D3A">
      <w:pPr>
        <w:pStyle w:val="Body"/>
        <w:spacing w:line="480" w:lineRule="auto"/>
      </w:pPr>
    </w:p>
    <w:p w14:paraId="0DE8FC81" w14:textId="182A4542" w:rsidR="0057753E" w:rsidRDefault="006439BF" w:rsidP="00360D3A">
      <w:pPr>
        <w:pStyle w:val="Body"/>
        <w:spacing w:line="480" w:lineRule="auto"/>
        <w:rPr>
          <w:b/>
          <w:bCs/>
        </w:rPr>
      </w:pPr>
      <w:r>
        <w:rPr>
          <w:b/>
          <w:bCs/>
        </w:rPr>
        <w:t xml:space="preserve">Fig </w:t>
      </w:r>
      <w:r w:rsidR="00E45B05" w:rsidRPr="00E45B05">
        <w:rPr>
          <w:b/>
          <w:bCs/>
        </w:rPr>
        <w:t xml:space="preserve">3. Effect of </w:t>
      </w:r>
      <w:r w:rsidR="00E45B05" w:rsidRPr="00492D0E">
        <w:rPr>
          <w:rStyle w:val="Strong"/>
        </w:rPr>
        <w:t>GG</w:t>
      </w:r>
      <w:r w:rsidR="00E45B05" w:rsidRPr="00E45B05">
        <w:rPr>
          <w:b/>
          <w:bCs/>
        </w:rPr>
        <w:t xml:space="preserve"> leaf extract on serum biochemical parameters of mice in the </w:t>
      </w:r>
      <w:r w:rsidR="00564C5D">
        <w:rPr>
          <w:b/>
          <w:bCs/>
        </w:rPr>
        <w:t>sub-</w:t>
      </w:r>
      <w:r w:rsidR="00E45B05" w:rsidRPr="00E45B05">
        <w:rPr>
          <w:b/>
          <w:bCs/>
        </w:rPr>
        <w:t>acute toxicity study</w:t>
      </w:r>
    </w:p>
    <w:p w14:paraId="1048FBDA" w14:textId="20671E0E" w:rsidR="00721FAB" w:rsidRPr="00740046" w:rsidRDefault="00721FAB" w:rsidP="00360D3A">
      <w:pPr>
        <w:pStyle w:val="Body"/>
        <w:spacing w:line="480" w:lineRule="auto"/>
        <w:rPr>
          <w:b/>
          <w:bCs/>
          <w:i/>
          <w:iCs/>
        </w:rPr>
      </w:pPr>
      <w:r w:rsidRPr="00740046">
        <w:rPr>
          <w:i/>
          <w:iCs/>
        </w:rPr>
        <w:t>Values are presented as mean ± SEM (n = 5). No significant differences (p &gt; .05) were observed between control and treated groups.</w:t>
      </w:r>
    </w:p>
    <w:p w14:paraId="4E8FE731" w14:textId="77777777" w:rsidR="0057753E" w:rsidRDefault="0057753E" w:rsidP="00360D3A">
      <w:pPr>
        <w:pStyle w:val="ConcHead"/>
        <w:spacing w:after="0" w:line="480" w:lineRule="auto"/>
        <w:jc w:val="both"/>
        <w:rPr>
          <w:rFonts w:ascii="Arial" w:hAnsi="Arial" w:cs="Arial"/>
        </w:rPr>
      </w:pPr>
      <w:r>
        <w:rPr>
          <w:rFonts w:ascii="Arial" w:hAnsi="Arial" w:cs="Arial"/>
        </w:rPr>
        <w:t xml:space="preserve">4. </w:t>
      </w:r>
      <w:r w:rsidRPr="00FB3A86">
        <w:rPr>
          <w:rFonts w:ascii="Arial" w:hAnsi="Arial" w:cs="Arial"/>
        </w:rPr>
        <w:t>Conclusion</w:t>
      </w:r>
    </w:p>
    <w:p w14:paraId="690A8690" w14:textId="77777777" w:rsidR="0057753E" w:rsidRDefault="0057753E" w:rsidP="00360D3A">
      <w:pPr>
        <w:pStyle w:val="Body"/>
        <w:spacing w:line="480" w:lineRule="auto"/>
        <w:rPr>
          <w:rFonts w:ascii="Arial" w:hAnsi="Arial" w:cs="Arial"/>
        </w:rPr>
      </w:pPr>
    </w:p>
    <w:p w14:paraId="38E2CA77" w14:textId="1B37210C" w:rsidR="0057753E" w:rsidRPr="0057753E" w:rsidRDefault="0057753E" w:rsidP="00360D3A">
      <w:pPr>
        <w:pStyle w:val="Body"/>
        <w:spacing w:line="480" w:lineRule="auto"/>
        <w:rPr>
          <w:rFonts w:ascii="Arial" w:hAnsi="Arial" w:cs="Arial"/>
        </w:rPr>
      </w:pPr>
      <w:r w:rsidRPr="0057753E">
        <w:rPr>
          <w:rFonts w:ascii="Arial" w:hAnsi="Arial" w:cs="Arial"/>
        </w:rPr>
        <w:t xml:space="preserve">The current study reveals that </w:t>
      </w:r>
      <w:r w:rsidRPr="00E4673E">
        <w:rPr>
          <w:rFonts w:ascii="Arial" w:hAnsi="Arial" w:cs="Arial"/>
          <w:i/>
          <w:iCs/>
        </w:rPr>
        <w:t>Gnetum gnemon</w:t>
      </w:r>
      <w:r w:rsidRPr="0057753E">
        <w:rPr>
          <w:rFonts w:ascii="Arial" w:hAnsi="Arial" w:cs="Arial"/>
        </w:rPr>
        <w:t xml:space="preserve"> (GG) leaf extract has potential nutritional and therapeutic potential. Proximate analysis showed the leaves to be high in carbohydrates and proteins and low in fat and intermediate in fiber, to show </w:t>
      </w:r>
      <w:r w:rsidR="009976B1">
        <w:rPr>
          <w:rFonts w:ascii="Arial" w:hAnsi="Arial" w:cs="Arial"/>
        </w:rPr>
        <w:t>their</w:t>
      </w:r>
      <w:r w:rsidRPr="0057753E">
        <w:rPr>
          <w:rFonts w:ascii="Arial" w:hAnsi="Arial" w:cs="Arial"/>
        </w:rPr>
        <w:t xml:space="preserve"> potential </w:t>
      </w:r>
      <w:r w:rsidR="009976B1">
        <w:rPr>
          <w:rFonts w:ascii="Arial" w:hAnsi="Arial" w:cs="Arial"/>
        </w:rPr>
        <w:t>as an</w:t>
      </w:r>
      <w:r w:rsidRPr="0057753E">
        <w:rPr>
          <w:rFonts w:ascii="Arial" w:hAnsi="Arial" w:cs="Arial"/>
        </w:rPr>
        <w:t xml:space="preserve"> energy source, and as </w:t>
      </w:r>
      <w:r w:rsidR="009976B1">
        <w:rPr>
          <w:rFonts w:ascii="Arial" w:hAnsi="Arial" w:cs="Arial"/>
        </w:rPr>
        <w:t xml:space="preserve">a </w:t>
      </w:r>
      <w:r w:rsidRPr="0057753E">
        <w:rPr>
          <w:rFonts w:ascii="Arial" w:hAnsi="Arial" w:cs="Arial"/>
        </w:rPr>
        <w:t xml:space="preserve">nutritional supplement </w:t>
      </w:r>
      <w:r w:rsidR="009976B1">
        <w:rPr>
          <w:rFonts w:ascii="Arial" w:hAnsi="Arial" w:cs="Arial"/>
        </w:rPr>
        <w:t>for</w:t>
      </w:r>
      <w:r w:rsidRPr="0057753E">
        <w:rPr>
          <w:rFonts w:ascii="Arial" w:hAnsi="Arial" w:cs="Arial"/>
        </w:rPr>
        <w:t xml:space="preserve"> animal growth and </w:t>
      </w:r>
      <w:r w:rsidR="00F30FAE" w:rsidRPr="0057753E">
        <w:rPr>
          <w:rFonts w:ascii="Arial" w:hAnsi="Arial" w:cs="Arial"/>
        </w:rPr>
        <w:t>maintenance</w:t>
      </w:r>
      <w:r w:rsidRPr="0057753E">
        <w:rPr>
          <w:rFonts w:ascii="Arial" w:hAnsi="Arial" w:cs="Arial"/>
        </w:rPr>
        <w:t xml:space="preserve">, respectively. LC-MS analysis also revealed the presence of some of the bioactive compounds, e.g., stilbenoid </w:t>
      </w:r>
      <w:r w:rsidRPr="0057753E">
        <w:rPr>
          <w:rFonts w:ascii="Arial" w:hAnsi="Arial" w:cs="Arial"/>
        </w:rPr>
        <w:lastRenderedPageBreak/>
        <w:t xml:space="preserve">derivatives (resveratrol and gnetin C), which could be attributed to the antioxidant and pharmacological activities of the </w:t>
      </w:r>
      <w:proofErr w:type="spellStart"/>
      <w:proofErr w:type="gramStart"/>
      <w:r w:rsidRPr="0057753E">
        <w:rPr>
          <w:rFonts w:ascii="Arial" w:hAnsi="Arial" w:cs="Arial"/>
        </w:rPr>
        <w:t>extract.Notably</w:t>
      </w:r>
      <w:proofErr w:type="spellEnd"/>
      <w:proofErr w:type="gramEnd"/>
      <w:r w:rsidRPr="0057753E">
        <w:rPr>
          <w:rFonts w:ascii="Arial" w:hAnsi="Arial" w:cs="Arial"/>
        </w:rPr>
        <w:t>, GG leaf extract treatment of the mice did not cause any noticeable change in hematological parameters</w:t>
      </w:r>
      <w:r w:rsidR="009976B1">
        <w:rPr>
          <w:rFonts w:ascii="Arial" w:hAnsi="Arial" w:cs="Arial"/>
        </w:rPr>
        <w:t>,</w:t>
      </w:r>
      <w:r w:rsidRPr="0057753E">
        <w:rPr>
          <w:rFonts w:ascii="Arial" w:hAnsi="Arial" w:cs="Arial"/>
        </w:rPr>
        <w:t xml:space="preserve"> suggesting that the extract is not hematologically toxic or has no adverse effect on the </w:t>
      </w:r>
      <w:r w:rsidR="009976B1">
        <w:rPr>
          <w:rFonts w:ascii="Arial" w:hAnsi="Arial" w:cs="Arial"/>
        </w:rPr>
        <w:t>blood-forming</w:t>
      </w:r>
      <w:r w:rsidRPr="0057753E">
        <w:rPr>
          <w:rFonts w:ascii="Arial" w:hAnsi="Arial" w:cs="Arial"/>
        </w:rPr>
        <w:t xml:space="preserve"> organs. Likewise, important biochemical parameters of </w:t>
      </w:r>
      <w:r w:rsidR="009976B1">
        <w:rPr>
          <w:rFonts w:ascii="Arial" w:hAnsi="Arial" w:cs="Arial"/>
        </w:rPr>
        <w:t xml:space="preserve">the </w:t>
      </w:r>
      <w:r w:rsidRPr="0057753E">
        <w:rPr>
          <w:rFonts w:ascii="Arial" w:hAnsi="Arial" w:cs="Arial"/>
        </w:rPr>
        <w:t xml:space="preserve">liver and kidney (ALT, AST, creatinine, </w:t>
      </w:r>
      <w:r w:rsidR="005D482F">
        <w:rPr>
          <w:rFonts w:ascii="Arial" w:hAnsi="Arial" w:cs="Arial"/>
        </w:rPr>
        <w:t xml:space="preserve">and </w:t>
      </w:r>
      <w:r w:rsidRPr="0057753E">
        <w:rPr>
          <w:rFonts w:ascii="Arial" w:hAnsi="Arial" w:cs="Arial"/>
        </w:rPr>
        <w:t>urea</w:t>
      </w:r>
      <w:r w:rsidR="00245493">
        <w:rPr>
          <w:rFonts w:ascii="Arial" w:hAnsi="Arial" w:cs="Arial"/>
        </w:rPr>
        <w:t>)</w:t>
      </w:r>
      <w:r w:rsidRPr="0057753E">
        <w:rPr>
          <w:rFonts w:ascii="Arial" w:hAnsi="Arial" w:cs="Arial"/>
        </w:rPr>
        <w:t xml:space="preserve"> were maintained, indicating that there was no hepatotoxicity and nephrotoxicity.</w:t>
      </w:r>
    </w:p>
    <w:p w14:paraId="1FC89107" w14:textId="3596797D" w:rsidR="002542C1" w:rsidRPr="00585508" w:rsidRDefault="0057753E" w:rsidP="00360D3A">
      <w:pPr>
        <w:pStyle w:val="Body"/>
        <w:spacing w:line="480" w:lineRule="auto"/>
        <w:rPr>
          <w:rFonts w:ascii="Arial" w:hAnsi="Arial" w:cs="Arial"/>
        </w:rPr>
      </w:pPr>
      <w:r w:rsidRPr="0057753E">
        <w:rPr>
          <w:rFonts w:ascii="Arial" w:hAnsi="Arial" w:cs="Arial"/>
        </w:rPr>
        <w:t>Collectively, these data indicate that GG leaf extract is nutritionally rich, biochemically harmless</w:t>
      </w:r>
      <w:r w:rsidR="009976B1">
        <w:rPr>
          <w:rFonts w:ascii="Arial" w:hAnsi="Arial" w:cs="Arial"/>
        </w:rPr>
        <w:t>,</w:t>
      </w:r>
      <w:r w:rsidRPr="0057753E">
        <w:rPr>
          <w:rFonts w:ascii="Arial" w:hAnsi="Arial" w:cs="Arial"/>
        </w:rPr>
        <w:t xml:space="preserve"> and comprises biologically active compounds that have possible beneficial health effects, which makes this compound a potential candidate as far as functional food and safe </w:t>
      </w:r>
      <w:r w:rsidR="009976B1">
        <w:rPr>
          <w:rFonts w:ascii="Arial" w:hAnsi="Arial" w:cs="Arial"/>
        </w:rPr>
        <w:t>therapeutic</w:t>
      </w:r>
      <w:r w:rsidRPr="0057753E">
        <w:rPr>
          <w:rFonts w:ascii="Arial" w:hAnsi="Arial" w:cs="Arial"/>
        </w:rPr>
        <w:t xml:space="preserve"> agent are considered</w:t>
      </w:r>
      <w:r w:rsidR="00D47305" w:rsidRPr="00D47305">
        <w:rPr>
          <w:rFonts w:ascii="Arial" w:hAnsi="Arial" w:cs="Arial"/>
        </w:rPr>
        <w:t>.</w:t>
      </w:r>
    </w:p>
    <w:p w14:paraId="1ED938AA" w14:textId="77777777" w:rsidR="00790ADA" w:rsidRPr="00585508" w:rsidRDefault="00790ADA" w:rsidP="00360D3A">
      <w:pPr>
        <w:pStyle w:val="Body"/>
        <w:spacing w:after="0" w:line="480" w:lineRule="auto"/>
        <w:rPr>
          <w:rFonts w:ascii="Arial" w:hAnsi="Arial" w:cs="Arial"/>
        </w:rPr>
      </w:pPr>
    </w:p>
    <w:p w14:paraId="205BCE4E" w14:textId="77777777" w:rsidR="00860000" w:rsidRPr="00786D36" w:rsidRDefault="00860000" w:rsidP="00360D3A">
      <w:pPr>
        <w:pStyle w:val="ReferHead"/>
        <w:spacing w:after="0" w:line="480" w:lineRule="auto"/>
        <w:jc w:val="both"/>
        <w:rPr>
          <w:rFonts w:ascii="Arial" w:hAnsi="Arial" w:cs="Arial"/>
          <w:bCs/>
        </w:rPr>
      </w:pPr>
      <w:r w:rsidRPr="00786D36">
        <w:rPr>
          <w:rFonts w:ascii="Arial" w:hAnsi="Arial" w:cs="Arial"/>
          <w:bCs/>
        </w:rPr>
        <w:t>Competing interests</w:t>
      </w:r>
    </w:p>
    <w:p w14:paraId="132422C1" w14:textId="77777777" w:rsidR="00A54F7B" w:rsidRDefault="00A54F7B" w:rsidP="00360D3A">
      <w:pPr>
        <w:spacing w:line="480" w:lineRule="auto"/>
      </w:pPr>
    </w:p>
    <w:p w14:paraId="460E7D0F" w14:textId="710CCD12" w:rsidR="00A54F7B" w:rsidRPr="00315186" w:rsidRDefault="00A54F7B" w:rsidP="00360D3A">
      <w:pPr>
        <w:spacing w:line="480" w:lineRule="auto"/>
      </w:pPr>
      <w:r>
        <w:t>The authors state that there are no competing interests to disclose.</w:t>
      </w:r>
    </w:p>
    <w:p w14:paraId="34E085E3" w14:textId="77777777" w:rsidR="00A54F7B" w:rsidRPr="00315186" w:rsidRDefault="00A54F7B" w:rsidP="00360D3A">
      <w:pPr>
        <w:spacing w:line="480" w:lineRule="auto"/>
      </w:pPr>
    </w:p>
    <w:p w14:paraId="08AADF0C" w14:textId="099B507A" w:rsidR="005C784C" w:rsidRDefault="005C784C" w:rsidP="00360D3A">
      <w:pPr>
        <w:pStyle w:val="ReferHead"/>
        <w:spacing w:after="0" w:line="480" w:lineRule="auto"/>
        <w:jc w:val="both"/>
        <w:rPr>
          <w:rFonts w:ascii="Arial" w:hAnsi="Arial" w:cs="Arial"/>
          <w:bCs/>
        </w:rPr>
      </w:pPr>
      <w:r>
        <w:rPr>
          <w:rFonts w:ascii="Arial" w:hAnsi="Arial" w:cs="Arial"/>
          <w:bCs/>
        </w:rPr>
        <w:t xml:space="preserve">Ethical approval </w:t>
      </w:r>
    </w:p>
    <w:p w14:paraId="1C0EE989" w14:textId="77777777" w:rsidR="004758E9" w:rsidRDefault="004758E9" w:rsidP="00360D3A">
      <w:pPr>
        <w:pStyle w:val="ReferHead"/>
        <w:spacing w:after="0" w:line="480" w:lineRule="auto"/>
        <w:jc w:val="both"/>
        <w:rPr>
          <w:rFonts w:ascii="Arial" w:hAnsi="Arial" w:cs="Arial"/>
          <w:bCs/>
        </w:rPr>
      </w:pPr>
    </w:p>
    <w:p w14:paraId="3851F1CB" w14:textId="77777777" w:rsidR="004758E9" w:rsidRPr="004758E9" w:rsidRDefault="004758E9" w:rsidP="00360D3A">
      <w:pPr>
        <w:spacing w:after="200" w:line="480" w:lineRule="auto"/>
        <w:jc w:val="both"/>
        <w:rPr>
          <w:rFonts w:ascii="Arial" w:eastAsiaTheme="minorHAnsi" w:hAnsi="Arial" w:cs="Arial"/>
          <w:b/>
          <w:color w:val="000000" w:themeColor="text1"/>
        </w:rPr>
      </w:pPr>
      <w:r w:rsidRPr="004758E9">
        <w:rPr>
          <w:rFonts w:ascii="Arial" w:eastAsiaTheme="minorHAnsi" w:hAnsi="Arial" w:cs="Arial"/>
          <w:color w:val="000000" w:themeColor="text1"/>
        </w:rPr>
        <w:t>All animal experiments carried out during this research were approved by the Institutional Animal Ethical Committee, Cotton University, Guwahati (Regn No. 15/IAEC/CU/05/01/2021). The experiments were carried out in accordance with the CPCSEA guidelines.</w:t>
      </w:r>
    </w:p>
    <w:p w14:paraId="1E3B9605" w14:textId="77777777" w:rsidR="005C784C" w:rsidRPr="002B685A" w:rsidRDefault="005C784C" w:rsidP="00360D3A">
      <w:pPr>
        <w:pStyle w:val="ReferHead"/>
        <w:spacing w:after="0" w:line="480" w:lineRule="auto"/>
        <w:jc w:val="both"/>
        <w:rPr>
          <w:rFonts w:ascii="Arial" w:hAnsi="Arial" w:cs="Arial"/>
          <w:bCs/>
        </w:rPr>
      </w:pPr>
    </w:p>
    <w:p w14:paraId="0AD6C6B7" w14:textId="605C277E" w:rsidR="008E3F6A" w:rsidRDefault="00B01FCD" w:rsidP="00360D3A">
      <w:pPr>
        <w:pStyle w:val="ReferHead"/>
        <w:spacing w:after="0" w:line="480" w:lineRule="auto"/>
        <w:jc w:val="both"/>
        <w:rPr>
          <w:rFonts w:ascii="Arial" w:hAnsi="Arial" w:cs="Arial"/>
        </w:rPr>
      </w:pPr>
      <w:r w:rsidRPr="00FB3A86">
        <w:rPr>
          <w:rFonts w:ascii="Arial" w:hAnsi="Arial" w:cs="Arial"/>
        </w:rPr>
        <w:t>References</w:t>
      </w:r>
    </w:p>
    <w:p w14:paraId="6E01072C" w14:textId="77777777" w:rsidR="0076378C" w:rsidRDefault="0076378C" w:rsidP="00360D3A">
      <w:pPr>
        <w:widowControl w:val="0"/>
        <w:autoSpaceDE w:val="0"/>
        <w:autoSpaceDN w:val="0"/>
        <w:adjustRightInd w:val="0"/>
        <w:spacing w:line="480" w:lineRule="auto"/>
        <w:rPr>
          <w:rFonts w:ascii="Arial" w:hAnsi="Arial" w:cs="Arial"/>
        </w:rPr>
      </w:pPr>
      <w:bookmarkStart w:id="5" w:name="_Hlk206844062"/>
    </w:p>
    <w:p w14:paraId="6AC0F453" w14:textId="6FC3FD8B" w:rsidR="00494EFA" w:rsidRPr="00494EFA" w:rsidRDefault="0076378C" w:rsidP="00511E4B">
      <w:pPr>
        <w:widowControl w:val="0"/>
        <w:autoSpaceDE w:val="0"/>
        <w:autoSpaceDN w:val="0"/>
        <w:adjustRightInd w:val="0"/>
        <w:spacing w:line="480" w:lineRule="auto"/>
        <w:ind w:left="480" w:hanging="480"/>
        <w:jc w:val="both"/>
        <w:rPr>
          <w:rFonts w:ascii="Arial" w:hAnsi="Arial" w:cs="Arial"/>
          <w:noProof/>
        </w:rPr>
      </w:pPr>
      <w:r w:rsidRPr="00254777">
        <w:rPr>
          <w:rFonts w:ascii="Arial" w:hAnsi="Arial" w:cs="Arial"/>
        </w:rPr>
        <w:fldChar w:fldCharType="begin" w:fldLock="1"/>
      </w:r>
      <w:r w:rsidRPr="00254777">
        <w:rPr>
          <w:rFonts w:ascii="Arial" w:hAnsi="Arial" w:cs="Arial"/>
        </w:rPr>
        <w:instrText xml:space="preserve">ADDIN Mendeley Bibliography CSL_BIBLIOGRAPHY </w:instrText>
      </w:r>
      <w:r w:rsidRPr="00254777">
        <w:rPr>
          <w:rFonts w:ascii="Arial" w:hAnsi="Arial" w:cs="Arial"/>
        </w:rPr>
        <w:fldChar w:fldCharType="separate"/>
      </w:r>
      <w:r w:rsidR="00494EFA" w:rsidRPr="00494EFA">
        <w:rPr>
          <w:rFonts w:ascii="Arial" w:hAnsi="Arial" w:cs="Arial"/>
          <w:noProof/>
        </w:rPr>
        <w:t xml:space="preserve">Abdou, R. H., Basha, W. A., &amp; Khalil, W. F. (2019). Subacute toxicity of Nerium oleander ethanolic extract in mice. </w:t>
      </w:r>
      <w:r w:rsidR="00494EFA" w:rsidRPr="00494EFA">
        <w:rPr>
          <w:rFonts w:ascii="Arial" w:hAnsi="Arial" w:cs="Arial"/>
          <w:i/>
          <w:iCs/>
          <w:noProof/>
        </w:rPr>
        <w:t>Toxicological Research</w:t>
      </w:r>
      <w:r w:rsidR="00494EFA" w:rsidRPr="00494EFA">
        <w:rPr>
          <w:rFonts w:ascii="Arial" w:hAnsi="Arial" w:cs="Arial"/>
          <w:noProof/>
        </w:rPr>
        <w:t xml:space="preserve">, </w:t>
      </w:r>
      <w:r w:rsidR="00494EFA" w:rsidRPr="00494EFA">
        <w:rPr>
          <w:rFonts w:ascii="Arial" w:hAnsi="Arial" w:cs="Arial"/>
          <w:i/>
          <w:iCs/>
          <w:noProof/>
        </w:rPr>
        <w:t>35</w:t>
      </w:r>
      <w:r w:rsidR="00494EFA" w:rsidRPr="00494EFA">
        <w:rPr>
          <w:rFonts w:ascii="Arial" w:hAnsi="Arial" w:cs="Arial"/>
          <w:noProof/>
        </w:rPr>
        <w:t>(3), 233–239.</w:t>
      </w:r>
    </w:p>
    <w:p w14:paraId="0769F2A4"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lastRenderedPageBreak/>
        <w:t xml:space="preserve">Abubakar, A. R., &amp; Haque, M. (2020). Preparation of medicinal plants: Basic extraction and fractionation procedures for experimental purposes. </w:t>
      </w:r>
      <w:r w:rsidRPr="00494EFA">
        <w:rPr>
          <w:rFonts w:ascii="Arial" w:hAnsi="Arial" w:cs="Arial"/>
          <w:i/>
          <w:iCs/>
          <w:noProof/>
        </w:rPr>
        <w:t>Journal of Pharmacy and Bioallied Sciences</w:t>
      </w:r>
      <w:r w:rsidRPr="00494EFA">
        <w:rPr>
          <w:rFonts w:ascii="Arial" w:hAnsi="Arial" w:cs="Arial"/>
          <w:noProof/>
        </w:rPr>
        <w:t xml:space="preserve">, </w:t>
      </w:r>
      <w:r w:rsidRPr="00494EFA">
        <w:rPr>
          <w:rFonts w:ascii="Arial" w:hAnsi="Arial" w:cs="Arial"/>
          <w:i/>
          <w:iCs/>
          <w:noProof/>
        </w:rPr>
        <w:t>12</w:t>
      </w:r>
      <w:r w:rsidRPr="00494EFA">
        <w:rPr>
          <w:rFonts w:ascii="Arial" w:hAnsi="Arial" w:cs="Arial"/>
          <w:noProof/>
        </w:rPr>
        <w:t>(1), 1–10.</w:t>
      </w:r>
    </w:p>
    <w:p w14:paraId="068E32EE"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Bhat, R., &amp; binti Yahya, N. (2014). Evaluating belinjau (Gnetum gnemon L.) seed flour quality as a base for development of novel food products and food formulations. </w:t>
      </w:r>
      <w:r w:rsidRPr="00494EFA">
        <w:rPr>
          <w:rFonts w:ascii="Arial" w:hAnsi="Arial" w:cs="Arial"/>
          <w:i/>
          <w:iCs/>
          <w:noProof/>
        </w:rPr>
        <w:t>Food Chemistry</w:t>
      </w:r>
      <w:r w:rsidRPr="00494EFA">
        <w:rPr>
          <w:rFonts w:ascii="Arial" w:hAnsi="Arial" w:cs="Arial"/>
          <w:noProof/>
        </w:rPr>
        <w:t xml:space="preserve">, </w:t>
      </w:r>
      <w:r w:rsidRPr="00494EFA">
        <w:rPr>
          <w:rFonts w:ascii="Arial" w:hAnsi="Arial" w:cs="Arial"/>
          <w:i/>
          <w:iCs/>
          <w:noProof/>
        </w:rPr>
        <w:t>156</w:t>
      </w:r>
      <w:r w:rsidRPr="00494EFA">
        <w:rPr>
          <w:rFonts w:ascii="Arial" w:hAnsi="Arial" w:cs="Arial"/>
          <w:noProof/>
        </w:rPr>
        <w:t>, 42–49.</w:t>
      </w:r>
    </w:p>
    <w:p w14:paraId="18449487"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Chanda, S., &amp; Ramachandra, T. V. (2019). A review on some Therapeutic aspects of Phytochemicals present in Medicinal plants. </w:t>
      </w:r>
      <w:r w:rsidRPr="00494EFA">
        <w:rPr>
          <w:rFonts w:ascii="Arial" w:hAnsi="Arial" w:cs="Arial"/>
          <w:i/>
          <w:iCs/>
          <w:noProof/>
        </w:rPr>
        <w:t>International Journal of Pharmacy &amp; Life Sciences</w:t>
      </w:r>
      <w:r w:rsidRPr="00494EFA">
        <w:rPr>
          <w:rFonts w:ascii="Arial" w:hAnsi="Arial" w:cs="Arial"/>
          <w:noProof/>
        </w:rPr>
        <w:t xml:space="preserve">, </w:t>
      </w:r>
      <w:r w:rsidRPr="00494EFA">
        <w:rPr>
          <w:rFonts w:ascii="Arial" w:hAnsi="Arial" w:cs="Arial"/>
          <w:i/>
          <w:iCs/>
          <w:noProof/>
        </w:rPr>
        <w:t>10</w:t>
      </w:r>
      <w:r w:rsidRPr="00494EFA">
        <w:rPr>
          <w:rFonts w:ascii="Arial" w:hAnsi="Arial" w:cs="Arial"/>
          <w:noProof/>
        </w:rPr>
        <w:t>(1).</w:t>
      </w:r>
    </w:p>
    <w:p w14:paraId="1A02BE23" w14:textId="6C0F9D5D"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Dar, R. A., Shahnawaz, M., Ahanger, M. A., &amp; Majid, I. ul. (2023). Exploring the diverse bioactive compounds from medicinal plants: a review</w:t>
      </w:r>
      <w:r w:rsidR="00124029">
        <w:rPr>
          <w:rFonts w:ascii="Arial" w:hAnsi="Arial" w:cs="Arial"/>
          <w:noProof/>
        </w:rPr>
        <w:t xml:space="preserve"> The </w:t>
      </w:r>
      <w:r w:rsidRPr="00494EFA">
        <w:rPr>
          <w:rFonts w:ascii="Arial" w:hAnsi="Arial" w:cs="Arial"/>
          <w:i/>
          <w:iCs/>
          <w:noProof/>
        </w:rPr>
        <w:t>J</w:t>
      </w:r>
      <w:r w:rsidR="00124029">
        <w:rPr>
          <w:rFonts w:ascii="Arial" w:hAnsi="Arial" w:cs="Arial"/>
          <w:i/>
          <w:iCs/>
          <w:noProof/>
        </w:rPr>
        <w:t>ournal of</w:t>
      </w:r>
      <w:r w:rsidRPr="00494EFA">
        <w:rPr>
          <w:rFonts w:ascii="Arial" w:hAnsi="Arial" w:cs="Arial"/>
          <w:i/>
          <w:iCs/>
          <w:noProof/>
        </w:rPr>
        <w:t xml:space="preserve"> Phytopharm</w:t>
      </w:r>
      <w:r w:rsidR="00124029">
        <w:rPr>
          <w:rFonts w:ascii="Arial" w:hAnsi="Arial" w:cs="Arial"/>
          <w:i/>
          <w:iCs/>
          <w:noProof/>
        </w:rPr>
        <w:t>acology</w:t>
      </w:r>
      <w:r w:rsidRPr="00494EFA">
        <w:rPr>
          <w:rFonts w:ascii="Arial" w:hAnsi="Arial" w:cs="Arial"/>
          <w:noProof/>
        </w:rPr>
        <w:t xml:space="preserve">, </w:t>
      </w:r>
      <w:r w:rsidRPr="00494EFA">
        <w:rPr>
          <w:rFonts w:ascii="Arial" w:hAnsi="Arial" w:cs="Arial"/>
          <w:i/>
          <w:iCs/>
          <w:noProof/>
        </w:rPr>
        <w:t>12</w:t>
      </w:r>
      <w:r w:rsidRPr="00494EFA">
        <w:rPr>
          <w:rFonts w:ascii="Arial" w:hAnsi="Arial" w:cs="Arial"/>
          <w:noProof/>
        </w:rPr>
        <w:t>(3), 189–195.</w:t>
      </w:r>
    </w:p>
    <w:p w14:paraId="7644F5F1"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Edem, U. A., &amp; Okokon, J. E. (2025). Subacute Toxicity Study of Leaf Extract of Saccharum officinarum. </w:t>
      </w:r>
      <w:r w:rsidRPr="00494EFA">
        <w:rPr>
          <w:rFonts w:ascii="Arial" w:hAnsi="Arial" w:cs="Arial"/>
          <w:i/>
          <w:iCs/>
          <w:noProof/>
        </w:rPr>
        <w:t>Biology, Medicine, &amp; Natural Product Chemistry</w:t>
      </w:r>
      <w:r w:rsidRPr="00494EFA">
        <w:rPr>
          <w:rFonts w:ascii="Arial" w:hAnsi="Arial" w:cs="Arial"/>
          <w:noProof/>
        </w:rPr>
        <w:t xml:space="preserve">, </w:t>
      </w:r>
      <w:r w:rsidRPr="00494EFA">
        <w:rPr>
          <w:rFonts w:ascii="Arial" w:hAnsi="Arial" w:cs="Arial"/>
          <w:i/>
          <w:iCs/>
          <w:noProof/>
        </w:rPr>
        <w:t>14</w:t>
      </w:r>
      <w:r w:rsidRPr="00494EFA">
        <w:rPr>
          <w:rFonts w:ascii="Arial" w:hAnsi="Arial" w:cs="Arial"/>
          <w:noProof/>
        </w:rPr>
        <w:t>(1), 91–100.</w:t>
      </w:r>
    </w:p>
    <w:p w14:paraId="4E9C055A" w14:textId="67D955A8"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Elyasi, Z., Rajashekhar, U., Jha, D. K., &amp; Khadka, J. (2022). Evaluation of in-vivo anticancer activity Choerospondias axillaris in Swiss albino mice models. </w:t>
      </w:r>
      <w:r w:rsidRPr="00494EFA">
        <w:rPr>
          <w:rFonts w:ascii="Arial" w:hAnsi="Arial" w:cs="Arial"/>
          <w:i/>
          <w:iCs/>
          <w:noProof/>
        </w:rPr>
        <w:t>J</w:t>
      </w:r>
      <w:r w:rsidR="00124029">
        <w:rPr>
          <w:rFonts w:ascii="Arial" w:hAnsi="Arial" w:cs="Arial"/>
          <w:i/>
          <w:iCs/>
          <w:noProof/>
        </w:rPr>
        <w:t>ournal of</w:t>
      </w:r>
      <w:r w:rsidRPr="00494EFA">
        <w:rPr>
          <w:rFonts w:ascii="Arial" w:hAnsi="Arial" w:cs="Arial"/>
          <w:i/>
          <w:iCs/>
          <w:noProof/>
        </w:rPr>
        <w:t xml:space="preserve"> Pharm</w:t>
      </w:r>
      <w:r w:rsidR="00124029">
        <w:rPr>
          <w:rFonts w:ascii="Arial" w:hAnsi="Arial" w:cs="Arial"/>
          <w:i/>
          <w:iCs/>
          <w:noProof/>
        </w:rPr>
        <w:t>aceutical</w:t>
      </w:r>
      <w:r w:rsidRPr="00494EFA">
        <w:rPr>
          <w:rFonts w:ascii="Arial" w:hAnsi="Arial" w:cs="Arial"/>
          <w:i/>
          <w:iCs/>
          <w:noProof/>
        </w:rPr>
        <w:t xml:space="preserve"> Res</w:t>
      </w:r>
      <w:r w:rsidR="00124029">
        <w:rPr>
          <w:rFonts w:ascii="Arial" w:hAnsi="Arial" w:cs="Arial"/>
          <w:i/>
          <w:iCs/>
          <w:noProof/>
        </w:rPr>
        <w:t xml:space="preserve">earch </w:t>
      </w:r>
      <w:r w:rsidRPr="00494EFA">
        <w:rPr>
          <w:rFonts w:ascii="Arial" w:hAnsi="Arial" w:cs="Arial"/>
          <w:i/>
          <w:iCs/>
          <w:noProof/>
        </w:rPr>
        <w:t>Int</w:t>
      </w:r>
      <w:r w:rsidR="00124029">
        <w:rPr>
          <w:rFonts w:ascii="Arial" w:hAnsi="Arial" w:cs="Arial"/>
          <w:i/>
          <w:iCs/>
          <w:noProof/>
        </w:rPr>
        <w:t xml:space="preserve">ernational </w:t>
      </w:r>
      <w:r w:rsidRPr="00494EFA">
        <w:rPr>
          <w:rFonts w:ascii="Arial" w:hAnsi="Arial" w:cs="Arial"/>
          <w:noProof/>
        </w:rPr>
        <w:t xml:space="preserve">, </w:t>
      </w:r>
      <w:r w:rsidRPr="00494EFA">
        <w:rPr>
          <w:rFonts w:ascii="Arial" w:hAnsi="Arial" w:cs="Arial"/>
          <w:i/>
          <w:iCs/>
          <w:noProof/>
        </w:rPr>
        <w:t>34</w:t>
      </w:r>
      <w:r w:rsidRPr="00494EFA">
        <w:rPr>
          <w:rFonts w:ascii="Arial" w:hAnsi="Arial" w:cs="Arial"/>
          <w:noProof/>
        </w:rPr>
        <w:t>, 26–50.</w:t>
      </w:r>
    </w:p>
    <w:p w14:paraId="52862FA0"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Habtamu, F. G., Haki, G. D., Fekadu, B., Rakshit, S. K., &amp; Ashagrie, Z. W. (2018). Nutritional and antinutritional evaluation of indigenous Ethiopian Okra (Abelmoschus esculentus) seed accessions. </w:t>
      </w:r>
      <w:r w:rsidRPr="00494EFA">
        <w:rPr>
          <w:rFonts w:ascii="Arial" w:hAnsi="Arial" w:cs="Arial"/>
          <w:i/>
          <w:iCs/>
          <w:noProof/>
        </w:rPr>
        <w:t>African Journal of Food, Agriculture, Nutrition and Development</w:t>
      </w:r>
      <w:r w:rsidRPr="00494EFA">
        <w:rPr>
          <w:rFonts w:ascii="Arial" w:hAnsi="Arial" w:cs="Arial"/>
          <w:noProof/>
        </w:rPr>
        <w:t xml:space="preserve">, </w:t>
      </w:r>
      <w:r w:rsidRPr="00494EFA">
        <w:rPr>
          <w:rFonts w:ascii="Arial" w:hAnsi="Arial" w:cs="Arial"/>
          <w:i/>
          <w:iCs/>
          <w:noProof/>
        </w:rPr>
        <w:t>18</w:t>
      </w:r>
      <w:r w:rsidRPr="00494EFA">
        <w:rPr>
          <w:rFonts w:ascii="Arial" w:hAnsi="Arial" w:cs="Arial"/>
          <w:noProof/>
        </w:rPr>
        <w:t>(1).</w:t>
      </w:r>
    </w:p>
    <w:p w14:paraId="00DDF67A"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Hafidz, K. A., Puspitasari, N., Yanuar, A., Artha, Y., &amp; Mun’im, A. (2017). HMG-CoA Reductase inhibitory activity of Gnetum gnemon seed extract and identification of potential inhibitors for lowering cholesterol level. </w:t>
      </w:r>
      <w:r w:rsidRPr="00494EFA">
        <w:rPr>
          <w:rFonts w:ascii="Arial" w:hAnsi="Arial" w:cs="Arial"/>
          <w:i/>
          <w:iCs/>
          <w:noProof/>
        </w:rPr>
        <w:t>Journal of Young Pharmacists</w:t>
      </w:r>
      <w:r w:rsidRPr="00494EFA">
        <w:rPr>
          <w:rFonts w:ascii="Arial" w:hAnsi="Arial" w:cs="Arial"/>
          <w:noProof/>
        </w:rPr>
        <w:t xml:space="preserve">, </w:t>
      </w:r>
      <w:r w:rsidRPr="00494EFA">
        <w:rPr>
          <w:rFonts w:ascii="Arial" w:hAnsi="Arial" w:cs="Arial"/>
          <w:i/>
          <w:iCs/>
          <w:noProof/>
        </w:rPr>
        <w:t>9</w:t>
      </w:r>
      <w:r w:rsidRPr="00494EFA">
        <w:rPr>
          <w:rFonts w:ascii="Arial" w:hAnsi="Arial" w:cs="Arial"/>
          <w:noProof/>
        </w:rPr>
        <w:t>(4), 559.</w:t>
      </w:r>
    </w:p>
    <w:p w14:paraId="5E4568A1"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Hossain, M. S., Wazed, M. A., Asha, S., Amin, M. R., &amp; Shimul, I. M. (2025). Dietary phytochemicals in health and disease: Mechanisms, clinical evidence, and applications—a comprehensive review. </w:t>
      </w:r>
      <w:r w:rsidRPr="00494EFA">
        <w:rPr>
          <w:rFonts w:ascii="Arial" w:hAnsi="Arial" w:cs="Arial"/>
          <w:i/>
          <w:iCs/>
          <w:noProof/>
        </w:rPr>
        <w:t>Food Science &amp; Nutrition</w:t>
      </w:r>
      <w:r w:rsidRPr="00494EFA">
        <w:rPr>
          <w:rFonts w:ascii="Arial" w:hAnsi="Arial" w:cs="Arial"/>
          <w:noProof/>
        </w:rPr>
        <w:t xml:space="preserve">, </w:t>
      </w:r>
      <w:r w:rsidRPr="00494EFA">
        <w:rPr>
          <w:rFonts w:ascii="Arial" w:hAnsi="Arial" w:cs="Arial"/>
          <w:i/>
          <w:iCs/>
          <w:noProof/>
        </w:rPr>
        <w:t>13</w:t>
      </w:r>
      <w:r w:rsidRPr="00494EFA">
        <w:rPr>
          <w:rFonts w:ascii="Arial" w:hAnsi="Arial" w:cs="Arial"/>
          <w:noProof/>
        </w:rPr>
        <w:t>(3), e70101.</w:t>
      </w:r>
    </w:p>
    <w:p w14:paraId="27CBDF2D"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Huong, N. T., Hop, N. Q., Duy, D. A., &amp; Son, N. T. (2025). The genus Gnetum: Traditional use, </w:t>
      </w:r>
      <w:r w:rsidRPr="00494EFA">
        <w:rPr>
          <w:rFonts w:ascii="Arial" w:hAnsi="Arial" w:cs="Arial"/>
          <w:noProof/>
        </w:rPr>
        <w:lastRenderedPageBreak/>
        <w:t xml:space="preserve">phytochemistry, nutritional value, biosynthesis, synthesis, pharmacology, toxicology, synthetic advance, and pharmacokinetics. </w:t>
      </w:r>
      <w:r w:rsidRPr="00494EFA">
        <w:rPr>
          <w:rFonts w:ascii="Arial" w:hAnsi="Arial" w:cs="Arial"/>
          <w:i/>
          <w:iCs/>
          <w:noProof/>
        </w:rPr>
        <w:t>Fitoterapia</w:t>
      </w:r>
      <w:r w:rsidRPr="00494EFA">
        <w:rPr>
          <w:rFonts w:ascii="Arial" w:hAnsi="Arial" w:cs="Arial"/>
          <w:noProof/>
        </w:rPr>
        <w:t>, 106461.</w:t>
      </w:r>
    </w:p>
    <w:p w14:paraId="533D9BDC"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Jin, W.-Y., Liu, B., Zhang, S.-Z., Wan, T., Hou, C., &amp; Yang, Y. (2020). Gnetum chinense, a new species of Gnetaceae from southwestern China. </w:t>
      </w:r>
      <w:r w:rsidRPr="00494EFA">
        <w:rPr>
          <w:rFonts w:ascii="Arial" w:hAnsi="Arial" w:cs="Arial"/>
          <w:i/>
          <w:iCs/>
          <w:noProof/>
        </w:rPr>
        <w:t>PhytoKeys</w:t>
      </w:r>
      <w:r w:rsidRPr="00494EFA">
        <w:rPr>
          <w:rFonts w:ascii="Arial" w:hAnsi="Arial" w:cs="Arial"/>
          <w:noProof/>
        </w:rPr>
        <w:t xml:space="preserve">, </w:t>
      </w:r>
      <w:r w:rsidRPr="00494EFA">
        <w:rPr>
          <w:rFonts w:ascii="Arial" w:hAnsi="Arial" w:cs="Arial"/>
          <w:i/>
          <w:iCs/>
          <w:noProof/>
        </w:rPr>
        <w:t>148</w:t>
      </w:r>
      <w:r w:rsidRPr="00494EFA">
        <w:rPr>
          <w:rFonts w:ascii="Arial" w:hAnsi="Arial" w:cs="Arial"/>
          <w:noProof/>
        </w:rPr>
        <w:t>, 105.</w:t>
      </w:r>
    </w:p>
    <w:p w14:paraId="7D9130F1"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Loha, M., Mulu, A., Abay, S. M., Ergete, W., &amp; Geleta, B. (2019). Acute and subacute toxicity of methanol extract of Syzygium guineense leaves on the histology of the liver and kidney and biochemical compositions of blood in rats. </w:t>
      </w:r>
      <w:r w:rsidRPr="00494EFA">
        <w:rPr>
          <w:rFonts w:ascii="Arial" w:hAnsi="Arial" w:cs="Arial"/>
          <w:i/>
          <w:iCs/>
          <w:noProof/>
        </w:rPr>
        <w:t>Evidence</w:t>
      </w:r>
      <w:r w:rsidRPr="00494EFA">
        <w:rPr>
          <w:rFonts w:ascii="Cambria Math" w:hAnsi="Cambria Math" w:cs="Cambria Math"/>
          <w:i/>
          <w:iCs/>
          <w:noProof/>
        </w:rPr>
        <w:t>‐</w:t>
      </w:r>
      <w:r w:rsidRPr="00494EFA">
        <w:rPr>
          <w:rFonts w:ascii="Arial" w:hAnsi="Arial" w:cs="Arial"/>
          <w:i/>
          <w:iCs/>
          <w:noProof/>
        </w:rPr>
        <w:t>Based Complementary and Alternative Medicine</w:t>
      </w:r>
      <w:r w:rsidRPr="00494EFA">
        <w:rPr>
          <w:rFonts w:ascii="Arial" w:hAnsi="Arial" w:cs="Arial"/>
          <w:noProof/>
        </w:rPr>
        <w:t xml:space="preserve">, </w:t>
      </w:r>
      <w:r w:rsidRPr="00494EFA">
        <w:rPr>
          <w:rFonts w:ascii="Arial" w:hAnsi="Arial" w:cs="Arial"/>
          <w:i/>
          <w:iCs/>
          <w:noProof/>
        </w:rPr>
        <w:t>2019</w:t>
      </w:r>
      <w:r w:rsidRPr="00494EFA">
        <w:rPr>
          <w:rFonts w:ascii="Arial" w:hAnsi="Arial" w:cs="Arial"/>
          <w:noProof/>
        </w:rPr>
        <w:t>(1), 5702159.</w:t>
      </w:r>
    </w:p>
    <w:p w14:paraId="460F8E94" w14:textId="6FA7ACE6"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M</w:t>
      </w:r>
      <w:r w:rsidR="000114D4">
        <w:rPr>
          <w:rFonts w:ascii="Arial" w:hAnsi="Arial" w:cs="Arial"/>
          <w:noProof/>
        </w:rPr>
        <w:t>ollejon</w:t>
      </w:r>
      <w:r w:rsidRPr="00494EFA">
        <w:rPr>
          <w:rFonts w:ascii="Arial" w:hAnsi="Arial" w:cs="Arial"/>
          <w:noProof/>
        </w:rPr>
        <w:t>, C. V, &amp; G</w:t>
      </w:r>
      <w:r w:rsidR="000114D4">
        <w:rPr>
          <w:rFonts w:ascii="Arial" w:hAnsi="Arial" w:cs="Arial"/>
          <w:noProof/>
        </w:rPr>
        <w:t>abane</w:t>
      </w:r>
      <w:r w:rsidRPr="00494EFA">
        <w:rPr>
          <w:rFonts w:ascii="Arial" w:hAnsi="Arial" w:cs="Arial"/>
          <w:noProof/>
        </w:rPr>
        <w:t>, L. E. O. S. (2019). Nutritional and nutraceutical content of Gnetum gnemon (bago) leaf extract.</w:t>
      </w:r>
      <w:r w:rsidR="00891123" w:rsidRPr="00891123">
        <w:rPr>
          <w:rFonts w:ascii="Arial" w:hAnsi="Arial" w:cs="Arial"/>
          <w:i/>
          <w:iCs/>
          <w:noProof/>
        </w:rPr>
        <w:t>International Journal of Research Publications</w:t>
      </w:r>
      <w:r w:rsidRPr="00494EFA">
        <w:rPr>
          <w:rFonts w:ascii="Arial" w:hAnsi="Arial" w:cs="Arial"/>
          <w:noProof/>
        </w:rPr>
        <w:t xml:space="preserve">, </w:t>
      </w:r>
      <w:r w:rsidRPr="00494EFA">
        <w:rPr>
          <w:rFonts w:ascii="Arial" w:hAnsi="Arial" w:cs="Arial"/>
          <w:i/>
          <w:iCs/>
          <w:noProof/>
        </w:rPr>
        <w:t>31</w:t>
      </w:r>
      <w:r w:rsidRPr="00494EFA">
        <w:rPr>
          <w:rFonts w:ascii="Arial" w:hAnsi="Arial" w:cs="Arial"/>
          <w:noProof/>
        </w:rPr>
        <w:t>(2), 75.</w:t>
      </w:r>
    </w:p>
    <w:p w14:paraId="5DDD9583"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Mun’im, A., Munadhil, M. A., Puspitasari, N., &amp; Yanuar, A. (2017). Angiotensin converting enzyme inhibitory activity of Melinjo (Gnetum gnemon L.) seed extracts and molecular docking of its stilbene constituents. </w:t>
      </w:r>
      <w:r w:rsidRPr="00494EFA">
        <w:rPr>
          <w:rFonts w:ascii="Arial" w:hAnsi="Arial" w:cs="Arial"/>
          <w:i/>
          <w:iCs/>
          <w:noProof/>
        </w:rPr>
        <w:t>Asian Journal of Pharmaceutical and Clinical Research</w:t>
      </w:r>
      <w:r w:rsidRPr="00494EFA">
        <w:rPr>
          <w:rFonts w:ascii="Arial" w:hAnsi="Arial" w:cs="Arial"/>
          <w:noProof/>
        </w:rPr>
        <w:t>, 148–243.</w:t>
      </w:r>
    </w:p>
    <w:p w14:paraId="18BDA2F3"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Obakiro, S. B., Kiprop, A., Kigondu, E., K’owino, I., Kiyimba, K., Drago Kato, C., &amp; Gavamukulya, Y. (2021). Sub-acute toxicity effects of methanolic stem bark extract of Entada abyssinica on biochemical, haematological and histopathological parameters in wistar albino rats. </w:t>
      </w:r>
      <w:r w:rsidRPr="00494EFA">
        <w:rPr>
          <w:rFonts w:ascii="Arial" w:hAnsi="Arial" w:cs="Arial"/>
          <w:i/>
          <w:iCs/>
          <w:noProof/>
        </w:rPr>
        <w:t>Frontiers in Pharmacology</w:t>
      </w:r>
      <w:r w:rsidRPr="00494EFA">
        <w:rPr>
          <w:rFonts w:ascii="Arial" w:hAnsi="Arial" w:cs="Arial"/>
          <w:noProof/>
        </w:rPr>
        <w:t xml:space="preserve">, </w:t>
      </w:r>
      <w:r w:rsidRPr="00494EFA">
        <w:rPr>
          <w:rFonts w:ascii="Arial" w:hAnsi="Arial" w:cs="Arial"/>
          <w:i/>
          <w:iCs/>
          <w:noProof/>
        </w:rPr>
        <w:t>12</w:t>
      </w:r>
      <w:r w:rsidRPr="00494EFA">
        <w:rPr>
          <w:rFonts w:ascii="Arial" w:hAnsi="Arial" w:cs="Arial"/>
          <w:noProof/>
        </w:rPr>
        <w:t>, 740305.</w:t>
      </w:r>
    </w:p>
    <w:p w14:paraId="3E210E62"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Ounjaijean, S., &amp; Somsak, V. (2024). Exploring the Antimalarial Potential of Gnetum Gnemon Leaf Extract Against Plasmodium berghei in Mice. </w:t>
      </w:r>
      <w:r w:rsidRPr="00494EFA">
        <w:rPr>
          <w:rFonts w:ascii="Arial" w:hAnsi="Arial" w:cs="Arial"/>
          <w:i/>
          <w:iCs/>
          <w:noProof/>
        </w:rPr>
        <w:t>Journal of Tropical Medicine</w:t>
      </w:r>
      <w:r w:rsidRPr="00494EFA">
        <w:rPr>
          <w:rFonts w:ascii="Arial" w:hAnsi="Arial" w:cs="Arial"/>
          <w:noProof/>
        </w:rPr>
        <w:t xml:space="preserve">, </w:t>
      </w:r>
      <w:r w:rsidRPr="00494EFA">
        <w:rPr>
          <w:rFonts w:ascii="Arial" w:hAnsi="Arial" w:cs="Arial"/>
          <w:i/>
          <w:iCs/>
          <w:noProof/>
        </w:rPr>
        <w:t>2024</w:t>
      </w:r>
      <w:r w:rsidRPr="00494EFA">
        <w:rPr>
          <w:rFonts w:ascii="Arial" w:hAnsi="Arial" w:cs="Arial"/>
          <w:noProof/>
        </w:rPr>
        <w:t>(1), 3471083.</w:t>
      </w:r>
    </w:p>
    <w:p w14:paraId="153191BB"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Salmerón-Manzano, E., Garrido-Cardenas, J. A., &amp; Manzano-Agugliaro, F. (2020). Worldwide research trends on medicinal plants. </w:t>
      </w:r>
      <w:r w:rsidRPr="00494EFA">
        <w:rPr>
          <w:rFonts w:ascii="Arial" w:hAnsi="Arial" w:cs="Arial"/>
          <w:i/>
          <w:iCs/>
          <w:noProof/>
        </w:rPr>
        <w:t>International Journal of Environmental Research and Public Health</w:t>
      </w:r>
      <w:r w:rsidRPr="00494EFA">
        <w:rPr>
          <w:rFonts w:ascii="Arial" w:hAnsi="Arial" w:cs="Arial"/>
          <w:noProof/>
        </w:rPr>
        <w:t xml:space="preserve">, </w:t>
      </w:r>
      <w:r w:rsidRPr="00494EFA">
        <w:rPr>
          <w:rFonts w:ascii="Arial" w:hAnsi="Arial" w:cs="Arial"/>
          <w:i/>
          <w:iCs/>
          <w:noProof/>
        </w:rPr>
        <w:t>17</w:t>
      </w:r>
      <w:r w:rsidRPr="00494EFA">
        <w:rPr>
          <w:rFonts w:ascii="Arial" w:hAnsi="Arial" w:cs="Arial"/>
          <w:noProof/>
        </w:rPr>
        <w:t>(10), 3376.</w:t>
      </w:r>
    </w:p>
    <w:p w14:paraId="29B07B64"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Suksanga, A., Siripongvutikorn, S., Leelawattana, R., Yupanqui, C. T., &amp; Idowu, A. O. (2023). Assessment of biological activities, acute and sub-chronic toxicity of Liang (Gnetum gnemon var. tenerum) leaves powder, a natural product. </w:t>
      </w:r>
      <w:r w:rsidRPr="00494EFA">
        <w:rPr>
          <w:rFonts w:ascii="Arial" w:hAnsi="Arial" w:cs="Arial"/>
          <w:i/>
          <w:iCs/>
          <w:noProof/>
        </w:rPr>
        <w:t xml:space="preserve">Biological and Pharmaceutical </w:t>
      </w:r>
      <w:r w:rsidRPr="00494EFA">
        <w:rPr>
          <w:rFonts w:ascii="Arial" w:hAnsi="Arial" w:cs="Arial"/>
          <w:i/>
          <w:iCs/>
          <w:noProof/>
        </w:rPr>
        <w:lastRenderedPageBreak/>
        <w:t>Bulletin</w:t>
      </w:r>
      <w:r w:rsidRPr="00494EFA">
        <w:rPr>
          <w:rFonts w:ascii="Arial" w:hAnsi="Arial" w:cs="Arial"/>
          <w:noProof/>
        </w:rPr>
        <w:t xml:space="preserve">, </w:t>
      </w:r>
      <w:r w:rsidRPr="00494EFA">
        <w:rPr>
          <w:rFonts w:ascii="Arial" w:hAnsi="Arial" w:cs="Arial"/>
          <w:i/>
          <w:iCs/>
          <w:noProof/>
        </w:rPr>
        <w:t>46</w:t>
      </w:r>
      <w:r w:rsidRPr="00494EFA">
        <w:rPr>
          <w:rFonts w:ascii="Arial" w:hAnsi="Arial" w:cs="Arial"/>
          <w:noProof/>
        </w:rPr>
        <w:t>(12), 1666–1675.</w:t>
      </w:r>
    </w:p>
    <w:p w14:paraId="727A779A"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Sun, W., &amp; Shahrajabian, M. H. (2023). Therapeutic potential of phenolic compounds in medicinal plants—Natural health products for human health. </w:t>
      </w:r>
      <w:r w:rsidRPr="00494EFA">
        <w:rPr>
          <w:rFonts w:ascii="Arial" w:hAnsi="Arial" w:cs="Arial"/>
          <w:i/>
          <w:iCs/>
          <w:noProof/>
        </w:rPr>
        <w:t>Molecules</w:t>
      </w:r>
      <w:r w:rsidRPr="00494EFA">
        <w:rPr>
          <w:rFonts w:ascii="Arial" w:hAnsi="Arial" w:cs="Arial"/>
          <w:noProof/>
        </w:rPr>
        <w:t xml:space="preserve">, </w:t>
      </w:r>
      <w:r w:rsidRPr="00494EFA">
        <w:rPr>
          <w:rFonts w:ascii="Arial" w:hAnsi="Arial" w:cs="Arial"/>
          <w:i/>
          <w:iCs/>
          <w:noProof/>
        </w:rPr>
        <w:t>28</w:t>
      </w:r>
      <w:r w:rsidRPr="00494EFA">
        <w:rPr>
          <w:rFonts w:ascii="Arial" w:hAnsi="Arial" w:cs="Arial"/>
          <w:noProof/>
        </w:rPr>
        <w:t>(4), 1845.</w:t>
      </w:r>
    </w:p>
    <w:p w14:paraId="5F4B4BB3"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Tatefuji, T., Hashimoto, K., &amp; Company, Y. B. (2014). </w:t>
      </w:r>
      <w:r w:rsidRPr="00494EFA">
        <w:rPr>
          <w:rFonts w:ascii="Arial" w:hAnsi="Arial" w:cs="Arial"/>
          <w:i/>
          <w:iCs/>
          <w:noProof/>
        </w:rPr>
        <w:t>Inhibitory Effect of Gnetin C , a Resveratrol Dimer from Melinjo ( Gnetum gnemon ), on Tyrosinase Activity and Melanin Biosynthesis</w:t>
      </w:r>
      <w:r w:rsidRPr="00494EFA">
        <w:rPr>
          <w:rFonts w:ascii="Arial" w:hAnsi="Arial" w:cs="Arial"/>
          <w:noProof/>
        </w:rPr>
        <w:t xml:space="preserve">. </w:t>
      </w:r>
      <w:r w:rsidRPr="00494EFA">
        <w:rPr>
          <w:rFonts w:ascii="Arial" w:hAnsi="Arial" w:cs="Arial"/>
          <w:i/>
          <w:iCs/>
          <w:noProof/>
        </w:rPr>
        <w:t>November</w:t>
      </w:r>
      <w:r w:rsidRPr="00494EFA">
        <w:rPr>
          <w:rFonts w:ascii="Arial" w:hAnsi="Arial" w:cs="Arial"/>
          <w:noProof/>
        </w:rPr>
        <w:t>. https://doi.org/10.1248/bpb.35.993</w:t>
      </w:r>
    </w:p>
    <w:p w14:paraId="66A3FC80"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Thummar, V. R., Parasuraman, S., Basu, D., &amp; Raveendran, R. (2016). Evaluation of in vivo antitumor activity of cleistanthin B in Swiss albino mice. </w:t>
      </w:r>
      <w:r w:rsidRPr="00494EFA">
        <w:rPr>
          <w:rFonts w:ascii="Arial" w:hAnsi="Arial" w:cs="Arial"/>
          <w:i/>
          <w:iCs/>
          <w:noProof/>
        </w:rPr>
        <w:t>Journal of Traditional and Complementary Medicine</w:t>
      </w:r>
      <w:r w:rsidRPr="00494EFA">
        <w:rPr>
          <w:rFonts w:ascii="Arial" w:hAnsi="Arial" w:cs="Arial"/>
          <w:noProof/>
        </w:rPr>
        <w:t xml:space="preserve">, </w:t>
      </w:r>
      <w:r w:rsidRPr="00494EFA">
        <w:rPr>
          <w:rFonts w:ascii="Arial" w:hAnsi="Arial" w:cs="Arial"/>
          <w:i/>
          <w:iCs/>
          <w:noProof/>
        </w:rPr>
        <w:t>6</w:t>
      </w:r>
      <w:r w:rsidRPr="00494EFA">
        <w:rPr>
          <w:rFonts w:ascii="Arial" w:hAnsi="Arial" w:cs="Arial"/>
          <w:noProof/>
        </w:rPr>
        <w:t>(4), 383–388.</w:t>
      </w:r>
    </w:p>
    <w:p w14:paraId="3C1A989C" w14:textId="2A4DA65C"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V</w:t>
      </w:r>
      <w:r w:rsidR="0089299E">
        <w:rPr>
          <w:rFonts w:ascii="Arial" w:hAnsi="Arial" w:cs="Arial"/>
          <w:noProof/>
        </w:rPr>
        <w:t>onica</w:t>
      </w:r>
      <w:r w:rsidRPr="00494EFA">
        <w:rPr>
          <w:rFonts w:ascii="Arial" w:hAnsi="Arial" w:cs="Arial"/>
          <w:noProof/>
        </w:rPr>
        <w:t xml:space="preserve">, M., Baričevič, D., &amp; Brvar, M. (2014). Adverse effects and intoxications related to medicinal/harmful plants. </w:t>
      </w:r>
      <w:r w:rsidRPr="00494EFA">
        <w:rPr>
          <w:rFonts w:ascii="Arial" w:hAnsi="Arial" w:cs="Arial"/>
          <w:i/>
          <w:iCs/>
          <w:noProof/>
        </w:rPr>
        <w:t>Acta Agriculturae Slovenica</w:t>
      </w:r>
      <w:r w:rsidRPr="00494EFA">
        <w:rPr>
          <w:rFonts w:ascii="Arial" w:hAnsi="Arial" w:cs="Arial"/>
          <w:noProof/>
        </w:rPr>
        <w:t xml:space="preserve">, </w:t>
      </w:r>
      <w:r w:rsidRPr="00494EFA">
        <w:rPr>
          <w:rFonts w:ascii="Arial" w:hAnsi="Arial" w:cs="Arial"/>
          <w:i/>
          <w:iCs/>
          <w:noProof/>
        </w:rPr>
        <w:t>103</w:t>
      </w:r>
      <w:r w:rsidRPr="00494EFA">
        <w:rPr>
          <w:rFonts w:ascii="Arial" w:hAnsi="Arial" w:cs="Arial"/>
          <w:noProof/>
        </w:rPr>
        <w:t>(2), 263–270.</w:t>
      </w:r>
    </w:p>
    <w:p w14:paraId="635D77E7"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Wado, T. E., Suleman, S., &amp; Mohammed, T. (2022). Antimicrobial evaluation of sequentially extracted leaf of vernonia auriculifera hiern (Rejicho). </w:t>
      </w:r>
      <w:r w:rsidRPr="00494EFA">
        <w:rPr>
          <w:rFonts w:ascii="Arial" w:hAnsi="Arial" w:cs="Arial"/>
          <w:i/>
          <w:iCs/>
          <w:noProof/>
        </w:rPr>
        <w:t>BMC Complementary Medicine and Therapies</w:t>
      </w:r>
      <w:r w:rsidRPr="00494EFA">
        <w:rPr>
          <w:rFonts w:ascii="Arial" w:hAnsi="Arial" w:cs="Arial"/>
          <w:noProof/>
        </w:rPr>
        <w:t xml:space="preserve">, </w:t>
      </w:r>
      <w:r w:rsidRPr="00494EFA">
        <w:rPr>
          <w:rFonts w:ascii="Arial" w:hAnsi="Arial" w:cs="Arial"/>
          <w:i/>
          <w:iCs/>
          <w:noProof/>
        </w:rPr>
        <w:t>22</w:t>
      </w:r>
      <w:r w:rsidRPr="00494EFA">
        <w:rPr>
          <w:rFonts w:ascii="Arial" w:hAnsi="Arial" w:cs="Arial"/>
          <w:noProof/>
        </w:rPr>
        <w:t>(1), 219.</w:t>
      </w:r>
    </w:p>
    <w:p w14:paraId="13CDD3F4"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Wahyuni, F. S., Arisanty, D., Hayaty, N. F., &amp; Juwita, D. A. (2017). Sub-acute toxicity study of the ethyl acetate fraction of Asam Kandis Rinds (Garcinia cowa Roxb.) on the liver and renal function in mice. </w:t>
      </w:r>
      <w:r w:rsidRPr="00494EFA">
        <w:rPr>
          <w:rFonts w:ascii="Arial" w:hAnsi="Arial" w:cs="Arial"/>
          <w:i/>
          <w:iCs/>
          <w:noProof/>
        </w:rPr>
        <w:t>Pharmacognosy Journal</w:t>
      </w:r>
      <w:r w:rsidRPr="00494EFA">
        <w:rPr>
          <w:rFonts w:ascii="Arial" w:hAnsi="Arial" w:cs="Arial"/>
          <w:noProof/>
        </w:rPr>
        <w:t xml:space="preserve">, </w:t>
      </w:r>
      <w:r w:rsidRPr="00494EFA">
        <w:rPr>
          <w:rFonts w:ascii="Arial" w:hAnsi="Arial" w:cs="Arial"/>
          <w:i/>
          <w:iCs/>
          <w:noProof/>
        </w:rPr>
        <w:t>9</w:t>
      </w:r>
      <w:r w:rsidRPr="00494EFA">
        <w:rPr>
          <w:rFonts w:ascii="Arial" w:hAnsi="Arial" w:cs="Arial"/>
          <w:noProof/>
        </w:rPr>
        <w:t>(3).</w:t>
      </w:r>
    </w:p>
    <w:p w14:paraId="5A48F4DB"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Yang, Y., Wang, Z., &amp; Xu, X. (2017). </w:t>
      </w:r>
      <w:r w:rsidRPr="00494EFA">
        <w:rPr>
          <w:rFonts w:ascii="Arial" w:hAnsi="Arial" w:cs="Arial"/>
          <w:i/>
          <w:iCs/>
          <w:noProof/>
        </w:rPr>
        <w:t>Taxonomy and distribution of global gymnosperms</w:t>
      </w:r>
      <w:r w:rsidRPr="00494EFA">
        <w:rPr>
          <w:rFonts w:ascii="Arial" w:hAnsi="Arial" w:cs="Arial"/>
          <w:noProof/>
        </w:rPr>
        <w:t>. China Scientific Books.</w:t>
      </w:r>
    </w:p>
    <w:p w14:paraId="19E52EB3" w14:textId="37AD9042" w:rsidR="00B01FCD" w:rsidRPr="00254777" w:rsidRDefault="0076378C" w:rsidP="00511E4B">
      <w:pPr>
        <w:pStyle w:val="Body"/>
        <w:spacing w:after="0" w:line="480" w:lineRule="auto"/>
        <w:rPr>
          <w:rFonts w:ascii="Arial" w:hAnsi="Arial" w:cs="Arial"/>
        </w:rPr>
      </w:pPr>
      <w:r w:rsidRPr="00254777">
        <w:rPr>
          <w:rFonts w:ascii="Arial" w:hAnsi="Arial" w:cs="Arial"/>
        </w:rPr>
        <w:fldChar w:fldCharType="end"/>
      </w:r>
    </w:p>
    <w:bookmarkEnd w:id="5"/>
    <w:p w14:paraId="2FE25710" w14:textId="1FEEB28E" w:rsidR="004D4277" w:rsidRPr="00254777" w:rsidRDefault="004D4277" w:rsidP="00511E4B">
      <w:pPr>
        <w:pStyle w:val="Appendix"/>
        <w:spacing w:after="0" w:line="480" w:lineRule="auto"/>
        <w:jc w:val="both"/>
        <w:rPr>
          <w:rFonts w:ascii="Arial" w:hAnsi="Arial" w:cs="Arial"/>
          <w:b w:val="0"/>
        </w:rPr>
        <w:sectPr w:rsidR="004D4277" w:rsidRPr="00254777" w:rsidSect="00A53818">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1932D0FD" w14:textId="77777777" w:rsidR="00B01FCD" w:rsidRPr="00254777" w:rsidRDefault="00B01FCD" w:rsidP="00511E4B">
      <w:pPr>
        <w:pStyle w:val="Appendix"/>
        <w:spacing w:after="0" w:line="480" w:lineRule="auto"/>
        <w:jc w:val="both"/>
        <w:rPr>
          <w:rFonts w:ascii="Arial" w:hAnsi="Arial" w:cs="Arial"/>
          <w:b w:val="0"/>
        </w:rPr>
      </w:pPr>
    </w:p>
    <w:sectPr w:rsidR="00B01FCD" w:rsidRPr="00254777" w:rsidSect="00A538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01064" w14:textId="77777777" w:rsidR="00540037" w:rsidRDefault="00540037" w:rsidP="00C37E61">
      <w:r>
        <w:separator/>
      </w:r>
    </w:p>
  </w:endnote>
  <w:endnote w:type="continuationSeparator" w:id="0">
    <w:p w14:paraId="6645C86D" w14:textId="77777777" w:rsidR="00540037" w:rsidRDefault="0054003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4901B" w14:textId="77777777" w:rsidR="00A53818" w:rsidRDefault="00A538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B7699" w14:textId="77777777" w:rsidR="00A53818" w:rsidRDefault="00A538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85F4" w14:textId="7DC755EB" w:rsidR="00754C9A" w:rsidRPr="00A53818" w:rsidRDefault="00754C9A" w:rsidP="00A53818">
    <w:pPr>
      <w:pStyle w:val="Footer"/>
    </w:pPr>
    <w:bookmarkStart w:id="2" w:name="_GoBack"/>
    <w:bookmarkEnd w:id="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94B4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1B79A" w14:textId="77777777" w:rsidR="00540037" w:rsidRDefault="00540037" w:rsidP="00C37E61">
      <w:r>
        <w:separator/>
      </w:r>
    </w:p>
  </w:footnote>
  <w:footnote w:type="continuationSeparator" w:id="0">
    <w:p w14:paraId="662A0D8B" w14:textId="77777777" w:rsidR="00540037" w:rsidRDefault="0054003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4EDFD" w14:textId="0258260B" w:rsidR="00A53818" w:rsidRDefault="00A53818">
    <w:pPr>
      <w:pStyle w:val="Header"/>
    </w:pPr>
    <w:r>
      <w:rPr>
        <w:noProof/>
      </w:rPr>
      <w:pict w14:anchorId="2DF09A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773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5FD9E" w14:textId="068BD524" w:rsidR="00A53818" w:rsidRDefault="00A53818">
    <w:pPr>
      <w:pStyle w:val="Header"/>
    </w:pPr>
    <w:r>
      <w:rPr>
        <w:noProof/>
      </w:rPr>
      <w:pict w14:anchorId="56F4C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773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260A9" w14:textId="5406234F" w:rsidR="00296529" w:rsidRPr="00296529" w:rsidRDefault="00A53818" w:rsidP="00296529">
    <w:pPr>
      <w:ind w:left="2160"/>
      <w:jc w:val="center"/>
      <w:rPr>
        <w:rFonts w:ascii="Times New Roman" w:eastAsia="Calibri" w:hAnsi="Times New Roman"/>
        <w:i/>
        <w:sz w:val="18"/>
        <w:szCs w:val="22"/>
      </w:rPr>
    </w:pPr>
    <w:r>
      <w:rPr>
        <w:noProof/>
      </w:rPr>
      <w:pict w14:anchorId="46194F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7737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4A2DDA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71E3A9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DBA946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9DC6D0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84F095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B274FF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65D81" w14:textId="55D05723" w:rsidR="00A53818" w:rsidRDefault="00A53818">
    <w:pPr>
      <w:pStyle w:val="Header"/>
    </w:pPr>
    <w:r>
      <w:rPr>
        <w:noProof/>
      </w:rPr>
      <w:pict w14:anchorId="1B3185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7737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E4590" w14:textId="19F79186" w:rsidR="00A53818" w:rsidRDefault="00A53818">
    <w:pPr>
      <w:pStyle w:val="Header"/>
    </w:pPr>
    <w:r>
      <w:rPr>
        <w:noProof/>
      </w:rPr>
      <w:pict w14:anchorId="2503B3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7738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D2E63" w14:textId="79D03288" w:rsidR="00A53818" w:rsidRDefault="00A53818">
    <w:pPr>
      <w:pStyle w:val="Header"/>
    </w:pPr>
    <w:r>
      <w:rPr>
        <w:noProof/>
      </w:rPr>
      <w:pict w14:anchorId="7BE420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7737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10D"/>
    <w:rsid w:val="00000F8F"/>
    <w:rsid w:val="00010A46"/>
    <w:rsid w:val="000114D4"/>
    <w:rsid w:val="00030174"/>
    <w:rsid w:val="000309A2"/>
    <w:rsid w:val="0004579C"/>
    <w:rsid w:val="00057067"/>
    <w:rsid w:val="000625FF"/>
    <w:rsid w:val="00066BA7"/>
    <w:rsid w:val="0007764C"/>
    <w:rsid w:val="00081037"/>
    <w:rsid w:val="000950C7"/>
    <w:rsid w:val="000969EE"/>
    <w:rsid w:val="00097375"/>
    <w:rsid w:val="000A1B56"/>
    <w:rsid w:val="000A3AB1"/>
    <w:rsid w:val="000A47FA"/>
    <w:rsid w:val="000A4D01"/>
    <w:rsid w:val="000A65D3"/>
    <w:rsid w:val="000B04ED"/>
    <w:rsid w:val="000B1E33"/>
    <w:rsid w:val="000B208A"/>
    <w:rsid w:val="000C0191"/>
    <w:rsid w:val="000C66C3"/>
    <w:rsid w:val="000D1A12"/>
    <w:rsid w:val="000D240E"/>
    <w:rsid w:val="000D689F"/>
    <w:rsid w:val="000D77FC"/>
    <w:rsid w:val="000E168A"/>
    <w:rsid w:val="000E4C2E"/>
    <w:rsid w:val="000E7B7B"/>
    <w:rsid w:val="000E7D62"/>
    <w:rsid w:val="000F2853"/>
    <w:rsid w:val="000F76C1"/>
    <w:rsid w:val="00103357"/>
    <w:rsid w:val="00106379"/>
    <w:rsid w:val="00111197"/>
    <w:rsid w:val="001233FB"/>
    <w:rsid w:val="0012391C"/>
    <w:rsid w:val="00123C9F"/>
    <w:rsid w:val="00124029"/>
    <w:rsid w:val="00126190"/>
    <w:rsid w:val="00130F17"/>
    <w:rsid w:val="001320BF"/>
    <w:rsid w:val="00134B0F"/>
    <w:rsid w:val="00136811"/>
    <w:rsid w:val="001426DC"/>
    <w:rsid w:val="00145FA9"/>
    <w:rsid w:val="00147FC2"/>
    <w:rsid w:val="001512AB"/>
    <w:rsid w:val="0015389E"/>
    <w:rsid w:val="00155BDC"/>
    <w:rsid w:val="00163BC4"/>
    <w:rsid w:val="001649B2"/>
    <w:rsid w:val="00182081"/>
    <w:rsid w:val="00184504"/>
    <w:rsid w:val="00191062"/>
    <w:rsid w:val="00191199"/>
    <w:rsid w:val="00192B72"/>
    <w:rsid w:val="001A29D8"/>
    <w:rsid w:val="001A5CAA"/>
    <w:rsid w:val="001A7359"/>
    <w:rsid w:val="001B0427"/>
    <w:rsid w:val="001C6F75"/>
    <w:rsid w:val="001D0046"/>
    <w:rsid w:val="001D0E6D"/>
    <w:rsid w:val="001D3A51"/>
    <w:rsid w:val="001D74F5"/>
    <w:rsid w:val="001E10D2"/>
    <w:rsid w:val="001E25B4"/>
    <w:rsid w:val="001E3876"/>
    <w:rsid w:val="001E44FE"/>
    <w:rsid w:val="00200039"/>
    <w:rsid w:val="00200595"/>
    <w:rsid w:val="00203679"/>
    <w:rsid w:val="00204835"/>
    <w:rsid w:val="00206534"/>
    <w:rsid w:val="002130DC"/>
    <w:rsid w:val="002137BD"/>
    <w:rsid w:val="00214828"/>
    <w:rsid w:val="00221619"/>
    <w:rsid w:val="00226860"/>
    <w:rsid w:val="00231920"/>
    <w:rsid w:val="0023195C"/>
    <w:rsid w:val="0024282C"/>
    <w:rsid w:val="00245493"/>
    <w:rsid w:val="002460DC"/>
    <w:rsid w:val="00250985"/>
    <w:rsid w:val="002520E2"/>
    <w:rsid w:val="002542C1"/>
    <w:rsid w:val="00254777"/>
    <w:rsid w:val="002556F6"/>
    <w:rsid w:val="002600D9"/>
    <w:rsid w:val="002644D8"/>
    <w:rsid w:val="00271BC8"/>
    <w:rsid w:val="00272262"/>
    <w:rsid w:val="00274BC5"/>
    <w:rsid w:val="00280341"/>
    <w:rsid w:val="00283105"/>
    <w:rsid w:val="00284C4C"/>
    <w:rsid w:val="0028782C"/>
    <w:rsid w:val="00287E68"/>
    <w:rsid w:val="00291332"/>
    <w:rsid w:val="00296529"/>
    <w:rsid w:val="002A3020"/>
    <w:rsid w:val="002B1E29"/>
    <w:rsid w:val="002B27FB"/>
    <w:rsid w:val="002B685A"/>
    <w:rsid w:val="002B7440"/>
    <w:rsid w:val="002C27C3"/>
    <w:rsid w:val="002C5731"/>
    <w:rsid w:val="002C57D2"/>
    <w:rsid w:val="002C723D"/>
    <w:rsid w:val="002C772A"/>
    <w:rsid w:val="002D1EA0"/>
    <w:rsid w:val="002D6ED9"/>
    <w:rsid w:val="002E0D56"/>
    <w:rsid w:val="002F0796"/>
    <w:rsid w:val="00305CA1"/>
    <w:rsid w:val="00310B3A"/>
    <w:rsid w:val="00315186"/>
    <w:rsid w:val="00316216"/>
    <w:rsid w:val="00324E3D"/>
    <w:rsid w:val="0033343E"/>
    <w:rsid w:val="003512C2"/>
    <w:rsid w:val="00354D5E"/>
    <w:rsid w:val="00357F95"/>
    <w:rsid w:val="00360349"/>
    <w:rsid w:val="00360D3A"/>
    <w:rsid w:val="00371FB6"/>
    <w:rsid w:val="003761E8"/>
    <w:rsid w:val="003763C1"/>
    <w:rsid w:val="00376BBE"/>
    <w:rsid w:val="003809FB"/>
    <w:rsid w:val="00386C3C"/>
    <w:rsid w:val="003909BE"/>
    <w:rsid w:val="0039224F"/>
    <w:rsid w:val="00392740"/>
    <w:rsid w:val="0039340D"/>
    <w:rsid w:val="003937EA"/>
    <w:rsid w:val="00395F15"/>
    <w:rsid w:val="00396913"/>
    <w:rsid w:val="003A43A4"/>
    <w:rsid w:val="003A4FB9"/>
    <w:rsid w:val="003A7E18"/>
    <w:rsid w:val="003C4C86"/>
    <w:rsid w:val="003C6258"/>
    <w:rsid w:val="003D4EB8"/>
    <w:rsid w:val="003D6EC6"/>
    <w:rsid w:val="003E061F"/>
    <w:rsid w:val="003E2904"/>
    <w:rsid w:val="003E2E12"/>
    <w:rsid w:val="003E32B8"/>
    <w:rsid w:val="003E6985"/>
    <w:rsid w:val="003F070E"/>
    <w:rsid w:val="003F14F9"/>
    <w:rsid w:val="003F43F4"/>
    <w:rsid w:val="003F6BA4"/>
    <w:rsid w:val="004000D1"/>
    <w:rsid w:val="00401927"/>
    <w:rsid w:val="00403042"/>
    <w:rsid w:val="0041027F"/>
    <w:rsid w:val="00412475"/>
    <w:rsid w:val="00413748"/>
    <w:rsid w:val="004145B1"/>
    <w:rsid w:val="00414BB1"/>
    <w:rsid w:val="00423789"/>
    <w:rsid w:val="00437FEA"/>
    <w:rsid w:val="00440F43"/>
    <w:rsid w:val="00441B6F"/>
    <w:rsid w:val="00441F79"/>
    <w:rsid w:val="00444397"/>
    <w:rsid w:val="00446221"/>
    <w:rsid w:val="00446E16"/>
    <w:rsid w:val="00450E62"/>
    <w:rsid w:val="00451FBB"/>
    <w:rsid w:val="004539DB"/>
    <w:rsid w:val="00453DD1"/>
    <w:rsid w:val="00453F01"/>
    <w:rsid w:val="00455506"/>
    <w:rsid w:val="00457E87"/>
    <w:rsid w:val="00471A80"/>
    <w:rsid w:val="0047446E"/>
    <w:rsid w:val="004758E9"/>
    <w:rsid w:val="004774FF"/>
    <w:rsid w:val="0048027C"/>
    <w:rsid w:val="0048552D"/>
    <w:rsid w:val="00487638"/>
    <w:rsid w:val="00492D0E"/>
    <w:rsid w:val="00494ED4"/>
    <w:rsid w:val="00494EFA"/>
    <w:rsid w:val="004A4E2C"/>
    <w:rsid w:val="004B4822"/>
    <w:rsid w:val="004B6136"/>
    <w:rsid w:val="004C3F99"/>
    <w:rsid w:val="004D305E"/>
    <w:rsid w:val="004D4277"/>
    <w:rsid w:val="004D5179"/>
    <w:rsid w:val="004D6B8C"/>
    <w:rsid w:val="004E58FD"/>
    <w:rsid w:val="004F368C"/>
    <w:rsid w:val="00500857"/>
    <w:rsid w:val="00502516"/>
    <w:rsid w:val="00502876"/>
    <w:rsid w:val="00502D0C"/>
    <w:rsid w:val="005034A2"/>
    <w:rsid w:val="0050513E"/>
    <w:rsid w:val="00505F06"/>
    <w:rsid w:val="00506828"/>
    <w:rsid w:val="00511E4B"/>
    <w:rsid w:val="00512B3C"/>
    <w:rsid w:val="00512E9A"/>
    <w:rsid w:val="00513397"/>
    <w:rsid w:val="00514945"/>
    <w:rsid w:val="00525233"/>
    <w:rsid w:val="0053056E"/>
    <w:rsid w:val="00532DC2"/>
    <w:rsid w:val="00540037"/>
    <w:rsid w:val="005510F0"/>
    <w:rsid w:val="00554C04"/>
    <w:rsid w:val="00554FDA"/>
    <w:rsid w:val="0056222F"/>
    <w:rsid w:val="00564C5D"/>
    <w:rsid w:val="00567E8A"/>
    <w:rsid w:val="005704C8"/>
    <w:rsid w:val="00570E8A"/>
    <w:rsid w:val="00575CE7"/>
    <w:rsid w:val="0057753E"/>
    <w:rsid w:val="00585508"/>
    <w:rsid w:val="005935D3"/>
    <w:rsid w:val="005A0513"/>
    <w:rsid w:val="005B0F0F"/>
    <w:rsid w:val="005B2F50"/>
    <w:rsid w:val="005C1AD1"/>
    <w:rsid w:val="005C4299"/>
    <w:rsid w:val="005C784C"/>
    <w:rsid w:val="005D17F6"/>
    <w:rsid w:val="005D482F"/>
    <w:rsid w:val="005E534A"/>
    <w:rsid w:val="005E5539"/>
    <w:rsid w:val="005F563A"/>
    <w:rsid w:val="005F7277"/>
    <w:rsid w:val="00602BF5"/>
    <w:rsid w:val="00604541"/>
    <w:rsid w:val="00610751"/>
    <w:rsid w:val="00617FDD"/>
    <w:rsid w:val="00620785"/>
    <w:rsid w:val="00624D97"/>
    <w:rsid w:val="00633614"/>
    <w:rsid w:val="00633F68"/>
    <w:rsid w:val="00636EB2"/>
    <w:rsid w:val="0063719C"/>
    <w:rsid w:val="006375B8"/>
    <w:rsid w:val="00640A39"/>
    <w:rsid w:val="00640E46"/>
    <w:rsid w:val="00642C45"/>
    <w:rsid w:val="006439BF"/>
    <w:rsid w:val="00646068"/>
    <w:rsid w:val="00647891"/>
    <w:rsid w:val="0066510A"/>
    <w:rsid w:val="0067146D"/>
    <w:rsid w:val="00673F9F"/>
    <w:rsid w:val="00674B58"/>
    <w:rsid w:val="00686953"/>
    <w:rsid w:val="00687DEA"/>
    <w:rsid w:val="00687E67"/>
    <w:rsid w:val="00690DDC"/>
    <w:rsid w:val="006967F7"/>
    <w:rsid w:val="00696A05"/>
    <w:rsid w:val="006A250C"/>
    <w:rsid w:val="006A46D8"/>
    <w:rsid w:val="006A4F30"/>
    <w:rsid w:val="006A6327"/>
    <w:rsid w:val="006B21D3"/>
    <w:rsid w:val="006B57D0"/>
    <w:rsid w:val="006C10CA"/>
    <w:rsid w:val="006D30FF"/>
    <w:rsid w:val="006D6940"/>
    <w:rsid w:val="006E6C61"/>
    <w:rsid w:val="006F11EC"/>
    <w:rsid w:val="006F62C4"/>
    <w:rsid w:val="0070082C"/>
    <w:rsid w:val="007035D1"/>
    <w:rsid w:val="00714F3A"/>
    <w:rsid w:val="007160A1"/>
    <w:rsid w:val="00721FAB"/>
    <w:rsid w:val="007224BF"/>
    <w:rsid w:val="007266AD"/>
    <w:rsid w:val="00732462"/>
    <w:rsid w:val="00732CB6"/>
    <w:rsid w:val="007369E6"/>
    <w:rsid w:val="00740046"/>
    <w:rsid w:val="00746E59"/>
    <w:rsid w:val="00747DB1"/>
    <w:rsid w:val="00752B77"/>
    <w:rsid w:val="00754987"/>
    <w:rsid w:val="00754C9A"/>
    <w:rsid w:val="0075599A"/>
    <w:rsid w:val="0076002B"/>
    <w:rsid w:val="007605B5"/>
    <w:rsid w:val="00761D52"/>
    <w:rsid w:val="0076378C"/>
    <w:rsid w:val="00766827"/>
    <w:rsid w:val="007743C6"/>
    <w:rsid w:val="0077749E"/>
    <w:rsid w:val="00781A51"/>
    <w:rsid w:val="00786E11"/>
    <w:rsid w:val="00786E6B"/>
    <w:rsid w:val="00790ADA"/>
    <w:rsid w:val="007A1899"/>
    <w:rsid w:val="007A3F1E"/>
    <w:rsid w:val="007A6F92"/>
    <w:rsid w:val="007B0E05"/>
    <w:rsid w:val="007C65F1"/>
    <w:rsid w:val="007D2288"/>
    <w:rsid w:val="007D299E"/>
    <w:rsid w:val="007D29E5"/>
    <w:rsid w:val="007E088F"/>
    <w:rsid w:val="007E4D92"/>
    <w:rsid w:val="007E6D48"/>
    <w:rsid w:val="007F7B32"/>
    <w:rsid w:val="007F7C09"/>
    <w:rsid w:val="00800A6E"/>
    <w:rsid w:val="0080371E"/>
    <w:rsid w:val="00804BC2"/>
    <w:rsid w:val="008105C2"/>
    <w:rsid w:val="0081431A"/>
    <w:rsid w:val="00817A49"/>
    <w:rsid w:val="00817D08"/>
    <w:rsid w:val="0082122D"/>
    <w:rsid w:val="008213A2"/>
    <w:rsid w:val="00821609"/>
    <w:rsid w:val="00830DA3"/>
    <w:rsid w:val="00831AD2"/>
    <w:rsid w:val="0083216F"/>
    <w:rsid w:val="00834880"/>
    <w:rsid w:val="008446FB"/>
    <w:rsid w:val="00844780"/>
    <w:rsid w:val="008460B8"/>
    <w:rsid w:val="008534DB"/>
    <w:rsid w:val="00860000"/>
    <w:rsid w:val="0086111D"/>
    <w:rsid w:val="00863BD3"/>
    <w:rsid w:val="008641ED"/>
    <w:rsid w:val="00866D66"/>
    <w:rsid w:val="008671C6"/>
    <w:rsid w:val="00873E4C"/>
    <w:rsid w:val="00875803"/>
    <w:rsid w:val="00884559"/>
    <w:rsid w:val="00891123"/>
    <w:rsid w:val="0089299E"/>
    <w:rsid w:val="008A4CDB"/>
    <w:rsid w:val="008B2F83"/>
    <w:rsid w:val="008B3CAD"/>
    <w:rsid w:val="008B459E"/>
    <w:rsid w:val="008B4D9A"/>
    <w:rsid w:val="008C531F"/>
    <w:rsid w:val="008E13AE"/>
    <w:rsid w:val="008E1506"/>
    <w:rsid w:val="008E2D27"/>
    <w:rsid w:val="008E3F6A"/>
    <w:rsid w:val="008E710C"/>
    <w:rsid w:val="008E74D6"/>
    <w:rsid w:val="008F30D2"/>
    <w:rsid w:val="008F3F80"/>
    <w:rsid w:val="008F69D6"/>
    <w:rsid w:val="00902823"/>
    <w:rsid w:val="009043EB"/>
    <w:rsid w:val="009059C6"/>
    <w:rsid w:val="0091200F"/>
    <w:rsid w:val="00912173"/>
    <w:rsid w:val="00915CA6"/>
    <w:rsid w:val="00921BD3"/>
    <w:rsid w:val="0092237D"/>
    <w:rsid w:val="00927834"/>
    <w:rsid w:val="0094376E"/>
    <w:rsid w:val="009448DB"/>
    <w:rsid w:val="00944CD7"/>
    <w:rsid w:val="0094696E"/>
    <w:rsid w:val="009500A6"/>
    <w:rsid w:val="00951188"/>
    <w:rsid w:val="00953073"/>
    <w:rsid w:val="009534A5"/>
    <w:rsid w:val="00953511"/>
    <w:rsid w:val="00956D90"/>
    <w:rsid w:val="00957C18"/>
    <w:rsid w:val="009659BA"/>
    <w:rsid w:val="009739E4"/>
    <w:rsid w:val="00983040"/>
    <w:rsid w:val="0098383B"/>
    <w:rsid w:val="00984597"/>
    <w:rsid w:val="009976B1"/>
    <w:rsid w:val="009A14FD"/>
    <w:rsid w:val="009A2708"/>
    <w:rsid w:val="009A5256"/>
    <w:rsid w:val="009A7BAC"/>
    <w:rsid w:val="009B2C85"/>
    <w:rsid w:val="009B2DE0"/>
    <w:rsid w:val="009B3FB9"/>
    <w:rsid w:val="009C0469"/>
    <w:rsid w:val="009C2465"/>
    <w:rsid w:val="009C33EB"/>
    <w:rsid w:val="009C580B"/>
    <w:rsid w:val="009C5E32"/>
    <w:rsid w:val="009D35A0"/>
    <w:rsid w:val="009D7EB7"/>
    <w:rsid w:val="009E048A"/>
    <w:rsid w:val="009E08E9"/>
    <w:rsid w:val="009E3DB9"/>
    <w:rsid w:val="009E6E35"/>
    <w:rsid w:val="009E7E9C"/>
    <w:rsid w:val="009F0EDA"/>
    <w:rsid w:val="009F2605"/>
    <w:rsid w:val="009F4A82"/>
    <w:rsid w:val="00A03B96"/>
    <w:rsid w:val="00A05B19"/>
    <w:rsid w:val="00A1134E"/>
    <w:rsid w:val="00A1282B"/>
    <w:rsid w:val="00A12E83"/>
    <w:rsid w:val="00A21995"/>
    <w:rsid w:val="00A23309"/>
    <w:rsid w:val="00A24E7E"/>
    <w:rsid w:val="00A258C3"/>
    <w:rsid w:val="00A347C0"/>
    <w:rsid w:val="00A371E0"/>
    <w:rsid w:val="00A4727F"/>
    <w:rsid w:val="00A506C2"/>
    <w:rsid w:val="00A51431"/>
    <w:rsid w:val="00A536D8"/>
    <w:rsid w:val="00A53818"/>
    <w:rsid w:val="00A539AD"/>
    <w:rsid w:val="00A54F7B"/>
    <w:rsid w:val="00A66E78"/>
    <w:rsid w:val="00A710D0"/>
    <w:rsid w:val="00A74A1C"/>
    <w:rsid w:val="00A82D3C"/>
    <w:rsid w:val="00A82D92"/>
    <w:rsid w:val="00A94063"/>
    <w:rsid w:val="00A94763"/>
    <w:rsid w:val="00AA0E44"/>
    <w:rsid w:val="00AA0F34"/>
    <w:rsid w:val="00AA1607"/>
    <w:rsid w:val="00AA2C49"/>
    <w:rsid w:val="00AA6219"/>
    <w:rsid w:val="00AA6DBE"/>
    <w:rsid w:val="00AA74E0"/>
    <w:rsid w:val="00AB38F9"/>
    <w:rsid w:val="00AB703F"/>
    <w:rsid w:val="00AC5510"/>
    <w:rsid w:val="00AC6BB8"/>
    <w:rsid w:val="00AC753E"/>
    <w:rsid w:val="00AD5C3D"/>
    <w:rsid w:val="00AE008F"/>
    <w:rsid w:val="00AF1E05"/>
    <w:rsid w:val="00AF3895"/>
    <w:rsid w:val="00B01FCD"/>
    <w:rsid w:val="00B06D24"/>
    <w:rsid w:val="00B12535"/>
    <w:rsid w:val="00B1281D"/>
    <w:rsid w:val="00B1776C"/>
    <w:rsid w:val="00B22F91"/>
    <w:rsid w:val="00B23731"/>
    <w:rsid w:val="00B2751D"/>
    <w:rsid w:val="00B36345"/>
    <w:rsid w:val="00B37A8B"/>
    <w:rsid w:val="00B417F0"/>
    <w:rsid w:val="00B42897"/>
    <w:rsid w:val="00B46135"/>
    <w:rsid w:val="00B52583"/>
    <w:rsid w:val="00B52896"/>
    <w:rsid w:val="00B52BA0"/>
    <w:rsid w:val="00B53BE1"/>
    <w:rsid w:val="00B55BA2"/>
    <w:rsid w:val="00B629C0"/>
    <w:rsid w:val="00B729B3"/>
    <w:rsid w:val="00B92583"/>
    <w:rsid w:val="00B93864"/>
    <w:rsid w:val="00B95236"/>
    <w:rsid w:val="00B95A50"/>
    <w:rsid w:val="00B96BD9"/>
    <w:rsid w:val="00B97915"/>
    <w:rsid w:val="00BA1B01"/>
    <w:rsid w:val="00BA2641"/>
    <w:rsid w:val="00BA7206"/>
    <w:rsid w:val="00BB37AA"/>
    <w:rsid w:val="00BB7A8B"/>
    <w:rsid w:val="00BC53A0"/>
    <w:rsid w:val="00BD4DB0"/>
    <w:rsid w:val="00BE62AD"/>
    <w:rsid w:val="00BF0ACD"/>
    <w:rsid w:val="00BF1101"/>
    <w:rsid w:val="00BF121F"/>
    <w:rsid w:val="00BF1F80"/>
    <w:rsid w:val="00BF1FF9"/>
    <w:rsid w:val="00BF78ED"/>
    <w:rsid w:val="00C15542"/>
    <w:rsid w:val="00C164C4"/>
    <w:rsid w:val="00C166EF"/>
    <w:rsid w:val="00C17182"/>
    <w:rsid w:val="00C17EB0"/>
    <w:rsid w:val="00C21AB0"/>
    <w:rsid w:val="00C27F5F"/>
    <w:rsid w:val="00C30A0F"/>
    <w:rsid w:val="00C37E61"/>
    <w:rsid w:val="00C43065"/>
    <w:rsid w:val="00C43F76"/>
    <w:rsid w:val="00C466C1"/>
    <w:rsid w:val="00C668E2"/>
    <w:rsid w:val="00C70F1B"/>
    <w:rsid w:val="00C715D3"/>
    <w:rsid w:val="00C71A47"/>
    <w:rsid w:val="00C7464C"/>
    <w:rsid w:val="00C85588"/>
    <w:rsid w:val="00C8685A"/>
    <w:rsid w:val="00C93B20"/>
    <w:rsid w:val="00C93D2B"/>
    <w:rsid w:val="00CB4E4D"/>
    <w:rsid w:val="00CB5EF5"/>
    <w:rsid w:val="00CC25D1"/>
    <w:rsid w:val="00CD5EF8"/>
    <w:rsid w:val="00CD6755"/>
    <w:rsid w:val="00CD6856"/>
    <w:rsid w:val="00CE0089"/>
    <w:rsid w:val="00CE241A"/>
    <w:rsid w:val="00CE793C"/>
    <w:rsid w:val="00CF10CE"/>
    <w:rsid w:val="00CF193C"/>
    <w:rsid w:val="00D1126F"/>
    <w:rsid w:val="00D173F1"/>
    <w:rsid w:val="00D1773B"/>
    <w:rsid w:val="00D179BE"/>
    <w:rsid w:val="00D21E6C"/>
    <w:rsid w:val="00D22D84"/>
    <w:rsid w:val="00D27C05"/>
    <w:rsid w:val="00D27D61"/>
    <w:rsid w:val="00D41ED7"/>
    <w:rsid w:val="00D420A6"/>
    <w:rsid w:val="00D43597"/>
    <w:rsid w:val="00D47305"/>
    <w:rsid w:val="00D56613"/>
    <w:rsid w:val="00D57D6A"/>
    <w:rsid w:val="00D630DD"/>
    <w:rsid w:val="00D63FD3"/>
    <w:rsid w:val="00D702FE"/>
    <w:rsid w:val="00D71D79"/>
    <w:rsid w:val="00D74CB0"/>
    <w:rsid w:val="00D80CBC"/>
    <w:rsid w:val="00D8295D"/>
    <w:rsid w:val="00D92125"/>
    <w:rsid w:val="00DA2A86"/>
    <w:rsid w:val="00DC2544"/>
    <w:rsid w:val="00DC2A65"/>
    <w:rsid w:val="00DD1B92"/>
    <w:rsid w:val="00DD1BF5"/>
    <w:rsid w:val="00DD7A52"/>
    <w:rsid w:val="00DE15F0"/>
    <w:rsid w:val="00DE166A"/>
    <w:rsid w:val="00DE17F4"/>
    <w:rsid w:val="00DE3C90"/>
    <w:rsid w:val="00DE5663"/>
    <w:rsid w:val="00DE78AA"/>
    <w:rsid w:val="00DF7B22"/>
    <w:rsid w:val="00E04C2F"/>
    <w:rsid w:val="00E053D0"/>
    <w:rsid w:val="00E15994"/>
    <w:rsid w:val="00E3114E"/>
    <w:rsid w:val="00E31A70"/>
    <w:rsid w:val="00E35B02"/>
    <w:rsid w:val="00E40168"/>
    <w:rsid w:val="00E4471D"/>
    <w:rsid w:val="00E45B05"/>
    <w:rsid w:val="00E4673E"/>
    <w:rsid w:val="00E559E8"/>
    <w:rsid w:val="00E64C75"/>
    <w:rsid w:val="00E65E02"/>
    <w:rsid w:val="00E6611E"/>
    <w:rsid w:val="00E66496"/>
    <w:rsid w:val="00E66B35"/>
    <w:rsid w:val="00E66E10"/>
    <w:rsid w:val="00E670F6"/>
    <w:rsid w:val="00E769F6"/>
    <w:rsid w:val="00E775E3"/>
    <w:rsid w:val="00E8407C"/>
    <w:rsid w:val="00E84F3C"/>
    <w:rsid w:val="00E87005"/>
    <w:rsid w:val="00E914D8"/>
    <w:rsid w:val="00E96821"/>
    <w:rsid w:val="00EA012C"/>
    <w:rsid w:val="00EA361B"/>
    <w:rsid w:val="00EA4B67"/>
    <w:rsid w:val="00EC3181"/>
    <w:rsid w:val="00EC6A55"/>
    <w:rsid w:val="00ED0288"/>
    <w:rsid w:val="00ED1983"/>
    <w:rsid w:val="00ED310B"/>
    <w:rsid w:val="00EE076F"/>
    <w:rsid w:val="00EE08F1"/>
    <w:rsid w:val="00EE52CB"/>
    <w:rsid w:val="00EE75A0"/>
    <w:rsid w:val="00EF05FD"/>
    <w:rsid w:val="00EF43FE"/>
    <w:rsid w:val="00EF581D"/>
    <w:rsid w:val="00EF7FD8"/>
    <w:rsid w:val="00F0438C"/>
    <w:rsid w:val="00F06F59"/>
    <w:rsid w:val="00F10798"/>
    <w:rsid w:val="00F112BF"/>
    <w:rsid w:val="00F12A1B"/>
    <w:rsid w:val="00F14906"/>
    <w:rsid w:val="00F16726"/>
    <w:rsid w:val="00F17988"/>
    <w:rsid w:val="00F21744"/>
    <w:rsid w:val="00F23B11"/>
    <w:rsid w:val="00F24FEA"/>
    <w:rsid w:val="00F251EE"/>
    <w:rsid w:val="00F30FAE"/>
    <w:rsid w:val="00F41085"/>
    <w:rsid w:val="00F469F0"/>
    <w:rsid w:val="00F53273"/>
    <w:rsid w:val="00F63885"/>
    <w:rsid w:val="00F74376"/>
    <w:rsid w:val="00F755E4"/>
    <w:rsid w:val="00F77D02"/>
    <w:rsid w:val="00F91991"/>
    <w:rsid w:val="00F91BD4"/>
    <w:rsid w:val="00F94313"/>
    <w:rsid w:val="00FB3047"/>
    <w:rsid w:val="00FB3A86"/>
    <w:rsid w:val="00FB61AA"/>
    <w:rsid w:val="00FC6A18"/>
    <w:rsid w:val="00FD0D38"/>
    <w:rsid w:val="00FD2B5B"/>
    <w:rsid w:val="00FD2EDD"/>
    <w:rsid w:val="00FD31A1"/>
    <w:rsid w:val="00FD36C8"/>
    <w:rsid w:val="00FD532E"/>
    <w:rsid w:val="00FE7B41"/>
    <w:rsid w:val="00FF4012"/>
    <w:rsid w:val="00FF677B"/>
    <w:rsid w:val="00FF6E0B"/>
    <w:rsid w:val="00FF7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6FA662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437FEA"/>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437FEA"/>
    <w:rPr>
      <w:b/>
      <w:bCs/>
    </w:rPr>
  </w:style>
  <w:style w:type="character" w:customStyle="1" w:styleId="mord">
    <w:name w:val="mord"/>
    <w:basedOn w:val="DefaultParagraphFont"/>
    <w:rsid w:val="009A5256"/>
  </w:style>
  <w:style w:type="character" w:customStyle="1" w:styleId="mspace">
    <w:name w:val="mspace"/>
    <w:basedOn w:val="DefaultParagraphFont"/>
    <w:rsid w:val="009A5256"/>
  </w:style>
  <w:style w:type="character" w:customStyle="1" w:styleId="mrel">
    <w:name w:val="mrel"/>
    <w:basedOn w:val="DefaultParagraphFont"/>
    <w:rsid w:val="009A5256"/>
  </w:style>
  <w:style w:type="character" w:customStyle="1" w:styleId="mbin">
    <w:name w:val="mbin"/>
    <w:basedOn w:val="DefaultParagraphFont"/>
    <w:rsid w:val="009A5256"/>
  </w:style>
  <w:style w:type="character" w:customStyle="1" w:styleId="mopen">
    <w:name w:val="mopen"/>
    <w:basedOn w:val="DefaultParagraphFont"/>
    <w:rsid w:val="009A5256"/>
  </w:style>
  <w:style w:type="character" w:customStyle="1" w:styleId="mclose">
    <w:name w:val="mclose"/>
    <w:basedOn w:val="DefaultParagraphFont"/>
    <w:rsid w:val="009A5256"/>
  </w:style>
  <w:style w:type="table" w:styleId="GridTable6Colorful">
    <w:name w:val="Grid Table 6 Colorful"/>
    <w:basedOn w:val="TableNormal"/>
    <w:uiPriority w:val="51"/>
    <w:rsid w:val="00ED310B"/>
    <w:rPr>
      <w:rFonts w:asciiTheme="minorHAnsi" w:eastAsiaTheme="minorHAnsi" w:hAnsiTheme="minorHAnsi" w:cstheme="minorBidi"/>
      <w:color w:val="000000" w:themeColor="text1"/>
      <w:kern w:val="2"/>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59"/>
    <w:rsid w:val="00CD5EF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A4FB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8B4D9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
    <w:name w:val="Grid Table 6 Colorful1"/>
    <w:basedOn w:val="TableNormal"/>
    <w:next w:val="GridTable6Colorful"/>
    <w:uiPriority w:val="51"/>
    <w:rsid w:val="00721FAB"/>
    <w:rPr>
      <w:rFonts w:asciiTheme="minorHAnsi" w:eastAsiaTheme="minorHAnsi" w:hAnsiTheme="minorHAnsi" w:cstheme="minorBidi"/>
      <w:color w:val="000000" w:themeColor="text1"/>
      <w:kern w:val="2"/>
      <w:sz w:val="22"/>
      <w:szCs w:val="2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5B0F0F"/>
    <w:pPr>
      <w:ind w:left="720"/>
      <w:contextualSpacing/>
    </w:pPr>
  </w:style>
  <w:style w:type="character" w:customStyle="1" w:styleId="FooterChar">
    <w:name w:val="Footer Char"/>
    <w:basedOn w:val="DefaultParagraphFont"/>
    <w:link w:val="Footer"/>
    <w:rsid w:val="00081037"/>
    <w:rPr>
      <w:rFonts w:ascii="Helvetica" w:hAnsi="Helvetica"/>
    </w:rPr>
  </w:style>
  <w:style w:type="table" w:customStyle="1" w:styleId="GridTable6Colorful2">
    <w:name w:val="Grid Table 6 Colorful2"/>
    <w:basedOn w:val="TableNormal"/>
    <w:next w:val="GridTable6Colorful"/>
    <w:uiPriority w:val="51"/>
    <w:rsid w:val="00EF43FE"/>
    <w:rPr>
      <w:rFonts w:asciiTheme="minorHAnsi" w:eastAsiaTheme="minorHAnsi" w:hAnsiTheme="minorHAnsi" w:cstheme="minorBidi"/>
      <w:color w:val="000000" w:themeColor="text1"/>
      <w:kern w:val="2"/>
      <w:sz w:val="22"/>
      <w:szCs w:val="2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tiff"/><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hdphoto" Target="media/hdphoto2.wdp"/><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4.tif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7ECC7-54A6-4217-89D0-19F5CF3AE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151</TotalTime>
  <Pages>16</Pages>
  <Words>8885</Words>
  <Characters>50650</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59417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71</cp:revision>
  <cp:lastPrinted>1999-07-06T11:00:00Z</cp:lastPrinted>
  <dcterms:created xsi:type="dcterms:W3CDTF">2025-08-24T08:07:00Z</dcterms:created>
  <dcterms:modified xsi:type="dcterms:W3CDTF">2025-08-26T07:45:00Z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7862e598-de5f-4c08-9e00-722a1880cad9</vt:lpwstr>
  </property>
  <property fmtid="{D5CDD505-2E9C-101B-9397-08002B2CF9AE}" pid="3" name="Mendeley Document_1">
    <vt:lpwstr>True</vt:lpwstr>
  </property>
  <property fmtid="{D5CDD505-2E9C-101B-9397-08002B2CF9AE}" pid="4" name="Mendeley Unique User Id_1">
    <vt:lpwstr>3aac09c8-67c7-3666-94d9-67b32441359e</vt:lpwstr>
  </property>
  <property fmtid="{D5CDD505-2E9C-101B-9397-08002B2CF9AE}" pid="5" name="Mendeley Citation Style_1">
    <vt:lpwstr>http://www.zotero.org/styles/apa</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12th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9th edition</vt:lpwstr>
  </property>
  <property fmtid="{D5CDD505-2E9C-101B-9397-08002B2CF9AE}" pid="22" name="Mendeley Recent Style Id 8_1">
    <vt:lpwstr>http://www.zotero.org/styles/springer-basic-brackets</vt:lpwstr>
  </property>
  <property fmtid="{D5CDD505-2E9C-101B-9397-08002B2CF9AE}" pid="23" name="Mendeley Recent Style Name 8_1">
    <vt:lpwstr>Springer - Basic (numeric, brackets)</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