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A53D0" w14:textId="77777777" w:rsidR="00754C9A" w:rsidRDefault="00754C9A" w:rsidP="00441B6F">
      <w:pPr>
        <w:pStyle w:val="Title"/>
        <w:spacing w:after="0"/>
        <w:jc w:val="both"/>
        <w:rPr>
          <w:rFonts w:ascii="Arial" w:hAnsi="Arial" w:cs="Arial"/>
        </w:rPr>
      </w:pPr>
      <w:bookmarkStart w:id="0" w:name="_Hlk206268286"/>
      <w:bookmarkEnd w:id="0"/>
    </w:p>
    <w:p w14:paraId="6141ACF6" w14:textId="4D33D2CB" w:rsidR="00EE523E" w:rsidRDefault="007312CA" w:rsidP="00441B6F">
      <w:pPr>
        <w:pStyle w:val="Author"/>
        <w:spacing w:line="240" w:lineRule="auto"/>
        <w:rPr>
          <w:rFonts w:ascii="Arial" w:hAnsi="Arial" w:cs="Arial"/>
          <w:bCs/>
          <w:iCs/>
          <w:kern w:val="28"/>
          <w:sz w:val="36"/>
        </w:rPr>
      </w:pPr>
      <w:r w:rsidRPr="007312CA">
        <w:rPr>
          <w:rFonts w:ascii="Arial" w:hAnsi="Arial" w:cs="Arial"/>
          <w:bCs/>
          <w:iCs/>
          <w:kern w:val="28"/>
          <w:sz w:val="36"/>
          <w:lang w:val="en-GB"/>
        </w:rPr>
        <w:t xml:space="preserve">Nutritional composition of </w:t>
      </w:r>
      <w:r w:rsidRPr="00DB13C3">
        <w:rPr>
          <w:rFonts w:ascii="Arial" w:hAnsi="Arial" w:cs="Arial"/>
          <w:bCs/>
          <w:i/>
          <w:kern w:val="28"/>
          <w:sz w:val="36"/>
          <w:lang w:val="en-GB"/>
        </w:rPr>
        <w:t>Garcinia pedunculata</w:t>
      </w:r>
      <w:r w:rsidRPr="007312CA">
        <w:rPr>
          <w:rFonts w:ascii="Arial" w:hAnsi="Arial" w:cs="Arial"/>
          <w:bCs/>
          <w:iCs/>
          <w:kern w:val="28"/>
          <w:sz w:val="36"/>
          <w:lang w:val="en-GB"/>
        </w:rPr>
        <w:t xml:space="preserve"> </w:t>
      </w:r>
      <w:proofErr w:type="spellStart"/>
      <w:r w:rsidR="00DB13C3">
        <w:rPr>
          <w:rFonts w:ascii="Arial" w:hAnsi="Arial" w:cs="Arial"/>
          <w:bCs/>
          <w:iCs/>
          <w:kern w:val="28"/>
          <w:sz w:val="36"/>
          <w:lang w:val="en-GB"/>
        </w:rPr>
        <w:t>Roxb</w:t>
      </w:r>
      <w:proofErr w:type="spellEnd"/>
      <w:r w:rsidR="00DB13C3">
        <w:rPr>
          <w:rFonts w:ascii="Arial" w:hAnsi="Arial" w:cs="Arial"/>
          <w:bCs/>
          <w:iCs/>
          <w:kern w:val="28"/>
          <w:sz w:val="36"/>
          <w:lang w:val="en-GB"/>
        </w:rPr>
        <w:t xml:space="preserve">. </w:t>
      </w:r>
      <w:r w:rsidRPr="007312CA">
        <w:rPr>
          <w:rFonts w:ascii="Arial" w:hAnsi="Arial" w:cs="Arial"/>
          <w:bCs/>
          <w:iCs/>
          <w:kern w:val="28"/>
          <w:sz w:val="36"/>
          <w:lang w:val="en-GB"/>
        </w:rPr>
        <w:t xml:space="preserve">fruit and the effects of its </w:t>
      </w:r>
      <w:r>
        <w:rPr>
          <w:rFonts w:ascii="Arial" w:hAnsi="Arial" w:cs="Arial"/>
          <w:bCs/>
          <w:iCs/>
          <w:kern w:val="28"/>
          <w:sz w:val="36"/>
          <w:lang w:val="en-GB"/>
        </w:rPr>
        <w:t>chloroform fraction</w:t>
      </w:r>
      <w:r w:rsidRPr="007312CA">
        <w:rPr>
          <w:rFonts w:ascii="Arial" w:hAnsi="Arial" w:cs="Arial"/>
          <w:bCs/>
          <w:iCs/>
          <w:kern w:val="28"/>
          <w:sz w:val="36"/>
          <w:lang w:val="en-GB"/>
        </w:rPr>
        <w:t xml:space="preserve"> on the biochemical and </w:t>
      </w:r>
      <w:proofErr w:type="spellStart"/>
      <w:r w:rsidRPr="007312CA">
        <w:rPr>
          <w:rFonts w:ascii="Arial" w:hAnsi="Arial" w:cs="Arial"/>
          <w:bCs/>
          <w:iCs/>
          <w:kern w:val="28"/>
          <w:sz w:val="36"/>
          <w:lang w:val="en-GB"/>
        </w:rPr>
        <w:t>hematological</w:t>
      </w:r>
      <w:proofErr w:type="spellEnd"/>
      <w:r w:rsidRPr="007312CA">
        <w:rPr>
          <w:rFonts w:ascii="Arial" w:hAnsi="Arial" w:cs="Arial"/>
          <w:bCs/>
          <w:iCs/>
          <w:kern w:val="28"/>
          <w:sz w:val="36"/>
          <w:lang w:val="en-GB"/>
        </w:rPr>
        <w:t xml:space="preserve"> profiles of mice</w:t>
      </w:r>
    </w:p>
    <w:p w14:paraId="588DF8D5" w14:textId="36A8D8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8FF15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4655942" w14:textId="77777777" w:rsidTr="001E44FE">
        <w:tc>
          <w:tcPr>
            <w:tcW w:w="9576" w:type="dxa"/>
            <w:shd w:val="clear" w:color="auto" w:fill="F2F2F2"/>
          </w:tcPr>
          <w:p w14:paraId="18F7A7FB" w14:textId="77777777" w:rsidR="00E3114E" w:rsidRDefault="00E3114E" w:rsidP="00441B6F">
            <w:pPr>
              <w:pStyle w:val="Body"/>
              <w:spacing w:after="0"/>
              <w:rPr>
                <w:rFonts w:ascii="Arial" w:eastAsia="Calibri" w:hAnsi="Arial" w:cs="Arial"/>
                <w:b/>
                <w:szCs w:val="22"/>
              </w:rPr>
            </w:pPr>
          </w:p>
          <w:p w14:paraId="7FFE7D8F" w14:textId="039AFB3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163BB">
              <w:rPr>
                <w:rFonts w:ascii="Arial" w:eastAsia="Calibri" w:hAnsi="Arial" w:cs="Arial"/>
                <w:szCs w:val="22"/>
              </w:rPr>
              <w:t xml:space="preserve">This study aims to identify the composition and assess the impact of the chloroform fraction of </w:t>
            </w:r>
            <w:r w:rsidR="003163BB" w:rsidRPr="003163BB">
              <w:rPr>
                <w:rFonts w:ascii="Arial" w:eastAsia="Calibri" w:hAnsi="Arial" w:cs="Arial"/>
                <w:i/>
                <w:iCs/>
                <w:szCs w:val="22"/>
              </w:rPr>
              <w:t>G. pedunculata</w:t>
            </w:r>
            <w:r w:rsidR="003163BB">
              <w:rPr>
                <w:rFonts w:ascii="Arial" w:eastAsia="Calibri" w:hAnsi="Arial" w:cs="Arial"/>
                <w:szCs w:val="22"/>
              </w:rPr>
              <w:t xml:space="preserve"> extracts on the hematological and biochemical markers in mice. The findings intend to provide dietary guidance and establish groundwork for subsequent studies.</w:t>
            </w:r>
            <w:r w:rsidR="00C835D2">
              <w:rPr>
                <w:rFonts w:ascii="Arial" w:eastAsia="Calibri" w:hAnsi="Arial" w:cs="Arial"/>
                <w:szCs w:val="22"/>
              </w:rPr>
              <w:t xml:space="preserve"> It will assess the proximate and mineral profile of </w:t>
            </w:r>
            <w:r w:rsidR="00C835D2" w:rsidRPr="00C835D2">
              <w:rPr>
                <w:rFonts w:ascii="Arial" w:eastAsia="Calibri" w:hAnsi="Arial" w:cs="Arial"/>
                <w:i/>
                <w:iCs/>
                <w:szCs w:val="22"/>
              </w:rPr>
              <w:t>G. pedunculata</w:t>
            </w:r>
            <w:r w:rsidR="00C835D2">
              <w:rPr>
                <w:rFonts w:ascii="Arial" w:eastAsia="Calibri" w:hAnsi="Arial" w:cs="Arial"/>
                <w:szCs w:val="22"/>
              </w:rPr>
              <w:t xml:space="preserve"> fruit extract and its effects on hematological and serum biochemical parameters in mice.</w:t>
            </w:r>
          </w:p>
          <w:p w14:paraId="38B6B142" w14:textId="3CDD895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C835D2">
              <w:rPr>
                <w:rFonts w:ascii="Arial" w:eastAsia="Calibri" w:hAnsi="Arial" w:cs="Arial"/>
                <w:b/>
                <w:bCs/>
                <w:szCs w:val="22"/>
              </w:rPr>
              <w:t xml:space="preserve">: </w:t>
            </w:r>
            <w:r w:rsidR="00C835D2" w:rsidRPr="00C835D2">
              <w:rPr>
                <w:rFonts w:ascii="Arial" w:eastAsia="Calibri" w:hAnsi="Arial" w:cs="Arial"/>
                <w:szCs w:val="22"/>
              </w:rPr>
              <w:t>Fruit</w:t>
            </w:r>
            <w:r w:rsidR="00C835D2">
              <w:rPr>
                <w:rFonts w:ascii="Arial" w:eastAsia="Calibri" w:hAnsi="Arial" w:cs="Arial"/>
                <w:szCs w:val="22"/>
              </w:rPr>
              <w:t xml:space="preserve"> collected</w:t>
            </w:r>
            <w:r w:rsidR="00C835D2" w:rsidRPr="00C835D2">
              <w:rPr>
                <w:rFonts w:ascii="Arial" w:eastAsia="Calibri" w:hAnsi="Arial" w:cs="Arial"/>
                <w:szCs w:val="22"/>
              </w:rPr>
              <w:t xml:space="preserve"> from Nakari, North </w:t>
            </w:r>
            <w:r w:rsidR="00EE523E">
              <w:rPr>
                <w:rFonts w:ascii="Arial" w:eastAsia="Calibri" w:hAnsi="Arial" w:cs="Arial"/>
                <w:szCs w:val="22"/>
              </w:rPr>
              <w:t>Lakhimpur,</w:t>
            </w:r>
            <w:r w:rsidR="00C835D2" w:rsidRPr="00C835D2">
              <w:rPr>
                <w:rFonts w:ascii="Arial" w:eastAsia="Calibri" w:hAnsi="Arial" w:cs="Arial"/>
                <w:szCs w:val="22"/>
              </w:rPr>
              <w:t xml:space="preserve"> was analyzed for moisture, ash, carbohydrate, protein, reducing sugar, and starch using standard methods. Mineral content was assessed by AAS. GC-MS identified volatile/semi-volatile components. Thirty-two mice (16 male, 16 female) were divided into four groups (n=8): normal control, vehicle (1% DMSO), and chloroform fraction of </w:t>
            </w:r>
            <w:r w:rsidR="00C835D2" w:rsidRPr="00C835D2">
              <w:rPr>
                <w:rFonts w:ascii="Arial" w:eastAsia="Calibri" w:hAnsi="Arial" w:cs="Arial"/>
                <w:i/>
                <w:iCs/>
                <w:szCs w:val="22"/>
              </w:rPr>
              <w:t>G. pedunculata</w:t>
            </w:r>
            <w:r w:rsidR="00C835D2" w:rsidRPr="00C835D2">
              <w:rPr>
                <w:rFonts w:ascii="Arial" w:eastAsia="Calibri" w:hAnsi="Arial" w:cs="Arial"/>
                <w:szCs w:val="22"/>
              </w:rPr>
              <w:t xml:space="preserve"> at 100 or 250 </w:t>
            </w:r>
            <w:r w:rsidR="00EE523E">
              <w:rPr>
                <w:rFonts w:ascii="Arial" w:eastAsia="Calibri" w:hAnsi="Arial" w:cs="Arial"/>
                <w:szCs w:val="22"/>
              </w:rPr>
              <w:t>mg/kg orally</w:t>
            </w:r>
            <w:r w:rsidR="00C835D2" w:rsidRPr="00C835D2">
              <w:rPr>
                <w:rFonts w:ascii="Arial" w:eastAsia="Calibri" w:hAnsi="Arial" w:cs="Arial"/>
                <w:szCs w:val="22"/>
              </w:rPr>
              <w:t xml:space="preserve"> for 28 days. Serum analysis included creatinine, urea, electrolytes, liver enzymes, proteins, and bilirubin, while hematology evaluated RBC indices and platelets.</w:t>
            </w:r>
          </w:p>
          <w:p w14:paraId="6BC37FDE" w14:textId="4BE92736" w:rsidR="00C835D2"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835D2">
              <w:rPr>
                <w:rFonts w:ascii="Arial" w:eastAsia="Calibri" w:hAnsi="Arial" w:cs="Arial"/>
                <w:szCs w:val="22"/>
              </w:rPr>
              <w:t xml:space="preserve">The dried extract was rich in carbohydrates and low in protein, with moisture at 21.4% and ash at 3.45%. Calcium predominated the minerals, followed by Na and </w:t>
            </w:r>
            <w:r w:rsidR="00EE523E">
              <w:rPr>
                <w:rFonts w:ascii="Arial" w:eastAsia="Calibri" w:hAnsi="Arial" w:cs="Arial"/>
                <w:szCs w:val="22"/>
              </w:rPr>
              <w:t>Mg, and then</w:t>
            </w:r>
            <w:r w:rsidR="00C835D2">
              <w:rPr>
                <w:rFonts w:ascii="Arial" w:eastAsia="Calibri" w:hAnsi="Arial" w:cs="Arial"/>
                <w:szCs w:val="22"/>
              </w:rPr>
              <w:t xml:space="preserve"> Fe and Zn. GC-MS identified 11 components making up 60.9% TIC. </w:t>
            </w:r>
            <w:r w:rsidR="003163BB">
              <w:rPr>
                <w:rFonts w:ascii="Arial" w:eastAsia="Calibri" w:hAnsi="Arial" w:cs="Arial"/>
                <w:szCs w:val="22"/>
              </w:rPr>
              <w:t>Significant changes were observed in the potassium, sodium and alkaline phosphatase levels. In case of the hematological parameters, significant changes were observed in the MCV, MCHC, RDW-CV and platelet levels. No significant changes were seen in the rest of the biochemical and hematological parameters.</w:t>
            </w:r>
          </w:p>
          <w:p w14:paraId="6D53D6D3" w14:textId="0A0BCFE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835D2" w:rsidRPr="00C835D2">
              <w:rPr>
                <w:rFonts w:ascii="Arial" w:eastAsia="Calibri" w:hAnsi="Arial" w:cs="Arial"/>
                <w:i/>
                <w:iCs/>
                <w:szCs w:val="22"/>
              </w:rPr>
              <w:t>G. pedunculata</w:t>
            </w:r>
            <w:r w:rsidR="00C835D2" w:rsidRPr="00C835D2">
              <w:rPr>
                <w:rFonts w:ascii="Arial" w:eastAsia="Calibri" w:hAnsi="Arial" w:cs="Arial"/>
                <w:szCs w:val="22"/>
              </w:rPr>
              <w:t xml:space="preserve"> is a low-fat, carbohydrate-rich, calcium-dominant fruit. Twenty-eight-day dosing was well </w:t>
            </w:r>
            <w:r w:rsidR="00154D64" w:rsidRPr="00C835D2">
              <w:rPr>
                <w:rFonts w:ascii="Arial" w:eastAsia="Calibri" w:hAnsi="Arial" w:cs="Arial"/>
                <w:szCs w:val="22"/>
              </w:rPr>
              <w:t>tolerated and</w:t>
            </w:r>
            <w:r w:rsidR="00C835D2" w:rsidRPr="00C835D2">
              <w:rPr>
                <w:rFonts w:ascii="Arial" w:eastAsia="Calibri" w:hAnsi="Arial" w:cs="Arial"/>
                <w:szCs w:val="22"/>
              </w:rPr>
              <w:t xml:space="preserve"> </w:t>
            </w:r>
            <w:r w:rsidR="00154D64" w:rsidRPr="00154D64">
              <w:rPr>
                <w:rFonts w:ascii="Arial" w:eastAsia="Calibri" w:hAnsi="Arial" w:cs="Arial"/>
                <w:szCs w:val="22"/>
              </w:rPr>
              <w:t>may beneficially influence selected metabolic markers. The results provide a coherent baseline for future research on bioactive components and dose-response relationships and will inform the safe dietary application of this under-researched regional fruit.</w:t>
            </w:r>
          </w:p>
        </w:tc>
      </w:tr>
    </w:tbl>
    <w:p w14:paraId="7F1E1582" w14:textId="77777777" w:rsidR="00636EB2" w:rsidRDefault="00636EB2" w:rsidP="00441B6F">
      <w:pPr>
        <w:pStyle w:val="Body"/>
        <w:spacing w:after="0"/>
        <w:rPr>
          <w:rFonts w:ascii="Arial" w:hAnsi="Arial" w:cs="Arial"/>
          <w:i/>
        </w:rPr>
      </w:pPr>
    </w:p>
    <w:p w14:paraId="792B842F" w14:textId="2C498734" w:rsidR="00790ADA" w:rsidRDefault="00EE523E" w:rsidP="00441B6F">
      <w:pPr>
        <w:pStyle w:val="Body"/>
        <w:spacing w:after="0"/>
        <w:rPr>
          <w:rFonts w:ascii="Arial" w:hAnsi="Arial" w:cs="Arial"/>
          <w:i/>
        </w:rPr>
      </w:pPr>
      <w:r>
        <w:rPr>
          <w:rFonts w:ascii="Arial" w:hAnsi="Arial" w:cs="Arial"/>
          <w:i/>
        </w:rPr>
        <w:t xml:space="preserve">Keywords: </w:t>
      </w:r>
      <w:r w:rsidR="009B5E8B">
        <w:rPr>
          <w:rFonts w:ascii="Arial" w:hAnsi="Arial" w:cs="Arial"/>
          <w:i/>
        </w:rPr>
        <w:t>GC-MS, liver enzyme, mineral content,</w:t>
      </w:r>
      <w:r w:rsidR="009B5E8B" w:rsidRPr="009B5E8B">
        <w:rPr>
          <w:rFonts w:ascii="Arial" w:hAnsi="Arial" w:cs="Arial"/>
          <w:i/>
        </w:rPr>
        <w:t xml:space="preserve"> </w:t>
      </w:r>
      <w:r w:rsidR="009B5E8B">
        <w:rPr>
          <w:rFonts w:ascii="Arial" w:hAnsi="Arial" w:cs="Arial"/>
          <w:i/>
        </w:rPr>
        <w:t xml:space="preserve">platelet, serum, </w:t>
      </w:r>
      <w:r>
        <w:rPr>
          <w:rFonts w:ascii="Arial" w:hAnsi="Arial" w:cs="Arial"/>
          <w:i/>
        </w:rPr>
        <w:t>proximate analysis</w:t>
      </w:r>
    </w:p>
    <w:p w14:paraId="164FAF01" w14:textId="77777777" w:rsidR="00505F06" w:rsidRDefault="00505F06" w:rsidP="00441B6F">
      <w:pPr>
        <w:pStyle w:val="Body"/>
        <w:spacing w:after="0"/>
        <w:rPr>
          <w:rFonts w:ascii="Arial" w:hAnsi="Arial" w:cs="Arial"/>
          <w:i/>
          <w:sz w:val="18"/>
        </w:rPr>
      </w:pPr>
    </w:p>
    <w:p w14:paraId="383B4537" w14:textId="77777777" w:rsidR="009B5E8B" w:rsidRPr="00A24E7E" w:rsidRDefault="009B5E8B" w:rsidP="00441B6F">
      <w:pPr>
        <w:pStyle w:val="Body"/>
        <w:spacing w:after="0"/>
        <w:rPr>
          <w:rFonts w:ascii="Arial" w:hAnsi="Arial" w:cs="Arial"/>
          <w:i/>
        </w:rPr>
      </w:pPr>
    </w:p>
    <w:p w14:paraId="09F971A3" w14:textId="01882C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1893D80" w14:textId="77777777" w:rsidR="00790ADA" w:rsidRPr="00FB3A86" w:rsidRDefault="00790ADA" w:rsidP="00441B6F">
      <w:pPr>
        <w:pStyle w:val="AbstHead"/>
        <w:spacing w:after="0"/>
        <w:jc w:val="both"/>
        <w:rPr>
          <w:rFonts w:ascii="Arial" w:hAnsi="Arial" w:cs="Arial"/>
        </w:rPr>
      </w:pPr>
    </w:p>
    <w:p w14:paraId="54073211" w14:textId="302A53DC" w:rsidR="00D5712F" w:rsidRDefault="00D5712F" w:rsidP="00D5712F">
      <w:pPr>
        <w:pStyle w:val="AbstHead"/>
        <w:jc w:val="both"/>
        <w:rPr>
          <w:rFonts w:ascii="Arial" w:hAnsi="Arial" w:cs="Arial"/>
          <w:b w:val="0"/>
          <w:caps w:val="0"/>
          <w:sz w:val="20"/>
          <w:lang w:val="en-IN"/>
        </w:rPr>
      </w:pPr>
      <w:r>
        <w:rPr>
          <w:rFonts w:ascii="Arial" w:hAnsi="Arial" w:cs="Arial"/>
          <w:b w:val="0"/>
          <w:caps w:val="0"/>
          <w:sz w:val="20"/>
          <w:lang w:val="en-IN"/>
        </w:rPr>
        <w:t xml:space="preserve">Non-communicable diseases associated with diet continue to pose a significant public health challenge, and there is increasing interest in food plants that offer both nutritional value and quantifiable health advantages. </w:t>
      </w:r>
      <w:r w:rsidRPr="00C03CF8">
        <w:rPr>
          <w:rFonts w:ascii="Arial" w:hAnsi="Arial" w:cs="Arial"/>
          <w:b w:val="0"/>
          <w:i/>
          <w:iCs/>
          <w:caps w:val="0"/>
          <w:sz w:val="20"/>
          <w:lang w:val="en-IN"/>
        </w:rPr>
        <w:t>Garcinia pedunculata</w:t>
      </w:r>
      <w:r>
        <w:rPr>
          <w:rFonts w:ascii="Arial" w:hAnsi="Arial" w:cs="Arial"/>
          <w:b w:val="0"/>
          <w:caps w:val="0"/>
          <w:sz w:val="20"/>
          <w:lang w:val="en-IN"/>
        </w:rPr>
        <w:t xml:space="preserve"> (</w:t>
      </w:r>
      <w:proofErr w:type="spellStart"/>
      <w:r>
        <w:rPr>
          <w:rFonts w:ascii="Arial" w:hAnsi="Arial" w:cs="Arial"/>
          <w:b w:val="0"/>
          <w:caps w:val="0"/>
          <w:sz w:val="20"/>
          <w:lang w:val="en-IN"/>
        </w:rPr>
        <w:t>Roxb</w:t>
      </w:r>
      <w:proofErr w:type="spellEnd"/>
      <w:r>
        <w:rPr>
          <w:rFonts w:ascii="Arial" w:hAnsi="Arial" w:cs="Arial"/>
          <w:b w:val="0"/>
          <w:caps w:val="0"/>
          <w:sz w:val="20"/>
          <w:lang w:val="en-IN"/>
        </w:rPr>
        <w:t xml:space="preserve">.), an indigenous sour fruit predominantly consumed in </w:t>
      </w:r>
      <w:r w:rsidR="00EE523E">
        <w:rPr>
          <w:rFonts w:ascii="Arial" w:hAnsi="Arial" w:cs="Arial"/>
          <w:b w:val="0"/>
          <w:caps w:val="0"/>
          <w:sz w:val="20"/>
          <w:lang w:val="en-IN"/>
        </w:rPr>
        <w:t>Northeast</w:t>
      </w:r>
      <w:r>
        <w:rPr>
          <w:rFonts w:ascii="Arial" w:hAnsi="Arial" w:cs="Arial"/>
          <w:b w:val="0"/>
          <w:caps w:val="0"/>
          <w:sz w:val="20"/>
          <w:lang w:val="en-IN"/>
        </w:rPr>
        <w:t xml:space="preserve"> India, represents a promising candidate in this regard. Traditionally incorporated into curries and beverages, its fundamental nutritional characteristics and systemic effects remain inadequately documented in a standardized fashion. Proximate analysis serves as a straightforward yet potent initial approach to delineate the nutritional value of a food matrix. By quantifying components such as moisture, ash, protein, fat, carbohydrates, </w:t>
      </w:r>
      <w:r w:rsidR="00C03CF8">
        <w:rPr>
          <w:rFonts w:ascii="Arial" w:hAnsi="Arial" w:cs="Arial"/>
          <w:b w:val="0"/>
          <w:caps w:val="0"/>
          <w:sz w:val="20"/>
          <w:lang w:val="en-IN"/>
        </w:rPr>
        <w:t>reducing sugar, starch</w:t>
      </w:r>
      <w:r>
        <w:rPr>
          <w:rFonts w:ascii="Arial" w:hAnsi="Arial" w:cs="Arial"/>
          <w:b w:val="0"/>
          <w:caps w:val="0"/>
          <w:sz w:val="20"/>
          <w:lang w:val="en-IN"/>
        </w:rPr>
        <w:t xml:space="preserve">, and essential minerals, it is feasible to correlate composition with potential physiological effects and to formulate appropriate doses for in vivo testing. </w:t>
      </w:r>
      <w:proofErr w:type="spellStart"/>
      <w:r>
        <w:rPr>
          <w:rFonts w:ascii="Arial" w:hAnsi="Arial" w:cs="Arial"/>
          <w:b w:val="0"/>
          <w:caps w:val="0"/>
          <w:sz w:val="20"/>
          <w:lang w:val="en-IN"/>
        </w:rPr>
        <w:t>Hematological</w:t>
      </w:r>
      <w:proofErr w:type="spellEnd"/>
      <w:r>
        <w:rPr>
          <w:rFonts w:ascii="Arial" w:hAnsi="Arial" w:cs="Arial"/>
          <w:b w:val="0"/>
          <w:caps w:val="0"/>
          <w:sz w:val="20"/>
          <w:lang w:val="en-IN"/>
        </w:rPr>
        <w:t xml:space="preserve"> and serum biochemical parameters function as sensitive </w:t>
      </w:r>
      <w:r>
        <w:rPr>
          <w:rFonts w:ascii="Arial" w:hAnsi="Arial" w:cs="Arial"/>
          <w:b w:val="0"/>
          <w:caps w:val="0"/>
          <w:sz w:val="20"/>
          <w:lang w:val="en-IN"/>
        </w:rPr>
        <w:lastRenderedPageBreak/>
        <w:t xml:space="preserve">indicators of safety and efficacy. Variations in </w:t>
      </w:r>
      <w:proofErr w:type="spellStart"/>
      <w:r>
        <w:rPr>
          <w:rFonts w:ascii="Arial" w:hAnsi="Arial" w:cs="Arial"/>
          <w:b w:val="0"/>
          <w:caps w:val="0"/>
          <w:sz w:val="20"/>
          <w:lang w:val="en-IN"/>
        </w:rPr>
        <w:t>hemoglobin</w:t>
      </w:r>
      <w:proofErr w:type="spellEnd"/>
      <w:r>
        <w:rPr>
          <w:rFonts w:ascii="Arial" w:hAnsi="Arial" w:cs="Arial"/>
          <w:b w:val="0"/>
          <w:caps w:val="0"/>
          <w:sz w:val="20"/>
          <w:lang w:val="en-IN"/>
        </w:rPr>
        <w:t xml:space="preserve">, red and white blood cell counts, and platelets reflect impacts on </w:t>
      </w:r>
      <w:proofErr w:type="spellStart"/>
      <w:r>
        <w:rPr>
          <w:rFonts w:ascii="Arial" w:hAnsi="Arial" w:cs="Arial"/>
          <w:b w:val="0"/>
          <w:caps w:val="0"/>
          <w:sz w:val="20"/>
          <w:lang w:val="en-IN"/>
        </w:rPr>
        <w:t>hematopoiesis</w:t>
      </w:r>
      <w:proofErr w:type="spellEnd"/>
      <w:r>
        <w:rPr>
          <w:rFonts w:ascii="Arial" w:hAnsi="Arial" w:cs="Arial"/>
          <w:b w:val="0"/>
          <w:caps w:val="0"/>
          <w:sz w:val="20"/>
          <w:lang w:val="en-IN"/>
        </w:rPr>
        <w:t xml:space="preserve"> and inflammation. Similarly, serum lipids, glucose levels, liver enzymes (ALT, AST, ALP, bilirubin), and renal markers (urea, creatinine) offer a comprehensive assessment of metabolic status and organ function. Evaluating these endpoints following dietary exposure to a plant extract aids in determining whether observed benefits occur without </w:t>
      </w:r>
      <w:proofErr w:type="spellStart"/>
      <w:r>
        <w:rPr>
          <w:rFonts w:ascii="Arial" w:hAnsi="Arial" w:cs="Arial"/>
          <w:b w:val="0"/>
          <w:caps w:val="0"/>
          <w:sz w:val="20"/>
          <w:lang w:val="en-IN"/>
        </w:rPr>
        <w:t>hematotoxicity</w:t>
      </w:r>
      <w:proofErr w:type="spellEnd"/>
      <w:r>
        <w:rPr>
          <w:rFonts w:ascii="Arial" w:hAnsi="Arial" w:cs="Arial"/>
          <w:b w:val="0"/>
          <w:caps w:val="0"/>
          <w:sz w:val="20"/>
          <w:lang w:val="en-IN"/>
        </w:rPr>
        <w:t xml:space="preserve"> or organ stress. </w:t>
      </w:r>
    </w:p>
    <w:p w14:paraId="71F43BF4" w14:textId="7FFE2610" w:rsidR="00D5712F" w:rsidRDefault="00D5712F" w:rsidP="00D5712F">
      <w:pPr>
        <w:pStyle w:val="AbstHead"/>
        <w:jc w:val="both"/>
        <w:rPr>
          <w:rFonts w:ascii="Arial" w:hAnsi="Arial" w:cs="Arial"/>
          <w:b w:val="0"/>
          <w:caps w:val="0"/>
          <w:sz w:val="20"/>
          <w:lang w:val="en-IN"/>
        </w:rPr>
      </w:pPr>
      <w:r>
        <w:rPr>
          <w:rFonts w:ascii="Arial" w:hAnsi="Arial" w:cs="Arial"/>
          <w:b w:val="0"/>
          <w:caps w:val="0"/>
          <w:sz w:val="20"/>
          <w:lang w:val="en-IN"/>
        </w:rPr>
        <w:t xml:space="preserve">In this study, we examine </w:t>
      </w:r>
      <w:r w:rsidRPr="00D5712F">
        <w:rPr>
          <w:rFonts w:ascii="Arial" w:hAnsi="Arial" w:cs="Arial"/>
          <w:b w:val="0"/>
          <w:i/>
          <w:iCs/>
          <w:caps w:val="0"/>
          <w:sz w:val="20"/>
          <w:lang w:val="en-IN"/>
        </w:rPr>
        <w:t>G. pedunculata</w:t>
      </w:r>
      <w:r>
        <w:rPr>
          <w:rFonts w:ascii="Arial" w:hAnsi="Arial" w:cs="Arial"/>
          <w:b w:val="0"/>
          <w:caps w:val="0"/>
          <w:sz w:val="20"/>
          <w:lang w:val="en-IN"/>
        </w:rPr>
        <w:t xml:space="preserve"> fruit with two objectives. First, we conduct a proximate and mineral analysis of the crude fruit extract to define its macronutrient and micronutrient content. Second, we evaluate the extract's impact on </w:t>
      </w:r>
      <w:proofErr w:type="spellStart"/>
      <w:r>
        <w:rPr>
          <w:rFonts w:ascii="Arial" w:hAnsi="Arial" w:cs="Arial"/>
          <w:b w:val="0"/>
          <w:caps w:val="0"/>
          <w:sz w:val="20"/>
          <w:lang w:val="en-IN"/>
        </w:rPr>
        <w:t>hematological</w:t>
      </w:r>
      <w:proofErr w:type="spellEnd"/>
      <w:r>
        <w:rPr>
          <w:rFonts w:ascii="Arial" w:hAnsi="Arial" w:cs="Arial"/>
          <w:b w:val="0"/>
          <w:caps w:val="0"/>
          <w:sz w:val="20"/>
          <w:lang w:val="en-IN"/>
        </w:rPr>
        <w:t xml:space="preserve"> and biochemical indices in an experimental animal model under controlled conditions. We posit that the fruit, characterized by a low-fat, carbohydrate-rich matrix with significant mineral content, will be well tolerated and may beneficially influence selected metabolic markers. The results will provide a coherent baseline for future research on bioactive components and dose-response relationships and will inform the safe dietary application of this under-researched regional fruit. This study addresses a distinct evidence gap.</w:t>
      </w:r>
    </w:p>
    <w:p w14:paraId="72806EAA" w14:textId="49BCFAF4" w:rsidR="007F7B32" w:rsidRDefault="00902823" w:rsidP="00D5712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4225B48" w14:textId="77777777" w:rsidR="00790ADA" w:rsidRPr="00FB3A86" w:rsidRDefault="00790ADA" w:rsidP="00441B6F">
      <w:pPr>
        <w:pStyle w:val="AbstHead"/>
        <w:spacing w:after="0"/>
        <w:jc w:val="both"/>
        <w:rPr>
          <w:rFonts w:ascii="Arial" w:hAnsi="Arial" w:cs="Arial"/>
        </w:rPr>
      </w:pPr>
    </w:p>
    <w:p w14:paraId="362FA86B" w14:textId="5FC672FC" w:rsidR="006545A4" w:rsidRPr="006545A4" w:rsidRDefault="006545A4" w:rsidP="006545A4">
      <w:pPr>
        <w:pStyle w:val="Body"/>
        <w:spacing w:after="0"/>
        <w:rPr>
          <w:rFonts w:ascii="Arial" w:hAnsi="Arial" w:cs="Arial"/>
          <w:b/>
          <w:bCs/>
          <w:lang w:val="en-IN"/>
        </w:rPr>
      </w:pPr>
      <w:r>
        <w:rPr>
          <w:rFonts w:ascii="Arial" w:hAnsi="Arial" w:cs="Arial"/>
          <w:b/>
          <w:bCs/>
          <w:lang w:val="en-IN"/>
        </w:rPr>
        <w:t xml:space="preserve">2.1 </w:t>
      </w:r>
      <w:r w:rsidRPr="006545A4">
        <w:rPr>
          <w:rFonts w:ascii="Arial" w:hAnsi="Arial" w:cs="Arial"/>
          <w:b/>
          <w:bCs/>
          <w:lang w:val="en-IN"/>
        </w:rPr>
        <w:t>Collection of fruit</w:t>
      </w:r>
      <w:r w:rsidR="009B5E8B">
        <w:rPr>
          <w:rFonts w:ascii="Arial" w:hAnsi="Arial" w:cs="Arial"/>
          <w:b/>
          <w:bCs/>
          <w:lang w:val="en-IN"/>
        </w:rPr>
        <w:t xml:space="preserve"> and sample preparation</w:t>
      </w:r>
    </w:p>
    <w:p w14:paraId="47DAB504" w14:textId="77777777" w:rsidR="006545A4" w:rsidRDefault="006545A4" w:rsidP="006545A4">
      <w:pPr>
        <w:pStyle w:val="Body"/>
        <w:spacing w:after="0"/>
        <w:rPr>
          <w:rFonts w:ascii="Arial" w:hAnsi="Arial" w:cs="Arial"/>
          <w:b/>
          <w:bCs/>
          <w:lang w:val="en-IN"/>
        </w:rPr>
      </w:pPr>
    </w:p>
    <w:p w14:paraId="5D5CDE45" w14:textId="0D286D82" w:rsidR="006545A4" w:rsidRPr="009B5E8B" w:rsidRDefault="006545A4" w:rsidP="006545A4">
      <w:pPr>
        <w:pStyle w:val="Body"/>
        <w:spacing w:after="0"/>
        <w:rPr>
          <w:rFonts w:ascii="Arial" w:hAnsi="Arial" w:cs="Arial"/>
          <w:lang w:val="en-IN"/>
        </w:rPr>
      </w:pPr>
      <w:r w:rsidRPr="009B5E8B">
        <w:rPr>
          <w:rFonts w:ascii="Arial" w:hAnsi="Arial" w:cs="Arial"/>
          <w:lang w:val="en-IN"/>
        </w:rPr>
        <w:t xml:space="preserve">The fruit of </w:t>
      </w:r>
      <w:r w:rsidRPr="009B5E8B">
        <w:rPr>
          <w:rFonts w:ascii="Arial" w:hAnsi="Arial" w:cs="Arial"/>
          <w:i/>
          <w:iCs/>
          <w:lang w:val="en-IN"/>
        </w:rPr>
        <w:t>G. pedunculata</w:t>
      </w:r>
      <w:r w:rsidRPr="009B5E8B">
        <w:rPr>
          <w:rFonts w:ascii="Arial" w:hAnsi="Arial" w:cs="Arial"/>
          <w:lang w:val="en-IN"/>
        </w:rPr>
        <w:t xml:space="preserve"> was collected from Nakari, North Lakhimpur</w:t>
      </w:r>
      <w:r w:rsidR="009B5E8B">
        <w:rPr>
          <w:rFonts w:ascii="Arial" w:hAnsi="Arial" w:cs="Arial"/>
          <w:lang w:val="en-IN"/>
        </w:rPr>
        <w:t xml:space="preserve"> in the month of April 2023. The preparation of the sample</w:t>
      </w:r>
      <w:r w:rsidR="007312CA">
        <w:rPr>
          <w:rFonts w:ascii="Arial" w:hAnsi="Arial" w:cs="Arial"/>
          <w:lang w:val="en-IN"/>
        </w:rPr>
        <w:t xml:space="preserve"> and subsequent fractionation of the crude extract</w:t>
      </w:r>
      <w:r w:rsidR="009B5E8B">
        <w:rPr>
          <w:rFonts w:ascii="Arial" w:hAnsi="Arial" w:cs="Arial"/>
          <w:lang w:val="en-IN"/>
        </w:rPr>
        <w:t xml:space="preserve"> has been described in our previous work </w:t>
      </w:r>
      <w:r w:rsidR="002E7EF3">
        <w:rPr>
          <w:rFonts w:ascii="Arial" w:hAnsi="Arial" w:cs="Arial"/>
          <w:lang w:val="en-IN"/>
        </w:rPr>
        <w:fldChar w:fldCharType="begin" w:fldLock="1"/>
      </w:r>
      <w:r w:rsidR="00741E80">
        <w:rPr>
          <w:rFonts w:ascii="Arial" w:hAnsi="Arial" w:cs="Arial"/>
          <w:lang w:val="en-IN"/>
        </w:rPr>
        <w:instrText>ADDIN CSL_CITATION {"citationItems":[{"id":"ITEM-1","itemData":{"DOI":"10.1007/s10787-024-01484-1","ISSN":"1568-5608 (Electronic)","PMID":"38695971","abstract":"Garcinia pedunculata, a tropical plant found abundantly in the north-east region  of India, has been used by many traditional healers for various gastrointestinal ailments. Studies are being carried out for the proper pharmacological identification of the compounds as well as the mode of action for the treatment of various diseases. In this study, phytochemistry of the fruit was evaluated, followed by a quantitative analysis of the total phenolic and flavonoid content of the methanolic crude extract as well as different fractions (n-hexane, chloroform, ethyl acetate, and n-butanol). The fraction with the most potent flavonoid and phenolic content was evaluated for its anti-inflammatory activity using both in vitro and in vivo assays. The chloroform fraction of G. pedunculata fruit extract was found to have a substantial amount of phenols and flavonoids. This fraction inhibited the denaturation of BSA and significantly stabilized human RBC membrane compared to the standard drug Diclofenac sodium. The fraction also significantly reduced the formaldehyde-induced paw edema in mice and normalized the blood parameters. This study provides evidence that G. pedunculata fruit extract plays a critical role in anti-inflammatory activity, indicating that it can be a potential candidate for further investigation in the treatment of inflammation-related diseases.","author":[{"dropping-particle":"","family":"Dutta","given":"Kasturi","non-dropping-particle":"","parse-names":false,"suffix":""},{"dropping-particle":"","family":"Verma","given":"Akalesh Kumar","non-dropping-particle":"","parse-names":false,"suffix":""},{"dropping-particle":"","family":"Gogoi","given":"Munmi","non-dropping-particle":"","parse-names":false,"suffix":""},{"dropping-particle":"","family":"Devi","given":"Mary","non-dropping-particle":"","parse-names":false,"suffix":""},{"dropping-particle":"","family":"Singh","given":"Maishnam Rustam","non-dropping-particle":"","parse-names":false,"suffix":""},{"dropping-particle":"","family":"Singh","given":"Namram Sushindrajit","non-dropping-particle":"","parse-names":false,"suffix":""}],"container-title":"Inflammopharmacology","id":"ITEM-1","issue":"4","issued":{"date-parts":[["2024","8"]]},"language":"eng","page":"2493-2503","publisher-place":"Switzerland","title":"Anti-inflammatory activity of the phenol rich fraction of Garcinia pedunculata  Roxb (ex. Buch Ham): an in vitro and in vivo study.","type":"article-journal","volume":"32"},"uris":["http://www.mendeley.com/documents/?uuid=2bae8f72-288c-458f-ac64-cd1b5fcb6a3b"]}],"mendeley":{"formattedCitation":"(Dutta et al., 2024)","plainTextFormattedCitation":"(Dutta et al., 2024)","previouslyFormattedCitation":"(Dutta &lt;i&gt;et al.&lt;/i&gt;, 2024)"},"properties":{"noteIndex":0},"schema":"https://github.com/citation-style-language/schema/raw/master/csl-citation.json"}</w:instrText>
      </w:r>
      <w:r w:rsidR="002E7EF3">
        <w:rPr>
          <w:rFonts w:ascii="Arial" w:hAnsi="Arial" w:cs="Arial"/>
          <w:lang w:val="en-IN"/>
        </w:rPr>
        <w:fldChar w:fldCharType="separate"/>
      </w:r>
      <w:r w:rsidR="004B0AB4" w:rsidRPr="00741E80">
        <w:rPr>
          <w:rFonts w:ascii="Arial" w:hAnsi="Arial" w:cs="Arial"/>
          <w:noProof/>
          <w:lang w:val="en-IN"/>
        </w:rPr>
        <w:t>(Dutta et al., 2024)</w:t>
      </w:r>
      <w:r w:rsidR="002E7EF3">
        <w:rPr>
          <w:rFonts w:ascii="Arial" w:hAnsi="Arial" w:cs="Arial"/>
          <w:lang w:val="en-IN"/>
        </w:rPr>
        <w:fldChar w:fldCharType="end"/>
      </w:r>
      <w:r w:rsidR="002E7EF3">
        <w:rPr>
          <w:rFonts w:ascii="Arial" w:hAnsi="Arial" w:cs="Arial"/>
          <w:lang w:val="en-IN"/>
        </w:rPr>
        <w:t>.</w:t>
      </w:r>
      <w:r w:rsidR="007312CA">
        <w:rPr>
          <w:rFonts w:ascii="Arial" w:hAnsi="Arial" w:cs="Arial"/>
          <w:lang w:val="en-IN"/>
        </w:rPr>
        <w:t xml:space="preserve"> The </w:t>
      </w:r>
      <w:proofErr w:type="spellStart"/>
      <w:r w:rsidR="007312CA">
        <w:rPr>
          <w:rFonts w:ascii="Arial" w:hAnsi="Arial" w:cs="Arial"/>
          <w:lang w:val="en-IN"/>
        </w:rPr>
        <w:t>chlororform</w:t>
      </w:r>
      <w:proofErr w:type="spellEnd"/>
      <w:r w:rsidR="007312CA">
        <w:rPr>
          <w:rFonts w:ascii="Arial" w:hAnsi="Arial" w:cs="Arial"/>
          <w:lang w:val="en-IN"/>
        </w:rPr>
        <w:t xml:space="preserve"> fraction was used for the in vivo study to assess the biochemical and </w:t>
      </w:r>
      <w:proofErr w:type="spellStart"/>
      <w:r w:rsidR="007312CA">
        <w:rPr>
          <w:rFonts w:ascii="Arial" w:hAnsi="Arial" w:cs="Arial"/>
          <w:lang w:val="en-IN"/>
        </w:rPr>
        <w:t>hematological</w:t>
      </w:r>
      <w:proofErr w:type="spellEnd"/>
      <w:r w:rsidR="007312CA">
        <w:rPr>
          <w:rFonts w:ascii="Arial" w:hAnsi="Arial" w:cs="Arial"/>
          <w:lang w:val="en-IN"/>
        </w:rPr>
        <w:t xml:space="preserve"> parameters.</w:t>
      </w:r>
    </w:p>
    <w:p w14:paraId="18D15117" w14:textId="77777777" w:rsidR="006545A4" w:rsidRDefault="006545A4" w:rsidP="006545A4">
      <w:pPr>
        <w:pStyle w:val="Body"/>
        <w:spacing w:after="0"/>
        <w:rPr>
          <w:rFonts w:ascii="Arial" w:hAnsi="Arial" w:cs="Arial"/>
          <w:b/>
          <w:bCs/>
          <w:lang w:val="en-IN"/>
        </w:rPr>
      </w:pPr>
    </w:p>
    <w:p w14:paraId="673289EC" w14:textId="4185A939"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2</w:t>
      </w:r>
      <w:r>
        <w:rPr>
          <w:rFonts w:ascii="Arial" w:hAnsi="Arial" w:cs="Arial"/>
          <w:b/>
          <w:bCs/>
          <w:lang w:val="en-IN"/>
        </w:rPr>
        <w:t xml:space="preserve"> </w:t>
      </w:r>
      <w:r w:rsidRPr="006545A4">
        <w:rPr>
          <w:rFonts w:ascii="Arial" w:hAnsi="Arial" w:cs="Arial"/>
          <w:b/>
          <w:bCs/>
          <w:lang w:val="en-IN"/>
        </w:rPr>
        <w:t>Proximate content analysis</w:t>
      </w:r>
    </w:p>
    <w:p w14:paraId="1D4E031A" w14:textId="77777777" w:rsidR="006545A4" w:rsidRDefault="006545A4" w:rsidP="006545A4">
      <w:pPr>
        <w:pStyle w:val="Body"/>
        <w:spacing w:after="0"/>
        <w:rPr>
          <w:rFonts w:ascii="Arial" w:hAnsi="Arial" w:cs="Arial"/>
          <w:b/>
          <w:bCs/>
          <w:lang w:val="en-IN"/>
        </w:rPr>
      </w:pPr>
    </w:p>
    <w:p w14:paraId="18E1FF80" w14:textId="43A437E4" w:rsidR="006545A4" w:rsidRPr="006545A4" w:rsidRDefault="006545A4" w:rsidP="006545A4">
      <w:pPr>
        <w:pStyle w:val="Body"/>
        <w:spacing w:after="0"/>
        <w:rPr>
          <w:rFonts w:ascii="Arial" w:hAnsi="Arial" w:cs="Arial"/>
          <w:lang w:val="en-IN"/>
        </w:rPr>
      </w:pPr>
      <w:r w:rsidRPr="006545A4">
        <w:rPr>
          <w:rFonts w:ascii="Arial" w:hAnsi="Arial" w:cs="Arial"/>
          <w:lang w:val="en-IN"/>
        </w:rPr>
        <w:t xml:space="preserve">In the proximate content analysis, the total carbohydrate, protein, reducing </w:t>
      </w:r>
      <w:r w:rsidR="00EE523E">
        <w:rPr>
          <w:rFonts w:ascii="Arial" w:hAnsi="Arial" w:cs="Arial"/>
          <w:lang w:val="en-IN"/>
        </w:rPr>
        <w:t>sugar,</w:t>
      </w:r>
      <w:r w:rsidRPr="006545A4">
        <w:rPr>
          <w:rFonts w:ascii="Arial" w:hAnsi="Arial" w:cs="Arial"/>
          <w:lang w:val="en-IN"/>
        </w:rPr>
        <w:t xml:space="preserve"> and starch content of the fruit were determined </w:t>
      </w:r>
      <w:r w:rsidRPr="006545A4">
        <w:rPr>
          <w:rFonts w:ascii="Arial" w:hAnsi="Arial" w:cs="Arial"/>
          <w:lang w:val="en-IN"/>
        </w:rPr>
        <w:fldChar w:fldCharType="begin" w:fldLock="1"/>
      </w:r>
      <w:r w:rsidR="00601E57">
        <w:rPr>
          <w:rFonts w:ascii="Arial" w:hAnsi="Arial" w:cs="Arial"/>
          <w:lang w:val="en-IN"/>
        </w:rPr>
        <w:instrText>ADDIN CSL_CITATION {"citationItems":[{"id":"ITEM-1","itemData":{"ISBN":"8122409768","author":[{"dropping-particle":"","family":"Sadasivam","given":"S","non-dropping-particle":"","parse-names":false,"suffix":""}],"id":"ITEM-1","issued":{"date-parts":[["1996"]]},"publisher":"New age international","title":"Biochemical methods","type":"book"},"uris":["http://www.mendeley.com/documents/?uuid=4b72d48a-0bc2-4906-8846-8edc7985f623"]}],"mendeley":{"formattedCitation":"(Sadasivam, 1996)","plainTextFormattedCitation":"(Sadasivam, 1996)","previouslyFormattedCitation":"(Sadasivam, 1996)"},"properties":{"noteIndex":0},"schema":"https://github.com/citation-style-language/schema/raw/master/csl-citation.json"}</w:instrText>
      </w:r>
      <w:r w:rsidRPr="006545A4">
        <w:rPr>
          <w:rFonts w:ascii="Arial" w:hAnsi="Arial" w:cs="Arial"/>
          <w:lang w:val="en-IN"/>
        </w:rPr>
        <w:fldChar w:fldCharType="separate"/>
      </w:r>
      <w:r w:rsidR="004B0AB4" w:rsidRPr="004B0AB4">
        <w:rPr>
          <w:rFonts w:ascii="Arial" w:hAnsi="Arial" w:cs="Arial"/>
          <w:noProof/>
          <w:lang w:val="en-IN"/>
        </w:rPr>
        <w:t>(Sadasivam, 1996)</w:t>
      </w:r>
      <w:r w:rsidRPr="006545A4">
        <w:rPr>
          <w:rFonts w:ascii="Arial" w:hAnsi="Arial" w:cs="Arial"/>
          <w:lang w:val="en-IN"/>
        </w:rPr>
        <w:fldChar w:fldCharType="end"/>
      </w:r>
      <w:r w:rsidRPr="006545A4">
        <w:rPr>
          <w:rFonts w:ascii="Arial" w:hAnsi="Arial" w:cs="Arial"/>
          <w:lang w:val="en-IN"/>
        </w:rPr>
        <w:t>. The crude fat was determined using a Soxhlet extractor apparatus using n-hexane at a temperature of 60 ± 5°C for 6-8 hours (AOAC, 2005).</w:t>
      </w:r>
    </w:p>
    <w:p w14:paraId="31138008" w14:textId="778CBA1A" w:rsidR="006545A4" w:rsidRDefault="006545A4" w:rsidP="006545A4">
      <w:pPr>
        <w:pStyle w:val="Body"/>
        <w:spacing w:after="0"/>
        <w:rPr>
          <w:rFonts w:ascii="Arial" w:hAnsi="Arial" w:cs="Arial"/>
          <w:lang w:val="en-IN"/>
        </w:rPr>
      </w:pPr>
      <w:r w:rsidRPr="006545A4">
        <w:rPr>
          <w:rFonts w:ascii="Arial" w:hAnsi="Arial" w:cs="Arial"/>
          <w:lang w:val="en-IN"/>
        </w:rPr>
        <w:t xml:space="preserve">The moisture content was determined following the guidelines of AOAC 2005. The pulp of the fruit was sliced, and 50 </w:t>
      </w:r>
      <w:r w:rsidR="00EE523E">
        <w:rPr>
          <w:rFonts w:ascii="Arial" w:hAnsi="Arial" w:cs="Arial"/>
          <w:lang w:val="en-IN"/>
        </w:rPr>
        <w:t>grams</w:t>
      </w:r>
      <w:r w:rsidRPr="006545A4">
        <w:rPr>
          <w:rFonts w:ascii="Arial" w:hAnsi="Arial" w:cs="Arial"/>
          <w:lang w:val="en-IN"/>
        </w:rPr>
        <w:t xml:space="preserve"> was measured. The fruit was placed in a petri dish and dried in a hot air oven at 100ºC ± 5ºC until the sample reached a constant weight. The sample was then cooled in a </w:t>
      </w:r>
      <w:r w:rsidR="00EE523E">
        <w:rPr>
          <w:rFonts w:ascii="Arial" w:hAnsi="Arial" w:cs="Arial"/>
          <w:lang w:val="en-IN"/>
        </w:rPr>
        <w:t>desiccator,</w:t>
      </w:r>
      <w:r w:rsidRPr="006545A4">
        <w:rPr>
          <w:rFonts w:ascii="Arial" w:hAnsi="Arial" w:cs="Arial"/>
          <w:lang w:val="en-IN"/>
        </w:rPr>
        <w:t xml:space="preserve"> and the moisture content was calculated using the following formula:</w:t>
      </w:r>
    </w:p>
    <w:p w14:paraId="6F88CB24" w14:textId="29736AA4" w:rsidR="00207634" w:rsidRPr="00207634" w:rsidRDefault="00207634" w:rsidP="006545A4">
      <w:pPr>
        <w:pStyle w:val="Body"/>
        <w:spacing w:after="0"/>
        <w:rPr>
          <w:rFonts w:ascii="Arial" w:hAnsi="Arial" w:cs="Arial"/>
          <w:lang w:val="en-IN"/>
        </w:rPr>
      </w:pPr>
      <m:oMathPara>
        <m:oMath>
          <m:r>
            <w:rPr>
              <w:rFonts w:ascii="Cambria Math" w:hAnsi="Cambria Math" w:cs="Arial"/>
              <w:lang w:val="en-IN"/>
            </w:rPr>
            <m:t xml:space="preserve">Moisture Content </m:t>
          </m:r>
          <m:d>
            <m:dPr>
              <m:ctrlPr>
                <w:rPr>
                  <w:rFonts w:ascii="Cambria Math" w:hAnsi="Cambria Math" w:cs="Arial"/>
                  <w:i/>
                  <w:lang w:val="en-IN"/>
                </w:rPr>
              </m:ctrlPr>
            </m:dPr>
            <m:e>
              <m:r>
                <w:rPr>
                  <w:rFonts w:ascii="Cambria Math" w:hAnsi="Cambria Math" w:cs="Arial"/>
                  <w:lang w:val="en-IN"/>
                </w:rPr>
                <m:t>%</m:t>
              </m:r>
            </m:e>
          </m:d>
          <m:r>
            <w:rPr>
              <w:rFonts w:ascii="Cambria Math" w:hAnsi="Cambria Math" w:cs="Arial"/>
              <w:lang w:val="en-IN"/>
            </w:rPr>
            <m:t xml:space="preserve">= </m:t>
          </m:r>
          <m:f>
            <m:fPr>
              <m:ctrlPr>
                <w:rPr>
                  <w:rFonts w:ascii="Cambria Math" w:hAnsi="Cambria Math" w:cs="Arial"/>
                  <w:i/>
                  <w:lang w:val="en-IN"/>
                </w:rPr>
              </m:ctrlPr>
            </m:fPr>
            <m:num>
              <m:r>
                <w:rPr>
                  <w:rFonts w:ascii="Cambria Math" w:hAnsi="Cambria Math" w:cs="Arial"/>
                  <w:lang w:val="en-IN"/>
                </w:rPr>
                <m:t>(Wet sample weight-Dry sample weight)</m:t>
              </m:r>
            </m:num>
            <m:den>
              <m:r>
                <w:rPr>
                  <w:rFonts w:ascii="Cambria Math" w:hAnsi="Cambria Math" w:cs="Arial"/>
                  <w:lang w:val="en-IN"/>
                </w:rPr>
                <m:t>Wet sample weight</m:t>
              </m:r>
            </m:den>
          </m:f>
          <m:r>
            <w:rPr>
              <w:rFonts w:ascii="Cambria Math" w:hAnsi="Cambria Math" w:cs="Arial"/>
              <w:lang w:val="en-IN"/>
            </w:rPr>
            <m:t>×100</m:t>
          </m:r>
        </m:oMath>
      </m:oMathPara>
    </w:p>
    <w:p w14:paraId="54238507" w14:textId="77777777" w:rsidR="006545A4" w:rsidRDefault="006545A4" w:rsidP="006545A4">
      <w:pPr>
        <w:pStyle w:val="Body"/>
        <w:spacing w:after="0"/>
        <w:rPr>
          <w:rFonts w:ascii="Arial" w:hAnsi="Arial" w:cs="Arial"/>
          <w:lang w:val="en-IN"/>
        </w:rPr>
      </w:pPr>
      <w:r w:rsidRPr="006545A4">
        <w:rPr>
          <w:rFonts w:ascii="Arial" w:hAnsi="Arial" w:cs="Arial"/>
          <w:lang w:val="en-IN"/>
        </w:rPr>
        <w:t>For the total ash content, 2 grams of dried sample was taken and charred on a hot plate. This was further incinerated in a muffle furnace maintained at 550ºC until a stable weight was achieved. This methodology involves sustained heating, which results in the charring of the substance, thereby facilitating the evaluation of mineral content. (AOAC, 2005). The ash content was calculated using the following formula:</w:t>
      </w:r>
    </w:p>
    <w:p w14:paraId="6469E356" w14:textId="3B121055" w:rsidR="00207634" w:rsidRPr="006545A4" w:rsidRDefault="00207634" w:rsidP="006545A4">
      <w:pPr>
        <w:pStyle w:val="Body"/>
        <w:spacing w:after="0"/>
        <w:rPr>
          <w:rFonts w:ascii="Arial" w:hAnsi="Arial" w:cs="Arial"/>
          <w:lang w:val="en-IN"/>
        </w:rPr>
      </w:pPr>
      <m:oMathPara>
        <m:oMath>
          <m:r>
            <w:rPr>
              <w:rFonts w:ascii="Cambria Math" w:hAnsi="Cambria Math" w:cs="Arial"/>
              <w:lang w:val="en-IN"/>
            </w:rPr>
            <m:t xml:space="preserve">Ash Content </m:t>
          </m:r>
          <m:d>
            <m:dPr>
              <m:ctrlPr>
                <w:rPr>
                  <w:rFonts w:ascii="Cambria Math" w:hAnsi="Cambria Math" w:cs="Arial"/>
                  <w:i/>
                  <w:lang w:val="en-IN"/>
                </w:rPr>
              </m:ctrlPr>
            </m:dPr>
            <m:e>
              <m:r>
                <w:rPr>
                  <w:rFonts w:ascii="Cambria Math" w:hAnsi="Cambria Math" w:cs="Arial"/>
                  <w:lang w:val="en-IN"/>
                </w:rPr>
                <m:t>%</m:t>
              </m:r>
            </m:e>
          </m:d>
          <m:r>
            <w:rPr>
              <w:rFonts w:ascii="Cambria Math" w:hAnsi="Cambria Math" w:cs="Arial"/>
              <w:lang w:val="en-IN"/>
            </w:rPr>
            <m:t xml:space="preserve">= </m:t>
          </m:r>
          <m:f>
            <m:fPr>
              <m:ctrlPr>
                <w:rPr>
                  <w:rFonts w:ascii="Cambria Math" w:hAnsi="Cambria Math" w:cs="Arial"/>
                  <w:i/>
                  <w:lang w:val="en-IN"/>
                </w:rPr>
              </m:ctrlPr>
            </m:fPr>
            <m:num>
              <m:r>
                <w:rPr>
                  <w:rFonts w:ascii="Cambria Math" w:hAnsi="Cambria Math" w:cs="Arial"/>
                  <w:lang w:val="en-IN"/>
                </w:rPr>
                <m:t>Weight of ash</m:t>
              </m:r>
            </m:num>
            <m:den>
              <m:r>
                <w:rPr>
                  <w:rFonts w:ascii="Cambria Math" w:hAnsi="Cambria Math" w:cs="Arial"/>
                  <w:lang w:val="en-IN"/>
                </w:rPr>
                <m:t>Weight of sample</m:t>
              </m:r>
            </m:den>
          </m:f>
          <m:r>
            <w:rPr>
              <w:rFonts w:ascii="Cambria Math" w:hAnsi="Cambria Math" w:cs="Arial"/>
              <w:lang w:val="en-IN"/>
            </w:rPr>
            <m:t>×100</m:t>
          </m:r>
        </m:oMath>
      </m:oMathPara>
    </w:p>
    <w:p w14:paraId="7EEC0418" w14:textId="77777777" w:rsidR="006545A4" w:rsidRDefault="006545A4" w:rsidP="006545A4">
      <w:pPr>
        <w:pStyle w:val="Body"/>
        <w:spacing w:after="0"/>
        <w:rPr>
          <w:rFonts w:ascii="Arial" w:hAnsi="Arial" w:cs="Arial"/>
          <w:b/>
          <w:bCs/>
          <w:lang w:val="en-IN"/>
        </w:rPr>
      </w:pPr>
    </w:p>
    <w:p w14:paraId="71B33A60" w14:textId="6534F921"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3</w:t>
      </w:r>
      <w:r>
        <w:rPr>
          <w:rFonts w:ascii="Arial" w:hAnsi="Arial" w:cs="Arial"/>
          <w:b/>
          <w:bCs/>
          <w:lang w:val="en-IN"/>
        </w:rPr>
        <w:t xml:space="preserve"> </w:t>
      </w:r>
      <w:r w:rsidRPr="006545A4">
        <w:rPr>
          <w:rFonts w:ascii="Arial" w:hAnsi="Arial" w:cs="Arial"/>
          <w:b/>
          <w:bCs/>
          <w:lang w:val="en-IN"/>
        </w:rPr>
        <w:t>Mineral Content analysis</w:t>
      </w:r>
    </w:p>
    <w:p w14:paraId="03D7CCB4" w14:textId="77777777" w:rsidR="006545A4" w:rsidRDefault="006545A4" w:rsidP="006545A4">
      <w:pPr>
        <w:pStyle w:val="Body"/>
        <w:spacing w:after="0"/>
        <w:rPr>
          <w:rFonts w:ascii="Arial" w:hAnsi="Arial" w:cs="Arial"/>
          <w:b/>
          <w:bCs/>
          <w:lang w:val="en-IN"/>
        </w:rPr>
      </w:pPr>
    </w:p>
    <w:p w14:paraId="03D3771B" w14:textId="1C910E21" w:rsidR="006545A4" w:rsidRPr="006545A4" w:rsidRDefault="006545A4" w:rsidP="006545A4">
      <w:pPr>
        <w:pStyle w:val="Body"/>
        <w:spacing w:after="0"/>
        <w:rPr>
          <w:rFonts w:ascii="Arial" w:hAnsi="Arial" w:cs="Arial"/>
          <w:lang w:val="en-IN"/>
        </w:rPr>
      </w:pPr>
      <w:r w:rsidRPr="006545A4">
        <w:rPr>
          <w:rFonts w:ascii="Arial" w:hAnsi="Arial" w:cs="Arial"/>
          <w:lang w:val="en-IN"/>
        </w:rPr>
        <w:t xml:space="preserve">For the analysis of mineral content, a 100 mg sample was digested with concentrated nitric acid (65%) while being heated to achieve a clear solution. This was succeeded by the addition of a few drops of hydrogen peroxide. Upon cooling, the solution underwent filtration, and the final volume was adjusted to 100 mL using deionized distilled water. Subsequently, the mineral </w:t>
      </w:r>
      <w:r w:rsidRPr="006545A4">
        <w:rPr>
          <w:rFonts w:ascii="Arial" w:hAnsi="Arial" w:cs="Arial"/>
          <w:lang w:val="en-IN"/>
        </w:rPr>
        <w:lastRenderedPageBreak/>
        <w:t>content was quantified utilizing an atomic absorption spectrophotometer (SHIMADZU AAC-7000).</w:t>
      </w:r>
    </w:p>
    <w:p w14:paraId="0A69B7A0" w14:textId="77777777" w:rsidR="006545A4" w:rsidRDefault="006545A4" w:rsidP="006545A4">
      <w:pPr>
        <w:pStyle w:val="Body"/>
        <w:spacing w:after="0"/>
        <w:rPr>
          <w:rFonts w:ascii="Arial" w:hAnsi="Arial" w:cs="Arial"/>
          <w:b/>
          <w:bCs/>
          <w:lang w:val="en-IN"/>
        </w:rPr>
      </w:pPr>
    </w:p>
    <w:p w14:paraId="628CEE98" w14:textId="32B4584D"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4</w:t>
      </w:r>
      <w:r>
        <w:rPr>
          <w:rFonts w:ascii="Arial" w:hAnsi="Arial" w:cs="Arial"/>
          <w:b/>
          <w:bCs/>
          <w:lang w:val="en-IN"/>
        </w:rPr>
        <w:t xml:space="preserve"> </w:t>
      </w:r>
      <w:r w:rsidRPr="006545A4">
        <w:rPr>
          <w:rFonts w:ascii="Arial" w:hAnsi="Arial" w:cs="Arial"/>
          <w:b/>
          <w:bCs/>
          <w:lang w:val="en-IN"/>
        </w:rPr>
        <w:t>GC-MS analysis</w:t>
      </w:r>
    </w:p>
    <w:p w14:paraId="65E1B339" w14:textId="77777777" w:rsidR="006545A4" w:rsidRDefault="006545A4" w:rsidP="006545A4">
      <w:pPr>
        <w:pStyle w:val="Body"/>
        <w:spacing w:after="0"/>
        <w:rPr>
          <w:rFonts w:ascii="Arial" w:hAnsi="Arial" w:cs="Arial"/>
          <w:lang w:val="en-IN"/>
        </w:rPr>
      </w:pPr>
    </w:p>
    <w:p w14:paraId="206F489F" w14:textId="77777777" w:rsidR="004112FA" w:rsidRDefault="006545A4" w:rsidP="004112FA">
      <w:pPr>
        <w:pStyle w:val="Body"/>
        <w:spacing w:after="0"/>
        <w:rPr>
          <w:rFonts w:ascii="Arial" w:hAnsi="Arial" w:cs="Arial"/>
          <w:lang w:val="en-IN"/>
        </w:rPr>
      </w:pPr>
      <w:r w:rsidRPr="006545A4">
        <w:rPr>
          <w:rFonts w:ascii="Arial" w:hAnsi="Arial" w:cs="Arial"/>
          <w:lang w:val="en-IN"/>
        </w:rPr>
        <w:t>The GC-MS analysis of the crude methanolic extract of the plant sample was conducted utilizing the PerkinElmer Clarus 680 GC/600C MS system at the Guwahati Biotech Park, IIT, Guwahati, Assam, India. The sample was administered and diluted with methanol via the system's auto-injection mode at a split ratio of 10:1. Helium, an inert gas, served as the carrier gas. The oven temperature conditions were meticulously programmed as follows: the initial oven temperature was maintained at 60°C for 1 minute. This was followed by an increase at a rate of 70°C per minute up to 200°C, with a subsequent holding time of 3 minutes. Furthermore, the temperature was escalated to 300°C, with a holding time extended to 5 minutes. The relative abundance of the compounds was quantified as the percentage of peak area observed in the chromatograms. The compounds were identified by comparing the chromatogram mass spectral data with the NIST (National Institutes of Standards and Technology) library database, integrated with the GC-MS system, and by determining their retention indices.</w:t>
      </w:r>
    </w:p>
    <w:p w14:paraId="7C38DD66" w14:textId="77777777" w:rsidR="004112FA" w:rsidRDefault="004112FA" w:rsidP="004112FA">
      <w:pPr>
        <w:pStyle w:val="Body"/>
        <w:spacing w:after="0"/>
        <w:rPr>
          <w:rFonts w:ascii="Arial" w:hAnsi="Arial" w:cs="Arial"/>
          <w:lang w:val="en-IN"/>
        </w:rPr>
      </w:pPr>
    </w:p>
    <w:p w14:paraId="3A5354C9" w14:textId="7B41F6E6" w:rsidR="00136815" w:rsidRPr="00136815" w:rsidRDefault="00136815" w:rsidP="00136815">
      <w:pPr>
        <w:pStyle w:val="Body"/>
        <w:rPr>
          <w:rFonts w:ascii="Arial" w:hAnsi="Arial" w:cs="Arial"/>
          <w:b/>
          <w:bCs/>
          <w:lang w:val="en-IN"/>
        </w:rPr>
      </w:pPr>
      <w:r w:rsidRPr="00136815">
        <w:rPr>
          <w:rFonts w:ascii="Arial" w:hAnsi="Arial" w:cs="Arial"/>
          <w:b/>
          <w:bCs/>
          <w:lang w:val="en-IN"/>
        </w:rPr>
        <w:t>2.</w:t>
      </w:r>
      <w:r w:rsidR="009B5E8B">
        <w:rPr>
          <w:rFonts w:ascii="Arial" w:hAnsi="Arial" w:cs="Arial"/>
          <w:b/>
          <w:bCs/>
          <w:lang w:val="en-IN"/>
        </w:rPr>
        <w:t>5</w:t>
      </w:r>
      <w:r w:rsidRPr="00136815">
        <w:rPr>
          <w:rFonts w:ascii="Arial" w:hAnsi="Arial" w:cs="Arial"/>
          <w:b/>
          <w:bCs/>
          <w:lang w:val="en-IN"/>
        </w:rPr>
        <w:t xml:space="preserve"> Animals</w:t>
      </w:r>
      <w:r w:rsidR="004112FA">
        <w:rPr>
          <w:rFonts w:ascii="Arial" w:hAnsi="Arial" w:cs="Arial"/>
          <w:b/>
          <w:bCs/>
          <w:lang w:val="en-IN"/>
        </w:rPr>
        <w:t xml:space="preserve"> and Treatment plan</w:t>
      </w:r>
    </w:p>
    <w:p w14:paraId="29E87DC2" w14:textId="5A7ADF91" w:rsidR="00136815" w:rsidRPr="00136815" w:rsidRDefault="004112FA" w:rsidP="00136815">
      <w:pPr>
        <w:pStyle w:val="Body"/>
        <w:spacing w:after="0"/>
        <w:rPr>
          <w:rFonts w:ascii="Arial" w:hAnsi="Arial" w:cs="Arial"/>
          <w:lang w:val="en-IN"/>
        </w:rPr>
      </w:pPr>
      <w:r>
        <w:rPr>
          <w:rFonts w:ascii="Arial" w:hAnsi="Arial" w:cs="Arial"/>
          <w:lang w:val="en-IN"/>
        </w:rPr>
        <w:t>Thirty-two</w:t>
      </w:r>
      <w:r w:rsidRPr="004112FA">
        <w:rPr>
          <w:rFonts w:ascii="Arial" w:hAnsi="Arial" w:cs="Arial"/>
          <w:lang w:val="en-IN"/>
        </w:rPr>
        <w:t xml:space="preserve"> mice (16 male, 16 female) weighing 25-30 </w:t>
      </w:r>
      <w:r w:rsidR="00EE523E">
        <w:rPr>
          <w:rFonts w:ascii="Arial" w:hAnsi="Arial" w:cs="Arial"/>
          <w:lang w:val="en-IN"/>
        </w:rPr>
        <w:t>grams were</w:t>
      </w:r>
      <w:r w:rsidRPr="004112FA">
        <w:rPr>
          <w:rFonts w:ascii="Arial" w:hAnsi="Arial" w:cs="Arial"/>
          <w:lang w:val="en-IN"/>
        </w:rPr>
        <w:t xml:space="preserve"> distributed equally in 4 groups with 8 animals each</w:t>
      </w:r>
      <w:r>
        <w:rPr>
          <w:rFonts w:ascii="Arial" w:hAnsi="Arial" w:cs="Arial"/>
          <w:lang w:val="en-IN"/>
        </w:rPr>
        <w:t xml:space="preserve"> </w:t>
      </w:r>
      <w:r w:rsidR="00136815" w:rsidRPr="00136815">
        <w:rPr>
          <w:rFonts w:ascii="Arial" w:hAnsi="Arial" w:cs="Arial"/>
          <w:lang w:val="en-IN"/>
        </w:rPr>
        <w:t xml:space="preserve">and accommodated in suitable polyacrylic cages. The mice were kept under conventional laboratory settings (temperature 25±2°C) through a light/dark cycle for 12 hours each. Free access to a typical dry pellet diet and water was provided </w:t>
      </w:r>
      <w:r w:rsidR="00136815" w:rsidRPr="00136815">
        <w:rPr>
          <w:rFonts w:ascii="Arial" w:hAnsi="Arial" w:cs="Arial"/>
          <w:i/>
          <w:iCs/>
          <w:lang w:val="en-IN"/>
        </w:rPr>
        <w:t>ad libitum</w:t>
      </w:r>
      <w:r w:rsidR="00136815" w:rsidRPr="00136815">
        <w:rPr>
          <w:rFonts w:ascii="Arial" w:hAnsi="Arial" w:cs="Arial"/>
          <w:lang w:val="en-IN"/>
        </w:rPr>
        <w:t>. The experiment was carried out per Institutional Animal Ethics Committee consent</w:t>
      </w:r>
      <w:r w:rsidR="00EE523E">
        <w:rPr>
          <w:rFonts w:ascii="Arial" w:hAnsi="Arial" w:cs="Arial"/>
          <w:lang w:val="en-IN"/>
        </w:rPr>
        <w:t xml:space="preserve"> (16/IAEC/CU/05/01/2021).</w:t>
      </w:r>
    </w:p>
    <w:p w14:paraId="1A214766" w14:textId="572D540A" w:rsidR="006545A4" w:rsidRDefault="006545A4" w:rsidP="006545A4">
      <w:pPr>
        <w:pStyle w:val="Body"/>
        <w:spacing w:after="0"/>
        <w:rPr>
          <w:rFonts w:ascii="Arial" w:hAnsi="Arial" w:cs="Arial"/>
          <w:lang w:val="en-IN"/>
        </w:rPr>
      </w:pPr>
    </w:p>
    <w:p w14:paraId="77CE1D92" w14:textId="1B964783" w:rsidR="004112FA" w:rsidRPr="004112FA" w:rsidRDefault="004112FA" w:rsidP="004112FA">
      <w:pPr>
        <w:pStyle w:val="Body"/>
        <w:rPr>
          <w:rFonts w:ascii="Arial" w:hAnsi="Arial" w:cs="Arial"/>
          <w:lang w:val="en-IN"/>
        </w:rPr>
      </w:pPr>
      <w:r>
        <w:rPr>
          <w:rFonts w:ascii="Arial" w:hAnsi="Arial" w:cs="Arial"/>
          <w:lang w:val="en-IN"/>
        </w:rPr>
        <w:t xml:space="preserve">The animals were orally treated with the chloroform fraction of </w:t>
      </w:r>
      <w:r w:rsidRPr="004112FA">
        <w:rPr>
          <w:rFonts w:ascii="Arial" w:hAnsi="Arial" w:cs="Arial"/>
          <w:i/>
          <w:iCs/>
          <w:lang w:val="en-IN"/>
        </w:rPr>
        <w:t>G. pedunculata</w:t>
      </w:r>
      <w:r>
        <w:rPr>
          <w:rFonts w:ascii="Arial" w:hAnsi="Arial" w:cs="Arial"/>
          <w:i/>
          <w:iCs/>
          <w:lang w:val="en-IN"/>
        </w:rPr>
        <w:t xml:space="preserve"> </w:t>
      </w:r>
      <w:r w:rsidR="00C6546E">
        <w:rPr>
          <w:rFonts w:ascii="Arial" w:hAnsi="Arial" w:cs="Arial"/>
          <w:lang w:val="en-IN"/>
        </w:rPr>
        <w:t>as per the treatment plan below</w:t>
      </w:r>
    </w:p>
    <w:p w14:paraId="3951690B" w14:textId="77777777" w:rsidR="004112FA" w:rsidRPr="004112FA" w:rsidRDefault="004112FA" w:rsidP="004112FA">
      <w:pPr>
        <w:pStyle w:val="Body"/>
        <w:rPr>
          <w:rFonts w:ascii="Arial" w:hAnsi="Arial" w:cs="Arial"/>
          <w:lang w:val="en-IN"/>
        </w:rPr>
      </w:pPr>
      <w:r w:rsidRPr="004112FA">
        <w:rPr>
          <w:rFonts w:ascii="Arial" w:hAnsi="Arial" w:cs="Arial"/>
          <w:lang w:val="en-IN"/>
        </w:rPr>
        <w:t xml:space="preserve">Group 1: Normal Control </w:t>
      </w:r>
    </w:p>
    <w:p w14:paraId="0337A058" w14:textId="77777777" w:rsidR="004112FA" w:rsidRPr="004112FA" w:rsidRDefault="004112FA" w:rsidP="004112FA">
      <w:pPr>
        <w:pStyle w:val="Body"/>
        <w:rPr>
          <w:rFonts w:ascii="Arial" w:hAnsi="Arial" w:cs="Arial"/>
          <w:lang w:val="en-IN"/>
        </w:rPr>
      </w:pPr>
      <w:r w:rsidRPr="004112FA">
        <w:rPr>
          <w:rFonts w:ascii="Arial" w:hAnsi="Arial" w:cs="Arial"/>
          <w:lang w:val="en-IN"/>
        </w:rPr>
        <w:t>Group 2: Vehicle Control (1% DMSO)</w:t>
      </w:r>
    </w:p>
    <w:p w14:paraId="080EFF2D" w14:textId="2E41264F" w:rsidR="004112FA" w:rsidRPr="004112FA" w:rsidRDefault="004112FA" w:rsidP="004112FA">
      <w:pPr>
        <w:pStyle w:val="Body"/>
        <w:rPr>
          <w:rFonts w:ascii="Arial" w:hAnsi="Arial" w:cs="Arial"/>
          <w:lang w:val="en-IN"/>
        </w:rPr>
      </w:pPr>
      <w:r w:rsidRPr="004112FA">
        <w:rPr>
          <w:rFonts w:ascii="Arial" w:hAnsi="Arial" w:cs="Arial"/>
          <w:lang w:val="en-IN"/>
        </w:rPr>
        <w:t xml:space="preserve">Group 3: 100 mg/kg </w:t>
      </w:r>
      <w:r w:rsidR="00EE523E">
        <w:rPr>
          <w:rFonts w:ascii="Arial" w:hAnsi="Arial" w:cs="Arial"/>
          <w:lang w:val="en-IN"/>
        </w:rPr>
        <w:t>b.w.</w:t>
      </w:r>
      <w:r w:rsidRPr="004112FA">
        <w:rPr>
          <w:rFonts w:ascii="Arial" w:hAnsi="Arial" w:cs="Arial"/>
          <w:lang w:val="en-IN"/>
        </w:rPr>
        <w:t xml:space="preserve"> GC </w:t>
      </w:r>
    </w:p>
    <w:p w14:paraId="42602576" w14:textId="26A95E09" w:rsidR="004112FA" w:rsidRPr="004112FA" w:rsidRDefault="004112FA" w:rsidP="004112FA">
      <w:pPr>
        <w:pStyle w:val="Body"/>
        <w:rPr>
          <w:rFonts w:ascii="Arial" w:hAnsi="Arial" w:cs="Arial"/>
          <w:lang w:val="en-IN"/>
        </w:rPr>
      </w:pPr>
      <w:r w:rsidRPr="004112FA">
        <w:rPr>
          <w:rFonts w:ascii="Arial" w:hAnsi="Arial" w:cs="Arial"/>
          <w:lang w:val="en-IN"/>
        </w:rPr>
        <w:t xml:space="preserve">Group 4: 250 mg/kg </w:t>
      </w:r>
      <w:r w:rsidR="00EE523E">
        <w:rPr>
          <w:rFonts w:ascii="Arial" w:hAnsi="Arial" w:cs="Arial"/>
          <w:lang w:val="en-IN"/>
        </w:rPr>
        <w:t>b.w.</w:t>
      </w:r>
      <w:r w:rsidRPr="004112FA">
        <w:rPr>
          <w:rFonts w:ascii="Arial" w:hAnsi="Arial" w:cs="Arial"/>
          <w:lang w:val="en-IN"/>
        </w:rPr>
        <w:t xml:space="preserve"> GC</w:t>
      </w:r>
    </w:p>
    <w:p w14:paraId="426FA526" w14:textId="1241D115" w:rsidR="004112FA" w:rsidRPr="006545A4" w:rsidRDefault="00C6546E" w:rsidP="007312CA">
      <w:pPr>
        <w:pStyle w:val="Body"/>
        <w:rPr>
          <w:rFonts w:ascii="Arial" w:hAnsi="Arial" w:cs="Arial"/>
          <w:lang w:val="en-IN"/>
        </w:rPr>
      </w:pPr>
      <w:r>
        <w:rPr>
          <w:rFonts w:ascii="Arial" w:hAnsi="Arial" w:cs="Arial"/>
          <w:lang w:val="en-IN"/>
        </w:rPr>
        <w:t xml:space="preserve">Blood and serum </w:t>
      </w:r>
      <w:r w:rsidR="00AF70D6">
        <w:rPr>
          <w:rFonts w:ascii="Arial" w:hAnsi="Arial" w:cs="Arial"/>
          <w:lang w:val="en-IN"/>
        </w:rPr>
        <w:t>were</w:t>
      </w:r>
      <w:r>
        <w:rPr>
          <w:rFonts w:ascii="Arial" w:hAnsi="Arial" w:cs="Arial"/>
          <w:lang w:val="en-IN"/>
        </w:rPr>
        <w:t xml:space="preserve"> collected after 28 days of </w:t>
      </w:r>
      <w:r w:rsidR="00EE523E">
        <w:rPr>
          <w:rFonts w:ascii="Arial" w:hAnsi="Arial" w:cs="Arial"/>
          <w:lang w:val="en-IN"/>
        </w:rPr>
        <w:t>treatment</w:t>
      </w:r>
      <w:r w:rsidR="007312CA">
        <w:rPr>
          <w:rFonts w:ascii="Arial" w:hAnsi="Arial" w:cs="Arial"/>
          <w:lang w:val="en-IN"/>
        </w:rPr>
        <w:t xml:space="preserve"> from the retro-orbital plexus of the mice</w:t>
      </w:r>
      <w:r w:rsidR="00EE523E">
        <w:rPr>
          <w:rFonts w:ascii="Arial" w:hAnsi="Arial" w:cs="Arial"/>
          <w:lang w:val="en-IN"/>
        </w:rPr>
        <w:t>,</w:t>
      </w:r>
      <w:r>
        <w:rPr>
          <w:rFonts w:ascii="Arial" w:hAnsi="Arial" w:cs="Arial"/>
          <w:lang w:val="en-IN"/>
        </w:rPr>
        <w:t xml:space="preserve"> and the </w:t>
      </w:r>
      <w:proofErr w:type="spellStart"/>
      <w:r>
        <w:rPr>
          <w:rFonts w:ascii="Arial" w:hAnsi="Arial" w:cs="Arial"/>
          <w:lang w:val="en-IN"/>
        </w:rPr>
        <w:t>hematological</w:t>
      </w:r>
      <w:proofErr w:type="spellEnd"/>
      <w:r>
        <w:rPr>
          <w:rFonts w:ascii="Arial" w:hAnsi="Arial" w:cs="Arial"/>
          <w:lang w:val="en-IN"/>
        </w:rPr>
        <w:t xml:space="preserve"> (</w:t>
      </w:r>
      <w:r w:rsidR="0008302A" w:rsidRPr="0054774F">
        <w:rPr>
          <w:rFonts w:ascii="Arial" w:hAnsi="Arial" w:cs="Arial"/>
          <w:lang w:val="en-IN"/>
        </w:rPr>
        <w:t>RBC, HCT</w:t>
      </w:r>
      <w:r w:rsidR="0054774F" w:rsidRPr="0054774F">
        <w:rPr>
          <w:rFonts w:ascii="Arial" w:hAnsi="Arial" w:cs="Arial"/>
          <w:lang w:val="en-IN"/>
        </w:rPr>
        <w:t xml:space="preserve">, </w:t>
      </w:r>
      <w:proofErr w:type="spellStart"/>
      <w:r w:rsidR="00EE523E">
        <w:rPr>
          <w:rFonts w:ascii="Arial" w:hAnsi="Arial" w:cs="Arial"/>
          <w:lang w:val="en-IN"/>
        </w:rPr>
        <w:t>hemoglobin</w:t>
      </w:r>
      <w:proofErr w:type="spellEnd"/>
      <w:r w:rsidR="00EE523E">
        <w:rPr>
          <w:rFonts w:ascii="Arial" w:hAnsi="Arial" w:cs="Arial"/>
          <w:lang w:val="en-IN"/>
        </w:rPr>
        <w:t>,</w:t>
      </w:r>
      <w:r w:rsidR="0054774F" w:rsidRPr="0054774F">
        <w:rPr>
          <w:rFonts w:ascii="Arial" w:hAnsi="Arial" w:cs="Arial"/>
          <w:lang w:val="en-IN"/>
        </w:rPr>
        <w:t xml:space="preserve"> MCV, MCH, MCHC, RDW-CV, </w:t>
      </w:r>
      <w:r w:rsidR="00EE523E">
        <w:rPr>
          <w:rFonts w:ascii="Arial" w:hAnsi="Arial" w:cs="Arial"/>
          <w:lang w:val="en-IN"/>
        </w:rPr>
        <w:t>platelet)</w:t>
      </w:r>
      <w:r w:rsidR="0054774F" w:rsidRPr="0054774F">
        <w:rPr>
          <w:rFonts w:ascii="Arial" w:hAnsi="Arial" w:cs="Arial"/>
          <w:lang w:val="en-IN"/>
        </w:rPr>
        <w:t xml:space="preserve"> </w:t>
      </w:r>
      <w:r>
        <w:rPr>
          <w:rFonts w:ascii="Arial" w:hAnsi="Arial" w:cs="Arial"/>
          <w:lang w:val="en-IN"/>
        </w:rPr>
        <w:t>and biochemical parameters</w:t>
      </w:r>
      <w:r w:rsidR="0008302A">
        <w:rPr>
          <w:rFonts w:ascii="Arial" w:hAnsi="Arial" w:cs="Arial"/>
          <w:lang w:val="en-IN"/>
        </w:rPr>
        <w:t xml:space="preserve"> </w:t>
      </w:r>
      <w:r w:rsidR="00EE523E">
        <w:rPr>
          <w:rFonts w:ascii="Arial" w:hAnsi="Arial" w:cs="Arial"/>
          <w:lang w:val="en-IN"/>
        </w:rPr>
        <w:t>(creatinine,</w:t>
      </w:r>
      <w:r w:rsidR="0008302A" w:rsidRPr="0008302A">
        <w:rPr>
          <w:rFonts w:ascii="Arial" w:hAnsi="Arial" w:cs="Arial"/>
          <w:lang w:val="en-IN"/>
        </w:rPr>
        <w:t xml:space="preserve"> </w:t>
      </w:r>
      <w:r w:rsidR="00EE523E">
        <w:rPr>
          <w:rFonts w:ascii="Arial" w:hAnsi="Arial" w:cs="Arial"/>
          <w:lang w:val="en-IN"/>
        </w:rPr>
        <w:t>urea,</w:t>
      </w:r>
      <w:r w:rsidR="0008302A" w:rsidRPr="0008302A">
        <w:rPr>
          <w:rFonts w:ascii="Arial" w:hAnsi="Arial" w:cs="Arial"/>
          <w:lang w:val="en-IN"/>
        </w:rPr>
        <w:t xml:space="preserve"> </w:t>
      </w:r>
      <w:r w:rsidR="00EE523E">
        <w:rPr>
          <w:rFonts w:ascii="Arial" w:hAnsi="Arial" w:cs="Arial"/>
          <w:lang w:val="en-IN"/>
        </w:rPr>
        <w:t>calcium,</w:t>
      </w:r>
      <w:r w:rsidR="0008302A" w:rsidRPr="0008302A">
        <w:rPr>
          <w:rFonts w:ascii="Arial" w:hAnsi="Arial" w:cs="Arial"/>
          <w:lang w:val="en-IN"/>
        </w:rPr>
        <w:t xml:space="preserve"> </w:t>
      </w:r>
      <w:r w:rsidR="00EE523E">
        <w:rPr>
          <w:rFonts w:ascii="Arial" w:hAnsi="Arial" w:cs="Arial"/>
          <w:lang w:val="en-IN"/>
        </w:rPr>
        <w:t>phosphorus,</w:t>
      </w:r>
      <w:r w:rsidR="0008302A" w:rsidRPr="0008302A">
        <w:rPr>
          <w:rFonts w:ascii="Arial" w:hAnsi="Arial" w:cs="Arial"/>
          <w:lang w:val="en-IN"/>
        </w:rPr>
        <w:t xml:space="preserve"> </w:t>
      </w:r>
      <w:r w:rsidR="00EE523E">
        <w:rPr>
          <w:rFonts w:ascii="Arial" w:hAnsi="Arial" w:cs="Arial"/>
          <w:lang w:val="en-IN"/>
        </w:rPr>
        <w:t>potassium,</w:t>
      </w:r>
      <w:r w:rsidR="0008302A">
        <w:rPr>
          <w:rFonts w:ascii="Arial" w:hAnsi="Arial" w:cs="Arial"/>
          <w:lang w:val="en-IN"/>
        </w:rPr>
        <w:t xml:space="preserve"> </w:t>
      </w:r>
      <w:r w:rsidR="00EE523E">
        <w:rPr>
          <w:rFonts w:ascii="Arial" w:hAnsi="Arial" w:cs="Arial"/>
          <w:lang w:val="en-IN"/>
        </w:rPr>
        <w:t>sodium,</w:t>
      </w:r>
      <w:r w:rsidR="0008302A" w:rsidRPr="0008302A">
        <w:rPr>
          <w:rFonts w:ascii="Arial" w:hAnsi="Arial" w:cs="Arial"/>
          <w:lang w:val="en-IN"/>
        </w:rPr>
        <w:t xml:space="preserve"> </w:t>
      </w:r>
      <w:r w:rsidR="00EE523E">
        <w:rPr>
          <w:rFonts w:ascii="Arial" w:hAnsi="Arial" w:cs="Arial"/>
          <w:lang w:val="en-IN"/>
        </w:rPr>
        <w:t>albumin,</w:t>
      </w:r>
      <w:r w:rsidR="0008302A">
        <w:rPr>
          <w:rFonts w:ascii="Arial" w:hAnsi="Arial" w:cs="Arial"/>
          <w:lang w:val="en-IN"/>
        </w:rPr>
        <w:t xml:space="preserve"> </w:t>
      </w:r>
      <w:r w:rsidR="00EE523E">
        <w:rPr>
          <w:rFonts w:ascii="Arial" w:hAnsi="Arial" w:cs="Arial"/>
          <w:lang w:val="en-IN"/>
        </w:rPr>
        <w:t>alkaline</w:t>
      </w:r>
      <w:r w:rsidR="0008302A" w:rsidRPr="0008302A">
        <w:rPr>
          <w:rFonts w:ascii="Arial" w:hAnsi="Arial" w:cs="Arial"/>
          <w:lang w:val="en-IN"/>
        </w:rPr>
        <w:t xml:space="preserve"> phosphatase, SGPT/ALT, SGOT/AST,</w:t>
      </w:r>
      <w:r w:rsidR="0008302A">
        <w:rPr>
          <w:rFonts w:ascii="Arial" w:hAnsi="Arial" w:cs="Arial"/>
          <w:lang w:val="en-IN"/>
        </w:rPr>
        <w:t xml:space="preserve"> </w:t>
      </w:r>
      <w:r w:rsidR="00EE523E">
        <w:rPr>
          <w:rFonts w:ascii="Arial" w:hAnsi="Arial" w:cs="Arial"/>
          <w:lang w:val="en-IN"/>
        </w:rPr>
        <w:t>total</w:t>
      </w:r>
      <w:r w:rsidR="0008302A" w:rsidRPr="0008302A">
        <w:rPr>
          <w:rFonts w:ascii="Arial" w:hAnsi="Arial" w:cs="Arial"/>
          <w:lang w:val="en-IN"/>
        </w:rPr>
        <w:t xml:space="preserve"> bilirubin, </w:t>
      </w:r>
      <w:r w:rsidR="00EE523E">
        <w:rPr>
          <w:rFonts w:ascii="Arial" w:hAnsi="Arial" w:cs="Arial"/>
          <w:lang w:val="en-IN"/>
        </w:rPr>
        <w:t>total protein)</w:t>
      </w:r>
      <w:r>
        <w:rPr>
          <w:rFonts w:ascii="Arial" w:hAnsi="Arial" w:cs="Arial"/>
          <w:lang w:val="en-IN"/>
        </w:rPr>
        <w:t xml:space="preserve"> were </w:t>
      </w:r>
      <w:proofErr w:type="spellStart"/>
      <w:r w:rsidR="00EE523E">
        <w:rPr>
          <w:rFonts w:ascii="Arial" w:hAnsi="Arial" w:cs="Arial"/>
          <w:lang w:val="en-IN"/>
        </w:rPr>
        <w:t>analyzed</w:t>
      </w:r>
      <w:proofErr w:type="spellEnd"/>
      <w:r w:rsidR="00EE523E">
        <w:rPr>
          <w:rFonts w:ascii="Arial" w:hAnsi="Arial" w:cs="Arial"/>
          <w:lang w:val="en-IN"/>
        </w:rPr>
        <w:t>.</w:t>
      </w:r>
      <w:r w:rsidR="007312CA" w:rsidRPr="007312CA">
        <w:rPr>
          <w:rFonts w:ascii="Times New Roman" w:eastAsia="Calibri" w:hAnsi="Times New Roman"/>
          <w:kern w:val="2"/>
          <w:lang w:val="en-IN"/>
          <w14:ligatures w14:val="standardContextual"/>
        </w:rPr>
        <w:t xml:space="preserve"> </w:t>
      </w:r>
      <w:r w:rsidR="007312CA" w:rsidRPr="007312CA">
        <w:rPr>
          <w:rFonts w:ascii="Arial" w:hAnsi="Arial" w:cs="Arial"/>
          <w:lang w:val="en-IN"/>
        </w:rPr>
        <w:t xml:space="preserve">The </w:t>
      </w:r>
      <w:proofErr w:type="spellStart"/>
      <w:r w:rsidR="007312CA" w:rsidRPr="007312CA">
        <w:rPr>
          <w:rFonts w:ascii="Arial" w:hAnsi="Arial" w:cs="Arial"/>
          <w:lang w:val="en-IN"/>
        </w:rPr>
        <w:t>hematological</w:t>
      </w:r>
      <w:proofErr w:type="spellEnd"/>
      <w:r w:rsidR="007312CA" w:rsidRPr="007312CA">
        <w:rPr>
          <w:rFonts w:ascii="Arial" w:hAnsi="Arial" w:cs="Arial"/>
          <w:lang w:val="en-IN"/>
        </w:rPr>
        <w:t xml:space="preserve"> and biochemical parameters were </w:t>
      </w:r>
      <w:proofErr w:type="spellStart"/>
      <w:r w:rsidR="007312CA" w:rsidRPr="007312CA">
        <w:rPr>
          <w:rFonts w:ascii="Arial" w:hAnsi="Arial" w:cs="Arial"/>
          <w:lang w:val="en-IN"/>
        </w:rPr>
        <w:t>analyzed</w:t>
      </w:r>
      <w:proofErr w:type="spellEnd"/>
      <w:r w:rsidR="007312CA" w:rsidRPr="007312CA">
        <w:rPr>
          <w:rFonts w:ascii="Arial" w:hAnsi="Arial" w:cs="Arial"/>
          <w:lang w:val="en-IN"/>
        </w:rPr>
        <w:t xml:space="preserve"> utilizing the BC 2800 Mindray, a fully automated </w:t>
      </w:r>
      <w:proofErr w:type="spellStart"/>
      <w:r w:rsidR="007312CA" w:rsidRPr="007312CA">
        <w:rPr>
          <w:rFonts w:ascii="Arial" w:hAnsi="Arial" w:cs="Arial"/>
          <w:lang w:val="en-IN"/>
        </w:rPr>
        <w:t>hematological</w:t>
      </w:r>
      <w:proofErr w:type="spellEnd"/>
      <w:r w:rsidR="007312CA" w:rsidRPr="007312CA">
        <w:rPr>
          <w:rFonts w:ascii="Arial" w:hAnsi="Arial" w:cs="Arial"/>
          <w:lang w:val="en-IN"/>
        </w:rPr>
        <w:t xml:space="preserve"> </w:t>
      </w:r>
      <w:proofErr w:type="spellStart"/>
      <w:r w:rsidR="007312CA" w:rsidRPr="007312CA">
        <w:rPr>
          <w:rFonts w:ascii="Arial" w:hAnsi="Arial" w:cs="Arial"/>
          <w:lang w:val="en-IN"/>
        </w:rPr>
        <w:t>analyzer</w:t>
      </w:r>
      <w:proofErr w:type="spellEnd"/>
      <w:r w:rsidR="007312CA" w:rsidRPr="007312CA">
        <w:rPr>
          <w:rFonts w:ascii="Arial" w:hAnsi="Arial" w:cs="Arial"/>
          <w:lang w:val="en-IN"/>
        </w:rPr>
        <w:t xml:space="preserve">. </w:t>
      </w:r>
      <w:r w:rsidR="007312CA">
        <w:rPr>
          <w:rFonts w:ascii="Arial" w:hAnsi="Arial" w:cs="Arial"/>
          <w:lang w:val="en-IN"/>
        </w:rPr>
        <w:t xml:space="preserve"> </w:t>
      </w:r>
    </w:p>
    <w:p w14:paraId="7C9B1A36" w14:textId="77777777" w:rsidR="006545A4" w:rsidRDefault="006545A4" w:rsidP="006545A4">
      <w:pPr>
        <w:pStyle w:val="Body"/>
        <w:spacing w:after="0"/>
        <w:rPr>
          <w:rFonts w:ascii="Arial" w:hAnsi="Arial" w:cs="Arial"/>
          <w:lang w:val="en-IN"/>
        </w:rPr>
      </w:pPr>
    </w:p>
    <w:p w14:paraId="3B7C8614" w14:textId="5BAA4FC6" w:rsidR="00C03CF8" w:rsidRDefault="00C03CF8" w:rsidP="00C03CF8">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6</w:t>
      </w:r>
      <w:r>
        <w:rPr>
          <w:rFonts w:ascii="Arial" w:hAnsi="Arial" w:cs="Arial"/>
          <w:b/>
          <w:bCs/>
          <w:lang w:val="en-IN"/>
        </w:rPr>
        <w:t xml:space="preserve"> </w:t>
      </w:r>
      <w:r w:rsidR="006545A4" w:rsidRPr="006545A4">
        <w:rPr>
          <w:rFonts w:ascii="Arial" w:hAnsi="Arial" w:cs="Arial"/>
          <w:b/>
          <w:bCs/>
          <w:lang w:val="en-IN"/>
        </w:rPr>
        <w:t>Statistical analysis</w:t>
      </w:r>
    </w:p>
    <w:p w14:paraId="2CC5D884" w14:textId="77777777" w:rsidR="007312CA" w:rsidRDefault="007312CA" w:rsidP="00C03CF8">
      <w:pPr>
        <w:pStyle w:val="Body"/>
        <w:spacing w:after="0"/>
        <w:rPr>
          <w:rFonts w:ascii="Arial" w:hAnsi="Arial" w:cs="Arial"/>
          <w:b/>
          <w:bCs/>
          <w:lang w:val="en-IN"/>
        </w:rPr>
      </w:pPr>
    </w:p>
    <w:p w14:paraId="6EAD2C49" w14:textId="1598FFBA" w:rsidR="007312CA" w:rsidRPr="007312CA" w:rsidRDefault="007312CA" w:rsidP="007312CA">
      <w:pPr>
        <w:pStyle w:val="Body"/>
        <w:spacing w:after="0"/>
        <w:rPr>
          <w:rFonts w:ascii="Arial" w:hAnsi="Arial" w:cs="Arial"/>
          <w:lang w:val="en-IN"/>
        </w:rPr>
      </w:pPr>
      <w:r w:rsidRPr="007312CA">
        <w:rPr>
          <w:rFonts w:ascii="Arial" w:hAnsi="Arial" w:cs="Arial"/>
          <w:lang w:val="en-IN"/>
        </w:rPr>
        <w:t xml:space="preserve">All the data collected during this study are represented as Mean ± SEM. All the data in the present study was </w:t>
      </w:r>
      <w:proofErr w:type="spellStart"/>
      <w:r w:rsidRPr="007312CA">
        <w:rPr>
          <w:rFonts w:ascii="Arial" w:hAnsi="Arial" w:cs="Arial"/>
          <w:lang w:val="en-IN"/>
        </w:rPr>
        <w:t>analyzed</w:t>
      </w:r>
      <w:proofErr w:type="spellEnd"/>
      <w:r w:rsidRPr="007312CA">
        <w:rPr>
          <w:rFonts w:ascii="Arial" w:hAnsi="Arial" w:cs="Arial"/>
          <w:lang w:val="en-IN"/>
        </w:rPr>
        <w:t xml:space="preserve"> using </w:t>
      </w:r>
      <w:r w:rsidR="00633957">
        <w:rPr>
          <w:rFonts w:ascii="Arial" w:hAnsi="Arial" w:cs="Arial"/>
          <w:lang w:val="en-IN"/>
        </w:rPr>
        <w:t>two</w:t>
      </w:r>
      <w:r w:rsidRPr="007312CA">
        <w:rPr>
          <w:rFonts w:ascii="Arial" w:hAnsi="Arial" w:cs="Arial"/>
          <w:lang w:val="en-IN"/>
        </w:rPr>
        <w:t>-way ANOVA. In case of significant differences in the ANOVA results, a post hoc Bonferroni multiple comparison test was carried out. P &lt; .05 has been employed as statistically significant.</w:t>
      </w:r>
    </w:p>
    <w:p w14:paraId="2D0DDA2E" w14:textId="77777777" w:rsidR="007312CA" w:rsidRDefault="007312CA" w:rsidP="00C03CF8">
      <w:pPr>
        <w:pStyle w:val="Body"/>
        <w:spacing w:after="0"/>
        <w:rPr>
          <w:rFonts w:ascii="Arial" w:hAnsi="Arial" w:cs="Arial"/>
          <w:b/>
          <w:bCs/>
          <w:lang w:val="en-IN"/>
        </w:rPr>
      </w:pPr>
    </w:p>
    <w:p w14:paraId="02526DAE" w14:textId="77777777" w:rsidR="00C03CF8" w:rsidRDefault="00C03CF8" w:rsidP="00C03CF8">
      <w:pPr>
        <w:pStyle w:val="Body"/>
        <w:spacing w:after="0"/>
        <w:rPr>
          <w:rFonts w:ascii="Arial" w:hAnsi="Arial" w:cs="Arial"/>
          <w:b/>
          <w:bCs/>
        </w:rPr>
      </w:pPr>
    </w:p>
    <w:p w14:paraId="41121B50" w14:textId="25EB6432" w:rsidR="00C6546E" w:rsidRPr="00C03CF8" w:rsidRDefault="00000F8F" w:rsidP="00C03CF8">
      <w:pPr>
        <w:pStyle w:val="Body"/>
        <w:spacing w:after="0"/>
        <w:rPr>
          <w:rFonts w:ascii="Arial" w:hAnsi="Arial" w:cs="Arial"/>
          <w:b/>
          <w:bCs/>
          <w:lang w:val="en-IN"/>
        </w:rPr>
      </w:pPr>
      <w:r w:rsidRPr="00C03CF8">
        <w:rPr>
          <w:rFonts w:ascii="Arial" w:hAnsi="Arial" w:cs="Arial"/>
          <w:b/>
          <w:bCs/>
        </w:rPr>
        <w:t>3</w:t>
      </w:r>
      <w:r w:rsidR="00902823" w:rsidRPr="00C03CF8">
        <w:rPr>
          <w:rFonts w:ascii="Arial" w:hAnsi="Arial" w:cs="Arial"/>
          <w:b/>
          <w:bCs/>
        </w:rPr>
        <w:t>.</w:t>
      </w:r>
      <w:r w:rsidR="002D1A29" w:rsidRPr="00C03CF8">
        <w:rPr>
          <w:rFonts w:ascii="Arial" w:hAnsi="Arial" w:cs="Arial"/>
          <w:b/>
          <w:bCs/>
        </w:rPr>
        <w:t xml:space="preserve"> </w:t>
      </w:r>
      <w:r w:rsidR="002D1A29">
        <w:rPr>
          <w:rFonts w:ascii="Arial" w:hAnsi="Arial" w:cs="Arial"/>
          <w:b/>
          <w:bCs/>
        </w:rPr>
        <w:t>R</w:t>
      </w:r>
      <w:r w:rsidR="002D1A29" w:rsidRPr="00C03CF8">
        <w:rPr>
          <w:rFonts w:ascii="Arial" w:hAnsi="Arial" w:cs="Arial"/>
          <w:b/>
          <w:bCs/>
        </w:rPr>
        <w:t xml:space="preserve">ESULTS </w:t>
      </w:r>
    </w:p>
    <w:p w14:paraId="674996C6" w14:textId="77777777" w:rsidR="00C03CF8" w:rsidRDefault="00C03CF8" w:rsidP="00C03CF8">
      <w:pPr>
        <w:pStyle w:val="Head1"/>
        <w:spacing w:after="0"/>
        <w:jc w:val="both"/>
        <w:rPr>
          <w:rFonts w:ascii="Arial" w:hAnsi="Arial" w:cs="Arial"/>
          <w:b w:val="0"/>
          <w:bCs/>
          <w:caps w:val="0"/>
          <w:sz w:val="20"/>
        </w:rPr>
      </w:pPr>
    </w:p>
    <w:p w14:paraId="0D2A2A6F" w14:textId="77777777" w:rsidR="00C03CF8" w:rsidRDefault="00C03CF8" w:rsidP="00C03CF8">
      <w:pPr>
        <w:pStyle w:val="Head1"/>
        <w:spacing w:after="0"/>
        <w:jc w:val="both"/>
        <w:rPr>
          <w:rFonts w:ascii="Arial" w:hAnsi="Arial" w:cs="Arial"/>
          <w:caps w:val="0"/>
          <w:sz w:val="20"/>
        </w:rPr>
      </w:pPr>
      <w:r>
        <w:rPr>
          <w:rFonts w:ascii="Arial" w:hAnsi="Arial" w:cs="Arial"/>
          <w:sz w:val="20"/>
        </w:rPr>
        <w:t xml:space="preserve">3.1 </w:t>
      </w:r>
      <w:r>
        <w:rPr>
          <w:rFonts w:ascii="Arial" w:hAnsi="Arial" w:cs="Arial"/>
          <w:caps w:val="0"/>
          <w:sz w:val="20"/>
        </w:rPr>
        <w:t>Proximate Content Analysis</w:t>
      </w:r>
    </w:p>
    <w:p w14:paraId="25AAAB82" w14:textId="77777777" w:rsidR="00C03CF8" w:rsidRDefault="00C03CF8" w:rsidP="00C03CF8">
      <w:pPr>
        <w:pStyle w:val="Head1"/>
        <w:spacing w:after="0"/>
        <w:jc w:val="both"/>
        <w:rPr>
          <w:rFonts w:ascii="Arial" w:hAnsi="Arial" w:cs="Arial"/>
          <w:b w:val="0"/>
          <w:bCs/>
          <w:caps w:val="0"/>
          <w:sz w:val="20"/>
        </w:rPr>
      </w:pPr>
    </w:p>
    <w:p w14:paraId="3921AFF9" w14:textId="77777777" w:rsidR="00026438" w:rsidRPr="009D0049" w:rsidRDefault="00C03CF8" w:rsidP="00C03CF8">
      <w:pPr>
        <w:pStyle w:val="Head1"/>
        <w:spacing w:after="0"/>
        <w:jc w:val="both"/>
        <w:rPr>
          <w:rFonts w:ascii="Arial" w:hAnsi="Arial" w:cs="Arial"/>
          <w:b w:val="0"/>
          <w:bCs/>
          <w:caps w:val="0"/>
          <w:sz w:val="20"/>
        </w:rPr>
      </w:pPr>
      <w:r w:rsidRPr="009D0049">
        <w:rPr>
          <w:rFonts w:ascii="Arial" w:hAnsi="Arial" w:cs="Arial"/>
          <w:b w:val="0"/>
          <w:bCs/>
          <w:caps w:val="0"/>
          <w:sz w:val="20"/>
        </w:rPr>
        <w:t xml:space="preserve">The dried extract comprised 7.12 ± 0.35 g/100 g of total carbohydrates, constituting the predominant macronutrient quantified. Protein content was measured at 1.23 ± 0.19 g/100 g. Within the carbohydrate fraction, reducing sugars accounted for 1.01 ± 0.10 g/100 g, whereas starch contributed 0.54 ± 0.05 g/100 g. Collectively, the extract was characterized by modest protein levels and a carbohydrate fraction primarily consisting of non-starch, non-reducing sugars, indicating that most of the carbohydrates present are in these forms. The sample </w:t>
      </w:r>
    </w:p>
    <w:p w14:paraId="1F826322" w14:textId="603A56D2" w:rsidR="00C03CF8" w:rsidRDefault="00C03CF8" w:rsidP="00C03CF8">
      <w:pPr>
        <w:pStyle w:val="Head1"/>
        <w:spacing w:after="0"/>
        <w:jc w:val="both"/>
        <w:rPr>
          <w:rFonts w:ascii="Arial" w:hAnsi="Arial" w:cs="Arial"/>
          <w:b w:val="0"/>
          <w:bCs/>
          <w:caps w:val="0"/>
          <w:sz w:val="20"/>
        </w:rPr>
      </w:pPr>
      <w:r w:rsidRPr="009D0049">
        <w:rPr>
          <w:rFonts w:ascii="Arial" w:hAnsi="Arial" w:cs="Arial"/>
          <w:b w:val="0"/>
          <w:bCs/>
          <w:caps w:val="0"/>
          <w:sz w:val="20"/>
        </w:rPr>
        <w:t>exhibited a moisture content of 21.40%, signifying that approximately one-fifth of the mass was attributable to water. The total ash content was 3.45%, reflecting the inorganic or mineral residue remaining post-ignition.</w:t>
      </w:r>
    </w:p>
    <w:p w14:paraId="1A233133" w14:textId="77777777" w:rsidR="00026438" w:rsidRPr="00026438" w:rsidRDefault="00026438" w:rsidP="00C03CF8">
      <w:pPr>
        <w:pStyle w:val="Head1"/>
        <w:spacing w:after="0"/>
        <w:jc w:val="both"/>
        <w:rPr>
          <w:rFonts w:ascii="Arial" w:hAnsi="Arial" w:cs="Arial"/>
          <w:caps w:val="0"/>
          <w:sz w:val="20"/>
        </w:rPr>
      </w:pPr>
    </w:p>
    <w:p w14:paraId="1F2FC27E" w14:textId="0CB8ABEE" w:rsidR="00026438" w:rsidRDefault="00026438" w:rsidP="00C03CF8">
      <w:pPr>
        <w:pStyle w:val="Head1"/>
        <w:spacing w:after="0"/>
        <w:jc w:val="both"/>
        <w:rPr>
          <w:rFonts w:ascii="Arial" w:hAnsi="Arial" w:cs="Arial"/>
          <w:caps w:val="0"/>
          <w:sz w:val="20"/>
        </w:rPr>
      </w:pPr>
      <w:r w:rsidRPr="00026438">
        <w:rPr>
          <w:rFonts w:ascii="Arial" w:hAnsi="Arial" w:cs="Arial"/>
          <w:caps w:val="0"/>
          <w:sz w:val="20"/>
        </w:rPr>
        <w:t>Table 1:</w:t>
      </w:r>
      <w:r>
        <w:rPr>
          <w:rFonts w:ascii="Arial" w:hAnsi="Arial" w:cs="Arial"/>
          <w:caps w:val="0"/>
          <w:sz w:val="20"/>
        </w:rPr>
        <w:t xml:space="preserve"> Proximate content analysis of </w:t>
      </w:r>
      <w:r w:rsidRPr="00026438">
        <w:rPr>
          <w:rFonts w:ascii="Arial" w:hAnsi="Arial" w:cs="Arial"/>
          <w:i/>
          <w:iCs/>
          <w:caps w:val="0"/>
          <w:sz w:val="20"/>
        </w:rPr>
        <w:t>G. pedunculata</w:t>
      </w:r>
      <w:r>
        <w:rPr>
          <w:rFonts w:ascii="Arial" w:hAnsi="Arial" w:cs="Arial"/>
          <w:caps w:val="0"/>
          <w:sz w:val="20"/>
        </w:rPr>
        <w:t xml:space="preserve"> fruit. The values are represented in Mean ± SEM</w:t>
      </w:r>
    </w:p>
    <w:p w14:paraId="46FFCB09" w14:textId="77777777" w:rsidR="00026438" w:rsidRPr="00026438" w:rsidRDefault="00026438" w:rsidP="00C03CF8">
      <w:pPr>
        <w:pStyle w:val="Head1"/>
        <w:spacing w:after="0"/>
        <w:jc w:val="both"/>
        <w:rPr>
          <w:rFonts w:ascii="Arial" w:hAnsi="Arial" w:cs="Arial"/>
          <w:caps w:val="0"/>
          <w:sz w:val="20"/>
        </w:rPr>
      </w:pPr>
    </w:p>
    <w:tbl>
      <w:tblPr>
        <w:tblStyle w:val="TableGrid"/>
        <w:tblW w:w="0" w:type="auto"/>
        <w:tblLook w:val="04A0" w:firstRow="1" w:lastRow="0" w:firstColumn="1" w:lastColumn="0" w:noHBand="0" w:noVBand="1"/>
      </w:tblPr>
      <w:tblGrid>
        <w:gridCol w:w="4099"/>
        <w:gridCol w:w="4099"/>
      </w:tblGrid>
      <w:tr w:rsidR="00026438" w14:paraId="47FDCA9A" w14:textId="77777777" w:rsidTr="00026438">
        <w:tc>
          <w:tcPr>
            <w:tcW w:w="4099" w:type="dxa"/>
          </w:tcPr>
          <w:p w14:paraId="1A655100" w14:textId="22B232C5" w:rsidR="00026438" w:rsidRPr="00026438" w:rsidRDefault="00026438" w:rsidP="00026438">
            <w:pPr>
              <w:pStyle w:val="Head1"/>
              <w:spacing w:after="0" w:line="276" w:lineRule="auto"/>
              <w:jc w:val="both"/>
              <w:rPr>
                <w:rFonts w:ascii="Arial" w:hAnsi="Arial" w:cs="Arial"/>
                <w:caps w:val="0"/>
                <w:sz w:val="20"/>
              </w:rPr>
            </w:pPr>
            <w:r w:rsidRPr="00026438">
              <w:rPr>
                <w:rFonts w:ascii="Arial" w:hAnsi="Arial" w:cs="Arial"/>
                <w:caps w:val="0"/>
                <w:sz w:val="20"/>
              </w:rPr>
              <w:t>Nutritional Component</w:t>
            </w:r>
          </w:p>
        </w:tc>
        <w:tc>
          <w:tcPr>
            <w:tcW w:w="4099" w:type="dxa"/>
          </w:tcPr>
          <w:p w14:paraId="3BE12965" w14:textId="6B036120" w:rsidR="00026438" w:rsidRPr="00026438" w:rsidRDefault="00026438" w:rsidP="00026438">
            <w:pPr>
              <w:pStyle w:val="Head1"/>
              <w:spacing w:after="0" w:line="276" w:lineRule="auto"/>
              <w:jc w:val="both"/>
              <w:rPr>
                <w:rFonts w:ascii="Arial" w:hAnsi="Arial" w:cs="Arial"/>
                <w:caps w:val="0"/>
                <w:sz w:val="20"/>
              </w:rPr>
            </w:pPr>
            <w:r w:rsidRPr="00026438">
              <w:rPr>
                <w:rFonts w:ascii="Arial" w:hAnsi="Arial" w:cs="Arial"/>
                <w:caps w:val="0"/>
                <w:sz w:val="20"/>
              </w:rPr>
              <w:t xml:space="preserve">Quantity </w:t>
            </w:r>
            <w:r w:rsidR="00EE523E">
              <w:rPr>
                <w:rFonts w:ascii="Arial" w:hAnsi="Arial" w:cs="Arial"/>
                <w:caps w:val="0"/>
                <w:sz w:val="20"/>
              </w:rPr>
              <w:t>(g/100 g</w:t>
            </w:r>
            <w:r w:rsidRPr="00026438">
              <w:rPr>
                <w:rFonts w:ascii="Arial" w:hAnsi="Arial" w:cs="Arial"/>
                <w:caps w:val="0"/>
                <w:sz w:val="20"/>
              </w:rPr>
              <w:t xml:space="preserve"> dried extract)</w:t>
            </w:r>
          </w:p>
        </w:tc>
      </w:tr>
      <w:tr w:rsidR="00026438" w14:paraId="68350548" w14:textId="77777777" w:rsidTr="00026438">
        <w:tc>
          <w:tcPr>
            <w:tcW w:w="4099" w:type="dxa"/>
          </w:tcPr>
          <w:p w14:paraId="6E5257A6" w14:textId="7DC2F9C6"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Total Carbohydrate </w:t>
            </w:r>
          </w:p>
        </w:tc>
        <w:tc>
          <w:tcPr>
            <w:tcW w:w="4099" w:type="dxa"/>
          </w:tcPr>
          <w:p w14:paraId="67F9761C" w14:textId="3CF2E5F2"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7.12 ± 0.35</w:t>
            </w:r>
          </w:p>
        </w:tc>
      </w:tr>
      <w:tr w:rsidR="00026438" w14:paraId="6B032F77" w14:textId="77777777" w:rsidTr="00026438">
        <w:tc>
          <w:tcPr>
            <w:tcW w:w="4099" w:type="dxa"/>
          </w:tcPr>
          <w:p w14:paraId="551897B0" w14:textId="3BF50BEE"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Total Protein </w:t>
            </w:r>
          </w:p>
        </w:tc>
        <w:tc>
          <w:tcPr>
            <w:tcW w:w="4099" w:type="dxa"/>
          </w:tcPr>
          <w:p w14:paraId="2B80106F" w14:textId="2F5DEB70"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1.23 ± 0.19</w:t>
            </w:r>
          </w:p>
        </w:tc>
      </w:tr>
      <w:tr w:rsidR="00026438" w14:paraId="50336AB5" w14:textId="77777777" w:rsidTr="00026438">
        <w:tc>
          <w:tcPr>
            <w:tcW w:w="4099" w:type="dxa"/>
          </w:tcPr>
          <w:p w14:paraId="7440CA75" w14:textId="42D76B9F"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Starch </w:t>
            </w:r>
          </w:p>
        </w:tc>
        <w:tc>
          <w:tcPr>
            <w:tcW w:w="4099" w:type="dxa"/>
          </w:tcPr>
          <w:p w14:paraId="74A3EFCC" w14:textId="299B1AAA"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0.54 ± 0.05</w:t>
            </w:r>
          </w:p>
        </w:tc>
      </w:tr>
      <w:tr w:rsidR="00026438" w14:paraId="2B01AEA7" w14:textId="77777777" w:rsidTr="00026438">
        <w:tc>
          <w:tcPr>
            <w:tcW w:w="4099" w:type="dxa"/>
          </w:tcPr>
          <w:p w14:paraId="5F91767F" w14:textId="5D489B83"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Reducing Sugar </w:t>
            </w:r>
          </w:p>
        </w:tc>
        <w:tc>
          <w:tcPr>
            <w:tcW w:w="4099" w:type="dxa"/>
          </w:tcPr>
          <w:p w14:paraId="6A7BD0AF" w14:textId="3261C8BE"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1.01 ± 0.10</w:t>
            </w:r>
          </w:p>
        </w:tc>
      </w:tr>
      <w:tr w:rsidR="00026438" w14:paraId="0BF53B2A" w14:textId="77777777" w:rsidTr="00026438">
        <w:tc>
          <w:tcPr>
            <w:tcW w:w="4099" w:type="dxa"/>
          </w:tcPr>
          <w:p w14:paraId="7A9617C7" w14:textId="1EC5071A"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Moisture (%)</w:t>
            </w:r>
          </w:p>
        </w:tc>
        <w:tc>
          <w:tcPr>
            <w:tcW w:w="4099" w:type="dxa"/>
          </w:tcPr>
          <w:p w14:paraId="6B1B28B3" w14:textId="00404BE9"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21.4%</w:t>
            </w:r>
          </w:p>
        </w:tc>
      </w:tr>
      <w:tr w:rsidR="00026438" w14:paraId="0E307777" w14:textId="77777777" w:rsidTr="00026438">
        <w:tc>
          <w:tcPr>
            <w:tcW w:w="4099" w:type="dxa"/>
          </w:tcPr>
          <w:p w14:paraId="5BB64D76" w14:textId="30822FC5"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Ash (%)</w:t>
            </w:r>
          </w:p>
        </w:tc>
        <w:tc>
          <w:tcPr>
            <w:tcW w:w="4099" w:type="dxa"/>
          </w:tcPr>
          <w:p w14:paraId="7BC6A18C" w14:textId="15024170"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3.45%</w:t>
            </w:r>
          </w:p>
        </w:tc>
      </w:tr>
    </w:tbl>
    <w:p w14:paraId="7DDF908D" w14:textId="77777777" w:rsidR="00207634" w:rsidRDefault="00207634" w:rsidP="00C03CF8">
      <w:pPr>
        <w:pStyle w:val="Head1"/>
        <w:spacing w:after="0"/>
        <w:jc w:val="both"/>
        <w:rPr>
          <w:rFonts w:ascii="Arial" w:hAnsi="Arial" w:cs="Arial"/>
          <w:b w:val="0"/>
          <w:bCs/>
          <w:caps w:val="0"/>
          <w:sz w:val="20"/>
        </w:rPr>
      </w:pPr>
    </w:p>
    <w:p w14:paraId="7F07CEB9" w14:textId="6ED26043" w:rsidR="00C6546E" w:rsidRDefault="00C6546E" w:rsidP="00441B6F">
      <w:pPr>
        <w:pStyle w:val="Head1"/>
        <w:spacing w:after="0"/>
        <w:jc w:val="both"/>
        <w:rPr>
          <w:rFonts w:ascii="Arial" w:hAnsi="Arial" w:cs="Arial"/>
          <w:caps w:val="0"/>
          <w:sz w:val="20"/>
        </w:rPr>
      </w:pPr>
      <w:r>
        <w:rPr>
          <w:rFonts w:ascii="Arial" w:hAnsi="Arial" w:cs="Arial"/>
          <w:caps w:val="0"/>
          <w:sz w:val="20"/>
        </w:rPr>
        <w:t>3.2 Mineral Content Analysis</w:t>
      </w:r>
    </w:p>
    <w:p w14:paraId="22847187" w14:textId="77777777" w:rsidR="008D2CB2" w:rsidRDefault="008D2CB2" w:rsidP="00441B6F">
      <w:pPr>
        <w:pStyle w:val="Head1"/>
        <w:spacing w:after="0"/>
        <w:jc w:val="both"/>
        <w:rPr>
          <w:rFonts w:ascii="Arial" w:hAnsi="Arial" w:cs="Arial"/>
          <w:caps w:val="0"/>
          <w:sz w:val="20"/>
        </w:rPr>
      </w:pPr>
    </w:p>
    <w:p w14:paraId="6307E375" w14:textId="464DBD08" w:rsidR="008D2CB2" w:rsidRPr="000E099B" w:rsidRDefault="008D2CB2" w:rsidP="008D2CB2">
      <w:pPr>
        <w:pStyle w:val="Head1"/>
        <w:spacing w:after="0"/>
        <w:jc w:val="both"/>
        <w:rPr>
          <w:rFonts w:ascii="Arial" w:hAnsi="Arial" w:cs="Arial"/>
          <w:b w:val="0"/>
          <w:bCs/>
          <w:caps w:val="0"/>
          <w:sz w:val="20"/>
          <w:szCs w:val="18"/>
          <w:lang w:val="en-IN"/>
        </w:rPr>
      </w:pPr>
      <w:r w:rsidRPr="000E099B">
        <w:rPr>
          <w:rFonts w:ascii="Arial" w:hAnsi="Arial" w:cs="Arial"/>
          <w:b w:val="0"/>
          <w:bCs/>
          <w:caps w:val="0"/>
          <w:sz w:val="20"/>
          <w:szCs w:val="18"/>
          <w:lang w:val="en-IN"/>
        </w:rPr>
        <w:t xml:space="preserve">The quantitative mineral profiling revealed an extract with a high concentration of calcium. Calcium emerged as the predominant element, registering at 93.183 ± 10.16685 ppm and constituting approximately 89.8% of the total measured minerals, which collectively amounted to approximately 103.7 ppm. Sodium, at 4.1813 ± 0.29088 ppm, and magnesium, at 3.4120 ± 0.02254 ppm, followed as the next most prevalent components. The calcium to magnesium ratio was approximately 27:1, while sodium and magnesium were both present at similarly low single-digit ppm levels, with a sodium to magnesium ratio of approximately 1.23. Among the trace elements, iron was recorded at 1.6433 ± 0.16404 </w:t>
      </w:r>
      <w:r w:rsidR="00EE523E">
        <w:rPr>
          <w:rFonts w:ascii="Arial" w:hAnsi="Arial" w:cs="Arial"/>
          <w:b w:val="0"/>
          <w:bCs/>
          <w:caps w:val="0"/>
          <w:sz w:val="20"/>
          <w:szCs w:val="18"/>
          <w:lang w:val="en-IN"/>
        </w:rPr>
        <w:t>ppm and</w:t>
      </w:r>
      <w:r w:rsidRPr="000E099B">
        <w:rPr>
          <w:rFonts w:ascii="Arial" w:hAnsi="Arial" w:cs="Arial"/>
          <w:b w:val="0"/>
          <w:bCs/>
          <w:caps w:val="0"/>
          <w:sz w:val="20"/>
          <w:szCs w:val="18"/>
          <w:lang w:val="en-IN"/>
        </w:rPr>
        <w:t xml:space="preserve"> zinc at 0.6380 ± 0.09847 ppm, resulting in an iron</w:t>
      </w:r>
      <w:r w:rsidR="00EE523E">
        <w:rPr>
          <w:rFonts w:ascii="Arial" w:hAnsi="Arial" w:cs="Arial"/>
          <w:b w:val="0"/>
          <w:bCs/>
          <w:caps w:val="0"/>
          <w:sz w:val="20"/>
          <w:szCs w:val="18"/>
          <w:lang w:val="en-IN"/>
        </w:rPr>
        <w:t>-to-zinc</w:t>
      </w:r>
      <w:r w:rsidRPr="000E099B">
        <w:rPr>
          <w:rFonts w:ascii="Arial" w:hAnsi="Arial" w:cs="Arial"/>
          <w:b w:val="0"/>
          <w:bCs/>
          <w:caps w:val="0"/>
          <w:sz w:val="20"/>
          <w:szCs w:val="18"/>
          <w:lang w:val="en-IN"/>
        </w:rPr>
        <w:t xml:space="preserve"> ratio of approximately 2.58. Manganese (0.2763 ± 0.05643 ppm), chromium (0.1682 ± 0.01331 ppm), nickel (0.1323 ± 0.00978 ppm), and copper (0.0903 ± 0.02699 ppm) were identified in sub-ppm to low-ppm concentrations. Consequently, the sequence of abundance was Ca » Na ≈ Mg &gt; Fe &gt; Zn &gt; Mn &gt; Cr &gt; Ni &gt; Cu. </w:t>
      </w:r>
    </w:p>
    <w:p w14:paraId="21B155AD" w14:textId="3080C8D4" w:rsidR="008D2CB2" w:rsidRDefault="008D2CB2" w:rsidP="008D2CB2">
      <w:pPr>
        <w:pStyle w:val="Head1"/>
        <w:spacing w:after="0"/>
        <w:jc w:val="both"/>
        <w:rPr>
          <w:rFonts w:ascii="Arial" w:hAnsi="Arial" w:cs="Arial"/>
          <w:b w:val="0"/>
          <w:bCs/>
          <w:caps w:val="0"/>
          <w:sz w:val="20"/>
          <w:szCs w:val="18"/>
          <w:lang w:val="en-IN"/>
        </w:rPr>
      </w:pPr>
      <w:r w:rsidRPr="000E099B">
        <w:rPr>
          <w:rFonts w:ascii="Arial" w:hAnsi="Arial" w:cs="Arial"/>
          <w:b w:val="0"/>
          <w:bCs/>
          <w:caps w:val="0"/>
          <w:sz w:val="20"/>
          <w:szCs w:val="18"/>
          <w:lang w:val="en-IN"/>
        </w:rPr>
        <w:t xml:space="preserve">In summary, the crude extract was primarily characterized by </w:t>
      </w:r>
      <w:r w:rsidR="00D876C3" w:rsidRPr="000E099B">
        <w:rPr>
          <w:rFonts w:ascii="Arial" w:hAnsi="Arial" w:cs="Arial"/>
          <w:b w:val="0"/>
          <w:bCs/>
          <w:caps w:val="0"/>
          <w:sz w:val="20"/>
          <w:szCs w:val="18"/>
          <w:lang w:val="en-IN"/>
        </w:rPr>
        <w:t xml:space="preserve">high </w:t>
      </w:r>
      <w:r w:rsidRPr="000E099B">
        <w:rPr>
          <w:rFonts w:ascii="Arial" w:hAnsi="Arial" w:cs="Arial"/>
          <w:b w:val="0"/>
          <w:bCs/>
          <w:caps w:val="0"/>
          <w:sz w:val="20"/>
          <w:szCs w:val="18"/>
          <w:lang w:val="en-IN"/>
        </w:rPr>
        <w:t xml:space="preserve">calcium, </w:t>
      </w:r>
      <w:r w:rsidR="00D876C3" w:rsidRPr="000E099B">
        <w:rPr>
          <w:rFonts w:ascii="Arial" w:hAnsi="Arial" w:cs="Arial"/>
          <w:b w:val="0"/>
          <w:bCs/>
          <w:caps w:val="0"/>
          <w:sz w:val="20"/>
          <w:szCs w:val="18"/>
          <w:lang w:val="en-IN"/>
        </w:rPr>
        <w:t>followed by</w:t>
      </w:r>
      <w:r w:rsidRPr="000E099B">
        <w:rPr>
          <w:rFonts w:ascii="Arial" w:hAnsi="Arial" w:cs="Arial"/>
          <w:b w:val="0"/>
          <w:bCs/>
          <w:caps w:val="0"/>
          <w:sz w:val="20"/>
          <w:szCs w:val="18"/>
          <w:lang w:val="en-IN"/>
        </w:rPr>
        <w:t xml:space="preserve"> moderate quantities of sodium and magnesium, and exhibited low levels of transition metals, including iron, zinc, manganese, chromium, nickel, and copper. This mineral profile establishes a definitive baseline for correlating the inorganic composition with the extract's biological outcomes in the ensuing sections.</w:t>
      </w:r>
    </w:p>
    <w:p w14:paraId="583B5110" w14:textId="77777777" w:rsidR="00026438" w:rsidRPr="000E099B" w:rsidRDefault="00026438" w:rsidP="008D2CB2">
      <w:pPr>
        <w:pStyle w:val="Head1"/>
        <w:spacing w:after="0"/>
        <w:jc w:val="both"/>
        <w:rPr>
          <w:rFonts w:ascii="Arial" w:hAnsi="Arial" w:cs="Arial"/>
          <w:b w:val="0"/>
          <w:bCs/>
          <w:caps w:val="0"/>
          <w:sz w:val="20"/>
          <w:szCs w:val="18"/>
          <w:lang w:val="en-IN"/>
        </w:rPr>
      </w:pPr>
    </w:p>
    <w:p w14:paraId="2177575A" w14:textId="5E1F4D8C" w:rsidR="00026438" w:rsidRDefault="00026438" w:rsidP="00026438">
      <w:pPr>
        <w:pStyle w:val="Head1"/>
        <w:spacing w:after="0"/>
        <w:jc w:val="both"/>
        <w:rPr>
          <w:rFonts w:ascii="Arial" w:hAnsi="Arial" w:cs="Arial"/>
          <w:caps w:val="0"/>
          <w:sz w:val="20"/>
        </w:rPr>
      </w:pPr>
      <w:r w:rsidRPr="00026438">
        <w:rPr>
          <w:rFonts w:ascii="Arial" w:hAnsi="Arial" w:cs="Arial"/>
          <w:caps w:val="0"/>
          <w:sz w:val="20"/>
        </w:rPr>
        <w:t xml:space="preserve">Table </w:t>
      </w:r>
      <w:r>
        <w:rPr>
          <w:rFonts w:ascii="Arial" w:hAnsi="Arial" w:cs="Arial"/>
          <w:caps w:val="0"/>
          <w:sz w:val="20"/>
        </w:rPr>
        <w:t>2</w:t>
      </w:r>
      <w:r w:rsidRPr="00026438">
        <w:rPr>
          <w:rFonts w:ascii="Arial" w:hAnsi="Arial" w:cs="Arial"/>
          <w:caps w:val="0"/>
          <w:sz w:val="20"/>
        </w:rPr>
        <w:t>:</w:t>
      </w:r>
      <w:r>
        <w:rPr>
          <w:rFonts w:ascii="Arial" w:hAnsi="Arial" w:cs="Arial"/>
          <w:caps w:val="0"/>
          <w:sz w:val="20"/>
        </w:rPr>
        <w:t xml:space="preserve"> Mineral content analysis of </w:t>
      </w:r>
      <w:r w:rsidRPr="00026438">
        <w:rPr>
          <w:rFonts w:ascii="Arial" w:hAnsi="Arial" w:cs="Arial"/>
          <w:i/>
          <w:iCs/>
          <w:caps w:val="0"/>
          <w:sz w:val="20"/>
        </w:rPr>
        <w:t>G. pedunculata</w:t>
      </w:r>
      <w:r>
        <w:rPr>
          <w:rFonts w:ascii="Arial" w:hAnsi="Arial" w:cs="Arial"/>
          <w:caps w:val="0"/>
          <w:sz w:val="20"/>
        </w:rPr>
        <w:t xml:space="preserve"> fruit. The values are represented in Mean ± SEM</w:t>
      </w:r>
    </w:p>
    <w:p w14:paraId="35F0CD46" w14:textId="77777777" w:rsidR="00D876C3" w:rsidRDefault="00D876C3" w:rsidP="008D2CB2">
      <w:pPr>
        <w:pStyle w:val="Head1"/>
        <w:spacing w:after="0"/>
        <w:jc w:val="both"/>
        <w:rPr>
          <w:rFonts w:ascii="Arial" w:hAnsi="Arial" w:cs="Arial"/>
          <w:b w:val="0"/>
          <w:bCs/>
          <w:caps w:val="0"/>
          <w:lang w:val="en-IN"/>
        </w:rPr>
      </w:pPr>
    </w:p>
    <w:tbl>
      <w:tblPr>
        <w:tblStyle w:val="TableGridLight"/>
        <w:tblW w:w="7113" w:type="dxa"/>
        <w:tblLook w:val="0420" w:firstRow="1" w:lastRow="0" w:firstColumn="0" w:lastColumn="0" w:noHBand="0" w:noVBand="1"/>
      </w:tblPr>
      <w:tblGrid>
        <w:gridCol w:w="2139"/>
        <w:gridCol w:w="4974"/>
      </w:tblGrid>
      <w:tr w:rsidR="00D876C3" w:rsidRPr="00D876C3" w14:paraId="5702E0E1" w14:textId="77777777" w:rsidTr="00D876C3">
        <w:trPr>
          <w:trHeight w:val="468"/>
        </w:trPr>
        <w:tc>
          <w:tcPr>
            <w:tcW w:w="2139" w:type="dxa"/>
            <w:hideMark/>
          </w:tcPr>
          <w:p w14:paraId="66A80653" w14:textId="24F6EACD" w:rsidR="00D876C3" w:rsidRPr="007312CA" w:rsidRDefault="00D876C3" w:rsidP="00D876C3">
            <w:pPr>
              <w:jc w:val="center"/>
              <w:rPr>
                <w:rFonts w:ascii="Arial" w:hAnsi="Arial" w:cs="Arial"/>
                <w:lang w:val="en-IN" w:eastAsia="en-IN"/>
              </w:rPr>
            </w:pPr>
            <w:r w:rsidRPr="007312CA">
              <w:rPr>
                <w:rFonts w:ascii="Arial" w:hAnsi="Arial" w:cs="Arial"/>
                <w:b/>
                <w:bCs/>
                <w:kern w:val="24"/>
                <w:lang w:eastAsia="en-IN"/>
              </w:rPr>
              <w:t>Mineral</w:t>
            </w:r>
          </w:p>
        </w:tc>
        <w:tc>
          <w:tcPr>
            <w:tcW w:w="4974" w:type="dxa"/>
            <w:hideMark/>
          </w:tcPr>
          <w:p w14:paraId="57078840" w14:textId="3FAEDDEC" w:rsidR="00D876C3" w:rsidRPr="007312CA" w:rsidRDefault="00D876C3" w:rsidP="00D876C3">
            <w:pPr>
              <w:jc w:val="center"/>
              <w:rPr>
                <w:rFonts w:ascii="Arial" w:hAnsi="Arial" w:cs="Arial"/>
                <w:lang w:val="en-IN" w:eastAsia="en-IN"/>
              </w:rPr>
            </w:pPr>
            <w:r w:rsidRPr="007312CA">
              <w:rPr>
                <w:rFonts w:ascii="Arial" w:hAnsi="Arial" w:cs="Arial"/>
                <w:b/>
                <w:bCs/>
                <w:kern w:val="24"/>
                <w:lang w:eastAsia="en-IN"/>
              </w:rPr>
              <w:t>Concentration (</w:t>
            </w:r>
            <w:r w:rsidR="00DC62A8" w:rsidRPr="007312CA">
              <w:rPr>
                <w:rFonts w:ascii="Arial" w:hAnsi="Arial" w:cs="Arial"/>
                <w:b/>
                <w:bCs/>
                <w:kern w:val="24"/>
                <w:lang w:eastAsia="en-IN"/>
              </w:rPr>
              <w:t xml:space="preserve">in </w:t>
            </w:r>
            <w:r w:rsidR="007312CA" w:rsidRPr="007312CA">
              <w:rPr>
                <w:rFonts w:ascii="Arial" w:hAnsi="Arial" w:cs="Arial"/>
                <w:b/>
                <w:bCs/>
                <w:kern w:val="24"/>
                <w:lang w:eastAsia="en-IN"/>
              </w:rPr>
              <w:t>ppm)</w:t>
            </w:r>
          </w:p>
        </w:tc>
      </w:tr>
      <w:tr w:rsidR="00D876C3" w:rsidRPr="00D876C3" w14:paraId="1BCB0624" w14:textId="77777777" w:rsidTr="00D876C3">
        <w:trPr>
          <w:trHeight w:val="470"/>
        </w:trPr>
        <w:tc>
          <w:tcPr>
            <w:tcW w:w="2139" w:type="dxa"/>
            <w:hideMark/>
          </w:tcPr>
          <w:p w14:paraId="247A0B94"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lastRenderedPageBreak/>
              <w:t>Cr</w:t>
            </w:r>
          </w:p>
        </w:tc>
        <w:tc>
          <w:tcPr>
            <w:tcW w:w="4974" w:type="dxa"/>
            <w:hideMark/>
          </w:tcPr>
          <w:p w14:paraId="791AFF8F"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0.1682 ±0.01331</w:t>
            </w:r>
          </w:p>
        </w:tc>
      </w:tr>
      <w:tr w:rsidR="00D876C3" w:rsidRPr="00D876C3" w14:paraId="18DDFB8F" w14:textId="77777777" w:rsidTr="00D876C3">
        <w:trPr>
          <w:trHeight w:val="470"/>
        </w:trPr>
        <w:tc>
          <w:tcPr>
            <w:tcW w:w="2139" w:type="dxa"/>
            <w:hideMark/>
          </w:tcPr>
          <w:p w14:paraId="56B749DA"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Ca</w:t>
            </w:r>
          </w:p>
        </w:tc>
        <w:tc>
          <w:tcPr>
            <w:tcW w:w="4974" w:type="dxa"/>
            <w:hideMark/>
          </w:tcPr>
          <w:p w14:paraId="50990191"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93.183 ±10.16685</w:t>
            </w:r>
          </w:p>
        </w:tc>
      </w:tr>
      <w:tr w:rsidR="00D876C3" w:rsidRPr="00D876C3" w14:paraId="30F00E5A" w14:textId="77777777" w:rsidTr="00D876C3">
        <w:trPr>
          <w:trHeight w:val="470"/>
        </w:trPr>
        <w:tc>
          <w:tcPr>
            <w:tcW w:w="2139" w:type="dxa"/>
            <w:hideMark/>
          </w:tcPr>
          <w:p w14:paraId="1708554C"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Fe</w:t>
            </w:r>
          </w:p>
        </w:tc>
        <w:tc>
          <w:tcPr>
            <w:tcW w:w="4974" w:type="dxa"/>
            <w:hideMark/>
          </w:tcPr>
          <w:p w14:paraId="35BD0EDD"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1.6433 ±0.16404</w:t>
            </w:r>
          </w:p>
        </w:tc>
      </w:tr>
      <w:tr w:rsidR="00D876C3" w:rsidRPr="00D876C3" w14:paraId="042B72D6" w14:textId="77777777" w:rsidTr="00D876C3">
        <w:trPr>
          <w:trHeight w:val="470"/>
        </w:trPr>
        <w:tc>
          <w:tcPr>
            <w:tcW w:w="2139" w:type="dxa"/>
            <w:hideMark/>
          </w:tcPr>
          <w:p w14:paraId="046352EA"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Cu</w:t>
            </w:r>
          </w:p>
        </w:tc>
        <w:tc>
          <w:tcPr>
            <w:tcW w:w="4974" w:type="dxa"/>
            <w:hideMark/>
          </w:tcPr>
          <w:p w14:paraId="717081AB" w14:textId="5E8AF59A"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 xml:space="preserve">0.0903 </w:t>
            </w:r>
            <w:r w:rsidR="003E4461" w:rsidRPr="007312CA">
              <w:rPr>
                <w:rFonts w:ascii="Arial" w:hAnsi="Arial" w:cs="Arial"/>
                <w:color w:val="000000"/>
                <w:kern w:val="24"/>
                <w:lang w:val="en-IN" w:eastAsia="en-IN"/>
              </w:rPr>
              <w:t>±</w:t>
            </w:r>
            <w:r w:rsidR="00EE523E" w:rsidRPr="007312CA">
              <w:rPr>
                <w:rFonts w:ascii="Arial" w:hAnsi="Arial" w:cs="Arial"/>
                <w:color w:val="000000"/>
                <w:kern w:val="24"/>
                <w:lang w:val="en-IN" w:eastAsia="en-IN"/>
              </w:rPr>
              <w:t>0.02699</w:t>
            </w:r>
          </w:p>
        </w:tc>
      </w:tr>
      <w:tr w:rsidR="00D876C3" w:rsidRPr="00D876C3" w14:paraId="34E313BA" w14:textId="77777777" w:rsidTr="00D876C3">
        <w:trPr>
          <w:trHeight w:val="470"/>
        </w:trPr>
        <w:tc>
          <w:tcPr>
            <w:tcW w:w="2139" w:type="dxa"/>
            <w:hideMark/>
          </w:tcPr>
          <w:p w14:paraId="11E13D02"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Mg</w:t>
            </w:r>
          </w:p>
        </w:tc>
        <w:tc>
          <w:tcPr>
            <w:tcW w:w="4974" w:type="dxa"/>
            <w:hideMark/>
          </w:tcPr>
          <w:p w14:paraId="08EE3139"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3.4120 ±0.02254</w:t>
            </w:r>
          </w:p>
        </w:tc>
      </w:tr>
      <w:tr w:rsidR="00D876C3" w:rsidRPr="00D876C3" w14:paraId="2311E2A3" w14:textId="77777777" w:rsidTr="00D876C3">
        <w:trPr>
          <w:trHeight w:val="470"/>
        </w:trPr>
        <w:tc>
          <w:tcPr>
            <w:tcW w:w="2139" w:type="dxa"/>
            <w:hideMark/>
          </w:tcPr>
          <w:p w14:paraId="06788D02"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Na</w:t>
            </w:r>
          </w:p>
        </w:tc>
        <w:tc>
          <w:tcPr>
            <w:tcW w:w="4974" w:type="dxa"/>
            <w:hideMark/>
          </w:tcPr>
          <w:p w14:paraId="59C62F4F" w14:textId="13FCF12F"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 xml:space="preserve">4.1813 </w:t>
            </w:r>
            <w:r w:rsidR="003E4461" w:rsidRPr="007312CA">
              <w:rPr>
                <w:rFonts w:ascii="Arial" w:hAnsi="Arial" w:cs="Arial"/>
                <w:color w:val="000000"/>
                <w:kern w:val="24"/>
                <w:lang w:val="en-IN" w:eastAsia="en-IN"/>
              </w:rPr>
              <w:t>±</w:t>
            </w:r>
            <w:r w:rsidR="00EE523E" w:rsidRPr="007312CA">
              <w:rPr>
                <w:rFonts w:ascii="Arial" w:hAnsi="Arial" w:cs="Arial"/>
                <w:color w:val="000000"/>
                <w:kern w:val="24"/>
                <w:lang w:val="en-IN" w:eastAsia="en-IN"/>
              </w:rPr>
              <w:t>0.29088</w:t>
            </w:r>
          </w:p>
        </w:tc>
      </w:tr>
      <w:tr w:rsidR="00D876C3" w:rsidRPr="00D876C3" w14:paraId="61BDE171" w14:textId="77777777" w:rsidTr="00D876C3">
        <w:trPr>
          <w:trHeight w:val="470"/>
        </w:trPr>
        <w:tc>
          <w:tcPr>
            <w:tcW w:w="2139" w:type="dxa"/>
            <w:hideMark/>
          </w:tcPr>
          <w:p w14:paraId="00304123"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Zn</w:t>
            </w:r>
          </w:p>
        </w:tc>
        <w:tc>
          <w:tcPr>
            <w:tcW w:w="4974" w:type="dxa"/>
            <w:hideMark/>
          </w:tcPr>
          <w:p w14:paraId="563F9ED9"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0.6380 ±0.09847</w:t>
            </w:r>
          </w:p>
        </w:tc>
      </w:tr>
      <w:tr w:rsidR="00D876C3" w:rsidRPr="00D876C3" w14:paraId="51942BD4" w14:textId="77777777" w:rsidTr="00D876C3">
        <w:trPr>
          <w:trHeight w:val="470"/>
        </w:trPr>
        <w:tc>
          <w:tcPr>
            <w:tcW w:w="2139" w:type="dxa"/>
            <w:hideMark/>
          </w:tcPr>
          <w:p w14:paraId="4C7EA8E2"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Mn</w:t>
            </w:r>
          </w:p>
        </w:tc>
        <w:tc>
          <w:tcPr>
            <w:tcW w:w="4974" w:type="dxa"/>
            <w:hideMark/>
          </w:tcPr>
          <w:p w14:paraId="3221B11B"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0.2763 ±0.05643</w:t>
            </w:r>
          </w:p>
        </w:tc>
      </w:tr>
      <w:tr w:rsidR="00D876C3" w:rsidRPr="00D876C3" w14:paraId="10556665" w14:textId="77777777" w:rsidTr="00D876C3">
        <w:trPr>
          <w:trHeight w:val="470"/>
        </w:trPr>
        <w:tc>
          <w:tcPr>
            <w:tcW w:w="2139" w:type="dxa"/>
            <w:hideMark/>
          </w:tcPr>
          <w:p w14:paraId="3C6247BF"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Ni</w:t>
            </w:r>
          </w:p>
        </w:tc>
        <w:tc>
          <w:tcPr>
            <w:tcW w:w="4974" w:type="dxa"/>
            <w:hideMark/>
          </w:tcPr>
          <w:p w14:paraId="21673B29" w14:textId="77777777" w:rsidR="00D876C3" w:rsidRPr="007312CA" w:rsidRDefault="00D876C3" w:rsidP="00D876C3">
            <w:pPr>
              <w:jc w:val="center"/>
              <w:textAlignment w:val="bottom"/>
              <w:rPr>
                <w:rFonts w:ascii="Arial" w:hAnsi="Arial" w:cs="Arial"/>
                <w:lang w:val="en-IN" w:eastAsia="en-IN"/>
              </w:rPr>
            </w:pPr>
            <w:r w:rsidRPr="007312CA">
              <w:rPr>
                <w:rFonts w:ascii="Arial" w:hAnsi="Arial" w:cs="Arial"/>
                <w:color w:val="000000"/>
                <w:kern w:val="24"/>
                <w:lang w:val="en-IN" w:eastAsia="en-IN"/>
              </w:rPr>
              <w:t>0.1323 ±0.00978</w:t>
            </w:r>
          </w:p>
        </w:tc>
      </w:tr>
    </w:tbl>
    <w:p w14:paraId="0106D541" w14:textId="77777777" w:rsidR="00D876C3" w:rsidRPr="008D2CB2" w:rsidRDefault="00D876C3" w:rsidP="008D2CB2">
      <w:pPr>
        <w:pStyle w:val="Head1"/>
        <w:spacing w:after="0"/>
        <w:jc w:val="both"/>
        <w:rPr>
          <w:rFonts w:ascii="Arial" w:hAnsi="Arial" w:cs="Arial"/>
          <w:lang w:val="en-IN"/>
        </w:rPr>
      </w:pPr>
    </w:p>
    <w:p w14:paraId="70FEC9A3" w14:textId="40605AA9" w:rsidR="00C6546E" w:rsidRDefault="00C6546E" w:rsidP="00441B6F">
      <w:pPr>
        <w:pStyle w:val="Head1"/>
        <w:spacing w:after="0"/>
        <w:jc w:val="both"/>
        <w:rPr>
          <w:rFonts w:ascii="Arial" w:hAnsi="Arial" w:cs="Arial"/>
          <w:caps w:val="0"/>
          <w:sz w:val="20"/>
        </w:rPr>
      </w:pPr>
      <w:r>
        <w:rPr>
          <w:rFonts w:ascii="Arial" w:hAnsi="Arial" w:cs="Arial"/>
          <w:caps w:val="0"/>
          <w:sz w:val="20"/>
        </w:rPr>
        <w:t xml:space="preserve">3.3 GC-MS </w:t>
      </w:r>
    </w:p>
    <w:p w14:paraId="382C585A" w14:textId="77777777" w:rsidR="00090765" w:rsidRDefault="00090765" w:rsidP="00441B6F">
      <w:pPr>
        <w:pStyle w:val="Head1"/>
        <w:spacing w:after="0"/>
        <w:jc w:val="both"/>
        <w:rPr>
          <w:rFonts w:ascii="Arial" w:hAnsi="Arial" w:cs="Arial"/>
          <w:b w:val="0"/>
          <w:bCs/>
          <w:caps w:val="0"/>
          <w:sz w:val="20"/>
        </w:rPr>
      </w:pPr>
    </w:p>
    <w:p w14:paraId="2B83436E" w14:textId="217AAA32" w:rsidR="00FC2734" w:rsidRPr="000E099B"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Electron impact gas chromatography</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mass spectrometry (GC</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 xml:space="preserve">MS) analysis of the crude extract resulted in a well-defined total ion current (TIC) extending from 8 to 38 minutes (Fig. 1). Through library matching of major peaks, 11 constituents were tentatively identified, cumulatively accounting for 60.9% of the TIC. The identified compounds ranged from 114 to 652 </w:t>
      </w:r>
      <w:proofErr w:type="spellStart"/>
      <w:r w:rsidRPr="000E099B">
        <w:rPr>
          <w:rFonts w:ascii="Arial" w:hAnsi="Arial" w:cs="Arial"/>
          <w:b w:val="0"/>
          <w:caps w:val="0"/>
          <w:sz w:val="20"/>
          <w:szCs w:val="18"/>
          <w:lang w:val="en-IN"/>
        </w:rPr>
        <w:t>daltons</w:t>
      </w:r>
      <w:proofErr w:type="spellEnd"/>
      <w:r w:rsidRPr="000E099B">
        <w:rPr>
          <w:rFonts w:ascii="Arial" w:hAnsi="Arial" w:cs="Arial"/>
          <w:b w:val="0"/>
          <w:caps w:val="0"/>
          <w:sz w:val="20"/>
          <w:szCs w:val="18"/>
          <w:lang w:val="en-IN"/>
        </w:rPr>
        <w:t>, indicating a composition comprising both low-molecular-weight oxygenates and higher-molecular-weight lipidic esters. The early, more polar region (9</w:t>
      </w:r>
      <w:r w:rsidR="003E4461">
        <w:rPr>
          <w:rFonts w:ascii="Arial" w:hAnsi="Arial" w:cs="Arial"/>
          <w:b w:val="0"/>
          <w:caps w:val="0"/>
          <w:sz w:val="20"/>
          <w:szCs w:val="18"/>
          <w:lang w:val="en-IN"/>
        </w:rPr>
        <w:t>-</w:t>
      </w:r>
      <w:r w:rsidRPr="000E099B">
        <w:rPr>
          <w:rFonts w:ascii="Arial" w:hAnsi="Arial" w:cs="Arial"/>
          <w:b w:val="0"/>
          <w:caps w:val="0"/>
          <w:sz w:val="20"/>
          <w:szCs w:val="18"/>
          <w:lang w:val="en-IN"/>
        </w:rPr>
        <w:t>16 minutes retention time) was predominantly characterized by oxygenated furan/furanone and carbohydrate-derived species. The most abundant single component detected was 1-deoxy-2,4-</w:t>
      </w:r>
      <w:proofErr w:type="gramStart"/>
      <w:r w:rsidRPr="000E099B">
        <w:rPr>
          <w:rFonts w:ascii="Arial" w:hAnsi="Arial" w:cs="Arial"/>
          <w:b w:val="0"/>
          <w:caps w:val="0"/>
          <w:sz w:val="20"/>
          <w:szCs w:val="18"/>
          <w:lang w:val="en-IN"/>
        </w:rPr>
        <w:t>o,o</w:t>
      </w:r>
      <w:proofErr w:type="gramEnd"/>
      <w:r w:rsidRPr="000E099B">
        <w:rPr>
          <w:rFonts w:ascii="Arial" w:hAnsi="Arial" w:cs="Arial"/>
          <w:b w:val="0"/>
          <w:caps w:val="0"/>
          <w:sz w:val="20"/>
          <w:szCs w:val="18"/>
          <w:lang w:val="en-IN"/>
        </w:rPr>
        <w:t xml:space="preserve">-methylene-D-xylitol at a retention time of 11.470 minutes, representing 13.601% of the area and a molecular weight of 148 </w:t>
      </w:r>
      <w:proofErr w:type="spellStart"/>
      <w:r w:rsidRPr="000E099B">
        <w:rPr>
          <w:rFonts w:ascii="Arial" w:hAnsi="Arial" w:cs="Arial"/>
          <w:b w:val="0"/>
          <w:caps w:val="0"/>
          <w:sz w:val="20"/>
          <w:szCs w:val="18"/>
          <w:lang w:val="en-IN"/>
        </w:rPr>
        <w:t>daltons</w:t>
      </w:r>
      <w:proofErr w:type="spellEnd"/>
      <w:r w:rsidRPr="000E099B">
        <w:rPr>
          <w:rFonts w:ascii="Arial" w:hAnsi="Arial" w:cs="Arial"/>
          <w:b w:val="0"/>
          <w:caps w:val="0"/>
          <w:sz w:val="20"/>
          <w:szCs w:val="18"/>
          <w:lang w:val="en-IN"/>
        </w:rPr>
        <w:t xml:space="preserve">. Two furanones were eluted within this range: 5-methoxy-2,4-dimethyl-furan-3-one at 13.541 minutes (9.728%; 142 da) and (S)-5-hydroxymethyl-2[5H]-furanone at 9.069 minutes (3.211%; 114 da). Dimethyl fumarate was identified at 15.241 minutes retention time (5.253%; 144 </w:t>
      </w:r>
      <w:r w:rsidR="00EE523E">
        <w:rPr>
          <w:rFonts w:ascii="Arial" w:hAnsi="Arial" w:cs="Arial"/>
          <w:b w:val="0"/>
          <w:caps w:val="0"/>
          <w:sz w:val="20"/>
          <w:szCs w:val="18"/>
          <w:lang w:val="en-IN"/>
        </w:rPr>
        <w:t>Da).</w:t>
      </w:r>
      <w:r w:rsidR="007F0C68">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In the mid-retention region (approximately 21–22 minutes), a prominent peak was annotated as silane, </w:t>
      </w:r>
      <w:proofErr w:type="spellStart"/>
      <w:r w:rsidRPr="000E099B">
        <w:rPr>
          <w:rFonts w:ascii="Arial" w:hAnsi="Arial" w:cs="Arial"/>
          <w:b w:val="0"/>
          <w:caps w:val="0"/>
          <w:sz w:val="20"/>
          <w:szCs w:val="18"/>
          <w:lang w:val="en-IN"/>
        </w:rPr>
        <w:t>dimethyldi</w:t>
      </w:r>
      <w:proofErr w:type="spellEnd"/>
      <w:r w:rsidRPr="000E099B">
        <w:rPr>
          <w:rFonts w:ascii="Arial" w:hAnsi="Arial" w:cs="Arial"/>
          <w:b w:val="0"/>
          <w:caps w:val="0"/>
          <w:sz w:val="20"/>
          <w:szCs w:val="18"/>
          <w:lang w:val="en-IN"/>
        </w:rPr>
        <w:t>(but-3-enyloxy)-, observed at 21.629 minutes (11.554%; 200 da). The late, non-polar region (approximately 28.5</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 xml:space="preserve">31.5 minutes) was enriched with fatty acid esters. </w:t>
      </w:r>
    </w:p>
    <w:p w14:paraId="651F9A99" w14:textId="77777777" w:rsidR="00FC2734" w:rsidRPr="000E099B"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 xml:space="preserve">Identified methyl esters included methyl 11-hexadecenoate (28.637 minutes; 0.218%; 268 da), </w:t>
      </w:r>
      <w:proofErr w:type="spellStart"/>
      <w:r w:rsidRPr="000E099B">
        <w:rPr>
          <w:rFonts w:ascii="Arial" w:hAnsi="Arial" w:cs="Arial"/>
          <w:b w:val="0"/>
          <w:caps w:val="0"/>
          <w:sz w:val="20"/>
          <w:szCs w:val="18"/>
          <w:lang w:val="en-IN"/>
        </w:rPr>
        <w:t>tetradecanoic</w:t>
      </w:r>
      <w:proofErr w:type="spellEnd"/>
      <w:r w:rsidRPr="000E099B">
        <w:rPr>
          <w:rFonts w:ascii="Arial" w:hAnsi="Arial" w:cs="Arial"/>
          <w:b w:val="0"/>
          <w:caps w:val="0"/>
          <w:sz w:val="20"/>
          <w:szCs w:val="18"/>
          <w:lang w:val="en-IN"/>
        </w:rPr>
        <w:t xml:space="preserve"> acid, 10,13-dimethyl-, methyl ester (28.797 minutes; 3.364%; 270 da), 11,14-octadecadienoic acid, methyl ester (31.093 minutes; 3.481%; 294 da), and the branched unsaturated species 14-methylpentadec-9-enoic acid methyl ester (31.168 minutes; 7.774%; 268 da). </w:t>
      </w:r>
    </w:p>
    <w:p w14:paraId="65D2CBEF" w14:textId="3E918EB0" w:rsidR="00090765"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 xml:space="preserve">Additionally, a high-mass diester, L-(+)-ascorbic acid 2,6-dihexadecanoate, was detected at 29.292 minutes (0.684%; 652 </w:t>
      </w:r>
      <w:r w:rsidR="00EE523E">
        <w:rPr>
          <w:rFonts w:ascii="Arial" w:hAnsi="Arial" w:cs="Arial"/>
          <w:b w:val="0"/>
          <w:caps w:val="0"/>
          <w:sz w:val="20"/>
          <w:szCs w:val="18"/>
          <w:lang w:val="en-IN"/>
        </w:rPr>
        <w:t>Da).</w:t>
      </w:r>
      <w:r w:rsidRPr="000E099B">
        <w:rPr>
          <w:rFonts w:ascii="Arial" w:hAnsi="Arial" w:cs="Arial"/>
          <w:b w:val="0"/>
          <w:caps w:val="0"/>
          <w:sz w:val="20"/>
          <w:szCs w:val="18"/>
          <w:lang w:val="en-IN"/>
        </w:rPr>
        <w:t xml:space="preserve"> Overall, the chromatographic pattern </w:t>
      </w:r>
      <w:r w:rsidR="00EE523E">
        <w:rPr>
          <w:rFonts w:ascii="Arial" w:hAnsi="Arial" w:cs="Arial"/>
          <w:b w:val="0"/>
          <w:caps w:val="0"/>
          <w:sz w:val="20"/>
          <w:szCs w:val="18"/>
          <w:lang w:val="en-IN"/>
        </w:rPr>
        <w:t>delineates (</w:t>
      </w:r>
      <w:proofErr w:type="spellStart"/>
      <w:r w:rsidR="00EE523E">
        <w:rPr>
          <w:rFonts w:ascii="Arial" w:hAnsi="Arial" w:cs="Arial"/>
          <w:b w:val="0"/>
          <w:caps w:val="0"/>
          <w:sz w:val="20"/>
          <w:szCs w:val="18"/>
          <w:lang w:val="en-IN"/>
        </w:rPr>
        <w:t>i</w:t>
      </w:r>
      <w:proofErr w:type="spellEnd"/>
      <w:r w:rsidR="00EE523E">
        <w:rPr>
          <w:rFonts w:ascii="Arial" w:hAnsi="Arial" w:cs="Arial"/>
          <w:b w:val="0"/>
          <w:caps w:val="0"/>
          <w:sz w:val="20"/>
          <w:szCs w:val="18"/>
          <w:lang w:val="en-IN"/>
        </w:rPr>
        <w:t>)</w:t>
      </w:r>
      <w:r w:rsidRPr="000E099B">
        <w:rPr>
          <w:rFonts w:ascii="Arial" w:hAnsi="Arial" w:cs="Arial"/>
          <w:b w:val="0"/>
          <w:caps w:val="0"/>
          <w:sz w:val="20"/>
          <w:szCs w:val="18"/>
          <w:lang w:val="en-IN"/>
        </w:rPr>
        <w:t xml:space="preserve"> an oxygenate-rich initial phase characterized by furan/furanone and sugar-derived molecules, (ii) a significant signal approximately at 21.6 minutes, and (iii) a lipidic tail composed of various fatty-acid methyl esters between 28.6 and 31.2 minutes. The five most intense </w:t>
      </w:r>
      <w:r w:rsidR="00EE523E">
        <w:rPr>
          <w:rFonts w:ascii="Arial" w:hAnsi="Arial" w:cs="Arial"/>
          <w:b w:val="0"/>
          <w:caps w:val="0"/>
          <w:sz w:val="20"/>
          <w:szCs w:val="18"/>
          <w:lang w:val="en-IN"/>
        </w:rPr>
        <w:t>constituents,</w:t>
      </w:r>
      <w:r w:rsidR="0008302A">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1-deoxy-2,4-o,o-methylene-D-xylitol (13.601%), silane, </w:t>
      </w:r>
      <w:proofErr w:type="spellStart"/>
      <w:r w:rsidRPr="000E099B">
        <w:rPr>
          <w:rFonts w:ascii="Arial" w:hAnsi="Arial" w:cs="Arial"/>
          <w:b w:val="0"/>
          <w:caps w:val="0"/>
          <w:sz w:val="20"/>
          <w:szCs w:val="18"/>
          <w:lang w:val="en-IN"/>
        </w:rPr>
        <w:t>dimethyldi</w:t>
      </w:r>
      <w:proofErr w:type="spellEnd"/>
      <w:r w:rsidRPr="000E099B">
        <w:rPr>
          <w:rFonts w:ascii="Arial" w:hAnsi="Arial" w:cs="Arial"/>
          <w:b w:val="0"/>
          <w:caps w:val="0"/>
          <w:sz w:val="20"/>
          <w:szCs w:val="18"/>
          <w:lang w:val="en-IN"/>
        </w:rPr>
        <w:t xml:space="preserve">(but-3-enyloxy)- (11.554%), 5-methoxy-2,4-dimethyl-furan-3-one (9.728%), 14-methylpentadec-9-enoic acid methyl ester (7.774%), and dimethyl fumarate </w:t>
      </w:r>
      <w:r w:rsidR="00EE523E">
        <w:rPr>
          <w:rFonts w:ascii="Arial" w:hAnsi="Arial" w:cs="Arial"/>
          <w:b w:val="0"/>
          <w:caps w:val="0"/>
          <w:sz w:val="20"/>
          <w:szCs w:val="18"/>
          <w:lang w:val="en-IN"/>
        </w:rPr>
        <w:t>(5.253%),</w:t>
      </w:r>
      <w:r w:rsidR="0008302A">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collectively contributed 47.9% of the TIC. These </w:t>
      </w:r>
      <w:r w:rsidRPr="000E099B">
        <w:rPr>
          <w:rFonts w:ascii="Arial" w:hAnsi="Arial" w:cs="Arial"/>
          <w:b w:val="0"/>
          <w:caps w:val="0"/>
          <w:sz w:val="20"/>
          <w:szCs w:val="18"/>
          <w:lang w:val="en-IN"/>
        </w:rPr>
        <w:lastRenderedPageBreak/>
        <w:t>findings offer a compositional fingerprint for the extract and serve as a foundation for associating chemical classes, namely oxygenated heterocycles and fatty-acid esters.</w:t>
      </w:r>
    </w:p>
    <w:p w14:paraId="0AF96856" w14:textId="77777777" w:rsidR="00BF4D4E" w:rsidRDefault="00BF4D4E" w:rsidP="00090765">
      <w:pPr>
        <w:pStyle w:val="Head1"/>
        <w:spacing w:after="0"/>
        <w:jc w:val="both"/>
        <w:rPr>
          <w:rFonts w:ascii="Arial" w:hAnsi="Arial" w:cs="Arial"/>
          <w:b w:val="0"/>
          <w:caps w:val="0"/>
          <w:sz w:val="20"/>
          <w:szCs w:val="18"/>
          <w:lang w:val="en-IN"/>
        </w:rPr>
      </w:pPr>
    </w:p>
    <w:p w14:paraId="40ECEC40" w14:textId="16F97F7C" w:rsidR="00BF4D4E" w:rsidRPr="00BF4D4E" w:rsidRDefault="000E099B" w:rsidP="00441B6F">
      <w:pPr>
        <w:pStyle w:val="Head1"/>
        <w:spacing w:after="0"/>
        <w:jc w:val="both"/>
        <w:rPr>
          <w:rFonts w:ascii="Arial" w:hAnsi="Arial" w:cs="Arial"/>
          <w:b w:val="0"/>
          <w:sz w:val="20"/>
          <w:szCs w:val="18"/>
          <w:lang w:val="en-IN"/>
        </w:rPr>
      </w:pPr>
      <w:r>
        <w:rPr>
          <w:rFonts w:ascii="Arial" w:hAnsi="Arial" w:cs="Arial"/>
          <w:b w:val="0"/>
          <w:noProof/>
          <w:sz w:val="20"/>
          <w:szCs w:val="18"/>
          <w:lang w:val="en-IN"/>
        </w:rPr>
        <w:drawing>
          <wp:anchor distT="0" distB="0" distL="114300" distR="114300" simplePos="0" relativeHeight="251658240" behindDoc="1" locked="0" layoutInCell="1" allowOverlap="1" wp14:anchorId="486D4D22" wp14:editId="54A7BFDF">
            <wp:simplePos x="0" y="0"/>
            <wp:positionH relativeFrom="column">
              <wp:posOffset>2540</wp:posOffset>
            </wp:positionH>
            <wp:positionV relativeFrom="paragraph">
              <wp:posOffset>635</wp:posOffset>
            </wp:positionV>
            <wp:extent cx="5234305" cy="1972347"/>
            <wp:effectExtent l="0" t="0" r="0" b="0"/>
            <wp:wrapTight wrapText="bothSides">
              <wp:wrapPolygon edited="0">
                <wp:start x="0" y="0"/>
                <wp:lineTo x="0" y="21489"/>
                <wp:lineTo x="21540" y="21489"/>
                <wp:lineTo x="21540" y="0"/>
                <wp:lineTo x="0" y="0"/>
              </wp:wrapPolygon>
            </wp:wrapTight>
            <wp:docPr id="86333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305" cy="1972347"/>
                    </a:xfrm>
                    <a:prstGeom prst="rect">
                      <a:avLst/>
                    </a:prstGeom>
                    <a:noFill/>
                  </pic:spPr>
                </pic:pic>
              </a:graphicData>
            </a:graphic>
          </wp:anchor>
        </w:drawing>
      </w:r>
      <w:r w:rsidR="00EE523E">
        <w:rPr>
          <w:rFonts w:ascii="Arial" w:hAnsi="Arial" w:cs="Arial"/>
          <w:caps w:val="0"/>
          <w:sz w:val="20"/>
        </w:rPr>
        <w:t>Fig.</w:t>
      </w:r>
      <w:r w:rsidR="00BF4D4E">
        <w:rPr>
          <w:rFonts w:ascii="Arial" w:hAnsi="Arial" w:cs="Arial"/>
          <w:caps w:val="0"/>
          <w:sz w:val="20"/>
        </w:rPr>
        <w:t xml:space="preserve"> 1. GC-MS chromatogram of </w:t>
      </w:r>
      <w:r w:rsidR="00BF4D4E" w:rsidRPr="00BF4D4E">
        <w:rPr>
          <w:rFonts w:ascii="Arial" w:hAnsi="Arial" w:cs="Arial"/>
          <w:i/>
          <w:iCs/>
          <w:caps w:val="0"/>
          <w:sz w:val="20"/>
        </w:rPr>
        <w:t>G. pedunculata</w:t>
      </w:r>
      <w:r w:rsidR="00BF4D4E">
        <w:rPr>
          <w:rFonts w:ascii="Arial" w:hAnsi="Arial" w:cs="Arial"/>
          <w:caps w:val="0"/>
          <w:sz w:val="20"/>
        </w:rPr>
        <w:t xml:space="preserve"> crude extract</w:t>
      </w:r>
    </w:p>
    <w:p w14:paraId="30497FD8" w14:textId="77777777" w:rsidR="00BF4D4E" w:rsidRDefault="00BF4D4E" w:rsidP="00441B6F">
      <w:pPr>
        <w:pStyle w:val="Head1"/>
        <w:spacing w:after="0"/>
        <w:jc w:val="both"/>
        <w:rPr>
          <w:rFonts w:ascii="Arial" w:hAnsi="Arial" w:cs="Arial"/>
          <w:caps w:val="0"/>
          <w:sz w:val="20"/>
        </w:rPr>
      </w:pPr>
    </w:p>
    <w:p w14:paraId="00F4D3CB" w14:textId="112E1788" w:rsidR="00C6546E" w:rsidRPr="00C6546E" w:rsidRDefault="00C6546E" w:rsidP="00441B6F">
      <w:pPr>
        <w:pStyle w:val="Head1"/>
        <w:spacing w:after="0"/>
        <w:jc w:val="both"/>
        <w:rPr>
          <w:rFonts w:ascii="Arial" w:hAnsi="Arial" w:cs="Arial"/>
          <w:sz w:val="20"/>
        </w:rPr>
      </w:pPr>
      <w:r w:rsidRPr="000E099B">
        <w:rPr>
          <w:rFonts w:ascii="Arial" w:hAnsi="Arial" w:cs="Arial"/>
          <w:caps w:val="0"/>
          <w:sz w:val="20"/>
        </w:rPr>
        <w:t>3.</w:t>
      </w:r>
      <w:r w:rsidR="00D5712F">
        <w:rPr>
          <w:rFonts w:ascii="Arial" w:hAnsi="Arial" w:cs="Arial"/>
          <w:caps w:val="0"/>
          <w:sz w:val="20"/>
        </w:rPr>
        <w:t>4</w:t>
      </w:r>
      <w:r w:rsidRPr="000E099B">
        <w:rPr>
          <w:rFonts w:ascii="Arial" w:hAnsi="Arial" w:cs="Arial"/>
          <w:caps w:val="0"/>
          <w:sz w:val="20"/>
        </w:rPr>
        <w:t xml:space="preserve"> Hematology and Biochemical analysis</w:t>
      </w:r>
    </w:p>
    <w:p w14:paraId="52841DAB" w14:textId="06AA6ED8" w:rsidR="004A7114" w:rsidRDefault="004A7114" w:rsidP="00C6546E">
      <w:pPr>
        <w:pStyle w:val="Body"/>
        <w:spacing w:after="0"/>
        <w:rPr>
          <w:rFonts w:ascii="Arial" w:hAnsi="Arial" w:cs="Arial"/>
          <w:lang w:val="en-IN"/>
        </w:rPr>
      </w:pPr>
      <w:r w:rsidRPr="004A7114">
        <w:rPr>
          <w:rFonts w:ascii="Arial" w:hAnsi="Arial" w:cs="Arial"/>
          <w:lang w:val="en-IN"/>
        </w:rPr>
        <w:t>There were no significant changes in creatinine levels, although a distinct sex effect was observed (F</w:t>
      </w:r>
      <w:r w:rsidRPr="004A7114">
        <w:rPr>
          <w:rFonts w:ascii="Arial" w:hAnsi="Arial" w:cs="Arial"/>
          <w:vertAlign w:val="subscript"/>
          <w:lang w:val="en-IN"/>
        </w:rPr>
        <w:t xml:space="preserve">1, 24 </w:t>
      </w:r>
      <w:r w:rsidRPr="004A7114">
        <w:rPr>
          <w:rFonts w:ascii="Arial" w:hAnsi="Arial" w:cs="Arial"/>
          <w:lang w:val="en-IN"/>
        </w:rPr>
        <w:t xml:space="preserve">= 21.89, </w:t>
      </w:r>
      <w:r w:rsidRPr="00D11895">
        <w:rPr>
          <w:rFonts w:ascii="Arial" w:hAnsi="Arial" w:cs="Arial"/>
          <w:i/>
          <w:iCs/>
          <w:lang w:val="en-IN"/>
        </w:rPr>
        <w:t>P</w:t>
      </w:r>
      <w:r w:rsidRPr="004A7114">
        <w:rPr>
          <w:rFonts w:ascii="Arial" w:hAnsi="Arial" w:cs="Arial"/>
          <w:lang w:val="en-IN"/>
        </w:rPr>
        <w:t xml:space="preserve"> &lt; .001) with neither a group effect (F</w:t>
      </w:r>
      <w:r w:rsidRPr="004A7114">
        <w:rPr>
          <w:rFonts w:ascii="Arial" w:hAnsi="Arial" w:cs="Arial"/>
          <w:vertAlign w:val="subscript"/>
          <w:lang w:val="en-IN"/>
        </w:rPr>
        <w:t xml:space="preserve">3, 24 </w:t>
      </w:r>
      <w:r w:rsidRPr="004A7114">
        <w:rPr>
          <w:rFonts w:ascii="Arial" w:hAnsi="Arial" w:cs="Arial"/>
          <w:lang w:val="en-IN"/>
        </w:rPr>
        <w:t xml:space="preserve">= 2.05, </w:t>
      </w:r>
      <w:r w:rsidRPr="00D11895">
        <w:rPr>
          <w:rFonts w:ascii="Arial" w:hAnsi="Arial" w:cs="Arial"/>
          <w:i/>
          <w:iCs/>
          <w:lang w:val="en-IN"/>
        </w:rPr>
        <w:t>P</w:t>
      </w:r>
      <w:r w:rsidRPr="004A7114">
        <w:rPr>
          <w:rFonts w:ascii="Arial" w:hAnsi="Arial" w:cs="Arial"/>
          <w:lang w:val="en-IN"/>
        </w:rPr>
        <w:t xml:space="preserve"> = .13) nor interaction (F</w:t>
      </w:r>
      <w:r w:rsidRPr="004A7114">
        <w:rPr>
          <w:rFonts w:ascii="Arial" w:hAnsi="Arial" w:cs="Arial"/>
          <w:vertAlign w:val="subscript"/>
          <w:lang w:val="en-IN"/>
        </w:rPr>
        <w:t>3, 24</w:t>
      </w:r>
      <w:r w:rsidRPr="004A7114">
        <w:rPr>
          <w:rFonts w:ascii="Arial" w:hAnsi="Arial" w:cs="Arial"/>
          <w:lang w:val="en-IN"/>
        </w:rPr>
        <w:t xml:space="preserve"> = 0.24, </w:t>
      </w:r>
      <w:r w:rsidRPr="00D11895">
        <w:rPr>
          <w:rFonts w:ascii="Arial" w:hAnsi="Arial" w:cs="Arial"/>
          <w:i/>
          <w:iCs/>
          <w:lang w:val="en-IN"/>
        </w:rPr>
        <w:t>P</w:t>
      </w:r>
      <w:r w:rsidRPr="004A7114">
        <w:rPr>
          <w:rFonts w:ascii="Arial" w:hAnsi="Arial" w:cs="Arial"/>
          <w:lang w:val="en-IN"/>
        </w:rPr>
        <w:t xml:space="preserve"> = .87)</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a)</w:t>
      </w:r>
      <w:r w:rsidRPr="004A7114">
        <w:rPr>
          <w:rFonts w:ascii="Arial" w:hAnsi="Arial" w:cs="Arial"/>
          <w:lang w:val="en-IN"/>
        </w:rPr>
        <w:t>. Urea exhibited both a sex effect (F</w:t>
      </w:r>
      <w:r w:rsidRPr="004A7114">
        <w:rPr>
          <w:rFonts w:ascii="Arial" w:hAnsi="Arial" w:cs="Arial"/>
          <w:vertAlign w:val="subscript"/>
          <w:lang w:val="en-IN"/>
        </w:rPr>
        <w:t xml:space="preserve">1, 24 </w:t>
      </w:r>
      <w:r w:rsidRPr="004A7114">
        <w:rPr>
          <w:rFonts w:ascii="Arial" w:hAnsi="Arial" w:cs="Arial"/>
          <w:lang w:val="en-IN"/>
        </w:rPr>
        <w:t xml:space="preserve">= 4.81, </w:t>
      </w:r>
      <w:r w:rsidRPr="00D11895">
        <w:rPr>
          <w:rFonts w:ascii="Arial" w:hAnsi="Arial" w:cs="Arial"/>
          <w:i/>
          <w:iCs/>
          <w:lang w:val="en-IN"/>
        </w:rPr>
        <w:t>P</w:t>
      </w:r>
      <w:r w:rsidRPr="004A7114">
        <w:rPr>
          <w:rFonts w:ascii="Arial" w:hAnsi="Arial" w:cs="Arial"/>
          <w:lang w:val="en-IN"/>
        </w:rPr>
        <w:t xml:space="preserve"> = .04) and a group effect (F</w:t>
      </w:r>
      <w:r w:rsidRPr="004A7114">
        <w:rPr>
          <w:rFonts w:ascii="Arial" w:hAnsi="Arial" w:cs="Arial"/>
          <w:vertAlign w:val="subscript"/>
          <w:lang w:val="en-IN"/>
        </w:rPr>
        <w:t>3, 24</w:t>
      </w:r>
      <w:r w:rsidRPr="004A7114">
        <w:rPr>
          <w:rFonts w:ascii="Arial" w:hAnsi="Arial" w:cs="Arial"/>
          <w:lang w:val="en-IN"/>
        </w:rPr>
        <w:t xml:space="preserve"> = 3.34, P = .0</w:t>
      </w:r>
      <w:r w:rsidR="00CE6C0D">
        <w:rPr>
          <w:rFonts w:ascii="Arial" w:hAnsi="Arial" w:cs="Arial"/>
          <w:lang w:val="en-IN"/>
        </w:rPr>
        <w:t>4</w:t>
      </w:r>
      <w:r w:rsidRPr="004A7114">
        <w:rPr>
          <w:rFonts w:ascii="Arial" w:hAnsi="Arial" w:cs="Arial"/>
          <w:lang w:val="en-IN"/>
        </w:rPr>
        <w:t>), but no sex-group interaction was present (F</w:t>
      </w:r>
      <w:r w:rsidRPr="004A7114">
        <w:rPr>
          <w:rFonts w:ascii="Arial" w:hAnsi="Arial" w:cs="Arial"/>
          <w:vertAlign w:val="subscript"/>
          <w:lang w:val="en-IN"/>
        </w:rPr>
        <w:t>3, 24</w:t>
      </w:r>
      <w:r w:rsidRPr="004A7114">
        <w:rPr>
          <w:rFonts w:ascii="Arial" w:hAnsi="Arial" w:cs="Arial"/>
          <w:lang w:val="en-IN"/>
        </w:rPr>
        <w:t xml:space="preserve"> = 0.06, </w:t>
      </w:r>
      <w:r w:rsidRPr="00D11895">
        <w:rPr>
          <w:rFonts w:ascii="Arial" w:hAnsi="Arial" w:cs="Arial"/>
          <w:i/>
          <w:iCs/>
          <w:lang w:val="en-IN"/>
        </w:rPr>
        <w:t>P</w:t>
      </w:r>
      <w:r w:rsidRPr="004A7114">
        <w:rPr>
          <w:rFonts w:ascii="Arial" w:hAnsi="Arial" w:cs="Arial"/>
          <w:lang w:val="en-IN"/>
        </w:rPr>
        <w:t xml:space="preserve"> = .981)</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b)</w:t>
      </w:r>
      <w:r w:rsidRPr="004A7114">
        <w:rPr>
          <w:rFonts w:ascii="Arial" w:hAnsi="Arial" w:cs="Arial"/>
          <w:lang w:val="en-IN"/>
        </w:rPr>
        <w:t>. Calcium levels differed by group (F</w:t>
      </w:r>
      <w:r w:rsidRPr="003402CE">
        <w:rPr>
          <w:rFonts w:ascii="Arial" w:hAnsi="Arial" w:cs="Arial"/>
          <w:vertAlign w:val="subscript"/>
          <w:lang w:val="en-IN"/>
        </w:rPr>
        <w:t xml:space="preserve">3, 24 </w:t>
      </w:r>
      <w:r w:rsidRPr="004A7114">
        <w:rPr>
          <w:rFonts w:ascii="Arial" w:hAnsi="Arial" w:cs="Arial"/>
          <w:lang w:val="en-IN"/>
        </w:rPr>
        <w:t xml:space="preserve">= 7.01, </w:t>
      </w:r>
      <w:r w:rsidRPr="00D11895">
        <w:rPr>
          <w:rFonts w:ascii="Arial" w:hAnsi="Arial" w:cs="Arial"/>
          <w:i/>
          <w:iCs/>
          <w:lang w:val="en-IN"/>
        </w:rPr>
        <w:t>P</w:t>
      </w:r>
      <w:r w:rsidRPr="004A7114">
        <w:rPr>
          <w:rFonts w:ascii="Arial" w:hAnsi="Arial" w:cs="Arial"/>
          <w:lang w:val="en-IN"/>
        </w:rPr>
        <w:t xml:space="preserve"> = .001), whereas sex (F</w:t>
      </w:r>
      <w:r w:rsidRPr="003402CE">
        <w:rPr>
          <w:rFonts w:ascii="Arial" w:hAnsi="Arial" w:cs="Arial"/>
          <w:vertAlign w:val="subscript"/>
          <w:lang w:val="en-IN"/>
        </w:rPr>
        <w:t xml:space="preserve">1, 24 </w:t>
      </w:r>
      <w:r w:rsidRPr="004A7114">
        <w:rPr>
          <w:rFonts w:ascii="Arial" w:hAnsi="Arial" w:cs="Arial"/>
          <w:lang w:val="en-IN"/>
        </w:rPr>
        <w:t xml:space="preserve">= 0.81, </w:t>
      </w:r>
      <w:r w:rsidRPr="00D11895">
        <w:rPr>
          <w:rFonts w:ascii="Arial" w:hAnsi="Arial" w:cs="Arial"/>
          <w:i/>
          <w:iCs/>
          <w:lang w:val="en-IN"/>
        </w:rPr>
        <w:t>P</w:t>
      </w:r>
      <w:r w:rsidRPr="004A7114">
        <w:rPr>
          <w:rFonts w:ascii="Arial" w:hAnsi="Arial" w:cs="Arial"/>
          <w:lang w:val="en-IN"/>
        </w:rPr>
        <w:t xml:space="preserve"> = .38) and interaction (F</w:t>
      </w:r>
      <w:r w:rsidRPr="003402CE">
        <w:rPr>
          <w:rFonts w:ascii="Arial" w:hAnsi="Arial" w:cs="Arial"/>
          <w:vertAlign w:val="subscript"/>
          <w:lang w:val="en-IN"/>
        </w:rPr>
        <w:t>3, 24</w:t>
      </w:r>
      <w:r w:rsidRPr="004A7114">
        <w:rPr>
          <w:rFonts w:ascii="Arial" w:hAnsi="Arial" w:cs="Arial"/>
          <w:lang w:val="en-IN"/>
        </w:rPr>
        <w:t xml:space="preserve"> = 2.67, </w:t>
      </w:r>
      <w:r w:rsidRPr="00D11895">
        <w:rPr>
          <w:rFonts w:ascii="Arial" w:hAnsi="Arial" w:cs="Arial"/>
          <w:i/>
          <w:iCs/>
          <w:lang w:val="en-IN"/>
        </w:rPr>
        <w:t>P</w:t>
      </w:r>
      <w:r w:rsidRPr="004A7114">
        <w:rPr>
          <w:rFonts w:ascii="Arial" w:hAnsi="Arial" w:cs="Arial"/>
          <w:lang w:val="en-IN"/>
        </w:rPr>
        <w:t xml:space="preserve"> = .07) effects were found to be insignificant</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c)</w:t>
      </w:r>
      <w:r w:rsidRPr="004A7114">
        <w:rPr>
          <w:rFonts w:ascii="Arial" w:hAnsi="Arial" w:cs="Arial"/>
          <w:lang w:val="en-IN"/>
        </w:rPr>
        <w:t>. Phosphorus revealed widespread modulation, with significant effects related to sex (F</w:t>
      </w:r>
      <w:r w:rsidRPr="004A7114">
        <w:rPr>
          <w:rFonts w:ascii="Arial" w:hAnsi="Arial" w:cs="Arial"/>
          <w:vertAlign w:val="subscript"/>
          <w:lang w:val="en-IN"/>
        </w:rPr>
        <w:t>1, 24</w:t>
      </w:r>
      <w:r w:rsidRPr="004A7114">
        <w:rPr>
          <w:rFonts w:ascii="Arial" w:hAnsi="Arial" w:cs="Arial"/>
          <w:lang w:val="en-IN"/>
        </w:rPr>
        <w:t xml:space="preserve"> = 34.77, </w:t>
      </w:r>
      <w:r w:rsidRPr="00D11895">
        <w:rPr>
          <w:rFonts w:ascii="Arial" w:hAnsi="Arial" w:cs="Arial"/>
          <w:i/>
          <w:iCs/>
          <w:lang w:val="en-IN"/>
        </w:rPr>
        <w:t>P</w:t>
      </w:r>
      <w:r w:rsidRPr="004A7114">
        <w:rPr>
          <w:rFonts w:ascii="Arial" w:hAnsi="Arial" w:cs="Arial"/>
          <w:lang w:val="en-IN"/>
        </w:rPr>
        <w:t xml:space="preserve"> &lt; .001) and group (F</w:t>
      </w:r>
      <w:r w:rsidRPr="004A7114">
        <w:rPr>
          <w:rFonts w:ascii="Arial" w:hAnsi="Arial" w:cs="Arial"/>
          <w:vertAlign w:val="subscript"/>
          <w:lang w:val="en-IN"/>
        </w:rPr>
        <w:t>3, 24</w:t>
      </w:r>
      <w:r w:rsidRPr="004A7114">
        <w:rPr>
          <w:rFonts w:ascii="Arial" w:hAnsi="Arial" w:cs="Arial"/>
          <w:lang w:val="en-IN"/>
        </w:rPr>
        <w:t xml:space="preserve"> = 4.20, </w:t>
      </w:r>
      <w:r w:rsidRPr="00D11895">
        <w:rPr>
          <w:rFonts w:ascii="Arial" w:hAnsi="Arial" w:cs="Arial"/>
          <w:i/>
          <w:iCs/>
          <w:lang w:val="en-IN"/>
        </w:rPr>
        <w:t>P</w:t>
      </w:r>
      <w:r w:rsidRPr="004A7114">
        <w:rPr>
          <w:rFonts w:ascii="Arial" w:hAnsi="Arial" w:cs="Arial"/>
          <w:lang w:val="en-IN"/>
        </w:rPr>
        <w:t xml:space="preserve"> = .016), alongside a sex and group interaction (F</w:t>
      </w:r>
      <w:r w:rsidRPr="004A7114">
        <w:rPr>
          <w:rFonts w:ascii="Arial" w:hAnsi="Arial" w:cs="Arial"/>
          <w:vertAlign w:val="subscript"/>
          <w:lang w:val="en-IN"/>
        </w:rPr>
        <w:t>3, 24</w:t>
      </w:r>
      <w:r w:rsidRPr="004A7114">
        <w:rPr>
          <w:rFonts w:ascii="Arial" w:hAnsi="Arial" w:cs="Arial"/>
          <w:lang w:val="en-IN"/>
        </w:rPr>
        <w:t xml:space="preserve"> = 3.80, </w:t>
      </w:r>
      <w:r w:rsidRPr="00D11895">
        <w:rPr>
          <w:rFonts w:ascii="Arial" w:hAnsi="Arial" w:cs="Arial"/>
          <w:i/>
          <w:iCs/>
          <w:lang w:val="en-IN"/>
        </w:rPr>
        <w:t>P</w:t>
      </w:r>
      <w:r w:rsidRPr="004A7114">
        <w:rPr>
          <w:rFonts w:ascii="Arial" w:hAnsi="Arial" w:cs="Arial"/>
          <w:lang w:val="en-IN"/>
        </w:rPr>
        <w:t xml:space="preserve"> = .023) suggesting dependence on sex for group differences. Bonferroni tests for sodium demonstrated elevated values at 100 mg/kg (</w:t>
      </w:r>
      <w:r w:rsidRPr="00D11895">
        <w:rPr>
          <w:rFonts w:ascii="Arial" w:hAnsi="Arial" w:cs="Arial"/>
          <w:i/>
          <w:iCs/>
          <w:lang w:val="en-IN"/>
        </w:rPr>
        <w:t>P</w:t>
      </w:r>
      <w:r w:rsidRPr="004A7114">
        <w:rPr>
          <w:rFonts w:ascii="Arial" w:hAnsi="Arial" w:cs="Arial"/>
          <w:lang w:val="en-IN"/>
        </w:rPr>
        <w:t xml:space="preserve"> = .002) and 250 mg/kg (</w:t>
      </w:r>
      <w:r w:rsidRPr="00D11895">
        <w:rPr>
          <w:rFonts w:ascii="Arial" w:hAnsi="Arial" w:cs="Arial"/>
          <w:i/>
          <w:iCs/>
          <w:lang w:val="en-IN"/>
        </w:rPr>
        <w:t>P</w:t>
      </w:r>
      <w:r w:rsidRPr="004A7114">
        <w:rPr>
          <w:rFonts w:ascii="Arial" w:hAnsi="Arial" w:cs="Arial"/>
          <w:lang w:val="en-IN"/>
        </w:rPr>
        <w:t xml:space="preserve"> &lt; .0001) versus the normal control</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d)</w:t>
      </w:r>
      <w:r w:rsidRPr="004A7114">
        <w:rPr>
          <w:rFonts w:ascii="Arial" w:hAnsi="Arial" w:cs="Arial"/>
          <w:lang w:val="en-IN"/>
        </w:rPr>
        <w:t xml:space="preserve">. </w:t>
      </w:r>
    </w:p>
    <w:p w14:paraId="5723A0D1" w14:textId="3355809E" w:rsidR="00D11895" w:rsidRDefault="004A7114" w:rsidP="00C6546E">
      <w:pPr>
        <w:pStyle w:val="Body"/>
        <w:spacing w:after="0"/>
        <w:rPr>
          <w:rFonts w:ascii="Arial" w:hAnsi="Arial" w:cs="Arial"/>
          <w:lang w:val="en-IN"/>
        </w:rPr>
      </w:pPr>
      <w:r w:rsidRPr="004A7114">
        <w:rPr>
          <w:rFonts w:ascii="Arial" w:hAnsi="Arial" w:cs="Arial"/>
          <w:lang w:val="en-IN"/>
        </w:rPr>
        <w:t>A slight elevation in potassium levels was noted at both 100 mg/kg (</w:t>
      </w:r>
      <w:r w:rsidRPr="00D11895">
        <w:rPr>
          <w:rFonts w:ascii="Arial" w:hAnsi="Arial" w:cs="Arial"/>
          <w:i/>
          <w:iCs/>
          <w:lang w:val="en-IN"/>
        </w:rPr>
        <w:t xml:space="preserve">P </w:t>
      </w:r>
      <w:r w:rsidRPr="004A7114">
        <w:rPr>
          <w:rFonts w:ascii="Arial" w:hAnsi="Arial" w:cs="Arial"/>
          <w:lang w:val="en-IN"/>
        </w:rPr>
        <w:t>= .047) and 250 mg/kg (</w:t>
      </w:r>
      <w:r w:rsidRPr="00D11895">
        <w:rPr>
          <w:rFonts w:ascii="Arial" w:hAnsi="Arial" w:cs="Arial"/>
          <w:i/>
          <w:iCs/>
          <w:lang w:val="en-IN"/>
        </w:rPr>
        <w:t>P</w:t>
      </w:r>
      <w:r w:rsidRPr="004A7114">
        <w:rPr>
          <w:rFonts w:ascii="Arial" w:hAnsi="Arial" w:cs="Arial"/>
          <w:lang w:val="en-IN"/>
        </w:rPr>
        <w:t xml:space="preserve"> = .001)</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e)</w:t>
      </w:r>
      <w:r w:rsidRPr="004A7114">
        <w:rPr>
          <w:rFonts w:ascii="Arial" w:hAnsi="Arial" w:cs="Arial"/>
          <w:lang w:val="en-IN"/>
        </w:rPr>
        <w:t>. Albumin did not exhibit any main effects of sex (F</w:t>
      </w:r>
      <w:r w:rsidRPr="004A7114">
        <w:rPr>
          <w:rFonts w:ascii="Arial" w:hAnsi="Arial" w:cs="Arial"/>
          <w:vertAlign w:val="subscript"/>
          <w:lang w:val="en-IN"/>
        </w:rPr>
        <w:t>1, 24</w:t>
      </w:r>
      <w:r w:rsidRPr="004A7114">
        <w:rPr>
          <w:rFonts w:ascii="Arial" w:hAnsi="Arial" w:cs="Arial"/>
          <w:lang w:val="en-IN"/>
        </w:rPr>
        <w:t xml:space="preserve"> = 1.00, </w:t>
      </w:r>
      <w:r w:rsidRPr="00D11895">
        <w:rPr>
          <w:rFonts w:ascii="Arial" w:hAnsi="Arial" w:cs="Arial"/>
          <w:i/>
          <w:iCs/>
          <w:lang w:val="en-IN"/>
        </w:rPr>
        <w:t>P</w:t>
      </w:r>
      <w:r w:rsidRPr="004A7114">
        <w:rPr>
          <w:rFonts w:ascii="Arial" w:hAnsi="Arial" w:cs="Arial"/>
          <w:lang w:val="en-IN"/>
        </w:rPr>
        <w:t xml:space="preserve"> = .33) or group (F</w:t>
      </w:r>
      <w:r w:rsidRPr="004A7114">
        <w:rPr>
          <w:rFonts w:ascii="Arial" w:hAnsi="Arial" w:cs="Arial"/>
          <w:vertAlign w:val="subscript"/>
          <w:lang w:val="en-IN"/>
        </w:rPr>
        <w:t>3, 24</w:t>
      </w:r>
      <w:r w:rsidRPr="004A7114">
        <w:rPr>
          <w:rFonts w:ascii="Arial" w:hAnsi="Arial" w:cs="Arial"/>
          <w:lang w:val="en-IN"/>
        </w:rPr>
        <w:t xml:space="preserve"> = 1.31, </w:t>
      </w:r>
      <w:r w:rsidRPr="00D11895">
        <w:rPr>
          <w:rFonts w:ascii="Arial" w:hAnsi="Arial" w:cs="Arial"/>
          <w:i/>
          <w:iCs/>
          <w:lang w:val="en-IN"/>
        </w:rPr>
        <w:t>P</w:t>
      </w:r>
      <w:r w:rsidRPr="004A7114">
        <w:rPr>
          <w:rFonts w:ascii="Arial" w:hAnsi="Arial" w:cs="Arial"/>
          <w:lang w:val="en-IN"/>
        </w:rPr>
        <w:t xml:space="preserve"> = .29), nor was there an interaction effect (F</w:t>
      </w:r>
      <w:r w:rsidRPr="004A7114">
        <w:rPr>
          <w:rFonts w:ascii="Arial" w:hAnsi="Arial" w:cs="Arial"/>
          <w:vertAlign w:val="subscript"/>
          <w:lang w:val="en-IN"/>
        </w:rPr>
        <w:t>3, 24</w:t>
      </w:r>
      <w:r w:rsidRPr="004A7114">
        <w:rPr>
          <w:rFonts w:ascii="Arial" w:hAnsi="Arial" w:cs="Arial"/>
          <w:lang w:val="en-IN"/>
        </w:rPr>
        <w:t xml:space="preserve"> = 1.02, </w:t>
      </w:r>
      <w:r w:rsidRPr="00D11895">
        <w:rPr>
          <w:rFonts w:ascii="Arial" w:hAnsi="Arial" w:cs="Arial"/>
          <w:i/>
          <w:iCs/>
          <w:lang w:val="en-IN"/>
        </w:rPr>
        <w:t>P</w:t>
      </w:r>
      <w:r w:rsidRPr="004A7114">
        <w:rPr>
          <w:rFonts w:ascii="Arial" w:hAnsi="Arial" w:cs="Arial"/>
          <w:lang w:val="en-IN"/>
        </w:rPr>
        <w:t xml:space="preserve"> = </w:t>
      </w:r>
      <w:r w:rsidR="00EE523E">
        <w:rPr>
          <w:rFonts w:ascii="Arial" w:hAnsi="Arial" w:cs="Arial"/>
          <w:lang w:val="en-IN"/>
        </w:rPr>
        <w:t>.40)</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g)</w:t>
      </w:r>
      <w:r w:rsidRPr="004A7114">
        <w:rPr>
          <w:rFonts w:ascii="Arial" w:hAnsi="Arial" w:cs="Arial"/>
          <w:lang w:val="en-IN"/>
        </w:rPr>
        <w:t>. Similar constancy was observed in total protein (Sex: F</w:t>
      </w:r>
      <w:r w:rsidRPr="004A7114">
        <w:rPr>
          <w:rFonts w:ascii="Arial" w:hAnsi="Arial" w:cs="Arial"/>
          <w:vertAlign w:val="subscript"/>
          <w:lang w:val="en-IN"/>
        </w:rPr>
        <w:t>1, 24</w:t>
      </w:r>
      <w:r w:rsidRPr="004A7114">
        <w:rPr>
          <w:rFonts w:ascii="Arial" w:hAnsi="Arial" w:cs="Arial"/>
          <w:lang w:val="en-IN"/>
        </w:rPr>
        <w:t xml:space="preserve"> = 0.087, </w:t>
      </w:r>
      <w:r w:rsidRPr="00D11895">
        <w:rPr>
          <w:rFonts w:ascii="Arial" w:hAnsi="Arial" w:cs="Arial"/>
          <w:i/>
          <w:iCs/>
          <w:lang w:val="en-IN"/>
        </w:rPr>
        <w:t>P</w:t>
      </w:r>
      <w:r w:rsidRPr="004A7114">
        <w:rPr>
          <w:rFonts w:ascii="Arial" w:hAnsi="Arial" w:cs="Arial"/>
          <w:lang w:val="en-IN"/>
        </w:rPr>
        <w:t xml:space="preserve"> = .77; Group: F</w:t>
      </w:r>
      <w:r w:rsidRPr="004A7114">
        <w:rPr>
          <w:rFonts w:ascii="Arial" w:hAnsi="Arial" w:cs="Arial"/>
          <w:vertAlign w:val="subscript"/>
          <w:lang w:val="en-IN"/>
        </w:rPr>
        <w:t>3, 24</w:t>
      </w:r>
      <w:r w:rsidRPr="004A7114">
        <w:rPr>
          <w:rFonts w:ascii="Arial" w:hAnsi="Arial" w:cs="Arial"/>
          <w:lang w:val="en-IN"/>
        </w:rPr>
        <w:t xml:space="preserve"> = 1.68, </w:t>
      </w:r>
      <w:r w:rsidRPr="00D11895">
        <w:rPr>
          <w:rFonts w:ascii="Arial" w:hAnsi="Arial" w:cs="Arial"/>
          <w:i/>
          <w:iCs/>
          <w:lang w:val="en-IN"/>
        </w:rPr>
        <w:t>P</w:t>
      </w:r>
      <w:r w:rsidRPr="004A7114">
        <w:rPr>
          <w:rFonts w:ascii="Arial" w:hAnsi="Arial" w:cs="Arial"/>
          <w:lang w:val="en-IN"/>
        </w:rPr>
        <w:t xml:space="preserve"> = .2; Interaction: F</w:t>
      </w:r>
      <w:r w:rsidRPr="004A7114">
        <w:rPr>
          <w:rFonts w:ascii="Arial" w:hAnsi="Arial" w:cs="Arial"/>
          <w:vertAlign w:val="subscript"/>
          <w:lang w:val="en-IN"/>
        </w:rPr>
        <w:t>3, 24</w:t>
      </w:r>
      <w:r w:rsidRPr="004A7114">
        <w:rPr>
          <w:rFonts w:ascii="Arial" w:hAnsi="Arial" w:cs="Arial"/>
          <w:lang w:val="en-IN"/>
        </w:rPr>
        <w:t xml:space="preserve"> = 2.15, </w:t>
      </w:r>
      <w:r w:rsidRPr="00D11895">
        <w:rPr>
          <w:rFonts w:ascii="Arial" w:hAnsi="Arial" w:cs="Arial"/>
          <w:i/>
          <w:iCs/>
          <w:lang w:val="en-IN"/>
        </w:rPr>
        <w:t>P</w:t>
      </w:r>
      <w:r w:rsidRPr="004A7114">
        <w:rPr>
          <w:rFonts w:ascii="Arial" w:hAnsi="Arial" w:cs="Arial"/>
          <w:lang w:val="en-IN"/>
        </w:rPr>
        <w:t xml:space="preserve"> = .12)</w:t>
      </w:r>
      <w:r w:rsidR="00D54CB6">
        <w:rPr>
          <w:rFonts w:ascii="Arial" w:hAnsi="Arial" w:cs="Arial"/>
          <w:lang w:val="en-IN"/>
        </w:rPr>
        <w:t xml:space="preserve"> (Fig. </w:t>
      </w:r>
      <w:r w:rsidR="00DC62A8">
        <w:rPr>
          <w:rFonts w:ascii="Arial" w:hAnsi="Arial" w:cs="Arial"/>
          <w:lang w:val="en-IN"/>
        </w:rPr>
        <w:t>2</w:t>
      </w:r>
      <w:r w:rsidR="00EE523E">
        <w:rPr>
          <w:rFonts w:ascii="Arial" w:hAnsi="Arial" w:cs="Arial"/>
          <w:lang w:val="en-IN"/>
        </w:rPr>
        <w:t>l) and</w:t>
      </w:r>
      <w:r w:rsidRPr="004A7114">
        <w:rPr>
          <w:rFonts w:ascii="Arial" w:hAnsi="Arial" w:cs="Arial"/>
          <w:lang w:val="en-IN"/>
        </w:rPr>
        <w:t xml:space="preserve"> total bilirubin, which showed no significant effects (Sex: F</w:t>
      </w:r>
      <w:r w:rsidRPr="004A7114">
        <w:rPr>
          <w:rFonts w:ascii="Arial" w:hAnsi="Arial" w:cs="Arial"/>
          <w:vertAlign w:val="subscript"/>
          <w:lang w:val="en-IN"/>
        </w:rPr>
        <w:t>1, 24</w:t>
      </w:r>
      <w:r w:rsidRPr="004A7114">
        <w:rPr>
          <w:rFonts w:ascii="Arial" w:hAnsi="Arial" w:cs="Arial"/>
          <w:lang w:val="en-IN"/>
        </w:rPr>
        <w:t xml:space="preserve"> = 0.18, </w:t>
      </w:r>
      <w:r w:rsidRPr="00D11895">
        <w:rPr>
          <w:rFonts w:ascii="Arial" w:hAnsi="Arial" w:cs="Arial"/>
          <w:i/>
          <w:iCs/>
          <w:lang w:val="en-IN"/>
        </w:rPr>
        <w:t>P</w:t>
      </w:r>
      <w:r w:rsidRPr="004A7114">
        <w:rPr>
          <w:rFonts w:ascii="Arial" w:hAnsi="Arial" w:cs="Arial"/>
          <w:lang w:val="en-IN"/>
        </w:rPr>
        <w:t xml:space="preserve"> = 0.68; Group: F</w:t>
      </w:r>
      <w:r w:rsidRPr="004A7114">
        <w:rPr>
          <w:rFonts w:ascii="Arial" w:hAnsi="Arial" w:cs="Arial"/>
          <w:vertAlign w:val="subscript"/>
          <w:lang w:val="en-IN"/>
        </w:rPr>
        <w:t>3, 24</w:t>
      </w:r>
      <w:r w:rsidRPr="004A7114">
        <w:rPr>
          <w:rFonts w:ascii="Arial" w:hAnsi="Arial" w:cs="Arial"/>
          <w:lang w:val="en-IN"/>
        </w:rPr>
        <w:t xml:space="preserve"> = 0.53, </w:t>
      </w:r>
      <w:r w:rsidRPr="00D11895">
        <w:rPr>
          <w:rFonts w:ascii="Arial" w:hAnsi="Arial" w:cs="Arial"/>
          <w:i/>
          <w:iCs/>
          <w:lang w:val="en-IN"/>
        </w:rPr>
        <w:t>P</w:t>
      </w:r>
      <w:r w:rsidRPr="004A7114">
        <w:rPr>
          <w:rFonts w:ascii="Arial" w:hAnsi="Arial" w:cs="Arial"/>
          <w:lang w:val="en-IN"/>
        </w:rPr>
        <w:t xml:space="preserve"> = .67; Interaction: F</w:t>
      </w:r>
      <w:r w:rsidRPr="004A7114">
        <w:rPr>
          <w:rFonts w:ascii="Arial" w:hAnsi="Arial" w:cs="Arial"/>
          <w:vertAlign w:val="subscript"/>
          <w:lang w:val="en-IN"/>
        </w:rPr>
        <w:t>3, 24</w:t>
      </w:r>
      <w:r w:rsidRPr="004A7114">
        <w:rPr>
          <w:rFonts w:ascii="Arial" w:hAnsi="Arial" w:cs="Arial"/>
          <w:lang w:val="en-IN"/>
        </w:rPr>
        <w:t xml:space="preserve"> = 1.71, </w:t>
      </w:r>
      <w:r w:rsidRPr="00D11895">
        <w:rPr>
          <w:rFonts w:ascii="Arial" w:hAnsi="Arial" w:cs="Arial"/>
          <w:i/>
          <w:iCs/>
          <w:lang w:val="en-IN"/>
        </w:rPr>
        <w:t>P</w:t>
      </w:r>
      <w:r w:rsidRPr="004A7114">
        <w:rPr>
          <w:rFonts w:ascii="Arial" w:hAnsi="Arial" w:cs="Arial"/>
          <w:lang w:val="en-IN"/>
        </w:rPr>
        <w:t xml:space="preserve"> = .193)</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k</w:t>
      </w:r>
      <w:r w:rsidR="00D54CB6">
        <w:rPr>
          <w:rFonts w:ascii="Arial" w:hAnsi="Arial" w:cs="Arial"/>
          <w:lang w:val="en-IN"/>
        </w:rPr>
        <w:t>)</w:t>
      </w:r>
      <w:r w:rsidRPr="004A7114">
        <w:rPr>
          <w:rFonts w:ascii="Arial" w:hAnsi="Arial" w:cs="Arial"/>
          <w:lang w:val="en-IN"/>
        </w:rPr>
        <w:t>. Alkaline phosphatase levels varied by sex (F</w:t>
      </w:r>
      <w:r w:rsidRPr="004A7114">
        <w:rPr>
          <w:rFonts w:ascii="Arial" w:hAnsi="Arial" w:cs="Arial"/>
          <w:vertAlign w:val="subscript"/>
          <w:lang w:val="en-IN"/>
        </w:rPr>
        <w:t>1, 24</w:t>
      </w:r>
      <w:r w:rsidRPr="004A7114">
        <w:rPr>
          <w:rFonts w:ascii="Arial" w:hAnsi="Arial" w:cs="Arial"/>
          <w:lang w:val="en-IN"/>
        </w:rPr>
        <w:t xml:space="preserve"> = 13.37, </w:t>
      </w:r>
      <w:r w:rsidRPr="00D11895">
        <w:rPr>
          <w:rFonts w:ascii="Arial" w:hAnsi="Arial" w:cs="Arial"/>
          <w:i/>
          <w:iCs/>
          <w:lang w:val="en-IN"/>
        </w:rPr>
        <w:t>P</w:t>
      </w:r>
      <w:r w:rsidRPr="004A7114">
        <w:rPr>
          <w:rFonts w:ascii="Arial" w:hAnsi="Arial" w:cs="Arial"/>
          <w:lang w:val="en-IN"/>
        </w:rPr>
        <w:t xml:space="preserve"> = .001) and group (F</w:t>
      </w:r>
      <w:r w:rsidRPr="004A7114">
        <w:rPr>
          <w:rFonts w:ascii="Arial" w:hAnsi="Arial" w:cs="Arial"/>
          <w:vertAlign w:val="subscript"/>
          <w:lang w:val="en-IN"/>
        </w:rPr>
        <w:t>3, 24</w:t>
      </w:r>
      <w:r w:rsidRPr="004A7114">
        <w:rPr>
          <w:rFonts w:ascii="Arial" w:hAnsi="Arial" w:cs="Arial"/>
          <w:lang w:val="en-IN"/>
        </w:rPr>
        <w:t xml:space="preserve"> = 3.995, </w:t>
      </w:r>
      <w:r w:rsidRPr="00D11895">
        <w:rPr>
          <w:rFonts w:ascii="Arial" w:hAnsi="Arial" w:cs="Arial"/>
          <w:i/>
          <w:iCs/>
          <w:lang w:val="en-IN"/>
        </w:rPr>
        <w:t>P</w:t>
      </w:r>
      <w:r w:rsidRPr="004A7114">
        <w:rPr>
          <w:rFonts w:ascii="Arial" w:hAnsi="Arial" w:cs="Arial"/>
          <w:lang w:val="en-IN"/>
        </w:rPr>
        <w:t xml:space="preserve"> = .019) but not by interaction (F</w:t>
      </w:r>
      <w:r w:rsidRPr="004A7114">
        <w:rPr>
          <w:rFonts w:ascii="Arial" w:hAnsi="Arial" w:cs="Arial"/>
          <w:vertAlign w:val="subscript"/>
          <w:lang w:val="en-IN"/>
        </w:rPr>
        <w:t>3, 24</w:t>
      </w:r>
      <w:r w:rsidRPr="004A7114">
        <w:rPr>
          <w:rFonts w:ascii="Arial" w:hAnsi="Arial" w:cs="Arial"/>
          <w:lang w:val="en-IN"/>
        </w:rPr>
        <w:t xml:space="preserve"> = 2.53, </w:t>
      </w:r>
      <w:r w:rsidRPr="00D11895">
        <w:rPr>
          <w:rFonts w:ascii="Arial" w:hAnsi="Arial" w:cs="Arial"/>
          <w:i/>
          <w:iCs/>
          <w:lang w:val="en-IN"/>
        </w:rPr>
        <w:t>P</w:t>
      </w:r>
      <w:r w:rsidRPr="004A7114">
        <w:rPr>
          <w:rFonts w:ascii="Arial" w:hAnsi="Arial" w:cs="Arial"/>
          <w:lang w:val="en-IN"/>
        </w:rPr>
        <w:t xml:space="preserve"> = .81)</w:t>
      </w:r>
      <w:r w:rsidR="00D54CB6">
        <w:rPr>
          <w:rFonts w:ascii="Arial" w:hAnsi="Arial" w:cs="Arial"/>
          <w:lang w:val="en-IN"/>
        </w:rPr>
        <w:t xml:space="preserve"> (Fig. 1</w:t>
      </w:r>
      <w:r w:rsidR="00D3482D">
        <w:rPr>
          <w:rFonts w:ascii="Arial" w:hAnsi="Arial" w:cs="Arial"/>
          <w:lang w:val="en-IN"/>
        </w:rPr>
        <w:t>h</w:t>
      </w:r>
      <w:r w:rsidR="00D54CB6">
        <w:rPr>
          <w:rFonts w:ascii="Arial" w:hAnsi="Arial" w:cs="Arial"/>
          <w:lang w:val="en-IN"/>
        </w:rPr>
        <w:t>)</w:t>
      </w:r>
      <w:r w:rsidRPr="004A7114">
        <w:rPr>
          <w:rFonts w:ascii="Arial" w:hAnsi="Arial" w:cs="Arial"/>
          <w:lang w:val="en-IN"/>
        </w:rPr>
        <w:t>. Pairwise tests for SGPT/ALT</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i</w:t>
      </w:r>
      <w:r w:rsidR="00D54CB6">
        <w:rPr>
          <w:rFonts w:ascii="Arial" w:hAnsi="Arial" w:cs="Arial"/>
          <w:lang w:val="en-IN"/>
        </w:rPr>
        <w:t>)</w:t>
      </w:r>
      <w:r w:rsidRPr="004A7114">
        <w:rPr>
          <w:rFonts w:ascii="Arial" w:hAnsi="Arial" w:cs="Arial"/>
          <w:lang w:val="en-IN"/>
        </w:rPr>
        <w:t xml:space="preserve"> and SGOT/AST</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j</w:t>
      </w:r>
      <w:r w:rsidR="00D54CB6">
        <w:rPr>
          <w:rFonts w:ascii="Arial" w:hAnsi="Arial" w:cs="Arial"/>
          <w:lang w:val="en-IN"/>
        </w:rPr>
        <w:t>)</w:t>
      </w:r>
      <w:r w:rsidRPr="004A7114">
        <w:rPr>
          <w:rFonts w:ascii="Arial" w:hAnsi="Arial" w:cs="Arial"/>
          <w:lang w:val="en-IN"/>
        </w:rPr>
        <w:t xml:space="preserve"> revealed no differences in comparison to normal control for vehicle, 100 mg/kg, or 250 mg/kg. </w:t>
      </w:r>
    </w:p>
    <w:p w14:paraId="5743B61A" w14:textId="77777777" w:rsidR="00DA78B4" w:rsidRDefault="00DA78B4" w:rsidP="00C6546E">
      <w:pPr>
        <w:pStyle w:val="Body"/>
        <w:spacing w:after="0"/>
        <w:rPr>
          <w:rFonts w:ascii="Arial" w:hAnsi="Arial" w:cs="Arial"/>
          <w:lang w:val="en-IN"/>
        </w:rPr>
      </w:pPr>
    </w:p>
    <w:p w14:paraId="42F52604" w14:textId="77777777" w:rsidR="00DA78B4" w:rsidRDefault="00DA78B4" w:rsidP="00C6546E">
      <w:pPr>
        <w:pStyle w:val="Body"/>
        <w:spacing w:after="0"/>
        <w:rPr>
          <w:rFonts w:ascii="Arial" w:hAnsi="Arial" w:cs="Arial"/>
          <w:lang w:val="en-IN"/>
        </w:rPr>
      </w:pPr>
    </w:p>
    <w:p w14:paraId="0AA404D1" w14:textId="77777777" w:rsidR="00D54CB6" w:rsidRDefault="00DA78B4" w:rsidP="00C6546E">
      <w:pPr>
        <w:pStyle w:val="Body"/>
        <w:spacing w:after="0"/>
        <w:rPr>
          <w:rFonts w:ascii="Arial" w:hAnsi="Arial" w:cs="Arial"/>
          <w:lang w:val="en-IN"/>
        </w:rPr>
      </w:pPr>
      <w:r>
        <w:rPr>
          <w:rFonts w:ascii="Arial" w:eastAsia="Calibri" w:hAnsi="Arial" w:cs="Arial"/>
          <w:noProof/>
          <w:color w:val="FF0000"/>
          <w:szCs w:val="22"/>
        </w:rPr>
        <w:lastRenderedPageBreak/>
        <w:drawing>
          <wp:inline distT="0" distB="0" distL="0" distR="0" wp14:anchorId="34C2599D" wp14:editId="0C6D22CD">
            <wp:extent cx="4594860" cy="6539230"/>
            <wp:effectExtent l="0" t="0" r="0" b="0"/>
            <wp:docPr id="1126840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0454" name="Picture 1126840454"/>
                    <pic:cNvPicPr/>
                  </pic:nvPicPr>
                  <pic:blipFill rotWithShape="1">
                    <a:blip r:embed="rId9" cstate="print">
                      <a:extLst>
                        <a:ext uri="{28A0092B-C50C-407E-A947-70E740481C1C}">
                          <a14:useLocalDpi xmlns:a14="http://schemas.microsoft.com/office/drawing/2010/main" val="0"/>
                        </a:ext>
                      </a:extLst>
                    </a:blip>
                    <a:srcRect r="3127" b="2089"/>
                    <a:stretch>
                      <a:fillRect/>
                    </a:stretch>
                  </pic:blipFill>
                  <pic:spPr bwMode="auto">
                    <a:xfrm>
                      <a:off x="0" y="0"/>
                      <a:ext cx="4594860" cy="6539230"/>
                    </a:xfrm>
                    <a:prstGeom prst="rect">
                      <a:avLst/>
                    </a:prstGeom>
                    <a:ln>
                      <a:noFill/>
                    </a:ln>
                    <a:extLst>
                      <a:ext uri="{53640926-AAD7-44D8-BBD7-CCE9431645EC}">
                        <a14:shadowObscured xmlns:a14="http://schemas.microsoft.com/office/drawing/2010/main"/>
                      </a:ext>
                    </a:extLst>
                  </pic:spPr>
                </pic:pic>
              </a:graphicData>
            </a:graphic>
          </wp:inline>
        </w:drawing>
      </w:r>
    </w:p>
    <w:p w14:paraId="0D1E0F10" w14:textId="77777777" w:rsidR="00D3482D" w:rsidRDefault="00D3482D" w:rsidP="00C6546E">
      <w:pPr>
        <w:pStyle w:val="Body"/>
        <w:spacing w:after="0"/>
        <w:rPr>
          <w:rFonts w:ascii="Arial" w:hAnsi="Arial" w:cs="Arial"/>
          <w:b/>
          <w:bCs/>
        </w:rPr>
      </w:pPr>
    </w:p>
    <w:p w14:paraId="44892B9E" w14:textId="3E017A94" w:rsidR="00D3482D" w:rsidRPr="00D3482D" w:rsidRDefault="00D3482D" w:rsidP="00C6546E">
      <w:pPr>
        <w:pStyle w:val="Body"/>
        <w:spacing w:after="0"/>
        <w:rPr>
          <w:rFonts w:ascii="Arial" w:hAnsi="Arial" w:cs="Arial"/>
          <w:b/>
          <w:bCs/>
        </w:rPr>
      </w:pPr>
      <w:bookmarkStart w:id="1" w:name="_Hlk206268350"/>
      <w:r w:rsidRPr="00D3482D">
        <w:rPr>
          <w:rFonts w:ascii="Arial" w:hAnsi="Arial" w:cs="Arial"/>
          <w:b/>
          <w:bCs/>
        </w:rPr>
        <w:t xml:space="preserve">Fig. </w:t>
      </w:r>
      <w:r w:rsidR="00DC62A8">
        <w:rPr>
          <w:rFonts w:ascii="Arial" w:hAnsi="Arial" w:cs="Arial"/>
          <w:b/>
          <w:bCs/>
        </w:rPr>
        <w:t>2</w:t>
      </w:r>
      <w:r w:rsidRPr="00D3482D">
        <w:rPr>
          <w:rFonts w:ascii="Arial" w:hAnsi="Arial" w:cs="Arial"/>
          <w:b/>
          <w:bCs/>
        </w:rPr>
        <w:t xml:space="preserve">. Two-way ANOVA analysis followed by </w:t>
      </w:r>
      <w:r w:rsidR="00EE523E">
        <w:rPr>
          <w:rFonts w:ascii="Arial" w:hAnsi="Arial" w:cs="Arial"/>
          <w:b/>
          <w:bCs/>
        </w:rPr>
        <w:t>Bonferroni</w:t>
      </w:r>
      <w:r w:rsidRPr="00D3482D">
        <w:rPr>
          <w:rFonts w:ascii="Arial" w:hAnsi="Arial" w:cs="Arial"/>
          <w:b/>
          <w:bCs/>
        </w:rPr>
        <w:t xml:space="preserve"> post-hoc test of (a) </w:t>
      </w:r>
      <w:r w:rsidR="00EE523E">
        <w:rPr>
          <w:rFonts w:ascii="Arial" w:hAnsi="Arial" w:cs="Arial"/>
          <w:b/>
          <w:bCs/>
        </w:rPr>
        <w:t>Creatinine,</w:t>
      </w:r>
      <w:r w:rsidRPr="00D3482D">
        <w:rPr>
          <w:rFonts w:ascii="Arial" w:hAnsi="Arial" w:cs="Arial"/>
          <w:b/>
          <w:bCs/>
        </w:rPr>
        <w:t xml:space="preserve"> (b) </w:t>
      </w:r>
      <w:r w:rsidR="00EE523E">
        <w:rPr>
          <w:rFonts w:ascii="Arial" w:hAnsi="Arial" w:cs="Arial"/>
          <w:b/>
          <w:bCs/>
        </w:rPr>
        <w:t>urea,</w:t>
      </w:r>
      <w:r w:rsidRPr="00D3482D">
        <w:rPr>
          <w:rFonts w:ascii="Arial" w:hAnsi="Arial" w:cs="Arial"/>
          <w:b/>
          <w:bCs/>
        </w:rPr>
        <w:t xml:space="preserve"> (c) Calcium, (d) Phosphorous, (e) Potassium, (f) Sodium, (g) Albumin, (h) Alkaline phosphatase, (</w:t>
      </w:r>
      <w:proofErr w:type="spellStart"/>
      <w:r w:rsidRPr="00D3482D">
        <w:rPr>
          <w:rFonts w:ascii="Arial" w:hAnsi="Arial" w:cs="Arial"/>
          <w:b/>
          <w:bCs/>
        </w:rPr>
        <w:t>i</w:t>
      </w:r>
      <w:proofErr w:type="spellEnd"/>
      <w:r w:rsidRPr="00D3482D">
        <w:rPr>
          <w:rFonts w:ascii="Arial" w:hAnsi="Arial" w:cs="Arial"/>
          <w:b/>
          <w:bCs/>
        </w:rPr>
        <w:t xml:space="preserve">)SGPT/ALT, (j) SGOT/AST, (k) Total bilirubin, (l) Total Protein of the experimental groups. </w:t>
      </w:r>
    </w:p>
    <w:p w14:paraId="27F6DB38" w14:textId="484F382B" w:rsidR="00D3482D" w:rsidRDefault="00D3482D" w:rsidP="00C6546E">
      <w:pPr>
        <w:pStyle w:val="Body"/>
        <w:spacing w:after="0"/>
        <w:rPr>
          <w:rFonts w:ascii="Arial" w:hAnsi="Arial" w:cs="Arial"/>
          <w:i/>
        </w:rPr>
      </w:pPr>
      <w:r>
        <w:rPr>
          <w:rFonts w:ascii="Arial" w:hAnsi="Arial" w:cs="Arial"/>
          <w:i/>
        </w:rPr>
        <w:t>Significance level</w:t>
      </w:r>
      <w:r w:rsidR="00741E80">
        <w:rPr>
          <w:rFonts w:ascii="Arial" w:hAnsi="Arial" w:cs="Arial"/>
          <w:i/>
        </w:rPr>
        <w:t>s</w:t>
      </w:r>
      <w:r>
        <w:rPr>
          <w:rFonts w:ascii="Arial" w:hAnsi="Arial" w:cs="Arial"/>
          <w:i/>
        </w:rPr>
        <w:t xml:space="preserve"> are denoted by </w:t>
      </w:r>
      <w:r w:rsidRPr="00D3482D">
        <w:rPr>
          <w:rFonts w:ascii="Arial" w:hAnsi="Arial" w:cs="Arial"/>
          <w:i/>
        </w:rPr>
        <w:t>* P &lt; 0.05; ** P &lt; 0.01</w:t>
      </w:r>
      <w:r>
        <w:rPr>
          <w:rFonts w:ascii="Arial" w:hAnsi="Arial" w:cs="Arial"/>
          <w:i/>
        </w:rPr>
        <w:t xml:space="preserve">; </w:t>
      </w:r>
      <w:r w:rsidRPr="00D3482D">
        <w:rPr>
          <w:rFonts w:ascii="Arial" w:hAnsi="Arial" w:cs="Arial"/>
          <w:i/>
        </w:rPr>
        <w:t>**</w:t>
      </w:r>
      <w:r>
        <w:rPr>
          <w:rFonts w:ascii="Arial" w:hAnsi="Arial" w:cs="Arial"/>
          <w:i/>
        </w:rPr>
        <w:t>*</w:t>
      </w:r>
      <w:r w:rsidRPr="00D3482D">
        <w:rPr>
          <w:rFonts w:ascii="Arial" w:hAnsi="Arial" w:cs="Arial"/>
          <w:i/>
        </w:rPr>
        <w:t xml:space="preserve"> P &lt; 0.01</w:t>
      </w:r>
    </w:p>
    <w:p w14:paraId="3D236AEE" w14:textId="21E34C67" w:rsidR="00D3482D" w:rsidRPr="00D3482D" w:rsidRDefault="00D3482D" w:rsidP="00C6546E">
      <w:pPr>
        <w:pStyle w:val="Body"/>
        <w:spacing w:after="0"/>
        <w:rPr>
          <w:rFonts w:ascii="Arial" w:hAnsi="Arial" w:cs="Arial"/>
          <w:i/>
          <w:iCs/>
        </w:rPr>
      </w:pPr>
      <w:r w:rsidRPr="00D3482D">
        <w:rPr>
          <w:rFonts w:ascii="Arial" w:hAnsi="Arial" w:cs="Arial"/>
          <w:i/>
          <w:iCs/>
        </w:rPr>
        <w:t>All data are represented in Mean ± SEM, n=8</w:t>
      </w:r>
    </w:p>
    <w:bookmarkEnd w:id="1"/>
    <w:p w14:paraId="4726911F" w14:textId="77777777" w:rsidR="00D3482D" w:rsidRDefault="00D3482D" w:rsidP="00C6546E">
      <w:pPr>
        <w:pStyle w:val="Body"/>
        <w:spacing w:after="0"/>
        <w:rPr>
          <w:rFonts w:ascii="Arial" w:hAnsi="Arial" w:cs="Arial"/>
        </w:rPr>
      </w:pPr>
    </w:p>
    <w:p w14:paraId="1E8A5DA9" w14:textId="3A6EE497" w:rsidR="00C6546E" w:rsidRDefault="004A7114" w:rsidP="00C6546E">
      <w:pPr>
        <w:pStyle w:val="Body"/>
        <w:spacing w:after="0"/>
        <w:rPr>
          <w:rFonts w:ascii="Arial" w:hAnsi="Arial" w:cs="Arial"/>
          <w:lang w:val="en-IN"/>
        </w:rPr>
      </w:pPr>
      <w:r w:rsidRPr="004A7114">
        <w:rPr>
          <w:rFonts w:ascii="Arial" w:hAnsi="Arial" w:cs="Arial"/>
          <w:lang w:val="en-IN"/>
        </w:rPr>
        <w:lastRenderedPageBreak/>
        <w:t>RBC counts exhibited sex-associated variability (F</w:t>
      </w:r>
      <w:r w:rsidRPr="004A7114">
        <w:rPr>
          <w:rFonts w:ascii="Arial" w:hAnsi="Arial" w:cs="Arial"/>
          <w:vertAlign w:val="subscript"/>
          <w:lang w:val="en-IN"/>
        </w:rPr>
        <w:t>1, 24</w:t>
      </w:r>
      <w:r w:rsidRPr="004A7114">
        <w:rPr>
          <w:rFonts w:ascii="Arial" w:hAnsi="Arial" w:cs="Arial"/>
          <w:lang w:val="en-IN"/>
        </w:rPr>
        <w:t xml:space="preserve"> = 12.34, </w:t>
      </w:r>
      <w:r w:rsidRPr="00D11895">
        <w:rPr>
          <w:rFonts w:ascii="Arial" w:hAnsi="Arial" w:cs="Arial"/>
          <w:i/>
          <w:iCs/>
          <w:lang w:val="en-IN"/>
        </w:rPr>
        <w:t>P</w:t>
      </w:r>
      <w:r w:rsidRPr="004A7114">
        <w:rPr>
          <w:rFonts w:ascii="Arial" w:hAnsi="Arial" w:cs="Arial"/>
          <w:lang w:val="en-IN"/>
        </w:rPr>
        <w:t xml:space="preserve"> = .00</w:t>
      </w:r>
      <w:r>
        <w:rPr>
          <w:rFonts w:ascii="Arial" w:hAnsi="Arial" w:cs="Arial"/>
          <w:lang w:val="en-IN"/>
        </w:rPr>
        <w:t>2</w:t>
      </w:r>
      <w:r w:rsidRPr="004A7114">
        <w:rPr>
          <w:rFonts w:ascii="Arial" w:hAnsi="Arial" w:cs="Arial"/>
          <w:lang w:val="en-IN"/>
        </w:rPr>
        <w:t>) without significant group effects (F</w:t>
      </w:r>
      <w:r w:rsidRPr="004A7114">
        <w:rPr>
          <w:rFonts w:ascii="Arial" w:hAnsi="Arial" w:cs="Arial"/>
          <w:vertAlign w:val="subscript"/>
          <w:lang w:val="en-IN"/>
        </w:rPr>
        <w:t>3, 24</w:t>
      </w:r>
      <w:r w:rsidRPr="004A7114">
        <w:rPr>
          <w:rFonts w:ascii="Arial" w:hAnsi="Arial" w:cs="Arial"/>
          <w:lang w:val="en-IN"/>
        </w:rPr>
        <w:t xml:space="preserve"> = 2.75, </w:t>
      </w:r>
      <w:r w:rsidRPr="00D11895">
        <w:rPr>
          <w:rFonts w:ascii="Arial" w:hAnsi="Arial" w:cs="Arial"/>
          <w:i/>
          <w:iCs/>
          <w:lang w:val="en-IN"/>
        </w:rPr>
        <w:t>P</w:t>
      </w:r>
      <w:r w:rsidRPr="004A7114">
        <w:rPr>
          <w:rFonts w:ascii="Arial" w:hAnsi="Arial" w:cs="Arial"/>
          <w:lang w:val="en-IN"/>
        </w:rPr>
        <w:t xml:space="preserve"> = .06) or interaction (F</w:t>
      </w:r>
      <w:r w:rsidRPr="004A7114">
        <w:rPr>
          <w:rFonts w:ascii="Arial" w:hAnsi="Arial" w:cs="Arial"/>
          <w:vertAlign w:val="subscript"/>
          <w:lang w:val="en-IN"/>
        </w:rPr>
        <w:t>3, 24</w:t>
      </w:r>
      <w:r w:rsidRPr="004A7114">
        <w:rPr>
          <w:rFonts w:ascii="Arial" w:hAnsi="Arial" w:cs="Arial"/>
          <w:lang w:val="en-IN"/>
        </w:rPr>
        <w:t xml:space="preserve"> = 2.47, </w:t>
      </w:r>
      <w:r w:rsidRPr="00D11895">
        <w:rPr>
          <w:rFonts w:ascii="Arial" w:hAnsi="Arial" w:cs="Arial"/>
          <w:i/>
          <w:iCs/>
          <w:lang w:val="en-IN"/>
        </w:rPr>
        <w:t>P</w:t>
      </w:r>
      <w:r w:rsidRPr="004A7114">
        <w:rPr>
          <w:rFonts w:ascii="Arial" w:hAnsi="Arial" w:cs="Arial"/>
          <w:lang w:val="en-IN"/>
        </w:rPr>
        <w:t xml:space="preserve"> = .08)</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a)</w:t>
      </w:r>
      <w:r w:rsidRPr="004A7114">
        <w:rPr>
          <w:rFonts w:ascii="Arial" w:hAnsi="Arial" w:cs="Arial"/>
          <w:lang w:val="en-IN"/>
        </w:rPr>
        <w:t>. HCT did not show significant effects (Sex: F</w:t>
      </w:r>
      <w:r w:rsidRPr="004A7114">
        <w:rPr>
          <w:rFonts w:ascii="Arial" w:hAnsi="Arial" w:cs="Arial"/>
          <w:vertAlign w:val="subscript"/>
          <w:lang w:val="en-IN"/>
        </w:rPr>
        <w:t>1, 24</w:t>
      </w:r>
      <w:r w:rsidRPr="004A7114">
        <w:rPr>
          <w:rFonts w:ascii="Arial" w:hAnsi="Arial" w:cs="Arial"/>
          <w:lang w:val="en-IN"/>
        </w:rPr>
        <w:t xml:space="preserve"> = 3.28, </w:t>
      </w:r>
      <w:r w:rsidRPr="00D11895">
        <w:rPr>
          <w:rFonts w:ascii="Arial" w:hAnsi="Arial" w:cs="Arial"/>
          <w:i/>
          <w:iCs/>
          <w:lang w:val="en-IN"/>
        </w:rPr>
        <w:t>P</w:t>
      </w:r>
      <w:r w:rsidRPr="004A7114">
        <w:rPr>
          <w:rFonts w:ascii="Arial" w:hAnsi="Arial" w:cs="Arial"/>
          <w:lang w:val="en-IN"/>
        </w:rPr>
        <w:t xml:space="preserve"> = .08; Group: F</w:t>
      </w:r>
      <w:r w:rsidRPr="004A7114">
        <w:rPr>
          <w:rFonts w:ascii="Arial" w:hAnsi="Arial" w:cs="Arial"/>
          <w:vertAlign w:val="subscript"/>
          <w:lang w:val="en-IN"/>
        </w:rPr>
        <w:t>3, 24</w:t>
      </w:r>
      <w:r w:rsidRPr="004A7114">
        <w:rPr>
          <w:rFonts w:ascii="Arial" w:hAnsi="Arial" w:cs="Arial"/>
          <w:lang w:val="en-IN"/>
        </w:rPr>
        <w:t xml:space="preserve"> = 1.67, </w:t>
      </w:r>
      <w:r w:rsidRPr="00D11895">
        <w:rPr>
          <w:rFonts w:ascii="Arial" w:hAnsi="Arial" w:cs="Arial"/>
          <w:i/>
          <w:iCs/>
          <w:lang w:val="en-IN"/>
        </w:rPr>
        <w:t>P</w:t>
      </w:r>
      <w:r w:rsidRPr="004A7114">
        <w:rPr>
          <w:rFonts w:ascii="Arial" w:hAnsi="Arial" w:cs="Arial"/>
          <w:lang w:val="en-IN"/>
        </w:rPr>
        <w:t xml:space="preserve"> = 0.2; Interaction: F</w:t>
      </w:r>
      <w:r w:rsidRPr="004A7114">
        <w:rPr>
          <w:rFonts w:ascii="Arial" w:hAnsi="Arial" w:cs="Arial"/>
          <w:vertAlign w:val="subscript"/>
          <w:lang w:val="en-IN"/>
        </w:rPr>
        <w:t>3, 24</w:t>
      </w:r>
      <w:r w:rsidRPr="004A7114">
        <w:rPr>
          <w:rFonts w:ascii="Arial" w:hAnsi="Arial" w:cs="Arial"/>
          <w:lang w:val="en-IN"/>
        </w:rPr>
        <w:t xml:space="preserve"> = </w:t>
      </w:r>
      <w:r w:rsidR="006172F0">
        <w:rPr>
          <w:rFonts w:ascii="Arial" w:hAnsi="Arial" w:cs="Arial"/>
          <w:lang w:val="en-IN"/>
        </w:rPr>
        <w:t>0</w:t>
      </w:r>
      <w:r w:rsidRPr="004A7114">
        <w:rPr>
          <w:rFonts w:ascii="Arial" w:hAnsi="Arial" w:cs="Arial"/>
          <w:lang w:val="en-IN"/>
        </w:rPr>
        <w:t xml:space="preserve">.49, </w:t>
      </w:r>
      <w:r w:rsidRPr="00D11895">
        <w:rPr>
          <w:rFonts w:ascii="Arial" w:hAnsi="Arial" w:cs="Arial"/>
          <w:i/>
          <w:iCs/>
          <w:lang w:val="en-IN"/>
        </w:rPr>
        <w:t>P</w:t>
      </w:r>
      <w:r w:rsidRPr="004A7114">
        <w:rPr>
          <w:rFonts w:ascii="Arial" w:hAnsi="Arial" w:cs="Arial"/>
          <w:lang w:val="en-IN"/>
        </w:rPr>
        <w:t xml:space="preserve"> = .69)</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b)</w:t>
      </w:r>
      <w:r w:rsidRPr="004A7114">
        <w:rPr>
          <w:rFonts w:ascii="Arial" w:hAnsi="Arial" w:cs="Arial"/>
          <w:lang w:val="en-IN"/>
        </w:rPr>
        <w:t>, and the same was true for HGB (Sex: F</w:t>
      </w:r>
      <w:r w:rsidRPr="004A7114">
        <w:rPr>
          <w:rFonts w:ascii="Arial" w:hAnsi="Arial" w:cs="Arial"/>
          <w:vertAlign w:val="subscript"/>
          <w:lang w:val="en-IN"/>
        </w:rPr>
        <w:t>1, 24</w:t>
      </w:r>
      <w:r w:rsidRPr="004A7114">
        <w:rPr>
          <w:rFonts w:ascii="Arial" w:hAnsi="Arial" w:cs="Arial"/>
          <w:lang w:val="en-IN"/>
        </w:rPr>
        <w:t xml:space="preserve"> = 1.19, </w:t>
      </w:r>
      <w:r w:rsidRPr="00D11895">
        <w:rPr>
          <w:rFonts w:ascii="Arial" w:hAnsi="Arial" w:cs="Arial"/>
          <w:i/>
          <w:iCs/>
          <w:lang w:val="en-IN"/>
        </w:rPr>
        <w:t>P</w:t>
      </w:r>
      <w:r w:rsidRPr="004A7114">
        <w:rPr>
          <w:rFonts w:ascii="Arial" w:hAnsi="Arial" w:cs="Arial"/>
          <w:lang w:val="en-IN"/>
        </w:rPr>
        <w:t xml:space="preserve"> = .28; Group: F</w:t>
      </w:r>
      <w:r w:rsidRPr="004A7114">
        <w:rPr>
          <w:rFonts w:ascii="Arial" w:hAnsi="Arial" w:cs="Arial"/>
          <w:vertAlign w:val="subscript"/>
          <w:lang w:val="en-IN"/>
        </w:rPr>
        <w:t>3, 24</w:t>
      </w:r>
      <w:r w:rsidRPr="004A7114">
        <w:rPr>
          <w:rFonts w:ascii="Arial" w:hAnsi="Arial" w:cs="Arial"/>
          <w:lang w:val="en-IN"/>
        </w:rPr>
        <w:t xml:space="preserve"> = 2.49, </w:t>
      </w:r>
      <w:r w:rsidRPr="004A7114">
        <w:rPr>
          <w:rFonts w:ascii="Arial" w:hAnsi="Arial" w:cs="Arial"/>
          <w:i/>
          <w:iCs/>
          <w:lang w:val="en-IN"/>
        </w:rPr>
        <w:t>P</w:t>
      </w:r>
      <w:r w:rsidRPr="004A7114">
        <w:rPr>
          <w:rFonts w:ascii="Arial" w:hAnsi="Arial" w:cs="Arial"/>
          <w:lang w:val="en-IN"/>
        </w:rPr>
        <w:t xml:space="preserve"> = .0</w:t>
      </w:r>
      <w:r w:rsidR="009D0598">
        <w:rPr>
          <w:rFonts w:ascii="Arial" w:hAnsi="Arial" w:cs="Arial"/>
          <w:lang w:val="en-IN"/>
        </w:rPr>
        <w:t>9</w:t>
      </w:r>
      <w:r w:rsidRPr="004A7114">
        <w:rPr>
          <w:rFonts w:ascii="Arial" w:hAnsi="Arial" w:cs="Arial"/>
          <w:lang w:val="en-IN"/>
        </w:rPr>
        <w:t>; Interaction: F</w:t>
      </w:r>
      <w:r w:rsidRPr="004A7114">
        <w:rPr>
          <w:rFonts w:ascii="Arial" w:hAnsi="Arial" w:cs="Arial"/>
          <w:vertAlign w:val="subscript"/>
          <w:lang w:val="en-IN"/>
        </w:rPr>
        <w:t>3, 24</w:t>
      </w:r>
      <w:r w:rsidRPr="004A7114">
        <w:rPr>
          <w:rFonts w:ascii="Arial" w:hAnsi="Arial" w:cs="Arial"/>
          <w:lang w:val="en-IN"/>
        </w:rPr>
        <w:t xml:space="preserve"> = 0.026, </w:t>
      </w:r>
      <w:r w:rsidRPr="004A7114">
        <w:rPr>
          <w:rFonts w:ascii="Arial" w:hAnsi="Arial" w:cs="Arial"/>
          <w:i/>
          <w:iCs/>
          <w:lang w:val="en-IN"/>
        </w:rPr>
        <w:t>P</w:t>
      </w:r>
      <w:r w:rsidRPr="004A7114">
        <w:rPr>
          <w:rFonts w:ascii="Arial" w:hAnsi="Arial" w:cs="Arial"/>
          <w:lang w:val="en-IN"/>
        </w:rPr>
        <w:t xml:space="preserve"> = .99)</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c)</w:t>
      </w:r>
      <w:r w:rsidRPr="004A7114">
        <w:rPr>
          <w:rFonts w:ascii="Arial" w:hAnsi="Arial" w:cs="Arial"/>
          <w:lang w:val="en-IN"/>
        </w:rPr>
        <w:t>. For MCV, Bonferroni tests identified an increase at 100 mg/kg (</w:t>
      </w:r>
      <w:r w:rsidRPr="004A7114">
        <w:rPr>
          <w:rFonts w:ascii="Arial" w:hAnsi="Arial" w:cs="Arial"/>
          <w:i/>
          <w:iCs/>
          <w:lang w:val="en-IN"/>
        </w:rPr>
        <w:t>P</w:t>
      </w:r>
      <w:r w:rsidRPr="004A7114">
        <w:rPr>
          <w:rFonts w:ascii="Arial" w:hAnsi="Arial" w:cs="Arial"/>
          <w:lang w:val="en-IN"/>
        </w:rPr>
        <w:t xml:space="preserve"> = .00</w:t>
      </w:r>
      <w:r>
        <w:rPr>
          <w:rFonts w:ascii="Arial" w:hAnsi="Arial" w:cs="Arial"/>
          <w:lang w:val="en-IN"/>
        </w:rPr>
        <w:t>2</w:t>
      </w:r>
      <w:r w:rsidRPr="004A7114">
        <w:rPr>
          <w:rFonts w:ascii="Arial" w:hAnsi="Arial" w:cs="Arial"/>
          <w:lang w:val="en-IN"/>
        </w:rPr>
        <w:t>), with borderline effects noted for vehicle (</w:t>
      </w:r>
      <w:r w:rsidRPr="004A7114">
        <w:rPr>
          <w:rFonts w:ascii="Arial" w:hAnsi="Arial" w:cs="Arial"/>
          <w:i/>
          <w:iCs/>
          <w:lang w:val="en-IN"/>
        </w:rPr>
        <w:t>P</w:t>
      </w:r>
      <w:r w:rsidRPr="004A7114">
        <w:rPr>
          <w:rFonts w:ascii="Arial" w:hAnsi="Arial" w:cs="Arial"/>
          <w:lang w:val="en-IN"/>
        </w:rPr>
        <w:t xml:space="preserve"> = 0.05) and 250 mg/kg (</w:t>
      </w:r>
      <w:r w:rsidRPr="004A7114">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7</w:t>
      </w:r>
      <w:r w:rsidRPr="004A7114">
        <w:rPr>
          <w:rFonts w:ascii="Arial" w:hAnsi="Arial" w:cs="Arial"/>
          <w:lang w:val="en-IN"/>
        </w:rPr>
        <w:t>) compared to normal control</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d)</w:t>
      </w:r>
      <w:r w:rsidRPr="004A7114">
        <w:rPr>
          <w:rFonts w:ascii="Arial" w:hAnsi="Arial" w:cs="Arial"/>
          <w:lang w:val="en-IN"/>
        </w:rPr>
        <w:t>. MCH showed no significant alterations</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e)</w:t>
      </w:r>
      <w:r w:rsidRPr="004A7114">
        <w:rPr>
          <w:rFonts w:ascii="Arial" w:hAnsi="Arial" w:cs="Arial"/>
          <w:lang w:val="en-IN"/>
        </w:rPr>
        <w:t>, while MCHC displayed substantial changes at 100 mg/kg (</w:t>
      </w:r>
      <w:r w:rsidRPr="00D11895">
        <w:rPr>
          <w:rFonts w:ascii="Arial" w:hAnsi="Arial" w:cs="Arial"/>
          <w:i/>
          <w:iCs/>
          <w:lang w:val="en-IN"/>
        </w:rPr>
        <w:t>P</w:t>
      </w:r>
      <w:r w:rsidRPr="004A7114">
        <w:rPr>
          <w:rFonts w:ascii="Arial" w:hAnsi="Arial" w:cs="Arial"/>
          <w:lang w:val="en-IN"/>
        </w:rPr>
        <w:t xml:space="preserve"> = .0</w:t>
      </w:r>
      <w:r w:rsidR="009D0598">
        <w:rPr>
          <w:rFonts w:ascii="Arial" w:hAnsi="Arial" w:cs="Arial"/>
          <w:lang w:val="en-IN"/>
        </w:rPr>
        <w:t>2</w:t>
      </w:r>
      <w:r w:rsidRPr="004A7114">
        <w:rPr>
          <w:rFonts w:ascii="Arial" w:hAnsi="Arial" w:cs="Arial"/>
          <w:lang w:val="en-IN"/>
        </w:rPr>
        <w:t>) and even more pronounced changes at 250 mg/kg (</w:t>
      </w:r>
      <w:r w:rsidRPr="00D11895">
        <w:rPr>
          <w:rFonts w:ascii="Arial" w:hAnsi="Arial" w:cs="Arial"/>
          <w:i/>
          <w:iCs/>
          <w:lang w:val="en-IN"/>
        </w:rPr>
        <w:t>P</w:t>
      </w:r>
      <w:r w:rsidRPr="004A7114">
        <w:rPr>
          <w:rFonts w:ascii="Arial" w:hAnsi="Arial" w:cs="Arial"/>
          <w:lang w:val="en-IN"/>
        </w:rPr>
        <w:t xml:space="preserve"> &lt; .001)</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f)</w:t>
      </w:r>
      <w:r w:rsidRPr="004A7114">
        <w:rPr>
          <w:rFonts w:ascii="Arial" w:hAnsi="Arial" w:cs="Arial"/>
          <w:lang w:val="en-IN"/>
        </w:rPr>
        <w:t>. RDW-CV was elevated at 250 mg/kg (</w:t>
      </w:r>
      <w:r w:rsidRPr="00D11895">
        <w:rPr>
          <w:rFonts w:ascii="Arial" w:hAnsi="Arial" w:cs="Arial"/>
          <w:i/>
          <w:iCs/>
          <w:lang w:val="en-IN"/>
        </w:rPr>
        <w:t>P</w:t>
      </w:r>
      <w:r w:rsidRPr="004A7114">
        <w:rPr>
          <w:rFonts w:ascii="Arial" w:hAnsi="Arial" w:cs="Arial"/>
          <w:lang w:val="en-IN"/>
        </w:rPr>
        <w:t xml:space="preserve"> = .01), with no significant alteration at the 100 mg/kg dose</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g)</w:t>
      </w:r>
      <w:r w:rsidRPr="004A7114">
        <w:rPr>
          <w:rFonts w:ascii="Arial" w:hAnsi="Arial" w:cs="Arial"/>
          <w:lang w:val="en-IN"/>
        </w:rPr>
        <w:t>. Platelet counts were increased at both 100 mg/kg (</w:t>
      </w:r>
      <w:r w:rsidRPr="00D11895">
        <w:rPr>
          <w:rFonts w:ascii="Arial" w:hAnsi="Arial" w:cs="Arial"/>
          <w:i/>
          <w:iCs/>
          <w:lang w:val="en-IN"/>
        </w:rPr>
        <w:t>P</w:t>
      </w:r>
      <w:r w:rsidRPr="004A7114">
        <w:rPr>
          <w:rFonts w:ascii="Arial" w:hAnsi="Arial" w:cs="Arial"/>
          <w:lang w:val="en-IN"/>
        </w:rPr>
        <w:t xml:space="preserve"> &lt; .001) and 250 mg/kg (</w:t>
      </w:r>
      <w:r w:rsidRPr="00D11895">
        <w:rPr>
          <w:rFonts w:ascii="Arial" w:hAnsi="Arial" w:cs="Arial"/>
          <w:i/>
          <w:iCs/>
          <w:lang w:val="en-IN"/>
        </w:rPr>
        <w:t>P</w:t>
      </w:r>
      <w:r w:rsidRPr="004A7114">
        <w:rPr>
          <w:rFonts w:ascii="Arial" w:hAnsi="Arial" w:cs="Arial"/>
          <w:lang w:val="en-IN"/>
        </w:rPr>
        <w:t xml:space="preserve"> &lt; .001), with no changes observed in the vehicle group (</w:t>
      </w:r>
      <w:r w:rsidRPr="00D11895">
        <w:rPr>
          <w:rFonts w:ascii="Arial" w:hAnsi="Arial" w:cs="Arial"/>
          <w:i/>
          <w:iCs/>
          <w:lang w:val="en-IN"/>
        </w:rPr>
        <w:t>P</w:t>
      </w:r>
      <w:r w:rsidRPr="004A7114">
        <w:rPr>
          <w:rFonts w:ascii="Arial" w:hAnsi="Arial" w:cs="Arial"/>
          <w:lang w:val="en-IN"/>
        </w:rPr>
        <w:t xml:space="preserve"> = .2)</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h)</w:t>
      </w:r>
    </w:p>
    <w:p w14:paraId="1526EE3A" w14:textId="5970F059" w:rsidR="00D54CB6" w:rsidRDefault="00D54CB6" w:rsidP="00C6546E">
      <w:pPr>
        <w:pStyle w:val="Body"/>
        <w:spacing w:after="0"/>
        <w:rPr>
          <w:rFonts w:ascii="Arial" w:hAnsi="Arial" w:cs="Arial"/>
          <w:lang w:val="en-IN"/>
        </w:rPr>
      </w:pPr>
      <w:r>
        <w:rPr>
          <w:rFonts w:ascii="Arial" w:hAnsi="Arial" w:cs="Arial"/>
          <w:noProof/>
          <w:lang w:val="en-IN"/>
        </w:rPr>
        <w:drawing>
          <wp:inline distT="0" distB="0" distL="0" distR="0" wp14:anchorId="5CC167E3" wp14:editId="09242D0A">
            <wp:extent cx="3269090" cy="5884363"/>
            <wp:effectExtent l="0" t="0" r="7620" b="2540"/>
            <wp:docPr id="604075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5891" name="Picture 6040758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149" cy="5920470"/>
                    </a:xfrm>
                    <a:prstGeom prst="rect">
                      <a:avLst/>
                    </a:prstGeom>
                  </pic:spPr>
                </pic:pic>
              </a:graphicData>
            </a:graphic>
          </wp:inline>
        </w:drawing>
      </w:r>
    </w:p>
    <w:p w14:paraId="0979C25B" w14:textId="7068C780" w:rsidR="00D3482D" w:rsidRPr="00D3482D" w:rsidRDefault="00D3482D" w:rsidP="00D3482D">
      <w:pPr>
        <w:pStyle w:val="Body"/>
        <w:spacing w:after="0"/>
        <w:rPr>
          <w:rFonts w:ascii="Arial" w:hAnsi="Arial" w:cs="Arial"/>
          <w:b/>
          <w:bCs/>
        </w:rPr>
      </w:pPr>
      <w:r w:rsidRPr="00D3482D">
        <w:rPr>
          <w:rFonts w:ascii="Arial" w:hAnsi="Arial" w:cs="Arial"/>
          <w:b/>
          <w:bCs/>
        </w:rPr>
        <w:lastRenderedPageBreak/>
        <w:t xml:space="preserve">Fig. </w:t>
      </w:r>
      <w:r w:rsidR="00A24523">
        <w:rPr>
          <w:rFonts w:ascii="Arial" w:hAnsi="Arial" w:cs="Arial"/>
          <w:b/>
          <w:bCs/>
        </w:rPr>
        <w:t>3</w:t>
      </w:r>
      <w:r w:rsidRPr="00D3482D">
        <w:rPr>
          <w:rFonts w:ascii="Arial" w:hAnsi="Arial" w:cs="Arial"/>
          <w:b/>
          <w:bCs/>
        </w:rPr>
        <w:t xml:space="preserve">. Two-way ANOVA analysis followed by </w:t>
      </w:r>
      <w:proofErr w:type="spellStart"/>
      <w:r w:rsidRPr="00D3482D">
        <w:rPr>
          <w:rFonts w:ascii="Arial" w:hAnsi="Arial" w:cs="Arial"/>
          <w:b/>
          <w:bCs/>
        </w:rPr>
        <w:t>Bonferonni</w:t>
      </w:r>
      <w:proofErr w:type="spellEnd"/>
      <w:r w:rsidRPr="00D3482D">
        <w:rPr>
          <w:rFonts w:ascii="Arial" w:hAnsi="Arial" w:cs="Arial"/>
          <w:b/>
          <w:bCs/>
        </w:rPr>
        <w:t xml:space="preserve"> post-hoc test of (a) </w:t>
      </w:r>
      <w:bookmarkStart w:id="2" w:name="_Hlk206269019"/>
      <w:r w:rsidR="0054774F">
        <w:rPr>
          <w:rFonts w:ascii="Arial" w:hAnsi="Arial" w:cs="Arial"/>
          <w:b/>
          <w:bCs/>
        </w:rPr>
        <w:t>RBC</w:t>
      </w:r>
      <w:r w:rsidRPr="00D3482D">
        <w:rPr>
          <w:rFonts w:ascii="Arial" w:hAnsi="Arial" w:cs="Arial"/>
          <w:b/>
          <w:bCs/>
        </w:rPr>
        <w:t xml:space="preserve">, (b) </w:t>
      </w:r>
      <w:r w:rsidR="0054774F">
        <w:rPr>
          <w:rFonts w:ascii="Arial" w:hAnsi="Arial" w:cs="Arial"/>
          <w:b/>
          <w:bCs/>
        </w:rPr>
        <w:t>HCT</w:t>
      </w:r>
      <w:r w:rsidRPr="00D3482D">
        <w:rPr>
          <w:rFonts w:ascii="Arial" w:hAnsi="Arial" w:cs="Arial"/>
          <w:b/>
          <w:bCs/>
        </w:rPr>
        <w:t xml:space="preserve">, (c) </w:t>
      </w:r>
      <w:r w:rsidR="0054774F">
        <w:rPr>
          <w:rFonts w:ascii="Arial" w:hAnsi="Arial" w:cs="Arial"/>
          <w:b/>
          <w:bCs/>
        </w:rPr>
        <w:t>Hemoglobin</w:t>
      </w:r>
      <w:r w:rsidRPr="00D3482D">
        <w:rPr>
          <w:rFonts w:ascii="Arial" w:hAnsi="Arial" w:cs="Arial"/>
          <w:b/>
          <w:bCs/>
        </w:rPr>
        <w:t xml:space="preserve">, (d) </w:t>
      </w:r>
      <w:r w:rsidR="0054774F">
        <w:rPr>
          <w:rFonts w:ascii="Arial" w:hAnsi="Arial" w:cs="Arial"/>
          <w:b/>
          <w:bCs/>
        </w:rPr>
        <w:t>MCV</w:t>
      </w:r>
      <w:r w:rsidRPr="00D3482D">
        <w:rPr>
          <w:rFonts w:ascii="Arial" w:hAnsi="Arial" w:cs="Arial"/>
          <w:b/>
          <w:bCs/>
        </w:rPr>
        <w:t xml:space="preserve">, (e) </w:t>
      </w:r>
      <w:r w:rsidR="0054774F">
        <w:rPr>
          <w:rFonts w:ascii="Arial" w:hAnsi="Arial" w:cs="Arial"/>
          <w:b/>
          <w:bCs/>
        </w:rPr>
        <w:t>MCH</w:t>
      </w:r>
      <w:r w:rsidRPr="00D3482D">
        <w:rPr>
          <w:rFonts w:ascii="Arial" w:hAnsi="Arial" w:cs="Arial"/>
          <w:b/>
          <w:bCs/>
        </w:rPr>
        <w:t xml:space="preserve">, (f) </w:t>
      </w:r>
      <w:r w:rsidR="0054774F">
        <w:rPr>
          <w:rFonts w:ascii="Arial" w:hAnsi="Arial" w:cs="Arial"/>
          <w:b/>
          <w:bCs/>
        </w:rPr>
        <w:t>MCHC</w:t>
      </w:r>
      <w:r w:rsidRPr="00D3482D">
        <w:rPr>
          <w:rFonts w:ascii="Arial" w:hAnsi="Arial" w:cs="Arial"/>
          <w:b/>
          <w:bCs/>
        </w:rPr>
        <w:t xml:space="preserve">, (g) </w:t>
      </w:r>
      <w:r w:rsidR="0054774F">
        <w:rPr>
          <w:rFonts w:ascii="Arial" w:hAnsi="Arial" w:cs="Arial"/>
          <w:b/>
          <w:bCs/>
        </w:rPr>
        <w:t>RDW-CV</w:t>
      </w:r>
      <w:r w:rsidRPr="00D3482D">
        <w:rPr>
          <w:rFonts w:ascii="Arial" w:hAnsi="Arial" w:cs="Arial"/>
          <w:b/>
          <w:bCs/>
        </w:rPr>
        <w:t xml:space="preserve">, (h) </w:t>
      </w:r>
      <w:r w:rsidR="0054774F">
        <w:rPr>
          <w:rFonts w:ascii="Arial" w:hAnsi="Arial" w:cs="Arial"/>
          <w:b/>
          <w:bCs/>
        </w:rPr>
        <w:t>Platelet</w:t>
      </w:r>
      <w:r w:rsidRPr="00D3482D">
        <w:rPr>
          <w:rFonts w:ascii="Arial" w:hAnsi="Arial" w:cs="Arial"/>
          <w:b/>
          <w:bCs/>
        </w:rPr>
        <w:t xml:space="preserve"> </w:t>
      </w:r>
      <w:bookmarkEnd w:id="2"/>
      <w:r w:rsidRPr="00D3482D">
        <w:rPr>
          <w:rFonts w:ascii="Arial" w:hAnsi="Arial" w:cs="Arial"/>
          <w:b/>
          <w:bCs/>
        </w:rPr>
        <w:t xml:space="preserve">of the experimental groups. </w:t>
      </w:r>
    </w:p>
    <w:p w14:paraId="1F21E54B" w14:textId="531E311E" w:rsidR="00D3482D" w:rsidRDefault="00D3482D" w:rsidP="00D3482D">
      <w:pPr>
        <w:pStyle w:val="Body"/>
        <w:spacing w:after="0"/>
        <w:rPr>
          <w:rFonts w:ascii="Arial" w:hAnsi="Arial" w:cs="Arial"/>
          <w:i/>
        </w:rPr>
      </w:pPr>
      <w:r>
        <w:rPr>
          <w:rFonts w:ascii="Arial" w:hAnsi="Arial" w:cs="Arial"/>
          <w:i/>
        </w:rPr>
        <w:t>Significance level</w:t>
      </w:r>
      <w:r w:rsidR="00741E80">
        <w:rPr>
          <w:rFonts w:ascii="Arial" w:hAnsi="Arial" w:cs="Arial"/>
          <w:i/>
        </w:rPr>
        <w:t>s</w:t>
      </w:r>
      <w:r>
        <w:rPr>
          <w:rFonts w:ascii="Arial" w:hAnsi="Arial" w:cs="Arial"/>
          <w:i/>
        </w:rPr>
        <w:t xml:space="preserve"> are denoted by </w:t>
      </w:r>
      <w:r w:rsidRPr="00D3482D">
        <w:rPr>
          <w:rFonts w:ascii="Arial" w:hAnsi="Arial" w:cs="Arial"/>
          <w:i/>
        </w:rPr>
        <w:t>* P &lt; 0.05; ** P &lt; 0.01</w:t>
      </w:r>
      <w:r>
        <w:rPr>
          <w:rFonts w:ascii="Arial" w:hAnsi="Arial" w:cs="Arial"/>
          <w:i/>
        </w:rPr>
        <w:t xml:space="preserve">; </w:t>
      </w:r>
      <w:r w:rsidRPr="00D3482D">
        <w:rPr>
          <w:rFonts w:ascii="Arial" w:hAnsi="Arial" w:cs="Arial"/>
          <w:i/>
        </w:rPr>
        <w:t>**</w:t>
      </w:r>
      <w:r>
        <w:rPr>
          <w:rFonts w:ascii="Arial" w:hAnsi="Arial" w:cs="Arial"/>
          <w:i/>
        </w:rPr>
        <w:t>*</w:t>
      </w:r>
      <w:r w:rsidRPr="00D3482D">
        <w:rPr>
          <w:rFonts w:ascii="Arial" w:hAnsi="Arial" w:cs="Arial"/>
          <w:i/>
        </w:rPr>
        <w:t xml:space="preserve"> P &lt; 0.01</w:t>
      </w:r>
    </w:p>
    <w:p w14:paraId="7266259E" w14:textId="77777777" w:rsidR="00D3482D" w:rsidRPr="00D3482D" w:rsidRDefault="00D3482D" w:rsidP="00D3482D">
      <w:pPr>
        <w:pStyle w:val="Body"/>
        <w:spacing w:after="0"/>
        <w:rPr>
          <w:rFonts w:ascii="Arial" w:hAnsi="Arial" w:cs="Arial"/>
          <w:i/>
          <w:iCs/>
        </w:rPr>
      </w:pPr>
      <w:r w:rsidRPr="00D3482D">
        <w:rPr>
          <w:rFonts w:ascii="Arial" w:hAnsi="Arial" w:cs="Arial"/>
          <w:i/>
          <w:iCs/>
        </w:rPr>
        <w:t>All data are represented in Mean ± SEM, n=8</w:t>
      </w:r>
    </w:p>
    <w:p w14:paraId="0FA87AD6" w14:textId="2BDFF4C7" w:rsidR="00DA78B4" w:rsidRDefault="00DA78B4" w:rsidP="00441B6F">
      <w:pPr>
        <w:pStyle w:val="Body"/>
        <w:spacing w:after="0"/>
        <w:rPr>
          <w:rFonts w:ascii="Arial" w:eastAsia="Calibri" w:hAnsi="Arial" w:cs="Arial"/>
          <w:color w:val="FF0000"/>
          <w:szCs w:val="22"/>
        </w:rPr>
      </w:pPr>
    </w:p>
    <w:p w14:paraId="0C5E65A2" w14:textId="1F7187B2" w:rsidR="00B95236" w:rsidRDefault="0095512E" w:rsidP="00441B6F">
      <w:pPr>
        <w:pStyle w:val="Body"/>
        <w:spacing w:after="0"/>
        <w:rPr>
          <w:rFonts w:ascii="Arial" w:hAnsi="Arial" w:cs="Arial"/>
        </w:rPr>
      </w:pPr>
      <w:r w:rsidRPr="0095512E">
        <w:rPr>
          <w:rFonts w:ascii="Arial" w:eastAsia="Calibri" w:hAnsi="Arial" w:cs="Arial"/>
          <w:b/>
          <w:bCs/>
          <w:szCs w:val="22"/>
        </w:rPr>
        <w:t xml:space="preserve">4. </w:t>
      </w:r>
      <w:r w:rsidR="002D1A29" w:rsidRPr="0095512E">
        <w:rPr>
          <w:rFonts w:ascii="Arial" w:eastAsia="Calibri" w:hAnsi="Arial" w:cs="Arial"/>
          <w:b/>
          <w:bCs/>
          <w:szCs w:val="22"/>
        </w:rPr>
        <w:t>DISCUSSION</w:t>
      </w:r>
    </w:p>
    <w:p w14:paraId="20315E29" w14:textId="77777777" w:rsidR="0095512E" w:rsidRDefault="0095512E" w:rsidP="00B5269C">
      <w:pPr>
        <w:pStyle w:val="Body"/>
        <w:spacing w:after="0"/>
        <w:rPr>
          <w:rFonts w:ascii="Arial" w:hAnsi="Arial" w:cs="Arial"/>
          <w:lang w:val="en-IN"/>
        </w:rPr>
      </w:pPr>
    </w:p>
    <w:p w14:paraId="4656FFEF" w14:textId="31AD330A"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proximate analysis of our extract revealed that carbohydrates constitute the primary macronutrient (7.12 ± 0.35 g/100 g dried extract), while protein content is relatively low (1.23 ± 0.19 g/100 g). The moisture content was determined to be 21%, and total ash content was 3.45%. These findings largely align with existing literature </w:t>
      </w:r>
      <w:r w:rsidR="0097341F">
        <w:rPr>
          <w:rFonts w:ascii="Arial" w:hAnsi="Arial" w:cs="Arial"/>
          <w:lang w:val="en-IN"/>
        </w:rPr>
        <w:fldChar w:fldCharType="begin" w:fldLock="1"/>
      </w:r>
      <w:r w:rsidR="00741E80">
        <w:rPr>
          <w:rFonts w:ascii="Arial" w:hAnsi="Arial" w:cs="Arial"/>
          <w:lang w:val="en-IN"/>
        </w:rPr>
        <w:instrText>ADDIN CSL_CITATION {"citationItems":[{"id":"ITEM-1","itemData":{"DOI":"10.1177/09731296231158433","ISSN":"0973-1296","abstract":"Background Garcinia pedunculata (GP) Roxb. is a traditional medicinal plant used for treating gastrointestinal disorders. The fruit is always consumed in dried form in cuisines and as medicine.Objectives To study the effect of drying conditions (shade, oven, and traditional sun drying) on the nutritional profile of GP while assessing the choice of solvent extraction for the maximum phytocompounds extraction; their in vitro biological activities and chemical profiling.Materials and Methods The fruits were cut into thin 0.9 ± 0.3 cm slices and dried in the shade (25?30°C), sun (34?40°C), and oven (70?80°C). The extraction was done using methanol, hydromethanol, ethanol, hydroethanol, and water. HPLC and LC-ESI-MS/MS were used to identify the bioactive compounds.Results In this study, the impact of three drying conditions has been investigated and established that shade-dried (ShD) has a better-preserved nutritional profile. In terms of phytochemical extraction, comparatively higher amounts of phenols (394.00 ± 12.28 mg Gallic acid equivalent (GAE)/g of dried sample) and flavonoids (72.62 ± 2.06 mg Quercetin/g of dried sample) were recorded in the shade-dried hydromethanolic extract (ShDMH), which was directly in line with the better antioxidant activity (IC50 for 1,1-diphenyl-2-picrylhydrazyl (DPPH), 647.99 ± 7.66 µg/mL, 2,2?-azino-bis(3-ethylbenzothiazoline)6-sulfonic acid (ABTS), 762.02 ± 18.74 µg/mL) and enzyme-inhibitory potential (IC50 for α- glucosidase 1908.06 ± 13.26 µg/mL and for lipase 613.59 ± 7.57 µg/mL) of this extract.Conclusion The conclusive evidence from this study indicates that shade drying and extraction with hydromethanolic solvent preserves most of the nutritional components and has a higher extraction yield with well-conserved phytochemical composition. Also, these bioactive compounds such as hydroxycitric acid, GB-1a, garcinone A, 9-hydroxycalabaxanthone, chlorogenic acid, and garcinol are present in these extracts. This fruit, although beneficial is still underutilized, and this outcome is believed to be significantly valuable for the further aspects of GP fruit-based nutraceutical or phytopharmaceutical development.","author":[{"dropping-particle":"","family":"Bhattacharjee","given":" Swarnali","non-dropping-particle":"","parse-names":false,"suffix":""},{"dropping-particle":"","family":"Ramakrishnan","given":" Elancheran","non-dropping-particle":"","parse-names":false,"suffix":""},{"dropping-particle":"","family":"Deb","given":" Prashanta Kumar","non-dropping-particle":"","parse-names":false,"suffix":""},{"dropping-particle":"","family":"Sarma","given":" Partha Pratim","non-dropping-particle":"","parse-names":false,"suffix":""},{"dropping-particle":"","family":"Choudhury","given":" Debopriya","non-dropping-particle":"","parse-names":false,"suffix":""},{"dropping-particle":"","family":"Kabilan","given":" Senthamaraikannan","non-dropping-particle":"","parse-names":false,"suffix":""},{"dropping-particle":"","family":"Devi","given":" Rajlakshmi","non-dropping-particle":"","parse-names":false,"suffix":""}],"container-title":"Pharmacognosy Magazine","id":"ITEM-1","issue":"2","issued":{"date-parts":[["2023","4","9"]]},"note":"doi: 10.1177/09731296231158433","page":"269-283","publisher":"SAGE Publications","title":"Influence of Drying Condition on Nutritional and Chemical Profile of Garcinia pedunculata Roxb. Fruit","type":"article-journal","volume":"19"},"uris":["http://www.mendeley.com/documents/?uuid=41dffd43-edb6-4017-91f0-e5962084790d"]},{"id":"ITEM-2","itemData":{"DOI":"10.18488/jftr.v11i2.3702","ISSN":"2312-6426","abstract":"This study was conducted to assess the nutritional and phytochemical properties of methanol extracts derived from the dried fruit pericarp of Garcinia pedunculata. Samples of the plant were obtained from the Bodoland Territorial Region (BTR), Assam, India due to the lack of study findings on Garcinia pedunculata from this region in the existing literature. Nutritional evaluation has revealed that Garcinia pedunculata is a notable source of various nutrients  including fibre (15.67 ± 0.05 g/100g), protein (3.97 ± 0.06 g/100g), carbohydrates (80.10 ± 2.48 g/100g)  and ascorbic acid (98.16 ± 4.46 mg/100g). Furthermore, the results of the gas chromatography coupled with mass spectrometry analysis (GC-MS) of the methanol extract revealed a diverse range of chemical compounds with both high and low molecular weight. GC-MS analysis showed bioactive compounds like cyclopentanecarboxylicacid, 2-oxo-, ethyl ester with a peak area of 23.60%followed by 1,3- dioxepane, 2-pentadecyl- with a peak area of 22.39%followed by N-[Carboxymethyl ]maleamic acid with a  peak area of 10.37%and  butanedioic acid,3-hydroxy-2,2-dimethyl, dimethyl ester, (R) with a peak area of 10.91%. The extracts exhibit significant amount of various naturally occurring bioactive compounds. Therefore, the existence of potential bioactive compounds and nutritional constituents can be suitably exploited for future studies.","author":[{"dropping-particle":"","family":"Brahma","given":"Jonali","non-dropping-particle":"","parse-names":false,"suffix":""},{"dropping-particle":"","family":"Islary","given":"Anuck","non-dropping-particle":"","parse-names":false,"suffix":""},{"dropping-particle":"","family":"Ray","given":"Subhajit","non-dropping-particle":"","parse-names":false,"suffix":""}],"container-title":"Journal of Food Technology Research","id":"ITEM-2","issue":"2","issued":{"date-parts":[["2024"]]},"page":"27-37","title":"Nutritional evaluation and GC–MS analysis of bioactive compounds present in methanol extracts of dried fruit pericarp of garcinia pedunculata Roxb","type":"article-journal","volume":"11"},"uris":["http://www.mendeley.com/documents/?uuid=b49cfa2b-011d-4c66-856b-e38cd16e0da1"]}],"mendeley":{"formattedCitation":"(Bhattacharjee et al., 2023; Brahma et al., 2024)","plainTextFormattedCitation":"(Bhattacharjee et al., 2023; Brahma et al., 2024)","previouslyFormattedCitation":"(Bhattacharjee &lt;i&gt;et al.&lt;/i&gt;, 2023; Brahma, Islary and Ray, 2024)"},"properties":{"noteIndex":0},"schema":"https://github.com/citation-style-language/schema/raw/master/csl-citation.json"}</w:instrText>
      </w:r>
      <w:r w:rsidR="0097341F">
        <w:rPr>
          <w:rFonts w:ascii="Arial" w:hAnsi="Arial" w:cs="Arial"/>
          <w:lang w:val="en-IN"/>
        </w:rPr>
        <w:fldChar w:fldCharType="separate"/>
      </w:r>
      <w:r w:rsidR="00741E80" w:rsidRPr="00741E80">
        <w:rPr>
          <w:rFonts w:ascii="Arial" w:hAnsi="Arial" w:cs="Arial"/>
          <w:noProof/>
          <w:lang w:val="en-IN"/>
        </w:rPr>
        <w:t>(Bhattacharjee et al., 2023; Brahma et al., 2024)</w:t>
      </w:r>
      <w:r w:rsidR="0097341F">
        <w:rPr>
          <w:rFonts w:ascii="Arial" w:hAnsi="Arial" w:cs="Arial"/>
          <w:lang w:val="en-IN"/>
        </w:rPr>
        <w:fldChar w:fldCharType="end"/>
      </w:r>
      <w:r w:rsidR="0097341F">
        <w:rPr>
          <w:rFonts w:ascii="Arial" w:hAnsi="Arial" w:cs="Arial"/>
          <w:lang w:val="en-IN"/>
        </w:rPr>
        <w:t xml:space="preserve"> </w:t>
      </w:r>
      <w:r w:rsidRPr="00B5269C">
        <w:rPr>
          <w:rFonts w:ascii="Arial" w:hAnsi="Arial" w:cs="Arial"/>
          <w:lang w:val="en-IN"/>
        </w:rPr>
        <w:t xml:space="preserve">indicating that </w:t>
      </w:r>
      <w:r w:rsidRPr="00B5269C">
        <w:rPr>
          <w:rFonts w:ascii="Arial" w:hAnsi="Arial" w:cs="Arial"/>
          <w:i/>
          <w:iCs/>
          <w:lang w:val="en-IN"/>
        </w:rPr>
        <w:t>Garcinia</w:t>
      </w:r>
      <w:r w:rsidRPr="00B5269C">
        <w:rPr>
          <w:rFonts w:ascii="Arial" w:hAnsi="Arial" w:cs="Arial"/>
          <w:lang w:val="en-IN"/>
        </w:rPr>
        <w:t xml:space="preserve"> fruits are predominantly rich in carbohydrates, have low protein levels, and contain quantifiable mineral residues, although the exact figures can differ depending on the specific fruit part, drying process, and extraction method utilized. For instance, investigations on fresh </w:t>
      </w:r>
      <w:r w:rsidRPr="00B5269C">
        <w:rPr>
          <w:rFonts w:ascii="Arial" w:hAnsi="Arial" w:cs="Arial"/>
          <w:i/>
          <w:iCs/>
          <w:lang w:val="en-IN"/>
        </w:rPr>
        <w:t>Garcinia pedunculata</w:t>
      </w:r>
      <w:r w:rsidRPr="00B5269C">
        <w:rPr>
          <w:rFonts w:ascii="Arial" w:hAnsi="Arial" w:cs="Arial"/>
          <w:lang w:val="en-IN"/>
        </w:rPr>
        <w:t xml:space="preserve"> (GP) pulp have demonstrated its high moisture and low protein content, illustrating that processing conditions significantly influence proximate values. Shade-drying has been shown to more effectively conserve the nutritional profile compared to hot-air drying, which may lead to a concentration or degradation of certain constituents </w:t>
      </w:r>
      <w:r w:rsidRPr="00B5269C">
        <w:rPr>
          <w:rFonts w:ascii="Arial" w:hAnsi="Arial" w:cs="Arial"/>
          <w:lang w:val="en-IN"/>
        </w:rPr>
        <w:fldChar w:fldCharType="begin" w:fldLock="1"/>
      </w:r>
      <w:r w:rsidR="00741E80">
        <w:rPr>
          <w:rFonts w:ascii="Arial" w:hAnsi="Arial" w:cs="Arial"/>
          <w:lang w:val="en-IN"/>
        </w:rPr>
        <w:instrText>ADDIN CSL_CITATION {"citationItems":[{"id":"ITEM-1","itemData":{"DOI":"10.1177/09731296231158433","ISSN":"0973-1296","abstract":"Background Garcinia pedunculata (GP) Roxb. is a traditional medicinal plant used for treating gastrointestinal disorders. The fruit is always consumed in dried form in cuisines and as medicine.Objectives To study the effect of drying conditions (shade, oven, and traditional sun drying) on the nutritional profile of GP while assessing the choice of solvent extraction for the maximum phytocompounds extraction; their in vitro biological activities and chemical profiling.Materials and Methods The fruits were cut into thin 0.9 ± 0.3 cm slices and dried in the shade (25?30°C), sun (34?40°C), and oven (70?80°C). The extraction was done using methanol, hydromethanol, ethanol, hydroethanol, and water. HPLC and LC-ESI-MS/MS were used to identify the bioactive compounds.Results In this study, the impact of three drying conditions has been investigated and established that shade-dried (ShD) has a better-preserved nutritional profile. In terms of phytochemical extraction, comparatively higher amounts of phenols (394.00 ± 12.28 mg Gallic acid equivalent (GAE)/g of dried sample) and flavonoids (72.62 ± 2.06 mg Quercetin/g of dried sample) were recorded in the shade-dried hydromethanolic extract (ShDMH), which was directly in line with the better antioxidant activity (IC50 for 1,1-diphenyl-2-picrylhydrazyl (DPPH), 647.99 ± 7.66 µg/mL, 2,2?-azino-bis(3-ethylbenzothiazoline)6-sulfonic acid (ABTS), 762.02 ± 18.74 µg/mL) and enzyme-inhibitory potential (IC50 for α- glucosidase 1908.06 ± 13.26 µg/mL and for lipase 613.59 ± 7.57 µg/mL) of this extract.Conclusion The conclusive evidence from this study indicates that shade drying and extraction with hydromethanolic solvent preserves most of the nutritional components and has a higher extraction yield with well-conserved phytochemical composition. Also, these bioactive compounds such as hydroxycitric acid, GB-1a, garcinone A, 9-hydroxycalabaxanthone, chlorogenic acid, and garcinol are present in these extracts. This fruit, although beneficial is still underutilized, and this outcome is believed to be significantly valuable for the further aspects of GP fruit-based nutraceutical or phytopharmaceutical development.","author":[{"dropping-particle":"","family":"Bhattacharjee","given":" Swarnali","non-dropping-particle":"","parse-names":false,"suffix":""},{"dropping-particle":"","family":"Ramakrishnan","given":" Elancheran","non-dropping-particle":"","parse-names":false,"suffix":""},{"dropping-particle":"","family":"Deb","given":" Prashanta Kumar","non-dropping-particle":"","parse-names":false,"suffix":""},{"dropping-particle":"","family":"Sarma","given":" Partha Pratim","non-dropping-particle":"","parse-names":false,"suffix":""},{"dropping-particle":"","family":"Choudhury","given":" Debopriya","non-dropping-particle":"","parse-names":false,"suffix":""},{"dropping-particle":"","family":"Kabilan","given":" Senthamaraikannan","non-dropping-particle":"","parse-names":false,"suffix":""},{"dropping-particle":"","family":"Devi","given":" Rajlakshmi","non-dropping-particle":"","parse-names":false,"suffix":""}],"container-title":"Pharmacognosy Magazine","id":"ITEM-1","issue":"2","issued":{"date-parts":[["2023","4","9"]]},"note":"doi: 10.1177/09731296231158433","page":"269-283","publisher":"SAGE Publications","title":"Influence of Drying Condition on Nutritional and Chemical Profile of Garcinia pedunculata Roxb. Fruit","type":"article-journal","volume":"19"},"uris":["http://www.mendeley.com/documents/?uuid=41dffd43-edb6-4017-91f0-e5962084790d"]},{"id":"ITEM-2","itemData":{"DOI":"10.1155/2017/2979760","ISSN":"17414288","abstract":"The antihyperglycemic, antidiabetic, and antioxidant potentials of the methanolic extract of Garcinia pedunculata (GP) fruit in rats were investigated. The acute antihyperglycemic effect of different doses of GP was studied in normal male Wistar rats. Diabetes was induced by streptozotocin (STZ) injection in another cohort of male Wistar rats and they showed significantly higher blood glucose and glycated hemoglobin (HbA1c) levels, altered lipid profiles, and lower insulin levels compared to nondiabetic control animals. There were increased lipid peroxidation and reduced levels of cellular antioxidant enzymes in different tissues of diabetic rats. However, oral administration of GP extracts, especially the highest dose (1000 mg/kg), significantly ameliorated hyperglycemia (42%); elevated insulin levels (165%); decreased HbA1c (29.4%); restored lipid levels (reduction in TG by 25%, TC by 15%, and LDL-C by 75% and increase in HDL-C by 4%), liver and renal function markers, and lipid peroxidation (reduction by 52% in the liver, 39% in the kidney, 44% in the heart, and 46% in the pancreas); and stimulated tissue antioxidant enzymes to near normalcy. Overall, the findings suggest that GP fruit is effective against hyperglycemia and could be used in the treatment of diabetes and its complications and other oxidative stress-mediated pathological conditions.","author":[{"dropping-particle":"","family":"Ali","given":"Md Yousuf","non-dropping-particle":"","parse-names":false,"suffix":""},{"dropping-particle":"","family":"Paul","given":"Sudip","non-dropping-particle":"","parse-names":false,"suffix":""},{"dropping-particle":"","family":"Tanvir","given":"E. M.","non-dropping-particle":"","parse-names":false,"suffix":""},{"dropping-particle":"","family":"Hossen","given":"Md Sakib","non-dropping-particle":"","parse-names":false,"suffix":""},{"dropping-particle":"","family":"Rumpa","given":"Nur E.Noushin","non-dropping-particle":"","parse-names":false,"suffix":""},{"dropping-particle":"","family":"Saha","given":"Moumoni","non-dropping-particle":"","parse-names":false,"suffix":""},{"dropping-particle":"","family":"Bhoumik","given":"Nikhil Chandra","non-dropping-particle":"","parse-names":false,"suffix":""},{"dropping-particle":"","family":"Aminul Islam","given":"Md","non-dropping-particle":"","parse-names":false,"suffix":""},{"dropping-particle":"","family":"Hossain","given":"Md Sabir","non-dropping-particle":"","parse-names":false,"suffix":""},{"dropping-particle":"","family":"Alam","given":"Nadia","non-dropping-particle":"","parse-names":false,"suffix":""},{"dropping-particle":"","family":"Gan","given":"Siew Hua","non-dropping-particle":"","parse-names":false,"suffix":""},{"dropping-particle":"","family":"Khalil","given":"Md Ibrahim","non-dropping-particle":"","parse-names":false,"suffix":""}],"container-title":"Evidence-based Complementary and Alternative Medicine","id":"ITEM-2","issued":{"date-parts":[["2017"]]},"title":"Antihyperglycemic, Antidiabetic, and Antioxidant Effects of Garcinia pedunculata in Rats","type":"article-journal","volume":"2017"},"uris":["http://www.mendeley.com/documents/?uuid=b4ca9d8f-e7d9-420f-80d3-096d445a1ab9"]}],"mendeley":{"formattedCitation":"(Ali et al., 2017; Bhattacharjee et al., 2023)","plainTextFormattedCitation":"(Ali et al., 2017; Bhattacharjee et al., 2023)","previouslyFormattedCitation":"(Ali &lt;i&gt;et al.&lt;/i&gt;, 2017; Bhattacharjee &lt;i&gt;et al.&lt;/i&gt;, 2023)"},"properties":{"noteIndex":0},"schema":"https://github.com/citation-style-language/schema/raw/master/csl-citation.json"}</w:instrText>
      </w:r>
      <w:r w:rsidRPr="00B5269C">
        <w:rPr>
          <w:rFonts w:ascii="Arial" w:hAnsi="Arial" w:cs="Arial"/>
          <w:lang w:val="en-IN"/>
        </w:rPr>
        <w:fldChar w:fldCharType="separate"/>
      </w:r>
      <w:r w:rsidR="004B0AB4" w:rsidRPr="00741E80">
        <w:rPr>
          <w:rFonts w:ascii="Arial" w:hAnsi="Arial" w:cs="Arial"/>
          <w:noProof/>
          <w:lang w:val="en-IN"/>
        </w:rPr>
        <w:t>(Ali et al., 2017; Bhattacharjee et al., 2023)</w:t>
      </w:r>
      <w:r w:rsidRPr="00B5269C">
        <w:rPr>
          <w:rFonts w:ascii="Arial" w:hAnsi="Arial" w:cs="Arial"/>
        </w:rPr>
        <w:fldChar w:fldCharType="end"/>
      </w:r>
      <w:r w:rsidRPr="00B5269C">
        <w:rPr>
          <w:rFonts w:ascii="Arial" w:hAnsi="Arial" w:cs="Arial"/>
          <w:lang w:val="en-IN"/>
        </w:rPr>
        <w:t>.</w:t>
      </w:r>
    </w:p>
    <w:p w14:paraId="12A54473" w14:textId="2E45B9C0"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mineral composition analysis of our sample revealed a predominance of calcium, measured at 93 ppm out of a total of 104 ppm, followed by sodium and magnesium. Iron and zinc were observed in the low-ppm range, with all other trace metals present below 1 ppm. Previous investigations of </w:t>
      </w:r>
      <w:r w:rsidRPr="00B5269C">
        <w:rPr>
          <w:rFonts w:ascii="Arial" w:hAnsi="Arial" w:cs="Arial"/>
          <w:i/>
          <w:iCs/>
          <w:lang w:val="en-IN"/>
        </w:rPr>
        <w:t>Garcinia</w:t>
      </w:r>
      <w:r w:rsidRPr="00B5269C">
        <w:rPr>
          <w:rFonts w:ascii="Arial" w:hAnsi="Arial" w:cs="Arial"/>
          <w:lang w:val="en-IN"/>
        </w:rPr>
        <w:t xml:space="preserve"> species have similarly recognized calcium as a principal mineral; however, the documented concentrations exhibit considerable variation attributable to differences in species, geographical location, and methodological approach. A recent survey conducted in Bodoland (Assam) observed calcium as the leading mineral in </w:t>
      </w:r>
      <w:r w:rsidRPr="00B5269C">
        <w:rPr>
          <w:rFonts w:ascii="Arial" w:hAnsi="Arial" w:cs="Arial"/>
          <w:i/>
          <w:iCs/>
          <w:lang w:val="en-IN"/>
        </w:rPr>
        <w:t xml:space="preserve">Garcinia </w:t>
      </w:r>
      <w:proofErr w:type="spellStart"/>
      <w:r w:rsidRPr="00B5269C">
        <w:rPr>
          <w:rFonts w:ascii="Arial" w:hAnsi="Arial" w:cs="Arial"/>
          <w:i/>
          <w:iCs/>
          <w:lang w:val="en-IN"/>
        </w:rPr>
        <w:t>morella</w:t>
      </w:r>
      <w:proofErr w:type="spellEnd"/>
      <w:r w:rsidRPr="00B5269C">
        <w:rPr>
          <w:rFonts w:ascii="Arial" w:hAnsi="Arial" w:cs="Arial"/>
          <w:lang w:val="en-IN"/>
        </w:rPr>
        <w:t xml:space="preserve">, </w:t>
      </w:r>
      <w:r w:rsidRPr="00B5269C">
        <w:rPr>
          <w:rFonts w:ascii="Arial" w:hAnsi="Arial" w:cs="Arial"/>
          <w:i/>
          <w:iCs/>
          <w:lang w:val="en-IN"/>
        </w:rPr>
        <w:t>G. pedunculata</w:t>
      </w:r>
      <w:r w:rsidRPr="00B5269C">
        <w:rPr>
          <w:rFonts w:ascii="Arial" w:hAnsi="Arial" w:cs="Arial"/>
          <w:lang w:val="en-IN"/>
        </w:rPr>
        <w:t xml:space="preserve">, and </w:t>
      </w:r>
      <w:r w:rsidRPr="00B5269C">
        <w:rPr>
          <w:rFonts w:ascii="Arial" w:hAnsi="Arial" w:cs="Arial"/>
          <w:i/>
          <w:iCs/>
          <w:lang w:val="en-IN"/>
        </w:rPr>
        <w:t xml:space="preserve">G. </w:t>
      </w:r>
      <w:proofErr w:type="spellStart"/>
      <w:r w:rsidRPr="00B5269C">
        <w:rPr>
          <w:rFonts w:ascii="Arial" w:hAnsi="Arial" w:cs="Arial"/>
          <w:i/>
          <w:iCs/>
          <w:lang w:val="en-IN"/>
        </w:rPr>
        <w:t>xanthochymus</w:t>
      </w:r>
      <w:proofErr w:type="spellEnd"/>
      <w:r w:rsidRPr="00B5269C">
        <w:rPr>
          <w:rFonts w:ascii="Arial" w:hAnsi="Arial" w:cs="Arial"/>
          <w:lang w:val="en-IN"/>
        </w:rPr>
        <w:t xml:space="preserve">, with GP rind containing approximately 36.7 ppm Ca (AAS, oven-dried fruit), which is noticeably lower than our findings. These discrepancies are likely due to variations in plant part, harvest season, and extraction/digestion techniques. Earlier research on GP also identifies calcium and iron as among the most prevalent minerals </w:t>
      </w:r>
      <w:r w:rsidRPr="00B5269C">
        <w:rPr>
          <w:rFonts w:ascii="Arial" w:hAnsi="Arial" w:cs="Arial"/>
          <w:lang w:val="en-IN"/>
        </w:rPr>
        <w:fldChar w:fldCharType="begin" w:fldLock="1"/>
      </w:r>
      <w:r w:rsidR="00741E80">
        <w:rPr>
          <w:rFonts w:ascii="Arial" w:hAnsi="Arial" w:cs="Arial"/>
          <w:lang w:val="en-IN"/>
        </w:rPr>
        <w:instrText>ADDIN CSL_CITATION {"citationItems":[{"id":"ITEM-1","itemData":{"ISSN":"2603-3380","author":[{"dropping-particle":"","family":"Brahma","given":"Jonali","non-dropping-particle":"","parse-names":false,"suffix":""},{"dropping-particle":"","family":"Ray","given":"Subhajit","non-dropping-particle":"","parse-names":false,"suffix":""},{"dropping-particle":"","family":"Islary","given":"Anuck","non-dropping-particle":"","parse-names":false,"suffix":""},{"dropping-particle":"","family":"Saikia","given":"Barsha","non-dropping-particle":"","parse-names":false,"suffix":""}],"container-title":"Food Science and Applied Biotechnology","id":"ITEM-1","issue":"1","issued":{"date-parts":[["2025"]]},"page":"75-88","title":"Sustainable valorization of endemic Garcinia species namely Garcinia pedunculata, Garcinia morella and Garcinia xanthochymus of Bodoland Territorial Regions of Assam, India: physicochemical and biofunctional characterization","type":"article-journal","volume":"8"},"uris":["http://www.mendeley.com/documents/?uuid=a983a9e2-cba5-4174-a9c9-035928fd01fe"]}],"mendeley":{"formattedCitation":"(Brahma et al., 2025)","plainTextFormattedCitation":"(Brahma et al., 2025)","previouslyFormattedCitation":"(Brahma &lt;i&gt;et al.&lt;/i&gt;, 2025)"},"properties":{"noteIndex":0},"schema":"https://github.com/citation-style-language/schema/raw/master/csl-citation.json"}</w:instrText>
      </w:r>
      <w:r w:rsidRPr="00B5269C">
        <w:rPr>
          <w:rFonts w:ascii="Arial" w:hAnsi="Arial" w:cs="Arial"/>
          <w:lang w:val="en-IN"/>
        </w:rPr>
        <w:fldChar w:fldCharType="separate"/>
      </w:r>
      <w:r w:rsidR="004B0AB4" w:rsidRPr="00741E80">
        <w:rPr>
          <w:rFonts w:ascii="Arial" w:hAnsi="Arial" w:cs="Arial"/>
          <w:noProof/>
          <w:lang w:val="en-IN"/>
        </w:rPr>
        <w:t>(Brahma et al., 2025)</w:t>
      </w:r>
      <w:r w:rsidRPr="00B5269C">
        <w:rPr>
          <w:rFonts w:ascii="Arial" w:hAnsi="Arial" w:cs="Arial"/>
        </w:rPr>
        <w:fldChar w:fldCharType="end"/>
      </w:r>
      <w:r w:rsidRPr="00B5269C">
        <w:rPr>
          <w:rFonts w:ascii="Arial" w:hAnsi="Arial" w:cs="Arial"/>
          <w:lang w:val="en-IN"/>
        </w:rPr>
        <w:t>.</w:t>
      </w:r>
    </w:p>
    <w:p w14:paraId="693FB456" w14:textId="0A794795"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gas chromatography-mass spectrometry (GC-MS) analysis of the crude extract revealed an initial region abundant in oxygenates, ranging from 9 to 16 minutes, followed by a distinctive mid-retention feature at 21.6 minutes, and a subsequent “lipidic tail” comprising fatty-acid methyl esters from 28.6 to 31.2 minutes. The early region comprised oxygenated furan/furanone and sugar-derived compounds. This observation concurs with existing literature indicating that numerous fruits contain </w:t>
      </w:r>
      <w:proofErr w:type="spellStart"/>
      <w:r w:rsidRPr="00B5269C">
        <w:rPr>
          <w:rFonts w:ascii="Arial" w:hAnsi="Arial" w:cs="Arial"/>
          <w:lang w:val="en-IN"/>
        </w:rPr>
        <w:t>flavor</w:t>
      </w:r>
      <w:proofErr w:type="spellEnd"/>
      <w:r w:rsidRPr="00B5269C">
        <w:rPr>
          <w:rFonts w:ascii="Arial" w:hAnsi="Arial" w:cs="Arial"/>
          <w:lang w:val="en-IN"/>
        </w:rPr>
        <w:t xml:space="preserve">-active furanones such as </w:t>
      </w:r>
      <w:proofErr w:type="spellStart"/>
      <w:r w:rsidRPr="00B5269C">
        <w:rPr>
          <w:rFonts w:ascii="Arial" w:hAnsi="Arial" w:cs="Arial"/>
          <w:lang w:val="en-IN"/>
        </w:rPr>
        <w:t>mesifurane</w:t>
      </w:r>
      <w:proofErr w:type="spellEnd"/>
      <w:r w:rsidRPr="00B5269C">
        <w:rPr>
          <w:rFonts w:ascii="Arial" w:hAnsi="Arial" w:cs="Arial"/>
          <w:lang w:val="en-IN"/>
        </w:rPr>
        <w:t xml:space="preserve"> (2,5-dimethyl-4-methoxy-3(2H)-furanone) </w:t>
      </w:r>
      <w:r w:rsidRPr="00B5269C">
        <w:rPr>
          <w:rFonts w:ascii="Arial" w:hAnsi="Arial" w:cs="Arial"/>
          <w:lang w:val="en-IN"/>
        </w:rPr>
        <w:fldChar w:fldCharType="begin" w:fldLock="1"/>
      </w:r>
      <w:r w:rsidR="00601E57">
        <w:rPr>
          <w:rFonts w:ascii="Arial" w:hAnsi="Arial" w:cs="Arial"/>
          <w:lang w:val="en-IN"/>
        </w:rPr>
        <w:instrText>ADDIN CSL_CITATION {"citationItems":[{"id":"ITEM-1","itemData":{"DOI":"10.1021/acs.jafc.8b00519","ISSN":"1520-5118 (Electronic)","PMID":"29489353","abstract":"Mesifurane, 2,5-dimethyl-4-methoxy-3(2 H)-furanone, is a natural compound used a  worldwide as a flavoring for foods, beverages, and cosmetics. Global sales of mesifurane are around $100 million. Its significance as a flavor-impact compound in some Nordic berries was discovered in the early 1970s in Finland. Synthesized mesifurane was used as a key compound in aroma mixes exploited in a Finnish patent. Mesifurane is a significant flavorant in arctic brambles, mangoes, strawberries, and many other fruits and berries and is an enzymatic methylation product of 2,5-dimethyl-4-hydroxy-3(2 H)-furanone. Because of the obscurity of the information on the history of the commonly used trivial name, mesifurane, it is time to lift the veil and reveal the background of the present situation. The key player was a northern berry, arctic bramble ( Rubus arcticus), the Finnish name of which is mesimarja. Forty years ago, aroma research was limited by technical factors, but nowadays there is a surplus of information.","author":[{"dropping-particle":"","family":"Kallio","given":"Heikki P","non-dropping-particle":"","parse-names":false,"suffix":""}],"container-title":"Journal of agricultural and food chemistry","id":"ITEM-1","issue":"11","issued":{"date-parts":[["2018","3"]]},"language":"eng","page":"2553-2560","publisher-place":"United States","title":"Historical Review on the Identification of Mesifurane, 2,5-Dimethyl-4-methoxy-3(2  H)-furanone, and Its Occurrence in Berries and Fruits.","type":"article-journal","volume":"66"},"uris":["http://www.mendeley.com/documents/?uuid=4ead7d92-a0a0-460e-acb6-a841a02fb253"]}],"mendeley":{"formattedCitation":"(Kallio, 2018)","plainTextFormattedCitation":"(Kallio, 2018)","previouslyFormattedCitation":"(Kallio, 2018)"},"properties":{"noteIndex":0},"schema":"https://github.com/citation-style-language/schema/raw/master/csl-citation.json"}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(Kallio, 2018)</w:t>
      </w:r>
      <w:r w:rsidRPr="00B5269C">
        <w:rPr>
          <w:rFonts w:ascii="Arial" w:hAnsi="Arial" w:cs="Arial"/>
        </w:rPr>
        <w:fldChar w:fldCharType="end"/>
      </w:r>
      <w:r w:rsidRPr="00B5269C">
        <w:rPr>
          <w:rFonts w:ascii="Arial" w:hAnsi="Arial" w:cs="Arial"/>
          <w:lang w:val="en-IN"/>
        </w:rPr>
        <w:t>.</w:t>
      </w:r>
    </w:p>
    <w:p w14:paraId="4BF628CC" w14:textId="3723E9AF" w:rsidR="00B5269C" w:rsidRPr="00B5269C" w:rsidRDefault="00B5269C" w:rsidP="00B5269C">
      <w:pPr>
        <w:pStyle w:val="Body"/>
        <w:spacing w:after="0"/>
        <w:rPr>
          <w:rFonts w:ascii="Arial" w:hAnsi="Arial" w:cs="Arial"/>
          <w:lang w:val="en-IN"/>
        </w:rPr>
      </w:pPr>
      <w:r w:rsidRPr="00B5269C">
        <w:rPr>
          <w:rFonts w:ascii="Arial" w:hAnsi="Arial" w:cs="Arial"/>
          <w:lang w:val="en-IN"/>
        </w:rPr>
        <w:t>The late GC</w:t>
      </w:r>
      <w:r w:rsidR="00FA6318">
        <w:rPr>
          <w:rFonts w:ascii="Arial" w:hAnsi="Arial" w:cs="Arial"/>
          <w:lang w:val="en-IN"/>
        </w:rPr>
        <w:t>-</w:t>
      </w:r>
      <w:r w:rsidRPr="00B5269C">
        <w:rPr>
          <w:rFonts w:ascii="Arial" w:hAnsi="Arial" w:cs="Arial"/>
          <w:lang w:val="en-IN"/>
        </w:rPr>
        <w:t xml:space="preserve">MS window comprised several fatty-acid methyl esters and a high-mass diester consistent with </w:t>
      </w:r>
      <w:proofErr w:type="spellStart"/>
      <w:r w:rsidRPr="00B5269C">
        <w:rPr>
          <w:rFonts w:ascii="Arial" w:hAnsi="Arial" w:cs="Arial"/>
          <w:lang w:val="en-IN"/>
        </w:rPr>
        <w:t>ascorbyl</w:t>
      </w:r>
      <w:proofErr w:type="spellEnd"/>
      <w:r w:rsidRPr="00B5269C">
        <w:rPr>
          <w:rFonts w:ascii="Arial" w:hAnsi="Arial" w:cs="Arial"/>
          <w:lang w:val="en-IN"/>
        </w:rPr>
        <w:t xml:space="preserve"> palmitate</w:t>
      </w:r>
      <w:r w:rsidRPr="00B5269C">
        <w:rPr>
          <w:rFonts w:ascii="Cambria Math" w:hAnsi="Cambria Math" w:cs="Cambria Math"/>
          <w:lang w:val="en-IN"/>
        </w:rPr>
        <w:t>‐</w:t>
      </w:r>
      <w:r w:rsidRPr="00B5269C">
        <w:rPr>
          <w:rFonts w:ascii="Arial" w:hAnsi="Arial" w:cs="Arial"/>
          <w:lang w:val="en-IN"/>
        </w:rPr>
        <w:t>type species. GP fruit is vitamin-C rich, and fatty acyl</w:t>
      </w:r>
      <w:r w:rsidR="00FA6318">
        <w:rPr>
          <w:rFonts w:ascii="Arial" w:hAnsi="Arial" w:cs="Arial"/>
          <w:lang w:val="en-IN"/>
        </w:rPr>
        <w:t>-</w:t>
      </w:r>
      <w:r w:rsidRPr="00B5269C">
        <w:rPr>
          <w:rFonts w:ascii="Arial" w:hAnsi="Arial" w:cs="Arial"/>
          <w:lang w:val="en-IN"/>
        </w:rPr>
        <w:t xml:space="preserve">ascorbate esters can appear under certain processing conditions, so a low-abundance </w:t>
      </w:r>
      <w:proofErr w:type="spellStart"/>
      <w:r w:rsidRPr="00B5269C">
        <w:rPr>
          <w:rFonts w:ascii="Arial" w:hAnsi="Arial" w:cs="Arial"/>
          <w:lang w:val="en-IN"/>
        </w:rPr>
        <w:t>dihexadecanoate</w:t>
      </w:r>
      <w:proofErr w:type="spellEnd"/>
      <w:r w:rsidRPr="00B5269C">
        <w:rPr>
          <w:rFonts w:ascii="Arial" w:hAnsi="Arial" w:cs="Arial"/>
          <w:lang w:val="en-IN"/>
        </w:rPr>
        <w:t xml:space="preserve"> match is chemically plausible but should be regarded as tentative without standards </w:t>
      </w:r>
      <w:r w:rsidRPr="00B5269C">
        <w:rPr>
          <w:rFonts w:ascii="Arial" w:hAnsi="Arial" w:cs="Arial"/>
          <w:lang w:val="en-IN"/>
        </w:rPr>
        <w:fldChar w:fldCharType="begin" w:fldLock="1"/>
      </w:r>
      <w:r w:rsidR="00741E80">
        <w:rPr>
          <w:rFonts w:ascii="Arial" w:hAnsi="Arial" w:cs="Arial"/>
          <w:lang w:val="en-IN"/>
        </w:rPr>
        <w:instrText>ADDIN CSL_CITATION {"citationItems":[{"id":"ITEM-1","itemData":{"DOI":"10.1155/2017/2979760","ISSN":"17414288","abstract":"The antihyperglycemic, antidiabetic, and antioxidant potentials of the methanolic extract of Garcinia pedunculata (GP) fruit in rats were investigated. The acute antihyperglycemic effect of different doses of GP was studied in normal male Wistar rats. Diabetes was induced by streptozotocin (STZ) injection in another cohort of male Wistar rats and they showed significantly higher blood glucose and glycated hemoglobin (HbA1c) levels, altered lipid profiles, and lower insulin levels compared to nondiabetic control animals. There were increased lipid peroxidation and reduced levels of cellular antioxidant enzymes in different tissues of diabetic rats. However, oral administration of GP extracts, especially the highest dose (1000 mg/kg), significantly ameliorated hyperglycemia (42%); elevated insulin levels (165%); decreased HbA1c (29.4%); restored lipid levels (reduction in TG by 25%, TC by 15%, and LDL-C by 75% and increase in HDL-C by 4%), liver and renal function markers, and lipid peroxidation (reduction by 52% in the liver, 39% in the kidney, 44% in the heart, and 46% in the pancreas); and stimulated tissue antioxidant enzymes to near normalcy. Overall, the findings suggest that GP fruit is effective against hyperglycemia and could be used in the treatment of diabetes and its complications and other oxidative stress-mediated pathological conditions.","author":[{"dropping-particle":"","family":"Ali","given":"Md Yousuf","non-dropping-particle":"","parse-names":false,"suffix":""},{"dropping-particle":"","family":"Paul","given":"Sudip","non-dropping-particle":"","parse-names":false,"suffix":""},{"dropping-particle":"","family":"Tanvir","given":"E. M.","non-dropping-particle":"","parse-names":false,"suffix":""},{"dropping-particle":"","family":"Hossen","given":"Md Sakib","non-dropping-particle":"","parse-names":false,"suffix":""},{"dropping-particle":"","family":"Rumpa","given":"Nur E.Noushin","non-dropping-particle":"","parse-names":false,"suffix":""},{"dropping-particle":"","family":"Saha","given":"Moumoni","non-dropping-particle":"","parse-names":false,"suffix":""},{"dropping-particle":"","family":"Bhoumik","given":"Nikhil Chandra","non-dropping-particle":"","parse-names":false,"suffix":""},{"dropping-particle":"","family":"Aminul Islam","given":"Md","non-dropping-particle":"","parse-names":false,"suffix":""},{"dropping-particle":"","family":"Hossain","given":"Md Sabir","non-dropping-particle":"","parse-names":false,"suffix":""},{"dropping-particle":"","family":"Alam","given":"Nadia","non-dropping-particle":"","parse-names":false,"suffix":""},{"dropping-particle":"","family":"Gan","given":"Siew Hua","non-dropping-particle":"","parse-names":false,"suffix":""},{"dropping-particle":"","family":"Khalil","given":"Md Ibrahim","non-dropping-particle":"","parse-names":false,"suffix":""}],"container-title":"Evidence-based Complementary and Alternative Medicine","id":"ITEM-1","issued":{"date-parts":[["2017"]]},"title":"Antihyperglycemic, Antidiabetic, and Antioxidant Effects of Garcinia pedunculata in Rats","type":"article-journal","volume":"2017"},"uris":["http://www.mendeley.com/documents/?uuid=b4ca9d8f-e7d9-420f-80d3-096d445a1ab9"]},{"id":"ITEM-2","itemData":{"DOI":"10.1016/j.ultsonch.2024.106784","ISSN":"1873-2828 (Electronic)","PMID":"38295744","abstract":"The present study aimed to analyze and establish an effective combination of  ultrasound and immersion pretreatment processes for drying Taikor (Garcinia pendunculata Roxb.) fruits. Taikorslices were first immersed in 10 % sucrose, fructose, and glucose solution. Then, the immersed slices were treated in an ultrasonic bath at 30 °C for 10, 20, and 30 min. Drying operations were carried out at 50, 60, and 70 °C, with a fixed relative humidity of 30 %. The Page, Newton, Henderson and Pabis, and Weibull distribution models were fitted to the obtained drying data to determine the best kinetic model that effectively describes the drying properties ofTaikor. After drying operations, changes in quality parameters, e.g., β-carotene, vitamin C, B vitamins, color, antioxidant activities, and microbial loads, were measured to obtain the best drying temperature and the most effective pretreatment combination with minimum loss of nutrients of the sample. Among different kinetic models, both Page and Weibull distribution models showed the best R(2) values of 0.9867 and 0.9366, respectively. The chemical properties were preserved to the greatest extent possible by drying at 50 °C with glucose pretreatment. The color parameters were better preserved by fructose pretreatment. Sonication time also had profound effect on the quality parameters of dried Taikor slices. However, higher temperature drying required a shorter time for drying and exhibited better performance in microbial load reduction. This study's findings will help to establish an effective drying condition forGarcinia pedunculatafruits.","author":[{"dropping-particle":"","family":"Hossain","given":"Mohammad Afzal","non-dropping-particle":"","parse-names":false,"suffix":""},{"dropping-particle":"","family":"Talukder","given":"Sudipta","non-dropping-particle":"","parse-names":false,"suffix":""},{"dropping-particle":"","family":"Uz Zaman","given":"Aftab","non-dropping-particle":"","parse-names":false,"suffix":""},{"dropping-particle":"","family":"Sarkar","given":"Animesh","non-dropping-particle":"","parse-names":false,"suffix":""},{"dropping-particle":"","family":"Yasin","given":"Md","non-dropping-particle":"","parse-names":false,"suffix":""},{"dropping-particle":"","family":"Biswas","given":"Rahul","non-dropping-particle":"","parse-names":false,"suffix":""}],"container-title":"Ultrasonics sonochemistry","id":"ITEM-2","issued":{"date-parts":[["2024","2"]]},"language":"eng","page":"106784","publisher-place":"Netherlands","title":"Effective drying processes for Taikor (Garcinia pedunculata Roxb.) fruit by  ultrasound-assisted osmotic pretreatment: Analysis of quality and kinetic models.","type":"article-journal","volume":"103"},"uris":["http://www.mendeley.com/documents/?uuid=daf32de2-dfd0-4a3a-9621-08629f279439"]}],"mendeley":{"formattedCitation":"(Ali et al., 2017; Hossain et al., 2024)","plainTextFormattedCitation":"(Ali et al., 2017; Hossain et al., 2024)","previouslyFormattedCitation":"(Ali &lt;i&gt;et al.&lt;/i&gt;, 2017; Hossain &lt;i&gt;et al.&lt;/i&gt;, 2024)"},"properties":{"noteIndex":0},"schema":"https://github.com/citation-style-language/schema/raw/master/csl-citation.json"}</w:instrText>
      </w:r>
      <w:r w:rsidRPr="00B5269C">
        <w:rPr>
          <w:rFonts w:ascii="Arial" w:hAnsi="Arial" w:cs="Arial"/>
          <w:lang w:val="en-IN"/>
        </w:rPr>
        <w:fldChar w:fldCharType="separate"/>
      </w:r>
      <w:r w:rsidR="004B0AB4" w:rsidRPr="00741E80">
        <w:rPr>
          <w:rFonts w:ascii="Arial" w:hAnsi="Arial" w:cs="Arial"/>
          <w:noProof/>
          <w:lang w:val="en-IN"/>
        </w:rPr>
        <w:t>(Ali et al., 2017; Hossain et al., 2024)</w:t>
      </w:r>
      <w:r w:rsidRPr="00B5269C">
        <w:rPr>
          <w:rFonts w:ascii="Arial" w:hAnsi="Arial" w:cs="Arial"/>
        </w:rPr>
        <w:fldChar w:fldCharType="end"/>
      </w:r>
      <w:r w:rsidRPr="00B5269C">
        <w:rPr>
          <w:rFonts w:ascii="Arial" w:hAnsi="Arial" w:cs="Arial"/>
          <w:lang w:val="en-IN"/>
        </w:rPr>
        <w:t xml:space="preserve">. </w:t>
      </w:r>
    </w:p>
    <w:p w14:paraId="3D8806FB" w14:textId="44279260"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Renal markers, specifically creatinine, remained stable except for a modest group effect observed only in urea. Hepatic transaminases (ALT/AST) demonstrated no intergroup variability, while ALP presented effects attributable to both sex and group variations. These observations align with prior in vivo studies suggesting that GP extracts are generally well-tolerated and, in certain contexts, exhibit hepatoprotective properties, exhibiting limited effects on ALT/AST levels at the doses studied. Investigations in both human and animal models involving garcinol-containing regimens similarly indicate either neutral or positive outcomes on hepatic biochemical parameters, notwithstanding differences in species and formulations. </w:t>
      </w:r>
      <w:r w:rsidRPr="00B5269C">
        <w:rPr>
          <w:rFonts w:ascii="Arial" w:hAnsi="Arial" w:cs="Arial"/>
          <w:lang w:val="en-IN"/>
        </w:rPr>
        <w:fldChar w:fldCharType="begin" w:fldLock="1"/>
      </w:r>
      <w:r w:rsidR="00741E80">
        <w:rPr>
          <w:rFonts w:ascii="Arial" w:hAnsi="Arial" w:cs="Arial"/>
          <w:lang w:val="en-IN"/>
        </w:rPr>
        <w:instrText>ADDIN CSL_CITATION {"citationItems":[{"id":"ITEM-1","itemData":{"DOI":"10.1155/2017/4686104","ISSN":"17414288","abstract":"This study was undertaken to investigate the toxicological profile of a methanolic extract of Garcinia pedunculata fruit in rats by conducting hematological, biochemical, and histopathological examinations. Long Evans rats were divided into four groups, each with 6 animals, and were treated with three oral doses (250, 500, and 1000 mg/kg) once daily for 21 days. The extract did not cause significant changes in body and relative organ weight, percent water content, or hematological parameters at any administered doses. However, a significant dose-dependent positive effect in serum lipid profile and all atherogenic indices including the cardiac risk ratio, Castelli's risk index-2, and the atherogenic coefficient were observed. Significant increases in the levels of iron and decreases in serum alkaline phosphatase, alanine transaminase, and lactate dehydrogenase activities and the levels of serum glucose were noted when the extract was administered at the highest dose (1000 mg/kg). Histopathological examination of the target tissues further confirmed that the extract was safe and had no observed toxicological features. Our study indicates that G. pedunculata fruit is nontoxic, has the potential to be effective against atherosclerosis, and may be used as a hepatoprotectant. The fruit extract is also beneficial to those with iron deficiency and hyperglycemia.","author":[{"dropping-particle":"","family":"Paul","given":"Sudip","non-dropping-particle":"","parse-names":false,"suffix":""},{"dropping-particle":"","family":"Ali","given":"Md Yousuf","non-dropping-particle":"","parse-names":false,"suffix":""},{"dropping-particle":"","family":"Rumpa","given":"Nur E.Noushin","non-dropping-particle":"","parse-names":false,"suffix":""},{"dropping-particle":"","family":"Tanvir","given":"E. M.","non-dropping-particle":"","parse-names":false,"suffix":""},{"dropping-particle":"","family":"Hossen","given":"Md Sakib","non-dropping-particle":"","parse-names":false,"suffix":""},{"dropping-particle":"","family":"Saha","given":"Moumoni","non-dropping-particle":"","parse-names":false,"suffix":""},{"dropping-particle":"","family":"Bhoumik","given":"Nikhil Chandra","non-dropping-particle":"","parse-names":false,"suffix":""},{"dropping-particle":"","family":"Gan","given":"Siew Hua","non-dropping-particle":"","parse-names":false,"suffix":""},{"dropping-particle":"","family":"Khalil","given":"Md Ibrahim","non-dropping-particle":"","parse-names":false,"suffix":""}],"container-title":"Evidence-based Complementary and Alternative Medicine","id":"ITEM-1","issued":{"date-parts":[["2017"]]},"title":"Assessment of Toxicity and Beneficiary Effects of Garcinia pedunculata on the Hematological, Biochemical, and Histological Homeostasis in Rats","type":"article-journal","volume":"2017"},"uris":["http://www.mendeley.com/documents/?uuid=b9efc769-1fdf-44dc-ba40-0b122ca583e2"]},{"id":"ITEM-2","itemData":{"ISSN":"1663-9812","author":[{"dropping-particle":"","family":"Sarma","given":"Rahul","non-dropping-particle":"","parse-names":false,"suffix":""},{"dropping-particle":"","family":"Kumari","given":"Sima","non-dropping-particle":"","parse-names":false,"suffix":""},{"dropping-particle":"","family":"Elancheran","given":"Ramakrishnan","non-dropping-particle":"","parse-names":false,"suffix":""},{"dropping-particle":"","family":"Deori","given":"Meetali","non-dropping-particle":"","parse-names":false,"suffix":""},{"dropping-particle":"","family":"Devi","given":"Rajlakshmi","non-dropping-particle":"","parse-names":false,"suffix":""}],"container-title":"Frontiers in Pharmacology","id":"ITEM-2","issued":{"date-parts":[["2016"]]},"page":"294","publisher":"Frontiers Media SA","title":"Polyphenol rich extract of Garcinia pedunculata fruit attenuates the hyperlipidemia induced by high fat diet","type":"article-journal","volume":"7"},"uris":["http://www.mendeley.com/documents/?uuid=017df07e-893a-481e-a71b-7a3509b8b741"]}],"mendeley":{"formattedCitation":"(Paul et al., 2017; Sarma et al., 2016)","plainTextFormattedCitation":"(Paul et al., 2017; Sarma et al., 2016)","previouslyFormattedCitation":"(Sarma &lt;i&gt;et al.&lt;/i&gt;, 2016; Paul &lt;i&gt;et al.&lt;/i&gt;, 2017)"},"properties":{"noteIndex":0},"schema":"https://github.com/citation-style-language/schema/raw/master/csl-citation.json"}</w:instrText>
      </w:r>
      <w:r w:rsidRPr="00B5269C">
        <w:rPr>
          <w:rFonts w:ascii="Arial" w:hAnsi="Arial" w:cs="Arial"/>
          <w:lang w:val="en-IN"/>
        </w:rPr>
        <w:fldChar w:fldCharType="separate"/>
      </w:r>
      <w:r w:rsidR="00741E80" w:rsidRPr="00741E80">
        <w:rPr>
          <w:rFonts w:ascii="Arial" w:hAnsi="Arial" w:cs="Arial"/>
          <w:noProof/>
          <w:lang w:val="en-IN"/>
        </w:rPr>
        <w:t>(Paul et al., 2017; Sarma et al., 2016)</w:t>
      </w:r>
      <w:r w:rsidRPr="00B5269C">
        <w:rPr>
          <w:rFonts w:ascii="Arial" w:hAnsi="Arial" w:cs="Arial"/>
        </w:rPr>
        <w:fldChar w:fldCharType="end"/>
      </w:r>
      <w:r w:rsidRPr="00B5269C">
        <w:rPr>
          <w:rFonts w:ascii="Arial" w:hAnsi="Arial" w:cs="Arial"/>
          <w:lang w:val="en-IN"/>
        </w:rPr>
        <w:t>.</w:t>
      </w:r>
      <w:r w:rsidR="00601E57">
        <w:rPr>
          <w:rFonts w:ascii="Arial" w:hAnsi="Arial" w:cs="Arial"/>
          <w:lang w:val="en-IN"/>
        </w:rPr>
        <w:t xml:space="preserve"> This can be attributed to the antioxidant property of G. </w:t>
      </w:r>
      <w:r w:rsidR="00601E57">
        <w:rPr>
          <w:rFonts w:ascii="Arial" w:hAnsi="Arial" w:cs="Arial"/>
          <w:lang w:val="en-IN"/>
        </w:rPr>
        <w:lastRenderedPageBreak/>
        <w:t xml:space="preserve">pedunculata which has been well reported in previous studies </w:t>
      </w:r>
      <w:r w:rsidR="00601E57">
        <w:rPr>
          <w:rFonts w:ascii="Arial" w:hAnsi="Arial" w:cs="Arial"/>
          <w:lang w:val="en-IN"/>
        </w:rPr>
        <w:fldChar w:fldCharType="begin" w:fldLock="1"/>
      </w:r>
      <w:r w:rsidR="00741E80">
        <w:rPr>
          <w:rFonts w:ascii="Arial" w:hAnsi="Arial" w:cs="Arial"/>
          <w:lang w:val="en-IN"/>
        </w:rPr>
        <w:instrText>ADDIN CSL_CITATION {"citationItems":[{"id":"ITEM-1","itemData":{"ISSN":"1466-8564","author":[{"dropping-particle":"","family":"Jayaprakasha","given":"G K","non-dropping-particle":"","parse-names":false,"suffix":""},{"dropping-particle":"","family":"Negi","given":"P S","non-dropping-particle":"","parse-names":false,"suffix":""},{"dropping-particle":"","family":"Jena","given":"B S","non-dropping-particle":"","parse-names":false,"suffix":""}],"container-title":"Innovative Food Science &amp; Emerging Technologies","id":"ITEM-1","issue":"3","issued":{"date-parts":[["2006"]]},"page":"246-250","publisher":"Elsevier","title":"Antioxidative and antimutagenic activities of the extracts from the rinds of Garcinia pedunculata","type":"article-journal","volume":"7"},"uris":["http://www.mendeley.com/documents/?uuid=0b54f8d4-118d-4ac0-ab4b-812977aed44a"]},{"id":"ITEM-2","itemData":{"DOI":"10.1177/09731296231158433","ISSN":"0973-1296","abstract":"Background Garcinia pedunculata (GP) Roxb. is a traditional medicinal plant used for treating gastrointestinal disorders. The fruit is always consumed in dried form in cuisines and as medicine.Objectives To study the effect of drying conditions (shade, oven, and traditional sun drying) on the nutritional profile of GP while assessing the choice of solvent extraction for the maximum phytocompounds extraction; their in vitro biological activities and chemical profiling.Materials and Methods The fruits were cut into thin 0.9 ± 0.3 cm slices and dried in the shade (25?30°C), sun (34?40°C), and oven (70?80°C). The extraction was done using methanol, hydromethanol, ethanol, hydroethanol, and water. HPLC and LC-ESI-MS/MS were used to identify the bioactive compounds.Results In this study, the impact of three drying conditions has been investigated and established that shade-dried (ShD) has a better-preserved nutritional profile. In terms of phytochemical extraction, comparatively higher amounts of phenols (394.00 ± 12.28 mg Gallic acid equivalent (GAE)/g of dried sample) and flavonoids (72.62 ± 2.06 mg Quercetin/g of dried sample) were recorded in the shade-dried hydromethanolic extract (ShDMH), which was directly in line with the better antioxidant activity (IC50 for 1,1-diphenyl-2-picrylhydrazyl (DPPH), 647.99 ± 7.66 µg/mL, 2,2?-azino-bis(3-ethylbenzothiazoline)6-sulfonic acid (ABTS), 762.02 ± 18.74 µg/mL) and enzyme-inhibitory potential (IC50 for α- glucosidase 1908.06 ± 13.26 µg/mL and for lipase 613.59 ± 7.57 µg/mL) of this extract.Conclusion The conclusive evidence from this study indicates that shade drying and extraction with hydromethanolic solvent preserves most of the nutritional components and has a higher extraction yield with well-conserved phytochemical composition. Also, these bioactive compounds such as hydroxycitric acid, GB-1a, garcinone A, 9-hydroxycalabaxanthone, chlorogenic acid, and garcinol are present in these extracts. This fruit, although beneficial is still underutilized, and this outcome is believed to be significantly valuable for the further aspects of GP fruit-based nutraceutical or phytopharmaceutical development.","author":[{"dropping-particle":"","family":"Bhattacharjee","given":" Swarnali","non-dropping-particle":"","parse-names":false,"suffix":""},{"dropping-particle":"","family":"Ramakrishnan","given":" Elancheran","non-dropping-particle":"","parse-names":false,"suffix":""},{"dropping-particle":"","family":"Deb","given":" Prashanta Kumar","non-dropping-particle":"","parse-names":false,"suffix":""},{"dropping-particle":"","family":"Sarma","given":" Partha Pratim","non-dropping-particle":"","parse-names":false,"suffix":""},{"dropping-particle":"","family":"Choudhury","given":" Debopriya","non-dropping-particle":"","parse-names":false,"suffix":""},{"dropping-particle":"","family":"Kabilan","given":" Senthamaraikannan","non-dropping-particle":"","parse-names":false,"suffix":""},{"dropping-particle":"","family":"Devi","given":" Rajlakshmi","non-dropping-particle":"","parse-names":false,"suffix":""}],"container-title":"Pharmacognosy Magazine","id":"ITEM-2","issue":"2","issued":{"date-parts":[["2023","4","9"]]},"note":"doi: 10.1177/09731296231158433","page":"269-283","publisher":"SAGE Publications","title":"Influence of Drying Condition on Nutritional and Chemical Profile of Garcinia pedunculata Roxb. Fruit","type":"article-journal","volume":"19"},"uris":["http://www.mendeley.com/documents/?uuid=41dffd43-edb6-4017-91f0-e5962084790d"]}],"mendeley":{"formattedCitation":"(Bhattacharjee et al., 2023; Jayaprakasha et al., 2006)","plainTextFormattedCitation":"(Bhattacharjee et al., 2023; Jayaprakasha et al., 2006)","previouslyFormattedCitation":"(Jayaprakasha, Negi and Jena, 2006; Bhattacharjee &lt;i&gt;et al.&lt;/i&gt;, 2023)"},"properties":{"noteIndex":0},"schema":"https://github.com/citation-style-language/schema/raw/master/csl-citation.json"}</w:instrText>
      </w:r>
      <w:r w:rsidR="00601E57">
        <w:rPr>
          <w:rFonts w:ascii="Arial" w:hAnsi="Arial" w:cs="Arial"/>
          <w:lang w:val="en-IN"/>
        </w:rPr>
        <w:fldChar w:fldCharType="separate"/>
      </w:r>
      <w:r w:rsidR="00741E80" w:rsidRPr="00741E80">
        <w:rPr>
          <w:rFonts w:ascii="Arial" w:hAnsi="Arial" w:cs="Arial"/>
          <w:noProof/>
          <w:lang w:val="en-IN"/>
        </w:rPr>
        <w:t>(Bhattacharjee et al., 2023; Jayaprakasha et al., 2006)</w:t>
      </w:r>
      <w:r w:rsidR="00601E57">
        <w:rPr>
          <w:rFonts w:ascii="Arial" w:hAnsi="Arial" w:cs="Arial"/>
          <w:lang w:val="en-IN"/>
        </w:rPr>
        <w:fldChar w:fldCharType="end"/>
      </w:r>
      <w:r w:rsidR="00601E57">
        <w:rPr>
          <w:rFonts w:ascii="Arial" w:hAnsi="Arial" w:cs="Arial"/>
          <w:lang w:val="en-IN"/>
        </w:rPr>
        <w:t>.</w:t>
      </w:r>
    </w:p>
    <w:p w14:paraId="2680A21A" w14:textId="4A12563F" w:rsidR="00B5269C" w:rsidRPr="00B5269C" w:rsidRDefault="00B5269C" w:rsidP="00B5269C">
      <w:pPr>
        <w:pStyle w:val="Body"/>
        <w:spacing w:after="0"/>
        <w:rPr>
          <w:rFonts w:ascii="Arial" w:hAnsi="Arial" w:cs="Arial"/>
          <w:lang w:val="en-IN"/>
        </w:rPr>
      </w:pPr>
      <w:r w:rsidRPr="00B5269C">
        <w:rPr>
          <w:rFonts w:ascii="Arial" w:hAnsi="Arial" w:cs="Arial"/>
          <w:lang w:val="en-IN"/>
        </w:rPr>
        <w:t>Botanicals rich in polyphenols have the potential to affect renal processing and fluid equilibrium.</w:t>
      </w:r>
      <w:r w:rsidR="00601E57">
        <w:rPr>
          <w:rFonts w:ascii="Arial" w:hAnsi="Arial" w:cs="Arial"/>
          <w:lang w:val="en-IN"/>
        </w:rPr>
        <w:t xml:space="preserve"> </w:t>
      </w:r>
      <w:r w:rsidR="00601E57" w:rsidRPr="00601E57">
        <w:rPr>
          <w:rFonts w:ascii="Arial" w:hAnsi="Arial" w:cs="Arial"/>
          <w:i/>
          <w:iCs/>
          <w:lang w:val="en-IN"/>
        </w:rPr>
        <w:t>G. pedunculata</w:t>
      </w:r>
      <w:r w:rsidR="00601E57">
        <w:rPr>
          <w:rFonts w:ascii="Arial" w:hAnsi="Arial" w:cs="Arial"/>
          <w:lang w:val="en-IN"/>
        </w:rPr>
        <w:t xml:space="preserve"> has been reported to be rich in phenolic content in our previous study </w:t>
      </w:r>
      <w:r w:rsidR="00601E57">
        <w:rPr>
          <w:rFonts w:ascii="Arial" w:hAnsi="Arial" w:cs="Arial"/>
          <w:lang w:val="en-IN"/>
        </w:rPr>
        <w:fldChar w:fldCharType="begin" w:fldLock="1"/>
      </w:r>
      <w:r w:rsidR="00741E80">
        <w:rPr>
          <w:rFonts w:ascii="Arial" w:hAnsi="Arial" w:cs="Arial"/>
          <w:lang w:val="en-IN"/>
        </w:rPr>
        <w:instrText>ADDIN CSL_CITATION {"citationItems":[{"id":"ITEM-1","itemData":{"DOI":"10.1007/s10787-024-01484-1","ISSN":"1568-5608 (Electronic)","PMID":"38695971","abstract":"Garcinia pedunculata, a tropical plant found abundantly in the north-east region  of India, has been used by many traditional healers for various gastrointestinal ailments. Studies are being carried out for the proper pharmacological identification of the compounds as well as the mode of action for the treatment of various diseases. In this study, phytochemistry of the fruit was evaluated, followed by a quantitative analysis of the total phenolic and flavonoid content of the methanolic crude extract as well as different fractions (n-hexane, chloroform, ethyl acetate, and n-butanol). The fraction with the most potent flavonoid and phenolic content was evaluated for its anti-inflammatory activity using both in vitro and in vivo assays. The chloroform fraction of G. pedunculata fruit extract was found to have a substantial amount of phenols and flavonoids. This fraction inhibited the denaturation of BSA and significantly stabilized human RBC membrane compared to the standard drug Diclofenac sodium. The fraction also significantly reduced the formaldehyde-induced paw edema in mice and normalized the blood parameters. This study provides evidence that G. pedunculata fruit extract plays a critical role in anti-inflammatory activity, indicating that it can be a potential candidate for further investigation in the treatment of inflammation-related diseases.","author":[{"dropping-particle":"","family":"Dutta","given":"Kasturi","non-dropping-particle":"","parse-names":false,"suffix":""},{"dropping-particle":"","family":"Verma","given":"Akalesh Kumar","non-dropping-particle":"","parse-names":false,"suffix":""},{"dropping-particle":"","family":"Gogoi","given":"Munmi","non-dropping-particle":"","parse-names":false,"suffix":""},{"dropping-particle":"","family":"Devi","given":"Mary","non-dropping-particle":"","parse-names":false,"suffix":""},{"dropping-particle":"","family":"Singh","given":"Maishnam Rustam","non-dropping-particle":"","parse-names":false,"suffix":""},{"dropping-particle":"","family":"Singh","given":"Namram Sushindrajit","non-dropping-particle":"","parse-names":false,"suffix":""}],"container-title":"Inflammopharmacology","id":"ITEM-1","issue":"4","issued":{"date-parts":[["2024","8"]]},"language":"eng","page":"2493-2503","publisher-place":"Switzerland","title":"Anti-inflammatory activity of the phenol rich fraction of Garcinia pedunculata  Roxb (ex. Buch Ham): an in vitro and in vivo study.","type":"article-journal","volume":"32"},"uris":["http://www.mendeley.com/documents/?uuid=2bae8f72-288c-458f-ac64-cd1b5fcb6a3b"]}],"mendeley":{"formattedCitation":"(Dutta et al., 2024)","plainTextFormattedCitation":"(Dutta et al., 2024)","previouslyFormattedCitation":"(Dutta &lt;i&gt;et al.&lt;/i&gt;, 2024)"},"properties":{"noteIndex":0},"schema":"https://github.com/citation-style-language/schema/raw/master/csl-citation.json"}</w:instrText>
      </w:r>
      <w:r w:rsidR="00601E57">
        <w:rPr>
          <w:rFonts w:ascii="Arial" w:hAnsi="Arial" w:cs="Arial"/>
          <w:lang w:val="en-IN"/>
        </w:rPr>
        <w:fldChar w:fldCharType="separate"/>
      </w:r>
      <w:r w:rsidR="00601E57" w:rsidRPr="00741E80">
        <w:rPr>
          <w:rFonts w:ascii="Arial" w:hAnsi="Arial" w:cs="Arial"/>
          <w:noProof/>
          <w:lang w:val="en-IN"/>
        </w:rPr>
        <w:t>(Dutta et al., 2024)</w:t>
      </w:r>
      <w:r w:rsidR="00601E57">
        <w:rPr>
          <w:rFonts w:ascii="Arial" w:hAnsi="Arial" w:cs="Arial"/>
          <w:lang w:val="en-IN"/>
        </w:rPr>
        <w:fldChar w:fldCharType="end"/>
      </w:r>
      <w:r w:rsidR="00601E57">
        <w:rPr>
          <w:rFonts w:ascii="Arial" w:hAnsi="Arial" w:cs="Arial"/>
          <w:lang w:val="en-IN"/>
        </w:rPr>
        <w:t>.</w:t>
      </w:r>
      <w:r w:rsidR="0097341F">
        <w:rPr>
          <w:rFonts w:ascii="Arial" w:hAnsi="Arial" w:cs="Arial"/>
          <w:lang w:val="en-IN"/>
        </w:rPr>
        <w:t xml:space="preserve"> Moreover, the fruit has been reported to have nephroprotective activity </w:t>
      </w:r>
      <w:r w:rsidR="0097341F">
        <w:rPr>
          <w:rFonts w:ascii="Arial" w:hAnsi="Arial" w:cs="Arial"/>
          <w:lang w:val="en-IN"/>
        </w:rPr>
        <w:fldChar w:fldCharType="begin" w:fldLock="1"/>
      </w:r>
      <w:r w:rsidR="00741E80">
        <w:rPr>
          <w:rFonts w:ascii="Arial" w:hAnsi="Arial" w:cs="Arial"/>
          <w:lang w:val="en-IN"/>
        </w:rPr>
        <w:instrText>ADDIN CSL_CITATION {"citationItems":[{"id":"ITEM-1","itemData":{"author":[{"dropping-particle":"","family":"Mundugaru","given":"Ravi","non-dropping-particle":"","parse-names":false,"suffix":""},{"dropping-particle":"","family":"Sivanesan","given":"Senthil Kumar","non-dropping-particle":"","parse-names":false,"suffix":""},{"dropping-particle":"","family":"Udaykumar","given":"Padmaja","non-dropping-particle":"","parse-names":false,"suffix":""},{"dropping-particle":"","family":"Joy","given":"Febin","non-dropping-particle":"","parse-names":false,"suffix":""},{"dropping-particle":"","family":"Koppala","given":"Sunil Kumar","non-dropping-particle":"","parse-names":false,"suffix":""},{"dropping-particle":"","family":"Rajagopal","given":"Rajakrishnan","non-dropping-particle":"","parse-names":false,"suffix":""},{"dropping-particle":"","family":"Hisham","given":"Sameh Mohammed","non-dropping-particle":"","parse-names":false,"suffix":""}],"container-title":"Indian Journal of Pharmaceutical Education and Research","id":"ITEM-1","issue":"4","issued":{"date-parts":[["2017"]]},"page":"713-721","title":"Quality Standardization and Nephroprotective Effect of Garcinia pedunculata Roxb. Fruit rind","type":"article-journal","volume":"51"},"uris":["http://www.mendeley.com/documents/?uuid=53187910-f1d7-4948-ae75-0a4b92aeb8d3"]},{"id":"ITEM-2","itemData":{"DOI":"10.1007/s13596-019-00402-z","ISSN":"2662-4060","abstract":"With ageing of the global population, and increased prevalence of diabetes and hypertension, the incidences of chronic kidney disease (CKD) is also on the rise. We have recently demonstrated that high adenine diet leads to CKD with hyperuricemia, and deposition of uroliths of adenine and 2, 8-dihydroxyadenine. Production of uric acid and 2,8-dihydroxyadenine are catalyzed by xanthine oxidoreductase (XOR). The present study was undertaken to elucidate renoprotective potentials of aqueous fruit extract of Garcinia pedunculata (2% w/v mixed with drinking water) in animal model of CKD, in terms of serum parameters and urolithiasis. To develop the mice model, the mice were given high adenine (0.3% w/w) diet mixed with feed. Elevation in the levels of serum urea and uric acid, and renal histopathological changes were regarded as parameters to validate the model. Aqueous fruit extract of G. pedunculata significantly ameliorated the serum levels of urea and uric acid, and histological alterations. Since Garcinol is one of the principal constituents of the plant, computational modelling was performed to determine inhibitory potential of Garcinol on XOR. The computational modelling revealed that Garcinol may directly inhibit XOR by interacting with the active site of the enzyme. Our findings demonstrated that the fruit extract of G. pedunculata may ameliorate adenine-induced CKD in mice, in terms of haematological and histopathological changes, the mechanism of which has been proposed to be inhibition of XOR by Garcinol. Thus, the present study is important in the treatment paradigm of CKD as a whole, and urolithiasis and hyperuricemia in particular.","author":[{"dropping-particle":"","family":"Saikia","given":"Rubul","non-dropping-particle":"","parse-names":false,"suffix":""},{"dropping-particle":"","family":"Choudhury","given":"Shuvasish","non-dropping-particle":"","parse-names":false,"suffix":""},{"dropping-particle":"","family":"Borah","given":"Anupom","non-dropping-particle":"","parse-names":false,"suffix":""},{"dropping-particle":"","family":"Mazumder","given":"Muhammed Khairujjaman","non-dropping-particle":"","parse-names":false,"suffix":""}],"container-title":"Advances in Traditional Medicine","id":"ITEM-2","issue":"2","issued":{"date-parts":[["2020"]]},"page":"255-261","title":"Ameliorative effects of Garcinia pedunculata fruit extract on adenine-induced chronic kidney disease in mice, and the role of Garcinol: relevance to hyperuricemia and urolithiasis","type":"article-journal","volume":"20"},"uris":["http://www.mendeley.com/documents/?uuid=e2d7b91c-2e33-4fa4-9aae-fe12fb157501"]}],"mendeley":{"formattedCitation":"(Mundugaru et al., 2017; Saikia et al., 2020)","plainTextFormattedCitation":"(Mundugaru et al., 2017; Saikia et al., 2020)","previouslyFormattedCitation":"(Mundugaru &lt;i&gt;et al.&lt;/i&gt;, 2017; Saikia &lt;i&gt;et al.&lt;/i&gt;, 2020)"},"properties":{"noteIndex":0},"schema":"https://github.com/citation-style-language/schema/raw/master/csl-citation.json"}</w:instrText>
      </w:r>
      <w:r w:rsidR="0097341F">
        <w:rPr>
          <w:rFonts w:ascii="Arial" w:hAnsi="Arial" w:cs="Arial"/>
          <w:lang w:val="en-IN"/>
        </w:rPr>
        <w:fldChar w:fldCharType="separate"/>
      </w:r>
      <w:r w:rsidR="0097341F" w:rsidRPr="00741E80">
        <w:rPr>
          <w:rFonts w:ascii="Arial" w:hAnsi="Arial" w:cs="Arial"/>
          <w:noProof/>
          <w:lang w:val="en-IN"/>
        </w:rPr>
        <w:t>(Mundugaru et al., 2017; Saikia et al., 2020)</w:t>
      </w:r>
      <w:r w:rsidR="0097341F">
        <w:rPr>
          <w:rFonts w:ascii="Arial" w:hAnsi="Arial" w:cs="Arial"/>
          <w:lang w:val="en-IN"/>
        </w:rPr>
        <w:fldChar w:fldCharType="end"/>
      </w:r>
      <w:r w:rsidRPr="00B5269C">
        <w:rPr>
          <w:rFonts w:ascii="Arial" w:hAnsi="Arial" w:cs="Arial"/>
          <w:lang w:val="en-IN"/>
        </w:rPr>
        <w:t xml:space="preserve"> Similar </w:t>
      </w:r>
      <w:r w:rsidRPr="0033761A">
        <w:rPr>
          <w:rFonts w:ascii="Arial" w:hAnsi="Arial" w:cs="Arial"/>
          <w:i/>
          <w:iCs/>
          <w:lang w:val="en-IN"/>
        </w:rPr>
        <w:t>Garcinia</w:t>
      </w:r>
      <w:r w:rsidRPr="00B5269C">
        <w:rPr>
          <w:rFonts w:ascii="Arial" w:hAnsi="Arial" w:cs="Arial"/>
          <w:lang w:val="en-IN"/>
        </w:rPr>
        <w:t xml:space="preserve"> species have demonstrated alterations in renal excretory function in rat models (such as changes in urine production and electrolyte elimination), although the direction of these effects depends on the specific model, dosage, and extract used. The observed serum pattern may be indicative of minor volume changes or hormonal adjustments (such as aldosterone-induced potassium loss) rather than direct nephrotoxicity, corroborated by the stable creatinine levels </w:t>
      </w:r>
      <w:r w:rsidRPr="00B5269C">
        <w:rPr>
          <w:rFonts w:ascii="Arial" w:hAnsi="Arial" w:cs="Arial"/>
          <w:lang w:val="en-IN"/>
        </w:rPr>
        <w:fldChar w:fldCharType="begin" w:fldLock="1"/>
      </w:r>
      <w:r w:rsidR="00741E80">
        <w:rPr>
          <w:rFonts w:ascii="Arial" w:hAnsi="Arial" w:cs="Arial"/>
          <w:lang w:val="en-IN"/>
        </w:rPr>
        <w:instrText>ADDIN CSL_CITATION {"citationItems":[{"id":"ITEM-1","itemData":{"DOI":"10.2306/SCIENCEASIA1513-1874.2020.095","ISSN":"15131874","abstract":"Intravenous infusion of either camboginol or morelloflavone from Garcinia dulcis (GD) exerted diuretic, hypotensive, and vasorelaxant effects in either normotensive or hypertensive rats. This study aims to investigate the effects of GD flower extract on arterial blood pressure (ABP) and renal excretory functions. Male Wistar rats (8-week-old) were divided into 4 groups (group I–IV, n = 6 each) in both acute and sub-chronic protocols. The GD extract was orally administrated to group II–IV at the dose of 50, 100, or 200 mg/kg, respectively, while group I served as vehicle control. The oral administration was performed before the experiment in acute protocol and daily for 2 weeks in the sub-chronic protocol. The ABP and renal excretory functions were measured in the anesthetized rats. The levels of fasting blood glucose (FBG), plasma lipid profiles, and liver enzymes were evaluated in the sub-chronic experiment along with liver histology. The results showed that acute administration of GD extract significantly decreased ABP but increased renal blood flow, glomerular filtration rate, urine flow rate, osmolar clearance, and negative free water clearance when compared with the control. In the sub-chronic protocol, the GD extract significantly decreased ABP but did not alter the renal excretory functions. The plasma levels of FBG, lipid profiles, liver enzymes, and the histology of liver were not changed. It is concluded that acute oral administration of GD extract possessed hypotensive and diuretic effects whereas the sub-chronic treatment of GD showed hypotensive effect and no alterations in liver function, FBG, and plasma lipid profiles.","author":[{"dropping-particle":"","family":"Thongsepee","given":"Nattaya","non-dropping-particle":"","parse-names":false,"suffix":""},{"dropping-particle":"","family":"Srisawat","given":"Umarat","non-dropping-particle":"","parse-names":false,"suffix":""},{"dropping-particle":"","family":"Mahabussarakam","given":"Wilawan","non-dropping-particle":"","parse-names":false,"suffix":""},{"dropping-particle":"","family":"Ekarattanawong","given":"Sophapun","non-dropping-particle":"","parse-names":false,"suffix":""},{"dropping-particle":"","family":"Suttirak","given":"Noppadon","non-dropping-particle":"","parse-names":false,"suffix":""},{"dropping-particle":"","family":"Hiranyachattada","given":"Siriphun","non-dropping-particle":"","parse-names":false,"suffix":""}],"container-title":"ScienceAsia","id":"ITEM-1","issue":"6","issued":{"date-parts":[["2020"]]},"page":"671-678","title":"Effects of oral administration of Garcinia dulcis flower extract on arterial blood pressure and renal excretory functions in rats","type":"article-journal","volume":"46"},"uris":["http://www.mendeley.com/documents/?uuid=b9d74e1d-7dda-4f4b-94d1-32b8f7643d04"]}],"mendeley":{"formattedCitation":"(Thongsepee et al., 2020)","plainTextFormattedCitation":"(Thongsepee et al., 2020)","previouslyFormattedCitation":"(Thongsepee &lt;i&gt;et al.&lt;/i&gt;, 2020)"},"properties":{"noteIndex":0},"schema":"https://github.com/citation-style-language/schema/raw/master/csl-citation.json"}</w:instrText>
      </w:r>
      <w:r w:rsidRPr="00B5269C">
        <w:rPr>
          <w:rFonts w:ascii="Arial" w:hAnsi="Arial" w:cs="Arial"/>
          <w:lang w:val="en-IN"/>
        </w:rPr>
        <w:fldChar w:fldCharType="separate"/>
      </w:r>
      <w:r w:rsidR="004B0AB4" w:rsidRPr="00741E80">
        <w:rPr>
          <w:rFonts w:ascii="Arial" w:hAnsi="Arial" w:cs="Arial"/>
          <w:noProof/>
          <w:lang w:val="en-IN"/>
        </w:rPr>
        <w:t>(Thongsepee et al., 2020)</w:t>
      </w:r>
      <w:r w:rsidRPr="00B5269C">
        <w:rPr>
          <w:rFonts w:ascii="Arial" w:hAnsi="Arial" w:cs="Arial"/>
        </w:rPr>
        <w:fldChar w:fldCharType="end"/>
      </w:r>
      <w:r w:rsidRPr="00B5269C">
        <w:rPr>
          <w:rFonts w:ascii="Arial" w:hAnsi="Arial" w:cs="Arial"/>
          <w:lang w:val="en-IN"/>
        </w:rPr>
        <w:t>.</w:t>
      </w:r>
    </w:p>
    <w:p w14:paraId="2FD78DE6" w14:textId="681A348F"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Erythrocyte indices revealed a dose-dependent increase in mean corpuscular volume (MCV) at 100 mg/kg and a reduction in mean corpuscular </w:t>
      </w:r>
      <w:proofErr w:type="spellStart"/>
      <w:r w:rsidRPr="00B5269C">
        <w:rPr>
          <w:rFonts w:ascii="Arial" w:hAnsi="Arial" w:cs="Arial"/>
          <w:lang w:val="en-IN"/>
        </w:rPr>
        <w:t>hemoglobin</w:t>
      </w:r>
      <w:proofErr w:type="spellEnd"/>
      <w:r w:rsidRPr="00B5269C">
        <w:rPr>
          <w:rFonts w:ascii="Arial" w:hAnsi="Arial" w:cs="Arial"/>
          <w:lang w:val="en-IN"/>
        </w:rPr>
        <w:t xml:space="preserve"> concentration (MCHC) at 100</w:t>
      </w:r>
      <w:r w:rsidR="003E4461">
        <w:rPr>
          <w:rFonts w:ascii="Arial" w:hAnsi="Arial" w:cs="Arial"/>
          <w:lang w:val="en-IN"/>
        </w:rPr>
        <w:t>-</w:t>
      </w:r>
      <w:r w:rsidRPr="00B5269C">
        <w:rPr>
          <w:rFonts w:ascii="Arial" w:hAnsi="Arial" w:cs="Arial"/>
          <w:lang w:val="en-IN"/>
        </w:rPr>
        <w:t xml:space="preserve">250 mg/kg, with a decrease in red cell distribution width-coefficient of variation (RDW-CV) observed at 250 mg/kg. Despite their subtlety, these changes were consistent, indicating minor alterations in erythrocyte hydration or </w:t>
      </w:r>
      <w:proofErr w:type="spellStart"/>
      <w:r w:rsidRPr="00B5269C">
        <w:rPr>
          <w:rFonts w:ascii="Arial" w:hAnsi="Arial" w:cs="Arial"/>
          <w:lang w:val="en-IN"/>
        </w:rPr>
        <w:t>hemoglobinization</w:t>
      </w:r>
      <w:proofErr w:type="spellEnd"/>
      <w:r w:rsidRPr="00B5269C">
        <w:rPr>
          <w:rFonts w:ascii="Arial" w:hAnsi="Arial" w:cs="Arial"/>
          <w:lang w:val="en-IN"/>
        </w:rPr>
        <w:t xml:space="preserve"> rather than a manifestation of overt </w:t>
      </w:r>
      <w:proofErr w:type="spellStart"/>
      <w:r w:rsidRPr="00B5269C">
        <w:rPr>
          <w:rFonts w:ascii="Arial" w:hAnsi="Arial" w:cs="Arial"/>
          <w:lang w:val="en-IN"/>
        </w:rPr>
        <w:t>anemia</w:t>
      </w:r>
      <w:proofErr w:type="spellEnd"/>
      <w:r w:rsidRPr="00B5269C">
        <w:rPr>
          <w:rFonts w:ascii="Arial" w:hAnsi="Arial" w:cs="Arial"/>
          <w:lang w:val="en-IN"/>
        </w:rPr>
        <w:t xml:space="preserve">, as there was no variation in </w:t>
      </w:r>
      <w:proofErr w:type="spellStart"/>
      <w:r w:rsidRPr="00B5269C">
        <w:rPr>
          <w:rFonts w:ascii="Arial" w:hAnsi="Arial" w:cs="Arial"/>
          <w:lang w:val="en-IN"/>
        </w:rPr>
        <w:t>hemoglobin</w:t>
      </w:r>
      <w:proofErr w:type="spellEnd"/>
      <w:r w:rsidRPr="00B5269C">
        <w:rPr>
          <w:rFonts w:ascii="Arial" w:hAnsi="Arial" w:cs="Arial"/>
          <w:lang w:val="en-IN"/>
        </w:rPr>
        <w:t xml:space="preserve"> (HGB) or </w:t>
      </w:r>
      <w:proofErr w:type="spellStart"/>
      <w:r w:rsidRPr="00B5269C">
        <w:rPr>
          <w:rFonts w:ascii="Arial" w:hAnsi="Arial" w:cs="Arial"/>
          <w:lang w:val="en-IN"/>
        </w:rPr>
        <w:t>hematocrit</w:t>
      </w:r>
      <w:proofErr w:type="spellEnd"/>
      <w:r w:rsidRPr="00B5269C">
        <w:rPr>
          <w:rFonts w:ascii="Arial" w:hAnsi="Arial" w:cs="Arial"/>
          <w:lang w:val="en-IN"/>
        </w:rPr>
        <w:t xml:space="preserve"> (HCT) levels. Platelet counts were reduced at both examined doses. Although the majority of nutritional or phytochemical studies focus on platelet functionality over platelet count, polyphenols, including benzophenones derived from </w:t>
      </w:r>
      <w:r w:rsidRPr="0033761A">
        <w:rPr>
          <w:rFonts w:ascii="Arial" w:hAnsi="Arial" w:cs="Arial"/>
          <w:i/>
          <w:iCs/>
          <w:lang w:val="en-IN"/>
        </w:rPr>
        <w:t>Garcinia</w:t>
      </w:r>
      <w:r w:rsidRPr="00B5269C">
        <w:rPr>
          <w:rFonts w:ascii="Arial" w:hAnsi="Arial" w:cs="Arial"/>
          <w:lang w:val="en-IN"/>
        </w:rPr>
        <w:t xml:space="preserve">, are extensively recognized for inhibiting platelet activation and aggregation. Additionally, garcinol exhibits direct antiplatelet effects through mechanisms involving integrin αIIbβ3 and other targets. </w:t>
      </w:r>
      <w:r w:rsidRPr="00B5269C">
        <w:rPr>
          <w:rFonts w:ascii="Arial" w:hAnsi="Arial" w:cs="Arial"/>
          <w:lang w:val="en-IN"/>
        </w:rPr>
        <w:fldChar w:fldCharType="begin" w:fldLock="1"/>
      </w:r>
      <w:r w:rsidR="00741E80">
        <w:rPr>
          <w:rFonts w:ascii="Arial" w:hAnsi="Arial" w:cs="Arial"/>
          <w:lang w:val="en-IN"/>
        </w:rPr>
        <w:instrText>ADDIN CSL_CITATION {"citationItems":[{"id":"ITEM-1","itemData":{"DOI":"10.9755/ejfa.v27i3.18624","ISSN":"20790538","abstract":"An attempt was made to gain an insight about chemical compositions and antioxidant capacities of selected underutilized fruits Satkara (Citrus macroptera) and Taikor (Garcinia pedunculata) in Sylhet, Bangladesh. The analysis showed ß Carotene and Vitamin C in Satkara 22±1.50 mg/100g and 210.43±0.40 mg/100g whereas Taikor contains 45±1.00 and 142.83±2.03 mg/100g respectively. The mineral composition of both fruits is appreciable. Total polyphenol content (TPC) and total flavonoids (TF) in Satkara and Taikor were 22.76±0.52 mg GAE/100g and 18.98±0.65 mg GAE/100g, 23.38±1.0 mg RE/g and 18.33±1.12 mg RE/g respectively. The antioxidant capacities of these fruits were evaluated by DPPH and ABTS method, values expressed as TEAC (Trolox Equivalent Antioxidant Capacity). In case of ABTS showed that the value 19.06±0.18 TEAC (μM/g) and 2318.44±5.60 TEAC (μM/g); for DPPH showed 16.20±0.04 TEAC (μM/g) and 1813.88±12.62 TEAC (μM/g) in Satkara and Taikor respectively. The total polyphenol content showed the positive correlation with the antioxidant capacities and ascorbic acid contents of these fruits. Storage studies at two different temperatures at 5°C for 15 days and -18°C for 3 months long storage period antioxidant activity shown to be stable but vitamin C content decreases significantly. The results demonstrate that Citrus macroptera and Garcinia pedunculata fruits contained the considerable levels of nutrients and antioxidant capacity.","author":[{"dropping-particle":"","family":"Islam","given":"M. Z.","non-dropping-particle":"","parse-names":false,"suffix":""},{"dropping-particle":"","family":"Hoque","given":"M. M.","non-dropping-particle":"","parse-names":false,"suffix":""},{"dropping-particle":"","family":"Asif-Ul-Alam","given":"S. M.","non-dropping-particle":"","parse-names":false,"suffix":""},{"dropping-particle":"","family":"Monalisa","given":"K.","non-dropping-particle":"","parse-names":false,"suffix":""}],"container-title":"Emirates Journal of Food and Agriculture","id":"ITEM-1","issue":"3","issued":{"date-parts":[["2015"]]},"page":"275-282","title":"Chemical composition, antioxidant capacities and storage stability of Citrus macroptera and Garcinia pedunculata fruits","type":"article-journal","volume":"27"},"uris":["http://www.mendeley.com/documents/?uuid=c3e7a018-0fde-44b4-a247-bfb221fd9673"]},{"id":"ITEM-2","itemData":{"DOI":"https://doi.org/10.1016/j.lfs.2023.121791","ISSN":"0024-3205","abstract":"Aims Platelet activation plays a central role in arterial thrombosis. Platelets are activated by adhesive proteins (i.e., collagen) or soluble agonists (i.e., thrombin), the respective receptor-specific signaling cause inside–out signaling, leading to the binding of fibrinogen to integrin αIIbβ3. This binding triggers outside–in signaling, resulting in platelet aggregation. Garcinol, a polyisoprenylated benzophenone, is extracted from the fruit rind of Garcinia indica. Although garcinol exhibits considerable bioactivities, few studies have investigated the effect of garcinol on platelet activation. Main methods Aggregometry, immunoblotting, flow cytometer, confocal microscopic analysis, fibrin clot retraction, animal studies such as fluorescein-induced platelet plug formation in mesenteric microvessels, acute pulmonary thromboembolism, and tail bleeding time were performed in this study. Key findings This study indicates that garcinol inhibited platelet aggregation stimulated by collagen, thrombin, arachidonic acid, and U46619. Garcinol reduced integrin αIIbβ3 inside–out signaling, including ATP release; cytosolic Ca2+ mobilization; P-selectin expression; and Syk, PLCγ2/PKC, PI3K/Akt/GSK3β, MAPKs, and NF-κB activation stimulated by collagen. Garcinol directly inhibited integrin αIIbβ3 activation by interfering with FITC–PAC-1 and FITC-triflavin by collagen. Additionally, garcinol affected integrin αIIbβ3-mediated outside–in signaling, such as decreasing platelet adhesion and the single-platelet spreading area; suppressing integrin β3, Src, FAK, and Syk phosphorylation on immobilized fibrinogen; and inhibiting thrombin-stimulated fibrin clot retraction. Garcinol substantially reduced mortality caused by pulmonary thromboembolism and prolonged the occlusion time of thrombotic platelet plug formation without extending bleeding time in mice. Significance This study identified that garcinol, a novel antithrombotic agent, acts as a naturally occurring integrin αIIbβ3 inhibitor.","author":[{"dropping-particle":"","family":"Hsia","given":"Chih-Wei","non-dropping-particle":"","parse-names":false,"suffix":""},{"dropping-particle":"","family":"Huang","given":"Wei-Chieh","non-dropping-particle":"","parse-names":false,"suffix":""},{"dropping-particle":"","family":"Jayakumar","given":"Thanasekaran","non-dropping-particle":"","parse-names":false,"suffix":""},{"dropping-particle":"","family":"Hsia","given":"Chih-Hsuan","non-dropping-particle":"","parse-names":false,"suffix":""},{"dropping-particle":"","family":"Hou","given":"Shaw-Min","non-dropping-particle":"","parse-names":false,"suffix":""},{"dropping-particle":"","family":"Chang","given":"Chao-Chien","non-dropping-particle":"","parse-names":false,"suffix":""},{"dropping-particle":"","family":"Yen","given":"Ting-Lin","non-dropping-particle":"","parse-names":false,"suffix":""},{"dropping-particle":"","family":"Sheu","given":"Joen-Rong","non-dropping-particle":"","parse-names":false,"suffix":""}],"container-title":"Life Sciences","id":"ITEM-2","issued":{"date-parts":[["2023"]]},"page":"121791","title":"Garcinol acts as a novel integrin αIIbβ3 inhibitor in human platelets","type":"article-journal","volume":"326"},"uris":["http://www.mendeley.com/documents/?uuid=2214a27d-0e79-43e9-9359-4c7175f2a037"]},{"id":"ITEM-3","itemData":{"DOI":"10.3390/toxins11070382","ISSN":"2072-6651 (Electronic)","PMID":"31266175","abstract":"Garcinol, an anti-inflammatory and anti-carcinogenic polyisoprenylated  benzophenone isolated from Garcinia plants, stimulates tumor cell apoptosis and suicidal erythrocyte death, but supports the survival of hepatocytes and neurons. The present study explored whether the substance influences platelet function and/or apoptosis. To this end, we exposed murine blood platelets to garcinol (33 µM, 30 min) without and with activation by collagen-related peptide (CRP) (2-5 µg/mL) or thrombin (0.01 U/mL); flow cytometry was employed to estimate cytosolic Ca(2+)-activity ([Ca(2+)](i)) from Fluo-3 fluorescence, platelet degranulation from P-selectin abundance, integrin activation from αIIbβ3 integrin abundance, caspase activity utilizing an Active Caspase-3 Staining kit, phosphatidylserine abundance from annexin-V-binding, relative platelet volume from forward scatter, and aggregation utilizing staining with CD9-APC and CD9-PE. As a result, in the absence of CRP and thrombin, the exposure of the platelets to garcinol did not significantly modify [Ca(2+)](i), P-selectin abundance, activated αIIbβ3 integrin, annexin-V-binding, cell volume, caspase activity, and aggregation. Exposure of platelets to CRP or thrombin was followed by a significant increase of [Ca(2+)](i), P-selectin abundance, αIIbβ3 integrin activity, annexin-V-binding, caspase activity, and aggregation, as well as significant cell shrinkage. All effects of CRP were strong and significant; those of thrombin were only partially and slightly blunted in the presence of garcinol. In conclusion, garcinol blunts CRP-induced platelet activity, apoptosis and aggregation.","author":[{"dropping-particle":"","family":"Cao","given":"Hang","non-dropping-particle":"","parse-names":false,"suffix":""},{"dropping-particle":"","family":"Mamun Bhuyan","given":"Abdulla","non-dropping-particle":"Al","parse-names":false,"suffix":""},{"dropping-particle":"","family":"Umbach","given":"Anja T","non-dropping-particle":"","parse-names":false,"suffix":""},{"dropping-particle":"","family":"Ma","given":"Ke","non-dropping-particle":"","parse-names":false,"suffix":""},{"dropping-particle":"","family":"Borst","given":"Oliver","non-dropping-particle":"","parse-names":false,"suffix":""},{"dropping-particle":"","family":"Gawaz","given":"Meinrad","non-dropping-particle":"","parse-names":false,"suffix":""},{"dropping-particle":"","family":"Zhang","given":"Shaqiu","non-dropping-particle":"","parse-names":false,"suffix":""},{"dropping-particle":"","family":"Nürnberg","given":"Bernd","non-dropping-particle":"","parse-names":false,"suffix":""},{"dropping-particle":"","family":"Lang","given":"Florian","non-dropping-particle":"","parse-names":false,"suffix":""}],"container-title":"Toxins","id":"ITEM-3","issue":"7","issued":{"date-parts":[["2019","7"]]},"language":"eng","publisher-place":"Switzerland","title":"Garcinol A Novel Inhibitor of Platelet Activation and Apoptosis.","type":"article-journal","volume":"11"},"uris":["http://www.mendeley.com/documents/?uuid=a9f7699d-2f32-4050-8580-794dec2b7b13"]}],"mendeley":{"formattedCitation":"(Cao et al., 2019; Hsia et al., 2023; Islam et al., 2015)","plainTextFormattedCitation":"(Cao et al., 2019; Hsia et al., 2023; Islam et al., 2015)","previouslyFormattedCitation":"(Islam &lt;i&gt;et al.&lt;/i&gt;, 2015; Cao &lt;i&gt;et al.&lt;/i&gt;, 2019; Hsia &lt;i&gt;et al.&lt;/i&gt;, 2023)"},"properties":{"noteIndex":0},"schema":"https://github.com/citation-style-language/schema/raw/master/csl-citation.json"}</w:instrText>
      </w:r>
      <w:r w:rsidRPr="00B5269C">
        <w:rPr>
          <w:rFonts w:ascii="Arial" w:hAnsi="Arial" w:cs="Arial"/>
          <w:lang w:val="en-IN"/>
        </w:rPr>
        <w:fldChar w:fldCharType="separate"/>
      </w:r>
      <w:r w:rsidR="00741E80" w:rsidRPr="00741E80">
        <w:rPr>
          <w:rFonts w:ascii="Arial" w:hAnsi="Arial" w:cs="Arial"/>
          <w:noProof/>
          <w:lang w:val="en-IN"/>
        </w:rPr>
        <w:t>(Cao et al., 2019; Hsia et al., 2023; Islam et al., 2015)</w:t>
      </w:r>
      <w:r w:rsidRPr="00B5269C">
        <w:rPr>
          <w:rFonts w:ascii="Arial" w:hAnsi="Arial" w:cs="Arial"/>
        </w:rPr>
        <w:fldChar w:fldCharType="end"/>
      </w:r>
      <w:r w:rsidRPr="00B5269C">
        <w:rPr>
          <w:rFonts w:ascii="Arial" w:hAnsi="Arial" w:cs="Arial"/>
          <w:lang w:val="en-IN"/>
        </w:rPr>
        <w:t>.</w:t>
      </w:r>
    </w:p>
    <w:p w14:paraId="76AE5228" w14:textId="77777777" w:rsidR="00790ADA" w:rsidRPr="00FB3A86" w:rsidRDefault="00790ADA" w:rsidP="00441B6F">
      <w:pPr>
        <w:pStyle w:val="Body"/>
        <w:spacing w:after="0"/>
        <w:rPr>
          <w:rFonts w:ascii="Arial" w:hAnsi="Arial" w:cs="Arial"/>
        </w:rPr>
      </w:pPr>
    </w:p>
    <w:p w14:paraId="1892CF6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32B7A75" w14:textId="77777777" w:rsidR="00790ADA" w:rsidRPr="00FB3A86" w:rsidRDefault="00790ADA" w:rsidP="00441B6F">
      <w:pPr>
        <w:pStyle w:val="ConcHead"/>
        <w:spacing w:after="0"/>
        <w:jc w:val="both"/>
        <w:rPr>
          <w:rFonts w:ascii="Arial" w:hAnsi="Arial" w:cs="Arial"/>
        </w:rPr>
      </w:pPr>
    </w:p>
    <w:p w14:paraId="0171C466" w14:textId="77777777" w:rsidR="00DC62A8" w:rsidRDefault="00DC62A8" w:rsidP="00DC62A8">
      <w:pPr>
        <w:pStyle w:val="Body"/>
        <w:spacing w:after="0"/>
        <w:rPr>
          <w:rFonts w:ascii="Arial" w:hAnsi="Arial" w:cs="Arial"/>
          <w:lang w:val="en-IN"/>
        </w:rPr>
      </w:pPr>
      <w:r>
        <w:rPr>
          <w:rFonts w:ascii="Arial" w:hAnsi="Arial" w:cs="Arial"/>
          <w:lang w:val="en-IN"/>
        </w:rPr>
        <w:t xml:space="preserve">This study demonstrates that </w:t>
      </w:r>
      <w:r w:rsidRPr="00DC62A8">
        <w:rPr>
          <w:rFonts w:ascii="Arial" w:hAnsi="Arial" w:cs="Arial"/>
          <w:i/>
          <w:iCs/>
          <w:lang w:val="en-IN"/>
        </w:rPr>
        <w:t>Garcinia pedunculata</w:t>
      </w:r>
      <w:r>
        <w:rPr>
          <w:rFonts w:ascii="Arial" w:hAnsi="Arial" w:cs="Arial"/>
          <w:lang w:val="en-IN"/>
        </w:rPr>
        <w:t xml:space="preserve"> fruit is abundant in carbohydrates, exhibits low protein content, and contains detectable minerals, with calcium being the predominant element. GC-MS analysis revealed a distinct chemical profile characterized predominantly by oxygenated heterocycles in the early chromatographic phase and fatty-acid methyl esters in the latter phase.</w:t>
      </w:r>
    </w:p>
    <w:p w14:paraId="58F16A67" w14:textId="51B0F477" w:rsidR="00DC62A8" w:rsidRDefault="00DC62A8" w:rsidP="00DC62A8">
      <w:pPr>
        <w:pStyle w:val="Body"/>
        <w:spacing w:after="0"/>
        <w:rPr>
          <w:rFonts w:ascii="Arial" w:hAnsi="Arial" w:cs="Arial"/>
          <w:lang w:val="en-IN"/>
        </w:rPr>
      </w:pPr>
      <w:r>
        <w:rPr>
          <w:rFonts w:ascii="Arial" w:hAnsi="Arial" w:cs="Arial"/>
          <w:lang w:val="en-IN"/>
        </w:rPr>
        <w:t xml:space="preserve">In a 28-day oral study, the extract was well tolerated. Levels of creatinine, ALT, AST, albumin, total protein, and bilirubin remained stable across groups. Urea and ALP exhibited group and sex effects, with electrolytes (sodium, potassium, calcium, phosphorus) displaying modest changes in a dose- and sex-dependent manner. Red cell indices underwent minor alterations (increased MCV at 100 mg/kg; modified MCHC, elevated RDW-CV at 250 mg/kg), and platelet counts were elevated at both dosages. </w:t>
      </w:r>
    </w:p>
    <w:p w14:paraId="79842565" w14:textId="0EE4F57C" w:rsidR="00DC62A8" w:rsidRDefault="00DC62A8" w:rsidP="00DC62A8">
      <w:pPr>
        <w:pStyle w:val="Body"/>
        <w:spacing w:after="0"/>
        <w:rPr>
          <w:rFonts w:ascii="Arial" w:hAnsi="Arial" w:cs="Arial"/>
          <w:lang w:val="en-IN"/>
        </w:rPr>
      </w:pPr>
      <w:r>
        <w:rPr>
          <w:rFonts w:ascii="Arial" w:hAnsi="Arial" w:cs="Arial"/>
          <w:lang w:val="en-IN"/>
        </w:rPr>
        <w:t>These patterns suggest a physiological adaptation without significant liver or kidney stress at the administered doses. Hence, the compositional data and in vivo results establish a foundation for the safe dietary exploration of this fruit. Furthermore, they warrant subsequent investigations on dose-response relationships, sex-specific effects, and the isolation of bioactive constituents.</w:t>
      </w:r>
    </w:p>
    <w:p w14:paraId="5B27125C" w14:textId="77777777" w:rsidR="00154D64" w:rsidRDefault="00154D64" w:rsidP="00DC62A8">
      <w:pPr>
        <w:pStyle w:val="Body"/>
        <w:spacing w:after="0"/>
        <w:rPr>
          <w:rFonts w:ascii="Arial" w:hAnsi="Arial" w:cs="Arial"/>
          <w:lang w:val="en-IN"/>
        </w:rPr>
      </w:pPr>
    </w:p>
    <w:p w14:paraId="41D8BEE6" w14:textId="77777777" w:rsidR="00154D64" w:rsidRPr="00DC62A8" w:rsidRDefault="00154D64" w:rsidP="00DC62A8">
      <w:pPr>
        <w:pStyle w:val="Body"/>
        <w:spacing w:after="0"/>
        <w:rPr>
          <w:rFonts w:ascii="Arial" w:hAnsi="Arial" w:cs="Arial"/>
          <w:lang w:val="en-IN"/>
        </w:rPr>
      </w:pPr>
    </w:p>
    <w:p w14:paraId="4C93ACD8" w14:textId="77777777" w:rsidR="00154D64" w:rsidRPr="00154D64" w:rsidRDefault="00154D64" w:rsidP="00154D64">
      <w:pPr>
        <w:pStyle w:val="Body"/>
        <w:spacing w:after="0"/>
        <w:rPr>
          <w:rFonts w:ascii="Arial" w:hAnsi="Arial" w:cs="Arial"/>
          <w:b/>
          <w:bCs/>
          <w:lang w:val="en-IN"/>
        </w:rPr>
      </w:pPr>
      <w:r w:rsidRPr="00154D64">
        <w:rPr>
          <w:rFonts w:ascii="Arial" w:hAnsi="Arial" w:cs="Arial"/>
          <w:b/>
          <w:bCs/>
          <w:lang w:val="en-IN"/>
        </w:rPr>
        <w:t>ACKNOWLEDGMENT</w:t>
      </w:r>
    </w:p>
    <w:p w14:paraId="5D29429B" w14:textId="77777777" w:rsidR="00154D64" w:rsidRDefault="00154D64" w:rsidP="00154D64">
      <w:pPr>
        <w:pStyle w:val="Body"/>
        <w:spacing w:after="0"/>
        <w:rPr>
          <w:rFonts w:ascii="Arial" w:hAnsi="Arial" w:cs="Arial"/>
          <w:lang w:val="en-IN"/>
        </w:rPr>
      </w:pPr>
    </w:p>
    <w:p w14:paraId="585AAE3D" w14:textId="7533BEBD" w:rsidR="00154D64" w:rsidRDefault="00154D64" w:rsidP="00154D64">
      <w:pPr>
        <w:pStyle w:val="Body"/>
        <w:spacing w:after="0"/>
        <w:rPr>
          <w:rFonts w:ascii="Arial" w:hAnsi="Arial" w:cs="Arial"/>
          <w:lang w:val="en-IN"/>
        </w:rPr>
      </w:pPr>
      <w:r w:rsidRPr="00154D64">
        <w:rPr>
          <w:rFonts w:ascii="Arial" w:hAnsi="Arial" w:cs="Arial"/>
          <w:lang w:val="en-IN"/>
        </w:rPr>
        <w:t>We thank the University Grants Commission (UGC), New Delhi, India, for the Savitribai Jyotirao Phule Single Girl Child fellowship (UGCES-22-OB-ASS-F-SJSGC-1030) to Ms. Kasturi Dutta, and the Department of Biotechnology (DBT), Government of India, for allowing use of resources from the DBT Builder project (Grant No. BT/INF/22/SP45376/2022).</w:t>
      </w:r>
    </w:p>
    <w:p w14:paraId="301E619C" w14:textId="77777777" w:rsidR="00154D64" w:rsidRDefault="00154D64" w:rsidP="00154D64">
      <w:pPr>
        <w:pStyle w:val="Body"/>
        <w:spacing w:after="0"/>
        <w:rPr>
          <w:rFonts w:ascii="Arial" w:hAnsi="Arial" w:cs="Arial"/>
          <w:lang w:val="en-IN"/>
        </w:rPr>
      </w:pPr>
    </w:p>
    <w:p w14:paraId="52955F98" w14:textId="5275E20E" w:rsidR="00154D64" w:rsidRDefault="00154D64" w:rsidP="00154D64">
      <w:pPr>
        <w:pStyle w:val="Body"/>
        <w:spacing w:after="0"/>
        <w:rPr>
          <w:rFonts w:ascii="Arial" w:hAnsi="Arial" w:cs="Arial"/>
          <w:b/>
          <w:bCs/>
          <w:lang w:val="en-IN"/>
        </w:rPr>
      </w:pPr>
      <w:r>
        <w:rPr>
          <w:rFonts w:ascii="Arial" w:hAnsi="Arial" w:cs="Arial"/>
          <w:b/>
          <w:bCs/>
          <w:lang w:val="en-IN"/>
        </w:rPr>
        <w:t>COMPETING INTERESTS</w:t>
      </w:r>
    </w:p>
    <w:p w14:paraId="27CEA6A6" w14:textId="3A006F0E" w:rsidR="00154D64" w:rsidRPr="00154D64" w:rsidRDefault="00154D64" w:rsidP="00154D64">
      <w:pPr>
        <w:pStyle w:val="Body"/>
        <w:spacing w:after="0"/>
        <w:rPr>
          <w:rFonts w:ascii="Arial" w:hAnsi="Arial" w:cs="Arial"/>
          <w:lang w:val="en-IN"/>
        </w:rPr>
      </w:pPr>
      <w:r w:rsidRPr="00154D64">
        <w:rPr>
          <w:rFonts w:ascii="Arial" w:hAnsi="Arial" w:cs="Arial"/>
          <w:lang w:val="en-IN"/>
        </w:rPr>
        <w:lastRenderedPageBreak/>
        <w:t>The author(s) declare no competing interests</w:t>
      </w:r>
    </w:p>
    <w:p w14:paraId="69F589EF" w14:textId="77777777" w:rsidR="00154D64" w:rsidRDefault="00154D64" w:rsidP="00154D64">
      <w:pPr>
        <w:pStyle w:val="Body"/>
        <w:spacing w:after="0"/>
        <w:rPr>
          <w:rFonts w:ascii="Arial" w:hAnsi="Arial" w:cs="Arial"/>
          <w:lang w:val="en-IN"/>
        </w:rPr>
      </w:pPr>
    </w:p>
    <w:p w14:paraId="1438CCAF" w14:textId="016A49E0" w:rsidR="00154D64" w:rsidRPr="00154D64" w:rsidRDefault="00154D64" w:rsidP="00154D64">
      <w:pPr>
        <w:pStyle w:val="Body"/>
        <w:spacing w:after="0"/>
        <w:rPr>
          <w:rFonts w:ascii="Arial" w:hAnsi="Arial" w:cs="Arial"/>
          <w:b/>
          <w:bCs/>
          <w:lang w:val="en-IN"/>
        </w:rPr>
      </w:pPr>
      <w:r w:rsidRPr="00154D64">
        <w:rPr>
          <w:rFonts w:ascii="Arial" w:hAnsi="Arial" w:cs="Arial"/>
          <w:b/>
          <w:bCs/>
          <w:lang w:val="en-IN"/>
        </w:rPr>
        <w:t>AUTHORS’ CONTRIBUTIONS</w:t>
      </w:r>
    </w:p>
    <w:p w14:paraId="2EC6A447" w14:textId="77777777" w:rsidR="00154D64" w:rsidRDefault="00154D64" w:rsidP="00154D64">
      <w:pPr>
        <w:pStyle w:val="Body"/>
        <w:spacing w:after="0"/>
        <w:rPr>
          <w:rFonts w:ascii="Arial" w:hAnsi="Arial" w:cs="Arial"/>
          <w:lang w:val="en-IN"/>
        </w:rPr>
      </w:pPr>
    </w:p>
    <w:p w14:paraId="6211078D" w14:textId="25B513D5" w:rsidR="00154D64" w:rsidRPr="00154D64" w:rsidRDefault="00154D64" w:rsidP="00154D64">
      <w:pPr>
        <w:pStyle w:val="Body"/>
        <w:spacing w:after="0"/>
        <w:rPr>
          <w:rFonts w:ascii="Arial" w:hAnsi="Arial" w:cs="Arial"/>
          <w:lang w:val="en-IN"/>
        </w:rPr>
      </w:pPr>
      <w:r>
        <w:rPr>
          <w:rFonts w:ascii="Arial" w:hAnsi="Arial" w:cs="Arial"/>
          <w:lang w:val="en-IN"/>
        </w:rPr>
        <w:t xml:space="preserve">KD </w:t>
      </w:r>
      <w:r w:rsidRPr="00154D64">
        <w:rPr>
          <w:rFonts w:ascii="Arial" w:hAnsi="Arial" w:cs="Arial"/>
          <w:lang w:val="en-IN"/>
        </w:rPr>
        <w:t>designed the study, performed the statistical analysis</w:t>
      </w:r>
      <w:r>
        <w:rPr>
          <w:rFonts w:ascii="Arial" w:hAnsi="Arial" w:cs="Arial"/>
          <w:lang w:val="en-IN"/>
        </w:rPr>
        <w:t xml:space="preserve"> </w:t>
      </w:r>
      <w:r w:rsidRPr="00154D64">
        <w:rPr>
          <w:rFonts w:ascii="Arial" w:hAnsi="Arial" w:cs="Arial"/>
          <w:lang w:val="en-IN"/>
        </w:rPr>
        <w:t xml:space="preserve">and wrote the first draft of the manuscript. </w:t>
      </w:r>
      <w:r>
        <w:rPr>
          <w:rFonts w:ascii="Arial" w:hAnsi="Arial" w:cs="Arial"/>
          <w:lang w:val="en-IN"/>
        </w:rPr>
        <w:t xml:space="preserve">AKV </w:t>
      </w:r>
      <w:r w:rsidRPr="00154D64">
        <w:rPr>
          <w:rFonts w:ascii="Arial" w:hAnsi="Arial" w:cs="Arial"/>
          <w:lang w:val="en-IN"/>
        </w:rPr>
        <w:t xml:space="preserve">and </w:t>
      </w:r>
      <w:r>
        <w:rPr>
          <w:rFonts w:ascii="Arial" w:hAnsi="Arial" w:cs="Arial"/>
          <w:lang w:val="en-IN"/>
        </w:rPr>
        <w:t>NSS supervised the experiment and</w:t>
      </w:r>
      <w:r w:rsidRPr="00154D64">
        <w:rPr>
          <w:rFonts w:ascii="Arial" w:hAnsi="Arial" w:cs="Arial"/>
          <w:lang w:val="en-IN"/>
        </w:rPr>
        <w:t xml:space="preserve"> the analyses of the study</w:t>
      </w:r>
      <w:r>
        <w:rPr>
          <w:rFonts w:ascii="Arial" w:hAnsi="Arial" w:cs="Arial"/>
          <w:lang w:val="en-IN"/>
        </w:rPr>
        <w:t xml:space="preserve">. All </w:t>
      </w:r>
      <w:r w:rsidRPr="00154D64">
        <w:rPr>
          <w:rFonts w:ascii="Arial" w:hAnsi="Arial" w:cs="Arial"/>
          <w:lang w:val="en-IN"/>
        </w:rPr>
        <w:t>authors read and approved the final manuscript.</w:t>
      </w:r>
    </w:p>
    <w:p w14:paraId="0FB5A673" w14:textId="77777777" w:rsidR="00154D64" w:rsidRPr="00154D64" w:rsidRDefault="00154D64" w:rsidP="00154D64">
      <w:pPr>
        <w:pStyle w:val="Body"/>
        <w:spacing w:after="0"/>
        <w:rPr>
          <w:rFonts w:ascii="Arial" w:hAnsi="Arial" w:cs="Arial"/>
          <w:lang w:val="en-IN"/>
        </w:rPr>
      </w:pPr>
    </w:p>
    <w:p w14:paraId="6659E951" w14:textId="77777777" w:rsidR="00790ADA" w:rsidRPr="00FB3A86" w:rsidRDefault="00790ADA" w:rsidP="00441B6F">
      <w:pPr>
        <w:pStyle w:val="Body"/>
        <w:spacing w:after="0"/>
        <w:rPr>
          <w:rFonts w:ascii="Arial" w:hAnsi="Arial" w:cs="Arial"/>
        </w:rPr>
      </w:pPr>
    </w:p>
    <w:p w14:paraId="07FA17CC" w14:textId="6BF5DD8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06F9426" w14:textId="77777777" w:rsidR="005C784C" w:rsidRPr="002B685A" w:rsidRDefault="005C784C" w:rsidP="00441B6F">
      <w:pPr>
        <w:pStyle w:val="ReferHead"/>
        <w:spacing w:after="0"/>
        <w:jc w:val="both"/>
        <w:rPr>
          <w:rFonts w:ascii="Arial" w:hAnsi="Arial" w:cs="Arial"/>
          <w:bCs/>
        </w:rPr>
      </w:pPr>
    </w:p>
    <w:p w14:paraId="7662AFA4" w14:textId="4676428D" w:rsidR="002E7EF3" w:rsidRPr="00940CCD" w:rsidRDefault="002E7EF3" w:rsidP="002E7EF3">
      <w:pPr>
        <w:pStyle w:val="ReferHead"/>
        <w:spacing w:after="0"/>
        <w:rPr>
          <w:rFonts w:ascii="Arial" w:hAnsi="Arial" w:cs="Arial"/>
          <w:b w:val="0"/>
          <w:bCs/>
          <w:sz w:val="20"/>
          <w:szCs w:val="18"/>
          <w:lang w:val="en-IN"/>
        </w:rPr>
      </w:pPr>
      <w:r w:rsidRPr="00940CCD">
        <w:rPr>
          <w:rFonts w:ascii="Arial" w:hAnsi="Arial" w:cs="Arial"/>
          <w:b w:val="0"/>
          <w:bCs/>
          <w:caps w:val="0"/>
          <w:sz w:val="20"/>
          <w:szCs w:val="18"/>
          <w:lang w:val="en-IN"/>
        </w:rPr>
        <w:t xml:space="preserve">The use of mice and the collection of sample protocols for the present study were approved by the institutional animal ethics committee </w:t>
      </w:r>
      <w:bookmarkStart w:id="3" w:name="_Hlk182519215"/>
      <w:r w:rsidRPr="00940CCD">
        <w:rPr>
          <w:rFonts w:ascii="Arial" w:hAnsi="Arial" w:cs="Arial"/>
          <w:b w:val="0"/>
          <w:bCs/>
          <w:caps w:val="0"/>
          <w:sz w:val="20"/>
          <w:szCs w:val="18"/>
          <w:lang w:val="en-IN"/>
        </w:rPr>
        <w:t>(16/</w:t>
      </w:r>
      <w:r w:rsidR="00741E80" w:rsidRPr="00940CCD">
        <w:rPr>
          <w:rFonts w:ascii="Arial" w:hAnsi="Arial" w:cs="Arial"/>
          <w:b w:val="0"/>
          <w:bCs/>
          <w:caps w:val="0"/>
          <w:sz w:val="20"/>
          <w:szCs w:val="18"/>
          <w:lang w:val="en-IN"/>
        </w:rPr>
        <w:t>IAEC</w:t>
      </w:r>
      <w:r w:rsidRPr="00940CCD">
        <w:rPr>
          <w:rFonts w:ascii="Arial" w:hAnsi="Arial" w:cs="Arial"/>
          <w:b w:val="0"/>
          <w:bCs/>
          <w:caps w:val="0"/>
          <w:sz w:val="20"/>
          <w:szCs w:val="18"/>
          <w:lang w:val="en-IN"/>
        </w:rPr>
        <w:t>/</w:t>
      </w:r>
      <w:r w:rsidR="00741E80" w:rsidRPr="00940CCD">
        <w:rPr>
          <w:rFonts w:ascii="Arial" w:hAnsi="Arial" w:cs="Arial"/>
          <w:b w:val="0"/>
          <w:bCs/>
          <w:caps w:val="0"/>
          <w:sz w:val="20"/>
          <w:szCs w:val="18"/>
          <w:lang w:val="en-IN"/>
        </w:rPr>
        <w:t>CU</w:t>
      </w:r>
      <w:r w:rsidRPr="00940CCD">
        <w:rPr>
          <w:rFonts w:ascii="Arial" w:hAnsi="Arial" w:cs="Arial"/>
          <w:b w:val="0"/>
          <w:bCs/>
          <w:caps w:val="0"/>
          <w:sz w:val="20"/>
          <w:szCs w:val="18"/>
          <w:lang w:val="en-IN"/>
        </w:rPr>
        <w:t xml:space="preserve">/05/01/2021). </w:t>
      </w:r>
      <w:bookmarkEnd w:id="3"/>
      <w:r w:rsidRPr="00940CCD">
        <w:rPr>
          <w:rFonts w:ascii="Arial" w:hAnsi="Arial" w:cs="Arial"/>
          <w:b w:val="0"/>
          <w:bCs/>
          <w:caps w:val="0"/>
          <w:sz w:val="20"/>
          <w:szCs w:val="18"/>
          <w:lang w:val="en-IN"/>
        </w:rPr>
        <w:t xml:space="preserve">All the experiments involving animals were carried out following the regulations approved by </w:t>
      </w:r>
      <w:r w:rsidR="00741E80" w:rsidRPr="00940CCD">
        <w:rPr>
          <w:rFonts w:ascii="Arial" w:hAnsi="Arial" w:cs="Arial"/>
          <w:b w:val="0"/>
          <w:bCs/>
          <w:caps w:val="0"/>
          <w:sz w:val="20"/>
          <w:szCs w:val="18"/>
          <w:lang w:val="en-IN"/>
        </w:rPr>
        <w:t>CPCSEA (Committee for the Purpose of Control and Supervision of Experiments on Animals).</w:t>
      </w:r>
    </w:p>
    <w:p w14:paraId="56298353" w14:textId="1CC1FF9A" w:rsidR="00860000" w:rsidRDefault="00860000" w:rsidP="00441B6F">
      <w:pPr>
        <w:pStyle w:val="ReferHead"/>
        <w:spacing w:after="0"/>
        <w:jc w:val="both"/>
        <w:rPr>
          <w:rFonts w:ascii="Arial" w:hAnsi="Arial" w:cs="Arial"/>
        </w:rPr>
      </w:pPr>
    </w:p>
    <w:p w14:paraId="34DF681F" w14:textId="77777777" w:rsidR="007038CB" w:rsidRPr="00940CCD" w:rsidRDefault="007038CB" w:rsidP="00741E80">
      <w:pPr>
        <w:jc w:val="both"/>
        <w:rPr>
          <w:rFonts w:ascii="Arial" w:eastAsia="Calibri" w:hAnsi="Arial" w:cs="Arial"/>
          <w:b/>
          <w:bCs/>
          <w:kern w:val="2"/>
          <w:sz w:val="22"/>
          <w:szCs w:val="22"/>
        </w:rPr>
      </w:pPr>
      <w:bookmarkStart w:id="4" w:name="_Hlk204003461"/>
      <w:r w:rsidRPr="00940CCD">
        <w:rPr>
          <w:rFonts w:ascii="Arial" w:eastAsia="Calibri" w:hAnsi="Arial" w:cs="Arial"/>
          <w:b/>
          <w:bCs/>
          <w:kern w:val="2"/>
          <w:sz w:val="22"/>
          <w:szCs w:val="22"/>
        </w:rPr>
        <w:t>Disclaimer (Artificial intelligence)</w:t>
      </w:r>
    </w:p>
    <w:p w14:paraId="5D553A55" w14:textId="77777777" w:rsidR="00940CCD" w:rsidRDefault="00940CCD" w:rsidP="00741E80">
      <w:pPr>
        <w:jc w:val="both"/>
        <w:rPr>
          <w:rFonts w:ascii="Arial" w:eastAsia="Calibri" w:hAnsi="Arial" w:cs="Arial"/>
          <w:kern w:val="2"/>
          <w:sz w:val="22"/>
          <w:szCs w:val="22"/>
        </w:rPr>
      </w:pPr>
    </w:p>
    <w:p w14:paraId="15035BC8" w14:textId="2945297C" w:rsidR="007038CB" w:rsidRPr="00940CCD" w:rsidRDefault="007038CB" w:rsidP="00741E80">
      <w:pPr>
        <w:jc w:val="both"/>
        <w:rPr>
          <w:rFonts w:ascii="Arial" w:eastAsia="Calibri" w:hAnsi="Arial" w:cs="Arial"/>
          <w:kern w:val="2"/>
        </w:rPr>
      </w:pPr>
      <w:r w:rsidRPr="00940CCD">
        <w:rPr>
          <w:rFonts w:ascii="Arial" w:eastAsia="Calibri" w:hAnsi="Arial" w:cs="Arial"/>
          <w:kern w:val="2"/>
        </w:rPr>
        <w:t xml:space="preserve">Author(s) hereby </w:t>
      </w:r>
      <w:r w:rsidR="00741E80" w:rsidRPr="00940CCD">
        <w:rPr>
          <w:rFonts w:ascii="Arial" w:eastAsia="Calibri" w:hAnsi="Arial" w:cs="Arial"/>
          <w:kern w:val="2"/>
        </w:rPr>
        <w:t>declares</w:t>
      </w:r>
      <w:r w:rsidRPr="00940CCD">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4"/>
    <w:p w14:paraId="77D07E0F" w14:textId="77777777" w:rsidR="007038CB" w:rsidRDefault="007038CB" w:rsidP="00441B6F">
      <w:pPr>
        <w:pStyle w:val="ReferHead"/>
        <w:spacing w:after="0"/>
        <w:jc w:val="both"/>
        <w:rPr>
          <w:rFonts w:ascii="Arial" w:hAnsi="Arial" w:cs="Arial"/>
        </w:rPr>
      </w:pPr>
    </w:p>
    <w:p w14:paraId="119FE33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E310B6" w14:textId="77777777" w:rsidR="008B459E" w:rsidRPr="002C57D2" w:rsidRDefault="008B459E" w:rsidP="00441B6F">
      <w:pPr>
        <w:pStyle w:val="Body"/>
        <w:spacing w:after="0"/>
        <w:rPr>
          <w:rFonts w:ascii="Arial" w:hAnsi="Arial" w:cs="Arial"/>
        </w:rPr>
      </w:pPr>
    </w:p>
    <w:p w14:paraId="7DD1B2A4" w14:textId="6CEF6F03" w:rsidR="00741E80" w:rsidRPr="00741E80" w:rsidRDefault="004B0AB4" w:rsidP="00741E80">
      <w:pPr>
        <w:widowControl w:val="0"/>
        <w:autoSpaceDE w:val="0"/>
        <w:autoSpaceDN w:val="0"/>
        <w:adjustRightInd w:val="0"/>
        <w:jc w:val="both"/>
        <w:rPr>
          <w:rFonts w:ascii="Arial" w:hAnsi="Arial" w:cs="Arial"/>
          <w:noProof/>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741E80" w:rsidRPr="00741E80">
        <w:rPr>
          <w:rFonts w:ascii="Arial" w:hAnsi="Arial" w:cs="Arial"/>
          <w:noProof/>
        </w:rPr>
        <w:t xml:space="preserve">Ali, M. Y., Paul, S., Tanvir, E. M., Hossen, M. S., Rumpa, N. E. N., Saha, M., Bhoumik, N. C., Aminul Islam, M., Hossain, M. S., Alam, N., Gan, S. H., &amp; Khalil, M. I. (2017). Antihyperglycemic, Antidiabetic, and Antioxidant Effects of Garcinia pedunculata in Rats. </w:t>
      </w:r>
      <w:r w:rsidR="00741E80" w:rsidRPr="00741E80">
        <w:rPr>
          <w:rFonts w:ascii="Arial" w:hAnsi="Arial" w:cs="Arial"/>
          <w:i/>
          <w:iCs/>
          <w:noProof/>
        </w:rPr>
        <w:t>Evidence-Based Complementary and Alternative Medicine</w:t>
      </w:r>
      <w:r w:rsidR="00741E80" w:rsidRPr="00741E80">
        <w:rPr>
          <w:rFonts w:ascii="Arial" w:hAnsi="Arial" w:cs="Arial"/>
          <w:noProof/>
        </w:rPr>
        <w:t xml:space="preserve">, </w:t>
      </w:r>
      <w:r w:rsidR="00741E80" w:rsidRPr="00741E80">
        <w:rPr>
          <w:rFonts w:ascii="Arial" w:hAnsi="Arial" w:cs="Arial"/>
          <w:i/>
          <w:iCs/>
          <w:noProof/>
        </w:rPr>
        <w:t>2017</w:t>
      </w:r>
      <w:r w:rsidR="00741E80" w:rsidRPr="00741E80">
        <w:rPr>
          <w:rFonts w:ascii="Arial" w:hAnsi="Arial" w:cs="Arial"/>
          <w:noProof/>
        </w:rPr>
        <w:t>. https://doi.org/10.1155/2017/2979760</w:t>
      </w:r>
    </w:p>
    <w:p w14:paraId="6C56117B" w14:textId="77777777" w:rsidR="00741E80" w:rsidRDefault="00741E80" w:rsidP="00741E80">
      <w:pPr>
        <w:widowControl w:val="0"/>
        <w:autoSpaceDE w:val="0"/>
        <w:autoSpaceDN w:val="0"/>
        <w:adjustRightInd w:val="0"/>
        <w:jc w:val="both"/>
        <w:rPr>
          <w:rFonts w:ascii="Arial" w:hAnsi="Arial" w:cs="Arial"/>
          <w:noProof/>
        </w:rPr>
      </w:pPr>
    </w:p>
    <w:p w14:paraId="70BF4785" w14:textId="2DA349E1"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Bhattacharjee,  Swarnali, Ramakrishnan,  Elancheran, Deb,  Prashanta Kumar, Sarma,  Partha Pratim, Choudhury,  Debopriya, Kabilan,  Senthamaraikannan, &amp; Devi,  Rajlakshmi. (2023). Influence of Drying Condition on Nutritional and Chemical Profile of Garcinia pedunculata Roxb. Fruit. </w:t>
      </w:r>
      <w:r w:rsidRPr="00741E80">
        <w:rPr>
          <w:rFonts w:ascii="Arial" w:hAnsi="Arial" w:cs="Arial"/>
          <w:i/>
          <w:iCs/>
          <w:noProof/>
        </w:rPr>
        <w:t>Pharmacognosy Magazine</w:t>
      </w:r>
      <w:r w:rsidRPr="00741E80">
        <w:rPr>
          <w:rFonts w:ascii="Arial" w:hAnsi="Arial" w:cs="Arial"/>
          <w:noProof/>
        </w:rPr>
        <w:t xml:space="preserve">, </w:t>
      </w:r>
      <w:r w:rsidRPr="00741E80">
        <w:rPr>
          <w:rFonts w:ascii="Arial" w:hAnsi="Arial" w:cs="Arial"/>
          <w:i/>
          <w:iCs/>
          <w:noProof/>
        </w:rPr>
        <w:t>19</w:t>
      </w:r>
      <w:r w:rsidRPr="00741E80">
        <w:rPr>
          <w:rFonts w:ascii="Arial" w:hAnsi="Arial" w:cs="Arial"/>
          <w:noProof/>
        </w:rPr>
        <w:t>(2), 269–283. https://doi.org/10.1177/09731296231158433</w:t>
      </w:r>
    </w:p>
    <w:p w14:paraId="6788A6B2" w14:textId="77777777" w:rsidR="00741E80" w:rsidRDefault="00741E80" w:rsidP="00741E80">
      <w:pPr>
        <w:widowControl w:val="0"/>
        <w:autoSpaceDE w:val="0"/>
        <w:autoSpaceDN w:val="0"/>
        <w:adjustRightInd w:val="0"/>
        <w:jc w:val="both"/>
        <w:rPr>
          <w:rFonts w:ascii="Arial" w:hAnsi="Arial" w:cs="Arial"/>
          <w:noProof/>
        </w:rPr>
      </w:pPr>
    </w:p>
    <w:p w14:paraId="7527A296" w14:textId="3CE991BC"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Brahma, J., Islary, A., &amp; Ray, S. (2024). Nutritional evaluation and GC–MS analysis of bioactive compounds present in methanol extracts of dried fruit pericarp of garcinia pedunculata Roxb. </w:t>
      </w:r>
      <w:r w:rsidRPr="00741E80">
        <w:rPr>
          <w:rFonts w:ascii="Arial" w:hAnsi="Arial" w:cs="Arial"/>
          <w:i/>
          <w:iCs/>
          <w:noProof/>
        </w:rPr>
        <w:t>Journal of Food Technology Research</w:t>
      </w:r>
      <w:r w:rsidRPr="00741E80">
        <w:rPr>
          <w:rFonts w:ascii="Arial" w:hAnsi="Arial" w:cs="Arial"/>
          <w:noProof/>
        </w:rPr>
        <w:t xml:space="preserve">, </w:t>
      </w:r>
      <w:r w:rsidRPr="00741E80">
        <w:rPr>
          <w:rFonts w:ascii="Arial" w:hAnsi="Arial" w:cs="Arial"/>
          <w:i/>
          <w:iCs/>
          <w:noProof/>
        </w:rPr>
        <w:t>11</w:t>
      </w:r>
      <w:r w:rsidRPr="00741E80">
        <w:rPr>
          <w:rFonts w:ascii="Arial" w:hAnsi="Arial" w:cs="Arial"/>
          <w:noProof/>
        </w:rPr>
        <w:t>(2), 27–37. https://doi.org/10.18488/jftr.v11i2.3702</w:t>
      </w:r>
    </w:p>
    <w:p w14:paraId="60DE6081" w14:textId="77777777" w:rsidR="00741E80" w:rsidRDefault="00741E80" w:rsidP="00741E80">
      <w:pPr>
        <w:widowControl w:val="0"/>
        <w:autoSpaceDE w:val="0"/>
        <w:autoSpaceDN w:val="0"/>
        <w:adjustRightInd w:val="0"/>
        <w:jc w:val="both"/>
        <w:rPr>
          <w:rFonts w:ascii="Arial" w:hAnsi="Arial" w:cs="Arial"/>
          <w:noProof/>
        </w:rPr>
      </w:pPr>
    </w:p>
    <w:p w14:paraId="0C955CA4" w14:textId="006FECDC"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Brahma, J., Ray, S., Islary, A., &amp; Saikia, B. (2025). Sustainable valorization of endemic Garcinia species namely Garcinia pedunculata, Garcinia morella and Garcinia xanthochymus of Bodoland Territorial Regions of Assam, India: physicochemical and biofunctional characterization. </w:t>
      </w:r>
      <w:r w:rsidRPr="00741E80">
        <w:rPr>
          <w:rFonts w:ascii="Arial" w:hAnsi="Arial" w:cs="Arial"/>
          <w:i/>
          <w:iCs/>
          <w:noProof/>
        </w:rPr>
        <w:t>Food Science and Applied Biotechnology</w:t>
      </w:r>
      <w:r w:rsidRPr="00741E80">
        <w:rPr>
          <w:rFonts w:ascii="Arial" w:hAnsi="Arial" w:cs="Arial"/>
          <w:noProof/>
        </w:rPr>
        <w:t xml:space="preserve">, </w:t>
      </w:r>
      <w:r w:rsidRPr="00741E80">
        <w:rPr>
          <w:rFonts w:ascii="Arial" w:hAnsi="Arial" w:cs="Arial"/>
          <w:i/>
          <w:iCs/>
          <w:noProof/>
        </w:rPr>
        <w:t>8</w:t>
      </w:r>
      <w:r w:rsidRPr="00741E80">
        <w:rPr>
          <w:rFonts w:ascii="Arial" w:hAnsi="Arial" w:cs="Arial"/>
          <w:noProof/>
        </w:rPr>
        <w:t>(1), 75–88.</w:t>
      </w:r>
    </w:p>
    <w:p w14:paraId="1896077C" w14:textId="77777777" w:rsidR="00741E80" w:rsidRDefault="00741E80" w:rsidP="00741E80">
      <w:pPr>
        <w:widowControl w:val="0"/>
        <w:autoSpaceDE w:val="0"/>
        <w:autoSpaceDN w:val="0"/>
        <w:adjustRightInd w:val="0"/>
        <w:jc w:val="both"/>
        <w:rPr>
          <w:rFonts w:ascii="Arial" w:hAnsi="Arial" w:cs="Arial"/>
          <w:noProof/>
        </w:rPr>
      </w:pPr>
    </w:p>
    <w:p w14:paraId="590FB4B3" w14:textId="4E2911A0"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Cao, H., Al Mamun Bhuyan, A., Umbach, A. T., Ma, K., Borst, O., Gawaz, M., Zhang, S., Nürnberg, B., &amp; Lang, F. (2019). Garcinol A Novel Inhibitor of Platelet Activation and Apoptosis. </w:t>
      </w:r>
      <w:r w:rsidRPr="00741E80">
        <w:rPr>
          <w:rFonts w:ascii="Arial" w:hAnsi="Arial" w:cs="Arial"/>
          <w:i/>
          <w:iCs/>
          <w:noProof/>
        </w:rPr>
        <w:t>Toxins</w:t>
      </w:r>
      <w:r w:rsidRPr="00741E80">
        <w:rPr>
          <w:rFonts w:ascii="Arial" w:hAnsi="Arial" w:cs="Arial"/>
          <w:noProof/>
        </w:rPr>
        <w:t xml:space="preserve">, </w:t>
      </w:r>
      <w:r w:rsidRPr="00741E80">
        <w:rPr>
          <w:rFonts w:ascii="Arial" w:hAnsi="Arial" w:cs="Arial"/>
          <w:i/>
          <w:iCs/>
          <w:noProof/>
        </w:rPr>
        <w:t>11</w:t>
      </w:r>
      <w:r w:rsidRPr="00741E80">
        <w:rPr>
          <w:rFonts w:ascii="Arial" w:hAnsi="Arial" w:cs="Arial"/>
          <w:noProof/>
        </w:rPr>
        <w:t>(7). https://doi.org/10.3390/toxins11070382</w:t>
      </w:r>
    </w:p>
    <w:p w14:paraId="6788A64B" w14:textId="77777777" w:rsidR="00741E80" w:rsidRDefault="00741E80" w:rsidP="00741E80">
      <w:pPr>
        <w:widowControl w:val="0"/>
        <w:autoSpaceDE w:val="0"/>
        <w:autoSpaceDN w:val="0"/>
        <w:adjustRightInd w:val="0"/>
        <w:jc w:val="both"/>
        <w:rPr>
          <w:rFonts w:ascii="Arial" w:hAnsi="Arial" w:cs="Arial"/>
          <w:noProof/>
        </w:rPr>
      </w:pPr>
    </w:p>
    <w:p w14:paraId="4A942EEA" w14:textId="4EA9EA26"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Dutta, K., Verma, A. K., Gogoi, M., Devi, M., Singh, M. R., &amp; Singh, N. S. (2024). Anti-inflammatory activity of the phenol rich fraction of Garcinia pedunculata  Roxb (ex. Buch Ham): an in vitro and in vivo study. </w:t>
      </w:r>
      <w:r w:rsidRPr="00741E80">
        <w:rPr>
          <w:rFonts w:ascii="Arial" w:hAnsi="Arial" w:cs="Arial"/>
          <w:i/>
          <w:iCs/>
          <w:noProof/>
        </w:rPr>
        <w:t>Inflammopharmacology</w:t>
      </w:r>
      <w:r w:rsidRPr="00741E80">
        <w:rPr>
          <w:rFonts w:ascii="Arial" w:hAnsi="Arial" w:cs="Arial"/>
          <w:noProof/>
        </w:rPr>
        <w:t xml:space="preserve">, </w:t>
      </w:r>
      <w:r w:rsidRPr="00741E80">
        <w:rPr>
          <w:rFonts w:ascii="Arial" w:hAnsi="Arial" w:cs="Arial"/>
          <w:i/>
          <w:iCs/>
          <w:noProof/>
        </w:rPr>
        <w:t>32</w:t>
      </w:r>
      <w:r w:rsidRPr="00741E80">
        <w:rPr>
          <w:rFonts w:ascii="Arial" w:hAnsi="Arial" w:cs="Arial"/>
          <w:noProof/>
        </w:rPr>
        <w:t xml:space="preserve">(4), 2493–2503. </w:t>
      </w:r>
      <w:r w:rsidRPr="00741E80">
        <w:rPr>
          <w:rFonts w:ascii="Arial" w:hAnsi="Arial" w:cs="Arial"/>
          <w:noProof/>
        </w:rPr>
        <w:lastRenderedPageBreak/>
        <w:t>https://doi.org/10.1007/s10787-024-01484-1</w:t>
      </w:r>
    </w:p>
    <w:p w14:paraId="7AFB2733" w14:textId="77777777" w:rsidR="000E1728" w:rsidRDefault="000E1728" w:rsidP="00741E80">
      <w:pPr>
        <w:widowControl w:val="0"/>
        <w:autoSpaceDE w:val="0"/>
        <w:autoSpaceDN w:val="0"/>
        <w:adjustRightInd w:val="0"/>
        <w:jc w:val="both"/>
        <w:rPr>
          <w:rFonts w:ascii="Arial" w:hAnsi="Arial" w:cs="Arial"/>
          <w:noProof/>
        </w:rPr>
      </w:pPr>
    </w:p>
    <w:p w14:paraId="31D89276" w14:textId="1FAAEAB7"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Hossain, M. A., Talukder, S., Uz Zaman, A., Sarkar, A., Yasin, M., &amp; Biswas, R. (2024). Effective drying processes for Taikor (Garcinia pedunculata Roxb.) fruit by  ultrasound-assisted osmotic pretreatment: Analysis of quality and kinetic models. </w:t>
      </w:r>
      <w:r w:rsidRPr="00741E80">
        <w:rPr>
          <w:rFonts w:ascii="Arial" w:hAnsi="Arial" w:cs="Arial"/>
          <w:i/>
          <w:iCs/>
          <w:noProof/>
        </w:rPr>
        <w:t>Ultrasonics Sonochemistry</w:t>
      </w:r>
      <w:r w:rsidRPr="00741E80">
        <w:rPr>
          <w:rFonts w:ascii="Arial" w:hAnsi="Arial" w:cs="Arial"/>
          <w:noProof/>
        </w:rPr>
        <w:t xml:space="preserve">, </w:t>
      </w:r>
      <w:r w:rsidRPr="00741E80">
        <w:rPr>
          <w:rFonts w:ascii="Arial" w:hAnsi="Arial" w:cs="Arial"/>
          <w:i/>
          <w:iCs/>
          <w:noProof/>
        </w:rPr>
        <w:t>103</w:t>
      </w:r>
      <w:r w:rsidRPr="00741E80">
        <w:rPr>
          <w:rFonts w:ascii="Arial" w:hAnsi="Arial" w:cs="Arial"/>
          <w:noProof/>
        </w:rPr>
        <w:t>, 106784. https://doi.org/10.1016/j.ultsonch.2024.106784</w:t>
      </w:r>
    </w:p>
    <w:p w14:paraId="13200B96" w14:textId="77777777" w:rsidR="000E1728" w:rsidRDefault="000E1728" w:rsidP="00741E80">
      <w:pPr>
        <w:widowControl w:val="0"/>
        <w:autoSpaceDE w:val="0"/>
        <w:autoSpaceDN w:val="0"/>
        <w:adjustRightInd w:val="0"/>
        <w:jc w:val="both"/>
        <w:rPr>
          <w:rFonts w:ascii="Arial" w:hAnsi="Arial" w:cs="Arial"/>
          <w:noProof/>
        </w:rPr>
      </w:pPr>
    </w:p>
    <w:p w14:paraId="5C778F55" w14:textId="101BBCA0"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Hsia, C.-W., Huang, W.-C., Jayakumar, T., Hsia, C.-H., Hou, S.-M., Chang, C.-C., Yen, T.-L., &amp; Sheu, J.-R. (2023). Garcinol acts as a novel integrin αIIbβ3 inhibitor in human platelets. </w:t>
      </w:r>
      <w:r w:rsidRPr="00741E80">
        <w:rPr>
          <w:rFonts w:ascii="Arial" w:hAnsi="Arial" w:cs="Arial"/>
          <w:i/>
          <w:iCs/>
          <w:noProof/>
        </w:rPr>
        <w:t>Life Sciences</w:t>
      </w:r>
      <w:r w:rsidRPr="00741E80">
        <w:rPr>
          <w:rFonts w:ascii="Arial" w:hAnsi="Arial" w:cs="Arial"/>
          <w:noProof/>
        </w:rPr>
        <w:t xml:space="preserve">, </w:t>
      </w:r>
      <w:r w:rsidRPr="00741E80">
        <w:rPr>
          <w:rFonts w:ascii="Arial" w:hAnsi="Arial" w:cs="Arial"/>
          <w:i/>
          <w:iCs/>
          <w:noProof/>
        </w:rPr>
        <w:t>326</w:t>
      </w:r>
      <w:r w:rsidRPr="00741E80">
        <w:rPr>
          <w:rFonts w:ascii="Arial" w:hAnsi="Arial" w:cs="Arial"/>
          <w:noProof/>
        </w:rPr>
        <w:t>, 121791. https://doi.org/https://doi.org/10.1016/j.lfs.2023.121791</w:t>
      </w:r>
    </w:p>
    <w:p w14:paraId="0C3FC0CD" w14:textId="77777777" w:rsidR="002D1A29" w:rsidRDefault="002D1A29" w:rsidP="00741E80">
      <w:pPr>
        <w:widowControl w:val="0"/>
        <w:autoSpaceDE w:val="0"/>
        <w:autoSpaceDN w:val="0"/>
        <w:adjustRightInd w:val="0"/>
        <w:jc w:val="both"/>
        <w:rPr>
          <w:rFonts w:ascii="Arial" w:hAnsi="Arial" w:cs="Arial"/>
          <w:noProof/>
        </w:rPr>
      </w:pPr>
    </w:p>
    <w:p w14:paraId="71C2A13E" w14:textId="616F7747"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Islam, M. Z., Hoque, M. M., Asif-Ul-Alam, S. M., &amp; Monalisa, K. (2015). Chemical composition, antioxidant capacities and storage stability of Citrus macroptera and Garcinia pedunculata fruits. </w:t>
      </w:r>
      <w:r w:rsidRPr="00741E80">
        <w:rPr>
          <w:rFonts w:ascii="Arial" w:hAnsi="Arial" w:cs="Arial"/>
          <w:i/>
          <w:iCs/>
          <w:noProof/>
        </w:rPr>
        <w:t>Emirates Journal of Food and Agriculture</w:t>
      </w:r>
      <w:r w:rsidRPr="00741E80">
        <w:rPr>
          <w:rFonts w:ascii="Arial" w:hAnsi="Arial" w:cs="Arial"/>
          <w:noProof/>
        </w:rPr>
        <w:t xml:space="preserve">, </w:t>
      </w:r>
      <w:r w:rsidRPr="00741E80">
        <w:rPr>
          <w:rFonts w:ascii="Arial" w:hAnsi="Arial" w:cs="Arial"/>
          <w:i/>
          <w:iCs/>
          <w:noProof/>
        </w:rPr>
        <w:t>27</w:t>
      </w:r>
      <w:r w:rsidRPr="00741E80">
        <w:rPr>
          <w:rFonts w:ascii="Arial" w:hAnsi="Arial" w:cs="Arial"/>
          <w:noProof/>
        </w:rPr>
        <w:t>(3), 275–282. https://doi.org/10.9755/ejfa.v27i3.18624</w:t>
      </w:r>
    </w:p>
    <w:p w14:paraId="131F7E8D" w14:textId="77777777" w:rsidR="000E1728" w:rsidRDefault="000E1728" w:rsidP="00741E80">
      <w:pPr>
        <w:widowControl w:val="0"/>
        <w:autoSpaceDE w:val="0"/>
        <w:autoSpaceDN w:val="0"/>
        <w:adjustRightInd w:val="0"/>
        <w:jc w:val="both"/>
        <w:rPr>
          <w:rFonts w:ascii="Arial" w:hAnsi="Arial" w:cs="Arial"/>
          <w:noProof/>
        </w:rPr>
      </w:pPr>
    </w:p>
    <w:p w14:paraId="52B0C0E8" w14:textId="4F693B94"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Jayaprakasha, G. K., Negi, P. S., &amp; Jena, B. S. (2006). Antioxidative and antimutagenic activities of the extracts from the rinds of Garcinia pedunculata. </w:t>
      </w:r>
      <w:r w:rsidRPr="00741E80">
        <w:rPr>
          <w:rFonts w:ascii="Arial" w:hAnsi="Arial" w:cs="Arial"/>
          <w:i/>
          <w:iCs/>
          <w:noProof/>
        </w:rPr>
        <w:t>Innovative Food Science &amp; Emerging Technologies</w:t>
      </w:r>
      <w:r w:rsidRPr="00741E80">
        <w:rPr>
          <w:rFonts w:ascii="Arial" w:hAnsi="Arial" w:cs="Arial"/>
          <w:noProof/>
        </w:rPr>
        <w:t xml:space="preserve">, </w:t>
      </w:r>
      <w:r w:rsidRPr="00741E80">
        <w:rPr>
          <w:rFonts w:ascii="Arial" w:hAnsi="Arial" w:cs="Arial"/>
          <w:i/>
          <w:iCs/>
          <w:noProof/>
        </w:rPr>
        <w:t>7</w:t>
      </w:r>
      <w:r w:rsidRPr="00741E80">
        <w:rPr>
          <w:rFonts w:ascii="Arial" w:hAnsi="Arial" w:cs="Arial"/>
          <w:noProof/>
        </w:rPr>
        <w:t>(3), 246–250.</w:t>
      </w:r>
    </w:p>
    <w:p w14:paraId="41E5F3FC" w14:textId="77777777" w:rsidR="000E1728" w:rsidRDefault="000E1728" w:rsidP="00741E80">
      <w:pPr>
        <w:widowControl w:val="0"/>
        <w:autoSpaceDE w:val="0"/>
        <w:autoSpaceDN w:val="0"/>
        <w:adjustRightInd w:val="0"/>
        <w:jc w:val="both"/>
        <w:rPr>
          <w:rFonts w:ascii="Arial" w:hAnsi="Arial" w:cs="Arial"/>
          <w:noProof/>
        </w:rPr>
      </w:pPr>
    </w:p>
    <w:p w14:paraId="61E56802" w14:textId="3A469C46"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Kallio, H. P. (2018). Historical Review on the Identification of Mesifurane, 2,5-Dimethyl-4-methoxy-3(2  H)-furanone, and Its Occurrence in Berries and Fruits. </w:t>
      </w:r>
      <w:r w:rsidRPr="00741E80">
        <w:rPr>
          <w:rFonts w:ascii="Arial" w:hAnsi="Arial" w:cs="Arial"/>
          <w:i/>
          <w:iCs/>
          <w:noProof/>
        </w:rPr>
        <w:t>Journal of Agricultural and Food Chemistry</w:t>
      </w:r>
      <w:r w:rsidRPr="00741E80">
        <w:rPr>
          <w:rFonts w:ascii="Arial" w:hAnsi="Arial" w:cs="Arial"/>
          <w:noProof/>
        </w:rPr>
        <w:t xml:space="preserve">, </w:t>
      </w:r>
      <w:r w:rsidRPr="00741E80">
        <w:rPr>
          <w:rFonts w:ascii="Arial" w:hAnsi="Arial" w:cs="Arial"/>
          <w:i/>
          <w:iCs/>
          <w:noProof/>
        </w:rPr>
        <w:t>66</w:t>
      </w:r>
      <w:r w:rsidRPr="00741E80">
        <w:rPr>
          <w:rFonts w:ascii="Arial" w:hAnsi="Arial" w:cs="Arial"/>
          <w:noProof/>
        </w:rPr>
        <w:t>(11), 2553–2560. https://doi.org/10.1021/acs.jafc.8b00519</w:t>
      </w:r>
    </w:p>
    <w:p w14:paraId="4D35AD5B" w14:textId="77777777" w:rsidR="000E1728" w:rsidRDefault="000E1728" w:rsidP="00741E80">
      <w:pPr>
        <w:widowControl w:val="0"/>
        <w:autoSpaceDE w:val="0"/>
        <w:autoSpaceDN w:val="0"/>
        <w:adjustRightInd w:val="0"/>
        <w:jc w:val="both"/>
        <w:rPr>
          <w:rFonts w:ascii="Arial" w:hAnsi="Arial" w:cs="Arial"/>
          <w:noProof/>
        </w:rPr>
      </w:pPr>
    </w:p>
    <w:p w14:paraId="38D40BDD" w14:textId="2DCDDA1F"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Mundugaru, R., Sivanesan, S. K., Udaykumar, P., Joy, F., Koppala, S. K., Rajagopal, R., &amp; Hisham, S. M. (2017). Quality Standardization and Nephroprotective Effect of Garcinia pedunculata Roxb. Fruit rind. </w:t>
      </w:r>
      <w:r w:rsidRPr="00741E80">
        <w:rPr>
          <w:rFonts w:ascii="Arial" w:hAnsi="Arial" w:cs="Arial"/>
          <w:i/>
          <w:iCs/>
          <w:noProof/>
        </w:rPr>
        <w:t>Indian Journal of Pharmaceutical Education and Research</w:t>
      </w:r>
      <w:r w:rsidRPr="00741E80">
        <w:rPr>
          <w:rFonts w:ascii="Arial" w:hAnsi="Arial" w:cs="Arial"/>
          <w:noProof/>
        </w:rPr>
        <w:t xml:space="preserve">, </w:t>
      </w:r>
      <w:r w:rsidRPr="00741E80">
        <w:rPr>
          <w:rFonts w:ascii="Arial" w:hAnsi="Arial" w:cs="Arial"/>
          <w:i/>
          <w:iCs/>
          <w:noProof/>
        </w:rPr>
        <w:t>51</w:t>
      </w:r>
      <w:r w:rsidRPr="00741E80">
        <w:rPr>
          <w:rFonts w:ascii="Arial" w:hAnsi="Arial" w:cs="Arial"/>
          <w:noProof/>
        </w:rPr>
        <w:t>(4), 713–721.</w:t>
      </w:r>
    </w:p>
    <w:p w14:paraId="33621DC1" w14:textId="77777777" w:rsidR="000E1728" w:rsidRDefault="000E1728" w:rsidP="00741E80">
      <w:pPr>
        <w:widowControl w:val="0"/>
        <w:autoSpaceDE w:val="0"/>
        <w:autoSpaceDN w:val="0"/>
        <w:adjustRightInd w:val="0"/>
        <w:jc w:val="both"/>
        <w:rPr>
          <w:rFonts w:ascii="Arial" w:hAnsi="Arial" w:cs="Arial"/>
          <w:noProof/>
        </w:rPr>
      </w:pPr>
    </w:p>
    <w:p w14:paraId="39D7EFC8" w14:textId="1F484A96"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Paul, S., Ali, M. Y., Rumpa, N. E. N., Tanvir, E. M., Hossen, M. S., Saha, M., Bhoumik, N. C., Gan, S. H., &amp; Khalil, M. I. (2017). Assessment of Toxicity and Beneficiary Effects of Garcinia pedunculata on the Hematological, Biochemical, and Histological Homeostasis in Rats. </w:t>
      </w:r>
      <w:r w:rsidRPr="00741E80">
        <w:rPr>
          <w:rFonts w:ascii="Arial" w:hAnsi="Arial" w:cs="Arial"/>
          <w:i/>
          <w:iCs/>
          <w:noProof/>
        </w:rPr>
        <w:t>Evidence-Based Complementary and Alternative Medicine</w:t>
      </w:r>
      <w:r w:rsidRPr="00741E80">
        <w:rPr>
          <w:rFonts w:ascii="Arial" w:hAnsi="Arial" w:cs="Arial"/>
          <w:noProof/>
        </w:rPr>
        <w:t xml:space="preserve">, </w:t>
      </w:r>
      <w:r w:rsidRPr="00741E80">
        <w:rPr>
          <w:rFonts w:ascii="Arial" w:hAnsi="Arial" w:cs="Arial"/>
          <w:i/>
          <w:iCs/>
          <w:noProof/>
        </w:rPr>
        <w:t>2017</w:t>
      </w:r>
      <w:r w:rsidRPr="00741E80">
        <w:rPr>
          <w:rFonts w:ascii="Arial" w:hAnsi="Arial" w:cs="Arial"/>
          <w:noProof/>
        </w:rPr>
        <w:t>. https://doi.org/10.1155/2017/4686104</w:t>
      </w:r>
    </w:p>
    <w:p w14:paraId="18414A7A" w14:textId="77777777" w:rsidR="000E1728" w:rsidRDefault="000E1728" w:rsidP="00741E80">
      <w:pPr>
        <w:widowControl w:val="0"/>
        <w:autoSpaceDE w:val="0"/>
        <w:autoSpaceDN w:val="0"/>
        <w:adjustRightInd w:val="0"/>
        <w:jc w:val="both"/>
        <w:rPr>
          <w:rFonts w:ascii="Arial" w:hAnsi="Arial" w:cs="Arial"/>
          <w:noProof/>
        </w:rPr>
      </w:pPr>
    </w:p>
    <w:p w14:paraId="2C16A4F9" w14:textId="561C56F8"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Sadasivam, S. (1996). </w:t>
      </w:r>
      <w:r w:rsidRPr="00741E80">
        <w:rPr>
          <w:rFonts w:ascii="Arial" w:hAnsi="Arial" w:cs="Arial"/>
          <w:i/>
          <w:iCs/>
          <w:noProof/>
        </w:rPr>
        <w:t>Biochemical methods</w:t>
      </w:r>
      <w:r w:rsidRPr="00741E80">
        <w:rPr>
          <w:rFonts w:ascii="Arial" w:hAnsi="Arial" w:cs="Arial"/>
          <w:noProof/>
        </w:rPr>
        <w:t>. New age international.</w:t>
      </w:r>
    </w:p>
    <w:p w14:paraId="2A617745" w14:textId="77777777" w:rsidR="001B4F62" w:rsidRDefault="001B4F62" w:rsidP="00741E80">
      <w:pPr>
        <w:widowControl w:val="0"/>
        <w:autoSpaceDE w:val="0"/>
        <w:autoSpaceDN w:val="0"/>
        <w:adjustRightInd w:val="0"/>
        <w:jc w:val="both"/>
        <w:rPr>
          <w:rFonts w:ascii="Arial" w:hAnsi="Arial" w:cs="Arial"/>
          <w:noProof/>
        </w:rPr>
      </w:pPr>
    </w:p>
    <w:p w14:paraId="7BC3ABB6" w14:textId="30042739"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Saikia, R., Choudhury, S., Borah, A., &amp; Mazumder, M. K. (2020). Ameliorative effects of Garcinia pedunculata fruit extract on adenine-induced chronic kidney disease in mice, and the role of Garcinol: relevance to hyperuricemia and urolithiasis. </w:t>
      </w:r>
      <w:r w:rsidRPr="00741E80">
        <w:rPr>
          <w:rFonts w:ascii="Arial" w:hAnsi="Arial" w:cs="Arial"/>
          <w:i/>
          <w:iCs/>
          <w:noProof/>
        </w:rPr>
        <w:t>Advances in Traditional Medicine</w:t>
      </w:r>
      <w:r w:rsidRPr="00741E80">
        <w:rPr>
          <w:rFonts w:ascii="Arial" w:hAnsi="Arial" w:cs="Arial"/>
          <w:noProof/>
        </w:rPr>
        <w:t xml:space="preserve">, </w:t>
      </w:r>
      <w:r w:rsidRPr="00741E80">
        <w:rPr>
          <w:rFonts w:ascii="Arial" w:hAnsi="Arial" w:cs="Arial"/>
          <w:i/>
          <w:iCs/>
          <w:noProof/>
        </w:rPr>
        <w:t>20</w:t>
      </w:r>
      <w:r w:rsidRPr="00741E80">
        <w:rPr>
          <w:rFonts w:ascii="Arial" w:hAnsi="Arial" w:cs="Arial"/>
          <w:noProof/>
        </w:rPr>
        <w:t>(2), 255–261. https://doi.org/10.1007/s13596-019-00402-z</w:t>
      </w:r>
    </w:p>
    <w:p w14:paraId="066AEC11" w14:textId="77777777" w:rsidR="000E1728" w:rsidRDefault="000E1728" w:rsidP="00741E80">
      <w:pPr>
        <w:widowControl w:val="0"/>
        <w:autoSpaceDE w:val="0"/>
        <w:autoSpaceDN w:val="0"/>
        <w:adjustRightInd w:val="0"/>
        <w:jc w:val="both"/>
        <w:rPr>
          <w:rFonts w:ascii="Arial" w:hAnsi="Arial" w:cs="Arial"/>
          <w:noProof/>
        </w:rPr>
      </w:pPr>
    </w:p>
    <w:p w14:paraId="1C9F5B5B" w14:textId="1BD2F0C1"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Sarma, R., Kumari, S., Elancheran, R., Deori, M., &amp; Devi, R. (2016). Polyphenol rich extract of Garcinia pedunculata fruit attenuates the hyperlipidemia induced by high fat diet. </w:t>
      </w:r>
      <w:r w:rsidRPr="00741E80">
        <w:rPr>
          <w:rFonts w:ascii="Arial" w:hAnsi="Arial" w:cs="Arial"/>
          <w:i/>
          <w:iCs/>
          <w:noProof/>
        </w:rPr>
        <w:t>Frontiers in Pharmacology</w:t>
      </w:r>
      <w:r w:rsidRPr="00741E80">
        <w:rPr>
          <w:rFonts w:ascii="Arial" w:hAnsi="Arial" w:cs="Arial"/>
          <w:noProof/>
        </w:rPr>
        <w:t xml:space="preserve">, </w:t>
      </w:r>
      <w:r w:rsidRPr="00741E80">
        <w:rPr>
          <w:rFonts w:ascii="Arial" w:hAnsi="Arial" w:cs="Arial"/>
          <w:i/>
          <w:iCs/>
          <w:noProof/>
        </w:rPr>
        <w:t>7</w:t>
      </w:r>
      <w:r w:rsidRPr="00741E80">
        <w:rPr>
          <w:rFonts w:ascii="Arial" w:hAnsi="Arial" w:cs="Arial"/>
          <w:noProof/>
        </w:rPr>
        <w:t>, 294.</w:t>
      </w:r>
    </w:p>
    <w:p w14:paraId="402233E2" w14:textId="77777777" w:rsidR="000E1728" w:rsidRDefault="000E1728" w:rsidP="00741E80">
      <w:pPr>
        <w:widowControl w:val="0"/>
        <w:autoSpaceDE w:val="0"/>
        <w:autoSpaceDN w:val="0"/>
        <w:adjustRightInd w:val="0"/>
        <w:jc w:val="both"/>
        <w:rPr>
          <w:rFonts w:ascii="Arial" w:hAnsi="Arial" w:cs="Arial"/>
          <w:noProof/>
        </w:rPr>
      </w:pPr>
    </w:p>
    <w:p w14:paraId="28807DD0" w14:textId="4EEEF462" w:rsidR="00741E80" w:rsidRPr="00741E80" w:rsidRDefault="00741E80" w:rsidP="00741E80">
      <w:pPr>
        <w:widowControl w:val="0"/>
        <w:autoSpaceDE w:val="0"/>
        <w:autoSpaceDN w:val="0"/>
        <w:adjustRightInd w:val="0"/>
        <w:jc w:val="both"/>
        <w:rPr>
          <w:rFonts w:ascii="Arial" w:hAnsi="Arial" w:cs="Arial"/>
          <w:noProof/>
        </w:rPr>
      </w:pPr>
      <w:r w:rsidRPr="00741E80">
        <w:rPr>
          <w:rFonts w:ascii="Arial" w:hAnsi="Arial" w:cs="Arial"/>
          <w:noProof/>
        </w:rPr>
        <w:t xml:space="preserve">Thongsepee, N., Srisawat, U., Mahabussarakam, W., Ekarattanawong, S., Suttirak, N., &amp; Hiranyachattada, S. (2020). Effects of oral administration of Garcinia dulcis flower extract on arterial blood pressure and renal excretory functions in rats. </w:t>
      </w:r>
      <w:r w:rsidRPr="00741E80">
        <w:rPr>
          <w:rFonts w:ascii="Arial" w:hAnsi="Arial" w:cs="Arial"/>
          <w:i/>
          <w:iCs/>
          <w:noProof/>
        </w:rPr>
        <w:t>ScienceAsia</w:t>
      </w:r>
      <w:r w:rsidRPr="00741E80">
        <w:rPr>
          <w:rFonts w:ascii="Arial" w:hAnsi="Arial" w:cs="Arial"/>
          <w:noProof/>
        </w:rPr>
        <w:t xml:space="preserve">, </w:t>
      </w:r>
      <w:r w:rsidRPr="00741E80">
        <w:rPr>
          <w:rFonts w:ascii="Arial" w:hAnsi="Arial" w:cs="Arial"/>
          <w:i/>
          <w:iCs/>
          <w:noProof/>
        </w:rPr>
        <w:t>46</w:t>
      </w:r>
      <w:r w:rsidRPr="00741E80">
        <w:rPr>
          <w:rFonts w:ascii="Arial" w:hAnsi="Arial" w:cs="Arial"/>
          <w:noProof/>
        </w:rPr>
        <w:t>(6), 671–678. https://doi.org/10.2306/SCIENCEASIA1513-1874.2020.095</w:t>
      </w:r>
    </w:p>
    <w:p w14:paraId="1411EBB7" w14:textId="06C50665" w:rsidR="00790ADA" w:rsidRDefault="004B0AB4" w:rsidP="00741E80">
      <w:pPr>
        <w:pStyle w:val="Body"/>
        <w:spacing w:after="0"/>
        <w:rPr>
          <w:rFonts w:ascii="Arial" w:hAnsi="Arial" w:cs="Arial"/>
        </w:rPr>
      </w:pPr>
      <w:r>
        <w:rPr>
          <w:rFonts w:ascii="Arial" w:hAnsi="Arial" w:cs="Arial"/>
        </w:rPr>
        <w:fldChar w:fldCharType="end"/>
      </w:r>
    </w:p>
    <w:p w14:paraId="2364EB42" w14:textId="77777777" w:rsidR="00790ADA" w:rsidRPr="00FB3A86" w:rsidRDefault="00790ADA" w:rsidP="00441B6F">
      <w:pPr>
        <w:pStyle w:val="Body"/>
        <w:spacing w:after="0"/>
        <w:rPr>
          <w:rFonts w:ascii="Arial" w:hAnsi="Arial" w:cs="Arial"/>
        </w:rPr>
      </w:pPr>
    </w:p>
    <w:p w14:paraId="71A1FB18" w14:textId="16392594" w:rsidR="004D4277" w:rsidRPr="00FB3A86" w:rsidRDefault="004D4277" w:rsidP="00441B6F">
      <w:pPr>
        <w:pStyle w:val="Appendix"/>
        <w:spacing w:after="0"/>
        <w:jc w:val="both"/>
        <w:rPr>
          <w:rFonts w:ascii="Arial" w:hAnsi="Arial" w:cs="Arial"/>
          <w:b w:val="0"/>
        </w:rPr>
        <w:sectPr w:rsidR="004D4277" w:rsidRPr="00FB3A86" w:rsidSect="00D037C2">
          <w:headerReference w:type="even" r:id="rId11"/>
          <w:headerReference w:type="default" r:id="rId12"/>
          <w:headerReference w:type="first" r:id="rId13"/>
          <w:type w:val="continuous"/>
          <w:pgSz w:w="12240" w:h="15840"/>
          <w:pgMar w:top="1440" w:right="2016" w:bottom="2016" w:left="2016" w:header="720" w:footer="1123" w:gutter="0"/>
          <w:cols w:space="720"/>
          <w:docGrid w:linePitch="272"/>
        </w:sectPr>
      </w:pPr>
    </w:p>
    <w:p w14:paraId="7CFE830E" w14:textId="618E5D04" w:rsidR="002E7EF3" w:rsidRPr="00FB3A86" w:rsidRDefault="002E7EF3" w:rsidP="00441B6F">
      <w:pPr>
        <w:pStyle w:val="Appendix"/>
        <w:spacing w:after="0"/>
        <w:jc w:val="both"/>
        <w:rPr>
          <w:rFonts w:ascii="Arial" w:hAnsi="Arial" w:cs="Arial"/>
          <w:b w:val="0"/>
        </w:rPr>
      </w:pPr>
    </w:p>
    <w:sectPr w:rsidR="002E7EF3" w:rsidRPr="00FB3A86" w:rsidSect="00D037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76A2E" w14:textId="77777777" w:rsidR="00B45CA1" w:rsidRDefault="00B45CA1" w:rsidP="00C37E61">
      <w:r>
        <w:separator/>
      </w:r>
    </w:p>
  </w:endnote>
  <w:endnote w:type="continuationSeparator" w:id="0">
    <w:p w14:paraId="1AFC5850" w14:textId="77777777" w:rsidR="00B45CA1" w:rsidRDefault="00B45C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02ED4" w14:textId="77777777" w:rsidR="00B45CA1" w:rsidRDefault="00B45CA1" w:rsidP="00C37E61">
      <w:r>
        <w:separator/>
      </w:r>
    </w:p>
  </w:footnote>
  <w:footnote w:type="continuationSeparator" w:id="0">
    <w:p w14:paraId="6B9089BE" w14:textId="77777777" w:rsidR="00B45CA1" w:rsidRDefault="00B45C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4A6B" w14:textId="6B7562A1" w:rsidR="00212F5A" w:rsidRDefault="00000000">
    <w:pPr>
      <w:pStyle w:val="Header"/>
    </w:pPr>
    <w:r>
      <w:rPr>
        <w:noProof/>
      </w:rPr>
      <w:pict w14:anchorId="2CBD0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17D5" w14:textId="1C5DE763" w:rsidR="00212F5A" w:rsidRDefault="00000000">
    <w:pPr>
      <w:pStyle w:val="Header"/>
    </w:pPr>
    <w:r>
      <w:rPr>
        <w:noProof/>
      </w:rPr>
      <w:pict w14:anchorId="6BA7B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0C83" w14:textId="0E22ECD8" w:rsidR="00212F5A" w:rsidRDefault="00000000">
    <w:pPr>
      <w:pStyle w:val="Header"/>
    </w:pPr>
    <w:r>
      <w:rPr>
        <w:noProof/>
      </w:rPr>
      <w:pict w14:anchorId="09AEB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0"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9556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8366159">
    <w:abstractNumId w:val="15"/>
  </w:num>
  <w:num w:numId="3" w16cid:durableId="2096319319">
    <w:abstractNumId w:val="23"/>
  </w:num>
  <w:num w:numId="4" w16cid:durableId="15611413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57439981">
    <w:abstractNumId w:val="7"/>
  </w:num>
  <w:num w:numId="6" w16cid:durableId="726150686">
    <w:abstractNumId w:val="6"/>
  </w:num>
  <w:num w:numId="7" w16cid:durableId="2081293215">
    <w:abstractNumId w:val="1"/>
  </w:num>
  <w:num w:numId="8" w16cid:durableId="1737049417">
    <w:abstractNumId w:val="12"/>
  </w:num>
  <w:num w:numId="9" w16cid:durableId="1103380096">
    <w:abstractNumId w:val="25"/>
  </w:num>
  <w:num w:numId="10" w16cid:durableId="304235708">
    <w:abstractNumId w:val="2"/>
  </w:num>
  <w:num w:numId="11" w16cid:durableId="1654529363">
    <w:abstractNumId w:val="18"/>
  </w:num>
  <w:num w:numId="12" w16cid:durableId="871263919">
    <w:abstractNumId w:val="3"/>
  </w:num>
  <w:num w:numId="13" w16cid:durableId="1286499099">
    <w:abstractNumId w:val="17"/>
  </w:num>
  <w:num w:numId="14" w16cid:durableId="742485249">
    <w:abstractNumId w:val="8"/>
  </w:num>
  <w:num w:numId="15" w16cid:durableId="319846026">
    <w:abstractNumId w:val="21"/>
  </w:num>
  <w:num w:numId="16" w16cid:durableId="1574701969">
    <w:abstractNumId w:val="5"/>
  </w:num>
  <w:num w:numId="17" w16cid:durableId="1936356938">
    <w:abstractNumId w:val="22"/>
  </w:num>
  <w:num w:numId="18" w16cid:durableId="1165628197">
    <w:abstractNumId w:val="14"/>
  </w:num>
  <w:num w:numId="19" w16cid:durableId="702438744">
    <w:abstractNumId w:val="28"/>
  </w:num>
  <w:num w:numId="20" w16cid:durableId="1581257303">
    <w:abstractNumId w:val="11"/>
  </w:num>
  <w:num w:numId="21" w16cid:durableId="811098168">
    <w:abstractNumId w:val="9"/>
  </w:num>
  <w:num w:numId="22" w16cid:durableId="1256666429">
    <w:abstractNumId w:val="13"/>
  </w:num>
  <w:num w:numId="23" w16cid:durableId="568923789">
    <w:abstractNumId w:val="19"/>
  </w:num>
  <w:num w:numId="24" w16cid:durableId="1744067554">
    <w:abstractNumId w:val="26"/>
  </w:num>
  <w:num w:numId="25" w16cid:durableId="121506632">
    <w:abstractNumId w:val="4"/>
  </w:num>
  <w:num w:numId="26" w16cid:durableId="263921650">
    <w:abstractNumId w:val="16"/>
  </w:num>
  <w:num w:numId="27" w16cid:durableId="1359624872">
    <w:abstractNumId w:val="20"/>
  </w:num>
  <w:num w:numId="28" w16cid:durableId="713693603">
    <w:abstractNumId w:val="27"/>
  </w:num>
  <w:num w:numId="29" w16cid:durableId="397826419">
    <w:abstractNumId w:val="24"/>
  </w:num>
  <w:num w:numId="30" w16cid:durableId="8911116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0NjE2NjI1Mzc1MzZV0lEKTi0uzszPAykwNKgFAPc5bFotAAAA"/>
  </w:docVars>
  <w:rsids>
    <w:rsidRoot w:val="00AA6219"/>
    <w:rsid w:val="00000F8F"/>
    <w:rsid w:val="00026438"/>
    <w:rsid w:val="00030174"/>
    <w:rsid w:val="00032D18"/>
    <w:rsid w:val="0004579C"/>
    <w:rsid w:val="000466DD"/>
    <w:rsid w:val="0008302A"/>
    <w:rsid w:val="00090765"/>
    <w:rsid w:val="00091783"/>
    <w:rsid w:val="000A47FA"/>
    <w:rsid w:val="000A65D3"/>
    <w:rsid w:val="000B1E33"/>
    <w:rsid w:val="000D689F"/>
    <w:rsid w:val="000E099B"/>
    <w:rsid w:val="000E1728"/>
    <w:rsid w:val="000E7B7B"/>
    <w:rsid w:val="000E7D62"/>
    <w:rsid w:val="00103357"/>
    <w:rsid w:val="00123C9F"/>
    <w:rsid w:val="00126190"/>
    <w:rsid w:val="00130F17"/>
    <w:rsid w:val="001320BF"/>
    <w:rsid w:val="00136815"/>
    <w:rsid w:val="00154D64"/>
    <w:rsid w:val="001615FD"/>
    <w:rsid w:val="00163BC4"/>
    <w:rsid w:val="00191062"/>
    <w:rsid w:val="00192B72"/>
    <w:rsid w:val="001932EB"/>
    <w:rsid w:val="001A29D8"/>
    <w:rsid w:val="001A5CAA"/>
    <w:rsid w:val="001A61A7"/>
    <w:rsid w:val="001B0427"/>
    <w:rsid w:val="001B4F62"/>
    <w:rsid w:val="001D3A51"/>
    <w:rsid w:val="001E10D2"/>
    <w:rsid w:val="001E25B4"/>
    <w:rsid w:val="001E44FE"/>
    <w:rsid w:val="001E5D3E"/>
    <w:rsid w:val="001E6F18"/>
    <w:rsid w:val="001F7613"/>
    <w:rsid w:val="00200595"/>
    <w:rsid w:val="00204835"/>
    <w:rsid w:val="00207634"/>
    <w:rsid w:val="00212F5A"/>
    <w:rsid w:val="00216991"/>
    <w:rsid w:val="00231920"/>
    <w:rsid w:val="0023195C"/>
    <w:rsid w:val="0024282C"/>
    <w:rsid w:val="002460DC"/>
    <w:rsid w:val="00250985"/>
    <w:rsid w:val="002556F6"/>
    <w:rsid w:val="00283105"/>
    <w:rsid w:val="00284C4C"/>
    <w:rsid w:val="00287E68"/>
    <w:rsid w:val="00296529"/>
    <w:rsid w:val="002B27FB"/>
    <w:rsid w:val="002B685A"/>
    <w:rsid w:val="002C57D2"/>
    <w:rsid w:val="002D1A29"/>
    <w:rsid w:val="002E0D56"/>
    <w:rsid w:val="002E7EF3"/>
    <w:rsid w:val="00315186"/>
    <w:rsid w:val="003163BB"/>
    <w:rsid w:val="003300FD"/>
    <w:rsid w:val="0033343E"/>
    <w:rsid w:val="0033761A"/>
    <w:rsid w:val="003402CE"/>
    <w:rsid w:val="003512C2"/>
    <w:rsid w:val="00371FB6"/>
    <w:rsid w:val="003763C1"/>
    <w:rsid w:val="00376BBE"/>
    <w:rsid w:val="0039224F"/>
    <w:rsid w:val="003A43A4"/>
    <w:rsid w:val="003A7E18"/>
    <w:rsid w:val="003C4C86"/>
    <w:rsid w:val="003C6258"/>
    <w:rsid w:val="003D414A"/>
    <w:rsid w:val="003E2904"/>
    <w:rsid w:val="003E4461"/>
    <w:rsid w:val="003E542A"/>
    <w:rsid w:val="00401927"/>
    <w:rsid w:val="0041027F"/>
    <w:rsid w:val="004112FA"/>
    <w:rsid w:val="00412475"/>
    <w:rsid w:val="00423789"/>
    <w:rsid w:val="00440F43"/>
    <w:rsid w:val="00441B6F"/>
    <w:rsid w:val="00446221"/>
    <w:rsid w:val="00450E62"/>
    <w:rsid w:val="004539DB"/>
    <w:rsid w:val="00471A80"/>
    <w:rsid w:val="004A7114"/>
    <w:rsid w:val="004B0AB4"/>
    <w:rsid w:val="004D305E"/>
    <w:rsid w:val="004D4277"/>
    <w:rsid w:val="004D5014"/>
    <w:rsid w:val="004F0DC8"/>
    <w:rsid w:val="00500E41"/>
    <w:rsid w:val="00502516"/>
    <w:rsid w:val="00505F06"/>
    <w:rsid w:val="00506828"/>
    <w:rsid w:val="00523561"/>
    <w:rsid w:val="0053056E"/>
    <w:rsid w:val="0054774F"/>
    <w:rsid w:val="00554FDA"/>
    <w:rsid w:val="005600C2"/>
    <w:rsid w:val="005A3190"/>
    <w:rsid w:val="005C784C"/>
    <w:rsid w:val="005D17F6"/>
    <w:rsid w:val="005E4C88"/>
    <w:rsid w:val="005E5539"/>
    <w:rsid w:val="00601E57"/>
    <w:rsid w:val="00602BF5"/>
    <w:rsid w:val="006172F0"/>
    <w:rsid w:val="00617FDD"/>
    <w:rsid w:val="00633614"/>
    <w:rsid w:val="00633957"/>
    <w:rsid w:val="00633F68"/>
    <w:rsid w:val="00636EB2"/>
    <w:rsid w:val="006375B8"/>
    <w:rsid w:val="00650D25"/>
    <w:rsid w:val="006545A4"/>
    <w:rsid w:val="0066510A"/>
    <w:rsid w:val="00673F9F"/>
    <w:rsid w:val="00683BED"/>
    <w:rsid w:val="00686953"/>
    <w:rsid w:val="00687DEA"/>
    <w:rsid w:val="00687E67"/>
    <w:rsid w:val="006967F7"/>
    <w:rsid w:val="006A250C"/>
    <w:rsid w:val="006A7DEF"/>
    <w:rsid w:val="006B21D3"/>
    <w:rsid w:val="006B57D0"/>
    <w:rsid w:val="006B614C"/>
    <w:rsid w:val="006D30FF"/>
    <w:rsid w:val="006D45CF"/>
    <w:rsid w:val="006D539B"/>
    <w:rsid w:val="006D5C57"/>
    <w:rsid w:val="006D6940"/>
    <w:rsid w:val="006F11EC"/>
    <w:rsid w:val="006F55F6"/>
    <w:rsid w:val="0070082C"/>
    <w:rsid w:val="007038CB"/>
    <w:rsid w:val="007312CA"/>
    <w:rsid w:val="007369E6"/>
    <w:rsid w:val="00736ABD"/>
    <w:rsid w:val="00741E80"/>
    <w:rsid w:val="00746E59"/>
    <w:rsid w:val="00754C9A"/>
    <w:rsid w:val="0075599A"/>
    <w:rsid w:val="00761D52"/>
    <w:rsid w:val="0077749E"/>
    <w:rsid w:val="00790ADA"/>
    <w:rsid w:val="007D2288"/>
    <w:rsid w:val="007E088F"/>
    <w:rsid w:val="007F0C68"/>
    <w:rsid w:val="007F7B32"/>
    <w:rsid w:val="00804BC2"/>
    <w:rsid w:val="0081431A"/>
    <w:rsid w:val="00820EE2"/>
    <w:rsid w:val="00826667"/>
    <w:rsid w:val="0083216F"/>
    <w:rsid w:val="00860000"/>
    <w:rsid w:val="00863BD3"/>
    <w:rsid w:val="008641ED"/>
    <w:rsid w:val="00866D66"/>
    <w:rsid w:val="008671C6"/>
    <w:rsid w:val="00875803"/>
    <w:rsid w:val="008B459E"/>
    <w:rsid w:val="008D2CB2"/>
    <w:rsid w:val="008E13AE"/>
    <w:rsid w:val="008E1506"/>
    <w:rsid w:val="008E710C"/>
    <w:rsid w:val="008F5918"/>
    <w:rsid w:val="008F69D6"/>
    <w:rsid w:val="00902823"/>
    <w:rsid w:val="00915CA6"/>
    <w:rsid w:val="00927834"/>
    <w:rsid w:val="00940CCD"/>
    <w:rsid w:val="009432B0"/>
    <w:rsid w:val="00944334"/>
    <w:rsid w:val="009500A6"/>
    <w:rsid w:val="00952969"/>
    <w:rsid w:val="0095512E"/>
    <w:rsid w:val="00957C18"/>
    <w:rsid w:val="009659BA"/>
    <w:rsid w:val="0097341F"/>
    <w:rsid w:val="00982370"/>
    <w:rsid w:val="00983040"/>
    <w:rsid w:val="009B3FB9"/>
    <w:rsid w:val="009B5E8B"/>
    <w:rsid w:val="009C2465"/>
    <w:rsid w:val="009D0049"/>
    <w:rsid w:val="009D0598"/>
    <w:rsid w:val="009D35A0"/>
    <w:rsid w:val="009D7EB7"/>
    <w:rsid w:val="009E048A"/>
    <w:rsid w:val="009E08E9"/>
    <w:rsid w:val="009E3DB9"/>
    <w:rsid w:val="009E6E35"/>
    <w:rsid w:val="009F0EDA"/>
    <w:rsid w:val="00A03B96"/>
    <w:rsid w:val="00A05B19"/>
    <w:rsid w:val="00A1134E"/>
    <w:rsid w:val="00A24523"/>
    <w:rsid w:val="00A24E7E"/>
    <w:rsid w:val="00A258C3"/>
    <w:rsid w:val="00A347C0"/>
    <w:rsid w:val="00A42FF7"/>
    <w:rsid w:val="00A51431"/>
    <w:rsid w:val="00A539AD"/>
    <w:rsid w:val="00A94063"/>
    <w:rsid w:val="00AA6219"/>
    <w:rsid w:val="00AA74E0"/>
    <w:rsid w:val="00AB703F"/>
    <w:rsid w:val="00AC6BB8"/>
    <w:rsid w:val="00AE008F"/>
    <w:rsid w:val="00AF70D6"/>
    <w:rsid w:val="00B01FCD"/>
    <w:rsid w:val="00B1776C"/>
    <w:rsid w:val="00B45CA1"/>
    <w:rsid w:val="00B52583"/>
    <w:rsid w:val="00B5269C"/>
    <w:rsid w:val="00B52896"/>
    <w:rsid w:val="00B93D37"/>
    <w:rsid w:val="00B95236"/>
    <w:rsid w:val="00B95695"/>
    <w:rsid w:val="00B96BD9"/>
    <w:rsid w:val="00BA1B01"/>
    <w:rsid w:val="00BA2641"/>
    <w:rsid w:val="00BB37AA"/>
    <w:rsid w:val="00BC53A0"/>
    <w:rsid w:val="00BE62AD"/>
    <w:rsid w:val="00BF121F"/>
    <w:rsid w:val="00BF1F80"/>
    <w:rsid w:val="00BF4D4E"/>
    <w:rsid w:val="00C03CF8"/>
    <w:rsid w:val="00C166EF"/>
    <w:rsid w:val="00C17EB0"/>
    <w:rsid w:val="00C27F5F"/>
    <w:rsid w:val="00C30A0F"/>
    <w:rsid w:val="00C37E61"/>
    <w:rsid w:val="00C6546E"/>
    <w:rsid w:val="00C70F1B"/>
    <w:rsid w:val="00C71A47"/>
    <w:rsid w:val="00C7464C"/>
    <w:rsid w:val="00C835D2"/>
    <w:rsid w:val="00C85588"/>
    <w:rsid w:val="00C86233"/>
    <w:rsid w:val="00CD6755"/>
    <w:rsid w:val="00CD6856"/>
    <w:rsid w:val="00CE0089"/>
    <w:rsid w:val="00CE6C0D"/>
    <w:rsid w:val="00CE793C"/>
    <w:rsid w:val="00CF193C"/>
    <w:rsid w:val="00D037C2"/>
    <w:rsid w:val="00D06346"/>
    <w:rsid w:val="00D11895"/>
    <w:rsid w:val="00D15BA8"/>
    <w:rsid w:val="00D173F1"/>
    <w:rsid w:val="00D3482D"/>
    <w:rsid w:val="00D54CB6"/>
    <w:rsid w:val="00D5712F"/>
    <w:rsid w:val="00D71CDE"/>
    <w:rsid w:val="00D73143"/>
    <w:rsid w:val="00D74CB0"/>
    <w:rsid w:val="00D776A4"/>
    <w:rsid w:val="00D8295D"/>
    <w:rsid w:val="00D876C3"/>
    <w:rsid w:val="00DA78B4"/>
    <w:rsid w:val="00DB13C3"/>
    <w:rsid w:val="00DC2A65"/>
    <w:rsid w:val="00DC62A8"/>
    <w:rsid w:val="00DE15F0"/>
    <w:rsid w:val="00DE5663"/>
    <w:rsid w:val="00DE78AA"/>
    <w:rsid w:val="00DF5D7A"/>
    <w:rsid w:val="00E053D0"/>
    <w:rsid w:val="00E11656"/>
    <w:rsid w:val="00E15994"/>
    <w:rsid w:val="00E3114E"/>
    <w:rsid w:val="00E31A70"/>
    <w:rsid w:val="00E35B02"/>
    <w:rsid w:val="00E62F2E"/>
    <w:rsid w:val="00E66496"/>
    <w:rsid w:val="00E66B35"/>
    <w:rsid w:val="00E66E10"/>
    <w:rsid w:val="00E769F6"/>
    <w:rsid w:val="00E82B0D"/>
    <w:rsid w:val="00E8407C"/>
    <w:rsid w:val="00E84F3C"/>
    <w:rsid w:val="00EA012C"/>
    <w:rsid w:val="00EA78D5"/>
    <w:rsid w:val="00EC6A55"/>
    <w:rsid w:val="00ED0288"/>
    <w:rsid w:val="00EE523E"/>
    <w:rsid w:val="00EE52CB"/>
    <w:rsid w:val="00EF581D"/>
    <w:rsid w:val="00EF7FD8"/>
    <w:rsid w:val="00F06F59"/>
    <w:rsid w:val="00F17988"/>
    <w:rsid w:val="00F469F0"/>
    <w:rsid w:val="00F53273"/>
    <w:rsid w:val="00F755E4"/>
    <w:rsid w:val="00F77D02"/>
    <w:rsid w:val="00FA6318"/>
    <w:rsid w:val="00FB3A86"/>
    <w:rsid w:val="00FC2734"/>
    <w:rsid w:val="00FD36C8"/>
    <w:rsid w:val="00FE5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C1A1E"/>
  <w15:docId w15:val="{8382F0CF-3332-469A-BDD6-28EA5E77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54D6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D876C3"/>
    <w:pPr>
      <w:spacing w:before="100" w:beforeAutospacing="1" w:after="100" w:afterAutospacing="1"/>
    </w:pPr>
    <w:rPr>
      <w:rFonts w:ascii="Times New Roman" w:hAnsi="Times New Roman"/>
      <w:sz w:val="24"/>
      <w:szCs w:val="24"/>
      <w:lang w:val="en-IN" w:eastAsia="en-IN"/>
    </w:rPr>
  </w:style>
  <w:style w:type="table" w:styleId="PlainTable3">
    <w:name w:val="Plain Table 3"/>
    <w:basedOn w:val="TableNormal"/>
    <w:uiPriority w:val="43"/>
    <w:rsid w:val="00D876C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876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07634"/>
    <w:rPr>
      <w:color w:val="666666"/>
    </w:rPr>
  </w:style>
  <w:style w:type="character" w:customStyle="1" w:styleId="Heading3Char">
    <w:name w:val="Heading 3 Char"/>
    <w:basedOn w:val="DefaultParagraphFont"/>
    <w:link w:val="Heading3"/>
    <w:semiHidden/>
    <w:rsid w:val="00154D6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45" row="1">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D380B8A-5D7D-450F-8DB1-FA36EA033670}">
  <we:reference id="wa200001482" version="1.0.5.0" store="en-US" storeType="OMEX"/>
  <we:alternateReferences>
    <we:reference id="WA200001482" version="1.0.5.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26EC8FB-670D-4D16-B0A8-34AB52E11167}">
  <we:reference id="wa200000368" version="1.0.0.0" store="en-US" storeType="OMEX"/>
  <we:alternateReferences>
    <we:reference id="WA200000368" version="1.0.0.0" store="" storeType="OMEX"/>
  </we:alternateReferences>
  <we:properties>
    <we:property name="documentId" value="&quot;437ce8935a61130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C4EF-EDBC-4DEC-93D4-37C03B43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12</Pages>
  <Words>13310</Words>
  <Characters>75871</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89003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Kasturi Dutta</cp:lastModifiedBy>
  <cp:revision>2</cp:revision>
  <cp:lastPrinted>1999-07-06T11:00:00Z</cp:lastPrinted>
  <dcterms:created xsi:type="dcterms:W3CDTF">2025-08-22T09:30:00Z</dcterms:created>
  <dcterms:modified xsi:type="dcterms:W3CDTF">2025-08-22T09:30:00Z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482ff5cb-226f-376b-b5fa-5929536ebd17</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http://www.zotero.org/styles/biomedicine-and-pharmacotherapy</vt:lpwstr>
  </property>
  <property fmtid="{D5CDD505-2E9C-101B-9397-08002B2CF9AE}" pid="8" name="Mendeley Recent Style Name 1_1">
    <vt:lpwstr>Biomedicine &amp; Pharmacotherapy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http://www.zotero.org/styles/elsevier-vancouver-short-author-list</vt:lpwstr>
  </property>
  <property fmtid="{D5CDD505-2E9C-101B-9397-08002B2CF9AE}" pid="14" name="Mendeley Recent Style Name 4_1">
    <vt:lpwstr>Elsevier - Vancouver ("et al." for 3+ authors)</vt:lpwstr>
  </property>
  <property fmtid="{D5CDD505-2E9C-101B-9397-08002B2CF9AE}" pid="15" name="Mendeley Recent Style Id 5_1">
    <vt:lpwstr>http://www.zotero.org/styles/mary-ann-liebert-vancouver</vt:lpwstr>
  </property>
  <property fmtid="{D5CDD505-2E9C-101B-9397-08002B2CF9AE}" pid="16" name="Mendeley Recent Style Name 5_1">
    <vt:lpwstr>Mary Ann Liebert - Vancouver</vt:lpwstr>
  </property>
  <property fmtid="{D5CDD505-2E9C-101B-9397-08002B2CF9AE}" pid="17" name="Mendeley Recent Style Id 6_1">
    <vt:lpwstr>http://www.zotero.org/styles/sage-vancouver-brackets</vt:lpwstr>
  </property>
  <property fmtid="{D5CDD505-2E9C-101B-9397-08002B2CF9AE}" pid="18" name="Mendeley Recent Style Name 6_1">
    <vt:lpwstr>SAGE - Vancouver (brackets)</vt:lpwstr>
  </property>
  <property fmtid="{D5CDD505-2E9C-101B-9397-08002B2CF9AE}" pid="19" name="Mendeley Recent Style Id 7_1">
    <vt:lpwstr>http://www.zotero.org/styles/taylor-and-francis-vancouver-national-library-of-medicine</vt:lpwstr>
  </property>
  <property fmtid="{D5CDD505-2E9C-101B-9397-08002B2CF9AE}" pid="20" name="Mendeley Recent Style Name 7_1">
    <vt:lpwstr>Taylor &amp; Francis - Vancouver/National Library of Medicine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http://www.zotero.org/styles/vancouver-author-date</vt:lpwstr>
  </property>
  <property fmtid="{D5CDD505-2E9C-101B-9397-08002B2CF9AE}" pid="24" name="Mendeley Recent Style Name 9_1">
    <vt:lpwstr>Vancouver (author-date)</vt:lpwstr>
  </property>
</Properties>
</file>