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76E7" w:rsidRPr="00D476E7" w:rsidRDefault="00D476E7" w:rsidP="00D476E7">
      <w:pPr>
        <w:pStyle w:val="Heading3"/>
        <w:rPr>
          <w:rFonts w:ascii="Arial" w:hAnsi="Arial" w:cs="Arial"/>
          <w:i/>
          <w:iCs/>
          <w:sz w:val="36"/>
          <w:u w:val="single"/>
        </w:rPr>
      </w:pPr>
      <w:r w:rsidRPr="00D476E7">
        <w:rPr>
          <w:rFonts w:ascii="Arial" w:hAnsi="Arial" w:cs="Arial"/>
          <w:i/>
          <w:iCs/>
          <w:sz w:val="36"/>
          <w:u w:val="single"/>
        </w:rPr>
        <w:t>Review Article</w:t>
      </w:r>
    </w:p>
    <w:p w:rsidR="00461123" w:rsidRDefault="00461123" w:rsidP="00D31C07">
      <w:pPr>
        <w:pStyle w:val="Heading3"/>
        <w:jc w:val="right"/>
        <w:rPr>
          <w:rFonts w:ascii="Arial" w:hAnsi="Arial" w:cs="Arial"/>
          <w:sz w:val="36"/>
        </w:rPr>
      </w:pPr>
      <w:r w:rsidRPr="00D31C07">
        <w:rPr>
          <w:rFonts w:ascii="Arial" w:hAnsi="Arial" w:cs="Arial"/>
          <w:sz w:val="36"/>
        </w:rPr>
        <w:t xml:space="preserve">Integrative Review of Reproductive Biology in the </w:t>
      </w:r>
      <w:proofErr w:type="spellStart"/>
      <w:r w:rsidRPr="00D31C07">
        <w:rPr>
          <w:rFonts w:ascii="Arial" w:hAnsi="Arial" w:cs="Arial"/>
          <w:sz w:val="36"/>
        </w:rPr>
        <w:t>Muga</w:t>
      </w:r>
      <w:proofErr w:type="spellEnd"/>
      <w:r w:rsidRPr="00D31C07">
        <w:rPr>
          <w:rFonts w:ascii="Arial" w:hAnsi="Arial" w:cs="Arial"/>
          <w:sz w:val="36"/>
        </w:rPr>
        <w:t xml:space="preserve"> Silkworm (</w:t>
      </w:r>
      <w:proofErr w:type="spellStart"/>
      <w:r w:rsidRPr="00D31C07">
        <w:rPr>
          <w:rStyle w:val="Emphasis"/>
          <w:rFonts w:ascii="Arial" w:hAnsi="Arial" w:cs="Arial"/>
          <w:sz w:val="36"/>
        </w:rPr>
        <w:t>Antheraea</w:t>
      </w:r>
      <w:proofErr w:type="spellEnd"/>
      <w:r w:rsidRPr="00D31C07">
        <w:rPr>
          <w:rStyle w:val="Emphasis"/>
          <w:rFonts w:ascii="Arial" w:hAnsi="Arial" w:cs="Arial"/>
          <w:sz w:val="36"/>
        </w:rPr>
        <w:t xml:space="preserve"> </w:t>
      </w:r>
      <w:proofErr w:type="spellStart"/>
      <w:r w:rsidRPr="00D31C07">
        <w:rPr>
          <w:rStyle w:val="Emphasis"/>
          <w:rFonts w:ascii="Arial" w:hAnsi="Arial" w:cs="Arial"/>
          <w:sz w:val="36"/>
        </w:rPr>
        <w:t>assamensis</w:t>
      </w:r>
      <w:proofErr w:type="spellEnd"/>
      <w:r w:rsidRPr="00D31C07">
        <w:rPr>
          <w:rFonts w:ascii="Arial" w:hAnsi="Arial" w:cs="Arial"/>
          <w:sz w:val="36"/>
        </w:rPr>
        <w:t>): Anatomy, Endocrinology, Seas</w:t>
      </w:r>
      <w:bookmarkStart w:id="0" w:name="_GoBack"/>
      <w:bookmarkEnd w:id="0"/>
      <w:r w:rsidRPr="00D31C07">
        <w:rPr>
          <w:rFonts w:ascii="Arial" w:hAnsi="Arial" w:cs="Arial"/>
          <w:sz w:val="36"/>
        </w:rPr>
        <w:t>onality, and Seed Technology</w:t>
      </w:r>
    </w:p>
    <w:p w:rsidR="00D31C07" w:rsidRDefault="00D31C07" w:rsidP="00D31C07">
      <w:pPr>
        <w:pStyle w:val="Heading3"/>
        <w:jc w:val="right"/>
        <w:rPr>
          <w:rStyle w:val="Strong"/>
          <w:rFonts w:ascii="Arial" w:hAnsi="Arial" w:cs="Arial"/>
          <w:b/>
          <w:bCs/>
          <w:sz w:val="36"/>
        </w:rPr>
      </w:pPr>
    </w:p>
    <w:p w:rsidR="00D31C07" w:rsidRDefault="000A2A73" w:rsidP="00D31C07">
      <w:pPr>
        <w:ind w:left="284" w:right="4"/>
        <w:jc w:val="right"/>
        <w:rPr>
          <w:rFonts w:ascii="Arial" w:hAnsi="Arial" w:cs="Arial"/>
        </w:rPr>
      </w:pPr>
      <w:r>
        <w:rPr>
          <w:rFonts w:ascii="Arial" w:hAnsi="Arial" w:cs="Arial"/>
        </w:rPr>
      </w:r>
      <w:r>
        <w:rPr>
          <w:rFonts w:ascii="Arial" w:hAnsi="Arial" w:cs="Arial"/>
        </w:rPr>
        <w:pict>
          <v:shapetype id="_x0000_t32" coordsize="21600,21600" o:spt="32" o:oned="t" path="m,l21600,21600e" filled="f">
            <v:path arrowok="t" fillok="f" o:connecttype="none"/>
            <o:lock v:ext="edit" shapetype="t"/>
          </v:shapetype>
          <v:shape id="_x0000_s1026" type="#_x0000_t32" style="width:460.2pt;height:.05pt;mso-left-percent:-10001;mso-top-percent:-10001;mso-position-horizontal:absolute;mso-position-horizontal-relative:char;mso-position-vertical:absolute;mso-position-vertical-relative:line;mso-left-percent:-10001;mso-top-percent:-10001" o:connectortype="straight" strokeweight="1.5pt">
            <w10:anchorlock/>
          </v:shape>
        </w:pict>
      </w:r>
    </w:p>
    <w:p w:rsidR="00D31C07" w:rsidRPr="00D31C07" w:rsidRDefault="00D31C07" w:rsidP="00D31C07">
      <w:pPr>
        <w:pStyle w:val="Heading3"/>
        <w:rPr>
          <w:rStyle w:val="Strong"/>
          <w:rFonts w:ascii="Arial" w:hAnsi="Arial" w:cs="Arial"/>
          <w:b/>
          <w:bCs/>
          <w:sz w:val="22"/>
          <w:szCs w:val="22"/>
        </w:rPr>
      </w:pPr>
      <w:r w:rsidRPr="00D31C07">
        <w:rPr>
          <w:rStyle w:val="Strong"/>
          <w:rFonts w:ascii="Arial" w:hAnsi="Arial" w:cs="Arial"/>
          <w:b/>
          <w:bCs/>
          <w:sz w:val="22"/>
          <w:szCs w:val="22"/>
        </w:rPr>
        <w:t>ABSTRACT</w:t>
      </w:r>
    </w:p>
    <w:p w:rsidR="00D31C07" w:rsidRPr="00FF072F" w:rsidRDefault="00934158" w:rsidP="00FF072F">
      <w:pPr>
        <w:pStyle w:val="NormalWeb"/>
        <w:jc w:val="both"/>
        <w:rPr>
          <w:rFonts w:ascii="Arial" w:hAnsi="Arial" w:cs="Arial"/>
          <w:sz w:val="20"/>
          <w:szCs w:val="20"/>
        </w:rPr>
      </w:pPr>
      <w:r w:rsidRPr="00D31C07">
        <w:rPr>
          <w:rFonts w:ascii="Arial" w:hAnsi="Arial" w:cs="Arial"/>
          <w:sz w:val="20"/>
          <w:szCs w:val="20"/>
        </w:rPr>
        <w:t xml:space="preserve">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Helfer), a mono-raced, semi-domesticated </w:t>
      </w:r>
      <w:proofErr w:type="spellStart"/>
      <w:r w:rsidRPr="00D31C07">
        <w:rPr>
          <w:rFonts w:ascii="Arial" w:hAnsi="Arial" w:cs="Arial"/>
          <w:sz w:val="20"/>
          <w:szCs w:val="20"/>
        </w:rPr>
        <w:t>saturniid</w:t>
      </w:r>
      <w:proofErr w:type="spellEnd"/>
      <w:r w:rsidRPr="00D31C07">
        <w:rPr>
          <w:rFonts w:ascii="Arial" w:hAnsi="Arial" w:cs="Arial"/>
          <w:sz w:val="20"/>
          <w:szCs w:val="20"/>
        </w:rPr>
        <w:t xml:space="preserve"> endemic to northeastern India, is globally renowned for producing golden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a textile with unmatched luster and cultural heritage. The sustainability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sericulture critically depends on optimizing seed production, which is intrinsically linked to the reproductive biology of the species. This review integrates the anatomical, physiological, hormonal, behavioral, and environmental aspects governing reproduction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It synthesizes recent findings on reproductive organ morphology, sperm dimorphism, endocrine regulation via juvenile hormone (JH-III), 20-hydroxyecdysone (20-E), and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and evaluates the influence of mating duration, seasonality, and oviposition substrates on fecundity and fertility. Copulation duration of 7–8 hours, autumnal conditions, and biodegradable oviposition devices are consistently associated with improved reproductive outcomes. Despite significant advances, reproductive efficiency remains suboptimal due to climatic sensitivity, high egg retention, and inconsistent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Critical research gaps persist in understanding neuroendocrine control, sperm viability, stress physiology, and molecular regulation. We propose a future roadmap involving high-throughput omics, genome sequencing, precision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protocols, and integrative reproductive modeling to enhance seed viability, ensure genetic conservation, and stabilize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productivity. This review provides a comprehensive foundation for advancing reproductive biotechnology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laying the groundwork for sustainable sericulture innovation.</w:t>
      </w:r>
    </w:p>
    <w:p w:rsidR="006437D0" w:rsidRPr="00D31C07" w:rsidRDefault="00C46D70" w:rsidP="00D31C07">
      <w:pPr>
        <w:pStyle w:val="NormalWeb"/>
        <w:jc w:val="both"/>
        <w:rPr>
          <w:rFonts w:ascii="Arial" w:hAnsi="Arial" w:cs="Arial"/>
          <w:i/>
          <w:sz w:val="20"/>
          <w:szCs w:val="20"/>
        </w:rPr>
      </w:pPr>
      <w:r w:rsidRPr="00D31C07">
        <w:rPr>
          <w:rFonts w:ascii="Arial" w:hAnsi="Arial" w:cs="Arial"/>
          <w:i/>
          <w:sz w:val="20"/>
          <w:szCs w:val="20"/>
        </w:rPr>
        <w:t xml:space="preserve">Keywords: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w:t>
      </w:r>
      <w:r w:rsidRPr="00D31C07">
        <w:rPr>
          <w:rFonts w:ascii="Arial" w:hAnsi="Arial" w:cs="Arial"/>
          <w:i/>
          <w:sz w:val="20"/>
          <w:szCs w:val="20"/>
        </w:rPr>
        <w:t xml:space="preserve"> fecundity, mating duration, egg retention, juvenile hormone, hatchability, </w:t>
      </w:r>
      <w:proofErr w:type="spellStart"/>
      <w:r w:rsidRPr="00D31C07">
        <w:rPr>
          <w:rFonts w:ascii="Arial" w:hAnsi="Arial" w:cs="Arial"/>
          <w:i/>
          <w:sz w:val="20"/>
          <w:szCs w:val="20"/>
        </w:rPr>
        <w:t>apyrene</w:t>
      </w:r>
      <w:proofErr w:type="spellEnd"/>
      <w:r w:rsidRPr="00D31C07">
        <w:rPr>
          <w:rFonts w:ascii="Arial" w:hAnsi="Arial" w:cs="Arial"/>
          <w:i/>
          <w:sz w:val="20"/>
          <w:szCs w:val="20"/>
        </w:rPr>
        <w:t xml:space="preserve">, </w:t>
      </w:r>
      <w:proofErr w:type="spellStart"/>
      <w:r w:rsidRPr="00D31C07">
        <w:rPr>
          <w:rFonts w:ascii="Arial" w:hAnsi="Arial" w:cs="Arial"/>
          <w:i/>
          <w:sz w:val="20"/>
          <w:szCs w:val="20"/>
        </w:rPr>
        <w:t>eupyrene</w:t>
      </w:r>
      <w:proofErr w:type="spellEnd"/>
      <w:r w:rsidRPr="00D31C07">
        <w:rPr>
          <w:rFonts w:ascii="Arial" w:hAnsi="Arial" w:cs="Arial"/>
          <w:i/>
          <w:sz w:val="20"/>
          <w:szCs w:val="20"/>
        </w:rPr>
        <w:t>, seed technology</w:t>
      </w:r>
    </w:p>
    <w:p w:rsidR="00AA32BA" w:rsidRPr="00D31C07" w:rsidRDefault="000B4986" w:rsidP="00D31C07">
      <w:pPr>
        <w:pStyle w:val="ListParagraph"/>
        <w:numPr>
          <w:ilvl w:val="0"/>
          <w:numId w:val="1"/>
        </w:numPr>
        <w:ind w:left="284" w:hanging="284"/>
        <w:rPr>
          <w:rFonts w:ascii="Arial" w:hAnsi="Arial" w:cs="Arial"/>
          <w:b/>
          <w:lang w:val="en-IN"/>
        </w:rPr>
      </w:pPr>
      <w:r w:rsidRPr="00D31C07">
        <w:rPr>
          <w:rFonts w:ascii="Arial" w:hAnsi="Arial" w:cs="Arial"/>
          <w:b/>
          <w:lang w:val="en-IN"/>
        </w:rPr>
        <w:t>INTRODUCTION</w:t>
      </w:r>
    </w:p>
    <w:p w:rsidR="00D642D2" w:rsidRPr="00D31C07" w:rsidRDefault="00D642D2" w:rsidP="002848C2">
      <w:pPr>
        <w:pStyle w:val="NormalWeb"/>
        <w:jc w:val="both"/>
        <w:rPr>
          <w:rFonts w:ascii="Arial" w:hAnsi="Arial" w:cs="Arial"/>
          <w:sz w:val="20"/>
          <w:szCs w:val="20"/>
        </w:rPr>
      </w:pPr>
      <w:r w:rsidRPr="00D31C07">
        <w:rPr>
          <w:rFonts w:ascii="Arial" w:hAnsi="Arial" w:cs="Arial"/>
          <w:sz w:val="20"/>
          <w:szCs w:val="20"/>
        </w:rPr>
        <w:t xml:space="preserve">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Helfer), a semi-domesticated lepidopteran of the family </w:t>
      </w:r>
      <w:proofErr w:type="spellStart"/>
      <w:r w:rsidRPr="00D31C07">
        <w:rPr>
          <w:rFonts w:ascii="Arial" w:hAnsi="Arial" w:cs="Arial"/>
          <w:sz w:val="20"/>
          <w:szCs w:val="20"/>
        </w:rPr>
        <w:t>Saturniidae</w:t>
      </w:r>
      <w:proofErr w:type="spellEnd"/>
      <w:r w:rsidRPr="00D31C07">
        <w:rPr>
          <w:rFonts w:ascii="Arial" w:hAnsi="Arial" w:cs="Arial"/>
          <w:sz w:val="20"/>
          <w:szCs w:val="20"/>
        </w:rPr>
        <w:t xml:space="preserve">, is endemic to the northeastern region of India and is primarily distributed across the Brahmaputra valley in Assam (Nath </w:t>
      </w:r>
      <w:r w:rsidRPr="00D31C07">
        <w:rPr>
          <w:rFonts w:ascii="Arial" w:hAnsi="Arial" w:cs="Arial"/>
          <w:i/>
          <w:sz w:val="20"/>
          <w:szCs w:val="20"/>
        </w:rPr>
        <w:t>et al.,</w:t>
      </w:r>
      <w:r w:rsidRPr="00D31C07">
        <w:rPr>
          <w:rFonts w:ascii="Arial" w:hAnsi="Arial" w:cs="Arial"/>
          <w:sz w:val="20"/>
          <w:szCs w:val="20"/>
        </w:rPr>
        <w:t xml:space="preserve"> 2025). This species is globally unique for producing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a luxurious fiber with a natural golden sheen and a registered Geographical Indication (GI) of Assam. As a holometabolous insect,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undergoes complete metamorphosis through four distinct developmental stages: egg, larva, pupa, and adult. The species is multivoltine, completing five to six generations annually, with the life cycle duration ranging from approximately 50 days durin</w:t>
      </w:r>
      <w:r w:rsidR="007E6823" w:rsidRPr="00D31C07">
        <w:rPr>
          <w:rFonts w:ascii="Arial" w:hAnsi="Arial" w:cs="Arial"/>
          <w:sz w:val="20"/>
          <w:szCs w:val="20"/>
        </w:rPr>
        <w:t xml:space="preserve">g summer to 120 days in winter (Nath </w:t>
      </w:r>
      <w:r w:rsidR="007E6823" w:rsidRPr="00D31C07">
        <w:rPr>
          <w:rFonts w:ascii="Arial" w:hAnsi="Arial" w:cs="Arial"/>
          <w:i/>
          <w:sz w:val="20"/>
          <w:szCs w:val="20"/>
        </w:rPr>
        <w:t>et al.,</w:t>
      </w:r>
      <w:r w:rsidR="007E6823" w:rsidRPr="00D31C07">
        <w:rPr>
          <w:rFonts w:ascii="Arial" w:hAnsi="Arial" w:cs="Arial"/>
          <w:sz w:val="20"/>
          <w:szCs w:val="20"/>
        </w:rPr>
        <w:t xml:space="preserve"> 2025)</w:t>
      </w:r>
      <w:r w:rsidR="00FF2203" w:rsidRPr="00D31C07">
        <w:rPr>
          <w:rFonts w:ascii="Arial" w:hAnsi="Arial" w:cs="Arial"/>
          <w:sz w:val="20"/>
          <w:szCs w:val="20"/>
        </w:rPr>
        <w:t xml:space="preserve"> (Fig 1)</w:t>
      </w:r>
      <w:r w:rsidRPr="00D31C07">
        <w:rPr>
          <w:rFonts w:ascii="Arial" w:hAnsi="Arial" w:cs="Arial"/>
          <w:sz w:val="20"/>
          <w:szCs w:val="20"/>
        </w:rPr>
        <w:t>.</w:t>
      </w:r>
    </w:p>
    <w:p w:rsidR="009571BA" w:rsidRDefault="00C50618" w:rsidP="009571BA">
      <w:pPr>
        <w:pStyle w:val="NormalWeb"/>
        <w:jc w:val="both"/>
      </w:pPr>
      <w:r>
        <w:rPr>
          <w:noProof/>
        </w:rPr>
        <w:lastRenderedPageBreak/>
        <w:drawing>
          <wp:inline distT="0" distB="0" distL="0" distR="0">
            <wp:extent cx="5944428" cy="4994061"/>
            <wp:effectExtent l="19050" t="0" r="0" b="0"/>
            <wp:docPr id="3" name="Picture 4" descr="C:\Users\Admin\AppData\Local\Microsoft\Windows\INetCache\Content.Word\Doc6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Microsoft\Windows\INetCache\Content.Word\Doc6_page-0001.jpg"/>
                    <pic:cNvPicPr>
                      <a:picLocks noChangeAspect="1" noChangeArrowheads="1"/>
                    </pic:cNvPicPr>
                  </pic:nvPicPr>
                  <pic:blipFill>
                    <a:blip r:embed="rId7" cstate="print"/>
                    <a:srcRect l="5568" r="7758" b="5871"/>
                    <a:stretch>
                      <a:fillRect/>
                    </a:stretch>
                  </pic:blipFill>
                  <pic:spPr bwMode="auto">
                    <a:xfrm>
                      <a:off x="0" y="0"/>
                      <a:ext cx="5945174" cy="4994688"/>
                    </a:xfrm>
                    <a:prstGeom prst="rect">
                      <a:avLst/>
                    </a:prstGeom>
                    <a:noFill/>
                    <a:ln w="9525">
                      <a:noFill/>
                      <a:miter lim="800000"/>
                      <a:headEnd/>
                      <a:tailEnd/>
                    </a:ln>
                  </pic:spPr>
                </pic:pic>
              </a:graphicData>
            </a:graphic>
          </wp:inline>
        </w:drawing>
      </w:r>
    </w:p>
    <w:p w:rsidR="00FF2203" w:rsidRPr="00D31C07" w:rsidRDefault="00FF2203" w:rsidP="009571BA">
      <w:pPr>
        <w:pStyle w:val="NormalWeb"/>
        <w:jc w:val="both"/>
        <w:rPr>
          <w:rFonts w:ascii="Arial" w:hAnsi="Arial" w:cs="Arial"/>
          <w:b/>
          <w:sz w:val="20"/>
        </w:rPr>
      </w:pPr>
      <w:r w:rsidRPr="00D31C07">
        <w:rPr>
          <w:rFonts w:ascii="Arial" w:hAnsi="Arial" w:cs="Arial"/>
          <w:b/>
          <w:sz w:val="20"/>
        </w:rPr>
        <w:t xml:space="preserve">Fig. 1. Life cycle of </w:t>
      </w:r>
      <w:proofErr w:type="spellStart"/>
      <w:r w:rsidRPr="00D31C07">
        <w:rPr>
          <w:rFonts w:ascii="Arial" w:hAnsi="Arial" w:cs="Arial"/>
          <w:b/>
          <w:sz w:val="20"/>
        </w:rPr>
        <w:t>muga</w:t>
      </w:r>
      <w:proofErr w:type="spellEnd"/>
      <w:r w:rsidRPr="00D31C07">
        <w:rPr>
          <w:rFonts w:ascii="Arial" w:hAnsi="Arial" w:cs="Arial"/>
          <w:b/>
          <w:sz w:val="20"/>
        </w:rPr>
        <w:t xml:space="preserve"> silkworm (</w:t>
      </w:r>
      <w:proofErr w:type="spellStart"/>
      <w:r w:rsidRPr="00D31C07">
        <w:rPr>
          <w:rStyle w:val="Emphasis"/>
          <w:rFonts w:ascii="Arial" w:hAnsi="Arial" w:cs="Arial"/>
          <w:b/>
          <w:sz w:val="20"/>
        </w:rPr>
        <w:t>Antheraea</w:t>
      </w:r>
      <w:proofErr w:type="spellEnd"/>
      <w:r w:rsidRPr="00D31C07">
        <w:rPr>
          <w:rStyle w:val="Emphasis"/>
          <w:rFonts w:ascii="Arial" w:hAnsi="Arial" w:cs="Arial"/>
          <w:b/>
          <w:sz w:val="20"/>
        </w:rPr>
        <w:t xml:space="preserve"> </w:t>
      </w:r>
      <w:proofErr w:type="spellStart"/>
      <w:r w:rsidRPr="00D31C07">
        <w:rPr>
          <w:rStyle w:val="Emphasis"/>
          <w:rFonts w:ascii="Arial" w:hAnsi="Arial" w:cs="Arial"/>
          <w:b/>
          <w:sz w:val="20"/>
        </w:rPr>
        <w:t>assamensis</w:t>
      </w:r>
      <w:proofErr w:type="spellEnd"/>
      <w:r w:rsidRPr="00D31C07">
        <w:rPr>
          <w:rFonts w:ascii="Arial" w:hAnsi="Arial" w:cs="Arial"/>
          <w:b/>
          <w:sz w:val="20"/>
        </w:rPr>
        <w:t xml:space="preserve"> Helfer)</w:t>
      </w:r>
    </w:p>
    <w:p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t>Among the annual generations, two</w:t>
      </w:r>
      <w:r w:rsidR="007E6823" w:rsidRPr="00D31C07">
        <w:rPr>
          <w:rFonts w:ascii="Arial" w:hAnsi="Arial" w:cs="Arial"/>
          <w:sz w:val="20"/>
          <w:szCs w:val="20"/>
        </w:rPr>
        <w:t xml:space="preserve"> are of commercial significance, </w:t>
      </w:r>
      <w:proofErr w:type="spellStart"/>
      <w:r w:rsidR="007E6823" w:rsidRPr="00D31C07">
        <w:rPr>
          <w:rFonts w:ascii="Arial" w:hAnsi="Arial" w:cs="Arial"/>
          <w:sz w:val="20"/>
          <w:szCs w:val="20"/>
        </w:rPr>
        <w:t>J</w:t>
      </w:r>
      <w:r w:rsidRPr="00D31C07">
        <w:rPr>
          <w:rFonts w:ascii="Arial" w:hAnsi="Arial" w:cs="Arial"/>
          <w:sz w:val="20"/>
          <w:szCs w:val="20"/>
        </w:rPr>
        <w:t>et</w:t>
      </w:r>
      <w:r w:rsidR="006D06A1" w:rsidRPr="00D31C07">
        <w:rPr>
          <w:rFonts w:ascii="Arial" w:hAnsi="Arial" w:cs="Arial"/>
          <w:sz w:val="20"/>
          <w:szCs w:val="20"/>
        </w:rPr>
        <w:t>hua</w:t>
      </w:r>
      <w:proofErr w:type="spellEnd"/>
      <w:r w:rsidR="006D06A1" w:rsidRPr="00D31C07">
        <w:rPr>
          <w:rFonts w:ascii="Arial" w:hAnsi="Arial" w:cs="Arial"/>
          <w:sz w:val="20"/>
          <w:szCs w:val="20"/>
        </w:rPr>
        <w:t xml:space="preserve"> (spring) and </w:t>
      </w:r>
      <w:proofErr w:type="spellStart"/>
      <w:r w:rsidR="006D06A1" w:rsidRPr="00D31C07">
        <w:rPr>
          <w:rFonts w:ascii="Arial" w:hAnsi="Arial" w:cs="Arial"/>
          <w:sz w:val="20"/>
          <w:szCs w:val="20"/>
        </w:rPr>
        <w:t>Ko</w:t>
      </w:r>
      <w:r w:rsidR="007E6823" w:rsidRPr="00D31C07">
        <w:rPr>
          <w:rFonts w:ascii="Arial" w:hAnsi="Arial" w:cs="Arial"/>
          <w:sz w:val="20"/>
          <w:szCs w:val="20"/>
        </w:rPr>
        <w:t>tia</w:t>
      </w:r>
      <w:proofErr w:type="spellEnd"/>
      <w:r w:rsidR="007E6823" w:rsidRPr="00D31C07">
        <w:rPr>
          <w:rFonts w:ascii="Arial" w:hAnsi="Arial" w:cs="Arial"/>
          <w:sz w:val="20"/>
          <w:szCs w:val="20"/>
        </w:rPr>
        <w:t xml:space="preserve"> (autumn) </w:t>
      </w:r>
      <w:r w:rsidRPr="00D31C07">
        <w:rPr>
          <w:rFonts w:ascii="Arial" w:hAnsi="Arial" w:cs="Arial"/>
          <w:sz w:val="20"/>
          <w:szCs w:val="20"/>
        </w:rPr>
        <w:t>which form the backbone of economic sericulture in the region</w:t>
      </w:r>
      <w:r w:rsidR="007E6823" w:rsidRPr="00D31C07">
        <w:rPr>
          <w:rFonts w:ascii="Arial" w:hAnsi="Arial" w:cs="Arial"/>
          <w:sz w:val="20"/>
          <w:szCs w:val="20"/>
        </w:rPr>
        <w:t xml:space="preserve"> (</w:t>
      </w:r>
      <w:proofErr w:type="spellStart"/>
      <w:r w:rsidR="007E6823" w:rsidRPr="00D31C07">
        <w:rPr>
          <w:rFonts w:ascii="Arial" w:hAnsi="Arial" w:cs="Arial"/>
          <w:sz w:val="20"/>
          <w:szCs w:val="20"/>
        </w:rPr>
        <w:t>Saikia</w:t>
      </w:r>
      <w:proofErr w:type="spellEnd"/>
      <w:r w:rsidR="007E6823" w:rsidRPr="00D31C07">
        <w:rPr>
          <w:rFonts w:ascii="Arial" w:hAnsi="Arial" w:cs="Arial"/>
          <w:sz w:val="20"/>
          <w:szCs w:val="20"/>
        </w:rPr>
        <w:t xml:space="preserve"> </w:t>
      </w:r>
      <w:r w:rsidR="007E6823" w:rsidRPr="00D31C07">
        <w:rPr>
          <w:rFonts w:ascii="Arial" w:hAnsi="Arial" w:cs="Arial"/>
          <w:i/>
          <w:sz w:val="20"/>
          <w:szCs w:val="20"/>
        </w:rPr>
        <w:t>et al.,</w:t>
      </w:r>
      <w:r w:rsidR="007E6823" w:rsidRPr="00D31C07">
        <w:rPr>
          <w:rFonts w:ascii="Arial" w:hAnsi="Arial" w:cs="Arial"/>
          <w:sz w:val="20"/>
          <w:szCs w:val="20"/>
        </w:rPr>
        <w:t xml:space="preserve"> 2023)</w:t>
      </w:r>
      <w:r w:rsidR="006D06A1" w:rsidRPr="00D31C07">
        <w:rPr>
          <w:rFonts w:ascii="Arial" w:hAnsi="Arial" w:cs="Arial"/>
          <w:sz w:val="20"/>
          <w:szCs w:val="20"/>
        </w:rPr>
        <w:t xml:space="preserve"> (Fig.2)</w:t>
      </w:r>
      <w:r w:rsidRPr="00D31C07">
        <w:rPr>
          <w:rFonts w:ascii="Arial" w:hAnsi="Arial" w:cs="Arial"/>
          <w:sz w:val="20"/>
          <w:szCs w:val="20"/>
        </w:rPr>
        <w:t xml:space="preserve">. The success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production largely depends on the quality of silkworm seed, which is evaluated by parameters such as egg-laying capacity (fecundity), hatchability, uniformity of hatching, and the overall rearing performance of the progeny (</w:t>
      </w:r>
      <w:r w:rsidR="000C62FE" w:rsidRPr="00D31C07">
        <w:rPr>
          <w:rFonts w:ascii="Arial" w:hAnsi="Arial" w:cs="Arial"/>
          <w:sz w:val="20"/>
          <w:szCs w:val="20"/>
        </w:rPr>
        <w:t xml:space="preserve">Hussain </w:t>
      </w:r>
      <w:r w:rsidR="000C62FE" w:rsidRPr="00D31C07">
        <w:rPr>
          <w:rFonts w:ascii="Arial" w:hAnsi="Arial" w:cs="Arial"/>
          <w:i/>
          <w:sz w:val="20"/>
          <w:szCs w:val="20"/>
        </w:rPr>
        <w:t>et al.,</w:t>
      </w:r>
      <w:r w:rsidR="000C62FE" w:rsidRPr="00D31C07">
        <w:rPr>
          <w:rFonts w:ascii="Arial" w:hAnsi="Arial" w:cs="Arial"/>
          <w:sz w:val="20"/>
          <w:szCs w:val="20"/>
        </w:rPr>
        <w:t xml:space="preserve"> 2011</w:t>
      </w:r>
      <w:r w:rsidRPr="00D31C07">
        <w:rPr>
          <w:rFonts w:ascii="Arial" w:hAnsi="Arial" w:cs="Arial"/>
          <w:sz w:val="20"/>
          <w:szCs w:val="20"/>
        </w:rPr>
        <w:t>). The production of high-quality eggs is a multifactorial process influenced by both intrinsic physiological mechanisms and extrinsic environmental factors. Among these, oviposition behavior is a key determinant of seed quality and warra</w:t>
      </w:r>
      <w:r w:rsidR="007E6823" w:rsidRPr="00D31C07">
        <w:rPr>
          <w:rFonts w:ascii="Arial" w:hAnsi="Arial" w:cs="Arial"/>
          <w:sz w:val="20"/>
          <w:szCs w:val="20"/>
        </w:rPr>
        <w:t>nts in-depth investigation (Dube</w:t>
      </w:r>
      <w:r w:rsidRPr="00D31C07">
        <w:rPr>
          <w:rFonts w:ascii="Arial" w:hAnsi="Arial" w:cs="Arial"/>
          <w:sz w:val="20"/>
          <w:szCs w:val="20"/>
        </w:rPr>
        <w:t xml:space="preserve">y </w:t>
      </w:r>
      <w:r w:rsidRPr="00D31C07">
        <w:rPr>
          <w:rFonts w:ascii="Arial" w:hAnsi="Arial" w:cs="Arial"/>
          <w:i/>
          <w:sz w:val="20"/>
          <w:szCs w:val="20"/>
        </w:rPr>
        <w:t>et al.,</w:t>
      </w:r>
      <w:r w:rsidR="00E82595" w:rsidRPr="00D31C07">
        <w:rPr>
          <w:rFonts w:ascii="Arial" w:hAnsi="Arial" w:cs="Arial"/>
          <w:sz w:val="20"/>
          <w:szCs w:val="20"/>
        </w:rPr>
        <w:t xml:space="preserve"> 1993</w:t>
      </w:r>
      <w:r w:rsidRPr="00D31C07">
        <w:rPr>
          <w:rFonts w:ascii="Arial" w:hAnsi="Arial" w:cs="Arial"/>
          <w:sz w:val="20"/>
          <w:szCs w:val="20"/>
        </w:rPr>
        <w:t>). Li</w:t>
      </w:r>
      <w:r w:rsidR="007E6823" w:rsidRPr="00D31C07">
        <w:rPr>
          <w:rFonts w:ascii="Arial" w:hAnsi="Arial" w:cs="Arial"/>
          <w:sz w:val="20"/>
          <w:szCs w:val="20"/>
        </w:rPr>
        <w:t xml:space="preserve">kewise, mating behavior, </w:t>
      </w:r>
      <w:r w:rsidRPr="00D31C07">
        <w:rPr>
          <w:rFonts w:ascii="Arial" w:hAnsi="Arial" w:cs="Arial"/>
          <w:sz w:val="20"/>
          <w:szCs w:val="20"/>
        </w:rPr>
        <w:t>particul</w:t>
      </w:r>
      <w:r w:rsidR="007E6823" w:rsidRPr="00D31C07">
        <w:rPr>
          <w:rFonts w:ascii="Arial" w:hAnsi="Arial" w:cs="Arial"/>
          <w:sz w:val="20"/>
          <w:szCs w:val="20"/>
        </w:rPr>
        <w:t xml:space="preserve">arly the duration of copulation </w:t>
      </w:r>
      <w:r w:rsidRPr="00D31C07">
        <w:rPr>
          <w:rFonts w:ascii="Arial" w:hAnsi="Arial" w:cs="Arial"/>
          <w:sz w:val="20"/>
          <w:szCs w:val="20"/>
        </w:rPr>
        <w:t xml:space="preserve">has a profound effect on inducing oviposition and determining the total egg </w:t>
      </w:r>
      <w:r w:rsidR="007E6823" w:rsidRPr="00D31C07">
        <w:rPr>
          <w:rFonts w:ascii="Arial" w:hAnsi="Arial" w:cs="Arial"/>
          <w:sz w:val="20"/>
          <w:szCs w:val="20"/>
        </w:rPr>
        <w:t xml:space="preserve">production </w:t>
      </w:r>
      <w:r w:rsidRPr="00D31C07">
        <w:rPr>
          <w:rFonts w:ascii="Arial" w:hAnsi="Arial" w:cs="Arial"/>
          <w:sz w:val="20"/>
          <w:szCs w:val="20"/>
        </w:rPr>
        <w:t>(</w:t>
      </w:r>
      <w:proofErr w:type="spellStart"/>
      <w:r w:rsidRPr="00D31C07">
        <w:rPr>
          <w:rFonts w:ascii="Arial" w:hAnsi="Arial" w:cs="Arial"/>
          <w:sz w:val="20"/>
          <w:szCs w:val="20"/>
        </w:rPr>
        <w:t>Rideley</w:t>
      </w:r>
      <w:proofErr w:type="spellEnd"/>
      <w:r w:rsidRPr="00D31C07">
        <w:rPr>
          <w:rFonts w:ascii="Arial" w:hAnsi="Arial" w:cs="Arial"/>
          <w:sz w:val="20"/>
          <w:szCs w:val="20"/>
        </w:rPr>
        <w:t>, 1990).</w:t>
      </w:r>
    </w:p>
    <w:p w:rsidR="00FF2203" w:rsidRDefault="006D06A1" w:rsidP="009571BA">
      <w:pPr>
        <w:pStyle w:val="NormalWeb"/>
        <w:jc w:val="both"/>
      </w:pPr>
      <w:r>
        <w:rPr>
          <w:noProof/>
        </w:rPr>
        <w:lastRenderedPageBreak/>
        <w:drawing>
          <wp:inline distT="0" distB="0" distL="0" distR="0">
            <wp:extent cx="3105813" cy="2568042"/>
            <wp:effectExtent l="19050" t="0" r="0" b="0"/>
            <wp:docPr id="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3111243" cy="2572531"/>
                    </a:xfrm>
                    <a:prstGeom prst="rect">
                      <a:avLst/>
                    </a:prstGeom>
                    <a:noFill/>
                    <a:ln w="9525">
                      <a:noFill/>
                      <a:miter lim="800000"/>
                      <a:headEnd/>
                      <a:tailEnd/>
                    </a:ln>
                  </pic:spPr>
                </pic:pic>
              </a:graphicData>
            </a:graphic>
          </wp:inline>
        </w:drawing>
      </w:r>
    </w:p>
    <w:p w:rsidR="006D06A1" w:rsidRPr="00D31C07" w:rsidRDefault="006D06A1" w:rsidP="009571BA">
      <w:pPr>
        <w:pStyle w:val="NormalWeb"/>
        <w:jc w:val="both"/>
        <w:rPr>
          <w:rFonts w:ascii="Arial" w:hAnsi="Arial" w:cs="Arial"/>
          <w:b/>
          <w:sz w:val="20"/>
        </w:rPr>
      </w:pPr>
      <w:r w:rsidRPr="00D31C07">
        <w:rPr>
          <w:rFonts w:ascii="Arial" w:hAnsi="Arial" w:cs="Arial"/>
          <w:b/>
          <w:sz w:val="20"/>
        </w:rPr>
        <w:t xml:space="preserve">Fig. 2. Seasonal crop cycle of </w:t>
      </w:r>
      <w:proofErr w:type="spellStart"/>
      <w:r w:rsidRPr="00D31C07">
        <w:rPr>
          <w:rFonts w:ascii="Arial" w:hAnsi="Arial" w:cs="Arial"/>
          <w:b/>
          <w:sz w:val="20"/>
        </w:rPr>
        <w:t>Muga</w:t>
      </w:r>
      <w:proofErr w:type="spellEnd"/>
      <w:r w:rsidRPr="00D31C07">
        <w:rPr>
          <w:rFonts w:ascii="Arial" w:hAnsi="Arial" w:cs="Arial"/>
          <w:b/>
          <w:sz w:val="20"/>
        </w:rPr>
        <w:t xml:space="preserve"> silkworm</w:t>
      </w:r>
    </w:p>
    <w:p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t xml:space="preserve">Traditionally, the oviposition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moths is managed using devices such as the </w:t>
      </w:r>
      <w:proofErr w:type="spellStart"/>
      <w:r w:rsidRPr="00D31C07">
        <w:rPr>
          <w:rStyle w:val="Emphasis"/>
          <w:rFonts w:ascii="Arial" w:hAnsi="Arial" w:cs="Arial"/>
          <w:sz w:val="20"/>
          <w:szCs w:val="20"/>
        </w:rPr>
        <w:t>kharika</w:t>
      </w:r>
      <w:proofErr w:type="spellEnd"/>
      <w:r w:rsidRPr="00D31C07">
        <w:rPr>
          <w:rFonts w:ascii="Arial" w:hAnsi="Arial" w:cs="Arial"/>
          <w:sz w:val="20"/>
          <w:szCs w:val="20"/>
        </w:rPr>
        <w:t>, made of thatch grass. However, to improve efficiency and hygiene in seed production, alternative biodegradable oviposition devices have been developed and tested with promising results (</w:t>
      </w:r>
      <w:proofErr w:type="spellStart"/>
      <w:r w:rsidRPr="00D31C07">
        <w:rPr>
          <w:rFonts w:ascii="Arial" w:hAnsi="Arial" w:cs="Arial"/>
          <w:sz w:val="20"/>
          <w:szCs w:val="20"/>
        </w:rPr>
        <w:t>Teotia</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1998; </w:t>
      </w:r>
      <w:proofErr w:type="spellStart"/>
      <w:r w:rsidRPr="00D31C07">
        <w:rPr>
          <w:rFonts w:ascii="Arial" w:hAnsi="Arial" w:cs="Arial"/>
          <w:sz w:val="20"/>
          <w:szCs w:val="20"/>
        </w:rPr>
        <w:t>Sahu</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1998</w:t>
      </w:r>
      <w:r w:rsidR="00B777C2" w:rsidRPr="00D31C07">
        <w:rPr>
          <w:rFonts w:ascii="Arial" w:hAnsi="Arial" w:cs="Arial"/>
          <w:sz w:val="20"/>
          <w:szCs w:val="20"/>
        </w:rPr>
        <w:t>a, b</w:t>
      </w:r>
      <w:r w:rsidRPr="00D31C07">
        <w:rPr>
          <w:rFonts w:ascii="Arial" w:hAnsi="Arial" w:cs="Arial"/>
          <w:sz w:val="20"/>
          <w:szCs w:val="20"/>
        </w:rPr>
        <w:t>). Optimal egg-laying conditions, however, are not solel</w:t>
      </w:r>
      <w:r w:rsidR="005372C4" w:rsidRPr="00D31C07">
        <w:rPr>
          <w:rFonts w:ascii="Arial" w:hAnsi="Arial" w:cs="Arial"/>
          <w:sz w:val="20"/>
          <w:szCs w:val="20"/>
        </w:rPr>
        <w:t>y determined by the device used,</w:t>
      </w:r>
      <w:r w:rsidRPr="00D31C07">
        <w:rPr>
          <w:rFonts w:ascii="Arial" w:hAnsi="Arial" w:cs="Arial"/>
          <w:sz w:val="20"/>
          <w:szCs w:val="20"/>
        </w:rPr>
        <w:t xml:space="preserve"> they are intricately linked to seasonal environmental variables such as temperature, humidity, and photoperiod</w:t>
      </w:r>
      <w:r w:rsidR="005372C4" w:rsidRPr="00D31C07">
        <w:rPr>
          <w:rFonts w:ascii="Arial" w:hAnsi="Arial" w:cs="Arial"/>
          <w:sz w:val="20"/>
          <w:szCs w:val="20"/>
        </w:rPr>
        <w:t xml:space="preserve"> (</w:t>
      </w:r>
      <w:proofErr w:type="spellStart"/>
      <w:r w:rsidR="005372C4" w:rsidRPr="00D31C07">
        <w:rPr>
          <w:rFonts w:ascii="Arial" w:hAnsi="Arial" w:cs="Arial"/>
          <w:sz w:val="20"/>
          <w:szCs w:val="20"/>
        </w:rPr>
        <w:t>Saikia</w:t>
      </w:r>
      <w:proofErr w:type="spellEnd"/>
      <w:r w:rsidR="005372C4" w:rsidRPr="00D31C07">
        <w:rPr>
          <w:rFonts w:ascii="Arial" w:hAnsi="Arial" w:cs="Arial"/>
          <w:sz w:val="20"/>
          <w:szCs w:val="20"/>
        </w:rPr>
        <w:t xml:space="preserve"> </w:t>
      </w:r>
      <w:r w:rsidR="005372C4" w:rsidRPr="00D31C07">
        <w:rPr>
          <w:rFonts w:ascii="Arial" w:hAnsi="Arial" w:cs="Arial"/>
          <w:i/>
          <w:sz w:val="20"/>
          <w:szCs w:val="20"/>
        </w:rPr>
        <w:t>et al.,</w:t>
      </w:r>
      <w:r w:rsidR="005372C4" w:rsidRPr="00D31C07">
        <w:rPr>
          <w:rFonts w:ascii="Arial" w:hAnsi="Arial" w:cs="Arial"/>
          <w:sz w:val="20"/>
          <w:szCs w:val="20"/>
        </w:rPr>
        <w:t xml:space="preserve"> 2023</w:t>
      </w:r>
      <w:r w:rsidR="00CE6385" w:rsidRPr="00D31C07">
        <w:rPr>
          <w:rFonts w:ascii="Arial" w:hAnsi="Arial" w:cs="Arial"/>
          <w:sz w:val="20"/>
          <w:szCs w:val="20"/>
        </w:rPr>
        <w:t xml:space="preserve">; </w:t>
      </w:r>
      <w:r w:rsidR="00B777C2" w:rsidRPr="00D31C07">
        <w:rPr>
          <w:rFonts w:ascii="Arial" w:hAnsi="Arial" w:cs="Arial"/>
          <w:sz w:val="20"/>
          <w:szCs w:val="20"/>
        </w:rPr>
        <w:t>Jolly, 1983</w:t>
      </w:r>
      <w:r w:rsidR="00CE6385" w:rsidRPr="00D31C07">
        <w:rPr>
          <w:rFonts w:ascii="Arial" w:hAnsi="Arial" w:cs="Arial"/>
          <w:sz w:val="20"/>
          <w:szCs w:val="20"/>
        </w:rPr>
        <w:t xml:space="preserve">; Nayak &amp; Dash, 1974; </w:t>
      </w:r>
      <w:proofErr w:type="spellStart"/>
      <w:r w:rsidR="00CE6385" w:rsidRPr="00D31C07">
        <w:rPr>
          <w:rFonts w:ascii="Arial" w:hAnsi="Arial" w:cs="Arial"/>
          <w:sz w:val="20"/>
          <w:szCs w:val="20"/>
        </w:rPr>
        <w:t>Thangavelu</w:t>
      </w:r>
      <w:proofErr w:type="spellEnd"/>
      <w:r w:rsidR="00CE6385" w:rsidRPr="00D31C07">
        <w:rPr>
          <w:rFonts w:ascii="Arial" w:hAnsi="Arial" w:cs="Arial"/>
          <w:sz w:val="20"/>
          <w:szCs w:val="20"/>
        </w:rPr>
        <w:t xml:space="preserve"> &amp; </w:t>
      </w:r>
      <w:proofErr w:type="spellStart"/>
      <w:r w:rsidR="00CE6385" w:rsidRPr="00D31C07">
        <w:rPr>
          <w:rFonts w:ascii="Arial" w:hAnsi="Arial" w:cs="Arial"/>
          <w:sz w:val="20"/>
          <w:szCs w:val="20"/>
        </w:rPr>
        <w:t>Sahu</w:t>
      </w:r>
      <w:proofErr w:type="spellEnd"/>
      <w:r w:rsidR="00CE6385" w:rsidRPr="00D31C07">
        <w:rPr>
          <w:rFonts w:ascii="Arial" w:hAnsi="Arial" w:cs="Arial"/>
          <w:sz w:val="20"/>
          <w:szCs w:val="20"/>
        </w:rPr>
        <w:t xml:space="preserve">, 1986; </w:t>
      </w:r>
      <w:proofErr w:type="spellStart"/>
      <w:r w:rsidR="00CE6385" w:rsidRPr="00D31C07">
        <w:rPr>
          <w:rFonts w:ascii="Arial" w:hAnsi="Arial" w:cs="Arial"/>
          <w:sz w:val="20"/>
          <w:szCs w:val="20"/>
        </w:rPr>
        <w:t>Chaoba</w:t>
      </w:r>
      <w:proofErr w:type="spellEnd"/>
      <w:r w:rsidR="00CE6385" w:rsidRPr="00D31C07">
        <w:rPr>
          <w:rFonts w:ascii="Arial" w:hAnsi="Arial" w:cs="Arial"/>
          <w:sz w:val="20"/>
          <w:szCs w:val="20"/>
        </w:rPr>
        <w:t xml:space="preserve"> Singh </w:t>
      </w:r>
      <w:r w:rsidR="00CE6385" w:rsidRPr="00D31C07">
        <w:rPr>
          <w:rFonts w:ascii="Arial" w:hAnsi="Arial" w:cs="Arial"/>
          <w:i/>
          <w:sz w:val="20"/>
          <w:szCs w:val="20"/>
        </w:rPr>
        <w:t>et al.,</w:t>
      </w:r>
      <w:r w:rsidR="00CE6385" w:rsidRPr="00D31C07">
        <w:rPr>
          <w:rFonts w:ascii="Arial" w:hAnsi="Arial" w:cs="Arial"/>
          <w:sz w:val="20"/>
          <w:szCs w:val="20"/>
        </w:rPr>
        <w:t xml:space="preserve"> 1991</w:t>
      </w:r>
      <w:r w:rsidR="005372C4" w:rsidRPr="00D31C07">
        <w:rPr>
          <w:rFonts w:ascii="Arial" w:hAnsi="Arial" w:cs="Arial"/>
          <w:sz w:val="20"/>
          <w:szCs w:val="20"/>
        </w:rPr>
        <w:t>)</w:t>
      </w:r>
      <w:r w:rsidRPr="00D31C07">
        <w:rPr>
          <w:rFonts w:ascii="Arial" w:hAnsi="Arial" w:cs="Arial"/>
          <w:sz w:val="20"/>
          <w:szCs w:val="20"/>
        </w:rPr>
        <w:t xml:space="preserve">. These abiotic factors significantly impact key life cycle parameters including larval weight, pupal weight, cocoon shell weight, adult emergence rate, mating success, fecundity, hatching percentage, adult longevity, and silk </w:t>
      </w:r>
      <w:proofErr w:type="spellStart"/>
      <w:r w:rsidRPr="00D31C07">
        <w:rPr>
          <w:rFonts w:ascii="Arial" w:hAnsi="Arial" w:cs="Arial"/>
          <w:sz w:val="20"/>
          <w:szCs w:val="20"/>
        </w:rPr>
        <w:t>reelability</w:t>
      </w:r>
      <w:proofErr w:type="spellEnd"/>
      <w:r w:rsidRPr="00D31C07">
        <w:rPr>
          <w:rFonts w:ascii="Arial" w:hAnsi="Arial" w:cs="Arial"/>
          <w:sz w:val="20"/>
          <w:szCs w:val="20"/>
        </w:rPr>
        <w:t xml:space="preserve"> (Yadav </w:t>
      </w:r>
      <w:r w:rsidRPr="00D31C07">
        <w:rPr>
          <w:rFonts w:ascii="Arial" w:hAnsi="Arial" w:cs="Arial"/>
          <w:i/>
          <w:sz w:val="20"/>
          <w:szCs w:val="20"/>
        </w:rPr>
        <w:t>et al.,</w:t>
      </w:r>
      <w:r w:rsidRPr="00D31C07">
        <w:rPr>
          <w:rFonts w:ascii="Arial" w:hAnsi="Arial" w:cs="Arial"/>
          <w:sz w:val="20"/>
          <w:szCs w:val="20"/>
        </w:rPr>
        <w:t xml:space="preserve"> 1992; Nayak </w:t>
      </w:r>
      <w:r w:rsidRPr="00D31C07">
        <w:rPr>
          <w:rFonts w:ascii="Arial" w:hAnsi="Arial" w:cs="Arial"/>
          <w:i/>
          <w:sz w:val="20"/>
          <w:szCs w:val="20"/>
        </w:rPr>
        <w:t>et al.,</w:t>
      </w:r>
      <w:r w:rsidRPr="00D31C07">
        <w:rPr>
          <w:rFonts w:ascii="Arial" w:hAnsi="Arial" w:cs="Arial"/>
          <w:sz w:val="20"/>
          <w:szCs w:val="20"/>
        </w:rPr>
        <w:t xml:space="preserve"> 1993; Zhu </w:t>
      </w:r>
      <w:r w:rsidRPr="00D31C07">
        <w:rPr>
          <w:rFonts w:ascii="Arial" w:hAnsi="Arial" w:cs="Arial"/>
          <w:i/>
          <w:sz w:val="20"/>
          <w:szCs w:val="20"/>
        </w:rPr>
        <w:t>et al.,</w:t>
      </w:r>
      <w:r w:rsidRPr="00D31C07">
        <w:rPr>
          <w:rFonts w:ascii="Arial" w:hAnsi="Arial" w:cs="Arial"/>
          <w:sz w:val="20"/>
          <w:szCs w:val="20"/>
        </w:rPr>
        <w:t xml:space="preserve"> 2000; Chen </w:t>
      </w:r>
      <w:r w:rsidRPr="00D31C07">
        <w:rPr>
          <w:rFonts w:ascii="Arial" w:hAnsi="Arial" w:cs="Arial"/>
          <w:i/>
          <w:sz w:val="20"/>
          <w:szCs w:val="20"/>
        </w:rPr>
        <w:t>et al.,</w:t>
      </w:r>
      <w:r w:rsidRPr="00D31C07">
        <w:rPr>
          <w:rFonts w:ascii="Arial" w:hAnsi="Arial" w:cs="Arial"/>
          <w:sz w:val="20"/>
          <w:szCs w:val="20"/>
        </w:rPr>
        <w:t xml:space="preserve"> 2002; Seema </w:t>
      </w:r>
      <w:r w:rsidRPr="00D31C07">
        <w:rPr>
          <w:rFonts w:ascii="Arial" w:hAnsi="Arial" w:cs="Arial"/>
          <w:i/>
          <w:sz w:val="20"/>
          <w:szCs w:val="20"/>
        </w:rPr>
        <w:t>et al.,</w:t>
      </w:r>
      <w:r w:rsidRPr="00D31C07">
        <w:rPr>
          <w:rFonts w:ascii="Arial" w:hAnsi="Arial" w:cs="Arial"/>
          <w:sz w:val="20"/>
          <w:szCs w:val="20"/>
        </w:rPr>
        <w:t xml:space="preserve"> 2004).</w:t>
      </w:r>
    </w:p>
    <w:p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t xml:space="preserve">Temperature and relative humidity are particularly influential in regulating the reproductive success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It has been established that the optimal thermal and humidity range for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rearing lies between 20–31 °C and 65–95%, respectively (</w:t>
      </w:r>
      <w:proofErr w:type="spellStart"/>
      <w:r w:rsidRPr="00D31C07">
        <w:rPr>
          <w:rFonts w:ascii="Arial" w:hAnsi="Arial" w:cs="Arial"/>
          <w:sz w:val="20"/>
          <w:szCs w:val="20"/>
        </w:rPr>
        <w:t>Tikader</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2013). Cooler and more stable conditions prevailing from October to March are considered favorable for cocoon development and seed productivity, as evidenced by higher cocoon quality and reduced larval mortality (Krishnaswami </w:t>
      </w:r>
      <w:r w:rsidRPr="00D31C07">
        <w:rPr>
          <w:rFonts w:ascii="Arial" w:hAnsi="Arial" w:cs="Arial"/>
          <w:i/>
          <w:sz w:val="20"/>
          <w:szCs w:val="20"/>
        </w:rPr>
        <w:t>et al.,</w:t>
      </w:r>
      <w:r w:rsidRPr="00D31C07">
        <w:rPr>
          <w:rFonts w:ascii="Arial" w:hAnsi="Arial" w:cs="Arial"/>
          <w:sz w:val="20"/>
          <w:szCs w:val="20"/>
        </w:rPr>
        <w:t xml:space="preserve"> 1971).</w:t>
      </w:r>
    </w:p>
    <w:p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t xml:space="preserve">Given that seed production and timely supply remain one of the most critical challenges in 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industry, there is a growing need for systematic and technology-driven approaches to ensure consistency in seed quality. Enhancing hatching percentage and overall seed viability not only boosts cocoon yield and raw silk output but also improves economic returns for </w:t>
      </w:r>
      <w:proofErr w:type="spellStart"/>
      <w:r w:rsidRPr="00D31C07">
        <w:rPr>
          <w:rFonts w:ascii="Arial" w:hAnsi="Arial" w:cs="Arial"/>
          <w:sz w:val="20"/>
          <w:szCs w:val="20"/>
        </w:rPr>
        <w:t>rearers</w:t>
      </w:r>
      <w:proofErr w:type="spellEnd"/>
      <w:r w:rsidRPr="00D31C07">
        <w:rPr>
          <w:rFonts w:ascii="Arial" w:hAnsi="Arial" w:cs="Arial"/>
          <w:sz w:val="20"/>
          <w:szCs w:val="20"/>
        </w:rPr>
        <w:t xml:space="preserve"> and seed producers alike. Mating duration has also been shown to significantly affect fecundity and fertility across several studies, with extended copulation times generally associated with improved reproductive performance (Goswami </w:t>
      </w:r>
      <w:r w:rsidR="009571BA" w:rsidRPr="00D31C07">
        <w:rPr>
          <w:rFonts w:ascii="Arial" w:hAnsi="Arial" w:cs="Arial"/>
          <w:sz w:val="20"/>
          <w:szCs w:val="20"/>
        </w:rPr>
        <w:t>&amp;</w:t>
      </w:r>
      <w:r w:rsidRPr="00D31C07">
        <w:rPr>
          <w:rFonts w:ascii="Arial" w:hAnsi="Arial" w:cs="Arial"/>
          <w:sz w:val="20"/>
          <w:szCs w:val="20"/>
        </w:rPr>
        <w:t xml:space="preserve"> Singh, 2012).</w:t>
      </w:r>
    </w:p>
    <w:p w:rsidR="00D642D2" w:rsidRPr="00D31C07" w:rsidRDefault="00D642D2" w:rsidP="009571BA">
      <w:pPr>
        <w:pStyle w:val="NormalWeb"/>
        <w:jc w:val="both"/>
        <w:rPr>
          <w:rFonts w:ascii="Arial" w:hAnsi="Arial" w:cs="Arial"/>
          <w:sz w:val="20"/>
          <w:szCs w:val="20"/>
        </w:rPr>
      </w:pPr>
      <w:r w:rsidRPr="00D31C07">
        <w:rPr>
          <w:rFonts w:ascii="Arial" w:hAnsi="Arial" w:cs="Arial"/>
          <w:sz w:val="20"/>
          <w:szCs w:val="20"/>
        </w:rPr>
        <w:t xml:space="preserve">Despite significant advances in individual domains such as reproductive anatomy, mating behavior, endocrinology, and ecological adaptation, the reproductive biology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has not yet been reviewed in an integrated and holistic manner. A comprehensive synthesis of these interconnected aspects is essential not only for scientific advancement but also for optimizing practical applications in seed technology,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operations, and conservation-oriented breeding. The present review aims to consolidate the fragmented body of knowledge on the reproductive biology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elucidating the anatomical, physiological, environmental, and operational factors that govern reproductive success, and identifying strategic directions for future research and </w:t>
      </w:r>
      <w:proofErr w:type="spellStart"/>
      <w:r w:rsidRPr="00D31C07">
        <w:rPr>
          <w:rFonts w:ascii="Arial" w:hAnsi="Arial" w:cs="Arial"/>
          <w:sz w:val="20"/>
          <w:szCs w:val="20"/>
        </w:rPr>
        <w:t>sericultural</w:t>
      </w:r>
      <w:proofErr w:type="spellEnd"/>
      <w:r w:rsidRPr="00D31C07">
        <w:rPr>
          <w:rFonts w:ascii="Arial" w:hAnsi="Arial" w:cs="Arial"/>
          <w:sz w:val="20"/>
          <w:szCs w:val="20"/>
        </w:rPr>
        <w:t xml:space="preserve"> innovation.</w:t>
      </w:r>
    </w:p>
    <w:p w:rsidR="00D976B7" w:rsidRPr="00D31C07" w:rsidRDefault="00D31C07" w:rsidP="00D976B7">
      <w:pPr>
        <w:spacing w:before="100" w:beforeAutospacing="1" w:after="100" w:afterAutospacing="1" w:line="240" w:lineRule="auto"/>
        <w:outlineLvl w:val="2"/>
        <w:rPr>
          <w:rFonts w:ascii="Arial" w:eastAsia="Times New Roman" w:hAnsi="Arial" w:cs="Arial"/>
          <w:b/>
          <w:bCs/>
          <w:szCs w:val="20"/>
        </w:rPr>
      </w:pPr>
      <w:r w:rsidRPr="00D31C07">
        <w:rPr>
          <w:rFonts w:ascii="Arial" w:eastAsia="Times New Roman" w:hAnsi="Arial" w:cs="Arial"/>
          <w:b/>
          <w:bCs/>
          <w:szCs w:val="20"/>
        </w:rPr>
        <w:lastRenderedPageBreak/>
        <w:t>2. ANATOMY AND MORPHOLOGY OF REPRODUCTIVE ORGANS</w:t>
      </w:r>
    </w:p>
    <w:p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reproductive anatomy of </w:t>
      </w:r>
      <w:proofErr w:type="spellStart"/>
      <w:r w:rsidRPr="00D31C07">
        <w:rPr>
          <w:rFonts w:ascii="Arial" w:eastAsia="Times New Roman" w:hAnsi="Arial" w:cs="Arial"/>
          <w:i/>
          <w:iCs/>
          <w:sz w:val="20"/>
          <w:szCs w:val="20"/>
        </w:rPr>
        <w:t>Antheraea</w:t>
      </w:r>
      <w:proofErr w:type="spellEnd"/>
      <w:r w:rsidRPr="00D31C07">
        <w:rPr>
          <w:rFonts w:ascii="Arial" w:eastAsia="Times New Roman" w:hAnsi="Arial" w:cs="Arial"/>
          <w:i/>
          <w:iCs/>
          <w:sz w:val="20"/>
          <w:szCs w:val="20"/>
        </w:rPr>
        <w:t xml:space="preserve">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plays a fundamental role in shaping its reproductive performance, directly impacting seed productivity and the economic viability of </w:t>
      </w:r>
      <w:proofErr w:type="spellStart"/>
      <w:r w:rsidRPr="00D31C07">
        <w:rPr>
          <w:rFonts w:ascii="Arial" w:eastAsia="Times New Roman" w:hAnsi="Arial" w:cs="Arial"/>
          <w:sz w:val="20"/>
          <w:szCs w:val="20"/>
        </w:rPr>
        <w:t>muga</w:t>
      </w:r>
      <w:proofErr w:type="spellEnd"/>
      <w:r w:rsidRPr="00D31C07">
        <w:rPr>
          <w:rFonts w:ascii="Arial" w:eastAsia="Times New Roman" w:hAnsi="Arial" w:cs="Arial"/>
          <w:sz w:val="20"/>
          <w:szCs w:val="20"/>
        </w:rPr>
        <w:t xml:space="preserve"> sericulture. Despite the commercial importance of this species, detailed anatomical investigations into its reproductive system remain limited. While earlier studies have examined certain aspects of reproductive biology (</w:t>
      </w:r>
      <w:proofErr w:type="spellStart"/>
      <w:r w:rsidR="00BC2561" w:rsidRPr="00D31C07">
        <w:rPr>
          <w:rFonts w:ascii="Arial" w:hAnsi="Arial" w:cs="Arial"/>
          <w:color w:val="222222"/>
          <w:sz w:val="20"/>
          <w:szCs w:val="20"/>
          <w:shd w:val="clear" w:color="auto" w:fill="FFFFFF"/>
        </w:rPr>
        <w:t>Ghonmode</w:t>
      </w:r>
      <w:proofErr w:type="spellEnd"/>
      <w:r w:rsidR="00BC2561" w:rsidRPr="00D31C07">
        <w:rPr>
          <w:rFonts w:ascii="Arial" w:eastAsia="Times New Roman" w:hAnsi="Arial" w:cs="Arial"/>
          <w:sz w:val="20"/>
          <w:szCs w:val="20"/>
        </w:rPr>
        <w:t xml:space="preserve"> 2024</w:t>
      </w:r>
      <w:r w:rsidRPr="00D31C07">
        <w:rPr>
          <w:rFonts w:ascii="Arial" w:eastAsia="Times New Roman" w:hAnsi="Arial" w:cs="Arial"/>
          <w:sz w:val="20"/>
          <w:szCs w:val="20"/>
        </w:rPr>
        <w:t xml:space="preserve">; </w:t>
      </w:r>
      <w:proofErr w:type="spellStart"/>
      <w:r w:rsidR="00BC2561" w:rsidRPr="00D31C07">
        <w:rPr>
          <w:rFonts w:ascii="Arial" w:eastAsia="Times New Roman" w:hAnsi="Arial" w:cs="Arial"/>
          <w:sz w:val="20"/>
          <w:szCs w:val="20"/>
        </w:rPr>
        <w:t>Barah</w:t>
      </w:r>
      <w:proofErr w:type="spellEnd"/>
      <w:r w:rsidR="00BC2561" w:rsidRPr="00D31C07">
        <w:rPr>
          <w:rFonts w:ascii="Arial" w:eastAsia="Times New Roman" w:hAnsi="Arial" w:cs="Arial"/>
          <w:sz w:val="20"/>
          <w:szCs w:val="20"/>
        </w:rPr>
        <w:t xml:space="preserve"> et al., 1991; Biswas et al., 2018; </w:t>
      </w:r>
      <w:proofErr w:type="spellStart"/>
      <w:r w:rsidRPr="00D31C07">
        <w:rPr>
          <w:rFonts w:ascii="Arial" w:eastAsia="Times New Roman" w:hAnsi="Arial" w:cs="Arial"/>
          <w:sz w:val="20"/>
          <w:szCs w:val="20"/>
        </w:rPr>
        <w:t>Thangavelu</w:t>
      </w:r>
      <w:proofErr w:type="spellEnd"/>
      <w:r w:rsidRPr="00D31C07">
        <w:rPr>
          <w:rFonts w:ascii="Arial" w:eastAsia="Times New Roman" w:hAnsi="Arial" w:cs="Arial"/>
          <w:sz w:val="20"/>
          <w:szCs w:val="20"/>
        </w:rPr>
        <w:t xml:space="preserve">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1988; </w:t>
      </w:r>
      <w:proofErr w:type="spellStart"/>
      <w:r w:rsidRPr="00D31C07">
        <w:rPr>
          <w:rFonts w:ascii="Arial" w:eastAsia="Times New Roman" w:hAnsi="Arial" w:cs="Arial"/>
          <w:sz w:val="20"/>
          <w:szCs w:val="20"/>
        </w:rPr>
        <w:t>Sahu</w:t>
      </w:r>
      <w:proofErr w:type="spellEnd"/>
      <w:r w:rsidRPr="00D31C07">
        <w:rPr>
          <w:rFonts w:ascii="Arial" w:eastAsia="Times New Roman" w:hAnsi="Arial" w:cs="Arial"/>
          <w:sz w:val="20"/>
          <w:szCs w:val="20"/>
        </w:rPr>
        <w:t xml:space="preserve"> </w:t>
      </w:r>
      <w:r w:rsidRPr="00D31C07">
        <w:rPr>
          <w:rFonts w:ascii="Arial" w:eastAsia="Times New Roman" w:hAnsi="Arial" w:cs="Arial"/>
          <w:i/>
          <w:sz w:val="20"/>
          <w:szCs w:val="20"/>
        </w:rPr>
        <w:t>et al.,</w:t>
      </w:r>
      <w:r w:rsidR="00BC2561" w:rsidRPr="00D31C07">
        <w:rPr>
          <w:rFonts w:ascii="Arial" w:eastAsia="Times New Roman" w:hAnsi="Arial" w:cs="Arial"/>
          <w:sz w:val="20"/>
          <w:szCs w:val="20"/>
        </w:rPr>
        <w:t xml:space="preserve"> 1999</w:t>
      </w:r>
      <w:r w:rsidRPr="00D31C07">
        <w:rPr>
          <w:rFonts w:ascii="Arial" w:eastAsia="Times New Roman" w:hAnsi="Arial" w:cs="Arial"/>
          <w:sz w:val="20"/>
          <w:szCs w:val="20"/>
        </w:rPr>
        <w:t xml:space="preserve">), a comprehensive morphological characterization had been lacking until the recent work of </w:t>
      </w:r>
      <w:r w:rsidRPr="00D31C07">
        <w:rPr>
          <w:rFonts w:ascii="Arial" w:eastAsia="Times New Roman" w:hAnsi="Arial" w:cs="Arial"/>
          <w:bCs/>
          <w:sz w:val="20"/>
          <w:szCs w:val="20"/>
        </w:rPr>
        <w:t xml:space="preserve">Biswas </w:t>
      </w:r>
      <w:r w:rsidRPr="00D31C07">
        <w:rPr>
          <w:rFonts w:ascii="Arial" w:eastAsia="Times New Roman" w:hAnsi="Arial" w:cs="Arial"/>
          <w:bCs/>
          <w:i/>
          <w:sz w:val="20"/>
          <w:szCs w:val="20"/>
        </w:rPr>
        <w:t>et al.</w:t>
      </w:r>
      <w:r w:rsidRPr="00D31C07">
        <w:rPr>
          <w:rFonts w:ascii="Arial" w:eastAsia="Times New Roman" w:hAnsi="Arial" w:cs="Arial"/>
          <w:bCs/>
          <w:sz w:val="20"/>
          <w:szCs w:val="20"/>
        </w:rPr>
        <w:t xml:space="preserve"> (2024)</w:t>
      </w:r>
      <w:r w:rsidRPr="00D31C07">
        <w:rPr>
          <w:rFonts w:ascii="Arial" w:eastAsia="Times New Roman" w:hAnsi="Arial" w:cs="Arial"/>
          <w:sz w:val="20"/>
          <w:szCs w:val="20"/>
        </w:rPr>
        <w:t>.</w:t>
      </w:r>
    </w:p>
    <w:p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Building on preliminary work by </w:t>
      </w:r>
      <w:proofErr w:type="spellStart"/>
      <w:r w:rsidRPr="00D31C07">
        <w:rPr>
          <w:rFonts w:ascii="Arial" w:eastAsia="Times New Roman" w:hAnsi="Arial" w:cs="Arial"/>
          <w:sz w:val="20"/>
          <w:szCs w:val="20"/>
        </w:rPr>
        <w:t>Sahu</w:t>
      </w:r>
      <w:proofErr w:type="spellEnd"/>
      <w:r w:rsidRPr="00D31C07">
        <w:rPr>
          <w:rFonts w:ascii="Arial" w:eastAsia="Times New Roman" w:hAnsi="Arial" w:cs="Arial"/>
          <w:sz w:val="20"/>
          <w:szCs w:val="20"/>
        </w:rPr>
        <w:t xml:space="preserve"> </w:t>
      </w:r>
      <w:r w:rsidRPr="00D31C07">
        <w:rPr>
          <w:rFonts w:ascii="Arial" w:eastAsia="Times New Roman" w:hAnsi="Arial" w:cs="Arial"/>
          <w:i/>
          <w:sz w:val="20"/>
          <w:szCs w:val="20"/>
        </w:rPr>
        <w:t>et al.</w:t>
      </w:r>
      <w:r w:rsidR="00BC2561" w:rsidRPr="00D31C07">
        <w:rPr>
          <w:rFonts w:ascii="Arial" w:eastAsia="Times New Roman" w:hAnsi="Arial" w:cs="Arial"/>
          <w:sz w:val="20"/>
          <w:szCs w:val="20"/>
        </w:rPr>
        <w:t xml:space="preserve"> (1999</w:t>
      </w:r>
      <w:r w:rsidRPr="00D31C07">
        <w:rPr>
          <w:rFonts w:ascii="Arial" w:eastAsia="Times New Roman" w:hAnsi="Arial" w:cs="Arial"/>
          <w:sz w:val="20"/>
          <w:szCs w:val="20"/>
        </w:rPr>
        <w:t xml:space="preserve">), who described the ontogeny of reproductive organs during developmental stages, </w:t>
      </w:r>
      <w:r w:rsidRPr="00D31C07">
        <w:rPr>
          <w:rFonts w:ascii="Arial" w:eastAsia="Times New Roman" w:hAnsi="Arial" w:cs="Arial"/>
          <w:bCs/>
          <w:sz w:val="20"/>
          <w:szCs w:val="20"/>
        </w:rPr>
        <w:t xml:space="preserve">Biswas </w:t>
      </w:r>
      <w:r w:rsidRPr="00D31C07">
        <w:rPr>
          <w:rFonts w:ascii="Arial" w:eastAsia="Times New Roman" w:hAnsi="Arial" w:cs="Arial"/>
          <w:bCs/>
          <w:i/>
          <w:sz w:val="20"/>
          <w:szCs w:val="20"/>
        </w:rPr>
        <w:t>et al.</w:t>
      </w:r>
      <w:r w:rsidRPr="00D31C07">
        <w:rPr>
          <w:rFonts w:ascii="Arial" w:eastAsia="Times New Roman" w:hAnsi="Arial" w:cs="Arial"/>
          <w:bCs/>
          <w:sz w:val="20"/>
          <w:szCs w:val="20"/>
        </w:rPr>
        <w:t xml:space="preserve"> (2024) </w:t>
      </w:r>
      <w:r w:rsidRPr="00D31C07">
        <w:rPr>
          <w:rFonts w:ascii="Arial" w:eastAsia="Times New Roman" w:hAnsi="Arial" w:cs="Arial"/>
          <w:sz w:val="20"/>
          <w:szCs w:val="20"/>
        </w:rPr>
        <w:t xml:space="preserve">provided the first detailed anatomical account of both male and female reproductive systems of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along with season-dependent observations on sperm dimorphism and functionality. Their study marks a significant advancement in understanding the structural basis of reproductive physiology in this species, drawing comparative insights from closely related lepidopterans such as </w:t>
      </w:r>
      <w:r w:rsidRPr="00D31C07">
        <w:rPr>
          <w:rFonts w:ascii="Arial" w:eastAsia="Times New Roman" w:hAnsi="Arial" w:cs="Arial"/>
          <w:i/>
          <w:iCs/>
          <w:sz w:val="20"/>
          <w:szCs w:val="20"/>
        </w:rPr>
        <w:t>Bombyx mori</w:t>
      </w:r>
      <w:r w:rsidRPr="00D31C07">
        <w:rPr>
          <w:rFonts w:ascii="Arial" w:eastAsia="Times New Roman" w:hAnsi="Arial" w:cs="Arial"/>
          <w:sz w:val="20"/>
          <w:szCs w:val="20"/>
        </w:rPr>
        <w:t xml:space="preserve">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xml:space="preserve">, 1936, 1938a, 1938b) and </w:t>
      </w:r>
      <w:proofErr w:type="spellStart"/>
      <w:r w:rsidRPr="00D31C07">
        <w:rPr>
          <w:rFonts w:ascii="Arial" w:eastAsia="Times New Roman" w:hAnsi="Arial" w:cs="Arial"/>
          <w:i/>
          <w:iCs/>
          <w:sz w:val="20"/>
          <w:szCs w:val="20"/>
        </w:rPr>
        <w:t>Antheraea</w:t>
      </w:r>
      <w:proofErr w:type="spellEnd"/>
      <w:r w:rsidRPr="00D31C07">
        <w:rPr>
          <w:rFonts w:ascii="Arial" w:eastAsia="Times New Roman" w:hAnsi="Arial" w:cs="Arial"/>
          <w:i/>
          <w:iCs/>
          <w:sz w:val="20"/>
          <w:szCs w:val="20"/>
        </w:rPr>
        <w:t xml:space="preserve"> </w:t>
      </w:r>
      <w:proofErr w:type="spellStart"/>
      <w:r w:rsidRPr="00D31C07">
        <w:rPr>
          <w:rFonts w:ascii="Arial" w:eastAsia="Times New Roman" w:hAnsi="Arial" w:cs="Arial"/>
          <w:i/>
          <w:iCs/>
          <w:sz w:val="20"/>
          <w:szCs w:val="20"/>
        </w:rPr>
        <w:t>mylitta</w:t>
      </w:r>
      <w:proofErr w:type="spellEnd"/>
      <w:r w:rsidRPr="00D31C07">
        <w:rPr>
          <w:rFonts w:ascii="Arial" w:eastAsia="Times New Roman" w:hAnsi="Arial" w:cs="Arial"/>
          <w:sz w:val="20"/>
          <w:szCs w:val="20"/>
        </w:rPr>
        <w:t xml:space="preserve"> (</w:t>
      </w:r>
      <w:proofErr w:type="spellStart"/>
      <w:r w:rsidR="00BC2561" w:rsidRPr="00D31C07">
        <w:rPr>
          <w:rFonts w:ascii="Arial" w:hAnsi="Arial" w:cs="Arial"/>
          <w:color w:val="222222"/>
          <w:sz w:val="20"/>
          <w:szCs w:val="20"/>
          <w:shd w:val="clear" w:color="auto" w:fill="FFFFFF"/>
        </w:rPr>
        <w:t>Ghonmode</w:t>
      </w:r>
      <w:proofErr w:type="spellEnd"/>
      <w:r w:rsidR="00BC2561" w:rsidRPr="00D31C07">
        <w:rPr>
          <w:rFonts w:ascii="Arial" w:eastAsia="Times New Roman" w:hAnsi="Arial" w:cs="Arial"/>
          <w:sz w:val="20"/>
          <w:szCs w:val="20"/>
        </w:rPr>
        <w:t xml:space="preserve"> 2024</w:t>
      </w:r>
      <w:r w:rsidRPr="00D31C07">
        <w:rPr>
          <w:rFonts w:ascii="Arial" w:eastAsia="Times New Roman" w:hAnsi="Arial" w:cs="Arial"/>
          <w:sz w:val="20"/>
          <w:szCs w:val="20"/>
        </w:rPr>
        <w:t xml:space="preserve">; Dubey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1992).</w:t>
      </w:r>
    </w:p>
    <w:p w:rsidR="00D976B7" w:rsidRPr="00D31C07" w:rsidRDefault="00D976B7" w:rsidP="00D31C07">
      <w:pPr>
        <w:spacing w:before="100" w:beforeAutospacing="1" w:after="100" w:afterAutospacing="1" w:line="240" w:lineRule="auto"/>
        <w:outlineLvl w:val="3"/>
        <w:rPr>
          <w:rFonts w:ascii="Arial" w:eastAsia="Times New Roman" w:hAnsi="Arial" w:cs="Arial"/>
          <w:b/>
          <w:bCs/>
        </w:rPr>
      </w:pPr>
      <w:r w:rsidRPr="00D31C07">
        <w:rPr>
          <w:rFonts w:ascii="Arial" w:eastAsia="Times New Roman" w:hAnsi="Arial" w:cs="Arial"/>
          <w:b/>
          <w:bCs/>
        </w:rPr>
        <w:t>2.1 Male Reproductive System</w:t>
      </w:r>
    </w:p>
    <w:p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According to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the male reproductive system of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comprises paired testes, vasa </w:t>
      </w:r>
      <w:proofErr w:type="spellStart"/>
      <w:r w:rsidRPr="00D31C07">
        <w:rPr>
          <w:rFonts w:ascii="Arial" w:eastAsia="Times New Roman" w:hAnsi="Arial" w:cs="Arial"/>
          <w:sz w:val="20"/>
          <w:szCs w:val="20"/>
        </w:rPr>
        <w:t>deferentia</w:t>
      </w:r>
      <w:proofErr w:type="spellEnd"/>
      <w:r w:rsidRPr="00D31C07">
        <w:rPr>
          <w:rFonts w:ascii="Arial" w:eastAsia="Times New Roman" w:hAnsi="Arial" w:cs="Arial"/>
          <w:sz w:val="20"/>
          <w:szCs w:val="20"/>
        </w:rPr>
        <w:t xml:space="preserve">, ductus </w:t>
      </w:r>
      <w:proofErr w:type="spellStart"/>
      <w:r w:rsidRPr="00D31C07">
        <w:rPr>
          <w:rFonts w:ascii="Arial" w:eastAsia="Times New Roman" w:hAnsi="Arial" w:cs="Arial"/>
          <w:sz w:val="20"/>
          <w:szCs w:val="20"/>
        </w:rPr>
        <w:t>ejaculatorius</w:t>
      </w:r>
      <w:proofErr w:type="spellEnd"/>
      <w:r w:rsidRPr="00D31C07">
        <w:rPr>
          <w:rFonts w:ascii="Arial" w:eastAsia="Times New Roman" w:hAnsi="Arial" w:cs="Arial"/>
          <w:sz w:val="20"/>
          <w:szCs w:val="20"/>
        </w:rPr>
        <w:t xml:space="preserve"> duplex and simplex, aedeagus, and paired accessory glands</w:t>
      </w:r>
      <w:r w:rsidR="00D31C07">
        <w:rPr>
          <w:rFonts w:ascii="Arial" w:eastAsia="Times New Roman" w:hAnsi="Arial" w:cs="Arial"/>
          <w:sz w:val="20"/>
          <w:szCs w:val="20"/>
        </w:rPr>
        <w:t xml:space="preserve"> (Fig. 3</w:t>
      </w:r>
      <w:r w:rsidR="003E1708" w:rsidRPr="00D31C07">
        <w:rPr>
          <w:rFonts w:ascii="Arial" w:eastAsia="Times New Roman" w:hAnsi="Arial" w:cs="Arial"/>
          <w:sz w:val="20"/>
          <w:szCs w:val="20"/>
        </w:rPr>
        <w:t>)</w:t>
      </w:r>
      <w:r w:rsidRPr="00D31C07">
        <w:rPr>
          <w:rFonts w:ascii="Arial" w:eastAsia="Times New Roman" w:hAnsi="Arial" w:cs="Arial"/>
          <w:sz w:val="20"/>
          <w:szCs w:val="20"/>
        </w:rPr>
        <w:t xml:space="preserve">. The testes, positioned dorsally on either side of the fifth abdominal segment, appear yellow in newly emerged moths due to the surrounding fat body. Each testis contains four lobes with centrally arranged cysts, within which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(nucleated) and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w:t>
      </w:r>
      <w:proofErr w:type="spellStart"/>
      <w:r w:rsidRPr="00D31C07">
        <w:rPr>
          <w:rFonts w:ascii="Arial" w:eastAsia="Times New Roman" w:hAnsi="Arial" w:cs="Arial"/>
          <w:sz w:val="20"/>
          <w:szCs w:val="20"/>
        </w:rPr>
        <w:t>anucleated</w:t>
      </w:r>
      <w:proofErr w:type="spellEnd"/>
      <w:r w:rsidRPr="00D31C07">
        <w:rPr>
          <w:rFonts w:ascii="Arial" w:eastAsia="Times New Roman" w:hAnsi="Arial" w:cs="Arial"/>
          <w:sz w:val="20"/>
          <w:szCs w:val="20"/>
        </w:rPr>
        <w:t xml:space="preserve">) sperms are formed in separate bundles, consistent with observations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1936).</w:t>
      </w:r>
    </w:p>
    <w:p w:rsidR="00C05120"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vas deferens extends ventrally from each testis, with notable variability in diameter wider proximally, expanded in the middle (seminal vesicle), and tapering distally. The ductus </w:t>
      </w:r>
      <w:proofErr w:type="spellStart"/>
      <w:r w:rsidRPr="00D31C07">
        <w:rPr>
          <w:rFonts w:ascii="Arial" w:eastAsia="Times New Roman" w:hAnsi="Arial" w:cs="Arial"/>
          <w:sz w:val="20"/>
          <w:szCs w:val="20"/>
        </w:rPr>
        <w:t>ejaculatorius</w:t>
      </w:r>
      <w:proofErr w:type="spellEnd"/>
      <w:r w:rsidRPr="00D31C07">
        <w:rPr>
          <w:rFonts w:ascii="Arial" w:eastAsia="Times New Roman" w:hAnsi="Arial" w:cs="Arial"/>
          <w:sz w:val="20"/>
          <w:szCs w:val="20"/>
        </w:rPr>
        <w:t xml:space="preserve"> duplex, a paired organ, shows a characteristic bend at the midpoint and acts as a sperm reservoir, ultimately merging into the ductus </w:t>
      </w:r>
      <w:proofErr w:type="spellStart"/>
      <w:r w:rsidRPr="00D31C07">
        <w:rPr>
          <w:rFonts w:ascii="Arial" w:eastAsia="Times New Roman" w:hAnsi="Arial" w:cs="Arial"/>
          <w:sz w:val="20"/>
          <w:szCs w:val="20"/>
        </w:rPr>
        <w:t>ejaculatorius</w:t>
      </w:r>
      <w:proofErr w:type="spellEnd"/>
      <w:r w:rsidRPr="00D31C07">
        <w:rPr>
          <w:rFonts w:ascii="Arial" w:eastAsia="Times New Roman" w:hAnsi="Arial" w:cs="Arial"/>
          <w:sz w:val="20"/>
          <w:szCs w:val="20"/>
        </w:rPr>
        <w:t xml:space="preserve"> simplex, which delivers semen through the sclerotized aedeagus into the female bursa copulatrix. The accessory glands are coiled tubular structures, partly translucent and partly opaque, located over the duplex and contributing to the seminal fluid. The structural dimensions of these organs were reported to vary across seasons and individuals, likely correlating with reproductive capacity.</w:t>
      </w:r>
    </w:p>
    <w:p w:rsidR="00D976B7" w:rsidRPr="00D31C07" w:rsidRDefault="00D976B7" w:rsidP="00D31C07">
      <w:pPr>
        <w:spacing w:before="100" w:beforeAutospacing="1" w:after="100" w:afterAutospacing="1" w:line="240" w:lineRule="auto"/>
        <w:outlineLvl w:val="3"/>
        <w:rPr>
          <w:rFonts w:ascii="Arial" w:eastAsia="Times New Roman" w:hAnsi="Arial" w:cs="Arial"/>
          <w:b/>
          <w:bCs/>
        </w:rPr>
      </w:pPr>
      <w:r w:rsidRPr="00D31C07">
        <w:rPr>
          <w:rFonts w:ascii="Arial" w:eastAsia="Times New Roman" w:hAnsi="Arial" w:cs="Arial"/>
          <w:b/>
          <w:bCs/>
        </w:rPr>
        <w:t>2.2 Female Reproductive System</w:t>
      </w:r>
    </w:p>
    <w:p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female reproductive tract, as described by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consists of paired ovaries with four polytrophic </w:t>
      </w:r>
      <w:proofErr w:type="spellStart"/>
      <w:r w:rsidRPr="00D31C07">
        <w:rPr>
          <w:rFonts w:ascii="Arial" w:eastAsia="Times New Roman" w:hAnsi="Arial" w:cs="Arial"/>
          <w:sz w:val="20"/>
          <w:szCs w:val="20"/>
        </w:rPr>
        <w:t>meroistic</w:t>
      </w:r>
      <w:proofErr w:type="spellEnd"/>
      <w:r w:rsidRPr="00D31C07">
        <w:rPr>
          <w:rFonts w:ascii="Arial" w:eastAsia="Times New Roman" w:hAnsi="Arial" w:cs="Arial"/>
          <w:sz w:val="20"/>
          <w:szCs w:val="20"/>
        </w:rPr>
        <w:t xml:space="preserve"> ovarioles each, lateral and common oviducts, a bursa copulatrix, spermatheca, and dorsal colleterial glands</w:t>
      </w:r>
      <w:r w:rsidR="00D31C07">
        <w:rPr>
          <w:rFonts w:ascii="Arial" w:eastAsia="Times New Roman" w:hAnsi="Arial" w:cs="Arial"/>
          <w:sz w:val="20"/>
          <w:szCs w:val="20"/>
        </w:rPr>
        <w:t xml:space="preserve"> (Fig.3</w:t>
      </w:r>
      <w:r w:rsidR="003E1708" w:rsidRPr="00D31C07">
        <w:rPr>
          <w:rFonts w:ascii="Arial" w:eastAsia="Times New Roman" w:hAnsi="Arial" w:cs="Arial"/>
          <w:sz w:val="20"/>
          <w:szCs w:val="20"/>
        </w:rPr>
        <w:t>)</w:t>
      </w:r>
      <w:r w:rsidRPr="00D31C07">
        <w:rPr>
          <w:rFonts w:ascii="Arial" w:eastAsia="Times New Roman" w:hAnsi="Arial" w:cs="Arial"/>
          <w:sz w:val="20"/>
          <w:szCs w:val="20"/>
        </w:rPr>
        <w:t>. The tightly coiled ovarioles are bound by tracheae, allowing compact placement within the abdominal cavity. Each ovariole exhibits size variation along its length and contains immature previtellogenic oocytes at the distal end.</w:t>
      </w:r>
    </w:p>
    <w:p w:rsidR="00C05120"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lateral oviducts fuse into a thick-walled common oviduct, which ends in a dorsal evagination (vestibulum), followed by the vagina. The bursa copulatrix is a dilated sac that receives the male spermatophore during copulation via the ductus bursae, which opens externally at the ostium bursae. The seminal duct and spermathecal duct both open into the vestibulum, which serves as the fertilization site. The spermatheca in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is bilobed, as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1938a), while the associated Y-shaped spermathecal gland shows only minor inter-individual variation. The colleterial glands secrete adhesive substances that facilitate egg attachment to the substrate during oviposition</w:t>
      </w:r>
      <w:r w:rsidR="003E1708" w:rsidRPr="00D31C07">
        <w:rPr>
          <w:rFonts w:ascii="Arial" w:eastAsia="Times New Roman" w:hAnsi="Arial" w:cs="Arial"/>
          <w:sz w:val="20"/>
          <w:szCs w:val="20"/>
        </w:rPr>
        <w:t xml:space="preserve"> (Table 1)</w:t>
      </w:r>
      <w:r w:rsidRPr="00D31C07">
        <w:rPr>
          <w:rFonts w:ascii="Arial" w:eastAsia="Times New Roman" w:hAnsi="Arial" w:cs="Arial"/>
          <w:sz w:val="20"/>
          <w:szCs w:val="20"/>
        </w:rPr>
        <w:t>.</w:t>
      </w:r>
    </w:p>
    <w:p w:rsidR="005D3EF3" w:rsidRPr="004E49E6" w:rsidRDefault="005D3EF3" w:rsidP="00D976B7">
      <w:pPr>
        <w:spacing w:before="100" w:beforeAutospacing="1" w:after="100" w:afterAutospacing="1" w:line="240" w:lineRule="auto"/>
        <w:jc w:val="both"/>
        <w:rPr>
          <w:rFonts w:ascii="Times New Roman" w:eastAsia="Times New Roman" w:hAnsi="Times New Roman" w:cs="Times New Roman"/>
          <w:noProof/>
          <w:sz w:val="24"/>
          <w:szCs w:val="24"/>
        </w:rPr>
      </w:pPr>
      <w:r w:rsidRPr="004E49E6">
        <w:rPr>
          <w:rFonts w:ascii="Times New Roman" w:eastAsia="Times New Roman" w:hAnsi="Times New Roman" w:cs="Times New Roman"/>
          <w:noProof/>
          <w:sz w:val="24"/>
          <w:szCs w:val="24"/>
        </w:rPr>
        <w:lastRenderedPageBreak/>
        <w:drawing>
          <wp:inline distT="0" distB="0" distL="0" distR="0">
            <wp:extent cx="3067050" cy="2691167"/>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3067050" cy="2691167"/>
                    </a:xfrm>
                    <a:prstGeom prst="rect">
                      <a:avLst/>
                    </a:prstGeom>
                    <a:noFill/>
                    <a:ln w="9525">
                      <a:noFill/>
                      <a:miter lim="800000"/>
                      <a:headEnd/>
                      <a:tailEnd/>
                    </a:ln>
                  </pic:spPr>
                </pic:pic>
              </a:graphicData>
            </a:graphic>
          </wp:inline>
        </w:drawing>
      </w:r>
    </w:p>
    <w:p w:rsidR="005D3EF3" w:rsidRPr="00D31C07" w:rsidRDefault="00D31C07" w:rsidP="00D976B7">
      <w:pPr>
        <w:spacing w:before="100" w:beforeAutospacing="1" w:after="100" w:afterAutospacing="1" w:line="240" w:lineRule="auto"/>
        <w:jc w:val="both"/>
        <w:rPr>
          <w:rFonts w:ascii="Arial" w:hAnsi="Arial" w:cs="Arial"/>
          <w:b/>
          <w:sz w:val="20"/>
          <w:szCs w:val="20"/>
        </w:rPr>
      </w:pPr>
      <w:r w:rsidRPr="00D31C07">
        <w:rPr>
          <w:rFonts w:ascii="Arial" w:eastAsia="Times New Roman" w:hAnsi="Arial" w:cs="Arial"/>
          <w:b/>
          <w:noProof/>
          <w:sz w:val="20"/>
          <w:szCs w:val="20"/>
        </w:rPr>
        <w:t>Fig. 3</w:t>
      </w:r>
      <w:r w:rsidR="005D3EF3" w:rsidRPr="00D31C07">
        <w:rPr>
          <w:rFonts w:ascii="Arial" w:eastAsia="Times New Roman" w:hAnsi="Arial" w:cs="Arial"/>
          <w:b/>
          <w:noProof/>
          <w:sz w:val="20"/>
          <w:szCs w:val="20"/>
        </w:rPr>
        <w:t>. Reproductive systems of</w:t>
      </w:r>
      <w:r w:rsidR="005D3EF3" w:rsidRPr="00D31C07">
        <w:rPr>
          <w:rFonts w:ascii="Arial" w:hAnsi="Arial" w:cs="Arial"/>
          <w:b/>
          <w:i/>
          <w:sz w:val="20"/>
          <w:szCs w:val="20"/>
        </w:rPr>
        <w:t xml:space="preserve">A. </w:t>
      </w:r>
      <w:proofErr w:type="spellStart"/>
      <w:r w:rsidR="005D3EF3" w:rsidRPr="00D31C07">
        <w:rPr>
          <w:rFonts w:ascii="Arial" w:hAnsi="Arial" w:cs="Arial"/>
          <w:b/>
          <w:i/>
          <w:sz w:val="20"/>
          <w:szCs w:val="20"/>
        </w:rPr>
        <w:t>assamensis</w:t>
      </w:r>
      <w:proofErr w:type="spellEnd"/>
      <w:r w:rsidR="005D3EF3" w:rsidRPr="00D31C07">
        <w:rPr>
          <w:rFonts w:ascii="Arial" w:hAnsi="Arial" w:cs="Arial"/>
          <w:b/>
          <w:sz w:val="20"/>
          <w:szCs w:val="20"/>
        </w:rPr>
        <w:t xml:space="preserve">. (A) Parts of the male reproductive system of A. </w:t>
      </w:r>
      <w:proofErr w:type="spellStart"/>
      <w:r w:rsidR="005D3EF3" w:rsidRPr="00D31C07">
        <w:rPr>
          <w:rFonts w:ascii="Arial" w:hAnsi="Arial" w:cs="Arial"/>
          <w:b/>
          <w:i/>
          <w:sz w:val="20"/>
          <w:szCs w:val="20"/>
        </w:rPr>
        <w:t>assamensis</w:t>
      </w:r>
      <w:proofErr w:type="spellEnd"/>
      <w:r w:rsidR="005D3EF3" w:rsidRPr="00D31C07">
        <w:rPr>
          <w:rFonts w:ascii="Arial" w:hAnsi="Arial" w:cs="Arial"/>
          <w:b/>
          <w:sz w:val="20"/>
          <w:szCs w:val="20"/>
        </w:rPr>
        <w:t xml:space="preserve">. (B) Female reproductive system of </w:t>
      </w:r>
      <w:proofErr w:type="spellStart"/>
      <w:r w:rsidR="005D3EF3" w:rsidRPr="00D31C07">
        <w:rPr>
          <w:rFonts w:ascii="Arial" w:hAnsi="Arial" w:cs="Arial"/>
          <w:b/>
          <w:sz w:val="20"/>
          <w:szCs w:val="20"/>
        </w:rPr>
        <w:t>Muga</w:t>
      </w:r>
      <w:proofErr w:type="spellEnd"/>
      <w:r w:rsidR="005D3EF3" w:rsidRPr="00D31C07">
        <w:rPr>
          <w:rFonts w:ascii="Arial" w:hAnsi="Arial" w:cs="Arial"/>
          <w:b/>
          <w:sz w:val="20"/>
          <w:szCs w:val="20"/>
        </w:rPr>
        <w:t xml:space="preserve"> </w:t>
      </w:r>
      <w:proofErr w:type="spellStart"/>
      <w:r w:rsidR="005D3EF3" w:rsidRPr="00D31C07">
        <w:rPr>
          <w:rFonts w:ascii="Arial" w:hAnsi="Arial" w:cs="Arial"/>
          <w:b/>
          <w:sz w:val="20"/>
          <w:szCs w:val="20"/>
        </w:rPr>
        <w:t>silkmoth</w:t>
      </w:r>
      <w:proofErr w:type="spellEnd"/>
      <w:r w:rsidR="005D3EF3" w:rsidRPr="00D31C07">
        <w:rPr>
          <w:rFonts w:ascii="Arial" w:hAnsi="Arial" w:cs="Arial"/>
          <w:b/>
          <w:sz w:val="20"/>
          <w:szCs w:val="20"/>
        </w:rPr>
        <w:t xml:space="preserve"> </w:t>
      </w:r>
      <w:r w:rsidR="005D3EF3" w:rsidRPr="00D31C07">
        <w:rPr>
          <w:rFonts w:ascii="Arial" w:hAnsi="Arial" w:cs="Arial"/>
          <w:b/>
          <w:i/>
          <w:sz w:val="20"/>
          <w:szCs w:val="20"/>
        </w:rPr>
        <w:t xml:space="preserve">A. </w:t>
      </w:r>
      <w:proofErr w:type="spellStart"/>
      <w:r w:rsidR="005D3EF3" w:rsidRPr="00D31C07">
        <w:rPr>
          <w:rFonts w:ascii="Arial" w:hAnsi="Arial" w:cs="Arial"/>
          <w:b/>
          <w:i/>
          <w:sz w:val="20"/>
          <w:szCs w:val="20"/>
        </w:rPr>
        <w:t>assamensis</w:t>
      </w:r>
      <w:proofErr w:type="spellEnd"/>
      <w:r w:rsidR="005D3EF3" w:rsidRPr="00D31C07">
        <w:rPr>
          <w:rFonts w:ascii="Arial" w:hAnsi="Arial" w:cs="Arial"/>
          <w:b/>
          <w:i/>
          <w:sz w:val="20"/>
          <w:szCs w:val="20"/>
        </w:rPr>
        <w:t xml:space="preserve">. </w:t>
      </w:r>
      <w:r w:rsidR="005D3EF3" w:rsidRPr="00D31C07">
        <w:rPr>
          <w:rFonts w:ascii="Arial" w:hAnsi="Arial" w:cs="Arial"/>
          <w:b/>
          <w:sz w:val="20"/>
          <w:szCs w:val="20"/>
        </w:rPr>
        <w:t xml:space="preserve">(C) </w:t>
      </w:r>
      <w:proofErr w:type="spellStart"/>
      <w:r w:rsidR="005D3EF3" w:rsidRPr="00D31C07">
        <w:rPr>
          <w:rFonts w:ascii="Arial" w:hAnsi="Arial" w:cs="Arial"/>
          <w:b/>
          <w:sz w:val="20"/>
          <w:szCs w:val="20"/>
        </w:rPr>
        <w:t>Epyrene</w:t>
      </w:r>
      <w:proofErr w:type="spellEnd"/>
      <w:r w:rsidR="005D3EF3" w:rsidRPr="00D31C07">
        <w:rPr>
          <w:rFonts w:ascii="Arial" w:hAnsi="Arial" w:cs="Arial"/>
          <w:b/>
          <w:sz w:val="20"/>
          <w:szCs w:val="20"/>
        </w:rPr>
        <w:t xml:space="preserve"> spe</w:t>
      </w:r>
      <w:r w:rsidR="00461123" w:rsidRPr="00D31C07">
        <w:rPr>
          <w:rFonts w:ascii="Arial" w:hAnsi="Arial" w:cs="Arial"/>
          <w:b/>
          <w:sz w:val="20"/>
          <w:szCs w:val="20"/>
        </w:rPr>
        <w:t xml:space="preserve">rm bundles inside testes. (D) </w:t>
      </w:r>
      <w:proofErr w:type="spellStart"/>
      <w:r w:rsidR="00461123" w:rsidRPr="00D31C07">
        <w:rPr>
          <w:rFonts w:ascii="Arial" w:hAnsi="Arial" w:cs="Arial"/>
          <w:b/>
          <w:sz w:val="20"/>
          <w:szCs w:val="20"/>
        </w:rPr>
        <w:t>A</w:t>
      </w:r>
      <w:r w:rsidR="005D3EF3" w:rsidRPr="00D31C07">
        <w:rPr>
          <w:rFonts w:ascii="Arial" w:hAnsi="Arial" w:cs="Arial"/>
          <w:b/>
          <w:sz w:val="20"/>
          <w:szCs w:val="20"/>
        </w:rPr>
        <w:t>pyrene</w:t>
      </w:r>
      <w:proofErr w:type="spellEnd"/>
      <w:r w:rsidR="005D3EF3" w:rsidRPr="00D31C07">
        <w:rPr>
          <w:rFonts w:ascii="Arial" w:hAnsi="Arial" w:cs="Arial"/>
          <w:b/>
          <w:sz w:val="20"/>
          <w:szCs w:val="20"/>
        </w:rPr>
        <w:t xml:space="preserve"> sperm bundle</w:t>
      </w:r>
    </w:p>
    <w:p w:rsidR="005D3EF3" w:rsidRPr="00D31C07" w:rsidRDefault="005D3EF3" w:rsidP="00D976B7">
      <w:pPr>
        <w:spacing w:before="100" w:beforeAutospacing="1" w:after="100" w:afterAutospacing="1" w:line="240" w:lineRule="auto"/>
        <w:jc w:val="both"/>
        <w:rPr>
          <w:rFonts w:ascii="Arial" w:eastAsia="Times New Roman" w:hAnsi="Arial" w:cs="Arial"/>
          <w:sz w:val="20"/>
          <w:szCs w:val="24"/>
        </w:rPr>
      </w:pPr>
      <w:r w:rsidRPr="00D31C07">
        <w:rPr>
          <w:rFonts w:ascii="Arial" w:hAnsi="Arial" w:cs="Arial"/>
          <w:sz w:val="20"/>
          <w:szCs w:val="24"/>
        </w:rPr>
        <w:t xml:space="preserve">Source: </w:t>
      </w:r>
      <w:r w:rsidRPr="00D31C07">
        <w:rPr>
          <w:rFonts w:ascii="Arial" w:eastAsia="Times New Roman" w:hAnsi="Arial" w:cs="Arial"/>
          <w:sz w:val="20"/>
          <w:szCs w:val="24"/>
        </w:rPr>
        <w:t xml:space="preserve">Biswas </w:t>
      </w:r>
      <w:r w:rsidRPr="00D31C07">
        <w:rPr>
          <w:rFonts w:ascii="Arial" w:eastAsia="Times New Roman" w:hAnsi="Arial" w:cs="Arial"/>
          <w:i/>
          <w:sz w:val="20"/>
          <w:szCs w:val="24"/>
        </w:rPr>
        <w:t>et al.</w:t>
      </w:r>
      <w:r w:rsidRPr="00D31C07">
        <w:rPr>
          <w:rFonts w:ascii="Arial" w:eastAsia="Times New Roman" w:hAnsi="Arial" w:cs="Arial"/>
          <w:sz w:val="20"/>
          <w:szCs w:val="24"/>
        </w:rPr>
        <w:t xml:space="preserve"> (2024)</w:t>
      </w:r>
    </w:p>
    <w:p w:rsidR="003E1708" w:rsidRPr="00BF2A14" w:rsidRDefault="003E1708" w:rsidP="00D976B7">
      <w:pPr>
        <w:spacing w:before="100" w:beforeAutospacing="1" w:after="100" w:afterAutospacing="1" w:line="240" w:lineRule="auto"/>
        <w:jc w:val="both"/>
        <w:rPr>
          <w:rFonts w:ascii="Arial" w:eastAsia="Times New Roman" w:hAnsi="Arial" w:cs="Arial"/>
          <w:b/>
          <w:szCs w:val="24"/>
        </w:rPr>
      </w:pPr>
      <w:r w:rsidRPr="00BF2A14">
        <w:rPr>
          <w:rFonts w:ascii="Arial" w:hAnsi="Arial" w:cs="Arial"/>
          <w:b/>
          <w:sz w:val="20"/>
        </w:rPr>
        <w:t xml:space="preserve">Table 1. Measurements of male and female reproductive system of </w:t>
      </w:r>
      <w:r w:rsidRPr="00BF2A14">
        <w:rPr>
          <w:rStyle w:val="Emphasis"/>
          <w:rFonts w:ascii="Arial" w:hAnsi="Arial" w:cs="Arial"/>
          <w:b/>
          <w:sz w:val="20"/>
        </w:rPr>
        <w:t xml:space="preserve">A. </w:t>
      </w:r>
      <w:proofErr w:type="spellStart"/>
      <w:r w:rsidRPr="00BF2A14">
        <w:rPr>
          <w:rStyle w:val="Emphasis"/>
          <w:rFonts w:ascii="Arial" w:hAnsi="Arial" w:cs="Arial"/>
          <w:b/>
          <w:sz w:val="20"/>
        </w:rPr>
        <w:t>assamensis</w:t>
      </w:r>
      <w:proofErr w:type="spellEnd"/>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028"/>
        <w:gridCol w:w="1708"/>
        <w:gridCol w:w="1460"/>
        <w:gridCol w:w="1460"/>
        <w:gridCol w:w="1460"/>
        <w:gridCol w:w="1460"/>
      </w:tblGrid>
      <w:tr w:rsidR="00854DF5" w:rsidRPr="00BF2A14" w:rsidTr="00BF2A14">
        <w:trPr>
          <w:trHeight w:val="413"/>
        </w:trPr>
        <w:tc>
          <w:tcPr>
            <w:tcW w:w="0" w:type="auto"/>
            <w:vMerge w:val="restart"/>
            <w:tcBorders>
              <w:top w:val="single" w:sz="4" w:space="0" w:color="auto"/>
              <w:bottom w:val="single" w:sz="4" w:space="0" w:color="auto"/>
            </w:tcBorders>
            <w:hideMark/>
          </w:tcPr>
          <w:p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Parts</w:t>
            </w:r>
          </w:p>
        </w:tc>
        <w:tc>
          <w:tcPr>
            <w:tcW w:w="0" w:type="auto"/>
            <w:vMerge w:val="restart"/>
            <w:tcBorders>
              <w:top w:val="single" w:sz="4" w:space="0" w:color="auto"/>
              <w:bottom w:val="single" w:sz="4" w:space="0" w:color="auto"/>
            </w:tcBorders>
            <w:hideMark/>
          </w:tcPr>
          <w:p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Measurements (mm)</w:t>
            </w:r>
          </w:p>
        </w:tc>
        <w:tc>
          <w:tcPr>
            <w:tcW w:w="0" w:type="auto"/>
            <w:gridSpan w:val="4"/>
            <w:tcBorders>
              <w:top w:val="single" w:sz="4" w:space="0" w:color="auto"/>
              <w:bottom w:val="single" w:sz="4" w:space="0" w:color="auto"/>
            </w:tcBorders>
            <w:hideMark/>
          </w:tcPr>
          <w:p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Season</w:t>
            </w:r>
          </w:p>
          <w:p w:rsidR="00854DF5" w:rsidRPr="00BF2A14" w:rsidRDefault="00854DF5" w:rsidP="00BF2A14">
            <w:pPr>
              <w:spacing w:line="480" w:lineRule="auto"/>
              <w:jc w:val="center"/>
              <w:rPr>
                <w:rFonts w:ascii="Arial" w:eastAsia="Times New Roman" w:hAnsi="Arial" w:cs="Arial"/>
                <w:b/>
                <w:bCs/>
                <w:sz w:val="20"/>
                <w:szCs w:val="20"/>
              </w:rPr>
            </w:pPr>
          </w:p>
        </w:tc>
      </w:tr>
      <w:tr w:rsidR="00854DF5" w:rsidRPr="00BF2A14" w:rsidTr="00BF2A14">
        <w:trPr>
          <w:trHeight w:val="404"/>
        </w:trPr>
        <w:tc>
          <w:tcPr>
            <w:tcW w:w="0" w:type="auto"/>
            <w:vMerge/>
            <w:tcBorders>
              <w:top w:val="single" w:sz="4" w:space="0" w:color="auto"/>
              <w:bottom w:val="single" w:sz="4" w:space="0" w:color="auto"/>
            </w:tcBorders>
            <w:hideMark/>
          </w:tcPr>
          <w:p w:rsidR="00854DF5" w:rsidRPr="00BF2A14" w:rsidRDefault="00854DF5" w:rsidP="00BF2A14">
            <w:pPr>
              <w:spacing w:line="480" w:lineRule="auto"/>
              <w:jc w:val="center"/>
              <w:rPr>
                <w:rFonts w:ascii="Arial" w:eastAsia="Times New Roman" w:hAnsi="Arial" w:cs="Arial"/>
                <w:b/>
                <w:bCs/>
                <w:sz w:val="20"/>
                <w:szCs w:val="20"/>
              </w:rPr>
            </w:pPr>
          </w:p>
        </w:tc>
        <w:tc>
          <w:tcPr>
            <w:tcW w:w="0" w:type="auto"/>
            <w:vMerge/>
            <w:tcBorders>
              <w:top w:val="single" w:sz="4" w:space="0" w:color="auto"/>
              <w:bottom w:val="single" w:sz="4" w:space="0" w:color="auto"/>
            </w:tcBorders>
            <w:hideMark/>
          </w:tcPr>
          <w:p w:rsidR="00854DF5" w:rsidRPr="00BF2A14" w:rsidRDefault="00854DF5" w:rsidP="00BF2A14">
            <w:pPr>
              <w:spacing w:line="480" w:lineRule="auto"/>
              <w:jc w:val="center"/>
              <w:rPr>
                <w:rFonts w:ascii="Arial" w:eastAsia="Times New Roman" w:hAnsi="Arial" w:cs="Arial"/>
                <w:b/>
                <w:bCs/>
                <w:sz w:val="20"/>
                <w:szCs w:val="20"/>
              </w:rPr>
            </w:pPr>
          </w:p>
        </w:tc>
        <w:tc>
          <w:tcPr>
            <w:tcW w:w="0" w:type="auto"/>
            <w:tcBorders>
              <w:top w:val="single" w:sz="4" w:space="0" w:color="auto"/>
              <w:bottom w:val="single" w:sz="4" w:space="0" w:color="auto"/>
            </w:tcBorders>
            <w:hideMark/>
          </w:tcPr>
          <w:p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Summer</w:t>
            </w:r>
          </w:p>
        </w:tc>
        <w:tc>
          <w:tcPr>
            <w:tcW w:w="0" w:type="auto"/>
            <w:tcBorders>
              <w:top w:val="single" w:sz="4" w:space="0" w:color="auto"/>
              <w:bottom w:val="single" w:sz="4" w:space="0" w:color="auto"/>
            </w:tcBorders>
            <w:hideMark/>
          </w:tcPr>
          <w:p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Autumn</w:t>
            </w:r>
          </w:p>
        </w:tc>
        <w:tc>
          <w:tcPr>
            <w:tcW w:w="0" w:type="auto"/>
            <w:tcBorders>
              <w:top w:val="single" w:sz="4" w:space="0" w:color="auto"/>
              <w:bottom w:val="single" w:sz="4" w:space="0" w:color="auto"/>
            </w:tcBorders>
            <w:hideMark/>
          </w:tcPr>
          <w:p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Winter</w:t>
            </w:r>
          </w:p>
        </w:tc>
        <w:tc>
          <w:tcPr>
            <w:tcW w:w="0" w:type="auto"/>
            <w:tcBorders>
              <w:top w:val="single" w:sz="4" w:space="0" w:color="auto"/>
              <w:bottom w:val="single" w:sz="4" w:space="0" w:color="auto"/>
            </w:tcBorders>
            <w:hideMark/>
          </w:tcPr>
          <w:p w:rsidR="00854DF5" w:rsidRPr="00BF2A14" w:rsidRDefault="00854DF5" w:rsidP="00BF2A14">
            <w:pPr>
              <w:spacing w:line="480" w:lineRule="auto"/>
              <w:jc w:val="center"/>
              <w:rPr>
                <w:rFonts w:ascii="Arial" w:eastAsia="Times New Roman" w:hAnsi="Arial" w:cs="Arial"/>
                <w:b/>
                <w:bCs/>
                <w:sz w:val="20"/>
                <w:szCs w:val="20"/>
              </w:rPr>
            </w:pPr>
            <w:r w:rsidRPr="00BF2A14">
              <w:rPr>
                <w:rFonts w:ascii="Arial" w:eastAsia="Times New Roman" w:hAnsi="Arial" w:cs="Arial"/>
                <w:b/>
                <w:bCs/>
                <w:sz w:val="20"/>
                <w:szCs w:val="20"/>
              </w:rPr>
              <w:t>Spring</w:t>
            </w:r>
          </w:p>
        </w:tc>
      </w:tr>
      <w:tr w:rsidR="00854DF5" w:rsidRPr="00BF2A14" w:rsidTr="00BF2A14">
        <w:tc>
          <w:tcPr>
            <w:tcW w:w="0" w:type="auto"/>
            <w:gridSpan w:val="6"/>
            <w:tcBorders>
              <w:top w:val="single" w:sz="4" w:space="0" w:color="auto"/>
              <w:bottom w:val="single" w:sz="4" w:space="0" w:color="auto"/>
            </w:tcBorders>
            <w:hideMark/>
          </w:tcPr>
          <w:p w:rsidR="00854DF5" w:rsidRPr="00BF2A14" w:rsidRDefault="00854DF5" w:rsidP="00BF2A14">
            <w:pPr>
              <w:spacing w:line="480" w:lineRule="auto"/>
              <w:rPr>
                <w:rFonts w:ascii="Arial" w:eastAsia="Times New Roman" w:hAnsi="Arial" w:cs="Arial"/>
                <w:b/>
                <w:sz w:val="20"/>
                <w:szCs w:val="20"/>
              </w:rPr>
            </w:pPr>
            <w:r w:rsidRPr="00BF2A14">
              <w:rPr>
                <w:rFonts w:ascii="Arial" w:eastAsia="Times New Roman" w:hAnsi="Arial" w:cs="Arial"/>
                <w:b/>
                <w:sz w:val="20"/>
                <w:szCs w:val="20"/>
              </w:rPr>
              <w:t>Male reproductive system</w:t>
            </w:r>
          </w:p>
        </w:tc>
      </w:tr>
      <w:tr w:rsidR="00854DF5" w:rsidRPr="00BF2A14" w:rsidTr="00BF2A14">
        <w:tc>
          <w:tcPr>
            <w:tcW w:w="0" w:type="auto"/>
            <w:vMerge w:val="restart"/>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Testis</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2.23 </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2.20 </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2.00 </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2.20 </w:t>
            </w:r>
          </w:p>
        </w:tc>
      </w:tr>
      <w:tr w:rsidR="00854DF5" w:rsidRPr="00BF2A14" w:rsidTr="00BF2A14">
        <w:tc>
          <w:tcPr>
            <w:tcW w:w="0" w:type="auto"/>
            <w:vMerge/>
            <w:tcBorders>
              <w:top w:val="nil"/>
            </w:tcBorders>
            <w:hideMark/>
          </w:tcPr>
          <w:p w:rsidR="00854DF5" w:rsidRPr="00BF2A14" w:rsidRDefault="00854DF5" w:rsidP="00BF2A14">
            <w:pPr>
              <w:spacing w:line="480" w:lineRule="auto"/>
              <w:rPr>
                <w:rFonts w:ascii="Arial" w:eastAsia="Times New Roman" w:hAnsi="Arial" w:cs="Arial"/>
                <w:sz w:val="20"/>
                <w:szCs w:val="20"/>
              </w:rPr>
            </w:pP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2.00 </w:t>
            </w: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2.03 </w:t>
            </w: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1.80 </w:t>
            </w: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1.93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Vas deferens (VD)</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15.17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14.17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13.23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13.00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0.63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0.53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Seminal vesicle (SV)</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3.50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3.17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2.83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3.33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2.50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2.97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Ductus </w:t>
            </w:r>
            <w:proofErr w:type="spellStart"/>
            <w:r w:rsidRPr="00BF2A14">
              <w:rPr>
                <w:rFonts w:ascii="Arial" w:eastAsia="Times New Roman" w:hAnsi="Arial" w:cs="Arial"/>
                <w:sz w:val="20"/>
                <w:szCs w:val="20"/>
              </w:rPr>
              <w:t>ejaculatorius</w:t>
            </w:r>
            <w:proofErr w:type="spellEnd"/>
            <w:r w:rsidRPr="00BF2A14">
              <w:rPr>
                <w:rFonts w:ascii="Arial" w:eastAsia="Times New Roman" w:hAnsi="Arial" w:cs="Arial"/>
                <w:sz w:val="20"/>
                <w:szCs w:val="20"/>
              </w:rPr>
              <w:t xml:space="preserve"> duplex (DD)</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4.77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4.16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3.67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4.33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1.40 </w:t>
            </w:r>
          </w:p>
        </w:tc>
      </w:tr>
      <w:tr w:rsidR="00854DF5" w:rsidRPr="00BF2A14" w:rsidTr="00BF2A14">
        <w:tc>
          <w:tcPr>
            <w:tcW w:w="0" w:type="auto"/>
            <w:hideMark/>
          </w:tcPr>
          <w:p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Ductus </w:t>
            </w:r>
            <w:proofErr w:type="spellStart"/>
            <w:r w:rsidRPr="00BF2A14">
              <w:rPr>
                <w:rFonts w:ascii="Arial" w:eastAsia="Times New Roman" w:hAnsi="Arial" w:cs="Arial"/>
                <w:sz w:val="20"/>
                <w:szCs w:val="20"/>
              </w:rPr>
              <w:t>ejaculatorius</w:t>
            </w:r>
            <w:proofErr w:type="spellEnd"/>
            <w:r w:rsidRPr="00BF2A14">
              <w:rPr>
                <w:rFonts w:ascii="Arial" w:eastAsia="Times New Roman" w:hAnsi="Arial" w:cs="Arial"/>
                <w:sz w:val="20"/>
                <w:szCs w:val="20"/>
              </w:rPr>
              <w:t xml:space="preserve"> simplex (DS)</w:t>
            </w:r>
          </w:p>
        </w:tc>
        <w:tc>
          <w:tcPr>
            <w:tcW w:w="0" w:type="auto"/>
            <w:hideMark/>
          </w:tcPr>
          <w:p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12.67 </w:t>
            </w:r>
          </w:p>
        </w:tc>
        <w:tc>
          <w:tcPr>
            <w:tcW w:w="0" w:type="auto"/>
            <w:hideMark/>
          </w:tcPr>
          <w:p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11.17 </w:t>
            </w:r>
          </w:p>
        </w:tc>
        <w:tc>
          <w:tcPr>
            <w:tcW w:w="0" w:type="auto"/>
            <w:hideMark/>
          </w:tcPr>
          <w:p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10.22 </w:t>
            </w:r>
          </w:p>
        </w:tc>
        <w:tc>
          <w:tcPr>
            <w:tcW w:w="0" w:type="auto"/>
            <w:hideMark/>
          </w:tcPr>
          <w:p w:rsidR="005D3EF3" w:rsidRPr="00BF2A14" w:rsidRDefault="005D3EF3"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11.00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lastRenderedPageBreak/>
              <w:t>Aedeagus/Penis</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0.60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0.54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4.87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5.00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1.13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Male accessory gland</w:t>
            </w:r>
          </w:p>
        </w:tc>
        <w:tc>
          <w:tcPr>
            <w:tcW w:w="0" w:type="auto"/>
            <w:tcBorders>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tcBorders>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17.33 </w:t>
            </w:r>
          </w:p>
        </w:tc>
        <w:tc>
          <w:tcPr>
            <w:tcW w:w="0" w:type="auto"/>
            <w:tcBorders>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13.67 </w:t>
            </w:r>
          </w:p>
        </w:tc>
        <w:tc>
          <w:tcPr>
            <w:tcW w:w="0" w:type="auto"/>
            <w:tcBorders>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11.50 </w:t>
            </w:r>
          </w:p>
        </w:tc>
        <w:tc>
          <w:tcPr>
            <w:tcW w:w="0" w:type="auto"/>
            <w:tcBorders>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13.47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tcBorders>
              <w:top w:val="nil"/>
              <w:bottom w:val="single" w:sz="4" w:space="0" w:color="auto"/>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tcBorders>
              <w:top w:val="nil"/>
              <w:bottom w:val="single" w:sz="4" w:space="0" w:color="auto"/>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1.33 </w:t>
            </w:r>
          </w:p>
        </w:tc>
        <w:tc>
          <w:tcPr>
            <w:tcW w:w="0" w:type="auto"/>
            <w:tcBorders>
              <w:top w:val="nil"/>
              <w:bottom w:val="single" w:sz="4" w:space="0" w:color="auto"/>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1.06 </w:t>
            </w:r>
          </w:p>
        </w:tc>
        <w:tc>
          <w:tcPr>
            <w:tcW w:w="0" w:type="auto"/>
            <w:tcBorders>
              <w:top w:val="nil"/>
              <w:bottom w:val="single" w:sz="4" w:space="0" w:color="auto"/>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1.06 </w:t>
            </w:r>
          </w:p>
        </w:tc>
        <w:tc>
          <w:tcPr>
            <w:tcW w:w="0" w:type="auto"/>
            <w:tcBorders>
              <w:top w:val="nil"/>
              <w:bottom w:val="single" w:sz="4" w:space="0" w:color="auto"/>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1.16 </w:t>
            </w:r>
          </w:p>
        </w:tc>
      </w:tr>
      <w:tr w:rsidR="00854DF5" w:rsidRPr="00BF2A14" w:rsidTr="00BF2A14">
        <w:tc>
          <w:tcPr>
            <w:tcW w:w="0" w:type="auto"/>
            <w:gridSpan w:val="6"/>
            <w:tcBorders>
              <w:top w:val="single" w:sz="4" w:space="0" w:color="auto"/>
              <w:bottom w:val="single" w:sz="4" w:space="0" w:color="auto"/>
            </w:tcBorders>
            <w:hideMark/>
          </w:tcPr>
          <w:p w:rsidR="00854DF5" w:rsidRPr="00BF2A14" w:rsidRDefault="00854DF5" w:rsidP="00BF2A14">
            <w:pPr>
              <w:spacing w:line="480" w:lineRule="auto"/>
              <w:rPr>
                <w:rFonts w:ascii="Arial" w:eastAsia="Times New Roman" w:hAnsi="Arial" w:cs="Arial"/>
                <w:b/>
                <w:bCs/>
                <w:sz w:val="20"/>
                <w:szCs w:val="20"/>
              </w:rPr>
            </w:pPr>
            <w:r w:rsidRPr="00BF2A14">
              <w:rPr>
                <w:rFonts w:ascii="Arial" w:eastAsia="Times New Roman" w:hAnsi="Arial" w:cs="Arial"/>
                <w:b/>
                <w:bCs/>
                <w:sz w:val="20"/>
                <w:szCs w:val="20"/>
              </w:rPr>
              <w:t xml:space="preserve">Female reproductive system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Ovarioles</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102.33 </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95.33 </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82.00 </w:t>
            </w:r>
          </w:p>
        </w:tc>
        <w:tc>
          <w:tcPr>
            <w:tcW w:w="0" w:type="auto"/>
            <w:tcBorders>
              <w:top w:val="single" w:sz="4" w:space="0" w:color="auto"/>
              <w:bottom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90.33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Variable throughout the length</w:t>
            </w: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Variable throughout the length</w:t>
            </w: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Variable throughout the length</w:t>
            </w:r>
          </w:p>
        </w:tc>
        <w:tc>
          <w:tcPr>
            <w:tcW w:w="0" w:type="auto"/>
            <w:tcBorders>
              <w:top w:val="nil"/>
            </w:tcBorders>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Variable throughout the length</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Common oviduct</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5.60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4.67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5.00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2.17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2.17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2.00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2.17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Bursa copulatrix: Corpus bursae</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2.77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2.33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2.83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2.16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2.23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Ductus bursae</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2.97</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2.83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2.67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2.90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1.80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1.56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1.7</w:t>
            </w:r>
            <w:r w:rsidR="003E1708" w:rsidRPr="00BF2A14">
              <w:rPr>
                <w:rFonts w:ascii="Arial" w:eastAsia="Times New Roman" w:hAnsi="Arial" w:cs="Arial"/>
                <w:sz w:val="20"/>
                <w:szCs w:val="20"/>
              </w:rPr>
              <w:t>0</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Seminal duct</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1.63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1.47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Spermathecal duct</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3.17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2.90</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2.67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2.43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1.33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1.50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Spermatheca: Main chamber</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4.63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4.17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3.83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3.90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3.23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2.77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3.17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Spermatheca: Lateral chamber</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3.40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3.07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2.60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2.93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3.00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2.93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Spermathecal gland</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7.10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6.53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5.20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5.23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1.50 </w:t>
            </w:r>
          </w:p>
        </w:tc>
      </w:tr>
      <w:tr w:rsidR="00854DF5" w:rsidRPr="00BF2A14" w:rsidTr="00BF2A14">
        <w:tc>
          <w:tcPr>
            <w:tcW w:w="0" w:type="auto"/>
            <w:vMerge w:val="restart"/>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Colleterial gland/female </w:t>
            </w:r>
            <w:r w:rsidRPr="00BF2A14">
              <w:rPr>
                <w:rFonts w:ascii="Arial" w:eastAsia="Times New Roman" w:hAnsi="Arial" w:cs="Arial"/>
                <w:sz w:val="20"/>
                <w:szCs w:val="20"/>
              </w:rPr>
              <w:lastRenderedPageBreak/>
              <w:t>accessory gland</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lastRenderedPageBreak/>
              <w:t>Length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62.33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57.33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54.00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56.77 </w:t>
            </w:r>
          </w:p>
        </w:tc>
      </w:tr>
      <w:tr w:rsidR="00854DF5" w:rsidRPr="00BF2A14" w:rsidTr="00BF2A14">
        <w:tc>
          <w:tcPr>
            <w:tcW w:w="0" w:type="auto"/>
            <w:vMerge/>
            <w:hideMark/>
          </w:tcPr>
          <w:p w:rsidR="00854DF5" w:rsidRPr="00BF2A14" w:rsidRDefault="00854DF5" w:rsidP="00BF2A14">
            <w:pPr>
              <w:spacing w:line="480" w:lineRule="auto"/>
              <w:rPr>
                <w:rFonts w:ascii="Arial" w:eastAsia="Times New Roman" w:hAnsi="Arial" w:cs="Arial"/>
                <w:sz w:val="20"/>
                <w:szCs w:val="20"/>
              </w:rPr>
            </w:pP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Breadth</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1.60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1.43 </w:t>
            </w:r>
          </w:p>
        </w:tc>
        <w:tc>
          <w:tcPr>
            <w:tcW w:w="0" w:type="auto"/>
            <w:hideMark/>
          </w:tcPr>
          <w:p w:rsidR="00854DF5" w:rsidRPr="00BF2A14" w:rsidRDefault="00854DF5" w:rsidP="00BF2A14">
            <w:pPr>
              <w:spacing w:line="480" w:lineRule="auto"/>
              <w:rPr>
                <w:rFonts w:ascii="Arial" w:eastAsia="Times New Roman" w:hAnsi="Arial" w:cs="Arial"/>
                <w:sz w:val="20"/>
                <w:szCs w:val="20"/>
              </w:rPr>
            </w:pPr>
            <w:r w:rsidRPr="00BF2A14">
              <w:rPr>
                <w:rFonts w:ascii="Arial" w:eastAsia="Times New Roman" w:hAnsi="Arial" w:cs="Arial"/>
                <w:sz w:val="20"/>
                <w:szCs w:val="20"/>
              </w:rPr>
              <w:t xml:space="preserve">1.53 </w:t>
            </w:r>
          </w:p>
        </w:tc>
      </w:tr>
    </w:tbl>
    <w:p w:rsidR="003E1708" w:rsidRPr="00BF2A14" w:rsidRDefault="003E1708" w:rsidP="003E1708">
      <w:pPr>
        <w:spacing w:before="100" w:beforeAutospacing="1" w:after="100" w:afterAutospacing="1" w:line="240" w:lineRule="auto"/>
        <w:jc w:val="both"/>
        <w:rPr>
          <w:rFonts w:ascii="Arial" w:eastAsia="Times New Roman" w:hAnsi="Arial" w:cs="Arial"/>
          <w:sz w:val="20"/>
          <w:szCs w:val="24"/>
        </w:rPr>
      </w:pPr>
      <w:r w:rsidRPr="00BF2A14">
        <w:rPr>
          <w:rFonts w:ascii="Arial" w:hAnsi="Arial" w:cs="Arial"/>
          <w:sz w:val="20"/>
          <w:szCs w:val="24"/>
        </w:rPr>
        <w:t xml:space="preserve">Source: </w:t>
      </w:r>
      <w:r w:rsidRPr="00BF2A14">
        <w:rPr>
          <w:rFonts w:ascii="Arial" w:eastAsia="Times New Roman" w:hAnsi="Arial" w:cs="Arial"/>
          <w:sz w:val="20"/>
          <w:szCs w:val="24"/>
        </w:rPr>
        <w:t xml:space="preserve">Biswas </w:t>
      </w:r>
      <w:r w:rsidRPr="00BF2A14">
        <w:rPr>
          <w:rFonts w:ascii="Arial" w:eastAsia="Times New Roman" w:hAnsi="Arial" w:cs="Arial"/>
          <w:i/>
          <w:sz w:val="20"/>
          <w:szCs w:val="24"/>
        </w:rPr>
        <w:t>et al.</w:t>
      </w:r>
      <w:r w:rsidRPr="00BF2A14">
        <w:rPr>
          <w:rFonts w:ascii="Arial" w:eastAsia="Times New Roman" w:hAnsi="Arial" w:cs="Arial"/>
          <w:sz w:val="20"/>
          <w:szCs w:val="24"/>
        </w:rPr>
        <w:t xml:space="preserve"> (2024)</w:t>
      </w:r>
    </w:p>
    <w:p w:rsidR="00D976B7" w:rsidRPr="00D31C07" w:rsidRDefault="00D976B7" w:rsidP="00D31C07">
      <w:pPr>
        <w:spacing w:before="100" w:beforeAutospacing="1" w:after="100" w:afterAutospacing="1" w:line="240" w:lineRule="auto"/>
        <w:outlineLvl w:val="3"/>
        <w:rPr>
          <w:rFonts w:ascii="Arial" w:eastAsia="Times New Roman" w:hAnsi="Arial" w:cs="Arial"/>
          <w:b/>
          <w:bCs/>
        </w:rPr>
      </w:pPr>
      <w:r w:rsidRPr="00D31C07">
        <w:rPr>
          <w:rFonts w:ascii="Arial" w:eastAsia="Times New Roman" w:hAnsi="Arial" w:cs="Arial"/>
          <w:b/>
          <w:bCs/>
        </w:rPr>
        <w:t>2.3 Sperm Dimorphism and Seasonal Variation</w:t>
      </w:r>
    </w:p>
    <w:p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A notable contribution of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was the detailed characterization of sperm dimorphism in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Their study confirmed the presence of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sperm (mean length: 608 µm) and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sperm (mean length: 401 µm), a feature widely reported in other lepidopterans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xml:space="preserve">, 1936; 1938b; </w:t>
      </w:r>
      <w:proofErr w:type="spellStart"/>
      <w:r w:rsidRPr="00D31C07">
        <w:rPr>
          <w:rFonts w:ascii="Arial" w:eastAsia="Times New Roman" w:hAnsi="Arial" w:cs="Arial"/>
          <w:sz w:val="20"/>
          <w:szCs w:val="20"/>
        </w:rPr>
        <w:t>Katsuno</w:t>
      </w:r>
      <w:proofErr w:type="spellEnd"/>
      <w:r w:rsidRPr="00D31C07">
        <w:rPr>
          <w:rFonts w:ascii="Arial" w:eastAsia="Times New Roman" w:hAnsi="Arial" w:cs="Arial"/>
          <w:sz w:val="20"/>
          <w:szCs w:val="20"/>
        </w:rPr>
        <w:t xml:space="preserve">, 1978; </w:t>
      </w:r>
      <w:proofErr w:type="spellStart"/>
      <w:r w:rsidRPr="00D31C07">
        <w:rPr>
          <w:rFonts w:ascii="Arial" w:eastAsia="Times New Roman" w:hAnsi="Arial" w:cs="Arial"/>
          <w:sz w:val="20"/>
          <w:szCs w:val="20"/>
        </w:rPr>
        <w:t>Etman</w:t>
      </w:r>
      <w:proofErr w:type="spellEnd"/>
      <w:r w:rsidRPr="00D31C07">
        <w:rPr>
          <w:rFonts w:ascii="Arial" w:eastAsia="Times New Roman" w:hAnsi="Arial" w:cs="Arial"/>
          <w:sz w:val="20"/>
          <w:szCs w:val="20"/>
        </w:rPr>
        <w:t xml:space="preserve"> &amp; Hooper, 1979; </w:t>
      </w:r>
      <w:proofErr w:type="spellStart"/>
      <w:r w:rsidRPr="00D31C07">
        <w:rPr>
          <w:rFonts w:ascii="Arial" w:eastAsia="Times New Roman" w:hAnsi="Arial" w:cs="Arial"/>
          <w:sz w:val="20"/>
          <w:szCs w:val="20"/>
        </w:rPr>
        <w:t>Silberglied</w:t>
      </w:r>
      <w:proofErr w:type="spellEnd"/>
      <w:r w:rsidRPr="00D31C07">
        <w:rPr>
          <w:rFonts w:ascii="Arial" w:eastAsia="Times New Roman" w:hAnsi="Arial" w:cs="Arial"/>
          <w:sz w:val="20"/>
          <w:szCs w:val="20"/>
        </w:rPr>
        <w:t xml:space="preserve">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1984). In testes, both sperm types are bundled separately; however, in the seminal vesicle and duplex, while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sperm remain bundled,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sperm become dispersed, a pattern mirroring that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1938b).</w:t>
      </w:r>
    </w:p>
    <w:p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Importantly,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observed that the quantity of both sperm types transferred during mating was significantly lower in summer than in autumn or winter. Correspondingly, reduced sperm content in the spermatheca was associated with a decline in egg fertilization and hatchability. These findings suggest that elevated ambient temperatures may impair sperm production and storage, potentially explaining seasonal declines in seed quality. While similar correlations have been drawn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(Saheb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2009; Chen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2020), the reproductive consequences of thermal stress in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remain insufficiently explored and warrant further investigation.</w:t>
      </w:r>
    </w:p>
    <w:p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The anatomical comparisons drawn by Biswas et al. (2024) reveal that while the male reproductive morphology of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assamensis</w:t>
      </w:r>
      <w:proofErr w:type="spellEnd"/>
      <w:r w:rsidRPr="00D31C07">
        <w:rPr>
          <w:rFonts w:ascii="Arial" w:eastAsia="Times New Roman" w:hAnsi="Arial" w:cs="Arial"/>
          <w:sz w:val="20"/>
          <w:szCs w:val="20"/>
        </w:rPr>
        <w:t xml:space="preserve"> diverges from that of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it closely resembles that of </w:t>
      </w:r>
      <w:r w:rsidRPr="00D31C07">
        <w:rPr>
          <w:rFonts w:ascii="Arial" w:eastAsia="Times New Roman" w:hAnsi="Arial" w:cs="Arial"/>
          <w:i/>
          <w:iCs/>
          <w:sz w:val="20"/>
          <w:szCs w:val="20"/>
        </w:rPr>
        <w:t xml:space="preserve">A. </w:t>
      </w:r>
      <w:proofErr w:type="spellStart"/>
      <w:r w:rsidRPr="00D31C07">
        <w:rPr>
          <w:rFonts w:ascii="Arial" w:eastAsia="Times New Roman" w:hAnsi="Arial" w:cs="Arial"/>
          <w:i/>
          <w:iCs/>
          <w:sz w:val="20"/>
          <w:szCs w:val="20"/>
        </w:rPr>
        <w:t>mylitta</w:t>
      </w:r>
      <w:proofErr w:type="spellEnd"/>
      <w:r w:rsidRPr="00D31C07">
        <w:rPr>
          <w:rFonts w:ascii="Arial" w:eastAsia="Times New Roman" w:hAnsi="Arial" w:cs="Arial"/>
          <w:sz w:val="20"/>
          <w:szCs w:val="20"/>
        </w:rPr>
        <w:t xml:space="preserve"> (</w:t>
      </w:r>
      <w:proofErr w:type="spellStart"/>
      <w:r w:rsidR="00BC2561" w:rsidRPr="00D31C07">
        <w:rPr>
          <w:rFonts w:ascii="Arial" w:hAnsi="Arial" w:cs="Arial"/>
          <w:color w:val="222222"/>
          <w:sz w:val="20"/>
          <w:szCs w:val="20"/>
          <w:shd w:val="clear" w:color="auto" w:fill="FFFFFF"/>
        </w:rPr>
        <w:t>Ghonmode</w:t>
      </w:r>
      <w:proofErr w:type="spellEnd"/>
      <w:r w:rsidR="00BC2561" w:rsidRPr="00D31C07">
        <w:rPr>
          <w:rFonts w:ascii="Arial" w:eastAsia="Times New Roman" w:hAnsi="Arial" w:cs="Arial"/>
          <w:sz w:val="20"/>
          <w:szCs w:val="20"/>
        </w:rPr>
        <w:t xml:space="preserve"> 2024</w:t>
      </w:r>
      <w:r w:rsidRPr="00D31C07">
        <w:rPr>
          <w:rFonts w:ascii="Arial" w:eastAsia="Times New Roman" w:hAnsi="Arial" w:cs="Arial"/>
          <w:sz w:val="20"/>
          <w:szCs w:val="20"/>
        </w:rPr>
        <w:t xml:space="preserve">). Similarly, female reproductive structures align with those reported in other </w:t>
      </w:r>
      <w:proofErr w:type="spellStart"/>
      <w:r w:rsidRPr="00D31C07">
        <w:rPr>
          <w:rFonts w:ascii="Arial" w:eastAsia="Times New Roman" w:hAnsi="Arial" w:cs="Arial"/>
          <w:sz w:val="20"/>
          <w:szCs w:val="20"/>
        </w:rPr>
        <w:t>saturniid</w:t>
      </w:r>
      <w:proofErr w:type="spellEnd"/>
      <w:r w:rsidRPr="00D31C07">
        <w:rPr>
          <w:rFonts w:ascii="Arial" w:eastAsia="Times New Roman" w:hAnsi="Arial" w:cs="Arial"/>
          <w:sz w:val="20"/>
          <w:szCs w:val="20"/>
        </w:rPr>
        <w:t xml:space="preserve"> moths, though differences in gland morphology and nomenclature persist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1936; 1938b).</w:t>
      </w:r>
    </w:p>
    <w:p w:rsidR="00D976B7" w:rsidRPr="00D31C07" w:rsidRDefault="00D976B7" w:rsidP="00D976B7">
      <w:pPr>
        <w:spacing w:before="100" w:beforeAutospacing="1" w:after="100" w:afterAutospacing="1" w:line="240" w:lineRule="auto"/>
        <w:jc w:val="both"/>
        <w:rPr>
          <w:rFonts w:ascii="Arial" w:eastAsia="Times New Roman" w:hAnsi="Arial" w:cs="Arial"/>
          <w:sz w:val="20"/>
          <w:szCs w:val="20"/>
        </w:rPr>
      </w:pPr>
      <w:r w:rsidRPr="00D31C07">
        <w:rPr>
          <w:rFonts w:ascii="Arial" w:eastAsia="Times New Roman" w:hAnsi="Arial" w:cs="Arial"/>
          <w:sz w:val="20"/>
          <w:szCs w:val="20"/>
        </w:rPr>
        <w:t xml:space="preserve">During mating, the male transfers a spermatophore into the female bursa copulatrix, containing both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and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sperm, along with accessory gland secretions (Norris, 1933;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xml:space="preserve">, 1938a; </w:t>
      </w:r>
      <w:proofErr w:type="spellStart"/>
      <w:r w:rsidRPr="00D31C07">
        <w:rPr>
          <w:rFonts w:ascii="Arial" w:eastAsia="Times New Roman" w:hAnsi="Arial" w:cs="Arial"/>
          <w:sz w:val="20"/>
          <w:szCs w:val="20"/>
        </w:rPr>
        <w:t>Etman</w:t>
      </w:r>
      <w:proofErr w:type="spellEnd"/>
      <w:r w:rsidRPr="00D31C07">
        <w:rPr>
          <w:rFonts w:ascii="Arial" w:eastAsia="Times New Roman" w:hAnsi="Arial" w:cs="Arial"/>
          <w:sz w:val="20"/>
          <w:szCs w:val="20"/>
        </w:rPr>
        <w:t xml:space="preserve"> &amp; Hooper, 1979). Within </w:t>
      </w:r>
      <w:proofErr w:type="gramStart"/>
      <w:r w:rsidRPr="00D31C07">
        <w:rPr>
          <w:rFonts w:ascii="Arial" w:eastAsia="Times New Roman" w:hAnsi="Arial" w:cs="Arial"/>
          <w:sz w:val="20"/>
          <w:szCs w:val="20"/>
        </w:rPr>
        <w:t>one hour</w:t>
      </w:r>
      <w:proofErr w:type="gramEnd"/>
      <w:r w:rsidRPr="00D31C07">
        <w:rPr>
          <w:rFonts w:ascii="Arial" w:eastAsia="Times New Roman" w:hAnsi="Arial" w:cs="Arial"/>
          <w:sz w:val="20"/>
          <w:szCs w:val="20"/>
        </w:rPr>
        <w:t xml:space="preserve"> post-mating, both sperm types were observed in the spermatheca. The role of </w:t>
      </w:r>
      <w:proofErr w:type="spellStart"/>
      <w:r w:rsidRPr="00D31C07">
        <w:rPr>
          <w:rFonts w:ascii="Arial" w:eastAsia="Times New Roman" w:hAnsi="Arial" w:cs="Arial"/>
          <w:sz w:val="20"/>
          <w:szCs w:val="20"/>
        </w:rPr>
        <w:t>apyrene</w:t>
      </w:r>
      <w:proofErr w:type="spellEnd"/>
      <w:r w:rsidRPr="00D31C07">
        <w:rPr>
          <w:rFonts w:ascii="Arial" w:eastAsia="Times New Roman" w:hAnsi="Arial" w:cs="Arial"/>
          <w:sz w:val="20"/>
          <w:szCs w:val="20"/>
        </w:rPr>
        <w:t xml:space="preserve"> sperm in assisting fertilization, although not yet fully elucidated, is considered indispensable. As shown in </w:t>
      </w:r>
      <w:r w:rsidRPr="00D31C07">
        <w:rPr>
          <w:rFonts w:ascii="Arial" w:eastAsia="Times New Roman" w:hAnsi="Arial" w:cs="Arial"/>
          <w:i/>
          <w:iCs/>
          <w:sz w:val="20"/>
          <w:szCs w:val="20"/>
        </w:rPr>
        <w:t>B. mori</w:t>
      </w:r>
      <w:r w:rsidRPr="00D31C07">
        <w:rPr>
          <w:rFonts w:ascii="Arial" w:eastAsia="Times New Roman" w:hAnsi="Arial" w:cs="Arial"/>
          <w:sz w:val="20"/>
          <w:szCs w:val="20"/>
        </w:rPr>
        <w:t xml:space="preserve"> by </w:t>
      </w:r>
      <w:proofErr w:type="spellStart"/>
      <w:r w:rsidRPr="00D31C07">
        <w:rPr>
          <w:rFonts w:ascii="Arial" w:eastAsia="Times New Roman" w:hAnsi="Arial" w:cs="Arial"/>
          <w:sz w:val="20"/>
          <w:szCs w:val="20"/>
        </w:rPr>
        <w:t>Omura</w:t>
      </w:r>
      <w:proofErr w:type="spellEnd"/>
      <w:r w:rsidRPr="00D31C07">
        <w:rPr>
          <w:rFonts w:ascii="Arial" w:eastAsia="Times New Roman" w:hAnsi="Arial" w:cs="Arial"/>
          <w:sz w:val="20"/>
          <w:szCs w:val="20"/>
        </w:rPr>
        <w:t xml:space="preserve"> (1938a) and </w:t>
      </w:r>
      <w:proofErr w:type="spellStart"/>
      <w:r w:rsidRPr="00D31C07">
        <w:rPr>
          <w:rFonts w:ascii="Arial" w:eastAsia="Times New Roman" w:hAnsi="Arial" w:cs="Arial"/>
          <w:sz w:val="20"/>
          <w:szCs w:val="20"/>
        </w:rPr>
        <w:t>Karube</w:t>
      </w:r>
      <w:proofErr w:type="spellEnd"/>
      <w:r w:rsidRPr="00D31C07">
        <w:rPr>
          <w:rFonts w:ascii="Arial" w:eastAsia="Times New Roman" w:hAnsi="Arial" w:cs="Arial"/>
          <w:sz w:val="20"/>
          <w:szCs w:val="20"/>
        </w:rPr>
        <w:t xml:space="preserve"> &amp; Kobayashi (1999), fertilization takes place in the vestibulum, where stored sperm migrate downward. A reduction in </w:t>
      </w:r>
      <w:proofErr w:type="spellStart"/>
      <w:r w:rsidRPr="00D31C07">
        <w:rPr>
          <w:rFonts w:ascii="Arial" w:eastAsia="Times New Roman" w:hAnsi="Arial" w:cs="Arial"/>
          <w:sz w:val="20"/>
          <w:szCs w:val="20"/>
        </w:rPr>
        <w:t>eupyrene</w:t>
      </w:r>
      <w:proofErr w:type="spellEnd"/>
      <w:r w:rsidRPr="00D31C07">
        <w:rPr>
          <w:rFonts w:ascii="Arial" w:eastAsia="Times New Roman" w:hAnsi="Arial" w:cs="Arial"/>
          <w:sz w:val="20"/>
          <w:szCs w:val="20"/>
        </w:rPr>
        <w:t xml:space="preserve"> sperm storage, as noted in summer by Biswas </w:t>
      </w:r>
      <w:r w:rsidRPr="00D31C07">
        <w:rPr>
          <w:rFonts w:ascii="Arial" w:eastAsia="Times New Roman" w:hAnsi="Arial" w:cs="Arial"/>
          <w:i/>
          <w:sz w:val="20"/>
          <w:szCs w:val="20"/>
        </w:rPr>
        <w:t>et al.</w:t>
      </w:r>
      <w:r w:rsidRPr="00D31C07">
        <w:rPr>
          <w:rFonts w:ascii="Arial" w:eastAsia="Times New Roman" w:hAnsi="Arial" w:cs="Arial"/>
          <w:sz w:val="20"/>
          <w:szCs w:val="20"/>
        </w:rPr>
        <w:t xml:space="preserve"> (2024), may directly contribute to poor fertilization outcomes in </w:t>
      </w:r>
      <w:proofErr w:type="spellStart"/>
      <w:r w:rsidRPr="00D31C07">
        <w:rPr>
          <w:rFonts w:ascii="Arial" w:eastAsia="Times New Roman" w:hAnsi="Arial" w:cs="Arial"/>
          <w:sz w:val="20"/>
          <w:szCs w:val="20"/>
        </w:rPr>
        <w:t>grainage</w:t>
      </w:r>
      <w:proofErr w:type="spellEnd"/>
      <w:r w:rsidRPr="00D31C07">
        <w:rPr>
          <w:rFonts w:ascii="Arial" w:eastAsia="Times New Roman" w:hAnsi="Arial" w:cs="Arial"/>
          <w:sz w:val="20"/>
          <w:szCs w:val="20"/>
        </w:rPr>
        <w:t xml:space="preserve"> operations.</w:t>
      </w:r>
    </w:p>
    <w:p w:rsidR="004121C9" w:rsidRPr="00D31C07" w:rsidRDefault="00D31C07" w:rsidP="00734D95">
      <w:pPr>
        <w:pStyle w:val="NormalWeb"/>
        <w:rPr>
          <w:rFonts w:ascii="Arial" w:hAnsi="Arial" w:cs="Arial"/>
          <w:sz w:val="22"/>
        </w:rPr>
      </w:pPr>
      <w:r w:rsidRPr="00D31C07">
        <w:rPr>
          <w:rStyle w:val="Strong"/>
          <w:rFonts w:ascii="Arial" w:hAnsi="Arial" w:cs="Arial"/>
          <w:sz w:val="22"/>
        </w:rPr>
        <w:t xml:space="preserve">3. </w:t>
      </w:r>
      <w:r w:rsidRPr="00D31C07">
        <w:rPr>
          <w:rFonts w:ascii="Arial" w:hAnsi="Arial" w:cs="Arial"/>
          <w:b/>
          <w:bCs/>
          <w:sz w:val="22"/>
        </w:rPr>
        <w:t xml:space="preserve">HORMONAL </w:t>
      </w:r>
      <w:r w:rsidRPr="00D31C07">
        <w:rPr>
          <w:rStyle w:val="Strong"/>
          <w:rFonts w:ascii="Arial" w:hAnsi="Arial" w:cs="Arial"/>
          <w:sz w:val="22"/>
        </w:rPr>
        <w:t>REGULATION OF REPRODUCTION</w:t>
      </w:r>
    </w:p>
    <w:p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Reproduction in insects is intricately regulated by endocrine mechanisms involving </w:t>
      </w:r>
      <w:proofErr w:type="spellStart"/>
      <w:r w:rsidRPr="00D31C07">
        <w:rPr>
          <w:rFonts w:ascii="Arial" w:hAnsi="Arial" w:cs="Arial"/>
          <w:sz w:val="20"/>
          <w:szCs w:val="20"/>
        </w:rPr>
        <w:t>ecdysteroids</w:t>
      </w:r>
      <w:proofErr w:type="spellEnd"/>
      <w:r w:rsidRPr="00D31C07">
        <w:rPr>
          <w:rFonts w:ascii="Arial" w:hAnsi="Arial" w:cs="Arial"/>
          <w:sz w:val="20"/>
          <w:szCs w:val="20"/>
        </w:rPr>
        <w:t xml:space="preserve"> and juvenile hormones (JHs), which coordinate developmental transitions, including larval growth, metamorphosis, and reproductive maturation (</w:t>
      </w:r>
      <w:proofErr w:type="spellStart"/>
      <w:r w:rsidRPr="00D31C07">
        <w:rPr>
          <w:rFonts w:ascii="Arial" w:hAnsi="Arial" w:cs="Arial"/>
          <w:sz w:val="20"/>
          <w:szCs w:val="20"/>
        </w:rPr>
        <w:t>Soin</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2008). These hormones play key roles in vitellogenesis, oocyte development, and yolk deposition across diverse insect taxa (Wigglesworth, 1936; Joly, 1945; Pfeiffer, 1945; </w:t>
      </w:r>
      <w:proofErr w:type="spellStart"/>
      <w:r w:rsidRPr="00D31C07">
        <w:rPr>
          <w:rFonts w:ascii="Arial" w:hAnsi="Arial" w:cs="Arial"/>
          <w:sz w:val="20"/>
          <w:szCs w:val="20"/>
        </w:rPr>
        <w:t>Scharrer</w:t>
      </w:r>
      <w:proofErr w:type="spellEnd"/>
      <w:r w:rsidRPr="00D31C07">
        <w:rPr>
          <w:rFonts w:ascii="Arial" w:hAnsi="Arial" w:cs="Arial"/>
          <w:sz w:val="20"/>
          <w:szCs w:val="20"/>
        </w:rPr>
        <w:t xml:space="preserve">, 1946; Thomson, 1952; De </w:t>
      </w:r>
      <w:proofErr w:type="spellStart"/>
      <w:r w:rsidRPr="00D31C07">
        <w:rPr>
          <w:rFonts w:ascii="Arial" w:hAnsi="Arial" w:cs="Arial"/>
          <w:sz w:val="20"/>
          <w:szCs w:val="20"/>
        </w:rPr>
        <w:t>Loof</w:t>
      </w:r>
      <w:proofErr w:type="spellEnd"/>
      <w:r w:rsidRPr="00D31C07">
        <w:rPr>
          <w:rFonts w:ascii="Arial" w:hAnsi="Arial" w:cs="Arial"/>
          <w:sz w:val="20"/>
          <w:szCs w:val="20"/>
        </w:rPr>
        <w:t xml:space="preserve"> &amp; De Wilde, 1970; Bell &amp; Barth, 1971).</w:t>
      </w:r>
    </w:p>
    <w:p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In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a species with inherently low fecundity and frequent egg retention, hormonal regulation appears central to improving reproductive performance, especially under seed production constraints. </w:t>
      </w:r>
      <w:proofErr w:type="spellStart"/>
      <w:r w:rsidRPr="00D31C07">
        <w:rPr>
          <w:rFonts w:ascii="Arial" w:hAnsi="Arial" w:cs="Arial"/>
          <w:sz w:val="20"/>
          <w:szCs w:val="20"/>
        </w:rPr>
        <w:t>Neog</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(2014) conducted a critical investigation into the effects of two major juvenile hormones, juvenile hormone III (JH-III) and 20-hydroxyecdysone (20-E) on the reproductive physiology and rearing performance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Their study revealed that topical application of JH-III (10 </w:t>
      </w:r>
      <w:proofErr w:type="spellStart"/>
      <w:r w:rsidRPr="00D31C07">
        <w:rPr>
          <w:rFonts w:ascii="Arial" w:hAnsi="Arial" w:cs="Arial"/>
          <w:sz w:val="20"/>
          <w:szCs w:val="20"/>
        </w:rPr>
        <w:t>μg</w:t>
      </w:r>
      <w:proofErr w:type="spellEnd"/>
      <w:r w:rsidRPr="00D31C07">
        <w:rPr>
          <w:rFonts w:ascii="Arial" w:hAnsi="Arial" w:cs="Arial"/>
          <w:sz w:val="20"/>
          <w:szCs w:val="20"/>
        </w:rPr>
        <w:t>) and 20-E (15 </w:t>
      </w:r>
      <w:proofErr w:type="spellStart"/>
      <w:r w:rsidRPr="00D31C07">
        <w:rPr>
          <w:rFonts w:ascii="Arial" w:hAnsi="Arial" w:cs="Arial"/>
          <w:sz w:val="20"/>
          <w:szCs w:val="20"/>
        </w:rPr>
        <w:t>μg</w:t>
      </w:r>
      <w:proofErr w:type="spellEnd"/>
      <w:r w:rsidRPr="00D31C07">
        <w:rPr>
          <w:rFonts w:ascii="Arial" w:hAnsi="Arial" w:cs="Arial"/>
          <w:sz w:val="20"/>
          <w:szCs w:val="20"/>
        </w:rPr>
        <w:t>) significantly enhanced multiple reproductive traits compared to controls. Notably, 20-E treatment led to reduced fifth instar larval duration, improved cocoon formation (79%), and the highest pupal and shell weights (6.61 g and 0.58 g, respectively). JH-III also improved these traits, albeit to a slightly lesser degree, and was found to increase larval duration by one to two days.</w:t>
      </w:r>
    </w:p>
    <w:p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lastRenderedPageBreak/>
        <w:t>Fecundity was markedly improved under both hormonal treatments</w:t>
      </w:r>
      <w:r w:rsidR="00F22F54" w:rsidRPr="00D31C07">
        <w:rPr>
          <w:rFonts w:ascii="Arial" w:hAnsi="Arial" w:cs="Arial"/>
          <w:sz w:val="20"/>
          <w:szCs w:val="20"/>
        </w:rPr>
        <w:t xml:space="preserve"> (Table 2)</w:t>
      </w:r>
      <w:r w:rsidRPr="00D31C07">
        <w:rPr>
          <w:rFonts w:ascii="Arial" w:hAnsi="Arial" w:cs="Arial"/>
          <w:sz w:val="20"/>
          <w:szCs w:val="20"/>
        </w:rPr>
        <w:t xml:space="preserve">. </w:t>
      </w:r>
      <w:proofErr w:type="spellStart"/>
      <w:r w:rsidRPr="00D31C07">
        <w:rPr>
          <w:rFonts w:ascii="Arial" w:hAnsi="Arial" w:cs="Arial"/>
          <w:sz w:val="20"/>
          <w:szCs w:val="20"/>
        </w:rPr>
        <w:t>Neog</w:t>
      </w:r>
      <w:proofErr w:type="spellEnd"/>
      <w:r w:rsidRPr="00D31C07">
        <w:rPr>
          <w:rFonts w:ascii="Arial" w:hAnsi="Arial" w:cs="Arial"/>
          <w:sz w:val="20"/>
          <w:szCs w:val="20"/>
        </w:rPr>
        <w:t xml:space="preserve"> et al. (2014) reported increased egg-laying (150–166 eggs per female moth) compared to untreated controls (100–115 eggs). Moreover, egg retention, a persistent problem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was substantially reduced following hormone application, with 20-E yielding the lowest average retained egg count (13.44), followed by JH-III. Vitellogenin synthesis in pupal tissues, pharate adults, normal eggs, and retained eggs was also elevated under hormonal influence. Ovarian length in treated pupae increased significantly (9.63 cm for 20-E and </w:t>
      </w:r>
      <w:proofErr w:type="gramStart"/>
      <w:r w:rsidRPr="00D31C07">
        <w:rPr>
          <w:rFonts w:ascii="Arial" w:hAnsi="Arial" w:cs="Arial"/>
          <w:sz w:val="20"/>
          <w:szCs w:val="20"/>
        </w:rPr>
        <w:t>9.31  cm</w:t>
      </w:r>
      <w:proofErr w:type="gramEnd"/>
      <w:r w:rsidRPr="00D31C07">
        <w:rPr>
          <w:rFonts w:ascii="Arial" w:hAnsi="Arial" w:cs="Arial"/>
          <w:sz w:val="20"/>
          <w:szCs w:val="20"/>
        </w:rPr>
        <w:t xml:space="preserve"> for JH-III), compared to controls (8.65 cm), suggesting enhanced ovarian development. In addition to hormonal effects on internal physiology, </w:t>
      </w:r>
      <w:proofErr w:type="spellStart"/>
      <w:r w:rsidRPr="00D31C07">
        <w:rPr>
          <w:rFonts w:ascii="Arial" w:hAnsi="Arial" w:cs="Arial"/>
          <w:sz w:val="20"/>
          <w:szCs w:val="20"/>
        </w:rPr>
        <w:t>Neog</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(2014) studied the ultrastructure of the brain and ovaries in larvae and pupae subjected to hormone treatments, identifying neuroendocrine regulation as a critical factor governing reproductive output. The presence of corpus </w:t>
      </w:r>
      <w:proofErr w:type="spellStart"/>
      <w:r w:rsidRPr="00D31C07">
        <w:rPr>
          <w:rFonts w:ascii="Arial" w:hAnsi="Arial" w:cs="Arial"/>
          <w:sz w:val="20"/>
          <w:szCs w:val="20"/>
        </w:rPr>
        <w:t>allatum</w:t>
      </w:r>
      <w:proofErr w:type="spellEnd"/>
      <w:r w:rsidRPr="00D31C07">
        <w:rPr>
          <w:rFonts w:ascii="Arial" w:hAnsi="Arial" w:cs="Arial"/>
          <w:sz w:val="20"/>
          <w:szCs w:val="20"/>
        </w:rPr>
        <w:t xml:space="preserve"> (CA) and its secretion of JH are known to be essential for yolk formation and ovarian maturation in multiple insect species (Wigglesworth, 1936; Bell &amp; Barth, 1971), and similar processes appear to operate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w:t>
      </w:r>
    </w:p>
    <w:p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Supporting evidence from other lepidopteran studies further reinforces the utility of hormone analogs in reproductive enhancement.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a juvenile hormone analog, has been shown to improve fecundity in </w:t>
      </w:r>
      <w:r w:rsidRPr="00D31C07">
        <w:rPr>
          <w:rStyle w:val="Emphasis"/>
          <w:rFonts w:ascii="Arial" w:hAnsi="Arial" w:cs="Arial"/>
          <w:sz w:val="20"/>
          <w:szCs w:val="20"/>
        </w:rPr>
        <w:t>Bombyx mori</w:t>
      </w:r>
      <w:r w:rsidRPr="00D31C07">
        <w:rPr>
          <w:rFonts w:ascii="Arial" w:hAnsi="Arial" w:cs="Arial"/>
          <w:sz w:val="20"/>
          <w:szCs w:val="20"/>
        </w:rPr>
        <w:t xml:space="preserve"> and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yamamai</w:t>
      </w:r>
      <w:proofErr w:type="spellEnd"/>
      <w:r w:rsidRPr="00D31C07">
        <w:rPr>
          <w:rFonts w:ascii="Arial" w:hAnsi="Arial" w:cs="Arial"/>
          <w:sz w:val="20"/>
          <w:szCs w:val="20"/>
        </w:rPr>
        <w:t xml:space="preserve"> through various methods of application including topical spray and leaf immersion (</w:t>
      </w:r>
      <w:proofErr w:type="spellStart"/>
      <w:r w:rsidRPr="00D31C07">
        <w:rPr>
          <w:rFonts w:ascii="Arial" w:hAnsi="Arial" w:cs="Arial"/>
          <w:sz w:val="20"/>
          <w:szCs w:val="20"/>
        </w:rPr>
        <w:t>Gaboud</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1985; </w:t>
      </w:r>
      <w:r w:rsidR="0017499B" w:rsidRPr="00D31C07">
        <w:rPr>
          <w:rFonts w:ascii="Arial" w:hAnsi="Arial" w:cs="Arial"/>
          <w:sz w:val="20"/>
          <w:szCs w:val="20"/>
        </w:rPr>
        <w:t xml:space="preserve">Ye </w:t>
      </w:r>
      <w:proofErr w:type="spellStart"/>
      <w:r w:rsidRPr="00D31C07">
        <w:rPr>
          <w:rFonts w:ascii="Arial" w:hAnsi="Arial" w:cs="Arial"/>
          <w:sz w:val="20"/>
          <w:szCs w:val="20"/>
        </w:rPr>
        <w:t>Gong</w:t>
      </w:r>
      <w:r w:rsidR="0017499B" w:rsidRPr="00D31C07">
        <w:rPr>
          <w:rFonts w:ascii="Arial" w:hAnsi="Arial" w:cs="Arial"/>
          <w:sz w:val="20"/>
          <w:szCs w:val="20"/>
        </w:rPr>
        <w:t>Y</w:t>
      </w:r>
      <w:r w:rsidRPr="00D31C07">
        <w:rPr>
          <w:rFonts w:ascii="Arial" w:hAnsi="Arial" w:cs="Arial"/>
          <w:sz w:val="20"/>
          <w:szCs w:val="20"/>
        </w:rPr>
        <w:t>in</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1999). </w:t>
      </w:r>
      <w:proofErr w:type="spellStart"/>
      <w:r w:rsidRPr="00D31C07">
        <w:rPr>
          <w:rFonts w:ascii="Arial" w:hAnsi="Arial" w:cs="Arial"/>
          <w:sz w:val="20"/>
          <w:szCs w:val="20"/>
        </w:rPr>
        <w:t>Changamma</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(2000) demonstrated increased reproductive organ weights and fecundity in </w:t>
      </w:r>
      <w:r w:rsidRPr="00D31C07">
        <w:rPr>
          <w:rStyle w:val="Emphasis"/>
          <w:rFonts w:ascii="Arial" w:hAnsi="Arial" w:cs="Arial"/>
          <w:sz w:val="20"/>
          <w:szCs w:val="20"/>
        </w:rPr>
        <w:t>B. mori</w:t>
      </w:r>
      <w:r w:rsidRPr="00D31C07">
        <w:rPr>
          <w:rFonts w:ascii="Arial" w:hAnsi="Arial" w:cs="Arial"/>
          <w:sz w:val="20"/>
          <w:szCs w:val="20"/>
        </w:rPr>
        <w:t xml:space="preserve"> after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treatment during the fifth instar. Similarly, Miranda </w:t>
      </w:r>
      <w:r w:rsidRPr="00D31C07">
        <w:rPr>
          <w:rFonts w:ascii="Arial" w:hAnsi="Arial" w:cs="Arial"/>
          <w:i/>
          <w:sz w:val="20"/>
          <w:szCs w:val="20"/>
        </w:rPr>
        <w:t>et al.</w:t>
      </w:r>
      <w:r w:rsidRPr="00D31C07">
        <w:rPr>
          <w:rFonts w:ascii="Arial" w:hAnsi="Arial" w:cs="Arial"/>
          <w:sz w:val="20"/>
          <w:szCs w:val="20"/>
        </w:rPr>
        <w:t xml:space="preserve"> (2002) found that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prolonged fifth instar duration and significantly increased body weight.</w:t>
      </w:r>
    </w:p>
    <w:p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In a subsequent field study, </w:t>
      </w:r>
      <w:proofErr w:type="spellStart"/>
      <w:r w:rsidRPr="00D31C07">
        <w:rPr>
          <w:rFonts w:ascii="Arial" w:hAnsi="Arial" w:cs="Arial"/>
          <w:sz w:val="20"/>
          <w:szCs w:val="20"/>
        </w:rPr>
        <w:t>Neog</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(2017) evaluated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application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under commercial conditions and observed substantial improvements in reproductive parameters. Treated female moths exhibited higher fecundity (184 eggs/female) compared to controls (135 eggs/female), and the proportion of viable (valid) females was increased during both Katia (48.01% vs. 39.65%) and </w:t>
      </w:r>
      <w:proofErr w:type="spellStart"/>
      <w:r w:rsidRPr="00D31C07">
        <w:rPr>
          <w:rFonts w:ascii="Arial" w:hAnsi="Arial" w:cs="Arial"/>
          <w:sz w:val="20"/>
          <w:szCs w:val="20"/>
        </w:rPr>
        <w:t>Aherua</w:t>
      </w:r>
      <w:proofErr w:type="spellEnd"/>
      <w:r w:rsidRPr="00D31C07">
        <w:rPr>
          <w:rFonts w:ascii="Arial" w:hAnsi="Arial" w:cs="Arial"/>
          <w:sz w:val="20"/>
          <w:szCs w:val="20"/>
        </w:rPr>
        <w:t xml:space="preserve"> (44.19% vs. 36.58%) generations.</w:t>
      </w:r>
    </w:p>
    <w:p w:rsidR="004121C9" w:rsidRPr="00D31C07" w:rsidRDefault="004121C9" w:rsidP="004121C9">
      <w:pPr>
        <w:pStyle w:val="NormalWeb"/>
        <w:jc w:val="both"/>
        <w:rPr>
          <w:rFonts w:ascii="Arial" w:hAnsi="Arial" w:cs="Arial"/>
          <w:sz w:val="20"/>
          <w:szCs w:val="20"/>
        </w:rPr>
      </w:pPr>
      <w:r w:rsidRPr="00D31C07">
        <w:rPr>
          <w:rFonts w:ascii="Arial" w:hAnsi="Arial" w:cs="Arial"/>
          <w:sz w:val="20"/>
          <w:szCs w:val="20"/>
        </w:rPr>
        <w:t xml:space="preserve">Collectively, these findings suggest that exogenous application of hormonal regulators such as JH-III, 20-E, and </w:t>
      </w:r>
      <w:proofErr w:type="spellStart"/>
      <w:r w:rsidRPr="00D31C07">
        <w:rPr>
          <w:rFonts w:ascii="Arial" w:hAnsi="Arial" w:cs="Arial"/>
          <w:sz w:val="20"/>
          <w:szCs w:val="20"/>
        </w:rPr>
        <w:t>methoprene</w:t>
      </w:r>
      <w:proofErr w:type="spellEnd"/>
      <w:r w:rsidRPr="00D31C07">
        <w:rPr>
          <w:rFonts w:ascii="Arial" w:hAnsi="Arial" w:cs="Arial"/>
          <w:sz w:val="20"/>
          <w:szCs w:val="20"/>
        </w:rPr>
        <w:t xml:space="preserve"> can serve as effective tools for enhancing seed production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Given that limited fecundity and egg retention remain major bottlenecks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seed production (</w:t>
      </w:r>
      <w:proofErr w:type="spellStart"/>
      <w:r w:rsidRPr="00D31C07">
        <w:rPr>
          <w:rFonts w:ascii="Arial" w:hAnsi="Arial" w:cs="Arial"/>
          <w:sz w:val="20"/>
          <w:szCs w:val="20"/>
        </w:rPr>
        <w:t>Neog</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2014), hormonal intervention represents a promising strategy to improve reproductive output and stabilize supply for commercial rearing. However, further research is needed to elucidate the long-term physiological impacts of such treatments and to optimize dosages across seasons and developmental stages.</w:t>
      </w:r>
    </w:p>
    <w:p w:rsidR="00F22F54" w:rsidRPr="00BF2A14" w:rsidRDefault="00F22F54" w:rsidP="004121C9">
      <w:pPr>
        <w:pStyle w:val="NormalWeb"/>
        <w:jc w:val="both"/>
        <w:rPr>
          <w:rFonts w:ascii="Arial" w:hAnsi="Arial" w:cs="Arial"/>
          <w:b/>
          <w:sz w:val="20"/>
        </w:rPr>
      </w:pPr>
      <w:r w:rsidRPr="00BF2A14">
        <w:rPr>
          <w:rFonts w:ascii="Arial" w:hAnsi="Arial" w:cs="Arial"/>
          <w:b/>
          <w:sz w:val="20"/>
        </w:rPr>
        <w:t xml:space="preserve">Table 2. Fecundity and no. of retained eggs treated by JH- III, 20- E and </w:t>
      </w:r>
      <w:proofErr w:type="spellStart"/>
      <w:r w:rsidRPr="00BF2A14">
        <w:rPr>
          <w:rFonts w:ascii="Arial" w:hAnsi="Arial" w:cs="Arial"/>
          <w:b/>
          <w:sz w:val="20"/>
        </w:rPr>
        <w:t>methoprene</w:t>
      </w:r>
      <w:proofErr w:type="spellEnd"/>
    </w:p>
    <w:tbl>
      <w:tblPr>
        <w:tblStyle w:val="TableGrid"/>
        <w:tblW w:w="0" w:type="auto"/>
        <w:tblInd w:w="1665"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03"/>
        <w:gridCol w:w="1576"/>
        <w:gridCol w:w="1701"/>
        <w:gridCol w:w="1418"/>
      </w:tblGrid>
      <w:tr w:rsidR="00F22F54" w:rsidRPr="00BF2A14" w:rsidTr="00BF2A14">
        <w:tc>
          <w:tcPr>
            <w:tcW w:w="1403" w:type="dxa"/>
            <w:tcBorders>
              <w:top w:val="single" w:sz="4" w:space="0" w:color="auto"/>
              <w:bottom w:val="single" w:sz="4" w:space="0" w:color="auto"/>
            </w:tcBorders>
          </w:tcPr>
          <w:p w:rsidR="00F22F54" w:rsidRPr="00BF2A14" w:rsidRDefault="00F22F54" w:rsidP="00BF2A14">
            <w:pPr>
              <w:pStyle w:val="NormalWeb"/>
              <w:spacing w:line="480" w:lineRule="auto"/>
              <w:jc w:val="both"/>
              <w:rPr>
                <w:rFonts w:ascii="Arial" w:hAnsi="Arial" w:cs="Arial"/>
                <w:b/>
                <w:sz w:val="20"/>
              </w:rPr>
            </w:pPr>
            <w:r w:rsidRPr="00BF2A14">
              <w:rPr>
                <w:rFonts w:ascii="Arial" w:hAnsi="Arial" w:cs="Arial"/>
                <w:b/>
                <w:sz w:val="20"/>
              </w:rPr>
              <w:t>Treatments</w:t>
            </w:r>
          </w:p>
        </w:tc>
        <w:tc>
          <w:tcPr>
            <w:tcW w:w="1576" w:type="dxa"/>
            <w:tcBorders>
              <w:top w:val="single" w:sz="4" w:space="0" w:color="auto"/>
              <w:bottom w:val="single" w:sz="4" w:space="0" w:color="auto"/>
            </w:tcBorders>
          </w:tcPr>
          <w:p w:rsidR="00F22F54" w:rsidRPr="00BF2A14" w:rsidRDefault="00F22F54" w:rsidP="00BF2A14">
            <w:pPr>
              <w:pStyle w:val="NormalWeb"/>
              <w:spacing w:line="480" w:lineRule="auto"/>
              <w:jc w:val="both"/>
              <w:rPr>
                <w:rFonts w:ascii="Arial" w:hAnsi="Arial" w:cs="Arial"/>
                <w:b/>
                <w:sz w:val="20"/>
              </w:rPr>
            </w:pPr>
            <w:r w:rsidRPr="00BF2A14">
              <w:rPr>
                <w:rFonts w:ascii="Arial" w:hAnsi="Arial" w:cs="Arial"/>
                <w:b/>
                <w:sz w:val="20"/>
              </w:rPr>
              <w:t>Fecundity (nos.)</w:t>
            </w:r>
          </w:p>
        </w:tc>
        <w:tc>
          <w:tcPr>
            <w:tcW w:w="1701" w:type="dxa"/>
            <w:tcBorders>
              <w:top w:val="single" w:sz="4" w:space="0" w:color="auto"/>
              <w:bottom w:val="single" w:sz="4" w:space="0" w:color="auto"/>
            </w:tcBorders>
          </w:tcPr>
          <w:p w:rsidR="00F22F54" w:rsidRPr="00BF2A14" w:rsidRDefault="00F22F54" w:rsidP="00BF2A14">
            <w:pPr>
              <w:pStyle w:val="NormalWeb"/>
              <w:spacing w:line="480" w:lineRule="auto"/>
              <w:rPr>
                <w:rFonts w:ascii="Arial" w:hAnsi="Arial" w:cs="Arial"/>
                <w:b/>
                <w:sz w:val="20"/>
              </w:rPr>
            </w:pPr>
            <w:r w:rsidRPr="00BF2A14">
              <w:rPr>
                <w:rFonts w:ascii="Arial" w:hAnsi="Arial" w:cs="Arial"/>
                <w:b/>
                <w:sz w:val="20"/>
              </w:rPr>
              <w:t>Retained eggs (Nos.)</w:t>
            </w:r>
          </w:p>
        </w:tc>
        <w:tc>
          <w:tcPr>
            <w:tcW w:w="1418" w:type="dxa"/>
            <w:tcBorders>
              <w:top w:val="single" w:sz="4" w:space="0" w:color="auto"/>
              <w:bottom w:val="single" w:sz="4" w:space="0" w:color="auto"/>
            </w:tcBorders>
          </w:tcPr>
          <w:p w:rsidR="00F22F54" w:rsidRPr="00BF2A14" w:rsidRDefault="00F22F54" w:rsidP="00BF2A14">
            <w:pPr>
              <w:pStyle w:val="NormalWeb"/>
              <w:spacing w:line="480" w:lineRule="auto"/>
              <w:jc w:val="both"/>
              <w:rPr>
                <w:rFonts w:ascii="Arial" w:hAnsi="Arial" w:cs="Arial"/>
                <w:b/>
                <w:sz w:val="20"/>
              </w:rPr>
            </w:pPr>
            <w:r w:rsidRPr="00BF2A14">
              <w:rPr>
                <w:rFonts w:ascii="Arial" w:hAnsi="Arial" w:cs="Arial"/>
                <w:b/>
                <w:sz w:val="20"/>
              </w:rPr>
              <w:t>Reference</w:t>
            </w:r>
          </w:p>
        </w:tc>
      </w:tr>
      <w:tr w:rsidR="00F22F54" w:rsidRPr="00BF2A14" w:rsidTr="00BF2A14">
        <w:trPr>
          <w:trHeight w:val="427"/>
        </w:trPr>
        <w:tc>
          <w:tcPr>
            <w:tcW w:w="1403" w:type="dxa"/>
            <w:tcBorders>
              <w:top w:val="single" w:sz="4" w:space="0" w:color="auto"/>
              <w:bottom w:val="nil"/>
            </w:tcBorders>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JH-III</w:t>
            </w:r>
          </w:p>
        </w:tc>
        <w:tc>
          <w:tcPr>
            <w:tcW w:w="1576" w:type="dxa"/>
            <w:tcBorders>
              <w:top w:val="single" w:sz="4" w:space="0" w:color="auto"/>
              <w:bottom w:val="nil"/>
            </w:tcBorders>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154.22</w:t>
            </w:r>
          </w:p>
        </w:tc>
        <w:tc>
          <w:tcPr>
            <w:tcW w:w="1701" w:type="dxa"/>
            <w:tcBorders>
              <w:top w:val="single" w:sz="4" w:space="0" w:color="auto"/>
              <w:bottom w:val="nil"/>
            </w:tcBorders>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18.89</w:t>
            </w:r>
          </w:p>
        </w:tc>
        <w:tc>
          <w:tcPr>
            <w:tcW w:w="1418" w:type="dxa"/>
            <w:vMerge w:val="restart"/>
            <w:tcBorders>
              <w:top w:val="single" w:sz="4" w:space="0" w:color="auto"/>
              <w:bottom w:val="nil"/>
            </w:tcBorders>
          </w:tcPr>
          <w:p w:rsidR="00F22F54" w:rsidRPr="00BF2A14" w:rsidRDefault="00F22F54" w:rsidP="00BF2A14">
            <w:pPr>
              <w:pStyle w:val="NormalWeb"/>
              <w:spacing w:line="480" w:lineRule="auto"/>
              <w:jc w:val="both"/>
              <w:rPr>
                <w:rFonts w:ascii="Arial" w:hAnsi="Arial" w:cs="Arial"/>
                <w:sz w:val="20"/>
              </w:rPr>
            </w:pPr>
            <w:proofErr w:type="spellStart"/>
            <w:r w:rsidRPr="00BF2A14">
              <w:rPr>
                <w:rFonts w:ascii="Arial" w:hAnsi="Arial" w:cs="Arial"/>
                <w:sz w:val="20"/>
              </w:rPr>
              <w:t>Neog</w:t>
            </w:r>
            <w:proofErr w:type="spellEnd"/>
            <w:r w:rsidRPr="00BF2A14">
              <w:rPr>
                <w:rFonts w:ascii="Arial" w:hAnsi="Arial" w:cs="Arial"/>
                <w:sz w:val="20"/>
              </w:rPr>
              <w:t xml:space="preserve"> </w:t>
            </w:r>
            <w:r w:rsidRPr="00BF2A14">
              <w:rPr>
                <w:rFonts w:ascii="Arial" w:hAnsi="Arial" w:cs="Arial"/>
                <w:i/>
                <w:sz w:val="20"/>
              </w:rPr>
              <w:t>et al.</w:t>
            </w:r>
            <w:r w:rsidRPr="00BF2A14">
              <w:rPr>
                <w:rFonts w:ascii="Arial" w:hAnsi="Arial" w:cs="Arial"/>
                <w:sz w:val="20"/>
              </w:rPr>
              <w:t xml:space="preserve"> (2014)</w:t>
            </w:r>
          </w:p>
        </w:tc>
      </w:tr>
      <w:tr w:rsidR="00F22F54" w:rsidRPr="00BF2A14" w:rsidTr="00BF2A14">
        <w:tc>
          <w:tcPr>
            <w:tcW w:w="1403" w:type="dxa"/>
            <w:tcBorders>
              <w:top w:val="nil"/>
            </w:tcBorders>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20-E</w:t>
            </w:r>
          </w:p>
        </w:tc>
        <w:tc>
          <w:tcPr>
            <w:tcW w:w="1576" w:type="dxa"/>
            <w:tcBorders>
              <w:top w:val="nil"/>
            </w:tcBorders>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136.56</w:t>
            </w:r>
          </w:p>
        </w:tc>
        <w:tc>
          <w:tcPr>
            <w:tcW w:w="1701" w:type="dxa"/>
            <w:tcBorders>
              <w:top w:val="nil"/>
            </w:tcBorders>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13.44</w:t>
            </w:r>
          </w:p>
        </w:tc>
        <w:tc>
          <w:tcPr>
            <w:tcW w:w="1418" w:type="dxa"/>
            <w:vMerge/>
            <w:tcBorders>
              <w:top w:val="nil"/>
            </w:tcBorders>
          </w:tcPr>
          <w:p w:rsidR="00F22F54" w:rsidRPr="00BF2A14" w:rsidRDefault="00F22F54" w:rsidP="00BF2A14">
            <w:pPr>
              <w:pStyle w:val="NormalWeb"/>
              <w:spacing w:line="480" w:lineRule="auto"/>
              <w:jc w:val="both"/>
              <w:rPr>
                <w:rFonts w:ascii="Arial" w:hAnsi="Arial" w:cs="Arial"/>
                <w:sz w:val="20"/>
              </w:rPr>
            </w:pPr>
          </w:p>
        </w:tc>
      </w:tr>
      <w:tr w:rsidR="00F22F54" w:rsidRPr="00BF2A14" w:rsidTr="00BF2A14">
        <w:tc>
          <w:tcPr>
            <w:tcW w:w="1403" w:type="dxa"/>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Untreated</w:t>
            </w:r>
          </w:p>
        </w:tc>
        <w:tc>
          <w:tcPr>
            <w:tcW w:w="1576" w:type="dxa"/>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110.17</w:t>
            </w:r>
          </w:p>
        </w:tc>
        <w:tc>
          <w:tcPr>
            <w:tcW w:w="1701" w:type="dxa"/>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30.89</w:t>
            </w:r>
          </w:p>
        </w:tc>
        <w:tc>
          <w:tcPr>
            <w:tcW w:w="1418" w:type="dxa"/>
            <w:vMerge/>
          </w:tcPr>
          <w:p w:rsidR="00F22F54" w:rsidRPr="00BF2A14" w:rsidRDefault="00F22F54" w:rsidP="00BF2A14">
            <w:pPr>
              <w:pStyle w:val="NormalWeb"/>
              <w:spacing w:line="480" w:lineRule="auto"/>
              <w:jc w:val="both"/>
              <w:rPr>
                <w:rFonts w:ascii="Arial" w:hAnsi="Arial" w:cs="Arial"/>
                <w:sz w:val="20"/>
              </w:rPr>
            </w:pPr>
          </w:p>
        </w:tc>
      </w:tr>
      <w:tr w:rsidR="00F22F54" w:rsidRPr="00BF2A14" w:rsidTr="00BF2A14">
        <w:tc>
          <w:tcPr>
            <w:tcW w:w="1403" w:type="dxa"/>
          </w:tcPr>
          <w:p w:rsidR="00F22F54" w:rsidRPr="00BF2A14" w:rsidRDefault="00F22F54" w:rsidP="00BF2A14">
            <w:pPr>
              <w:pStyle w:val="NormalWeb"/>
              <w:spacing w:line="480" w:lineRule="auto"/>
              <w:jc w:val="both"/>
              <w:rPr>
                <w:rFonts w:ascii="Arial" w:hAnsi="Arial" w:cs="Arial"/>
                <w:sz w:val="20"/>
              </w:rPr>
            </w:pPr>
            <w:proofErr w:type="spellStart"/>
            <w:r w:rsidRPr="00BF2A14">
              <w:rPr>
                <w:rFonts w:ascii="Arial" w:hAnsi="Arial" w:cs="Arial"/>
                <w:sz w:val="20"/>
              </w:rPr>
              <w:t>Methoprene</w:t>
            </w:r>
            <w:proofErr w:type="spellEnd"/>
          </w:p>
        </w:tc>
        <w:tc>
          <w:tcPr>
            <w:tcW w:w="1576" w:type="dxa"/>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184</w:t>
            </w:r>
          </w:p>
        </w:tc>
        <w:tc>
          <w:tcPr>
            <w:tcW w:w="1701" w:type="dxa"/>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14</w:t>
            </w:r>
          </w:p>
        </w:tc>
        <w:tc>
          <w:tcPr>
            <w:tcW w:w="1418" w:type="dxa"/>
            <w:vMerge w:val="restart"/>
          </w:tcPr>
          <w:p w:rsidR="00F22F54" w:rsidRPr="00BF2A14" w:rsidRDefault="00F22F54" w:rsidP="00BF2A14">
            <w:pPr>
              <w:pStyle w:val="NormalWeb"/>
              <w:spacing w:line="480" w:lineRule="auto"/>
              <w:jc w:val="both"/>
              <w:rPr>
                <w:rFonts w:ascii="Arial" w:hAnsi="Arial" w:cs="Arial"/>
                <w:sz w:val="20"/>
              </w:rPr>
            </w:pPr>
            <w:proofErr w:type="spellStart"/>
            <w:r w:rsidRPr="00BF2A14">
              <w:rPr>
                <w:rFonts w:ascii="Arial" w:hAnsi="Arial" w:cs="Arial"/>
                <w:sz w:val="20"/>
              </w:rPr>
              <w:t>Neog</w:t>
            </w:r>
            <w:proofErr w:type="spellEnd"/>
            <w:r w:rsidRPr="00BF2A14">
              <w:rPr>
                <w:rFonts w:ascii="Arial" w:hAnsi="Arial" w:cs="Arial"/>
                <w:sz w:val="20"/>
              </w:rPr>
              <w:t xml:space="preserve"> </w:t>
            </w:r>
            <w:r w:rsidRPr="00BF2A14">
              <w:rPr>
                <w:rFonts w:ascii="Arial" w:hAnsi="Arial" w:cs="Arial"/>
                <w:i/>
                <w:sz w:val="20"/>
              </w:rPr>
              <w:t>et al.</w:t>
            </w:r>
            <w:r w:rsidRPr="00BF2A14">
              <w:rPr>
                <w:rFonts w:ascii="Arial" w:hAnsi="Arial" w:cs="Arial"/>
                <w:sz w:val="20"/>
              </w:rPr>
              <w:t xml:space="preserve"> (2017)</w:t>
            </w:r>
          </w:p>
        </w:tc>
      </w:tr>
      <w:tr w:rsidR="00F22F54" w:rsidRPr="00BF2A14" w:rsidTr="00BF2A14">
        <w:tc>
          <w:tcPr>
            <w:tcW w:w="1403" w:type="dxa"/>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Untreated</w:t>
            </w:r>
          </w:p>
        </w:tc>
        <w:tc>
          <w:tcPr>
            <w:tcW w:w="1576" w:type="dxa"/>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135</w:t>
            </w:r>
          </w:p>
        </w:tc>
        <w:tc>
          <w:tcPr>
            <w:tcW w:w="1701" w:type="dxa"/>
          </w:tcPr>
          <w:p w:rsidR="00F22F54" w:rsidRPr="00BF2A14" w:rsidRDefault="00F22F54" w:rsidP="00BF2A14">
            <w:pPr>
              <w:pStyle w:val="NormalWeb"/>
              <w:spacing w:line="480" w:lineRule="auto"/>
              <w:jc w:val="both"/>
              <w:rPr>
                <w:rFonts w:ascii="Arial" w:hAnsi="Arial" w:cs="Arial"/>
                <w:sz w:val="20"/>
              </w:rPr>
            </w:pPr>
            <w:r w:rsidRPr="00BF2A14">
              <w:rPr>
                <w:rFonts w:ascii="Arial" w:hAnsi="Arial" w:cs="Arial"/>
                <w:sz w:val="20"/>
              </w:rPr>
              <w:t>47</w:t>
            </w:r>
          </w:p>
        </w:tc>
        <w:tc>
          <w:tcPr>
            <w:tcW w:w="1418" w:type="dxa"/>
            <w:vMerge/>
          </w:tcPr>
          <w:p w:rsidR="00F22F54" w:rsidRPr="00BF2A14" w:rsidRDefault="00F22F54" w:rsidP="00BF2A14">
            <w:pPr>
              <w:pStyle w:val="NormalWeb"/>
              <w:spacing w:line="480" w:lineRule="auto"/>
              <w:jc w:val="both"/>
              <w:rPr>
                <w:rFonts w:ascii="Arial" w:hAnsi="Arial" w:cs="Arial"/>
                <w:sz w:val="20"/>
              </w:rPr>
            </w:pPr>
          </w:p>
        </w:tc>
      </w:tr>
    </w:tbl>
    <w:p w:rsidR="004121C9" w:rsidRPr="00D31C07" w:rsidRDefault="00D31C07" w:rsidP="00091E0F">
      <w:pPr>
        <w:pStyle w:val="NormalWeb"/>
        <w:jc w:val="both"/>
        <w:rPr>
          <w:rFonts w:ascii="Arial" w:hAnsi="Arial" w:cs="Arial"/>
          <w:b/>
          <w:bCs/>
          <w:sz w:val="22"/>
        </w:rPr>
      </w:pPr>
      <w:r w:rsidRPr="00D31C07">
        <w:rPr>
          <w:rFonts w:ascii="Arial" w:hAnsi="Arial" w:cs="Arial"/>
          <w:b/>
          <w:bCs/>
          <w:sz w:val="22"/>
        </w:rPr>
        <w:t>4. SEASONAL INFLUENCE ON REPRODUCTIVE PERFORMANCE</w:t>
      </w:r>
    </w:p>
    <w:p w:rsidR="00091E0F" w:rsidRPr="00D31C07" w:rsidRDefault="00091E0F" w:rsidP="00091E0F">
      <w:pPr>
        <w:pStyle w:val="NormalWeb"/>
        <w:jc w:val="both"/>
        <w:rPr>
          <w:rFonts w:ascii="Arial" w:hAnsi="Arial" w:cs="Arial"/>
          <w:sz w:val="20"/>
          <w:szCs w:val="20"/>
        </w:rPr>
      </w:pPr>
      <w:r w:rsidRPr="00D31C07">
        <w:rPr>
          <w:rFonts w:ascii="Arial" w:hAnsi="Arial" w:cs="Arial"/>
          <w:sz w:val="20"/>
          <w:szCs w:val="20"/>
        </w:rPr>
        <w:lastRenderedPageBreak/>
        <w:t xml:space="preserve">Seasonal variation is a fundamental ecological factor influencing the reproductive performance, physiology, and overall developmental biology of insects, including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w:t>
      </w:r>
      <w:proofErr w:type="spellStart"/>
      <w:r w:rsidRPr="00D31C07">
        <w:rPr>
          <w:rFonts w:ascii="Arial" w:hAnsi="Arial" w:cs="Arial"/>
          <w:sz w:val="20"/>
          <w:szCs w:val="20"/>
        </w:rPr>
        <w:t>Odum</w:t>
      </w:r>
      <w:proofErr w:type="spellEnd"/>
      <w:r w:rsidRPr="00D31C07">
        <w:rPr>
          <w:rFonts w:ascii="Arial" w:hAnsi="Arial" w:cs="Arial"/>
          <w:sz w:val="20"/>
          <w:szCs w:val="20"/>
        </w:rPr>
        <w:t xml:space="preserve">, 1983; </w:t>
      </w:r>
      <w:proofErr w:type="spellStart"/>
      <w:r w:rsidRPr="00D31C07">
        <w:rPr>
          <w:rFonts w:ascii="Arial" w:hAnsi="Arial" w:cs="Arial"/>
          <w:sz w:val="20"/>
          <w:szCs w:val="20"/>
        </w:rPr>
        <w:t>Ouedraogo</w:t>
      </w:r>
      <w:proofErr w:type="spellEnd"/>
      <w:r w:rsidRPr="00D31C07">
        <w:rPr>
          <w:rFonts w:ascii="Arial" w:hAnsi="Arial" w:cs="Arial"/>
          <w:sz w:val="20"/>
          <w:szCs w:val="20"/>
        </w:rPr>
        <w:t xml:space="preserve"> </w:t>
      </w:r>
      <w:r w:rsidRPr="00D31C07">
        <w:rPr>
          <w:rFonts w:ascii="Arial" w:hAnsi="Arial" w:cs="Arial"/>
          <w:i/>
          <w:sz w:val="20"/>
          <w:szCs w:val="20"/>
        </w:rPr>
        <w:t xml:space="preserve">et al., </w:t>
      </w:r>
      <w:r w:rsidRPr="00D31C07">
        <w:rPr>
          <w:rFonts w:ascii="Arial" w:hAnsi="Arial" w:cs="Arial"/>
          <w:sz w:val="20"/>
          <w:szCs w:val="20"/>
        </w:rPr>
        <w:t xml:space="preserve">1996). As a multivoltine species reared in outdoor conditions, 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is particularly sensitive to fluctuations in temperature, humidity, and photoperiod, which in turn affect fecundity, egg quality, hatching success, and cocoon yield. Since seed production drives the entire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value chain, understanding the season-linked physiological responses of the moth is vital for improving </w:t>
      </w:r>
      <w:proofErr w:type="spellStart"/>
      <w:r w:rsidRPr="00D31C07">
        <w:rPr>
          <w:rFonts w:ascii="Arial" w:hAnsi="Arial" w:cs="Arial"/>
          <w:sz w:val="20"/>
          <w:szCs w:val="20"/>
        </w:rPr>
        <w:t>sericultural</w:t>
      </w:r>
      <w:proofErr w:type="spellEnd"/>
      <w:r w:rsidRPr="00D31C07">
        <w:rPr>
          <w:rFonts w:ascii="Arial" w:hAnsi="Arial" w:cs="Arial"/>
          <w:sz w:val="20"/>
          <w:szCs w:val="20"/>
        </w:rPr>
        <w:t xml:space="preserve"> output.</w:t>
      </w:r>
    </w:p>
    <w:p w:rsidR="00091E0F" w:rsidRPr="00D31C07" w:rsidRDefault="00091E0F" w:rsidP="00091E0F">
      <w:pPr>
        <w:pStyle w:val="NormalWeb"/>
        <w:jc w:val="both"/>
        <w:rPr>
          <w:rFonts w:ascii="Arial" w:hAnsi="Arial" w:cs="Arial"/>
          <w:sz w:val="20"/>
          <w:szCs w:val="20"/>
        </w:rPr>
      </w:pPr>
      <w:r w:rsidRPr="00D31C07">
        <w:rPr>
          <w:rFonts w:ascii="Arial" w:hAnsi="Arial" w:cs="Arial"/>
          <w:sz w:val="20"/>
          <w:szCs w:val="20"/>
        </w:rPr>
        <w:t xml:space="preserve">Recent investigations by </w:t>
      </w:r>
      <w:proofErr w:type="spellStart"/>
      <w:r w:rsidRPr="00D31C07">
        <w:rPr>
          <w:rStyle w:val="Strong"/>
          <w:rFonts w:ascii="Arial" w:hAnsi="Arial" w:cs="Arial"/>
          <w:b w:val="0"/>
          <w:sz w:val="20"/>
          <w:szCs w:val="20"/>
        </w:rPr>
        <w:t>Saikia</w:t>
      </w:r>
      <w:proofErr w:type="spellEnd"/>
      <w:r w:rsidRPr="00D31C07">
        <w:rPr>
          <w:rStyle w:val="Strong"/>
          <w:rFonts w:ascii="Arial" w:hAnsi="Arial" w:cs="Arial"/>
          <w:b w:val="0"/>
          <w:sz w:val="20"/>
          <w:szCs w:val="20"/>
        </w:rPr>
        <w:t xml:space="preserve"> </w:t>
      </w:r>
      <w:r w:rsidRPr="00D31C07">
        <w:rPr>
          <w:rStyle w:val="Strong"/>
          <w:rFonts w:ascii="Arial" w:hAnsi="Arial" w:cs="Arial"/>
          <w:b w:val="0"/>
          <w:i/>
          <w:sz w:val="20"/>
          <w:szCs w:val="20"/>
        </w:rPr>
        <w:t>et al.</w:t>
      </w:r>
      <w:r w:rsidRPr="00D31C07">
        <w:rPr>
          <w:rStyle w:val="Strong"/>
          <w:rFonts w:ascii="Arial" w:hAnsi="Arial" w:cs="Arial"/>
          <w:b w:val="0"/>
          <w:sz w:val="20"/>
          <w:szCs w:val="20"/>
        </w:rPr>
        <w:t xml:space="preserve"> (2023)</w:t>
      </w:r>
      <w:r w:rsidRPr="00D31C07">
        <w:rPr>
          <w:rFonts w:ascii="Arial" w:hAnsi="Arial" w:cs="Arial"/>
          <w:sz w:val="20"/>
          <w:szCs w:val="20"/>
        </w:rPr>
        <w:t xml:space="preserve"> have demonstrated that reproductive parameters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vary significantly between spring and autumn. Their study revealed a longer oviposition period (6.33 days) under 5-hour mating duration in the spring season. However, the highest number of eggs per laying (223.67) was recorded in the autumn season, with a significantly higher average egg count (191.83 eggs/laying) compared to spring (157.54 eggs/laying)</w:t>
      </w:r>
      <w:r w:rsidR="00502BAA" w:rsidRPr="00D31C07">
        <w:rPr>
          <w:rFonts w:ascii="Arial" w:hAnsi="Arial" w:cs="Arial"/>
          <w:sz w:val="20"/>
          <w:szCs w:val="20"/>
        </w:rPr>
        <w:t xml:space="preserve"> (Table 3)</w:t>
      </w:r>
      <w:r w:rsidRPr="00D31C07">
        <w:rPr>
          <w:rFonts w:ascii="Arial" w:hAnsi="Arial" w:cs="Arial"/>
          <w:sz w:val="20"/>
          <w:szCs w:val="20"/>
        </w:rPr>
        <w:t xml:space="preserve">. Correspondingly, the mean egg mass was greater in autumn (1.20 g) than in spring (1.04 g). Interestingly, while fecundity increased in autumn, the incubation period of eggs was longer in this season (11.98 days) than in spring (10.00 days), underscoring the role of ambient conditions in embryonic </w:t>
      </w:r>
      <w:proofErr w:type="spellStart"/>
      <w:proofErr w:type="gramStart"/>
      <w:r w:rsidRPr="00D31C07">
        <w:rPr>
          <w:rFonts w:ascii="Arial" w:hAnsi="Arial" w:cs="Arial"/>
          <w:sz w:val="20"/>
          <w:szCs w:val="20"/>
        </w:rPr>
        <w:t>development.Consistent</w:t>
      </w:r>
      <w:proofErr w:type="spellEnd"/>
      <w:proofErr w:type="gramEnd"/>
      <w:r w:rsidRPr="00D31C07">
        <w:rPr>
          <w:rFonts w:ascii="Arial" w:hAnsi="Arial" w:cs="Arial"/>
          <w:sz w:val="20"/>
          <w:szCs w:val="20"/>
        </w:rPr>
        <w:t xml:space="preserve"> with this, </w:t>
      </w:r>
      <w:proofErr w:type="spellStart"/>
      <w:r w:rsidRPr="00D31C07">
        <w:rPr>
          <w:rFonts w:ascii="Arial" w:hAnsi="Arial" w:cs="Arial"/>
          <w:sz w:val="20"/>
          <w:szCs w:val="20"/>
        </w:rPr>
        <w:t>Thangavelu</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(1988) reported that egg-laying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moths typically spans 5–6 days and varies across days. Similarly, </w:t>
      </w:r>
      <w:r w:rsidRPr="00D31C07">
        <w:rPr>
          <w:rStyle w:val="Strong"/>
          <w:rFonts w:ascii="Arial" w:hAnsi="Arial" w:cs="Arial"/>
          <w:b w:val="0"/>
          <w:sz w:val="20"/>
          <w:szCs w:val="20"/>
        </w:rPr>
        <w:t xml:space="preserve">Srivastava </w:t>
      </w:r>
      <w:r w:rsidRPr="00D31C07">
        <w:rPr>
          <w:rStyle w:val="Strong"/>
          <w:rFonts w:ascii="Arial" w:hAnsi="Arial" w:cs="Arial"/>
          <w:b w:val="0"/>
          <w:i/>
          <w:sz w:val="20"/>
          <w:szCs w:val="20"/>
        </w:rPr>
        <w:t>et al.</w:t>
      </w:r>
      <w:r w:rsidRPr="00D31C07">
        <w:rPr>
          <w:rStyle w:val="Strong"/>
          <w:rFonts w:ascii="Arial" w:hAnsi="Arial" w:cs="Arial"/>
          <w:b w:val="0"/>
          <w:sz w:val="20"/>
          <w:szCs w:val="20"/>
        </w:rPr>
        <w:t xml:space="preserve"> (1998)</w:t>
      </w:r>
      <w:r w:rsidRPr="00D31C07">
        <w:rPr>
          <w:rFonts w:ascii="Arial" w:hAnsi="Arial" w:cs="Arial"/>
          <w:sz w:val="20"/>
          <w:szCs w:val="20"/>
        </w:rPr>
        <w:t xml:space="preserve"> emphasized that environmental factors cause marked variability in fecundity, hatchability, and cocoon quality in other </w:t>
      </w:r>
      <w:proofErr w:type="spellStart"/>
      <w:r w:rsidRPr="00D31C07">
        <w:rPr>
          <w:rFonts w:ascii="Arial" w:hAnsi="Arial" w:cs="Arial"/>
          <w:sz w:val="20"/>
          <w:szCs w:val="20"/>
        </w:rPr>
        <w:t>saturniids</w:t>
      </w:r>
      <w:proofErr w:type="spellEnd"/>
      <w:r w:rsidRPr="00D31C07">
        <w:rPr>
          <w:rFonts w:ascii="Arial" w:hAnsi="Arial" w:cs="Arial"/>
          <w:sz w:val="20"/>
          <w:szCs w:val="20"/>
        </w:rPr>
        <w:t xml:space="preserve"> such as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mylitta</w:t>
      </w:r>
      <w:proofErr w:type="spellEnd"/>
      <w:r w:rsidRPr="00D31C07">
        <w:rPr>
          <w:rFonts w:ascii="Arial" w:hAnsi="Arial" w:cs="Arial"/>
          <w:sz w:val="20"/>
          <w:szCs w:val="20"/>
        </w:rPr>
        <w:t xml:space="preserve">. </w:t>
      </w:r>
      <w:proofErr w:type="spellStart"/>
      <w:r w:rsidRPr="00D31C07">
        <w:rPr>
          <w:rStyle w:val="Strong"/>
          <w:rFonts w:ascii="Arial" w:hAnsi="Arial" w:cs="Arial"/>
          <w:b w:val="0"/>
          <w:sz w:val="20"/>
          <w:szCs w:val="20"/>
        </w:rPr>
        <w:t>Kakati</w:t>
      </w:r>
      <w:proofErr w:type="spellEnd"/>
      <w:r w:rsidRPr="00D31C07">
        <w:rPr>
          <w:rStyle w:val="Strong"/>
          <w:rFonts w:ascii="Arial" w:hAnsi="Arial" w:cs="Arial"/>
          <w:b w:val="0"/>
          <w:sz w:val="20"/>
          <w:szCs w:val="20"/>
        </w:rPr>
        <w:t xml:space="preserve"> </w:t>
      </w:r>
      <w:r w:rsidRPr="00D31C07">
        <w:rPr>
          <w:rStyle w:val="Strong"/>
          <w:rFonts w:ascii="Arial" w:hAnsi="Arial" w:cs="Arial"/>
          <w:b w:val="0"/>
          <w:i/>
          <w:sz w:val="20"/>
          <w:szCs w:val="20"/>
        </w:rPr>
        <w:t>et al.</w:t>
      </w:r>
      <w:r w:rsidRPr="00D31C07">
        <w:rPr>
          <w:rStyle w:val="Strong"/>
          <w:rFonts w:ascii="Arial" w:hAnsi="Arial" w:cs="Arial"/>
          <w:b w:val="0"/>
          <w:sz w:val="20"/>
          <w:szCs w:val="20"/>
        </w:rPr>
        <w:t xml:space="preserve"> (2005)</w:t>
      </w:r>
      <w:r w:rsidRPr="00D31C07">
        <w:rPr>
          <w:rFonts w:ascii="Arial" w:hAnsi="Arial" w:cs="Arial"/>
          <w:sz w:val="20"/>
          <w:szCs w:val="20"/>
        </w:rPr>
        <w:t xml:space="preserve"> observed higher fecundity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during the autumn season, although the hatching percentage was greater in spring. This trend has been echoed in </w:t>
      </w:r>
      <w:proofErr w:type="spellStart"/>
      <w:r w:rsidRPr="00D31C07">
        <w:rPr>
          <w:rFonts w:ascii="Arial" w:hAnsi="Arial" w:cs="Arial"/>
          <w:sz w:val="20"/>
          <w:szCs w:val="20"/>
        </w:rPr>
        <w:t>eri</w:t>
      </w:r>
      <w:proofErr w:type="spellEnd"/>
      <w:r w:rsidRPr="00D31C07">
        <w:rPr>
          <w:rFonts w:ascii="Arial" w:hAnsi="Arial" w:cs="Arial"/>
          <w:sz w:val="20"/>
          <w:szCs w:val="20"/>
        </w:rPr>
        <w:t xml:space="preserve"> silkworms as well, with reports indicating superior fecundity in autumn (Sarkar &amp; </w:t>
      </w:r>
      <w:proofErr w:type="spellStart"/>
      <w:r w:rsidRPr="00D31C07">
        <w:rPr>
          <w:rFonts w:ascii="Arial" w:hAnsi="Arial" w:cs="Arial"/>
          <w:sz w:val="20"/>
          <w:szCs w:val="20"/>
        </w:rPr>
        <w:t>Sarmah</w:t>
      </w:r>
      <w:proofErr w:type="spellEnd"/>
      <w:r w:rsidRPr="00D31C07">
        <w:rPr>
          <w:rFonts w:ascii="Arial" w:hAnsi="Arial" w:cs="Arial"/>
          <w:sz w:val="20"/>
          <w:szCs w:val="20"/>
        </w:rPr>
        <w:t xml:space="preserve">, 2010; Sharma &amp; </w:t>
      </w:r>
      <w:proofErr w:type="spellStart"/>
      <w:r w:rsidRPr="00D31C07">
        <w:rPr>
          <w:rFonts w:ascii="Arial" w:hAnsi="Arial" w:cs="Arial"/>
          <w:sz w:val="20"/>
          <w:szCs w:val="20"/>
        </w:rPr>
        <w:t>Kalita</w:t>
      </w:r>
      <w:proofErr w:type="spellEnd"/>
      <w:r w:rsidRPr="00D31C07">
        <w:rPr>
          <w:rFonts w:ascii="Arial" w:hAnsi="Arial" w:cs="Arial"/>
          <w:sz w:val="20"/>
          <w:szCs w:val="20"/>
        </w:rPr>
        <w:t xml:space="preserve">, 2017), although optimal seasonal performance may vary across strains and </w:t>
      </w:r>
      <w:proofErr w:type="spellStart"/>
      <w:r w:rsidRPr="00D31C07">
        <w:rPr>
          <w:rFonts w:ascii="Arial" w:hAnsi="Arial" w:cs="Arial"/>
          <w:sz w:val="20"/>
          <w:szCs w:val="20"/>
        </w:rPr>
        <w:t>ecoraces</w:t>
      </w:r>
      <w:proofErr w:type="spellEnd"/>
      <w:r w:rsidRPr="00D31C07">
        <w:rPr>
          <w:rFonts w:ascii="Arial" w:hAnsi="Arial" w:cs="Arial"/>
          <w:sz w:val="20"/>
          <w:szCs w:val="20"/>
        </w:rPr>
        <w:t xml:space="preserve"> (Deka </w:t>
      </w:r>
      <w:r w:rsidRPr="00D31C07">
        <w:rPr>
          <w:rFonts w:ascii="Arial" w:hAnsi="Arial" w:cs="Arial"/>
          <w:i/>
          <w:sz w:val="20"/>
          <w:szCs w:val="20"/>
        </w:rPr>
        <w:t xml:space="preserve">et al., </w:t>
      </w:r>
      <w:r w:rsidRPr="00D31C07">
        <w:rPr>
          <w:rFonts w:ascii="Arial" w:hAnsi="Arial" w:cs="Arial"/>
          <w:sz w:val="20"/>
          <w:szCs w:val="20"/>
        </w:rPr>
        <w:t>2011).</w:t>
      </w:r>
    </w:p>
    <w:p w:rsidR="00502BAA" w:rsidRPr="00BF2A14" w:rsidRDefault="00502BAA" w:rsidP="00091E0F">
      <w:pPr>
        <w:pStyle w:val="NormalWeb"/>
        <w:jc w:val="both"/>
        <w:rPr>
          <w:rFonts w:ascii="Arial" w:hAnsi="Arial" w:cs="Arial"/>
          <w:b/>
          <w:sz w:val="20"/>
          <w:szCs w:val="20"/>
        </w:rPr>
      </w:pPr>
      <w:r w:rsidRPr="00BF2A14">
        <w:rPr>
          <w:rFonts w:ascii="Arial" w:hAnsi="Arial" w:cs="Arial"/>
          <w:b/>
          <w:sz w:val="20"/>
          <w:szCs w:val="20"/>
        </w:rPr>
        <w:t xml:space="preserve">Table 3. Seasonal variation in oviposition performance and egg characteristics of </w:t>
      </w:r>
      <w:proofErr w:type="spellStart"/>
      <w:r w:rsidRPr="00BF2A14">
        <w:rPr>
          <w:rStyle w:val="Emphasis"/>
          <w:rFonts w:ascii="Arial" w:hAnsi="Arial" w:cs="Arial"/>
          <w:b/>
          <w:sz w:val="20"/>
          <w:szCs w:val="20"/>
        </w:rPr>
        <w:t>Antheraea</w:t>
      </w:r>
      <w:proofErr w:type="spellEnd"/>
      <w:r w:rsidRPr="00BF2A14">
        <w:rPr>
          <w:rStyle w:val="Emphasis"/>
          <w:rFonts w:ascii="Arial" w:hAnsi="Arial" w:cs="Arial"/>
          <w:b/>
          <w:sz w:val="20"/>
          <w:szCs w:val="20"/>
        </w:rPr>
        <w:t xml:space="preserve"> </w:t>
      </w:r>
      <w:proofErr w:type="spellStart"/>
      <w:r w:rsidRPr="00BF2A14">
        <w:rPr>
          <w:rStyle w:val="Emphasis"/>
          <w:rFonts w:ascii="Arial" w:hAnsi="Arial" w:cs="Arial"/>
          <w:b/>
          <w:sz w:val="20"/>
          <w:szCs w:val="20"/>
        </w:rPr>
        <w:t>assamensis</w:t>
      </w:r>
      <w:proofErr w:type="spellEnd"/>
    </w:p>
    <w:tbl>
      <w:tblPr>
        <w:tblStyle w:val="TableGrid"/>
        <w:tblW w:w="0" w:type="auto"/>
        <w:tblInd w:w="1668"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976"/>
        <w:gridCol w:w="1560"/>
        <w:gridCol w:w="1701"/>
      </w:tblGrid>
      <w:tr w:rsidR="00502BAA" w:rsidRPr="00BF2A14" w:rsidTr="00BF2A14">
        <w:tc>
          <w:tcPr>
            <w:tcW w:w="2976" w:type="dxa"/>
            <w:vMerge w:val="restart"/>
            <w:tcBorders>
              <w:top w:val="single" w:sz="4" w:space="0" w:color="auto"/>
              <w:bottom w:val="single" w:sz="4" w:space="0" w:color="auto"/>
            </w:tcBorders>
          </w:tcPr>
          <w:p w:rsidR="00502BAA" w:rsidRPr="00BF2A14" w:rsidRDefault="00502BAA" w:rsidP="00BF2A14">
            <w:pPr>
              <w:pStyle w:val="NormalWeb"/>
              <w:spacing w:line="480" w:lineRule="auto"/>
              <w:jc w:val="both"/>
              <w:rPr>
                <w:rFonts w:ascii="Arial" w:hAnsi="Arial" w:cs="Arial"/>
                <w:b/>
                <w:sz w:val="20"/>
              </w:rPr>
            </w:pPr>
            <w:r w:rsidRPr="00BF2A14">
              <w:rPr>
                <w:rFonts w:ascii="Arial" w:hAnsi="Arial" w:cs="Arial"/>
                <w:b/>
                <w:sz w:val="20"/>
              </w:rPr>
              <w:t>Parameters</w:t>
            </w:r>
          </w:p>
        </w:tc>
        <w:tc>
          <w:tcPr>
            <w:tcW w:w="3261" w:type="dxa"/>
            <w:gridSpan w:val="2"/>
            <w:tcBorders>
              <w:top w:val="single" w:sz="4" w:space="0" w:color="auto"/>
              <w:bottom w:val="single" w:sz="4" w:space="0" w:color="auto"/>
            </w:tcBorders>
          </w:tcPr>
          <w:p w:rsidR="00502BAA" w:rsidRPr="00BF2A14" w:rsidRDefault="00502BAA" w:rsidP="00BF2A14">
            <w:pPr>
              <w:pStyle w:val="NormalWeb"/>
              <w:spacing w:line="480" w:lineRule="auto"/>
              <w:jc w:val="center"/>
              <w:rPr>
                <w:rFonts w:ascii="Arial" w:hAnsi="Arial" w:cs="Arial"/>
                <w:b/>
                <w:sz w:val="20"/>
              </w:rPr>
            </w:pPr>
            <w:r w:rsidRPr="00BF2A14">
              <w:rPr>
                <w:rFonts w:ascii="Arial" w:hAnsi="Arial" w:cs="Arial"/>
                <w:b/>
                <w:sz w:val="20"/>
              </w:rPr>
              <w:t>Season</w:t>
            </w:r>
          </w:p>
        </w:tc>
      </w:tr>
      <w:tr w:rsidR="00502BAA" w:rsidRPr="00BF2A14" w:rsidTr="00BF2A14">
        <w:tc>
          <w:tcPr>
            <w:tcW w:w="2976" w:type="dxa"/>
            <w:vMerge/>
            <w:tcBorders>
              <w:top w:val="single" w:sz="4" w:space="0" w:color="auto"/>
              <w:bottom w:val="single" w:sz="4" w:space="0" w:color="auto"/>
            </w:tcBorders>
          </w:tcPr>
          <w:p w:rsidR="00502BAA" w:rsidRPr="00BF2A14" w:rsidRDefault="00502BAA" w:rsidP="00BF2A14">
            <w:pPr>
              <w:pStyle w:val="NormalWeb"/>
              <w:spacing w:line="480" w:lineRule="auto"/>
              <w:jc w:val="both"/>
              <w:rPr>
                <w:rFonts w:ascii="Arial" w:hAnsi="Arial" w:cs="Arial"/>
                <w:b/>
                <w:sz w:val="20"/>
              </w:rPr>
            </w:pPr>
          </w:p>
        </w:tc>
        <w:tc>
          <w:tcPr>
            <w:tcW w:w="1560" w:type="dxa"/>
            <w:tcBorders>
              <w:top w:val="single" w:sz="4" w:space="0" w:color="auto"/>
              <w:bottom w:val="single" w:sz="4" w:space="0" w:color="auto"/>
            </w:tcBorders>
          </w:tcPr>
          <w:p w:rsidR="00502BAA" w:rsidRPr="00BF2A14" w:rsidRDefault="00502BAA" w:rsidP="00BF2A14">
            <w:pPr>
              <w:pStyle w:val="NormalWeb"/>
              <w:spacing w:line="480" w:lineRule="auto"/>
              <w:jc w:val="both"/>
              <w:rPr>
                <w:rFonts w:ascii="Arial" w:hAnsi="Arial" w:cs="Arial"/>
                <w:b/>
                <w:sz w:val="20"/>
              </w:rPr>
            </w:pPr>
            <w:r w:rsidRPr="00BF2A14">
              <w:rPr>
                <w:rFonts w:ascii="Arial" w:hAnsi="Arial" w:cs="Arial"/>
                <w:b/>
                <w:sz w:val="20"/>
              </w:rPr>
              <w:t>Spring</w:t>
            </w:r>
          </w:p>
        </w:tc>
        <w:tc>
          <w:tcPr>
            <w:tcW w:w="1701" w:type="dxa"/>
            <w:tcBorders>
              <w:top w:val="single" w:sz="4" w:space="0" w:color="auto"/>
              <w:bottom w:val="single" w:sz="4" w:space="0" w:color="auto"/>
            </w:tcBorders>
          </w:tcPr>
          <w:p w:rsidR="00502BAA" w:rsidRPr="00BF2A14" w:rsidRDefault="00502BAA" w:rsidP="00BF2A14">
            <w:pPr>
              <w:pStyle w:val="NormalWeb"/>
              <w:spacing w:line="480" w:lineRule="auto"/>
              <w:jc w:val="both"/>
              <w:rPr>
                <w:rFonts w:ascii="Arial" w:hAnsi="Arial" w:cs="Arial"/>
                <w:b/>
                <w:sz w:val="20"/>
              </w:rPr>
            </w:pPr>
            <w:r w:rsidRPr="00BF2A14">
              <w:rPr>
                <w:rFonts w:ascii="Arial" w:hAnsi="Arial" w:cs="Arial"/>
                <w:b/>
                <w:sz w:val="20"/>
              </w:rPr>
              <w:t>Autumn</w:t>
            </w:r>
          </w:p>
        </w:tc>
      </w:tr>
      <w:tr w:rsidR="00502BAA" w:rsidRPr="00BF2A14" w:rsidTr="00BF2A14">
        <w:tc>
          <w:tcPr>
            <w:tcW w:w="2976" w:type="dxa"/>
            <w:tcBorders>
              <w:top w:val="single" w:sz="4" w:space="0" w:color="auto"/>
              <w:bottom w:val="nil"/>
            </w:tcBorders>
          </w:tcPr>
          <w:p w:rsidR="00502BAA" w:rsidRPr="00BF2A14" w:rsidRDefault="00502BAA" w:rsidP="00BF2A14">
            <w:pPr>
              <w:pStyle w:val="NormalWeb"/>
              <w:spacing w:line="480" w:lineRule="auto"/>
              <w:rPr>
                <w:rFonts w:ascii="Arial" w:hAnsi="Arial" w:cs="Arial"/>
                <w:sz w:val="20"/>
              </w:rPr>
            </w:pPr>
            <w:proofErr w:type="spellStart"/>
            <w:r w:rsidRPr="00BF2A14">
              <w:rPr>
                <w:rFonts w:ascii="Arial" w:hAnsi="Arial" w:cs="Arial"/>
                <w:sz w:val="20"/>
              </w:rPr>
              <w:t>Ovposition</w:t>
            </w:r>
            <w:proofErr w:type="spellEnd"/>
            <w:r w:rsidRPr="00BF2A14">
              <w:rPr>
                <w:rFonts w:ascii="Arial" w:hAnsi="Arial" w:cs="Arial"/>
                <w:sz w:val="20"/>
              </w:rPr>
              <w:t xml:space="preserve"> period (days)</w:t>
            </w:r>
          </w:p>
        </w:tc>
        <w:tc>
          <w:tcPr>
            <w:tcW w:w="1560" w:type="dxa"/>
            <w:tcBorders>
              <w:top w:val="single" w:sz="4" w:space="0" w:color="auto"/>
              <w:bottom w:val="nil"/>
            </w:tcBorders>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6.04 </w:t>
            </w:r>
          </w:p>
        </w:tc>
        <w:tc>
          <w:tcPr>
            <w:tcW w:w="1701" w:type="dxa"/>
            <w:tcBorders>
              <w:top w:val="single" w:sz="4" w:space="0" w:color="auto"/>
              <w:bottom w:val="nil"/>
            </w:tcBorders>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5.91</w:t>
            </w:r>
          </w:p>
        </w:tc>
      </w:tr>
      <w:tr w:rsidR="00502BAA" w:rsidRPr="00BF2A14" w:rsidTr="00BF2A14">
        <w:tc>
          <w:tcPr>
            <w:tcW w:w="2976" w:type="dxa"/>
            <w:tcBorders>
              <w:top w:val="nil"/>
            </w:tcBorders>
          </w:tcPr>
          <w:p w:rsidR="00502BAA" w:rsidRPr="00BF2A14" w:rsidRDefault="00502BAA" w:rsidP="00BF2A14">
            <w:pPr>
              <w:pStyle w:val="NormalWeb"/>
              <w:spacing w:line="480" w:lineRule="auto"/>
              <w:rPr>
                <w:rFonts w:ascii="Arial" w:hAnsi="Arial" w:cs="Arial"/>
                <w:sz w:val="20"/>
              </w:rPr>
            </w:pPr>
            <w:r w:rsidRPr="00BF2A14">
              <w:rPr>
                <w:rFonts w:ascii="Arial" w:hAnsi="Arial" w:cs="Arial"/>
                <w:sz w:val="20"/>
              </w:rPr>
              <w:t>Number of eggs (eggs/laying</w:t>
            </w:r>
          </w:p>
        </w:tc>
        <w:tc>
          <w:tcPr>
            <w:tcW w:w="1560" w:type="dxa"/>
            <w:tcBorders>
              <w:top w:val="nil"/>
            </w:tcBorders>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157.54 </w:t>
            </w:r>
          </w:p>
        </w:tc>
        <w:tc>
          <w:tcPr>
            <w:tcW w:w="1701" w:type="dxa"/>
            <w:tcBorders>
              <w:top w:val="nil"/>
            </w:tcBorders>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191.83</w:t>
            </w:r>
          </w:p>
        </w:tc>
      </w:tr>
      <w:tr w:rsidR="00502BAA" w:rsidRPr="00BF2A14" w:rsidTr="00BF2A14">
        <w:tc>
          <w:tcPr>
            <w:tcW w:w="2976" w:type="dxa"/>
          </w:tcPr>
          <w:p w:rsidR="00502BAA" w:rsidRPr="00BF2A14" w:rsidRDefault="00502BAA" w:rsidP="00BF2A14">
            <w:pPr>
              <w:pStyle w:val="NormalWeb"/>
              <w:spacing w:line="480" w:lineRule="auto"/>
              <w:rPr>
                <w:rFonts w:ascii="Arial" w:hAnsi="Arial" w:cs="Arial"/>
                <w:sz w:val="20"/>
              </w:rPr>
            </w:pPr>
            <w:r w:rsidRPr="00BF2A14">
              <w:rPr>
                <w:rFonts w:ascii="Arial" w:hAnsi="Arial" w:cs="Arial"/>
                <w:sz w:val="20"/>
              </w:rPr>
              <w:t>Egg weight (g/laying)</w:t>
            </w:r>
          </w:p>
        </w:tc>
        <w:tc>
          <w:tcPr>
            <w:tcW w:w="1560" w:type="dxa"/>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1.04 </w:t>
            </w:r>
          </w:p>
        </w:tc>
        <w:tc>
          <w:tcPr>
            <w:tcW w:w="1701" w:type="dxa"/>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1.20</w:t>
            </w:r>
          </w:p>
        </w:tc>
      </w:tr>
      <w:tr w:rsidR="00502BAA" w:rsidRPr="00BF2A14" w:rsidTr="00BF2A14">
        <w:tc>
          <w:tcPr>
            <w:tcW w:w="2976" w:type="dxa"/>
          </w:tcPr>
          <w:p w:rsidR="00502BAA" w:rsidRPr="00BF2A14" w:rsidRDefault="00502BAA" w:rsidP="00BF2A14">
            <w:pPr>
              <w:pStyle w:val="NormalWeb"/>
              <w:spacing w:line="480" w:lineRule="auto"/>
              <w:rPr>
                <w:rFonts w:ascii="Arial" w:hAnsi="Arial" w:cs="Arial"/>
                <w:sz w:val="20"/>
              </w:rPr>
            </w:pPr>
            <w:r w:rsidRPr="00BF2A14">
              <w:rPr>
                <w:rFonts w:ascii="Arial" w:hAnsi="Arial" w:cs="Arial"/>
                <w:sz w:val="20"/>
              </w:rPr>
              <w:t>Incubation period (days)</w:t>
            </w:r>
          </w:p>
        </w:tc>
        <w:tc>
          <w:tcPr>
            <w:tcW w:w="1560" w:type="dxa"/>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10.00 </w:t>
            </w:r>
          </w:p>
        </w:tc>
        <w:tc>
          <w:tcPr>
            <w:tcW w:w="1701" w:type="dxa"/>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11.98</w:t>
            </w:r>
          </w:p>
        </w:tc>
      </w:tr>
      <w:tr w:rsidR="00502BAA" w:rsidRPr="00BF2A14" w:rsidTr="00BF2A14">
        <w:tc>
          <w:tcPr>
            <w:tcW w:w="2976" w:type="dxa"/>
          </w:tcPr>
          <w:p w:rsidR="00502BAA" w:rsidRPr="00BF2A14" w:rsidRDefault="00502BAA" w:rsidP="00BF2A14">
            <w:pPr>
              <w:pStyle w:val="NormalWeb"/>
              <w:spacing w:line="480" w:lineRule="auto"/>
              <w:rPr>
                <w:rFonts w:ascii="Arial" w:hAnsi="Arial" w:cs="Arial"/>
                <w:sz w:val="20"/>
              </w:rPr>
            </w:pPr>
            <w:r w:rsidRPr="00BF2A14">
              <w:rPr>
                <w:rFonts w:ascii="Arial" w:hAnsi="Arial" w:cs="Arial"/>
                <w:sz w:val="20"/>
              </w:rPr>
              <w:t>Period of egg hatching (days)</w:t>
            </w:r>
          </w:p>
        </w:tc>
        <w:tc>
          <w:tcPr>
            <w:tcW w:w="1560" w:type="dxa"/>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 xml:space="preserve">5.87 </w:t>
            </w:r>
          </w:p>
        </w:tc>
        <w:tc>
          <w:tcPr>
            <w:tcW w:w="1701" w:type="dxa"/>
          </w:tcPr>
          <w:p w:rsidR="00502BAA" w:rsidRPr="00BF2A14" w:rsidRDefault="00502BAA" w:rsidP="00BF2A14">
            <w:pPr>
              <w:pStyle w:val="NormalWeb"/>
              <w:spacing w:line="480" w:lineRule="auto"/>
              <w:jc w:val="both"/>
              <w:rPr>
                <w:rFonts w:ascii="Arial" w:hAnsi="Arial" w:cs="Arial"/>
                <w:sz w:val="20"/>
              </w:rPr>
            </w:pPr>
            <w:r w:rsidRPr="00BF2A14">
              <w:rPr>
                <w:rFonts w:ascii="Arial" w:hAnsi="Arial" w:cs="Arial"/>
                <w:sz w:val="20"/>
              </w:rPr>
              <w:t>5.75</w:t>
            </w:r>
          </w:p>
        </w:tc>
      </w:tr>
    </w:tbl>
    <w:p w:rsidR="00502BAA" w:rsidRPr="00BF2A14" w:rsidRDefault="00204E6D" w:rsidP="00091E0F">
      <w:pPr>
        <w:pStyle w:val="NormalWeb"/>
        <w:jc w:val="both"/>
        <w:rPr>
          <w:rFonts w:ascii="Arial" w:hAnsi="Arial" w:cs="Arial"/>
          <w:sz w:val="20"/>
        </w:rPr>
      </w:pPr>
      <w:r w:rsidRPr="00BF2A14">
        <w:rPr>
          <w:rStyle w:val="Strong"/>
          <w:rFonts w:ascii="Arial" w:hAnsi="Arial" w:cs="Arial"/>
          <w:b w:val="0"/>
          <w:sz w:val="20"/>
        </w:rPr>
        <w:t xml:space="preserve">Source: </w:t>
      </w:r>
      <w:proofErr w:type="spellStart"/>
      <w:r w:rsidRPr="00BF2A14">
        <w:rPr>
          <w:rStyle w:val="Strong"/>
          <w:rFonts w:ascii="Arial" w:hAnsi="Arial" w:cs="Arial"/>
          <w:b w:val="0"/>
          <w:sz w:val="20"/>
        </w:rPr>
        <w:t>Saikia</w:t>
      </w:r>
      <w:proofErr w:type="spellEnd"/>
      <w:r w:rsidRPr="00BF2A14">
        <w:rPr>
          <w:rStyle w:val="Strong"/>
          <w:rFonts w:ascii="Arial" w:hAnsi="Arial" w:cs="Arial"/>
          <w:b w:val="0"/>
          <w:sz w:val="20"/>
        </w:rPr>
        <w:t xml:space="preserve"> </w:t>
      </w:r>
      <w:r w:rsidRPr="00BF2A14">
        <w:rPr>
          <w:rStyle w:val="Strong"/>
          <w:rFonts w:ascii="Arial" w:hAnsi="Arial" w:cs="Arial"/>
          <w:b w:val="0"/>
          <w:i/>
          <w:sz w:val="20"/>
        </w:rPr>
        <w:t>et al.</w:t>
      </w:r>
      <w:r w:rsidRPr="00BF2A14">
        <w:rPr>
          <w:rStyle w:val="Strong"/>
          <w:rFonts w:ascii="Arial" w:hAnsi="Arial" w:cs="Arial"/>
          <w:b w:val="0"/>
          <w:sz w:val="20"/>
        </w:rPr>
        <w:t xml:space="preserve"> (2023)</w:t>
      </w:r>
    </w:p>
    <w:p w:rsidR="00091E0F" w:rsidRPr="00D31C07" w:rsidRDefault="00091E0F" w:rsidP="00091E0F">
      <w:pPr>
        <w:pStyle w:val="NormalWeb"/>
        <w:jc w:val="both"/>
        <w:rPr>
          <w:rFonts w:ascii="Arial" w:hAnsi="Arial" w:cs="Arial"/>
          <w:sz w:val="20"/>
          <w:szCs w:val="20"/>
        </w:rPr>
      </w:pPr>
      <w:r w:rsidRPr="00D31C07">
        <w:rPr>
          <w:rFonts w:ascii="Arial" w:hAnsi="Arial" w:cs="Arial"/>
          <w:sz w:val="20"/>
          <w:szCs w:val="20"/>
        </w:rPr>
        <w:t xml:space="preserve">Seasonal variations also modulate the efficacy of hormonal interventions. </w:t>
      </w:r>
      <w:proofErr w:type="spellStart"/>
      <w:r w:rsidRPr="00D31C07">
        <w:rPr>
          <w:rStyle w:val="Strong"/>
          <w:rFonts w:ascii="Arial" w:hAnsi="Arial" w:cs="Arial"/>
          <w:b w:val="0"/>
          <w:sz w:val="20"/>
          <w:szCs w:val="20"/>
        </w:rPr>
        <w:t>Neog</w:t>
      </w:r>
      <w:proofErr w:type="spellEnd"/>
      <w:r w:rsidRPr="00D31C07">
        <w:rPr>
          <w:rStyle w:val="Strong"/>
          <w:rFonts w:ascii="Arial" w:hAnsi="Arial" w:cs="Arial"/>
          <w:b w:val="0"/>
          <w:sz w:val="20"/>
          <w:szCs w:val="20"/>
        </w:rPr>
        <w:t xml:space="preserve"> </w:t>
      </w:r>
      <w:r w:rsidRPr="00D31C07">
        <w:rPr>
          <w:rStyle w:val="Strong"/>
          <w:rFonts w:ascii="Arial" w:hAnsi="Arial" w:cs="Arial"/>
          <w:b w:val="0"/>
          <w:i/>
          <w:sz w:val="20"/>
          <w:szCs w:val="20"/>
        </w:rPr>
        <w:t>et al.</w:t>
      </w:r>
      <w:r w:rsidRPr="00D31C07">
        <w:rPr>
          <w:rStyle w:val="Strong"/>
          <w:rFonts w:ascii="Arial" w:hAnsi="Arial" w:cs="Arial"/>
          <w:b w:val="0"/>
          <w:sz w:val="20"/>
          <w:szCs w:val="20"/>
        </w:rPr>
        <w:t xml:space="preserve"> (2013)</w:t>
      </w:r>
      <w:r w:rsidRPr="00D31C07">
        <w:rPr>
          <w:rFonts w:ascii="Arial" w:hAnsi="Arial" w:cs="Arial"/>
          <w:sz w:val="20"/>
          <w:szCs w:val="20"/>
        </w:rPr>
        <w:t xml:space="preserve"> found that topical application of juvenile hormone (JH-III) and 20-hydroxyecdysone (20-E) improved reproductive performance in all seasons, with the most pronounced effects during the </w:t>
      </w:r>
      <w:proofErr w:type="spellStart"/>
      <w:r w:rsidRPr="00D31C07">
        <w:rPr>
          <w:rFonts w:ascii="Arial" w:hAnsi="Arial" w:cs="Arial"/>
          <w:sz w:val="20"/>
          <w:szCs w:val="20"/>
        </w:rPr>
        <w:t>Bhodia</w:t>
      </w:r>
      <w:proofErr w:type="spellEnd"/>
      <w:r w:rsidRPr="00D31C07">
        <w:rPr>
          <w:rFonts w:ascii="Arial" w:hAnsi="Arial" w:cs="Arial"/>
          <w:sz w:val="20"/>
          <w:szCs w:val="20"/>
        </w:rPr>
        <w:t xml:space="preserve"> season (August–September), where fecundity rose to 166 eggs per female from a baseline of 100–115 in untreated c</w:t>
      </w:r>
      <w:r w:rsidR="00FE757A" w:rsidRPr="00D31C07">
        <w:rPr>
          <w:rFonts w:ascii="Arial" w:hAnsi="Arial" w:cs="Arial"/>
          <w:sz w:val="20"/>
          <w:szCs w:val="20"/>
        </w:rPr>
        <w:t xml:space="preserve">ontrols. Notably, egg retention </w:t>
      </w:r>
      <w:r w:rsidRPr="00D31C07">
        <w:rPr>
          <w:rFonts w:ascii="Arial" w:hAnsi="Arial" w:cs="Arial"/>
          <w:sz w:val="20"/>
          <w:szCs w:val="20"/>
        </w:rPr>
        <w:t xml:space="preserve">commonly observed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r w:rsidRPr="00D31C07">
        <w:rPr>
          <w:rFonts w:ascii="Arial" w:hAnsi="Arial" w:cs="Arial"/>
          <w:sz w:val="20"/>
          <w:szCs w:val="20"/>
        </w:rPr>
        <w:t>was</w:t>
      </w:r>
      <w:proofErr w:type="spellEnd"/>
      <w:r w:rsidRPr="00D31C07">
        <w:rPr>
          <w:rFonts w:ascii="Arial" w:hAnsi="Arial" w:cs="Arial"/>
          <w:sz w:val="20"/>
          <w:szCs w:val="20"/>
        </w:rPr>
        <w:t xml:space="preserve"> drastically reduced by 20-E application, with treated moths retaining as few as 8 eggs compared to 37.67 in untreated counterparts during the October–November season.</w:t>
      </w:r>
    </w:p>
    <w:p w:rsidR="00502BAA" w:rsidRPr="00D31C07" w:rsidRDefault="00091E0F" w:rsidP="00091E0F">
      <w:pPr>
        <w:pStyle w:val="NormalWeb"/>
        <w:jc w:val="both"/>
        <w:rPr>
          <w:rFonts w:ascii="Arial" w:hAnsi="Arial" w:cs="Arial"/>
          <w:sz w:val="20"/>
          <w:szCs w:val="20"/>
        </w:rPr>
      </w:pPr>
      <w:r w:rsidRPr="00D31C07">
        <w:rPr>
          <w:rFonts w:ascii="Arial" w:hAnsi="Arial" w:cs="Arial"/>
          <w:sz w:val="20"/>
          <w:szCs w:val="20"/>
        </w:rPr>
        <w:t xml:space="preserve">Mating duration is another critical variable interacting with seasonal factors. </w:t>
      </w:r>
      <w:r w:rsidRPr="00D31C07">
        <w:rPr>
          <w:rStyle w:val="Strong"/>
          <w:rFonts w:ascii="Arial" w:hAnsi="Arial" w:cs="Arial"/>
          <w:b w:val="0"/>
          <w:sz w:val="20"/>
          <w:szCs w:val="20"/>
        </w:rPr>
        <w:t>Goswami &amp; Singh (2012)</w:t>
      </w:r>
      <w:r w:rsidRPr="00D31C07">
        <w:rPr>
          <w:rFonts w:ascii="Arial" w:hAnsi="Arial" w:cs="Arial"/>
          <w:sz w:val="20"/>
          <w:szCs w:val="20"/>
        </w:rPr>
        <w:t xml:space="preserve"> showed that 4 hours of mating sufficed to achieve optimal fecundity in both summer and winter</w:t>
      </w:r>
      <w:r w:rsidR="000D0E48" w:rsidRPr="00D31C07">
        <w:rPr>
          <w:rFonts w:ascii="Arial" w:hAnsi="Arial" w:cs="Arial"/>
          <w:sz w:val="20"/>
          <w:szCs w:val="20"/>
        </w:rPr>
        <w:t xml:space="preserve"> (Table 4)</w:t>
      </w:r>
      <w:r w:rsidRPr="00D31C07">
        <w:rPr>
          <w:rFonts w:ascii="Arial" w:hAnsi="Arial" w:cs="Arial"/>
          <w:sz w:val="20"/>
          <w:szCs w:val="20"/>
        </w:rPr>
        <w:t xml:space="preserve">. </w:t>
      </w:r>
      <w:r w:rsidRPr="00D31C07">
        <w:rPr>
          <w:rFonts w:ascii="Arial" w:hAnsi="Arial" w:cs="Arial"/>
          <w:sz w:val="20"/>
          <w:szCs w:val="20"/>
        </w:rPr>
        <w:lastRenderedPageBreak/>
        <w:t>However, the absolute</w:t>
      </w:r>
      <w:r w:rsidR="00FE757A" w:rsidRPr="00D31C07">
        <w:rPr>
          <w:rFonts w:ascii="Arial" w:hAnsi="Arial" w:cs="Arial"/>
          <w:sz w:val="20"/>
          <w:szCs w:val="20"/>
        </w:rPr>
        <w:t xml:space="preserve"> values differed across seasons,</w:t>
      </w:r>
      <w:r w:rsidRPr="00D31C07">
        <w:rPr>
          <w:rFonts w:ascii="Arial" w:hAnsi="Arial" w:cs="Arial"/>
          <w:sz w:val="20"/>
          <w:szCs w:val="20"/>
        </w:rPr>
        <w:t xml:space="preserve"> in winter, fecundity ranged from 110 to 137 eggs per female, while in summer it increased to 159–179 eggs. Taken together, these studies highlight the substantial influence of seasonal variation on reproductive output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impacting both intrinsic physiological traits and responsiveness to mating and hormonal cues. Autumn appears to favor higher fecundity and egg weight, while spring supports superior hatching rates. Seasonal optimization of mating duration and application of reproductive hormones may thus serve as effective strategies to mitigate seed production bottlenecks and stabilize output in commercial sericulture.</w:t>
      </w:r>
    </w:p>
    <w:p w:rsidR="000D0E48" w:rsidRPr="00BF2A14" w:rsidRDefault="000D0E48" w:rsidP="00091E0F">
      <w:pPr>
        <w:pStyle w:val="NormalWeb"/>
        <w:jc w:val="both"/>
        <w:rPr>
          <w:rFonts w:ascii="Arial" w:hAnsi="Arial" w:cs="Arial"/>
          <w:b/>
          <w:sz w:val="20"/>
        </w:rPr>
      </w:pPr>
      <w:r w:rsidRPr="00BF2A14">
        <w:rPr>
          <w:rFonts w:ascii="Arial" w:hAnsi="Arial" w:cs="Arial"/>
          <w:b/>
          <w:sz w:val="20"/>
        </w:rPr>
        <w:t xml:space="preserve">Table 4. Effect of season on fecundity of </w:t>
      </w:r>
      <w:proofErr w:type="spellStart"/>
      <w:r w:rsidRPr="00BF2A14">
        <w:rPr>
          <w:rFonts w:ascii="Arial" w:hAnsi="Arial" w:cs="Arial"/>
          <w:b/>
          <w:sz w:val="20"/>
        </w:rPr>
        <w:t>muga</w:t>
      </w:r>
      <w:proofErr w:type="spellEnd"/>
      <w:r w:rsidRPr="00BF2A14">
        <w:rPr>
          <w:rFonts w:ascii="Arial" w:hAnsi="Arial" w:cs="Arial"/>
          <w:b/>
          <w:sz w:val="20"/>
        </w:rPr>
        <w:t xml:space="preserve"> silk moth in different mating durations</w:t>
      </w:r>
    </w:p>
    <w:tbl>
      <w:tblPr>
        <w:tblStyle w:val="TableGrid"/>
        <w:tblW w:w="0" w:type="auto"/>
        <w:tblInd w:w="703"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596"/>
        <w:gridCol w:w="1596"/>
        <w:gridCol w:w="1596"/>
        <w:gridCol w:w="1596"/>
        <w:gridCol w:w="1596"/>
      </w:tblGrid>
      <w:tr w:rsidR="00204E6D" w:rsidRPr="00BF2A14" w:rsidTr="00BF2A14">
        <w:tc>
          <w:tcPr>
            <w:tcW w:w="1596" w:type="dxa"/>
            <w:vMerge w:val="restart"/>
            <w:tcBorders>
              <w:top w:val="single" w:sz="4" w:space="0" w:color="auto"/>
              <w:bottom w:val="single" w:sz="4" w:space="0" w:color="auto"/>
            </w:tcBorders>
          </w:tcPr>
          <w:p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Mating duration (Hours)</w:t>
            </w:r>
          </w:p>
        </w:tc>
        <w:tc>
          <w:tcPr>
            <w:tcW w:w="6384" w:type="dxa"/>
            <w:gridSpan w:val="4"/>
            <w:tcBorders>
              <w:top w:val="single" w:sz="4" w:space="0" w:color="auto"/>
              <w:bottom w:val="single" w:sz="4" w:space="0" w:color="auto"/>
            </w:tcBorders>
          </w:tcPr>
          <w:p w:rsidR="00204E6D" w:rsidRPr="00BF2A14" w:rsidRDefault="00204E6D" w:rsidP="00BF2A14">
            <w:pPr>
              <w:pStyle w:val="NormalWeb"/>
              <w:spacing w:line="480" w:lineRule="auto"/>
              <w:jc w:val="center"/>
              <w:rPr>
                <w:rFonts w:ascii="Arial" w:hAnsi="Arial" w:cs="Arial"/>
                <w:b/>
                <w:sz w:val="20"/>
                <w:szCs w:val="20"/>
              </w:rPr>
            </w:pPr>
            <w:r w:rsidRPr="00BF2A14">
              <w:rPr>
                <w:rFonts w:ascii="Arial" w:hAnsi="Arial" w:cs="Arial"/>
                <w:b/>
                <w:sz w:val="20"/>
                <w:szCs w:val="20"/>
              </w:rPr>
              <w:t>Season</w:t>
            </w:r>
          </w:p>
        </w:tc>
      </w:tr>
      <w:tr w:rsidR="00204E6D" w:rsidRPr="00BF2A14" w:rsidTr="00BF2A14">
        <w:tc>
          <w:tcPr>
            <w:tcW w:w="1596" w:type="dxa"/>
            <w:vMerge/>
            <w:tcBorders>
              <w:top w:val="single" w:sz="4" w:space="0" w:color="auto"/>
              <w:bottom w:val="single" w:sz="4" w:space="0" w:color="auto"/>
            </w:tcBorders>
          </w:tcPr>
          <w:p w:rsidR="00204E6D" w:rsidRPr="00BF2A14" w:rsidRDefault="00204E6D" w:rsidP="00BF2A14">
            <w:pPr>
              <w:pStyle w:val="NormalWeb"/>
              <w:spacing w:line="480" w:lineRule="auto"/>
              <w:jc w:val="both"/>
              <w:rPr>
                <w:rFonts w:ascii="Arial" w:hAnsi="Arial" w:cs="Arial"/>
                <w:b/>
                <w:sz w:val="20"/>
                <w:szCs w:val="20"/>
              </w:rPr>
            </w:pPr>
          </w:p>
        </w:tc>
        <w:tc>
          <w:tcPr>
            <w:tcW w:w="1596" w:type="dxa"/>
            <w:tcBorders>
              <w:top w:val="single" w:sz="4" w:space="0" w:color="auto"/>
              <w:bottom w:val="single" w:sz="4" w:space="0" w:color="auto"/>
            </w:tcBorders>
          </w:tcPr>
          <w:p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Spring</w:t>
            </w:r>
          </w:p>
        </w:tc>
        <w:tc>
          <w:tcPr>
            <w:tcW w:w="1596" w:type="dxa"/>
            <w:tcBorders>
              <w:top w:val="single" w:sz="4" w:space="0" w:color="auto"/>
              <w:bottom w:val="single" w:sz="4" w:space="0" w:color="auto"/>
            </w:tcBorders>
          </w:tcPr>
          <w:p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Summer</w:t>
            </w:r>
          </w:p>
        </w:tc>
        <w:tc>
          <w:tcPr>
            <w:tcW w:w="1596" w:type="dxa"/>
            <w:tcBorders>
              <w:top w:val="single" w:sz="4" w:space="0" w:color="auto"/>
              <w:bottom w:val="single" w:sz="4" w:space="0" w:color="auto"/>
            </w:tcBorders>
          </w:tcPr>
          <w:p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Autumn</w:t>
            </w:r>
          </w:p>
        </w:tc>
        <w:tc>
          <w:tcPr>
            <w:tcW w:w="1596" w:type="dxa"/>
            <w:tcBorders>
              <w:top w:val="single" w:sz="4" w:space="0" w:color="auto"/>
              <w:bottom w:val="single" w:sz="4" w:space="0" w:color="auto"/>
            </w:tcBorders>
          </w:tcPr>
          <w:p w:rsidR="00204E6D" w:rsidRPr="00BF2A14" w:rsidRDefault="00204E6D" w:rsidP="00BF2A14">
            <w:pPr>
              <w:pStyle w:val="NormalWeb"/>
              <w:spacing w:line="480" w:lineRule="auto"/>
              <w:jc w:val="both"/>
              <w:rPr>
                <w:rFonts w:ascii="Arial" w:hAnsi="Arial" w:cs="Arial"/>
                <w:b/>
                <w:sz w:val="20"/>
                <w:szCs w:val="20"/>
              </w:rPr>
            </w:pPr>
            <w:r w:rsidRPr="00BF2A14">
              <w:rPr>
                <w:rFonts w:ascii="Arial" w:hAnsi="Arial" w:cs="Arial"/>
                <w:b/>
                <w:sz w:val="20"/>
                <w:szCs w:val="20"/>
              </w:rPr>
              <w:t>Winter</w:t>
            </w:r>
          </w:p>
        </w:tc>
      </w:tr>
      <w:tr w:rsidR="00204E6D" w:rsidRPr="00BF2A14" w:rsidTr="00BF2A14">
        <w:tc>
          <w:tcPr>
            <w:tcW w:w="1596" w:type="dxa"/>
            <w:tcBorders>
              <w:top w:val="single" w:sz="4" w:space="0" w:color="auto"/>
              <w:bottom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2 </w:t>
            </w:r>
            <w:proofErr w:type="spellStart"/>
            <w:r w:rsidRPr="00BF2A14">
              <w:rPr>
                <w:rFonts w:ascii="Arial" w:hAnsi="Arial" w:cs="Arial"/>
                <w:sz w:val="20"/>
                <w:szCs w:val="20"/>
              </w:rPr>
              <w:t>Hr</w:t>
            </w:r>
            <w:proofErr w:type="spellEnd"/>
          </w:p>
        </w:tc>
        <w:tc>
          <w:tcPr>
            <w:tcW w:w="1596" w:type="dxa"/>
            <w:tcBorders>
              <w:top w:val="single" w:sz="4" w:space="0" w:color="auto"/>
              <w:bottom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126.17</w:t>
            </w:r>
          </w:p>
        </w:tc>
        <w:tc>
          <w:tcPr>
            <w:tcW w:w="1596" w:type="dxa"/>
            <w:tcBorders>
              <w:top w:val="single" w:sz="4" w:space="0" w:color="auto"/>
              <w:bottom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114</w:t>
            </w:r>
          </w:p>
        </w:tc>
        <w:tc>
          <w:tcPr>
            <w:tcW w:w="1596" w:type="dxa"/>
            <w:tcBorders>
              <w:top w:val="single" w:sz="4" w:space="0" w:color="auto"/>
              <w:bottom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175.25</w:t>
            </w:r>
          </w:p>
        </w:tc>
        <w:tc>
          <w:tcPr>
            <w:tcW w:w="1596" w:type="dxa"/>
            <w:tcBorders>
              <w:top w:val="single" w:sz="4" w:space="0" w:color="auto"/>
              <w:bottom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172</w:t>
            </w:r>
          </w:p>
        </w:tc>
      </w:tr>
      <w:tr w:rsidR="00204E6D" w:rsidRPr="00BF2A14" w:rsidTr="00BF2A14">
        <w:tc>
          <w:tcPr>
            <w:tcW w:w="1596" w:type="dxa"/>
            <w:tcBorders>
              <w:top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3 </w:t>
            </w:r>
            <w:proofErr w:type="spellStart"/>
            <w:r w:rsidRPr="00BF2A14">
              <w:rPr>
                <w:rFonts w:ascii="Arial" w:hAnsi="Arial" w:cs="Arial"/>
                <w:sz w:val="20"/>
                <w:szCs w:val="20"/>
              </w:rPr>
              <w:t>Hr</w:t>
            </w:r>
            <w:proofErr w:type="spellEnd"/>
          </w:p>
        </w:tc>
        <w:tc>
          <w:tcPr>
            <w:tcW w:w="1596" w:type="dxa"/>
            <w:tcBorders>
              <w:top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156.00 </w:t>
            </w:r>
          </w:p>
        </w:tc>
        <w:tc>
          <w:tcPr>
            <w:tcW w:w="1596" w:type="dxa"/>
            <w:tcBorders>
              <w:top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176</w:t>
            </w:r>
          </w:p>
        </w:tc>
        <w:tc>
          <w:tcPr>
            <w:tcW w:w="1596" w:type="dxa"/>
            <w:tcBorders>
              <w:top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156.17</w:t>
            </w:r>
          </w:p>
        </w:tc>
        <w:tc>
          <w:tcPr>
            <w:tcW w:w="1596" w:type="dxa"/>
            <w:tcBorders>
              <w:top w:val="nil"/>
            </w:tcBorders>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128</w:t>
            </w:r>
          </w:p>
        </w:tc>
      </w:tr>
      <w:tr w:rsidR="00204E6D" w:rsidRPr="00BF2A14" w:rsidTr="00BF2A14">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4 </w:t>
            </w:r>
            <w:proofErr w:type="spellStart"/>
            <w:r w:rsidRPr="00BF2A14">
              <w:rPr>
                <w:rFonts w:ascii="Arial" w:hAnsi="Arial" w:cs="Arial"/>
                <w:sz w:val="20"/>
                <w:szCs w:val="20"/>
              </w:rPr>
              <w:t>Hr</w:t>
            </w:r>
            <w:proofErr w:type="spellEnd"/>
          </w:p>
        </w:tc>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164.67 </w:t>
            </w:r>
          </w:p>
        </w:tc>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179</w:t>
            </w:r>
          </w:p>
        </w:tc>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223.67</w:t>
            </w:r>
          </w:p>
        </w:tc>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137</w:t>
            </w:r>
          </w:p>
        </w:tc>
      </w:tr>
      <w:tr w:rsidR="00204E6D" w:rsidRPr="00BF2A14" w:rsidTr="00BF2A14">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5 </w:t>
            </w:r>
            <w:proofErr w:type="spellStart"/>
            <w:r w:rsidRPr="00BF2A14">
              <w:rPr>
                <w:rFonts w:ascii="Arial" w:hAnsi="Arial" w:cs="Arial"/>
                <w:sz w:val="20"/>
                <w:szCs w:val="20"/>
              </w:rPr>
              <w:t>Hr</w:t>
            </w:r>
            <w:proofErr w:type="spellEnd"/>
          </w:p>
        </w:tc>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 xml:space="preserve">183.33 </w:t>
            </w:r>
          </w:p>
        </w:tc>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168</w:t>
            </w:r>
          </w:p>
        </w:tc>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212.25</w:t>
            </w:r>
          </w:p>
        </w:tc>
        <w:tc>
          <w:tcPr>
            <w:tcW w:w="1596" w:type="dxa"/>
          </w:tcPr>
          <w:p w:rsidR="00204E6D" w:rsidRPr="00BF2A14" w:rsidRDefault="00204E6D" w:rsidP="00BF2A14">
            <w:pPr>
              <w:pStyle w:val="NormalWeb"/>
              <w:spacing w:line="480" w:lineRule="auto"/>
              <w:jc w:val="both"/>
              <w:rPr>
                <w:rFonts w:ascii="Arial" w:hAnsi="Arial" w:cs="Arial"/>
                <w:sz w:val="20"/>
                <w:szCs w:val="20"/>
              </w:rPr>
            </w:pPr>
            <w:r w:rsidRPr="00BF2A14">
              <w:rPr>
                <w:rFonts w:ascii="Arial" w:hAnsi="Arial" w:cs="Arial"/>
                <w:sz w:val="20"/>
                <w:szCs w:val="20"/>
              </w:rPr>
              <w:t>128</w:t>
            </w:r>
          </w:p>
        </w:tc>
      </w:tr>
    </w:tbl>
    <w:p w:rsidR="000D0E48" w:rsidRPr="00BF2A14" w:rsidRDefault="000D0E48" w:rsidP="004E49E6">
      <w:pPr>
        <w:pStyle w:val="NormalWeb"/>
        <w:jc w:val="both"/>
        <w:rPr>
          <w:rStyle w:val="Strong"/>
          <w:rFonts w:ascii="Arial" w:hAnsi="Arial" w:cs="Arial"/>
          <w:b w:val="0"/>
          <w:bCs w:val="0"/>
          <w:sz w:val="20"/>
        </w:rPr>
      </w:pPr>
      <w:r w:rsidRPr="00BF2A14">
        <w:rPr>
          <w:rStyle w:val="Strong"/>
          <w:rFonts w:ascii="Arial" w:hAnsi="Arial" w:cs="Arial"/>
          <w:b w:val="0"/>
          <w:sz w:val="20"/>
        </w:rPr>
        <w:t xml:space="preserve">Source: </w:t>
      </w:r>
      <w:proofErr w:type="spellStart"/>
      <w:r w:rsidRPr="00BF2A14">
        <w:rPr>
          <w:rStyle w:val="Strong"/>
          <w:rFonts w:ascii="Arial" w:hAnsi="Arial" w:cs="Arial"/>
          <w:b w:val="0"/>
          <w:sz w:val="20"/>
        </w:rPr>
        <w:t>Saikia</w:t>
      </w:r>
      <w:proofErr w:type="spellEnd"/>
      <w:r w:rsidRPr="00BF2A14">
        <w:rPr>
          <w:rStyle w:val="Strong"/>
          <w:rFonts w:ascii="Arial" w:hAnsi="Arial" w:cs="Arial"/>
          <w:b w:val="0"/>
          <w:sz w:val="20"/>
        </w:rPr>
        <w:t xml:space="preserve"> </w:t>
      </w:r>
      <w:r w:rsidRPr="00BF2A14">
        <w:rPr>
          <w:rStyle w:val="Strong"/>
          <w:rFonts w:ascii="Arial" w:hAnsi="Arial" w:cs="Arial"/>
          <w:b w:val="0"/>
          <w:i/>
          <w:sz w:val="20"/>
        </w:rPr>
        <w:t>et al.</w:t>
      </w:r>
      <w:r w:rsidRPr="00BF2A14">
        <w:rPr>
          <w:rStyle w:val="Strong"/>
          <w:rFonts w:ascii="Arial" w:hAnsi="Arial" w:cs="Arial"/>
          <w:b w:val="0"/>
          <w:sz w:val="20"/>
        </w:rPr>
        <w:t xml:space="preserve"> (2023); </w:t>
      </w:r>
      <w:r w:rsidR="004E49E6" w:rsidRPr="00BF2A14">
        <w:rPr>
          <w:rFonts w:ascii="Arial" w:hAnsi="Arial" w:cs="Arial"/>
          <w:sz w:val="20"/>
        </w:rPr>
        <w:t>Goswami &amp; Singh (2012)</w:t>
      </w:r>
    </w:p>
    <w:p w:rsidR="00FE757A" w:rsidRPr="00D31C07" w:rsidRDefault="00D31C07" w:rsidP="00FE757A">
      <w:pPr>
        <w:pStyle w:val="NormalWeb"/>
        <w:rPr>
          <w:rFonts w:ascii="Arial" w:hAnsi="Arial" w:cs="Arial"/>
          <w:sz w:val="22"/>
        </w:rPr>
      </w:pPr>
      <w:r w:rsidRPr="00D31C07">
        <w:rPr>
          <w:rStyle w:val="Strong"/>
          <w:rFonts w:ascii="Arial" w:hAnsi="Arial" w:cs="Arial"/>
          <w:sz w:val="22"/>
        </w:rPr>
        <w:t xml:space="preserve">5. </w:t>
      </w:r>
      <w:r w:rsidRPr="00D31C07">
        <w:rPr>
          <w:rFonts w:ascii="Arial" w:hAnsi="Arial" w:cs="Arial"/>
          <w:b/>
          <w:sz w:val="22"/>
        </w:rPr>
        <w:t>MATING BEHAVIOUR AND INFLUENCE OF COUPLING DURATION ON REPRODUCTIVE SUCCESS</w:t>
      </w:r>
    </w:p>
    <w:p w:rsidR="00E267A7" w:rsidRPr="00D31C07" w:rsidRDefault="00E267A7" w:rsidP="00103755">
      <w:pPr>
        <w:pStyle w:val="NormalWeb"/>
        <w:jc w:val="both"/>
        <w:rPr>
          <w:rFonts w:ascii="Arial" w:hAnsi="Arial" w:cs="Arial"/>
          <w:sz w:val="20"/>
          <w:szCs w:val="20"/>
        </w:rPr>
      </w:pPr>
      <w:r w:rsidRPr="00D31C07">
        <w:rPr>
          <w:rFonts w:ascii="Arial" w:hAnsi="Arial" w:cs="Arial"/>
          <w:sz w:val="20"/>
          <w:szCs w:val="20"/>
        </w:rPr>
        <w:t xml:space="preserve">Mating </w:t>
      </w:r>
      <w:proofErr w:type="spellStart"/>
      <w:r w:rsidRPr="00D31C07">
        <w:rPr>
          <w:rFonts w:ascii="Arial" w:hAnsi="Arial" w:cs="Arial"/>
          <w:sz w:val="20"/>
          <w:szCs w:val="20"/>
        </w:rPr>
        <w:t>behaviour</w:t>
      </w:r>
      <w:proofErr w:type="spellEnd"/>
      <w:r w:rsidRPr="00D31C07">
        <w:rPr>
          <w:rFonts w:ascii="Arial" w:hAnsi="Arial" w:cs="Arial"/>
          <w:sz w:val="20"/>
          <w:szCs w:val="20"/>
        </w:rPr>
        <w:t xml:space="preserve"> in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is a critical determinant of reproductive success and directly influences both fecundity and fertility, key parameters in seed quality and productivity. The mating process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 is initiated through olfactory cues, where the male moth detects female pheromones and exhibits a characteristic downward bending of the antennae during the receptive period (Majumdar </w:t>
      </w:r>
      <w:r w:rsidRPr="00D31C07">
        <w:rPr>
          <w:rFonts w:ascii="Arial" w:hAnsi="Arial" w:cs="Arial"/>
          <w:i/>
          <w:sz w:val="20"/>
          <w:szCs w:val="20"/>
        </w:rPr>
        <w:t>et al.,</w:t>
      </w:r>
      <w:r w:rsidRPr="00D31C07">
        <w:rPr>
          <w:rFonts w:ascii="Arial" w:hAnsi="Arial" w:cs="Arial"/>
          <w:sz w:val="20"/>
          <w:szCs w:val="20"/>
        </w:rPr>
        <w:t xml:space="preserve"> 2024). This sensory </w:t>
      </w:r>
      <w:proofErr w:type="spellStart"/>
      <w:r w:rsidRPr="00D31C07">
        <w:rPr>
          <w:rFonts w:ascii="Arial" w:hAnsi="Arial" w:cs="Arial"/>
          <w:sz w:val="20"/>
          <w:szCs w:val="20"/>
        </w:rPr>
        <w:t>behaviour</w:t>
      </w:r>
      <w:proofErr w:type="spellEnd"/>
      <w:r w:rsidRPr="00D31C07">
        <w:rPr>
          <w:rFonts w:ascii="Arial" w:hAnsi="Arial" w:cs="Arial"/>
          <w:sz w:val="20"/>
          <w:szCs w:val="20"/>
        </w:rPr>
        <w:t xml:space="preserve"> facilitates mate localization and successful copulation.</w:t>
      </w:r>
    </w:p>
    <w:p w:rsidR="00E267A7" w:rsidRPr="00D31C07" w:rsidRDefault="00E267A7" w:rsidP="00103755">
      <w:pPr>
        <w:pStyle w:val="NormalWeb"/>
        <w:jc w:val="both"/>
        <w:rPr>
          <w:rFonts w:ascii="Arial" w:hAnsi="Arial" w:cs="Arial"/>
          <w:sz w:val="20"/>
          <w:szCs w:val="20"/>
        </w:rPr>
      </w:pPr>
      <w:r w:rsidRPr="00D31C07">
        <w:rPr>
          <w:rFonts w:ascii="Arial" w:hAnsi="Arial" w:cs="Arial"/>
          <w:sz w:val="20"/>
          <w:szCs w:val="20"/>
        </w:rPr>
        <w:t xml:space="preserve">Under natural conditions, mating typically begins during the evening hours and may extend overnight, often lasting between 10 to 12 hours, with undisturbed pairs occasionally remaining coupled for up to 24 hours (Majumdar </w:t>
      </w:r>
      <w:r w:rsidRPr="00D31C07">
        <w:rPr>
          <w:rFonts w:ascii="Arial" w:hAnsi="Arial" w:cs="Arial"/>
          <w:i/>
          <w:sz w:val="20"/>
          <w:szCs w:val="20"/>
        </w:rPr>
        <w:t>et al.,</w:t>
      </w:r>
      <w:r w:rsidRPr="00D31C07">
        <w:rPr>
          <w:rFonts w:ascii="Arial" w:hAnsi="Arial" w:cs="Arial"/>
          <w:sz w:val="20"/>
          <w:szCs w:val="20"/>
        </w:rPr>
        <w:t xml:space="preserve"> 2024). Similar extended copulation </w:t>
      </w:r>
      <w:proofErr w:type="spellStart"/>
      <w:r w:rsidRPr="00D31C07">
        <w:rPr>
          <w:rFonts w:ascii="Arial" w:hAnsi="Arial" w:cs="Arial"/>
          <w:sz w:val="20"/>
          <w:szCs w:val="20"/>
        </w:rPr>
        <w:t>behaviour</w:t>
      </w:r>
      <w:proofErr w:type="spellEnd"/>
      <w:r w:rsidRPr="00D31C07">
        <w:rPr>
          <w:rFonts w:ascii="Arial" w:hAnsi="Arial" w:cs="Arial"/>
          <w:sz w:val="20"/>
          <w:szCs w:val="20"/>
        </w:rPr>
        <w:t xml:space="preserve"> has been reported in other wild silk moths such as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mylitta</w:t>
      </w:r>
      <w:proofErr w:type="spellEnd"/>
      <w:r w:rsidRPr="00D31C07">
        <w:rPr>
          <w:rFonts w:ascii="Arial" w:hAnsi="Arial" w:cs="Arial"/>
          <w:sz w:val="20"/>
          <w:szCs w:val="20"/>
        </w:rPr>
        <w:t xml:space="preserve"> and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pernyi</w:t>
      </w:r>
      <w:proofErr w:type="spellEnd"/>
      <w:r w:rsidRPr="00D31C07">
        <w:rPr>
          <w:rFonts w:ascii="Arial" w:hAnsi="Arial" w:cs="Arial"/>
          <w:sz w:val="20"/>
          <w:szCs w:val="20"/>
        </w:rPr>
        <w:t xml:space="preserve"> (</w:t>
      </w:r>
      <w:proofErr w:type="spellStart"/>
      <w:r w:rsidRPr="00D31C07">
        <w:rPr>
          <w:rFonts w:ascii="Arial" w:hAnsi="Arial" w:cs="Arial"/>
          <w:sz w:val="20"/>
          <w:szCs w:val="20"/>
        </w:rPr>
        <w:t>Kuang</w:t>
      </w:r>
      <w:proofErr w:type="spellEnd"/>
      <w:r w:rsidRPr="00D31C07">
        <w:rPr>
          <w:rFonts w:ascii="Arial" w:hAnsi="Arial" w:cs="Arial"/>
          <w:sz w:val="20"/>
          <w:szCs w:val="20"/>
        </w:rPr>
        <w:t xml:space="preserve">-Ming &amp; Ta-Yuan, 1958; Singh &amp; </w:t>
      </w:r>
      <w:proofErr w:type="spellStart"/>
      <w:r w:rsidRPr="00D31C07">
        <w:rPr>
          <w:rFonts w:ascii="Arial" w:hAnsi="Arial" w:cs="Arial"/>
          <w:sz w:val="20"/>
          <w:szCs w:val="20"/>
        </w:rPr>
        <w:t>Debaraj</w:t>
      </w:r>
      <w:proofErr w:type="spellEnd"/>
      <w:r w:rsidRPr="00D31C07">
        <w:rPr>
          <w:rFonts w:ascii="Arial" w:hAnsi="Arial" w:cs="Arial"/>
          <w:sz w:val="20"/>
          <w:szCs w:val="20"/>
        </w:rPr>
        <w:t xml:space="preserve">, 2011; Singh </w:t>
      </w:r>
      <w:r w:rsidRPr="00D31C07">
        <w:rPr>
          <w:rFonts w:ascii="Arial" w:hAnsi="Arial" w:cs="Arial"/>
          <w:i/>
          <w:sz w:val="20"/>
          <w:szCs w:val="20"/>
        </w:rPr>
        <w:t>et al.,</w:t>
      </w:r>
      <w:r w:rsidR="009A2959" w:rsidRPr="00D31C07">
        <w:rPr>
          <w:rFonts w:ascii="Arial" w:hAnsi="Arial" w:cs="Arial"/>
          <w:sz w:val="20"/>
          <w:szCs w:val="20"/>
        </w:rPr>
        <w:t xml:space="preserve"> 2011</w:t>
      </w:r>
      <w:proofErr w:type="gramStart"/>
      <w:r w:rsidR="009A2959" w:rsidRPr="00D31C07">
        <w:rPr>
          <w:rFonts w:ascii="Arial" w:hAnsi="Arial" w:cs="Arial"/>
          <w:sz w:val="20"/>
          <w:szCs w:val="20"/>
        </w:rPr>
        <w:t>a,b</w:t>
      </w:r>
      <w:proofErr w:type="gramEnd"/>
      <w:r w:rsidRPr="00D31C07">
        <w:rPr>
          <w:rFonts w:ascii="Arial" w:hAnsi="Arial" w:cs="Arial"/>
          <w:sz w:val="20"/>
          <w:szCs w:val="20"/>
        </w:rPr>
        <w:t xml:space="preserve">). It is generally accepted that a single successful copulation is sufficient for fertilization, although males are occasionally reused in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operations when fresh males are in short </w:t>
      </w:r>
      <w:proofErr w:type="spellStart"/>
      <w:proofErr w:type="gramStart"/>
      <w:r w:rsidRPr="00D31C07">
        <w:rPr>
          <w:rFonts w:ascii="Arial" w:hAnsi="Arial" w:cs="Arial"/>
          <w:sz w:val="20"/>
          <w:szCs w:val="20"/>
        </w:rPr>
        <w:t>supply.Experimental</w:t>
      </w:r>
      <w:proofErr w:type="spellEnd"/>
      <w:proofErr w:type="gramEnd"/>
      <w:r w:rsidRPr="00D31C07">
        <w:rPr>
          <w:rFonts w:ascii="Arial" w:hAnsi="Arial" w:cs="Arial"/>
          <w:sz w:val="20"/>
          <w:szCs w:val="20"/>
        </w:rPr>
        <w:t xml:space="preserve"> evidence underscores the significance of coupling duration on reproductive outcomes. Majumdar </w:t>
      </w:r>
      <w:r w:rsidRPr="00D31C07">
        <w:rPr>
          <w:rFonts w:ascii="Arial" w:hAnsi="Arial" w:cs="Arial"/>
          <w:i/>
          <w:sz w:val="20"/>
          <w:szCs w:val="20"/>
        </w:rPr>
        <w:t>et al.</w:t>
      </w:r>
      <w:r w:rsidRPr="00D31C07">
        <w:rPr>
          <w:rFonts w:ascii="Arial" w:hAnsi="Arial" w:cs="Arial"/>
          <w:sz w:val="20"/>
          <w:szCs w:val="20"/>
        </w:rPr>
        <w:t xml:space="preserve"> (2024) reported that fecundity and fertility improved with increased mating duration, particularly in the 7–</w:t>
      </w:r>
      <w:proofErr w:type="gramStart"/>
      <w:r w:rsidRPr="00D31C07">
        <w:rPr>
          <w:rFonts w:ascii="Arial" w:hAnsi="Arial" w:cs="Arial"/>
          <w:sz w:val="20"/>
          <w:szCs w:val="20"/>
        </w:rPr>
        <w:t>8 hour</w:t>
      </w:r>
      <w:proofErr w:type="gramEnd"/>
      <w:r w:rsidRPr="00D31C07">
        <w:rPr>
          <w:rFonts w:ascii="Arial" w:hAnsi="Arial" w:cs="Arial"/>
          <w:sz w:val="20"/>
          <w:szCs w:val="20"/>
        </w:rPr>
        <w:t xml:space="preserve"> range, which yielded higher fecundity (148–151 eggs/moth in Baisakhi and 165–168 eggs/moth in </w:t>
      </w:r>
      <w:proofErr w:type="spellStart"/>
      <w:r w:rsidRPr="00D31C07">
        <w:rPr>
          <w:rFonts w:ascii="Arial" w:hAnsi="Arial" w:cs="Arial"/>
          <w:sz w:val="20"/>
          <w:szCs w:val="20"/>
        </w:rPr>
        <w:t>Bhodia</w:t>
      </w:r>
      <w:proofErr w:type="spellEnd"/>
      <w:r w:rsidRPr="00D31C07">
        <w:rPr>
          <w:rFonts w:ascii="Arial" w:hAnsi="Arial" w:cs="Arial"/>
          <w:sz w:val="20"/>
          <w:szCs w:val="20"/>
        </w:rPr>
        <w:t xml:space="preserve"> crops) and maximum fertility (up to 85%). Their findings suggest that although fecundity plateaus beyond 5 hours of mating, fertility continues to increase until 7–8 hours, beyond which it stabilizes. This aligns with earlier findings by </w:t>
      </w:r>
      <w:proofErr w:type="spellStart"/>
      <w:r w:rsidRPr="00D31C07">
        <w:rPr>
          <w:rFonts w:ascii="Arial" w:hAnsi="Arial" w:cs="Arial"/>
          <w:sz w:val="20"/>
          <w:szCs w:val="20"/>
        </w:rPr>
        <w:t>Thangavelu</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(1988) and Goswami &amp; Singh (2012), who observed that mating durations of 4–6 hours were sufficient for optimal oviposition and hatching under normal conditions.</w:t>
      </w:r>
    </w:p>
    <w:p w:rsidR="00E267A7" w:rsidRPr="00D31C07" w:rsidRDefault="00E267A7" w:rsidP="00103755">
      <w:pPr>
        <w:pStyle w:val="NormalWeb"/>
        <w:jc w:val="both"/>
        <w:rPr>
          <w:rFonts w:ascii="Arial" w:hAnsi="Arial" w:cs="Arial"/>
          <w:sz w:val="20"/>
          <w:szCs w:val="20"/>
        </w:rPr>
      </w:pPr>
      <w:r w:rsidRPr="00D31C07">
        <w:rPr>
          <w:rFonts w:ascii="Arial" w:hAnsi="Arial" w:cs="Arial"/>
          <w:sz w:val="20"/>
          <w:szCs w:val="20"/>
        </w:rPr>
        <w:t xml:space="preserve">Environmental factors such as temperature, humidity, and photoperiod also modulate mating efficiency and egg viability. The timing and duration of copulation are especially important, as they influence sperm transfer and retention. Goswami </w:t>
      </w:r>
      <w:r w:rsidR="00103755" w:rsidRPr="00D31C07">
        <w:rPr>
          <w:rFonts w:ascii="Arial" w:hAnsi="Arial" w:cs="Arial"/>
          <w:sz w:val="20"/>
          <w:szCs w:val="20"/>
        </w:rPr>
        <w:t>&amp;</w:t>
      </w:r>
      <w:r w:rsidRPr="00D31C07">
        <w:rPr>
          <w:rFonts w:ascii="Arial" w:hAnsi="Arial" w:cs="Arial"/>
          <w:sz w:val="20"/>
          <w:szCs w:val="20"/>
        </w:rPr>
        <w:t xml:space="preserve">Singh (2012) observed that during winter, shorter coupling durations </w:t>
      </w:r>
      <w:r w:rsidRPr="00D31C07">
        <w:rPr>
          <w:rFonts w:ascii="Arial" w:hAnsi="Arial" w:cs="Arial"/>
          <w:sz w:val="20"/>
          <w:szCs w:val="20"/>
        </w:rPr>
        <w:lastRenderedPageBreak/>
        <w:t>(60 minutes) resulted in low hatching percentages (~61.22%), while mating periods ranging from 300 to 480 minutes significantly improved hatchability (&gt;80%). Similar improvements were seen in summer, where 180 minutes of mating was adequate for optimum hatching, compared to 300 minutes required in winter.</w:t>
      </w:r>
    </w:p>
    <w:p w:rsidR="000D0E48" w:rsidRPr="00D31C07" w:rsidRDefault="00E267A7" w:rsidP="00103755">
      <w:pPr>
        <w:pStyle w:val="NormalWeb"/>
        <w:jc w:val="both"/>
        <w:rPr>
          <w:rFonts w:ascii="Arial" w:hAnsi="Arial" w:cs="Arial"/>
          <w:sz w:val="20"/>
          <w:szCs w:val="20"/>
        </w:rPr>
      </w:pPr>
      <w:r w:rsidRPr="00D31C07">
        <w:rPr>
          <w:rFonts w:ascii="Arial" w:hAnsi="Arial" w:cs="Arial"/>
          <w:sz w:val="20"/>
          <w:szCs w:val="20"/>
        </w:rPr>
        <w:t xml:space="preserve">The relationship between coupling duration and reproductive success has also been established in mulberry silkworms, where 3–5 hours of mating is considered optimal for achieving high fecundity and fertility (Jolly, 1983; </w:t>
      </w:r>
      <w:proofErr w:type="spellStart"/>
      <w:r w:rsidRPr="00D31C07">
        <w:rPr>
          <w:rFonts w:ascii="Arial" w:hAnsi="Arial" w:cs="Arial"/>
          <w:sz w:val="20"/>
          <w:szCs w:val="20"/>
        </w:rPr>
        <w:t>Narasimhanna</w:t>
      </w:r>
      <w:proofErr w:type="spellEnd"/>
      <w:r w:rsidRPr="00D31C07">
        <w:rPr>
          <w:rFonts w:ascii="Arial" w:hAnsi="Arial" w:cs="Arial"/>
          <w:sz w:val="20"/>
          <w:szCs w:val="20"/>
        </w:rPr>
        <w:t xml:space="preserve">, 1988; </w:t>
      </w:r>
      <w:proofErr w:type="spellStart"/>
      <w:r w:rsidRPr="00D31C07">
        <w:rPr>
          <w:rFonts w:ascii="Arial" w:hAnsi="Arial" w:cs="Arial"/>
          <w:sz w:val="20"/>
          <w:szCs w:val="20"/>
        </w:rPr>
        <w:t>Yeole</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1995). However,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optimal coupling duration appears to be season-dependent. Goswami &amp; Singh (2012) demonstrated that during summer, a 180-minute coupling period was sufficient for optimal hatchability, while 300 minutes were required during colder months to achieve similar </w:t>
      </w:r>
      <w:proofErr w:type="spellStart"/>
      <w:proofErr w:type="gramStart"/>
      <w:r w:rsidRPr="00D31C07">
        <w:rPr>
          <w:rFonts w:ascii="Arial" w:hAnsi="Arial" w:cs="Arial"/>
          <w:sz w:val="20"/>
          <w:szCs w:val="20"/>
        </w:rPr>
        <w:t>results.Overall</w:t>
      </w:r>
      <w:proofErr w:type="spellEnd"/>
      <w:proofErr w:type="gramEnd"/>
      <w:r w:rsidRPr="00D31C07">
        <w:rPr>
          <w:rFonts w:ascii="Arial" w:hAnsi="Arial" w:cs="Arial"/>
          <w:sz w:val="20"/>
          <w:szCs w:val="20"/>
        </w:rPr>
        <w:t xml:space="preserve">, these findings underscore the importance of optimizing mating duration for enhancing both fecundity and fertility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silkworms. Understanding the interplay between </w:t>
      </w:r>
      <w:proofErr w:type="spellStart"/>
      <w:r w:rsidRPr="00D31C07">
        <w:rPr>
          <w:rFonts w:ascii="Arial" w:hAnsi="Arial" w:cs="Arial"/>
          <w:sz w:val="20"/>
          <w:szCs w:val="20"/>
        </w:rPr>
        <w:t>behavioural</w:t>
      </w:r>
      <w:proofErr w:type="spellEnd"/>
      <w:r w:rsidRPr="00D31C07">
        <w:rPr>
          <w:rFonts w:ascii="Arial" w:hAnsi="Arial" w:cs="Arial"/>
          <w:sz w:val="20"/>
          <w:szCs w:val="20"/>
        </w:rPr>
        <w:t xml:space="preserve">, physiological, and environmental factors during mating can inform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ensuring efficient seed production and improved larval performance in subsequent generations.</w:t>
      </w:r>
    </w:p>
    <w:p w:rsidR="005C0806" w:rsidRPr="00D31C07" w:rsidRDefault="00D31C07" w:rsidP="005C0806">
      <w:pPr>
        <w:pStyle w:val="Heading3"/>
        <w:rPr>
          <w:rFonts w:ascii="Arial" w:hAnsi="Arial" w:cs="Arial"/>
          <w:sz w:val="22"/>
        </w:rPr>
      </w:pPr>
      <w:r w:rsidRPr="00D31C07">
        <w:rPr>
          <w:rStyle w:val="Strong"/>
          <w:rFonts w:ascii="Arial" w:hAnsi="Arial" w:cs="Arial"/>
          <w:b/>
          <w:bCs/>
          <w:sz w:val="22"/>
        </w:rPr>
        <w:t>6. OVIPOSITION BEHAVIOR AND ARTIFICIAL DEVICES FOR EGG LAYING</w:t>
      </w:r>
    </w:p>
    <w:p w:rsidR="005C0806" w:rsidRPr="00D31C07" w:rsidRDefault="005C0806" w:rsidP="005C0806">
      <w:pPr>
        <w:pStyle w:val="NormalWeb"/>
        <w:jc w:val="both"/>
        <w:rPr>
          <w:rFonts w:ascii="Arial" w:hAnsi="Arial" w:cs="Arial"/>
          <w:sz w:val="20"/>
          <w:szCs w:val="20"/>
        </w:rPr>
      </w:pPr>
      <w:r w:rsidRPr="00D31C07">
        <w:rPr>
          <w:rFonts w:ascii="Arial" w:hAnsi="Arial" w:cs="Arial"/>
          <w:sz w:val="20"/>
          <w:szCs w:val="20"/>
        </w:rPr>
        <w:t xml:space="preserve">Oviposition behavior in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is a critical determinant of seed quality, influenced by both physiological timing and environmental stimuli. Female moths typically initiate oviposition approximately 10 hours after mating, often preferring subdued or dark conditions for laying eggs (</w:t>
      </w:r>
      <w:proofErr w:type="spellStart"/>
      <w:r w:rsidRPr="00D31C07">
        <w:rPr>
          <w:rFonts w:ascii="Arial" w:hAnsi="Arial" w:cs="Arial"/>
          <w:sz w:val="20"/>
          <w:szCs w:val="20"/>
        </w:rPr>
        <w:t>Sarmah</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2010). The majority of viable and developmentally competent eggs are deposited during the first three days following the onset of oviposition, highlighting the importance of synchronizing rearing practices with peak fecundity windows (</w:t>
      </w:r>
      <w:proofErr w:type="spellStart"/>
      <w:r w:rsidR="00401A7D" w:rsidRPr="00D31C07">
        <w:rPr>
          <w:rFonts w:ascii="Arial" w:hAnsi="Arial" w:cs="Arial"/>
          <w:sz w:val="20"/>
          <w:szCs w:val="20"/>
        </w:rPr>
        <w:t>Kakati</w:t>
      </w:r>
      <w:proofErr w:type="spellEnd"/>
      <w:r w:rsidR="00401A7D" w:rsidRPr="00D31C07">
        <w:rPr>
          <w:rFonts w:ascii="Arial" w:hAnsi="Arial" w:cs="Arial"/>
          <w:sz w:val="20"/>
          <w:szCs w:val="20"/>
        </w:rPr>
        <w:t xml:space="preserve"> </w:t>
      </w:r>
      <w:r w:rsidR="00401A7D" w:rsidRPr="00D31C07">
        <w:rPr>
          <w:rFonts w:ascii="Arial" w:hAnsi="Arial" w:cs="Arial"/>
          <w:i/>
          <w:sz w:val="20"/>
          <w:szCs w:val="20"/>
        </w:rPr>
        <w:t>et al.,</w:t>
      </w:r>
      <w:r w:rsidR="00401A7D" w:rsidRPr="00D31C07">
        <w:rPr>
          <w:rFonts w:ascii="Arial" w:hAnsi="Arial" w:cs="Arial"/>
          <w:sz w:val="20"/>
          <w:szCs w:val="20"/>
        </w:rPr>
        <w:t xml:space="preserve"> 2005; </w:t>
      </w:r>
      <w:proofErr w:type="spellStart"/>
      <w:r w:rsidR="00401A7D" w:rsidRPr="00D31C07">
        <w:rPr>
          <w:rFonts w:ascii="Arial" w:hAnsi="Arial" w:cs="Arial"/>
          <w:sz w:val="20"/>
          <w:szCs w:val="20"/>
        </w:rPr>
        <w:t>Kakati</w:t>
      </w:r>
      <w:proofErr w:type="spellEnd"/>
      <w:r w:rsidR="00401A7D" w:rsidRPr="00D31C07">
        <w:rPr>
          <w:rFonts w:ascii="Arial" w:hAnsi="Arial" w:cs="Arial"/>
          <w:sz w:val="20"/>
          <w:szCs w:val="20"/>
        </w:rPr>
        <w:t>, 2002</w:t>
      </w:r>
      <w:r w:rsidRPr="00D31C07">
        <w:rPr>
          <w:rFonts w:ascii="Arial" w:hAnsi="Arial" w:cs="Arial"/>
          <w:sz w:val="20"/>
          <w:szCs w:val="20"/>
        </w:rPr>
        <w:t>).</w:t>
      </w:r>
    </w:p>
    <w:p w:rsidR="005C0806" w:rsidRPr="00D31C07" w:rsidRDefault="005C0806" w:rsidP="005C0806">
      <w:pPr>
        <w:pStyle w:val="NormalWeb"/>
        <w:jc w:val="both"/>
        <w:rPr>
          <w:rFonts w:ascii="Arial" w:hAnsi="Arial" w:cs="Arial"/>
          <w:sz w:val="20"/>
          <w:szCs w:val="20"/>
        </w:rPr>
      </w:pPr>
      <w:r w:rsidRPr="00D31C07">
        <w:rPr>
          <w:rFonts w:ascii="Arial" w:hAnsi="Arial" w:cs="Arial"/>
          <w:sz w:val="20"/>
          <w:szCs w:val="20"/>
        </w:rPr>
        <w:t xml:space="preserve">Moths exhibit preferences for specific substrates during oviposition, and such preferences directly affect both fecundity and hatchability. Traditionally, oviposition has been facilitated using devices made from thatch grass, locally referred to as </w:t>
      </w:r>
      <w:proofErr w:type="spellStart"/>
      <w:r w:rsidRPr="00D31C07">
        <w:rPr>
          <w:rStyle w:val="Emphasis"/>
          <w:rFonts w:ascii="Arial" w:hAnsi="Arial" w:cs="Arial"/>
          <w:sz w:val="20"/>
          <w:szCs w:val="20"/>
        </w:rPr>
        <w:t>kharika</w:t>
      </w:r>
      <w:proofErr w:type="spellEnd"/>
      <w:r w:rsidRPr="00D31C07">
        <w:rPr>
          <w:rFonts w:ascii="Arial" w:hAnsi="Arial" w:cs="Arial"/>
          <w:sz w:val="20"/>
          <w:szCs w:val="20"/>
        </w:rPr>
        <w:t xml:space="preserve"> or </w:t>
      </w:r>
      <w:r w:rsidRPr="00D31C07">
        <w:rPr>
          <w:rStyle w:val="Emphasis"/>
          <w:rFonts w:ascii="Arial" w:hAnsi="Arial" w:cs="Arial"/>
          <w:sz w:val="20"/>
          <w:szCs w:val="20"/>
        </w:rPr>
        <w:t xml:space="preserve">Sang </w:t>
      </w:r>
      <w:proofErr w:type="spellStart"/>
      <w:r w:rsidRPr="00D31C07">
        <w:rPr>
          <w:rStyle w:val="Emphasis"/>
          <w:rFonts w:ascii="Arial" w:hAnsi="Arial" w:cs="Arial"/>
          <w:sz w:val="20"/>
          <w:szCs w:val="20"/>
        </w:rPr>
        <w:t>Kher</w:t>
      </w:r>
      <w:proofErr w:type="spellEnd"/>
      <w:r w:rsidRPr="00D31C07">
        <w:rPr>
          <w:rFonts w:ascii="Arial" w:hAnsi="Arial" w:cs="Arial"/>
          <w:sz w:val="20"/>
          <w:szCs w:val="20"/>
        </w:rPr>
        <w:t xml:space="preserve">. However, recent research has evaluated alternative biodegradable oviposition substrates to enhance seed quality and hygiene in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operations.</w:t>
      </w:r>
    </w:p>
    <w:p w:rsidR="005C0806" w:rsidRPr="00D31C07" w:rsidRDefault="005C0806" w:rsidP="007228F6">
      <w:pPr>
        <w:pStyle w:val="NormalWeb"/>
        <w:jc w:val="both"/>
        <w:rPr>
          <w:rFonts w:ascii="Arial" w:hAnsi="Arial" w:cs="Arial"/>
          <w:sz w:val="20"/>
          <w:szCs w:val="20"/>
        </w:rPr>
      </w:pPr>
      <w:proofErr w:type="spellStart"/>
      <w:r w:rsidRPr="00D31C07">
        <w:rPr>
          <w:rFonts w:ascii="Arial" w:hAnsi="Arial" w:cs="Arial"/>
          <w:sz w:val="20"/>
          <w:szCs w:val="20"/>
        </w:rPr>
        <w:t>Saikia</w:t>
      </w:r>
      <w:proofErr w:type="spellEnd"/>
      <w:r w:rsidRPr="00D31C07">
        <w:rPr>
          <w:rFonts w:ascii="Arial" w:hAnsi="Arial" w:cs="Arial"/>
          <w:sz w:val="20"/>
          <w:szCs w:val="20"/>
        </w:rPr>
        <w:t xml:space="preserve"> </w:t>
      </w:r>
      <w:r w:rsidRPr="00D31C07">
        <w:rPr>
          <w:rFonts w:ascii="Arial" w:hAnsi="Arial" w:cs="Arial"/>
          <w:i/>
          <w:sz w:val="20"/>
          <w:szCs w:val="20"/>
        </w:rPr>
        <w:t xml:space="preserve">et al. </w:t>
      </w:r>
      <w:r w:rsidRPr="00D31C07">
        <w:rPr>
          <w:rFonts w:ascii="Arial" w:hAnsi="Arial" w:cs="Arial"/>
          <w:sz w:val="20"/>
          <w:szCs w:val="20"/>
        </w:rPr>
        <w:t>(2019) conducted a comparative analysis of various oviposition devices and found that paper-based devices yielded the highest fecundity (191.88 eggs/female) with an average egg mass of 1.24 g per laying. This performance was statistically comparable to tree twig-based devices (182.33 eggs/female; 1.17 g egg mass). In contrast, devices made of rice straw and thatch grass recorded lower fecundity (158.21 and 166.33 eggs/female, respectively) and reduced egg mass (1.00 g and 1.06 g, respectively). These differences were attributed primarily to variations in surface texture and uniformity across the devices. The influence of substratum characteristics on oviposition behavior has been well-documented in lepidopteran species. A smoother surface typically promotes higher egg deposition, whereas rough or uneven textures tend to reduce oviposition (</w:t>
      </w:r>
      <w:proofErr w:type="spellStart"/>
      <w:r w:rsidRPr="00D31C07">
        <w:rPr>
          <w:rFonts w:ascii="Arial" w:hAnsi="Arial" w:cs="Arial"/>
          <w:sz w:val="20"/>
          <w:szCs w:val="20"/>
        </w:rPr>
        <w:t>Legay</w:t>
      </w:r>
      <w:proofErr w:type="spellEnd"/>
      <w:r w:rsidRPr="00D31C07">
        <w:rPr>
          <w:rFonts w:ascii="Arial" w:hAnsi="Arial" w:cs="Arial"/>
          <w:sz w:val="20"/>
          <w:szCs w:val="20"/>
        </w:rPr>
        <w:t xml:space="preserve">, 1989; Gupta </w:t>
      </w:r>
      <w:r w:rsidRPr="00D31C07">
        <w:rPr>
          <w:rFonts w:ascii="Arial" w:hAnsi="Arial" w:cs="Arial"/>
          <w:i/>
          <w:sz w:val="20"/>
          <w:szCs w:val="20"/>
        </w:rPr>
        <w:t>et al.,</w:t>
      </w:r>
      <w:r w:rsidRPr="00D31C07">
        <w:rPr>
          <w:rFonts w:ascii="Arial" w:hAnsi="Arial" w:cs="Arial"/>
          <w:sz w:val="20"/>
          <w:szCs w:val="20"/>
        </w:rPr>
        <w:t xml:space="preserve"> 1990; </w:t>
      </w:r>
      <w:proofErr w:type="spellStart"/>
      <w:r w:rsidRPr="00D31C07">
        <w:rPr>
          <w:rFonts w:ascii="Arial" w:hAnsi="Arial" w:cs="Arial"/>
          <w:sz w:val="20"/>
          <w:szCs w:val="20"/>
        </w:rPr>
        <w:t>Manjulakumari</w:t>
      </w:r>
      <w:proofErr w:type="spellEnd"/>
      <w:r w:rsidRPr="00D31C07">
        <w:rPr>
          <w:rFonts w:ascii="Arial" w:hAnsi="Arial" w:cs="Arial"/>
          <w:sz w:val="20"/>
          <w:szCs w:val="20"/>
        </w:rPr>
        <w:t xml:space="preserve"> &amp; </w:t>
      </w:r>
      <w:proofErr w:type="spellStart"/>
      <w:r w:rsidRPr="00D31C07">
        <w:rPr>
          <w:rFonts w:ascii="Arial" w:hAnsi="Arial" w:cs="Arial"/>
          <w:sz w:val="20"/>
          <w:szCs w:val="20"/>
        </w:rPr>
        <w:t>Githabali</w:t>
      </w:r>
      <w:proofErr w:type="spellEnd"/>
      <w:r w:rsidRPr="00D31C07">
        <w:rPr>
          <w:rFonts w:ascii="Arial" w:hAnsi="Arial" w:cs="Arial"/>
          <w:sz w:val="20"/>
          <w:szCs w:val="20"/>
        </w:rPr>
        <w:t>, 1991). Thus, material selection and device design play an instrumental role in optimizing egg yield and quality. In terms of hatchability, however, the trends differed slightly. Thatch grass-based devices supported the highest hatching success (93.98%), followed closely by tree twig (92.72%) and paper-based (92.62%) devices. Rice straw-based devices, though biodegradable, yielded the lowest hatchability (89.44%) (</w:t>
      </w:r>
      <w:proofErr w:type="spellStart"/>
      <w:r w:rsidRPr="00D31C07">
        <w:rPr>
          <w:rFonts w:ascii="Arial" w:hAnsi="Arial" w:cs="Arial"/>
          <w:sz w:val="20"/>
          <w:szCs w:val="20"/>
        </w:rPr>
        <w:t>Saikia</w:t>
      </w:r>
      <w:proofErr w:type="spellEnd"/>
      <w:r w:rsidRPr="00D31C07">
        <w:rPr>
          <w:rFonts w:ascii="Arial" w:hAnsi="Arial" w:cs="Arial"/>
          <w:sz w:val="20"/>
          <w:szCs w:val="20"/>
        </w:rPr>
        <w:t xml:space="preserve"> </w:t>
      </w:r>
      <w:r w:rsidRPr="00D31C07">
        <w:rPr>
          <w:rFonts w:ascii="Arial" w:hAnsi="Arial" w:cs="Arial"/>
          <w:i/>
          <w:sz w:val="20"/>
          <w:szCs w:val="20"/>
        </w:rPr>
        <w:t>et al.,</w:t>
      </w:r>
      <w:r w:rsidRPr="00D31C07">
        <w:rPr>
          <w:rFonts w:ascii="Arial" w:hAnsi="Arial" w:cs="Arial"/>
          <w:sz w:val="20"/>
          <w:szCs w:val="20"/>
        </w:rPr>
        <w:t xml:space="preserve"> 2019). This suggests that while certain materials may favor higher egg deposition, they may not necessarily support optimal egg development or viability.</w:t>
      </w:r>
    </w:p>
    <w:p w:rsidR="005C0806" w:rsidRPr="00D31C07" w:rsidRDefault="005C0806" w:rsidP="005C0806">
      <w:pPr>
        <w:pStyle w:val="NormalWeb"/>
        <w:jc w:val="both"/>
        <w:rPr>
          <w:rFonts w:ascii="Arial" w:hAnsi="Arial" w:cs="Arial"/>
          <w:sz w:val="20"/>
          <w:szCs w:val="20"/>
        </w:rPr>
      </w:pPr>
      <w:r w:rsidRPr="00D31C07">
        <w:rPr>
          <w:rFonts w:ascii="Arial" w:hAnsi="Arial" w:cs="Arial"/>
          <w:sz w:val="20"/>
          <w:szCs w:val="20"/>
        </w:rPr>
        <w:t xml:space="preserve">Taken together, these findings indicate that while traditional </w:t>
      </w:r>
      <w:proofErr w:type="spellStart"/>
      <w:r w:rsidRPr="00D31C07">
        <w:rPr>
          <w:rStyle w:val="Emphasis"/>
          <w:rFonts w:ascii="Arial" w:hAnsi="Arial" w:cs="Arial"/>
          <w:sz w:val="20"/>
          <w:szCs w:val="20"/>
        </w:rPr>
        <w:t>kharika</w:t>
      </w:r>
      <w:proofErr w:type="spellEnd"/>
      <w:r w:rsidRPr="00D31C07">
        <w:rPr>
          <w:rFonts w:ascii="Arial" w:hAnsi="Arial" w:cs="Arial"/>
          <w:sz w:val="20"/>
          <w:szCs w:val="20"/>
        </w:rPr>
        <w:t xml:space="preserve"> remains effective, alternative devices such as biodegradable paper and tree twigs offer comparable or superior outcomes in terms of fecundity and hatchability. Integrating such substrates into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may help improve hygiene, reduce handling time, and enhance the efficiency of seed production systems in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sericulture.</w:t>
      </w:r>
    </w:p>
    <w:p w:rsidR="006437D0" w:rsidRPr="00D31C07" w:rsidRDefault="00D31C07" w:rsidP="006437D0">
      <w:pPr>
        <w:pStyle w:val="Heading3"/>
        <w:rPr>
          <w:rFonts w:ascii="Arial" w:hAnsi="Arial" w:cs="Arial"/>
          <w:sz w:val="22"/>
          <w:szCs w:val="22"/>
        </w:rPr>
      </w:pPr>
      <w:r w:rsidRPr="00D31C07">
        <w:rPr>
          <w:rStyle w:val="Strong"/>
          <w:rFonts w:ascii="Arial" w:hAnsi="Arial" w:cs="Arial"/>
          <w:b/>
          <w:bCs/>
          <w:sz w:val="22"/>
          <w:szCs w:val="22"/>
        </w:rPr>
        <w:t>7. CONCLUSION</w:t>
      </w:r>
    </w:p>
    <w:p w:rsidR="006437D0" w:rsidRPr="00D31C07" w:rsidRDefault="006437D0" w:rsidP="006437D0">
      <w:pPr>
        <w:pStyle w:val="NormalWeb"/>
        <w:jc w:val="both"/>
        <w:rPr>
          <w:rFonts w:ascii="Arial" w:hAnsi="Arial" w:cs="Arial"/>
          <w:sz w:val="20"/>
          <w:szCs w:val="20"/>
        </w:rPr>
      </w:pPr>
      <w:r w:rsidRPr="00D31C07">
        <w:rPr>
          <w:rFonts w:ascii="Arial" w:hAnsi="Arial" w:cs="Arial"/>
          <w:sz w:val="20"/>
          <w:szCs w:val="20"/>
        </w:rPr>
        <w:lastRenderedPageBreak/>
        <w:t xml:space="preserve">The reproductive biology of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remains both a pivotal challenge and a promising frontier in the advancement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sericulture. This review underscores the intricate coordination between anatomical structures, physiological processes, endocrine control, behavioral cues, and environmental influences that collectively govern reproductive success. Although studies have elucidated important factors such as seasonal variation, mating duration, and oviposition preferences, current understanding is predominantly empirical and lacks mechanistic depth. Unlocking the full reproductive potential of this species requires deeper exploration into the molecular and hormonal pathways that regulate vitellogenesis, spermatogenesis, and egg viability. Emerging tools in genomics, transcriptomics, and reproductive biotechnology offer exciting opportunities to fill these gaps. By integrating these approaches with precision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and adaptive seed production strategies, it is possible to enhance reproductive efficiency, improve seed viability, and strengthen the resilience of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against climatic and ecological stressors. Given its ecological uniqueness and cultural significance, safeguarding the reproductive integrity of this species is not only a scientific imperative but also a socio-economic necessity for the sustainable future of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production. A multidisciplinary, data-driven approach will be key to transforming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into a robust model for sustainable, climate-resilient sericulture.</w:t>
      </w:r>
    </w:p>
    <w:p w:rsidR="00D31C07" w:rsidRPr="00D31C07" w:rsidRDefault="00D31C07" w:rsidP="00D31C07">
      <w:pPr>
        <w:pStyle w:val="Heading3"/>
        <w:rPr>
          <w:rFonts w:ascii="Arial" w:hAnsi="Arial" w:cs="Arial"/>
          <w:sz w:val="22"/>
          <w:szCs w:val="22"/>
        </w:rPr>
      </w:pPr>
      <w:r>
        <w:rPr>
          <w:rStyle w:val="Strong"/>
          <w:rFonts w:ascii="Arial" w:hAnsi="Arial" w:cs="Arial"/>
          <w:b/>
          <w:bCs/>
          <w:sz w:val="22"/>
          <w:szCs w:val="22"/>
        </w:rPr>
        <w:t>8</w:t>
      </w:r>
      <w:r w:rsidRPr="00D31C07">
        <w:rPr>
          <w:rStyle w:val="Strong"/>
          <w:rFonts w:ascii="Arial" w:hAnsi="Arial" w:cs="Arial"/>
          <w:b/>
          <w:bCs/>
          <w:sz w:val="22"/>
          <w:szCs w:val="22"/>
        </w:rPr>
        <w:t xml:space="preserve">. </w:t>
      </w:r>
      <w:r w:rsidRPr="00D31C07">
        <w:rPr>
          <w:rFonts w:ascii="Arial" w:hAnsi="Arial" w:cs="Arial"/>
          <w:sz w:val="22"/>
          <w:szCs w:val="22"/>
        </w:rPr>
        <w:t>GAPS AND FUTURE RESEARCH DIRECTIONS</w:t>
      </w:r>
    </w:p>
    <w:p w:rsidR="00D31C07" w:rsidRPr="00D31C07" w:rsidRDefault="00D31C07" w:rsidP="00D31C07">
      <w:pPr>
        <w:pStyle w:val="NormalWeb"/>
        <w:jc w:val="both"/>
        <w:rPr>
          <w:rFonts w:ascii="Arial" w:hAnsi="Arial" w:cs="Arial"/>
          <w:sz w:val="20"/>
          <w:szCs w:val="20"/>
        </w:rPr>
      </w:pPr>
      <w:r w:rsidRPr="00D31C07">
        <w:rPr>
          <w:rFonts w:ascii="Arial" w:hAnsi="Arial" w:cs="Arial"/>
          <w:sz w:val="20"/>
          <w:szCs w:val="20"/>
        </w:rPr>
        <w:t xml:space="preserve">Despite the ecological, economic, and cultural importance of </w:t>
      </w:r>
      <w:proofErr w:type="spellStart"/>
      <w:r w:rsidRPr="00D31C07">
        <w:rPr>
          <w:rStyle w:val="Emphasis"/>
          <w:rFonts w:ascii="Arial" w:hAnsi="Arial" w:cs="Arial"/>
          <w:sz w:val="20"/>
          <w:szCs w:val="20"/>
        </w:rPr>
        <w:t>Antheraea</w:t>
      </w:r>
      <w:proofErr w:type="spellEnd"/>
      <w:r w:rsidRPr="00D31C07">
        <w:rPr>
          <w:rStyle w:val="Emphasis"/>
          <w:rFonts w:ascii="Arial" w:hAnsi="Arial" w:cs="Arial"/>
          <w:sz w:val="20"/>
          <w:szCs w:val="20"/>
        </w:rPr>
        <w:t xml:space="preserve">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comprehensive research on its reproductive biology remains fragmented and underdeveloped. The species is mono-raced, semi-domesticated, and geographically restricted to the Indo-Burma biodiversity hotspot, making it highly vulnerable to climate change, habitat degradation, and anthropogenic pressures. The seasonal constraints of seed production, limited adaptability to captive rearing, and high mortality during the larval and pupal stages further complicate its conservation and sustainable utilization.</w:t>
      </w:r>
    </w:p>
    <w:p w:rsidR="00D31C07" w:rsidRPr="00D31C07" w:rsidRDefault="00D31C07" w:rsidP="00D31C07">
      <w:pPr>
        <w:pStyle w:val="NormalWeb"/>
        <w:jc w:val="both"/>
        <w:rPr>
          <w:rFonts w:ascii="Arial" w:hAnsi="Arial" w:cs="Arial"/>
          <w:sz w:val="20"/>
          <w:szCs w:val="20"/>
        </w:rPr>
      </w:pPr>
      <w:r w:rsidRPr="00D31C07">
        <w:rPr>
          <w:rFonts w:ascii="Arial" w:hAnsi="Arial" w:cs="Arial"/>
          <w:sz w:val="20"/>
          <w:szCs w:val="20"/>
        </w:rPr>
        <w:t xml:space="preserve">Current studies on reproductive physiology have largely focused on descriptive anatomy, oviposition behavior, and limited endocrine manipulations. However, the mechanistic understanding of hormonal regulation, sperm physiology, reproductive senescence, and stress-induced reproductive failures remain poorly characterized. Key regulatory pathways, such as the neuroendocrine axis controlling vitellogenesis and oocyte maturation have not yet been elucidated in </w:t>
      </w:r>
      <w:r w:rsidRPr="00D31C07">
        <w:rPr>
          <w:rStyle w:val="Emphasis"/>
          <w:rFonts w:ascii="Arial" w:hAnsi="Arial" w:cs="Arial"/>
          <w:sz w:val="20"/>
          <w:szCs w:val="20"/>
        </w:rPr>
        <w:t xml:space="preserve">A. </w:t>
      </w:r>
      <w:proofErr w:type="spellStart"/>
      <w:r w:rsidRPr="00D31C07">
        <w:rPr>
          <w:rStyle w:val="Emphasis"/>
          <w:rFonts w:ascii="Arial" w:hAnsi="Arial" w:cs="Arial"/>
          <w:sz w:val="20"/>
          <w:szCs w:val="20"/>
        </w:rPr>
        <w:t>assamensis</w:t>
      </w:r>
      <w:proofErr w:type="spellEnd"/>
      <w:r w:rsidRPr="00D31C07">
        <w:rPr>
          <w:rFonts w:ascii="Arial" w:hAnsi="Arial" w:cs="Arial"/>
          <w:sz w:val="20"/>
          <w:szCs w:val="20"/>
        </w:rPr>
        <w:t xml:space="preserve">, although similar pathways have been well-documented in model insects such as </w:t>
      </w:r>
      <w:r w:rsidRPr="00D31C07">
        <w:rPr>
          <w:rStyle w:val="Emphasis"/>
          <w:rFonts w:ascii="Arial" w:hAnsi="Arial" w:cs="Arial"/>
          <w:sz w:val="20"/>
          <w:szCs w:val="20"/>
        </w:rPr>
        <w:t>Bombyx mori</w:t>
      </w:r>
      <w:r w:rsidRPr="00D31C07">
        <w:rPr>
          <w:rFonts w:ascii="Arial" w:hAnsi="Arial" w:cs="Arial"/>
          <w:sz w:val="20"/>
          <w:szCs w:val="20"/>
        </w:rPr>
        <w:t xml:space="preserve">. This represents a significant knowledge gap that hampers the rational design of hormone-assisted seed technology. Furthermore, the effects of abiotic stressors particularly fluctuating temperature, humidity, and photoperiod on reproductive output and gamete viability are insufficiently quantified. The seasonal variability in fecundity and hatchability is well reported, but the molecular, physiological, and epigenetic bases underlying these changes are not yet understood. No genomic, transcriptomic, or proteomic datasets currently exist to support functional annotation of reproductive genes, developmental markers, or stress-response regulators in this species. In addition, the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techniques currently in practice remain dependent on empirical knowledge rather than standardized, evidence-based protocols. Techniques such as mechanical coupling, hormone supplementation, and oviposition device innovation show potential but lack consistent validation across seasons and geographical regions. There is a critical need for precision reproductive management supported by data-driven models integrating physiology, climate, and molecular indicators.</w:t>
      </w:r>
    </w:p>
    <w:p w:rsidR="00D31C07" w:rsidRDefault="00D31C07" w:rsidP="006437D0">
      <w:pPr>
        <w:pStyle w:val="NormalWeb"/>
        <w:jc w:val="both"/>
        <w:rPr>
          <w:rFonts w:ascii="Arial" w:hAnsi="Arial" w:cs="Arial"/>
          <w:sz w:val="20"/>
          <w:szCs w:val="20"/>
        </w:rPr>
      </w:pPr>
      <w:r w:rsidRPr="00D31C07">
        <w:rPr>
          <w:rFonts w:ascii="Arial" w:hAnsi="Arial" w:cs="Arial"/>
          <w:sz w:val="20"/>
          <w:szCs w:val="20"/>
        </w:rPr>
        <w:t xml:space="preserve">To ensure the long-term sustainability and productivity of the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industry, a multipronged research approach is essential. Future research must focus on the molecular regulation of reproduction, including the hormonal, genetic, and environmental controls of gametogenesis, vitellogenesis, fertilization, and embryonic development. High-throughput omics approaches such as transcriptomics, proteomics, and metabolomics should be employed to identify key reproductive genes and regulatory networks. The development of a high-quality reference genome is critical to enable functional genomic studies, marker-assisted selection, and conservation genomics. In parallel, optimizing the application of hormonal treatments such as juvenile hormone (JH-III) and 20-hydroxyecdysone (20-E) across seasons can enhance fecundity and seed viability, though their long-term physiological effects require further investigation. Detailed studies on sperm biology, including sperm dimorphism, viability, and seasonal variability, are also essential to improve fertility diagnostics and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success. Environmental </w:t>
      </w:r>
      <w:r w:rsidRPr="00D31C07">
        <w:rPr>
          <w:rFonts w:ascii="Arial" w:hAnsi="Arial" w:cs="Arial"/>
          <w:sz w:val="20"/>
          <w:szCs w:val="20"/>
        </w:rPr>
        <w:lastRenderedPageBreak/>
        <w:t xml:space="preserve">physiology must be systematically examined to quantify the impacts of temperature, humidity, and photoperiod on reproductive outcomes. Moreover, </w:t>
      </w:r>
      <w:proofErr w:type="spellStart"/>
      <w:r w:rsidRPr="00D31C07">
        <w:rPr>
          <w:rFonts w:ascii="Arial" w:hAnsi="Arial" w:cs="Arial"/>
          <w:sz w:val="20"/>
          <w:szCs w:val="20"/>
        </w:rPr>
        <w:t>grainage</w:t>
      </w:r>
      <w:proofErr w:type="spellEnd"/>
      <w:r w:rsidRPr="00D31C07">
        <w:rPr>
          <w:rFonts w:ascii="Arial" w:hAnsi="Arial" w:cs="Arial"/>
          <w:sz w:val="20"/>
          <w:szCs w:val="20"/>
        </w:rPr>
        <w:t xml:space="preserve"> practices, including artificial coupling and oviposition devices need to be standardized and validated across regions. Genetic conservation strategies, such as cryopreservation and germplasm banking, should be prioritized to safeguard this mono-raced species against genetic erosion. Finally, integrating modern biotechnological tools and digital monitoring systems can support precision sericulture and real-time reproductive management. Bridging these research gaps is vital not only for advancing scientific understanding but also for securing the future of sustainable </w:t>
      </w:r>
      <w:proofErr w:type="spellStart"/>
      <w:r w:rsidRPr="00D31C07">
        <w:rPr>
          <w:rFonts w:ascii="Arial" w:hAnsi="Arial" w:cs="Arial"/>
          <w:sz w:val="20"/>
          <w:szCs w:val="20"/>
        </w:rPr>
        <w:t>muga</w:t>
      </w:r>
      <w:proofErr w:type="spellEnd"/>
      <w:r w:rsidRPr="00D31C07">
        <w:rPr>
          <w:rFonts w:ascii="Arial" w:hAnsi="Arial" w:cs="Arial"/>
          <w:sz w:val="20"/>
          <w:szCs w:val="20"/>
        </w:rPr>
        <w:t xml:space="preserve"> silk production.</w:t>
      </w:r>
    </w:p>
    <w:p w:rsidR="009E1AFB" w:rsidRDefault="009E1AFB" w:rsidP="006437D0">
      <w:pPr>
        <w:pStyle w:val="NormalWeb"/>
        <w:jc w:val="both"/>
        <w:rPr>
          <w:rFonts w:ascii="Arial" w:hAnsi="Arial" w:cs="Arial"/>
          <w:sz w:val="20"/>
          <w:szCs w:val="20"/>
        </w:rPr>
      </w:pPr>
    </w:p>
    <w:p w:rsidR="009E1AFB" w:rsidRPr="00FE7640" w:rsidRDefault="009E1AFB" w:rsidP="009E1AFB">
      <w:pPr>
        <w:rPr>
          <w:rFonts w:ascii="Calibri" w:eastAsia="Calibri" w:hAnsi="Calibri" w:cs="Times New Roman"/>
          <w:kern w:val="2"/>
          <w:highlight w:val="yellow"/>
        </w:rPr>
      </w:pPr>
      <w:bookmarkStart w:id="1" w:name="_Hlk202259943"/>
      <w:r w:rsidRPr="00FE7640">
        <w:rPr>
          <w:rFonts w:ascii="Calibri" w:eastAsia="Calibri" w:hAnsi="Calibri" w:cs="Times New Roman"/>
          <w:kern w:val="2"/>
          <w:highlight w:val="yellow"/>
        </w:rPr>
        <w:t>Disclaimer (Artificial intelligence)</w:t>
      </w:r>
    </w:p>
    <w:p w:rsidR="009E1AFB" w:rsidRPr="00FE7640" w:rsidRDefault="009E1AFB" w:rsidP="009E1AFB">
      <w:pPr>
        <w:rPr>
          <w:rFonts w:ascii="Calibri" w:eastAsia="Calibri" w:hAnsi="Calibri" w:cs="Times New Roman"/>
          <w:kern w:val="2"/>
          <w:highlight w:val="yellow"/>
        </w:rPr>
      </w:pPr>
      <w:r w:rsidRPr="00FE7640">
        <w:rPr>
          <w:rFonts w:ascii="Calibri" w:eastAsia="Calibri" w:hAnsi="Calibri" w:cs="Times New Roman"/>
          <w:kern w:val="2"/>
          <w:highlight w:val="yellow"/>
        </w:rPr>
        <w:t xml:space="preserve">Option 1: </w:t>
      </w:r>
    </w:p>
    <w:p w:rsidR="009E1AFB" w:rsidRPr="00FE7640" w:rsidRDefault="009E1AFB" w:rsidP="009E1AFB">
      <w:pPr>
        <w:rPr>
          <w:rFonts w:ascii="Calibri" w:eastAsia="Calibri" w:hAnsi="Calibri" w:cs="Times New Roman"/>
          <w:kern w:val="2"/>
          <w:highlight w:val="yellow"/>
        </w:rPr>
      </w:pPr>
      <w:r w:rsidRPr="00FE7640">
        <w:rPr>
          <w:rFonts w:ascii="Calibri" w:eastAsia="Calibri" w:hAnsi="Calibri" w:cs="Times New Roman"/>
          <w:kern w:val="2"/>
          <w:highlight w:val="yellow"/>
        </w:rPr>
        <w:t>Author(s) hereby declare that NO generative AI technologies such as Large Language Models (</w:t>
      </w:r>
      <w:proofErr w:type="spellStart"/>
      <w:r w:rsidRPr="00FE7640">
        <w:rPr>
          <w:rFonts w:ascii="Calibri" w:eastAsia="Calibri" w:hAnsi="Calibri" w:cs="Times New Roman"/>
          <w:kern w:val="2"/>
          <w:highlight w:val="yellow"/>
        </w:rPr>
        <w:t>ChatGPT</w:t>
      </w:r>
      <w:proofErr w:type="spellEnd"/>
      <w:r w:rsidRPr="00FE7640">
        <w:rPr>
          <w:rFonts w:ascii="Calibri" w:eastAsia="Calibri" w:hAnsi="Calibri" w:cs="Times New Roman"/>
          <w:kern w:val="2"/>
          <w:highlight w:val="yellow"/>
        </w:rPr>
        <w:t xml:space="preserve">, COPILOT, etc.) and text-to-image generators have been used during the writing or editing of this manuscript. </w:t>
      </w:r>
    </w:p>
    <w:bookmarkEnd w:id="1"/>
    <w:p w:rsidR="005C0806" w:rsidRPr="00BF2A14" w:rsidRDefault="00401A7D" w:rsidP="00BF2A14">
      <w:pPr>
        <w:pStyle w:val="NormalWeb"/>
        <w:rPr>
          <w:rFonts w:ascii="Arial" w:hAnsi="Arial" w:cs="Arial"/>
          <w:b/>
          <w:sz w:val="22"/>
        </w:rPr>
      </w:pPr>
      <w:r w:rsidRPr="00BF2A14">
        <w:rPr>
          <w:rFonts w:ascii="Arial" w:hAnsi="Arial" w:cs="Arial"/>
          <w:b/>
          <w:sz w:val="22"/>
        </w:rPr>
        <w:t>REFERENCES</w:t>
      </w:r>
    </w:p>
    <w:p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sz w:val="20"/>
          <w:szCs w:val="20"/>
        </w:rPr>
        <w:t xml:space="preserve">Nath, I., Dutta, P. L., &amp; </w:t>
      </w:r>
      <w:proofErr w:type="spellStart"/>
      <w:r w:rsidRPr="00BF2A14">
        <w:rPr>
          <w:rFonts w:ascii="Arial" w:hAnsi="Arial" w:cs="Arial"/>
          <w:sz w:val="20"/>
          <w:szCs w:val="20"/>
        </w:rPr>
        <w:t>Narzary</w:t>
      </w:r>
      <w:proofErr w:type="spellEnd"/>
      <w:r w:rsidRPr="00BF2A14">
        <w:rPr>
          <w:rFonts w:ascii="Arial" w:hAnsi="Arial" w:cs="Arial"/>
          <w:sz w:val="20"/>
          <w:szCs w:val="20"/>
        </w:rPr>
        <w:t xml:space="preserve">, P. R. (2025). </w:t>
      </w:r>
      <w:proofErr w:type="spellStart"/>
      <w:r w:rsidRPr="00BF2A14">
        <w:rPr>
          <w:rFonts w:ascii="Arial" w:hAnsi="Arial" w:cs="Arial"/>
          <w:sz w:val="20"/>
          <w:szCs w:val="20"/>
        </w:rPr>
        <w:t>Muga</w:t>
      </w:r>
      <w:proofErr w:type="spellEnd"/>
      <w:r w:rsidRPr="00BF2A14">
        <w:rPr>
          <w:rFonts w:ascii="Arial" w:hAnsi="Arial" w:cs="Arial"/>
          <w:sz w:val="20"/>
          <w:szCs w:val="20"/>
        </w:rPr>
        <w:t xml:space="preserve"> Silk: A Review on Its Structural, Physical, and Biomedical Significance. Journal of Experimental Agriculture International, 47 (7), 850-63. </w:t>
      </w:r>
      <w:hyperlink r:id="rId10" w:history="1">
        <w:r w:rsidRPr="00BF2A14">
          <w:rPr>
            <w:rStyle w:val="Hyperlink"/>
            <w:rFonts w:ascii="Arial" w:hAnsi="Arial" w:cs="Arial"/>
            <w:sz w:val="20"/>
            <w:szCs w:val="20"/>
          </w:rPr>
          <w:t>https://doi.org/10.9734/jeai/2025/v47i73627</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Saikia</w:t>
      </w:r>
      <w:proofErr w:type="spellEnd"/>
      <w:r w:rsidRPr="00BF2A14">
        <w:rPr>
          <w:rFonts w:ascii="Arial" w:hAnsi="Arial" w:cs="Arial"/>
          <w:color w:val="222222"/>
          <w:sz w:val="20"/>
          <w:szCs w:val="20"/>
          <w:shd w:val="clear" w:color="auto" w:fill="FFFFFF"/>
        </w:rPr>
        <w:t xml:space="preserve">, D., Dutta, L., </w:t>
      </w:r>
      <w:proofErr w:type="spellStart"/>
      <w:r w:rsidRPr="00BF2A14">
        <w:rPr>
          <w:rFonts w:ascii="Arial" w:hAnsi="Arial" w:cs="Arial"/>
          <w:color w:val="222222"/>
          <w:sz w:val="20"/>
          <w:szCs w:val="20"/>
          <w:shd w:val="clear" w:color="auto" w:fill="FFFFFF"/>
        </w:rPr>
        <w:t>Saikia</w:t>
      </w:r>
      <w:proofErr w:type="spellEnd"/>
      <w:r w:rsidRPr="00BF2A14">
        <w:rPr>
          <w:rFonts w:ascii="Arial" w:hAnsi="Arial" w:cs="Arial"/>
          <w:color w:val="222222"/>
          <w:sz w:val="20"/>
          <w:szCs w:val="20"/>
          <w:shd w:val="clear" w:color="auto" w:fill="FFFFFF"/>
        </w:rPr>
        <w:t xml:space="preserve">, M., Singha, T., </w:t>
      </w:r>
      <w:proofErr w:type="spellStart"/>
      <w:r w:rsidRPr="00BF2A14">
        <w:rPr>
          <w:rFonts w:ascii="Arial" w:hAnsi="Arial" w:cs="Arial"/>
          <w:color w:val="222222"/>
          <w:sz w:val="20"/>
          <w:szCs w:val="20"/>
          <w:shd w:val="clear" w:color="auto" w:fill="FFFFFF"/>
        </w:rPr>
        <w:t>Gogoi</w:t>
      </w:r>
      <w:proofErr w:type="spellEnd"/>
      <w:r w:rsidRPr="00BF2A14">
        <w:rPr>
          <w:rFonts w:ascii="Arial" w:hAnsi="Arial" w:cs="Arial"/>
          <w:color w:val="222222"/>
          <w:sz w:val="20"/>
          <w:szCs w:val="20"/>
          <w:shd w:val="clear" w:color="auto" w:fill="FFFFFF"/>
        </w:rPr>
        <w:t xml:space="preserve">, I., &amp; Das, D. (2023). Effect of season on reproductive parameters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w:t>
      </w:r>
      <w:r w:rsidRPr="00BF2A14">
        <w:rPr>
          <w:rFonts w:ascii="Arial" w:hAnsi="Arial" w:cs="Arial"/>
          <w:iCs/>
          <w:color w:val="222222"/>
          <w:sz w:val="20"/>
          <w:szCs w:val="20"/>
          <w:shd w:val="clear" w:color="auto" w:fill="FFFFFF"/>
        </w:rPr>
        <w:t>Ecology Environment and Conservation</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29</w:t>
      </w:r>
      <w:r w:rsidRPr="00BF2A14">
        <w:rPr>
          <w:rFonts w:ascii="Arial" w:hAnsi="Arial" w:cs="Arial"/>
          <w:color w:val="222222"/>
          <w:sz w:val="20"/>
          <w:szCs w:val="20"/>
          <w:shd w:val="clear" w:color="auto" w:fill="FFFFFF"/>
        </w:rPr>
        <w:t xml:space="preserve">(1), 309-313. </w:t>
      </w:r>
      <w:hyperlink r:id="rId11" w:history="1">
        <w:r w:rsidRPr="00BF2A14">
          <w:rPr>
            <w:rStyle w:val="Hyperlink"/>
            <w:rFonts w:ascii="Arial" w:hAnsi="Arial" w:cs="Arial"/>
            <w:sz w:val="20"/>
            <w:szCs w:val="20"/>
            <w:shd w:val="clear" w:color="auto" w:fill="FFFFFF"/>
          </w:rPr>
          <w:t>http://doi.org/10.53550/EEC.2023.v29i01.045</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Hussain, M., Khan, S. A., Naeem, M., &amp; Nasir, M. F. (2011). Effect of Rearing Temperature and Humidity on Fecundity and Fertility of Silkworm, </w:t>
      </w:r>
      <w:r w:rsidRPr="00BF2A14">
        <w:rPr>
          <w:rFonts w:ascii="Arial" w:hAnsi="Arial" w:cs="Arial"/>
          <w:i/>
          <w:color w:val="222222"/>
          <w:sz w:val="20"/>
          <w:szCs w:val="20"/>
          <w:shd w:val="clear" w:color="auto" w:fill="FFFFFF"/>
        </w:rPr>
        <w:t xml:space="preserve">Bombyx </w:t>
      </w:r>
      <w:proofErr w:type="spellStart"/>
      <w:proofErr w:type="gramStart"/>
      <w:r w:rsidRPr="00BF2A14">
        <w:rPr>
          <w:rFonts w:ascii="Arial" w:hAnsi="Arial" w:cs="Arial"/>
          <w:i/>
          <w:color w:val="222222"/>
          <w:sz w:val="20"/>
          <w:szCs w:val="20"/>
          <w:shd w:val="clear" w:color="auto" w:fill="FFFFFF"/>
        </w:rPr>
        <w:t>mori</w:t>
      </w:r>
      <w:r w:rsidRPr="00BF2A14">
        <w:rPr>
          <w:rFonts w:ascii="Arial" w:hAnsi="Arial" w:cs="Arial"/>
          <w:color w:val="222222"/>
          <w:sz w:val="20"/>
          <w:szCs w:val="20"/>
          <w:shd w:val="clear" w:color="auto" w:fill="FFFFFF"/>
        </w:rPr>
        <w:t>L</w:t>
      </w:r>
      <w:proofErr w:type="spellEnd"/>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Bombycidae</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Pakistan Journal of Zoology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43</w:t>
      </w:r>
      <w:r w:rsidRPr="00BF2A14">
        <w:rPr>
          <w:rFonts w:ascii="Arial" w:hAnsi="Arial" w:cs="Arial"/>
          <w:color w:val="222222"/>
          <w:sz w:val="20"/>
          <w:szCs w:val="20"/>
          <w:shd w:val="clear" w:color="auto" w:fill="FFFFFF"/>
        </w:rPr>
        <w:t>(5), 979-985.</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Dubey, O. P., </w:t>
      </w:r>
      <w:proofErr w:type="spellStart"/>
      <w:r w:rsidRPr="00BF2A14">
        <w:rPr>
          <w:rFonts w:ascii="Arial" w:hAnsi="Arial" w:cs="Arial"/>
          <w:color w:val="222222"/>
          <w:sz w:val="20"/>
          <w:szCs w:val="20"/>
          <w:shd w:val="clear" w:color="auto" w:fill="FFFFFF"/>
        </w:rPr>
        <w:t>Bajpeyi</w:t>
      </w:r>
      <w:proofErr w:type="spellEnd"/>
      <w:r w:rsidRPr="00BF2A14">
        <w:rPr>
          <w:rFonts w:ascii="Arial" w:hAnsi="Arial" w:cs="Arial"/>
          <w:color w:val="222222"/>
          <w:sz w:val="20"/>
          <w:szCs w:val="20"/>
          <w:shd w:val="clear" w:color="auto" w:fill="FFFFFF"/>
        </w:rPr>
        <w:t xml:space="preserve">, C. M., Ojha, N. G., &amp; </w:t>
      </w:r>
      <w:proofErr w:type="spellStart"/>
      <w:r w:rsidRPr="00BF2A14">
        <w:rPr>
          <w:rFonts w:ascii="Arial" w:hAnsi="Arial" w:cs="Arial"/>
          <w:color w:val="222222"/>
          <w:sz w:val="20"/>
          <w:szCs w:val="20"/>
          <w:shd w:val="clear" w:color="auto" w:fill="FFFFFF"/>
        </w:rPr>
        <w:t>Thangavelu</w:t>
      </w:r>
      <w:proofErr w:type="spellEnd"/>
      <w:r w:rsidRPr="00BF2A14">
        <w:rPr>
          <w:rFonts w:ascii="Arial" w:hAnsi="Arial" w:cs="Arial"/>
          <w:color w:val="222222"/>
          <w:sz w:val="20"/>
          <w:szCs w:val="20"/>
          <w:shd w:val="clear" w:color="auto" w:fill="FFFFFF"/>
        </w:rPr>
        <w:t>, K. (1993). Oviposition-a vital aspect in silkworm rearing. </w:t>
      </w:r>
      <w:r w:rsidRPr="00BF2A14">
        <w:rPr>
          <w:rFonts w:ascii="Arial" w:hAnsi="Arial" w:cs="Arial"/>
          <w:iCs/>
          <w:color w:val="222222"/>
          <w:sz w:val="20"/>
          <w:szCs w:val="20"/>
          <w:shd w:val="clear" w:color="auto" w:fill="FFFFFF"/>
        </w:rPr>
        <w:t>Indian Silk</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31</w:t>
      </w:r>
      <w:r w:rsidRPr="00BF2A14">
        <w:rPr>
          <w:rFonts w:ascii="Arial" w:hAnsi="Arial" w:cs="Arial"/>
          <w:color w:val="222222"/>
          <w:sz w:val="20"/>
          <w:szCs w:val="20"/>
          <w:shd w:val="clear" w:color="auto" w:fill="FFFFFF"/>
        </w:rPr>
        <w:t>(11), 29-31.</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Ridley, M. (1990). The control and frequency of mating in insects. </w:t>
      </w:r>
      <w:r w:rsidRPr="00BF2A14">
        <w:rPr>
          <w:rFonts w:ascii="Arial" w:hAnsi="Arial" w:cs="Arial"/>
          <w:iCs/>
          <w:color w:val="222222"/>
          <w:sz w:val="20"/>
          <w:szCs w:val="20"/>
          <w:shd w:val="clear" w:color="auto" w:fill="FFFFFF"/>
        </w:rPr>
        <w:t>Functional Ecology</w:t>
      </w:r>
      <w:r w:rsidRPr="00BF2A14">
        <w:rPr>
          <w:rFonts w:ascii="Arial" w:hAnsi="Arial" w:cs="Arial"/>
          <w:color w:val="222222"/>
          <w:sz w:val="20"/>
          <w:szCs w:val="20"/>
          <w:shd w:val="clear" w:color="auto" w:fill="FFFFFF"/>
        </w:rPr>
        <w:t>, 4(1), 75-84.</w:t>
      </w:r>
      <w:hyperlink r:id="rId12" w:history="1">
        <w:r w:rsidRPr="00BF2A14">
          <w:rPr>
            <w:rStyle w:val="Hyperlink"/>
            <w:rFonts w:ascii="Arial" w:hAnsi="Arial" w:cs="Arial"/>
            <w:sz w:val="20"/>
            <w:szCs w:val="20"/>
            <w:shd w:val="clear" w:color="auto" w:fill="FFFFFF"/>
          </w:rPr>
          <w:t>https://doi.org/10.2307/2389655</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Teotia</w:t>
      </w:r>
      <w:proofErr w:type="spellEnd"/>
      <w:r w:rsidRPr="00BF2A14">
        <w:rPr>
          <w:rFonts w:ascii="Arial" w:hAnsi="Arial" w:cs="Arial"/>
          <w:color w:val="222222"/>
          <w:sz w:val="20"/>
          <w:szCs w:val="20"/>
          <w:shd w:val="clear" w:color="auto" w:fill="FFFFFF"/>
        </w:rPr>
        <w:t xml:space="preserve">, R. S., &amp; Bhattacharya, A. (1997). Evolution of suitable package of practices for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rearing. </w:t>
      </w:r>
      <w:r w:rsidRPr="00BF2A14">
        <w:rPr>
          <w:rFonts w:ascii="Arial" w:hAnsi="Arial" w:cs="Arial"/>
          <w:iCs/>
          <w:color w:val="222222"/>
          <w:sz w:val="20"/>
          <w:szCs w:val="20"/>
          <w:shd w:val="clear" w:color="auto" w:fill="FFFFFF"/>
        </w:rPr>
        <w:t>Ann. Rep., RMRS, Boko</w:t>
      </w:r>
      <w:r w:rsidRPr="00BF2A14">
        <w:rPr>
          <w:rFonts w:ascii="Arial" w:hAnsi="Arial" w:cs="Arial"/>
          <w:color w:val="222222"/>
          <w:sz w:val="20"/>
          <w:szCs w:val="20"/>
          <w:shd w:val="clear" w:color="auto" w:fill="FFFFFF"/>
        </w:rPr>
        <w:t>, 8, 78-81.</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Sahu</w:t>
      </w:r>
      <w:proofErr w:type="spellEnd"/>
      <w:r w:rsidRPr="00BF2A14">
        <w:rPr>
          <w:rFonts w:ascii="Arial" w:hAnsi="Arial" w:cs="Arial"/>
          <w:color w:val="222222"/>
          <w:sz w:val="20"/>
          <w:szCs w:val="20"/>
          <w:shd w:val="clear" w:color="auto" w:fill="FFFFFF"/>
        </w:rPr>
        <w:t xml:space="preserve">, A. K., Singha, B. B., &amp; Das, P. K. (1998a). Phenological studies in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proofErr w:type="gramStart"/>
      <w:r w:rsidRPr="00BF2A14">
        <w:rPr>
          <w:rFonts w:ascii="Arial" w:hAnsi="Arial" w:cs="Arial"/>
          <w:i/>
          <w:color w:val="222222"/>
          <w:sz w:val="20"/>
          <w:szCs w:val="20"/>
          <w:shd w:val="clear" w:color="auto" w:fill="FFFFFF"/>
        </w:rPr>
        <w:t>assama</w:t>
      </w:r>
      <w:r w:rsidRPr="00BF2A14">
        <w:rPr>
          <w:rFonts w:ascii="Arial" w:hAnsi="Arial" w:cs="Arial"/>
          <w:color w:val="222222"/>
          <w:sz w:val="20"/>
          <w:szCs w:val="20"/>
          <w:shd w:val="clear" w:color="auto" w:fill="FFFFFF"/>
        </w:rPr>
        <w:t>Ww</w:t>
      </w:r>
      <w:proofErr w:type="spellEnd"/>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xml:space="preserve">), in relation to its rearing and </w:t>
      </w:r>
      <w:proofErr w:type="spellStart"/>
      <w:r w:rsidRPr="00BF2A14">
        <w:rPr>
          <w:rFonts w:ascii="Arial" w:hAnsi="Arial" w:cs="Arial"/>
          <w:color w:val="222222"/>
          <w:sz w:val="20"/>
          <w:szCs w:val="20"/>
          <w:shd w:val="clear" w:color="auto" w:fill="FFFFFF"/>
        </w:rPr>
        <w:t>grainage</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behaviour</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 xml:space="preserve">International Journal of Wild </w:t>
      </w:r>
      <w:proofErr w:type="spellStart"/>
      <w:r w:rsidRPr="00BF2A14">
        <w:rPr>
          <w:rFonts w:ascii="Arial" w:hAnsi="Arial" w:cs="Arial"/>
          <w:iCs/>
          <w:color w:val="222222"/>
          <w:sz w:val="20"/>
          <w:szCs w:val="20"/>
          <w:shd w:val="clear" w:color="auto" w:fill="FFFFFF"/>
        </w:rPr>
        <w:t>Silkmoth</w:t>
      </w:r>
      <w:proofErr w:type="spellEnd"/>
      <w:r w:rsidRPr="00BF2A14">
        <w:rPr>
          <w:rFonts w:ascii="Arial" w:hAnsi="Arial" w:cs="Arial"/>
          <w:iCs/>
          <w:color w:val="222222"/>
          <w:sz w:val="20"/>
          <w:szCs w:val="20"/>
          <w:shd w:val="clear" w:color="auto" w:fill="FFFFFF"/>
        </w:rPr>
        <w:t xml:space="preserve"> Silk</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w:t>
      </w:r>
      <w:r w:rsidRPr="00BF2A14">
        <w:rPr>
          <w:rFonts w:ascii="Arial" w:hAnsi="Arial" w:cs="Arial"/>
          <w:color w:val="222222"/>
          <w:sz w:val="20"/>
          <w:szCs w:val="20"/>
          <w:shd w:val="clear" w:color="auto" w:fill="FFFFFF"/>
        </w:rPr>
        <w:t>, 25-28.</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Sahu</w:t>
      </w:r>
      <w:proofErr w:type="spellEnd"/>
      <w:r w:rsidRPr="00BF2A14">
        <w:rPr>
          <w:rFonts w:ascii="Arial" w:hAnsi="Arial" w:cs="Arial"/>
          <w:color w:val="222222"/>
          <w:sz w:val="20"/>
          <w:szCs w:val="20"/>
          <w:shd w:val="clear" w:color="auto" w:fill="FFFFFF"/>
        </w:rPr>
        <w:t xml:space="preserve">, M. (1998b). Constraints during </w:t>
      </w:r>
      <w:proofErr w:type="spellStart"/>
      <w:proofErr w:type="gramStart"/>
      <w:r w:rsidRPr="00BF2A14">
        <w:rPr>
          <w:rFonts w:ascii="Arial" w:hAnsi="Arial" w:cs="Arial"/>
          <w:color w:val="222222"/>
          <w:sz w:val="20"/>
          <w:szCs w:val="20"/>
          <w:shd w:val="clear" w:color="auto" w:fill="FFFFFF"/>
        </w:rPr>
        <w:t>pre seed</w:t>
      </w:r>
      <w:proofErr w:type="spellEnd"/>
      <w:proofErr w:type="gramEnd"/>
      <w:r w:rsidRPr="00BF2A14">
        <w:rPr>
          <w:rFonts w:ascii="Arial" w:hAnsi="Arial" w:cs="Arial"/>
          <w:color w:val="222222"/>
          <w:sz w:val="20"/>
          <w:szCs w:val="20"/>
          <w:shd w:val="clear" w:color="auto" w:fill="FFFFFF"/>
        </w:rPr>
        <w:t xml:space="preserve"> crop </w:t>
      </w:r>
      <w:proofErr w:type="spellStart"/>
      <w:r w:rsidRPr="00BF2A14">
        <w:rPr>
          <w:rFonts w:ascii="Arial" w:hAnsi="Arial" w:cs="Arial"/>
          <w:color w:val="222222"/>
          <w:sz w:val="20"/>
          <w:szCs w:val="20"/>
          <w:shd w:val="clear" w:color="auto" w:fill="FFFFFF"/>
        </w:rPr>
        <w:t>rearings</w:t>
      </w:r>
      <w:proofErr w:type="spellEnd"/>
      <w:r w:rsidRPr="00BF2A14">
        <w:rPr>
          <w:rFonts w:ascii="Arial" w:hAnsi="Arial" w:cs="Arial"/>
          <w:color w:val="222222"/>
          <w:sz w:val="20"/>
          <w:szCs w:val="20"/>
          <w:shd w:val="clear" w:color="auto" w:fill="FFFFFF"/>
        </w:rPr>
        <w:t xml:space="preserve"> of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assama</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Ww</w:t>
      </w:r>
      <w:proofErr w:type="spellEnd"/>
      <w:r w:rsidRPr="00BF2A14">
        <w:rPr>
          <w:rFonts w:ascii="Arial" w:hAnsi="Arial" w:cs="Arial"/>
          <w:color w:val="222222"/>
          <w:sz w:val="20"/>
          <w:szCs w:val="20"/>
          <w:shd w:val="clear" w:color="auto" w:fill="FFFFFF"/>
        </w:rPr>
        <w:t xml:space="preserve">. at seed </w:t>
      </w:r>
      <w:proofErr w:type="spellStart"/>
      <w:r w:rsidRPr="00BF2A14">
        <w:rPr>
          <w:rFonts w:ascii="Arial" w:hAnsi="Arial" w:cs="Arial"/>
          <w:color w:val="222222"/>
          <w:sz w:val="20"/>
          <w:szCs w:val="20"/>
          <w:shd w:val="clear" w:color="auto" w:fill="FFFFFF"/>
        </w:rPr>
        <w:t>rearers</w:t>
      </w:r>
      <w:proofErr w:type="spellEnd"/>
      <w:r w:rsidRPr="00BF2A14">
        <w:rPr>
          <w:rFonts w:ascii="Arial" w:hAnsi="Arial" w:cs="Arial"/>
          <w:color w:val="222222"/>
          <w:sz w:val="20"/>
          <w:szCs w:val="20"/>
          <w:shd w:val="clear" w:color="auto" w:fill="FFFFFF"/>
        </w:rPr>
        <w:t xml:space="preserve"> level in lower Assam. In </w:t>
      </w:r>
      <w:r w:rsidRPr="00BF2A14">
        <w:rPr>
          <w:rFonts w:ascii="Arial" w:hAnsi="Arial" w:cs="Arial"/>
          <w:i/>
          <w:iCs/>
          <w:color w:val="222222"/>
          <w:sz w:val="20"/>
          <w:szCs w:val="20"/>
          <w:shd w:val="clear" w:color="auto" w:fill="FFFFFF"/>
        </w:rPr>
        <w:t xml:space="preserve">Proceedings of the Third International Conference on Wild </w:t>
      </w:r>
      <w:proofErr w:type="spellStart"/>
      <w:r w:rsidRPr="00BF2A14">
        <w:rPr>
          <w:rFonts w:ascii="Arial" w:hAnsi="Arial" w:cs="Arial"/>
          <w:i/>
          <w:iCs/>
          <w:color w:val="222222"/>
          <w:sz w:val="20"/>
          <w:szCs w:val="20"/>
          <w:shd w:val="clear" w:color="auto" w:fill="FFFFFF"/>
        </w:rPr>
        <w:t>Silkmoths</w:t>
      </w:r>
      <w:proofErr w:type="spellEnd"/>
      <w:r w:rsidRPr="00BF2A14">
        <w:rPr>
          <w:rFonts w:ascii="Arial" w:hAnsi="Arial" w:cs="Arial"/>
          <w:i/>
          <w:iCs/>
          <w:color w:val="222222"/>
          <w:sz w:val="20"/>
          <w:szCs w:val="20"/>
          <w:shd w:val="clear" w:color="auto" w:fill="FFFFFF"/>
        </w:rPr>
        <w:t>, Bhubaneshwar, 2003</w:t>
      </w:r>
      <w:r w:rsidRPr="00BF2A14">
        <w:rPr>
          <w:rFonts w:ascii="Arial" w:hAnsi="Arial" w:cs="Arial"/>
          <w:color w:val="222222"/>
          <w:sz w:val="20"/>
          <w:szCs w:val="20"/>
          <w:shd w:val="clear" w:color="auto" w:fill="FFFFFF"/>
        </w:rPr>
        <w:t xml:space="preserve"> (Vol. 5, pp. 122-124). Publ. The Japanese Society for Wild </w:t>
      </w:r>
      <w:proofErr w:type="spellStart"/>
      <w:r w:rsidRPr="00BF2A14">
        <w:rPr>
          <w:rFonts w:ascii="Arial" w:hAnsi="Arial" w:cs="Arial"/>
          <w:color w:val="222222"/>
          <w:sz w:val="20"/>
          <w:szCs w:val="20"/>
          <w:shd w:val="clear" w:color="auto" w:fill="FFFFFF"/>
        </w:rPr>
        <w:t>Silkmoths</w:t>
      </w:r>
      <w:proofErr w:type="spellEnd"/>
      <w:r w:rsidRPr="00BF2A14">
        <w:rPr>
          <w:rFonts w:ascii="Arial" w:hAnsi="Arial" w:cs="Arial"/>
          <w:color w:val="222222"/>
          <w:sz w:val="20"/>
          <w:szCs w:val="20"/>
          <w:shd w:val="clear" w:color="auto" w:fill="FFFFFF"/>
        </w:rPr>
        <w:t>.</w:t>
      </w:r>
    </w:p>
    <w:p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sz w:val="20"/>
          <w:szCs w:val="20"/>
        </w:rPr>
        <w:t xml:space="preserve">JOLLY M.S. (1983) Silkworm breeding in India. In Silkworm Genetic and Breeding. National Seminar </w:t>
      </w:r>
      <w:proofErr w:type="gramStart"/>
      <w:r w:rsidRPr="00BF2A14">
        <w:rPr>
          <w:rFonts w:ascii="Arial" w:hAnsi="Arial" w:cs="Arial"/>
          <w:sz w:val="20"/>
          <w:szCs w:val="20"/>
        </w:rPr>
        <w:t>on  Silkworm</w:t>
      </w:r>
      <w:proofErr w:type="gramEnd"/>
      <w:r w:rsidRPr="00BF2A14">
        <w:rPr>
          <w:rFonts w:ascii="Arial" w:hAnsi="Arial" w:cs="Arial"/>
          <w:sz w:val="20"/>
          <w:szCs w:val="20"/>
        </w:rPr>
        <w:t xml:space="preserve"> Research and Development, Bangalore, India, 1-9.</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Nayak, B. K., &amp; Dash, A. K. (1989). Effect of refrigeration on egg incubation period of the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 insect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mylitta</w:t>
      </w:r>
      <w:proofErr w:type="spellEnd"/>
      <w:r w:rsidRPr="00BF2A14">
        <w:rPr>
          <w:rFonts w:ascii="Arial" w:hAnsi="Arial" w:cs="Arial"/>
          <w:color w:val="222222"/>
          <w:sz w:val="20"/>
          <w:szCs w:val="20"/>
          <w:shd w:val="clear" w:color="auto" w:fill="FFFFFF"/>
        </w:rPr>
        <w:t xml:space="preserve"> Drury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Journal of the Lepidopterists’ Society, 43(2), 152-152</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Thangavelu</w:t>
      </w:r>
      <w:proofErr w:type="spellEnd"/>
      <w:r w:rsidRPr="00BF2A14">
        <w:rPr>
          <w:rFonts w:ascii="Arial" w:hAnsi="Arial" w:cs="Arial"/>
          <w:color w:val="222222"/>
          <w:sz w:val="20"/>
          <w:szCs w:val="20"/>
          <w:shd w:val="clear" w:color="auto" w:fill="FFFFFF"/>
        </w:rPr>
        <w:t xml:space="preserve">, K., &amp; </w:t>
      </w:r>
      <w:proofErr w:type="spellStart"/>
      <w:r w:rsidRPr="00BF2A14">
        <w:rPr>
          <w:rFonts w:ascii="Arial" w:hAnsi="Arial" w:cs="Arial"/>
          <w:color w:val="222222"/>
          <w:sz w:val="20"/>
          <w:szCs w:val="20"/>
          <w:shd w:val="clear" w:color="auto" w:fill="FFFFFF"/>
        </w:rPr>
        <w:t>Sahu</w:t>
      </w:r>
      <w:proofErr w:type="spellEnd"/>
      <w:r w:rsidRPr="00BF2A14">
        <w:rPr>
          <w:rFonts w:ascii="Arial" w:hAnsi="Arial" w:cs="Arial"/>
          <w:color w:val="222222"/>
          <w:sz w:val="20"/>
          <w:szCs w:val="20"/>
          <w:shd w:val="clear" w:color="auto" w:fill="FFFFFF"/>
        </w:rPr>
        <w:t xml:space="preserve">, A. K. (1986). Further studies on the in-door rearing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color w:val="222222"/>
          <w:sz w:val="20"/>
          <w:szCs w:val="20"/>
          <w:shd w:val="clear" w:color="auto" w:fill="FFFFFF"/>
        </w:rPr>
        <w:t>A</w:t>
      </w:r>
      <w:r w:rsidRPr="00BF2A14">
        <w:rPr>
          <w:rFonts w:ascii="Arial" w:hAnsi="Arial" w:cs="Arial"/>
          <w:i/>
          <w:color w:val="222222"/>
          <w:sz w:val="20"/>
          <w:szCs w:val="20"/>
          <w:shd w:val="clear" w:color="auto" w:fill="FFFFFF"/>
        </w:rPr>
        <w:t>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assama</w:t>
      </w:r>
      <w:proofErr w:type="spellEnd"/>
      <w:r w:rsidRPr="00BF2A14">
        <w:rPr>
          <w:rFonts w:ascii="Arial" w:hAnsi="Arial" w:cs="Arial"/>
          <w:i/>
          <w:color w:val="222222"/>
          <w:sz w:val="20"/>
          <w:szCs w:val="20"/>
          <w:shd w:val="clear" w:color="auto" w:fill="FFFFFF"/>
        </w:rPr>
        <w:t xml:space="preserve"> </w:t>
      </w:r>
      <w:proofErr w:type="spellStart"/>
      <w:proofErr w:type="gramStart"/>
      <w:r w:rsidRPr="00BF2A14">
        <w:rPr>
          <w:rFonts w:ascii="Arial" w:hAnsi="Arial" w:cs="Arial"/>
          <w:color w:val="222222"/>
          <w:sz w:val="20"/>
          <w:szCs w:val="20"/>
          <w:shd w:val="clear" w:color="auto" w:fill="FFFFFF"/>
        </w:rPr>
        <w:t>Westw</w:t>
      </w:r>
      <w:proofErr w:type="spellEnd"/>
      <w:r w:rsidRPr="00BF2A14">
        <w:rPr>
          <w:rFonts w:ascii="Arial" w:hAnsi="Arial" w:cs="Arial"/>
          <w:color w:val="222222"/>
          <w:sz w:val="20"/>
          <w:szCs w:val="20"/>
          <w:shd w:val="clear" w:color="auto" w:fill="FFFFFF"/>
        </w:rPr>
        <w:t>.(</w:t>
      </w:r>
      <w:proofErr w:type="spellStart"/>
      <w:proofErr w:type="gramEnd"/>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Lepidoptera). </w:t>
      </w:r>
      <w:proofErr w:type="spellStart"/>
      <w:r w:rsidRPr="00BF2A14">
        <w:rPr>
          <w:rFonts w:ascii="Arial" w:hAnsi="Arial" w:cs="Arial"/>
          <w:iCs/>
          <w:color w:val="222222"/>
          <w:sz w:val="20"/>
          <w:szCs w:val="20"/>
          <w:shd w:val="clear" w:color="auto" w:fill="FFFFFF"/>
        </w:rPr>
        <w:t>Sericologia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26</w:t>
      </w:r>
      <w:r w:rsidRPr="00BF2A14">
        <w:rPr>
          <w:rFonts w:ascii="Arial" w:hAnsi="Arial" w:cs="Arial"/>
          <w:color w:val="222222"/>
          <w:sz w:val="20"/>
          <w:szCs w:val="20"/>
          <w:shd w:val="clear" w:color="auto" w:fill="FFFFFF"/>
        </w:rPr>
        <w:t>(2), 215-227.</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lastRenderedPageBreak/>
        <w:t>Chaoba</w:t>
      </w:r>
      <w:proofErr w:type="spellEnd"/>
      <w:r w:rsidRPr="00BF2A14">
        <w:rPr>
          <w:rFonts w:ascii="Arial" w:hAnsi="Arial" w:cs="Arial"/>
          <w:color w:val="222222"/>
          <w:sz w:val="20"/>
          <w:szCs w:val="20"/>
          <w:shd w:val="clear" w:color="auto" w:fill="FFFFFF"/>
        </w:rPr>
        <w:t xml:space="preserve"> Singh, K., </w:t>
      </w:r>
      <w:proofErr w:type="spellStart"/>
      <w:r w:rsidRPr="00BF2A14">
        <w:rPr>
          <w:rFonts w:ascii="Arial" w:hAnsi="Arial" w:cs="Arial"/>
          <w:color w:val="222222"/>
          <w:sz w:val="20"/>
          <w:szCs w:val="20"/>
          <w:shd w:val="clear" w:color="auto" w:fill="FFFFFF"/>
        </w:rPr>
        <w:t>Tikoo</w:t>
      </w:r>
      <w:proofErr w:type="spellEnd"/>
      <w:r w:rsidRPr="00BF2A14">
        <w:rPr>
          <w:rFonts w:ascii="Arial" w:hAnsi="Arial" w:cs="Arial"/>
          <w:color w:val="222222"/>
          <w:sz w:val="20"/>
          <w:szCs w:val="20"/>
          <w:shd w:val="clear" w:color="auto" w:fill="FFFFFF"/>
        </w:rPr>
        <w:t xml:space="preserve">, B. L., &amp; Singh, T. K. (1991). Rearing of the oak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proylei</w:t>
      </w:r>
      <w:proofErr w:type="spellEnd"/>
      <w:r w:rsidRPr="00BF2A14">
        <w:rPr>
          <w:rFonts w:ascii="Arial" w:hAnsi="Arial" w:cs="Arial"/>
          <w:color w:val="222222"/>
          <w:sz w:val="20"/>
          <w:szCs w:val="20"/>
          <w:shd w:val="clear" w:color="auto" w:fill="FFFFFF"/>
        </w:rPr>
        <w:t>, in relation to altitude and climate. </w:t>
      </w:r>
      <w:proofErr w:type="spellStart"/>
      <w:r w:rsidRPr="00BF2A14">
        <w:rPr>
          <w:rFonts w:ascii="Arial" w:hAnsi="Arial" w:cs="Arial"/>
          <w:iCs/>
          <w:color w:val="222222"/>
          <w:sz w:val="20"/>
          <w:szCs w:val="20"/>
          <w:shd w:val="clear" w:color="auto" w:fill="FFFFFF"/>
        </w:rPr>
        <w:t>Sericologia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31</w:t>
      </w:r>
      <w:r w:rsidRPr="00BF2A14">
        <w:rPr>
          <w:rFonts w:ascii="Arial" w:hAnsi="Arial" w:cs="Arial"/>
          <w:color w:val="222222"/>
          <w:sz w:val="20"/>
          <w:szCs w:val="20"/>
          <w:shd w:val="clear" w:color="auto" w:fill="FFFFFF"/>
        </w:rPr>
        <w:t>(2), 261-274.</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Yadav, G. S., Siddiqui, A. A., </w:t>
      </w:r>
      <w:proofErr w:type="spellStart"/>
      <w:r w:rsidRPr="00BF2A14">
        <w:rPr>
          <w:rFonts w:ascii="Arial" w:hAnsi="Arial" w:cs="Arial"/>
          <w:color w:val="222222"/>
          <w:sz w:val="20"/>
          <w:szCs w:val="20"/>
          <w:shd w:val="clear" w:color="auto" w:fill="FFFFFF"/>
        </w:rPr>
        <w:t>Barah</w:t>
      </w:r>
      <w:proofErr w:type="spellEnd"/>
      <w:r w:rsidRPr="00BF2A14">
        <w:rPr>
          <w:rFonts w:ascii="Arial" w:hAnsi="Arial" w:cs="Arial"/>
          <w:color w:val="222222"/>
          <w:sz w:val="20"/>
          <w:szCs w:val="20"/>
          <w:shd w:val="clear" w:color="auto" w:fill="FFFFFF"/>
        </w:rPr>
        <w:t xml:space="preserve">, A., Ram, R., &amp; Sengupta, A. K. (1992). Studies on association of fecundity with cocoon weight, pupa weight and shell weight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assama</w:t>
      </w:r>
      <w:proofErr w:type="spellEnd"/>
      <w:r w:rsidRPr="00BF2A14">
        <w:rPr>
          <w:rFonts w:ascii="Arial" w:hAnsi="Arial" w:cs="Arial"/>
          <w:color w:val="222222"/>
          <w:sz w:val="20"/>
          <w:szCs w:val="20"/>
          <w:shd w:val="clear" w:color="auto" w:fill="FFFFFF"/>
        </w:rPr>
        <w:t xml:space="preserve"> Westwood during two commercial broods. Journal of the Assam Science Society, 34(2), 13-18.</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sz w:val="20"/>
          <w:szCs w:val="20"/>
        </w:rPr>
        <w:t>Nayak, B.K., Mishra, C.S.K. and Das, A. K.</w:t>
      </w:r>
      <w:r w:rsidRPr="00BF2A14">
        <w:rPr>
          <w:rFonts w:ascii="Arial" w:hAnsi="Arial" w:cs="Arial"/>
          <w:color w:val="222222"/>
          <w:sz w:val="20"/>
          <w:szCs w:val="20"/>
          <w:shd w:val="clear" w:color="auto" w:fill="FFFFFF"/>
        </w:rPr>
        <w:t xml:space="preserve"> (1993). Effect of temperature and relative humidity on certain life history traits in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Mylitta</w:t>
      </w:r>
      <w:proofErr w:type="spellEnd"/>
      <w:r w:rsidRPr="00BF2A14">
        <w:rPr>
          <w:rFonts w:ascii="Arial" w:hAnsi="Arial" w:cs="Arial"/>
          <w:color w:val="222222"/>
          <w:sz w:val="20"/>
          <w:szCs w:val="20"/>
          <w:shd w:val="clear" w:color="auto" w:fill="FFFFFF"/>
        </w:rPr>
        <w:t xml:space="preserve"> (SATURNIIDAE). Journal of the Lepidopterists’ Society, </w:t>
      </w:r>
      <w:r w:rsidRPr="00BF2A14">
        <w:rPr>
          <w:rFonts w:ascii="Arial" w:hAnsi="Arial" w:cs="Arial"/>
          <w:iCs/>
          <w:color w:val="222222"/>
          <w:sz w:val="20"/>
          <w:szCs w:val="20"/>
          <w:shd w:val="clear" w:color="auto" w:fill="FFFFFF"/>
        </w:rPr>
        <w:t>47</w:t>
      </w:r>
      <w:r w:rsidRPr="00BF2A14">
        <w:rPr>
          <w:rFonts w:ascii="Arial" w:hAnsi="Arial" w:cs="Arial"/>
          <w:color w:val="222222"/>
          <w:sz w:val="20"/>
          <w:szCs w:val="20"/>
          <w:shd w:val="clear" w:color="auto" w:fill="FFFFFF"/>
        </w:rPr>
        <w:t>(3), 244-247.</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Zhu, S., Lu, Z., Chen, L., Yu, W., &amp; Zhang, S. (2000). Effect of temperature and food on </w:t>
      </w:r>
      <w:proofErr w:type="spellStart"/>
      <w:r w:rsidRPr="00BF2A14">
        <w:rPr>
          <w:rFonts w:ascii="Arial" w:hAnsi="Arial" w:cs="Arial"/>
          <w:i/>
          <w:color w:val="222222"/>
          <w:sz w:val="20"/>
          <w:szCs w:val="20"/>
          <w:shd w:val="clear" w:color="auto" w:fill="FFFFFF"/>
        </w:rPr>
        <w:t>Spodoptera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litura</w:t>
      </w:r>
      <w:proofErr w:type="spellEnd"/>
      <w:r w:rsidRPr="00BF2A14">
        <w:rPr>
          <w:rFonts w:ascii="Arial" w:hAnsi="Arial" w:cs="Arial"/>
          <w:color w:val="222222"/>
          <w:sz w:val="20"/>
          <w:szCs w:val="20"/>
          <w:shd w:val="clear" w:color="auto" w:fill="FFFFFF"/>
        </w:rPr>
        <w:t xml:space="preserve"> population. </w:t>
      </w:r>
      <w:r w:rsidRPr="00BF2A14">
        <w:rPr>
          <w:rFonts w:ascii="Arial" w:hAnsi="Arial" w:cs="Arial"/>
          <w:iCs/>
          <w:color w:val="222222"/>
          <w:sz w:val="20"/>
          <w:szCs w:val="20"/>
          <w:shd w:val="clear" w:color="auto" w:fill="FFFFFF"/>
        </w:rPr>
        <w:t>Chinese Journal of Applied Ecology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11</w:t>
      </w:r>
      <w:r w:rsidRPr="00BF2A14">
        <w:rPr>
          <w:rFonts w:ascii="Arial" w:hAnsi="Arial" w:cs="Arial"/>
          <w:color w:val="222222"/>
          <w:sz w:val="20"/>
          <w:szCs w:val="20"/>
          <w:shd w:val="clear" w:color="auto" w:fill="FFFFFF"/>
        </w:rPr>
        <w:t>(1), 111-114.</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Chen, Q. J., Yang, J. Q., Zhang, J. Z., Zhang, Y. Z., &amp; Chen, J. H. (2002). Effect of temperature on laboratory population of </w:t>
      </w:r>
      <w:proofErr w:type="spellStart"/>
      <w:r w:rsidRPr="00BF2A14">
        <w:rPr>
          <w:rFonts w:ascii="Arial" w:hAnsi="Arial" w:cs="Arial"/>
          <w:i/>
          <w:color w:val="222222"/>
          <w:sz w:val="20"/>
          <w:szCs w:val="20"/>
          <w:shd w:val="clear" w:color="auto" w:fill="FFFFFF"/>
        </w:rPr>
        <w:t>Spodoptera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litura</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Fabricius</w:t>
      </w:r>
      <w:proofErr w:type="spellEnd"/>
      <w:r w:rsidRPr="00BF2A14">
        <w:rPr>
          <w:rFonts w:ascii="Arial" w:hAnsi="Arial" w:cs="Arial"/>
          <w:color w:val="222222"/>
          <w:sz w:val="20"/>
          <w:szCs w:val="20"/>
          <w:shd w:val="clear" w:color="auto" w:fill="FFFFFF"/>
        </w:rPr>
        <w:t>) in tobacco fields. </w:t>
      </w:r>
      <w:r w:rsidRPr="00BF2A14">
        <w:rPr>
          <w:rFonts w:ascii="Arial" w:hAnsi="Arial" w:cs="Arial"/>
          <w:iCs/>
          <w:color w:val="222222"/>
          <w:sz w:val="20"/>
          <w:szCs w:val="20"/>
          <w:shd w:val="clear" w:color="auto" w:fill="FFFFFF"/>
        </w:rPr>
        <w:t>Tobacco Science &amp; Technology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w:t>
      </w:r>
      <w:r w:rsidRPr="00BF2A14">
        <w:rPr>
          <w:rFonts w:ascii="Arial" w:hAnsi="Arial" w:cs="Arial"/>
          <w:color w:val="222222"/>
          <w:sz w:val="20"/>
          <w:szCs w:val="20"/>
          <w:shd w:val="clear" w:color="auto" w:fill="FFFFFF"/>
        </w:rPr>
        <w:t>, 42-45.</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Seema Rani, S. R., Goel, B. B., &amp; Gupta, G. P. (2004). Effects of temperature on the development and reproduction of </w:t>
      </w:r>
      <w:proofErr w:type="spellStart"/>
      <w:r w:rsidRPr="00BF2A14">
        <w:rPr>
          <w:rFonts w:ascii="Arial" w:hAnsi="Arial" w:cs="Arial"/>
          <w:i/>
          <w:color w:val="222222"/>
          <w:sz w:val="20"/>
          <w:szCs w:val="20"/>
          <w:shd w:val="clear" w:color="auto" w:fill="FFFFFF"/>
        </w:rPr>
        <w:t>Spodoptera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litura</w:t>
      </w:r>
      <w:proofErr w:type="spellEnd"/>
      <w:r w:rsidRPr="00BF2A14">
        <w:rPr>
          <w:rFonts w:ascii="Arial" w:hAnsi="Arial" w:cs="Arial"/>
          <w:color w:val="222222"/>
          <w:sz w:val="20"/>
          <w:szCs w:val="20"/>
          <w:shd w:val="clear" w:color="auto" w:fill="FFFFFF"/>
        </w:rPr>
        <w:t>. Annals of Plant Protection Sciences, 12(1), 205-206.</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Tikader</w:t>
      </w:r>
      <w:proofErr w:type="spellEnd"/>
      <w:r w:rsidRPr="00BF2A14">
        <w:rPr>
          <w:rFonts w:ascii="Arial" w:hAnsi="Arial" w:cs="Arial"/>
          <w:color w:val="222222"/>
          <w:sz w:val="20"/>
          <w:szCs w:val="20"/>
          <w:shd w:val="clear" w:color="auto" w:fill="FFFFFF"/>
        </w:rPr>
        <w:t xml:space="preserve">, A., Vijayan, K., &amp; </w:t>
      </w:r>
      <w:proofErr w:type="spellStart"/>
      <w:r w:rsidRPr="00BF2A14">
        <w:rPr>
          <w:rFonts w:ascii="Arial" w:hAnsi="Arial" w:cs="Arial"/>
          <w:color w:val="222222"/>
          <w:sz w:val="20"/>
          <w:szCs w:val="20"/>
          <w:shd w:val="clear" w:color="auto" w:fill="FFFFFF"/>
        </w:rPr>
        <w:t>Saratchandra</w:t>
      </w:r>
      <w:proofErr w:type="spellEnd"/>
      <w:r w:rsidRPr="00BF2A14">
        <w:rPr>
          <w:rFonts w:ascii="Arial" w:hAnsi="Arial" w:cs="Arial"/>
          <w:color w:val="222222"/>
          <w:sz w:val="20"/>
          <w:szCs w:val="20"/>
          <w:shd w:val="clear" w:color="auto" w:fill="FFFFFF"/>
        </w:rPr>
        <w:t xml:space="preserve">, B. (2013).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i/>
          <w:color w:val="222222"/>
          <w:sz w:val="20"/>
          <w:szCs w:val="20"/>
          <w:shd w:val="clear" w:color="auto" w:fill="FFFFFF"/>
        </w:rPr>
        <w:t xml:space="preserve"> </w:t>
      </w:r>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)-an overview of distribution, biology and breeding. </w:t>
      </w:r>
      <w:r w:rsidRPr="00BF2A14">
        <w:rPr>
          <w:rFonts w:ascii="Arial" w:hAnsi="Arial" w:cs="Arial"/>
          <w:iCs/>
          <w:color w:val="222222"/>
          <w:sz w:val="20"/>
          <w:szCs w:val="20"/>
          <w:shd w:val="clear" w:color="auto" w:fill="FFFFFF"/>
        </w:rPr>
        <w:t>European Journal of Entomology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110</w:t>
      </w:r>
      <w:r w:rsidRPr="00BF2A14">
        <w:rPr>
          <w:rFonts w:ascii="Arial" w:hAnsi="Arial" w:cs="Arial"/>
          <w:color w:val="222222"/>
          <w:sz w:val="20"/>
          <w:szCs w:val="20"/>
          <w:shd w:val="clear" w:color="auto" w:fill="FFFFFF"/>
        </w:rPr>
        <w:t xml:space="preserve">(2), 293-300. </w:t>
      </w:r>
      <w:hyperlink r:id="rId13" w:history="1">
        <w:r w:rsidRPr="00BF2A14">
          <w:rPr>
            <w:rStyle w:val="Hyperlink"/>
            <w:rFonts w:ascii="Arial" w:hAnsi="Arial" w:cs="Arial"/>
            <w:sz w:val="20"/>
            <w:szCs w:val="20"/>
            <w:shd w:val="clear" w:color="auto" w:fill="FFFFFF"/>
          </w:rPr>
          <w:t>http://dx.doi.org/10.14411/eje.2013.096</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Krishnaswami, S., </w:t>
      </w:r>
      <w:proofErr w:type="spellStart"/>
      <w:r w:rsidRPr="00BF2A14">
        <w:rPr>
          <w:rFonts w:ascii="Arial" w:hAnsi="Arial" w:cs="Arial"/>
          <w:color w:val="222222"/>
          <w:sz w:val="20"/>
          <w:szCs w:val="20"/>
          <w:shd w:val="clear" w:color="auto" w:fill="FFFFFF"/>
        </w:rPr>
        <w:t>Sriharan</w:t>
      </w:r>
      <w:proofErr w:type="spellEnd"/>
      <w:r w:rsidRPr="00BF2A14">
        <w:rPr>
          <w:rFonts w:ascii="Arial" w:hAnsi="Arial" w:cs="Arial"/>
          <w:color w:val="222222"/>
          <w:sz w:val="20"/>
          <w:szCs w:val="20"/>
          <w:shd w:val="clear" w:color="auto" w:fill="FFFFFF"/>
        </w:rPr>
        <w:t xml:space="preserve">, T. P., &amp; </w:t>
      </w:r>
      <w:proofErr w:type="spellStart"/>
      <w:r w:rsidRPr="00BF2A14">
        <w:rPr>
          <w:rFonts w:ascii="Arial" w:hAnsi="Arial" w:cs="Arial"/>
          <w:color w:val="222222"/>
          <w:sz w:val="20"/>
          <w:szCs w:val="20"/>
          <w:shd w:val="clear" w:color="auto" w:fill="FFFFFF"/>
        </w:rPr>
        <w:t>Asan</w:t>
      </w:r>
      <w:proofErr w:type="spellEnd"/>
      <w:r w:rsidRPr="00BF2A14">
        <w:rPr>
          <w:rFonts w:ascii="Arial" w:hAnsi="Arial" w:cs="Arial"/>
          <w:color w:val="222222"/>
          <w:sz w:val="20"/>
          <w:szCs w:val="20"/>
          <w:shd w:val="clear" w:color="auto" w:fill="FFFFFF"/>
        </w:rPr>
        <w:t>, M. (1971). Ecological studies on silkworm rearing to prevent crop losses in adverse seasons in West Bengal. </w:t>
      </w:r>
      <w:r w:rsidRPr="00BF2A14">
        <w:rPr>
          <w:rFonts w:ascii="Arial" w:hAnsi="Arial" w:cs="Arial"/>
          <w:iCs/>
          <w:color w:val="222222"/>
          <w:sz w:val="20"/>
          <w:szCs w:val="20"/>
          <w:shd w:val="clear" w:color="auto" w:fill="FFFFFF"/>
        </w:rPr>
        <w:t>Indian Journal of Sericulture</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10</w:t>
      </w:r>
      <w:r w:rsidRPr="00BF2A14">
        <w:rPr>
          <w:rFonts w:ascii="Arial" w:hAnsi="Arial" w:cs="Arial"/>
          <w:color w:val="222222"/>
          <w:sz w:val="20"/>
          <w:szCs w:val="20"/>
          <w:shd w:val="clear" w:color="auto" w:fill="FFFFFF"/>
        </w:rPr>
        <w:t>, 72-78.</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Goswami, D., &amp; Singh, H. I. (2012). Bioecological studies of Indian golden silk moth,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w:t>
      </w:r>
      <w:proofErr w:type="spellStart"/>
      <w:r w:rsidRPr="00BF2A14">
        <w:rPr>
          <w:rFonts w:ascii="Arial" w:hAnsi="Arial" w:cs="Arial"/>
          <w:iCs/>
          <w:color w:val="222222"/>
          <w:sz w:val="20"/>
          <w:szCs w:val="20"/>
          <w:shd w:val="clear" w:color="auto" w:fill="FFFFFF"/>
        </w:rPr>
        <w:t>Munis</w:t>
      </w:r>
      <w:proofErr w:type="spellEnd"/>
      <w:r w:rsidRPr="00BF2A14">
        <w:rPr>
          <w:rFonts w:ascii="Arial" w:hAnsi="Arial" w:cs="Arial"/>
          <w:iCs/>
          <w:color w:val="222222"/>
          <w:sz w:val="20"/>
          <w:szCs w:val="20"/>
          <w:shd w:val="clear" w:color="auto" w:fill="FFFFFF"/>
        </w:rPr>
        <w:t xml:space="preserve"> Entomology &amp; Zoology</w:t>
      </w:r>
      <w:r w:rsidRPr="00BF2A14">
        <w:rPr>
          <w:rFonts w:ascii="Arial" w:hAnsi="Arial" w:cs="Arial"/>
          <w:color w:val="222222"/>
          <w:sz w:val="20"/>
          <w:szCs w:val="20"/>
          <w:shd w:val="clear" w:color="auto" w:fill="FFFFFF"/>
        </w:rPr>
        <w:t>, </w:t>
      </w:r>
      <w:r w:rsidRPr="00BF2A14">
        <w:rPr>
          <w:rFonts w:ascii="Arial" w:hAnsi="Arial" w:cs="Arial"/>
          <w:i/>
          <w:iCs/>
          <w:color w:val="222222"/>
          <w:sz w:val="20"/>
          <w:szCs w:val="20"/>
          <w:shd w:val="clear" w:color="auto" w:fill="FFFFFF"/>
        </w:rPr>
        <w:t>7</w:t>
      </w:r>
      <w:r w:rsidRPr="00BF2A14">
        <w:rPr>
          <w:rFonts w:ascii="Arial" w:hAnsi="Arial" w:cs="Arial"/>
          <w:color w:val="222222"/>
          <w:sz w:val="20"/>
          <w:szCs w:val="20"/>
          <w:shd w:val="clear" w:color="auto" w:fill="FFFFFF"/>
        </w:rPr>
        <w:t>, 274-283.</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Ghonmode</w:t>
      </w:r>
      <w:proofErr w:type="spellEnd"/>
      <w:r w:rsidRPr="00BF2A14">
        <w:rPr>
          <w:rFonts w:ascii="Arial" w:hAnsi="Arial" w:cs="Arial"/>
          <w:color w:val="222222"/>
          <w:sz w:val="20"/>
          <w:szCs w:val="20"/>
          <w:shd w:val="clear" w:color="auto" w:fill="FFFFFF"/>
        </w:rPr>
        <w:t xml:space="preserve">, S. V. (2024). Effect of photoperiod on the DNA, RNA and protein concentration in the </w:t>
      </w:r>
      <w:proofErr w:type="spellStart"/>
      <w:r w:rsidRPr="00BF2A14">
        <w:rPr>
          <w:rFonts w:ascii="Arial" w:hAnsi="Arial" w:cs="Arial"/>
          <w:color w:val="222222"/>
          <w:sz w:val="20"/>
          <w:szCs w:val="20"/>
          <w:shd w:val="clear" w:color="auto" w:fill="FFFFFF"/>
        </w:rPr>
        <w:t>silkgland</w:t>
      </w:r>
      <w:proofErr w:type="spellEnd"/>
      <w:r w:rsidRPr="00BF2A14">
        <w:rPr>
          <w:rFonts w:ascii="Arial" w:hAnsi="Arial" w:cs="Arial"/>
          <w:color w:val="222222"/>
          <w:sz w:val="20"/>
          <w:szCs w:val="20"/>
          <w:shd w:val="clear" w:color="auto" w:fill="FFFFFF"/>
        </w:rPr>
        <w:t xml:space="preserve"> of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mylitta</w:t>
      </w:r>
      <w:proofErr w:type="spellEnd"/>
      <w:r w:rsidRPr="00BF2A14">
        <w:rPr>
          <w:rFonts w:ascii="Arial" w:hAnsi="Arial" w:cs="Arial"/>
          <w:color w:val="222222"/>
          <w:sz w:val="20"/>
          <w:szCs w:val="20"/>
          <w:shd w:val="clear" w:color="auto" w:fill="FFFFFF"/>
        </w:rPr>
        <w:t xml:space="preserve"> (D</w:t>
      </w:r>
      <w:proofErr w:type="gramStart"/>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w:t>
      </w:r>
      <w:proofErr w:type="spellStart"/>
      <w:r w:rsidRPr="00BF2A14">
        <w:rPr>
          <w:rFonts w:ascii="Arial" w:hAnsi="Arial" w:cs="Arial"/>
          <w:i/>
          <w:iCs/>
          <w:color w:val="222222"/>
          <w:sz w:val="20"/>
          <w:szCs w:val="20"/>
          <w:shd w:val="clear" w:color="auto" w:fill="FFFFFF"/>
        </w:rPr>
        <w:t>Entomon</w:t>
      </w:r>
      <w:proofErr w:type="spellEnd"/>
      <w:r w:rsidRPr="00BF2A14">
        <w:rPr>
          <w:rFonts w:ascii="Arial" w:hAnsi="Arial" w:cs="Arial"/>
          <w:color w:val="222222"/>
          <w:sz w:val="20"/>
          <w:szCs w:val="20"/>
          <w:shd w:val="clear" w:color="auto" w:fill="FFFFFF"/>
        </w:rPr>
        <w:t>, </w:t>
      </w:r>
      <w:r w:rsidRPr="00BF2A14">
        <w:rPr>
          <w:rFonts w:ascii="Arial" w:hAnsi="Arial" w:cs="Arial"/>
          <w:i/>
          <w:iCs/>
          <w:color w:val="222222"/>
          <w:sz w:val="20"/>
          <w:szCs w:val="20"/>
          <w:shd w:val="clear" w:color="auto" w:fill="FFFFFF"/>
        </w:rPr>
        <w:t>49</w:t>
      </w:r>
      <w:r w:rsidRPr="00BF2A14">
        <w:rPr>
          <w:rFonts w:ascii="Arial" w:hAnsi="Arial" w:cs="Arial"/>
          <w:color w:val="222222"/>
          <w:sz w:val="20"/>
          <w:szCs w:val="20"/>
          <w:shd w:val="clear" w:color="auto" w:fill="FFFFFF"/>
        </w:rPr>
        <w:t>(2), 229-234.</w:t>
      </w:r>
      <w:hyperlink r:id="rId14" w:history="1">
        <w:r w:rsidRPr="00BF2A14">
          <w:rPr>
            <w:rStyle w:val="Hyperlink"/>
            <w:rFonts w:ascii="Arial" w:hAnsi="Arial" w:cs="Arial"/>
            <w:sz w:val="20"/>
            <w:szCs w:val="20"/>
            <w:shd w:val="clear" w:color="auto" w:fill="FFFFFF"/>
          </w:rPr>
          <w:t>https://doi.org/10.33307/entomon.v49i2.1174</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Barah</w:t>
      </w:r>
      <w:proofErr w:type="spellEnd"/>
      <w:r w:rsidRPr="00BF2A14">
        <w:rPr>
          <w:rFonts w:ascii="Arial" w:hAnsi="Arial" w:cs="Arial"/>
          <w:color w:val="222222"/>
          <w:sz w:val="20"/>
          <w:szCs w:val="20"/>
          <w:shd w:val="clear" w:color="auto" w:fill="FFFFFF"/>
        </w:rPr>
        <w:t xml:space="preserve">, A., &amp; Sengupta, A. K. (1991). Correlation and regression studies between pupal weight and fecundity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assama</w:t>
      </w:r>
      <w:proofErr w:type="spellEnd"/>
      <w:r w:rsidRPr="00BF2A14">
        <w:rPr>
          <w:rFonts w:ascii="Arial" w:hAnsi="Arial" w:cs="Arial"/>
          <w:color w:val="222222"/>
          <w:sz w:val="20"/>
          <w:szCs w:val="20"/>
          <w:shd w:val="clear" w:color="auto" w:fill="FFFFFF"/>
        </w:rPr>
        <w:t xml:space="preserve"> Westwood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on four different foodplants. </w:t>
      </w:r>
      <w:r w:rsidRPr="00BF2A14">
        <w:rPr>
          <w:rFonts w:ascii="Arial" w:hAnsi="Arial" w:cs="Arial"/>
          <w:iCs/>
          <w:color w:val="222222"/>
          <w:sz w:val="20"/>
          <w:szCs w:val="20"/>
          <w:shd w:val="clear" w:color="auto" w:fill="FFFFFF"/>
        </w:rPr>
        <w:t xml:space="preserve">Acta </w:t>
      </w:r>
      <w:proofErr w:type="spellStart"/>
      <w:r w:rsidRPr="00BF2A14">
        <w:rPr>
          <w:rFonts w:ascii="Arial" w:hAnsi="Arial" w:cs="Arial"/>
          <w:iCs/>
          <w:color w:val="222222"/>
          <w:sz w:val="20"/>
          <w:szCs w:val="20"/>
          <w:shd w:val="clear" w:color="auto" w:fill="FFFFFF"/>
        </w:rPr>
        <w:t>Physiologica</w:t>
      </w:r>
      <w:proofErr w:type="spellEnd"/>
      <w:r w:rsidRPr="00BF2A14">
        <w:rPr>
          <w:rFonts w:ascii="Arial" w:hAnsi="Arial" w:cs="Arial"/>
          <w:iCs/>
          <w:color w:val="222222"/>
          <w:sz w:val="20"/>
          <w:szCs w:val="20"/>
          <w:shd w:val="clear" w:color="auto" w:fill="FFFFFF"/>
        </w:rPr>
        <w:t xml:space="preserve"> </w:t>
      </w:r>
      <w:proofErr w:type="spellStart"/>
      <w:r w:rsidRPr="00BF2A14">
        <w:rPr>
          <w:rFonts w:ascii="Arial" w:hAnsi="Arial" w:cs="Arial"/>
          <w:iCs/>
          <w:color w:val="222222"/>
          <w:sz w:val="20"/>
          <w:szCs w:val="20"/>
          <w:shd w:val="clear" w:color="auto" w:fill="FFFFFF"/>
        </w:rPr>
        <w:t>Hungarica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78</w:t>
      </w:r>
      <w:r w:rsidRPr="00BF2A14">
        <w:rPr>
          <w:rFonts w:ascii="Arial" w:hAnsi="Arial" w:cs="Arial"/>
          <w:color w:val="222222"/>
          <w:sz w:val="20"/>
          <w:szCs w:val="20"/>
          <w:shd w:val="clear" w:color="auto" w:fill="FFFFFF"/>
        </w:rPr>
        <w:t>(3), 261-264.</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Biswas, D., </w:t>
      </w:r>
      <w:proofErr w:type="spellStart"/>
      <w:r w:rsidRPr="00BF2A14">
        <w:rPr>
          <w:rFonts w:ascii="Arial" w:hAnsi="Arial" w:cs="Arial"/>
          <w:color w:val="222222"/>
          <w:sz w:val="20"/>
          <w:szCs w:val="20"/>
          <w:shd w:val="clear" w:color="auto" w:fill="FFFFFF"/>
        </w:rPr>
        <w:t>Sahu</w:t>
      </w:r>
      <w:proofErr w:type="spellEnd"/>
      <w:r w:rsidRPr="00BF2A14">
        <w:rPr>
          <w:rFonts w:ascii="Arial" w:hAnsi="Arial" w:cs="Arial"/>
          <w:color w:val="222222"/>
          <w:sz w:val="20"/>
          <w:szCs w:val="20"/>
          <w:shd w:val="clear" w:color="auto" w:fill="FFFFFF"/>
        </w:rPr>
        <w:t xml:space="preserve">, A. K., &amp; </w:t>
      </w:r>
      <w:proofErr w:type="spellStart"/>
      <w:r w:rsidRPr="00BF2A14">
        <w:rPr>
          <w:rFonts w:ascii="Arial" w:hAnsi="Arial" w:cs="Arial"/>
          <w:color w:val="222222"/>
          <w:sz w:val="20"/>
          <w:szCs w:val="20"/>
          <w:shd w:val="clear" w:color="auto" w:fill="FFFFFF"/>
        </w:rPr>
        <w:t>Kalita</w:t>
      </w:r>
      <w:proofErr w:type="spellEnd"/>
      <w:r w:rsidRPr="00BF2A14">
        <w:rPr>
          <w:rFonts w:ascii="Arial" w:hAnsi="Arial" w:cs="Arial"/>
          <w:color w:val="222222"/>
          <w:sz w:val="20"/>
          <w:szCs w:val="20"/>
          <w:shd w:val="clear" w:color="auto" w:fill="FFFFFF"/>
        </w:rPr>
        <w:t xml:space="preserve">, J. C. (2018). A preliminary study on reproductive performance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with reference to elevated ambient temperature during Summer Season. </w:t>
      </w:r>
      <w:r w:rsidRPr="00BF2A14">
        <w:rPr>
          <w:rFonts w:ascii="Arial" w:hAnsi="Arial" w:cs="Arial"/>
          <w:iCs/>
          <w:color w:val="222222"/>
          <w:sz w:val="20"/>
          <w:szCs w:val="20"/>
          <w:shd w:val="clear" w:color="auto" w:fill="FFFFFF"/>
        </w:rPr>
        <w:t>North Bengal University Journal of Animal Science</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12</w:t>
      </w:r>
      <w:r w:rsidRPr="00BF2A14">
        <w:rPr>
          <w:rFonts w:ascii="Arial" w:hAnsi="Arial" w:cs="Arial"/>
          <w:color w:val="222222"/>
          <w:sz w:val="20"/>
          <w:szCs w:val="20"/>
          <w:shd w:val="clear" w:color="auto" w:fill="FFFFFF"/>
        </w:rPr>
        <w:t>, 19-26.</w:t>
      </w:r>
    </w:p>
    <w:p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color w:val="222222"/>
          <w:sz w:val="20"/>
          <w:szCs w:val="20"/>
          <w:shd w:val="clear" w:color="auto" w:fill="FFFFFF"/>
        </w:rPr>
        <w:t>Thangavelu</w:t>
      </w:r>
      <w:proofErr w:type="spellEnd"/>
      <w:r w:rsidRPr="00BF2A14">
        <w:rPr>
          <w:rFonts w:ascii="Arial" w:hAnsi="Arial" w:cs="Arial"/>
          <w:color w:val="222222"/>
          <w:sz w:val="20"/>
          <w:szCs w:val="20"/>
          <w:shd w:val="clear" w:color="auto" w:fill="FFFFFF"/>
        </w:rPr>
        <w:t xml:space="preserve">, K., Chakraborty, A. K., &amp; </w:t>
      </w:r>
      <w:proofErr w:type="spellStart"/>
      <w:r w:rsidRPr="00BF2A14">
        <w:rPr>
          <w:rFonts w:ascii="Arial" w:hAnsi="Arial" w:cs="Arial"/>
          <w:color w:val="222222"/>
          <w:sz w:val="20"/>
          <w:szCs w:val="20"/>
          <w:shd w:val="clear" w:color="auto" w:fill="FFFFFF"/>
        </w:rPr>
        <w:t>Bhagowati</w:t>
      </w:r>
      <w:proofErr w:type="spellEnd"/>
      <w:r w:rsidRPr="00BF2A14">
        <w:rPr>
          <w:rFonts w:ascii="Arial" w:hAnsi="Arial" w:cs="Arial"/>
          <w:color w:val="222222"/>
          <w:sz w:val="20"/>
          <w:szCs w:val="20"/>
          <w:shd w:val="clear" w:color="auto" w:fill="FFFFFF"/>
        </w:rPr>
        <w:t xml:space="preserve">, A. K. (1988). Handbook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culture.</w:t>
      </w:r>
      <w:r w:rsidRPr="00BF2A14">
        <w:rPr>
          <w:rFonts w:ascii="Arial" w:hAnsi="Arial" w:cs="Arial"/>
          <w:sz w:val="20"/>
          <w:szCs w:val="20"/>
        </w:rPr>
        <w:t xml:space="preserve"> Central Silk Board, Bangalore. pp. 75-88</w:t>
      </w:r>
    </w:p>
    <w:p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sz w:val="20"/>
          <w:szCs w:val="20"/>
        </w:rPr>
        <w:t>Sahu</w:t>
      </w:r>
      <w:proofErr w:type="spellEnd"/>
      <w:r w:rsidRPr="00BF2A14">
        <w:rPr>
          <w:rFonts w:ascii="Arial" w:hAnsi="Arial" w:cs="Arial"/>
          <w:sz w:val="20"/>
          <w:szCs w:val="20"/>
        </w:rPr>
        <w:t xml:space="preserve"> A K, Sinha B </w:t>
      </w:r>
      <w:proofErr w:type="spellStart"/>
      <w:r w:rsidRPr="00BF2A14">
        <w:rPr>
          <w:rFonts w:ascii="Arial" w:hAnsi="Arial" w:cs="Arial"/>
          <w:sz w:val="20"/>
          <w:szCs w:val="20"/>
        </w:rPr>
        <w:t>B</w:t>
      </w:r>
      <w:proofErr w:type="spellEnd"/>
      <w:r w:rsidRPr="00BF2A14">
        <w:rPr>
          <w:rFonts w:ascii="Arial" w:hAnsi="Arial" w:cs="Arial"/>
          <w:sz w:val="20"/>
          <w:szCs w:val="20"/>
        </w:rPr>
        <w:t xml:space="preserve">, Kumar N. 1999. Studies on structure of reproductive apparatus of </w:t>
      </w:r>
      <w:proofErr w:type="spellStart"/>
      <w:r w:rsidRPr="00BF2A14">
        <w:rPr>
          <w:rFonts w:ascii="Arial" w:hAnsi="Arial" w:cs="Arial"/>
          <w:sz w:val="20"/>
          <w:szCs w:val="20"/>
        </w:rPr>
        <w:t>Antheraea</w:t>
      </w:r>
      <w:proofErr w:type="spellEnd"/>
      <w:r w:rsidRPr="00BF2A14">
        <w:rPr>
          <w:rFonts w:ascii="Arial" w:hAnsi="Arial" w:cs="Arial"/>
          <w:sz w:val="20"/>
          <w:szCs w:val="20"/>
        </w:rPr>
        <w:t xml:space="preserve"> </w:t>
      </w:r>
      <w:proofErr w:type="spellStart"/>
      <w:r w:rsidRPr="00BF2A14">
        <w:rPr>
          <w:rFonts w:ascii="Arial" w:hAnsi="Arial" w:cs="Arial"/>
          <w:sz w:val="20"/>
          <w:szCs w:val="20"/>
        </w:rPr>
        <w:t>assama</w:t>
      </w:r>
      <w:proofErr w:type="spellEnd"/>
      <w:r w:rsidRPr="00BF2A14">
        <w:rPr>
          <w:rFonts w:ascii="Arial" w:hAnsi="Arial" w:cs="Arial"/>
          <w:sz w:val="20"/>
          <w:szCs w:val="20"/>
        </w:rPr>
        <w:t xml:space="preserve">. Annual Report, Regional </w:t>
      </w:r>
      <w:proofErr w:type="spellStart"/>
      <w:r w:rsidRPr="00BF2A14">
        <w:rPr>
          <w:rFonts w:ascii="Arial" w:hAnsi="Arial" w:cs="Arial"/>
          <w:sz w:val="20"/>
          <w:szCs w:val="20"/>
        </w:rPr>
        <w:t>Muga</w:t>
      </w:r>
      <w:proofErr w:type="spellEnd"/>
      <w:r w:rsidRPr="00BF2A14">
        <w:rPr>
          <w:rFonts w:ascii="Arial" w:hAnsi="Arial" w:cs="Arial"/>
          <w:sz w:val="20"/>
          <w:szCs w:val="20"/>
        </w:rPr>
        <w:t xml:space="preserve"> Research Station, Boko. pp. 25-26.</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Biswas, D., Hazarika, A. K., </w:t>
      </w:r>
      <w:proofErr w:type="spellStart"/>
      <w:r w:rsidRPr="00BF2A14">
        <w:rPr>
          <w:rFonts w:ascii="Arial" w:hAnsi="Arial" w:cs="Arial"/>
          <w:color w:val="222222"/>
          <w:sz w:val="20"/>
          <w:szCs w:val="20"/>
          <w:shd w:val="clear" w:color="auto" w:fill="FFFFFF"/>
        </w:rPr>
        <w:t>Sahu</w:t>
      </w:r>
      <w:proofErr w:type="spellEnd"/>
      <w:r w:rsidRPr="00BF2A14">
        <w:rPr>
          <w:rFonts w:ascii="Arial" w:hAnsi="Arial" w:cs="Arial"/>
          <w:color w:val="222222"/>
          <w:sz w:val="20"/>
          <w:szCs w:val="20"/>
          <w:shd w:val="clear" w:color="auto" w:fill="FFFFFF"/>
        </w:rPr>
        <w:t xml:space="preserve">, A. K., &amp; Das, D. (2024). Reproductive biology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 moth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helfer</w:t>
      </w:r>
      <w:proofErr w:type="spellEnd"/>
      <w:r w:rsidRPr="00BF2A14">
        <w:rPr>
          <w:rFonts w:ascii="Arial" w:hAnsi="Arial" w:cs="Arial"/>
          <w:color w:val="222222"/>
          <w:sz w:val="20"/>
          <w:szCs w:val="20"/>
          <w:shd w:val="clear" w:color="auto" w:fill="FFFFFF"/>
        </w:rPr>
        <w:t xml:space="preserve">. Indian Journal of Entomology, 86(4), 1245-1251. </w:t>
      </w:r>
      <w:hyperlink r:id="rId15" w:history="1">
        <w:r w:rsidRPr="00BF2A14">
          <w:rPr>
            <w:rStyle w:val="Hyperlink"/>
            <w:rFonts w:ascii="Arial" w:hAnsi="Arial" w:cs="Arial"/>
            <w:sz w:val="20"/>
            <w:szCs w:val="20"/>
            <w:shd w:val="clear" w:color="auto" w:fill="FFFFFF"/>
          </w:rPr>
          <w:t>http://dx.doi.org/10.55446/IJE.2023.1510</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ÔMURA, S. (1936). STUDIES ON THE REPRODUCTIVE SYSTEM OF THE MALE OF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t>
      </w:r>
      <w:r w:rsidRPr="00BF2A14">
        <w:rPr>
          <w:rFonts w:ascii="Times New Roman" w:eastAsia="MS Gothic" w:hAnsi="Times New Roman" w:cs="Arial"/>
          <w:color w:val="222222"/>
          <w:sz w:val="20"/>
          <w:szCs w:val="20"/>
          <w:shd w:val="clear" w:color="auto" w:fill="FFFFFF"/>
        </w:rPr>
        <w:t>Ⅰ</w:t>
      </w:r>
      <w:r w:rsidRPr="00BF2A14">
        <w:rPr>
          <w:rFonts w:ascii="Arial" w:hAnsi="Arial" w:cs="Arial"/>
          <w:color w:val="222222"/>
          <w:sz w:val="20"/>
          <w:szCs w:val="20"/>
          <w:shd w:val="clear" w:color="auto" w:fill="FFFFFF"/>
        </w:rPr>
        <w:t>. STRUCTURE OF THE TESTIS AND THE INTRATESTICULAR BEHAVIOUR OF THE SPERMATOZOA. </w:t>
      </w:r>
      <w:r w:rsidRPr="00BF2A14">
        <w:rPr>
          <w:rFonts w:ascii="Arial" w:hAnsi="Arial" w:cs="Arial"/>
          <w:iCs/>
          <w:color w:val="222222"/>
          <w:sz w:val="20"/>
          <w:szCs w:val="20"/>
          <w:shd w:val="clear" w:color="auto" w:fill="FFFFFF"/>
        </w:rPr>
        <w:t>Journal of the Faculty of Agriculture, Hokkaido Imperial University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38</w:t>
      </w:r>
      <w:r w:rsidRPr="00BF2A14">
        <w:rPr>
          <w:rFonts w:ascii="Arial" w:hAnsi="Arial" w:cs="Arial"/>
          <w:color w:val="222222"/>
          <w:sz w:val="20"/>
          <w:szCs w:val="20"/>
          <w:shd w:val="clear" w:color="auto" w:fill="FFFFFF"/>
        </w:rPr>
        <w:t>(2), 151-181.</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Ómura</w:t>
      </w:r>
      <w:proofErr w:type="spellEnd"/>
      <w:r w:rsidRPr="00BF2A14">
        <w:rPr>
          <w:rFonts w:ascii="Arial" w:hAnsi="Arial" w:cs="Arial"/>
          <w:color w:val="222222"/>
          <w:sz w:val="20"/>
          <w:szCs w:val="20"/>
          <w:shd w:val="clear" w:color="auto" w:fill="FFFFFF"/>
        </w:rPr>
        <w:t xml:space="preserve">, S. (1938a). Structure and function of the female genital system of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with special reference to the mechanism of fertilization. </w:t>
      </w:r>
      <w:r w:rsidRPr="00BF2A14">
        <w:rPr>
          <w:rFonts w:ascii="Arial" w:hAnsi="Arial" w:cs="Arial"/>
          <w:iCs/>
          <w:color w:val="222222"/>
          <w:sz w:val="20"/>
          <w:szCs w:val="20"/>
          <w:shd w:val="clear" w:color="auto" w:fill="FFFFFF"/>
        </w:rPr>
        <w:t>Journal of the Faculty of Agriculture, Hokkaido Imperial University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40</w:t>
      </w:r>
      <w:r w:rsidRPr="00BF2A14">
        <w:rPr>
          <w:rFonts w:ascii="Arial" w:hAnsi="Arial" w:cs="Arial"/>
          <w:color w:val="222222"/>
          <w:sz w:val="20"/>
          <w:szCs w:val="20"/>
          <w:shd w:val="clear" w:color="auto" w:fill="FFFFFF"/>
        </w:rPr>
        <w:t>(3), 111-128.</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ÔMURA, S. (1938b). STUDIES ON THE REPRODUCTIVE SYSTEM OF THE MALE OF </w:t>
      </w:r>
      <w:r w:rsidRPr="00BF2A14">
        <w:rPr>
          <w:rFonts w:ascii="Arial" w:hAnsi="Arial" w:cs="Arial"/>
          <w:i/>
          <w:color w:val="222222"/>
          <w:sz w:val="20"/>
          <w:szCs w:val="20"/>
          <w:shd w:val="clear" w:color="auto" w:fill="FFFFFF"/>
        </w:rPr>
        <w:t xml:space="preserve">BOMBYX </w:t>
      </w:r>
      <w:proofErr w:type="spellStart"/>
      <w:r w:rsidRPr="00BF2A14">
        <w:rPr>
          <w:rFonts w:ascii="Arial" w:hAnsi="Arial" w:cs="Arial"/>
          <w:i/>
          <w:color w:val="222222"/>
          <w:sz w:val="20"/>
          <w:szCs w:val="20"/>
          <w:shd w:val="clear" w:color="auto" w:fill="FFFFFF"/>
        </w:rPr>
        <w:t>MORI</w:t>
      </w:r>
      <w:r w:rsidRPr="00BF2A14">
        <w:rPr>
          <w:rFonts w:ascii="Times New Roman" w:eastAsia="MS Gothic" w:hAnsi="Times New Roman" w:cs="Arial"/>
          <w:color w:val="222222"/>
          <w:sz w:val="20"/>
          <w:szCs w:val="20"/>
          <w:shd w:val="clear" w:color="auto" w:fill="FFFFFF"/>
        </w:rPr>
        <w:t>Ⅱ</w:t>
      </w:r>
      <w:proofErr w:type="spellEnd"/>
      <w:r w:rsidRPr="00BF2A14">
        <w:rPr>
          <w:rFonts w:ascii="Arial" w:hAnsi="Arial" w:cs="Arial"/>
          <w:color w:val="222222"/>
          <w:sz w:val="20"/>
          <w:szCs w:val="20"/>
          <w:shd w:val="clear" w:color="auto" w:fill="FFFFFF"/>
        </w:rPr>
        <w:t xml:space="preserve">. Post-Testicular Organs and Post-Testicular </w:t>
      </w:r>
      <w:proofErr w:type="spellStart"/>
      <w:r w:rsidRPr="00BF2A14">
        <w:rPr>
          <w:rFonts w:ascii="Arial" w:hAnsi="Arial" w:cs="Arial"/>
          <w:color w:val="222222"/>
          <w:sz w:val="20"/>
          <w:szCs w:val="20"/>
          <w:shd w:val="clear" w:color="auto" w:fill="FFFFFF"/>
        </w:rPr>
        <w:t>Behaviour</w:t>
      </w:r>
      <w:proofErr w:type="spellEnd"/>
      <w:r w:rsidRPr="00BF2A14">
        <w:rPr>
          <w:rFonts w:ascii="Arial" w:hAnsi="Arial" w:cs="Arial"/>
          <w:color w:val="222222"/>
          <w:sz w:val="20"/>
          <w:szCs w:val="20"/>
          <w:shd w:val="clear" w:color="auto" w:fill="FFFFFF"/>
        </w:rPr>
        <w:t xml:space="preserve"> of the Spermatozoa. </w:t>
      </w:r>
      <w:r w:rsidRPr="00BF2A14">
        <w:rPr>
          <w:rFonts w:ascii="Arial" w:hAnsi="Arial" w:cs="Arial"/>
          <w:iCs/>
          <w:color w:val="222222"/>
          <w:sz w:val="20"/>
          <w:szCs w:val="20"/>
          <w:shd w:val="clear" w:color="auto" w:fill="FFFFFF"/>
        </w:rPr>
        <w:t>Journal of the Faculty of Agriculture, Hokkaido Imperial University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40</w:t>
      </w:r>
      <w:r w:rsidRPr="00BF2A14">
        <w:rPr>
          <w:rFonts w:ascii="Arial" w:hAnsi="Arial" w:cs="Arial"/>
          <w:color w:val="222222"/>
          <w:sz w:val="20"/>
          <w:szCs w:val="20"/>
          <w:shd w:val="clear" w:color="auto" w:fill="FFFFFF"/>
        </w:rPr>
        <w:t>(3), 129-170.</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lastRenderedPageBreak/>
        <w:t xml:space="preserve">Dubey, O. P., </w:t>
      </w:r>
      <w:proofErr w:type="spellStart"/>
      <w:r w:rsidRPr="00BF2A14">
        <w:rPr>
          <w:rFonts w:ascii="Arial" w:hAnsi="Arial" w:cs="Arial"/>
          <w:color w:val="222222"/>
          <w:sz w:val="20"/>
          <w:szCs w:val="20"/>
          <w:shd w:val="clear" w:color="auto" w:fill="FFFFFF"/>
        </w:rPr>
        <w:t>Bajpeyi</w:t>
      </w:r>
      <w:proofErr w:type="spellEnd"/>
      <w:r w:rsidRPr="00BF2A14">
        <w:rPr>
          <w:rFonts w:ascii="Arial" w:hAnsi="Arial" w:cs="Arial"/>
          <w:color w:val="222222"/>
          <w:sz w:val="20"/>
          <w:szCs w:val="20"/>
          <w:shd w:val="clear" w:color="auto" w:fill="FFFFFF"/>
        </w:rPr>
        <w:t xml:space="preserve">, C. M., Kumar, N., &amp; </w:t>
      </w:r>
      <w:proofErr w:type="spellStart"/>
      <w:r w:rsidRPr="00BF2A14">
        <w:rPr>
          <w:rFonts w:ascii="Arial" w:hAnsi="Arial" w:cs="Arial"/>
          <w:color w:val="222222"/>
          <w:sz w:val="20"/>
          <w:szCs w:val="20"/>
          <w:shd w:val="clear" w:color="auto" w:fill="FFFFFF"/>
        </w:rPr>
        <w:t>Thangavelu</w:t>
      </w:r>
      <w:proofErr w:type="spellEnd"/>
      <w:r w:rsidRPr="00BF2A14">
        <w:rPr>
          <w:rFonts w:ascii="Arial" w:hAnsi="Arial" w:cs="Arial"/>
          <w:color w:val="222222"/>
          <w:sz w:val="20"/>
          <w:szCs w:val="20"/>
          <w:shd w:val="clear" w:color="auto" w:fill="FFFFFF"/>
        </w:rPr>
        <w:t xml:space="preserve">, K. (1992). Morphology of female reproductive system in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proofErr w:type="gramStart"/>
      <w:r w:rsidRPr="00BF2A14">
        <w:rPr>
          <w:rFonts w:ascii="Arial" w:hAnsi="Arial" w:cs="Arial"/>
          <w:i/>
          <w:color w:val="222222"/>
          <w:sz w:val="20"/>
          <w:szCs w:val="20"/>
          <w:shd w:val="clear" w:color="auto" w:fill="FFFFFF"/>
        </w:rPr>
        <w:t>mylitta</w:t>
      </w:r>
      <w:r w:rsidRPr="00BF2A14">
        <w:rPr>
          <w:rFonts w:ascii="Arial" w:hAnsi="Arial" w:cs="Arial"/>
          <w:color w:val="222222"/>
          <w:sz w:val="20"/>
          <w:szCs w:val="20"/>
          <w:shd w:val="clear" w:color="auto" w:fill="FFFFFF"/>
        </w:rPr>
        <w:t>D</w:t>
      </w:r>
      <w:proofErr w:type="spellEnd"/>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Indian journal of Sericulture, 31(2), 101-106.</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Katsuno</w:t>
      </w:r>
      <w:proofErr w:type="spellEnd"/>
      <w:r w:rsidRPr="00BF2A14">
        <w:rPr>
          <w:rFonts w:ascii="Arial" w:hAnsi="Arial" w:cs="Arial"/>
          <w:color w:val="222222"/>
          <w:sz w:val="20"/>
          <w:szCs w:val="20"/>
          <w:shd w:val="clear" w:color="auto" w:fill="FFFFFF"/>
        </w:rPr>
        <w:t xml:space="preserve">, S. (1978). Studies on </w:t>
      </w:r>
      <w:proofErr w:type="spellStart"/>
      <w:r w:rsidRPr="00BF2A14">
        <w:rPr>
          <w:rFonts w:ascii="Arial" w:hAnsi="Arial" w:cs="Arial"/>
          <w:color w:val="222222"/>
          <w:sz w:val="20"/>
          <w:szCs w:val="20"/>
          <w:shd w:val="clear" w:color="auto" w:fill="FFFFFF"/>
        </w:rPr>
        <w:t>Eupyrene</w:t>
      </w:r>
      <w:proofErr w:type="spellEnd"/>
      <w:r w:rsidRPr="00BF2A14">
        <w:rPr>
          <w:rFonts w:ascii="Arial" w:hAnsi="Arial" w:cs="Arial"/>
          <w:color w:val="222222"/>
          <w:sz w:val="20"/>
          <w:szCs w:val="20"/>
          <w:shd w:val="clear" w:color="auto" w:fill="FFFFFF"/>
        </w:rPr>
        <w:t xml:space="preserve"> and </w:t>
      </w:r>
      <w:proofErr w:type="spellStart"/>
      <w:r w:rsidRPr="00BF2A14">
        <w:rPr>
          <w:rFonts w:ascii="Arial" w:hAnsi="Arial" w:cs="Arial"/>
          <w:color w:val="222222"/>
          <w:sz w:val="20"/>
          <w:szCs w:val="20"/>
          <w:shd w:val="clear" w:color="auto" w:fill="FFFFFF"/>
        </w:rPr>
        <w:t>Apyrene</w:t>
      </w:r>
      <w:proofErr w:type="spellEnd"/>
      <w:r w:rsidRPr="00BF2A14">
        <w:rPr>
          <w:rFonts w:ascii="Arial" w:hAnsi="Arial" w:cs="Arial"/>
          <w:color w:val="222222"/>
          <w:sz w:val="20"/>
          <w:szCs w:val="20"/>
          <w:shd w:val="clear" w:color="auto" w:fill="FFFFFF"/>
        </w:rPr>
        <w:t xml:space="preserve"> Spermatozoa in the Silkworm, </w:t>
      </w:r>
      <w:r w:rsidRPr="00BF2A14">
        <w:rPr>
          <w:rFonts w:ascii="Arial" w:hAnsi="Arial" w:cs="Arial"/>
          <w:i/>
          <w:color w:val="222222"/>
          <w:sz w:val="20"/>
          <w:szCs w:val="20"/>
          <w:shd w:val="clear" w:color="auto" w:fill="FFFFFF"/>
        </w:rPr>
        <w:t xml:space="preserve">Bombyx </w:t>
      </w:r>
      <w:proofErr w:type="spellStart"/>
      <w:proofErr w:type="gramStart"/>
      <w:r w:rsidRPr="00BF2A14">
        <w:rPr>
          <w:rFonts w:ascii="Arial" w:hAnsi="Arial" w:cs="Arial"/>
          <w:i/>
          <w:color w:val="222222"/>
          <w:sz w:val="20"/>
          <w:szCs w:val="20"/>
          <w:shd w:val="clear" w:color="auto" w:fill="FFFFFF"/>
        </w:rPr>
        <w:t>mori</w:t>
      </w:r>
      <w:r w:rsidRPr="00BF2A14">
        <w:rPr>
          <w:rFonts w:ascii="Arial" w:hAnsi="Arial" w:cs="Arial"/>
          <w:color w:val="222222"/>
          <w:sz w:val="20"/>
          <w:szCs w:val="20"/>
          <w:shd w:val="clear" w:color="auto" w:fill="FFFFFF"/>
        </w:rPr>
        <w:t>L</w:t>
      </w:r>
      <w:proofErr w:type="spellEnd"/>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Bombycidae</w:t>
      </w:r>
      <w:proofErr w:type="spellEnd"/>
      <w:r w:rsidRPr="00BF2A14">
        <w:rPr>
          <w:rFonts w:ascii="Arial" w:hAnsi="Arial" w:cs="Arial"/>
          <w:color w:val="222222"/>
          <w:sz w:val="20"/>
          <w:szCs w:val="20"/>
          <w:shd w:val="clear" w:color="auto" w:fill="FFFFFF"/>
        </w:rPr>
        <w:t>): VII. The Motility of Sperm Bundles and Spermatozoa in the Reproductive Organs of Males and Females. </w:t>
      </w:r>
      <w:r w:rsidRPr="00BF2A14">
        <w:rPr>
          <w:rFonts w:ascii="Arial" w:hAnsi="Arial" w:cs="Arial"/>
          <w:iCs/>
          <w:color w:val="222222"/>
          <w:sz w:val="20"/>
          <w:szCs w:val="20"/>
          <w:shd w:val="clear" w:color="auto" w:fill="FFFFFF"/>
        </w:rPr>
        <w:t>Applied Entomology and Zoology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13</w:t>
      </w:r>
      <w:r w:rsidRPr="00BF2A14">
        <w:rPr>
          <w:rFonts w:ascii="Arial" w:hAnsi="Arial" w:cs="Arial"/>
          <w:color w:val="222222"/>
          <w:sz w:val="20"/>
          <w:szCs w:val="20"/>
          <w:shd w:val="clear" w:color="auto" w:fill="FFFFFF"/>
        </w:rPr>
        <w:t xml:space="preserve">(2), 91-96. </w:t>
      </w:r>
      <w:hyperlink r:id="rId16" w:history="1">
        <w:r w:rsidRPr="00BF2A14">
          <w:rPr>
            <w:rStyle w:val="Hyperlink"/>
            <w:rFonts w:ascii="Arial" w:hAnsi="Arial" w:cs="Arial"/>
            <w:sz w:val="20"/>
            <w:szCs w:val="20"/>
            <w:shd w:val="clear" w:color="auto" w:fill="FFFFFF"/>
          </w:rPr>
          <w:t>https://doi.org/10.1303/aez.13.91</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Etman</w:t>
      </w:r>
      <w:proofErr w:type="spellEnd"/>
      <w:r w:rsidRPr="00BF2A14">
        <w:rPr>
          <w:rFonts w:ascii="Arial" w:hAnsi="Arial" w:cs="Arial"/>
          <w:color w:val="222222"/>
          <w:sz w:val="20"/>
          <w:szCs w:val="20"/>
          <w:shd w:val="clear" w:color="auto" w:fill="FFFFFF"/>
        </w:rPr>
        <w:t xml:space="preserve">, A. A., &amp; Hooper, G. H. S. (1980). Developmental and reproductive biology of </w:t>
      </w:r>
      <w:proofErr w:type="spellStart"/>
      <w:r w:rsidRPr="00BF2A14">
        <w:rPr>
          <w:rFonts w:ascii="Arial" w:hAnsi="Arial" w:cs="Arial"/>
          <w:i/>
          <w:color w:val="222222"/>
          <w:sz w:val="20"/>
          <w:szCs w:val="20"/>
          <w:shd w:val="clear" w:color="auto" w:fill="FFFFFF"/>
        </w:rPr>
        <w:t>Spodoptera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litura</w:t>
      </w:r>
      <w:proofErr w:type="spellEnd"/>
      <w:r w:rsidRPr="00BF2A14">
        <w:rPr>
          <w:rFonts w:ascii="Arial" w:hAnsi="Arial" w:cs="Arial"/>
          <w:color w:val="222222"/>
          <w:sz w:val="20"/>
          <w:szCs w:val="20"/>
          <w:shd w:val="clear" w:color="auto" w:fill="FFFFFF"/>
        </w:rPr>
        <w:t xml:space="preserve"> (</w:t>
      </w:r>
      <w:proofErr w:type="gramStart"/>
      <w:r w:rsidRPr="00BF2A14">
        <w:rPr>
          <w:rFonts w:ascii="Arial" w:hAnsi="Arial" w:cs="Arial"/>
          <w:color w:val="222222"/>
          <w:sz w:val="20"/>
          <w:szCs w:val="20"/>
          <w:shd w:val="clear" w:color="auto" w:fill="FFFFFF"/>
        </w:rPr>
        <w:t>F.)(</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Noctuidae</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Australian Journal of Entomology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18</w:t>
      </w:r>
      <w:r w:rsidRPr="00BF2A14">
        <w:rPr>
          <w:rFonts w:ascii="Arial" w:hAnsi="Arial" w:cs="Arial"/>
          <w:color w:val="222222"/>
          <w:sz w:val="20"/>
          <w:szCs w:val="20"/>
          <w:shd w:val="clear" w:color="auto" w:fill="FFFFFF"/>
        </w:rPr>
        <w:t>(4), 363-372.</w:t>
      </w:r>
      <w:hyperlink r:id="rId17" w:history="1">
        <w:r w:rsidRPr="00BF2A14">
          <w:rPr>
            <w:rStyle w:val="Hyperlink"/>
            <w:rFonts w:ascii="Arial" w:hAnsi="Arial" w:cs="Arial"/>
            <w:sz w:val="20"/>
            <w:szCs w:val="20"/>
            <w:shd w:val="clear" w:color="auto" w:fill="FFFFFF"/>
          </w:rPr>
          <w:t>https://doi.org/10.1111/j.1440-6055.1979.tb00868.x</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Silberglied</w:t>
      </w:r>
      <w:proofErr w:type="spellEnd"/>
      <w:r w:rsidRPr="00BF2A14">
        <w:rPr>
          <w:rFonts w:ascii="Arial" w:hAnsi="Arial" w:cs="Arial"/>
          <w:color w:val="222222"/>
          <w:sz w:val="20"/>
          <w:szCs w:val="20"/>
          <w:shd w:val="clear" w:color="auto" w:fill="FFFFFF"/>
        </w:rPr>
        <w:t xml:space="preserve">, R. E., Shepherd, J. G., &amp; Dickinson, J. L. (1984). Eunuchs: the role of </w:t>
      </w:r>
      <w:proofErr w:type="spellStart"/>
      <w:r w:rsidRPr="00BF2A14">
        <w:rPr>
          <w:rFonts w:ascii="Arial" w:hAnsi="Arial" w:cs="Arial"/>
          <w:color w:val="222222"/>
          <w:sz w:val="20"/>
          <w:szCs w:val="20"/>
          <w:shd w:val="clear" w:color="auto" w:fill="FFFFFF"/>
        </w:rPr>
        <w:t>apyrene</w:t>
      </w:r>
      <w:proofErr w:type="spellEnd"/>
      <w:r w:rsidRPr="00BF2A14">
        <w:rPr>
          <w:rFonts w:ascii="Arial" w:hAnsi="Arial" w:cs="Arial"/>
          <w:color w:val="222222"/>
          <w:sz w:val="20"/>
          <w:szCs w:val="20"/>
          <w:shd w:val="clear" w:color="auto" w:fill="FFFFFF"/>
        </w:rPr>
        <w:t xml:space="preserve"> sperm in </w:t>
      </w:r>
      <w:proofErr w:type="gramStart"/>
      <w:r w:rsidRPr="00BF2A14">
        <w:rPr>
          <w:rFonts w:ascii="Arial" w:hAnsi="Arial" w:cs="Arial"/>
          <w:color w:val="222222"/>
          <w:sz w:val="20"/>
          <w:szCs w:val="20"/>
          <w:shd w:val="clear" w:color="auto" w:fill="FFFFFF"/>
        </w:rPr>
        <w:t>Lepidoptera?.</w:t>
      </w:r>
      <w:proofErr w:type="gram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The American Naturalist</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123</w:t>
      </w:r>
      <w:r w:rsidRPr="00BF2A14">
        <w:rPr>
          <w:rFonts w:ascii="Arial" w:hAnsi="Arial" w:cs="Arial"/>
          <w:color w:val="222222"/>
          <w:sz w:val="20"/>
          <w:szCs w:val="20"/>
          <w:shd w:val="clear" w:color="auto" w:fill="FFFFFF"/>
        </w:rPr>
        <w:t xml:space="preserve">(2), 255-265. </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Saheb, N. M., Singh, T., &amp; </w:t>
      </w:r>
      <w:proofErr w:type="spellStart"/>
      <w:r w:rsidRPr="00BF2A14">
        <w:rPr>
          <w:rFonts w:ascii="Arial" w:hAnsi="Arial" w:cs="Arial"/>
          <w:color w:val="222222"/>
          <w:sz w:val="20"/>
          <w:szCs w:val="20"/>
          <w:shd w:val="clear" w:color="auto" w:fill="FFFFFF"/>
        </w:rPr>
        <w:t>Saratchandra</w:t>
      </w:r>
      <w:proofErr w:type="spellEnd"/>
      <w:r w:rsidRPr="00BF2A14">
        <w:rPr>
          <w:rFonts w:ascii="Arial" w:hAnsi="Arial" w:cs="Arial"/>
          <w:color w:val="222222"/>
          <w:sz w:val="20"/>
          <w:szCs w:val="20"/>
          <w:shd w:val="clear" w:color="auto" w:fill="FFFFFF"/>
        </w:rPr>
        <w:t xml:space="preserve">, B. (2009). Occurrence of unfertilized eggs in the mulberry silkworm,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w:t>
      </w:r>
      <w:proofErr w:type="gramStart"/>
      <w:r w:rsidRPr="00BF2A14">
        <w:rPr>
          <w:rFonts w:ascii="Arial" w:hAnsi="Arial" w:cs="Arial"/>
          <w:color w:val="222222"/>
          <w:sz w:val="20"/>
          <w:szCs w:val="20"/>
          <w:shd w:val="clear" w:color="auto" w:fill="FFFFFF"/>
        </w:rPr>
        <w:t>L.)(</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bombycidae</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International Journal of Industrial Entomology and Biomaterials</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18</w:t>
      </w:r>
      <w:r w:rsidRPr="00BF2A14">
        <w:rPr>
          <w:rFonts w:ascii="Arial" w:hAnsi="Arial" w:cs="Arial"/>
          <w:color w:val="222222"/>
          <w:sz w:val="20"/>
          <w:szCs w:val="20"/>
          <w:shd w:val="clear" w:color="auto" w:fill="FFFFFF"/>
        </w:rPr>
        <w:t>(1), 1-7.</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Chen, S., Liu, Y., Yang, X., Liu, Z., Luo, X., Xu, J., &amp; Huang, Y. (2020). Dysfunction of dimorphic sperm impairs male fertility in the silkworm. </w:t>
      </w:r>
      <w:r w:rsidRPr="00BF2A14">
        <w:rPr>
          <w:rFonts w:ascii="Arial" w:hAnsi="Arial" w:cs="Arial"/>
          <w:iCs/>
          <w:color w:val="222222"/>
          <w:sz w:val="20"/>
          <w:szCs w:val="20"/>
          <w:shd w:val="clear" w:color="auto" w:fill="FFFFFF"/>
        </w:rPr>
        <w:t>Cell discovery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6</w:t>
      </w:r>
      <w:r w:rsidRPr="00BF2A14">
        <w:rPr>
          <w:rFonts w:ascii="Arial" w:hAnsi="Arial" w:cs="Arial"/>
          <w:color w:val="222222"/>
          <w:sz w:val="20"/>
          <w:szCs w:val="20"/>
          <w:shd w:val="clear" w:color="auto" w:fill="FFFFFF"/>
        </w:rPr>
        <w:t xml:space="preserve">(1), 60. </w:t>
      </w:r>
      <w:hyperlink r:id="rId18" w:history="1">
        <w:r w:rsidRPr="00BF2A14">
          <w:rPr>
            <w:rStyle w:val="Hyperlink"/>
            <w:rFonts w:ascii="Arial" w:hAnsi="Arial" w:cs="Arial"/>
            <w:sz w:val="20"/>
            <w:szCs w:val="20"/>
            <w:shd w:val="clear" w:color="auto" w:fill="FFFFFF"/>
          </w:rPr>
          <w:t>https://doi.org/10.1038/s41421-020-00194-6</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Norris, M. J., &amp; Richards, O. W. (1933, December). Contributions towards the Study of Insect </w:t>
      </w:r>
      <w:proofErr w:type="gramStart"/>
      <w:r w:rsidRPr="00BF2A14">
        <w:rPr>
          <w:rFonts w:ascii="Arial" w:hAnsi="Arial" w:cs="Arial"/>
          <w:color w:val="222222"/>
          <w:sz w:val="20"/>
          <w:szCs w:val="20"/>
          <w:shd w:val="clear" w:color="auto" w:fill="FFFFFF"/>
        </w:rPr>
        <w:t>Fertility.—</w:t>
      </w:r>
      <w:proofErr w:type="gramEnd"/>
      <w:r w:rsidRPr="00BF2A14">
        <w:rPr>
          <w:rFonts w:ascii="Arial" w:hAnsi="Arial" w:cs="Arial"/>
          <w:color w:val="222222"/>
          <w:sz w:val="20"/>
          <w:szCs w:val="20"/>
          <w:shd w:val="clear" w:color="auto" w:fill="FFFFFF"/>
        </w:rPr>
        <w:t xml:space="preserve">II. Experiments on the Factors influencing Fertility in </w:t>
      </w:r>
      <w:proofErr w:type="spellStart"/>
      <w:r w:rsidRPr="00BF2A14">
        <w:rPr>
          <w:rFonts w:ascii="Arial" w:hAnsi="Arial" w:cs="Arial"/>
          <w:i/>
          <w:color w:val="222222"/>
          <w:sz w:val="20"/>
          <w:szCs w:val="20"/>
          <w:shd w:val="clear" w:color="auto" w:fill="FFFFFF"/>
        </w:rPr>
        <w:t>Ephestia</w:t>
      </w:r>
      <w:proofErr w:type="spellEnd"/>
      <w:r w:rsidRPr="00BF2A14">
        <w:rPr>
          <w:rFonts w:ascii="Arial" w:hAnsi="Arial" w:cs="Arial"/>
          <w:i/>
          <w:color w:val="222222"/>
          <w:sz w:val="20"/>
          <w:szCs w:val="20"/>
          <w:shd w:val="clear" w:color="auto" w:fill="FFFFFF"/>
        </w:rPr>
        <w:t xml:space="preserve"> </w:t>
      </w:r>
      <w:proofErr w:type="spellStart"/>
      <w:proofErr w:type="gramStart"/>
      <w:r w:rsidRPr="00BF2A14">
        <w:rPr>
          <w:rFonts w:ascii="Arial" w:hAnsi="Arial" w:cs="Arial"/>
          <w:i/>
          <w:color w:val="222222"/>
          <w:sz w:val="20"/>
          <w:szCs w:val="20"/>
          <w:shd w:val="clear" w:color="auto" w:fill="FFFFFF"/>
        </w:rPr>
        <w:t>kühniella</w:t>
      </w:r>
      <w:r w:rsidRPr="00BF2A14">
        <w:rPr>
          <w:rFonts w:ascii="Arial" w:hAnsi="Arial" w:cs="Arial"/>
          <w:color w:val="222222"/>
          <w:sz w:val="20"/>
          <w:szCs w:val="20"/>
          <w:shd w:val="clear" w:color="auto" w:fill="FFFFFF"/>
        </w:rPr>
        <w:t>Z</w:t>
      </w:r>
      <w:proofErr w:type="spellEnd"/>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Phycitidæ</w:t>
      </w:r>
      <w:proofErr w:type="spellEnd"/>
      <w:r w:rsidRPr="00BF2A14">
        <w:rPr>
          <w:rFonts w:ascii="Arial" w:hAnsi="Arial" w:cs="Arial"/>
          <w:color w:val="222222"/>
          <w:sz w:val="20"/>
          <w:szCs w:val="20"/>
          <w:shd w:val="clear" w:color="auto" w:fill="FFFFFF"/>
        </w:rPr>
        <w:t>). In </w:t>
      </w:r>
      <w:r w:rsidRPr="00BF2A14">
        <w:rPr>
          <w:rFonts w:ascii="Arial" w:hAnsi="Arial" w:cs="Arial"/>
          <w:iCs/>
          <w:color w:val="222222"/>
          <w:sz w:val="20"/>
          <w:szCs w:val="20"/>
          <w:shd w:val="clear" w:color="auto" w:fill="FFFFFF"/>
        </w:rPr>
        <w:t>Proceedings of the Zoological Society of London</w:t>
      </w:r>
      <w:r w:rsidRPr="00BF2A14">
        <w:rPr>
          <w:rFonts w:ascii="Arial" w:hAnsi="Arial" w:cs="Arial"/>
          <w:color w:val="222222"/>
          <w:sz w:val="20"/>
          <w:szCs w:val="20"/>
          <w:shd w:val="clear" w:color="auto" w:fill="FFFFFF"/>
        </w:rPr>
        <w:t xml:space="preserve"> (Vol. 103, No. 4, pp. 903-934). Oxford, UK: Blackwell Publishing </w:t>
      </w:r>
      <w:proofErr w:type="spellStart"/>
      <w:r w:rsidRPr="00BF2A14">
        <w:rPr>
          <w:rFonts w:ascii="Arial" w:hAnsi="Arial" w:cs="Arial"/>
          <w:color w:val="222222"/>
          <w:sz w:val="20"/>
          <w:szCs w:val="20"/>
          <w:shd w:val="clear" w:color="auto" w:fill="FFFFFF"/>
        </w:rPr>
        <w:t>Ltd.</w:t>
      </w:r>
      <w:hyperlink r:id="rId19" w:history="1">
        <w:r w:rsidRPr="00BF2A14">
          <w:rPr>
            <w:rStyle w:val="Hyperlink"/>
            <w:rFonts w:ascii="Arial" w:hAnsi="Arial" w:cs="Arial"/>
            <w:sz w:val="20"/>
            <w:szCs w:val="20"/>
            <w:shd w:val="clear" w:color="auto" w:fill="FFFFFF"/>
          </w:rPr>
          <w:t>https</w:t>
        </w:r>
        <w:proofErr w:type="spellEnd"/>
        <w:r w:rsidRPr="00BF2A14">
          <w:rPr>
            <w:rStyle w:val="Hyperlink"/>
            <w:rFonts w:ascii="Arial" w:hAnsi="Arial" w:cs="Arial"/>
            <w:sz w:val="20"/>
            <w:szCs w:val="20"/>
            <w:shd w:val="clear" w:color="auto" w:fill="FFFFFF"/>
          </w:rPr>
          <w:t>://doi.org/10.1111/j.1096-3642.1933.tb01635.x</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Karube</w:t>
      </w:r>
      <w:proofErr w:type="spellEnd"/>
      <w:r w:rsidRPr="00BF2A14">
        <w:rPr>
          <w:rFonts w:ascii="Arial" w:hAnsi="Arial" w:cs="Arial"/>
          <w:color w:val="222222"/>
          <w:sz w:val="20"/>
          <w:szCs w:val="20"/>
          <w:shd w:val="clear" w:color="auto" w:fill="FFFFFF"/>
        </w:rPr>
        <w:t xml:space="preserve">, F., &amp; Kobayashi, M. (1999). Presence of </w:t>
      </w:r>
      <w:proofErr w:type="spellStart"/>
      <w:r w:rsidRPr="00BF2A14">
        <w:rPr>
          <w:rFonts w:ascii="Arial" w:hAnsi="Arial" w:cs="Arial"/>
          <w:color w:val="222222"/>
          <w:sz w:val="20"/>
          <w:szCs w:val="20"/>
          <w:shd w:val="clear" w:color="auto" w:fill="FFFFFF"/>
        </w:rPr>
        <w:t>eupyrene</w:t>
      </w:r>
      <w:proofErr w:type="spellEnd"/>
      <w:r w:rsidRPr="00BF2A14">
        <w:rPr>
          <w:rFonts w:ascii="Arial" w:hAnsi="Arial" w:cs="Arial"/>
          <w:color w:val="222222"/>
          <w:sz w:val="20"/>
          <w:szCs w:val="20"/>
          <w:shd w:val="clear" w:color="auto" w:fill="FFFFFF"/>
        </w:rPr>
        <w:t xml:space="preserve"> spermatozoa in vestibulum accelerates oviposition in the silkworm moth,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Journal of Insect Physiology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45</w:t>
      </w:r>
      <w:r w:rsidRPr="00BF2A14">
        <w:rPr>
          <w:rFonts w:ascii="Arial" w:hAnsi="Arial" w:cs="Arial"/>
          <w:color w:val="222222"/>
          <w:sz w:val="20"/>
          <w:szCs w:val="20"/>
          <w:shd w:val="clear" w:color="auto" w:fill="FFFFFF"/>
        </w:rPr>
        <w:t xml:space="preserve">(10), 947-957. </w:t>
      </w:r>
      <w:hyperlink r:id="rId20" w:history="1">
        <w:r w:rsidRPr="00BF2A14">
          <w:rPr>
            <w:rStyle w:val="Hyperlink"/>
            <w:rFonts w:ascii="Arial" w:hAnsi="Arial" w:cs="Arial"/>
            <w:sz w:val="20"/>
            <w:szCs w:val="20"/>
            <w:shd w:val="clear" w:color="auto" w:fill="FFFFFF"/>
          </w:rPr>
          <w:t>https://doi.org/10.1016/S0022-1910(99)00075-X</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Soin</w:t>
      </w:r>
      <w:proofErr w:type="spellEnd"/>
      <w:r w:rsidRPr="00BF2A14">
        <w:rPr>
          <w:rFonts w:ascii="Arial" w:hAnsi="Arial" w:cs="Arial"/>
          <w:color w:val="222222"/>
          <w:sz w:val="20"/>
          <w:szCs w:val="20"/>
          <w:shd w:val="clear" w:color="auto" w:fill="FFFFFF"/>
        </w:rPr>
        <w:t xml:space="preserve">, T., </w:t>
      </w:r>
      <w:proofErr w:type="spellStart"/>
      <w:r w:rsidRPr="00BF2A14">
        <w:rPr>
          <w:rFonts w:ascii="Arial" w:hAnsi="Arial" w:cs="Arial"/>
          <w:color w:val="222222"/>
          <w:sz w:val="20"/>
          <w:szCs w:val="20"/>
          <w:shd w:val="clear" w:color="auto" w:fill="FFFFFF"/>
        </w:rPr>
        <w:t>Swevers</w:t>
      </w:r>
      <w:proofErr w:type="spellEnd"/>
      <w:r w:rsidRPr="00BF2A14">
        <w:rPr>
          <w:rFonts w:ascii="Arial" w:hAnsi="Arial" w:cs="Arial"/>
          <w:color w:val="222222"/>
          <w:sz w:val="20"/>
          <w:szCs w:val="20"/>
          <w:shd w:val="clear" w:color="auto" w:fill="FFFFFF"/>
        </w:rPr>
        <w:t xml:space="preserve">, L., </w:t>
      </w:r>
      <w:proofErr w:type="spellStart"/>
      <w:r w:rsidRPr="00BF2A14">
        <w:rPr>
          <w:rFonts w:ascii="Arial" w:hAnsi="Arial" w:cs="Arial"/>
          <w:color w:val="222222"/>
          <w:sz w:val="20"/>
          <w:szCs w:val="20"/>
          <w:shd w:val="clear" w:color="auto" w:fill="FFFFFF"/>
        </w:rPr>
        <w:t>Mosallanejad</w:t>
      </w:r>
      <w:proofErr w:type="spellEnd"/>
      <w:r w:rsidRPr="00BF2A14">
        <w:rPr>
          <w:rFonts w:ascii="Arial" w:hAnsi="Arial" w:cs="Arial"/>
          <w:color w:val="222222"/>
          <w:sz w:val="20"/>
          <w:szCs w:val="20"/>
          <w:shd w:val="clear" w:color="auto" w:fill="FFFFFF"/>
        </w:rPr>
        <w:t xml:space="preserve">, H., </w:t>
      </w:r>
      <w:proofErr w:type="spellStart"/>
      <w:r w:rsidRPr="00BF2A14">
        <w:rPr>
          <w:rFonts w:ascii="Arial" w:hAnsi="Arial" w:cs="Arial"/>
          <w:color w:val="222222"/>
          <w:sz w:val="20"/>
          <w:szCs w:val="20"/>
          <w:shd w:val="clear" w:color="auto" w:fill="FFFFFF"/>
        </w:rPr>
        <w:t>Efrose</w:t>
      </w:r>
      <w:proofErr w:type="spellEnd"/>
      <w:r w:rsidRPr="00BF2A14">
        <w:rPr>
          <w:rFonts w:ascii="Arial" w:hAnsi="Arial" w:cs="Arial"/>
          <w:color w:val="222222"/>
          <w:sz w:val="20"/>
          <w:szCs w:val="20"/>
          <w:shd w:val="clear" w:color="auto" w:fill="FFFFFF"/>
        </w:rPr>
        <w:t xml:space="preserve">, R., </w:t>
      </w:r>
      <w:proofErr w:type="spellStart"/>
      <w:r w:rsidRPr="00BF2A14">
        <w:rPr>
          <w:rFonts w:ascii="Arial" w:hAnsi="Arial" w:cs="Arial"/>
          <w:color w:val="222222"/>
          <w:sz w:val="20"/>
          <w:szCs w:val="20"/>
          <w:shd w:val="clear" w:color="auto" w:fill="FFFFFF"/>
        </w:rPr>
        <w:t>Labropoulou</w:t>
      </w:r>
      <w:proofErr w:type="spellEnd"/>
      <w:r w:rsidRPr="00BF2A14">
        <w:rPr>
          <w:rFonts w:ascii="Arial" w:hAnsi="Arial" w:cs="Arial"/>
          <w:color w:val="222222"/>
          <w:sz w:val="20"/>
          <w:szCs w:val="20"/>
          <w:shd w:val="clear" w:color="auto" w:fill="FFFFFF"/>
        </w:rPr>
        <w:t xml:space="preserve">, V., </w:t>
      </w:r>
      <w:proofErr w:type="spellStart"/>
      <w:r w:rsidRPr="00BF2A14">
        <w:rPr>
          <w:rFonts w:ascii="Arial" w:hAnsi="Arial" w:cs="Arial"/>
          <w:color w:val="222222"/>
          <w:sz w:val="20"/>
          <w:szCs w:val="20"/>
          <w:shd w:val="clear" w:color="auto" w:fill="FFFFFF"/>
        </w:rPr>
        <w:t>Iatrou</w:t>
      </w:r>
      <w:proofErr w:type="spellEnd"/>
      <w:r w:rsidRPr="00BF2A14">
        <w:rPr>
          <w:rFonts w:ascii="Arial" w:hAnsi="Arial" w:cs="Arial"/>
          <w:color w:val="222222"/>
          <w:sz w:val="20"/>
          <w:szCs w:val="20"/>
          <w:shd w:val="clear" w:color="auto" w:fill="FFFFFF"/>
        </w:rPr>
        <w:t xml:space="preserve">, K., &amp; </w:t>
      </w:r>
      <w:proofErr w:type="spellStart"/>
      <w:r w:rsidRPr="00BF2A14">
        <w:rPr>
          <w:rFonts w:ascii="Arial" w:hAnsi="Arial" w:cs="Arial"/>
          <w:color w:val="222222"/>
          <w:sz w:val="20"/>
          <w:szCs w:val="20"/>
          <w:shd w:val="clear" w:color="auto" w:fill="FFFFFF"/>
        </w:rPr>
        <w:t>Smagghe</w:t>
      </w:r>
      <w:proofErr w:type="spellEnd"/>
      <w:r w:rsidRPr="00BF2A14">
        <w:rPr>
          <w:rFonts w:ascii="Arial" w:hAnsi="Arial" w:cs="Arial"/>
          <w:color w:val="222222"/>
          <w:sz w:val="20"/>
          <w:szCs w:val="20"/>
          <w:shd w:val="clear" w:color="auto" w:fill="FFFFFF"/>
        </w:rPr>
        <w:t xml:space="preserve">, G. (2008). Juvenile hormone analogs do not affect directly the activity of the </w:t>
      </w:r>
      <w:proofErr w:type="spellStart"/>
      <w:r w:rsidRPr="00BF2A14">
        <w:rPr>
          <w:rFonts w:ascii="Arial" w:hAnsi="Arial" w:cs="Arial"/>
          <w:color w:val="222222"/>
          <w:sz w:val="20"/>
          <w:szCs w:val="20"/>
          <w:shd w:val="clear" w:color="auto" w:fill="FFFFFF"/>
        </w:rPr>
        <w:t>ecdysteroid</w:t>
      </w:r>
      <w:proofErr w:type="spellEnd"/>
      <w:r w:rsidRPr="00BF2A14">
        <w:rPr>
          <w:rFonts w:ascii="Arial" w:hAnsi="Arial" w:cs="Arial"/>
          <w:color w:val="222222"/>
          <w:sz w:val="20"/>
          <w:szCs w:val="20"/>
          <w:shd w:val="clear" w:color="auto" w:fill="FFFFFF"/>
        </w:rPr>
        <w:t xml:space="preserve"> receptor complex in insect culture cell lines. </w:t>
      </w:r>
      <w:r w:rsidRPr="00BF2A14">
        <w:rPr>
          <w:rFonts w:ascii="Arial" w:hAnsi="Arial" w:cs="Arial"/>
          <w:iCs/>
          <w:color w:val="222222"/>
          <w:sz w:val="20"/>
          <w:szCs w:val="20"/>
          <w:shd w:val="clear" w:color="auto" w:fill="FFFFFF"/>
        </w:rPr>
        <w:t>Journal of Insect Physiology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54</w:t>
      </w:r>
      <w:r w:rsidRPr="00BF2A14">
        <w:rPr>
          <w:rFonts w:ascii="Arial" w:hAnsi="Arial" w:cs="Arial"/>
          <w:color w:val="222222"/>
          <w:sz w:val="20"/>
          <w:szCs w:val="20"/>
          <w:shd w:val="clear" w:color="auto" w:fill="FFFFFF"/>
        </w:rPr>
        <w:t xml:space="preserve">(2), 429-438. </w:t>
      </w:r>
      <w:hyperlink r:id="rId21" w:history="1">
        <w:r w:rsidRPr="00BF2A14">
          <w:rPr>
            <w:rStyle w:val="Hyperlink"/>
            <w:rFonts w:ascii="Arial" w:hAnsi="Arial" w:cs="Arial"/>
            <w:sz w:val="20"/>
            <w:szCs w:val="20"/>
            <w:shd w:val="clear" w:color="auto" w:fill="FFFFFF"/>
          </w:rPr>
          <w:t>https://doi.org/10.1016/j.jinsphys.2007.11.001</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Wigglesworth, V. B. (1936). The function of the corpus </w:t>
      </w:r>
      <w:proofErr w:type="spellStart"/>
      <w:r w:rsidRPr="00BF2A14">
        <w:rPr>
          <w:rFonts w:ascii="Arial" w:hAnsi="Arial" w:cs="Arial"/>
          <w:color w:val="222222"/>
          <w:sz w:val="20"/>
          <w:szCs w:val="20"/>
          <w:shd w:val="clear" w:color="auto" w:fill="FFFFFF"/>
        </w:rPr>
        <w:t>allatum</w:t>
      </w:r>
      <w:proofErr w:type="spellEnd"/>
      <w:r w:rsidRPr="00BF2A14">
        <w:rPr>
          <w:rFonts w:ascii="Arial" w:hAnsi="Arial" w:cs="Arial"/>
          <w:color w:val="222222"/>
          <w:sz w:val="20"/>
          <w:szCs w:val="20"/>
          <w:shd w:val="clear" w:color="auto" w:fill="FFFFFF"/>
        </w:rPr>
        <w:t xml:space="preserve"> in the growth and reproduction of </w:t>
      </w:r>
      <w:proofErr w:type="spellStart"/>
      <w:r w:rsidRPr="00BF2A14">
        <w:rPr>
          <w:rFonts w:ascii="Arial" w:hAnsi="Arial" w:cs="Arial"/>
          <w:i/>
          <w:color w:val="222222"/>
          <w:sz w:val="20"/>
          <w:szCs w:val="20"/>
          <w:shd w:val="clear" w:color="auto" w:fill="FFFFFF"/>
        </w:rPr>
        <w:t>Rhodnius</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prolixus</w:t>
      </w:r>
      <w:proofErr w:type="spellEnd"/>
      <w:r w:rsidRPr="00BF2A14">
        <w:rPr>
          <w:rFonts w:ascii="Arial" w:hAnsi="Arial" w:cs="Arial"/>
          <w:color w:val="222222"/>
          <w:sz w:val="20"/>
          <w:szCs w:val="20"/>
          <w:shd w:val="clear" w:color="auto" w:fill="FFFFFF"/>
        </w:rPr>
        <w:t xml:space="preserve"> (Hemiptera). </w:t>
      </w:r>
      <w:r w:rsidRPr="00BF2A14">
        <w:rPr>
          <w:rFonts w:ascii="Arial" w:hAnsi="Arial" w:cs="Arial"/>
          <w:iCs/>
          <w:color w:val="222222"/>
          <w:sz w:val="20"/>
          <w:szCs w:val="20"/>
          <w:shd w:val="clear" w:color="auto" w:fill="FFFFFF"/>
        </w:rPr>
        <w:t>Journal of Cell Science</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w:t>
      </w:r>
      <w:r w:rsidRPr="00BF2A14">
        <w:rPr>
          <w:rFonts w:ascii="Arial" w:hAnsi="Arial" w:cs="Arial"/>
          <w:color w:val="222222"/>
          <w:sz w:val="20"/>
          <w:szCs w:val="20"/>
          <w:shd w:val="clear" w:color="auto" w:fill="FFFFFF"/>
        </w:rPr>
        <w:t xml:space="preserve">(313), 91-121. </w:t>
      </w:r>
      <w:hyperlink r:id="rId22" w:history="1">
        <w:r w:rsidRPr="00BF2A14">
          <w:rPr>
            <w:rStyle w:val="Hyperlink"/>
            <w:rFonts w:ascii="Arial" w:hAnsi="Arial" w:cs="Arial"/>
            <w:sz w:val="20"/>
            <w:szCs w:val="20"/>
            <w:shd w:val="clear" w:color="auto" w:fill="FFFFFF"/>
          </w:rPr>
          <w:t>https://doi.org/10.1242/jcs.s2-79.313.91</w:t>
        </w:r>
      </w:hyperlink>
    </w:p>
    <w:p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Style w:val="Strong"/>
          <w:rFonts w:ascii="Arial" w:hAnsi="Arial" w:cs="Arial"/>
          <w:b w:val="0"/>
          <w:sz w:val="20"/>
          <w:szCs w:val="20"/>
        </w:rPr>
        <w:t>Joly, P.</w:t>
      </w:r>
      <w:r w:rsidRPr="00BF2A14">
        <w:rPr>
          <w:rFonts w:ascii="Arial" w:hAnsi="Arial" w:cs="Arial"/>
          <w:sz w:val="20"/>
          <w:szCs w:val="20"/>
        </w:rPr>
        <w:t xml:space="preserve"> (1945). </w:t>
      </w:r>
      <w:r w:rsidRPr="00BF2A14">
        <w:rPr>
          <w:rStyle w:val="Emphasis"/>
          <w:rFonts w:ascii="Arial" w:hAnsi="Arial" w:cs="Arial"/>
          <w:i w:val="0"/>
          <w:sz w:val="20"/>
          <w:szCs w:val="20"/>
        </w:rPr>
        <w:t xml:space="preserve">The ovarian function and its humoral control in </w:t>
      </w:r>
      <w:proofErr w:type="spellStart"/>
      <w:r w:rsidRPr="00BF2A14">
        <w:rPr>
          <w:rStyle w:val="Emphasis"/>
          <w:rFonts w:ascii="Arial" w:hAnsi="Arial" w:cs="Arial"/>
          <w:i w:val="0"/>
          <w:sz w:val="20"/>
          <w:szCs w:val="20"/>
        </w:rPr>
        <w:t>Dytiscidae</w:t>
      </w:r>
      <w:proofErr w:type="spellEnd"/>
      <w:r w:rsidRPr="00BF2A14">
        <w:rPr>
          <w:rFonts w:ascii="Arial" w:hAnsi="Arial" w:cs="Arial"/>
          <w:i/>
          <w:sz w:val="20"/>
          <w:szCs w:val="20"/>
        </w:rPr>
        <w:t>.</w:t>
      </w:r>
      <w:r w:rsidRPr="00BF2A14">
        <w:rPr>
          <w:rFonts w:ascii="Arial" w:hAnsi="Arial" w:cs="Arial"/>
          <w:sz w:val="20"/>
          <w:szCs w:val="20"/>
        </w:rPr>
        <w:t xml:space="preserve"> Paris: </w:t>
      </w:r>
      <w:proofErr w:type="spellStart"/>
      <w:r w:rsidRPr="00BF2A14">
        <w:rPr>
          <w:rFonts w:ascii="Arial" w:hAnsi="Arial" w:cs="Arial"/>
          <w:sz w:val="20"/>
          <w:szCs w:val="20"/>
        </w:rPr>
        <w:t>Édition</w:t>
      </w:r>
      <w:proofErr w:type="spellEnd"/>
      <w:r w:rsidRPr="00BF2A14">
        <w:rPr>
          <w:rFonts w:ascii="Arial" w:hAnsi="Arial" w:cs="Arial"/>
          <w:sz w:val="20"/>
          <w:szCs w:val="20"/>
        </w:rPr>
        <w:t xml:space="preserve"> des Archives de </w:t>
      </w:r>
      <w:proofErr w:type="spellStart"/>
      <w:r w:rsidRPr="00BF2A14">
        <w:rPr>
          <w:rFonts w:ascii="Arial" w:hAnsi="Arial" w:cs="Arial"/>
          <w:sz w:val="20"/>
          <w:szCs w:val="20"/>
        </w:rPr>
        <w:t>Zoologie</w:t>
      </w:r>
      <w:proofErr w:type="spellEnd"/>
      <w:r w:rsidRPr="00BF2A14">
        <w:rPr>
          <w:rFonts w:ascii="Arial" w:hAnsi="Arial" w:cs="Arial"/>
          <w:sz w:val="20"/>
          <w:szCs w:val="20"/>
        </w:rPr>
        <w:t xml:space="preserve"> </w:t>
      </w:r>
      <w:proofErr w:type="spellStart"/>
      <w:r w:rsidRPr="00BF2A14">
        <w:rPr>
          <w:rFonts w:ascii="Arial" w:hAnsi="Arial" w:cs="Arial"/>
          <w:sz w:val="20"/>
          <w:szCs w:val="20"/>
        </w:rPr>
        <w:t>Expérimentale</w:t>
      </w:r>
      <w:proofErr w:type="spellEnd"/>
      <w:r w:rsidRPr="00BF2A14">
        <w:rPr>
          <w:rFonts w:ascii="Arial" w:hAnsi="Arial" w:cs="Arial"/>
          <w:sz w:val="20"/>
          <w:szCs w:val="20"/>
        </w:rPr>
        <w:t xml:space="preserve">. (Reprinted from </w:t>
      </w:r>
      <w:r w:rsidRPr="00BF2A14">
        <w:rPr>
          <w:rStyle w:val="Emphasis"/>
          <w:rFonts w:ascii="Arial" w:hAnsi="Arial" w:cs="Arial"/>
          <w:sz w:val="20"/>
          <w:szCs w:val="20"/>
        </w:rPr>
        <w:t xml:space="preserve">Archives de </w:t>
      </w:r>
      <w:proofErr w:type="spellStart"/>
      <w:r w:rsidRPr="00BF2A14">
        <w:rPr>
          <w:rStyle w:val="Emphasis"/>
          <w:rFonts w:ascii="Arial" w:hAnsi="Arial" w:cs="Arial"/>
          <w:sz w:val="20"/>
          <w:szCs w:val="20"/>
        </w:rPr>
        <w:t>Zoologie</w:t>
      </w:r>
      <w:proofErr w:type="spellEnd"/>
      <w:r w:rsidRPr="00BF2A14">
        <w:rPr>
          <w:rStyle w:val="Emphasis"/>
          <w:rFonts w:ascii="Arial" w:hAnsi="Arial" w:cs="Arial"/>
          <w:sz w:val="20"/>
          <w:szCs w:val="20"/>
        </w:rPr>
        <w:t xml:space="preserve"> </w:t>
      </w:r>
      <w:proofErr w:type="spellStart"/>
      <w:r w:rsidRPr="00BF2A14">
        <w:rPr>
          <w:rStyle w:val="Emphasis"/>
          <w:rFonts w:ascii="Arial" w:hAnsi="Arial" w:cs="Arial"/>
          <w:sz w:val="20"/>
          <w:szCs w:val="20"/>
        </w:rPr>
        <w:t>Expérimentale</w:t>
      </w:r>
      <w:proofErr w:type="spellEnd"/>
      <w:r w:rsidRPr="00BF2A14">
        <w:rPr>
          <w:rStyle w:val="Emphasis"/>
          <w:rFonts w:ascii="Arial" w:hAnsi="Arial" w:cs="Arial"/>
          <w:sz w:val="20"/>
          <w:szCs w:val="20"/>
        </w:rPr>
        <w:t xml:space="preserve"> et Générale</w:t>
      </w:r>
      <w:r w:rsidRPr="00BF2A14">
        <w:rPr>
          <w:rFonts w:ascii="Arial" w:hAnsi="Arial" w:cs="Arial"/>
          <w:sz w:val="20"/>
          <w:szCs w:val="20"/>
        </w:rPr>
        <w:t>, 84, 49–164).</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Pfeiffer, I. W. (1945). Effect of the corpora </w:t>
      </w:r>
      <w:proofErr w:type="spellStart"/>
      <w:r w:rsidRPr="00BF2A14">
        <w:rPr>
          <w:rFonts w:ascii="Arial" w:hAnsi="Arial" w:cs="Arial"/>
          <w:color w:val="222222"/>
          <w:sz w:val="20"/>
          <w:szCs w:val="20"/>
          <w:shd w:val="clear" w:color="auto" w:fill="FFFFFF"/>
        </w:rPr>
        <w:t>allata</w:t>
      </w:r>
      <w:proofErr w:type="spellEnd"/>
      <w:r w:rsidRPr="00BF2A14">
        <w:rPr>
          <w:rFonts w:ascii="Arial" w:hAnsi="Arial" w:cs="Arial"/>
          <w:color w:val="222222"/>
          <w:sz w:val="20"/>
          <w:szCs w:val="20"/>
          <w:shd w:val="clear" w:color="auto" w:fill="FFFFFF"/>
        </w:rPr>
        <w:t xml:space="preserve"> on the metabolism of adult female grasshoppers. </w:t>
      </w:r>
      <w:r w:rsidRPr="00BF2A14">
        <w:rPr>
          <w:rFonts w:ascii="Arial" w:hAnsi="Arial" w:cs="Arial"/>
          <w:iCs/>
          <w:color w:val="222222"/>
          <w:sz w:val="20"/>
          <w:szCs w:val="20"/>
          <w:shd w:val="clear" w:color="auto" w:fill="FFFFFF"/>
        </w:rPr>
        <w:t>Journal of Experimental Zoology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99</w:t>
      </w:r>
      <w:r w:rsidRPr="00BF2A14">
        <w:rPr>
          <w:rFonts w:ascii="Arial" w:hAnsi="Arial" w:cs="Arial"/>
          <w:color w:val="222222"/>
          <w:sz w:val="20"/>
          <w:szCs w:val="20"/>
          <w:shd w:val="clear" w:color="auto" w:fill="FFFFFF"/>
        </w:rPr>
        <w:t xml:space="preserve">(3), 183-233. </w:t>
      </w:r>
      <w:hyperlink r:id="rId23" w:history="1">
        <w:r w:rsidRPr="00BF2A14">
          <w:rPr>
            <w:rStyle w:val="Hyperlink"/>
            <w:rFonts w:ascii="Arial" w:hAnsi="Arial" w:cs="Arial"/>
            <w:sz w:val="20"/>
            <w:szCs w:val="20"/>
            <w:shd w:val="clear" w:color="auto" w:fill="FFFFFF"/>
          </w:rPr>
          <w:t>https://doi.org/10.1002/jez.1400990304</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SCHARRER, B. (1946). The relationship between corpora </w:t>
      </w:r>
      <w:proofErr w:type="spellStart"/>
      <w:r w:rsidRPr="00BF2A14">
        <w:rPr>
          <w:rFonts w:ascii="Arial" w:hAnsi="Arial" w:cs="Arial"/>
          <w:color w:val="222222"/>
          <w:sz w:val="20"/>
          <w:szCs w:val="20"/>
          <w:shd w:val="clear" w:color="auto" w:fill="FFFFFF"/>
        </w:rPr>
        <w:t>allata</w:t>
      </w:r>
      <w:proofErr w:type="spellEnd"/>
      <w:r w:rsidRPr="00BF2A14">
        <w:rPr>
          <w:rFonts w:ascii="Arial" w:hAnsi="Arial" w:cs="Arial"/>
          <w:color w:val="222222"/>
          <w:sz w:val="20"/>
          <w:szCs w:val="20"/>
          <w:shd w:val="clear" w:color="auto" w:fill="FFFFFF"/>
        </w:rPr>
        <w:t xml:space="preserve"> and reproductive organs in adult </w:t>
      </w:r>
      <w:proofErr w:type="spellStart"/>
      <w:r w:rsidRPr="00BF2A14">
        <w:rPr>
          <w:rFonts w:ascii="Arial" w:hAnsi="Arial" w:cs="Arial"/>
          <w:i/>
          <w:color w:val="222222"/>
          <w:sz w:val="20"/>
          <w:szCs w:val="20"/>
          <w:shd w:val="clear" w:color="auto" w:fill="FFFFFF"/>
        </w:rPr>
        <w:t>Leucophaea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maderae</w:t>
      </w:r>
      <w:proofErr w:type="spellEnd"/>
      <w:r w:rsidRPr="00BF2A14">
        <w:rPr>
          <w:rFonts w:ascii="Arial" w:hAnsi="Arial" w:cs="Arial"/>
          <w:color w:val="222222"/>
          <w:sz w:val="20"/>
          <w:szCs w:val="20"/>
          <w:shd w:val="clear" w:color="auto" w:fill="FFFFFF"/>
        </w:rPr>
        <w:t xml:space="preserve"> (Orthoptera). </w:t>
      </w:r>
      <w:r w:rsidRPr="00BF2A14">
        <w:rPr>
          <w:rFonts w:ascii="Arial" w:hAnsi="Arial" w:cs="Arial"/>
          <w:iCs/>
          <w:color w:val="222222"/>
          <w:sz w:val="20"/>
          <w:szCs w:val="20"/>
          <w:shd w:val="clear" w:color="auto" w:fill="FFFFFF"/>
        </w:rPr>
        <w:t>Endocrinology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38</w:t>
      </w:r>
      <w:r w:rsidRPr="00BF2A14">
        <w:rPr>
          <w:rFonts w:ascii="Arial" w:hAnsi="Arial" w:cs="Arial"/>
          <w:color w:val="222222"/>
          <w:sz w:val="20"/>
          <w:szCs w:val="20"/>
          <w:shd w:val="clear" w:color="auto" w:fill="FFFFFF"/>
        </w:rPr>
        <w:t>(1), 46-55.</w:t>
      </w:r>
      <w:hyperlink r:id="rId24" w:history="1">
        <w:r w:rsidRPr="00BF2A14">
          <w:rPr>
            <w:rStyle w:val="Hyperlink"/>
            <w:rFonts w:ascii="Arial" w:hAnsi="Arial" w:cs="Arial"/>
            <w:sz w:val="20"/>
            <w:szCs w:val="20"/>
            <w:shd w:val="clear" w:color="auto" w:fill="FFFFFF"/>
          </w:rPr>
          <w:t>https://doi.org/10.1210/endo-38-1-46</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Thomsen, E. (1952). Functional significance of the neurosecretory brain cells and the corpus </w:t>
      </w:r>
      <w:proofErr w:type="spellStart"/>
      <w:r w:rsidRPr="00BF2A14">
        <w:rPr>
          <w:rFonts w:ascii="Arial" w:hAnsi="Arial" w:cs="Arial"/>
          <w:color w:val="222222"/>
          <w:sz w:val="20"/>
          <w:szCs w:val="20"/>
          <w:shd w:val="clear" w:color="auto" w:fill="FFFFFF"/>
        </w:rPr>
        <w:t>cardiacum</w:t>
      </w:r>
      <w:proofErr w:type="spellEnd"/>
      <w:r w:rsidRPr="00BF2A14">
        <w:rPr>
          <w:rFonts w:ascii="Arial" w:hAnsi="Arial" w:cs="Arial"/>
          <w:color w:val="222222"/>
          <w:sz w:val="20"/>
          <w:szCs w:val="20"/>
          <w:shd w:val="clear" w:color="auto" w:fill="FFFFFF"/>
        </w:rPr>
        <w:t xml:space="preserve"> in the female blow-fly, </w:t>
      </w:r>
      <w:proofErr w:type="spellStart"/>
      <w:r w:rsidRPr="00BF2A14">
        <w:rPr>
          <w:rFonts w:ascii="Arial" w:hAnsi="Arial" w:cs="Arial"/>
          <w:i/>
          <w:color w:val="222222"/>
          <w:sz w:val="20"/>
          <w:szCs w:val="20"/>
          <w:shd w:val="clear" w:color="auto" w:fill="FFFFFF"/>
        </w:rPr>
        <w:t>Calliphora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erythrocephala</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Meig</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Journal of Experimental Biology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29</w:t>
      </w:r>
      <w:r w:rsidRPr="00BF2A14">
        <w:rPr>
          <w:rFonts w:ascii="Arial" w:hAnsi="Arial" w:cs="Arial"/>
          <w:color w:val="222222"/>
          <w:sz w:val="20"/>
          <w:szCs w:val="20"/>
          <w:shd w:val="clear" w:color="auto" w:fill="FFFFFF"/>
        </w:rPr>
        <w:t xml:space="preserve">(1), 137-172. </w:t>
      </w:r>
      <w:hyperlink r:id="rId25" w:history="1">
        <w:r w:rsidRPr="00BF2A14">
          <w:rPr>
            <w:rStyle w:val="Hyperlink"/>
            <w:rFonts w:ascii="Arial" w:hAnsi="Arial" w:cs="Arial"/>
            <w:sz w:val="20"/>
            <w:szCs w:val="20"/>
            <w:shd w:val="clear" w:color="auto" w:fill="FFFFFF"/>
          </w:rPr>
          <w:t>https://doi.org/10.1242/jeb.29.1.137</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De </w:t>
      </w:r>
      <w:proofErr w:type="spellStart"/>
      <w:r w:rsidRPr="00BF2A14">
        <w:rPr>
          <w:rFonts w:ascii="Arial" w:hAnsi="Arial" w:cs="Arial"/>
          <w:color w:val="222222"/>
          <w:sz w:val="20"/>
          <w:szCs w:val="20"/>
          <w:shd w:val="clear" w:color="auto" w:fill="FFFFFF"/>
        </w:rPr>
        <w:t>Loof</w:t>
      </w:r>
      <w:proofErr w:type="spellEnd"/>
      <w:r w:rsidRPr="00BF2A14">
        <w:rPr>
          <w:rFonts w:ascii="Arial" w:hAnsi="Arial" w:cs="Arial"/>
          <w:color w:val="222222"/>
          <w:sz w:val="20"/>
          <w:szCs w:val="20"/>
          <w:shd w:val="clear" w:color="auto" w:fill="FFFFFF"/>
        </w:rPr>
        <w:t xml:space="preserve">, A., &amp; De Wilde, J. (1970). Hormonal control of synthesis of </w:t>
      </w:r>
      <w:proofErr w:type="spellStart"/>
      <w:r w:rsidRPr="00BF2A14">
        <w:rPr>
          <w:rFonts w:ascii="Arial" w:hAnsi="Arial" w:cs="Arial"/>
          <w:color w:val="222222"/>
          <w:sz w:val="20"/>
          <w:szCs w:val="20"/>
          <w:shd w:val="clear" w:color="auto" w:fill="FFFFFF"/>
        </w:rPr>
        <w:t>vitellogenic</w:t>
      </w:r>
      <w:proofErr w:type="spellEnd"/>
      <w:r w:rsidRPr="00BF2A14">
        <w:rPr>
          <w:rFonts w:ascii="Arial" w:hAnsi="Arial" w:cs="Arial"/>
          <w:color w:val="222222"/>
          <w:sz w:val="20"/>
          <w:szCs w:val="20"/>
          <w:shd w:val="clear" w:color="auto" w:fill="FFFFFF"/>
        </w:rPr>
        <w:t xml:space="preserve"> female protein in the Colorado beetle, </w:t>
      </w:r>
      <w:proofErr w:type="spellStart"/>
      <w:r w:rsidRPr="00BF2A14">
        <w:rPr>
          <w:rFonts w:ascii="Arial" w:hAnsi="Arial" w:cs="Arial"/>
          <w:i/>
          <w:color w:val="222222"/>
          <w:sz w:val="20"/>
          <w:szCs w:val="20"/>
          <w:shd w:val="clear" w:color="auto" w:fill="FFFFFF"/>
        </w:rPr>
        <w:t>Leptinotarsa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decemlineata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Journal of insect physiology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16</w:t>
      </w:r>
      <w:r w:rsidRPr="00BF2A14">
        <w:rPr>
          <w:rFonts w:ascii="Arial" w:hAnsi="Arial" w:cs="Arial"/>
          <w:color w:val="222222"/>
          <w:sz w:val="20"/>
          <w:szCs w:val="20"/>
          <w:shd w:val="clear" w:color="auto" w:fill="FFFFFF"/>
        </w:rPr>
        <w:t xml:space="preserve">(7), 1455-1466. </w:t>
      </w:r>
      <w:hyperlink r:id="rId26" w:history="1">
        <w:r w:rsidRPr="00BF2A14">
          <w:rPr>
            <w:rStyle w:val="Hyperlink"/>
            <w:rFonts w:ascii="Arial" w:hAnsi="Arial" w:cs="Arial"/>
            <w:sz w:val="20"/>
            <w:szCs w:val="20"/>
            <w:shd w:val="clear" w:color="auto" w:fill="FFFFFF"/>
          </w:rPr>
          <w:t>https://doi.org/10.1016/0022-1910(70)90144-7</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BELL, W. J., &amp; Barth, R. H. (1971). Initiation of yolk deposition by juvenile hormone. </w:t>
      </w:r>
      <w:r w:rsidRPr="00BF2A14">
        <w:rPr>
          <w:rFonts w:ascii="Arial" w:hAnsi="Arial" w:cs="Arial"/>
          <w:iCs/>
          <w:color w:val="222222"/>
          <w:sz w:val="20"/>
          <w:szCs w:val="20"/>
          <w:shd w:val="clear" w:color="auto" w:fill="FFFFFF"/>
        </w:rPr>
        <w:t>Nature New Biology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230</w:t>
      </w:r>
      <w:r w:rsidRPr="00BF2A14">
        <w:rPr>
          <w:rFonts w:ascii="Arial" w:hAnsi="Arial" w:cs="Arial"/>
          <w:color w:val="222222"/>
          <w:sz w:val="20"/>
          <w:szCs w:val="20"/>
          <w:shd w:val="clear" w:color="auto" w:fill="FFFFFF"/>
        </w:rPr>
        <w:t xml:space="preserve">(15), 220-222. </w:t>
      </w:r>
      <w:hyperlink r:id="rId27" w:history="1">
        <w:r w:rsidRPr="00BF2A14">
          <w:rPr>
            <w:rStyle w:val="Hyperlink"/>
            <w:rFonts w:ascii="Arial" w:hAnsi="Arial" w:cs="Arial"/>
            <w:sz w:val="20"/>
            <w:szCs w:val="20"/>
            <w:shd w:val="clear" w:color="auto" w:fill="FFFFFF"/>
          </w:rPr>
          <w:t>https://doi.org/10.1038/newbio230220a0</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lastRenderedPageBreak/>
        <w:t>Neog</w:t>
      </w:r>
      <w:proofErr w:type="spellEnd"/>
      <w:r w:rsidRPr="00BF2A14">
        <w:rPr>
          <w:rFonts w:ascii="Arial" w:hAnsi="Arial" w:cs="Arial"/>
          <w:color w:val="222222"/>
          <w:sz w:val="20"/>
          <w:szCs w:val="20"/>
          <w:shd w:val="clear" w:color="auto" w:fill="FFFFFF"/>
        </w:rPr>
        <w:t xml:space="preserve">, K., </w:t>
      </w:r>
      <w:proofErr w:type="spellStart"/>
      <w:r w:rsidRPr="00BF2A14">
        <w:rPr>
          <w:rFonts w:ascii="Arial" w:hAnsi="Arial" w:cs="Arial"/>
          <w:color w:val="222222"/>
          <w:sz w:val="20"/>
          <w:szCs w:val="20"/>
          <w:shd w:val="clear" w:color="auto" w:fill="FFFFFF"/>
        </w:rPr>
        <w:t>Unni</w:t>
      </w:r>
      <w:proofErr w:type="spellEnd"/>
      <w:r w:rsidRPr="00BF2A14">
        <w:rPr>
          <w:rFonts w:ascii="Arial" w:hAnsi="Arial" w:cs="Arial"/>
          <w:color w:val="222222"/>
          <w:sz w:val="20"/>
          <w:szCs w:val="20"/>
          <w:shd w:val="clear" w:color="auto" w:fill="FFFFFF"/>
        </w:rPr>
        <w:t xml:space="preserve">, B. G., Dey, S., </w:t>
      </w:r>
      <w:proofErr w:type="spellStart"/>
      <w:r w:rsidRPr="00BF2A14">
        <w:rPr>
          <w:rFonts w:ascii="Arial" w:hAnsi="Arial" w:cs="Arial"/>
          <w:color w:val="222222"/>
          <w:sz w:val="20"/>
          <w:szCs w:val="20"/>
          <w:shd w:val="clear" w:color="auto" w:fill="FFFFFF"/>
        </w:rPr>
        <w:t>Renthlei</w:t>
      </w:r>
      <w:proofErr w:type="spellEnd"/>
      <w:r w:rsidRPr="00BF2A14">
        <w:rPr>
          <w:rFonts w:ascii="Arial" w:hAnsi="Arial" w:cs="Arial"/>
          <w:color w:val="222222"/>
          <w:sz w:val="20"/>
          <w:szCs w:val="20"/>
          <w:shd w:val="clear" w:color="auto" w:fill="FFFFFF"/>
        </w:rPr>
        <w:t xml:space="preserve">, C. Z., Reddy, S. E., Dutta, P. et al. (2014). Studies on the endocrine regulation of reproduction and </w:t>
      </w:r>
      <w:proofErr w:type="spellStart"/>
      <w:r w:rsidRPr="00BF2A14">
        <w:rPr>
          <w:rFonts w:ascii="Arial" w:hAnsi="Arial" w:cs="Arial"/>
          <w:color w:val="222222"/>
          <w:sz w:val="20"/>
          <w:szCs w:val="20"/>
          <w:shd w:val="clear" w:color="auto" w:fill="FFFFFF"/>
        </w:rPr>
        <w:t>ultra structure</w:t>
      </w:r>
      <w:proofErr w:type="spellEnd"/>
      <w:r w:rsidRPr="00BF2A14">
        <w:rPr>
          <w:rFonts w:ascii="Arial" w:hAnsi="Arial" w:cs="Arial"/>
          <w:color w:val="222222"/>
          <w:sz w:val="20"/>
          <w:szCs w:val="20"/>
          <w:shd w:val="clear" w:color="auto" w:fill="FFFFFF"/>
        </w:rPr>
        <w:t xml:space="preserve"> of brain and reproductive organs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World Journal of Pharmacy and Pharmaceutical Sciences,</w:t>
      </w:r>
      <w:r w:rsidRPr="00BF2A14">
        <w:rPr>
          <w:rFonts w:ascii="Arial" w:hAnsi="Arial" w:cs="Arial"/>
          <w:iCs/>
          <w:color w:val="222222"/>
          <w:sz w:val="20"/>
          <w:szCs w:val="20"/>
          <w:shd w:val="clear" w:color="auto" w:fill="FFFFFF"/>
        </w:rPr>
        <w:t>3</w:t>
      </w:r>
      <w:r w:rsidRPr="00BF2A14">
        <w:rPr>
          <w:rFonts w:ascii="Arial" w:hAnsi="Arial" w:cs="Arial"/>
          <w:color w:val="222222"/>
          <w:sz w:val="20"/>
          <w:szCs w:val="20"/>
          <w:shd w:val="clear" w:color="auto" w:fill="FFFFFF"/>
        </w:rPr>
        <w:t>(1), 2278-4357.</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Gaaboub</w:t>
      </w:r>
      <w:proofErr w:type="spellEnd"/>
      <w:r w:rsidRPr="00BF2A14">
        <w:rPr>
          <w:rFonts w:ascii="Arial" w:hAnsi="Arial" w:cs="Arial"/>
          <w:color w:val="222222"/>
          <w:sz w:val="20"/>
          <w:szCs w:val="20"/>
          <w:shd w:val="clear" w:color="auto" w:fill="FFFFFF"/>
        </w:rPr>
        <w:t>, I. A., El-</w:t>
      </w:r>
      <w:proofErr w:type="spellStart"/>
      <w:r w:rsidRPr="00BF2A14">
        <w:rPr>
          <w:rFonts w:ascii="Arial" w:hAnsi="Arial" w:cs="Arial"/>
          <w:color w:val="222222"/>
          <w:sz w:val="20"/>
          <w:szCs w:val="20"/>
          <w:shd w:val="clear" w:color="auto" w:fill="FFFFFF"/>
        </w:rPr>
        <w:t>Helaly</w:t>
      </w:r>
      <w:proofErr w:type="spellEnd"/>
      <w:r w:rsidRPr="00BF2A14">
        <w:rPr>
          <w:rFonts w:ascii="Arial" w:hAnsi="Arial" w:cs="Arial"/>
          <w:color w:val="222222"/>
          <w:sz w:val="20"/>
          <w:szCs w:val="20"/>
          <w:shd w:val="clear" w:color="auto" w:fill="FFFFFF"/>
        </w:rPr>
        <w:t xml:space="preserve">, M. S., &amp; Mostafa, S. M. (1985). Food utilization, rate of larval growth, and fecundity of </w:t>
      </w:r>
      <w:r w:rsidRPr="00BF2A14">
        <w:rPr>
          <w:rFonts w:ascii="Arial" w:hAnsi="Arial" w:cs="Arial"/>
          <w:i/>
          <w:color w:val="222222"/>
          <w:sz w:val="20"/>
          <w:szCs w:val="20"/>
          <w:shd w:val="clear" w:color="auto" w:fill="FFFFFF"/>
        </w:rPr>
        <w:t xml:space="preserve">Bombyx </w:t>
      </w:r>
      <w:proofErr w:type="spellStart"/>
      <w:proofErr w:type="gramStart"/>
      <w:r w:rsidRPr="00BF2A14">
        <w:rPr>
          <w:rFonts w:ascii="Arial" w:hAnsi="Arial" w:cs="Arial"/>
          <w:i/>
          <w:color w:val="222222"/>
          <w:sz w:val="20"/>
          <w:szCs w:val="20"/>
          <w:shd w:val="clear" w:color="auto" w:fill="FFFFFF"/>
        </w:rPr>
        <w:t>mori</w:t>
      </w:r>
      <w:r w:rsidRPr="00BF2A14">
        <w:rPr>
          <w:rFonts w:ascii="Arial" w:hAnsi="Arial" w:cs="Arial"/>
          <w:color w:val="222222"/>
          <w:sz w:val="20"/>
          <w:szCs w:val="20"/>
          <w:shd w:val="clear" w:color="auto" w:fill="FFFFFF"/>
        </w:rPr>
        <w:t>L</w:t>
      </w:r>
      <w:proofErr w:type="spellEnd"/>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Lepidoptera: </w:t>
      </w:r>
      <w:proofErr w:type="spellStart"/>
      <w:r w:rsidRPr="00BF2A14">
        <w:rPr>
          <w:rFonts w:ascii="Arial" w:hAnsi="Arial" w:cs="Arial"/>
          <w:color w:val="222222"/>
          <w:sz w:val="20"/>
          <w:szCs w:val="20"/>
          <w:shd w:val="clear" w:color="auto" w:fill="FFFFFF"/>
        </w:rPr>
        <w:t>Bombycidae</w:t>
      </w:r>
      <w:proofErr w:type="spellEnd"/>
      <w:r w:rsidRPr="00BF2A14">
        <w:rPr>
          <w:rFonts w:ascii="Arial" w:hAnsi="Arial" w:cs="Arial"/>
          <w:color w:val="222222"/>
          <w:sz w:val="20"/>
          <w:szCs w:val="20"/>
          <w:shd w:val="clear" w:color="auto" w:fill="FFFFFF"/>
        </w:rPr>
        <w:t xml:space="preserve">) fed mulberry leaves treated with </w:t>
      </w:r>
      <w:proofErr w:type="spellStart"/>
      <w:r w:rsidRPr="00BF2A14">
        <w:rPr>
          <w:rFonts w:ascii="Arial" w:hAnsi="Arial" w:cs="Arial"/>
          <w:color w:val="222222"/>
          <w:sz w:val="20"/>
          <w:szCs w:val="20"/>
          <w:shd w:val="clear" w:color="auto" w:fill="FFFFFF"/>
        </w:rPr>
        <w:t>methoprene</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triprene</w:t>
      </w:r>
      <w:proofErr w:type="spellEnd"/>
      <w:r w:rsidRPr="00BF2A14">
        <w:rPr>
          <w:rFonts w:ascii="Arial" w:hAnsi="Arial" w:cs="Arial"/>
          <w:color w:val="222222"/>
          <w:sz w:val="20"/>
          <w:szCs w:val="20"/>
          <w:shd w:val="clear" w:color="auto" w:fill="FFFFFF"/>
        </w:rPr>
        <w:t>, and diflubenzuron. </w:t>
      </w:r>
      <w:r w:rsidRPr="00BF2A14">
        <w:rPr>
          <w:rFonts w:ascii="Arial" w:hAnsi="Arial" w:cs="Arial"/>
          <w:iCs/>
          <w:color w:val="222222"/>
          <w:sz w:val="20"/>
          <w:szCs w:val="20"/>
          <w:shd w:val="clear" w:color="auto" w:fill="FFFFFF"/>
        </w:rPr>
        <w:t>Journal of economic entomology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78</w:t>
      </w:r>
      <w:r w:rsidRPr="00BF2A14">
        <w:rPr>
          <w:rFonts w:ascii="Arial" w:hAnsi="Arial" w:cs="Arial"/>
          <w:color w:val="222222"/>
          <w:sz w:val="20"/>
          <w:szCs w:val="20"/>
          <w:shd w:val="clear" w:color="auto" w:fill="FFFFFF"/>
        </w:rPr>
        <w:t>(6), 1182-1186.</w:t>
      </w:r>
      <w:hyperlink r:id="rId28" w:history="1">
        <w:r w:rsidRPr="00BF2A14">
          <w:rPr>
            <w:rStyle w:val="Hyperlink"/>
            <w:rFonts w:ascii="Arial" w:hAnsi="Arial" w:cs="Arial"/>
            <w:sz w:val="20"/>
            <w:szCs w:val="20"/>
            <w:shd w:val="clear" w:color="auto" w:fill="FFFFFF"/>
          </w:rPr>
          <w:t>https://doi.org/10.1093/jee/78.6.1182</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Ye </w:t>
      </w:r>
      <w:proofErr w:type="spellStart"/>
      <w:r w:rsidRPr="00BF2A14">
        <w:rPr>
          <w:rFonts w:ascii="Arial" w:hAnsi="Arial" w:cs="Arial"/>
          <w:color w:val="222222"/>
          <w:sz w:val="20"/>
          <w:szCs w:val="20"/>
          <w:shd w:val="clear" w:color="auto" w:fill="FFFFFF"/>
        </w:rPr>
        <w:t>GongYin</w:t>
      </w:r>
      <w:proofErr w:type="spellEnd"/>
      <w:r w:rsidRPr="00BF2A14">
        <w:rPr>
          <w:rFonts w:ascii="Arial" w:hAnsi="Arial" w:cs="Arial"/>
          <w:color w:val="222222"/>
          <w:sz w:val="20"/>
          <w:szCs w:val="20"/>
          <w:shd w:val="clear" w:color="auto" w:fill="FFFFFF"/>
        </w:rPr>
        <w:t xml:space="preserve">, Y. G., Hu Cui, H. C., &amp; Gong He, G. H. (1999). Effects of juvenile hormone and </w:t>
      </w:r>
      <w:proofErr w:type="spellStart"/>
      <w:r w:rsidRPr="00BF2A14">
        <w:rPr>
          <w:rFonts w:ascii="Arial" w:hAnsi="Arial" w:cs="Arial"/>
          <w:color w:val="222222"/>
          <w:sz w:val="20"/>
          <w:szCs w:val="20"/>
          <w:shd w:val="clear" w:color="auto" w:fill="FFFFFF"/>
        </w:rPr>
        <w:t>ecdysteroid</w:t>
      </w:r>
      <w:proofErr w:type="spellEnd"/>
      <w:r w:rsidRPr="00BF2A14">
        <w:rPr>
          <w:rFonts w:ascii="Arial" w:hAnsi="Arial" w:cs="Arial"/>
          <w:color w:val="222222"/>
          <w:sz w:val="20"/>
          <w:szCs w:val="20"/>
          <w:shd w:val="clear" w:color="auto" w:fill="FFFFFF"/>
        </w:rPr>
        <w:t xml:space="preserve"> on ovarian development of the Japanese oak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yamamai</w:t>
      </w:r>
      <w:proofErr w:type="spellEnd"/>
      <w:r w:rsidRPr="00BF2A14">
        <w:rPr>
          <w:rFonts w:ascii="Arial" w:hAnsi="Arial" w:cs="Arial"/>
          <w:color w:val="222222"/>
          <w:sz w:val="20"/>
          <w:szCs w:val="20"/>
          <w:shd w:val="clear" w:color="auto" w:fill="FFFFFF"/>
        </w:rPr>
        <w:t>. Journal of Zhejiang Agricultural University, 25(3), 276-280.</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Changamma</w:t>
      </w:r>
      <w:proofErr w:type="spellEnd"/>
      <w:r w:rsidRPr="00BF2A14">
        <w:rPr>
          <w:rFonts w:ascii="Arial" w:hAnsi="Arial" w:cs="Arial"/>
          <w:color w:val="222222"/>
          <w:sz w:val="20"/>
          <w:szCs w:val="20"/>
          <w:shd w:val="clear" w:color="auto" w:fill="FFFFFF"/>
        </w:rPr>
        <w:t xml:space="preserve">, C., Rajasekhar, R., &amp; </w:t>
      </w:r>
      <w:proofErr w:type="spellStart"/>
      <w:r w:rsidRPr="00BF2A14">
        <w:rPr>
          <w:rFonts w:ascii="Arial" w:hAnsi="Arial" w:cs="Arial"/>
          <w:color w:val="222222"/>
          <w:sz w:val="20"/>
          <w:szCs w:val="20"/>
          <w:shd w:val="clear" w:color="auto" w:fill="FFFFFF"/>
        </w:rPr>
        <w:t>Govindappa</w:t>
      </w:r>
      <w:proofErr w:type="spellEnd"/>
      <w:r w:rsidRPr="00BF2A14">
        <w:rPr>
          <w:rFonts w:ascii="Arial" w:hAnsi="Arial" w:cs="Arial"/>
          <w:color w:val="222222"/>
          <w:sz w:val="20"/>
          <w:szCs w:val="20"/>
          <w:shd w:val="clear" w:color="auto" w:fill="FFFFFF"/>
        </w:rPr>
        <w:t xml:space="preserve">, S. (2000). Influence of </w:t>
      </w:r>
      <w:proofErr w:type="spellStart"/>
      <w:r w:rsidRPr="00BF2A14">
        <w:rPr>
          <w:rFonts w:ascii="Arial" w:hAnsi="Arial" w:cs="Arial"/>
          <w:color w:val="222222"/>
          <w:sz w:val="20"/>
          <w:szCs w:val="20"/>
          <w:shd w:val="clear" w:color="auto" w:fill="FFFFFF"/>
        </w:rPr>
        <w:t>methoprene</w:t>
      </w:r>
      <w:proofErr w:type="spellEnd"/>
      <w:r w:rsidRPr="00BF2A14">
        <w:rPr>
          <w:rFonts w:ascii="Arial" w:hAnsi="Arial" w:cs="Arial"/>
          <w:color w:val="222222"/>
          <w:sz w:val="20"/>
          <w:szCs w:val="20"/>
          <w:shd w:val="clear" w:color="auto" w:fill="FFFFFF"/>
        </w:rPr>
        <w:t xml:space="preserve"> on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(L.). Indian Journal of Sericulture, 39(2), 135-138.</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Miranda, J. E., </w:t>
      </w:r>
      <w:proofErr w:type="spellStart"/>
      <w:r w:rsidRPr="00BF2A14">
        <w:rPr>
          <w:rFonts w:ascii="Arial" w:hAnsi="Arial" w:cs="Arial"/>
          <w:color w:val="222222"/>
          <w:sz w:val="20"/>
          <w:szCs w:val="20"/>
          <w:shd w:val="clear" w:color="auto" w:fill="FFFFFF"/>
        </w:rPr>
        <w:t>Bortoli</w:t>
      </w:r>
      <w:proofErr w:type="spellEnd"/>
      <w:r w:rsidRPr="00BF2A14">
        <w:rPr>
          <w:rFonts w:ascii="Arial" w:hAnsi="Arial" w:cs="Arial"/>
          <w:color w:val="222222"/>
          <w:sz w:val="20"/>
          <w:szCs w:val="20"/>
          <w:shd w:val="clear" w:color="auto" w:fill="FFFFFF"/>
        </w:rPr>
        <w:t xml:space="preserve">, S. A. D., &amp; Takahashi, R. (2002). Development and silk production by silkworm larvae after topical application of </w:t>
      </w:r>
      <w:proofErr w:type="spellStart"/>
      <w:r w:rsidRPr="00BF2A14">
        <w:rPr>
          <w:rFonts w:ascii="Arial" w:hAnsi="Arial" w:cs="Arial"/>
          <w:color w:val="222222"/>
          <w:sz w:val="20"/>
          <w:szCs w:val="20"/>
          <w:shd w:val="clear" w:color="auto" w:fill="FFFFFF"/>
        </w:rPr>
        <w:t>methoprene</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Scientia Agricola</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59</w:t>
      </w:r>
      <w:r w:rsidRPr="00BF2A14">
        <w:rPr>
          <w:rFonts w:ascii="Arial" w:hAnsi="Arial" w:cs="Arial"/>
          <w:color w:val="222222"/>
          <w:sz w:val="20"/>
          <w:szCs w:val="20"/>
          <w:shd w:val="clear" w:color="auto" w:fill="FFFFFF"/>
        </w:rPr>
        <w:t>, 585-588.</w:t>
      </w:r>
      <w:hyperlink r:id="rId29" w:history="1">
        <w:r w:rsidRPr="00BF2A14">
          <w:rPr>
            <w:rStyle w:val="Hyperlink"/>
            <w:rFonts w:ascii="Arial" w:hAnsi="Arial" w:cs="Arial"/>
            <w:sz w:val="20"/>
            <w:szCs w:val="20"/>
            <w:shd w:val="clear" w:color="auto" w:fill="FFFFFF"/>
          </w:rPr>
          <w:t>https://doi.org/10.1590/S0103-90162002000300026</w:t>
        </w:r>
      </w:hyperlink>
    </w:p>
    <w:p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color w:val="222222"/>
          <w:sz w:val="20"/>
          <w:szCs w:val="20"/>
          <w:shd w:val="clear" w:color="auto" w:fill="FFFFFF"/>
        </w:rPr>
        <w:t>Neog</w:t>
      </w:r>
      <w:proofErr w:type="spellEnd"/>
      <w:r w:rsidRPr="00BF2A14">
        <w:rPr>
          <w:rFonts w:ascii="Arial" w:hAnsi="Arial" w:cs="Arial"/>
          <w:color w:val="222222"/>
          <w:sz w:val="20"/>
          <w:szCs w:val="20"/>
          <w:shd w:val="clear" w:color="auto" w:fill="FFFFFF"/>
        </w:rPr>
        <w:t xml:space="preserve">, K., Dutta, P., Choudhury, B., &amp; Singh, B. K. (2017). Field efficacy of </w:t>
      </w:r>
      <w:proofErr w:type="spellStart"/>
      <w:r w:rsidRPr="00BF2A14">
        <w:rPr>
          <w:rFonts w:ascii="Arial" w:hAnsi="Arial" w:cs="Arial"/>
          <w:color w:val="222222"/>
          <w:sz w:val="20"/>
          <w:szCs w:val="20"/>
          <w:shd w:val="clear" w:color="auto" w:fill="FFFFFF"/>
        </w:rPr>
        <w:t>methoprene</w:t>
      </w:r>
      <w:proofErr w:type="spellEnd"/>
      <w:r w:rsidRPr="00BF2A14">
        <w:rPr>
          <w:rFonts w:ascii="Arial" w:hAnsi="Arial" w:cs="Arial"/>
          <w:color w:val="222222"/>
          <w:sz w:val="20"/>
          <w:szCs w:val="20"/>
          <w:shd w:val="clear" w:color="auto" w:fill="FFFFFF"/>
        </w:rPr>
        <w:t xml:space="preserve">, a juvenile hormone analogue, on growth, cocoon characters and fecundity of the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(Lepidoptera: </w:t>
      </w:r>
      <w:proofErr w:type="spellStart"/>
      <w:r w:rsidRPr="00BF2A14">
        <w:rPr>
          <w:rFonts w:ascii="Arial" w:hAnsi="Arial" w:cs="Arial"/>
          <w:color w:val="222222"/>
          <w:sz w:val="20"/>
          <w:szCs w:val="20"/>
          <w:shd w:val="clear" w:color="auto" w:fill="FFFFFF"/>
        </w:rPr>
        <w:t>Saturniidae</w:t>
      </w:r>
      <w:proofErr w:type="spellEnd"/>
      <w:r w:rsidRPr="00BF2A14">
        <w:rPr>
          <w:rFonts w:ascii="Arial" w:hAnsi="Arial" w:cs="Arial"/>
          <w:color w:val="222222"/>
          <w:sz w:val="20"/>
          <w:szCs w:val="20"/>
          <w:shd w:val="clear" w:color="auto" w:fill="FFFFFF"/>
        </w:rPr>
        <w:t xml:space="preserve">). </w:t>
      </w:r>
      <w:r w:rsidRPr="00BF2A14">
        <w:rPr>
          <w:rFonts w:ascii="Arial" w:hAnsi="Arial" w:cs="Arial"/>
          <w:sz w:val="20"/>
          <w:szCs w:val="20"/>
        </w:rPr>
        <w:t xml:space="preserve">International Journal of Agricultural Policy and Research, 5(10), 145-156. </w:t>
      </w:r>
      <w:hyperlink r:id="rId30" w:history="1">
        <w:r w:rsidRPr="00BF2A14">
          <w:rPr>
            <w:rStyle w:val="Hyperlink"/>
            <w:rFonts w:ascii="Arial" w:hAnsi="Arial" w:cs="Arial"/>
            <w:sz w:val="20"/>
            <w:szCs w:val="20"/>
          </w:rPr>
          <w:t>https://doi.org/10.15739/IJAPR.17.017</w:t>
        </w:r>
      </w:hyperlink>
    </w:p>
    <w:p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color w:val="222222"/>
          <w:sz w:val="20"/>
          <w:szCs w:val="20"/>
          <w:shd w:val="clear" w:color="auto" w:fill="FFFFFF"/>
        </w:rPr>
        <w:t>Odum</w:t>
      </w:r>
      <w:proofErr w:type="spellEnd"/>
      <w:r w:rsidRPr="00BF2A14">
        <w:rPr>
          <w:rFonts w:ascii="Arial" w:hAnsi="Arial" w:cs="Arial"/>
          <w:color w:val="222222"/>
          <w:sz w:val="20"/>
          <w:szCs w:val="20"/>
          <w:shd w:val="clear" w:color="auto" w:fill="FFFFFF"/>
        </w:rPr>
        <w:t>, E. P. (1983). Basic Ecology, Holt-Saunders International Editions. </w:t>
      </w:r>
      <w:r w:rsidRPr="00BF2A14">
        <w:rPr>
          <w:rFonts w:ascii="Arial" w:hAnsi="Arial" w:cs="Arial"/>
          <w:sz w:val="20"/>
          <w:szCs w:val="20"/>
        </w:rPr>
        <w:t xml:space="preserve"> Tokyo Japan, p.244.</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Ouedraogo</w:t>
      </w:r>
      <w:proofErr w:type="spellEnd"/>
      <w:r w:rsidRPr="00BF2A14">
        <w:rPr>
          <w:rFonts w:ascii="Arial" w:hAnsi="Arial" w:cs="Arial"/>
          <w:color w:val="222222"/>
          <w:sz w:val="20"/>
          <w:szCs w:val="20"/>
          <w:shd w:val="clear" w:color="auto" w:fill="FFFFFF"/>
        </w:rPr>
        <w:t xml:space="preserve">, P. A., </w:t>
      </w:r>
      <w:proofErr w:type="spellStart"/>
      <w:r w:rsidRPr="00BF2A14">
        <w:rPr>
          <w:rFonts w:ascii="Arial" w:hAnsi="Arial" w:cs="Arial"/>
          <w:color w:val="222222"/>
          <w:sz w:val="20"/>
          <w:szCs w:val="20"/>
          <w:shd w:val="clear" w:color="auto" w:fill="FFFFFF"/>
        </w:rPr>
        <w:t>Sou</w:t>
      </w:r>
      <w:proofErr w:type="spellEnd"/>
      <w:r w:rsidRPr="00BF2A14">
        <w:rPr>
          <w:rFonts w:ascii="Arial" w:hAnsi="Arial" w:cs="Arial"/>
          <w:color w:val="222222"/>
          <w:sz w:val="20"/>
          <w:szCs w:val="20"/>
          <w:shd w:val="clear" w:color="auto" w:fill="FFFFFF"/>
        </w:rPr>
        <w:t xml:space="preserve">, S., </w:t>
      </w:r>
      <w:proofErr w:type="spellStart"/>
      <w:r w:rsidRPr="00BF2A14">
        <w:rPr>
          <w:rFonts w:ascii="Arial" w:hAnsi="Arial" w:cs="Arial"/>
          <w:color w:val="222222"/>
          <w:sz w:val="20"/>
          <w:szCs w:val="20"/>
          <w:shd w:val="clear" w:color="auto" w:fill="FFFFFF"/>
        </w:rPr>
        <w:t>Sanon</w:t>
      </w:r>
      <w:proofErr w:type="spellEnd"/>
      <w:r w:rsidRPr="00BF2A14">
        <w:rPr>
          <w:rFonts w:ascii="Arial" w:hAnsi="Arial" w:cs="Arial"/>
          <w:color w:val="222222"/>
          <w:sz w:val="20"/>
          <w:szCs w:val="20"/>
          <w:shd w:val="clear" w:color="auto" w:fill="FFFFFF"/>
        </w:rPr>
        <w:t xml:space="preserve">, A., Monge, J. P., </w:t>
      </w:r>
      <w:proofErr w:type="spellStart"/>
      <w:r w:rsidRPr="00BF2A14">
        <w:rPr>
          <w:rFonts w:ascii="Arial" w:hAnsi="Arial" w:cs="Arial"/>
          <w:color w:val="222222"/>
          <w:sz w:val="20"/>
          <w:szCs w:val="20"/>
          <w:shd w:val="clear" w:color="auto" w:fill="FFFFFF"/>
        </w:rPr>
        <w:t>Huignard</w:t>
      </w:r>
      <w:proofErr w:type="spellEnd"/>
      <w:r w:rsidRPr="00BF2A14">
        <w:rPr>
          <w:rFonts w:ascii="Arial" w:hAnsi="Arial" w:cs="Arial"/>
          <w:color w:val="222222"/>
          <w:sz w:val="20"/>
          <w:szCs w:val="20"/>
          <w:shd w:val="clear" w:color="auto" w:fill="FFFFFF"/>
        </w:rPr>
        <w:t xml:space="preserve">, J., Tran, B. E., &amp; </w:t>
      </w:r>
      <w:proofErr w:type="spellStart"/>
      <w:r w:rsidRPr="00BF2A14">
        <w:rPr>
          <w:rFonts w:ascii="Arial" w:hAnsi="Arial" w:cs="Arial"/>
          <w:color w:val="222222"/>
          <w:sz w:val="20"/>
          <w:szCs w:val="20"/>
          <w:shd w:val="clear" w:color="auto" w:fill="FFFFFF"/>
        </w:rPr>
        <w:t>Credland</w:t>
      </w:r>
      <w:proofErr w:type="spellEnd"/>
      <w:r w:rsidRPr="00BF2A14">
        <w:rPr>
          <w:rFonts w:ascii="Arial" w:hAnsi="Arial" w:cs="Arial"/>
          <w:color w:val="222222"/>
          <w:sz w:val="20"/>
          <w:szCs w:val="20"/>
          <w:shd w:val="clear" w:color="auto" w:fill="FFFFFF"/>
        </w:rPr>
        <w:t xml:space="preserve">, P. F. (1996). Influence of temperature and humidity on populations of </w:t>
      </w:r>
      <w:proofErr w:type="spellStart"/>
      <w:r w:rsidRPr="00BF2A14">
        <w:rPr>
          <w:rFonts w:ascii="Arial" w:hAnsi="Arial" w:cs="Arial"/>
          <w:i/>
          <w:color w:val="222222"/>
          <w:sz w:val="20"/>
          <w:szCs w:val="20"/>
          <w:shd w:val="clear" w:color="auto" w:fill="FFFFFF"/>
        </w:rPr>
        <w:t>Callosobruchus</w:t>
      </w:r>
      <w:proofErr w:type="spellEnd"/>
      <w:r w:rsidRPr="00BF2A14">
        <w:rPr>
          <w:rFonts w:ascii="Arial" w:hAnsi="Arial" w:cs="Arial"/>
          <w:i/>
          <w:color w:val="222222"/>
          <w:sz w:val="20"/>
          <w:szCs w:val="20"/>
          <w:shd w:val="clear" w:color="auto" w:fill="FFFFFF"/>
        </w:rPr>
        <w:t xml:space="preserve"> </w:t>
      </w:r>
      <w:proofErr w:type="gramStart"/>
      <w:r w:rsidRPr="00BF2A14">
        <w:rPr>
          <w:rFonts w:ascii="Arial" w:hAnsi="Arial" w:cs="Arial"/>
          <w:i/>
          <w:color w:val="222222"/>
          <w:sz w:val="20"/>
          <w:szCs w:val="20"/>
          <w:shd w:val="clear" w:color="auto" w:fill="FFFFFF"/>
        </w:rPr>
        <w:t>maculatus</w:t>
      </w:r>
      <w:r w:rsidRPr="00BF2A14">
        <w:rPr>
          <w:rFonts w:ascii="Arial" w:hAnsi="Arial" w:cs="Arial"/>
          <w:color w:val="222222"/>
          <w:sz w:val="20"/>
          <w:szCs w:val="20"/>
          <w:shd w:val="clear" w:color="auto" w:fill="FFFFFF"/>
        </w:rPr>
        <w:t>(</w:t>
      </w:r>
      <w:proofErr w:type="gramEnd"/>
      <w:r w:rsidRPr="00BF2A14">
        <w:rPr>
          <w:rFonts w:ascii="Arial" w:hAnsi="Arial" w:cs="Arial"/>
          <w:color w:val="222222"/>
          <w:sz w:val="20"/>
          <w:szCs w:val="20"/>
          <w:shd w:val="clear" w:color="auto" w:fill="FFFFFF"/>
        </w:rPr>
        <w:t xml:space="preserve">Coleoptera: </w:t>
      </w:r>
      <w:proofErr w:type="spellStart"/>
      <w:r w:rsidRPr="00BF2A14">
        <w:rPr>
          <w:rFonts w:ascii="Arial" w:hAnsi="Arial" w:cs="Arial"/>
          <w:color w:val="222222"/>
          <w:sz w:val="20"/>
          <w:szCs w:val="20"/>
          <w:shd w:val="clear" w:color="auto" w:fill="FFFFFF"/>
        </w:rPr>
        <w:t>Bruchidae</w:t>
      </w:r>
      <w:proofErr w:type="spellEnd"/>
      <w:r w:rsidRPr="00BF2A14">
        <w:rPr>
          <w:rFonts w:ascii="Arial" w:hAnsi="Arial" w:cs="Arial"/>
          <w:color w:val="222222"/>
          <w:sz w:val="20"/>
          <w:szCs w:val="20"/>
          <w:shd w:val="clear" w:color="auto" w:fill="FFFFFF"/>
        </w:rPr>
        <w:t xml:space="preserve">) and its parasitoid </w:t>
      </w:r>
      <w:proofErr w:type="spellStart"/>
      <w:r w:rsidRPr="00BF2A14">
        <w:rPr>
          <w:rFonts w:ascii="Arial" w:hAnsi="Arial" w:cs="Arial"/>
          <w:i/>
          <w:color w:val="222222"/>
          <w:sz w:val="20"/>
          <w:szCs w:val="20"/>
          <w:shd w:val="clear" w:color="auto" w:fill="FFFFFF"/>
        </w:rPr>
        <w:t>Dinarmus</w:t>
      </w:r>
      <w:proofErr w:type="spellEnd"/>
      <w:r w:rsidRPr="00BF2A14">
        <w:rPr>
          <w:rFonts w:ascii="Arial" w:hAnsi="Arial" w:cs="Arial"/>
          <w:i/>
          <w:color w:val="222222"/>
          <w:sz w:val="20"/>
          <w:szCs w:val="20"/>
          <w:shd w:val="clear" w:color="auto" w:fill="FFFFFF"/>
        </w:rPr>
        <w:t xml:space="preserve"> basalis</w:t>
      </w:r>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Pteromalidae</w:t>
      </w:r>
      <w:proofErr w:type="spellEnd"/>
      <w:r w:rsidRPr="00BF2A14">
        <w:rPr>
          <w:rFonts w:ascii="Arial" w:hAnsi="Arial" w:cs="Arial"/>
          <w:color w:val="222222"/>
          <w:sz w:val="20"/>
          <w:szCs w:val="20"/>
          <w:shd w:val="clear" w:color="auto" w:fill="FFFFFF"/>
        </w:rPr>
        <w:t>) in two climatic zones of Burkina Faso. </w:t>
      </w:r>
      <w:r w:rsidRPr="00BF2A14">
        <w:rPr>
          <w:rFonts w:ascii="Arial" w:hAnsi="Arial" w:cs="Arial"/>
          <w:iCs/>
          <w:color w:val="222222"/>
          <w:sz w:val="20"/>
          <w:szCs w:val="20"/>
          <w:shd w:val="clear" w:color="auto" w:fill="FFFFFF"/>
        </w:rPr>
        <w:t>Bulletin of entomological research</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86</w:t>
      </w:r>
      <w:r w:rsidRPr="00BF2A14">
        <w:rPr>
          <w:rFonts w:ascii="Arial" w:hAnsi="Arial" w:cs="Arial"/>
          <w:color w:val="222222"/>
          <w:sz w:val="20"/>
          <w:szCs w:val="20"/>
          <w:shd w:val="clear" w:color="auto" w:fill="FFFFFF"/>
        </w:rPr>
        <w:t>(6), 695-702.</w:t>
      </w:r>
      <w:hyperlink r:id="rId31" w:history="1">
        <w:r w:rsidRPr="00BF2A14">
          <w:rPr>
            <w:rStyle w:val="Hyperlink"/>
            <w:rFonts w:ascii="Arial" w:hAnsi="Arial" w:cs="Arial"/>
            <w:sz w:val="20"/>
            <w:szCs w:val="20"/>
            <w:shd w:val="clear" w:color="auto" w:fill="FFFFFF"/>
          </w:rPr>
          <w:t>https://doi.org/10.1017/S0007485300039213</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Thangavelu</w:t>
      </w:r>
      <w:proofErr w:type="spellEnd"/>
      <w:r w:rsidRPr="00BF2A14">
        <w:rPr>
          <w:rFonts w:ascii="Arial" w:hAnsi="Arial" w:cs="Arial"/>
          <w:color w:val="222222"/>
          <w:sz w:val="20"/>
          <w:szCs w:val="20"/>
          <w:shd w:val="clear" w:color="auto" w:fill="FFFFFF"/>
        </w:rPr>
        <w:t xml:space="preserve">, A., Chakraborty, A. K., &amp; </w:t>
      </w:r>
      <w:proofErr w:type="spellStart"/>
      <w:r w:rsidRPr="00BF2A14">
        <w:rPr>
          <w:rFonts w:ascii="Arial" w:hAnsi="Arial" w:cs="Arial"/>
          <w:color w:val="222222"/>
          <w:sz w:val="20"/>
          <w:szCs w:val="20"/>
          <w:shd w:val="clear" w:color="auto" w:fill="FFFFFF"/>
        </w:rPr>
        <w:t>Bhagowati</w:t>
      </w:r>
      <w:proofErr w:type="spellEnd"/>
      <w:r w:rsidRPr="00BF2A14">
        <w:rPr>
          <w:rFonts w:ascii="Arial" w:hAnsi="Arial" w:cs="Arial"/>
          <w:color w:val="222222"/>
          <w:sz w:val="20"/>
          <w:szCs w:val="20"/>
          <w:shd w:val="clear" w:color="auto" w:fill="FFFFFF"/>
        </w:rPr>
        <w:t>, A. K. (1988). Handbook of Sericulture. </w:t>
      </w:r>
      <w:r w:rsidRPr="00BF2A14">
        <w:rPr>
          <w:rFonts w:ascii="Arial" w:hAnsi="Arial" w:cs="Arial"/>
          <w:i/>
          <w:iCs/>
          <w:color w:val="222222"/>
          <w:sz w:val="20"/>
          <w:szCs w:val="20"/>
          <w:shd w:val="clear" w:color="auto" w:fill="FFFFFF"/>
        </w:rPr>
        <w:t>Member Secretary, Central Silk Board, United Mansion</w:t>
      </w:r>
      <w:r w:rsidRPr="00BF2A14">
        <w:rPr>
          <w:rFonts w:ascii="Arial" w:hAnsi="Arial" w:cs="Arial"/>
          <w:color w:val="222222"/>
          <w:sz w:val="20"/>
          <w:szCs w:val="20"/>
          <w:shd w:val="clear" w:color="auto" w:fill="FFFFFF"/>
        </w:rPr>
        <w:t>, </w:t>
      </w:r>
      <w:r w:rsidRPr="00BF2A14">
        <w:rPr>
          <w:rFonts w:ascii="Arial" w:hAnsi="Arial" w:cs="Arial"/>
          <w:i/>
          <w:iCs/>
          <w:color w:val="222222"/>
          <w:sz w:val="20"/>
          <w:szCs w:val="20"/>
          <w:shd w:val="clear" w:color="auto" w:fill="FFFFFF"/>
        </w:rPr>
        <w:t>39</w:t>
      </w:r>
      <w:r w:rsidRPr="00BF2A14">
        <w:rPr>
          <w:rFonts w:ascii="Arial" w:hAnsi="Arial" w:cs="Arial"/>
          <w:color w:val="222222"/>
          <w:sz w:val="20"/>
          <w:szCs w:val="20"/>
          <w:shd w:val="clear" w:color="auto" w:fill="FFFFFF"/>
        </w:rPr>
        <w:t>, 58.</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Sarkar, B. N., &amp; </w:t>
      </w:r>
      <w:proofErr w:type="spellStart"/>
      <w:r w:rsidRPr="00BF2A14">
        <w:rPr>
          <w:rFonts w:ascii="Arial" w:hAnsi="Arial" w:cs="Arial"/>
          <w:color w:val="222222"/>
          <w:sz w:val="20"/>
          <w:szCs w:val="20"/>
          <w:shd w:val="clear" w:color="auto" w:fill="FFFFFF"/>
        </w:rPr>
        <w:t>Sarmah</w:t>
      </w:r>
      <w:proofErr w:type="spellEnd"/>
      <w:r w:rsidRPr="00BF2A14">
        <w:rPr>
          <w:rFonts w:ascii="Arial" w:hAnsi="Arial" w:cs="Arial"/>
          <w:color w:val="222222"/>
          <w:sz w:val="20"/>
          <w:szCs w:val="20"/>
          <w:shd w:val="clear" w:color="auto" w:fill="FFFFFF"/>
        </w:rPr>
        <w:t xml:space="preserve">, M. C. (2010). Seasonal variation of </w:t>
      </w:r>
      <w:proofErr w:type="spellStart"/>
      <w:r w:rsidRPr="00BF2A14">
        <w:rPr>
          <w:rFonts w:ascii="Arial" w:hAnsi="Arial" w:cs="Arial"/>
          <w:color w:val="222222"/>
          <w:sz w:val="20"/>
          <w:szCs w:val="20"/>
          <w:shd w:val="clear" w:color="auto" w:fill="FFFFFF"/>
        </w:rPr>
        <w:t>grainage</w:t>
      </w:r>
      <w:proofErr w:type="spellEnd"/>
      <w:r w:rsidRPr="00BF2A14">
        <w:rPr>
          <w:rFonts w:ascii="Arial" w:hAnsi="Arial" w:cs="Arial"/>
          <w:color w:val="222222"/>
          <w:sz w:val="20"/>
          <w:szCs w:val="20"/>
          <w:shd w:val="clear" w:color="auto" w:fill="FFFFFF"/>
        </w:rPr>
        <w:t xml:space="preserve"> characters in seed production of </w:t>
      </w:r>
      <w:proofErr w:type="spellStart"/>
      <w:r w:rsidRPr="00BF2A14">
        <w:rPr>
          <w:rFonts w:ascii="Arial" w:hAnsi="Arial" w:cs="Arial"/>
          <w:color w:val="222222"/>
          <w:sz w:val="20"/>
          <w:szCs w:val="20"/>
          <w:shd w:val="clear" w:color="auto" w:fill="FFFFFF"/>
        </w:rPr>
        <w:t>eri</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Samia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ricini</w:t>
      </w:r>
      <w:proofErr w:type="spellEnd"/>
      <w:r w:rsidRPr="00BF2A14">
        <w:rPr>
          <w:rFonts w:ascii="Arial" w:hAnsi="Arial" w:cs="Arial"/>
          <w:i/>
          <w:color w:val="222222"/>
          <w:sz w:val="20"/>
          <w:szCs w:val="20"/>
          <w:shd w:val="clear" w:color="auto" w:fill="FFFFFF"/>
        </w:rPr>
        <w:t xml:space="preserve"> </w:t>
      </w:r>
      <w:r w:rsidRPr="00BF2A14">
        <w:rPr>
          <w:rFonts w:ascii="Arial" w:hAnsi="Arial" w:cs="Arial"/>
          <w:color w:val="222222"/>
          <w:sz w:val="20"/>
          <w:szCs w:val="20"/>
          <w:shd w:val="clear" w:color="auto" w:fill="FFFFFF"/>
        </w:rPr>
        <w:t>(Donovan). Indian Journal of Sericulture, 49(1), 88-91.</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Sharma, P., &amp; </w:t>
      </w:r>
      <w:proofErr w:type="spellStart"/>
      <w:r w:rsidRPr="00BF2A14">
        <w:rPr>
          <w:rFonts w:ascii="Arial" w:hAnsi="Arial" w:cs="Arial"/>
          <w:color w:val="222222"/>
          <w:sz w:val="20"/>
          <w:szCs w:val="20"/>
          <w:shd w:val="clear" w:color="auto" w:fill="FFFFFF"/>
        </w:rPr>
        <w:t>Kalita</w:t>
      </w:r>
      <w:proofErr w:type="spellEnd"/>
      <w:r w:rsidRPr="00BF2A14">
        <w:rPr>
          <w:rFonts w:ascii="Arial" w:hAnsi="Arial" w:cs="Arial"/>
          <w:color w:val="222222"/>
          <w:sz w:val="20"/>
          <w:szCs w:val="20"/>
          <w:shd w:val="clear" w:color="auto" w:fill="FFFFFF"/>
        </w:rPr>
        <w:t xml:space="preserve">, J. C. (2017). A Comparative Study on the Rearing Performance of Six Strains of Eri Silk Worm </w:t>
      </w:r>
      <w:proofErr w:type="spellStart"/>
      <w:r w:rsidRPr="00BF2A14">
        <w:rPr>
          <w:rFonts w:ascii="Arial" w:hAnsi="Arial" w:cs="Arial"/>
          <w:i/>
          <w:color w:val="222222"/>
          <w:sz w:val="20"/>
          <w:szCs w:val="20"/>
          <w:shd w:val="clear" w:color="auto" w:fill="FFFFFF"/>
        </w:rPr>
        <w:t>Samia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Ricini</w:t>
      </w:r>
      <w:proofErr w:type="spellEnd"/>
      <w:r w:rsidRPr="00BF2A14">
        <w:rPr>
          <w:rFonts w:ascii="Arial" w:hAnsi="Arial" w:cs="Arial"/>
          <w:color w:val="222222"/>
          <w:sz w:val="20"/>
          <w:szCs w:val="20"/>
          <w:shd w:val="clear" w:color="auto" w:fill="FFFFFF"/>
        </w:rPr>
        <w:t>, Donovan in Four Different Seasons. </w:t>
      </w:r>
      <w:r w:rsidRPr="00BF2A14">
        <w:rPr>
          <w:rFonts w:ascii="Arial" w:hAnsi="Arial" w:cs="Arial"/>
          <w:iCs/>
          <w:color w:val="222222"/>
          <w:sz w:val="20"/>
          <w:szCs w:val="20"/>
          <w:shd w:val="clear" w:color="auto" w:fill="FFFFFF"/>
        </w:rPr>
        <w:t>IOSR Journal of Pharmacy and Biological Sciences</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12</w:t>
      </w:r>
      <w:r w:rsidRPr="00BF2A14">
        <w:rPr>
          <w:rFonts w:ascii="Arial" w:hAnsi="Arial" w:cs="Arial"/>
          <w:color w:val="222222"/>
          <w:sz w:val="20"/>
          <w:szCs w:val="20"/>
          <w:shd w:val="clear" w:color="auto" w:fill="FFFFFF"/>
        </w:rPr>
        <w:t xml:space="preserve">(03), 13-18. </w:t>
      </w:r>
      <w:hyperlink r:id="rId32" w:history="1">
        <w:r w:rsidRPr="00BF2A14">
          <w:rPr>
            <w:rStyle w:val="Hyperlink"/>
            <w:rFonts w:ascii="Arial" w:hAnsi="Arial" w:cs="Arial"/>
            <w:sz w:val="20"/>
            <w:szCs w:val="20"/>
            <w:shd w:val="clear" w:color="auto" w:fill="FFFFFF"/>
          </w:rPr>
          <w:t>http://dx.doi.org/10.9790/3008-1203051318</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Deka, M., Dutta, S., &amp; Devi, D. (2011). Impact of Feeding of </w:t>
      </w:r>
      <w:proofErr w:type="spellStart"/>
      <w:r w:rsidRPr="00BF2A14">
        <w:rPr>
          <w:rFonts w:ascii="Arial" w:hAnsi="Arial" w:cs="Arial"/>
          <w:i/>
          <w:color w:val="222222"/>
          <w:sz w:val="20"/>
          <w:szCs w:val="20"/>
          <w:shd w:val="clear" w:color="auto" w:fill="FFFFFF"/>
        </w:rPr>
        <w:t>Samia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cynthia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ricini</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Boisduval</w:t>
      </w:r>
      <w:proofErr w:type="spellEnd"/>
      <w:r w:rsidRPr="00BF2A14">
        <w:rPr>
          <w:rFonts w:ascii="Arial" w:hAnsi="Arial" w:cs="Arial"/>
          <w:color w:val="222222"/>
          <w:sz w:val="20"/>
          <w:szCs w:val="20"/>
          <w:shd w:val="clear" w:color="auto" w:fill="FFFFFF"/>
        </w:rPr>
        <w:t xml:space="preserve"> (red </w:t>
      </w:r>
      <w:proofErr w:type="gramStart"/>
      <w:r w:rsidRPr="00BF2A14">
        <w:rPr>
          <w:rFonts w:ascii="Arial" w:hAnsi="Arial" w:cs="Arial"/>
          <w:color w:val="222222"/>
          <w:sz w:val="20"/>
          <w:szCs w:val="20"/>
          <w:shd w:val="clear" w:color="auto" w:fill="FFFFFF"/>
        </w:rPr>
        <w:t>variety)(</w:t>
      </w:r>
      <w:proofErr w:type="spellStart"/>
      <w:proofErr w:type="gramEnd"/>
      <w:r w:rsidRPr="00BF2A14">
        <w:rPr>
          <w:rFonts w:ascii="Arial" w:hAnsi="Arial" w:cs="Arial"/>
          <w:color w:val="222222"/>
          <w:sz w:val="20"/>
          <w:szCs w:val="20"/>
          <w:shd w:val="clear" w:color="auto" w:fill="FFFFFF"/>
        </w:rPr>
        <w:t>Lepidopera</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Saturnidae</w:t>
      </w:r>
      <w:proofErr w:type="spellEnd"/>
      <w:r w:rsidRPr="00BF2A14">
        <w:rPr>
          <w:rFonts w:ascii="Arial" w:hAnsi="Arial" w:cs="Arial"/>
          <w:color w:val="222222"/>
          <w:sz w:val="20"/>
          <w:szCs w:val="20"/>
          <w:shd w:val="clear" w:color="auto" w:fill="FFFFFF"/>
        </w:rPr>
        <w:t>) in Respect of Larval Growth and Spinning. </w:t>
      </w:r>
      <w:r w:rsidRPr="00BF2A14">
        <w:rPr>
          <w:rFonts w:ascii="Arial" w:hAnsi="Arial" w:cs="Arial"/>
          <w:iCs/>
          <w:color w:val="222222"/>
          <w:sz w:val="20"/>
          <w:szCs w:val="20"/>
          <w:shd w:val="clear" w:color="auto" w:fill="FFFFFF"/>
        </w:rPr>
        <w:t>International Journal of Pure &amp; Applied Sciences &amp; Technology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w:t>
      </w:r>
      <w:r w:rsidRPr="00BF2A14">
        <w:rPr>
          <w:rFonts w:ascii="Arial" w:hAnsi="Arial" w:cs="Arial"/>
          <w:color w:val="222222"/>
          <w:sz w:val="20"/>
          <w:szCs w:val="20"/>
          <w:shd w:val="clear" w:color="auto" w:fill="FFFFFF"/>
        </w:rPr>
        <w:t>(2), 131.</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Majumdar, M., Kumar, V., Guha, L., Singh, A., </w:t>
      </w:r>
      <w:proofErr w:type="spellStart"/>
      <w:r w:rsidRPr="00BF2A14">
        <w:rPr>
          <w:rFonts w:ascii="Arial" w:hAnsi="Arial" w:cs="Arial"/>
          <w:color w:val="222222"/>
          <w:sz w:val="20"/>
          <w:szCs w:val="20"/>
          <w:shd w:val="clear" w:color="auto" w:fill="FFFFFF"/>
        </w:rPr>
        <w:t>Indirakumar</w:t>
      </w:r>
      <w:proofErr w:type="spellEnd"/>
      <w:r w:rsidRPr="00BF2A14">
        <w:rPr>
          <w:rFonts w:ascii="Arial" w:hAnsi="Arial" w:cs="Arial"/>
          <w:color w:val="222222"/>
          <w:sz w:val="20"/>
          <w:szCs w:val="20"/>
          <w:shd w:val="clear" w:color="auto" w:fill="FFFFFF"/>
        </w:rPr>
        <w:t xml:space="preserve">, K., &amp; </w:t>
      </w:r>
      <w:proofErr w:type="spellStart"/>
      <w:r w:rsidRPr="00BF2A14">
        <w:rPr>
          <w:rFonts w:ascii="Arial" w:hAnsi="Arial" w:cs="Arial"/>
          <w:color w:val="222222"/>
          <w:sz w:val="20"/>
          <w:szCs w:val="20"/>
          <w:shd w:val="clear" w:color="auto" w:fill="FFFFFF"/>
        </w:rPr>
        <w:t>Neog</w:t>
      </w:r>
      <w:proofErr w:type="spellEnd"/>
      <w:r w:rsidRPr="00BF2A14">
        <w:rPr>
          <w:rFonts w:ascii="Arial" w:hAnsi="Arial" w:cs="Arial"/>
          <w:color w:val="222222"/>
          <w:sz w:val="20"/>
          <w:szCs w:val="20"/>
          <w:shd w:val="clear" w:color="auto" w:fill="FFFFFF"/>
        </w:rPr>
        <w:t xml:space="preserve">, K. (2024). Impact of Coupling Duration on Fecundity and Fertility of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During </w:t>
      </w:r>
      <w:proofErr w:type="spellStart"/>
      <w:r w:rsidRPr="00BF2A14">
        <w:rPr>
          <w:rFonts w:ascii="Arial" w:hAnsi="Arial" w:cs="Arial"/>
          <w:color w:val="222222"/>
          <w:sz w:val="20"/>
          <w:szCs w:val="20"/>
          <w:shd w:val="clear" w:color="auto" w:fill="FFFFFF"/>
        </w:rPr>
        <w:t>Grainage</w:t>
      </w:r>
      <w:proofErr w:type="spellEnd"/>
      <w:r w:rsidRPr="00BF2A14">
        <w:rPr>
          <w:rFonts w:ascii="Arial" w:hAnsi="Arial" w:cs="Arial"/>
          <w:color w:val="222222"/>
          <w:sz w:val="20"/>
          <w:szCs w:val="20"/>
          <w:shd w:val="clear" w:color="auto" w:fill="FFFFFF"/>
        </w:rPr>
        <w:t xml:space="preserve"> Operation. </w:t>
      </w:r>
      <w:r w:rsidRPr="00BF2A14">
        <w:rPr>
          <w:rFonts w:ascii="Arial" w:hAnsi="Arial" w:cs="Arial"/>
          <w:iCs/>
          <w:color w:val="222222"/>
          <w:sz w:val="20"/>
          <w:szCs w:val="20"/>
          <w:shd w:val="clear" w:color="auto" w:fill="FFFFFF"/>
        </w:rPr>
        <w:t>Journal of Scientific Research and Reports</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30</w:t>
      </w:r>
      <w:r w:rsidRPr="00BF2A14">
        <w:rPr>
          <w:rFonts w:ascii="Arial" w:hAnsi="Arial" w:cs="Arial"/>
          <w:color w:val="222222"/>
          <w:sz w:val="20"/>
          <w:szCs w:val="20"/>
          <w:shd w:val="clear" w:color="auto" w:fill="FFFFFF"/>
        </w:rPr>
        <w:t xml:space="preserve">(5), 752-759. </w:t>
      </w:r>
      <w:hyperlink r:id="rId33" w:history="1">
        <w:r w:rsidRPr="00BF2A14">
          <w:rPr>
            <w:rStyle w:val="Hyperlink"/>
            <w:rFonts w:ascii="Arial" w:hAnsi="Arial" w:cs="Arial"/>
            <w:sz w:val="20"/>
            <w:szCs w:val="20"/>
            <w:shd w:val="clear" w:color="auto" w:fill="FFFFFF"/>
          </w:rPr>
          <w:t>http://dx.doi.org/10.9734/jsrr/2024/v30i51994</w:t>
        </w:r>
      </w:hyperlink>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Kuang</w:t>
      </w:r>
      <w:proofErr w:type="spellEnd"/>
      <w:r w:rsidRPr="00BF2A14">
        <w:rPr>
          <w:rFonts w:ascii="Arial" w:hAnsi="Arial" w:cs="Arial"/>
          <w:color w:val="222222"/>
          <w:sz w:val="20"/>
          <w:szCs w:val="20"/>
          <w:shd w:val="clear" w:color="auto" w:fill="FFFFFF"/>
        </w:rPr>
        <w:t xml:space="preserve">-Ming, C. C., &amp; Ta-Yuan, C. (1958). The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w:t>
      </w:r>
      <w:r w:rsidRPr="00BF2A14">
        <w:rPr>
          <w:rFonts w:ascii="Arial" w:hAnsi="Arial" w:cs="Arial"/>
          <w:iCs/>
          <w:color w:val="222222"/>
          <w:sz w:val="20"/>
          <w:szCs w:val="20"/>
          <w:shd w:val="clear" w:color="auto" w:fill="FFFFFF"/>
        </w:rPr>
        <w:t>Journal of Silkworm</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11</w:t>
      </w:r>
      <w:r w:rsidRPr="00BF2A14">
        <w:rPr>
          <w:rFonts w:ascii="Arial" w:hAnsi="Arial" w:cs="Arial"/>
          <w:color w:val="222222"/>
          <w:sz w:val="20"/>
          <w:szCs w:val="20"/>
          <w:shd w:val="clear" w:color="auto" w:fill="FFFFFF"/>
        </w:rPr>
        <w:t>, 111-125.</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Singh, N. I., &amp; </w:t>
      </w:r>
      <w:proofErr w:type="spellStart"/>
      <w:r w:rsidRPr="00BF2A14">
        <w:rPr>
          <w:rFonts w:ascii="Arial" w:hAnsi="Arial" w:cs="Arial"/>
          <w:color w:val="222222"/>
          <w:sz w:val="20"/>
          <w:szCs w:val="20"/>
          <w:shd w:val="clear" w:color="auto" w:fill="FFFFFF"/>
        </w:rPr>
        <w:t>Debaraj</w:t>
      </w:r>
      <w:proofErr w:type="spellEnd"/>
      <w:r w:rsidRPr="00BF2A14">
        <w:rPr>
          <w:rFonts w:ascii="Arial" w:hAnsi="Arial" w:cs="Arial"/>
          <w:color w:val="222222"/>
          <w:sz w:val="20"/>
          <w:szCs w:val="20"/>
          <w:shd w:val="clear" w:color="auto" w:fill="FFFFFF"/>
        </w:rPr>
        <w:t xml:space="preserve">, Y. (2011). Bionomics of Indian oak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Silkmoth</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Roylei</w:t>
      </w:r>
      <w:proofErr w:type="spellEnd"/>
      <w:r w:rsidRPr="00BF2A14">
        <w:rPr>
          <w:rFonts w:ascii="Arial" w:hAnsi="Arial" w:cs="Arial"/>
          <w:color w:val="222222"/>
          <w:sz w:val="20"/>
          <w:szCs w:val="20"/>
          <w:shd w:val="clear" w:color="auto" w:fill="FFFFFF"/>
        </w:rPr>
        <w:t xml:space="preserve"> Moore and its potential for breeding in north east India. </w:t>
      </w:r>
      <w:r w:rsidRPr="00BF2A14">
        <w:rPr>
          <w:rFonts w:ascii="Arial" w:hAnsi="Arial" w:cs="Arial"/>
          <w:iCs/>
          <w:color w:val="222222"/>
          <w:sz w:val="20"/>
          <w:szCs w:val="20"/>
          <w:shd w:val="clear" w:color="auto" w:fill="FFFFFF"/>
        </w:rPr>
        <w:t>Zoology</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6</w:t>
      </w:r>
      <w:r w:rsidRPr="00BF2A14">
        <w:rPr>
          <w:rFonts w:ascii="Arial" w:hAnsi="Arial" w:cs="Arial"/>
          <w:color w:val="222222"/>
          <w:sz w:val="20"/>
          <w:szCs w:val="20"/>
          <w:shd w:val="clear" w:color="auto" w:fill="FFFFFF"/>
        </w:rPr>
        <w:t xml:space="preserve">(2), 987-994. </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r w:rsidRPr="00BF2A14">
        <w:rPr>
          <w:rFonts w:ascii="Arial" w:hAnsi="Arial" w:cs="Arial"/>
          <w:color w:val="222222"/>
          <w:sz w:val="20"/>
          <w:szCs w:val="20"/>
          <w:shd w:val="clear" w:color="auto" w:fill="FFFFFF"/>
        </w:rPr>
        <w:t xml:space="preserve">Singh, N. I, Singh, L. S., &amp; Singh, K. C. (2011a). Characterization and evaluation of oak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silkworm genetic resources in India. </w:t>
      </w:r>
      <w:proofErr w:type="spellStart"/>
      <w:r w:rsidRPr="00BF2A14">
        <w:rPr>
          <w:rFonts w:ascii="Arial" w:hAnsi="Arial" w:cs="Arial"/>
          <w:iCs/>
          <w:color w:val="222222"/>
          <w:sz w:val="20"/>
          <w:szCs w:val="20"/>
          <w:shd w:val="clear" w:color="auto" w:fill="FFFFFF"/>
        </w:rPr>
        <w:t>Séricologia</w:t>
      </w:r>
      <w:proofErr w:type="spellEnd"/>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51</w:t>
      </w:r>
      <w:r w:rsidRPr="00BF2A14">
        <w:rPr>
          <w:rFonts w:ascii="Arial" w:hAnsi="Arial" w:cs="Arial"/>
          <w:color w:val="222222"/>
          <w:sz w:val="20"/>
          <w:szCs w:val="20"/>
          <w:shd w:val="clear" w:color="auto" w:fill="FFFFFF"/>
        </w:rPr>
        <w:t>(1), 1-14.</w:t>
      </w:r>
    </w:p>
    <w:p w:rsidR="00401A7D" w:rsidRPr="00BF2A14" w:rsidRDefault="00401A7D" w:rsidP="00BF2A14">
      <w:pPr>
        <w:pStyle w:val="ListParagraph"/>
        <w:numPr>
          <w:ilvl w:val="0"/>
          <w:numId w:val="2"/>
        </w:numPr>
        <w:ind w:left="284" w:hanging="284"/>
        <w:jc w:val="both"/>
        <w:rPr>
          <w:rFonts w:ascii="Arial" w:hAnsi="Arial" w:cs="Arial"/>
          <w:sz w:val="20"/>
          <w:szCs w:val="20"/>
        </w:rPr>
      </w:pPr>
      <w:r w:rsidRPr="00BF2A14">
        <w:rPr>
          <w:rFonts w:ascii="Arial" w:hAnsi="Arial" w:cs="Arial"/>
          <w:color w:val="222222"/>
          <w:sz w:val="20"/>
          <w:szCs w:val="20"/>
          <w:shd w:val="clear" w:color="auto" w:fill="FFFFFF"/>
        </w:rPr>
        <w:t xml:space="preserve">Singh, N. I., </w:t>
      </w:r>
      <w:proofErr w:type="spellStart"/>
      <w:r w:rsidRPr="00BF2A14">
        <w:rPr>
          <w:rFonts w:ascii="Arial" w:hAnsi="Arial" w:cs="Arial"/>
          <w:color w:val="222222"/>
          <w:sz w:val="20"/>
          <w:szCs w:val="20"/>
          <w:shd w:val="clear" w:color="auto" w:fill="FFFFFF"/>
        </w:rPr>
        <w:t>Debaraj</w:t>
      </w:r>
      <w:proofErr w:type="spellEnd"/>
      <w:r w:rsidRPr="00BF2A14">
        <w:rPr>
          <w:rFonts w:ascii="Arial" w:hAnsi="Arial" w:cs="Arial"/>
          <w:color w:val="222222"/>
          <w:sz w:val="20"/>
          <w:szCs w:val="20"/>
          <w:shd w:val="clear" w:color="auto" w:fill="FFFFFF"/>
        </w:rPr>
        <w:t xml:space="preserve">, Y., Singh, L. S., &amp; Singh, K. C. (2011). Bioecological studies of an oak </w:t>
      </w:r>
      <w:proofErr w:type="spellStart"/>
      <w:r w:rsidRPr="00BF2A14">
        <w:rPr>
          <w:rFonts w:ascii="Arial" w:hAnsi="Arial" w:cs="Arial"/>
          <w:color w:val="222222"/>
          <w:sz w:val="20"/>
          <w:szCs w:val="20"/>
          <w:shd w:val="clear" w:color="auto" w:fill="FFFFFF"/>
        </w:rPr>
        <w:t>tasar</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color w:val="222222"/>
          <w:sz w:val="20"/>
          <w:szCs w:val="20"/>
          <w:shd w:val="clear" w:color="auto" w:fill="FFFFFF"/>
        </w:rPr>
        <w:t>silkmoth</w:t>
      </w:r>
      <w:proofErr w:type="spellEnd"/>
      <w:r w:rsidRPr="00BF2A14">
        <w:rPr>
          <w:rFonts w:ascii="Arial" w:hAnsi="Arial" w:cs="Arial"/>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frithii</w:t>
      </w:r>
      <w:proofErr w:type="spellEnd"/>
      <w:r w:rsidRPr="00BF2A14">
        <w:rPr>
          <w:rFonts w:ascii="Arial" w:hAnsi="Arial" w:cs="Arial"/>
          <w:color w:val="222222"/>
          <w:sz w:val="20"/>
          <w:szCs w:val="20"/>
          <w:shd w:val="clear" w:color="auto" w:fill="FFFFFF"/>
        </w:rPr>
        <w:t xml:space="preserve"> Moore in North East India. </w:t>
      </w:r>
      <w:r w:rsidRPr="00BF2A14">
        <w:rPr>
          <w:rFonts w:ascii="Arial" w:hAnsi="Arial" w:cs="Arial"/>
          <w:sz w:val="20"/>
          <w:szCs w:val="20"/>
        </w:rPr>
        <w:t xml:space="preserve">Uttar Pradesh Journal </w:t>
      </w:r>
      <w:r w:rsidR="0092754C" w:rsidRPr="00BF2A14">
        <w:rPr>
          <w:rFonts w:ascii="Arial" w:hAnsi="Arial" w:cs="Arial"/>
          <w:sz w:val="20"/>
          <w:szCs w:val="20"/>
        </w:rPr>
        <w:t>of Zoology</w:t>
      </w:r>
      <w:r w:rsidRPr="00BF2A14">
        <w:rPr>
          <w:rFonts w:ascii="Arial" w:hAnsi="Arial" w:cs="Arial"/>
          <w:sz w:val="20"/>
          <w:szCs w:val="20"/>
        </w:rPr>
        <w:t>, 31 (1), 75- 81.</w:t>
      </w:r>
    </w:p>
    <w:p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color w:val="222222"/>
          <w:sz w:val="20"/>
          <w:szCs w:val="20"/>
          <w:shd w:val="clear" w:color="auto" w:fill="FFFFFF"/>
        </w:rPr>
        <w:t>Narasimhanna</w:t>
      </w:r>
      <w:proofErr w:type="spellEnd"/>
      <w:r w:rsidRPr="00BF2A14">
        <w:rPr>
          <w:rFonts w:ascii="Arial" w:hAnsi="Arial" w:cs="Arial"/>
          <w:color w:val="222222"/>
          <w:sz w:val="20"/>
          <w:szCs w:val="20"/>
          <w:shd w:val="clear" w:color="auto" w:fill="FFFFFF"/>
        </w:rPr>
        <w:t>, M. N. (1988). Manual on silkworm egg production.</w:t>
      </w:r>
      <w:r w:rsidRPr="00BF2A14">
        <w:rPr>
          <w:rFonts w:ascii="Arial" w:hAnsi="Arial" w:cs="Arial"/>
          <w:sz w:val="20"/>
          <w:szCs w:val="20"/>
        </w:rPr>
        <w:t xml:space="preserve"> Central Silk Board, </w:t>
      </w:r>
      <w:proofErr w:type="spellStart"/>
      <w:r w:rsidRPr="00BF2A14">
        <w:rPr>
          <w:rFonts w:ascii="Arial" w:hAnsi="Arial" w:cs="Arial"/>
          <w:sz w:val="20"/>
          <w:szCs w:val="20"/>
        </w:rPr>
        <w:t>Banglore</w:t>
      </w:r>
      <w:proofErr w:type="spellEnd"/>
      <w:r w:rsidRPr="00BF2A14">
        <w:rPr>
          <w:rFonts w:ascii="Arial" w:hAnsi="Arial" w:cs="Arial"/>
          <w:sz w:val="20"/>
          <w:szCs w:val="20"/>
        </w:rPr>
        <w:t>, India. pp. 142.</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lastRenderedPageBreak/>
        <w:t>Yeole</w:t>
      </w:r>
      <w:proofErr w:type="spellEnd"/>
      <w:r w:rsidRPr="00BF2A14">
        <w:rPr>
          <w:rFonts w:ascii="Arial" w:hAnsi="Arial" w:cs="Arial"/>
          <w:color w:val="222222"/>
          <w:sz w:val="20"/>
          <w:szCs w:val="20"/>
          <w:shd w:val="clear" w:color="auto" w:fill="FFFFFF"/>
        </w:rPr>
        <w:t xml:space="preserve">, R. G., </w:t>
      </w:r>
      <w:proofErr w:type="spellStart"/>
      <w:r w:rsidRPr="00BF2A14">
        <w:rPr>
          <w:rFonts w:ascii="Arial" w:hAnsi="Arial" w:cs="Arial"/>
          <w:color w:val="222222"/>
          <w:sz w:val="20"/>
          <w:szCs w:val="20"/>
          <w:shd w:val="clear" w:color="auto" w:fill="FFFFFF"/>
        </w:rPr>
        <w:t>Sarnaik</w:t>
      </w:r>
      <w:proofErr w:type="spellEnd"/>
      <w:r w:rsidRPr="00BF2A14">
        <w:rPr>
          <w:rFonts w:ascii="Arial" w:hAnsi="Arial" w:cs="Arial"/>
          <w:color w:val="222222"/>
          <w:sz w:val="20"/>
          <w:szCs w:val="20"/>
          <w:shd w:val="clear" w:color="auto" w:fill="FFFFFF"/>
        </w:rPr>
        <w:t xml:space="preserve">, D. N., &amp; </w:t>
      </w:r>
      <w:proofErr w:type="spellStart"/>
      <w:r w:rsidRPr="00BF2A14">
        <w:rPr>
          <w:rFonts w:ascii="Arial" w:hAnsi="Arial" w:cs="Arial"/>
          <w:color w:val="222222"/>
          <w:sz w:val="20"/>
          <w:szCs w:val="20"/>
          <w:shd w:val="clear" w:color="auto" w:fill="FFFFFF"/>
        </w:rPr>
        <w:t>Satpute</w:t>
      </w:r>
      <w:proofErr w:type="spellEnd"/>
      <w:r w:rsidRPr="00BF2A14">
        <w:rPr>
          <w:rFonts w:ascii="Arial" w:hAnsi="Arial" w:cs="Arial"/>
          <w:color w:val="222222"/>
          <w:sz w:val="20"/>
          <w:szCs w:val="20"/>
          <w:shd w:val="clear" w:color="auto" w:fill="FFFFFF"/>
        </w:rPr>
        <w:t xml:space="preserve">, U. S. (1995). Effect of mating duration on fecundity and egg viability of silkworm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Journal of Sericulture India</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3</w:t>
      </w:r>
      <w:r w:rsidRPr="00BF2A14">
        <w:rPr>
          <w:rFonts w:ascii="Arial" w:hAnsi="Arial" w:cs="Arial"/>
          <w:color w:val="222222"/>
          <w:sz w:val="20"/>
          <w:szCs w:val="20"/>
          <w:shd w:val="clear" w:color="auto" w:fill="FFFFFF"/>
        </w:rPr>
        <w:t>, 80-82.</w:t>
      </w:r>
    </w:p>
    <w:p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color w:val="222222"/>
          <w:sz w:val="20"/>
          <w:szCs w:val="20"/>
          <w:shd w:val="clear" w:color="auto" w:fill="FFFFFF"/>
        </w:rPr>
        <w:t>Sarmah</w:t>
      </w:r>
      <w:proofErr w:type="spellEnd"/>
      <w:r w:rsidRPr="00BF2A14">
        <w:rPr>
          <w:rFonts w:ascii="Arial" w:hAnsi="Arial" w:cs="Arial"/>
          <w:color w:val="222222"/>
          <w:sz w:val="20"/>
          <w:szCs w:val="20"/>
          <w:shd w:val="clear" w:color="auto" w:fill="FFFFFF"/>
        </w:rPr>
        <w:t xml:space="preserve">, M. C., Rahman, S. A. S., &amp; </w:t>
      </w:r>
      <w:proofErr w:type="spellStart"/>
      <w:r w:rsidRPr="00BF2A14">
        <w:rPr>
          <w:rFonts w:ascii="Arial" w:hAnsi="Arial" w:cs="Arial"/>
          <w:color w:val="222222"/>
          <w:sz w:val="20"/>
          <w:szCs w:val="20"/>
          <w:shd w:val="clear" w:color="auto" w:fill="FFFFFF"/>
        </w:rPr>
        <w:t>Barah</w:t>
      </w:r>
      <w:proofErr w:type="spellEnd"/>
      <w:r w:rsidRPr="00BF2A14">
        <w:rPr>
          <w:rFonts w:ascii="Arial" w:hAnsi="Arial" w:cs="Arial"/>
          <w:color w:val="222222"/>
          <w:sz w:val="20"/>
          <w:szCs w:val="20"/>
          <w:shd w:val="clear" w:color="auto" w:fill="FFFFFF"/>
        </w:rPr>
        <w:t xml:space="preserve">, A. (2010). Traditional practices and terminologies in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and </w:t>
      </w:r>
      <w:proofErr w:type="spellStart"/>
      <w:r w:rsidRPr="00BF2A14">
        <w:rPr>
          <w:rFonts w:ascii="Arial" w:hAnsi="Arial" w:cs="Arial"/>
          <w:color w:val="222222"/>
          <w:sz w:val="20"/>
          <w:szCs w:val="20"/>
          <w:shd w:val="clear" w:color="auto" w:fill="FFFFFF"/>
        </w:rPr>
        <w:t>eri</w:t>
      </w:r>
      <w:proofErr w:type="spellEnd"/>
      <w:r w:rsidRPr="00BF2A14">
        <w:rPr>
          <w:rFonts w:ascii="Arial" w:hAnsi="Arial" w:cs="Arial"/>
          <w:color w:val="222222"/>
          <w:sz w:val="20"/>
          <w:szCs w:val="20"/>
          <w:shd w:val="clear" w:color="auto" w:fill="FFFFFF"/>
        </w:rPr>
        <w:t xml:space="preserve"> </w:t>
      </w:r>
      <w:proofErr w:type="spellStart"/>
      <w:proofErr w:type="gramStart"/>
      <w:r w:rsidRPr="00BF2A14">
        <w:rPr>
          <w:rFonts w:ascii="Arial" w:hAnsi="Arial" w:cs="Arial"/>
          <w:color w:val="222222"/>
          <w:sz w:val="20"/>
          <w:szCs w:val="20"/>
          <w:shd w:val="clear" w:color="auto" w:fill="FFFFFF"/>
        </w:rPr>
        <w:t>culture.</w:t>
      </w:r>
      <w:r w:rsidRPr="00BF2A14">
        <w:rPr>
          <w:rFonts w:ascii="Arial" w:hAnsi="Arial" w:cs="Arial"/>
          <w:sz w:val="20"/>
          <w:szCs w:val="20"/>
        </w:rPr>
        <w:t>Indian</w:t>
      </w:r>
      <w:proofErr w:type="spellEnd"/>
      <w:proofErr w:type="gramEnd"/>
      <w:r w:rsidRPr="00BF2A14">
        <w:rPr>
          <w:rFonts w:ascii="Arial" w:hAnsi="Arial" w:cs="Arial"/>
          <w:sz w:val="20"/>
          <w:szCs w:val="20"/>
        </w:rPr>
        <w:t xml:space="preserve"> Journal of Traditional Knowledge, 9 (3), 448-452.</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Kakati</w:t>
      </w:r>
      <w:proofErr w:type="spellEnd"/>
      <w:r w:rsidRPr="00BF2A14">
        <w:rPr>
          <w:rFonts w:ascii="Arial" w:hAnsi="Arial" w:cs="Arial"/>
          <w:color w:val="222222"/>
          <w:sz w:val="20"/>
          <w:szCs w:val="20"/>
          <w:shd w:val="clear" w:color="auto" w:fill="FFFFFF"/>
        </w:rPr>
        <w:t xml:space="preserve">, P. K., </w:t>
      </w:r>
      <w:proofErr w:type="spellStart"/>
      <w:r w:rsidRPr="00BF2A14">
        <w:rPr>
          <w:rFonts w:ascii="Arial" w:hAnsi="Arial" w:cs="Arial"/>
          <w:color w:val="222222"/>
          <w:sz w:val="20"/>
          <w:szCs w:val="20"/>
          <w:shd w:val="clear" w:color="auto" w:fill="FFFFFF"/>
        </w:rPr>
        <w:t>Handique</w:t>
      </w:r>
      <w:proofErr w:type="spellEnd"/>
      <w:r w:rsidRPr="00BF2A14">
        <w:rPr>
          <w:rFonts w:ascii="Arial" w:hAnsi="Arial" w:cs="Arial"/>
          <w:color w:val="222222"/>
          <w:sz w:val="20"/>
          <w:szCs w:val="20"/>
          <w:shd w:val="clear" w:color="auto" w:fill="FFFFFF"/>
        </w:rPr>
        <w:t xml:space="preserve">, P. K., Rana, B., &amp; </w:t>
      </w:r>
      <w:proofErr w:type="spellStart"/>
      <w:r w:rsidRPr="00BF2A14">
        <w:rPr>
          <w:rFonts w:ascii="Arial" w:hAnsi="Arial" w:cs="Arial"/>
          <w:color w:val="222222"/>
          <w:sz w:val="20"/>
          <w:szCs w:val="20"/>
          <w:shd w:val="clear" w:color="auto" w:fill="FFFFFF"/>
        </w:rPr>
        <w:t>Chakravorty</w:t>
      </w:r>
      <w:proofErr w:type="spellEnd"/>
      <w:r w:rsidRPr="00BF2A14">
        <w:rPr>
          <w:rFonts w:ascii="Arial" w:hAnsi="Arial" w:cs="Arial"/>
          <w:color w:val="222222"/>
          <w:sz w:val="20"/>
          <w:szCs w:val="20"/>
          <w:shd w:val="clear" w:color="auto" w:fill="FFFFFF"/>
        </w:rPr>
        <w:t xml:space="preserve">, R. (2005). Isolation of winter diapause strain in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w:t>
      </w:r>
      <w:proofErr w:type="spellStart"/>
      <w:r w:rsidRPr="00BF2A14">
        <w:rPr>
          <w:rFonts w:ascii="Arial" w:hAnsi="Arial" w:cs="Arial"/>
          <w:i/>
          <w:color w:val="222222"/>
          <w:sz w:val="20"/>
          <w:szCs w:val="20"/>
          <w:shd w:val="clear" w:color="auto" w:fill="FFFFFF"/>
        </w:rPr>
        <w:t>Antheraea</w:t>
      </w:r>
      <w:proofErr w:type="spellEnd"/>
      <w:r w:rsidRPr="00BF2A14">
        <w:rPr>
          <w:rFonts w:ascii="Arial" w:hAnsi="Arial" w:cs="Arial"/>
          <w:i/>
          <w:color w:val="222222"/>
          <w:sz w:val="20"/>
          <w:szCs w:val="20"/>
          <w:shd w:val="clear" w:color="auto" w:fill="FFFFFF"/>
        </w:rPr>
        <w:t xml:space="preserve"> </w:t>
      </w:r>
      <w:proofErr w:type="spellStart"/>
      <w:r w:rsidRPr="00BF2A14">
        <w:rPr>
          <w:rFonts w:ascii="Arial" w:hAnsi="Arial" w:cs="Arial"/>
          <w:i/>
          <w:color w:val="222222"/>
          <w:sz w:val="20"/>
          <w:szCs w:val="20"/>
          <w:shd w:val="clear" w:color="auto" w:fill="FFFFFF"/>
        </w:rPr>
        <w:t>assamensis</w:t>
      </w:r>
      <w:proofErr w:type="spellEnd"/>
      <w:r w:rsidRPr="00BF2A14">
        <w:rPr>
          <w:rFonts w:ascii="Arial" w:hAnsi="Arial" w:cs="Arial"/>
          <w:color w:val="222222"/>
          <w:sz w:val="20"/>
          <w:szCs w:val="20"/>
          <w:shd w:val="clear" w:color="auto" w:fill="FFFFFF"/>
        </w:rPr>
        <w:t xml:space="preserve"> Helfer. </w:t>
      </w:r>
      <w:r w:rsidRPr="00BF2A14">
        <w:rPr>
          <w:rFonts w:ascii="Arial" w:hAnsi="Arial" w:cs="Arial"/>
          <w:i/>
          <w:iCs/>
          <w:color w:val="222222"/>
          <w:sz w:val="20"/>
          <w:szCs w:val="20"/>
          <w:shd w:val="clear" w:color="auto" w:fill="FFFFFF"/>
        </w:rPr>
        <w:t xml:space="preserve">Proceedings: Strategies for Maintenance of Non-Mulberry Silkworm and Host Plant Germplasm Held at Central </w:t>
      </w:r>
      <w:proofErr w:type="spellStart"/>
      <w:r w:rsidRPr="00BF2A14">
        <w:rPr>
          <w:rFonts w:ascii="Arial" w:hAnsi="Arial" w:cs="Arial"/>
          <w:i/>
          <w:iCs/>
          <w:color w:val="222222"/>
          <w:sz w:val="20"/>
          <w:szCs w:val="20"/>
          <w:shd w:val="clear" w:color="auto" w:fill="FFFFFF"/>
        </w:rPr>
        <w:t>Muga</w:t>
      </w:r>
      <w:proofErr w:type="spellEnd"/>
      <w:r w:rsidRPr="00BF2A14">
        <w:rPr>
          <w:rFonts w:ascii="Arial" w:hAnsi="Arial" w:cs="Arial"/>
          <w:i/>
          <w:iCs/>
          <w:color w:val="222222"/>
          <w:sz w:val="20"/>
          <w:szCs w:val="20"/>
          <w:shd w:val="clear" w:color="auto" w:fill="FFFFFF"/>
        </w:rPr>
        <w:t xml:space="preserve"> Eri Research &amp; Training Institute, </w:t>
      </w:r>
      <w:proofErr w:type="spellStart"/>
      <w:r w:rsidRPr="00BF2A14">
        <w:rPr>
          <w:rFonts w:ascii="Arial" w:hAnsi="Arial" w:cs="Arial"/>
          <w:i/>
          <w:iCs/>
          <w:color w:val="222222"/>
          <w:sz w:val="20"/>
          <w:szCs w:val="20"/>
          <w:shd w:val="clear" w:color="auto" w:fill="FFFFFF"/>
        </w:rPr>
        <w:t>Lahdoigarh</w:t>
      </w:r>
      <w:proofErr w:type="spellEnd"/>
      <w:r w:rsidRPr="00BF2A14">
        <w:rPr>
          <w:rFonts w:ascii="Arial" w:hAnsi="Arial" w:cs="Arial"/>
          <w:i/>
          <w:iCs/>
          <w:color w:val="222222"/>
          <w:sz w:val="20"/>
          <w:szCs w:val="20"/>
          <w:shd w:val="clear" w:color="auto" w:fill="FFFFFF"/>
        </w:rPr>
        <w:t>, Jorhat, Assam, India on March 10</w:t>
      </w:r>
      <w:r w:rsidRPr="00BF2A14">
        <w:rPr>
          <w:rFonts w:ascii="Arial" w:hAnsi="Arial" w:cs="Arial"/>
          <w:color w:val="222222"/>
          <w:sz w:val="20"/>
          <w:szCs w:val="20"/>
          <w:shd w:val="clear" w:color="auto" w:fill="FFFFFF"/>
        </w:rPr>
        <w:t>, </w:t>
      </w:r>
      <w:r w:rsidRPr="00BF2A14">
        <w:rPr>
          <w:rFonts w:ascii="Arial" w:hAnsi="Arial" w:cs="Arial"/>
          <w:i/>
          <w:iCs/>
          <w:color w:val="222222"/>
          <w:sz w:val="20"/>
          <w:szCs w:val="20"/>
          <w:shd w:val="clear" w:color="auto" w:fill="FFFFFF"/>
        </w:rPr>
        <w:t>11</w:t>
      </w:r>
      <w:r w:rsidRPr="00BF2A14">
        <w:rPr>
          <w:rFonts w:ascii="Arial" w:hAnsi="Arial" w:cs="Arial"/>
          <w:color w:val="222222"/>
          <w:sz w:val="20"/>
          <w:szCs w:val="20"/>
          <w:shd w:val="clear" w:color="auto" w:fill="FFFFFF"/>
        </w:rPr>
        <w:t>, 217-224.</w:t>
      </w:r>
    </w:p>
    <w:p w:rsidR="00401A7D" w:rsidRPr="00BF2A14" w:rsidRDefault="00401A7D" w:rsidP="00BF2A14">
      <w:pPr>
        <w:pStyle w:val="ListParagraph"/>
        <w:numPr>
          <w:ilvl w:val="0"/>
          <w:numId w:val="2"/>
        </w:numPr>
        <w:ind w:left="284" w:hanging="284"/>
        <w:jc w:val="both"/>
        <w:rPr>
          <w:rFonts w:ascii="Arial" w:hAnsi="Arial" w:cs="Arial"/>
          <w:color w:val="222222"/>
          <w:sz w:val="20"/>
          <w:szCs w:val="20"/>
          <w:shd w:val="clear" w:color="auto" w:fill="FFFFFF"/>
        </w:rPr>
      </w:pPr>
      <w:proofErr w:type="spellStart"/>
      <w:r w:rsidRPr="00BF2A14">
        <w:rPr>
          <w:rFonts w:ascii="Arial" w:hAnsi="Arial" w:cs="Arial"/>
          <w:color w:val="222222"/>
          <w:sz w:val="20"/>
          <w:szCs w:val="20"/>
          <w:shd w:val="clear" w:color="auto" w:fill="FFFFFF"/>
        </w:rPr>
        <w:t>Kakati</w:t>
      </w:r>
      <w:proofErr w:type="spellEnd"/>
      <w:r w:rsidRPr="00BF2A14">
        <w:rPr>
          <w:rFonts w:ascii="Arial" w:hAnsi="Arial" w:cs="Arial"/>
          <w:color w:val="222222"/>
          <w:sz w:val="20"/>
          <w:szCs w:val="20"/>
          <w:shd w:val="clear" w:color="auto" w:fill="FFFFFF"/>
        </w:rPr>
        <w:t xml:space="preserve">, P. K. (2002). Adoption of prophylactic measures to contain </w:t>
      </w:r>
      <w:proofErr w:type="spellStart"/>
      <w:r w:rsidRPr="00BF2A14">
        <w:rPr>
          <w:rFonts w:ascii="Arial" w:hAnsi="Arial" w:cs="Arial"/>
          <w:color w:val="222222"/>
          <w:sz w:val="20"/>
          <w:szCs w:val="20"/>
          <w:shd w:val="clear" w:color="auto" w:fill="FFFFFF"/>
        </w:rPr>
        <w:t>muga</w:t>
      </w:r>
      <w:proofErr w:type="spellEnd"/>
      <w:r w:rsidRPr="00BF2A14">
        <w:rPr>
          <w:rFonts w:ascii="Arial" w:hAnsi="Arial" w:cs="Arial"/>
          <w:color w:val="222222"/>
          <w:sz w:val="20"/>
          <w:szCs w:val="20"/>
          <w:shd w:val="clear" w:color="auto" w:fill="FFFFFF"/>
        </w:rPr>
        <w:t xml:space="preserve"> silkworm diseases. </w:t>
      </w:r>
      <w:r w:rsidRPr="00BF2A14">
        <w:rPr>
          <w:rFonts w:ascii="Arial" w:hAnsi="Arial" w:cs="Arial"/>
          <w:iCs/>
          <w:color w:val="222222"/>
          <w:sz w:val="20"/>
          <w:szCs w:val="20"/>
          <w:shd w:val="clear" w:color="auto" w:fill="FFFFFF"/>
        </w:rPr>
        <w:t>Indian silk</w:t>
      </w:r>
      <w:r w:rsidRPr="00BF2A14">
        <w:rPr>
          <w:rFonts w:ascii="Arial" w:hAnsi="Arial" w:cs="Arial"/>
          <w:color w:val="222222"/>
          <w:sz w:val="20"/>
          <w:szCs w:val="20"/>
          <w:shd w:val="clear" w:color="auto" w:fill="FFFFFF"/>
        </w:rPr>
        <w:t>, </w:t>
      </w:r>
      <w:r w:rsidRPr="00BF2A14">
        <w:rPr>
          <w:rFonts w:ascii="Arial" w:hAnsi="Arial" w:cs="Arial"/>
          <w:iCs/>
          <w:color w:val="222222"/>
          <w:sz w:val="20"/>
          <w:szCs w:val="20"/>
          <w:shd w:val="clear" w:color="auto" w:fill="FFFFFF"/>
        </w:rPr>
        <w:t>41</w:t>
      </w:r>
      <w:r w:rsidRPr="00BF2A14">
        <w:rPr>
          <w:rFonts w:ascii="Arial" w:hAnsi="Arial" w:cs="Arial"/>
          <w:color w:val="222222"/>
          <w:sz w:val="20"/>
          <w:szCs w:val="20"/>
          <w:shd w:val="clear" w:color="auto" w:fill="FFFFFF"/>
        </w:rPr>
        <w:t>(1), 19-21.</w:t>
      </w:r>
    </w:p>
    <w:p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color w:val="222222"/>
          <w:sz w:val="20"/>
          <w:szCs w:val="20"/>
          <w:shd w:val="clear" w:color="auto" w:fill="FFFFFF"/>
        </w:rPr>
        <w:t>Legay</w:t>
      </w:r>
      <w:proofErr w:type="spellEnd"/>
      <w:r w:rsidRPr="00BF2A14">
        <w:rPr>
          <w:rFonts w:ascii="Arial" w:hAnsi="Arial" w:cs="Arial"/>
          <w:color w:val="222222"/>
          <w:sz w:val="20"/>
          <w:szCs w:val="20"/>
          <w:shd w:val="clear" w:color="auto" w:fill="FFFFFF"/>
        </w:rPr>
        <w:t xml:space="preserve">, J. M. (1989). Contribution to the typological analysis of the laying </w:t>
      </w:r>
      <w:proofErr w:type="spellStart"/>
      <w:r w:rsidRPr="00BF2A14">
        <w:rPr>
          <w:rFonts w:ascii="Arial" w:hAnsi="Arial" w:cs="Arial"/>
          <w:color w:val="222222"/>
          <w:sz w:val="20"/>
          <w:szCs w:val="20"/>
          <w:shd w:val="clear" w:color="auto" w:fill="FFFFFF"/>
        </w:rPr>
        <w:t>behaviour</w:t>
      </w:r>
      <w:proofErr w:type="spellEnd"/>
      <w:r w:rsidRPr="00BF2A14">
        <w:rPr>
          <w:rFonts w:ascii="Arial" w:hAnsi="Arial" w:cs="Arial"/>
          <w:color w:val="222222"/>
          <w:sz w:val="20"/>
          <w:szCs w:val="20"/>
          <w:shd w:val="clear" w:color="auto" w:fill="FFFFFF"/>
        </w:rPr>
        <w:t xml:space="preserve"> in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L. </w:t>
      </w:r>
      <w:proofErr w:type="spellStart"/>
      <w:r w:rsidRPr="00BF2A14">
        <w:rPr>
          <w:rFonts w:ascii="Arial" w:hAnsi="Arial" w:cs="Arial"/>
          <w:sz w:val="20"/>
          <w:szCs w:val="20"/>
        </w:rPr>
        <w:t>Sericologia</w:t>
      </w:r>
      <w:proofErr w:type="spellEnd"/>
      <w:r w:rsidRPr="00BF2A14">
        <w:rPr>
          <w:rFonts w:ascii="Arial" w:hAnsi="Arial" w:cs="Arial"/>
          <w:sz w:val="20"/>
          <w:szCs w:val="20"/>
        </w:rPr>
        <w:t>, 29(2), 163- 166</w:t>
      </w:r>
    </w:p>
    <w:p w:rsidR="00401A7D" w:rsidRPr="00BF2A14" w:rsidRDefault="00401A7D" w:rsidP="00BF2A14">
      <w:pPr>
        <w:pStyle w:val="ListParagraph"/>
        <w:numPr>
          <w:ilvl w:val="0"/>
          <w:numId w:val="2"/>
        </w:numPr>
        <w:ind w:left="284" w:hanging="284"/>
        <w:jc w:val="both"/>
        <w:rPr>
          <w:rFonts w:ascii="Arial" w:hAnsi="Arial" w:cs="Arial"/>
          <w:sz w:val="20"/>
          <w:szCs w:val="20"/>
        </w:rPr>
      </w:pPr>
      <w:proofErr w:type="spellStart"/>
      <w:r w:rsidRPr="00BF2A14">
        <w:rPr>
          <w:rFonts w:ascii="Arial" w:hAnsi="Arial" w:cs="Arial"/>
          <w:color w:val="222222"/>
          <w:sz w:val="20"/>
          <w:szCs w:val="20"/>
          <w:shd w:val="clear" w:color="auto" w:fill="FFFFFF"/>
        </w:rPr>
        <w:t>Manjulakumari</w:t>
      </w:r>
      <w:proofErr w:type="spellEnd"/>
      <w:r w:rsidRPr="00BF2A14">
        <w:rPr>
          <w:rFonts w:ascii="Arial" w:hAnsi="Arial" w:cs="Arial"/>
          <w:color w:val="222222"/>
          <w:sz w:val="20"/>
          <w:szCs w:val="20"/>
          <w:shd w:val="clear" w:color="auto" w:fill="FFFFFF"/>
        </w:rPr>
        <w:t xml:space="preserve">, D., &amp; </w:t>
      </w:r>
      <w:proofErr w:type="spellStart"/>
      <w:r w:rsidRPr="00BF2A14">
        <w:rPr>
          <w:rFonts w:ascii="Arial" w:hAnsi="Arial" w:cs="Arial"/>
          <w:color w:val="222222"/>
          <w:sz w:val="20"/>
          <w:szCs w:val="20"/>
          <w:shd w:val="clear" w:color="auto" w:fill="FFFFFF"/>
        </w:rPr>
        <w:t>Geethabali</w:t>
      </w:r>
      <w:proofErr w:type="spellEnd"/>
      <w:r w:rsidRPr="00BF2A14">
        <w:rPr>
          <w:rFonts w:ascii="Arial" w:hAnsi="Arial" w:cs="Arial"/>
          <w:color w:val="222222"/>
          <w:sz w:val="20"/>
          <w:szCs w:val="20"/>
          <w:shd w:val="clear" w:color="auto" w:fill="FFFFFF"/>
        </w:rPr>
        <w:t xml:space="preserve">, G. (1991). Ovipositional response of </w:t>
      </w:r>
      <w:r w:rsidRPr="00BF2A14">
        <w:rPr>
          <w:rFonts w:ascii="Arial" w:hAnsi="Arial" w:cs="Arial"/>
          <w:i/>
          <w:color w:val="222222"/>
          <w:sz w:val="20"/>
          <w:szCs w:val="20"/>
          <w:shd w:val="clear" w:color="auto" w:fill="FFFFFF"/>
        </w:rPr>
        <w:t>Bombyx mori</w:t>
      </w:r>
      <w:r w:rsidRPr="00BF2A14">
        <w:rPr>
          <w:rFonts w:ascii="Arial" w:hAnsi="Arial" w:cs="Arial"/>
          <w:color w:val="222222"/>
          <w:sz w:val="20"/>
          <w:szCs w:val="20"/>
          <w:shd w:val="clear" w:color="auto" w:fill="FFFFFF"/>
        </w:rPr>
        <w:t xml:space="preserve"> L. to different textures of the substratum. </w:t>
      </w:r>
      <w:proofErr w:type="spellStart"/>
      <w:r w:rsidRPr="00BF2A14">
        <w:rPr>
          <w:rFonts w:ascii="Arial" w:hAnsi="Arial" w:cs="Arial"/>
          <w:sz w:val="20"/>
          <w:szCs w:val="20"/>
        </w:rPr>
        <w:t>Entomon</w:t>
      </w:r>
      <w:proofErr w:type="spellEnd"/>
      <w:r w:rsidRPr="00BF2A14">
        <w:rPr>
          <w:rFonts w:ascii="Arial" w:hAnsi="Arial" w:cs="Arial"/>
          <w:sz w:val="20"/>
          <w:szCs w:val="20"/>
        </w:rPr>
        <w:t>, 16(1), 11-15.</w:t>
      </w:r>
    </w:p>
    <w:p w:rsidR="00E267A7" w:rsidRDefault="00E267A7" w:rsidP="005C0806">
      <w:pPr>
        <w:pStyle w:val="NormalWeb"/>
        <w:jc w:val="both"/>
      </w:pPr>
    </w:p>
    <w:sectPr w:rsidR="00E267A7" w:rsidSect="00807256">
      <w:headerReference w:type="even" r:id="rId34"/>
      <w:headerReference w:type="default" r:id="rId35"/>
      <w:footerReference w:type="even" r:id="rId36"/>
      <w:footerReference w:type="default" r:id="rId37"/>
      <w:headerReference w:type="first" r:id="rId38"/>
      <w:footerReference w:type="first" r:id="rId3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2A73" w:rsidRDefault="000A2A73" w:rsidP="00BF2A14">
      <w:pPr>
        <w:spacing w:after="0" w:line="240" w:lineRule="auto"/>
      </w:pPr>
      <w:r>
        <w:separator/>
      </w:r>
    </w:p>
  </w:endnote>
  <w:endnote w:type="continuationSeparator" w:id="0">
    <w:p w:rsidR="000A2A73" w:rsidRDefault="000A2A73" w:rsidP="00BF2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256" w:rsidRDefault="008072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256" w:rsidRDefault="008072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256" w:rsidRDefault="008072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2A73" w:rsidRDefault="000A2A73" w:rsidP="00BF2A14">
      <w:pPr>
        <w:spacing w:after="0" w:line="240" w:lineRule="auto"/>
      </w:pPr>
      <w:r>
        <w:separator/>
      </w:r>
    </w:p>
  </w:footnote>
  <w:footnote w:type="continuationSeparator" w:id="0">
    <w:p w:rsidR="000A2A73" w:rsidRDefault="000A2A73" w:rsidP="00BF2A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256" w:rsidRDefault="000A2A7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0242157" o:spid="_x0000_s2050"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256" w:rsidRDefault="000A2A7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0242158" o:spid="_x0000_s2051"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256" w:rsidRDefault="000A2A73">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0242156" o:spid="_x0000_s2049"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43F31"/>
    <w:multiLevelType w:val="hybridMultilevel"/>
    <w:tmpl w:val="D2E8C6C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4741278"/>
    <w:multiLevelType w:val="hybridMultilevel"/>
    <w:tmpl w:val="8DD23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CE1F4D"/>
    <w:multiLevelType w:val="hybridMultilevel"/>
    <w:tmpl w:val="B96CD9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4986"/>
    <w:rsid w:val="0000537A"/>
    <w:rsid w:val="00091E0F"/>
    <w:rsid w:val="000A2A73"/>
    <w:rsid w:val="000B4986"/>
    <w:rsid w:val="000C62FE"/>
    <w:rsid w:val="000D0E48"/>
    <w:rsid w:val="00103755"/>
    <w:rsid w:val="00146930"/>
    <w:rsid w:val="0017499B"/>
    <w:rsid w:val="001A314D"/>
    <w:rsid w:val="00204E6D"/>
    <w:rsid w:val="002848C2"/>
    <w:rsid w:val="002C2C47"/>
    <w:rsid w:val="002D716C"/>
    <w:rsid w:val="003A6B3B"/>
    <w:rsid w:val="003D2489"/>
    <w:rsid w:val="003E1708"/>
    <w:rsid w:val="00401A7D"/>
    <w:rsid w:val="0041213F"/>
    <w:rsid w:val="004121C9"/>
    <w:rsid w:val="00422D9C"/>
    <w:rsid w:val="00461123"/>
    <w:rsid w:val="004A67EF"/>
    <w:rsid w:val="004E49E6"/>
    <w:rsid w:val="00502BAA"/>
    <w:rsid w:val="00524DC6"/>
    <w:rsid w:val="005372C4"/>
    <w:rsid w:val="005C0806"/>
    <w:rsid w:val="005D3EF3"/>
    <w:rsid w:val="006437D0"/>
    <w:rsid w:val="006D06A1"/>
    <w:rsid w:val="007228F6"/>
    <w:rsid w:val="00734D95"/>
    <w:rsid w:val="007A3869"/>
    <w:rsid w:val="007E6823"/>
    <w:rsid w:val="00807256"/>
    <w:rsid w:val="00854DF5"/>
    <w:rsid w:val="0092754C"/>
    <w:rsid w:val="00934158"/>
    <w:rsid w:val="009571BA"/>
    <w:rsid w:val="0095720B"/>
    <w:rsid w:val="00965192"/>
    <w:rsid w:val="009A2959"/>
    <w:rsid w:val="009E1AFB"/>
    <w:rsid w:val="00AA0841"/>
    <w:rsid w:val="00AA32BA"/>
    <w:rsid w:val="00AB7056"/>
    <w:rsid w:val="00AF31BE"/>
    <w:rsid w:val="00B07483"/>
    <w:rsid w:val="00B777C2"/>
    <w:rsid w:val="00BC2561"/>
    <w:rsid w:val="00BE265F"/>
    <w:rsid w:val="00BF2A14"/>
    <w:rsid w:val="00C05120"/>
    <w:rsid w:val="00C07372"/>
    <w:rsid w:val="00C46D70"/>
    <w:rsid w:val="00C50618"/>
    <w:rsid w:val="00C76B0E"/>
    <w:rsid w:val="00CE6385"/>
    <w:rsid w:val="00D152BD"/>
    <w:rsid w:val="00D21611"/>
    <w:rsid w:val="00D31C07"/>
    <w:rsid w:val="00D376E6"/>
    <w:rsid w:val="00D476E7"/>
    <w:rsid w:val="00D642D2"/>
    <w:rsid w:val="00D976B7"/>
    <w:rsid w:val="00E267A7"/>
    <w:rsid w:val="00E82595"/>
    <w:rsid w:val="00F22F54"/>
    <w:rsid w:val="00F46886"/>
    <w:rsid w:val="00F5245D"/>
    <w:rsid w:val="00FE757A"/>
    <w:rsid w:val="00FF072F"/>
    <w:rsid w:val="00FF22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rules v:ext="edit">
        <o:r id="V:Rule1" type="connector" idref="#_x0000_s1026"/>
      </o:rules>
    </o:shapelayout>
  </w:shapeDefaults>
  <w:decimalSymbol w:val="."/>
  <w:listSeparator w:val=","/>
  <w15:docId w15:val="{77694566-F2D2-42E3-9784-2DE0528AA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2BA"/>
  </w:style>
  <w:style w:type="paragraph" w:styleId="Heading3">
    <w:name w:val="heading 3"/>
    <w:basedOn w:val="Normal"/>
    <w:link w:val="Heading3Char"/>
    <w:uiPriority w:val="9"/>
    <w:qFormat/>
    <w:rsid w:val="00D976B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976B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6B0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6B0E"/>
    <w:rPr>
      <w:i/>
      <w:iCs/>
    </w:rPr>
  </w:style>
  <w:style w:type="paragraph" w:styleId="BalloonText">
    <w:name w:val="Balloon Text"/>
    <w:basedOn w:val="Normal"/>
    <w:link w:val="BalloonTextChar"/>
    <w:uiPriority w:val="99"/>
    <w:semiHidden/>
    <w:unhideWhenUsed/>
    <w:rsid w:val="009571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1BA"/>
    <w:rPr>
      <w:rFonts w:ascii="Tahoma" w:hAnsi="Tahoma" w:cs="Tahoma"/>
      <w:sz w:val="16"/>
      <w:szCs w:val="16"/>
    </w:rPr>
  </w:style>
  <w:style w:type="character" w:customStyle="1" w:styleId="Heading3Char">
    <w:name w:val="Heading 3 Char"/>
    <w:basedOn w:val="DefaultParagraphFont"/>
    <w:link w:val="Heading3"/>
    <w:uiPriority w:val="9"/>
    <w:rsid w:val="00D976B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976B7"/>
    <w:rPr>
      <w:rFonts w:ascii="Times New Roman" w:eastAsia="Times New Roman" w:hAnsi="Times New Roman" w:cs="Times New Roman"/>
      <w:b/>
      <w:bCs/>
      <w:sz w:val="24"/>
      <w:szCs w:val="24"/>
    </w:rPr>
  </w:style>
  <w:style w:type="character" w:styleId="Strong">
    <w:name w:val="Strong"/>
    <w:basedOn w:val="DefaultParagraphFont"/>
    <w:uiPriority w:val="22"/>
    <w:qFormat/>
    <w:rsid w:val="00D976B7"/>
    <w:rPr>
      <w:b/>
      <w:bCs/>
    </w:rPr>
  </w:style>
  <w:style w:type="character" w:styleId="Hyperlink">
    <w:name w:val="Hyperlink"/>
    <w:basedOn w:val="DefaultParagraphFont"/>
    <w:uiPriority w:val="99"/>
    <w:unhideWhenUsed/>
    <w:rsid w:val="00401A7D"/>
    <w:rPr>
      <w:color w:val="0000FF" w:themeColor="hyperlink"/>
      <w:u w:val="single"/>
    </w:rPr>
  </w:style>
  <w:style w:type="table" w:styleId="TableGrid">
    <w:name w:val="Table Grid"/>
    <w:basedOn w:val="TableNormal"/>
    <w:uiPriority w:val="59"/>
    <w:rsid w:val="005D3EF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neNumber">
    <w:name w:val="line number"/>
    <w:basedOn w:val="DefaultParagraphFont"/>
    <w:uiPriority w:val="99"/>
    <w:semiHidden/>
    <w:unhideWhenUsed/>
    <w:rsid w:val="00D31C07"/>
  </w:style>
  <w:style w:type="paragraph" w:customStyle="1" w:styleId="Affiliation">
    <w:name w:val="Affiliation"/>
    <w:basedOn w:val="Normal"/>
    <w:rsid w:val="00D31C07"/>
    <w:pPr>
      <w:suppressAutoHyphens/>
      <w:spacing w:before="240" w:after="0" w:line="360" w:lineRule="auto"/>
    </w:pPr>
    <w:rPr>
      <w:rFonts w:ascii="Times New Roman" w:eastAsia="Times New Roman" w:hAnsi="Times New Roman" w:cs="Times New Roman"/>
      <w:i/>
      <w:sz w:val="24"/>
      <w:szCs w:val="24"/>
      <w:lang w:val="en-GB" w:eastAsia="zh-CN"/>
    </w:rPr>
  </w:style>
  <w:style w:type="paragraph" w:styleId="ListParagraph">
    <w:name w:val="List Paragraph"/>
    <w:basedOn w:val="Normal"/>
    <w:uiPriority w:val="34"/>
    <w:qFormat/>
    <w:rsid w:val="00D31C07"/>
    <w:pPr>
      <w:ind w:left="720"/>
      <w:contextualSpacing/>
    </w:pPr>
  </w:style>
  <w:style w:type="paragraph" w:customStyle="1" w:styleId="ReferHead">
    <w:name w:val="Refer Head"/>
    <w:basedOn w:val="Normal"/>
    <w:rsid w:val="00BF2A14"/>
    <w:pPr>
      <w:keepNext/>
      <w:spacing w:after="240" w:line="240" w:lineRule="auto"/>
    </w:pPr>
    <w:rPr>
      <w:rFonts w:ascii="Helvetica" w:eastAsia="Times New Roman" w:hAnsi="Helvetica" w:cs="Times New Roman"/>
      <w:b/>
      <w:caps/>
      <w:szCs w:val="20"/>
    </w:rPr>
  </w:style>
  <w:style w:type="paragraph" w:customStyle="1" w:styleId="AcknHead">
    <w:name w:val="Ackn Head"/>
    <w:basedOn w:val="Normal"/>
    <w:rsid w:val="00BF2A14"/>
    <w:pPr>
      <w:keepNext/>
      <w:spacing w:after="240" w:line="240" w:lineRule="auto"/>
    </w:pPr>
    <w:rPr>
      <w:rFonts w:ascii="Helvetica" w:eastAsia="Times New Roman" w:hAnsi="Helvetica" w:cs="Times New Roman"/>
      <w:b/>
      <w:caps/>
      <w:szCs w:val="20"/>
    </w:rPr>
  </w:style>
  <w:style w:type="paragraph" w:styleId="Header">
    <w:name w:val="header"/>
    <w:basedOn w:val="Normal"/>
    <w:link w:val="HeaderChar"/>
    <w:uiPriority w:val="99"/>
    <w:unhideWhenUsed/>
    <w:rsid w:val="00BF2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2A14"/>
  </w:style>
  <w:style w:type="paragraph" w:styleId="Footer">
    <w:name w:val="footer"/>
    <w:basedOn w:val="Normal"/>
    <w:link w:val="FooterChar"/>
    <w:uiPriority w:val="99"/>
    <w:unhideWhenUsed/>
    <w:rsid w:val="00BF2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2A14"/>
  </w:style>
  <w:style w:type="character" w:customStyle="1" w:styleId="UnresolvedMention1">
    <w:name w:val="Unresolved Mention1"/>
    <w:basedOn w:val="DefaultParagraphFont"/>
    <w:uiPriority w:val="99"/>
    <w:semiHidden/>
    <w:unhideWhenUsed/>
    <w:rsid w:val="00D47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77283">
      <w:bodyDiv w:val="1"/>
      <w:marLeft w:val="0"/>
      <w:marRight w:val="0"/>
      <w:marTop w:val="0"/>
      <w:marBottom w:val="0"/>
      <w:divBdr>
        <w:top w:val="none" w:sz="0" w:space="0" w:color="auto"/>
        <w:left w:val="none" w:sz="0" w:space="0" w:color="auto"/>
        <w:bottom w:val="none" w:sz="0" w:space="0" w:color="auto"/>
        <w:right w:val="none" w:sz="0" w:space="0" w:color="auto"/>
      </w:divBdr>
    </w:div>
    <w:div w:id="228074761">
      <w:bodyDiv w:val="1"/>
      <w:marLeft w:val="0"/>
      <w:marRight w:val="0"/>
      <w:marTop w:val="0"/>
      <w:marBottom w:val="0"/>
      <w:divBdr>
        <w:top w:val="none" w:sz="0" w:space="0" w:color="auto"/>
        <w:left w:val="none" w:sz="0" w:space="0" w:color="auto"/>
        <w:bottom w:val="none" w:sz="0" w:space="0" w:color="auto"/>
        <w:right w:val="none" w:sz="0" w:space="0" w:color="auto"/>
      </w:divBdr>
    </w:div>
    <w:div w:id="281960773">
      <w:bodyDiv w:val="1"/>
      <w:marLeft w:val="0"/>
      <w:marRight w:val="0"/>
      <w:marTop w:val="0"/>
      <w:marBottom w:val="0"/>
      <w:divBdr>
        <w:top w:val="none" w:sz="0" w:space="0" w:color="auto"/>
        <w:left w:val="none" w:sz="0" w:space="0" w:color="auto"/>
        <w:bottom w:val="none" w:sz="0" w:space="0" w:color="auto"/>
        <w:right w:val="none" w:sz="0" w:space="0" w:color="auto"/>
      </w:divBdr>
    </w:div>
    <w:div w:id="325981330">
      <w:bodyDiv w:val="1"/>
      <w:marLeft w:val="0"/>
      <w:marRight w:val="0"/>
      <w:marTop w:val="0"/>
      <w:marBottom w:val="0"/>
      <w:divBdr>
        <w:top w:val="none" w:sz="0" w:space="0" w:color="auto"/>
        <w:left w:val="none" w:sz="0" w:space="0" w:color="auto"/>
        <w:bottom w:val="none" w:sz="0" w:space="0" w:color="auto"/>
        <w:right w:val="none" w:sz="0" w:space="0" w:color="auto"/>
      </w:divBdr>
    </w:div>
    <w:div w:id="539056294">
      <w:bodyDiv w:val="1"/>
      <w:marLeft w:val="0"/>
      <w:marRight w:val="0"/>
      <w:marTop w:val="0"/>
      <w:marBottom w:val="0"/>
      <w:divBdr>
        <w:top w:val="none" w:sz="0" w:space="0" w:color="auto"/>
        <w:left w:val="none" w:sz="0" w:space="0" w:color="auto"/>
        <w:bottom w:val="none" w:sz="0" w:space="0" w:color="auto"/>
        <w:right w:val="none" w:sz="0" w:space="0" w:color="auto"/>
      </w:divBdr>
    </w:div>
    <w:div w:id="603540766">
      <w:bodyDiv w:val="1"/>
      <w:marLeft w:val="0"/>
      <w:marRight w:val="0"/>
      <w:marTop w:val="0"/>
      <w:marBottom w:val="0"/>
      <w:divBdr>
        <w:top w:val="none" w:sz="0" w:space="0" w:color="auto"/>
        <w:left w:val="none" w:sz="0" w:space="0" w:color="auto"/>
        <w:bottom w:val="none" w:sz="0" w:space="0" w:color="auto"/>
        <w:right w:val="none" w:sz="0" w:space="0" w:color="auto"/>
      </w:divBdr>
    </w:div>
    <w:div w:id="798303694">
      <w:bodyDiv w:val="1"/>
      <w:marLeft w:val="0"/>
      <w:marRight w:val="0"/>
      <w:marTop w:val="0"/>
      <w:marBottom w:val="0"/>
      <w:divBdr>
        <w:top w:val="none" w:sz="0" w:space="0" w:color="auto"/>
        <w:left w:val="none" w:sz="0" w:space="0" w:color="auto"/>
        <w:bottom w:val="none" w:sz="0" w:space="0" w:color="auto"/>
        <w:right w:val="none" w:sz="0" w:space="0" w:color="auto"/>
      </w:divBdr>
    </w:div>
    <w:div w:id="1038972627">
      <w:bodyDiv w:val="1"/>
      <w:marLeft w:val="0"/>
      <w:marRight w:val="0"/>
      <w:marTop w:val="0"/>
      <w:marBottom w:val="0"/>
      <w:divBdr>
        <w:top w:val="none" w:sz="0" w:space="0" w:color="auto"/>
        <w:left w:val="none" w:sz="0" w:space="0" w:color="auto"/>
        <w:bottom w:val="none" w:sz="0" w:space="0" w:color="auto"/>
        <w:right w:val="none" w:sz="0" w:space="0" w:color="auto"/>
      </w:divBdr>
    </w:div>
    <w:div w:id="1231959072">
      <w:bodyDiv w:val="1"/>
      <w:marLeft w:val="0"/>
      <w:marRight w:val="0"/>
      <w:marTop w:val="0"/>
      <w:marBottom w:val="0"/>
      <w:divBdr>
        <w:top w:val="none" w:sz="0" w:space="0" w:color="auto"/>
        <w:left w:val="none" w:sz="0" w:space="0" w:color="auto"/>
        <w:bottom w:val="none" w:sz="0" w:space="0" w:color="auto"/>
        <w:right w:val="none" w:sz="0" w:space="0" w:color="auto"/>
      </w:divBdr>
    </w:div>
    <w:div w:id="1277255806">
      <w:bodyDiv w:val="1"/>
      <w:marLeft w:val="0"/>
      <w:marRight w:val="0"/>
      <w:marTop w:val="0"/>
      <w:marBottom w:val="0"/>
      <w:divBdr>
        <w:top w:val="none" w:sz="0" w:space="0" w:color="auto"/>
        <w:left w:val="none" w:sz="0" w:space="0" w:color="auto"/>
        <w:bottom w:val="none" w:sz="0" w:space="0" w:color="auto"/>
        <w:right w:val="none" w:sz="0" w:space="0" w:color="auto"/>
      </w:divBdr>
    </w:div>
    <w:div w:id="1329019096">
      <w:bodyDiv w:val="1"/>
      <w:marLeft w:val="0"/>
      <w:marRight w:val="0"/>
      <w:marTop w:val="0"/>
      <w:marBottom w:val="0"/>
      <w:divBdr>
        <w:top w:val="none" w:sz="0" w:space="0" w:color="auto"/>
        <w:left w:val="none" w:sz="0" w:space="0" w:color="auto"/>
        <w:bottom w:val="none" w:sz="0" w:space="0" w:color="auto"/>
        <w:right w:val="none" w:sz="0" w:space="0" w:color="auto"/>
      </w:divBdr>
    </w:div>
    <w:div w:id="1374768387">
      <w:bodyDiv w:val="1"/>
      <w:marLeft w:val="0"/>
      <w:marRight w:val="0"/>
      <w:marTop w:val="0"/>
      <w:marBottom w:val="0"/>
      <w:divBdr>
        <w:top w:val="none" w:sz="0" w:space="0" w:color="auto"/>
        <w:left w:val="none" w:sz="0" w:space="0" w:color="auto"/>
        <w:bottom w:val="none" w:sz="0" w:space="0" w:color="auto"/>
        <w:right w:val="none" w:sz="0" w:space="0" w:color="auto"/>
      </w:divBdr>
    </w:div>
    <w:div w:id="1385640394">
      <w:bodyDiv w:val="1"/>
      <w:marLeft w:val="0"/>
      <w:marRight w:val="0"/>
      <w:marTop w:val="0"/>
      <w:marBottom w:val="0"/>
      <w:divBdr>
        <w:top w:val="none" w:sz="0" w:space="0" w:color="auto"/>
        <w:left w:val="none" w:sz="0" w:space="0" w:color="auto"/>
        <w:bottom w:val="none" w:sz="0" w:space="0" w:color="auto"/>
        <w:right w:val="none" w:sz="0" w:space="0" w:color="auto"/>
      </w:divBdr>
    </w:div>
    <w:div w:id="1581863329">
      <w:bodyDiv w:val="1"/>
      <w:marLeft w:val="0"/>
      <w:marRight w:val="0"/>
      <w:marTop w:val="0"/>
      <w:marBottom w:val="0"/>
      <w:divBdr>
        <w:top w:val="none" w:sz="0" w:space="0" w:color="auto"/>
        <w:left w:val="none" w:sz="0" w:space="0" w:color="auto"/>
        <w:bottom w:val="none" w:sz="0" w:space="0" w:color="auto"/>
        <w:right w:val="none" w:sz="0" w:space="0" w:color="auto"/>
      </w:divBdr>
    </w:div>
    <w:div w:id="1654329370">
      <w:bodyDiv w:val="1"/>
      <w:marLeft w:val="0"/>
      <w:marRight w:val="0"/>
      <w:marTop w:val="0"/>
      <w:marBottom w:val="0"/>
      <w:divBdr>
        <w:top w:val="none" w:sz="0" w:space="0" w:color="auto"/>
        <w:left w:val="none" w:sz="0" w:space="0" w:color="auto"/>
        <w:bottom w:val="none" w:sz="0" w:space="0" w:color="auto"/>
        <w:right w:val="none" w:sz="0" w:space="0" w:color="auto"/>
      </w:divBdr>
    </w:div>
    <w:div w:id="171993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x.doi.org/10.14411/eje.2013.096" TargetMode="External"/><Relationship Id="rId18" Type="http://schemas.openxmlformats.org/officeDocument/2006/relationships/hyperlink" Target="https://doi.org/10.1038/s41421-020-00194-6" TargetMode="External"/><Relationship Id="rId26" Type="http://schemas.openxmlformats.org/officeDocument/2006/relationships/hyperlink" Target="https://doi.org/10.1016/0022-1910(70)90144-7" TargetMode="External"/><Relationship Id="rId39" Type="http://schemas.openxmlformats.org/officeDocument/2006/relationships/footer" Target="footer3.xml"/><Relationship Id="rId21" Type="http://schemas.openxmlformats.org/officeDocument/2006/relationships/hyperlink" Target="https://doi.org/10.1016/j.jinsphys.2007.11.001" TargetMode="External"/><Relationship Id="rId34" Type="http://schemas.openxmlformats.org/officeDocument/2006/relationships/header" Target="head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1303/aez.13.91" TargetMode="External"/><Relationship Id="rId20" Type="http://schemas.openxmlformats.org/officeDocument/2006/relationships/hyperlink" Target="https://doi.org/10.1016/S0022-1910(99)00075-X" TargetMode="External"/><Relationship Id="rId29" Type="http://schemas.openxmlformats.org/officeDocument/2006/relationships/hyperlink" Target="https://doi.org/10.1590/S0103-90162002000300026"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i.org/10.53550/EEC.2023.v29i01.045" TargetMode="External"/><Relationship Id="rId24" Type="http://schemas.openxmlformats.org/officeDocument/2006/relationships/hyperlink" Target="https://doi.org/10.1210/endo-38-1-46" TargetMode="External"/><Relationship Id="rId32" Type="http://schemas.openxmlformats.org/officeDocument/2006/relationships/hyperlink" Target="http://dx.doi.org/10.9790/3008-1203051318"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dx.doi.org/10.55446/IJE.2023.1510" TargetMode="External"/><Relationship Id="rId23" Type="http://schemas.openxmlformats.org/officeDocument/2006/relationships/hyperlink" Target="https://doi.org/10.1002/jez.1400990304" TargetMode="External"/><Relationship Id="rId28" Type="http://schemas.openxmlformats.org/officeDocument/2006/relationships/hyperlink" Target="https://doi.org/10.1093/jee/78.6.1182" TargetMode="External"/><Relationship Id="rId36" Type="http://schemas.openxmlformats.org/officeDocument/2006/relationships/footer" Target="footer1.xml"/><Relationship Id="rId10" Type="http://schemas.openxmlformats.org/officeDocument/2006/relationships/hyperlink" Target="https://doi.org/10.9734/jeai/2025/v47i73627" TargetMode="External"/><Relationship Id="rId19" Type="http://schemas.openxmlformats.org/officeDocument/2006/relationships/hyperlink" Target="https://doi.org/10.1111/j.1096-3642.1933.tb01635.x" TargetMode="External"/><Relationship Id="rId31" Type="http://schemas.openxmlformats.org/officeDocument/2006/relationships/hyperlink" Target="https://doi.org/10.1017/S000748530003921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307/entomon.v49i2.1174" TargetMode="External"/><Relationship Id="rId22" Type="http://schemas.openxmlformats.org/officeDocument/2006/relationships/hyperlink" Target="https://doi.org/10.1242/jcs.s2-79.313.91" TargetMode="External"/><Relationship Id="rId27" Type="http://schemas.openxmlformats.org/officeDocument/2006/relationships/hyperlink" Target="https://doi.org/10.1038/newbio230220a0" TargetMode="External"/><Relationship Id="rId30" Type="http://schemas.openxmlformats.org/officeDocument/2006/relationships/hyperlink" Target="https://doi.org/10.15739/IJAPR.17.017" TargetMode="External"/><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2307/2389655" TargetMode="External"/><Relationship Id="rId17" Type="http://schemas.openxmlformats.org/officeDocument/2006/relationships/hyperlink" Target="https://doi.org/10.1111/j.1440-6055.1979.tb00868.x" TargetMode="External"/><Relationship Id="rId25" Type="http://schemas.openxmlformats.org/officeDocument/2006/relationships/hyperlink" Target="https://doi.org/10.1242/jeb.29.1.137" TargetMode="External"/><Relationship Id="rId33" Type="http://schemas.openxmlformats.org/officeDocument/2006/relationships/hyperlink" Target="http://dx.doi.org/10.9734/jsrr/2024/v30i51994" TargetMode="External"/><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17</Pages>
  <Words>7935</Words>
  <Characters>45230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Editor-11</cp:lastModifiedBy>
  <cp:revision>14</cp:revision>
  <dcterms:created xsi:type="dcterms:W3CDTF">2025-08-07T20:56:00Z</dcterms:created>
  <dcterms:modified xsi:type="dcterms:W3CDTF">2025-08-16T11:48:00Z</dcterms:modified>
</cp:coreProperties>
</file>